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E765C" w14:textId="77777777" w:rsidR="00A64CF6" w:rsidRPr="000E5743" w:rsidRDefault="00A64CF6" w:rsidP="00A64CF6">
      <w:pPr>
        <w:jc w:val="both"/>
        <w:rPr>
          <w:rFonts w:ascii="Verdana" w:eastAsia="Calibri" w:hAnsi="Verdana" w:cs="Arial"/>
          <w:b/>
          <w:bCs/>
          <w:lang w:val="es-ES" w:eastAsia="es-ES"/>
        </w:rPr>
      </w:pPr>
      <w:r w:rsidRPr="000E5743">
        <w:rPr>
          <w:rFonts w:ascii="Verdana" w:eastAsia="Calibri" w:hAnsi="Verdana" w:cs="Arial"/>
          <w:b/>
          <w:bCs/>
          <w:lang w:val="es-ES" w:eastAsia="es-ES"/>
        </w:rPr>
        <w:t xml:space="preserve">RÉGIMEN DE INHABILIDADES E INCOMPATIBILIDADES – Carácter restrictivo </w:t>
      </w:r>
    </w:p>
    <w:p w14:paraId="38060378" w14:textId="2E10BAFF" w:rsidR="00A64CF6" w:rsidRPr="006976FD" w:rsidRDefault="00A64CF6" w:rsidP="006976FD">
      <w:pPr>
        <w:jc w:val="both"/>
        <w:rPr>
          <w:rFonts w:ascii="Verdana" w:eastAsia="Calibri" w:hAnsi="Verdana" w:cs="Arial"/>
          <w:sz w:val="20"/>
          <w:szCs w:val="20"/>
          <w:lang w:val="es-ES" w:eastAsia="es-ES"/>
        </w:rPr>
      </w:pPr>
      <w:r w:rsidRPr="006976FD">
        <w:rPr>
          <w:rFonts w:ascii="Verdana" w:eastAsia="Calibri" w:hAnsi="Verdana" w:cs="Arial"/>
          <w:sz w:val="20"/>
          <w:szCs w:val="20"/>
          <w:lang w:val="es-ES"/>
        </w:rPr>
        <w:t>Debido a las restricciones que impone el régimen de inhabilidades e incompatibilidades, este se tipifica en la Ley expresamente y su interpretación debe ser restrictiva. Es decir, las causales de inhabilidad e incompatibilidad deben estar enunciadas en las normas de forma taxativa y al aplicarse en una situación particular su interpretación debe ser restrictiva, de tal forma que no se admita una interpretación amplia o extensiva que permita contemplar supuestos indeterminados como causales de inhabilidad o impedimentos.</w:t>
      </w:r>
    </w:p>
    <w:p w14:paraId="52821A8A" w14:textId="77777777" w:rsidR="00BB2212" w:rsidRDefault="00BB2212" w:rsidP="00BB2212">
      <w:pPr>
        <w:spacing w:after="0"/>
        <w:jc w:val="both"/>
        <w:rPr>
          <w:rFonts w:ascii="Verdana" w:eastAsia="Arial" w:hAnsi="Verdana"/>
          <w:b/>
          <w:bCs/>
          <w:lang w:val="es-ES" w:eastAsia="es-ES_tradnl"/>
        </w:rPr>
      </w:pPr>
    </w:p>
    <w:p w14:paraId="68F7289E" w14:textId="51E9EA31" w:rsidR="00D03CA6" w:rsidRDefault="00D03CA6" w:rsidP="00D03CA6">
      <w:pPr>
        <w:spacing w:after="0" w:line="240" w:lineRule="auto"/>
        <w:rPr>
          <w:rFonts w:ascii="Verdana" w:eastAsia="Geomanist Light" w:hAnsi="Verdana" w:cs="Arial"/>
          <w:b/>
          <w:bCs/>
          <w:color w:val="000000" w:themeColor="text1"/>
          <w:lang w:val="es-MX"/>
        </w:rPr>
      </w:pPr>
      <w:r>
        <w:rPr>
          <w:rFonts w:ascii="Verdana" w:eastAsia="Geomanist Light" w:hAnsi="Verdana" w:cs="Arial"/>
          <w:b/>
          <w:bCs/>
          <w:color w:val="000000" w:themeColor="text1"/>
          <w:lang w:val="es-MX"/>
        </w:rPr>
        <w:t>APLICACIÓN DE LA LEY 1952 DE 2019</w:t>
      </w:r>
      <w:r w:rsidR="005756F3">
        <w:rPr>
          <w:rFonts w:ascii="Verdana" w:eastAsia="Geomanist Light" w:hAnsi="Verdana" w:cs="Arial"/>
          <w:b/>
          <w:bCs/>
          <w:color w:val="000000" w:themeColor="text1"/>
          <w:lang w:val="es-MX"/>
        </w:rPr>
        <w:t xml:space="preserve"> </w:t>
      </w:r>
      <w:r w:rsidR="005756F3" w:rsidRPr="005756F3">
        <w:rPr>
          <w:rFonts w:ascii="Verdana" w:eastAsia="Geomanist Light" w:hAnsi="Verdana" w:cs="Arial"/>
          <w:b/>
          <w:bCs/>
          <w:color w:val="000000" w:themeColor="text1"/>
        </w:rPr>
        <w:t>–</w:t>
      </w:r>
      <w:r w:rsidR="005756F3">
        <w:rPr>
          <w:rFonts w:ascii="Verdana" w:eastAsia="Geomanist Light" w:hAnsi="Verdana" w:cs="Arial"/>
          <w:b/>
          <w:bCs/>
          <w:color w:val="000000" w:themeColor="text1"/>
          <w:lang w:val="es-MX"/>
        </w:rPr>
        <w:t xml:space="preserve"> </w:t>
      </w:r>
      <w:r>
        <w:rPr>
          <w:rFonts w:ascii="Verdana" w:eastAsia="Geomanist Light" w:hAnsi="Verdana" w:cs="Arial"/>
          <w:b/>
          <w:bCs/>
          <w:color w:val="000000" w:themeColor="text1"/>
          <w:lang w:val="es-MX"/>
        </w:rPr>
        <w:t>INHABILIDAD EXALCALDE</w:t>
      </w:r>
      <w:r w:rsidR="00DF27CA">
        <w:rPr>
          <w:rFonts w:ascii="Verdana" w:eastAsia="Geomanist Light" w:hAnsi="Verdana" w:cs="Arial"/>
          <w:b/>
          <w:bCs/>
          <w:color w:val="000000" w:themeColor="text1"/>
          <w:lang w:val="es-MX"/>
        </w:rPr>
        <w:t xml:space="preserve"> </w:t>
      </w:r>
      <w:r w:rsidR="00DF27CA" w:rsidRPr="00DF27CA">
        <w:rPr>
          <w:rFonts w:ascii="Verdana" w:eastAsia="Geomanist Light" w:hAnsi="Verdana" w:cs="Arial"/>
          <w:b/>
          <w:bCs/>
          <w:color w:val="000000" w:themeColor="text1"/>
        </w:rPr>
        <w:t>–</w:t>
      </w:r>
      <w:r w:rsidR="00DF27CA">
        <w:rPr>
          <w:rFonts w:ascii="Verdana" w:eastAsia="Geomanist Light" w:hAnsi="Verdana" w:cs="Arial"/>
          <w:b/>
          <w:bCs/>
          <w:color w:val="000000" w:themeColor="text1"/>
          <w:lang w:val="es-MX"/>
        </w:rPr>
        <w:t xml:space="preserve"> </w:t>
      </w:r>
      <w:r>
        <w:rPr>
          <w:rFonts w:ascii="Verdana" w:eastAsia="Geomanist Light" w:hAnsi="Verdana" w:cs="Arial"/>
          <w:b/>
          <w:bCs/>
          <w:color w:val="000000" w:themeColor="text1"/>
          <w:lang w:val="es-MX"/>
        </w:rPr>
        <w:t>ASUNTOS CONCRETOS DE SUS FUNCIONES</w:t>
      </w:r>
    </w:p>
    <w:p w14:paraId="6CDE2DA8" w14:textId="77777777" w:rsidR="00D03CA6" w:rsidRDefault="00D03CA6" w:rsidP="00D03CA6">
      <w:pPr>
        <w:spacing w:after="0" w:line="240" w:lineRule="auto"/>
        <w:rPr>
          <w:rFonts w:ascii="Verdana" w:eastAsia="Geomanist Light" w:hAnsi="Verdana" w:cs="Arial"/>
          <w:b/>
          <w:bCs/>
          <w:color w:val="000000" w:themeColor="text1"/>
          <w:lang w:val="es-MX"/>
        </w:rPr>
      </w:pPr>
    </w:p>
    <w:p w14:paraId="15EC33DC" w14:textId="2F3291BE" w:rsidR="00365D6B" w:rsidRPr="006976FD" w:rsidRDefault="00D03CA6" w:rsidP="00365D6B">
      <w:pPr>
        <w:spacing w:after="0" w:line="240" w:lineRule="auto"/>
        <w:jc w:val="both"/>
        <w:rPr>
          <w:rFonts w:ascii="Verdana" w:eastAsia="Geomanist Light" w:hAnsi="Verdana" w:cs="Arial"/>
          <w:color w:val="000000" w:themeColor="text1"/>
          <w:sz w:val="20"/>
          <w:szCs w:val="20"/>
        </w:rPr>
      </w:pPr>
      <w:r w:rsidRPr="006976FD">
        <w:rPr>
          <w:rFonts w:ascii="Verdana" w:eastAsia="Geomanist Light" w:hAnsi="Verdana" w:cs="Arial"/>
          <w:color w:val="000000" w:themeColor="text1"/>
          <w:sz w:val="20"/>
          <w:szCs w:val="20"/>
        </w:rPr>
        <w:t>En el caso de un exalcalde, la Ley 1952 de 2019 establece que la inhabilidad para prestar servicios a la misma entidad territorial tiene una duración de un (1) año después de la dejación del cargo, salvo que se trate de asuntos concretos de los cuales el exalcalde tuvo conocimiento en ejercicio de sus funciones, en cuyo caso la incompatibilidad es indefinida</w:t>
      </w:r>
      <w:r w:rsidR="006976FD">
        <w:rPr>
          <w:rFonts w:ascii="Verdana" w:eastAsia="Geomanist Light" w:hAnsi="Verdana" w:cs="Arial"/>
          <w:color w:val="000000" w:themeColor="text1"/>
          <w:sz w:val="20"/>
          <w:szCs w:val="20"/>
        </w:rPr>
        <w:t>.</w:t>
      </w:r>
    </w:p>
    <w:p w14:paraId="699D28CA" w14:textId="77777777" w:rsidR="00365D6B" w:rsidRDefault="00365D6B" w:rsidP="00365D6B">
      <w:pPr>
        <w:spacing w:after="0" w:line="240" w:lineRule="auto"/>
        <w:jc w:val="both"/>
        <w:rPr>
          <w:rFonts w:ascii="Verdana" w:eastAsia="Geomanist Light" w:hAnsi="Verdana" w:cs="Arial"/>
          <w:color w:val="000000" w:themeColor="text1"/>
        </w:rPr>
      </w:pPr>
    </w:p>
    <w:p w14:paraId="6FF15B65" w14:textId="77777777" w:rsidR="00365D6B" w:rsidRDefault="00365D6B" w:rsidP="00365D6B">
      <w:pPr>
        <w:spacing w:after="0" w:line="240" w:lineRule="auto"/>
        <w:jc w:val="both"/>
        <w:rPr>
          <w:rFonts w:ascii="Verdana" w:eastAsia="Geomanist Light" w:hAnsi="Verdana" w:cs="Arial"/>
          <w:color w:val="000000" w:themeColor="text1"/>
        </w:rPr>
      </w:pPr>
    </w:p>
    <w:p w14:paraId="2FC99364" w14:textId="77777777" w:rsidR="00365D6B" w:rsidRDefault="00365D6B" w:rsidP="00365D6B">
      <w:pPr>
        <w:spacing w:after="0" w:line="240" w:lineRule="auto"/>
        <w:jc w:val="both"/>
        <w:rPr>
          <w:rFonts w:ascii="Verdana" w:eastAsia="Geomanist Light" w:hAnsi="Verdana" w:cs="Arial"/>
          <w:color w:val="000000" w:themeColor="text1"/>
        </w:rPr>
      </w:pPr>
    </w:p>
    <w:p w14:paraId="5A47CAAB" w14:textId="77777777" w:rsidR="001429F0" w:rsidRDefault="001429F0" w:rsidP="00365D6B">
      <w:pPr>
        <w:spacing w:after="0" w:line="240" w:lineRule="auto"/>
        <w:jc w:val="both"/>
        <w:rPr>
          <w:rFonts w:ascii="Verdana" w:eastAsia="Geomanist Light" w:hAnsi="Verdana" w:cs="Arial"/>
          <w:color w:val="000000" w:themeColor="text1"/>
        </w:rPr>
      </w:pPr>
    </w:p>
    <w:p w14:paraId="4A951084" w14:textId="77777777" w:rsidR="001429F0" w:rsidRDefault="001429F0" w:rsidP="00365D6B">
      <w:pPr>
        <w:spacing w:after="0" w:line="240" w:lineRule="auto"/>
        <w:jc w:val="both"/>
        <w:rPr>
          <w:rFonts w:ascii="Verdana" w:eastAsia="Geomanist Light" w:hAnsi="Verdana" w:cs="Arial"/>
          <w:color w:val="000000" w:themeColor="text1"/>
        </w:rPr>
      </w:pPr>
    </w:p>
    <w:p w14:paraId="5AC7FEC7" w14:textId="77777777" w:rsidR="001429F0" w:rsidRDefault="001429F0" w:rsidP="00365D6B">
      <w:pPr>
        <w:spacing w:after="0" w:line="240" w:lineRule="auto"/>
        <w:jc w:val="both"/>
        <w:rPr>
          <w:rFonts w:ascii="Verdana" w:eastAsia="Geomanist Light" w:hAnsi="Verdana" w:cs="Arial"/>
          <w:color w:val="000000" w:themeColor="text1"/>
        </w:rPr>
      </w:pPr>
    </w:p>
    <w:p w14:paraId="407E3ED0" w14:textId="77777777" w:rsidR="001429F0" w:rsidRDefault="001429F0" w:rsidP="00365D6B">
      <w:pPr>
        <w:spacing w:after="0" w:line="240" w:lineRule="auto"/>
        <w:jc w:val="both"/>
        <w:rPr>
          <w:rFonts w:ascii="Verdana" w:eastAsia="Geomanist Light" w:hAnsi="Verdana" w:cs="Arial"/>
          <w:color w:val="000000" w:themeColor="text1"/>
        </w:rPr>
      </w:pPr>
    </w:p>
    <w:p w14:paraId="1DDEE785" w14:textId="77777777" w:rsidR="001429F0" w:rsidRDefault="001429F0" w:rsidP="00365D6B">
      <w:pPr>
        <w:spacing w:after="0" w:line="240" w:lineRule="auto"/>
        <w:jc w:val="both"/>
        <w:rPr>
          <w:rFonts w:ascii="Verdana" w:eastAsia="Geomanist Light" w:hAnsi="Verdana" w:cs="Arial"/>
          <w:color w:val="000000" w:themeColor="text1"/>
        </w:rPr>
      </w:pPr>
    </w:p>
    <w:p w14:paraId="2ECCF324" w14:textId="77777777" w:rsidR="001429F0" w:rsidRDefault="001429F0" w:rsidP="00365D6B">
      <w:pPr>
        <w:spacing w:after="0" w:line="240" w:lineRule="auto"/>
        <w:jc w:val="both"/>
        <w:rPr>
          <w:rFonts w:ascii="Verdana" w:eastAsia="Geomanist Light" w:hAnsi="Verdana" w:cs="Arial"/>
          <w:color w:val="000000" w:themeColor="text1"/>
        </w:rPr>
      </w:pPr>
    </w:p>
    <w:p w14:paraId="7CB04F95" w14:textId="77777777" w:rsidR="001429F0" w:rsidRDefault="001429F0" w:rsidP="00365D6B">
      <w:pPr>
        <w:spacing w:after="0" w:line="240" w:lineRule="auto"/>
        <w:jc w:val="both"/>
        <w:rPr>
          <w:rFonts w:ascii="Verdana" w:eastAsia="Geomanist Light" w:hAnsi="Verdana" w:cs="Arial"/>
          <w:color w:val="000000" w:themeColor="text1"/>
        </w:rPr>
      </w:pPr>
    </w:p>
    <w:p w14:paraId="340EBD52" w14:textId="77777777" w:rsidR="001429F0" w:rsidRDefault="001429F0" w:rsidP="00365D6B">
      <w:pPr>
        <w:spacing w:after="0" w:line="240" w:lineRule="auto"/>
        <w:jc w:val="both"/>
        <w:rPr>
          <w:rFonts w:ascii="Verdana" w:eastAsia="Geomanist Light" w:hAnsi="Verdana" w:cs="Arial"/>
          <w:color w:val="000000" w:themeColor="text1"/>
        </w:rPr>
      </w:pPr>
    </w:p>
    <w:p w14:paraId="7188BA2F" w14:textId="77777777" w:rsidR="001429F0" w:rsidRDefault="001429F0" w:rsidP="00365D6B">
      <w:pPr>
        <w:spacing w:after="0" w:line="240" w:lineRule="auto"/>
        <w:jc w:val="both"/>
        <w:rPr>
          <w:rFonts w:ascii="Verdana" w:eastAsia="Geomanist Light" w:hAnsi="Verdana" w:cs="Arial"/>
          <w:color w:val="000000" w:themeColor="text1"/>
        </w:rPr>
      </w:pPr>
    </w:p>
    <w:p w14:paraId="468DDFE3" w14:textId="77777777" w:rsidR="001429F0" w:rsidRDefault="001429F0" w:rsidP="00365D6B">
      <w:pPr>
        <w:spacing w:after="0" w:line="240" w:lineRule="auto"/>
        <w:jc w:val="both"/>
        <w:rPr>
          <w:rFonts w:ascii="Verdana" w:eastAsia="Geomanist Light" w:hAnsi="Verdana" w:cs="Arial"/>
          <w:color w:val="000000" w:themeColor="text1"/>
        </w:rPr>
      </w:pPr>
    </w:p>
    <w:p w14:paraId="751453C1" w14:textId="77777777" w:rsidR="001429F0" w:rsidRDefault="001429F0" w:rsidP="00365D6B">
      <w:pPr>
        <w:spacing w:after="0" w:line="240" w:lineRule="auto"/>
        <w:jc w:val="both"/>
        <w:rPr>
          <w:rFonts w:ascii="Verdana" w:eastAsia="Geomanist Light" w:hAnsi="Verdana" w:cs="Arial"/>
          <w:color w:val="000000" w:themeColor="text1"/>
        </w:rPr>
      </w:pPr>
    </w:p>
    <w:p w14:paraId="0B89D3C5" w14:textId="77777777" w:rsidR="001429F0" w:rsidRDefault="001429F0" w:rsidP="00365D6B">
      <w:pPr>
        <w:spacing w:after="0" w:line="240" w:lineRule="auto"/>
        <w:jc w:val="both"/>
        <w:rPr>
          <w:rFonts w:ascii="Verdana" w:eastAsia="Geomanist Light" w:hAnsi="Verdana" w:cs="Arial"/>
          <w:color w:val="000000" w:themeColor="text1"/>
        </w:rPr>
      </w:pPr>
    </w:p>
    <w:p w14:paraId="78D08F13" w14:textId="77777777" w:rsidR="001429F0" w:rsidRDefault="001429F0" w:rsidP="00365D6B">
      <w:pPr>
        <w:spacing w:after="0" w:line="240" w:lineRule="auto"/>
        <w:jc w:val="both"/>
        <w:rPr>
          <w:rFonts w:ascii="Verdana" w:eastAsia="Geomanist Light" w:hAnsi="Verdana" w:cs="Arial"/>
          <w:color w:val="000000" w:themeColor="text1"/>
        </w:rPr>
      </w:pPr>
    </w:p>
    <w:p w14:paraId="4D177F1D" w14:textId="77777777" w:rsidR="001429F0" w:rsidRDefault="001429F0" w:rsidP="00365D6B">
      <w:pPr>
        <w:spacing w:after="0" w:line="240" w:lineRule="auto"/>
        <w:jc w:val="both"/>
        <w:rPr>
          <w:rFonts w:ascii="Verdana" w:eastAsia="Geomanist Light" w:hAnsi="Verdana" w:cs="Arial"/>
          <w:color w:val="000000" w:themeColor="text1"/>
        </w:rPr>
      </w:pPr>
    </w:p>
    <w:p w14:paraId="206C04FF" w14:textId="77777777" w:rsidR="001429F0" w:rsidRDefault="001429F0" w:rsidP="00365D6B">
      <w:pPr>
        <w:spacing w:after="0" w:line="240" w:lineRule="auto"/>
        <w:jc w:val="both"/>
        <w:rPr>
          <w:rFonts w:ascii="Verdana" w:eastAsia="Geomanist Light" w:hAnsi="Verdana" w:cs="Arial"/>
          <w:color w:val="000000" w:themeColor="text1"/>
        </w:rPr>
      </w:pPr>
    </w:p>
    <w:p w14:paraId="401120DA" w14:textId="77777777" w:rsidR="006976FD" w:rsidRDefault="006976FD" w:rsidP="00365D6B">
      <w:pPr>
        <w:spacing w:after="0" w:line="240" w:lineRule="auto"/>
        <w:jc w:val="both"/>
        <w:rPr>
          <w:rFonts w:ascii="Verdana" w:eastAsia="Geomanist Light" w:hAnsi="Verdana" w:cs="Arial"/>
          <w:color w:val="000000" w:themeColor="text1"/>
        </w:rPr>
      </w:pPr>
    </w:p>
    <w:p w14:paraId="49603A31" w14:textId="77777777" w:rsidR="00DF27CA" w:rsidRDefault="00DF27CA" w:rsidP="00365D6B">
      <w:pPr>
        <w:spacing w:after="0" w:line="240" w:lineRule="auto"/>
        <w:jc w:val="both"/>
        <w:rPr>
          <w:rFonts w:ascii="Verdana" w:eastAsia="Geomanist Light" w:hAnsi="Verdana" w:cs="Arial"/>
          <w:lang w:val="es-MX"/>
        </w:rPr>
      </w:pPr>
    </w:p>
    <w:p w14:paraId="6700D6DA" w14:textId="43951555" w:rsidR="00871B59" w:rsidRPr="00365D6B" w:rsidRDefault="00871B59" w:rsidP="00365D6B">
      <w:pPr>
        <w:spacing w:after="0" w:line="240" w:lineRule="auto"/>
        <w:jc w:val="both"/>
        <w:rPr>
          <w:rFonts w:ascii="Verdana" w:eastAsia="Geomanist Light" w:hAnsi="Verdana" w:cs="Arial"/>
          <w:color w:val="000000" w:themeColor="text1"/>
        </w:rPr>
      </w:pPr>
      <w:r w:rsidRPr="00876554">
        <w:rPr>
          <w:rFonts w:ascii="Verdana" w:eastAsia="Geomanist Light" w:hAnsi="Verdana" w:cs="Arial"/>
          <w:lang w:val="es-MX"/>
        </w:rPr>
        <w:lastRenderedPageBreak/>
        <w:t>Bogotá D.C., [Día] de [</w:t>
      </w:r>
      <w:proofErr w:type="spellStart"/>
      <w:r w:rsidRPr="00876554">
        <w:rPr>
          <w:rFonts w:ascii="Verdana" w:eastAsia="Geomanist Light" w:hAnsi="Verdana" w:cs="Arial"/>
          <w:lang w:val="es-MX"/>
        </w:rPr>
        <w:t>Mes.NombreCapitalizado</w:t>
      </w:r>
      <w:proofErr w:type="spellEnd"/>
      <w:r w:rsidRPr="00876554">
        <w:rPr>
          <w:rFonts w:ascii="Verdana" w:eastAsia="Geomanist Light" w:hAnsi="Verdana" w:cs="Arial"/>
          <w:lang w:val="es-MX"/>
        </w:rPr>
        <w:t>] de [Año]</w:t>
      </w:r>
    </w:p>
    <w:p w14:paraId="263F56BE" w14:textId="77777777" w:rsidR="00871B59" w:rsidRPr="00876554" w:rsidRDefault="00871B59" w:rsidP="00871B59">
      <w:pPr>
        <w:spacing w:after="0" w:line="240" w:lineRule="auto"/>
        <w:jc w:val="both"/>
        <w:rPr>
          <w:rFonts w:ascii="Verdana" w:eastAsia="Calibri" w:hAnsi="Verdana" w:cs="Arial"/>
          <w:lang w:val="es-ES"/>
        </w:rPr>
      </w:pPr>
    </w:p>
    <w:p w14:paraId="66EF7FED" w14:textId="6BCFF903" w:rsidR="00871B59" w:rsidRPr="00876554" w:rsidRDefault="006976FD" w:rsidP="00871B59">
      <w:pPr>
        <w:spacing w:after="0" w:line="240" w:lineRule="auto"/>
        <w:jc w:val="both"/>
        <w:rPr>
          <w:rFonts w:ascii="Verdana" w:eastAsia="Calibri" w:hAnsi="Verdana" w:cs="Arial"/>
          <w:lang w:val="es-ES" w:eastAsia="es-ES"/>
        </w:rPr>
      </w:pPr>
      <w:r w:rsidRPr="00C7611C">
        <w:rPr>
          <w:rFonts w:ascii="Verdana" w:eastAsia="Calibri" w:hAnsi="Verdana" w:cs="Arial"/>
          <w:b/>
          <w:bCs/>
          <w:noProof/>
          <w:lang w:val="es-ES_tradnl" w:eastAsia="es-ES_tradnl"/>
        </w:rPr>
        <w:drawing>
          <wp:anchor distT="0" distB="0" distL="114300" distR="114300" simplePos="0" relativeHeight="251657216" behindDoc="1" locked="0" layoutInCell="1" allowOverlap="1" wp14:anchorId="056BB78E" wp14:editId="69FF9A71">
            <wp:simplePos x="0" y="0"/>
            <wp:positionH relativeFrom="column">
              <wp:posOffset>2836545</wp:posOffset>
            </wp:positionH>
            <wp:positionV relativeFrom="paragraph">
              <wp:posOffset>168275</wp:posOffset>
            </wp:positionV>
            <wp:extent cx="3265805" cy="765175"/>
            <wp:effectExtent l="0" t="0" r="0" b="0"/>
            <wp:wrapSquare wrapText="bothSides"/>
            <wp:docPr id="59247585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47585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265805" cy="765175"/>
                    </a:xfrm>
                    <a:prstGeom prst="rect">
                      <a:avLst/>
                    </a:prstGeom>
                  </pic:spPr>
                </pic:pic>
              </a:graphicData>
            </a:graphic>
            <wp14:sizeRelH relativeFrom="page">
              <wp14:pctWidth>0</wp14:pctWidth>
            </wp14:sizeRelH>
            <wp14:sizeRelV relativeFrom="page">
              <wp14:pctHeight>0</wp14:pctHeight>
            </wp14:sizeRelV>
          </wp:anchor>
        </w:drawing>
      </w:r>
      <w:r w:rsidR="00871B59" w:rsidRPr="00876554">
        <w:rPr>
          <w:rFonts w:ascii="Verdana" w:eastAsia="Calibri" w:hAnsi="Verdana" w:cs="Arial"/>
          <w:lang w:val="es-ES" w:eastAsia="es-ES"/>
        </w:rPr>
        <w:t>Señor</w:t>
      </w:r>
      <w:r w:rsidR="00C07336">
        <w:rPr>
          <w:rFonts w:ascii="Verdana" w:eastAsia="Calibri" w:hAnsi="Verdana" w:cs="Arial"/>
          <w:lang w:val="es-ES" w:eastAsia="es-ES"/>
        </w:rPr>
        <w:t>a</w:t>
      </w:r>
    </w:p>
    <w:p w14:paraId="21BFC825" w14:textId="6D302A34" w:rsidR="00516DBC" w:rsidRDefault="00C07336" w:rsidP="00871B5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Katia</w:t>
      </w:r>
    </w:p>
    <w:p w14:paraId="403345D1" w14:textId="1D001166" w:rsidR="00C07336" w:rsidRDefault="00C07336" w:rsidP="00871B59">
      <w:pPr>
        <w:spacing w:after="0" w:line="240" w:lineRule="auto"/>
        <w:rPr>
          <w:rFonts w:ascii="Verdana" w:eastAsia="Calibri" w:hAnsi="Verdana" w:cs="Arial"/>
          <w:bCs/>
          <w:lang w:val="es-ES_tradnl" w:eastAsia="es-ES_tradnl"/>
        </w:rPr>
      </w:pPr>
      <w:r>
        <w:rPr>
          <w:rFonts w:ascii="Verdana" w:eastAsia="Calibri" w:hAnsi="Verdana" w:cs="Arial"/>
          <w:bCs/>
          <w:lang w:val="es-ES_tradnl" w:eastAsia="es-ES_tradnl"/>
        </w:rPr>
        <w:t>Kampe_25@hotmail.com</w:t>
      </w:r>
    </w:p>
    <w:p w14:paraId="5ACFEA17" w14:textId="6775C5CB" w:rsidR="00871B59" w:rsidRPr="00876554" w:rsidRDefault="00C07336" w:rsidP="00871B59">
      <w:pPr>
        <w:spacing w:after="0" w:line="240" w:lineRule="auto"/>
        <w:rPr>
          <w:rFonts w:ascii="Verdana" w:eastAsia="Calibri" w:hAnsi="Verdana" w:cs="Arial"/>
          <w:b/>
          <w:bCs/>
          <w:lang w:val="es-ES" w:eastAsia="es-ES"/>
        </w:rPr>
      </w:pPr>
      <w:r>
        <w:rPr>
          <w:rFonts w:ascii="Verdana" w:eastAsia="Calibri" w:hAnsi="Verdana" w:cs="Arial"/>
          <w:lang w:val="es-ES" w:eastAsia="es-ES"/>
        </w:rPr>
        <w:t>San Pedro de Urabá, Antioquia</w:t>
      </w:r>
    </w:p>
    <w:p w14:paraId="75545CBA" w14:textId="5DE04F04" w:rsidR="00871B59" w:rsidRPr="00876554" w:rsidRDefault="00871B59" w:rsidP="00871B59">
      <w:pPr>
        <w:spacing w:after="0" w:line="240" w:lineRule="auto"/>
        <w:rPr>
          <w:rFonts w:ascii="Verdana" w:eastAsia="Calibri" w:hAnsi="Verdana" w:cs="Arial"/>
          <w:b/>
          <w:bCs/>
          <w:lang w:val="es-ES_tradnl" w:eastAsia="es-ES_tradnl"/>
        </w:rPr>
      </w:pPr>
    </w:p>
    <w:p w14:paraId="40764CBF" w14:textId="1B21D19C" w:rsidR="00871B59" w:rsidRPr="00876554" w:rsidRDefault="00871B59" w:rsidP="00871B5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6554" w:rsidRPr="00876554" w14:paraId="6AC1791A" w14:textId="77777777" w:rsidTr="002607A7">
        <w:trPr>
          <w:trHeight w:val="884"/>
        </w:trPr>
        <w:tc>
          <w:tcPr>
            <w:tcW w:w="2689" w:type="dxa"/>
          </w:tcPr>
          <w:p w14:paraId="156B1AEC" w14:textId="77777777" w:rsidR="00871B59" w:rsidRPr="00876554" w:rsidRDefault="00871B59" w:rsidP="002607A7">
            <w:pPr>
              <w:jc w:val="both"/>
              <w:rPr>
                <w:rFonts w:ascii="Verdana" w:eastAsia="Calibri" w:hAnsi="Verdana" w:cs="Arial"/>
                <w:b/>
                <w:bCs/>
                <w:lang w:val="es-ES_tradnl" w:eastAsia="es-ES_tradnl"/>
              </w:rPr>
            </w:pPr>
          </w:p>
        </w:tc>
        <w:tc>
          <w:tcPr>
            <w:tcW w:w="6100" w:type="dxa"/>
          </w:tcPr>
          <w:p w14:paraId="48F499EA" w14:textId="2B089739" w:rsidR="00871B59" w:rsidRPr="00876554" w:rsidRDefault="00871B59" w:rsidP="002607A7">
            <w:pPr>
              <w:jc w:val="both"/>
              <w:rPr>
                <w:rFonts w:ascii="Verdana" w:eastAsia="Calibri" w:hAnsi="Verdana" w:cs="Arial"/>
                <w:b/>
                <w:bCs/>
                <w:lang w:val="es-ES" w:eastAsia="es-ES"/>
              </w:rPr>
            </w:pPr>
            <w:r w:rsidRPr="00876554">
              <w:rPr>
                <w:rFonts w:ascii="Verdana" w:eastAsia="Calibri" w:hAnsi="Verdana" w:cs="Arial"/>
                <w:b/>
                <w:bCs/>
                <w:lang w:val="es-ES" w:eastAsia="es-ES"/>
              </w:rPr>
              <w:t>Concepto C-</w:t>
            </w:r>
            <w:r w:rsidR="00C07336">
              <w:rPr>
                <w:rFonts w:ascii="Verdana" w:eastAsia="Calibri" w:hAnsi="Verdana" w:cs="Arial"/>
                <w:b/>
                <w:bCs/>
                <w:lang w:val="es-ES" w:eastAsia="es-ES"/>
              </w:rPr>
              <w:t>720</w:t>
            </w:r>
            <w:r w:rsidRPr="00876554">
              <w:rPr>
                <w:rFonts w:ascii="Verdana" w:eastAsia="Calibri" w:hAnsi="Verdana" w:cs="Arial"/>
                <w:b/>
                <w:bCs/>
                <w:lang w:val="es-ES" w:eastAsia="es-ES"/>
              </w:rPr>
              <w:t xml:space="preserve"> de 202</w:t>
            </w:r>
            <w:r w:rsidR="00EE7804">
              <w:rPr>
                <w:rFonts w:ascii="Verdana" w:eastAsia="Calibri" w:hAnsi="Verdana" w:cs="Arial"/>
                <w:b/>
                <w:bCs/>
                <w:lang w:val="es-ES" w:eastAsia="es-ES"/>
              </w:rPr>
              <w:t>5</w:t>
            </w:r>
          </w:p>
        </w:tc>
      </w:tr>
      <w:tr w:rsidR="00876554" w:rsidRPr="001B3DC7" w14:paraId="0DD246A7" w14:textId="77777777" w:rsidTr="002607A7">
        <w:trPr>
          <w:trHeight w:val="884"/>
        </w:trPr>
        <w:tc>
          <w:tcPr>
            <w:tcW w:w="2689" w:type="dxa"/>
          </w:tcPr>
          <w:p w14:paraId="1B4FC525" w14:textId="77777777" w:rsidR="00871B59" w:rsidRPr="001B3DC7" w:rsidRDefault="00871B59" w:rsidP="002607A7">
            <w:pPr>
              <w:jc w:val="both"/>
              <w:rPr>
                <w:rFonts w:ascii="Verdana" w:eastAsia="Calibri" w:hAnsi="Verdana" w:cs="Arial"/>
                <w:lang w:val="es-ES_tradnl" w:eastAsia="es-ES_tradnl"/>
              </w:rPr>
            </w:pPr>
            <w:r w:rsidRPr="001B3DC7">
              <w:rPr>
                <w:rFonts w:ascii="Verdana" w:eastAsia="Calibri" w:hAnsi="Verdana" w:cs="Arial"/>
                <w:b/>
                <w:lang w:val="es-ES_tradnl" w:eastAsia="es-ES_tradnl"/>
              </w:rPr>
              <w:t>Temas:</w:t>
            </w:r>
            <w:r w:rsidRPr="001B3DC7">
              <w:rPr>
                <w:rFonts w:ascii="Verdana" w:eastAsia="Calibri" w:hAnsi="Verdana" w:cs="Arial"/>
                <w:lang w:val="es-ES_tradnl" w:eastAsia="es-ES_tradnl"/>
              </w:rPr>
              <w:t xml:space="preserve">                   </w:t>
            </w:r>
          </w:p>
        </w:tc>
        <w:tc>
          <w:tcPr>
            <w:tcW w:w="6100" w:type="dxa"/>
          </w:tcPr>
          <w:p w14:paraId="38A10A69" w14:textId="1EAB688B" w:rsidR="007A1E92" w:rsidRPr="007A1E92" w:rsidRDefault="00A64CF6" w:rsidP="00365D6B">
            <w:pPr>
              <w:jc w:val="both"/>
              <w:rPr>
                <w:rFonts w:ascii="Verdana" w:eastAsia="Geomanist Light" w:hAnsi="Verdana" w:cs="Arial"/>
                <w:color w:val="000000" w:themeColor="text1"/>
                <w:lang w:val="es-MX"/>
              </w:rPr>
            </w:pPr>
            <w:r w:rsidRPr="007A1E92">
              <w:rPr>
                <w:rFonts w:ascii="Verdana" w:eastAsia="Calibri" w:hAnsi="Verdana" w:cs="Arial"/>
                <w:lang w:val="es-ES" w:eastAsia="es-ES"/>
              </w:rPr>
              <w:t>RÉGIMEN DE INHABILIDADES E INCOMPATIBILIDADES – Carácter restrictivo</w:t>
            </w:r>
            <w:r w:rsidR="007A1E92" w:rsidRPr="007A1E92">
              <w:rPr>
                <w:rFonts w:ascii="Verdana" w:eastAsia="Calibri" w:hAnsi="Verdana" w:cs="Arial"/>
                <w:lang w:val="es-ES" w:eastAsia="es-ES"/>
              </w:rPr>
              <w:t>/</w:t>
            </w:r>
            <w:r w:rsidR="007A1E92" w:rsidRPr="007A1E92">
              <w:rPr>
                <w:rFonts w:ascii="Verdana" w:eastAsia="Geomanist Light" w:hAnsi="Verdana" w:cs="Arial"/>
                <w:color w:val="000000" w:themeColor="text1"/>
                <w:lang w:val="es-MX"/>
              </w:rPr>
              <w:t xml:space="preserve"> APLICACIÓN DE LA LEY 1952 DE 2019- INHABILIDAD EXALCALDE- ASUNTOS CONCRETOS DE SUS FUNCIONES. </w:t>
            </w:r>
          </w:p>
          <w:p w14:paraId="7ADD1096" w14:textId="03027178" w:rsidR="00516DBC" w:rsidRPr="007A1E92" w:rsidRDefault="00516DBC" w:rsidP="007A1E92">
            <w:pPr>
              <w:jc w:val="both"/>
              <w:rPr>
                <w:rFonts w:ascii="Verdana" w:eastAsia="Calibri" w:hAnsi="Verdana" w:cs="Arial"/>
                <w:lang w:val="es-ES" w:eastAsia="es-ES"/>
              </w:rPr>
            </w:pPr>
          </w:p>
        </w:tc>
      </w:tr>
      <w:tr w:rsidR="00871B59" w:rsidRPr="00876554" w14:paraId="0A874006" w14:textId="77777777" w:rsidTr="002607A7">
        <w:tc>
          <w:tcPr>
            <w:tcW w:w="2689" w:type="dxa"/>
          </w:tcPr>
          <w:p w14:paraId="56ED2765" w14:textId="77777777" w:rsidR="00871B59" w:rsidRPr="00876554" w:rsidRDefault="00871B59" w:rsidP="002607A7">
            <w:pPr>
              <w:jc w:val="both"/>
              <w:rPr>
                <w:rFonts w:ascii="Verdana" w:eastAsia="Calibri" w:hAnsi="Verdana" w:cs="Arial"/>
                <w:b/>
                <w:lang w:val="es-ES_tradnl" w:eastAsia="es-ES_tradnl"/>
              </w:rPr>
            </w:pPr>
            <w:r w:rsidRPr="00876554">
              <w:rPr>
                <w:rFonts w:ascii="Verdana" w:eastAsia="Calibri" w:hAnsi="Verdana" w:cs="Arial"/>
                <w:b/>
                <w:lang w:val="es-ES_tradnl" w:eastAsia="es-ES_tradnl"/>
              </w:rPr>
              <w:t>Radicación:</w:t>
            </w:r>
            <w:r w:rsidRPr="00876554">
              <w:rPr>
                <w:rFonts w:ascii="Verdana" w:eastAsia="Calibri" w:hAnsi="Verdana" w:cs="Arial"/>
                <w:lang w:val="es-ES_tradnl" w:eastAsia="es-ES_tradnl"/>
              </w:rPr>
              <w:t xml:space="preserve">               </w:t>
            </w:r>
          </w:p>
        </w:tc>
        <w:tc>
          <w:tcPr>
            <w:tcW w:w="6100" w:type="dxa"/>
          </w:tcPr>
          <w:p w14:paraId="7524D75B" w14:textId="71AF0331" w:rsidR="000C6AD9" w:rsidRPr="000C6AD9" w:rsidRDefault="00871B59" w:rsidP="000C6AD9">
            <w:pPr>
              <w:jc w:val="both"/>
              <w:rPr>
                <w:rFonts w:ascii="Verdana" w:eastAsia="Calibri" w:hAnsi="Verdana" w:cs="Arial"/>
                <w:lang w:eastAsia="es-ES_tradnl"/>
              </w:rPr>
            </w:pPr>
            <w:r w:rsidRPr="00876554">
              <w:rPr>
                <w:rFonts w:ascii="Verdana" w:eastAsia="Calibri" w:hAnsi="Verdana" w:cs="Arial"/>
                <w:lang w:val="es-ES_tradnl" w:eastAsia="es-ES_tradnl"/>
              </w:rPr>
              <w:t>Respuesta a consulta con radicado</w:t>
            </w:r>
            <w:r w:rsidR="000C6AD9">
              <w:rPr>
                <w:rFonts w:ascii="Verdana" w:eastAsia="Calibri" w:hAnsi="Verdana" w:cs="Arial"/>
                <w:lang w:val="es-ES_tradnl" w:eastAsia="es-ES_tradnl"/>
              </w:rPr>
              <w:t xml:space="preserve"> </w:t>
            </w:r>
            <w:r w:rsidRPr="00876554">
              <w:rPr>
                <w:rFonts w:ascii="Verdana" w:eastAsia="Calibri" w:hAnsi="Verdana" w:cs="Arial"/>
                <w:lang w:val="es-ES_tradnl" w:eastAsia="es-ES_tradnl"/>
              </w:rPr>
              <w:t xml:space="preserve">No. </w:t>
            </w:r>
            <w:r w:rsidR="00D03CA6" w:rsidRPr="00981D0C">
              <w:rPr>
                <w:rFonts w:ascii="Verdana" w:eastAsia="Calibri" w:hAnsi="Verdana" w:cs="Arial"/>
                <w:lang w:eastAsia="es-ES_tradnl"/>
              </w:rPr>
              <w:t>1-2025-06-05-005498</w:t>
            </w:r>
            <w:r w:rsidR="000C6AD9">
              <w:rPr>
                <w:rFonts w:ascii="Verdana" w:eastAsia="Calibri" w:hAnsi="Verdana" w:cs="Arial"/>
                <w:lang w:eastAsia="es-ES_tradnl"/>
              </w:rPr>
              <w:t xml:space="preserve">, </w:t>
            </w:r>
            <w:r w:rsidR="000C6AD9" w:rsidRPr="000C6AD9">
              <w:rPr>
                <w:rFonts w:ascii="Verdana" w:eastAsia="Calibri" w:hAnsi="Verdana" w:cs="Arial"/>
                <w:lang w:eastAsia="es-ES_tradnl"/>
              </w:rPr>
              <w:t>1-2025-06-06-005549</w:t>
            </w:r>
            <w:r w:rsidR="000C6AD9">
              <w:rPr>
                <w:rFonts w:ascii="Verdana" w:eastAsia="Calibri" w:hAnsi="Verdana" w:cs="Arial"/>
                <w:lang w:eastAsia="es-ES_tradnl"/>
              </w:rPr>
              <w:t xml:space="preserve">, </w:t>
            </w:r>
            <w:r w:rsidR="000C6AD9" w:rsidRPr="000C6AD9">
              <w:rPr>
                <w:rFonts w:ascii="Verdana" w:eastAsia="Calibri" w:hAnsi="Verdana" w:cs="Arial"/>
                <w:lang w:eastAsia="es-ES_tradnl"/>
              </w:rPr>
              <w:t>1_2025_06_27_006445</w:t>
            </w:r>
            <w:r w:rsidR="000C6AD9">
              <w:rPr>
                <w:rFonts w:ascii="Verdana" w:eastAsia="Calibri" w:hAnsi="Verdana" w:cs="Arial"/>
                <w:lang w:eastAsia="es-ES_tradnl"/>
              </w:rPr>
              <w:t xml:space="preserve"> (Acumuladas).</w:t>
            </w:r>
          </w:p>
          <w:p w14:paraId="1918E860" w14:textId="2166BD4A" w:rsidR="000C6AD9" w:rsidRPr="000C6AD9" w:rsidRDefault="000C6AD9" w:rsidP="000C6AD9">
            <w:pPr>
              <w:jc w:val="both"/>
              <w:rPr>
                <w:rFonts w:ascii="Verdana" w:eastAsia="Calibri" w:hAnsi="Verdana" w:cs="Arial"/>
                <w:lang w:eastAsia="es-ES_tradnl"/>
              </w:rPr>
            </w:pPr>
          </w:p>
          <w:p w14:paraId="630D2668" w14:textId="6B977547" w:rsidR="00871B59" w:rsidRPr="00876554" w:rsidRDefault="00871B59" w:rsidP="002607A7">
            <w:pPr>
              <w:jc w:val="both"/>
              <w:rPr>
                <w:rFonts w:ascii="Verdana" w:eastAsia="Calibri" w:hAnsi="Verdana" w:cs="Arial"/>
                <w:lang w:val="es-ES_tradnl" w:eastAsia="es-ES_tradnl"/>
              </w:rPr>
            </w:pPr>
          </w:p>
        </w:tc>
      </w:tr>
    </w:tbl>
    <w:p w14:paraId="01AFCA4D" w14:textId="77777777" w:rsidR="00871B59" w:rsidRPr="00876554" w:rsidRDefault="00871B59" w:rsidP="00871B59">
      <w:pPr>
        <w:spacing w:after="0" w:line="240" w:lineRule="auto"/>
        <w:jc w:val="both"/>
        <w:rPr>
          <w:rFonts w:ascii="Verdana" w:eastAsia="Calibri" w:hAnsi="Verdana" w:cs="Arial"/>
          <w:lang w:val="es-ES_tradnl" w:eastAsia="es-ES_tradnl"/>
        </w:rPr>
      </w:pPr>
    </w:p>
    <w:p w14:paraId="4FF08E37" w14:textId="77777777" w:rsidR="00871B59" w:rsidRPr="00876554" w:rsidRDefault="00871B59" w:rsidP="00871B59">
      <w:pPr>
        <w:spacing w:after="0" w:line="240" w:lineRule="auto"/>
        <w:jc w:val="both"/>
        <w:rPr>
          <w:rFonts w:ascii="Verdana" w:eastAsia="Calibri" w:hAnsi="Verdana" w:cs="Arial"/>
          <w:lang w:val="es-ES_tradnl" w:eastAsia="es-ES_tradnl"/>
        </w:rPr>
      </w:pPr>
    </w:p>
    <w:p w14:paraId="5A8CAE32" w14:textId="572FA349" w:rsidR="00871B59" w:rsidRPr="00876554" w:rsidRDefault="00871B59" w:rsidP="00871B59">
      <w:pPr>
        <w:spacing w:after="0" w:line="276" w:lineRule="auto"/>
        <w:jc w:val="both"/>
        <w:rPr>
          <w:rFonts w:ascii="Verdana" w:eastAsia="Calibri" w:hAnsi="Verdana" w:cs="Arial"/>
          <w:lang w:val="es-ES" w:eastAsia="es-ES"/>
        </w:rPr>
      </w:pPr>
      <w:r w:rsidRPr="00876554">
        <w:rPr>
          <w:rFonts w:ascii="Verdana" w:eastAsia="Calibri" w:hAnsi="Verdana" w:cs="Arial"/>
          <w:lang w:val="es-ES" w:eastAsia="es-ES"/>
        </w:rPr>
        <w:t>Estimado señor</w:t>
      </w:r>
      <w:r w:rsidR="00D03CA6">
        <w:rPr>
          <w:rFonts w:ascii="Verdana" w:eastAsia="Calibri" w:hAnsi="Verdana" w:cs="Arial"/>
          <w:lang w:val="es-ES" w:eastAsia="es-ES"/>
        </w:rPr>
        <w:t>a</w:t>
      </w:r>
      <w:r w:rsidRPr="00876554">
        <w:rPr>
          <w:rFonts w:ascii="Verdana" w:eastAsia="Calibri" w:hAnsi="Verdana" w:cs="Arial"/>
          <w:lang w:val="es-ES" w:eastAsia="es-ES"/>
        </w:rPr>
        <w:t xml:space="preserve"> </w:t>
      </w:r>
      <w:r w:rsidR="00D03CA6">
        <w:rPr>
          <w:rFonts w:ascii="Verdana" w:eastAsia="Calibri" w:hAnsi="Verdana" w:cs="Arial"/>
          <w:lang w:val="es-ES" w:eastAsia="es-ES"/>
        </w:rPr>
        <w:t>Katia</w:t>
      </w:r>
      <w:r w:rsidRPr="00876554">
        <w:rPr>
          <w:rFonts w:ascii="Verdana" w:eastAsia="Calibri" w:hAnsi="Verdana" w:cs="Arial"/>
          <w:lang w:val="es-ES" w:eastAsia="es-ES"/>
        </w:rPr>
        <w:t xml:space="preserve">: </w:t>
      </w:r>
    </w:p>
    <w:p w14:paraId="62039951" w14:textId="77777777" w:rsidR="00871B59" w:rsidRPr="00876554" w:rsidRDefault="00871B59" w:rsidP="00871B59">
      <w:pPr>
        <w:tabs>
          <w:tab w:val="left" w:pos="3768"/>
        </w:tabs>
        <w:spacing w:after="0" w:line="276" w:lineRule="auto"/>
        <w:jc w:val="both"/>
        <w:rPr>
          <w:rFonts w:ascii="Verdana" w:eastAsia="Calibri" w:hAnsi="Verdana" w:cs="Arial"/>
          <w:lang w:val="es-ES" w:eastAsia="es-ES"/>
        </w:rPr>
      </w:pPr>
      <w:r w:rsidRPr="00876554">
        <w:rPr>
          <w:rFonts w:ascii="Verdana" w:eastAsia="Calibri" w:hAnsi="Verdana" w:cs="Arial"/>
          <w:lang w:val="es-ES" w:eastAsia="es-ES"/>
        </w:rPr>
        <w:tab/>
      </w:r>
    </w:p>
    <w:p w14:paraId="3F1D9A82" w14:textId="0AF56E4B" w:rsidR="00871B59" w:rsidRPr="00876554" w:rsidRDefault="00871B59" w:rsidP="00871B59">
      <w:pPr>
        <w:spacing w:after="0" w:line="276" w:lineRule="auto"/>
        <w:jc w:val="both"/>
        <w:rPr>
          <w:rFonts w:ascii="Verdana" w:eastAsia="Calibri" w:hAnsi="Verdana" w:cs="Arial"/>
          <w:lang w:val="es-ES" w:eastAsia="es-ES"/>
        </w:rPr>
      </w:pPr>
      <w:r w:rsidRPr="00876554">
        <w:rPr>
          <w:rFonts w:ascii="Verdana" w:eastAsia="Calibri" w:hAnsi="Verdana" w:cs="Arial"/>
          <w:lang w:val="es-ES" w:eastAsia="es-ES"/>
        </w:rPr>
        <w:t>En ejercicio de la competencia otorgada por los artículos 3, numeral 5º, y 11, numeral 8º, del Decreto Ley 4170 de 2011,</w:t>
      </w:r>
      <w:r w:rsidRPr="00876554">
        <w:rPr>
          <w:rFonts w:ascii="Verdana" w:eastAsia="Arial MT" w:hAnsi="Verdana" w:cs="Arial MT"/>
          <w:lang w:val="es-ES" w:eastAsia="es-ES"/>
        </w:rPr>
        <w:t xml:space="preserve"> </w:t>
      </w:r>
      <w:r w:rsidRPr="00876554">
        <w:rPr>
          <w:rFonts w:ascii="Verdana" w:hAnsi="Verdana" w:cs="Arial"/>
        </w:rPr>
        <w:t xml:space="preserve">así como lo establecido en el artículo 4 de la Resolución 1707 de 2018 expedida por esta Entidad, </w:t>
      </w:r>
      <w:r w:rsidRPr="00876554">
        <w:rPr>
          <w:rFonts w:ascii="Verdana" w:eastAsia="Calibri" w:hAnsi="Verdana" w:cs="Arial"/>
          <w:lang w:val="es-ES" w:eastAsia="es-ES"/>
        </w:rPr>
        <w:t>la Agencia Nacional de Contratación Pública – Colombia Compra Eficiente– responde su solicitud de consulta</w:t>
      </w:r>
      <w:r w:rsidR="00117AF0">
        <w:rPr>
          <w:rFonts w:ascii="Verdana" w:eastAsia="Calibri" w:hAnsi="Verdana" w:cs="Arial"/>
          <w:lang w:val="es-ES" w:eastAsia="es-ES"/>
        </w:rPr>
        <w:t xml:space="preserve"> la cual fue remitida por competencia a esta agencia el </w:t>
      </w:r>
      <w:r w:rsidR="00D03CA6">
        <w:rPr>
          <w:rFonts w:ascii="Verdana" w:eastAsia="Calibri" w:hAnsi="Verdana" w:cs="Arial"/>
          <w:lang w:val="es-ES" w:eastAsia="es-ES"/>
        </w:rPr>
        <w:t>5</w:t>
      </w:r>
      <w:r w:rsidR="00117AF0">
        <w:rPr>
          <w:rFonts w:ascii="Verdana" w:eastAsia="Calibri" w:hAnsi="Verdana" w:cs="Arial"/>
          <w:lang w:val="es-ES" w:eastAsia="es-ES"/>
        </w:rPr>
        <w:t xml:space="preserve"> de </w:t>
      </w:r>
      <w:r w:rsidR="00D03CA6">
        <w:rPr>
          <w:rFonts w:ascii="Verdana" w:eastAsia="Calibri" w:hAnsi="Verdana" w:cs="Arial"/>
          <w:lang w:val="es-ES" w:eastAsia="es-ES"/>
        </w:rPr>
        <w:t>junio</w:t>
      </w:r>
      <w:r w:rsidR="00117AF0">
        <w:rPr>
          <w:rFonts w:ascii="Verdana" w:eastAsia="Calibri" w:hAnsi="Verdana" w:cs="Arial"/>
          <w:lang w:val="es-ES" w:eastAsia="es-ES"/>
        </w:rPr>
        <w:t xml:space="preserve"> de 2025</w:t>
      </w:r>
      <w:r w:rsidRPr="00876554">
        <w:rPr>
          <w:rFonts w:ascii="Verdana" w:eastAsia="Calibri" w:hAnsi="Verdana" w:cs="Arial"/>
          <w:lang w:val="es-ES" w:eastAsia="es-ES"/>
        </w:rPr>
        <w:t xml:space="preserve">, en la cual manifiesta lo siguiente: </w:t>
      </w:r>
    </w:p>
    <w:p w14:paraId="6DBD3E26" w14:textId="77777777" w:rsidR="00871B59" w:rsidRPr="00876554"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1006183E" w14:textId="3CD5C7B0" w:rsidR="00871B59" w:rsidRPr="004F0ED5" w:rsidRDefault="00871B59" w:rsidP="00D03CA6">
      <w:pPr>
        <w:spacing w:after="0" w:line="240" w:lineRule="auto"/>
        <w:ind w:left="709" w:right="709"/>
        <w:jc w:val="both"/>
        <w:rPr>
          <w:rFonts w:ascii="Verdana" w:eastAsia="Century Gothic" w:hAnsi="Verdana" w:cs="Century Gothic"/>
          <w:sz w:val="20"/>
          <w:szCs w:val="20"/>
        </w:rPr>
      </w:pPr>
      <w:bookmarkStart w:id="0" w:name="_Hlk95313578"/>
      <w:r w:rsidRPr="00876554">
        <w:rPr>
          <w:rFonts w:ascii="Verdana" w:eastAsia="Century Gothic" w:hAnsi="Verdana" w:cs="Century Gothic"/>
          <w:sz w:val="20"/>
          <w:szCs w:val="20"/>
          <w:lang w:val="es-ES"/>
        </w:rPr>
        <w:t>“</w:t>
      </w:r>
      <w:r w:rsidR="00D03CA6" w:rsidRPr="00D03CA6">
        <w:rPr>
          <w:rFonts w:ascii="Verdana" w:eastAsia="Century Gothic" w:hAnsi="Verdana" w:cs="Century Gothic"/>
          <w:sz w:val="20"/>
          <w:szCs w:val="20"/>
        </w:rPr>
        <w:t xml:space="preserve">Un exalcalde cuyo periodo fue 2008-2011, para el año 2023 fue vinculado a un proceso de responsabilidad fiscal, ¿existe alguna inhabilidad o puede este celebrar contratos de prestación de servicios con la misma entidad territorial que lo vinculo? Es de resaltar lo siguiente: El contrato que se pretende celebrar no tiene relación con al que le fue vinculado Es de </w:t>
      </w:r>
      <w:r w:rsidR="00D03CA6" w:rsidRPr="00D03CA6">
        <w:rPr>
          <w:rFonts w:ascii="Verdana" w:eastAsia="Century Gothic" w:hAnsi="Verdana" w:cs="Century Gothic"/>
          <w:sz w:val="20"/>
          <w:szCs w:val="20"/>
        </w:rPr>
        <w:lastRenderedPageBreak/>
        <w:t>resaltar que no existe un fallo ejecutoriado que lo declare responsable fiscalmente</w:t>
      </w:r>
      <w:r w:rsidR="00D03CA6" w:rsidRPr="00D03CA6">
        <w:rPr>
          <w:rFonts w:ascii="Verdana" w:eastAsia="Century Gothic" w:hAnsi="Verdana" w:cs="Century Gothic"/>
          <w:sz w:val="20"/>
          <w:szCs w:val="20"/>
          <w:lang w:val="es-ES"/>
        </w:rPr>
        <w:t xml:space="preserve"> </w:t>
      </w:r>
      <w:r w:rsidRPr="00876554">
        <w:rPr>
          <w:rStyle w:val="normaltextrun"/>
          <w:rFonts w:ascii="Verdana" w:hAnsi="Verdana" w:cs="Arial"/>
          <w:sz w:val="20"/>
          <w:szCs w:val="20"/>
          <w:shd w:val="clear" w:color="auto" w:fill="FFFFFF"/>
          <w:lang w:val="es-ES"/>
        </w:rPr>
        <w:t>[…]</w:t>
      </w:r>
      <w:r w:rsidRPr="00876554">
        <w:rPr>
          <w:rFonts w:ascii="Verdana" w:eastAsia="Century Gothic" w:hAnsi="Verdana" w:cs="Century Gothic"/>
          <w:sz w:val="20"/>
          <w:szCs w:val="20"/>
          <w:lang w:val="es-ES"/>
        </w:rPr>
        <w:t>”</w:t>
      </w:r>
      <w:bookmarkEnd w:id="0"/>
      <w:r w:rsidRPr="00876554">
        <w:rPr>
          <w:rFonts w:ascii="Verdana" w:eastAsia="Century Gothic" w:hAnsi="Verdana" w:cs="Century Gothic"/>
          <w:sz w:val="20"/>
          <w:szCs w:val="20"/>
          <w:lang w:val="es-ES"/>
        </w:rPr>
        <w:t>.</w:t>
      </w:r>
    </w:p>
    <w:p w14:paraId="54DCAD4E" w14:textId="77777777" w:rsidR="00871B59" w:rsidRPr="00876554"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30F17EAD" w14:textId="77777777" w:rsidR="00871B59" w:rsidRPr="00876554" w:rsidRDefault="00871B59" w:rsidP="00871B59">
      <w:pPr>
        <w:spacing w:after="120" w:line="276" w:lineRule="auto"/>
        <w:ind w:firstLine="709"/>
        <w:jc w:val="both"/>
        <w:rPr>
          <w:rFonts w:ascii="Verdana" w:eastAsia="Calibri" w:hAnsi="Verdana" w:cs="Arial"/>
          <w:szCs w:val="24"/>
          <w:lang w:val="es-ES_tradnl" w:eastAsia="es-ES_tradnl"/>
        </w:rPr>
      </w:pPr>
      <w:r w:rsidRPr="0087655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76554">
        <w:rPr>
          <w:rFonts w:ascii="Verdana" w:eastAsia="Calibri" w:hAnsi="Verdana" w:cs="Arial"/>
          <w:szCs w:val="24"/>
          <w:lang w:val="es-ES_tradnl" w:eastAsia="es-ES_tradnl"/>
        </w:rPr>
        <w:tab/>
      </w:r>
    </w:p>
    <w:p w14:paraId="3B95778F" w14:textId="08ECD403" w:rsidR="00871B59" w:rsidRPr="00876554" w:rsidRDefault="00871B59" w:rsidP="00871B59">
      <w:pPr>
        <w:spacing w:after="0" w:line="276" w:lineRule="auto"/>
        <w:ind w:firstLine="709"/>
        <w:jc w:val="both"/>
        <w:rPr>
          <w:rFonts w:ascii="Verdana" w:eastAsia="Calibri" w:hAnsi="Verdana" w:cs="Arial"/>
          <w:lang w:val="es-ES" w:eastAsia="es-ES"/>
        </w:rPr>
      </w:pPr>
      <w:r w:rsidRPr="0087655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0187214" w14:textId="77777777" w:rsidR="00871B59" w:rsidRPr="00876554" w:rsidRDefault="00871B59" w:rsidP="00871B59">
      <w:pPr>
        <w:spacing w:after="0" w:line="276" w:lineRule="auto"/>
        <w:ind w:firstLine="709"/>
        <w:jc w:val="both"/>
        <w:rPr>
          <w:rFonts w:ascii="Verdana" w:eastAsia="Calibri" w:hAnsi="Verdana" w:cs="Arial"/>
          <w:lang w:val="es-ES" w:eastAsia="es-ES"/>
        </w:rPr>
      </w:pPr>
    </w:p>
    <w:p w14:paraId="74DD4DE4" w14:textId="77777777" w:rsidR="00871B59" w:rsidRPr="00876554"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876554">
        <w:rPr>
          <w:rFonts w:ascii="Verdana" w:eastAsia="Century Gothic" w:hAnsi="Verdana" w:cs="Century Gothic"/>
          <w:b/>
          <w:bCs/>
          <w:lang w:val="es-ES"/>
        </w:rPr>
        <w:t>Problema planteado:</w:t>
      </w:r>
    </w:p>
    <w:p w14:paraId="690221EE" w14:textId="77777777" w:rsidR="00871B59" w:rsidRPr="00876554" w:rsidRDefault="00871B59" w:rsidP="00871B59">
      <w:pPr>
        <w:tabs>
          <w:tab w:val="left" w:pos="426"/>
        </w:tabs>
        <w:spacing w:after="0" w:line="276" w:lineRule="auto"/>
        <w:jc w:val="both"/>
        <w:rPr>
          <w:rFonts w:ascii="Verdana" w:eastAsia="Century Gothic" w:hAnsi="Verdana" w:cs="Century Gothic"/>
          <w:lang w:val="es-ES"/>
        </w:rPr>
      </w:pPr>
    </w:p>
    <w:p w14:paraId="11DC9C47" w14:textId="388500EE" w:rsidR="00871B59" w:rsidRDefault="00871B59" w:rsidP="00871B59">
      <w:pPr>
        <w:spacing w:after="0" w:line="276" w:lineRule="auto"/>
        <w:jc w:val="both"/>
        <w:rPr>
          <w:rFonts w:ascii="Verdana" w:eastAsia="Century Gothic" w:hAnsi="Verdana" w:cs="Century Gothic"/>
        </w:rPr>
      </w:pPr>
      <w:r w:rsidRPr="00876554">
        <w:rPr>
          <w:rFonts w:ascii="Verdana" w:eastAsia="Century Gothic" w:hAnsi="Verdana" w:cs="Century Gothic"/>
        </w:rPr>
        <w:t xml:space="preserve">De acuerdo con el contenido de su solicitud, esta Agencia resolverá el siguiente problema jurídico: </w:t>
      </w:r>
      <w:r w:rsidR="000A3E5E" w:rsidRPr="000A3E5E">
        <w:rPr>
          <w:rFonts w:ascii="Verdana" w:eastAsia="Century Gothic" w:hAnsi="Verdana" w:cs="Century Gothic"/>
        </w:rPr>
        <w:t xml:space="preserve">¿Existe inhabilidad para que un exalcalde </w:t>
      </w:r>
      <w:r w:rsidR="000A3E5E">
        <w:rPr>
          <w:rFonts w:ascii="Verdana" w:eastAsia="Century Gothic" w:hAnsi="Verdana" w:cs="Century Gothic"/>
        </w:rPr>
        <w:t xml:space="preserve">suscriba </w:t>
      </w:r>
      <w:r w:rsidR="000A3E5E" w:rsidRPr="000A3E5E">
        <w:rPr>
          <w:rFonts w:ascii="Verdana" w:eastAsia="Century Gothic" w:hAnsi="Verdana" w:cs="Century Gothic"/>
        </w:rPr>
        <w:t>un contrato de prestación de servicios con la misma entidad territorial en la que ejerció el cargo?</w:t>
      </w:r>
    </w:p>
    <w:p w14:paraId="79501618" w14:textId="77777777" w:rsidR="000A3E5E" w:rsidRDefault="000A3E5E" w:rsidP="00871B59">
      <w:pPr>
        <w:spacing w:after="0" w:line="276" w:lineRule="auto"/>
        <w:jc w:val="both"/>
        <w:rPr>
          <w:rFonts w:ascii="Verdana" w:eastAsia="Century Gothic" w:hAnsi="Verdana" w:cs="Century Gothic"/>
        </w:rPr>
      </w:pPr>
    </w:p>
    <w:p w14:paraId="3042D4EE" w14:textId="77777777" w:rsidR="000A3E5E" w:rsidRDefault="000A3E5E" w:rsidP="00871B59">
      <w:pPr>
        <w:spacing w:after="0" w:line="276" w:lineRule="auto"/>
        <w:jc w:val="both"/>
        <w:rPr>
          <w:rFonts w:ascii="Verdana" w:eastAsia="Century Gothic" w:hAnsi="Verdana" w:cs="Century Gothic"/>
        </w:rPr>
      </w:pPr>
    </w:p>
    <w:p w14:paraId="13478670" w14:textId="77777777" w:rsidR="000A3E5E" w:rsidRPr="00876554" w:rsidRDefault="000A3E5E" w:rsidP="00871B59">
      <w:pPr>
        <w:spacing w:after="0" w:line="276" w:lineRule="auto"/>
        <w:jc w:val="both"/>
        <w:rPr>
          <w:rFonts w:ascii="Verdana" w:eastAsia="Century Gothic" w:hAnsi="Verdana" w:cs="Century Gothic"/>
        </w:rPr>
      </w:pPr>
    </w:p>
    <w:p w14:paraId="57640A16" w14:textId="77777777" w:rsidR="00871B59" w:rsidRDefault="00871B59" w:rsidP="00871B59">
      <w:pPr>
        <w:spacing w:after="0" w:line="276" w:lineRule="auto"/>
        <w:jc w:val="both"/>
        <w:rPr>
          <w:rFonts w:ascii="Verdana" w:eastAsia="Calibri" w:hAnsi="Verdana" w:cs="Arial"/>
          <w:lang w:val="es-ES"/>
        </w:rPr>
      </w:pPr>
    </w:p>
    <w:p w14:paraId="4BA0C567" w14:textId="77777777" w:rsidR="001429F0" w:rsidRPr="00876554" w:rsidRDefault="001429F0" w:rsidP="00871B59">
      <w:pPr>
        <w:spacing w:after="0" w:line="276" w:lineRule="auto"/>
        <w:jc w:val="both"/>
        <w:rPr>
          <w:rFonts w:ascii="Verdana" w:eastAsia="Calibri" w:hAnsi="Verdana" w:cs="Arial"/>
          <w:lang w:val="es-ES"/>
        </w:rPr>
      </w:pPr>
    </w:p>
    <w:p w14:paraId="33E3D3F8" w14:textId="77777777" w:rsidR="00871B59" w:rsidRPr="00876554"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876554">
        <w:rPr>
          <w:rFonts w:ascii="Verdana" w:eastAsia="Century Gothic" w:hAnsi="Verdana" w:cs="Century Gothic"/>
          <w:b/>
          <w:bCs/>
          <w:lang w:val="es-ES"/>
        </w:rPr>
        <w:t>Respuesta:</w:t>
      </w:r>
    </w:p>
    <w:p w14:paraId="4647B31A" w14:textId="77777777" w:rsidR="00871B59" w:rsidRPr="00876554"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6554" w:rsidRPr="00876554" w14:paraId="14984B9D" w14:textId="77777777" w:rsidTr="002607A7">
        <w:tc>
          <w:tcPr>
            <w:tcW w:w="8828" w:type="dxa"/>
            <w:shd w:val="clear" w:color="auto" w:fill="auto"/>
          </w:tcPr>
          <w:p w14:paraId="129038CF" w14:textId="72B1AC7D" w:rsidR="00581302" w:rsidRDefault="00365D6B" w:rsidP="00D5750D">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          </w:t>
            </w:r>
            <w:r w:rsidR="00A64CF6" w:rsidRPr="008B1081">
              <w:rPr>
                <w:rFonts w:ascii="Verdana" w:eastAsia="Arial MT" w:hAnsi="Verdana" w:cs="Arial"/>
                <w:lang w:eastAsia="es-ES" w:bidi="es-ES"/>
              </w:rPr>
              <w:t>En el ordenamiento jurídico colombiano, las inhabilidades e incompatibilidades para contratar con el Estado o ejercer cargos públicos están reguladas de manera taxativa y restrictiva, lo que significa que solo pueden aplicarse en los casos expresamente previstos por la ley</w:t>
            </w:r>
            <w:r w:rsidR="007A1E92">
              <w:rPr>
                <w:rFonts w:ascii="Verdana" w:eastAsia="Arial MT" w:hAnsi="Verdana" w:cs="Arial"/>
                <w:lang w:eastAsia="es-ES" w:bidi="es-ES"/>
              </w:rPr>
              <w:t>, por lo que atendiendo a dicha taxatividad</w:t>
            </w:r>
            <w:r>
              <w:rPr>
                <w:rFonts w:ascii="Verdana" w:eastAsia="Arial MT" w:hAnsi="Verdana" w:cs="Arial"/>
                <w:lang w:eastAsia="es-ES" w:bidi="es-ES"/>
              </w:rPr>
              <w:t xml:space="preserve"> y respecto del caso planteado,</w:t>
            </w:r>
            <w:r w:rsidR="007A1E92">
              <w:rPr>
                <w:rFonts w:ascii="Verdana" w:eastAsia="Arial MT" w:hAnsi="Verdana" w:cs="Arial"/>
                <w:lang w:eastAsia="es-ES" w:bidi="es-ES"/>
              </w:rPr>
              <w:t xml:space="preserve"> </w:t>
            </w:r>
            <w:r w:rsidR="00581302" w:rsidRPr="00581302">
              <w:rPr>
                <w:rFonts w:ascii="Verdana" w:eastAsia="Arial MT" w:hAnsi="Verdana" w:cs="Arial"/>
                <w:lang w:eastAsia="es-ES" w:bidi="es-ES"/>
              </w:rPr>
              <w:t>no puede predicarse una inhabilidad frente al exalcalde para la celebración de contratos de prestación de servicios por el hecho de estar vinculado a un proceso fiscal en curso, ya que dicha inhabilidad no se encuentra expresamente establecida en la Ley</w:t>
            </w:r>
            <w:r>
              <w:rPr>
                <w:rFonts w:ascii="Verdana" w:eastAsia="Arial MT" w:hAnsi="Verdana" w:cs="Arial"/>
                <w:lang w:eastAsia="es-ES" w:bidi="es-ES"/>
              </w:rPr>
              <w:t>.</w:t>
            </w:r>
          </w:p>
          <w:p w14:paraId="218F50AF" w14:textId="560E0F44" w:rsidR="007A1E92" w:rsidRPr="007A1E92" w:rsidRDefault="007A1E92" w:rsidP="007A1E92">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Ahora bien,</w:t>
            </w:r>
            <w:r w:rsidR="00365D6B">
              <w:rPr>
                <w:rFonts w:ascii="Verdana" w:eastAsia="Arial MT" w:hAnsi="Verdana" w:cs="Arial"/>
                <w:lang w:eastAsia="es-ES" w:bidi="es-ES"/>
              </w:rPr>
              <w:t xml:space="preserve"> en el</w:t>
            </w:r>
            <w:r w:rsidRPr="007A1E92">
              <w:rPr>
                <w:rFonts w:ascii="Verdana" w:eastAsia="Arial MT" w:hAnsi="Verdana" w:cs="Arial"/>
                <w:lang w:eastAsia="es-ES" w:bidi="es-ES"/>
              </w:rPr>
              <w:t xml:space="preserve"> artículo 56 de la Ley 1952 de 2019, conocida como el Código General Disciplinario, se establece que los exservidores públicos están sujetos a ciertas incompatibilidades e inhabilidades para prestar servicios de asistencia, representación o asesoría en asuntos relacionados con las funciones propias del cargo que desempeñaron. Estas restricciones tienen dos alcances específicos:</w:t>
            </w:r>
          </w:p>
          <w:p w14:paraId="7790A590" w14:textId="0D206ECC" w:rsidR="007A1E92" w:rsidRPr="007A1E92" w:rsidRDefault="007A1E92" w:rsidP="007A1E92">
            <w:pPr>
              <w:widowControl w:val="0"/>
              <w:autoSpaceDE w:val="0"/>
              <w:autoSpaceDN w:val="0"/>
              <w:spacing w:after="120" w:line="276" w:lineRule="auto"/>
              <w:jc w:val="both"/>
              <w:rPr>
                <w:rFonts w:ascii="Verdana" w:eastAsia="Arial MT" w:hAnsi="Verdana" w:cs="Arial"/>
                <w:lang w:eastAsia="es-ES" w:bidi="es-ES"/>
              </w:rPr>
            </w:pPr>
            <w:r w:rsidRPr="007A1E92">
              <w:rPr>
                <w:rFonts w:ascii="Verdana" w:eastAsia="Arial MT" w:hAnsi="Verdana" w:cs="Arial"/>
                <w:lang w:eastAsia="es-ES" w:bidi="es-ES"/>
              </w:rPr>
              <w:t>1. Inhabilidad temporal de un año</w:t>
            </w:r>
            <w:r>
              <w:rPr>
                <w:rFonts w:ascii="Verdana" w:eastAsia="Arial MT" w:hAnsi="Verdana" w:cs="Arial"/>
                <w:lang w:eastAsia="es-ES" w:bidi="es-ES"/>
              </w:rPr>
              <w:t>:</w:t>
            </w:r>
          </w:p>
          <w:p w14:paraId="032C708A" w14:textId="7FE57D01" w:rsidR="007A1E92" w:rsidRDefault="007A1E92" w:rsidP="007A1E92">
            <w:pPr>
              <w:widowControl w:val="0"/>
              <w:autoSpaceDE w:val="0"/>
              <w:autoSpaceDN w:val="0"/>
              <w:spacing w:after="120" w:line="276" w:lineRule="auto"/>
              <w:jc w:val="both"/>
              <w:rPr>
                <w:rFonts w:ascii="Verdana" w:eastAsia="Arial MT" w:hAnsi="Verdana" w:cs="Arial"/>
                <w:lang w:eastAsia="es-ES" w:bidi="es-ES"/>
              </w:rPr>
            </w:pPr>
            <w:r w:rsidRPr="007A1E92">
              <w:rPr>
                <w:rFonts w:ascii="Verdana" w:eastAsia="Arial MT" w:hAnsi="Verdana" w:cs="Arial"/>
                <w:lang w:eastAsia="es-ES" w:bidi="es-ES"/>
              </w:rPr>
              <w:t>El artículo 56 dispone que los exservidores públicos no podrán prestar servicios de asistencia, representación o asesoría, a título personal o por interpuesta persona, hasta por el término de un (1) año después de la dejación del cargo, con respecto al organismo, entidad o corporación en la cual prestaron sus servicios. Esta restricción aplica para evitar conflictos de intereses relacionados con las funciones desempeñadas en el cargo</w:t>
            </w:r>
            <w:r w:rsidR="00365D6B">
              <w:rPr>
                <w:rFonts w:ascii="Verdana" w:eastAsia="Arial MT" w:hAnsi="Verdana" w:cs="Arial"/>
                <w:lang w:eastAsia="es-ES" w:bidi="es-ES"/>
              </w:rPr>
              <w:t>.</w:t>
            </w:r>
          </w:p>
          <w:p w14:paraId="6051001E" w14:textId="77777777" w:rsidR="007A1E92" w:rsidRPr="007A1E92" w:rsidRDefault="007A1E92" w:rsidP="007A1E92">
            <w:pPr>
              <w:widowControl w:val="0"/>
              <w:autoSpaceDE w:val="0"/>
              <w:autoSpaceDN w:val="0"/>
              <w:spacing w:after="120" w:line="276" w:lineRule="auto"/>
              <w:jc w:val="both"/>
              <w:rPr>
                <w:rFonts w:ascii="Verdana" w:eastAsia="Arial MT" w:hAnsi="Verdana" w:cs="Arial"/>
                <w:lang w:eastAsia="es-ES" w:bidi="es-ES"/>
              </w:rPr>
            </w:pPr>
            <w:r w:rsidRPr="007A1E92">
              <w:rPr>
                <w:rFonts w:ascii="Verdana" w:eastAsia="Arial MT" w:hAnsi="Verdana" w:cs="Arial"/>
                <w:lang w:eastAsia="es-ES" w:bidi="es-ES"/>
              </w:rPr>
              <w:t>2. Incompatibilidad indefinida por asuntos concretos</w:t>
            </w:r>
          </w:p>
          <w:p w14:paraId="24E5D888" w14:textId="77777777" w:rsidR="007A1E92" w:rsidRDefault="007A1E92" w:rsidP="00D5750D">
            <w:pPr>
              <w:widowControl w:val="0"/>
              <w:autoSpaceDE w:val="0"/>
              <w:autoSpaceDN w:val="0"/>
              <w:spacing w:after="120" w:line="276" w:lineRule="auto"/>
              <w:jc w:val="both"/>
              <w:rPr>
                <w:rFonts w:ascii="Verdana" w:eastAsia="Arial MT" w:hAnsi="Verdana" w:cs="Arial"/>
                <w:lang w:eastAsia="es-ES" w:bidi="es-ES"/>
              </w:rPr>
            </w:pPr>
            <w:r w:rsidRPr="007A1E92">
              <w:rPr>
                <w:rFonts w:ascii="Verdana" w:eastAsia="Arial MT" w:hAnsi="Verdana" w:cs="Arial"/>
                <w:lang w:eastAsia="es-ES" w:bidi="es-ES"/>
              </w:rPr>
              <w:t xml:space="preserve">La norma también establece que esta incompatibilidad </w:t>
            </w:r>
            <w:r w:rsidRPr="007A1E92">
              <w:rPr>
                <w:rFonts w:ascii="Verdana" w:eastAsia="Arial MT" w:hAnsi="Verdana" w:cs="Arial"/>
                <w:u w:val="single"/>
                <w:lang w:eastAsia="es-ES" w:bidi="es-ES"/>
              </w:rPr>
              <w:t>será indefinida en el tiempo</w:t>
            </w:r>
            <w:r w:rsidRPr="007A1E92">
              <w:rPr>
                <w:rFonts w:ascii="Verdana" w:eastAsia="Arial MT" w:hAnsi="Verdana" w:cs="Arial"/>
                <w:lang w:eastAsia="es-ES" w:bidi="es-ES"/>
              </w:rPr>
              <w:t xml:space="preserve"> respecto de los asuntos concretos de los cuales el servidor público tuvo conocimiento en ejercicio de sus funciones. Se entiende por asuntos concretos aquellos de carácter particular y específico que fueron objeto de decisión durante el ejercicio de sus funciones y que involucran sujetos claramente determinados</w:t>
            </w:r>
            <w:r>
              <w:rPr>
                <w:rFonts w:ascii="Verdana" w:eastAsia="Arial MT" w:hAnsi="Verdana" w:cs="Arial"/>
                <w:lang w:eastAsia="es-ES" w:bidi="es-ES"/>
              </w:rPr>
              <w:t>.</w:t>
            </w:r>
          </w:p>
          <w:p w14:paraId="0BE219DD" w14:textId="7CA903B7" w:rsidR="007A1E92" w:rsidRDefault="007A1E92" w:rsidP="00D5750D">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Por lo indicado, se concluye que, e</w:t>
            </w:r>
            <w:r w:rsidRPr="007A1E92">
              <w:rPr>
                <w:rFonts w:ascii="Verdana" w:eastAsia="Arial MT" w:hAnsi="Verdana" w:cs="Arial"/>
                <w:lang w:eastAsia="es-ES" w:bidi="es-ES"/>
              </w:rPr>
              <w:t xml:space="preserve">n el caso expuesto, el exalcalde no podrá prestar servicios en temas que involucren asuntos concretos que fueron objeto </w:t>
            </w:r>
            <w:r w:rsidRPr="007A1E92">
              <w:rPr>
                <w:rFonts w:ascii="Verdana" w:eastAsia="Arial MT" w:hAnsi="Verdana" w:cs="Arial"/>
                <w:lang w:eastAsia="es-ES" w:bidi="es-ES"/>
              </w:rPr>
              <w:lastRenderedPageBreak/>
              <w:t>de decisión durante su ejercicio como servidor público, incluyendo aquellos relacionados con el proceso de investigación fiscal u otros asuntos específicos que haya conocido</w:t>
            </w:r>
            <w:r w:rsidR="001429F0">
              <w:rPr>
                <w:rFonts w:ascii="Verdana" w:eastAsia="Arial MT" w:hAnsi="Verdana" w:cs="Arial"/>
                <w:lang w:eastAsia="es-ES" w:bidi="es-ES"/>
              </w:rPr>
              <w:t>.</w:t>
            </w:r>
          </w:p>
          <w:p w14:paraId="47AEB666" w14:textId="1A1A43D5" w:rsidR="00871B59" w:rsidRPr="007A1E92" w:rsidRDefault="00A64CF6" w:rsidP="00D5750D">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Así, será necesario evaluar </w:t>
            </w:r>
            <w:r w:rsidR="001429F0">
              <w:rPr>
                <w:rFonts w:ascii="Verdana" w:eastAsia="Arial MT" w:hAnsi="Verdana" w:cs="Arial"/>
                <w:lang w:eastAsia="es-ES" w:bidi="es-ES"/>
              </w:rPr>
              <w:t xml:space="preserve">por parte de la Entidad, </w:t>
            </w:r>
            <w:r w:rsidR="007A1E92">
              <w:rPr>
                <w:rFonts w:ascii="Verdana" w:eastAsia="Arial MT" w:hAnsi="Verdana" w:cs="Arial"/>
                <w:lang w:eastAsia="es-ES" w:bidi="es-ES"/>
              </w:rPr>
              <w:t xml:space="preserve">el objeto </w:t>
            </w:r>
            <w:r w:rsidR="001429F0">
              <w:rPr>
                <w:rFonts w:ascii="Verdana" w:eastAsia="Arial MT" w:hAnsi="Verdana" w:cs="Arial"/>
                <w:lang w:eastAsia="es-ES" w:bidi="es-ES"/>
              </w:rPr>
              <w:t xml:space="preserve">y obligaciones </w:t>
            </w:r>
            <w:r w:rsidR="007A1E92">
              <w:rPr>
                <w:rFonts w:ascii="Verdana" w:eastAsia="Arial MT" w:hAnsi="Verdana" w:cs="Arial"/>
                <w:lang w:eastAsia="es-ES" w:bidi="es-ES"/>
              </w:rPr>
              <w:t xml:space="preserve">del contrato de prestación de servicios </w:t>
            </w:r>
            <w:r>
              <w:rPr>
                <w:rFonts w:ascii="Verdana" w:eastAsia="Arial MT" w:hAnsi="Verdana" w:cs="Arial"/>
                <w:lang w:eastAsia="es-ES" w:bidi="es-ES"/>
              </w:rPr>
              <w:t>y establecer</w:t>
            </w:r>
            <w:r w:rsidRPr="006A09D6">
              <w:rPr>
                <w:rFonts w:ascii="Verdana" w:eastAsia="Arial MT" w:hAnsi="Verdana" w:cs="Arial"/>
                <w:lang w:eastAsia="es-ES" w:bidi="es-ES"/>
              </w:rPr>
              <w:t xml:space="preserve"> </w:t>
            </w:r>
            <w:r>
              <w:rPr>
                <w:rFonts w:ascii="Verdana" w:eastAsia="Arial MT" w:hAnsi="Verdana" w:cs="Arial"/>
                <w:lang w:eastAsia="es-ES" w:bidi="es-ES"/>
              </w:rPr>
              <w:t xml:space="preserve">si </w:t>
            </w:r>
            <w:r w:rsidRPr="006A09D6">
              <w:rPr>
                <w:rFonts w:ascii="Verdana" w:eastAsia="Arial MT" w:hAnsi="Verdana" w:cs="Arial"/>
                <w:lang w:eastAsia="es-ES" w:bidi="es-ES"/>
              </w:rPr>
              <w:t>se puede configurar alguna de las causales de inhabilidad e incompatibilidad en el contrato estatal</w:t>
            </w:r>
            <w:r w:rsidR="007A1E92">
              <w:rPr>
                <w:rFonts w:ascii="Verdana" w:eastAsia="Arial MT" w:hAnsi="Verdana" w:cs="Arial"/>
                <w:lang w:eastAsia="es-ES" w:bidi="es-ES"/>
              </w:rPr>
              <w:t xml:space="preserve">. </w:t>
            </w:r>
          </w:p>
        </w:tc>
      </w:tr>
    </w:tbl>
    <w:p w14:paraId="3199705F" w14:textId="77777777" w:rsidR="00871B59" w:rsidRPr="00876554"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876554"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876554">
        <w:rPr>
          <w:rFonts w:ascii="Verdana" w:eastAsia="Century Gothic" w:hAnsi="Verdana" w:cs="Century Gothic"/>
          <w:b/>
          <w:bCs/>
          <w:lang w:val="es-ES"/>
        </w:rPr>
        <w:t>Razones de la respuesta:</w:t>
      </w:r>
    </w:p>
    <w:p w14:paraId="40393512" w14:textId="77777777" w:rsidR="00871B59" w:rsidRPr="00876554" w:rsidRDefault="00871B59" w:rsidP="00871B59">
      <w:pPr>
        <w:spacing w:after="0" w:line="276" w:lineRule="auto"/>
        <w:jc w:val="both"/>
        <w:rPr>
          <w:rFonts w:ascii="Verdana" w:eastAsia="Calibri" w:hAnsi="Verdana" w:cs="Arial"/>
          <w:lang w:val="es-ES"/>
        </w:rPr>
      </w:pPr>
    </w:p>
    <w:p w14:paraId="6DB5BA6B" w14:textId="77777777" w:rsidR="00871B59" w:rsidRDefault="00871B59" w:rsidP="00871B59">
      <w:pPr>
        <w:spacing w:after="0" w:line="276" w:lineRule="auto"/>
        <w:jc w:val="both"/>
        <w:rPr>
          <w:rFonts w:ascii="Verdana" w:eastAsia="Calibri" w:hAnsi="Verdana" w:cs="Arial"/>
          <w:lang w:val="es-ES"/>
        </w:rPr>
      </w:pPr>
      <w:r w:rsidRPr="00876554">
        <w:rPr>
          <w:rFonts w:ascii="Verdana" w:eastAsia="Calibri" w:hAnsi="Verdana" w:cs="Arial"/>
          <w:lang w:val="es-ES"/>
        </w:rPr>
        <w:t xml:space="preserve">Lo anterior se sustenta en las siguientes consideraciones: </w:t>
      </w:r>
    </w:p>
    <w:p w14:paraId="4784C713" w14:textId="77777777" w:rsidR="001B3DC7" w:rsidRPr="00876554" w:rsidRDefault="001B3DC7" w:rsidP="00871B59">
      <w:pPr>
        <w:spacing w:after="0" w:line="276" w:lineRule="auto"/>
        <w:jc w:val="both"/>
        <w:rPr>
          <w:rFonts w:ascii="Verdana" w:eastAsia="Calibri" w:hAnsi="Verdana" w:cs="Arial"/>
          <w:lang w:val="es-ES"/>
        </w:rPr>
      </w:pPr>
    </w:p>
    <w:p w14:paraId="18798A12" w14:textId="7E473C09" w:rsidR="007A1E92" w:rsidRPr="00BE021E" w:rsidRDefault="007A1E92" w:rsidP="007A1E92">
      <w:pPr>
        <w:widowControl w:val="0"/>
        <w:autoSpaceDE w:val="0"/>
        <w:autoSpaceDN w:val="0"/>
        <w:spacing w:after="120" w:line="276" w:lineRule="auto"/>
        <w:jc w:val="both"/>
        <w:rPr>
          <w:rFonts w:ascii="Verdana" w:eastAsia="Calibri" w:hAnsi="Verdana" w:cs="Arial"/>
          <w:lang w:val="es-ES"/>
        </w:rPr>
      </w:pPr>
      <w:r>
        <w:rPr>
          <w:rFonts w:ascii="Verdana" w:eastAsia="Calibri" w:hAnsi="Verdana" w:cs="Arial"/>
          <w:lang w:val="es-ES"/>
        </w:rPr>
        <w:t>Teniendo en cuenta que en la contratación estatal la capacidad jurídica es un requisito de validez de los contratos, se destaca el régimen de inhabilidades e incompatibilidades como</w:t>
      </w:r>
      <w:r w:rsidRPr="00BE021E">
        <w:rPr>
          <w:rFonts w:ascii="Verdana" w:eastAsia="Calibri" w:hAnsi="Verdana" w:cs="Arial"/>
          <w:lang w:val="es-ES"/>
        </w:rPr>
        <w:t xml:space="preserve"> un conjunto de normas que impone</w:t>
      </w:r>
      <w:r>
        <w:rPr>
          <w:rFonts w:ascii="Verdana" w:eastAsia="Calibri" w:hAnsi="Verdana" w:cs="Arial"/>
          <w:lang w:val="es-ES"/>
        </w:rPr>
        <w:t>n</w:t>
      </w:r>
      <w:r w:rsidRPr="00BE021E">
        <w:rPr>
          <w:rFonts w:ascii="Verdana" w:eastAsia="Calibri" w:hAnsi="Verdana" w:cs="Arial"/>
          <w:lang w:val="es-ES"/>
        </w:rPr>
        <w:t xml:space="preserve"> restricciones para los sujetos que</w:t>
      </w:r>
      <w:r>
        <w:rPr>
          <w:rFonts w:ascii="Verdana" w:eastAsia="Calibri" w:hAnsi="Verdana" w:cs="Arial"/>
          <w:lang w:val="es-ES"/>
        </w:rPr>
        <w:t>,</w:t>
      </w:r>
      <w:r w:rsidRPr="00BE021E">
        <w:rPr>
          <w:rFonts w:ascii="Verdana" w:eastAsia="Calibri" w:hAnsi="Verdana" w:cs="Arial"/>
          <w:lang w:val="es-ES"/>
        </w:rPr>
        <w:t xml:space="preserve"> eventualmente</w:t>
      </w:r>
      <w:r>
        <w:rPr>
          <w:rFonts w:ascii="Verdana" w:eastAsia="Calibri" w:hAnsi="Verdana" w:cs="Arial"/>
          <w:lang w:val="es-ES"/>
        </w:rPr>
        <w:t>,</w:t>
      </w:r>
      <w:r w:rsidRPr="00BE021E">
        <w:rPr>
          <w:rFonts w:ascii="Verdana" w:eastAsia="Calibri" w:hAnsi="Verdana" w:cs="Arial"/>
          <w:lang w:val="es-ES"/>
        </w:rPr>
        <w:t xml:space="preserve"> pretendan participar en los procedimientos de selección o en la celebración de contratos con las entidades estatales, constituyendo “</w:t>
      </w:r>
      <w:r w:rsidRPr="00BE021E">
        <w:rPr>
          <w:rFonts w:ascii="Verdana" w:eastAsia="Calibri" w:hAnsi="Verdana" w:cs="Arial"/>
          <w:i/>
          <w:iCs/>
          <w:lang w:val="es-ES"/>
        </w:rPr>
        <w:t>prohibiciones que restringen la capacidad y la libertad de un contratista para acceder a la contratación</w:t>
      </w:r>
      <w:r w:rsidRPr="00BE021E">
        <w:rPr>
          <w:rFonts w:ascii="Verdana" w:eastAsia="Calibri" w:hAnsi="Verdana" w:cs="Arial"/>
          <w:lang w:val="es-ES"/>
        </w:rPr>
        <w:t>”</w:t>
      </w:r>
      <w:r w:rsidRPr="00BE021E">
        <w:rPr>
          <w:rStyle w:val="Refdenotaalpie"/>
          <w:rFonts w:ascii="Verdana" w:eastAsia="Calibri" w:hAnsi="Verdana" w:cs="Arial"/>
          <w:lang w:val="es-ES"/>
        </w:rPr>
        <w:footnoteReference w:id="2"/>
      </w:r>
      <w:r w:rsidRPr="00BE021E">
        <w:rPr>
          <w:rFonts w:ascii="Verdana" w:eastAsia="Calibri" w:hAnsi="Verdana" w:cs="Arial"/>
          <w:lang w:val="es-ES"/>
        </w:rPr>
        <w:t xml:space="preserve">. </w:t>
      </w:r>
    </w:p>
    <w:p w14:paraId="09B287CB" w14:textId="77777777" w:rsidR="007A1E92" w:rsidRPr="00BE021E" w:rsidRDefault="007A1E92" w:rsidP="007A1E92">
      <w:pPr>
        <w:widowControl w:val="0"/>
        <w:autoSpaceDE w:val="0"/>
        <w:autoSpaceDN w:val="0"/>
        <w:spacing w:after="120" w:line="276" w:lineRule="auto"/>
        <w:ind w:firstLine="708"/>
        <w:jc w:val="both"/>
        <w:rPr>
          <w:rFonts w:ascii="Verdana" w:eastAsia="Calibri" w:hAnsi="Verdana" w:cs="Arial"/>
          <w:lang w:val="es-ES"/>
        </w:rPr>
      </w:pPr>
      <w:r w:rsidRPr="00BE021E">
        <w:rPr>
          <w:rFonts w:ascii="Verdana" w:eastAsia="Calibri" w:hAnsi="Verdana" w:cs="Arial"/>
          <w:lang w:val="es-ES"/>
        </w:rPr>
        <w:t xml:space="preserve">De una parte, las inhabilidades son prohibiciones para concurrir a los procedimientos de selección y para contratar con el Estado, que se derivan i) de la existencia de comportamientos reprochables o de sanciones anteriormente </w:t>
      </w:r>
      <w:r w:rsidRPr="00BE021E">
        <w:rPr>
          <w:rFonts w:ascii="Verdana" w:eastAsia="Calibri" w:hAnsi="Verdana" w:cs="Arial"/>
          <w:lang w:val="es-ES"/>
        </w:rPr>
        <w:lastRenderedPageBreak/>
        <w:t>impuestas</w:t>
      </w:r>
      <w:r w:rsidRPr="00BE021E">
        <w:rPr>
          <w:rFonts w:ascii="Verdana" w:eastAsia="Calibri" w:hAnsi="Verdana" w:cs="Arial"/>
          <w:vertAlign w:val="superscript"/>
          <w:lang w:val="es-ES"/>
        </w:rPr>
        <w:footnoteReference w:id="3"/>
      </w:r>
      <w:r w:rsidRPr="00BE021E">
        <w:rPr>
          <w:rFonts w:ascii="Verdana" w:eastAsia="Calibri" w:hAnsi="Verdana" w:cs="Arial"/>
          <w:lang w:val="es-ES"/>
        </w:rPr>
        <w:t xml:space="preserve">, </w:t>
      </w:r>
      <w:proofErr w:type="spellStart"/>
      <w:r w:rsidRPr="00BE021E">
        <w:rPr>
          <w:rFonts w:ascii="Verdana" w:eastAsia="Calibri" w:hAnsi="Verdana" w:cs="Arial"/>
          <w:lang w:val="es-ES"/>
        </w:rPr>
        <w:t>ii</w:t>
      </w:r>
      <w:proofErr w:type="spellEnd"/>
      <w:r w:rsidRPr="00BE021E">
        <w:rPr>
          <w:rFonts w:ascii="Verdana" w:eastAsia="Calibri" w:hAnsi="Verdana" w:cs="Arial"/>
          <w:lang w:val="es-ES"/>
        </w:rPr>
        <w:t>) de vínculos personales relativos al parentesco o al estado civil</w:t>
      </w:r>
      <w:r w:rsidRPr="00BE021E">
        <w:rPr>
          <w:rFonts w:ascii="Verdana" w:eastAsia="Calibri" w:hAnsi="Verdana" w:cs="Arial"/>
          <w:vertAlign w:val="superscript"/>
          <w:lang w:val="es-ES"/>
        </w:rPr>
        <w:footnoteReference w:id="4"/>
      </w:r>
      <w:r w:rsidRPr="00BE021E">
        <w:rPr>
          <w:rFonts w:ascii="Verdana" w:eastAsia="Calibri" w:hAnsi="Verdana" w:cs="Arial"/>
          <w:lang w:val="es-ES"/>
        </w:rPr>
        <w:t xml:space="preserve"> o </w:t>
      </w:r>
      <w:proofErr w:type="spellStart"/>
      <w:r w:rsidRPr="00BE021E">
        <w:rPr>
          <w:rFonts w:ascii="Verdana" w:eastAsia="Calibri" w:hAnsi="Verdana" w:cs="Arial"/>
          <w:lang w:val="es-ES"/>
        </w:rPr>
        <w:t>iii</w:t>
      </w:r>
      <w:proofErr w:type="spellEnd"/>
      <w:r w:rsidRPr="00BE021E">
        <w:rPr>
          <w:rFonts w:ascii="Verdana" w:eastAsia="Calibri" w:hAnsi="Verdana" w:cs="Arial"/>
          <w:lang w:val="es-ES"/>
        </w:rPr>
        <w:t>) de una actividad u oficio que se desempeñó en el pasado</w:t>
      </w:r>
      <w:r w:rsidRPr="00BE021E">
        <w:rPr>
          <w:rFonts w:ascii="Verdana" w:eastAsia="Calibri" w:hAnsi="Verdana" w:cs="Arial"/>
          <w:vertAlign w:val="superscript"/>
          <w:lang w:val="es-ES"/>
        </w:rPr>
        <w:footnoteReference w:id="5"/>
      </w:r>
      <w:r w:rsidRPr="00BE021E">
        <w:rPr>
          <w:rFonts w:ascii="Verdana" w:eastAsia="Calibri" w:hAnsi="Verdana" w:cs="Arial"/>
          <w:lang w:val="es-ES"/>
        </w:rPr>
        <w:t xml:space="preserve">. De otra, las </w:t>
      </w:r>
      <w:r w:rsidRPr="00BE021E">
        <w:rPr>
          <w:rFonts w:ascii="Verdana" w:eastAsia="Calibri" w:hAnsi="Verdana" w:cs="Arial"/>
          <w:lang w:val="es-ES"/>
        </w:rPr>
        <w:lastRenderedPageBreak/>
        <w:t>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BE021E">
        <w:rPr>
          <w:rFonts w:ascii="Verdana" w:eastAsia="Calibri" w:hAnsi="Verdana" w:cs="Arial"/>
          <w:vertAlign w:val="superscript"/>
          <w:lang w:val="es-ES"/>
        </w:rPr>
        <w:footnoteReference w:id="6"/>
      </w:r>
      <w:r w:rsidRPr="00BE021E">
        <w:rPr>
          <w:rFonts w:ascii="Verdana" w:eastAsia="Calibri" w:hAnsi="Verdana" w:cs="Arial"/>
          <w:lang w:val="es-ES"/>
        </w:rPr>
        <w:t>.</w:t>
      </w:r>
      <w:r>
        <w:rPr>
          <w:rFonts w:ascii="Verdana" w:eastAsia="Calibri" w:hAnsi="Verdana" w:cs="Arial"/>
          <w:lang w:val="es-ES"/>
        </w:rPr>
        <w:t xml:space="preserve"> Tanto las inhabilidades como las incompatibilidades se encuentran principalmente en el artículo 8 de la Ley 80 de 1993.</w:t>
      </w:r>
    </w:p>
    <w:p w14:paraId="21103384" w14:textId="77777777" w:rsidR="007A1E92" w:rsidRDefault="007A1E92" w:rsidP="007A1E92">
      <w:pPr>
        <w:widowControl w:val="0"/>
        <w:autoSpaceDE w:val="0"/>
        <w:autoSpaceDN w:val="0"/>
        <w:spacing w:after="120" w:line="276" w:lineRule="auto"/>
        <w:jc w:val="both"/>
        <w:rPr>
          <w:rFonts w:ascii="Verdana" w:eastAsia="Calibri" w:hAnsi="Verdana" w:cs="Arial"/>
          <w:color w:val="7030A0"/>
          <w:lang w:val="es-ES"/>
        </w:rPr>
      </w:pPr>
      <w:r w:rsidRPr="00BE021E">
        <w:rPr>
          <w:rFonts w:ascii="Verdana" w:eastAsia="Calibri" w:hAnsi="Verdana" w:cs="Arial"/>
          <w:lang w:val="es-ES"/>
        </w:rPr>
        <w:tab/>
        <w:t>Debido a las restricciones que impone el régimen de inhabilidades e incompatibilidades, este se tipifica en la Ley expresamente y su interpretación debe ser restrictiva. Es decir, las causales de inhabilidad e i</w:t>
      </w:r>
      <w:r>
        <w:rPr>
          <w:rFonts w:ascii="Verdana" w:eastAsia="Calibri" w:hAnsi="Verdana" w:cs="Arial"/>
          <w:lang w:val="es-ES"/>
        </w:rPr>
        <w:t xml:space="preserve">ncompatibilidad </w:t>
      </w:r>
      <w:r w:rsidRPr="00BE021E">
        <w:rPr>
          <w:rFonts w:ascii="Verdana" w:eastAsia="Calibri" w:hAnsi="Verdana" w:cs="Arial"/>
          <w:lang w:val="es-ES"/>
        </w:rPr>
        <w:t>deben estar enunciadas en las normas de forma taxativa y al aplicarse en una situación particular su interpretación debe ser restrictiva, de tal forma que no se admita una interpretación amplia o extensiva que permita contemplar supuestos indeterminados como causales de inhabilidad o impedimentos.</w:t>
      </w:r>
    </w:p>
    <w:p w14:paraId="05950E59" w14:textId="77777777" w:rsidR="007A1E92" w:rsidRDefault="007A1E92" w:rsidP="007A1E92">
      <w:pPr>
        <w:widowControl w:val="0"/>
        <w:autoSpaceDE w:val="0"/>
        <w:autoSpaceDN w:val="0"/>
        <w:spacing w:after="120" w:line="276" w:lineRule="auto"/>
        <w:ind w:firstLine="708"/>
        <w:jc w:val="both"/>
        <w:rPr>
          <w:rFonts w:ascii="Verdana" w:eastAsia="Arial MT" w:hAnsi="Verdana" w:cs="Arial"/>
        </w:rPr>
      </w:pPr>
      <w:r>
        <w:rPr>
          <w:rFonts w:ascii="Verdana" w:eastAsia="Arial MT" w:hAnsi="Verdana" w:cs="Arial"/>
        </w:rPr>
        <w:t>E</w:t>
      </w:r>
      <w:r w:rsidRPr="006A09D6">
        <w:rPr>
          <w:rFonts w:ascii="Verdana" w:eastAsia="Arial MT" w:hAnsi="Verdana" w:cs="Arial"/>
        </w:rPr>
        <w:t>l</w:t>
      </w:r>
      <w:r w:rsidRPr="006A09D6">
        <w:rPr>
          <w:rFonts w:ascii="Verdana" w:eastAsia="Arial MT" w:hAnsi="Verdana" w:cs="Arial"/>
          <w:spacing w:val="-10"/>
        </w:rPr>
        <w:t xml:space="preserve"> </w:t>
      </w:r>
      <w:r w:rsidRPr="006A09D6">
        <w:rPr>
          <w:rFonts w:ascii="Verdana" w:eastAsia="Arial MT" w:hAnsi="Verdana" w:cs="Arial"/>
        </w:rPr>
        <w:t>máximo</w:t>
      </w:r>
      <w:r w:rsidRPr="006A09D6">
        <w:rPr>
          <w:rFonts w:ascii="Verdana" w:eastAsia="Arial MT" w:hAnsi="Verdana" w:cs="Arial"/>
          <w:spacing w:val="-10"/>
        </w:rPr>
        <w:t xml:space="preserve"> </w:t>
      </w:r>
      <w:r w:rsidRPr="006A09D6">
        <w:rPr>
          <w:rFonts w:ascii="Verdana" w:eastAsia="Arial MT" w:hAnsi="Verdana" w:cs="Arial"/>
        </w:rPr>
        <w:t>tribunal</w:t>
      </w:r>
      <w:r w:rsidRPr="006A09D6">
        <w:rPr>
          <w:rFonts w:ascii="Verdana" w:eastAsia="Arial MT" w:hAnsi="Verdana" w:cs="Arial"/>
          <w:spacing w:val="-9"/>
        </w:rPr>
        <w:t xml:space="preserve"> </w:t>
      </w:r>
      <w:r w:rsidRPr="006A09D6">
        <w:rPr>
          <w:rFonts w:ascii="Verdana" w:eastAsia="Arial MT" w:hAnsi="Verdana" w:cs="Arial"/>
        </w:rPr>
        <w:t xml:space="preserve">constitucional ha indicado que, al tratar de precisar el sentido de este tipo de normas, “[…] el intérprete de las disposiciones legislativas </w:t>
      </w:r>
      <w:r w:rsidRPr="006A09D6">
        <w:rPr>
          <w:rFonts w:ascii="Verdana" w:eastAsia="Arial MT" w:hAnsi="Verdana" w:cs="Arial"/>
        </w:rPr>
        <w:lastRenderedPageBreak/>
        <w:t>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A09D6">
        <w:rPr>
          <w:rFonts w:ascii="Verdana" w:eastAsia="Arial MT" w:hAnsi="Verdana" w:cs="Arial"/>
          <w:vertAlign w:val="superscript"/>
        </w:rPr>
        <w:footnoteReference w:id="7"/>
      </w:r>
      <w:r w:rsidRPr="006A09D6">
        <w:rPr>
          <w:rFonts w:ascii="Verdana" w:eastAsia="Arial MT" w:hAnsi="Verdana" w:cs="Arial"/>
        </w:rPr>
        <w:t xml:space="preserve">. </w:t>
      </w:r>
    </w:p>
    <w:p w14:paraId="42541312" w14:textId="77777777" w:rsidR="007A1E92" w:rsidRPr="006A09D6" w:rsidRDefault="007A1E92" w:rsidP="007A1E92">
      <w:pPr>
        <w:widowControl w:val="0"/>
        <w:autoSpaceDE w:val="0"/>
        <w:autoSpaceDN w:val="0"/>
        <w:spacing w:before="120" w:after="0" w:line="276" w:lineRule="auto"/>
        <w:ind w:firstLine="708"/>
        <w:jc w:val="both"/>
        <w:rPr>
          <w:rFonts w:ascii="Verdana" w:eastAsia="Arial MT" w:hAnsi="Verdana" w:cs="Arial"/>
        </w:rPr>
      </w:pPr>
      <w:r w:rsidRPr="006A09D6">
        <w:rPr>
          <w:rFonts w:ascii="Verdana" w:eastAsia="Arial MT" w:hAnsi="Verdana" w:cs="Arial"/>
        </w:rPr>
        <w:t>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A09D6">
        <w:rPr>
          <w:rFonts w:ascii="Verdana" w:eastAsia="Arial MT" w:hAnsi="Verdana" w:cs="Arial"/>
          <w:vertAlign w:val="superscript"/>
        </w:rPr>
        <w:footnoteReference w:id="8"/>
      </w:r>
      <w:r w:rsidRPr="006A09D6">
        <w:rPr>
          <w:rFonts w:ascii="Verdana" w:eastAsia="Arial MT" w:hAnsi="Verdana" w:cs="Arial"/>
        </w:rPr>
        <w:t>. En tal sentido, la Sección Tercera ha señalado que:</w:t>
      </w:r>
    </w:p>
    <w:p w14:paraId="2E6C6FDC" w14:textId="77777777" w:rsidR="007A1E92" w:rsidRPr="006A09D6" w:rsidRDefault="007A1E92" w:rsidP="007A1E92">
      <w:pPr>
        <w:widowControl w:val="0"/>
        <w:autoSpaceDE w:val="0"/>
        <w:autoSpaceDN w:val="0"/>
        <w:spacing w:after="0" w:line="276" w:lineRule="auto"/>
        <w:ind w:firstLine="708"/>
        <w:jc w:val="both"/>
        <w:rPr>
          <w:rFonts w:ascii="Verdana" w:eastAsia="Arial MT" w:hAnsi="Verdana" w:cs="Arial"/>
          <w:sz w:val="25"/>
        </w:rPr>
      </w:pPr>
    </w:p>
    <w:p w14:paraId="110C07FE" w14:textId="77777777" w:rsidR="007A1E92" w:rsidRPr="006A09D6" w:rsidRDefault="007A1E92" w:rsidP="007A1E92">
      <w:pPr>
        <w:widowControl w:val="0"/>
        <w:autoSpaceDE w:val="0"/>
        <w:autoSpaceDN w:val="0"/>
        <w:spacing w:after="0" w:line="240" w:lineRule="auto"/>
        <w:ind w:left="709" w:right="709"/>
        <w:jc w:val="both"/>
        <w:rPr>
          <w:rFonts w:ascii="Verdana" w:eastAsia="Calibri" w:hAnsi="Verdana" w:cs="Arial"/>
          <w:sz w:val="20"/>
          <w:szCs w:val="20"/>
        </w:rPr>
      </w:pPr>
      <w:r w:rsidRPr="006A09D6">
        <w:rPr>
          <w:rFonts w:ascii="Verdana" w:eastAsia="Arial MT" w:hAnsi="Verdana" w:cs="Arial"/>
          <w:sz w:val="20"/>
          <w:szCs w:val="20"/>
        </w:rPr>
        <w:t>“[…]</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conformidad</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con</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la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jurisprudencia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uniforme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y</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reiterada</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esta</w:t>
      </w:r>
      <w:r w:rsidRPr="006A09D6">
        <w:rPr>
          <w:rFonts w:ascii="Verdana" w:eastAsia="Arial MT" w:hAnsi="Verdana" w:cs="Arial"/>
          <w:spacing w:val="-56"/>
          <w:sz w:val="20"/>
          <w:szCs w:val="20"/>
        </w:rPr>
        <w:t xml:space="preserve"> </w:t>
      </w:r>
      <w:r w:rsidRPr="006A09D6">
        <w:rPr>
          <w:rFonts w:ascii="Verdana" w:eastAsia="Arial MT" w:hAnsi="Verdana" w:cs="Arial"/>
          <w:sz w:val="20"/>
          <w:szCs w:val="20"/>
        </w:rPr>
        <w:t>Corporación, la aplicación de las normas que contemplan inhabilidades 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incompatibilidades,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como</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en</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general</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de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todas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aquellas</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que</w:t>
      </w:r>
      <w:r w:rsidRPr="006A09D6">
        <w:rPr>
          <w:rFonts w:ascii="Verdana" w:eastAsia="Arial MT" w:hAnsi="Verdana" w:cs="Arial"/>
          <w:spacing w:val="1"/>
          <w:sz w:val="20"/>
          <w:szCs w:val="20"/>
        </w:rPr>
        <w:t xml:space="preserve"> </w:t>
      </w:r>
      <w:r w:rsidRPr="006A09D6">
        <w:rPr>
          <w:rFonts w:ascii="Verdana" w:eastAsia="Arial MT" w:hAnsi="Verdana" w:cs="Arial"/>
          <w:sz w:val="20"/>
          <w:szCs w:val="20"/>
        </w:rPr>
        <w:t>comportan</w:t>
      </w:r>
      <w:r w:rsidRPr="006A09D6">
        <w:rPr>
          <w:rFonts w:ascii="Verdana" w:eastAsia="Arial MT" w:hAnsi="Verdana" w:cs="Arial"/>
          <w:spacing w:val="-56"/>
          <w:sz w:val="20"/>
          <w:szCs w:val="20"/>
        </w:rPr>
        <w:t xml:space="preserve"> </w:t>
      </w:r>
      <w:r w:rsidRPr="006A09D6">
        <w:rPr>
          <w:rFonts w:ascii="Verdana" w:eastAsia="Arial MT" w:hAnsi="Verdana" w:cs="Arial"/>
          <w:sz w:val="20"/>
          <w:szCs w:val="20"/>
        </w:rPr>
        <w:t>prohibiciones</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o</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limitaciones,</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deben</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responder</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a</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una</w:t>
      </w:r>
      <w:r w:rsidRPr="006A09D6">
        <w:rPr>
          <w:rFonts w:ascii="Verdana" w:eastAsia="Arial MT" w:hAnsi="Verdana" w:cs="Arial"/>
          <w:spacing w:val="-13"/>
          <w:sz w:val="20"/>
          <w:szCs w:val="20"/>
        </w:rPr>
        <w:t xml:space="preserve"> </w:t>
      </w:r>
      <w:r w:rsidRPr="006A09D6">
        <w:rPr>
          <w:rFonts w:ascii="Verdana" w:eastAsia="Arial MT" w:hAnsi="Verdana" w:cs="Arial"/>
          <w:sz w:val="20"/>
          <w:szCs w:val="20"/>
        </w:rPr>
        <w:t>interpretación</w:t>
      </w:r>
      <w:r w:rsidRPr="006A09D6">
        <w:rPr>
          <w:rFonts w:ascii="Verdana" w:eastAsia="Arial MT" w:hAnsi="Verdana" w:cs="Arial"/>
          <w:spacing w:val="-12"/>
          <w:sz w:val="20"/>
          <w:szCs w:val="20"/>
        </w:rPr>
        <w:t xml:space="preserve"> </w:t>
      </w:r>
      <w:r w:rsidRPr="006A09D6">
        <w:rPr>
          <w:rFonts w:ascii="Verdana" w:eastAsia="Arial MT" w:hAnsi="Verdana" w:cs="Arial"/>
          <w:sz w:val="20"/>
          <w:szCs w:val="20"/>
        </w:rPr>
        <w:t xml:space="preserve">restrictiva </w:t>
      </w:r>
      <w:r w:rsidRPr="006A09D6">
        <w:rPr>
          <w:rFonts w:ascii="Verdana" w:eastAsia="Calibri" w:hAnsi="Verdana" w:cs="Arial"/>
          <w:sz w:val="20"/>
          <w:szCs w:val="20"/>
        </w:rPr>
        <w:t>que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no</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permite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su</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extensión,</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por</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vía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de</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la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figura</w:t>
      </w:r>
      <w:r w:rsidRPr="006A09D6">
        <w:rPr>
          <w:rFonts w:ascii="Verdana" w:eastAsia="Calibri" w:hAnsi="Verdana" w:cs="Arial"/>
          <w:spacing w:val="-4"/>
          <w:sz w:val="20"/>
          <w:szCs w:val="20"/>
        </w:rPr>
        <w:t xml:space="preserve"> </w:t>
      </w:r>
      <w:r w:rsidRPr="006A09D6">
        <w:rPr>
          <w:rFonts w:ascii="Verdana" w:eastAsia="Calibri" w:hAnsi="Verdana" w:cs="Arial"/>
          <w:sz w:val="20"/>
          <w:szCs w:val="20"/>
        </w:rPr>
        <w:t>de</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la</w:t>
      </w:r>
      <w:r w:rsidRPr="006A09D6">
        <w:rPr>
          <w:rFonts w:ascii="Verdana" w:eastAsia="Calibri" w:hAnsi="Verdana" w:cs="Arial"/>
          <w:spacing w:val="-5"/>
          <w:sz w:val="20"/>
          <w:szCs w:val="20"/>
        </w:rPr>
        <w:t xml:space="preserve"> </w:t>
      </w:r>
      <w:r w:rsidRPr="006A09D6">
        <w:rPr>
          <w:rFonts w:ascii="Verdana" w:eastAsia="Calibri" w:hAnsi="Verdana" w:cs="Arial"/>
          <w:sz w:val="20"/>
          <w:szCs w:val="20"/>
        </w:rPr>
        <w:t>analogía,</w:t>
      </w:r>
      <w:r w:rsidRPr="006A09D6">
        <w:rPr>
          <w:rFonts w:ascii="Verdana" w:eastAsia="Calibri" w:hAnsi="Verdana" w:cs="Arial"/>
          <w:spacing w:val="-6"/>
          <w:sz w:val="20"/>
          <w:szCs w:val="20"/>
        </w:rPr>
        <w:t xml:space="preserve"> </w:t>
      </w:r>
      <w:r w:rsidRPr="006A09D6">
        <w:rPr>
          <w:rFonts w:ascii="Verdana" w:eastAsia="Calibri" w:hAnsi="Verdana" w:cs="Arial"/>
          <w:sz w:val="20"/>
          <w:szCs w:val="20"/>
        </w:rPr>
        <w:t>a</w:t>
      </w:r>
      <w:r w:rsidRPr="006A09D6">
        <w:rPr>
          <w:rFonts w:ascii="Verdana" w:eastAsia="Calibri" w:hAnsi="Verdana" w:cs="Arial"/>
          <w:spacing w:val="-5"/>
          <w:sz w:val="20"/>
          <w:szCs w:val="20"/>
        </w:rPr>
        <w:t xml:space="preserve"> </w:t>
      </w:r>
      <w:r w:rsidRPr="006A09D6">
        <w:rPr>
          <w:rFonts w:ascii="Verdana" w:eastAsia="Arial MT" w:hAnsi="Verdana" w:cs="Arial"/>
          <w:sz w:val="20"/>
          <w:szCs w:val="20"/>
        </w:rPr>
        <w:t>supuestos no contemplados</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por</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el</w:t>
      </w:r>
      <w:r w:rsidRPr="006A09D6">
        <w:rPr>
          <w:rFonts w:ascii="Verdana" w:eastAsia="Calibri" w:hAnsi="Verdana" w:cs="Arial"/>
          <w:spacing w:val="-1"/>
          <w:sz w:val="20"/>
          <w:szCs w:val="20"/>
        </w:rPr>
        <w:t xml:space="preserve"> </w:t>
      </w:r>
      <w:r w:rsidRPr="006A09D6">
        <w:rPr>
          <w:rFonts w:ascii="Verdana" w:eastAsia="Calibri" w:hAnsi="Verdana" w:cs="Arial"/>
          <w:sz w:val="20"/>
          <w:szCs w:val="20"/>
        </w:rPr>
        <w:t>ordenamiento”</w:t>
      </w:r>
      <w:r w:rsidRPr="006A09D6">
        <w:rPr>
          <w:rFonts w:ascii="Verdana" w:eastAsia="Calibri" w:hAnsi="Verdana" w:cs="Arial"/>
          <w:sz w:val="20"/>
          <w:szCs w:val="20"/>
          <w:vertAlign w:val="superscript"/>
        </w:rPr>
        <w:footnoteReference w:id="9"/>
      </w:r>
      <w:r w:rsidRPr="006A09D6">
        <w:rPr>
          <w:rFonts w:ascii="Verdana" w:eastAsia="Calibri" w:hAnsi="Verdana" w:cs="Arial"/>
          <w:sz w:val="20"/>
          <w:szCs w:val="20"/>
        </w:rPr>
        <w:t>.</w:t>
      </w:r>
    </w:p>
    <w:p w14:paraId="159B502D" w14:textId="77777777" w:rsidR="007A1E92" w:rsidRPr="00773889" w:rsidRDefault="007A1E92" w:rsidP="007A1E92">
      <w:pPr>
        <w:widowControl w:val="0"/>
        <w:autoSpaceDE w:val="0"/>
        <w:autoSpaceDN w:val="0"/>
        <w:spacing w:after="0" w:line="276" w:lineRule="auto"/>
        <w:ind w:left="709" w:right="709"/>
        <w:jc w:val="both"/>
        <w:rPr>
          <w:rFonts w:ascii="Verdana" w:eastAsia="Arial MT" w:hAnsi="Verdana" w:cs="Arial"/>
        </w:rPr>
      </w:pPr>
    </w:p>
    <w:p w14:paraId="025F8AF8" w14:textId="77777777" w:rsidR="007A1E92" w:rsidRPr="006A09D6" w:rsidRDefault="007A1E92" w:rsidP="007A1E92">
      <w:pPr>
        <w:widowControl w:val="0"/>
        <w:autoSpaceDE w:val="0"/>
        <w:autoSpaceDN w:val="0"/>
        <w:spacing w:after="0" w:line="276" w:lineRule="auto"/>
        <w:ind w:right="709" w:firstLine="708"/>
        <w:jc w:val="both"/>
        <w:rPr>
          <w:rFonts w:ascii="Verdana" w:eastAsia="Arial MT" w:hAnsi="Verdana" w:cs="Arial"/>
        </w:rPr>
      </w:pPr>
      <w:r w:rsidRPr="006A09D6">
        <w:rPr>
          <w:rFonts w:ascii="Verdana" w:eastAsia="Arial MT" w:hAnsi="Verdana" w:cs="Arial"/>
        </w:rPr>
        <w:t>En el mismo sentido ha expuesto que:</w:t>
      </w:r>
    </w:p>
    <w:p w14:paraId="2662FD8C" w14:textId="77777777" w:rsidR="007A1E92" w:rsidRPr="006A09D6" w:rsidRDefault="007A1E92" w:rsidP="007A1E92">
      <w:pPr>
        <w:widowControl w:val="0"/>
        <w:autoSpaceDE w:val="0"/>
        <w:autoSpaceDN w:val="0"/>
        <w:spacing w:after="0" w:line="276" w:lineRule="auto"/>
        <w:ind w:right="709"/>
        <w:jc w:val="both"/>
        <w:rPr>
          <w:rFonts w:ascii="Verdana" w:eastAsia="Arial MT" w:hAnsi="Verdana" w:cs="Arial"/>
        </w:rPr>
      </w:pPr>
    </w:p>
    <w:p w14:paraId="3EA5B935" w14:textId="77777777" w:rsidR="007A1E92" w:rsidRDefault="007A1E92" w:rsidP="007A1E92">
      <w:pPr>
        <w:widowControl w:val="0"/>
        <w:autoSpaceDE w:val="0"/>
        <w:autoSpaceDN w:val="0"/>
        <w:spacing w:after="0" w:line="240" w:lineRule="auto"/>
        <w:ind w:left="709" w:right="709"/>
        <w:jc w:val="both"/>
        <w:rPr>
          <w:rFonts w:ascii="Verdana" w:eastAsia="Arial MT" w:hAnsi="Verdana" w:cs="Arial"/>
          <w:sz w:val="20"/>
          <w:szCs w:val="20"/>
        </w:rPr>
      </w:pPr>
      <w:r w:rsidRPr="006A09D6">
        <w:rPr>
          <w:rFonts w:ascii="Verdana" w:eastAsia="Arial MT" w:hAnsi="Verdana" w:cs="Arial"/>
          <w:sz w:val="20"/>
          <w:szCs w:val="20"/>
        </w:rPr>
        <w:t xml:space="preserve">“[…] la aplicación de estos preceptos exige una interpretación restrictiva, dado que según el principio hermenéutico pro </w:t>
      </w:r>
      <w:proofErr w:type="spellStart"/>
      <w:r w:rsidRPr="006A09D6">
        <w:rPr>
          <w:rFonts w:ascii="Verdana" w:eastAsia="Arial MT" w:hAnsi="Verdana" w:cs="Arial"/>
          <w:sz w:val="20"/>
          <w:szCs w:val="20"/>
        </w:rPr>
        <w:t>libertate</w:t>
      </w:r>
      <w:proofErr w:type="spellEnd"/>
      <w:r w:rsidRPr="006A09D6">
        <w:rPr>
          <w:rFonts w:ascii="Verdana" w:eastAsia="Arial MT" w:hAnsi="Verdana" w:cs="Arial"/>
          <w:sz w:val="20"/>
          <w:szCs w:val="20"/>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w:t>
      </w:r>
      <w:r w:rsidRPr="006A09D6">
        <w:rPr>
          <w:rFonts w:ascii="Verdana" w:eastAsia="Arial MT" w:hAnsi="Verdana" w:cs="Arial"/>
          <w:sz w:val="20"/>
          <w:szCs w:val="20"/>
        </w:rPr>
        <w:lastRenderedPageBreak/>
        <w:t>de las mismas, pues de hacerlo se vulnerarían los derechos fundamentales al debido proceso (art. 29 CN) y a la igualdad (art. 13 Ibid.); […]”</w:t>
      </w:r>
      <w:r w:rsidRPr="006A09D6">
        <w:rPr>
          <w:rFonts w:ascii="Verdana" w:eastAsia="Arial MT" w:hAnsi="Verdana" w:cs="Arial"/>
          <w:sz w:val="20"/>
          <w:szCs w:val="20"/>
          <w:vertAlign w:val="superscript"/>
        </w:rPr>
        <w:footnoteReference w:id="10"/>
      </w:r>
      <w:r w:rsidRPr="006A09D6">
        <w:rPr>
          <w:rFonts w:ascii="Verdana" w:eastAsia="Arial MT" w:hAnsi="Verdana" w:cs="Arial"/>
          <w:sz w:val="20"/>
          <w:szCs w:val="20"/>
        </w:rPr>
        <w:t>.</w:t>
      </w:r>
    </w:p>
    <w:p w14:paraId="3C748457" w14:textId="77777777" w:rsidR="00CF58B6" w:rsidRDefault="00CF58B6" w:rsidP="00CF58B6">
      <w:pPr>
        <w:widowControl w:val="0"/>
        <w:autoSpaceDE w:val="0"/>
        <w:autoSpaceDN w:val="0"/>
        <w:spacing w:after="0" w:line="240" w:lineRule="auto"/>
        <w:ind w:right="709"/>
        <w:jc w:val="both"/>
        <w:rPr>
          <w:rFonts w:ascii="Verdana" w:eastAsia="Arial MT" w:hAnsi="Verdana" w:cs="Arial"/>
          <w:sz w:val="20"/>
          <w:szCs w:val="20"/>
        </w:rPr>
      </w:pPr>
    </w:p>
    <w:p w14:paraId="3DD3F4CB" w14:textId="1026D04E" w:rsidR="00B0794B" w:rsidRDefault="00CF58B6" w:rsidP="00CF58B6">
      <w:pPr>
        <w:widowControl w:val="0"/>
        <w:autoSpaceDE w:val="0"/>
        <w:autoSpaceDN w:val="0"/>
        <w:spacing w:after="0" w:line="240" w:lineRule="auto"/>
        <w:ind w:right="709"/>
        <w:jc w:val="both"/>
        <w:rPr>
          <w:rFonts w:ascii="Verdana" w:eastAsia="Arial MT" w:hAnsi="Verdana" w:cs="Arial"/>
          <w:sz w:val="20"/>
          <w:szCs w:val="20"/>
        </w:rPr>
      </w:pPr>
      <w:r>
        <w:rPr>
          <w:rFonts w:ascii="Verdana" w:eastAsia="Arial MT" w:hAnsi="Verdana" w:cs="Arial"/>
          <w:sz w:val="20"/>
          <w:szCs w:val="20"/>
        </w:rPr>
        <w:t>Ahora bien, conforme al caso concreto, debemos remitirnos a lo dispuesto en e</w:t>
      </w:r>
      <w:r w:rsidRPr="00CF58B6">
        <w:rPr>
          <w:rFonts w:ascii="Verdana" w:eastAsia="Arial MT" w:hAnsi="Verdana" w:cs="Arial"/>
          <w:sz w:val="20"/>
          <w:szCs w:val="20"/>
        </w:rPr>
        <w:t>l artículo 56 de la Ley 1952 de 2019</w:t>
      </w:r>
      <w:r>
        <w:rPr>
          <w:rFonts w:ascii="Verdana" w:eastAsia="Arial MT" w:hAnsi="Verdana" w:cs="Arial"/>
          <w:sz w:val="20"/>
          <w:szCs w:val="20"/>
        </w:rPr>
        <w:t xml:space="preserve"> que</w:t>
      </w:r>
      <w:r w:rsidRPr="00CF58B6">
        <w:rPr>
          <w:rFonts w:ascii="Verdana" w:eastAsia="Arial MT" w:hAnsi="Verdana" w:cs="Arial"/>
          <w:sz w:val="20"/>
          <w:szCs w:val="20"/>
        </w:rPr>
        <w:t xml:space="preserve"> establece que los exservidores públicos, incluidos los exalcaldes, están sujetos a una incompatibilidad temporal de un (1) año para prestar servicios de asistencia, representación o asesoría, a título personal o por interpuesta persona, en asuntos relacionados con las funciones propias del cargo que desempeñaron. Esta restricción aplica con respecto al organismo, entidad o corporación en la cual prestaron sus servicios</w:t>
      </w:r>
      <w:r>
        <w:rPr>
          <w:rFonts w:ascii="Verdana" w:eastAsia="Arial MT" w:hAnsi="Verdana" w:cs="Arial"/>
          <w:sz w:val="20"/>
          <w:szCs w:val="20"/>
        </w:rPr>
        <w:t xml:space="preserve">. </w:t>
      </w:r>
      <w:r w:rsidRPr="00CF58B6">
        <w:rPr>
          <w:rFonts w:ascii="Verdana" w:eastAsia="Arial MT" w:hAnsi="Verdana" w:cs="Arial"/>
          <w:sz w:val="20"/>
          <w:szCs w:val="20"/>
        </w:rPr>
        <w:t>Además, la norma dispone que esta incompatibilidad será indefinida en el tiempo respecto de los asuntos concretos de los cuales el servidor público tuvo conocimiento en ejercicio de sus funciones. Se entiende por asuntos concretos aquellos de carácter particular y específico que fueron objeto de decisión durante el ejercicio de sus funciones y que involucran sujetos claramente determinados</w:t>
      </w:r>
      <w:r>
        <w:rPr>
          <w:rFonts w:ascii="Verdana" w:eastAsia="Arial MT" w:hAnsi="Verdana" w:cs="Arial"/>
          <w:sz w:val="20"/>
          <w:szCs w:val="20"/>
        </w:rPr>
        <w:t>.</w:t>
      </w:r>
    </w:p>
    <w:p w14:paraId="03B0FD9D" w14:textId="77777777" w:rsidR="00057DB6" w:rsidRDefault="00057DB6" w:rsidP="00CF58B6">
      <w:pPr>
        <w:widowControl w:val="0"/>
        <w:autoSpaceDE w:val="0"/>
        <w:autoSpaceDN w:val="0"/>
        <w:spacing w:after="0" w:line="240" w:lineRule="auto"/>
        <w:ind w:right="709"/>
        <w:jc w:val="both"/>
        <w:rPr>
          <w:rFonts w:ascii="Verdana" w:eastAsia="Arial MT" w:hAnsi="Verdana" w:cs="Arial"/>
          <w:sz w:val="20"/>
          <w:szCs w:val="20"/>
        </w:rPr>
      </w:pPr>
    </w:p>
    <w:p w14:paraId="2A0CFCA1" w14:textId="3535F0DC" w:rsidR="00057DB6" w:rsidRDefault="00057DB6" w:rsidP="00CF58B6">
      <w:pPr>
        <w:widowControl w:val="0"/>
        <w:autoSpaceDE w:val="0"/>
        <w:autoSpaceDN w:val="0"/>
        <w:spacing w:after="0" w:line="240" w:lineRule="auto"/>
        <w:ind w:right="709"/>
        <w:jc w:val="both"/>
        <w:rPr>
          <w:rFonts w:ascii="Verdana" w:eastAsia="Arial MT" w:hAnsi="Verdana" w:cs="Arial"/>
          <w:sz w:val="20"/>
          <w:szCs w:val="20"/>
        </w:rPr>
      </w:pPr>
      <w:r>
        <w:rPr>
          <w:rFonts w:ascii="Verdana" w:eastAsia="Arial MT" w:hAnsi="Verdana" w:cs="Arial"/>
          <w:sz w:val="20"/>
          <w:szCs w:val="20"/>
        </w:rPr>
        <w:tab/>
        <w:t>Así también lo ha establecido el Departamento Administrativo de la Función Pública en diferentes conceptos, de forma precisa lo indicó en el Concepto</w:t>
      </w:r>
      <w:r w:rsidR="0059249C">
        <w:rPr>
          <w:rFonts w:ascii="Verdana" w:eastAsia="Arial MT" w:hAnsi="Verdana" w:cs="Arial"/>
          <w:sz w:val="20"/>
          <w:szCs w:val="20"/>
        </w:rPr>
        <w:t xml:space="preserve"> 035711 </w:t>
      </w:r>
      <w:r>
        <w:rPr>
          <w:rFonts w:ascii="Verdana" w:eastAsia="Arial MT" w:hAnsi="Verdana" w:cs="Arial"/>
          <w:sz w:val="20"/>
          <w:szCs w:val="20"/>
        </w:rPr>
        <w:t>de 20</w:t>
      </w:r>
      <w:r w:rsidR="0059249C">
        <w:rPr>
          <w:rFonts w:ascii="Verdana" w:eastAsia="Arial MT" w:hAnsi="Verdana" w:cs="Arial"/>
          <w:sz w:val="20"/>
          <w:szCs w:val="20"/>
        </w:rPr>
        <w:t>24</w:t>
      </w:r>
      <w:r w:rsidR="001429F0">
        <w:rPr>
          <w:rStyle w:val="Refdenotaalpie"/>
          <w:rFonts w:ascii="Verdana" w:eastAsia="Arial MT" w:hAnsi="Verdana" w:cs="Arial"/>
          <w:sz w:val="20"/>
          <w:szCs w:val="20"/>
        </w:rPr>
        <w:footnoteReference w:id="11"/>
      </w:r>
      <w:r>
        <w:rPr>
          <w:rFonts w:ascii="Verdana" w:eastAsia="Arial MT" w:hAnsi="Verdana" w:cs="Arial"/>
          <w:sz w:val="20"/>
          <w:szCs w:val="20"/>
        </w:rPr>
        <w:t xml:space="preserve"> en el que precisó:</w:t>
      </w:r>
    </w:p>
    <w:p w14:paraId="11237455" w14:textId="77777777" w:rsidR="00057DB6" w:rsidRDefault="00057DB6" w:rsidP="00CF58B6">
      <w:pPr>
        <w:widowControl w:val="0"/>
        <w:autoSpaceDE w:val="0"/>
        <w:autoSpaceDN w:val="0"/>
        <w:spacing w:after="0" w:line="240" w:lineRule="auto"/>
        <w:ind w:right="709"/>
        <w:jc w:val="both"/>
        <w:rPr>
          <w:rFonts w:ascii="Verdana" w:eastAsia="Arial MT" w:hAnsi="Verdana" w:cs="Arial"/>
          <w:sz w:val="20"/>
          <w:szCs w:val="20"/>
        </w:rPr>
      </w:pPr>
    </w:p>
    <w:p w14:paraId="762B6452" w14:textId="2C8CC349" w:rsidR="006B68BB" w:rsidRPr="006B68BB" w:rsidRDefault="006B68BB" w:rsidP="006B68BB">
      <w:pPr>
        <w:widowControl w:val="0"/>
        <w:autoSpaceDE w:val="0"/>
        <w:autoSpaceDN w:val="0"/>
        <w:spacing w:after="0" w:line="240" w:lineRule="auto"/>
        <w:ind w:left="708" w:right="900" w:firstLine="2"/>
        <w:jc w:val="both"/>
        <w:rPr>
          <w:rFonts w:ascii="Verdana" w:eastAsia="Arial MT" w:hAnsi="Verdana" w:cs="Arial"/>
          <w:sz w:val="20"/>
          <w:szCs w:val="20"/>
        </w:rPr>
      </w:pPr>
      <w:r w:rsidRPr="006A09D6">
        <w:rPr>
          <w:rFonts w:ascii="Verdana" w:eastAsia="Arial MT" w:hAnsi="Verdana" w:cs="Arial"/>
          <w:sz w:val="20"/>
          <w:szCs w:val="20"/>
        </w:rPr>
        <w:t>“[…]</w:t>
      </w:r>
      <w:r w:rsidRPr="006B68BB">
        <w:rPr>
          <w:rFonts w:ascii="Verdana" w:eastAsia="Arial MT" w:hAnsi="Verdana" w:cs="Arial"/>
          <w:sz w:val="20"/>
          <w:szCs w:val="20"/>
        </w:rPr>
        <w:t>De acuerdo con lo anterior, al referirse la norma a la prohibición indefinida en el tiempo de prestar a título particular unos servicios de asistencia,</w:t>
      </w:r>
      <w:r>
        <w:rPr>
          <w:rFonts w:ascii="Verdana" w:eastAsia="Arial MT" w:hAnsi="Verdana" w:cs="Arial"/>
          <w:sz w:val="20"/>
          <w:szCs w:val="20"/>
        </w:rPr>
        <w:t xml:space="preserve"> </w:t>
      </w:r>
      <w:r w:rsidRPr="006B68BB">
        <w:rPr>
          <w:rFonts w:ascii="Verdana" w:eastAsia="Arial MT" w:hAnsi="Verdana" w:cs="Arial"/>
          <w:sz w:val="20"/>
          <w:szCs w:val="20"/>
        </w:rPr>
        <w:t>representación o asesoría respecto de los asuntos concretos de los cuales conoció en ejercicio de sus funciones, puede considerarse que la</w:t>
      </w:r>
      <w:r>
        <w:rPr>
          <w:rFonts w:ascii="Verdana" w:eastAsia="Arial MT" w:hAnsi="Verdana" w:cs="Arial"/>
          <w:sz w:val="20"/>
          <w:szCs w:val="20"/>
        </w:rPr>
        <w:t xml:space="preserve"> </w:t>
      </w:r>
      <w:r w:rsidRPr="006B68BB">
        <w:rPr>
          <w:rFonts w:ascii="Verdana" w:eastAsia="Arial MT" w:hAnsi="Verdana" w:cs="Arial"/>
          <w:sz w:val="20"/>
          <w:szCs w:val="20"/>
        </w:rPr>
        <w:t>prohibición de realizar estas actividades se enmarca en el ejercicio privado de algunas funciones, cargos o actividades que por su naturaleza o</w:t>
      </w:r>
      <w:r>
        <w:rPr>
          <w:rFonts w:ascii="Verdana" w:eastAsia="Arial MT" w:hAnsi="Verdana" w:cs="Arial"/>
          <w:sz w:val="20"/>
          <w:szCs w:val="20"/>
        </w:rPr>
        <w:t xml:space="preserve"> </w:t>
      </w:r>
      <w:r w:rsidRPr="006B68BB">
        <w:rPr>
          <w:rFonts w:ascii="Verdana" w:eastAsia="Arial MT" w:hAnsi="Verdana" w:cs="Arial"/>
          <w:sz w:val="20"/>
          <w:szCs w:val="20"/>
        </w:rPr>
        <w:t>alcance puedan generar afectación a la función pública.</w:t>
      </w:r>
    </w:p>
    <w:p w14:paraId="2FD308F2" w14:textId="77777777" w:rsidR="006B68BB" w:rsidRDefault="006B68BB" w:rsidP="006B68BB">
      <w:pPr>
        <w:widowControl w:val="0"/>
        <w:autoSpaceDE w:val="0"/>
        <w:autoSpaceDN w:val="0"/>
        <w:spacing w:after="0" w:line="240" w:lineRule="auto"/>
        <w:ind w:right="900"/>
        <w:jc w:val="both"/>
        <w:rPr>
          <w:rFonts w:ascii="Verdana" w:eastAsia="Arial MT" w:hAnsi="Verdana" w:cs="Arial"/>
          <w:sz w:val="20"/>
          <w:szCs w:val="20"/>
        </w:rPr>
      </w:pPr>
    </w:p>
    <w:p w14:paraId="425DAA69" w14:textId="70E7BB42" w:rsidR="006B68BB" w:rsidRDefault="006B68BB" w:rsidP="00F43961">
      <w:pPr>
        <w:widowControl w:val="0"/>
        <w:autoSpaceDE w:val="0"/>
        <w:autoSpaceDN w:val="0"/>
        <w:spacing w:after="0" w:line="240" w:lineRule="auto"/>
        <w:ind w:left="708" w:right="900"/>
        <w:jc w:val="both"/>
        <w:rPr>
          <w:rFonts w:ascii="Verdana" w:eastAsia="Arial MT" w:hAnsi="Verdana" w:cs="Arial"/>
          <w:sz w:val="20"/>
          <w:szCs w:val="20"/>
        </w:rPr>
      </w:pPr>
      <w:r w:rsidRPr="006B68BB">
        <w:rPr>
          <w:rFonts w:ascii="Verdana" w:eastAsia="Arial MT" w:hAnsi="Verdana" w:cs="Arial"/>
          <w:sz w:val="20"/>
          <w:szCs w:val="20"/>
        </w:rPr>
        <w:t>En ese sentido, esta prohibición pretende evitar que terceros pueden beneficiarse de la información especial y del conocimiento que en razón de</w:t>
      </w:r>
      <w:r>
        <w:rPr>
          <w:rFonts w:ascii="Verdana" w:eastAsia="Arial MT" w:hAnsi="Verdana" w:cs="Arial"/>
          <w:sz w:val="20"/>
          <w:szCs w:val="20"/>
        </w:rPr>
        <w:t xml:space="preserve"> </w:t>
      </w:r>
      <w:r w:rsidRPr="006B68BB">
        <w:rPr>
          <w:rFonts w:ascii="Verdana" w:eastAsia="Arial MT" w:hAnsi="Verdana" w:cs="Arial"/>
          <w:sz w:val="20"/>
          <w:szCs w:val="20"/>
        </w:rPr>
        <w:t>sus funciones tiene el servidor público y que la función pública sea utilizada de manera ilegal en provecho de intereses particulares o con</w:t>
      </w:r>
      <w:r>
        <w:rPr>
          <w:rFonts w:ascii="Verdana" w:eastAsia="Arial MT" w:hAnsi="Verdana" w:cs="Arial"/>
          <w:sz w:val="20"/>
          <w:szCs w:val="20"/>
        </w:rPr>
        <w:t xml:space="preserve"> </w:t>
      </w:r>
      <w:r w:rsidRPr="006B68BB">
        <w:rPr>
          <w:rFonts w:ascii="Verdana" w:eastAsia="Arial MT" w:hAnsi="Verdana" w:cs="Arial"/>
          <w:sz w:val="20"/>
          <w:szCs w:val="20"/>
        </w:rPr>
        <w:t>exclusiones indebidas, o con favoritismos que reflejen privilegios no autorizados por la ley, o con ventajas obtenidas a merced del uso de</w:t>
      </w:r>
      <w:r>
        <w:rPr>
          <w:rFonts w:ascii="Verdana" w:eastAsia="Arial MT" w:hAnsi="Verdana" w:cs="Arial"/>
          <w:sz w:val="20"/>
          <w:szCs w:val="20"/>
        </w:rPr>
        <w:t xml:space="preserve"> </w:t>
      </w:r>
      <w:r w:rsidRPr="006B68BB">
        <w:rPr>
          <w:rFonts w:ascii="Verdana" w:eastAsia="Arial MT" w:hAnsi="Verdana" w:cs="Arial"/>
          <w:sz w:val="20"/>
          <w:szCs w:val="20"/>
        </w:rPr>
        <w:t>información a la que se tuvo acceso por razón de la calidad de servidor público, atentando de esta forma contra la ética y la probidad que deben</w:t>
      </w:r>
      <w:r>
        <w:rPr>
          <w:rFonts w:ascii="Verdana" w:eastAsia="Arial MT" w:hAnsi="Verdana" w:cs="Arial"/>
          <w:sz w:val="20"/>
          <w:szCs w:val="20"/>
        </w:rPr>
        <w:t xml:space="preserve"> </w:t>
      </w:r>
      <w:r w:rsidRPr="006B68BB">
        <w:rPr>
          <w:rFonts w:ascii="Verdana" w:eastAsia="Arial MT" w:hAnsi="Verdana" w:cs="Arial"/>
          <w:sz w:val="20"/>
          <w:szCs w:val="20"/>
        </w:rPr>
        <w:t>caracterizar a los funcionarios públicos.</w:t>
      </w:r>
      <w:r w:rsidRPr="006A09D6">
        <w:rPr>
          <w:rFonts w:ascii="Verdana" w:eastAsia="Arial MT" w:hAnsi="Verdana" w:cs="Arial"/>
          <w:sz w:val="20"/>
          <w:szCs w:val="20"/>
        </w:rPr>
        <w:t>[…]</w:t>
      </w:r>
      <w:r w:rsidR="00F43961">
        <w:rPr>
          <w:rFonts w:ascii="Verdana" w:eastAsia="Arial MT" w:hAnsi="Verdana" w:cs="Arial"/>
          <w:sz w:val="20"/>
          <w:szCs w:val="20"/>
        </w:rPr>
        <w:t>.</w:t>
      </w:r>
    </w:p>
    <w:p w14:paraId="0146F4F8" w14:textId="77777777" w:rsidR="00F43961" w:rsidRDefault="00F43961" w:rsidP="00F43961">
      <w:pPr>
        <w:widowControl w:val="0"/>
        <w:autoSpaceDE w:val="0"/>
        <w:autoSpaceDN w:val="0"/>
        <w:spacing w:after="120" w:line="276" w:lineRule="auto"/>
        <w:jc w:val="both"/>
        <w:rPr>
          <w:rFonts w:ascii="Verdana" w:eastAsia="Arial MT" w:hAnsi="Verdana" w:cs="Arial"/>
          <w:lang w:eastAsia="es-ES" w:bidi="es-ES"/>
        </w:rPr>
      </w:pPr>
    </w:p>
    <w:p w14:paraId="5496AE71" w14:textId="77777777" w:rsidR="001429F0" w:rsidRDefault="001429F0" w:rsidP="001429F0">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Por lo indicado, se concluye que, e</w:t>
      </w:r>
      <w:r w:rsidRPr="007A1E92">
        <w:rPr>
          <w:rFonts w:ascii="Verdana" w:eastAsia="Arial MT" w:hAnsi="Verdana" w:cs="Arial"/>
          <w:lang w:eastAsia="es-ES" w:bidi="es-ES"/>
        </w:rPr>
        <w:t>n el caso expuesto, el exalcalde no podrá prestar servicios en temas que involucren asuntos concretos que fueron objeto de decisión durante su ejercicio como servidor público, incluyendo aquellos relacionados con el proceso de investigación fiscal u otros asuntos específicos que haya conocido</w:t>
      </w:r>
      <w:r>
        <w:rPr>
          <w:rFonts w:ascii="Verdana" w:eastAsia="Arial MT" w:hAnsi="Verdana" w:cs="Arial"/>
          <w:lang w:eastAsia="es-ES" w:bidi="es-ES"/>
        </w:rPr>
        <w:t>.</w:t>
      </w:r>
    </w:p>
    <w:p w14:paraId="6D9A77E7" w14:textId="33AF0380" w:rsidR="00F43961" w:rsidRDefault="001429F0" w:rsidP="001429F0">
      <w:pPr>
        <w:widowControl w:val="0"/>
        <w:autoSpaceDE w:val="0"/>
        <w:autoSpaceDN w:val="0"/>
        <w:spacing w:after="120" w:line="276" w:lineRule="auto"/>
        <w:jc w:val="both"/>
        <w:rPr>
          <w:rFonts w:ascii="Verdana" w:eastAsia="Arial MT" w:hAnsi="Verdana" w:cs="Arial"/>
          <w:lang w:eastAsia="es-ES" w:bidi="es-ES"/>
        </w:rPr>
      </w:pPr>
      <w:r>
        <w:rPr>
          <w:rFonts w:ascii="Verdana" w:eastAsia="Arial MT" w:hAnsi="Verdana" w:cs="Arial"/>
          <w:lang w:eastAsia="es-ES" w:bidi="es-ES"/>
        </w:rPr>
        <w:t>Así, será necesario evaluar por parte de la Entidad, el objeto y obligaciones del contrato de prestación de servicios y establecer</w:t>
      </w:r>
      <w:r w:rsidRPr="006A09D6">
        <w:rPr>
          <w:rFonts w:ascii="Verdana" w:eastAsia="Arial MT" w:hAnsi="Verdana" w:cs="Arial"/>
          <w:lang w:eastAsia="es-ES" w:bidi="es-ES"/>
        </w:rPr>
        <w:t xml:space="preserve"> </w:t>
      </w:r>
      <w:r>
        <w:rPr>
          <w:rFonts w:ascii="Verdana" w:eastAsia="Arial MT" w:hAnsi="Verdana" w:cs="Arial"/>
          <w:lang w:eastAsia="es-ES" w:bidi="es-ES"/>
        </w:rPr>
        <w:t xml:space="preserve">si </w:t>
      </w:r>
      <w:r w:rsidRPr="006A09D6">
        <w:rPr>
          <w:rFonts w:ascii="Verdana" w:eastAsia="Arial MT" w:hAnsi="Verdana" w:cs="Arial"/>
          <w:lang w:eastAsia="es-ES" w:bidi="es-ES"/>
        </w:rPr>
        <w:t>se puede configurar alguna de las causales de inhabilidad e incompatibilidad en el contrato estatal</w:t>
      </w:r>
      <w:r w:rsidR="00F43961">
        <w:rPr>
          <w:rFonts w:ascii="Verdana" w:eastAsia="Arial MT" w:hAnsi="Verdana" w:cs="Arial"/>
          <w:lang w:eastAsia="es-ES" w:bidi="es-ES"/>
        </w:rPr>
        <w:t xml:space="preserve">. </w:t>
      </w:r>
    </w:p>
    <w:p w14:paraId="6E8F8506" w14:textId="77777777" w:rsidR="00F43961" w:rsidRDefault="00F43961" w:rsidP="00F43961">
      <w:pPr>
        <w:widowControl w:val="0"/>
        <w:autoSpaceDE w:val="0"/>
        <w:autoSpaceDN w:val="0"/>
        <w:spacing w:after="120" w:line="276" w:lineRule="auto"/>
        <w:jc w:val="both"/>
        <w:rPr>
          <w:rFonts w:ascii="Verdana" w:eastAsia="Arial MT" w:hAnsi="Verdana" w:cs="Arial"/>
          <w:lang w:eastAsia="es-ES" w:bidi="es-ES"/>
        </w:rPr>
      </w:pPr>
    </w:p>
    <w:p w14:paraId="36B9DA69" w14:textId="05F7F54E" w:rsidR="00B0794B" w:rsidRDefault="00013BF3" w:rsidP="00013BF3">
      <w:pPr>
        <w:spacing w:after="0" w:line="256" w:lineRule="auto"/>
        <w:rPr>
          <w:rFonts w:ascii="Verdana" w:eastAsia="Calibri" w:hAnsi="Verdana" w:cs="Times New Roman"/>
          <w:b/>
          <w:bCs/>
          <w:lang w:val="es-ES"/>
        </w:rPr>
      </w:pPr>
      <w:r>
        <w:rPr>
          <w:rFonts w:ascii="Verdana" w:eastAsia="Calibri" w:hAnsi="Verdana" w:cs="Times New Roman"/>
          <w:b/>
          <w:bCs/>
          <w:lang w:val="es-ES"/>
        </w:rPr>
        <w:t>4.</w:t>
      </w:r>
      <w:r w:rsidR="00B0794B" w:rsidRPr="00013BF3">
        <w:rPr>
          <w:rFonts w:ascii="Verdana" w:eastAsia="Calibri" w:hAnsi="Verdana" w:cs="Times New Roman"/>
          <w:b/>
          <w:bCs/>
          <w:lang w:val="es-ES"/>
        </w:rPr>
        <w:t>Referencias normativas, jurisprudenciales y otras fuentes:</w:t>
      </w:r>
    </w:p>
    <w:p w14:paraId="1B531C5C" w14:textId="77777777" w:rsidR="00013BF3" w:rsidRPr="00013BF3" w:rsidRDefault="00013BF3" w:rsidP="00013BF3">
      <w:pPr>
        <w:spacing w:after="0" w:line="256" w:lineRule="auto"/>
        <w:rPr>
          <w:rFonts w:ascii="Verdana" w:eastAsia="Calibri" w:hAnsi="Verdana" w:cs="Times New Roman"/>
          <w:b/>
          <w:bCs/>
          <w:lang w:val="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0794B" w:rsidRPr="001205D1" w14:paraId="1E8C8091" w14:textId="77777777" w:rsidTr="001E27AA">
        <w:trPr>
          <w:trHeight w:val="870"/>
          <w:jc w:val="center"/>
        </w:trPr>
        <w:tc>
          <w:tcPr>
            <w:tcW w:w="8647" w:type="dxa"/>
          </w:tcPr>
          <w:p w14:paraId="45FA6A76" w14:textId="0153FFED" w:rsidR="00F43961" w:rsidRPr="00365D6B" w:rsidRDefault="00F43961" w:rsidP="00365D6B">
            <w:pPr>
              <w:pStyle w:val="Prrafodelista"/>
              <w:numPr>
                <w:ilvl w:val="0"/>
                <w:numId w:val="10"/>
              </w:numPr>
              <w:rPr>
                <w:rFonts w:ascii="Verdana" w:hAnsi="Verdana"/>
              </w:rPr>
            </w:pPr>
            <w:r w:rsidRPr="00365D6B">
              <w:rPr>
                <w:rFonts w:ascii="Verdana" w:hAnsi="Verdana"/>
              </w:rPr>
              <w:t>Ley 80 de 1993, artículo 8</w:t>
            </w:r>
          </w:p>
          <w:p w14:paraId="32D31592" w14:textId="125D0DB7" w:rsidR="00F43961" w:rsidRPr="00172FAD" w:rsidRDefault="00F43961" w:rsidP="00F43961">
            <w:pPr>
              <w:pStyle w:val="Prrafodelista"/>
              <w:numPr>
                <w:ilvl w:val="0"/>
                <w:numId w:val="10"/>
              </w:numPr>
              <w:rPr>
                <w:rFonts w:ascii="Verdana" w:hAnsi="Verdana"/>
              </w:rPr>
            </w:pPr>
            <w:r>
              <w:rPr>
                <w:rFonts w:ascii="Verdana" w:hAnsi="Verdana"/>
              </w:rPr>
              <w:t>Ley 1952 de 2019, artículo 56.</w:t>
            </w:r>
          </w:p>
          <w:p w14:paraId="3E4B2749" w14:textId="77777777" w:rsidR="00365D6B" w:rsidRPr="00365D6B" w:rsidRDefault="00F43961" w:rsidP="00365D6B">
            <w:pPr>
              <w:pStyle w:val="Prrafodelista"/>
              <w:numPr>
                <w:ilvl w:val="0"/>
                <w:numId w:val="10"/>
              </w:numPr>
              <w:jc w:val="both"/>
              <w:rPr>
                <w:rFonts w:ascii="Verdana" w:hAnsi="Verdana" w:cs="Arial"/>
                <w:color w:val="000000"/>
              </w:rPr>
            </w:pPr>
            <w:r w:rsidRPr="00172FAD">
              <w:rPr>
                <w:rFonts w:ascii="Verdana" w:hAnsi="Verdana"/>
              </w:rPr>
              <w:t>Corte Constitucional. Sentencia C-489/96. M.P: Antonio Barrera Carbonell</w:t>
            </w:r>
          </w:p>
          <w:p w14:paraId="4A7250A4" w14:textId="4B66B56E" w:rsidR="00B0794B" w:rsidRPr="00365D6B" w:rsidRDefault="00F43961" w:rsidP="00365D6B">
            <w:pPr>
              <w:pStyle w:val="Prrafodelista"/>
              <w:numPr>
                <w:ilvl w:val="0"/>
                <w:numId w:val="10"/>
              </w:numPr>
              <w:jc w:val="both"/>
              <w:rPr>
                <w:rFonts w:ascii="Verdana" w:hAnsi="Verdana" w:cs="Arial"/>
                <w:color w:val="000000"/>
              </w:rPr>
            </w:pPr>
            <w:r w:rsidRPr="00365D6B">
              <w:rPr>
                <w:rFonts w:ascii="Verdana" w:hAnsi="Verdana" w:cs="Arial"/>
                <w:color w:val="000000"/>
              </w:rPr>
              <w:t xml:space="preserve">Corte Constitucional. Sentencia T-1039 de 2006. </w:t>
            </w:r>
            <w:r w:rsidRPr="00365D6B">
              <w:rPr>
                <w:rFonts w:ascii="Verdana" w:hAnsi="Verdana" w:cs="Arial"/>
                <w:color w:val="000000"/>
                <w:lang w:val="it-IT"/>
              </w:rPr>
              <w:t xml:space="preserve">Magistrado Ponente: Humberto Sierra Porto. </w:t>
            </w:r>
          </w:p>
        </w:tc>
      </w:tr>
    </w:tbl>
    <w:p w14:paraId="7773AF94" w14:textId="77777777" w:rsidR="00365D6B" w:rsidRPr="00185EE9" w:rsidRDefault="00365D6B" w:rsidP="00B0794B">
      <w:pPr>
        <w:spacing w:after="0" w:line="276" w:lineRule="auto"/>
        <w:ind w:right="709"/>
        <w:jc w:val="both"/>
        <w:rPr>
          <w:rFonts w:ascii="Verdana" w:hAnsi="Verdana" w:cs="Arial"/>
          <w:color w:val="000000" w:themeColor="text1"/>
          <w:lang w:val="es-ES_tradnl"/>
        </w:rPr>
      </w:pPr>
    </w:p>
    <w:p w14:paraId="1E9D6F35" w14:textId="233B584F" w:rsidR="00B0794B" w:rsidRPr="00013BF3" w:rsidRDefault="00013BF3" w:rsidP="00013BF3">
      <w:pPr>
        <w:spacing w:after="0" w:line="256" w:lineRule="auto"/>
        <w:rPr>
          <w:rFonts w:ascii="Verdana" w:eastAsia="Calibri" w:hAnsi="Verdana" w:cs="Times New Roman"/>
          <w:b/>
          <w:bCs/>
          <w:lang w:val="es-ES"/>
        </w:rPr>
      </w:pPr>
      <w:r>
        <w:rPr>
          <w:rFonts w:ascii="Verdana" w:eastAsia="Calibri" w:hAnsi="Verdana" w:cs="Times New Roman"/>
          <w:b/>
          <w:bCs/>
          <w:lang w:val="es-ES"/>
        </w:rPr>
        <w:t>5.</w:t>
      </w:r>
      <w:r w:rsidR="00B0794B" w:rsidRPr="00013BF3">
        <w:rPr>
          <w:rFonts w:ascii="Verdana" w:eastAsia="Calibri" w:hAnsi="Verdana" w:cs="Times New Roman"/>
          <w:b/>
          <w:bCs/>
          <w:lang w:val="es-ES"/>
        </w:rPr>
        <w:t>Doctrina de la Agencia Nacional de Contratación Pública:</w:t>
      </w:r>
    </w:p>
    <w:p w14:paraId="22242C37" w14:textId="77777777" w:rsidR="00365D6B" w:rsidRPr="00365D6B" w:rsidRDefault="00365D6B" w:rsidP="001429F0">
      <w:pPr>
        <w:spacing w:after="0" w:line="256" w:lineRule="auto"/>
        <w:rPr>
          <w:rFonts w:ascii="Verdana" w:eastAsia="Calibri" w:hAnsi="Verdana" w:cs="Times New Roman"/>
          <w:b/>
          <w:bCs/>
          <w:lang w:val="es-ES"/>
        </w:rPr>
      </w:pPr>
    </w:p>
    <w:p w14:paraId="68A3F01E" w14:textId="77777777" w:rsidR="00365D6B" w:rsidRDefault="00B0794B" w:rsidP="00365D6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3F4BAF">
        <w:rPr>
          <w:rFonts w:ascii="Verdana" w:hAnsi="Verdana" w:cs="Arial"/>
          <w:bCs/>
          <w:shd w:val="clear" w:color="auto" w:fill="FFFFFF"/>
        </w:rPr>
        <w:t xml:space="preserve">La Agencia Nacional de Contratación Pública – Colombia Compra Eficiente, </w:t>
      </w:r>
      <w:r w:rsidR="00365D6B" w:rsidRPr="00BA1192">
        <w:rPr>
          <w:rFonts w:ascii="Verdana" w:eastAsia="Calibri" w:hAnsi="Verdana" w:cs="Arial"/>
          <w:lang w:val="es-ES_tradnl" w:eastAsia="es-ES_tradnl"/>
        </w:rPr>
        <w:t>Sobre el régimen de inhabilidades e incompatibilidades esta Subdirección se pronunció en los</w:t>
      </w:r>
      <w:r w:rsidR="00365D6B" w:rsidRPr="00BA1192">
        <w:rPr>
          <w:rFonts w:ascii="Verdana" w:eastAsia="Calibri" w:hAnsi="Verdana" w:cs="Arial"/>
          <w:lang w:val="es-MX"/>
        </w:rPr>
        <w:t xml:space="preserve">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la respuesta </w:t>
      </w:r>
      <w:r w:rsidR="00365D6B" w:rsidRPr="00BA1192">
        <w:rPr>
          <w:rFonts w:ascii="Verdana" w:hAnsi="Verdana" w:cs="Arial"/>
        </w:rPr>
        <w:t xml:space="preserve">al radicado </w:t>
      </w:r>
      <w:r w:rsidR="00365D6B" w:rsidRPr="00BA1192">
        <w:rPr>
          <w:rFonts w:ascii="Verdana" w:eastAsia="Aptos" w:hAnsi="Verdana" w:cs="Calibri"/>
        </w:rPr>
        <w:t>P20240308002646 del 24 de abril de 2024,</w:t>
      </w:r>
      <w:r w:rsidR="00365D6B" w:rsidRPr="00BA1192">
        <w:rPr>
          <w:rFonts w:ascii="Verdana" w:eastAsia="Calibri" w:hAnsi="Verdana" w:cs="Arial"/>
          <w:lang w:val="es-MX"/>
        </w:rPr>
        <w:t xml:space="preserve"> el C-039 del 23 de abril de 2024, </w:t>
      </w:r>
      <w:r w:rsidR="00365D6B" w:rsidRPr="00BA1192">
        <w:rPr>
          <w:rFonts w:ascii="Verdana" w:hAnsi="Verdana" w:cs="Arial"/>
        </w:rPr>
        <w:t>C-085 del 3 de marzo de 2025</w:t>
      </w:r>
      <w:r w:rsidR="00365D6B">
        <w:rPr>
          <w:rFonts w:ascii="Verdana" w:hAnsi="Verdana" w:cs="Arial"/>
        </w:rPr>
        <w:t>,</w:t>
      </w:r>
      <w:r w:rsidR="00365D6B" w:rsidRPr="00BA1192">
        <w:rPr>
          <w:rFonts w:ascii="Verdana" w:hAnsi="Verdana" w:cs="Arial"/>
        </w:rPr>
        <w:t xml:space="preserve"> </w:t>
      </w:r>
      <w:r w:rsidR="00365D6B" w:rsidRPr="00BA1192">
        <w:rPr>
          <w:rFonts w:ascii="Verdana" w:eastAsia="Aptos" w:hAnsi="Verdana" w:cs="Calibri"/>
        </w:rPr>
        <w:t>C-170 del 19 de marzo de 2025</w:t>
      </w:r>
      <w:r w:rsidR="00365D6B">
        <w:rPr>
          <w:rFonts w:ascii="Verdana" w:eastAsia="Aptos" w:hAnsi="Verdana" w:cs="Calibri"/>
        </w:rPr>
        <w:t xml:space="preserve"> y </w:t>
      </w:r>
      <w:r w:rsidR="00365D6B">
        <w:rPr>
          <w:rFonts w:ascii="Verdana" w:hAnsi="Verdana" w:cs="Arial"/>
        </w:rPr>
        <w:t xml:space="preserve">C-201 de 26 de marzo de 2025 </w:t>
      </w:r>
      <w:r w:rsidR="00365D6B" w:rsidRPr="00A1554D">
        <w:rPr>
          <w:rStyle w:val="normaltextrun"/>
          <w:rFonts w:ascii="Verdana" w:hAnsi="Verdana" w:cs="Arial"/>
          <w:shd w:val="clear" w:color="auto" w:fill="FFFFFF"/>
          <w:lang w:val="es-ES"/>
        </w:rPr>
        <w:t>Es</w:t>
      </w:r>
      <w:r w:rsidR="00365D6B" w:rsidRPr="00A1554D">
        <w:rPr>
          <w:rFonts w:ascii="Verdana" w:hAnsi="Verdana"/>
        </w:rPr>
        <w:t xml:space="preserve">tos y otros conceptos se encuentran disponibles para consulta en el Sistema de </w:t>
      </w:r>
      <w:r w:rsidR="00365D6B">
        <w:rPr>
          <w:rFonts w:ascii="Verdana" w:hAnsi="Verdana"/>
        </w:rPr>
        <w:t>r</w:t>
      </w:r>
      <w:r w:rsidR="00365D6B" w:rsidRPr="00A1554D">
        <w:rPr>
          <w:rFonts w:ascii="Verdana" w:hAnsi="Verdana"/>
        </w:rPr>
        <w:t xml:space="preserve">elatoría de la Agencia, </w:t>
      </w:r>
      <w:r w:rsidR="00365D6B" w:rsidRPr="00A1554D">
        <w:rPr>
          <w:rFonts w:ascii="Verdana" w:hAnsi="Verdana"/>
        </w:rPr>
        <w:lastRenderedPageBreak/>
        <w:t>al cual se puede acceder a través del siguiente enlace:</w:t>
      </w:r>
      <w:r w:rsidR="00365D6B" w:rsidRPr="00A1554D">
        <w:rPr>
          <w:rStyle w:val="normaltextrun"/>
          <w:rFonts w:ascii="Verdana" w:hAnsi="Verdana" w:cs="Arial"/>
          <w:shd w:val="clear" w:color="auto" w:fill="FFFFFF"/>
          <w:lang w:val="es-ES"/>
        </w:rPr>
        <w:t xml:space="preserve"> </w:t>
      </w:r>
      <w:hyperlink r:id="rId12" w:history="1">
        <w:r w:rsidR="00365D6B" w:rsidRPr="00A1554D">
          <w:rPr>
            <w:rStyle w:val="Hipervnculo"/>
            <w:rFonts w:ascii="Verdana" w:hAnsi="Verdana" w:cs="Arial"/>
            <w:shd w:val="clear" w:color="auto" w:fill="FFFFFF"/>
            <w:lang w:val="es-ES"/>
          </w:rPr>
          <w:t>https://relatoria.colombiacompra.gov.co/busqueda/conceptos</w:t>
        </w:r>
      </w:hyperlink>
      <w:r w:rsidR="00365D6B">
        <w:rPr>
          <w:rStyle w:val="normaltextrun"/>
          <w:rFonts w:ascii="Verdana" w:hAnsi="Verdana" w:cs="Arial"/>
          <w:color w:val="FF0000"/>
          <w:shd w:val="clear" w:color="auto" w:fill="FFFFFF"/>
          <w:lang w:val="es-ES"/>
        </w:rPr>
        <w:t xml:space="preserve">. </w:t>
      </w:r>
    </w:p>
    <w:p w14:paraId="653CF3BE" w14:textId="77777777" w:rsidR="00871B59" w:rsidRPr="00876554" w:rsidRDefault="00871B59" w:rsidP="00871B59">
      <w:pPr>
        <w:widowControl w:val="0"/>
        <w:autoSpaceDE w:val="0"/>
        <w:autoSpaceDN w:val="0"/>
        <w:spacing w:after="0" w:line="276" w:lineRule="auto"/>
        <w:jc w:val="both"/>
        <w:rPr>
          <w:rStyle w:val="normaltextrun"/>
          <w:rFonts w:ascii="Verdana" w:hAnsi="Verdana" w:cs="Arial"/>
          <w:shd w:val="clear" w:color="auto" w:fill="FFFFFF"/>
          <w:lang w:val="es-ES"/>
        </w:rPr>
      </w:pPr>
    </w:p>
    <w:p w14:paraId="7CFA41BC" w14:textId="77777777" w:rsidR="00B0794B" w:rsidRPr="001205D1" w:rsidRDefault="00B0794B" w:rsidP="00B0794B">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27B8D2CB" w14:textId="77777777" w:rsidR="00B0794B" w:rsidRPr="009C4035" w:rsidRDefault="00B0794B" w:rsidP="00B0794B">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787B7535" w14:textId="77777777" w:rsidR="00B0794B" w:rsidRPr="00593A5F" w:rsidRDefault="00B0794B" w:rsidP="00B0794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876554" w:rsidRDefault="00871B59" w:rsidP="00871B59">
      <w:pPr>
        <w:widowControl w:val="0"/>
        <w:autoSpaceDE w:val="0"/>
        <w:autoSpaceDN w:val="0"/>
        <w:spacing w:after="0" w:line="276" w:lineRule="auto"/>
        <w:jc w:val="both"/>
        <w:rPr>
          <w:rFonts w:ascii="Verdana" w:hAnsi="Verdana" w:cs="Arial"/>
        </w:rPr>
      </w:pPr>
    </w:p>
    <w:p w14:paraId="40297B07" w14:textId="4FC248B2" w:rsidR="00B0794B" w:rsidRPr="00B0794B" w:rsidRDefault="00871B59" w:rsidP="008D63E4">
      <w:pPr>
        <w:spacing w:after="0" w:line="240" w:lineRule="auto"/>
        <w:rPr>
          <w:rFonts w:ascii="Verdana" w:hAnsi="Verdana" w:cs="Arial"/>
          <w:lang w:eastAsia="es-CO"/>
        </w:rPr>
      </w:pPr>
      <w:r w:rsidRPr="00876554">
        <w:rPr>
          <w:rFonts w:ascii="Verdana" w:eastAsia="Times New Roman" w:hAnsi="Verdana" w:cs="Arial"/>
          <w:lang w:eastAsia="es-CO"/>
        </w:rPr>
        <w:t>Atentamente,</w:t>
      </w:r>
      <w:r w:rsidRPr="00876554">
        <w:rPr>
          <w:rFonts w:ascii="Verdana" w:hAnsi="Verdana" w:cs="Arial"/>
          <w:lang w:eastAsia="es-CO"/>
        </w:rPr>
        <w:t xml:space="preserve"> </w:t>
      </w:r>
    </w:p>
    <w:p w14:paraId="510CF084" w14:textId="5A4406BB" w:rsidR="00871B59" w:rsidRPr="00365D6B" w:rsidRDefault="00C7611C" w:rsidP="00365D6B">
      <w:pPr>
        <w:spacing w:line="276"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7EC32D17" wp14:editId="378C2539">
            <wp:extent cx="3639058" cy="1343212"/>
            <wp:effectExtent l="0" t="0" r="0" b="0"/>
            <wp:docPr id="10056398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3986"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6AEE985A" w14:textId="77777777" w:rsidR="00365D6B" w:rsidRPr="00876554" w:rsidRDefault="00365D6B" w:rsidP="00365D6B">
      <w:pPr>
        <w:spacing w:after="0" w:line="240" w:lineRule="auto"/>
        <w:jc w:val="center"/>
        <w:rPr>
          <w:rFonts w:ascii="Verdana" w:eastAsia="Times New Roman" w:hAnsi="Verdana" w:cs="Arial"/>
          <w:sz w:val="24"/>
          <w:szCs w:val="24"/>
          <w:lang w:eastAsia="es-ES"/>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65D6B" w:rsidRPr="00593A5F" w14:paraId="1FB44766" w14:textId="77777777" w:rsidTr="00594B48">
        <w:trPr>
          <w:trHeight w:val="315"/>
        </w:trPr>
        <w:tc>
          <w:tcPr>
            <w:tcW w:w="893" w:type="dxa"/>
            <w:vAlign w:val="center"/>
            <w:hideMark/>
          </w:tcPr>
          <w:p w14:paraId="02096681" w14:textId="77777777" w:rsidR="00365D6B" w:rsidRPr="003751C7" w:rsidRDefault="00365D6B" w:rsidP="00594B4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DAE23E7" w14:textId="6BC0B834" w:rsidR="00365D6B" w:rsidRPr="00B56BAE" w:rsidRDefault="00365D6B" w:rsidP="00594B48">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Gloria Elizabeth Arango Builes</w:t>
            </w:r>
          </w:p>
          <w:p w14:paraId="5CA421DF" w14:textId="77777777" w:rsidR="00365D6B" w:rsidRPr="003751C7" w:rsidRDefault="00365D6B" w:rsidP="00594B48">
            <w:pPr>
              <w:contextualSpacing/>
              <w:rPr>
                <w:rFonts w:ascii="Verdana" w:eastAsia="Arial" w:hAnsi="Verdana" w:cs="Arial"/>
                <w:sz w:val="16"/>
                <w:szCs w:val="16"/>
              </w:rPr>
            </w:pPr>
            <w:r w:rsidRPr="00B56BAE">
              <w:rPr>
                <w:rStyle w:val="normaltextrun"/>
                <w:rFonts w:ascii="Verdana" w:eastAsia="Arial" w:hAnsi="Verdana" w:cs="Arial"/>
                <w:color w:val="000000" w:themeColor="text1"/>
                <w:sz w:val="16"/>
                <w:szCs w:val="16"/>
              </w:rPr>
              <w:t>C</w:t>
            </w:r>
            <w:r w:rsidRPr="00B56BAE">
              <w:rPr>
                <w:rStyle w:val="normaltextrun"/>
                <w:rFonts w:ascii="Verdana" w:hAnsi="Verdana"/>
                <w:color w:val="000000" w:themeColor="text1"/>
                <w:sz w:val="16"/>
                <w:szCs w:val="16"/>
              </w:rPr>
              <w:t>ontratista</w:t>
            </w:r>
            <w:r w:rsidRPr="00B56BAE">
              <w:rPr>
                <w:rStyle w:val="normaltextrun"/>
                <w:rFonts w:ascii="Verdana" w:eastAsia="Arial" w:hAnsi="Verdana" w:cs="Arial"/>
                <w:color w:val="000000" w:themeColor="text1"/>
                <w:sz w:val="16"/>
                <w:szCs w:val="16"/>
              </w:rPr>
              <w:t xml:space="preserve"> de la Subdirección de Gestión Contractual</w:t>
            </w:r>
          </w:p>
        </w:tc>
      </w:tr>
      <w:tr w:rsidR="00365D6B" w:rsidRPr="00593A5F" w14:paraId="0BBB08FC" w14:textId="77777777" w:rsidTr="00594B48">
        <w:trPr>
          <w:trHeight w:val="330"/>
        </w:trPr>
        <w:tc>
          <w:tcPr>
            <w:tcW w:w="893" w:type="dxa"/>
            <w:vAlign w:val="center"/>
            <w:hideMark/>
          </w:tcPr>
          <w:p w14:paraId="6223D04C" w14:textId="77777777" w:rsidR="00365D6B" w:rsidRPr="003751C7" w:rsidRDefault="00365D6B" w:rsidP="00594B4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2FACEF3" w14:textId="6311F934" w:rsidR="00365D6B" w:rsidRPr="00B56BAE" w:rsidRDefault="00365D6B" w:rsidP="00594B48">
            <w:pPr>
              <w:pStyle w:val="paragraph"/>
              <w:spacing w:before="0" w:beforeAutospacing="0" w:after="0" w:afterAutospacing="0"/>
              <w:contextualSpacing/>
              <w:textAlignment w:val="baseline"/>
              <w:rPr>
                <w:rFonts w:ascii="Verdana" w:hAnsi="Verdana" w:cs="Segoe UI"/>
                <w:color w:val="000000" w:themeColor="text1"/>
                <w:sz w:val="16"/>
                <w:szCs w:val="16"/>
              </w:rPr>
            </w:pPr>
            <w:r w:rsidRPr="00B56BAE">
              <w:rPr>
                <w:rFonts w:ascii="Verdana" w:hAnsi="Verdana" w:cs="Segoe UI"/>
                <w:color w:val="000000" w:themeColor="text1"/>
                <w:sz w:val="16"/>
                <w:szCs w:val="16"/>
              </w:rPr>
              <w:t>Juan Carlos González Vázquez</w:t>
            </w:r>
          </w:p>
          <w:p w14:paraId="3AE203DD" w14:textId="77777777" w:rsidR="00365D6B" w:rsidRPr="003751C7" w:rsidRDefault="00365D6B" w:rsidP="00594B48">
            <w:pPr>
              <w:pStyle w:val="paragraph"/>
              <w:spacing w:before="0" w:beforeAutospacing="0" w:after="0" w:afterAutospacing="0"/>
              <w:contextualSpacing/>
              <w:textAlignment w:val="baseline"/>
              <w:rPr>
                <w:rFonts w:ascii="Verdana" w:hAnsi="Verdana" w:cs="Segoe UI"/>
                <w:sz w:val="16"/>
                <w:szCs w:val="16"/>
              </w:rPr>
            </w:pPr>
            <w:r w:rsidRPr="00B56BAE">
              <w:rPr>
                <w:rStyle w:val="normaltextrun"/>
                <w:rFonts w:ascii="Verdana" w:hAnsi="Verdana" w:cs="Arial"/>
                <w:color w:val="000000" w:themeColor="text1"/>
                <w:sz w:val="16"/>
                <w:szCs w:val="16"/>
                <w:lang w:val="es-ES"/>
              </w:rPr>
              <w:t>Contratista de la Subdirección de Gestión Contractual</w:t>
            </w:r>
            <w:r w:rsidRPr="00B56BAE">
              <w:rPr>
                <w:rStyle w:val="eop"/>
                <w:rFonts w:ascii="Verdana" w:hAnsi="Verdana" w:cs="Arial"/>
                <w:color w:val="000000" w:themeColor="text1"/>
                <w:sz w:val="16"/>
                <w:szCs w:val="16"/>
              </w:rPr>
              <w:t> </w:t>
            </w:r>
          </w:p>
        </w:tc>
      </w:tr>
      <w:tr w:rsidR="00365D6B" w:rsidRPr="00593A5F" w14:paraId="4B9C8B91" w14:textId="77777777" w:rsidTr="00594B48">
        <w:trPr>
          <w:trHeight w:val="300"/>
        </w:trPr>
        <w:tc>
          <w:tcPr>
            <w:tcW w:w="893" w:type="dxa"/>
            <w:vAlign w:val="center"/>
          </w:tcPr>
          <w:p w14:paraId="21545AE7" w14:textId="77777777" w:rsidR="00365D6B" w:rsidRPr="003751C7" w:rsidRDefault="00365D6B" w:rsidP="00594B4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3021F7" w14:textId="77777777" w:rsidR="00365D6B" w:rsidRPr="003751C7" w:rsidRDefault="00365D6B" w:rsidP="00594B48">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D93D69A" w14:textId="77777777" w:rsidR="00365D6B" w:rsidRPr="003751C7" w:rsidRDefault="00365D6B" w:rsidP="00594B48">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0083C991" w14:textId="5C765C2F" w:rsidR="5D8505AD" w:rsidRPr="00876554" w:rsidRDefault="5D8505AD" w:rsidP="00871B59">
      <w:pPr>
        <w:rPr>
          <w:rFonts w:ascii="Verdana" w:hAnsi="Verdana"/>
        </w:rPr>
      </w:pPr>
    </w:p>
    <w:sectPr w:rsidR="5D8505AD" w:rsidRPr="00876554" w:rsidSect="00E45F4B">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F6FE2" w14:textId="77777777" w:rsidR="0099298D" w:rsidRDefault="0099298D" w:rsidP="00B30448">
      <w:pPr>
        <w:spacing w:after="0" w:line="240" w:lineRule="auto"/>
      </w:pPr>
      <w:r>
        <w:separator/>
      </w:r>
    </w:p>
  </w:endnote>
  <w:endnote w:type="continuationSeparator" w:id="0">
    <w:p w14:paraId="0D7233E3" w14:textId="77777777" w:rsidR="0099298D" w:rsidRDefault="0099298D" w:rsidP="00B30448">
      <w:pPr>
        <w:spacing w:after="0" w:line="240" w:lineRule="auto"/>
      </w:pPr>
      <w:r>
        <w:continuationSeparator/>
      </w:r>
    </w:p>
  </w:endnote>
  <w:endnote w:type="continuationNotice" w:id="1">
    <w:p w14:paraId="546283B5" w14:textId="77777777" w:rsidR="0099298D" w:rsidRDefault="009929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18D2D" w14:textId="77777777" w:rsidR="0099298D" w:rsidRDefault="0099298D" w:rsidP="00B30448">
      <w:pPr>
        <w:spacing w:after="0" w:line="240" w:lineRule="auto"/>
      </w:pPr>
      <w:r>
        <w:separator/>
      </w:r>
    </w:p>
  </w:footnote>
  <w:footnote w:type="continuationSeparator" w:id="0">
    <w:p w14:paraId="33C42F56" w14:textId="77777777" w:rsidR="0099298D" w:rsidRDefault="0099298D" w:rsidP="00B30448">
      <w:pPr>
        <w:spacing w:after="0" w:line="240" w:lineRule="auto"/>
      </w:pPr>
      <w:r>
        <w:continuationSeparator/>
      </w:r>
    </w:p>
  </w:footnote>
  <w:footnote w:type="continuationNotice" w:id="1">
    <w:p w14:paraId="4E6DB2C1" w14:textId="77777777" w:rsidR="0099298D" w:rsidRDefault="0099298D">
      <w:pPr>
        <w:spacing w:after="0" w:line="240" w:lineRule="auto"/>
      </w:pPr>
    </w:p>
  </w:footnote>
  <w:footnote w:id="2">
    <w:p w14:paraId="76BEEC75" w14:textId="77777777" w:rsidR="007A1E92" w:rsidRPr="008258D9" w:rsidRDefault="007A1E92" w:rsidP="007A1E92">
      <w:pPr>
        <w:pStyle w:val="Textonotapie"/>
        <w:ind w:firstLine="708"/>
        <w:rPr>
          <w:rFonts w:ascii="Verdana" w:hAnsi="Verdana"/>
          <w:sz w:val="16"/>
          <w:szCs w:val="16"/>
          <w:lang w:val="es-ES"/>
        </w:rPr>
      </w:pPr>
      <w:bookmarkStart w:id="1" w:name="_Hlk194585808"/>
      <w:r w:rsidRPr="008258D9">
        <w:rPr>
          <w:rStyle w:val="Refdenotaalpie"/>
          <w:rFonts w:ascii="Verdana" w:hAnsi="Verdana"/>
          <w:sz w:val="16"/>
          <w:szCs w:val="16"/>
        </w:rPr>
        <w:footnoteRef/>
      </w:r>
      <w:r w:rsidRPr="008258D9">
        <w:rPr>
          <w:rFonts w:ascii="Verdana" w:hAnsi="Verdana"/>
          <w:sz w:val="16"/>
          <w:szCs w:val="16"/>
        </w:rPr>
        <w:t xml:space="preserve"> </w:t>
      </w:r>
      <w:r w:rsidRPr="008258D9">
        <w:rPr>
          <w:rFonts w:ascii="Verdana" w:hAnsi="Verdana"/>
          <w:sz w:val="16"/>
          <w:szCs w:val="16"/>
          <w:lang w:val="es-ES"/>
        </w:rPr>
        <w:t>Corte Constitucional. Sentencia C-489/96. M.P: Antonio Barrera Carbonell</w:t>
      </w:r>
      <w:bookmarkEnd w:id="1"/>
    </w:p>
    <w:p w14:paraId="15824C47" w14:textId="77777777" w:rsidR="007A1E92" w:rsidRPr="008258D9" w:rsidRDefault="007A1E92" w:rsidP="007A1E92">
      <w:pPr>
        <w:pStyle w:val="Textonotapie"/>
        <w:ind w:firstLine="708"/>
        <w:rPr>
          <w:rFonts w:ascii="Verdana" w:hAnsi="Verdana"/>
          <w:sz w:val="16"/>
          <w:szCs w:val="16"/>
          <w:lang w:val="es-ES"/>
        </w:rPr>
      </w:pPr>
    </w:p>
  </w:footnote>
  <w:footnote w:id="3">
    <w:p w14:paraId="42B4F85D" w14:textId="77777777" w:rsidR="007A1E92" w:rsidRPr="001A625A" w:rsidRDefault="007A1E92" w:rsidP="007A1E92">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Son inhabilidades que responden a esta circunstancia, entre otras, las siguientes: “Quienes participaron en las licitaciones o celebraron los contratos de que trata el literal anterior estando inhabilitados” (art. 8, </w:t>
      </w:r>
      <w:r w:rsidRPr="001A625A">
        <w:rPr>
          <w:rFonts w:ascii="Verdana" w:hAnsi="Verdana" w:cs="Arial"/>
          <w:color w:val="000000" w:themeColor="text1"/>
          <w:sz w:val="16"/>
          <w:szCs w:val="16"/>
          <w:lang w:val="es-ES"/>
        </w:rPr>
        <w:t>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33A8E6F2" w14:textId="77777777" w:rsidR="007A1E92" w:rsidRPr="001A625A" w:rsidRDefault="007A1E92" w:rsidP="007A1E92">
      <w:pPr>
        <w:spacing w:after="0" w:line="240" w:lineRule="auto"/>
        <w:ind w:firstLine="709"/>
        <w:jc w:val="both"/>
        <w:rPr>
          <w:rFonts w:ascii="Verdana" w:hAnsi="Verdana" w:cs="Arial"/>
          <w:color w:val="000000" w:themeColor="text1"/>
          <w:sz w:val="16"/>
          <w:szCs w:val="16"/>
          <w:lang w:val="es-ES"/>
        </w:rPr>
      </w:pPr>
    </w:p>
  </w:footnote>
  <w:footnote w:id="4">
    <w:p w14:paraId="71B09F9D" w14:textId="77777777" w:rsidR="007A1E92" w:rsidRPr="001A625A" w:rsidRDefault="007A1E92" w:rsidP="007A1E92">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r w:rsidRPr="001A625A">
        <w:rPr>
          <w:rFonts w:ascii="Verdana" w:hAnsi="Verdana" w:cs="Arial"/>
          <w:color w:val="000000" w:themeColor="text1"/>
          <w:sz w:val="16"/>
          <w:szCs w:val="16"/>
          <w:lang w:val="es-ES"/>
        </w:rPr>
        <w:t>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1FE831BD" w14:textId="77777777" w:rsidR="007A1E92" w:rsidRPr="001A625A" w:rsidRDefault="007A1E92" w:rsidP="007A1E92">
      <w:pPr>
        <w:pStyle w:val="Textonotapie"/>
        <w:ind w:firstLine="709"/>
        <w:jc w:val="both"/>
        <w:rPr>
          <w:rFonts w:ascii="Verdana" w:hAnsi="Verdana" w:cs="Arial"/>
          <w:color w:val="000000" w:themeColor="text1"/>
          <w:sz w:val="16"/>
          <w:szCs w:val="16"/>
          <w:lang w:val="es-CO"/>
        </w:rPr>
      </w:pPr>
    </w:p>
  </w:footnote>
  <w:footnote w:id="5">
    <w:p w14:paraId="29C8E220" w14:textId="77777777" w:rsidR="007A1E92" w:rsidRPr="001A625A" w:rsidRDefault="007A1E92" w:rsidP="007A1E92">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r w:rsidRPr="001A625A">
        <w:rPr>
          <w:rFonts w:ascii="Verdana" w:hAnsi="Verdana" w:cs="Arial"/>
          <w:color w:val="000000" w:themeColor="text1"/>
          <w:sz w:val="16"/>
          <w:szCs w:val="16"/>
          <w:lang w:val="es-ES"/>
        </w:rPr>
        <w:t xml:space="preserve">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1A979D86" w14:textId="77777777" w:rsidR="007A1E92" w:rsidRPr="001A625A" w:rsidRDefault="007A1E92" w:rsidP="007A1E92">
      <w:pPr>
        <w:pStyle w:val="Textonotapie"/>
        <w:ind w:firstLine="709"/>
        <w:jc w:val="both"/>
        <w:rPr>
          <w:rFonts w:ascii="Verdana" w:hAnsi="Verdana" w:cs="Arial"/>
          <w:color w:val="000000" w:themeColor="text1"/>
          <w:sz w:val="16"/>
          <w:szCs w:val="16"/>
          <w:lang w:val="es-CO"/>
        </w:rPr>
      </w:pPr>
      <w:r w:rsidRPr="001A625A">
        <w:rPr>
          <w:rFonts w:ascii="Verdana" w:hAnsi="Verdana" w:cs="Arial"/>
          <w:color w:val="000000" w:themeColor="text1"/>
          <w:sz w:val="16"/>
          <w:szCs w:val="16"/>
          <w:lang w:val="es-ES"/>
        </w:rPr>
        <w:t xml:space="preserve">  </w:t>
      </w:r>
    </w:p>
  </w:footnote>
  <w:footnote w:id="6">
    <w:p w14:paraId="4582E47D" w14:textId="77777777" w:rsidR="007A1E92" w:rsidRPr="001A625A" w:rsidRDefault="007A1E92" w:rsidP="007A1E92">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Como las señaladas a continuación: “Los servidores públicos” (art. 8, </w:t>
      </w:r>
      <w:r w:rsidRPr="001A625A">
        <w:rPr>
          <w:rFonts w:ascii="Verdana" w:hAnsi="Verdana" w:cs="Arial"/>
          <w:color w:val="000000" w:themeColor="text1"/>
          <w:sz w:val="16"/>
          <w:szCs w:val="16"/>
          <w:lang w:val="es-ES"/>
        </w:rPr>
        <w:t xml:space="preserve">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49845BD6" w14:textId="77777777" w:rsidR="007A1E92" w:rsidRPr="001A625A" w:rsidRDefault="007A1E92" w:rsidP="007A1E92">
      <w:pPr>
        <w:spacing w:after="0" w:line="240" w:lineRule="auto"/>
        <w:ind w:firstLine="709"/>
        <w:jc w:val="both"/>
        <w:rPr>
          <w:rFonts w:ascii="Verdana" w:hAnsi="Verdana" w:cs="Arial"/>
          <w:color w:val="000000" w:themeColor="text1"/>
          <w:sz w:val="16"/>
          <w:szCs w:val="16"/>
          <w:lang w:val="es-ES"/>
        </w:rPr>
      </w:pPr>
    </w:p>
  </w:footnote>
  <w:footnote w:id="7">
    <w:p w14:paraId="75C40511" w14:textId="77777777" w:rsidR="007A1E92" w:rsidRPr="008258D9" w:rsidRDefault="007A1E92" w:rsidP="007A1E92">
      <w:pPr>
        <w:pStyle w:val="Textonotapie"/>
        <w:ind w:firstLine="709"/>
        <w:jc w:val="both"/>
        <w:rPr>
          <w:rFonts w:ascii="Verdana" w:hAnsi="Verdana" w:cs="Arial"/>
          <w:color w:val="000000"/>
          <w:sz w:val="16"/>
          <w:szCs w:val="16"/>
          <w:lang w:val="es-CO"/>
        </w:rPr>
      </w:pPr>
      <w:r w:rsidRPr="008258D9">
        <w:rPr>
          <w:rStyle w:val="Refdenotaalpie"/>
          <w:rFonts w:ascii="Verdana" w:hAnsi="Verdana" w:cs="Arial"/>
          <w:color w:val="000000"/>
          <w:sz w:val="16"/>
          <w:szCs w:val="16"/>
          <w:lang w:val="es-CO"/>
        </w:rPr>
        <w:footnoteRef/>
      </w:r>
      <w:r w:rsidRPr="008258D9">
        <w:rPr>
          <w:rFonts w:ascii="Verdana" w:hAnsi="Verdana" w:cs="Arial"/>
          <w:color w:val="000000"/>
          <w:sz w:val="16"/>
          <w:szCs w:val="16"/>
          <w:lang w:val="es-CO"/>
        </w:rPr>
        <w:t xml:space="preserve"> Corte Constitucional. Sentencia T-1039 de 2006. </w:t>
      </w:r>
      <w:r w:rsidRPr="008258D9">
        <w:rPr>
          <w:rFonts w:ascii="Verdana" w:hAnsi="Verdana" w:cs="Arial"/>
          <w:color w:val="000000"/>
          <w:sz w:val="16"/>
          <w:szCs w:val="16"/>
          <w:lang w:val="it-IT"/>
        </w:rPr>
        <w:t xml:space="preserve">Magistrado Ponente: Humberto Sierra Porto. </w:t>
      </w:r>
      <w:r w:rsidRPr="008258D9">
        <w:rPr>
          <w:rFonts w:ascii="Verdana" w:hAnsi="Verdana" w:cs="Arial"/>
          <w:color w:val="000000"/>
          <w:sz w:val="16"/>
          <w:szCs w:val="16"/>
          <w:lang w:val="es-CO"/>
        </w:rPr>
        <w:t>La Corte ha mantenido este criterio en las sentencias: C-903 de 2008. Magistrado Ponente: Jaime Araujo Rentería; C-101 de 2018. Magistrada Ponente Gloria Stella Ortiz Delgado; entre otras.</w:t>
      </w:r>
    </w:p>
    <w:p w14:paraId="7C0365B1" w14:textId="77777777" w:rsidR="007A1E92" w:rsidRPr="008258D9" w:rsidRDefault="007A1E92" w:rsidP="007A1E92">
      <w:pPr>
        <w:pStyle w:val="Textonotapie"/>
        <w:ind w:firstLine="709"/>
        <w:jc w:val="both"/>
        <w:rPr>
          <w:rFonts w:ascii="Verdana" w:hAnsi="Verdana" w:cs="Arial"/>
          <w:color w:val="000000"/>
          <w:sz w:val="16"/>
          <w:szCs w:val="16"/>
          <w:lang w:val="es-CO"/>
        </w:rPr>
      </w:pPr>
    </w:p>
  </w:footnote>
  <w:footnote w:id="8">
    <w:p w14:paraId="296135B5" w14:textId="77777777" w:rsidR="007A1E92" w:rsidRPr="008258D9" w:rsidRDefault="007A1E92" w:rsidP="007A1E92">
      <w:pPr>
        <w:pStyle w:val="Textonotapie"/>
        <w:ind w:firstLine="709"/>
        <w:jc w:val="both"/>
        <w:rPr>
          <w:rFonts w:ascii="Verdana" w:hAnsi="Verdana" w:cs="Arial"/>
          <w:color w:val="000000"/>
          <w:sz w:val="16"/>
          <w:szCs w:val="16"/>
          <w:lang w:val="es-CO"/>
        </w:rPr>
      </w:pPr>
      <w:r w:rsidRPr="008258D9">
        <w:rPr>
          <w:rStyle w:val="Refdenotaalpie"/>
          <w:rFonts w:ascii="Verdana" w:hAnsi="Verdana" w:cs="Arial"/>
          <w:color w:val="000000"/>
          <w:sz w:val="16"/>
          <w:szCs w:val="16"/>
          <w:lang w:val="es-CO"/>
        </w:rPr>
        <w:footnoteRef/>
      </w:r>
      <w:r w:rsidRPr="008258D9">
        <w:rPr>
          <w:rFonts w:ascii="Verdana" w:hAnsi="Verdana" w:cs="Arial"/>
          <w:color w:val="000000"/>
          <w:sz w:val="16"/>
          <w:szCs w:val="16"/>
          <w:lang w:val="es-CO"/>
        </w:rPr>
        <w:t xml:space="preserve"> Consejo de Estado. Sala de Consulta y Servicio Civil. Concepto del 30 de abril de 2015. Expediente: 2251. Consejero Ponente: Álvaro </w:t>
      </w:r>
      <w:r w:rsidRPr="008258D9">
        <w:rPr>
          <w:rFonts w:ascii="Verdana" w:hAnsi="Verdana" w:cs="Arial"/>
          <w:color w:val="000000"/>
          <w:sz w:val="16"/>
          <w:szCs w:val="16"/>
          <w:lang w:val="es-CO"/>
        </w:rPr>
        <w:t>Namén Vargas.</w:t>
      </w:r>
    </w:p>
    <w:p w14:paraId="115624B8" w14:textId="77777777" w:rsidR="007A1E92" w:rsidRPr="008258D9" w:rsidRDefault="007A1E92" w:rsidP="007A1E92">
      <w:pPr>
        <w:pStyle w:val="Textonotapie"/>
        <w:ind w:firstLine="709"/>
        <w:jc w:val="both"/>
        <w:rPr>
          <w:rFonts w:ascii="Verdana" w:hAnsi="Verdana" w:cs="Arial"/>
          <w:color w:val="000000"/>
          <w:sz w:val="16"/>
          <w:szCs w:val="16"/>
          <w:lang w:val="es-CO"/>
        </w:rPr>
      </w:pPr>
    </w:p>
  </w:footnote>
  <w:footnote w:id="9">
    <w:p w14:paraId="30CB50A8" w14:textId="77777777" w:rsidR="007A1E92" w:rsidRPr="008258D9" w:rsidRDefault="007A1E92" w:rsidP="007A1E92">
      <w:pPr>
        <w:spacing w:after="0" w:line="240" w:lineRule="auto"/>
        <w:ind w:firstLine="709"/>
        <w:jc w:val="both"/>
        <w:rPr>
          <w:rFonts w:ascii="Verdana" w:hAnsi="Verdana" w:cs="Arial"/>
          <w:color w:val="000000"/>
          <w:sz w:val="16"/>
          <w:szCs w:val="16"/>
        </w:rPr>
      </w:pPr>
      <w:r w:rsidRPr="008258D9">
        <w:rPr>
          <w:rStyle w:val="Refdenotaalpie"/>
          <w:rFonts w:ascii="Verdana" w:hAnsi="Verdana" w:cs="Arial"/>
          <w:color w:val="000000"/>
          <w:sz w:val="16"/>
          <w:szCs w:val="16"/>
        </w:rPr>
        <w:footnoteRef/>
      </w:r>
      <w:r w:rsidRPr="008258D9">
        <w:rPr>
          <w:rFonts w:ascii="Verdana" w:hAnsi="Verdana" w:cs="Arial"/>
          <w:color w:val="000000"/>
          <w:sz w:val="16"/>
          <w:szCs w:val="16"/>
        </w:rPr>
        <w:t xml:space="preserve"> Consejo</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de</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Estado.</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Sección</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Tercera.</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Subsección</w:t>
      </w:r>
      <w:r w:rsidRPr="008258D9">
        <w:rPr>
          <w:rFonts w:ascii="Verdana" w:hAnsi="Verdana" w:cs="Arial"/>
          <w:color w:val="000000"/>
          <w:spacing w:val="13"/>
          <w:sz w:val="16"/>
          <w:szCs w:val="16"/>
        </w:rPr>
        <w:t xml:space="preserve"> </w:t>
      </w:r>
      <w:r w:rsidRPr="008258D9">
        <w:rPr>
          <w:rFonts w:ascii="Verdana" w:hAnsi="Verdana" w:cs="Arial"/>
          <w:color w:val="000000"/>
          <w:sz w:val="16"/>
          <w:szCs w:val="16"/>
        </w:rPr>
        <w:t>A.</w:t>
      </w:r>
      <w:r w:rsidRPr="008258D9">
        <w:rPr>
          <w:rFonts w:ascii="Verdana" w:hAnsi="Verdana" w:cs="Arial"/>
          <w:color w:val="000000"/>
          <w:spacing w:val="12"/>
          <w:sz w:val="16"/>
          <w:szCs w:val="16"/>
        </w:rPr>
        <w:t xml:space="preserve"> </w:t>
      </w:r>
      <w:r w:rsidRPr="008258D9">
        <w:rPr>
          <w:rFonts w:ascii="Verdana" w:hAnsi="Verdana" w:cs="Arial"/>
          <w:color w:val="000000"/>
          <w:sz w:val="16"/>
          <w:szCs w:val="16"/>
        </w:rPr>
        <w:t>Sentencia</w:t>
      </w:r>
      <w:r w:rsidRPr="008258D9">
        <w:rPr>
          <w:rFonts w:ascii="Verdana" w:hAnsi="Verdana" w:cs="Arial"/>
          <w:color w:val="000000"/>
          <w:spacing w:val="13"/>
          <w:sz w:val="16"/>
          <w:szCs w:val="16"/>
        </w:rPr>
        <w:t xml:space="preserve"> </w:t>
      </w:r>
      <w:r w:rsidRPr="008258D9">
        <w:rPr>
          <w:rFonts w:ascii="Verdana" w:hAnsi="Verdana" w:cs="Arial"/>
          <w:color w:val="000000"/>
          <w:sz w:val="16"/>
          <w:szCs w:val="16"/>
        </w:rPr>
        <w:t>del</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24</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de</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junio</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de</w:t>
      </w:r>
      <w:r w:rsidRPr="008258D9">
        <w:rPr>
          <w:rFonts w:ascii="Verdana" w:hAnsi="Verdana" w:cs="Arial"/>
          <w:color w:val="000000"/>
          <w:spacing w:val="11"/>
          <w:sz w:val="16"/>
          <w:szCs w:val="16"/>
        </w:rPr>
        <w:t xml:space="preserve"> </w:t>
      </w:r>
      <w:r w:rsidRPr="008258D9">
        <w:rPr>
          <w:rFonts w:ascii="Verdana" w:hAnsi="Verdana" w:cs="Arial"/>
          <w:color w:val="000000"/>
          <w:sz w:val="16"/>
          <w:szCs w:val="16"/>
        </w:rPr>
        <w:t>2015.</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Exp.</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40.635.</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Consejero</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Ponente:</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Hernán</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Andrade</w:t>
      </w:r>
      <w:r w:rsidRPr="008258D9">
        <w:rPr>
          <w:rFonts w:ascii="Verdana" w:hAnsi="Verdana" w:cs="Arial"/>
          <w:color w:val="000000"/>
          <w:spacing w:val="-2"/>
          <w:sz w:val="16"/>
          <w:szCs w:val="16"/>
        </w:rPr>
        <w:t xml:space="preserve"> </w:t>
      </w:r>
      <w:r w:rsidRPr="008258D9">
        <w:rPr>
          <w:rFonts w:ascii="Verdana" w:hAnsi="Verdana" w:cs="Arial"/>
          <w:color w:val="000000"/>
          <w:sz w:val="16"/>
          <w:szCs w:val="16"/>
        </w:rPr>
        <w:t>Rincón</w:t>
      </w:r>
      <w:r w:rsidRPr="008258D9">
        <w:rPr>
          <w:rFonts w:ascii="Verdana" w:hAnsi="Verdana" w:cs="Arial"/>
          <w:color w:val="000000"/>
          <w:spacing w:val="-1"/>
          <w:sz w:val="16"/>
          <w:szCs w:val="16"/>
        </w:rPr>
        <w:t xml:space="preserve"> </w:t>
      </w:r>
      <w:r w:rsidRPr="008258D9">
        <w:rPr>
          <w:rFonts w:ascii="Verdana" w:hAnsi="Verdana" w:cs="Arial"/>
          <w:color w:val="000000"/>
          <w:sz w:val="16"/>
          <w:szCs w:val="16"/>
        </w:rPr>
        <w:t>(E).</w:t>
      </w:r>
    </w:p>
    <w:p w14:paraId="02E1FE26" w14:textId="77777777" w:rsidR="007A1E92" w:rsidRPr="008258D9" w:rsidRDefault="007A1E92" w:rsidP="007A1E92">
      <w:pPr>
        <w:spacing w:after="0" w:line="240" w:lineRule="auto"/>
        <w:ind w:firstLine="709"/>
        <w:jc w:val="both"/>
        <w:rPr>
          <w:rFonts w:ascii="Verdana" w:hAnsi="Verdana" w:cs="Arial"/>
          <w:color w:val="000000"/>
          <w:sz w:val="16"/>
          <w:szCs w:val="16"/>
        </w:rPr>
      </w:pPr>
    </w:p>
  </w:footnote>
  <w:footnote w:id="10">
    <w:p w14:paraId="32DFA55D" w14:textId="77777777" w:rsidR="007A1E92" w:rsidRPr="008258D9" w:rsidRDefault="007A1E92" w:rsidP="007A1E92">
      <w:pPr>
        <w:pStyle w:val="Textonotapie"/>
        <w:ind w:firstLine="709"/>
        <w:jc w:val="both"/>
        <w:rPr>
          <w:rFonts w:ascii="Verdana" w:hAnsi="Verdana" w:cs="Arial"/>
          <w:color w:val="000000"/>
          <w:sz w:val="16"/>
          <w:szCs w:val="16"/>
          <w:lang w:val="es-CO"/>
        </w:rPr>
      </w:pPr>
      <w:r w:rsidRPr="008258D9">
        <w:rPr>
          <w:rStyle w:val="Refdenotaalpie"/>
          <w:rFonts w:ascii="Verdana" w:hAnsi="Verdana" w:cs="Arial"/>
          <w:color w:val="000000"/>
          <w:sz w:val="16"/>
          <w:szCs w:val="16"/>
          <w:lang w:val="es-CO"/>
        </w:rPr>
        <w:footnoteRef/>
      </w:r>
      <w:r w:rsidRPr="008258D9">
        <w:rPr>
          <w:rFonts w:ascii="Verdana" w:hAnsi="Verdana" w:cs="Arial"/>
          <w:color w:val="000000"/>
          <w:sz w:val="16"/>
          <w:szCs w:val="16"/>
          <w:lang w:val="es-CO"/>
        </w:rPr>
        <w:t xml:space="preserve"> Consejo de Estado. Sección Tercera. Subsección C. Sentencia del 22 de mayo de 2013. </w:t>
      </w:r>
      <w:r w:rsidRPr="008258D9">
        <w:rPr>
          <w:rFonts w:ascii="Verdana" w:hAnsi="Verdana" w:cs="Arial"/>
          <w:color w:val="000000"/>
          <w:sz w:val="16"/>
          <w:szCs w:val="16"/>
          <w:lang w:val="es-CO"/>
        </w:rPr>
        <w:t>Exp. 24.057. C.P. Olga Melida Valle De La Hoz.</w:t>
      </w:r>
    </w:p>
    <w:p w14:paraId="48D7A50C" w14:textId="77777777" w:rsidR="007A1E92" w:rsidRPr="008258D9" w:rsidRDefault="007A1E92" w:rsidP="007A1E92">
      <w:pPr>
        <w:pStyle w:val="Textonotapie"/>
        <w:ind w:firstLine="709"/>
        <w:jc w:val="both"/>
        <w:rPr>
          <w:rFonts w:ascii="Verdana" w:hAnsi="Verdana" w:cs="Arial"/>
          <w:color w:val="000000"/>
          <w:sz w:val="16"/>
          <w:szCs w:val="16"/>
          <w:lang w:val="es-CO"/>
        </w:rPr>
      </w:pPr>
    </w:p>
  </w:footnote>
  <w:footnote w:id="11">
    <w:p w14:paraId="7165F1CC" w14:textId="2554FFDD" w:rsidR="001429F0" w:rsidRPr="001429F0" w:rsidRDefault="001429F0">
      <w:pPr>
        <w:pStyle w:val="Textonotapie"/>
        <w:rPr>
          <w:lang w:val="es-ES"/>
        </w:rPr>
      </w:pPr>
      <w:r>
        <w:rPr>
          <w:rStyle w:val="Refdenotaalpie"/>
        </w:rPr>
        <w:footnoteRef/>
      </w:r>
      <w:r>
        <w:t xml:space="preserve"> </w:t>
      </w:r>
      <w:r w:rsidRPr="001429F0">
        <w:t>Departamento Administrativo de la Función Pública. (2024). Concepto 035711 de 2024 sobre régimen de inhabilidades e incompatibilidades.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9" w15:restartNumberingAfterBreak="0">
    <w:nsid w:val="5BCB3BA8"/>
    <w:multiLevelType w:val="multilevel"/>
    <w:tmpl w:val="25FEEF8E"/>
    <w:styleLink w:val="Listaactual1"/>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0" w15:restartNumberingAfterBreak="0">
    <w:nsid w:val="5BD958F6"/>
    <w:multiLevelType w:val="hybridMultilevel"/>
    <w:tmpl w:val="5652E7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C6D5C38"/>
    <w:multiLevelType w:val="hybridMultilevel"/>
    <w:tmpl w:val="9856C13E"/>
    <w:lvl w:ilvl="0" w:tplc="6F64C164">
      <w:start w:val="5"/>
      <w:numFmt w:val="decimal"/>
      <w:lvlText w:val="%1."/>
      <w:lvlJc w:val="left"/>
      <w:pPr>
        <w:ind w:left="6601" w:hanging="360"/>
      </w:pPr>
      <w:rPr>
        <w:rFonts w:hint="default"/>
      </w:rPr>
    </w:lvl>
    <w:lvl w:ilvl="1" w:tplc="240A0019" w:tentative="1">
      <w:start w:val="1"/>
      <w:numFmt w:val="lowerLetter"/>
      <w:lvlText w:val="%2."/>
      <w:lvlJc w:val="left"/>
      <w:pPr>
        <w:ind w:left="7321" w:hanging="360"/>
      </w:pPr>
    </w:lvl>
    <w:lvl w:ilvl="2" w:tplc="240A001B" w:tentative="1">
      <w:start w:val="1"/>
      <w:numFmt w:val="lowerRoman"/>
      <w:lvlText w:val="%3."/>
      <w:lvlJc w:val="right"/>
      <w:pPr>
        <w:ind w:left="8041" w:hanging="180"/>
      </w:pPr>
    </w:lvl>
    <w:lvl w:ilvl="3" w:tplc="240A000F" w:tentative="1">
      <w:start w:val="1"/>
      <w:numFmt w:val="decimal"/>
      <w:lvlText w:val="%4."/>
      <w:lvlJc w:val="left"/>
      <w:pPr>
        <w:ind w:left="8761" w:hanging="360"/>
      </w:pPr>
    </w:lvl>
    <w:lvl w:ilvl="4" w:tplc="240A0019" w:tentative="1">
      <w:start w:val="1"/>
      <w:numFmt w:val="lowerLetter"/>
      <w:lvlText w:val="%5."/>
      <w:lvlJc w:val="left"/>
      <w:pPr>
        <w:ind w:left="9481" w:hanging="360"/>
      </w:pPr>
    </w:lvl>
    <w:lvl w:ilvl="5" w:tplc="240A001B" w:tentative="1">
      <w:start w:val="1"/>
      <w:numFmt w:val="lowerRoman"/>
      <w:lvlText w:val="%6."/>
      <w:lvlJc w:val="right"/>
      <w:pPr>
        <w:ind w:left="10201" w:hanging="180"/>
      </w:pPr>
    </w:lvl>
    <w:lvl w:ilvl="6" w:tplc="240A000F" w:tentative="1">
      <w:start w:val="1"/>
      <w:numFmt w:val="decimal"/>
      <w:lvlText w:val="%7."/>
      <w:lvlJc w:val="left"/>
      <w:pPr>
        <w:ind w:left="10921" w:hanging="360"/>
      </w:pPr>
    </w:lvl>
    <w:lvl w:ilvl="7" w:tplc="240A0019" w:tentative="1">
      <w:start w:val="1"/>
      <w:numFmt w:val="lowerLetter"/>
      <w:lvlText w:val="%8."/>
      <w:lvlJc w:val="left"/>
      <w:pPr>
        <w:ind w:left="11641" w:hanging="360"/>
      </w:pPr>
    </w:lvl>
    <w:lvl w:ilvl="8" w:tplc="240A001B" w:tentative="1">
      <w:start w:val="1"/>
      <w:numFmt w:val="lowerRoman"/>
      <w:lvlText w:val="%9."/>
      <w:lvlJc w:val="right"/>
      <w:pPr>
        <w:ind w:left="12361" w:hanging="180"/>
      </w:pPr>
    </w:lvl>
  </w:abstractNum>
  <w:num w:numId="1" w16cid:durableId="1290670214">
    <w:abstractNumId w:val="6"/>
  </w:num>
  <w:num w:numId="2" w16cid:durableId="4285022">
    <w:abstractNumId w:val="2"/>
  </w:num>
  <w:num w:numId="3" w16cid:durableId="881983949">
    <w:abstractNumId w:val="3"/>
  </w:num>
  <w:num w:numId="4" w16cid:durableId="341274352">
    <w:abstractNumId w:val="0"/>
  </w:num>
  <w:num w:numId="5" w16cid:durableId="1887524674">
    <w:abstractNumId w:val="8"/>
  </w:num>
  <w:num w:numId="6" w16cid:durableId="1082990391">
    <w:abstractNumId w:val="1"/>
  </w:num>
  <w:num w:numId="7" w16cid:durableId="1492209491">
    <w:abstractNumId w:val="5"/>
  </w:num>
  <w:num w:numId="8" w16cid:durableId="679089576">
    <w:abstractNumId w:val="7"/>
  </w:num>
  <w:num w:numId="9" w16cid:durableId="1607346319">
    <w:abstractNumId w:val="4"/>
  </w:num>
  <w:num w:numId="10" w16cid:durableId="554197136">
    <w:abstractNumId w:val="10"/>
  </w:num>
  <w:num w:numId="11" w16cid:durableId="1323850125">
    <w:abstractNumId w:val="9"/>
  </w:num>
  <w:num w:numId="12" w16cid:durableId="1819180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3BF3"/>
    <w:rsid w:val="00015D2B"/>
    <w:rsid w:val="00031584"/>
    <w:rsid w:val="00032A0E"/>
    <w:rsid w:val="00037347"/>
    <w:rsid w:val="000442CC"/>
    <w:rsid w:val="000556D4"/>
    <w:rsid w:val="00057DB6"/>
    <w:rsid w:val="000716AB"/>
    <w:rsid w:val="00082E4C"/>
    <w:rsid w:val="000849D5"/>
    <w:rsid w:val="0008528F"/>
    <w:rsid w:val="00090334"/>
    <w:rsid w:val="000A3E5E"/>
    <w:rsid w:val="000A6E0C"/>
    <w:rsid w:val="000A7A56"/>
    <w:rsid w:val="000B1FF7"/>
    <w:rsid w:val="000B2513"/>
    <w:rsid w:val="000B4024"/>
    <w:rsid w:val="000C3C51"/>
    <w:rsid w:val="000C6AD9"/>
    <w:rsid w:val="000C7262"/>
    <w:rsid w:val="000D2A7F"/>
    <w:rsid w:val="000D4FCE"/>
    <w:rsid w:val="00106160"/>
    <w:rsid w:val="0011037E"/>
    <w:rsid w:val="00117AF0"/>
    <w:rsid w:val="001228EF"/>
    <w:rsid w:val="001363C7"/>
    <w:rsid w:val="00141AC5"/>
    <w:rsid w:val="001429F0"/>
    <w:rsid w:val="00146B11"/>
    <w:rsid w:val="00147A04"/>
    <w:rsid w:val="0015476D"/>
    <w:rsid w:val="00157D73"/>
    <w:rsid w:val="00161E13"/>
    <w:rsid w:val="00164AE0"/>
    <w:rsid w:val="00165E83"/>
    <w:rsid w:val="00166CD7"/>
    <w:rsid w:val="0017120C"/>
    <w:rsid w:val="00172F3A"/>
    <w:rsid w:val="00175780"/>
    <w:rsid w:val="0019532A"/>
    <w:rsid w:val="0019670E"/>
    <w:rsid w:val="00197205"/>
    <w:rsid w:val="001A5DD4"/>
    <w:rsid w:val="001A67E9"/>
    <w:rsid w:val="001B143B"/>
    <w:rsid w:val="001B21CA"/>
    <w:rsid w:val="001B3DC7"/>
    <w:rsid w:val="001C04FC"/>
    <w:rsid w:val="001C25A3"/>
    <w:rsid w:val="001C5D03"/>
    <w:rsid w:val="001C7771"/>
    <w:rsid w:val="001D62FF"/>
    <w:rsid w:val="001E103B"/>
    <w:rsid w:val="001E2E3E"/>
    <w:rsid w:val="001F3F48"/>
    <w:rsid w:val="002000AA"/>
    <w:rsid w:val="00204109"/>
    <w:rsid w:val="00207BAE"/>
    <w:rsid w:val="00211E6E"/>
    <w:rsid w:val="00212A46"/>
    <w:rsid w:val="0021401D"/>
    <w:rsid w:val="002146B8"/>
    <w:rsid w:val="00215516"/>
    <w:rsid w:val="002527C2"/>
    <w:rsid w:val="002552A5"/>
    <w:rsid w:val="00270443"/>
    <w:rsid w:val="00270C54"/>
    <w:rsid w:val="00270EE2"/>
    <w:rsid w:val="00272972"/>
    <w:rsid w:val="00286491"/>
    <w:rsid w:val="002A0F8D"/>
    <w:rsid w:val="002B6E44"/>
    <w:rsid w:val="002B74B1"/>
    <w:rsid w:val="002E1DB5"/>
    <w:rsid w:val="002F6CCB"/>
    <w:rsid w:val="0030461E"/>
    <w:rsid w:val="00327010"/>
    <w:rsid w:val="0032756A"/>
    <w:rsid w:val="00334EF8"/>
    <w:rsid w:val="00336408"/>
    <w:rsid w:val="00340DFB"/>
    <w:rsid w:val="0034404F"/>
    <w:rsid w:val="00356980"/>
    <w:rsid w:val="00365D6B"/>
    <w:rsid w:val="00367462"/>
    <w:rsid w:val="00371ECA"/>
    <w:rsid w:val="00372748"/>
    <w:rsid w:val="0037332A"/>
    <w:rsid w:val="0038151A"/>
    <w:rsid w:val="0039082A"/>
    <w:rsid w:val="00390C21"/>
    <w:rsid w:val="00391786"/>
    <w:rsid w:val="003A37BD"/>
    <w:rsid w:val="003B6D94"/>
    <w:rsid w:val="003C4C96"/>
    <w:rsid w:val="003C55E0"/>
    <w:rsid w:val="003F519B"/>
    <w:rsid w:val="0040544F"/>
    <w:rsid w:val="00406A19"/>
    <w:rsid w:val="0041222D"/>
    <w:rsid w:val="0041483E"/>
    <w:rsid w:val="00415369"/>
    <w:rsid w:val="00430492"/>
    <w:rsid w:val="00450BE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4D403A"/>
    <w:rsid w:val="004E2DDB"/>
    <w:rsid w:val="004F0ED5"/>
    <w:rsid w:val="004F7E04"/>
    <w:rsid w:val="00500DFA"/>
    <w:rsid w:val="005019AA"/>
    <w:rsid w:val="005021BB"/>
    <w:rsid w:val="00502BE1"/>
    <w:rsid w:val="005139E7"/>
    <w:rsid w:val="005147DA"/>
    <w:rsid w:val="00515FB5"/>
    <w:rsid w:val="00516DBC"/>
    <w:rsid w:val="0052365C"/>
    <w:rsid w:val="005271EB"/>
    <w:rsid w:val="005426DB"/>
    <w:rsid w:val="0055082B"/>
    <w:rsid w:val="00552503"/>
    <w:rsid w:val="00552B57"/>
    <w:rsid w:val="00557378"/>
    <w:rsid w:val="00557DA1"/>
    <w:rsid w:val="0056322C"/>
    <w:rsid w:val="005756F3"/>
    <w:rsid w:val="00581302"/>
    <w:rsid w:val="0058743A"/>
    <w:rsid w:val="0059249C"/>
    <w:rsid w:val="005A4DB0"/>
    <w:rsid w:val="005A7B8E"/>
    <w:rsid w:val="005B012B"/>
    <w:rsid w:val="005B0C87"/>
    <w:rsid w:val="005D23F6"/>
    <w:rsid w:val="005D2FA8"/>
    <w:rsid w:val="005E13D2"/>
    <w:rsid w:val="005E2281"/>
    <w:rsid w:val="005E667C"/>
    <w:rsid w:val="005F077C"/>
    <w:rsid w:val="005F63D0"/>
    <w:rsid w:val="005F7973"/>
    <w:rsid w:val="00615CD6"/>
    <w:rsid w:val="0061690E"/>
    <w:rsid w:val="00627361"/>
    <w:rsid w:val="0063017E"/>
    <w:rsid w:val="00631B28"/>
    <w:rsid w:val="0063241C"/>
    <w:rsid w:val="00645B90"/>
    <w:rsid w:val="00650991"/>
    <w:rsid w:val="006511D7"/>
    <w:rsid w:val="00663D75"/>
    <w:rsid w:val="0066590E"/>
    <w:rsid w:val="00670AEF"/>
    <w:rsid w:val="00672A77"/>
    <w:rsid w:val="00675678"/>
    <w:rsid w:val="00677012"/>
    <w:rsid w:val="006825B4"/>
    <w:rsid w:val="00682AF2"/>
    <w:rsid w:val="006864DF"/>
    <w:rsid w:val="006976FD"/>
    <w:rsid w:val="00697FBF"/>
    <w:rsid w:val="006A3C8A"/>
    <w:rsid w:val="006A7552"/>
    <w:rsid w:val="006B5953"/>
    <w:rsid w:val="006B68BB"/>
    <w:rsid w:val="006B7A81"/>
    <w:rsid w:val="006C4BAC"/>
    <w:rsid w:val="006C52F3"/>
    <w:rsid w:val="006E7F37"/>
    <w:rsid w:val="006F3B81"/>
    <w:rsid w:val="006F4F79"/>
    <w:rsid w:val="00705B37"/>
    <w:rsid w:val="00711FD9"/>
    <w:rsid w:val="00735062"/>
    <w:rsid w:val="00746BA5"/>
    <w:rsid w:val="00751D23"/>
    <w:rsid w:val="00756CB2"/>
    <w:rsid w:val="00770577"/>
    <w:rsid w:val="00777666"/>
    <w:rsid w:val="0078159B"/>
    <w:rsid w:val="00782E10"/>
    <w:rsid w:val="0078706B"/>
    <w:rsid w:val="00790836"/>
    <w:rsid w:val="00797131"/>
    <w:rsid w:val="007A1E92"/>
    <w:rsid w:val="007A3C1D"/>
    <w:rsid w:val="007B285D"/>
    <w:rsid w:val="007C6BC6"/>
    <w:rsid w:val="00807D79"/>
    <w:rsid w:val="00813634"/>
    <w:rsid w:val="00822821"/>
    <w:rsid w:val="00831C29"/>
    <w:rsid w:val="008407FA"/>
    <w:rsid w:val="008431EF"/>
    <w:rsid w:val="008468E0"/>
    <w:rsid w:val="008526E9"/>
    <w:rsid w:val="008544B4"/>
    <w:rsid w:val="00871B59"/>
    <w:rsid w:val="00876554"/>
    <w:rsid w:val="008778AD"/>
    <w:rsid w:val="00877D03"/>
    <w:rsid w:val="00877E96"/>
    <w:rsid w:val="008806CA"/>
    <w:rsid w:val="008815E5"/>
    <w:rsid w:val="00887B37"/>
    <w:rsid w:val="008909B9"/>
    <w:rsid w:val="00891DFC"/>
    <w:rsid w:val="008B12B4"/>
    <w:rsid w:val="008B7914"/>
    <w:rsid w:val="008C5D2A"/>
    <w:rsid w:val="008C7AF4"/>
    <w:rsid w:val="008D529F"/>
    <w:rsid w:val="008D63E4"/>
    <w:rsid w:val="008F5CC8"/>
    <w:rsid w:val="009061B8"/>
    <w:rsid w:val="0091008B"/>
    <w:rsid w:val="00911EA2"/>
    <w:rsid w:val="00916C7D"/>
    <w:rsid w:val="0092575D"/>
    <w:rsid w:val="009276C6"/>
    <w:rsid w:val="009341DA"/>
    <w:rsid w:val="009430F9"/>
    <w:rsid w:val="009442E8"/>
    <w:rsid w:val="00946BD0"/>
    <w:rsid w:val="0095426C"/>
    <w:rsid w:val="00970087"/>
    <w:rsid w:val="00971074"/>
    <w:rsid w:val="00983695"/>
    <w:rsid w:val="0099298D"/>
    <w:rsid w:val="00995D86"/>
    <w:rsid w:val="009A5453"/>
    <w:rsid w:val="009B4D94"/>
    <w:rsid w:val="009C2871"/>
    <w:rsid w:val="009D3C33"/>
    <w:rsid w:val="009D7F3A"/>
    <w:rsid w:val="009E4885"/>
    <w:rsid w:val="00A07DB6"/>
    <w:rsid w:val="00A10A73"/>
    <w:rsid w:val="00A170B3"/>
    <w:rsid w:val="00A223D5"/>
    <w:rsid w:val="00A37D1C"/>
    <w:rsid w:val="00A4062B"/>
    <w:rsid w:val="00A5453E"/>
    <w:rsid w:val="00A54B98"/>
    <w:rsid w:val="00A56F6C"/>
    <w:rsid w:val="00A64CF6"/>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AD5474"/>
    <w:rsid w:val="00B02FE0"/>
    <w:rsid w:val="00B057B6"/>
    <w:rsid w:val="00B0794B"/>
    <w:rsid w:val="00B2575B"/>
    <w:rsid w:val="00B30448"/>
    <w:rsid w:val="00B34786"/>
    <w:rsid w:val="00B400EC"/>
    <w:rsid w:val="00B40162"/>
    <w:rsid w:val="00B41ACE"/>
    <w:rsid w:val="00B50156"/>
    <w:rsid w:val="00B518AD"/>
    <w:rsid w:val="00B60A96"/>
    <w:rsid w:val="00B678EC"/>
    <w:rsid w:val="00B76C94"/>
    <w:rsid w:val="00B772D0"/>
    <w:rsid w:val="00B836EA"/>
    <w:rsid w:val="00B84C05"/>
    <w:rsid w:val="00B875BE"/>
    <w:rsid w:val="00B91B81"/>
    <w:rsid w:val="00B92A67"/>
    <w:rsid w:val="00B97135"/>
    <w:rsid w:val="00BB2212"/>
    <w:rsid w:val="00BB3072"/>
    <w:rsid w:val="00BC7632"/>
    <w:rsid w:val="00BD48A9"/>
    <w:rsid w:val="00BD630F"/>
    <w:rsid w:val="00BD7EC6"/>
    <w:rsid w:val="00BE73FA"/>
    <w:rsid w:val="00BF6B4B"/>
    <w:rsid w:val="00C00DC7"/>
    <w:rsid w:val="00C0511C"/>
    <w:rsid w:val="00C05680"/>
    <w:rsid w:val="00C07336"/>
    <w:rsid w:val="00C07B13"/>
    <w:rsid w:val="00C20ACF"/>
    <w:rsid w:val="00C22307"/>
    <w:rsid w:val="00C23469"/>
    <w:rsid w:val="00C30C62"/>
    <w:rsid w:val="00C371DF"/>
    <w:rsid w:val="00C42055"/>
    <w:rsid w:val="00C44B4C"/>
    <w:rsid w:val="00C46734"/>
    <w:rsid w:val="00C47A86"/>
    <w:rsid w:val="00C53220"/>
    <w:rsid w:val="00C7611C"/>
    <w:rsid w:val="00CA3347"/>
    <w:rsid w:val="00CB0AFB"/>
    <w:rsid w:val="00CC299A"/>
    <w:rsid w:val="00CD03E3"/>
    <w:rsid w:val="00CD0922"/>
    <w:rsid w:val="00CE6BDA"/>
    <w:rsid w:val="00CF58B6"/>
    <w:rsid w:val="00D03CA6"/>
    <w:rsid w:val="00D03DBE"/>
    <w:rsid w:val="00D072C0"/>
    <w:rsid w:val="00D34C82"/>
    <w:rsid w:val="00D3757A"/>
    <w:rsid w:val="00D504A9"/>
    <w:rsid w:val="00D5206D"/>
    <w:rsid w:val="00D5750D"/>
    <w:rsid w:val="00D7177D"/>
    <w:rsid w:val="00D81311"/>
    <w:rsid w:val="00DB201E"/>
    <w:rsid w:val="00DC0E68"/>
    <w:rsid w:val="00DD25ED"/>
    <w:rsid w:val="00DE0D6E"/>
    <w:rsid w:val="00DF1B8F"/>
    <w:rsid w:val="00DF27CA"/>
    <w:rsid w:val="00E1610C"/>
    <w:rsid w:val="00E16D73"/>
    <w:rsid w:val="00E23E9E"/>
    <w:rsid w:val="00E25722"/>
    <w:rsid w:val="00E27F0A"/>
    <w:rsid w:val="00E4231E"/>
    <w:rsid w:val="00E4302C"/>
    <w:rsid w:val="00E44AC7"/>
    <w:rsid w:val="00E45F4B"/>
    <w:rsid w:val="00E52D67"/>
    <w:rsid w:val="00E60A16"/>
    <w:rsid w:val="00E72D20"/>
    <w:rsid w:val="00E77B04"/>
    <w:rsid w:val="00E82B6E"/>
    <w:rsid w:val="00E87C0C"/>
    <w:rsid w:val="00E94258"/>
    <w:rsid w:val="00E96C18"/>
    <w:rsid w:val="00EA2E61"/>
    <w:rsid w:val="00EA6F45"/>
    <w:rsid w:val="00EA7D7F"/>
    <w:rsid w:val="00EB02F4"/>
    <w:rsid w:val="00EB2E2D"/>
    <w:rsid w:val="00EB2FA2"/>
    <w:rsid w:val="00EB769A"/>
    <w:rsid w:val="00EC3A35"/>
    <w:rsid w:val="00EE17F2"/>
    <w:rsid w:val="00EE3138"/>
    <w:rsid w:val="00EE4443"/>
    <w:rsid w:val="00EE7804"/>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43961"/>
    <w:rsid w:val="00F53BE2"/>
    <w:rsid w:val="00F55684"/>
    <w:rsid w:val="00F61D18"/>
    <w:rsid w:val="00F64D5A"/>
    <w:rsid w:val="00F709CD"/>
    <w:rsid w:val="00F72FDC"/>
    <w:rsid w:val="00F906F4"/>
    <w:rsid w:val="00F96808"/>
    <w:rsid w:val="00FA0716"/>
    <w:rsid w:val="00FB4629"/>
    <w:rsid w:val="00FB6FB1"/>
    <w:rsid w:val="00FB7063"/>
    <w:rsid w:val="00FC7056"/>
    <w:rsid w:val="00FD4D94"/>
    <w:rsid w:val="00FD6AA8"/>
    <w:rsid w:val="00FE0157"/>
    <w:rsid w:val="00FE1A00"/>
    <w:rsid w:val="00FF7F2C"/>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7A1E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1"/>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locked/>
    <w:rsid w:val="00B0794B"/>
    <w:rPr>
      <w:rFonts w:ascii="Times New Roman" w:hAnsi="Times New Roman" w:cs="Times New Roman"/>
      <w:sz w:val="24"/>
      <w:szCs w:val="24"/>
    </w:rPr>
  </w:style>
  <w:style w:type="character" w:customStyle="1" w:styleId="Ttulo2Car">
    <w:name w:val="Título 2 Car"/>
    <w:basedOn w:val="Fuentedeprrafopredeter"/>
    <w:link w:val="Ttulo2"/>
    <w:uiPriority w:val="9"/>
    <w:semiHidden/>
    <w:rsid w:val="007A1E92"/>
    <w:rPr>
      <w:rFonts w:asciiTheme="majorHAnsi" w:eastAsiaTheme="majorEastAsia" w:hAnsiTheme="majorHAnsi" w:cstheme="majorBidi"/>
      <w:color w:val="2F5496" w:themeColor="accent1" w:themeShade="BF"/>
      <w:sz w:val="26"/>
      <w:szCs w:val="26"/>
    </w:rPr>
  </w:style>
  <w:style w:type="numbering" w:customStyle="1" w:styleId="Listaactual1">
    <w:name w:val="Lista actual1"/>
    <w:uiPriority w:val="99"/>
    <w:rsid w:val="00013BF3"/>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1585">
      <w:bodyDiv w:val="1"/>
      <w:marLeft w:val="0"/>
      <w:marRight w:val="0"/>
      <w:marTop w:val="0"/>
      <w:marBottom w:val="0"/>
      <w:divBdr>
        <w:top w:val="none" w:sz="0" w:space="0" w:color="auto"/>
        <w:left w:val="none" w:sz="0" w:space="0" w:color="auto"/>
        <w:bottom w:val="none" w:sz="0" w:space="0" w:color="auto"/>
        <w:right w:val="none" w:sz="0" w:space="0" w:color="auto"/>
      </w:divBdr>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166990475">
      <w:bodyDiv w:val="1"/>
      <w:marLeft w:val="0"/>
      <w:marRight w:val="0"/>
      <w:marTop w:val="0"/>
      <w:marBottom w:val="0"/>
      <w:divBdr>
        <w:top w:val="none" w:sz="0" w:space="0" w:color="auto"/>
        <w:left w:val="none" w:sz="0" w:space="0" w:color="auto"/>
        <w:bottom w:val="none" w:sz="0" w:space="0" w:color="auto"/>
        <w:right w:val="none" w:sz="0" w:space="0" w:color="auto"/>
      </w:divBdr>
      <w:divsChild>
        <w:div w:id="2123256701">
          <w:marLeft w:val="0"/>
          <w:marRight w:val="0"/>
          <w:marTop w:val="0"/>
          <w:marBottom w:val="0"/>
          <w:divBdr>
            <w:top w:val="none" w:sz="0" w:space="0" w:color="auto"/>
            <w:left w:val="none" w:sz="0" w:space="0" w:color="auto"/>
            <w:bottom w:val="none" w:sz="0" w:space="0" w:color="auto"/>
            <w:right w:val="none" w:sz="0" w:space="0" w:color="auto"/>
          </w:divBdr>
        </w:div>
      </w:divsChild>
    </w:div>
    <w:div w:id="280235803">
      <w:bodyDiv w:val="1"/>
      <w:marLeft w:val="0"/>
      <w:marRight w:val="0"/>
      <w:marTop w:val="0"/>
      <w:marBottom w:val="0"/>
      <w:divBdr>
        <w:top w:val="none" w:sz="0" w:space="0" w:color="auto"/>
        <w:left w:val="none" w:sz="0" w:space="0" w:color="auto"/>
        <w:bottom w:val="none" w:sz="0" w:space="0" w:color="auto"/>
        <w:right w:val="none" w:sz="0" w:space="0" w:color="auto"/>
      </w:divBdr>
    </w:div>
    <w:div w:id="302394176">
      <w:bodyDiv w:val="1"/>
      <w:marLeft w:val="0"/>
      <w:marRight w:val="0"/>
      <w:marTop w:val="0"/>
      <w:marBottom w:val="0"/>
      <w:divBdr>
        <w:top w:val="none" w:sz="0" w:space="0" w:color="auto"/>
        <w:left w:val="none" w:sz="0" w:space="0" w:color="auto"/>
        <w:bottom w:val="none" w:sz="0" w:space="0" w:color="auto"/>
        <w:right w:val="none" w:sz="0" w:space="0" w:color="auto"/>
      </w:divBdr>
    </w:div>
    <w:div w:id="400908246">
      <w:bodyDiv w:val="1"/>
      <w:marLeft w:val="0"/>
      <w:marRight w:val="0"/>
      <w:marTop w:val="0"/>
      <w:marBottom w:val="0"/>
      <w:divBdr>
        <w:top w:val="none" w:sz="0" w:space="0" w:color="auto"/>
        <w:left w:val="none" w:sz="0" w:space="0" w:color="auto"/>
        <w:bottom w:val="none" w:sz="0" w:space="0" w:color="auto"/>
        <w:right w:val="none" w:sz="0" w:space="0" w:color="auto"/>
      </w:divBdr>
      <w:divsChild>
        <w:div w:id="1945264435">
          <w:marLeft w:val="0"/>
          <w:marRight w:val="0"/>
          <w:marTop w:val="0"/>
          <w:marBottom w:val="0"/>
          <w:divBdr>
            <w:top w:val="none" w:sz="0" w:space="0" w:color="auto"/>
            <w:left w:val="none" w:sz="0" w:space="0" w:color="auto"/>
            <w:bottom w:val="none" w:sz="0" w:space="0" w:color="auto"/>
            <w:right w:val="none" w:sz="0" w:space="0" w:color="auto"/>
          </w:divBdr>
        </w:div>
      </w:divsChild>
    </w:div>
    <w:div w:id="474297819">
      <w:bodyDiv w:val="1"/>
      <w:marLeft w:val="0"/>
      <w:marRight w:val="0"/>
      <w:marTop w:val="0"/>
      <w:marBottom w:val="0"/>
      <w:divBdr>
        <w:top w:val="none" w:sz="0" w:space="0" w:color="auto"/>
        <w:left w:val="none" w:sz="0" w:space="0" w:color="auto"/>
        <w:bottom w:val="none" w:sz="0" w:space="0" w:color="auto"/>
        <w:right w:val="none" w:sz="0" w:space="0" w:color="auto"/>
      </w:divBdr>
    </w:div>
    <w:div w:id="493377591">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664817300">
      <w:bodyDiv w:val="1"/>
      <w:marLeft w:val="0"/>
      <w:marRight w:val="0"/>
      <w:marTop w:val="0"/>
      <w:marBottom w:val="0"/>
      <w:divBdr>
        <w:top w:val="none" w:sz="0" w:space="0" w:color="auto"/>
        <w:left w:val="none" w:sz="0" w:space="0" w:color="auto"/>
        <w:bottom w:val="none" w:sz="0" w:space="0" w:color="auto"/>
        <w:right w:val="none" w:sz="0" w:space="0" w:color="auto"/>
      </w:divBdr>
    </w:div>
    <w:div w:id="805510177">
      <w:bodyDiv w:val="1"/>
      <w:marLeft w:val="0"/>
      <w:marRight w:val="0"/>
      <w:marTop w:val="0"/>
      <w:marBottom w:val="0"/>
      <w:divBdr>
        <w:top w:val="none" w:sz="0" w:space="0" w:color="auto"/>
        <w:left w:val="none" w:sz="0" w:space="0" w:color="auto"/>
        <w:bottom w:val="none" w:sz="0" w:space="0" w:color="auto"/>
        <w:right w:val="none" w:sz="0" w:space="0" w:color="auto"/>
      </w:divBdr>
    </w:div>
    <w:div w:id="847789780">
      <w:bodyDiv w:val="1"/>
      <w:marLeft w:val="0"/>
      <w:marRight w:val="0"/>
      <w:marTop w:val="0"/>
      <w:marBottom w:val="0"/>
      <w:divBdr>
        <w:top w:val="none" w:sz="0" w:space="0" w:color="auto"/>
        <w:left w:val="none" w:sz="0" w:space="0" w:color="auto"/>
        <w:bottom w:val="none" w:sz="0" w:space="0" w:color="auto"/>
        <w:right w:val="none" w:sz="0" w:space="0" w:color="auto"/>
      </w:divBdr>
    </w:div>
    <w:div w:id="873688497">
      <w:bodyDiv w:val="1"/>
      <w:marLeft w:val="0"/>
      <w:marRight w:val="0"/>
      <w:marTop w:val="0"/>
      <w:marBottom w:val="0"/>
      <w:divBdr>
        <w:top w:val="none" w:sz="0" w:space="0" w:color="auto"/>
        <w:left w:val="none" w:sz="0" w:space="0" w:color="auto"/>
        <w:bottom w:val="none" w:sz="0" w:space="0" w:color="auto"/>
        <w:right w:val="none" w:sz="0" w:space="0" w:color="auto"/>
      </w:divBdr>
      <w:divsChild>
        <w:div w:id="791897785">
          <w:marLeft w:val="0"/>
          <w:marRight w:val="0"/>
          <w:marTop w:val="0"/>
          <w:marBottom w:val="0"/>
          <w:divBdr>
            <w:top w:val="none" w:sz="0" w:space="0" w:color="auto"/>
            <w:left w:val="none" w:sz="0" w:space="0" w:color="auto"/>
            <w:bottom w:val="none" w:sz="0" w:space="0" w:color="auto"/>
            <w:right w:val="none" w:sz="0" w:space="0" w:color="auto"/>
          </w:divBdr>
        </w:div>
      </w:divsChild>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965889390">
      <w:bodyDiv w:val="1"/>
      <w:marLeft w:val="0"/>
      <w:marRight w:val="0"/>
      <w:marTop w:val="0"/>
      <w:marBottom w:val="0"/>
      <w:divBdr>
        <w:top w:val="none" w:sz="0" w:space="0" w:color="auto"/>
        <w:left w:val="none" w:sz="0" w:space="0" w:color="auto"/>
        <w:bottom w:val="none" w:sz="0" w:space="0" w:color="auto"/>
        <w:right w:val="none" w:sz="0" w:space="0" w:color="auto"/>
      </w:divBdr>
    </w:div>
    <w:div w:id="984238188">
      <w:bodyDiv w:val="1"/>
      <w:marLeft w:val="0"/>
      <w:marRight w:val="0"/>
      <w:marTop w:val="0"/>
      <w:marBottom w:val="0"/>
      <w:divBdr>
        <w:top w:val="none" w:sz="0" w:space="0" w:color="auto"/>
        <w:left w:val="none" w:sz="0" w:space="0" w:color="auto"/>
        <w:bottom w:val="none" w:sz="0" w:space="0" w:color="auto"/>
        <w:right w:val="none" w:sz="0" w:space="0" w:color="auto"/>
      </w:divBdr>
    </w:div>
    <w:div w:id="1181621927">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300040755">
      <w:bodyDiv w:val="1"/>
      <w:marLeft w:val="0"/>
      <w:marRight w:val="0"/>
      <w:marTop w:val="0"/>
      <w:marBottom w:val="0"/>
      <w:divBdr>
        <w:top w:val="none" w:sz="0" w:space="0" w:color="auto"/>
        <w:left w:val="none" w:sz="0" w:space="0" w:color="auto"/>
        <w:bottom w:val="none" w:sz="0" w:space="0" w:color="auto"/>
        <w:right w:val="none" w:sz="0" w:space="0" w:color="auto"/>
      </w:divBdr>
    </w:div>
    <w:div w:id="1324049824">
      <w:bodyDiv w:val="1"/>
      <w:marLeft w:val="0"/>
      <w:marRight w:val="0"/>
      <w:marTop w:val="0"/>
      <w:marBottom w:val="0"/>
      <w:divBdr>
        <w:top w:val="none" w:sz="0" w:space="0" w:color="auto"/>
        <w:left w:val="none" w:sz="0" w:space="0" w:color="auto"/>
        <w:bottom w:val="none" w:sz="0" w:space="0" w:color="auto"/>
        <w:right w:val="none" w:sz="0" w:space="0" w:color="auto"/>
      </w:divBdr>
      <w:divsChild>
        <w:div w:id="1094083407">
          <w:marLeft w:val="0"/>
          <w:marRight w:val="0"/>
          <w:marTop w:val="0"/>
          <w:marBottom w:val="0"/>
          <w:divBdr>
            <w:top w:val="none" w:sz="0" w:space="0" w:color="auto"/>
            <w:left w:val="none" w:sz="0" w:space="0" w:color="auto"/>
            <w:bottom w:val="none" w:sz="0" w:space="0" w:color="auto"/>
            <w:right w:val="none" w:sz="0" w:space="0" w:color="auto"/>
          </w:divBdr>
        </w:div>
      </w:divsChild>
    </w:div>
    <w:div w:id="1464544402">
      <w:bodyDiv w:val="1"/>
      <w:marLeft w:val="0"/>
      <w:marRight w:val="0"/>
      <w:marTop w:val="0"/>
      <w:marBottom w:val="0"/>
      <w:divBdr>
        <w:top w:val="none" w:sz="0" w:space="0" w:color="auto"/>
        <w:left w:val="none" w:sz="0" w:space="0" w:color="auto"/>
        <w:bottom w:val="none" w:sz="0" w:space="0" w:color="auto"/>
        <w:right w:val="none" w:sz="0" w:space="0" w:color="auto"/>
      </w:divBdr>
      <w:divsChild>
        <w:div w:id="1544899415">
          <w:marLeft w:val="0"/>
          <w:marRight w:val="0"/>
          <w:marTop w:val="0"/>
          <w:marBottom w:val="0"/>
          <w:divBdr>
            <w:top w:val="none" w:sz="0" w:space="0" w:color="auto"/>
            <w:left w:val="none" w:sz="0" w:space="0" w:color="auto"/>
            <w:bottom w:val="none" w:sz="0" w:space="0" w:color="auto"/>
            <w:right w:val="none" w:sz="0" w:space="0" w:color="auto"/>
          </w:divBdr>
        </w:div>
      </w:divsChild>
    </w:div>
    <w:div w:id="1473596936">
      <w:bodyDiv w:val="1"/>
      <w:marLeft w:val="0"/>
      <w:marRight w:val="0"/>
      <w:marTop w:val="0"/>
      <w:marBottom w:val="0"/>
      <w:divBdr>
        <w:top w:val="none" w:sz="0" w:space="0" w:color="auto"/>
        <w:left w:val="none" w:sz="0" w:space="0" w:color="auto"/>
        <w:bottom w:val="none" w:sz="0" w:space="0" w:color="auto"/>
        <w:right w:val="none" w:sz="0" w:space="0" w:color="auto"/>
      </w:divBdr>
    </w:div>
    <w:div w:id="1593472749">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760642016">
      <w:bodyDiv w:val="1"/>
      <w:marLeft w:val="0"/>
      <w:marRight w:val="0"/>
      <w:marTop w:val="0"/>
      <w:marBottom w:val="0"/>
      <w:divBdr>
        <w:top w:val="none" w:sz="0" w:space="0" w:color="auto"/>
        <w:left w:val="none" w:sz="0" w:space="0" w:color="auto"/>
        <w:bottom w:val="none" w:sz="0" w:space="0" w:color="auto"/>
        <w:right w:val="none" w:sz="0" w:space="0" w:color="auto"/>
      </w:divBdr>
    </w:div>
    <w:div w:id="1900091821">
      <w:bodyDiv w:val="1"/>
      <w:marLeft w:val="0"/>
      <w:marRight w:val="0"/>
      <w:marTop w:val="0"/>
      <w:marBottom w:val="0"/>
      <w:divBdr>
        <w:top w:val="none" w:sz="0" w:space="0" w:color="auto"/>
        <w:left w:val="none" w:sz="0" w:space="0" w:color="auto"/>
        <w:bottom w:val="none" w:sz="0" w:space="0" w:color="auto"/>
        <w:right w:val="none" w:sz="0" w:space="0" w:color="auto"/>
      </w:divBdr>
      <w:divsChild>
        <w:div w:id="514270559">
          <w:marLeft w:val="0"/>
          <w:marRight w:val="0"/>
          <w:marTop w:val="0"/>
          <w:marBottom w:val="0"/>
          <w:divBdr>
            <w:top w:val="none" w:sz="0" w:space="0" w:color="auto"/>
            <w:left w:val="none" w:sz="0" w:space="0" w:color="auto"/>
            <w:bottom w:val="none" w:sz="0" w:space="0" w:color="auto"/>
            <w:right w:val="none" w:sz="0" w:space="0" w:color="auto"/>
          </w:divBdr>
        </w:div>
      </w:divsChild>
    </w:div>
    <w:div w:id="2066054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purl.org/dc/elements/1.1/"/>
    <ds:schemaRef ds:uri="http://schemas.microsoft.com/office/2006/documentManagement/types"/>
    <ds:schemaRef ds:uri="http://purl.org/dc/terms/"/>
    <ds:schemaRef ds:uri="http://schemas.microsoft.com/office/infopath/2007/PartnerControls"/>
    <ds:schemaRef ds:uri="http://www.w3.org/XML/1998/namespace"/>
    <ds:schemaRef ds:uri="http://schemas.openxmlformats.org/package/2006/metadata/core-properties"/>
    <ds:schemaRef ds:uri="a6cb9e4b-f1d1-4245-83ec-6cad768d538a"/>
    <ds:schemaRef ds:uri="9d85dbaf-23eb-4e57-a637-93dcacc8b1a1"/>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2628</Words>
  <Characters>14460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2025-07-15T00:00:00Z</dcterms:created>
  <dcterms:modified xsi:type="dcterms:W3CDTF">2025-07-15T00:00:00Z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