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AD7E6" w14:textId="77777777" w:rsidR="00B87963" w:rsidRPr="0056789C" w:rsidRDefault="00B87963" w:rsidP="00B87963">
      <w:pPr>
        <w:spacing w:after="0" w:line="240" w:lineRule="auto"/>
        <w:jc w:val="both"/>
        <w:rPr>
          <w:rFonts w:ascii="Verdana" w:eastAsia="Calibri" w:hAnsi="Verdana" w:cs="Arial"/>
          <w:b/>
          <w:bCs/>
          <w:lang w:val="es-ES" w:eastAsia="es-ES"/>
        </w:rPr>
      </w:pPr>
      <w:bookmarkStart w:id="0" w:name="_Hlk143780582"/>
      <w:r w:rsidRPr="0056789C">
        <w:rPr>
          <w:rFonts w:ascii="Verdana" w:eastAsia="Calibri" w:hAnsi="Verdana" w:cs="Arial"/>
          <w:b/>
          <w:bCs/>
          <w:lang w:val="es-ES" w:eastAsia="es-ES"/>
        </w:rPr>
        <w:t>REQUISITOS HABILITANTES – Noción</w:t>
      </w:r>
    </w:p>
    <w:p w14:paraId="41A9875E" w14:textId="77777777" w:rsidR="00B87963" w:rsidRDefault="00B87963" w:rsidP="00B87963">
      <w:pPr>
        <w:spacing w:after="0" w:line="240" w:lineRule="auto"/>
        <w:jc w:val="both"/>
        <w:rPr>
          <w:rFonts w:ascii="Verdana" w:eastAsia="Calibri" w:hAnsi="Verdana" w:cs="Arial"/>
          <w:color w:val="000000" w:themeColor="text1"/>
          <w:sz w:val="20"/>
          <w:szCs w:val="20"/>
          <w:lang w:val="es-ES_tradnl"/>
        </w:rPr>
      </w:pPr>
    </w:p>
    <w:p w14:paraId="1FBB01E2" w14:textId="77777777" w:rsidR="00B87963" w:rsidRDefault="00B87963" w:rsidP="00B87963">
      <w:pPr>
        <w:spacing w:after="0" w:line="240" w:lineRule="auto"/>
        <w:jc w:val="both"/>
        <w:rPr>
          <w:rFonts w:ascii="Verdana" w:eastAsia="Calibri" w:hAnsi="Verdana" w:cs="Arial"/>
          <w:color w:val="000000" w:themeColor="text1"/>
          <w:sz w:val="20"/>
          <w:szCs w:val="20"/>
          <w:lang w:val="es-ES_tradnl"/>
        </w:rPr>
      </w:pPr>
      <w:r w:rsidRPr="0056789C">
        <w:rPr>
          <w:rFonts w:ascii="Verdana" w:eastAsia="Calibri" w:hAnsi="Verdana" w:cs="Arial"/>
          <w:color w:val="000000" w:themeColor="text1"/>
          <w:sz w:val="20"/>
          <w:szCs w:val="20"/>
          <w:lang w:val="es-ES_tradnl"/>
        </w:rPr>
        <w:t xml:space="preserve">Los </w:t>
      </w:r>
      <w:r w:rsidRPr="0056789C">
        <w:rPr>
          <w:rFonts w:ascii="Verdana" w:eastAsia="Calibri" w:hAnsi="Verdana" w:cs="Arial"/>
          <w:i/>
          <w:iCs/>
          <w:color w:val="000000" w:themeColor="text1"/>
          <w:sz w:val="20"/>
          <w:szCs w:val="20"/>
          <w:lang w:val="es-ES_tradnl"/>
        </w:rPr>
        <w:t>requisitos habilitantes</w:t>
      </w:r>
      <w:r w:rsidRPr="0056789C">
        <w:rPr>
          <w:rFonts w:ascii="Verdana" w:eastAsia="Calibri" w:hAnsi="Verdana" w:cs="Arial"/>
          <w:color w:val="000000" w:themeColor="text1"/>
          <w:sz w:val="20"/>
          <w:szCs w:val="20"/>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56789C">
        <w:rPr>
          <w:rFonts w:ascii="Verdana" w:eastAsia="Calibri" w:hAnsi="Verdana" w:cs="Arial"/>
          <w:i/>
          <w:iCs/>
          <w:color w:val="000000" w:themeColor="text1"/>
          <w:sz w:val="20"/>
          <w:szCs w:val="20"/>
          <w:lang w:val="es-ES_tradnl"/>
        </w:rPr>
        <w:t>criterios de evaluación</w:t>
      </w:r>
      <w:r w:rsidRPr="0056789C">
        <w:rPr>
          <w:rFonts w:ascii="Verdana" w:eastAsia="Calibri" w:hAnsi="Verdana" w:cs="Arial"/>
          <w:color w:val="000000" w:themeColor="text1"/>
          <w:sz w:val="20"/>
          <w:szCs w:val="20"/>
          <w:lang w:val="es-ES_tradnl"/>
        </w:rPr>
        <w:t xml:space="preserve"> –también conocidos como </w:t>
      </w:r>
      <w:r w:rsidRPr="0056789C">
        <w:rPr>
          <w:rFonts w:ascii="Verdana" w:eastAsia="Calibri" w:hAnsi="Verdana" w:cs="Arial"/>
          <w:i/>
          <w:iCs/>
          <w:color w:val="000000" w:themeColor="text1"/>
          <w:sz w:val="20"/>
          <w:szCs w:val="20"/>
          <w:lang w:val="es-ES_tradnl"/>
        </w:rPr>
        <w:t>criterios de calificación</w:t>
      </w:r>
      <w:r w:rsidRPr="0056789C">
        <w:rPr>
          <w:rFonts w:ascii="Verdana" w:eastAsia="Calibri" w:hAnsi="Verdana" w:cs="Arial"/>
          <w:color w:val="000000" w:themeColor="text1"/>
          <w:sz w:val="20"/>
          <w:szCs w:val="20"/>
          <w:lang w:val="es-ES_tradnl"/>
        </w:rPr>
        <w:t>– en que estos son los factores definidos por la Entidad Estatal para la asignación de puntaje en el momento de la comparación de las ofertas, y que, a partir de su ponderación, permiten establecer el orden de elegibilidad y, por ende, la propuesta ganadora</w:t>
      </w:r>
      <w:r>
        <w:rPr>
          <w:rFonts w:ascii="Verdana" w:eastAsia="Calibri" w:hAnsi="Verdana" w:cs="Arial"/>
          <w:color w:val="000000" w:themeColor="text1"/>
          <w:sz w:val="20"/>
          <w:szCs w:val="20"/>
          <w:lang w:val="es-ES_tradnl"/>
        </w:rPr>
        <w:t xml:space="preserve">. </w:t>
      </w:r>
    </w:p>
    <w:p w14:paraId="644401AF" w14:textId="77777777" w:rsidR="00B87963" w:rsidRPr="0056789C" w:rsidRDefault="00B87963" w:rsidP="00B87963">
      <w:pPr>
        <w:spacing w:after="0" w:line="240" w:lineRule="auto"/>
        <w:jc w:val="both"/>
        <w:rPr>
          <w:rFonts w:ascii="Verdana" w:eastAsia="Calibri" w:hAnsi="Verdana" w:cs="Arial"/>
          <w:sz w:val="20"/>
          <w:szCs w:val="20"/>
          <w:lang w:val="es-ES" w:eastAsia="es-ES"/>
        </w:rPr>
      </w:pPr>
    </w:p>
    <w:p w14:paraId="20017476" w14:textId="77777777" w:rsidR="00B87963" w:rsidRPr="0056789C" w:rsidRDefault="00B87963" w:rsidP="00B87963">
      <w:pPr>
        <w:spacing w:after="0" w:line="240" w:lineRule="auto"/>
        <w:jc w:val="both"/>
        <w:rPr>
          <w:rFonts w:ascii="Verdana" w:eastAsia="Calibri" w:hAnsi="Verdana" w:cs="Arial"/>
          <w:b/>
          <w:bCs/>
          <w:lang w:val="es-ES" w:eastAsia="es-ES"/>
        </w:rPr>
      </w:pPr>
      <w:r w:rsidRPr="0056789C">
        <w:rPr>
          <w:rFonts w:ascii="Verdana" w:eastAsia="Calibri" w:hAnsi="Verdana" w:cs="Arial"/>
          <w:b/>
          <w:bCs/>
          <w:lang w:val="es-ES" w:eastAsia="es-ES"/>
        </w:rPr>
        <w:t xml:space="preserve">REQUISITOS HABILITANTES – Carácter enunciativo </w:t>
      </w:r>
    </w:p>
    <w:p w14:paraId="72DD9D31" w14:textId="77777777" w:rsidR="00B87963" w:rsidRDefault="00B87963" w:rsidP="00B87963">
      <w:pPr>
        <w:tabs>
          <w:tab w:val="left" w:pos="3348"/>
        </w:tabs>
        <w:spacing w:after="0" w:line="240" w:lineRule="auto"/>
        <w:jc w:val="both"/>
        <w:rPr>
          <w:rFonts w:ascii="Verdana" w:eastAsia="Calibri" w:hAnsi="Verdana" w:cs="Arial"/>
          <w:color w:val="000000" w:themeColor="text1"/>
          <w:sz w:val="20"/>
          <w:szCs w:val="20"/>
          <w:lang w:val="es-ES_tradnl"/>
        </w:rPr>
      </w:pPr>
    </w:p>
    <w:p w14:paraId="3AE46832" w14:textId="77777777" w:rsidR="00B87963" w:rsidRPr="0056789C" w:rsidRDefault="00B87963" w:rsidP="00B87963">
      <w:pPr>
        <w:tabs>
          <w:tab w:val="left" w:pos="3348"/>
        </w:tabs>
        <w:spacing w:after="0" w:line="240" w:lineRule="auto"/>
        <w:jc w:val="both"/>
        <w:rPr>
          <w:rFonts w:ascii="Verdana" w:eastAsia="Calibri" w:hAnsi="Verdana" w:cs="Arial"/>
          <w:sz w:val="20"/>
          <w:szCs w:val="20"/>
          <w:lang w:val="es-ES" w:eastAsia="es-ES"/>
        </w:rPr>
      </w:pPr>
      <w:r w:rsidRPr="0056789C">
        <w:rPr>
          <w:rFonts w:ascii="Verdana" w:eastAsia="Calibri" w:hAnsi="Verdana" w:cs="Arial"/>
          <w:color w:val="000000" w:themeColor="text1"/>
          <w:sz w:val="20"/>
          <w:szCs w:val="20"/>
          <w:lang w:val="es-ES_tradnl"/>
        </w:rPr>
        <w:t>Conforme lo ha sostenido esta Agencia en distintos conceptos, los requisitos habilitantes, establecidos en el numeral 1° del artículo 5 de la Ley 1150 de 2007, son de carácter enunciativos y no taxativos. Esta interpretación legal se resume en los siguientes argumentos: Esta norma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p>
    <w:p w14:paraId="677E28B1" w14:textId="77777777" w:rsidR="00B87963" w:rsidRDefault="00B87963" w:rsidP="00B87963">
      <w:pPr>
        <w:spacing w:after="0" w:line="240" w:lineRule="auto"/>
        <w:jc w:val="both"/>
        <w:rPr>
          <w:rFonts w:ascii="Verdana" w:eastAsia="Calibri" w:hAnsi="Verdana" w:cs="Arial"/>
          <w:sz w:val="20"/>
          <w:szCs w:val="20"/>
          <w:lang w:val="es-ES" w:eastAsia="es-ES"/>
        </w:rPr>
      </w:pPr>
    </w:p>
    <w:p w14:paraId="6DEC0908" w14:textId="77777777" w:rsidR="00B87963" w:rsidRPr="0056789C" w:rsidRDefault="00B87963" w:rsidP="00B87963">
      <w:pPr>
        <w:spacing w:after="0" w:line="240" w:lineRule="auto"/>
        <w:jc w:val="both"/>
        <w:rPr>
          <w:rFonts w:ascii="Verdana" w:eastAsia="Calibri" w:hAnsi="Verdana" w:cs="Arial"/>
          <w:b/>
          <w:bCs/>
          <w:lang w:val="es-ES" w:eastAsia="es-ES"/>
        </w:rPr>
      </w:pPr>
      <w:r w:rsidRPr="0056789C">
        <w:rPr>
          <w:rFonts w:ascii="Verdana" w:eastAsia="Calibri" w:hAnsi="Verdana" w:cs="Arial"/>
          <w:b/>
          <w:bCs/>
          <w:lang w:val="es-ES" w:eastAsia="es-ES"/>
        </w:rPr>
        <w:t xml:space="preserve">REQUISITOS HABILITANTES – Autonomía de la voluntad de las entidades estatales para establecerlos </w:t>
      </w:r>
    </w:p>
    <w:p w14:paraId="132365FB" w14:textId="77777777" w:rsidR="00B87963" w:rsidRDefault="00B87963" w:rsidP="00B87963">
      <w:pPr>
        <w:widowControl w:val="0"/>
        <w:autoSpaceDE w:val="0"/>
        <w:autoSpaceDN w:val="0"/>
        <w:spacing w:after="0" w:line="240" w:lineRule="auto"/>
        <w:jc w:val="both"/>
        <w:rPr>
          <w:rFonts w:ascii="Verdana" w:eastAsia="Calibri" w:hAnsi="Verdana" w:cs="Arial"/>
          <w:color w:val="000000" w:themeColor="text1"/>
          <w:sz w:val="20"/>
          <w:szCs w:val="20"/>
        </w:rPr>
      </w:pPr>
    </w:p>
    <w:p w14:paraId="500BFB37" w14:textId="77777777" w:rsidR="00B87963" w:rsidRPr="0056789C" w:rsidRDefault="00B87963" w:rsidP="00B87963">
      <w:pPr>
        <w:widowControl w:val="0"/>
        <w:autoSpaceDE w:val="0"/>
        <w:autoSpaceDN w:val="0"/>
        <w:spacing w:after="0" w:line="240" w:lineRule="auto"/>
        <w:jc w:val="both"/>
        <w:rPr>
          <w:rFonts w:ascii="Verdana" w:eastAsia="Calibri" w:hAnsi="Verdana" w:cs="Arial"/>
          <w:color w:val="000000" w:themeColor="text1"/>
          <w:sz w:val="20"/>
          <w:szCs w:val="20"/>
        </w:rPr>
      </w:pPr>
      <w:r w:rsidRPr="0056789C">
        <w:rPr>
          <w:rFonts w:ascii="Verdana" w:eastAsia="Calibri" w:hAnsi="Verdana" w:cs="Arial"/>
          <w:color w:val="000000" w:themeColor="text1"/>
          <w:sz w:val="20"/>
          <w:szCs w:val="20"/>
        </w:rPr>
        <w:t>En consecuencia, 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w:t>
      </w:r>
    </w:p>
    <w:p w14:paraId="76B14D2F" w14:textId="77777777" w:rsidR="00B87963" w:rsidRDefault="00B87963" w:rsidP="00B87963">
      <w:pPr>
        <w:widowControl w:val="0"/>
        <w:autoSpaceDE w:val="0"/>
        <w:autoSpaceDN w:val="0"/>
        <w:spacing w:after="0" w:line="240" w:lineRule="auto"/>
        <w:jc w:val="both"/>
        <w:rPr>
          <w:rFonts w:ascii="Verdana" w:eastAsia="Calibri" w:hAnsi="Verdana" w:cs="Arial"/>
          <w:color w:val="000000" w:themeColor="text1"/>
          <w:sz w:val="20"/>
          <w:szCs w:val="20"/>
        </w:rPr>
      </w:pPr>
    </w:p>
    <w:p w14:paraId="0AEB0CF9" w14:textId="77777777" w:rsidR="00B87963" w:rsidRPr="0056789C" w:rsidRDefault="00B87963" w:rsidP="00B87963">
      <w:pPr>
        <w:widowControl w:val="0"/>
        <w:autoSpaceDE w:val="0"/>
        <w:autoSpaceDN w:val="0"/>
        <w:spacing w:after="0" w:line="240" w:lineRule="auto"/>
        <w:jc w:val="both"/>
        <w:rPr>
          <w:rFonts w:ascii="Verdana" w:eastAsia="Calibri" w:hAnsi="Verdana" w:cs="Arial"/>
          <w:color w:val="000000" w:themeColor="text1"/>
          <w:sz w:val="20"/>
          <w:szCs w:val="20"/>
        </w:rPr>
      </w:pPr>
      <w:r w:rsidRPr="0056789C">
        <w:rPr>
          <w:rFonts w:ascii="Verdana" w:eastAsia="Calibri" w:hAnsi="Verdana" w:cs="Arial"/>
          <w:color w:val="000000" w:themeColor="text1"/>
          <w:sz w:val="20"/>
          <w:szCs w:val="20"/>
        </w:rPr>
        <w:t xml:space="preserve">De esta manera,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765D5A89" w14:textId="77777777" w:rsidR="00B87963" w:rsidRPr="0056789C" w:rsidRDefault="00B87963" w:rsidP="00B87963">
      <w:pPr>
        <w:spacing w:after="0" w:line="240" w:lineRule="auto"/>
        <w:jc w:val="both"/>
        <w:rPr>
          <w:rFonts w:ascii="Verdana" w:eastAsia="Calibri" w:hAnsi="Verdana" w:cs="Arial"/>
          <w:sz w:val="20"/>
          <w:szCs w:val="20"/>
          <w:lang w:eastAsia="es-ES"/>
        </w:rPr>
      </w:pPr>
    </w:p>
    <w:p w14:paraId="76672ECE" w14:textId="77777777" w:rsidR="00B87963" w:rsidRPr="0056789C" w:rsidRDefault="00B87963" w:rsidP="00B87963">
      <w:pPr>
        <w:spacing w:after="0" w:line="240" w:lineRule="auto"/>
        <w:jc w:val="both"/>
        <w:rPr>
          <w:rFonts w:ascii="Verdana" w:eastAsia="Calibri" w:hAnsi="Verdana" w:cs="Arial"/>
          <w:b/>
          <w:bCs/>
          <w:lang w:val="es-ES" w:eastAsia="es-ES"/>
        </w:rPr>
      </w:pPr>
      <w:r w:rsidRPr="0056789C">
        <w:rPr>
          <w:rFonts w:ascii="Verdana" w:eastAsia="Calibri" w:hAnsi="Verdana" w:cs="Arial"/>
          <w:b/>
          <w:bCs/>
          <w:lang w:val="es-ES" w:eastAsia="es-ES"/>
        </w:rPr>
        <w:t xml:space="preserve">REQUISITOS HABILITANTES – Especificaciones técnicas – Posibilidad de exigir – Marcas </w:t>
      </w:r>
    </w:p>
    <w:p w14:paraId="6F7B8A8C" w14:textId="77777777" w:rsidR="00B87963" w:rsidRDefault="00B87963" w:rsidP="00B87963">
      <w:pPr>
        <w:spacing w:after="0" w:line="240" w:lineRule="auto"/>
        <w:jc w:val="both"/>
        <w:rPr>
          <w:rFonts w:ascii="Verdana" w:eastAsia="Calibri" w:hAnsi="Verdana" w:cs="Arial"/>
          <w:color w:val="000000"/>
          <w:sz w:val="20"/>
          <w:szCs w:val="20"/>
          <w:lang w:val="es-ES_tradnl" w:eastAsia="es-ES_tradnl"/>
        </w:rPr>
      </w:pPr>
    </w:p>
    <w:p w14:paraId="717F047C" w14:textId="77777777" w:rsidR="00B87963" w:rsidRPr="0056789C" w:rsidRDefault="00B87963" w:rsidP="00B87963">
      <w:pPr>
        <w:spacing w:after="0" w:line="240" w:lineRule="auto"/>
        <w:jc w:val="both"/>
        <w:rPr>
          <w:rFonts w:ascii="Verdana" w:hAnsi="Verdana"/>
          <w:sz w:val="20"/>
          <w:szCs w:val="20"/>
          <w:lang w:val="es-ES"/>
        </w:rPr>
      </w:pPr>
      <w:r w:rsidRPr="0056789C">
        <w:rPr>
          <w:rFonts w:ascii="Verdana" w:eastAsia="Calibri" w:hAnsi="Verdana" w:cs="Arial"/>
          <w:color w:val="000000"/>
          <w:sz w:val="20"/>
          <w:szCs w:val="20"/>
          <w:lang w:val="es-ES_tradnl" w:eastAsia="es-ES_tradnl"/>
        </w:rPr>
        <w:t xml:space="preserve">Las Entidades Estatales, en su discrecionalidad administrativa, podrán exigir marcas si no están prohibidas en acuerdos y tratados comerciales, en las que sean destinatarios, </w:t>
      </w:r>
      <w:r w:rsidRPr="0056789C">
        <w:rPr>
          <w:rFonts w:ascii="Verdana" w:eastAsia="Calibri" w:hAnsi="Verdana" w:cs="Arial"/>
          <w:color w:val="000000"/>
          <w:sz w:val="20"/>
          <w:szCs w:val="20"/>
          <w:lang w:val="es-ES_tradnl" w:eastAsia="es-ES_tradnl"/>
        </w:rPr>
        <w:lastRenderedPageBreak/>
        <w:t>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Pr>
          <w:rFonts w:ascii="Verdana" w:eastAsia="Calibri" w:hAnsi="Verdana" w:cs="Arial"/>
          <w:color w:val="000000"/>
          <w:sz w:val="20"/>
          <w:szCs w:val="20"/>
          <w:lang w:val="es-ES_tradnl" w:eastAsia="es-ES_tradnl"/>
        </w:rPr>
        <w:t xml:space="preserve">. </w:t>
      </w:r>
    </w:p>
    <w:p w14:paraId="7DE28C3C" w14:textId="77777777" w:rsidR="00B87963" w:rsidRDefault="00B87963">
      <w:pPr>
        <w:rPr>
          <w:rFonts w:ascii="Verdana" w:hAnsi="Verdana"/>
        </w:rPr>
      </w:pPr>
      <w:r>
        <w:rPr>
          <w:rFonts w:ascii="Verdana" w:hAnsi="Verdana"/>
        </w:rPr>
        <w:br w:type="page"/>
      </w:r>
    </w:p>
    <w:p w14:paraId="3FE2184B" w14:textId="4A8354D8" w:rsidR="00E245AB" w:rsidRPr="009859FE" w:rsidRDefault="00E245AB" w:rsidP="00E245AB">
      <w:pPr>
        <w:spacing w:after="0"/>
        <w:rPr>
          <w:rFonts w:ascii="Verdana" w:hAnsi="Verdana"/>
        </w:rPr>
      </w:pPr>
      <w:r w:rsidRPr="009859FE">
        <w:rPr>
          <w:rFonts w:ascii="Verdana" w:hAnsi="Verdana"/>
        </w:rPr>
        <w:lastRenderedPageBreak/>
        <w:t xml:space="preserve">Bogotá D.C., </w:t>
      </w:r>
      <w:r w:rsidR="00BC505F">
        <w:rPr>
          <w:rFonts w:ascii="Verdana" w:hAnsi="Verdana"/>
        </w:rPr>
        <w:t>17 de diciembre de 2024.</w:t>
      </w:r>
      <w:r w:rsidR="00891928" w:rsidRPr="009859FE">
        <w:rPr>
          <w:rFonts w:ascii="Verdana" w:hAnsi="Verdana"/>
        </w:rPr>
        <w:tab/>
      </w:r>
    </w:p>
    <w:p w14:paraId="413A6F79" w14:textId="470D7641" w:rsidR="00407000" w:rsidRPr="009859FE" w:rsidRDefault="00A82D0F" w:rsidP="00407000">
      <w:pPr>
        <w:spacing w:after="0" w:line="240" w:lineRule="auto"/>
        <w:jc w:val="right"/>
        <w:rPr>
          <w:rFonts w:ascii="Verdana" w:eastAsia="Geomanist Light" w:hAnsi="Verdana" w:cs="Arial"/>
          <w:color w:val="201F1E"/>
          <w:lang w:val="es-MX"/>
        </w:rPr>
      </w:pPr>
      <w:r w:rsidRPr="00A82D0F">
        <w:rPr>
          <w:rFonts w:ascii="Verdana" w:eastAsia="Geomanist Light" w:hAnsi="Verdana" w:cs="Arial"/>
          <w:color w:val="201F1E"/>
          <w:lang w:val="es-MX"/>
        </w:rPr>
        <w:drawing>
          <wp:inline distT="0" distB="0" distL="0" distR="0" wp14:anchorId="6A7E7A3F" wp14:editId="5A0B65F7">
            <wp:extent cx="3248025" cy="1012447"/>
            <wp:effectExtent l="0" t="0" r="0" b="0"/>
            <wp:docPr id="10537697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69722" name="Imagen 1" descr="Texto&#10;&#10;Descripción generada automáticamente"/>
                    <pic:cNvPicPr/>
                  </pic:nvPicPr>
                  <pic:blipFill>
                    <a:blip r:embed="rId11"/>
                    <a:stretch>
                      <a:fillRect/>
                    </a:stretch>
                  </pic:blipFill>
                  <pic:spPr>
                    <a:xfrm>
                      <a:off x="0" y="0"/>
                      <a:ext cx="3250255" cy="1013142"/>
                    </a:xfrm>
                    <a:prstGeom prst="rect">
                      <a:avLst/>
                    </a:prstGeom>
                  </pic:spPr>
                </pic:pic>
              </a:graphicData>
            </a:graphic>
          </wp:inline>
        </w:drawing>
      </w:r>
    </w:p>
    <w:p w14:paraId="79D3395D" w14:textId="77777777" w:rsidR="00407000" w:rsidRPr="009859FE" w:rsidRDefault="00407000" w:rsidP="00407000">
      <w:pPr>
        <w:spacing w:after="0" w:line="240" w:lineRule="auto"/>
        <w:jc w:val="both"/>
        <w:rPr>
          <w:rFonts w:ascii="Verdana" w:eastAsia="Calibri" w:hAnsi="Verdana" w:cs="Arial"/>
          <w:lang w:val="es-ES" w:eastAsia="es-ES"/>
        </w:rPr>
      </w:pPr>
      <w:r w:rsidRPr="009859FE">
        <w:rPr>
          <w:rFonts w:ascii="Verdana" w:eastAsia="Calibri" w:hAnsi="Verdana" w:cs="Arial"/>
          <w:lang w:val="es-ES" w:eastAsia="es-ES"/>
        </w:rPr>
        <w:t>Señor</w:t>
      </w:r>
    </w:p>
    <w:p w14:paraId="374C9EC5" w14:textId="77777777" w:rsidR="00407000" w:rsidRPr="009859FE" w:rsidRDefault="00407000" w:rsidP="168100CA">
      <w:pPr>
        <w:spacing w:after="0" w:line="240" w:lineRule="auto"/>
        <w:rPr>
          <w:rFonts w:ascii="Verdana" w:eastAsia="Calibri" w:hAnsi="Verdana" w:cs="Arial"/>
          <w:b/>
          <w:bCs/>
          <w:lang w:val="es-ES" w:eastAsia="es-ES"/>
        </w:rPr>
      </w:pPr>
      <w:r w:rsidRPr="009859FE">
        <w:rPr>
          <w:rFonts w:ascii="Verdana" w:eastAsia="Calibri" w:hAnsi="Verdana" w:cs="Arial"/>
          <w:b/>
          <w:bCs/>
          <w:lang w:val="es-ES" w:eastAsia="es-ES"/>
        </w:rPr>
        <w:t xml:space="preserve">Gerson Ricardo Ovalle </w:t>
      </w:r>
      <w:proofErr w:type="spellStart"/>
      <w:r w:rsidRPr="009859FE">
        <w:rPr>
          <w:rFonts w:ascii="Verdana" w:eastAsia="Calibri" w:hAnsi="Verdana" w:cs="Arial"/>
          <w:b/>
          <w:bCs/>
          <w:lang w:val="es-ES" w:eastAsia="es-ES"/>
        </w:rPr>
        <w:t>Reita</w:t>
      </w:r>
      <w:proofErr w:type="spellEnd"/>
    </w:p>
    <w:p w14:paraId="1173BA52" w14:textId="77777777" w:rsidR="00407000" w:rsidRPr="009859FE" w:rsidRDefault="00407000" w:rsidP="00407000">
      <w:pPr>
        <w:spacing w:after="0" w:line="240" w:lineRule="auto"/>
        <w:rPr>
          <w:rFonts w:ascii="Verdana" w:eastAsia="Calibri" w:hAnsi="Verdana" w:cs="Arial"/>
          <w:bCs/>
          <w:lang w:val="es-ES_tradnl" w:eastAsia="es-ES_tradnl"/>
        </w:rPr>
      </w:pPr>
      <w:hyperlink r:id="rId12" w:history="1">
        <w:r w:rsidRPr="009859FE">
          <w:rPr>
            <w:rStyle w:val="Hipervnculo"/>
            <w:rFonts w:ascii="Verdana" w:eastAsia="Calibri" w:hAnsi="Verdana" w:cs="Arial"/>
            <w:bCs/>
            <w:lang w:val="es-ES_tradnl" w:eastAsia="es-ES_tradnl"/>
          </w:rPr>
          <w:t>gersonovalle@hotmail.com</w:t>
        </w:r>
      </w:hyperlink>
    </w:p>
    <w:p w14:paraId="1FBF8B98" w14:textId="77777777" w:rsidR="00407000" w:rsidRPr="009859FE" w:rsidRDefault="00407000" w:rsidP="00407000">
      <w:pPr>
        <w:spacing w:after="0" w:line="240" w:lineRule="auto"/>
        <w:rPr>
          <w:rFonts w:ascii="Verdana" w:eastAsia="Calibri" w:hAnsi="Verdana" w:cs="Arial"/>
          <w:lang w:val="es-ES" w:eastAsia="es-ES"/>
        </w:rPr>
      </w:pPr>
      <w:r w:rsidRPr="009859FE">
        <w:rPr>
          <w:rFonts w:ascii="Verdana" w:eastAsia="Calibri" w:hAnsi="Verdana" w:cs="Arial"/>
          <w:lang w:val="es-ES" w:eastAsia="es-ES"/>
        </w:rPr>
        <w:t xml:space="preserve">Bogotá D.C. </w:t>
      </w:r>
    </w:p>
    <w:p w14:paraId="125B1BB7" w14:textId="77777777" w:rsidR="00407000" w:rsidRPr="009859FE" w:rsidRDefault="00407000" w:rsidP="00407000">
      <w:pPr>
        <w:spacing w:after="0" w:line="240" w:lineRule="auto"/>
        <w:rPr>
          <w:rFonts w:ascii="Verdana" w:eastAsia="Calibri" w:hAnsi="Verdana" w:cs="Arial"/>
          <w:b/>
          <w:bCs/>
          <w:color w:val="000000"/>
          <w:lang w:val="es-ES_tradnl" w:eastAsia="es-ES_tradnl"/>
        </w:rPr>
      </w:pPr>
    </w:p>
    <w:p w14:paraId="4C42F89F" w14:textId="77777777" w:rsidR="00407000" w:rsidRPr="009859FE" w:rsidRDefault="00407000" w:rsidP="0040700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07000" w:rsidRPr="009859FE" w14:paraId="794A7E51" w14:textId="77777777" w:rsidTr="00F21426">
        <w:trPr>
          <w:trHeight w:val="261"/>
        </w:trPr>
        <w:tc>
          <w:tcPr>
            <w:tcW w:w="2689" w:type="dxa"/>
          </w:tcPr>
          <w:p w14:paraId="4048CDFE" w14:textId="77777777" w:rsidR="00407000" w:rsidRPr="009859FE" w:rsidRDefault="00407000" w:rsidP="00F21426">
            <w:pPr>
              <w:jc w:val="both"/>
              <w:rPr>
                <w:rFonts w:ascii="Verdana" w:eastAsia="Calibri" w:hAnsi="Verdana" w:cs="Arial"/>
                <w:b/>
                <w:bCs/>
                <w:color w:val="7030A0"/>
                <w:lang w:val="es-ES_tradnl" w:eastAsia="es-ES_tradnl"/>
              </w:rPr>
            </w:pPr>
          </w:p>
        </w:tc>
        <w:tc>
          <w:tcPr>
            <w:tcW w:w="6100" w:type="dxa"/>
          </w:tcPr>
          <w:p w14:paraId="44136822" w14:textId="2EB1D67D" w:rsidR="00407000" w:rsidRPr="009859FE" w:rsidRDefault="00407000" w:rsidP="00F21426">
            <w:pPr>
              <w:jc w:val="both"/>
              <w:rPr>
                <w:rFonts w:ascii="Verdana" w:eastAsia="Calibri" w:hAnsi="Verdana" w:cs="Arial"/>
                <w:b/>
                <w:bCs/>
                <w:lang w:val="es-ES" w:eastAsia="es-ES"/>
              </w:rPr>
            </w:pPr>
            <w:r w:rsidRPr="009859FE">
              <w:rPr>
                <w:rFonts w:ascii="Verdana" w:eastAsia="Calibri" w:hAnsi="Verdana" w:cs="Arial"/>
                <w:b/>
                <w:bCs/>
                <w:lang w:val="es-ES" w:eastAsia="es-ES"/>
              </w:rPr>
              <w:t>Concepto C–7</w:t>
            </w:r>
            <w:r w:rsidR="009337AF">
              <w:rPr>
                <w:rFonts w:ascii="Verdana" w:eastAsia="Calibri" w:hAnsi="Verdana" w:cs="Arial"/>
                <w:b/>
                <w:bCs/>
                <w:lang w:val="es-ES" w:eastAsia="es-ES"/>
              </w:rPr>
              <w:t>2</w:t>
            </w:r>
            <w:r w:rsidRPr="009859FE">
              <w:rPr>
                <w:rFonts w:ascii="Verdana" w:eastAsia="Calibri" w:hAnsi="Verdana" w:cs="Arial"/>
                <w:b/>
                <w:bCs/>
                <w:lang w:val="es-ES" w:eastAsia="es-ES"/>
              </w:rPr>
              <w:t>1 de 2024</w:t>
            </w:r>
          </w:p>
          <w:p w14:paraId="378EB88B" w14:textId="77777777" w:rsidR="00407000" w:rsidRPr="009859FE" w:rsidRDefault="00407000" w:rsidP="00F21426">
            <w:pPr>
              <w:jc w:val="both"/>
              <w:rPr>
                <w:rFonts w:ascii="Verdana" w:eastAsia="Calibri" w:hAnsi="Verdana" w:cs="Arial"/>
                <w:b/>
                <w:bCs/>
                <w:lang w:val="es-ES" w:eastAsia="es-ES"/>
              </w:rPr>
            </w:pPr>
          </w:p>
        </w:tc>
      </w:tr>
      <w:tr w:rsidR="00407000" w:rsidRPr="009859FE" w14:paraId="5104FA51" w14:textId="77777777" w:rsidTr="00F21426">
        <w:trPr>
          <w:trHeight w:val="884"/>
        </w:trPr>
        <w:tc>
          <w:tcPr>
            <w:tcW w:w="2689" w:type="dxa"/>
          </w:tcPr>
          <w:p w14:paraId="39DCD0C1" w14:textId="77777777" w:rsidR="00407000" w:rsidRPr="009859FE" w:rsidRDefault="00407000" w:rsidP="00F21426">
            <w:pPr>
              <w:jc w:val="both"/>
              <w:rPr>
                <w:rFonts w:ascii="Verdana" w:eastAsia="Calibri" w:hAnsi="Verdana" w:cs="Arial"/>
                <w:color w:val="000000"/>
                <w:lang w:val="es-ES_tradnl" w:eastAsia="es-ES_tradnl"/>
              </w:rPr>
            </w:pPr>
            <w:r w:rsidRPr="009859FE">
              <w:rPr>
                <w:rFonts w:ascii="Verdana" w:eastAsia="Calibri" w:hAnsi="Verdana" w:cs="Arial"/>
                <w:b/>
                <w:color w:val="000000"/>
                <w:lang w:val="es-ES_tradnl" w:eastAsia="es-ES_tradnl"/>
              </w:rPr>
              <w:t>Temas:</w:t>
            </w:r>
            <w:r w:rsidRPr="009859FE">
              <w:rPr>
                <w:rFonts w:ascii="Verdana" w:eastAsia="Calibri" w:hAnsi="Verdana" w:cs="Arial"/>
                <w:color w:val="000000"/>
                <w:lang w:val="es-ES_tradnl" w:eastAsia="es-ES_tradnl"/>
              </w:rPr>
              <w:t xml:space="preserve">                   </w:t>
            </w:r>
          </w:p>
        </w:tc>
        <w:tc>
          <w:tcPr>
            <w:tcW w:w="6100" w:type="dxa"/>
          </w:tcPr>
          <w:p w14:paraId="6741422B" w14:textId="090125F2" w:rsidR="00407000" w:rsidRPr="009859FE" w:rsidRDefault="00407000" w:rsidP="00BF22E6">
            <w:pPr>
              <w:spacing w:line="276" w:lineRule="auto"/>
              <w:jc w:val="both"/>
              <w:rPr>
                <w:rFonts w:ascii="Verdana" w:eastAsia="Calibri" w:hAnsi="Verdana" w:cs="Arial"/>
                <w:lang w:val="es-ES" w:eastAsia="es-ES"/>
              </w:rPr>
            </w:pPr>
            <w:r w:rsidRPr="009859FE">
              <w:rPr>
                <w:rFonts w:ascii="Verdana" w:eastAsia="Calibri" w:hAnsi="Verdana" w:cs="Arial"/>
                <w:lang w:val="es-ES" w:eastAsia="es-ES"/>
              </w:rPr>
              <w:t xml:space="preserve">REQUISITOS HABILITANTES – Noción / REQUISITOS HABILITANTES – Carácter enunciativo / REQUISITOS HABILITANTES – Autonomía de la voluntad de las entidades estatales para establecerlos / REQUISITOS HABILITANTES – Especificaciones técnicas – </w:t>
            </w:r>
            <w:r w:rsidR="00636082">
              <w:rPr>
                <w:rFonts w:ascii="Verdana" w:eastAsia="Calibri" w:hAnsi="Verdana" w:cs="Arial"/>
                <w:lang w:val="es-ES" w:eastAsia="es-ES"/>
              </w:rPr>
              <w:t xml:space="preserve">Posibilidad de exigir – </w:t>
            </w:r>
            <w:r w:rsidRPr="009859FE">
              <w:rPr>
                <w:rFonts w:ascii="Verdana" w:eastAsia="Calibri" w:hAnsi="Verdana" w:cs="Arial"/>
                <w:lang w:val="es-ES" w:eastAsia="es-ES"/>
              </w:rPr>
              <w:t xml:space="preserve">Marcas </w:t>
            </w:r>
          </w:p>
          <w:p w14:paraId="4D946574" w14:textId="77777777" w:rsidR="00407000" w:rsidRPr="009859FE" w:rsidRDefault="00407000" w:rsidP="00F21426">
            <w:pPr>
              <w:jc w:val="both"/>
              <w:rPr>
                <w:rFonts w:ascii="Verdana" w:eastAsia="Calibri" w:hAnsi="Verdana" w:cs="Arial"/>
                <w:lang w:val="es-ES" w:eastAsia="es-ES"/>
              </w:rPr>
            </w:pPr>
          </w:p>
        </w:tc>
      </w:tr>
      <w:tr w:rsidR="00407000" w:rsidRPr="009859FE" w14:paraId="265AB899" w14:textId="77777777" w:rsidTr="00F21426">
        <w:tc>
          <w:tcPr>
            <w:tcW w:w="2689" w:type="dxa"/>
          </w:tcPr>
          <w:p w14:paraId="4703D3D6" w14:textId="77777777" w:rsidR="00407000" w:rsidRPr="009859FE" w:rsidRDefault="00407000" w:rsidP="00F21426">
            <w:pPr>
              <w:jc w:val="both"/>
              <w:rPr>
                <w:rFonts w:ascii="Verdana" w:eastAsia="Calibri" w:hAnsi="Verdana" w:cs="Arial"/>
                <w:b/>
                <w:lang w:val="es-ES_tradnl" w:eastAsia="es-ES_tradnl"/>
              </w:rPr>
            </w:pPr>
            <w:r w:rsidRPr="009859FE">
              <w:rPr>
                <w:rFonts w:ascii="Verdana" w:eastAsia="Calibri" w:hAnsi="Verdana" w:cs="Arial"/>
                <w:b/>
                <w:lang w:val="es-ES_tradnl" w:eastAsia="es-ES_tradnl"/>
              </w:rPr>
              <w:t>Radicación:</w:t>
            </w:r>
            <w:r w:rsidRPr="009859FE">
              <w:rPr>
                <w:rFonts w:ascii="Verdana" w:eastAsia="Calibri" w:hAnsi="Verdana" w:cs="Arial"/>
                <w:lang w:val="es-ES_tradnl" w:eastAsia="es-ES_tradnl"/>
              </w:rPr>
              <w:t xml:space="preserve">               </w:t>
            </w:r>
          </w:p>
        </w:tc>
        <w:tc>
          <w:tcPr>
            <w:tcW w:w="6100" w:type="dxa"/>
          </w:tcPr>
          <w:p w14:paraId="78E28D7C" w14:textId="77777777" w:rsidR="00407000" w:rsidRPr="009859FE" w:rsidRDefault="00407000" w:rsidP="00F21426">
            <w:pPr>
              <w:jc w:val="both"/>
              <w:rPr>
                <w:rFonts w:ascii="Verdana" w:hAnsi="Verdana" w:cs="Calibri"/>
                <w:color w:val="000000"/>
              </w:rPr>
            </w:pPr>
            <w:r w:rsidRPr="009859FE">
              <w:rPr>
                <w:rFonts w:ascii="Verdana" w:eastAsia="Calibri" w:hAnsi="Verdana" w:cs="Arial"/>
                <w:lang w:val="es-ES_tradnl" w:eastAsia="es-ES_tradnl"/>
              </w:rPr>
              <w:t xml:space="preserve">Respuesta a la consulta con radicado No. </w:t>
            </w:r>
            <w:r w:rsidRPr="009859FE">
              <w:rPr>
                <w:rFonts w:ascii="Verdana" w:hAnsi="Verdana" w:cs="Calibri"/>
                <w:color w:val="000000"/>
              </w:rPr>
              <w:t>P20241010010343</w:t>
            </w:r>
            <w:r w:rsidRPr="009859FE">
              <w:rPr>
                <w:rFonts w:ascii="Verdana" w:eastAsia="Calibri" w:hAnsi="Verdana" w:cs="Arial"/>
                <w:lang w:val="es-ES_tradnl" w:eastAsia="es-ES_tradnl"/>
              </w:rPr>
              <w:t xml:space="preserve">                             </w:t>
            </w:r>
          </w:p>
        </w:tc>
      </w:tr>
    </w:tbl>
    <w:p w14:paraId="01688473" w14:textId="77777777" w:rsidR="00407000" w:rsidRPr="009859FE" w:rsidRDefault="00407000" w:rsidP="00407000">
      <w:pPr>
        <w:spacing w:after="0" w:line="276" w:lineRule="auto"/>
        <w:jc w:val="both"/>
        <w:rPr>
          <w:rFonts w:ascii="Verdana" w:eastAsia="Calibri" w:hAnsi="Verdana" w:cs="Arial"/>
          <w:color w:val="000000"/>
          <w:lang w:val="es-ES_tradnl" w:eastAsia="es-ES_tradnl"/>
        </w:rPr>
      </w:pPr>
    </w:p>
    <w:p w14:paraId="21ADF277" w14:textId="77777777" w:rsidR="00407000" w:rsidRPr="009859FE" w:rsidRDefault="00407000" w:rsidP="00407000">
      <w:pPr>
        <w:spacing w:after="0" w:line="276" w:lineRule="auto"/>
        <w:jc w:val="both"/>
        <w:rPr>
          <w:rFonts w:ascii="Verdana" w:eastAsia="Calibri" w:hAnsi="Verdana" w:cs="Arial"/>
          <w:color w:val="000000"/>
          <w:lang w:val="es-ES_tradnl" w:eastAsia="es-ES_tradnl"/>
        </w:rPr>
      </w:pPr>
    </w:p>
    <w:p w14:paraId="293B8C09" w14:textId="77777777" w:rsidR="00407000" w:rsidRPr="009859FE" w:rsidRDefault="00407000" w:rsidP="00407000">
      <w:pPr>
        <w:spacing w:after="0" w:line="276" w:lineRule="auto"/>
        <w:jc w:val="both"/>
        <w:rPr>
          <w:rFonts w:ascii="Verdana" w:eastAsia="Calibri" w:hAnsi="Verdana" w:cs="Arial"/>
          <w:lang w:val="es-ES" w:eastAsia="es-ES"/>
        </w:rPr>
      </w:pPr>
      <w:r w:rsidRPr="009859FE">
        <w:rPr>
          <w:rFonts w:ascii="Verdana" w:eastAsia="Calibri" w:hAnsi="Verdana" w:cs="Arial"/>
          <w:lang w:val="es-ES" w:eastAsia="es-ES"/>
        </w:rPr>
        <w:t xml:space="preserve">Estimado señor Ovalle </w:t>
      </w:r>
      <w:proofErr w:type="spellStart"/>
      <w:r w:rsidRPr="009859FE">
        <w:rPr>
          <w:rFonts w:ascii="Verdana" w:eastAsia="Calibri" w:hAnsi="Verdana" w:cs="Arial"/>
          <w:lang w:val="es-ES" w:eastAsia="es-ES"/>
        </w:rPr>
        <w:t>Reita</w:t>
      </w:r>
      <w:proofErr w:type="spellEnd"/>
      <w:r w:rsidRPr="009859FE">
        <w:rPr>
          <w:rFonts w:ascii="Verdana" w:eastAsia="Calibri" w:hAnsi="Verdana" w:cs="Arial"/>
          <w:lang w:val="es-ES" w:eastAsia="es-ES"/>
        </w:rPr>
        <w:t xml:space="preserve">: </w:t>
      </w:r>
    </w:p>
    <w:p w14:paraId="6C77FB36" w14:textId="77777777" w:rsidR="00407000" w:rsidRPr="009859FE" w:rsidRDefault="00407000" w:rsidP="00407000">
      <w:pPr>
        <w:tabs>
          <w:tab w:val="left" w:pos="3768"/>
        </w:tabs>
        <w:spacing w:after="0" w:line="276" w:lineRule="auto"/>
        <w:jc w:val="both"/>
        <w:rPr>
          <w:rFonts w:ascii="Verdana" w:eastAsia="Calibri" w:hAnsi="Verdana" w:cs="Arial"/>
          <w:color w:val="000000" w:themeColor="text1"/>
          <w:lang w:val="es-ES" w:eastAsia="es-ES"/>
        </w:rPr>
      </w:pPr>
      <w:r w:rsidRPr="009859FE">
        <w:rPr>
          <w:rFonts w:ascii="Verdana" w:eastAsia="Calibri" w:hAnsi="Verdana" w:cs="Arial"/>
          <w:color w:val="000000" w:themeColor="text1"/>
          <w:lang w:val="es-ES" w:eastAsia="es-ES"/>
        </w:rPr>
        <w:tab/>
      </w:r>
    </w:p>
    <w:p w14:paraId="51ED492E" w14:textId="77777777" w:rsidR="00407000" w:rsidRPr="009859FE" w:rsidRDefault="00407000" w:rsidP="00407000">
      <w:pPr>
        <w:spacing w:after="0" w:line="276" w:lineRule="auto"/>
        <w:jc w:val="both"/>
        <w:rPr>
          <w:rFonts w:ascii="Verdana" w:eastAsia="Calibri" w:hAnsi="Verdana" w:cs="Arial"/>
          <w:color w:val="7030A0"/>
          <w:lang w:val="es-ES" w:eastAsia="es-ES"/>
        </w:rPr>
      </w:pPr>
      <w:r w:rsidRPr="009859FE">
        <w:rPr>
          <w:rFonts w:ascii="Verdana" w:eastAsia="Calibri" w:hAnsi="Verdana" w:cs="Arial"/>
          <w:color w:val="000000" w:themeColor="text1"/>
          <w:lang w:val="es-ES" w:eastAsia="es-ES"/>
        </w:rPr>
        <w:t>En ejercicio de la competencia otorgada por los artículos 3, numeral 5º, y 11, numeral 8º, del Decreto Ley 4170 de 2011,</w:t>
      </w:r>
      <w:r w:rsidRPr="009859FE">
        <w:rPr>
          <w:rFonts w:ascii="Verdana" w:eastAsia="Arial MT" w:hAnsi="Verdana" w:cs="Arial MT"/>
          <w:lang w:val="es-ES" w:eastAsia="es-ES"/>
        </w:rPr>
        <w:t xml:space="preserve"> </w:t>
      </w:r>
      <w:r w:rsidRPr="009859FE">
        <w:rPr>
          <w:rFonts w:ascii="Verdana" w:hAnsi="Verdana" w:cs="Arial"/>
        </w:rPr>
        <w:t xml:space="preserve">así como lo establecido en el artículo 4 de la Resolución 1707 de 2018 expedida por esta Entidad, </w:t>
      </w:r>
      <w:r w:rsidRPr="009859FE">
        <w:rPr>
          <w:rFonts w:ascii="Verdana" w:eastAsia="Calibri" w:hAnsi="Verdana" w:cs="Arial"/>
          <w:color w:val="000000" w:themeColor="text1"/>
          <w:lang w:val="es-ES" w:eastAsia="es-ES"/>
        </w:rPr>
        <w:t xml:space="preserve">la Agencia Nacional de Contratación Pública – Colombia Compra Eficiente responde su solicitud del </w:t>
      </w:r>
      <w:r w:rsidRPr="009859FE">
        <w:rPr>
          <w:rFonts w:ascii="Verdana" w:eastAsia="Calibri" w:hAnsi="Verdana" w:cs="Arial"/>
          <w:lang w:val="es-ES" w:eastAsia="es-ES"/>
        </w:rPr>
        <w:t xml:space="preserve">10 de octubre de 2024, en la cual pregunta sobre lo siguiente: </w:t>
      </w:r>
    </w:p>
    <w:p w14:paraId="171D4401" w14:textId="77777777" w:rsidR="00407000" w:rsidRPr="009859FE" w:rsidRDefault="00407000" w:rsidP="0040700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8C6891E" w14:textId="77777777" w:rsidR="00407000" w:rsidRPr="009859FE" w:rsidRDefault="00407000" w:rsidP="00407000">
      <w:pPr>
        <w:spacing w:after="0" w:line="240" w:lineRule="auto"/>
        <w:ind w:left="709" w:right="709"/>
        <w:jc w:val="both"/>
        <w:rPr>
          <w:rFonts w:ascii="Verdana" w:eastAsia="Century Gothic" w:hAnsi="Verdana" w:cs="Century Gothic"/>
          <w:sz w:val="20"/>
          <w:szCs w:val="20"/>
        </w:rPr>
      </w:pPr>
      <w:r w:rsidRPr="009859FE">
        <w:rPr>
          <w:rFonts w:ascii="Verdana" w:eastAsia="Century Gothic" w:hAnsi="Verdana" w:cs="Century Gothic"/>
          <w:sz w:val="20"/>
          <w:szCs w:val="20"/>
          <w:lang w:val="es-ES"/>
        </w:rPr>
        <w:t xml:space="preserve">“Solicito amablemente concepto sobre: en la </w:t>
      </w:r>
      <w:proofErr w:type="spellStart"/>
      <w:r w:rsidRPr="009859FE">
        <w:rPr>
          <w:rFonts w:ascii="Verdana" w:eastAsia="Century Gothic" w:hAnsi="Verdana" w:cs="Century Gothic"/>
          <w:sz w:val="20"/>
          <w:szCs w:val="20"/>
          <w:lang w:val="es-ES"/>
        </w:rPr>
        <w:t>descripcion</w:t>
      </w:r>
      <w:proofErr w:type="spellEnd"/>
      <w:r w:rsidRPr="009859FE">
        <w:rPr>
          <w:rFonts w:ascii="Verdana" w:eastAsia="Century Gothic" w:hAnsi="Verdana" w:cs="Century Gothic"/>
          <w:sz w:val="20"/>
          <w:szCs w:val="20"/>
          <w:lang w:val="es-ES"/>
        </w:rPr>
        <w:t xml:space="preserve"> de las especificaciones </w:t>
      </w:r>
      <w:proofErr w:type="spellStart"/>
      <w:r w:rsidRPr="009859FE">
        <w:rPr>
          <w:rFonts w:ascii="Verdana" w:eastAsia="Century Gothic" w:hAnsi="Verdana" w:cs="Century Gothic"/>
          <w:sz w:val="20"/>
          <w:szCs w:val="20"/>
          <w:lang w:val="es-ES"/>
        </w:rPr>
        <w:t>tecnicas</w:t>
      </w:r>
      <w:proofErr w:type="spellEnd"/>
      <w:r w:rsidRPr="009859FE">
        <w:rPr>
          <w:rFonts w:ascii="Verdana" w:eastAsia="Century Gothic" w:hAnsi="Verdana" w:cs="Century Gothic"/>
          <w:sz w:val="20"/>
          <w:szCs w:val="20"/>
          <w:lang w:val="es-ES"/>
        </w:rPr>
        <w:t xml:space="preserve"> de los bienes o equipos a comprar por entidades estatales ¿en </w:t>
      </w:r>
      <w:proofErr w:type="spellStart"/>
      <w:r w:rsidRPr="009859FE">
        <w:rPr>
          <w:rFonts w:ascii="Verdana" w:eastAsia="Century Gothic" w:hAnsi="Verdana" w:cs="Century Gothic"/>
          <w:sz w:val="20"/>
          <w:szCs w:val="20"/>
          <w:lang w:val="es-ES"/>
        </w:rPr>
        <w:t>que</w:t>
      </w:r>
      <w:proofErr w:type="spellEnd"/>
      <w:r w:rsidRPr="009859FE">
        <w:rPr>
          <w:rFonts w:ascii="Verdana" w:eastAsia="Century Gothic" w:hAnsi="Verdana" w:cs="Century Gothic"/>
          <w:sz w:val="20"/>
          <w:szCs w:val="20"/>
          <w:lang w:val="es-ES"/>
        </w:rPr>
        <w:t xml:space="preserve"> casos o excepciones se acepta o es permitido relacionar una marca especifica de un bien? ¿en </w:t>
      </w:r>
      <w:proofErr w:type="spellStart"/>
      <w:r w:rsidRPr="009859FE">
        <w:rPr>
          <w:rFonts w:ascii="Verdana" w:eastAsia="Century Gothic" w:hAnsi="Verdana" w:cs="Century Gothic"/>
          <w:sz w:val="20"/>
          <w:szCs w:val="20"/>
          <w:lang w:val="es-ES"/>
        </w:rPr>
        <w:t>que</w:t>
      </w:r>
      <w:proofErr w:type="spellEnd"/>
      <w:r w:rsidRPr="009859FE">
        <w:rPr>
          <w:rFonts w:ascii="Verdana" w:eastAsia="Century Gothic" w:hAnsi="Verdana" w:cs="Century Gothic"/>
          <w:sz w:val="20"/>
          <w:szCs w:val="20"/>
          <w:lang w:val="es-ES"/>
        </w:rPr>
        <w:t xml:space="preserve"> casos o excepciones se acepta o es permitido en </w:t>
      </w:r>
      <w:proofErr w:type="spellStart"/>
      <w:r w:rsidRPr="009859FE">
        <w:rPr>
          <w:rFonts w:ascii="Verdana" w:eastAsia="Century Gothic" w:hAnsi="Verdana" w:cs="Century Gothic"/>
          <w:sz w:val="20"/>
          <w:szCs w:val="20"/>
          <w:lang w:val="es-ES"/>
        </w:rPr>
        <w:t>contratacion</w:t>
      </w:r>
      <w:proofErr w:type="spellEnd"/>
      <w:r w:rsidRPr="009859FE">
        <w:rPr>
          <w:rFonts w:ascii="Verdana" w:eastAsia="Century Gothic" w:hAnsi="Verdana" w:cs="Century Gothic"/>
          <w:sz w:val="20"/>
          <w:szCs w:val="20"/>
          <w:lang w:val="es-ES"/>
        </w:rPr>
        <w:t xml:space="preserve"> estatal que se relacione una referencia que corresponde a una marca especifica de un bien a comprar, sin escribir la marca?:”. </w:t>
      </w:r>
    </w:p>
    <w:p w14:paraId="53872AED" w14:textId="77777777" w:rsidR="00407000" w:rsidRPr="009859FE" w:rsidRDefault="00407000" w:rsidP="00407000">
      <w:pPr>
        <w:pStyle w:val="Prrafodelista"/>
        <w:tabs>
          <w:tab w:val="left" w:pos="142"/>
          <w:tab w:val="left" w:pos="284"/>
        </w:tabs>
        <w:spacing w:after="0" w:line="276" w:lineRule="auto"/>
        <w:ind w:left="0"/>
        <w:jc w:val="both"/>
        <w:rPr>
          <w:rFonts w:ascii="Verdana" w:eastAsia="Century Gothic" w:hAnsi="Verdana" w:cs="Century Gothic"/>
          <w:b/>
          <w:bCs/>
        </w:rPr>
      </w:pPr>
    </w:p>
    <w:p w14:paraId="03869693" w14:textId="77777777" w:rsidR="00407000" w:rsidRPr="009859FE" w:rsidRDefault="00407000" w:rsidP="00407000">
      <w:pPr>
        <w:spacing w:after="120" w:line="276" w:lineRule="auto"/>
        <w:ind w:firstLine="709"/>
        <w:jc w:val="both"/>
        <w:rPr>
          <w:rFonts w:ascii="Verdana" w:eastAsia="Calibri" w:hAnsi="Verdana" w:cs="Arial"/>
          <w:color w:val="000000"/>
          <w:lang w:val="es-ES" w:eastAsia="es-ES"/>
        </w:rPr>
      </w:pPr>
      <w:r w:rsidRPr="009859F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59FE">
        <w:rPr>
          <w:rFonts w:ascii="Verdana" w:eastAsia="Calibri" w:hAnsi="Verdana" w:cs="Arial"/>
          <w:color w:val="000000"/>
          <w:szCs w:val="24"/>
          <w:lang w:val="es-ES_tradnl" w:eastAsia="es-ES_tradnl"/>
        </w:rPr>
        <w:tab/>
      </w:r>
    </w:p>
    <w:p w14:paraId="5D4B3C06" w14:textId="77777777" w:rsidR="00407000" w:rsidRPr="009859FE" w:rsidRDefault="00407000" w:rsidP="00407000">
      <w:pPr>
        <w:spacing w:after="0" w:line="276" w:lineRule="auto"/>
        <w:ind w:firstLine="709"/>
        <w:jc w:val="both"/>
        <w:rPr>
          <w:rFonts w:ascii="Verdana" w:eastAsia="Calibri" w:hAnsi="Verdana" w:cs="Arial"/>
          <w:color w:val="000000"/>
          <w:lang w:val="es-ES" w:eastAsia="es-ES"/>
        </w:rPr>
      </w:pPr>
      <w:r w:rsidRPr="009859F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sidRPr="009859FE">
        <w:rPr>
          <w:rFonts w:ascii="Verdana" w:eastAsia="Calibri" w:hAnsi="Verdana" w:cs="Arial"/>
          <w:color w:val="7030A0"/>
          <w:lang w:val="es-ES" w:eastAsia="es-ES"/>
        </w:rPr>
        <w:t xml:space="preserve"> </w:t>
      </w:r>
      <w:r w:rsidRPr="009859FE">
        <w:rPr>
          <w:rFonts w:ascii="Verdana" w:eastAsia="Calibri" w:hAnsi="Verdana" w:cs="Arial"/>
          <w:color w:val="000000"/>
          <w:lang w:val="es-ES" w:eastAsia="es-ES"/>
        </w:rPr>
        <w:t>problema</w:t>
      </w:r>
      <w:r w:rsidRPr="009859FE">
        <w:rPr>
          <w:rFonts w:ascii="Verdana" w:eastAsia="Calibri" w:hAnsi="Verdana" w:cs="Arial"/>
          <w:color w:val="7030A0"/>
          <w:lang w:val="es-ES" w:eastAsia="es-ES"/>
        </w:rPr>
        <w:t xml:space="preserve"> </w:t>
      </w:r>
      <w:r w:rsidRPr="009859FE">
        <w:rPr>
          <w:rFonts w:ascii="Verdana" w:eastAsia="Calibri" w:hAnsi="Verdana" w:cs="Arial"/>
          <w:color w:val="000000"/>
          <w:lang w:val="es-ES" w:eastAsia="es-ES"/>
        </w:rPr>
        <w:t>jurídico</w:t>
      </w:r>
      <w:r w:rsidRPr="009859FE">
        <w:rPr>
          <w:rFonts w:ascii="Verdana" w:eastAsia="Calibri" w:hAnsi="Verdana" w:cs="Arial"/>
          <w:color w:val="7030A0"/>
          <w:lang w:val="es-ES" w:eastAsia="es-ES"/>
        </w:rPr>
        <w:t xml:space="preserve"> </w:t>
      </w:r>
      <w:r w:rsidRPr="009859FE">
        <w:rPr>
          <w:rFonts w:ascii="Verdana" w:eastAsia="Calibri" w:hAnsi="Verdana" w:cs="Arial"/>
          <w:color w:val="000000"/>
          <w:lang w:val="es-ES" w:eastAsia="es-ES"/>
        </w:rPr>
        <w:t xml:space="preserve">de su consulta. </w:t>
      </w:r>
    </w:p>
    <w:p w14:paraId="2A4A9BFB" w14:textId="77777777" w:rsidR="00407000" w:rsidRPr="009859FE" w:rsidRDefault="00407000" w:rsidP="00407000">
      <w:pPr>
        <w:spacing w:after="0" w:line="276" w:lineRule="auto"/>
        <w:jc w:val="both"/>
        <w:rPr>
          <w:rFonts w:ascii="Verdana" w:eastAsia="Calibri" w:hAnsi="Verdana" w:cs="Arial"/>
          <w:lang w:val="es-ES" w:eastAsia="es-ES"/>
        </w:rPr>
      </w:pPr>
    </w:p>
    <w:p w14:paraId="0B4EB1F2" w14:textId="77777777" w:rsidR="00407000" w:rsidRPr="009859FE" w:rsidRDefault="00407000" w:rsidP="004070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9FE">
        <w:rPr>
          <w:rFonts w:ascii="Verdana" w:eastAsia="Century Gothic" w:hAnsi="Verdana" w:cs="Century Gothic"/>
          <w:b/>
          <w:bCs/>
        </w:rPr>
        <w:t>Problemas planteados:</w:t>
      </w:r>
    </w:p>
    <w:p w14:paraId="650D4882" w14:textId="77777777" w:rsidR="00407000" w:rsidRPr="009859FE" w:rsidRDefault="00407000" w:rsidP="00407000">
      <w:pPr>
        <w:tabs>
          <w:tab w:val="left" w:pos="426"/>
        </w:tabs>
        <w:spacing w:after="0" w:line="276" w:lineRule="auto"/>
        <w:jc w:val="both"/>
        <w:rPr>
          <w:rFonts w:ascii="Verdana" w:eastAsia="Century Gothic" w:hAnsi="Verdana" w:cs="Century Gothic"/>
          <w:lang w:val="es-ES"/>
        </w:rPr>
      </w:pPr>
    </w:p>
    <w:p w14:paraId="49A39AE3" w14:textId="77777777" w:rsidR="00407000" w:rsidRPr="009859FE" w:rsidRDefault="00407000" w:rsidP="00407000">
      <w:pPr>
        <w:spacing w:after="0" w:line="276" w:lineRule="auto"/>
        <w:jc w:val="both"/>
        <w:rPr>
          <w:rFonts w:ascii="Verdana" w:eastAsia="Century Gothic" w:hAnsi="Verdana" w:cs="Century Gothic"/>
        </w:rPr>
      </w:pPr>
      <w:r w:rsidRPr="009859FE">
        <w:rPr>
          <w:rFonts w:ascii="Verdana" w:eastAsia="Century Gothic" w:hAnsi="Verdana" w:cs="Century Gothic"/>
        </w:rPr>
        <w:t xml:space="preserve">De acuerdo con el contenido de su solicitud, esta Agencia resolverá el siguiente problema jurídico: ¿Es válida la exigencia de una marca determinada como una especificación técnica en los procesos de selección de contratistas del Estado? </w:t>
      </w:r>
    </w:p>
    <w:p w14:paraId="2479D361" w14:textId="77777777" w:rsidR="00407000" w:rsidRPr="009859FE" w:rsidRDefault="00407000" w:rsidP="00407000">
      <w:pPr>
        <w:spacing w:after="0" w:line="276" w:lineRule="auto"/>
        <w:jc w:val="both"/>
        <w:rPr>
          <w:rFonts w:ascii="Verdana" w:eastAsia="Calibri" w:hAnsi="Verdana" w:cs="Arial"/>
        </w:rPr>
      </w:pPr>
    </w:p>
    <w:p w14:paraId="70AEECB4" w14:textId="77777777" w:rsidR="00407000" w:rsidRPr="009859FE" w:rsidRDefault="00407000" w:rsidP="004070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9FE">
        <w:rPr>
          <w:rFonts w:ascii="Verdana" w:eastAsia="Century Gothic" w:hAnsi="Verdana" w:cs="Century Gothic"/>
          <w:b/>
          <w:bCs/>
        </w:rPr>
        <w:t>Respuestas:</w:t>
      </w:r>
    </w:p>
    <w:p w14:paraId="01BBA5A3" w14:textId="77777777" w:rsidR="00407000" w:rsidRPr="009859FE" w:rsidRDefault="00407000" w:rsidP="0040700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07000" w:rsidRPr="009859FE" w14:paraId="55DB9EE6" w14:textId="77777777" w:rsidTr="00F21426">
        <w:trPr>
          <w:jc w:val="center"/>
        </w:trPr>
        <w:tc>
          <w:tcPr>
            <w:tcW w:w="8828" w:type="dxa"/>
            <w:shd w:val="clear" w:color="auto" w:fill="auto"/>
          </w:tcPr>
          <w:p w14:paraId="6D468192" w14:textId="562CA9B6" w:rsidR="00ED0AB5" w:rsidRPr="00BF22E6" w:rsidRDefault="00ED0AB5" w:rsidP="00BF22E6">
            <w:pPr>
              <w:widowControl w:val="0"/>
              <w:autoSpaceDE w:val="0"/>
              <w:autoSpaceDN w:val="0"/>
              <w:spacing w:after="120" w:line="276" w:lineRule="auto"/>
              <w:ind w:right="104"/>
              <w:jc w:val="both"/>
              <w:rPr>
                <w:rFonts w:ascii="Verdana" w:eastAsia="Arial" w:hAnsi="Verdana" w:cs="Arial"/>
                <w:lang w:val="es-ES"/>
              </w:rPr>
            </w:pPr>
            <w:bookmarkStart w:id="1" w:name="_Hlk171694685"/>
            <w:r w:rsidRPr="00BF22E6">
              <w:rPr>
                <w:rFonts w:ascii="Verdana" w:eastAsia="Arial" w:hAnsi="Verdana" w:cs="Arial"/>
                <w:lang w:val="es-ES"/>
              </w:rPr>
              <w:t xml:space="preserve">Tanto el Estatuto General de Contratación de la Administración Pública </w:t>
            </w:r>
            <w:r w:rsidR="00E820BB">
              <w:rPr>
                <w:rFonts w:ascii="Verdana" w:eastAsia="Arial" w:hAnsi="Verdana" w:cs="Arial"/>
                <w:lang w:val="es-ES"/>
              </w:rPr>
              <w:t xml:space="preserve">– en adelante EGCAP – </w:t>
            </w:r>
            <w:r w:rsidR="00E820BB" w:rsidRPr="00BF22E6">
              <w:rPr>
                <w:rFonts w:ascii="Verdana" w:eastAsia="Arial" w:hAnsi="Verdana" w:cs="Arial"/>
                <w:lang w:val="es-ES"/>
              </w:rPr>
              <w:t>como</w:t>
            </w:r>
            <w:r w:rsidR="00E820BB">
              <w:rPr>
                <w:rFonts w:ascii="Verdana" w:eastAsia="Arial" w:hAnsi="Verdana" w:cs="Arial"/>
                <w:lang w:val="es-ES"/>
              </w:rPr>
              <w:t xml:space="preserve"> </w:t>
            </w:r>
            <w:r w:rsidR="00E820BB" w:rsidRPr="00BF22E6">
              <w:rPr>
                <w:rFonts w:ascii="Verdana" w:eastAsia="Arial" w:hAnsi="Verdana" w:cs="Arial"/>
                <w:lang w:val="es-ES"/>
              </w:rPr>
              <w:t>su</w:t>
            </w:r>
            <w:r w:rsidRPr="00BF22E6">
              <w:rPr>
                <w:rFonts w:ascii="Verdana" w:eastAsia="Arial" w:hAnsi="Verdana" w:cs="Arial"/>
                <w:lang w:val="es-ES"/>
              </w:rPr>
              <w:t xml:space="preserve"> reglamentación conceden discrecionalidad administrativa a las </w:t>
            </w:r>
            <w:r w:rsidR="00E820BB" w:rsidRPr="00BF22E6">
              <w:rPr>
                <w:rFonts w:ascii="Verdana" w:eastAsia="Arial" w:hAnsi="Verdana" w:cs="Arial"/>
                <w:lang w:val="es-ES"/>
              </w:rPr>
              <w:t xml:space="preserve">Entidades Estatales </w:t>
            </w:r>
            <w:r w:rsidRPr="00BF22E6">
              <w:rPr>
                <w:rFonts w:ascii="Verdana" w:eastAsia="Arial" w:hAnsi="Verdana" w:cs="Arial"/>
                <w:lang w:val="es-ES"/>
              </w:rPr>
              <w:t xml:space="preserve">para determinar los requisitos habilitantes y los criterios de evaluación con puntos, siendo respetuosas de los principios que orientan la actividad contractual y que se comportan como mandatos de optimización, entre ellos los de selección objetiva y libertad de concurrencia. </w:t>
            </w:r>
          </w:p>
          <w:p w14:paraId="44E5A1EB" w14:textId="48DEC674" w:rsidR="00ED0AB5" w:rsidRPr="00BF22E6" w:rsidRDefault="00ED0AB5" w:rsidP="00ED0AB5">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 xml:space="preserve">En tal sentido, la exigencia de marcas en los </w:t>
            </w:r>
            <w:r w:rsidR="0063444B" w:rsidRPr="00BF22E6">
              <w:rPr>
                <w:rFonts w:ascii="Verdana" w:eastAsia="Arial" w:hAnsi="Verdana" w:cs="Arial"/>
                <w:lang w:val="es-ES"/>
              </w:rPr>
              <w:t xml:space="preserve">Procesos </w:t>
            </w:r>
            <w:r w:rsidRPr="00BF22E6">
              <w:rPr>
                <w:rFonts w:ascii="Verdana" w:eastAsia="Arial" w:hAnsi="Verdana" w:cs="Arial"/>
                <w:lang w:val="es-ES"/>
              </w:rPr>
              <w:t xml:space="preserve">de </w:t>
            </w:r>
            <w:r w:rsidR="0063444B" w:rsidRPr="00BF22E6">
              <w:rPr>
                <w:rFonts w:ascii="Verdana" w:eastAsia="Arial" w:hAnsi="Verdana" w:cs="Arial"/>
                <w:lang w:val="es-ES"/>
              </w:rPr>
              <w:t xml:space="preserve">Contratación </w:t>
            </w:r>
            <w:r w:rsidRPr="00BF22E6">
              <w:rPr>
                <w:rFonts w:ascii="Verdana" w:eastAsia="Arial" w:hAnsi="Verdana" w:cs="Arial"/>
                <w:lang w:val="es-ES"/>
              </w:rPr>
              <w:t xml:space="preserve">estatal se permitiría solo en aquellos procedimientos </w:t>
            </w:r>
            <w:r w:rsidRPr="00BF22E6">
              <w:rPr>
                <w:rFonts w:ascii="Verdana" w:eastAsia="Times New Roman" w:hAnsi="Verdana" w:cs="Arial"/>
                <w:bCs/>
                <w:color w:val="000000"/>
                <w:lang w:val="es-ES" w:eastAsia="es-ES"/>
              </w:rPr>
              <w:t xml:space="preserve">que no estén sujetos a </w:t>
            </w:r>
            <w:r w:rsidRPr="00BF22E6">
              <w:rPr>
                <w:rFonts w:ascii="Verdana" w:eastAsia="Times New Roman" w:hAnsi="Verdana" w:cs="Arial"/>
                <w:bCs/>
                <w:color w:val="000000"/>
                <w:lang w:val="es-ES" w:eastAsia="es-ES"/>
              </w:rPr>
              <w:lastRenderedPageBreak/>
              <w:t xml:space="preserve">tratados de libre comercio que las prohíban, </w:t>
            </w:r>
            <w:proofErr w:type="gramStart"/>
            <w:r w:rsidRPr="00BF22E6">
              <w:rPr>
                <w:rFonts w:ascii="Verdana" w:eastAsia="Times New Roman" w:hAnsi="Verdana" w:cs="Arial"/>
                <w:bCs/>
                <w:color w:val="000000"/>
                <w:lang w:val="es-ES" w:eastAsia="es-ES"/>
              </w:rPr>
              <w:t>de acuerdo al</w:t>
            </w:r>
            <w:proofErr w:type="gramEnd"/>
            <w:r w:rsidRPr="00BF22E6">
              <w:rPr>
                <w:rFonts w:ascii="Verdana" w:eastAsia="Times New Roman" w:hAnsi="Verdana" w:cs="Arial"/>
                <w:bCs/>
                <w:color w:val="000000"/>
                <w:lang w:val="es-ES" w:eastAsia="es-ES"/>
              </w:rPr>
              <w:t xml:space="preserve"> ámbito de aplicación, valor del contrato y tipo de bien o servicio. Por tanto, en cumplimiento de los acuerdos comerciales, las </w:t>
            </w:r>
            <w:r w:rsidR="0063444B" w:rsidRPr="00BF22E6">
              <w:rPr>
                <w:rFonts w:ascii="Verdana" w:eastAsia="Times New Roman" w:hAnsi="Verdana" w:cs="Arial"/>
                <w:bCs/>
                <w:color w:val="000000"/>
                <w:lang w:val="es-ES" w:eastAsia="es-ES"/>
              </w:rPr>
              <w:t xml:space="preserve">Entidades Estatales </w:t>
            </w:r>
            <w:r w:rsidRPr="00BF22E6">
              <w:rPr>
                <w:rFonts w:ascii="Verdana" w:eastAsia="Times New Roman" w:hAnsi="Verdana" w:cs="Arial"/>
                <w:bCs/>
                <w:color w:val="000000"/>
                <w:lang w:val="es-ES" w:eastAsia="es-ES"/>
              </w:rPr>
              <w:t xml:space="preserve">deben revisar si su proceso de contratación se somete al tratado, para definir la exigencia o no de marcas dentro del </w:t>
            </w:r>
            <w:r w:rsidR="000A1513" w:rsidRPr="00BF22E6">
              <w:rPr>
                <w:rFonts w:ascii="Verdana" w:eastAsia="Times New Roman" w:hAnsi="Verdana" w:cs="Arial"/>
                <w:bCs/>
                <w:color w:val="000000"/>
                <w:lang w:val="es-ES" w:eastAsia="es-ES"/>
              </w:rPr>
              <w:t xml:space="preserve">Pliego </w:t>
            </w:r>
            <w:r w:rsidRPr="00BF22E6">
              <w:rPr>
                <w:rFonts w:ascii="Verdana" w:eastAsia="Times New Roman" w:hAnsi="Verdana" w:cs="Arial"/>
                <w:bCs/>
                <w:color w:val="000000"/>
                <w:lang w:val="es-ES" w:eastAsia="es-ES"/>
              </w:rPr>
              <w:t xml:space="preserve">de </w:t>
            </w:r>
            <w:r w:rsidR="000A1513" w:rsidRPr="00BF22E6">
              <w:rPr>
                <w:rFonts w:ascii="Verdana" w:eastAsia="Times New Roman" w:hAnsi="Verdana" w:cs="Arial"/>
                <w:bCs/>
                <w:color w:val="000000"/>
                <w:lang w:val="es-ES" w:eastAsia="es-ES"/>
              </w:rPr>
              <w:t>Condiciones</w:t>
            </w:r>
            <w:r w:rsidRPr="00BF22E6">
              <w:rPr>
                <w:rFonts w:ascii="Verdana" w:eastAsia="Times New Roman" w:hAnsi="Verdana" w:cs="Arial"/>
                <w:bCs/>
                <w:color w:val="000000"/>
                <w:lang w:val="es-ES" w:eastAsia="es-ES"/>
              </w:rPr>
              <w:t xml:space="preserve">. </w:t>
            </w:r>
          </w:p>
          <w:p w14:paraId="38819328" w14:textId="77777777" w:rsidR="00ED0AB5" w:rsidRPr="00BF22E6" w:rsidRDefault="00ED0AB5" w:rsidP="00ED0AB5">
            <w:pPr>
              <w:spacing w:before="120" w:line="276" w:lineRule="auto"/>
              <w:jc w:val="both"/>
              <w:rPr>
                <w:rFonts w:ascii="Verdana" w:eastAsia="Arial" w:hAnsi="Verdana" w:cs="Arial"/>
                <w:lang w:val="es-ES"/>
              </w:rPr>
            </w:pPr>
            <w:r w:rsidRPr="00BF22E6">
              <w:rPr>
                <w:rFonts w:ascii="Verdana" w:eastAsia="Arial" w:hAnsi="Verdana" w:cs="Arial"/>
                <w:lang w:val="es-ES"/>
              </w:rPr>
              <w:tab/>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menoscaban por el solo hecho de que la entidad solicite una marca en particular, sino con la demostración efectiva de que, en el proceso de selección particular, la entidad incurrió en</w:t>
            </w:r>
            <w:r w:rsidRPr="00BF22E6">
              <w:rPr>
                <w:rFonts w:ascii="Verdana" w:eastAsia="Arial" w:hAnsi="Verdana" w:cs="Arial"/>
                <w:spacing w:val="50"/>
                <w:lang w:val="es-ES"/>
              </w:rPr>
              <w:t xml:space="preserve"> </w:t>
            </w:r>
            <w:r w:rsidRPr="00BF22E6">
              <w:rPr>
                <w:rFonts w:ascii="Verdana" w:eastAsia="Arial" w:hAnsi="Verdana" w:cs="Arial"/>
                <w:lang w:val="es-ES"/>
              </w:rPr>
              <w:t>desviación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0"/>
                <w:lang w:val="es-ES"/>
              </w:rPr>
              <w:t xml:space="preserve"> </w:t>
            </w:r>
            <w:r w:rsidRPr="00BF22E6">
              <w:rPr>
                <w:rFonts w:ascii="Verdana" w:eastAsia="Arial" w:hAnsi="Verdana" w:cs="Arial"/>
                <w:lang w:val="es-ES"/>
              </w:rPr>
              <w:t>poder</w:t>
            </w:r>
            <w:r w:rsidRPr="00BF22E6">
              <w:rPr>
                <w:rFonts w:ascii="Verdana" w:eastAsia="Arial" w:hAnsi="Verdana" w:cs="Arial"/>
                <w:spacing w:val="50"/>
                <w:lang w:val="es-ES"/>
              </w:rPr>
              <w:t xml:space="preserve"> </w:t>
            </w:r>
            <w:r w:rsidRPr="00BF22E6">
              <w:rPr>
                <w:rFonts w:ascii="Verdana" w:eastAsia="Arial" w:hAnsi="Verdana" w:cs="Arial"/>
                <w:lang w:val="es-ES"/>
              </w:rPr>
              <w:t>a</w:t>
            </w:r>
            <w:r w:rsidRPr="00BF22E6">
              <w:rPr>
                <w:rFonts w:ascii="Verdana" w:eastAsia="Arial" w:hAnsi="Verdana" w:cs="Arial"/>
                <w:spacing w:val="50"/>
                <w:lang w:val="es-ES"/>
              </w:rPr>
              <w:t xml:space="preserve"> </w:t>
            </w:r>
            <w:r w:rsidRPr="00BF22E6">
              <w:rPr>
                <w:rFonts w:ascii="Verdana" w:eastAsia="Arial" w:hAnsi="Verdana" w:cs="Arial"/>
                <w:lang w:val="es-ES"/>
              </w:rPr>
              <w:t>través</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esa</w:t>
            </w:r>
            <w:r w:rsidRPr="00BF22E6">
              <w:rPr>
                <w:rFonts w:ascii="Verdana" w:eastAsia="Arial" w:hAnsi="Verdana" w:cs="Arial"/>
                <w:spacing w:val="50"/>
                <w:lang w:val="es-ES"/>
              </w:rPr>
              <w:t xml:space="preserve"> </w:t>
            </w:r>
            <w:r w:rsidRPr="00BF22E6">
              <w:rPr>
                <w:rFonts w:ascii="Verdana" w:eastAsia="Arial" w:hAnsi="Verdana" w:cs="Arial"/>
                <w:lang w:val="es-ES"/>
              </w:rPr>
              <w:t>decisión,</w:t>
            </w:r>
            <w:r w:rsidRPr="00BF22E6">
              <w:rPr>
                <w:rFonts w:ascii="Verdana" w:eastAsia="Arial" w:hAnsi="Verdana" w:cs="Arial"/>
                <w:spacing w:val="50"/>
                <w:lang w:val="es-ES"/>
              </w:rPr>
              <w:t xml:space="preserve"> </w:t>
            </w:r>
            <w:r w:rsidRPr="00BF22E6">
              <w:rPr>
                <w:rFonts w:ascii="Verdana" w:eastAsia="Arial" w:hAnsi="Verdana" w:cs="Arial"/>
                <w:lang w:val="es-ES"/>
              </w:rPr>
              <w:t>con el fin de</w:t>
            </w:r>
            <w:r w:rsidRPr="00BF22E6">
              <w:rPr>
                <w:rFonts w:ascii="Verdana" w:eastAsia="Arial" w:hAnsi="Verdana" w:cs="Arial"/>
                <w:spacing w:val="51"/>
                <w:lang w:val="es-ES"/>
              </w:rPr>
              <w:t xml:space="preserve"> </w:t>
            </w:r>
            <w:r w:rsidRPr="00BF22E6">
              <w:rPr>
                <w:rFonts w:ascii="Verdana" w:eastAsia="Arial" w:hAnsi="Verdana" w:cs="Arial"/>
                <w:lang w:val="es-ES"/>
              </w:rPr>
              <w:t>direccionar</w:t>
            </w:r>
            <w:r w:rsidRPr="00BF22E6">
              <w:rPr>
                <w:rFonts w:ascii="Verdana" w:eastAsia="Arial" w:hAnsi="Verdana" w:cs="Arial"/>
                <w:spacing w:val="50"/>
                <w:lang w:val="es-ES"/>
              </w:rPr>
              <w:t xml:space="preserve"> </w:t>
            </w:r>
            <w:r w:rsidRPr="00BF22E6">
              <w:rPr>
                <w:rFonts w:ascii="Verdana" w:eastAsia="Arial" w:hAnsi="Verdana" w:cs="Arial"/>
                <w:lang w:val="es-ES"/>
              </w:rPr>
              <w:t>la</w:t>
            </w:r>
            <w:r w:rsidRPr="00BF22E6">
              <w:rPr>
                <w:rFonts w:ascii="Verdana" w:eastAsia="Arial" w:hAnsi="Verdana" w:cs="Arial"/>
                <w:spacing w:val="50"/>
                <w:lang w:val="es-ES"/>
              </w:rPr>
              <w:t xml:space="preserve"> </w:t>
            </w:r>
            <w:r w:rsidRPr="00BF22E6">
              <w:rPr>
                <w:rFonts w:ascii="Verdana" w:eastAsia="Arial" w:hAnsi="Verdana" w:cs="Arial"/>
                <w:lang w:val="es-ES"/>
              </w:rPr>
              <w:t>selección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 xml:space="preserve">un contratista. </w:t>
            </w:r>
          </w:p>
          <w:p w14:paraId="6F0CB729" w14:textId="417A4764" w:rsidR="00407000" w:rsidRPr="004D5081" w:rsidRDefault="00ED0AB5" w:rsidP="004D5081">
            <w:pPr>
              <w:spacing w:before="120" w:line="276" w:lineRule="auto"/>
              <w:ind w:firstLine="708"/>
              <w:jc w:val="both"/>
              <w:rPr>
                <w:rFonts w:ascii="Verdana" w:eastAsia="Times New Roman" w:hAnsi="Verdana" w:cs="Arial"/>
                <w:lang w:eastAsia="es-ES_tradnl"/>
              </w:rPr>
            </w:pPr>
            <w:r w:rsidRPr="00BF22E6">
              <w:rPr>
                <w:rFonts w:ascii="Verdana" w:eastAsia="Calibri" w:hAnsi="Verdana" w:cs="Arial"/>
                <w:color w:val="000000"/>
                <w:lang w:val="es-ES_tradnl" w:eastAsia="es-ES_tradnl"/>
              </w:rPr>
              <w:t xml:space="preserve">Las </w:t>
            </w:r>
            <w:r w:rsidR="002359D5" w:rsidRPr="00BF22E6">
              <w:rPr>
                <w:rFonts w:ascii="Verdana" w:eastAsia="Calibri" w:hAnsi="Verdana" w:cs="Arial"/>
                <w:color w:val="000000"/>
                <w:lang w:val="es-ES_tradnl" w:eastAsia="es-ES_tradnl"/>
              </w:rPr>
              <w:t>Entidades Estatales</w:t>
            </w:r>
            <w:r w:rsidRPr="00BF22E6">
              <w:rPr>
                <w:rFonts w:ascii="Verdana" w:eastAsia="Calibri" w:hAnsi="Verdana" w:cs="Arial"/>
                <w:color w:val="000000"/>
                <w:lang w:val="es-ES_tradnl" w:eastAsia="es-ES_tradnl"/>
              </w:rPr>
              <w:t>,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BF22E6">
              <w:rPr>
                <w:rFonts w:ascii="Verdana" w:eastAsia="Times New Roman" w:hAnsi="Verdana" w:cs="Arial"/>
                <w:lang w:eastAsia="es-ES_tradnl"/>
              </w:rPr>
              <w:t>.</w:t>
            </w:r>
          </w:p>
        </w:tc>
      </w:tr>
    </w:tbl>
    <w:p w14:paraId="656BB2E5" w14:textId="77777777" w:rsidR="00407000" w:rsidRPr="009859FE" w:rsidRDefault="00407000" w:rsidP="00CE77E1">
      <w:pPr>
        <w:tabs>
          <w:tab w:val="left" w:pos="142"/>
          <w:tab w:val="left" w:pos="284"/>
        </w:tabs>
        <w:spacing w:after="0" w:line="276" w:lineRule="auto"/>
        <w:jc w:val="both"/>
        <w:rPr>
          <w:rFonts w:ascii="Verdana" w:eastAsia="Century Gothic" w:hAnsi="Verdana" w:cs="Century Gothic"/>
          <w:b/>
          <w:bCs/>
          <w:lang w:val="es-ES"/>
        </w:rPr>
      </w:pPr>
    </w:p>
    <w:bookmarkEnd w:id="1"/>
    <w:p w14:paraId="6FBAF71F" w14:textId="77777777" w:rsidR="00407000" w:rsidRPr="009859FE" w:rsidRDefault="00407000" w:rsidP="00CE77E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9FE">
        <w:rPr>
          <w:rFonts w:ascii="Verdana" w:eastAsia="Century Gothic" w:hAnsi="Verdana" w:cs="Century Gothic"/>
          <w:b/>
          <w:bCs/>
        </w:rPr>
        <w:t>Razones de las respuestas:</w:t>
      </w:r>
    </w:p>
    <w:p w14:paraId="72A74ABB" w14:textId="77777777" w:rsidR="00407000" w:rsidRPr="009859FE" w:rsidRDefault="00407000" w:rsidP="00CE77E1">
      <w:pPr>
        <w:spacing w:after="0" w:line="276" w:lineRule="auto"/>
        <w:jc w:val="both"/>
        <w:rPr>
          <w:rFonts w:ascii="Verdana" w:eastAsia="Calibri" w:hAnsi="Verdana" w:cs="Arial"/>
          <w:color w:val="7030A0"/>
          <w:lang w:val="es-ES"/>
        </w:rPr>
      </w:pPr>
    </w:p>
    <w:p w14:paraId="16EAEC7C" w14:textId="77777777" w:rsidR="00407000" w:rsidRPr="009859FE" w:rsidRDefault="00407000" w:rsidP="00CE77E1">
      <w:pPr>
        <w:spacing w:after="0" w:line="276" w:lineRule="auto"/>
        <w:jc w:val="both"/>
        <w:rPr>
          <w:rFonts w:ascii="Verdana" w:eastAsia="Calibri" w:hAnsi="Verdana" w:cs="Arial"/>
          <w:lang w:val="es-ES"/>
        </w:rPr>
      </w:pPr>
      <w:r w:rsidRPr="009859FE">
        <w:rPr>
          <w:rFonts w:ascii="Verdana" w:eastAsia="Calibri" w:hAnsi="Verdana" w:cs="Arial"/>
          <w:lang w:val="es-ES"/>
        </w:rPr>
        <w:t>Lo anterior se sustenta en las siguientes consideraciones:</w:t>
      </w:r>
    </w:p>
    <w:p w14:paraId="4D7F10F6" w14:textId="77777777" w:rsidR="00407000" w:rsidRPr="009859FE" w:rsidRDefault="00407000" w:rsidP="00CE77E1">
      <w:pPr>
        <w:spacing w:after="0" w:line="276" w:lineRule="auto"/>
        <w:jc w:val="both"/>
        <w:rPr>
          <w:rFonts w:ascii="Verdana" w:eastAsia="Calibri" w:hAnsi="Verdana" w:cs="Arial"/>
          <w:color w:val="000000" w:themeColor="text1"/>
        </w:rPr>
      </w:pPr>
    </w:p>
    <w:p w14:paraId="1EBA84E3" w14:textId="77777777" w:rsidR="00407000" w:rsidRPr="009859FE" w:rsidRDefault="00407000" w:rsidP="00CE77E1">
      <w:pPr>
        <w:spacing w:after="120" w:line="276" w:lineRule="auto"/>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 xml:space="preserve">Los </w:t>
      </w:r>
      <w:r w:rsidRPr="009859FE">
        <w:rPr>
          <w:rFonts w:ascii="Verdana" w:eastAsia="Calibri" w:hAnsi="Verdana" w:cs="Arial"/>
          <w:i/>
          <w:iCs/>
          <w:color w:val="000000" w:themeColor="text1"/>
          <w:lang w:val="es-ES_tradnl"/>
        </w:rPr>
        <w:t>requisitos habilitantes</w:t>
      </w:r>
      <w:r w:rsidRPr="009859FE">
        <w:rPr>
          <w:rFonts w:ascii="Verdana" w:eastAsia="Calibri" w:hAnsi="Verdana"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9859FE">
        <w:rPr>
          <w:rFonts w:ascii="Verdana" w:eastAsia="Calibri" w:hAnsi="Verdana" w:cs="Arial"/>
          <w:i/>
          <w:iCs/>
          <w:color w:val="000000" w:themeColor="text1"/>
          <w:lang w:val="es-ES_tradnl"/>
        </w:rPr>
        <w:t>criterios de evaluación</w:t>
      </w:r>
      <w:r w:rsidRPr="009859FE">
        <w:rPr>
          <w:rFonts w:ascii="Verdana" w:eastAsia="Calibri" w:hAnsi="Verdana" w:cs="Arial"/>
          <w:color w:val="000000" w:themeColor="text1"/>
          <w:lang w:val="es-ES_tradnl"/>
        </w:rPr>
        <w:t xml:space="preserve"> –también conocidos como </w:t>
      </w:r>
      <w:r w:rsidRPr="009859FE">
        <w:rPr>
          <w:rFonts w:ascii="Verdana" w:eastAsia="Calibri" w:hAnsi="Verdana" w:cs="Arial"/>
          <w:i/>
          <w:iCs/>
          <w:color w:val="000000" w:themeColor="text1"/>
          <w:lang w:val="es-ES_tradnl"/>
        </w:rPr>
        <w:t>criterios de calificación</w:t>
      </w:r>
      <w:r w:rsidRPr="009859FE">
        <w:rPr>
          <w:rFonts w:ascii="Verdana" w:eastAsia="Calibri" w:hAnsi="Verdana" w:cs="Arial"/>
          <w:color w:val="000000" w:themeColor="text1"/>
          <w:lang w:val="es-ES_tradnl"/>
        </w:rPr>
        <w:t xml:space="preserve">– en que estos son los factores </w:t>
      </w:r>
      <w:r w:rsidRPr="009859FE">
        <w:rPr>
          <w:rFonts w:ascii="Verdana" w:eastAsia="Calibri" w:hAnsi="Verdana" w:cs="Arial"/>
          <w:color w:val="000000" w:themeColor="text1"/>
          <w:lang w:val="es-ES_tradnl"/>
        </w:rPr>
        <w:lastRenderedPageBreak/>
        <w:t xml:space="preserve">definidos por la Entidad Estatal para la asignación de puntaje en el momento de la comparación de las ofertas, y que, a partir de su ponderación, permiten establecer el orden de elegibilidad y, por ende, la propuesta ganadora. </w:t>
      </w:r>
    </w:p>
    <w:p w14:paraId="7488B1EF" w14:textId="77777777" w:rsidR="00407000" w:rsidRPr="009859FE" w:rsidRDefault="00407000" w:rsidP="00CE77E1">
      <w:pPr>
        <w:spacing w:after="120" w:line="276" w:lineRule="auto"/>
        <w:ind w:firstLine="708"/>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3B1F03E1" w14:textId="77777777" w:rsidR="00407000" w:rsidRPr="009859FE" w:rsidRDefault="00407000" w:rsidP="00407000">
      <w:pPr>
        <w:spacing w:before="120" w:after="0" w:line="276" w:lineRule="auto"/>
        <w:ind w:firstLine="709"/>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 xml:space="preserve">Precisamente, el mencionado artículo 5° dispone que se considera </w:t>
      </w:r>
      <w:r w:rsidRPr="009859FE">
        <w:rPr>
          <w:rFonts w:ascii="Verdana" w:eastAsia="Calibri" w:hAnsi="Verdana" w:cs="Arial"/>
          <w:i/>
          <w:iCs/>
          <w:color w:val="000000" w:themeColor="text1"/>
          <w:lang w:val="es-ES"/>
        </w:rPr>
        <w:t>“</w:t>
      </w:r>
      <w:r w:rsidRPr="009859FE">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9859FE">
        <w:rPr>
          <w:rFonts w:ascii="Verdana" w:eastAsia="Calibri" w:hAnsi="Verdana" w:cs="Arial"/>
          <w:i/>
          <w:iCs/>
          <w:color w:val="000000" w:themeColor="text1"/>
          <w:lang w:val="es-ES"/>
        </w:rPr>
        <w:t>”</w:t>
      </w:r>
      <w:r w:rsidRPr="009859FE">
        <w:rPr>
          <w:rFonts w:ascii="Verdana" w:eastAsia="Calibri" w:hAnsi="Verdana" w:cs="Arial"/>
          <w:color w:val="000000" w:themeColor="text1"/>
          <w:lang w:val="es-ES"/>
        </w:rPr>
        <w:t xml:space="preserve">. De este modo,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9859FE">
        <w:rPr>
          <w:rFonts w:ascii="Verdana" w:eastAsia="Calibri" w:hAnsi="Verdana" w:cs="Arial"/>
          <w:i/>
          <w:iCs/>
          <w:color w:val="000000" w:themeColor="text1"/>
          <w:lang w:val="es-ES"/>
        </w:rPr>
        <w:t>entre otros</w:t>
      </w:r>
      <w:r w:rsidRPr="009859FE">
        <w:rPr>
          <w:rFonts w:ascii="Verdana" w:eastAsia="Calibri" w:hAnsi="Verdana" w:cs="Arial"/>
          <w:color w:val="000000" w:themeColor="text1"/>
          <w:lang w:val="es-ES"/>
        </w:rPr>
        <w:t xml:space="preserve">, los siguientes: i) la capacidad jurídica; </w:t>
      </w:r>
      <w:proofErr w:type="spellStart"/>
      <w:r w:rsidRPr="009859FE">
        <w:rPr>
          <w:rFonts w:ascii="Verdana" w:eastAsia="Calibri" w:hAnsi="Verdana" w:cs="Arial"/>
          <w:color w:val="000000" w:themeColor="text1"/>
          <w:lang w:val="es-ES"/>
        </w:rPr>
        <w:t>ii</w:t>
      </w:r>
      <w:proofErr w:type="spellEnd"/>
      <w:r w:rsidRPr="009859FE">
        <w:rPr>
          <w:rFonts w:ascii="Verdana" w:eastAsia="Calibri" w:hAnsi="Verdana" w:cs="Arial"/>
          <w:color w:val="000000" w:themeColor="text1"/>
          <w:lang w:val="es-ES"/>
        </w:rPr>
        <w:t xml:space="preserve">) la experiencia; </w:t>
      </w:r>
      <w:proofErr w:type="spellStart"/>
      <w:r w:rsidRPr="009859FE">
        <w:rPr>
          <w:rFonts w:ascii="Verdana" w:eastAsia="Calibri" w:hAnsi="Verdana" w:cs="Arial"/>
          <w:color w:val="000000" w:themeColor="text1"/>
          <w:lang w:val="es-ES"/>
        </w:rPr>
        <w:t>iii</w:t>
      </w:r>
      <w:proofErr w:type="spellEnd"/>
      <w:r w:rsidRPr="009859FE">
        <w:rPr>
          <w:rFonts w:ascii="Verdana" w:eastAsia="Calibri" w:hAnsi="Verdana" w:cs="Arial"/>
          <w:color w:val="000000" w:themeColor="text1"/>
          <w:lang w:val="es-ES"/>
        </w:rPr>
        <w:t xml:space="preserve">) la capacidad financiera y; </w:t>
      </w:r>
      <w:proofErr w:type="spellStart"/>
      <w:r w:rsidRPr="009859FE">
        <w:rPr>
          <w:rFonts w:ascii="Verdana" w:eastAsia="Calibri" w:hAnsi="Verdana" w:cs="Arial"/>
          <w:color w:val="000000" w:themeColor="text1"/>
          <w:lang w:val="es-ES"/>
        </w:rPr>
        <w:t>iv</w:t>
      </w:r>
      <w:proofErr w:type="spellEnd"/>
      <w:r w:rsidRPr="009859FE">
        <w:rPr>
          <w:rFonts w:ascii="Verdana" w:eastAsia="Calibri" w:hAnsi="Verdana" w:cs="Arial"/>
          <w:color w:val="000000" w:themeColor="text1"/>
          <w:lang w:val="es-ES"/>
        </w:rPr>
        <w:t xml:space="preserve">) la capacidad de organización. En efecto, la normativa citada dispone: </w:t>
      </w:r>
    </w:p>
    <w:p w14:paraId="2FE49180" w14:textId="77777777" w:rsidR="00407000" w:rsidRPr="009859FE" w:rsidRDefault="00407000" w:rsidP="00407000">
      <w:pPr>
        <w:spacing w:after="0" w:line="276" w:lineRule="auto"/>
        <w:ind w:firstLine="709"/>
        <w:jc w:val="both"/>
        <w:rPr>
          <w:rFonts w:ascii="Verdana" w:eastAsia="Calibri" w:hAnsi="Verdana" w:cs="Arial"/>
          <w:color w:val="000000" w:themeColor="text1"/>
          <w:lang w:val="es-ES"/>
        </w:rPr>
      </w:pPr>
    </w:p>
    <w:p w14:paraId="6EAEAF44" w14:textId="77777777" w:rsidR="00407000" w:rsidRPr="009859FE" w:rsidRDefault="00407000" w:rsidP="00407000">
      <w:pPr>
        <w:spacing w:after="0" w:line="240" w:lineRule="auto"/>
        <w:ind w:left="709" w:right="709"/>
        <w:jc w:val="both"/>
        <w:rPr>
          <w:rFonts w:ascii="Verdana" w:eastAsia="Calibri" w:hAnsi="Verdana" w:cs="Arial"/>
          <w:color w:val="000000" w:themeColor="text1"/>
          <w:sz w:val="20"/>
          <w:szCs w:val="20"/>
          <w:lang w:val="es-ES_tradnl"/>
        </w:rPr>
      </w:pPr>
      <w:r w:rsidRPr="009859FE">
        <w:rPr>
          <w:rFonts w:ascii="Verdana" w:eastAsia="Calibri" w:hAnsi="Verdana" w:cs="Arial"/>
          <w:color w:val="000000" w:themeColor="text1"/>
          <w:sz w:val="20"/>
          <w:szCs w:val="20"/>
          <w:lang w:val="es-ES_tradnl"/>
        </w:rPr>
        <w:t xml:space="preserve">“Artículo 5. De la Selección Objetiva. </w:t>
      </w:r>
    </w:p>
    <w:p w14:paraId="3E86C6C1" w14:textId="77777777" w:rsidR="00407000" w:rsidRPr="009859FE" w:rsidRDefault="00407000" w:rsidP="00407000">
      <w:pPr>
        <w:spacing w:after="0" w:line="240" w:lineRule="auto"/>
        <w:ind w:left="709" w:right="709"/>
        <w:jc w:val="both"/>
        <w:rPr>
          <w:rFonts w:ascii="Verdana" w:eastAsia="Calibri" w:hAnsi="Verdana" w:cs="Arial"/>
          <w:color w:val="000000" w:themeColor="text1"/>
          <w:sz w:val="20"/>
          <w:szCs w:val="20"/>
          <w:lang w:val="es-ES_tradnl"/>
        </w:rPr>
      </w:pPr>
    </w:p>
    <w:p w14:paraId="5383A81D" w14:textId="77777777" w:rsidR="00407000" w:rsidRPr="009859FE" w:rsidRDefault="00407000" w:rsidP="00407000">
      <w:pPr>
        <w:spacing w:after="0" w:line="240" w:lineRule="auto"/>
        <w:ind w:left="709" w:right="709"/>
        <w:jc w:val="both"/>
        <w:rPr>
          <w:rFonts w:ascii="Verdana" w:eastAsia="Calibri" w:hAnsi="Verdana" w:cs="Arial"/>
          <w:color w:val="000000" w:themeColor="text1"/>
          <w:sz w:val="20"/>
          <w:szCs w:val="20"/>
          <w:lang w:val="es-ES_tradnl"/>
        </w:rPr>
      </w:pPr>
      <w:r w:rsidRPr="009859FE">
        <w:rPr>
          <w:rFonts w:ascii="Verdana" w:eastAsia="Calibri" w:hAnsi="Verdana" w:cs="Arial"/>
          <w:color w:val="000000" w:themeColor="text1"/>
          <w:sz w:val="20"/>
          <w:szCs w:val="20"/>
          <w:lang w:val="es-ES_tradnl"/>
        </w:rPr>
        <w:t>[…]</w:t>
      </w:r>
    </w:p>
    <w:p w14:paraId="7CD53DBE" w14:textId="77777777" w:rsidR="00407000" w:rsidRPr="009859FE" w:rsidRDefault="00407000" w:rsidP="00407000">
      <w:pPr>
        <w:spacing w:after="0" w:line="240" w:lineRule="auto"/>
        <w:ind w:left="709" w:right="709"/>
        <w:jc w:val="both"/>
        <w:rPr>
          <w:rFonts w:ascii="Verdana" w:eastAsia="Calibri" w:hAnsi="Verdana" w:cs="Arial"/>
          <w:color w:val="000000" w:themeColor="text1"/>
          <w:sz w:val="20"/>
          <w:szCs w:val="20"/>
          <w:lang w:val="es-ES"/>
        </w:rPr>
      </w:pPr>
    </w:p>
    <w:p w14:paraId="1BAEA0BB" w14:textId="77777777" w:rsidR="00407000" w:rsidRPr="009859FE" w:rsidRDefault="00407000" w:rsidP="00407000">
      <w:pPr>
        <w:spacing w:after="0" w:line="240" w:lineRule="auto"/>
        <w:ind w:left="709" w:right="709"/>
        <w:jc w:val="both"/>
        <w:rPr>
          <w:rFonts w:ascii="Verdana" w:eastAsia="Calibri" w:hAnsi="Verdana" w:cs="Arial"/>
          <w:color w:val="000000" w:themeColor="text1"/>
          <w:sz w:val="20"/>
          <w:szCs w:val="20"/>
          <w:lang w:val="es-ES"/>
        </w:rPr>
      </w:pPr>
      <w:r w:rsidRPr="009859FE">
        <w:rPr>
          <w:rFonts w:ascii="Verdana" w:eastAsia="Calibri" w:hAnsi="Verdana" w:cs="Arial"/>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1558DF68" w14:textId="77777777" w:rsidR="00407000" w:rsidRPr="009859FE" w:rsidRDefault="00407000" w:rsidP="00407000">
      <w:pPr>
        <w:spacing w:after="0" w:line="276" w:lineRule="auto"/>
        <w:ind w:left="709" w:right="709"/>
        <w:jc w:val="both"/>
        <w:rPr>
          <w:rFonts w:ascii="Verdana" w:eastAsia="Calibri" w:hAnsi="Verdana" w:cs="Arial"/>
          <w:color w:val="000000" w:themeColor="text1"/>
          <w:lang w:val="es-ES"/>
        </w:rPr>
      </w:pPr>
    </w:p>
    <w:p w14:paraId="0D7F5879" w14:textId="77777777" w:rsidR="00407000" w:rsidRPr="009859FE" w:rsidRDefault="00407000" w:rsidP="00CE77E1">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Conforme lo ha sostenido esta Agencia en distintos conceptos, los requisitos habilitantes, establecidos en el numeral 1° del artículo 5 de la Ley 1150 de 2007, son de carácter enunciativos y no taxativos. Esta interpretación legal se resume en los siguientes argumentos: Esta norma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9859FE">
        <w:rPr>
          <w:rStyle w:val="Refdenotaalpie"/>
          <w:rFonts w:ascii="Verdana" w:eastAsia="Calibri" w:hAnsi="Verdana" w:cs="Arial"/>
          <w:color w:val="000000" w:themeColor="text1"/>
          <w:lang w:val="es-ES_tradnl"/>
        </w:rPr>
        <w:footnoteReference w:id="2"/>
      </w:r>
      <w:r w:rsidRPr="009859FE">
        <w:rPr>
          <w:rFonts w:ascii="Verdana" w:eastAsia="Calibri" w:hAnsi="Verdana" w:cs="Arial"/>
          <w:color w:val="000000" w:themeColor="text1"/>
          <w:lang w:val="es-ES_tradnl"/>
        </w:rPr>
        <w:t>.</w:t>
      </w:r>
    </w:p>
    <w:p w14:paraId="6971DC91" w14:textId="77777777" w:rsidR="00407000" w:rsidRPr="009859FE" w:rsidRDefault="00407000" w:rsidP="00CE77E1">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Además, la intención del legislador, de la cual dan cuenta los antecedentes legislativos de la norma sub examine</w:t>
      </w:r>
      <w:r w:rsidRPr="009859FE">
        <w:rPr>
          <w:rStyle w:val="Refdenotaalpie"/>
          <w:rFonts w:ascii="Verdana" w:eastAsia="Calibri" w:hAnsi="Verdana" w:cs="Arial"/>
          <w:color w:val="000000" w:themeColor="text1"/>
          <w:lang w:val="es-ES_tradnl"/>
        </w:rPr>
        <w:footnoteReference w:id="3"/>
      </w:r>
      <w:r w:rsidRPr="009859FE">
        <w:rPr>
          <w:rFonts w:ascii="Verdana" w:eastAsia="Calibri" w:hAnsi="Verdana" w:cs="Arial"/>
          <w:color w:val="000000" w:themeColor="text1"/>
          <w:lang w:val="es-ES_tradnl"/>
        </w:rPr>
        <w:t>, también justifica la interpretación propuesta por esta Agencia, ya que fue hasta el cuarto debate legislativo en donde se incluyó parágrafo 2 del mismo artículo 5 de la Ley 1150 de 2007</w:t>
      </w:r>
      <w:r w:rsidRPr="009859FE">
        <w:rPr>
          <w:rStyle w:val="Refdenotaalpie"/>
          <w:rFonts w:ascii="Verdana" w:eastAsia="Calibri" w:hAnsi="Verdana" w:cs="Arial"/>
          <w:color w:val="000000" w:themeColor="text1"/>
          <w:lang w:val="es-ES_tradnl"/>
        </w:rPr>
        <w:footnoteReference w:id="4"/>
      </w:r>
      <w:r w:rsidRPr="009859FE">
        <w:rPr>
          <w:rFonts w:ascii="Verdana" w:eastAsia="Calibri" w:hAnsi="Verdana" w:cs="Arial"/>
          <w:color w:val="000000" w:themeColor="text1"/>
          <w:lang w:val="es-ES_tradnl"/>
        </w:rPr>
        <w:t>, lo que deja ver la necesidad que tenía el Congreso de aclarar que unos documentos no podrían ser tenidos como requisitos habilitantes, lo que asimismo evidencia el reconocimiento tácito de la existencia de otros requisitos habilitantes, distintos a los cuatro que establece el artículo 5, numeral 1, de la Ley 1150 de 2007</w:t>
      </w:r>
      <w:r w:rsidRPr="009859FE">
        <w:rPr>
          <w:rStyle w:val="Refdenotaalpie"/>
          <w:rFonts w:ascii="Verdana" w:eastAsia="Calibri" w:hAnsi="Verdana" w:cs="Arial"/>
          <w:color w:val="000000" w:themeColor="text1"/>
          <w:lang w:val="es-ES_tradnl"/>
        </w:rPr>
        <w:footnoteReference w:id="5"/>
      </w:r>
      <w:r w:rsidRPr="009859FE">
        <w:rPr>
          <w:rFonts w:ascii="Verdana" w:eastAsia="Calibri" w:hAnsi="Verdana" w:cs="Arial"/>
          <w:color w:val="000000" w:themeColor="text1"/>
          <w:lang w:val="es-ES_tradnl"/>
        </w:rPr>
        <w:t xml:space="preserve">. </w:t>
      </w:r>
    </w:p>
    <w:p w14:paraId="502792DF" w14:textId="19D712B4" w:rsidR="00407000" w:rsidRPr="009859FE" w:rsidRDefault="009859FE" w:rsidP="00CE77E1">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lastRenderedPageBreak/>
        <w:t>E</w:t>
      </w:r>
      <w:r w:rsidR="00407000" w:rsidRPr="009859FE">
        <w:rPr>
          <w:rFonts w:ascii="Verdana" w:eastAsia="Calibri" w:hAnsi="Verdana" w:cs="Arial"/>
          <w:color w:val="000000" w:themeColor="text1"/>
          <w:lang w:val="es-ES_tradnl"/>
        </w:rPr>
        <w:t>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193A59F1"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En consecuencia, 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id="2" w:name="_Hlk182863897"/>
      <w:r w:rsidRPr="009859FE">
        <w:rPr>
          <w:rFonts w:ascii="Verdana" w:eastAsia="Calibri" w:hAnsi="Verdana" w:cs="Arial"/>
          <w:color w:val="000000" w:themeColor="text1"/>
        </w:rPr>
        <w:t>con la naturaleza, el valor del contrato, la forma de pago, los riesgos asociados al contrato, el plazo y la complejidad de ejecución del objeto</w:t>
      </w:r>
      <w:r w:rsidRPr="009859FE">
        <w:rPr>
          <w:rStyle w:val="Refdenotaalpie"/>
          <w:rFonts w:ascii="Verdana" w:eastAsia="Calibri" w:hAnsi="Verdana" w:cs="Arial"/>
          <w:color w:val="000000" w:themeColor="text1"/>
        </w:rPr>
        <w:footnoteReference w:id="6"/>
      </w:r>
      <w:r w:rsidRPr="009859FE">
        <w:rPr>
          <w:rFonts w:ascii="Verdana" w:eastAsia="Calibri" w:hAnsi="Verdana" w:cs="Arial"/>
          <w:color w:val="000000" w:themeColor="text1"/>
        </w:rPr>
        <w:t>.</w:t>
      </w:r>
      <w:bookmarkEnd w:id="2"/>
    </w:p>
    <w:p w14:paraId="6E993FB9"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De esta manera, la facultad de establecer los requisitos habilitantes no puede ejercerse de forma arbitraria, caprichosa y, mucho menos, con el ánimo </w:t>
      </w:r>
      <w:r w:rsidRPr="009859FE">
        <w:rPr>
          <w:rFonts w:ascii="Verdana" w:eastAsia="Calibri" w:hAnsi="Verdana" w:cs="Arial"/>
          <w:color w:val="000000" w:themeColor="text1"/>
        </w:rPr>
        <w:lastRenderedPageBreak/>
        <w:t xml:space="preserve">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082E9FDC"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7FB773F0"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En este sentido, 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14:paraId="3BE7C728"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45D024DE"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w:t>
      </w:r>
      <w:r w:rsidRPr="009859FE">
        <w:rPr>
          <w:rFonts w:ascii="Verdana" w:eastAsia="Calibri" w:hAnsi="Verdana" w:cs="Arial"/>
          <w:color w:val="000000" w:themeColor="text1"/>
        </w:rPr>
        <w:lastRenderedPageBreak/>
        <w:t>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5D234298" w14:textId="77777777" w:rsidR="00407000" w:rsidRPr="009859FE" w:rsidRDefault="00407000" w:rsidP="00CE77E1">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Así las cosas, se concluye </w:t>
      </w:r>
      <w:proofErr w:type="gramStart"/>
      <w:r w:rsidRPr="009859FE">
        <w:rPr>
          <w:rFonts w:ascii="Verdana" w:eastAsia="Calibri" w:hAnsi="Verdana" w:cs="Arial"/>
          <w:color w:val="000000" w:themeColor="text1"/>
        </w:rPr>
        <w:t>que</w:t>
      </w:r>
      <w:proofErr w:type="gramEnd"/>
      <w:r w:rsidRPr="009859FE">
        <w:rPr>
          <w:rFonts w:ascii="Verdana" w:eastAsia="Calibri" w:hAnsi="Verdana" w:cs="Arial"/>
          <w:color w:val="000000" w:themeColor="text1"/>
        </w:rPr>
        <w:t xml:space="preserve"> aunque la Ley 1150 de 2007 estableció unos requisitos habilitantes para los proponentes: la capacidad jurídica, las condiciones de experiencia, la capacidad financiera y la capacidad de organización, lo cierto es que los mismos no son taxativos. Así las cosas, los requisitos habilitantes deben ser establecidos por la Entidad Estatal en cada proceso contractual, debidamente justificados y de acuerdo con los parámetros fijados en el Decreto 1082 de 2015. Y una vez establecidos los requisitos habilitantes, quienes presenten ofertas deben acreditar que cumplen con ellos, so pena de que sus propuestas sean rechazadas. Esto sin perjuicio de la posibilidad de subsanarlas, cuando a ello haya lugar.</w:t>
      </w:r>
    </w:p>
    <w:p w14:paraId="43EB9F3D" w14:textId="2C19D54A" w:rsidR="008968DB" w:rsidRPr="00BF22E6" w:rsidRDefault="00407000" w:rsidP="00B55602">
      <w:pPr>
        <w:widowControl w:val="0"/>
        <w:autoSpaceDE w:val="0"/>
        <w:autoSpaceDN w:val="0"/>
        <w:spacing w:after="120" w:line="276" w:lineRule="auto"/>
        <w:ind w:firstLine="709"/>
        <w:jc w:val="both"/>
        <w:rPr>
          <w:rFonts w:ascii="Verdana" w:eastAsia="Arial" w:hAnsi="Verdana" w:cs="Arial"/>
          <w:lang w:val="es-ES"/>
        </w:rPr>
      </w:pPr>
      <w:r w:rsidRPr="009859FE">
        <w:rPr>
          <w:rFonts w:ascii="Verdana" w:eastAsia="Calibri" w:hAnsi="Verdana" w:cs="Arial"/>
          <w:color w:val="000000" w:themeColor="text1"/>
        </w:rPr>
        <w:t xml:space="preserve">Ahora bien, en relación con problema jurídico planteado, </w:t>
      </w:r>
      <w:r w:rsidR="00B55602">
        <w:rPr>
          <w:rFonts w:ascii="Verdana" w:eastAsia="Calibri" w:hAnsi="Verdana" w:cs="Arial"/>
          <w:color w:val="000000" w:themeColor="text1"/>
        </w:rPr>
        <w:t>s</w:t>
      </w:r>
      <w:proofErr w:type="spellStart"/>
      <w:r w:rsidR="008968DB" w:rsidRPr="00BF22E6">
        <w:rPr>
          <w:rFonts w:ascii="Verdana" w:eastAsia="Arial" w:hAnsi="Verdana" w:cs="Arial"/>
          <w:lang w:val="es-ES"/>
        </w:rPr>
        <w:t>e</w:t>
      </w:r>
      <w:proofErr w:type="spellEnd"/>
      <w:r w:rsidR="008968DB" w:rsidRPr="00BF22E6">
        <w:rPr>
          <w:rFonts w:ascii="Verdana" w:eastAsia="Arial" w:hAnsi="Verdana" w:cs="Arial"/>
          <w:lang w:val="es-ES"/>
        </w:rPr>
        <w:t xml:space="preserve"> destaca que la solicitud o exigencia de marcas ha sido objeto de regulación, a nivel reglamentario, en los Decretos 2474 de 2008 y 734 de 2012. El parágrafo 3º del artículo 16 del Decreto Reglamentario 2474 de 2008 –ya derogado– prescribía </w:t>
      </w:r>
      <w:r w:rsidR="00CE77E1" w:rsidRPr="00BF22E6">
        <w:rPr>
          <w:rFonts w:ascii="Verdana" w:eastAsia="Arial" w:hAnsi="Verdana" w:cs="Arial"/>
          <w:lang w:val="es-ES"/>
        </w:rPr>
        <w:t>que,</w:t>
      </w:r>
      <w:r w:rsidR="008968DB" w:rsidRPr="00BF22E6">
        <w:rPr>
          <w:rFonts w:ascii="Verdana" w:eastAsia="Arial" w:hAnsi="Verdana" w:cs="Arial"/>
          <w:lang w:val="es-ES"/>
        </w:rPr>
        <w:t xml:space="preserve"> para la adquisición de bienes y servicios de características técnicas uniformes, en principio, no se podían exigir marcas, a menos que la satisfacción de la necesidad así lo exigiera:</w:t>
      </w:r>
    </w:p>
    <w:p w14:paraId="4148C4E5" w14:textId="77777777" w:rsidR="008968DB" w:rsidRPr="00BF22E6" w:rsidRDefault="008968DB" w:rsidP="008968DB">
      <w:pPr>
        <w:widowControl w:val="0"/>
        <w:autoSpaceDE w:val="0"/>
        <w:autoSpaceDN w:val="0"/>
        <w:spacing w:before="5" w:after="0" w:line="240" w:lineRule="auto"/>
        <w:ind w:left="709" w:right="709"/>
        <w:rPr>
          <w:rFonts w:ascii="Verdana" w:eastAsia="Arial" w:hAnsi="Verdana" w:cs="Arial"/>
          <w:lang w:val="es-ES"/>
        </w:rPr>
      </w:pPr>
    </w:p>
    <w:p w14:paraId="1FB667F3" w14:textId="7A9889E5" w:rsidR="008968DB" w:rsidRPr="00BF22E6" w:rsidRDefault="009859FE" w:rsidP="008968D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w:t>
      </w:r>
      <w:r w:rsidR="008968DB" w:rsidRPr="00BF22E6">
        <w:rPr>
          <w:rFonts w:ascii="Verdana" w:eastAsia="Arial" w:hAnsi="Verdana" w:cs="Arial"/>
          <w:sz w:val="20"/>
          <w:szCs w:val="20"/>
          <w:lang w:val="es-ES"/>
        </w:rPr>
        <w:t>Artículo 16</w:t>
      </w:r>
      <w:r w:rsidR="008968DB" w:rsidRPr="00BF22E6">
        <w:rPr>
          <w:rFonts w:ascii="Verdana" w:eastAsia="Arial" w:hAnsi="Verdana" w:cs="Arial"/>
          <w:b/>
          <w:sz w:val="20"/>
          <w:szCs w:val="20"/>
          <w:lang w:val="es-ES"/>
        </w:rPr>
        <w:t xml:space="preserve">. </w:t>
      </w:r>
      <w:r w:rsidR="008968DB" w:rsidRPr="00BF22E6">
        <w:rPr>
          <w:rFonts w:ascii="Verdana" w:eastAsia="Arial" w:hAnsi="Verdana" w:cs="Arial"/>
          <w:i/>
          <w:sz w:val="20"/>
          <w:szCs w:val="20"/>
          <w:lang w:val="es-ES"/>
        </w:rPr>
        <w:t>Bienes y servicios de características técnicas uniformes y de común utilización</w:t>
      </w:r>
      <w:r w:rsidR="008968DB" w:rsidRPr="00BF22E6">
        <w:rPr>
          <w:rFonts w:ascii="Verdana" w:eastAsia="Arial" w:hAnsi="Verdana" w:cs="Arial"/>
          <w:sz w:val="20"/>
          <w:szCs w:val="20"/>
          <w:lang w:val="es-ES"/>
        </w:rPr>
        <w:t>. Son bienes y servicios de características técnicas uniformes y de común utilización aquellos que poseen las mismas especificaciones técnicas, con independencia de su diseño o de sus características descriptivas, y comparten patrones de desempeño y calidad objetivamente definidos.</w:t>
      </w:r>
    </w:p>
    <w:p w14:paraId="33BE9830" w14:textId="77777777" w:rsidR="008968DB" w:rsidRPr="00BF22E6" w:rsidRDefault="008968DB" w:rsidP="008968DB">
      <w:pPr>
        <w:widowControl w:val="0"/>
        <w:autoSpaceDE w:val="0"/>
        <w:autoSpaceDN w:val="0"/>
        <w:spacing w:after="0" w:line="240" w:lineRule="auto"/>
        <w:ind w:left="709" w:right="709"/>
        <w:rPr>
          <w:rFonts w:ascii="Verdana" w:eastAsia="Arial" w:hAnsi="Verdana" w:cs="Arial"/>
          <w:sz w:val="20"/>
          <w:szCs w:val="20"/>
          <w:lang w:val="es-ES"/>
        </w:rPr>
      </w:pPr>
      <w:r w:rsidRPr="00BF22E6">
        <w:rPr>
          <w:rFonts w:ascii="Verdana" w:eastAsia="Arial" w:hAnsi="Verdana" w:cs="Arial"/>
          <w:sz w:val="20"/>
          <w:szCs w:val="20"/>
          <w:lang w:val="es-ES"/>
        </w:rPr>
        <w:t>[…]</w:t>
      </w:r>
    </w:p>
    <w:p w14:paraId="31E14B25" w14:textId="130A2D50" w:rsidR="008968DB" w:rsidRPr="00BF22E6" w:rsidRDefault="008968DB" w:rsidP="008968D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Parágrafo 3°. No se individualizarán los bienes o servicios de carácter homogéneo mediante el uso de marcas, salvo que la satisfacción de la necesidad de que se trate así lo exija, circunstancia esta que deberá acreditarse en los estudios previos elaborados por la entidad, sin que la justificación pueda basarse en consideraciones puramente</w:t>
      </w:r>
      <w:r w:rsidRPr="00BF22E6">
        <w:rPr>
          <w:rFonts w:ascii="Verdana" w:eastAsia="Arial" w:hAnsi="Verdana" w:cs="Arial"/>
          <w:spacing w:val="-2"/>
          <w:sz w:val="20"/>
          <w:szCs w:val="20"/>
          <w:lang w:val="es-ES"/>
        </w:rPr>
        <w:t xml:space="preserve"> </w:t>
      </w:r>
      <w:r w:rsidRPr="00BF22E6">
        <w:rPr>
          <w:rFonts w:ascii="Verdana" w:eastAsia="Arial" w:hAnsi="Verdana" w:cs="Arial"/>
          <w:sz w:val="20"/>
          <w:szCs w:val="20"/>
          <w:lang w:val="es-ES"/>
        </w:rPr>
        <w:t>subjetivas</w:t>
      </w:r>
      <w:r w:rsidR="009859FE" w:rsidRPr="00BF22E6">
        <w:rPr>
          <w:rFonts w:ascii="Verdana" w:eastAsia="Arial" w:hAnsi="Verdana" w:cs="Arial"/>
          <w:sz w:val="20"/>
          <w:szCs w:val="20"/>
          <w:lang w:val="es-ES"/>
        </w:rPr>
        <w:t>”</w:t>
      </w:r>
      <w:r w:rsidRPr="00BF22E6">
        <w:rPr>
          <w:rFonts w:ascii="Verdana" w:eastAsia="Arial" w:hAnsi="Verdana" w:cs="Arial"/>
          <w:sz w:val="20"/>
          <w:szCs w:val="20"/>
          <w:lang w:val="es-ES"/>
        </w:rPr>
        <w:t>.</w:t>
      </w:r>
    </w:p>
    <w:p w14:paraId="2B0C9EE3" w14:textId="77777777" w:rsidR="008968DB" w:rsidRPr="00BF22E6" w:rsidRDefault="008968DB" w:rsidP="008968DB">
      <w:pPr>
        <w:widowControl w:val="0"/>
        <w:autoSpaceDE w:val="0"/>
        <w:autoSpaceDN w:val="0"/>
        <w:spacing w:before="5" w:after="0" w:line="240" w:lineRule="auto"/>
        <w:rPr>
          <w:rFonts w:ascii="Verdana" w:eastAsia="Arial" w:hAnsi="Verdana" w:cs="Arial"/>
          <w:lang w:val="es-ES"/>
        </w:rPr>
      </w:pPr>
    </w:p>
    <w:p w14:paraId="1E383924" w14:textId="1D29CC2A" w:rsidR="008968DB" w:rsidRPr="00BF22E6" w:rsidRDefault="008968DB" w:rsidP="00CE77E1">
      <w:pPr>
        <w:widowControl w:val="0"/>
        <w:autoSpaceDE w:val="0"/>
        <w:autoSpaceDN w:val="0"/>
        <w:spacing w:after="120" w:line="276" w:lineRule="auto"/>
        <w:ind w:right="110" w:firstLine="708"/>
        <w:jc w:val="both"/>
        <w:rPr>
          <w:rFonts w:ascii="Verdana" w:eastAsia="Arial" w:hAnsi="Verdana" w:cs="Arial"/>
          <w:lang w:val="es-ES"/>
        </w:rPr>
      </w:pPr>
      <w:r w:rsidRPr="00BF22E6">
        <w:rPr>
          <w:rFonts w:ascii="Verdana" w:eastAsia="Arial" w:hAnsi="Verdana" w:cs="Arial"/>
          <w:lang w:val="es-ES"/>
        </w:rPr>
        <w:t xml:space="preserve">Esta norma fue derogada, pero el contenido fue adoptado nuevamente por el parágrafo 3º del artículo 3.2.1.1. del Decreto 734 del 2012, que también </w:t>
      </w:r>
      <w:r w:rsidRPr="00BF22E6">
        <w:rPr>
          <w:rFonts w:ascii="Verdana" w:eastAsia="Arial" w:hAnsi="Verdana" w:cs="Arial"/>
          <w:lang w:val="es-ES"/>
        </w:rPr>
        <w:lastRenderedPageBreak/>
        <w:t>sería derogado por el artículo 163 del Decreto 1510 de 2013</w:t>
      </w:r>
      <w:r w:rsidRPr="00BF22E6">
        <w:rPr>
          <w:rStyle w:val="Refdenotaalpie"/>
          <w:rFonts w:ascii="Verdana" w:hAnsi="Verdana"/>
        </w:rPr>
        <w:footnoteReference w:id="7"/>
      </w:r>
      <w:r w:rsidRPr="00BF22E6">
        <w:rPr>
          <w:rFonts w:ascii="Verdana" w:eastAsia="Arial" w:hAnsi="Verdana" w:cs="Arial"/>
          <w:lang w:val="es-ES"/>
        </w:rPr>
        <w:t xml:space="preserve">. No obstante, se resalta de estas normas reglamentarias derogadas la instauración de una regla general sobre la imposibilidad de exigir marcas, pero limitada a la compra de bienes y servicios de características técnicas uniformes y, además, la inclusión de una excepción, de conformidad con la cual la entidad podía solicitar este tipo de bienes con una marca específica cuando </w:t>
      </w:r>
      <w:r w:rsidR="009855F7">
        <w:rPr>
          <w:rFonts w:ascii="Verdana" w:eastAsia="Times New Roman" w:hAnsi="Verdana" w:cs="Arial"/>
          <w:iCs/>
          <w:szCs w:val="24"/>
          <w:lang w:val="es-ES_tradnl" w:eastAsia="es-ES_tradnl"/>
        </w:rPr>
        <w:t>“</w:t>
      </w:r>
      <w:r w:rsidRPr="00BF22E6">
        <w:rPr>
          <w:rFonts w:ascii="Verdana" w:eastAsia="Arial" w:hAnsi="Verdana" w:cs="Arial"/>
          <w:lang w:val="es-ES"/>
        </w:rPr>
        <w:t>la satisfacción de la necesidad de que se trate así lo exija</w:t>
      </w:r>
      <w:r w:rsidR="009855F7">
        <w:rPr>
          <w:rFonts w:ascii="Verdana" w:eastAsia="Arial" w:hAnsi="Verdana" w:cs="Arial"/>
          <w:lang w:val="es-ES"/>
        </w:rPr>
        <w:t>”</w:t>
      </w:r>
      <w:r w:rsidRPr="00BF22E6">
        <w:rPr>
          <w:rFonts w:ascii="Verdana" w:eastAsia="Arial" w:hAnsi="Verdana" w:cs="Arial"/>
          <w:lang w:val="es-ES"/>
        </w:rPr>
        <w:t>, situación que debía quedar suficiente y debidamente sustentada en los pliegos de</w:t>
      </w:r>
      <w:r w:rsidRPr="00BF22E6">
        <w:rPr>
          <w:rFonts w:ascii="Verdana" w:eastAsia="Arial" w:hAnsi="Verdana" w:cs="Arial"/>
          <w:spacing w:val="-8"/>
          <w:lang w:val="es-ES"/>
        </w:rPr>
        <w:t xml:space="preserve"> </w:t>
      </w:r>
      <w:r w:rsidRPr="00BF22E6">
        <w:rPr>
          <w:rFonts w:ascii="Verdana" w:eastAsia="Arial" w:hAnsi="Verdana" w:cs="Arial"/>
          <w:lang w:val="es-ES"/>
        </w:rPr>
        <w:t>condiciones.</w:t>
      </w:r>
    </w:p>
    <w:p w14:paraId="6DF4E946" w14:textId="0CF37E43" w:rsidR="008968DB" w:rsidRPr="00BF22E6" w:rsidRDefault="008968DB" w:rsidP="00CE77E1">
      <w:pPr>
        <w:widowControl w:val="0"/>
        <w:autoSpaceDE w:val="0"/>
        <w:autoSpaceDN w:val="0"/>
        <w:spacing w:after="120" w:line="276" w:lineRule="auto"/>
        <w:ind w:right="107"/>
        <w:jc w:val="both"/>
        <w:rPr>
          <w:rFonts w:ascii="Verdana" w:eastAsia="Arial" w:hAnsi="Verdana" w:cs="Arial"/>
          <w:lang w:val="es-ES"/>
        </w:rPr>
      </w:pPr>
      <w:r w:rsidRPr="00BF22E6">
        <w:rPr>
          <w:rFonts w:ascii="Verdana" w:eastAsia="Arial" w:hAnsi="Verdana" w:cs="Arial"/>
          <w:lang w:val="es-ES"/>
        </w:rPr>
        <w:tab/>
        <w:t xml:space="preserve">Es necesario advertir que el Decreto 1510 de 2013, que derogó el Decreto 734 de 2012 y que luego fue compilado por el Decreto Único Reglamentario 1082 de 2015, </w:t>
      </w:r>
      <w:r w:rsidR="009C04E7">
        <w:rPr>
          <w:rFonts w:ascii="Verdana" w:eastAsia="Times New Roman" w:hAnsi="Verdana" w:cs="Arial"/>
          <w:iCs/>
          <w:lang w:val="es-ES_tradnl" w:eastAsia="es-ES_tradnl"/>
        </w:rPr>
        <w:t>“</w:t>
      </w:r>
      <w:r w:rsidRPr="00BF22E6">
        <w:rPr>
          <w:rFonts w:ascii="Verdana" w:hAnsi="Verdana" w:cs="Arial"/>
          <w:shd w:val="clear" w:color="auto" w:fill="FFFFFF"/>
        </w:rPr>
        <w:t>Por medio del cual se expide El Decreto Único Reglamentario del Sector Administrativo de Planeación Nacional</w:t>
      </w:r>
      <w:r w:rsidR="009C04E7">
        <w:rPr>
          <w:rFonts w:ascii="Verdana" w:eastAsia="Times New Roman" w:hAnsi="Verdana" w:cs="Arial"/>
          <w:iCs/>
          <w:lang w:val="es-ES_tradnl" w:eastAsia="es-ES_tradnl"/>
        </w:rPr>
        <w:t>”</w:t>
      </w:r>
      <w:r w:rsidRPr="00BF22E6">
        <w:rPr>
          <w:rFonts w:ascii="Verdana" w:eastAsia="Arial" w:hAnsi="Verdana" w:cs="Arial"/>
          <w:lang w:val="es-ES"/>
        </w:rPr>
        <w:t>, eliminó la prohibición de exigir marcas para la compra de bienes de características técnicas uniformes. Es decir, la norma vigente no prohíbe la solicitud de marcas para la compra de este tipo de bienes ni para algún proceso de selección.</w:t>
      </w:r>
    </w:p>
    <w:p w14:paraId="67A62268" w14:textId="534493FD" w:rsidR="008968DB" w:rsidRPr="00BF22E6" w:rsidRDefault="008968DB" w:rsidP="00CE77E1">
      <w:pPr>
        <w:widowControl w:val="0"/>
        <w:autoSpaceDE w:val="0"/>
        <w:autoSpaceDN w:val="0"/>
        <w:spacing w:after="120" w:line="276" w:lineRule="auto"/>
        <w:ind w:right="107"/>
        <w:jc w:val="both"/>
        <w:rPr>
          <w:rFonts w:ascii="Verdana" w:eastAsia="Times New Roman" w:hAnsi="Verdana" w:cs="Arial"/>
          <w:lang w:eastAsia="es-CO"/>
        </w:rPr>
      </w:pPr>
      <w:r w:rsidRPr="00BF22E6">
        <w:rPr>
          <w:rFonts w:ascii="Verdana" w:eastAsia="Arial" w:hAnsi="Verdana" w:cs="Arial"/>
          <w:lang w:val="es-ES"/>
        </w:rPr>
        <w:tab/>
        <w:t xml:space="preserve">Si bien ni el </w:t>
      </w:r>
      <w:r w:rsidR="009C04E7">
        <w:rPr>
          <w:rFonts w:ascii="Verdana" w:eastAsia="Arial" w:hAnsi="Verdana" w:cs="Arial"/>
          <w:lang w:val="es-ES"/>
        </w:rPr>
        <w:t>EGCAP</w:t>
      </w:r>
      <w:r w:rsidR="009C04E7" w:rsidRPr="00BF22E6">
        <w:rPr>
          <w:rFonts w:ascii="Verdana" w:eastAsia="Arial" w:hAnsi="Verdana" w:cs="Arial"/>
          <w:lang w:val="es-ES"/>
        </w:rPr>
        <w:t xml:space="preserve"> </w:t>
      </w:r>
      <w:r w:rsidRPr="00BF22E6">
        <w:rPr>
          <w:rFonts w:ascii="Verdana" w:eastAsia="Arial" w:hAnsi="Verdana" w:cs="Arial"/>
          <w:lang w:val="es-ES"/>
        </w:rPr>
        <w:t>ni sus normas reglamentarias prohíben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BF22E6">
        <w:rPr>
          <w:rFonts w:ascii="Verdana" w:eastAsia="Times New Roman" w:hAnsi="Verdana" w:cs="Arial"/>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w:t>
      </w:r>
      <w:proofErr w:type="spellStart"/>
      <w:r w:rsidRPr="00BF22E6">
        <w:rPr>
          <w:rFonts w:ascii="Verdana" w:eastAsia="Times New Roman" w:hAnsi="Verdana" w:cs="Arial"/>
          <w:lang w:eastAsia="es-CO"/>
        </w:rPr>
        <w:t>ii</w:t>
      </w:r>
      <w:proofErr w:type="spellEnd"/>
      <w:r w:rsidRPr="00BF22E6">
        <w:rPr>
          <w:rFonts w:ascii="Verdana" w:eastAsia="Times New Roman" w:hAnsi="Verdana" w:cs="Arial"/>
          <w:lang w:eastAsia="es-CO"/>
        </w:rPr>
        <w:t xml:space="preserve">)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w:t>
      </w:r>
      <w:r w:rsidR="002B0A24" w:rsidRPr="00BF22E6">
        <w:rPr>
          <w:rFonts w:ascii="Verdana" w:eastAsia="Times New Roman" w:hAnsi="Verdana" w:cs="Arial"/>
          <w:lang w:eastAsia="es-CO"/>
        </w:rPr>
        <w:t>con la condición de que</w:t>
      </w:r>
      <w:r w:rsidRPr="00BF22E6">
        <w:rPr>
          <w:rFonts w:ascii="Verdana" w:eastAsia="Times New Roman" w:hAnsi="Verdana" w:cs="Arial"/>
          <w:lang w:eastAsia="es-CO"/>
        </w:rPr>
        <w:t xml:space="preserve"> se describa acompañado de la expresión </w:t>
      </w:r>
      <w:r w:rsidR="002B0A24">
        <w:rPr>
          <w:rFonts w:ascii="Verdana" w:eastAsia="Calibri" w:hAnsi="Verdana" w:cs="Arial"/>
          <w:lang w:val="es-ES"/>
        </w:rPr>
        <w:t>“</w:t>
      </w:r>
      <w:r w:rsidRPr="00BF22E6">
        <w:rPr>
          <w:rFonts w:ascii="Verdana" w:eastAsia="Times New Roman" w:hAnsi="Verdana" w:cs="Arial"/>
          <w:lang w:eastAsia="es-CO"/>
        </w:rPr>
        <w:t>o equivalente</w:t>
      </w:r>
      <w:r w:rsidR="002B0A24">
        <w:rPr>
          <w:rFonts w:ascii="Verdana" w:eastAsia="Calibri" w:hAnsi="Verdana" w:cs="Arial"/>
          <w:color w:val="000000"/>
        </w:rPr>
        <w:t>”</w:t>
      </w:r>
      <w:r w:rsidRPr="00BF22E6">
        <w:rPr>
          <w:rFonts w:ascii="Verdana" w:eastAsia="Times New Roman" w:hAnsi="Verdana" w:cs="Arial"/>
          <w:lang w:eastAsia="es-CO"/>
        </w:rPr>
        <w:t xml:space="preserve">. </w:t>
      </w:r>
      <w:r w:rsidRPr="00BF22E6">
        <w:rPr>
          <w:rFonts w:ascii="Verdana" w:eastAsia="Times New Roman" w:hAnsi="Verdana" w:cs="Arial"/>
          <w:bCs/>
          <w:color w:val="000000"/>
          <w:lang w:val="es-ES" w:eastAsia="es-ES"/>
        </w:rPr>
        <w:t>Así mismo, no es posible un asesoramiento para la determinación de las especificaciones técnicas, si hay un interés comercial para participar en el proceso de contratación</w:t>
      </w:r>
      <w:r w:rsidRPr="00BF22E6">
        <w:rPr>
          <w:rStyle w:val="Refdenotaalpie"/>
          <w:rFonts w:ascii="Verdana" w:hAnsi="Verdana"/>
        </w:rPr>
        <w:footnoteReference w:id="8"/>
      </w:r>
      <w:r w:rsidRPr="00BF22E6">
        <w:rPr>
          <w:rFonts w:ascii="Verdana" w:eastAsia="Times New Roman" w:hAnsi="Verdana" w:cs="Arial"/>
          <w:bCs/>
          <w:color w:val="000000"/>
          <w:lang w:val="es-ES" w:eastAsia="es-ES"/>
        </w:rPr>
        <w:t>.</w:t>
      </w:r>
    </w:p>
    <w:p w14:paraId="12B2804B" w14:textId="7A2C37D4" w:rsidR="004C6045" w:rsidRDefault="00725636" w:rsidP="00CE77E1">
      <w:pPr>
        <w:widowControl w:val="0"/>
        <w:autoSpaceDE w:val="0"/>
        <w:autoSpaceDN w:val="0"/>
        <w:spacing w:after="120" w:line="276" w:lineRule="auto"/>
        <w:ind w:right="108"/>
        <w:jc w:val="both"/>
        <w:rPr>
          <w:rFonts w:ascii="Verdana" w:eastAsia="Times New Roman" w:hAnsi="Verdana" w:cs="Arial"/>
          <w:bCs/>
          <w:color w:val="000000"/>
          <w:lang w:val="es-ES" w:eastAsia="es-ES"/>
        </w:rPr>
      </w:pPr>
      <w:r w:rsidRPr="00BF22E6">
        <w:rPr>
          <w:rFonts w:ascii="Verdana" w:eastAsia="Times New Roman" w:hAnsi="Verdana" w:cs="Arial"/>
          <w:lang w:eastAsia="es-CO"/>
        </w:rPr>
        <w:lastRenderedPageBreak/>
        <w:tab/>
        <w:t>En otros tratados de libre comercio suscritos con Colombia</w:t>
      </w:r>
      <w:r w:rsidRPr="00BF22E6">
        <w:rPr>
          <w:rStyle w:val="Refdenotaalpie"/>
          <w:rFonts w:ascii="Verdana" w:hAnsi="Verdana"/>
        </w:rPr>
        <w:footnoteReference w:id="9"/>
      </w:r>
      <w:r w:rsidRPr="00BF22E6">
        <w:rPr>
          <w:rFonts w:ascii="Verdana" w:eastAsia="Times New Roman" w:hAnsi="Verdana" w:cs="Arial"/>
          <w:lang w:eastAsia="es-CO"/>
        </w:rPr>
        <w:t xml:space="preserve"> se aplican estas mismas reglas de restricción de la exigencia de marcas. En principio, se niega la posibilidad de que en </w:t>
      </w:r>
      <w:r w:rsidRPr="00BF22E6">
        <w:rPr>
          <w:rFonts w:ascii="Verdana" w:eastAsia="Times New Roman" w:hAnsi="Verdana" w:cs="Arial"/>
          <w:bCs/>
          <w:color w:val="000000"/>
          <w:lang w:val="es-ES" w:eastAsia="es-ES"/>
        </w:rPr>
        <w:t xml:space="preserve">determinadas circunstancias las entidades destinatarias de los acuerdos comerciales puedan adquirir productos de determinadas marcas, bajo la justificación de las calidades técnicas que esta posea. Lo que busca garantizarse es el principio de transparencia y de igualdad, </w:t>
      </w:r>
      <w:r w:rsidR="007728C8" w:rsidRPr="00BF22E6">
        <w:rPr>
          <w:rFonts w:ascii="Verdana" w:eastAsia="Times New Roman" w:hAnsi="Verdana" w:cs="Arial"/>
          <w:bCs/>
          <w:color w:val="000000"/>
          <w:lang w:val="es-ES" w:eastAsia="es-ES"/>
        </w:rPr>
        <w:t>a pesar de que</w:t>
      </w:r>
      <w:r w:rsidRPr="00BF22E6">
        <w:rPr>
          <w:rFonts w:ascii="Verdana" w:eastAsia="Times New Roman" w:hAnsi="Verdana" w:cs="Arial"/>
          <w:bCs/>
          <w:color w:val="000000"/>
          <w:lang w:val="es-ES" w:eastAsia="es-ES"/>
        </w:rPr>
        <w:t xml:space="preserve"> la marca que establezca la entidad en el </w:t>
      </w:r>
      <w:r w:rsidR="007728C8" w:rsidRPr="00BF22E6">
        <w:rPr>
          <w:rFonts w:ascii="Verdana" w:eastAsia="Times New Roman" w:hAnsi="Verdana" w:cs="Arial"/>
          <w:bCs/>
          <w:color w:val="000000"/>
          <w:lang w:val="es-ES" w:eastAsia="es-ES"/>
        </w:rPr>
        <w:t xml:space="preserve">Proceso </w:t>
      </w:r>
      <w:r w:rsidRPr="00BF22E6">
        <w:rPr>
          <w:rFonts w:ascii="Verdana" w:eastAsia="Times New Roman" w:hAnsi="Verdana" w:cs="Arial"/>
          <w:bCs/>
          <w:color w:val="000000"/>
          <w:lang w:val="es-ES" w:eastAsia="es-ES"/>
        </w:rPr>
        <w:t xml:space="preserve">de </w:t>
      </w:r>
      <w:r w:rsidR="004C6045" w:rsidRPr="00BF22E6">
        <w:rPr>
          <w:rFonts w:ascii="Verdana" w:eastAsia="Times New Roman" w:hAnsi="Verdana" w:cs="Arial"/>
          <w:bCs/>
          <w:color w:val="000000"/>
          <w:lang w:val="es-ES" w:eastAsia="es-ES"/>
        </w:rPr>
        <w:t>Contratación</w:t>
      </w:r>
      <w:r w:rsidRPr="00BF22E6">
        <w:rPr>
          <w:rFonts w:ascii="Verdana" w:eastAsia="Times New Roman" w:hAnsi="Verdana" w:cs="Arial"/>
          <w:bCs/>
          <w:color w:val="000000"/>
          <w:lang w:val="es-ES" w:eastAsia="es-ES"/>
        </w:rPr>
        <w:t xml:space="preserve"> sea la más acorde para el cumplimiento del objeto contractual.</w:t>
      </w:r>
    </w:p>
    <w:p w14:paraId="6E0E48AC" w14:textId="32D85D7F" w:rsidR="00725636" w:rsidRPr="00BF22E6" w:rsidRDefault="00725636" w:rsidP="00CE77E1">
      <w:pPr>
        <w:widowControl w:val="0"/>
        <w:autoSpaceDE w:val="0"/>
        <w:autoSpaceDN w:val="0"/>
        <w:spacing w:after="120" w:line="276" w:lineRule="auto"/>
        <w:ind w:right="108"/>
        <w:jc w:val="both"/>
        <w:rPr>
          <w:rFonts w:ascii="Verdana" w:eastAsia="Times New Roman" w:hAnsi="Verdana" w:cs="Arial"/>
          <w:bCs/>
          <w:color w:val="000000"/>
          <w:lang w:val="es-ES" w:eastAsia="es-ES"/>
        </w:rPr>
      </w:pPr>
      <w:r w:rsidRPr="00BF22E6">
        <w:rPr>
          <w:rFonts w:ascii="Verdana" w:eastAsia="Times New Roman" w:hAnsi="Verdana" w:cs="Arial"/>
          <w:bCs/>
          <w:color w:val="000000"/>
          <w:lang w:val="es-ES" w:eastAsia="es-ES"/>
        </w:rPr>
        <w:t xml:space="preserve"> </w:t>
      </w:r>
      <w:r w:rsidRPr="00BF22E6">
        <w:rPr>
          <w:rFonts w:ascii="Verdana" w:eastAsia="Times New Roman" w:hAnsi="Verdana" w:cs="Arial"/>
          <w:bCs/>
          <w:color w:val="000000"/>
          <w:lang w:val="es-ES" w:eastAsia="es-ES"/>
        </w:rPr>
        <w:tab/>
        <w:t xml:space="preserve">Así las cosas, en los </w:t>
      </w:r>
      <w:r w:rsidR="004C6045" w:rsidRPr="00BF22E6">
        <w:rPr>
          <w:rFonts w:ascii="Verdana" w:eastAsia="Times New Roman" w:hAnsi="Verdana" w:cs="Arial"/>
          <w:bCs/>
          <w:color w:val="000000"/>
          <w:lang w:val="es-ES" w:eastAsia="es-ES"/>
        </w:rPr>
        <w:t xml:space="preserve">Procesos </w:t>
      </w:r>
      <w:r w:rsidRPr="00BF22E6">
        <w:rPr>
          <w:rFonts w:ascii="Verdana" w:eastAsia="Times New Roman" w:hAnsi="Verdana" w:cs="Arial"/>
          <w:bCs/>
          <w:color w:val="000000"/>
          <w:lang w:val="es-ES" w:eastAsia="es-ES"/>
        </w:rPr>
        <w:t xml:space="preserve">de </w:t>
      </w:r>
      <w:r w:rsidR="004C6045" w:rsidRPr="00BF22E6">
        <w:rPr>
          <w:rFonts w:ascii="Verdana" w:eastAsia="Times New Roman" w:hAnsi="Verdana" w:cs="Arial"/>
          <w:bCs/>
          <w:color w:val="000000"/>
          <w:lang w:val="es-ES" w:eastAsia="es-ES"/>
        </w:rPr>
        <w:t xml:space="preserve">Contratación </w:t>
      </w:r>
      <w:r w:rsidRPr="00BF22E6">
        <w:rPr>
          <w:rFonts w:ascii="Verdana" w:eastAsia="Times New Roman" w:hAnsi="Verdana" w:cs="Arial"/>
          <w:bCs/>
          <w:color w:val="000000"/>
          <w:lang w:val="es-ES" w:eastAsia="es-ES"/>
        </w:rPr>
        <w:t>que estén sujetos a ciertos tratados de libre comercio –</w:t>
      </w:r>
      <w:proofErr w:type="gramStart"/>
      <w:r w:rsidRPr="00BF22E6">
        <w:rPr>
          <w:rFonts w:ascii="Verdana" w:eastAsia="Times New Roman" w:hAnsi="Verdana" w:cs="Arial"/>
          <w:bCs/>
          <w:color w:val="000000"/>
          <w:lang w:val="es-ES" w:eastAsia="es-ES"/>
        </w:rPr>
        <w:t>de acuerdo al</w:t>
      </w:r>
      <w:proofErr w:type="gramEnd"/>
      <w:r w:rsidRPr="00BF22E6">
        <w:rPr>
          <w:rFonts w:ascii="Verdana" w:eastAsia="Times New Roman" w:hAnsi="Verdana" w:cs="Arial"/>
          <w:bCs/>
          <w:color w:val="000000"/>
          <w:lang w:val="es-ES" w:eastAsia="es-ES"/>
        </w:rPr>
        <w:t xml:space="preserve"> ámbito de aplicación, valor del contrato, tipo de bien o servicio– deberá aplicarse la restricción de no exigir marcas, cuando en el correspondiente acuerdo comercial haya quedado pactada tal prohibición. En otras palabras, la prohibición de exigencia de marcas en la configuración de los </w:t>
      </w:r>
      <w:r w:rsidR="00702355" w:rsidRPr="00BF22E6">
        <w:rPr>
          <w:rFonts w:ascii="Verdana" w:eastAsia="Times New Roman" w:hAnsi="Verdana" w:cs="Arial"/>
          <w:bCs/>
          <w:color w:val="000000"/>
          <w:lang w:val="es-ES" w:eastAsia="es-ES"/>
        </w:rPr>
        <w:t xml:space="preserve">Pliegos </w:t>
      </w:r>
      <w:r w:rsidRPr="00BF22E6">
        <w:rPr>
          <w:rFonts w:ascii="Verdana" w:eastAsia="Times New Roman" w:hAnsi="Verdana" w:cs="Arial"/>
          <w:bCs/>
          <w:color w:val="000000"/>
          <w:lang w:val="es-ES" w:eastAsia="es-ES"/>
        </w:rPr>
        <w:t xml:space="preserve">de </w:t>
      </w:r>
      <w:r w:rsidR="00702355" w:rsidRPr="00BF22E6">
        <w:rPr>
          <w:rFonts w:ascii="Verdana" w:eastAsia="Times New Roman" w:hAnsi="Verdana" w:cs="Arial"/>
          <w:bCs/>
          <w:color w:val="000000"/>
          <w:lang w:val="es-ES" w:eastAsia="es-ES"/>
        </w:rPr>
        <w:t xml:space="preserve">Condiciones </w:t>
      </w:r>
      <w:r w:rsidRPr="00BF22E6">
        <w:rPr>
          <w:rFonts w:ascii="Verdana" w:eastAsia="Times New Roman" w:hAnsi="Verdana" w:cs="Arial"/>
          <w:bCs/>
          <w:color w:val="000000"/>
          <w:lang w:val="es-ES" w:eastAsia="es-ES"/>
        </w:rPr>
        <w:t xml:space="preserve">debe tenerse en cuenta en aquellos procesos de contratación sujetos a acuerdos comerciales en los que se establezca dicha restricción. </w:t>
      </w:r>
    </w:p>
    <w:p w14:paraId="336C7EE5" w14:textId="50130C8E" w:rsidR="008A2AFC" w:rsidRPr="00BF22E6" w:rsidRDefault="00BF5798" w:rsidP="00CE77E1">
      <w:pPr>
        <w:widowControl w:val="0"/>
        <w:autoSpaceDE w:val="0"/>
        <w:autoSpaceDN w:val="0"/>
        <w:spacing w:after="120" w:line="276" w:lineRule="auto"/>
        <w:ind w:right="103"/>
        <w:jc w:val="both"/>
        <w:rPr>
          <w:rFonts w:ascii="Verdana" w:eastAsia="Arial" w:hAnsi="Verdana" w:cs="Arial"/>
          <w:lang w:val="es-ES"/>
        </w:rPr>
      </w:pPr>
      <w:r w:rsidRPr="00BF22E6">
        <w:rPr>
          <w:rFonts w:ascii="Verdana" w:eastAsia="Times New Roman" w:hAnsi="Verdana" w:cs="Arial"/>
          <w:bCs/>
          <w:color w:val="000000"/>
          <w:lang w:val="es-ES" w:eastAsia="es-ES"/>
        </w:rPr>
        <w:tab/>
      </w:r>
      <w:r w:rsidR="00C54FCF" w:rsidRPr="00BF22E6">
        <w:rPr>
          <w:rFonts w:ascii="Verdana" w:eastAsia="Arial" w:hAnsi="Verdana" w:cs="Arial"/>
          <w:lang w:val="es-ES"/>
        </w:rPr>
        <w:t xml:space="preserve">Lo que se desarrolla en este Concepto es la postura asumida en el Concepto con radicado 2201913000009143 del 11 de diciembre de 2019 </w:t>
      </w:r>
      <w:r w:rsidR="00A9721A" w:rsidRPr="00BF22E6">
        <w:rPr>
          <w:rFonts w:ascii="Verdana" w:eastAsia="Arial" w:hAnsi="Verdana" w:cs="Arial"/>
          <w:lang w:val="es-ES"/>
        </w:rPr>
        <w:t>y el C-616 del 26 de septiembre de 2022,</w:t>
      </w:r>
      <w:r w:rsidR="008A2AFC" w:rsidRPr="00BF22E6">
        <w:rPr>
          <w:rFonts w:ascii="Verdana" w:eastAsia="Times New Roman" w:hAnsi="Verdana" w:cs="Arial"/>
          <w:bCs/>
          <w:color w:val="000000"/>
          <w:lang w:val="es-ES" w:eastAsia="es-ES"/>
        </w:rPr>
        <w:t xml:space="preserve"> </w:t>
      </w:r>
      <w:r w:rsidR="00A9721A" w:rsidRPr="00BF22E6">
        <w:rPr>
          <w:rFonts w:ascii="Verdana" w:eastAsia="Arial" w:hAnsi="Verdana" w:cs="Arial"/>
          <w:lang w:val="es-ES"/>
        </w:rPr>
        <w:t xml:space="preserve">también ha explicado </w:t>
      </w:r>
      <w:r w:rsidR="001621BB" w:rsidRPr="00BF22E6">
        <w:rPr>
          <w:rFonts w:ascii="Verdana" w:eastAsia="Arial" w:hAnsi="Verdana" w:cs="Arial"/>
          <w:lang w:val="es-ES"/>
        </w:rPr>
        <w:t xml:space="preserve">que existe </w:t>
      </w:r>
      <w:r w:rsidR="00A9721A" w:rsidRPr="00BF22E6">
        <w:rPr>
          <w:rFonts w:ascii="Verdana" w:eastAsia="Arial" w:hAnsi="Verdana" w:cs="Arial"/>
          <w:lang w:val="es-ES"/>
        </w:rPr>
        <w:t xml:space="preserve">la </w:t>
      </w:r>
      <w:r w:rsidR="00A9721A" w:rsidRPr="00BF22E6">
        <w:rPr>
          <w:rFonts w:ascii="Verdana" w:eastAsia="Arial" w:hAnsi="Verdana" w:cs="Arial"/>
          <w:lang w:val="es-ES"/>
        </w:rPr>
        <w:lastRenderedPageBreak/>
        <w:t xml:space="preserve">posibilidad </w:t>
      </w:r>
      <w:r w:rsidR="008A2AFC" w:rsidRPr="00BF22E6">
        <w:rPr>
          <w:rFonts w:ascii="Verdana" w:eastAsia="Arial" w:hAnsi="Verdana" w:cs="Arial"/>
          <w:lang w:val="es-ES"/>
        </w:rPr>
        <w:t xml:space="preserve">que una entidad exija marcas en un proceso de selección, pues esta conducta no está prohibida por una norma del </w:t>
      </w:r>
      <w:r w:rsidR="0096054C">
        <w:rPr>
          <w:rFonts w:ascii="Verdana" w:eastAsia="Arial" w:hAnsi="Verdana" w:cs="Arial"/>
          <w:lang w:val="es-ES"/>
        </w:rPr>
        <w:t>EGCAP</w:t>
      </w:r>
      <w:r w:rsidR="008A2AFC" w:rsidRPr="00BF22E6">
        <w:rPr>
          <w:rFonts w:ascii="Verdana" w:eastAsia="Arial" w:hAnsi="Verdana" w:cs="Arial"/>
          <w:lang w:val="es-ES"/>
        </w:rPr>
        <w:t xml:space="preserve">, y no implica, </w:t>
      </w:r>
      <w:r w:rsidR="008A2AFC" w:rsidRPr="00BF22E6">
        <w:rPr>
          <w:rFonts w:ascii="Verdana" w:eastAsia="Arial" w:hAnsi="Verdana" w:cs="Arial"/>
          <w:i/>
          <w:lang w:val="es-ES"/>
        </w:rPr>
        <w:t>per se</w:t>
      </w:r>
      <w:r w:rsidR="008A2AFC" w:rsidRPr="00BF22E6">
        <w:rPr>
          <w:rFonts w:ascii="Verdana" w:eastAsia="Arial" w:hAnsi="Verdana" w:cs="Arial"/>
          <w:lang w:val="es-ES"/>
        </w:rPr>
        <w:t>, una violación de los principios de libre concurrencia y selección objetiva. Esta postura se presentó en el salvamento de voto a la Sentencia de la Subsección C de la Sección Tercera del Consejo de Estado ya citada.</w:t>
      </w:r>
    </w:p>
    <w:p w14:paraId="644CE112" w14:textId="77777777" w:rsidR="008A2AFC" w:rsidRPr="00BF22E6" w:rsidRDefault="008A2AFC" w:rsidP="00CE77E1">
      <w:pPr>
        <w:widowControl w:val="0"/>
        <w:autoSpaceDE w:val="0"/>
        <w:autoSpaceDN w:val="0"/>
        <w:spacing w:after="120" w:line="276" w:lineRule="auto"/>
        <w:ind w:right="109"/>
        <w:jc w:val="both"/>
        <w:rPr>
          <w:rFonts w:ascii="Verdana" w:eastAsia="Arial" w:hAnsi="Verdana" w:cs="Arial"/>
          <w:lang w:val="es-ES"/>
        </w:rPr>
      </w:pPr>
      <w:r w:rsidRPr="00BF22E6">
        <w:rPr>
          <w:rFonts w:ascii="Verdana" w:eastAsia="Arial" w:hAnsi="Verdana" w:cs="Arial"/>
          <w:lang w:val="es-ES"/>
        </w:rPr>
        <w:tab/>
        <w:t>En esta línea, existen al menos tres razones por las cuales es posible que en los contratos estatales las entidades puedan exigir marcas de bienes o productos en los pliegos de condiciones. La primera, porque ni la Ley 80 de 1993 ni la Ley 1150 de 2007, ni otra norma de rango legal -o reglamentario- prohíbe que las entidades soliciten marcas. Por el contrario, una interpretación integral de los artículos 13, 32 y 40 de la Ley 80 de 1993 se deduce que las entidades estatales pueden contratar como se hace en el derecho privado, salvo norma en contrario.</w:t>
      </w:r>
    </w:p>
    <w:p w14:paraId="74634D1F" w14:textId="20D5DA2D" w:rsidR="008A2AFC" w:rsidRPr="00BF22E6" w:rsidRDefault="008A2AFC" w:rsidP="00CE77E1">
      <w:pPr>
        <w:widowControl w:val="0"/>
        <w:autoSpaceDE w:val="0"/>
        <w:autoSpaceDN w:val="0"/>
        <w:spacing w:after="120" w:line="276" w:lineRule="auto"/>
        <w:ind w:right="107" w:firstLine="708"/>
        <w:jc w:val="both"/>
        <w:rPr>
          <w:rFonts w:ascii="Verdana" w:eastAsia="Arial" w:hAnsi="Verdana" w:cs="Arial"/>
          <w:lang w:val="es-ES"/>
        </w:rPr>
      </w:pPr>
      <w:r w:rsidRPr="00BF22E6">
        <w:rPr>
          <w:rFonts w:ascii="Verdana" w:eastAsia="Arial" w:hAnsi="Verdana" w:cs="Arial"/>
          <w:lang w:val="es-ES"/>
        </w:rPr>
        <w:t>El artículo 13, sobre la normatividad de los contratos estatales</w:t>
      </w:r>
      <w:r w:rsidRPr="00BF22E6">
        <w:rPr>
          <w:rStyle w:val="Refdenotaalpie"/>
          <w:rFonts w:ascii="Verdana" w:hAnsi="Verdana"/>
        </w:rPr>
        <w:footnoteReference w:id="10"/>
      </w:r>
      <w:r w:rsidRPr="00BF22E6">
        <w:rPr>
          <w:rFonts w:ascii="Verdana" w:eastAsia="Arial" w:hAnsi="Verdana" w:cs="Arial"/>
          <w:lang w:val="es-ES"/>
        </w:rPr>
        <w:t xml:space="preserve">, dispone que los contratos que celebren las entidades a las que les aplica el estatuto se </w:t>
      </w:r>
      <w:r w:rsidR="00CE77E1">
        <w:rPr>
          <w:rFonts w:ascii="Verdana" w:eastAsia="Times New Roman" w:hAnsi="Verdana" w:cs="Arial"/>
          <w:iCs/>
          <w:szCs w:val="24"/>
          <w:lang w:val="es-ES_tradnl" w:eastAsia="es-ES_tradnl"/>
        </w:rPr>
        <w:t>“</w:t>
      </w:r>
      <w:r w:rsidRPr="00BF22E6">
        <w:rPr>
          <w:rFonts w:ascii="Verdana" w:eastAsia="Arial" w:hAnsi="Verdana" w:cs="Arial"/>
          <w:lang w:val="es-ES"/>
        </w:rPr>
        <w:t>regirán por las disposiciones comerciales y civiles pertinentes, salvo en las materias particularmente reguladas en esta ley</w:t>
      </w:r>
      <w:r w:rsidR="00CE77E1">
        <w:rPr>
          <w:rFonts w:ascii="Verdana" w:eastAsia="Times New Roman" w:hAnsi="Verdana" w:cs="Arial"/>
          <w:iCs/>
          <w:szCs w:val="24"/>
          <w:lang w:val="es-ES_tradnl" w:eastAsia="es-ES_tradnl"/>
        </w:rPr>
        <w:t>”</w:t>
      </w:r>
      <w:r w:rsidRPr="00BF22E6">
        <w:rPr>
          <w:rFonts w:ascii="Verdana" w:eastAsia="Arial" w:hAnsi="Verdana" w:cs="Arial"/>
          <w:lang w:val="es-ES"/>
        </w:rPr>
        <w:t xml:space="preserve">. Seguidamente, el artículo 32 define el contrato estatal como el acto jurídico generador de obligaciones que celebren las </w:t>
      </w:r>
      <w:r w:rsidR="00CE77E1" w:rsidRPr="00BF22E6">
        <w:rPr>
          <w:rFonts w:ascii="Verdana" w:eastAsia="Arial" w:hAnsi="Verdana" w:cs="Arial"/>
          <w:lang w:val="es-ES"/>
        </w:rPr>
        <w:t xml:space="preserve">Entidades Estatales </w:t>
      </w:r>
      <w:r w:rsidRPr="00BF22E6">
        <w:rPr>
          <w:rFonts w:ascii="Verdana" w:eastAsia="Arial" w:hAnsi="Verdana" w:cs="Arial"/>
          <w:lang w:val="es-ES"/>
        </w:rPr>
        <w:t>previstos en el derecho privado o derivados de la autonomía de la voluntad</w:t>
      </w:r>
      <w:r w:rsidRPr="00BF22E6">
        <w:rPr>
          <w:rStyle w:val="Refdenotaalpie"/>
          <w:rFonts w:ascii="Verdana" w:hAnsi="Verdana"/>
        </w:rPr>
        <w:footnoteReference w:id="11"/>
      </w:r>
      <w:r w:rsidRPr="00BF22E6">
        <w:rPr>
          <w:rFonts w:ascii="Verdana" w:eastAsia="Arial" w:hAnsi="Verdana" w:cs="Arial"/>
          <w:lang w:val="es-ES"/>
        </w:rPr>
        <w:t>. Y el artículo 40, sobre el contenido del contrato estatal, establece que las estipulaciones de los contratos estatales serán aquellas que de acuerdo con las normas civiles y comerciales correspondan a su esencia y naturaleza</w:t>
      </w:r>
      <w:r w:rsidRPr="00BF22E6">
        <w:rPr>
          <w:rStyle w:val="Refdenotaalpie"/>
          <w:rFonts w:ascii="Verdana" w:hAnsi="Verdana"/>
        </w:rPr>
        <w:footnoteReference w:id="12"/>
      </w:r>
      <w:r w:rsidRPr="00BF22E6">
        <w:rPr>
          <w:rFonts w:ascii="Verdana" w:eastAsia="Arial" w:hAnsi="Verdana" w:cs="Arial"/>
          <w:lang w:val="es-ES"/>
        </w:rPr>
        <w:t>.</w:t>
      </w:r>
    </w:p>
    <w:p w14:paraId="20929972" w14:textId="77777777" w:rsidR="008A2AFC" w:rsidRPr="00BF22E6" w:rsidRDefault="008A2AFC" w:rsidP="008A2AFC">
      <w:pPr>
        <w:widowControl w:val="0"/>
        <w:autoSpaceDE w:val="0"/>
        <w:autoSpaceDN w:val="0"/>
        <w:spacing w:after="0" w:line="276" w:lineRule="auto"/>
        <w:ind w:right="110"/>
        <w:jc w:val="both"/>
        <w:rPr>
          <w:rFonts w:ascii="Verdana" w:eastAsia="Arial" w:hAnsi="Verdana" w:cs="Arial"/>
          <w:lang w:val="es-ES"/>
        </w:rPr>
      </w:pPr>
      <w:r w:rsidRPr="00BF22E6">
        <w:rPr>
          <w:rFonts w:ascii="Verdana" w:eastAsia="Arial" w:hAnsi="Verdana" w:cs="Arial"/>
          <w:lang w:val="es-ES"/>
        </w:rPr>
        <w:lastRenderedPageBreak/>
        <w:tab/>
        <w:t>A partir de una interpretación sistemática de estas normas, cualquier análisis sobre la posibilidad de exigir marcas en los procesos de selección debe partir, en principio, de la lógica del derecho privado para luego determinar si en el derecho público existen restricciones o limitaciones. Así se expuso en el salvamento de voto:</w:t>
      </w:r>
    </w:p>
    <w:p w14:paraId="33157591" w14:textId="77777777" w:rsidR="008A2AFC" w:rsidRPr="00CE77E1" w:rsidRDefault="008A2AFC" w:rsidP="008A2AFC">
      <w:pPr>
        <w:widowControl w:val="0"/>
        <w:autoSpaceDE w:val="0"/>
        <w:autoSpaceDN w:val="0"/>
        <w:spacing w:before="4" w:after="0" w:line="240" w:lineRule="auto"/>
        <w:rPr>
          <w:rFonts w:ascii="Verdana" w:eastAsia="Arial" w:hAnsi="Verdana" w:cs="Arial"/>
          <w:lang w:val="es-ES"/>
        </w:rPr>
      </w:pPr>
    </w:p>
    <w:p w14:paraId="594C1CA2" w14:textId="7DF3FB76" w:rsidR="008A2AFC" w:rsidRPr="00BF22E6" w:rsidRDefault="001621BB" w:rsidP="00CE77E1">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w:t>
      </w:r>
      <w:r w:rsidR="008A2AFC" w:rsidRPr="00BF22E6">
        <w:rPr>
          <w:rFonts w:ascii="Verdana" w:eastAsia="Arial" w:hAnsi="Verdana" w:cs="Arial"/>
          <w:sz w:val="20"/>
          <w:szCs w:val="20"/>
          <w:lang w:val="es-ES"/>
        </w:rPr>
        <w:t>A la luz de estas disposiciones, identificar lo que puede y no puede contratarse, así como sus condiciones, requiere un análisis que parte del derecho privado, para llegar luego al derecho público y concretar si en éste hay norma especial que establezca limitaciones concretas. En este horizonte, si en el derecho privado es permitido comprar determinadas marcas de productos, entonces también lo es en el derecho público, porque la ley 80 no lo prohíbe -porque no dispone nada a este respecto-. De no ser así, que alcance tendría la remisión al derecho privado, hecha por los arts. 13, 32 y 40, es decir, a los mismos acuerdos o pactos que allí se permiten.</w:t>
      </w:r>
    </w:p>
    <w:p w14:paraId="57F34E56" w14:textId="77777777" w:rsidR="008A2AFC" w:rsidRPr="00BF22E6" w:rsidRDefault="008A2AFC" w:rsidP="00CE77E1">
      <w:pPr>
        <w:widowControl w:val="0"/>
        <w:autoSpaceDE w:val="0"/>
        <w:autoSpaceDN w:val="0"/>
        <w:spacing w:after="0" w:line="240" w:lineRule="auto"/>
        <w:ind w:left="709" w:right="709"/>
        <w:rPr>
          <w:rFonts w:ascii="Verdana" w:eastAsia="Arial" w:hAnsi="Verdana" w:cs="Arial"/>
          <w:sz w:val="20"/>
          <w:szCs w:val="20"/>
          <w:lang w:val="es-ES"/>
        </w:rPr>
      </w:pPr>
    </w:p>
    <w:p w14:paraId="2C113121" w14:textId="2BA8B238" w:rsidR="008A2AFC" w:rsidRPr="00BF22E6" w:rsidRDefault="008A2AFC" w:rsidP="00CE77E1">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Entenderlo de manera distinta desconoce la filosofía de la reforma contractual introducida en la ley 80 de 1993, cuando la intención de actualizar el derecho público a las necesidades de un Estado moderno sugirieron ampliar la libertad </w:t>
      </w:r>
      <w:proofErr w:type="gramStart"/>
      <w:r w:rsidRPr="00BF22E6">
        <w:rPr>
          <w:rFonts w:ascii="Verdana" w:eastAsia="Arial" w:hAnsi="Verdana" w:cs="Arial"/>
          <w:sz w:val="20"/>
          <w:szCs w:val="20"/>
          <w:lang w:val="es-ES"/>
        </w:rPr>
        <w:t>de  contratación</w:t>
      </w:r>
      <w:proofErr w:type="gramEnd"/>
      <w:r w:rsidRPr="00BF22E6">
        <w:rPr>
          <w:rFonts w:ascii="Verdana" w:eastAsia="Arial" w:hAnsi="Verdana" w:cs="Arial"/>
          <w:sz w:val="20"/>
          <w:szCs w:val="20"/>
          <w:lang w:val="es-ES"/>
        </w:rPr>
        <w:t xml:space="preserve"> del Estado, facilitando que pueda servirse de la autonomía de la voluntad como centro de gravedad de los negocios públicos</w:t>
      </w:r>
      <w:r w:rsidR="001621BB" w:rsidRPr="00BF22E6">
        <w:rPr>
          <w:rFonts w:ascii="Verdana" w:eastAsia="Arial" w:hAnsi="Verdana" w:cs="Arial"/>
          <w:sz w:val="20"/>
          <w:szCs w:val="20"/>
          <w:lang w:val="es-ES"/>
        </w:rPr>
        <w:t>”</w:t>
      </w:r>
      <w:r w:rsidRPr="00BF22E6">
        <w:rPr>
          <w:rStyle w:val="Refdenotaalpie"/>
          <w:rFonts w:ascii="Verdana" w:hAnsi="Verdana"/>
          <w:sz w:val="20"/>
          <w:szCs w:val="20"/>
        </w:rPr>
        <w:footnoteReference w:id="13"/>
      </w:r>
      <w:r w:rsidRPr="00BF22E6">
        <w:rPr>
          <w:rFonts w:ascii="Verdana" w:eastAsia="Arial" w:hAnsi="Verdana" w:cs="Arial"/>
          <w:sz w:val="20"/>
          <w:szCs w:val="20"/>
          <w:lang w:val="es-ES"/>
        </w:rPr>
        <w:t>.</w:t>
      </w:r>
    </w:p>
    <w:p w14:paraId="2A968A71" w14:textId="77777777" w:rsidR="008A2AFC" w:rsidRPr="00CE77E1" w:rsidRDefault="008A2AFC" w:rsidP="008A2AFC">
      <w:pPr>
        <w:widowControl w:val="0"/>
        <w:autoSpaceDE w:val="0"/>
        <w:autoSpaceDN w:val="0"/>
        <w:spacing w:before="11" w:after="0" w:line="240" w:lineRule="auto"/>
        <w:rPr>
          <w:rFonts w:ascii="Verdana" w:eastAsia="Arial" w:hAnsi="Verdana" w:cs="Arial"/>
          <w:lang w:val="es-ES"/>
        </w:rPr>
      </w:pPr>
    </w:p>
    <w:p w14:paraId="6C49E784" w14:textId="382F1F71" w:rsidR="008A2AFC" w:rsidRPr="00BF22E6" w:rsidRDefault="008A2AFC" w:rsidP="00CE77E1">
      <w:pPr>
        <w:widowControl w:val="0"/>
        <w:autoSpaceDE w:val="0"/>
        <w:autoSpaceDN w:val="0"/>
        <w:spacing w:after="120" w:line="276" w:lineRule="auto"/>
        <w:ind w:right="108" w:firstLine="709"/>
        <w:jc w:val="both"/>
        <w:rPr>
          <w:rFonts w:ascii="Verdana" w:eastAsia="Arial" w:hAnsi="Verdana" w:cs="Arial"/>
          <w:lang w:val="es-ES"/>
        </w:rPr>
      </w:pPr>
      <w:r w:rsidRPr="00BF22E6">
        <w:rPr>
          <w:rFonts w:ascii="Verdana" w:eastAsia="Arial" w:hAnsi="Verdana" w:cs="Arial"/>
          <w:lang w:val="es-ES"/>
        </w:rPr>
        <w:t xml:space="preserve">La lógica y los principios del derecho privado, que según las normas citadas ilustra la contratación pública, salvo regla en contrario, indica que el comprador puede elegir la marca del producto que necesita y por el que va a pagar. ¿Por qué para la Administración debería ser diferente? Salvo norma en contrario, la Administración, al contratar, se sujeta al principio de la autonomía de la voluntad, que permite que las estipulaciones contractuales sean libremente consensuadas por las partes, </w:t>
      </w:r>
      <w:r w:rsidR="00316E2C" w:rsidRPr="00BF22E6">
        <w:rPr>
          <w:rFonts w:ascii="Verdana" w:eastAsia="Arial" w:hAnsi="Verdana" w:cs="Arial"/>
          <w:lang w:val="es-ES"/>
        </w:rPr>
        <w:t>con la condición de que</w:t>
      </w:r>
      <w:r w:rsidRPr="00BF22E6">
        <w:rPr>
          <w:rFonts w:ascii="Verdana" w:eastAsia="Arial" w:hAnsi="Verdana" w:cs="Arial"/>
          <w:lang w:val="es-ES"/>
        </w:rPr>
        <w:t xml:space="preserve"> no contraríen el orden público o prohibiciones expresas. En materia de marcas, al no existir una prohibición o norma expresa -ni tácita- que impida a la Administración solicitarlas, puede acudir a la autonomía de la voluntad, en virtud de la cual </w:t>
      </w:r>
      <w:r w:rsidRPr="00BF22E6">
        <w:rPr>
          <w:rFonts w:ascii="Verdana" w:eastAsia="Arial" w:hAnsi="Verdana" w:cs="Arial"/>
          <w:lang w:val="es-ES"/>
        </w:rPr>
        <w:lastRenderedPageBreak/>
        <w:t>tiene la libertad de tomar decisiones en materia de contratación, dentro de lo que el ordenamiento jurídico le permite, y como es obvio atendiendo el deber de sujeción al principio de legalidad que impone el Estado de Derecho a las autoridades.</w:t>
      </w:r>
    </w:p>
    <w:p w14:paraId="6A43A451" w14:textId="77777777" w:rsidR="008A2AFC" w:rsidRPr="00BF22E6" w:rsidRDefault="008A2AFC" w:rsidP="00BF22E6">
      <w:pPr>
        <w:widowControl w:val="0"/>
        <w:autoSpaceDE w:val="0"/>
        <w:autoSpaceDN w:val="0"/>
        <w:spacing w:after="0" w:line="276" w:lineRule="auto"/>
        <w:ind w:right="105"/>
        <w:jc w:val="both"/>
        <w:rPr>
          <w:rFonts w:ascii="Verdana" w:eastAsia="Arial" w:hAnsi="Verdana" w:cs="Arial"/>
          <w:lang w:val="es-ES"/>
        </w:rPr>
      </w:pPr>
      <w:r w:rsidRPr="00BF22E6">
        <w:rPr>
          <w:rFonts w:ascii="Verdana" w:eastAsia="Arial" w:hAnsi="Verdana" w:cs="Arial"/>
          <w:lang w:val="es-ES"/>
        </w:rPr>
        <w:tab/>
        <w:t xml:space="preserve">La </w:t>
      </w:r>
      <w:r w:rsidRPr="00BF22E6">
        <w:rPr>
          <w:rFonts w:ascii="Verdana" w:eastAsia="Arial" w:hAnsi="Verdana" w:cs="Arial"/>
          <w:i/>
          <w:lang w:val="es-ES"/>
        </w:rPr>
        <w:t>segunda razón</w:t>
      </w:r>
      <w:r w:rsidRPr="00BF22E6">
        <w:rPr>
          <w:rFonts w:ascii="Verdana" w:eastAsia="Arial" w:hAnsi="Verdana" w:cs="Arial"/>
          <w:lang w:val="es-ES"/>
        </w:rPr>
        <w:t xml:space="preserve"> es que no puede pensarse que la exigencia de una marca específica beneficie </w:t>
      </w:r>
      <w:r w:rsidRPr="00BF22E6">
        <w:rPr>
          <w:rFonts w:ascii="Verdana" w:eastAsia="Arial" w:hAnsi="Verdana" w:cs="Arial"/>
          <w:i/>
          <w:lang w:val="es-ES"/>
        </w:rPr>
        <w:t xml:space="preserve">per se </w:t>
      </w:r>
      <w:r w:rsidRPr="00BF22E6">
        <w:rPr>
          <w:rFonts w:ascii="Verdana" w:eastAsia="Arial" w:hAnsi="Verdana" w:cs="Arial"/>
          <w:lang w:val="es-ES"/>
        </w:rPr>
        <w:t xml:space="preserve">al productor de </w:t>
      </w:r>
      <w:proofErr w:type="gramStart"/>
      <w:r w:rsidRPr="00BF22E6">
        <w:rPr>
          <w:rFonts w:ascii="Verdana" w:eastAsia="Arial" w:hAnsi="Verdana" w:cs="Arial"/>
          <w:lang w:val="es-ES"/>
        </w:rPr>
        <w:t>la misma</w:t>
      </w:r>
      <w:proofErr w:type="gramEnd"/>
      <w:r w:rsidRPr="00BF22E6">
        <w:rPr>
          <w:rFonts w:ascii="Verdana" w:eastAsia="Arial" w:hAnsi="Verdana" w:cs="Arial"/>
          <w:lang w:val="es-ES"/>
        </w:rPr>
        <w:t>. Este análisis no puede hacerse en abstracto, pues en muchos casos no se relacionan con los fabricantes -usualmente multinacionales- con quienes comercializan o distribuyen sus productos en el país. El salvamento de voto sostiene lo</w:t>
      </w:r>
      <w:r w:rsidRPr="00BF22E6">
        <w:rPr>
          <w:rFonts w:ascii="Verdana" w:eastAsia="Arial" w:hAnsi="Verdana" w:cs="Arial"/>
          <w:spacing w:val="-3"/>
          <w:lang w:val="es-ES"/>
        </w:rPr>
        <w:t xml:space="preserve"> </w:t>
      </w:r>
      <w:r w:rsidRPr="00BF22E6">
        <w:rPr>
          <w:rFonts w:ascii="Verdana" w:eastAsia="Arial" w:hAnsi="Verdana" w:cs="Arial"/>
          <w:lang w:val="es-ES"/>
        </w:rPr>
        <w:t>siguiente:</w:t>
      </w:r>
    </w:p>
    <w:p w14:paraId="4003B0E3" w14:textId="77777777" w:rsidR="008A2AFC" w:rsidRPr="00BF22E6" w:rsidRDefault="008A2AFC" w:rsidP="00BF22E6">
      <w:pPr>
        <w:widowControl w:val="0"/>
        <w:autoSpaceDE w:val="0"/>
        <w:autoSpaceDN w:val="0"/>
        <w:spacing w:after="0" w:line="240" w:lineRule="auto"/>
        <w:rPr>
          <w:rFonts w:ascii="Verdana" w:eastAsia="Arial" w:hAnsi="Verdana" w:cs="Arial"/>
          <w:sz w:val="28"/>
          <w:szCs w:val="28"/>
          <w:lang w:val="es-ES"/>
        </w:rPr>
      </w:pPr>
    </w:p>
    <w:p w14:paraId="68A5B8CC" w14:textId="1B6C7200" w:rsidR="008A2AFC" w:rsidRPr="00BF22E6" w:rsidRDefault="001621BB" w:rsidP="00C61AB9">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w:t>
      </w:r>
      <w:r w:rsidR="008A2AFC" w:rsidRPr="00BF22E6">
        <w:rPr>
          <w:rFonts w:ascii="Verdana" w:eastAsia="Arial" w:hAnsi="Verdana" w:cs="Arial"/>
          <w:sz w:val="20"/>
          <w:szCs w:val="20"/>
          <w:lang w:val="es-ES"/>
        </w:rPr>
        <w:t>Es equivocado creer en abstracto que pedir una marca determinada en un pliego de condiciones beneficia a determinada empresa que la produce, pues tal visión del tema confunde al productor o fabricante con los distribuidores y vendedores. En el caso concreto, una cosa es la empresa Yamaha del Japón -fabricante- y otra todos los almacenes que venden sus productos en este país. Lo importante, para la ley de contratación pública, es que todo el que venda el bien que la entidad necesita pueda participar del proceso de</w:t>
      </w:r>
      <w:r w:rsidR="008A2AFC" w:rsidRPr="00BF22E6">
        <w:rPr>
          <w:rFonts w:ascii="Verdana" w:eastAsia="Arial" w:hAnsi="Verdana" w:cs="Arial"/>
          <w:spacing w:val="-5"/>
          <w:sz w:val="20"/>
          <w:szCs w:val="20"/>
          <w:lang w:val="es-ES"/>
        </w:rPr>
        <w:t xml:space="preserve"> </w:t>
      </w:r>
      <w:r w:rsidR="008A2AFC" w:rsidRPr="00BF22E6">
        <w:rPr>
          <w:rFonts w:ascii="Verdana" w:eastAsia="Arial" w:hAnsi="Verdana" w:cs="Arial"/>
          <w:sz w:val="20"/>
          <w:szCs w:val="20"/>
          <w:lang w:val="es-ES"/>
        </w:rPr>
        <w:t>selección.</w:t>
      </w:r>
    </w:p>
    <w:p w14:paraId="38AF5D20" w14:textId="77777777" w:rsidR="008A2AFC" w:rsidRPr="00BF22E6" w:rsidRDefault="008A2AFC" w:rsidP="00C61AB9">
      <w:pPr>
        <w:widowControl w:val="0"/>
        <w:autoSpaceDE w:val="0"/>
        <w:autoSpaceDN w:val="0"/>
        <w:spacing w:after="0" w:line="240" w:lineRule="auto"/>
        <w:ind w:left="709" w:right="709"/>
        <w:rPr>
          <w:rFonts w:ascii="Verdana" w:eastAsia="Arial" w:hAnsi="Verdana" w:cs="Arial"/>
          <w:sz w:val="20"/>
          <w:szCs w:val="20"/>
          <w:lang w:val="es-ES"/>
        </w:rPr>
      </w:pPr>
    </w:p>
    <w:p w14:paraId="3A94677F" w14:textId="77777777" w:rsidR="008A2AFC" w:rsidRPr="00BF22E6" w:rsidRDefault="008A2AFC" w:rsidP="00C61AB9">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Es seguro que la selección de los contratistas que adelantan las entidades estatales-concretamente el Municipio de Armenia -no están dirigidas a beneficiar a una fábrica en particular- en este caso la de motocicletas-, pues </w:t>
      </w:r>
      <w:proofErr w:type="gramStart"/>
      <w:r w:rsidRPr="00BF22E6">
        <w:rPr>
          <w:rFonts w:ascii="Verdana" w:eastAsia="Arial" w:hAnsi="Verdana" w:cs="Arial"/>
          <w:sz w:val="20"/>
          <w:szCs w:val="20"/>
          <w:lang w:val="es-ES"/>
        </w:rPr>
        <w:t>la relación de los representantes legales de nuestras entidades no tendrán</w:t>
      </w:r>
      <w:proofErr w:type="gramEnd"/>
      <w:r w:rsidRPr="00BF22E6">
        <w:rPr>
          <w:rFonts w:ascii="Verdana" w:eastAsia="Arial" w:hAnsi="Verdana" w:cs="Arial"/>
          <w:sz w:val="20"/>
          <w:szCs w:val="20"/>
          <w:lang w:val="es-ES"/>
        </w:rPr>
        <w:t xml:space="preserve"> con dicha organización un vínculo que sugiera que pretenden alterar la selección objetiva o la transparencia, dirigiendo la contratación hacia aquél. Resulta absurdo -salvo prueba en contrario- pensar en algo así.</w:t>
      </w:r>
    </w:p>
    <w:p w14:paraId="6A5348ED" w14:textId="77777777" w:rsidR="008A2AFC" w:rsidRPr="00BF22E6" w:rsidRDefault="008A2AFC" w:rsidP="00C61AB9">
      <w:pPr>
        <w:widowControl w:val="0"/>
        <w:autoSpaceDE w:val="0"/>
        <w:autoSpaceDN w:val="0"/>
        <w:spacing w:after="0" w:line="240" w:lineRule="auto"/>
        <w:ind w:left="709" w:right="709"/>
        <w:rPr>
          <w:rFonts w:ascii="Verdana" w:eastAsia="Arial" w:hAnsi="Verdana" w:cs="Arial"/>
          <w:sz w:val="20"/>
          <w:szCs w:val="20"/>
          <w:lang w:val="es-ES"/>
        </w:rPr>
      </w:pPr>
    </w:p>
    <w:p w14:paraId="1821AB7A" w14:textId="4AAA7079" w:rsidR="008A2AFC" w:rsidRPr="00BF22E6" w:rsidRDefault="008A2AFC" w:rsidP="00C61AB9">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Sin embargo, en aquellos casos en los cuales la exigencia de la marca busque un beneficio particular y no el interés general, entonces en esos casos, y sólo en esos, existirá una desviación de poder, que desde luego vulnera la ley 80 y el principio de transparencia y de selección objetiva. Pero la diferencia en la forma de abordar el problema, y de resolverlo -quiero decir, entre la Sala y yo- es que se requiere la prueba de esa anomalía para anular el contrato</w:t>
      </w:r>
      <w:r w:rsidR="001621BB" w:rsidRPr="00BF22E6">
        <w:rPr>
          <w:rFonts w:ascii="Verdana" w:eastAsia="Arial" w:hAnsi="Verdana" w:cs="Arial"/>
          <w:sz w:val="20"/>
          <w:szCs w:val="20"/>
          <w:lang w:val="es-ES"/>
        </w:rPr>
        <w:t>”</w:t>
      </w:r>
      <w:r w:rsidRPr="00BF22E6">
        <w:rPr>
          <w:rStyle w:val="Refdenotaalpie"/>
          <w:rFonts w:ascii="Verdana" w:hAnsi="Verdana"/>
          <w:sz w:val="20"/>
          <w:szCs w:val="20"/>
        </w:rPr>
        <w:footnoteReference w:id="14"/>
      </w:r>
      <w:r w:rsidRPr="00BF22E6">
        <w:rPr>
          <w:rFonts w:ascii="Verdana" w:eastAsia="Arial" w:hAnsi="Verdana" w:cs="Arial"/>
          <w:sz w:val="20"/>
          <w:szCs w:val="20"/>
          <w:lang w:val="es-ES"/>
        </w:rPr>
        <w:t>.</w:t>
      </w:r>
    </w:p>
    <w:p w14:paraId="743E7B71" w14:textId="77777777" w:rsidR="001621BB" w:rsidRPr="00BF22E6" w:rsidRDefault="001621BB" w:rsidP="00BF22E6">
      <w:pPr>
        <w:widowControl w:val="0"/>
        <w:autoSpaceDE w:val="0"/>
        <w:autoSpaceDN w:val="0"/>
        <w:spacing w:after="0" w:line="276" w:lineRule="auto"/>
        <w:ind w:right="104" w:firstLine="708"/>
        <w:jc w:val="both"/>
        <w:rPr>
          <w:rFonts w:ascii="Verdana" w:eastAsia="Arial" w:hAnsi="Verdana" w:cs="Arial"/>
          <w:lang w:val="es-ES"/>
        </w:rPr>
      </w:pPr>
    </w:p>
    <w:p w14:paraId="75E62188" w14:textId="68C894C4" w:rsidR="008A2AFC" w:rsidRPr="00BF22E6" w:rsidRDefault="008A2AFC" w:rsidP="008A2AFC">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 xml:space="preserve">De este modo, no se niega que mediante la exigencia de una marca puedan direccionarse los </w:t>
      </w:r>
      <w:r w:rsidR="00C61AB9" w:rsidRPr="00BF22E6">
        <w:rPr>
          <w:rFonts w:ascii="Verdana" w:eastAsia="Arial" w:hAnsi="Verdana" w:cs="Arial"/>
          <w:lang w:val="es-ES"/>
        </w:rPr>
        <w:t xml:space="preserve">Pliegos </w:t>
      </w:r>
      <w:r w:rsidRPr="00BF22E6">
        <w:rPr>
          <w:rFonts w:ascii="Verdana" w:eastAsia="Arial" w:hAnsi="Verdana" w:cs="Arial"/>
          <w:lang w:val="es-ES"/>
        </w:rPr>
        <w:t xml:space="preserve">de </w:t>
      </w:r>
      <w:r w:rsidR="001841EE" w:rsidRPr="00BF22E6">
        <w:rPr>
          <w:rFonts w:ascii="Verdana" w:eastAsia="Arial" w:hAnsi="Verdana" w:cs="Arial"/>
          <w:lang w:val="es-ES"/>
        </w:rPr>
        <w:t xml:space="preserve">Condiciones </w:t>
      </w:r>
      <w:r w:rsidRPr="00BF22E6">
        <w:rPr>
          <w:rFonts w:ascii="Verdana" w:eastAsia="Arial" w:hAnsi="Verdana" w:cs="Arial"/>
          <w:lang w:val="es-ES"/>
        </w:rPr>
        <w:t xml:space="preserve">a ciertos oferentes, o que se restrinja la libre concurrencia, situación que no se avala. Sin embargo, la sola </w:t>
      </w:r>
      <w:r w:rsidRPr="00BF22E6">
        <w:rPr>
          <w:rFonts w:ascii="Verdana" w:eastAsia="Arial" w:hAnsi="Verdana" w:cs="Arial"/>
          <w:lang w:val="es-ES"/>
        </w:rPr>
        <w:lastRenderedPageBreak/>
        <w:t>exigencia de la marca no implica en abstracto la violación de los principios de selección objetiva y libre concurrencia, pues esta situación deberá comprobarse en cada caso.</w:t>
      </w:r>
    </w:p>
    <w:p w14:paraId="18A14EE0" w14:textId="77777777" w:rsidR="008A2AFC" w:rsidRPr="00BF22E6" w:rsidRDefault="008A2AFC" w:rsidP="008A2AFC">
      <w:pPr>
        <w:widowControl w:val="0"/>
        <w:autoSpaceDE w:val="0"/>
        <w:autoSpaceDN w:val="0"/>
        <w:spacing w:after="120" w:line="276" w:lineRule="auto"/>
        <w:ind w:right="104"/>
        <w:jc w:val="both"/>
        <w:rPr>
          <w:rFonts w:ascii="Verdana" w:eastAsia="Arial" w:hAnsi="Verdana" w:cs="Arial"/>
          <w:lang w:val="es-ES"/>
        </w:rPr>
      </w:pPr>
      <w:r w:rsidRPr="00BF22E6">
        <w:rPr>
          <w:rFonts w:ascii="Verdana" w:eastAsia="Arial" w:hAnsi="Verdana" w:cs="Arial"/>
          <w:lang w:val="es-ES"/>
        </w:rPr>
        <w:tab/>
        <w:t xml:space="preserve">La </w:t>
      </w:r>
      <w:r w:rsidRPr="00BF22E6">
        <w:rPr>
          <w:rFonts w:ascii="Verdana" w:eastAsia="Arial" w:hAnsi="Verdana" w:cs="Arial"/>
          <w:i/>
          <w:lang w:val="es-ES"/>
        </w:rPr>
        <w:t>tercera razón</w:t>
      </w:r>
      <w:r w:rsidRPr="00BF22E6">
        <w:rPr>
          <w:rFonts w:ascii="Verdana" w:eastAsia="Arial" w:hAnsi="Verdana" w:cs="Arial"/>
          <w:lang w:val="es-ES"/>
        </w:rPr>
        <w:t xml:space="preserve"> que se esgrime en favor de la posibilidad que tiene la Administración de exigir marcas es la condición técnica y de calidad ínsita a ellas y que son aspectos propios del mercado. La lógica de mercado necesariamente estratifica todos los productos que se comercian, a partir de una multiplicidad de factores que tienen que ver con la calidad, el precio, la durabilidad, entre muchos otros. Estos son los factores que tiene en cuenta todo comprador al decidir qué producto comprar -de la variedad que ofrece el mercado-. Además, en algunos casos, la solicitud de una marca podría, inclusive, representar no incurrir en mayores costos de mantenimiento, por tratarse de productos que ya tiene.</w:t>
      </w:r>
    </w:p>
    <w:p w14:paraId="7F5BB393" w14:textId="77777777" w:rsidR="008A2AFC" w:rsidRPr="00BF22E6" w:rsidRDefault="008A2AFC" w:rsidP="008A2AFC">
      <w:pPr>
        <w:widowControl w:val="0"/>
        <w:autoSpaceDE w:val="0"/>
        <w:autoSpaceDN w:val="0"/>
        <w:spacing w:after="0" w:line="276" w:lineRule="auto"/>
        <w:ind w:right="108"/>
        <w:jc w:val="both"/>
        <w:rPr>
          <w:rFonts w:ascii="Verdana" w:eastAsia="Arial" w:hAnsi="Verdana" w:cs="Arial"/>
          <w:lang w:val="es-ES"/>
        </w:rPr>
      </w:pPr>
      <w:r w:rsidRPr="00BF22E6">
        <w:rPr>
          <w:rFonts w:ascii="Verdana" w:eastAsia="Arial" w:hAnsi="Verdana" w:cs="Arial"/>
          <w:lang w:val="es-ES"/>
        </w:rPr>
        <w:tab/>
        <w:t>De esta forma, establecer una prohibición que la ley no introdujo limita de manera excesiva e injustificada la libertad de la Administración y, sin duda, compromete su eficiencia. Así lo expuso la posición minoritaria:</w:t>
      </w:r>
    </w:p>
    <w:p w14:paraId="7C050430" w14:textId="77777777" w:rsidR="008A2AFC" w:rsidRPr="001841EE" w:rsidRDefault="008A2AFC" w:rsidP="001841EE">
      <w:pPr>
        <w:widowControl w:val="0"/>
        <w:autoSpaceDE w:val="0"/>
        <w:autoSpaceDN w:val="0"/>
        <w:spacing w:before="5" w:after="0" w:line="240" w:lineRule="auto"/>
        <w:ind w:left="709" w:right="709"/>
        <w:rPr>
          <w:rFonts w:ascii="Verdana" w:eastAsia="Arial" w:hAnsi="Verdana" w:cs="Arial"/>
          <w:lang w:val="es-ES"/>
        </w:rPr>
      </w:pPr>
    </w:p>
    <w:p w14:paraId="677E93F4" w14:textId="75D48985" w:rsidR="008A2AFC" w:rsidRPr="00BF22E6" w:rsidRDefault="001621BB" w:rsidP="001621B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w:t>
      </w:r>
      <w:r w:rsidR="008A2AFC" w:rsidRPr="00BF22E6">
        <w:rPr>
          <w:rFonts w:ascii="Verdana" w:eastAsia="Arial" w:hAnsi="Verdana" w:cs="Arial"/>
          <w:sz w:val="20"/>
          <w:szCs w:val="20"/>
          <w:lang w:val="es-ES"/>
        </w:rPr>
        <w:t>Quien comparte la sentencia no podría, entonces, adquirir computadores o vehículos de determinada marca para una entidad. Incluso, tampoco podría exigir en una construcción que la tubería del acueducto o de la energía sea de un determinado producto, ni tantas otras cosas que el Estado compra con la actitud de negocio</w:t>
      </w:r>
      <w:r w:rsidR="008A2AFC" w:rsidRPr="00BF22E6">
        <w:rPr>
          <w:rFonts w:ascii="Verdana" w:eastAsia="Arial" w:hAnsi="Verdana" w:cs="Arial"/>
          <w:spacing w:val="10"/>
          <w:sz w:val="20"/>
          <w:szCs w:val="20"/>
          <w:lang w:val="es-ES"/>
        </w:rPr>
        <w:t xml:space="preserve"> </w:t>
      </w:r>
      <w:r w:rsidR="008A2AFC" w:rsidRPr="00BF22E6">
        <w:rPr>
          <w:rFonts w:ascii="Verdana" w:eastAsia="Arial" w:hAnsi="Verdana" w:cs="Arial"/>
          <w:sz w:val="20"/>
          <w:szCs w:val="20"/>
          <w:lang w:val="es-ES"/>
        </w:rPr>
        <w:t>de</w:t>
      </w:r>
      <w:r w:rsidR="008A2AFC" w:rsidRPr="00BF22E6">
        <w:rPr>
          <w:rFonts w:ascii="Verdana" w:eastAsia="Arial" w:hAnsi="Verdana" w:cs="Arial"/>
          <w:spacing w:val="12"/>
          <w:sz w:val="20"/>
          <w:szCs w:val="20"/>
          <w:lang w:val="es-ES"/>
        </w:rPr>
        <w:t xml:space="preserve"> </w:t>
      </w:r>
      <w:r w:rsidR="008A2AFC" w:rsidRPr="00BF22E6">
        <w:rPr>
          <w:rFonts w:ascii="Verdana" w:eastAsia="Arial" w:hAnsi="Verdana" w:cs="Arial"/>
          <w:sz w:val="20"/>
          <w:szCs w:val="20"/>
          <w:lang w:val="es-ES"/>
        </w:rPr>
        <w:t>cualquier</w:t>
      </w:r>
      <w:r w:rsidR="008A2AFC" w:rsidRPr="00BF22E6">
        <w:rPr>
          <w:rFonts w:ascii="Verdana" w:eastAsia="Arial" w:hAnsi="Verdana" w:cs="Arial"/>
          <w:spacing w:val="9"/>
          <w:sz w:val="20"/>
          <w:szCs w:val="20"/>
          <w:lang w:val="es-ES"/>
        </w:rPr>
        <w:t xml:space="preserve"> </w:t>
      </w:r>
      <w:r w:rsidR="008A2AFC" w:rsidRPr="00BF22E6">
        <w:rPr>
          <w:rFonts w:ascii="Verdana" w:eastAsia="Arial" w:hAnsi="Verdana" w:cs="Arial"/>
          <w:sz w:val="20"/>
          <w:szCs w:val="20"/>
          <w:lang w:val="es-ES"/>
        </w:rPr>
        <w:t>otro</w:t>
      </w:r>
      <w:r w:rsidR="008A2AFC" w:rsidRPr="00BF22E6">
        <w:rPr>
          <w:rFonts w:ascii="Verdana" w:eastAsia="Arial" w:hAnsi="Verdana" w:cs="Arial"/>
          <w:spacing w:val="11"/>
          <w:sz w:val="20"/>
          <w:szCs w:val="20"/>
          <w:lang w:val="es-ES"/>
        </w:rPr>
        <w:t xml:space="preserve"> </w:t>
      </w:r>
      <w:r w:rsidR="008A2AFC" w:rsidRPr="00BF22E6">
        <w:rPr>
          <w:rFonts w:ascii="Verdana" w:eastAsia="Arial" w:hAnsi="Verdana" w:cs="Arial"/>
          <w:sz w:val="20"/>
          <w:szCs w:val="20"/>
          <w:lang w:val="es-ES"/>
        </w:rPr>
        <w:t>ciudadano.</w:t>
      </w:r>
      <w:r w:rsidR="008A2AFC" w:rsidRPr="00BF22E6">
        <w:rPr>
          <w:rFonts w:ascii="Verdana" w:eastAsia="Arial" w:hAnsi="Verdana" w:cs="Arial"/>
          <w:spacing w:val="9"/>
          <w:sz w:val="20"/>
          <w:szCs w:val="20"/>
          <w:lang w:val="es-ES"/>
        </w:rPr>
        <w:t xml:space="preserve"> </w:t>
      </w:r>
      <w:r w:rsidR="008A2AFC" w:rsidRPr="00BF22E6">
        <w:rPr>
          <w:rFonts w:ascii="Verdana" w:eastAsia="Arial" w:hAnsi="Verdana" w:cs="Arial"/>
          <w:sz w:val="20"/>
          <w:szCs w:val="20"/>
          <w:lang w:val="es-ES"/>
        </w:rPr>
        <w:t>En</w:t>
      </w:r>
      <w:r w:rsidR="008A2AFC" w:rsidRPr="00BF22E6">
        <w:rPr>
          <w:rFonts w:ascii="Verdana" w:eastAsia="Arial" w:hAnsi="Verdana" w:cs="Arial"/>
          <w:spacing w:val="11"/>
          <w:sz w:val="20"/>
          <w:szCs w:val="20"/>
          <w:lang w:val="es-ES"/>
        </w:rPr>
        <w:t xml:space="preserve"> </w:t>
      </w:r>
      <w:r w:rsidR="008A2AFC" w:rsidRPr="00BF22E6">
        <w:rPr>
          <w:rFonts w:ascii="Verdana" w:eastAsia="Arial" w:hAnsi="Verdana" w:cs="Arial"/>
          <w:sz w:val="20"/>
          <w:szCs w:val="20"/>
          <w:lang w:val="es-ES"/>
        </w:rPr>
        <w:t>esta</w:t>
      </w:r>
      <w:r w:rsidR="008A2AFC" w:rsidRPr="00BF22E6">
        <w:rPr>
          <w:rFonts w:ascii="Verdana" w:eastAsia="Arial" w:hAnsi="Verdana" w:cs="Arial"/>
          <w:spacing w:val="10"/>
          <w:sz w:val="20"/>
          <w:szCs w:val="20"/>
          <w:lang w:val="es-ES"/>
        </w:rPr>
        <w:t xml:space="preserve"> </w:t>
      </w:r>
      <w:r w:rsidR="008A2AFC" w:rsidRPr="00BF22E6">
        <w:rPr>
          <w:rFonts w:ascii="Verdana" w:eastAsia="Arial" w:hAnsi="Verdana" w:cs="Arial"/>
          <w:sz w:val="20"/>
          <w:szCs w:val="20"/>
          <w:lang w:val="es-ES"/>
        </w:rPr>
        <w:t>línea</w:t>
      </w:r>
      <w:r w:rsidR="008A2AFC" w:rsidRPr="00BF22E6">
        <w:rPr>
          <w:rFonts w:ascii="Verdana" w:eastAsia="Arial" w:hAnsi="Verdana" w:cs="Arial"/>
          <w:spacing w:val="14"/>
          <w:sz w:val="20"/>
          <w:szCs w:val="20"/>
          <w:lang w:val="es-ES"/>
        </w:rPr>
        <w:t xml:space="preserve"> </w:t>
      </w:r>
      <w:r w:rsidR="008A2AFC" w:rsidRPr="00BF22E6">
        <w:rPr>
          <w:rFonts w:ascii="Verdana" w:eastAsia="Arial" w:hAnsi="Verdana" w:cs="Arial"/>
          <w:sz w:val="20"/>
          <w:szCs w:val="20"/>
          <w:lang w:val="es-ES"/>
        </w:rPr>
        <w:t>de</w:t>
      </w:r>
      <w:r w:rsidR="008A2AFC" w:rsidRPr="00BF22E6">
        <w:rPr>
          <w:rFonts w:ascii="Verdana" w:eastAsia="Arial" w:hAnsi="Verdana" w:cs="Arial"/>
          <w:spacing w:val="11"/>
          <w:sz w:val="20"/>
          <w:szCs w:val="20"/>
          <w:lang w:val="es-ES"/>
        </w:rPr>
        <w:t xml:space="preserve"> </w:t>
      </w:r>
      <w:r w:rsidR="008A2AFC" w:rsidRPr="00BF22E6">
        <w:rPr>
          <w:rFonts w:ascii="Verdana" w:eastAsia="Arial" w:hAnsi="Verdana" w:cs="Arial"/>
          <w:sz w:val="20"/>
          <w:szCs w:val="20"/>
          <w:lang w:val="es-ES"/>
        </w:rPr>
        <w:t>pensamiento,</w:t>
      </w:r>
      <w:r w:rsidR="008A2AFC" w:rsidRPr="00BF22E6">
        <w:rPr>
          <w:rFonts w:ascii="Verdana" w:eastAsia="Arial" w:hAnsi="Verdana" w:cs="Arial"/>
          <w:spacing w:val="10"/>
          <w:sz w:val="20"/>
          <w:szCs w:val="20"/>
          <w:lang w:val="es-ES"/>
        </w:rPr>
        <w:t xml:space="preserve"> </w:t>
      </w:r>
      <w:r w:rsidR="008A2AFC" w:rsidRPr="00BF22E6">
        <w:rPr>
          <w:rFonts w:ascii="Verdana" w:eastAsia="Arial" w:hAnsi="Verdana" w:cs="Arial"/>
          <w:sz w:val="20"/>
          <w:szCs w:val="20"/>
          <w:lang w:val="es-ES"/>
        </w:rPr>
        <w:t>se</w:t>
      </w:r>
      <w:r w:rsidR="008A2AFC" w:rsidRPr="00BF22E6">
        <w:rPr>
          <w:rFonts w:ascii="Verdana" w:eastAsia="Arial" w:hAnsi="Verdana" w:cs="Arial"/>
          <w:spacing w:val="10"/>
          <w:sz w:val="20"/>
          <w:szCs w:val="20"/>
          <w:lang w:val="es-ES"/>
        </w:rPr>
        <w:t xml:space="preserve"> </w:t>
      </w:r>
      <w:r w:rsidR="008A2AFC" w:rsidRPr="00BF22E6">
        <w:rPr>
          <w:rFonts w:ascii="Verdana" w:eastAsia="Arial" w:hAnsi="Verdana" w:cs="Arial"/>
          <w:sz w:val="20"/>
          <w:szCs w:val="20"/>
          <w:lang w:val="es-ES"/>
        </w:rPr>
        <w:t>desconoce si la posición de la mayoría de la Subsección implica la existencia de una prohibición absoluta, o si admite excepciones; y de admitirse lo último, cuáles son y por</w:t>
      </w:r>
      <w:r w:rsidR="008A2AFC" w:rsidRPr="00BF22E6">
        <w:rPr>
          <w:rFonts w:ascii="Verdana" w:eastAsia="Arial" w:hAnsi="Verdana" w:cs="Arial"/>
          <w:spacing w:val="-3"/>
          <w:sz w:val="20"/>
          <w:szCs w:val="20"/>
          <w:lang w:val="es-ES"/>
        </w:rPr>
        <w:t xml:space="preserve"> </w:t>
      </w:r>
      <w:r w:rsidR="008A2AFC" w:rsidRPr="00BF22E6">
        <w:rPr>
          <w:rFonts w:ascii="Verdana" w:eastAsia="Arial" w:hAnsi="Verdana" w:cs="Arial"/>
          <w:sz w:val="20"/>
          <w:szCs w:val="20"/>
          <w:lang w:val="es-ES"/>
        </w:rPr>
        <w:t>qué.</w:t>
      </w:r>
    </w:p>
    <w:p w14:paraId="7DFEF4D8" w14:textId="77777777" w:rsidR="008A2AFC" w:rsidRPr="00BF22E6" w:rsidRDefault="008A2AFC" w:rsidP="001621BB">
      <w:pPr>
        <w:widowControl w:val="0"/>
        <w:autoSpaceDE w:val="0"/>
        <w:autoSpaceDN w:val="0"/>
        <w:spacing w:before="1" w:after="0" w:line="240" w:lineRule="auto"/>
        <w:ind w:left="709" w:right="709"/>
        <w:rPr>
          <w:rFonts w:ascii="Verdana" w:eastAsia="Arial" w:hAnsi="Verdana" w:cs="Arial"/>
          <w:sz w:val="20"/>
          <w:szCs w:val="20"/>
          <w:lang w:val="es-ES"/>
        </w:rPr>
      </w:pPr>
    </w:p>
    <w:p w14:paraId="3903F050" w14:textId="77777777" w:rsidR="008A2AFC" w:rsidRPr="00BF22E6" w:rsidRDefault="008A2AFC" w:rsidP="001621B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Un ejemplo más problemático, que muestra el error de dicha posición, se concreta en la posibilidad de que las entidades pavimenten sus vías en asfalto o en concreto- cemento-. ¿Significa esto que una entidad no puede poner en las especificaciones técnicas de la contratación cuál de los dos quiere usar? Con la lógica de la sentencia, si exige asfalto entonces se violaría la igualdad, selección objetiva y transparencia de quienes venden concreto, y lo mismo acontece a la inversa. La solución lógica indicaría que hay que dejar abierta la posibilidad a cualquier producto que sirva para pavimentar, siempre que cumpla las condiciones técnicas para</w:t>
      </w:r>
      <w:r w:rsidRPr="00BF22E6">
        <w:rPr>
          <w:rFonts w:ascii="Verdana" w:eastAsia="Arial" w:hAnsi="Verdana" w:cs="Arial"/>
          <w:spacing w:val="-3"/>
          <w:sz w:val="20"/>
          <w:szCs w:val="20"/>
          <w:lang w:val="es-ES"/>
        </w:rPr>
        <w:t xml:space="preserve"> </w:t>
      </w:r>
      <w:r w:rsidRPr="00BF22E6">
        <w:rPr>
          <w:rFonts w:ascii="Verdana" w:eastAsia="Arial" w:hAnsi="Verdana" w:cs="Arial"/>
          <w:sz w:val="20"/>
          <w:szCs w:val="20"/>
          <w:lang w:val="es-ES"/>
        </w:rPr>
        <w:t>ello.</w:t>
      </w:r>
    </w:p>
    <w:p w14:paraId="672711FD" w14:textId="77777777" w:rsidR="008A2AFC" w:rsidRPr="00BF22E6" w:rsidRDefault="008A2AFC" w:rsidP="001621BB">
      <w:pPr>
        <w:widowControl w:val="0"/>
        <w:autoSpaceDE w:val="0"/>
        <w:autoSpaceDN w:val="0"/>
        <w:spacing w:after="0" w:line="240" w:lineRule="auto"/>
        <w:ind w:left="709" w:right="709"/>
        <w:rPr>
          <w:rFonts w:ascii="Verdana" w:eastAsia="Arial" w:hAnsi="Verdana" w:cs="Arial"/>
          <w:sz w:val="20"/>
          <w:szCs w:val="20"/>
          <w:lang w:val="es-ES"/>
        </w:rPr>
      </w:pPr>
    </w:p>
    <w:p w14:paraId="60EA0A73" w14:textId="2C688C37" w:rsidR="008A2AFC" w:rsidRPr="00BF22E6" w:rsidRDefault="008A2AFC" w:rsidP="001621BB">
      <w:pPr>
        <w:widowControl w:val="0"/>
        <w:autoSpaceDE w:val="0"/>
        <w:autoSpaceDN w:val="0"/>
        <w:spacing w:before="1"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De aceptarse esta tesis, se limita excesivamente la libertad de contratación, en detrimento de las posibilidades que tiene el derecho administrativo de ofrecer a la administración pública un derecho ágil, moderno y eficiente. Este tipo de soluciones ancla al derecho público en </w:t>
      </w:r>
      <w:r w:rsidRPr="00BF22E6">
        <w:rPr>
          <w:rFonts w:ascii="Verdana" w:eastAsia="Arial" w:hAnsi="Verdana" w:cs="Arial"/>
          <w:sz w:val="20"/>
          <w:szCs w:val="20"/>
          <w:lang w:val="es-ES"/>
        </w:rPr>
        <w:lastRenderedPageBreak/>
        <w:t>una época que no se corresponde con la del mercado moderno</w:t>
      </w:r>
      <w:r w:rsidR="001621BB" w:rsidRPr="00BF22E6">
        <w:rPr>
          <w:rFonts w:ascii="Verdana" w:eastAsia="Arial" w:hAnsi="Verdana" w:cs="Arial"/>
          <w:sz w:val="20"/>
          <w:szCs w:val="20"/>
          <w:lang w:val="es-ES"/>
        </w:rPr>
        <w:t>”</w:t>
      </w:r>
      <w:r w:rsidRPr="00BF22E6">
        <w:rPr>
          <w:rStyle w:val="Refdenotaalpie"/>
          <w:rFonts w:ascii="Verdana" w:hAnsi="Verdana"/>
          <w:sz w:val="20"/>
          <w:szCs w:val="20"/>
        </w:rPr>
        <w:footnoteReference w:id="15"/>
      </w:r>
      <w:r w:rsidRPr="00BF22E6">
        <w:rPr>
          <w:rFonts w:ascii="Verdana" w:eastAsia="Arial" w:hAnsi="Verdana" w:cs="Arial"/>
          <w:sz w:val="20"/>
          <w:szCs w:val="20"/>
          <w:lang w:val="es-ES"/>
        </w:rPr>
        <w:t>.</w:t>
      </w:r>
    </w:p>
    <w:p w14:paraId="0D9FBB11" w14:textId="77777777" w:rsidR="008A2AFC" w:rsidRPr="00BF22E6" w:rsidRDefault="008A2AFC" w:rsidP="008A2AFC">
      <w:pPr>
        <w:widowControl w:val="0"/>
        <w:autoSpaceDE w:val="0"/>
        <w:autoSpaceDN w:val="0"/>
        <w:spacing w:before="2" w:after="0" w:line="240" w:lineRule="auto"/>
        <w:rPr>
          <w:rFonts w:ascii="Verdana" w:eastAsia="Arial" w:hAnsi="Verdana" w:cs="Arial"/>
          <w:sz w:val="28"/>
          <w:szCs w:val="28"/>
          <w:lang w:val="es-ES"/>
        </w:rPr>
      </w:pPr>
    </w:p>
    <w:p w14:paraId="43D8341F" w14:textId="70CEC045" w:rsidR="008A2AFC" w:rsidRPr="00BF22E6" w:rsidRDefault="00DC19D9" w:rsidP="008A2AFC">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Finalmente,</w:t>
      </w:r>
      <w:r w:rsidR="008A2AFC" w:rsidRPr="00BF22E6">
        <w:rPr>
          <w:rFonts w:ascii="Verdana" w:eastAsia="Arial" w:hAnsi="Verdana" w:cs="Arial"/>
          <w:lang w:val="es-ES"/>
        </w:rPr>
        <w:t xml:space="preserve"> y </w:t>
      </w:r>
      <w:proofErr w:type="gramStart"/>
      <w:r w:rsidR="008A2AFC" w:rsidRPr="00BF22E6">
        <w:rPr>
          <w:rFonts w:ascii="Verdana" w:eastAsia="Arial" w:hAnsi="Verdana" w:cs="Arial"/>
          <w:lang w:val="es-ES"/>
        </w:rPr>
        <w:t>de acuerdo a</w:t>
      </w:r>
      <w:proofErr w:type="gramEnd"/>
      <w:r w:rsidR="008A2AFC" w:rsidRPr="00BF22E6">
        <w:rPr>
          <w:rFonts w:ascii="Verdana" w:eastAsia="Arial" w:hAnsi="Verdana" w:cs="Arial"/>
          <w:lang w:val="es-ES"/>
        </w:rPr>
        <w:t xml:space="preserve"> la pregunta, motivo de consulta,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-como ocurre en otros ordenamientos o como temporalmente lo establecieron los Decretos 2474 de 2008 y 734 de 2012- pero no lo hizo, lo que significa que no consideró que la solicitud de marcas, en abstracto, implicara la violación de estos</w:t>
      </w:r>
      <w:r w:rsidR="008A2AFC" w:rsidRPr="00BF22E6">
        <w:rPr>
          <w:rFonts w:ascii="Verdana" w:eastAsia="Arial" w:hAnsi="Verdana" w:cs="Arial"/>
          <w:spacing w:val="-8"/>
          <w:lang w:val="es-ES"/>
        </w:rPr>
        <w:t xml:space="preserve"> </w:t>
      </w:r>
      <w:r w:rsidR="008A2AFC" w:rsidRPr="00BF22E6">
        <w:rPr>
          <w:rFonts w:ascii="Verdana" w:eastAsia="Arial" w:hAnsi="Verdana" w:cs="Arial"/>
          <w:lang w:val="es-ES"/>
        </w:rPr>
        <w:t>principios.</w:t>
      </w:r>
    </w:p>
    <w:p w14:paraId="585464E6" w14:textId="77777777" w:rsidR="008A2AFC" w:rsidRPr="00BF22E6" w:rsidRDefault="008A2AFC" w:rsidP="008A2AFC">
      <w:pPr>
        <w:widowControl w:val="0"/>
        <w:autoSpaceDE w:val="0"/>
        <w:autoSpaceDN w:val="0"/>
        <w:spacing w:after="120" w:line="276" w:lineRule="auto"/>
        <w:ind w:right="112"/>
        <w:jc w:val="both"/>
        <w:rPr>
          <w:rFonts w:ascii="Verdana" w:eastAsia="Arial" w:hAnsi="Verdana" w:cs="Arial"/>
          <w:lang w:val="es-ES"/>
        </w:rPr>
      </w:pPr>
      <w:r w:rsidRPr="00BF22E6">
        <w:rPr>
          <w:rFonts w:ascii="Verdana" w:eastAsia="Arial" w:hAnsi="Verdana" w:cs="Arial"/>
          <w:lang w:val="es-ES"/>
        </w:rPr>
        <w:tab/>
        <w:t xml:space="preserve">En suma, la exigencia de marcas en los procesos de contratación estatal, según la tesis afirmativa que se analiza, se permitirá solo en aquellos procedimientos </w:t>
      </w:r>
      <w:r w:rsidRPr="00BF22E6">
        <w:rPr>
          <w:rFonts w:ascii="Verdana" w:eastAsia="Times New Roman" w:hAnsi="Verdana" w:cs="Arial"/>
          <w:bCs/>
          <w:color w:val="000000"/>
          <w:lang w:val="es-ES" w:eastAsia="es-ES"/>
        </w:rPr>
        <w:t xml:space="preserve">que no estén sujetos a tratados de libre comercio que las prohíban, </w:t>
      </w:r>
      <w:proofErr w:type="gramStart"/>
      <w:r w:rsidRPr="00BF22E6">
        <w:rPr>
          <w:rFonts w:ascii="Verdana" w:eastAsia="Times New Roman" w:hAnsi="Verdana" w:cs="Arial"/>
          <w:bCs/>
          <w:color w:val="000000"/>
          <w:lang w:val="es-ES" w:eastAsia="es-ES"/>
        </w:rPr>
        <w:t>de acuerdo al</w:t>
      </w:r>
      <w:proofErr w:type="gramEnd"/>
      <w:r w:rsidRPr="00BF22E6">
        <w:rPr>
          <w:rFonts w:ascii="Verdana" w:eastAsia="Times New Roman" w:hAnsi="Verdana" w:cs="Arial"/>
          <w:bCs/>
          <w:color w:val="000000"/>
          <w:lang w:val="es-ES" w:eastAsia="es-ES"/>
        </w:rPr>
        <w:t xml:space="preserve">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38AFAB04" w14:textId="77777777" w:rsidR="008A2AFC" w:rsidRPr="00BF22E6" w:rsidRDefault="008A2AFC" w:rsidP="008A2AFC">
      <w:pPr>
        <w:spacing w:before="120" w:after="0" w:line="276" w:lineRule="auto"/>
        <w:jc w:val="both"/>
        <w:rPr>
          <w:rFonts w:ascii="Verdana" w:eastAsia="Arial" w:hAnsi="Verdana" w:cs="Arial"/>
          <w:lang w:val="es-ES"/>
        </w:rPr>
      </w:pPr>
      <w:r w:rsidRPr="00BF22E6">
        <w:rPr>
          <w:rFonts w:ascii="Verdana" w:eastAsia="Arial" w:hAnsi="Verdana" w:cs="Arial"/>
          <w:lang w:val="es-ES"/>
        </w:rPr>
        <w:tab/>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menoscaban por el solo hecho de que la entidad solicite una marca en particular, sino con la demostración efectiva de que, en el proceso de selección particular, la entidad incurrió en</w:t>
      </w:r>
      <w:r w:rsidRPr="00BF22E6">
        <w:rPr>
          <w:rFonts w:ascii="Verdana" w:eastAsia="Arial" w:hAnsi="Verdana" w:cs="Arial"/>
          <w:spacing w:val="50"/>
          <w:lang w:val="es-ES"/>
        </w:rPr>
        <w:t xml:space="preserve"> </w:t>
      </w:r>
      <w:r w:rsidRPr="00BF22E6">
        <w:rPr>
          <w:rFonts w:ascii="Verdana" w:eastAsia="Arial" w:hAnsi="Verdana" w:cs="Arial"/>
          <w:lang w:val="es-ES"/>
        </w:rPr>
        <w:t>desviación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0"/>
          <w:lang w:val="es-ES"/>
        </w:rPr>
        <w:t xml:space="preserve"> </w:t>
      </w:r>
      <w:r w:rsidRPr="00BF22E6">
        <w:rPr>
          <w:rFonts w:ascii="Verdana" w:eastAsia="Arial" w:hAnsi="Verdana" w:cs="Arial"/>
          <w:lang w:val="es-ES"/>
        </w:rPr>
        <w:t>poder</w:t>
      </w:r>
      <w:r w:rsidRPr="00BF22E6">
        <w:rPr>
          <w:rFonts w:ascii="Verdana" w:eastAsia="Arial" w:hAnsi="Verdana" w:cs="Arial"/>
          <w:spacing w:val="50"/>
          <w:lang w:val="es-ES"/>
        </w:rPr>
        <w:t xml:space="preserve"> </w:t>
      </w:r>
      <w:r w:rsidRPr="00BF22E6">
        <w:rPr>
          <w:rFonts w:ascii="Verdana" w:eastAsia="Arial" w:hAnsi="Verdana" w:cs="Arial"/>
          <w:lang w:val="es-ES"/>
        </w:rPr>
        <w:t>a</w:t>
      </w:r>
      <w:r w:rsidRPr="00BF22E6">
        <w:rPr>
          <w:rFonts w:ascii="Verdana" w:eastAsia="Arial" w:hAnsi="Verdana" w:cs="Arial"/>
          <w:spacing w:val="50"/>
          <w:lang w:val="es-ES"/>
        </w:rPr>
        <w:t xml:space="preserve"> </w:t>
      </w:r>
      <w:r w:rsidRPr="00BF22E6">
        <w:rPr>
          <w:rFonts w:ascii="Verdana" w:eastAsia="Arial" w:hAnsi="Verdana" w:cs="Arial"/>
          <w:lang w:val="es-ES"/>
        </w:rPr>
        <w:t>través</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esa</w:t>
      </w:r>
      <w:r w:rsidRPr="00BF22E6">
        <w:rPr>
          <w:rFonts w:ascii="Verdana" w:eastAsia="Arial" w:hAnsi="Verdana" w:cs="Arial"/>
          <w:spacing w:val="50"/>
          <w:lang w:val="es-ES"/>
        </w:rPr>
        <w:t xml:space="preserve"> </w:t>
      </w:r>
      <w:r w:rsidRPr="00BF22E6">
        <w:rPr>
          <w:rFonts w:ascii="Verdana" w:eastAsia="Arial" w:hAnsi="Verdana" w:cs="Arial"/>
          <w:lang w:val="es-ES"/>
        </w:rPr>
        <w:t>decisión,</w:t>
      </w:r>
      <w:r w:rsidRPr="00BF22E6">
        <w:rPr>
          <w:rFonts w:ascii="Verdana" w:eastAsia="Arial" w:hAnsi="Verdana" w:cs="Arial"/>
          <w:spacing w:val="50"/>
          <w:lang w:val="es-ES"/>
        </w:rPr>
        <w:t xml:space="preserve"> </w:t>
      </w:r>
      <w:r w:rsidRPr="00BF22E6">
        <w:rPr>
          <w:rFonts w:ascii="Verdana" w:eastAsia="Arial" w:hAnsi="Verdana" w:cs="Arial"/>
          <w:lang w:val="es-ES"/>
        </w:rPr>
        <w:t>con el fin de</w:t>
      </w:r>
      <w:r w:rsidRPr="00BF22E6">
        <w:rPr>
          <w:rFonts w:ascii="Verdana" w:eastAsia="Arial" w:hAnsi="Verdana" w:cs="Arial"/>
          <w:spacing w:val="51"/>
          <w:lang w:val="es-ES"/>
        </w:rPr>
        <w:t xml:space="preserve"> </w:t>
      </w:r>
      <w:r w:rsidRPr="00BF22E6">
        <w:rPr>
          <w:rFonts w:ascii="Verdana" w:eastAsia="Arial" w:hAnsi="Verdana" w:cs="Arial"/>
          <w:lang w:val="es-ES"/>
        </w:rPr>
        <w:t>direccionar</w:t>
      </w:r>
      <w:r w:rsidRPr="00BF22E6">
        <w:rPr>
          <w:rFonts w:ascii="Verdana" w:eastAsia="Arial" w:hAnsi="Verdana" w:cs="Arial"/>
          <w:spacing w:val="50"/>
          <w:lang w:val="es-ES"/>
        </w:rPr>
        <w:t xml:space="preserve"> </w:t>
      </w:r>
      <w:r w:rsidRPr="00BF22E6">
        <w:rPr>
          <w:rFonts w:ascii="Verdana" w:eastAsia="Arial" w:hAnsi="Verdana" w:cs="Arial"/>
          <w:lang w:val="es-ES"/>
        </w:rPr>
        <w:t>la</w:t>
      </w:r>
      <w:r w:rsidRPr="00BF22E6">
        <w:rPr>
          <w:rFonts w:ascii="Verdana" w:eastAsia="Arial" w:hAnsi="Verdana" w:cs="Arial"/>
          <w:spacing w:val="50"/>
          <w:lang w:val="es-ES"/>
        </w:rPr>
        <w:t xml:space="preserve"> </w:t>
      </w:r>
      <w:r w:rsidRPr="00BF22E6">
        <w:rPr>
          <w:rFonts w:ascii="Verdana" w:eastAsia="Arial" w:hAnsi="Verdana" w:cs="Arial"/>
          <w:lang w:val="es-ES"/>
        </w:rPr>
        <w:t>selección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 xml:space="preserve">un contratista. </w:t>
      </w:r>
    </w:p>
    <w:p w14:paraId="46407BAA" w14:textId="3F1BC2B2" w:rsidR="008A2AFC" w:rsidRPr="00BF22E6" w:rsidRDefault="008A2AFC" w:rsidP="008A2AFC">
      <w:pPr>
        <w:spacing w:before="120" w:after="0" w:line="276" w:lineRule="auto"/>
        <w:ind w:firstLine="708"/>
        <w:jc w:val="both"/>
        <w:rPr>
          <w:rFonts w:ascii="Verdana" w:eastAsia="Times New Roman" w:hAnsi="Verdana" w:cs="Arial"/>
          <w:sz w:val="21"/>
          <w:szCs w:val="21"/>
          <w:lang w:eastAsia="es-ES_tradnl"/>
        </w:rPr>
      </w:pPr>
      <w:r w:rsidRPr="00BF22E6">
        <w:rPr>
          <w:rFonts w:ascii="Verdana" w:eastAsia="Calibri" w:hAnsi="Verdana" w:cs="Arial"/>
          <w:color w:val="000000"/>
          <w:lang w:val="es-ES_tradnl" w:eastAsia="es-ES_tradnl"/>
        </w:rPr>
        <w:t xml:space="preserve">Las </w:t>
      </w:r>
      <w:r w:rsidR="00862A35" w:rsidRPr="00BF22E6">
        <w:rPr>
          <w:rFonts w:ascii="Verdana" w:eastAsia="Calibri" w:hAnsi="Verdana" w:cs="Arial"/>
          <w:color w:val="000000"/>
          <w:lang w:val="es-ES_tradnl" w:eastAsia="es-ES_tradnl"/>
        </w:rPr>
        <w:t>Entidades Estatales</w:t>
      </w:r>
      <w:r w:rsidRPr="00BF22E6">
        <w:rPr>
          <w:rFonts w:ascii="Verdana" w:eastAsia="Calibri" w:hAnsi="Verdana" w:cs="Arial"/>
          <w:color w:val="000000"/>
          <w:lang w:val="es-ES_tradnl" w:eastAsia="es-ES_tradnl"/>
        </w:rPr>
        <w:t xml:space="preserve">,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w:t>
      </w:r>
      <w:r w:rsidRPr="00BF22E6">
        <w:rPr>
          <w:rFonts w:ascii="Verdana" w:eastAsia="Calibri" w:hAnsi="Verdana" w:cs="Arial"/>
          <w:color w:val="000000"/>
          <w:lang w:val="es-ES_tradnl" w:eastAsia="es-ES_tradnl"/>
        </w:rPr>
        <w:lastRenderedPageBreak/>
        <w:t>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BF22E6">
        <w:rPr>
          <w:rStyle w:val="Refdenotaalpie"/>
          <w:rFonts w:ascii="Verdana" w:hAnsi="Verdana"/>
        </w:rPr>
        <w:footnoteReference w:id="16"/>
      </w:r>
      <w:r w:rsidRPr="00BF22E6">
        <w:rPr>
          <w:rFonts w:ascii="Verdana" w:eastAsia="Times New Roman" w:hAnsi="Verdana" w:cs="Arial"/>
          <w:sz w:val="21"/>
          <w:szCs w:val="21"/>
          <w:lang w:eastAsia="es-ES_tradnl"/>
        </w:rPr>
        <w:t>.</w:t>
      </w:r>
    </w:p>
    <w:p w14:paraId="4BDDAF9D" w14:textId="77777777" w:rsidR="00407000" w:rsidRPr="009859FE" w:rsidRDefault="00407000" w:rsidP="004070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9FE">
        <w:rPr>
          <w:rFonts w:ascii="Verdana" w:eastAsia="Century Gothic" w:hAnsi="Verdana" w:cs="Century Gothic"/>
          <w:b/>
          <w:bCs/>
        </w:rPr>
        <w:t>Referencias normativas:</w:t>
      </w:r>
    </w:p>
    <w:p w14:paraId="12A6E7AA" w14:textId="77777777" w:rsidR="00407000" w:rsidRPr="009859FE" w:rsidRDefault="00407000" w:rsidP="0040700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07000" w:rsidRPr="009859FE" w14:paraId="79707FF1" w14:textId="77777777" w:rsidTr="00F21426">
        <w:trPr>
          <w:trHeight w:val="870"/>
          <w:jc w:val="center"/>
        </w:trPr>
        <w:tc>
          <w:tcPr>
            <w:tcW w:w="8647" w:type="dxa"/>
          </w:tcPr>
          <w:p w14:paraId="28121F21" w14:textId="77777777" w:rsidR="00407000" w:rsidRPr="009859FE" w:rsidRDefault="00407000" w:rsidP="00407000">
            <w:pPr>
              <w:pStyle w:val="Prrafodelista"/>
              <w:widowControl w:val="0"/>
              <w:numPr>
                <w:ilvl w:val="0"/>
                <w:numId w:val="17"/>
              </w:numPr>
              <w:autoSpaceDE w:val="0"/>
              <w:autoSpaceDN w:val="0"/>
              <w:spacing w:line="276" w:lineRule="auto"/>
              <w:ind w:left="357" w:hanging="357"/>
              <w:jc w:val="both"/>
              <w:rPr>
                <w:rFonts w:ascii="Verdana" w:hAnsi="Verdana" w:cs="Arial"/>
              </w:rPr>
            </w:pPr>
            <w:r w:rsidRPr="009859FE">
              <w:rPr>
                <w:rFonts w:ascii="Verdana" w:hAnsi="Verdana" w:cs="Arial"/>
              </w:rPr>
              <w:t>Ley 1150 de 2007: Artículo 5.</w:t>
            </w:r>
          </w:p>
          <w:p w14:paraId="5A40FB92" w14:textId="77777777" w:rsidR="00407000" w:rsidRPr="009859FE" w:rsidRDefault="00407000" w:rsidP="00407000">
            <w:pPr>
              <w:pStyle w:val="Prrafodelista"/>
              <w:widowControl w:val="0"/>
              <w:numPr>
                <w:ilvl w:val="0"/>
                <w:numId w:val="17"/>
              </w:numPr>
              <w:autoSpaceDE w:val="0"/>
              <w:autoSpaceDN w:val="0"/>
              <w:spacing w:line="276" w:lineRule="auto"/>
              <w:ind w:left="357" w:hanging="357"/>
              <w:jc w:val="both"/>
              <w:rPr>
                <w:rFonts w:ascii="Verdana" w:hAnsi="Verdana" w:cs="Arial"/>
              </w:rPr>
            </w:pPr>
            <w:r w:rsidRPr="009859FE">
              <w:rPr>
                <w:rFonts w:ascii="Verdana" w:hAnsi="Verdana" w:cs="Arial"/>
              </w:rPr>
              <w:t>Ley 1437 de 2011: Artículo 44.</w:t>
            </w:r>
          </w:p>
          <w:p w14:paraId="09FFEDEE" w14:textId="77777777" w:rsidR="00407000" w:rsidRPr="009859FE" w:rsidRDefault="00407000" w:rsidP="00407000">
            <w:pPr>
              <w:pStyle w:val="Prrafodelista"/>
              <w:widowControl w:val="0"/>
              <w:numPr>
                <w:ilvl w:val="0"/>
                <w:numId w:val="17"/>
              </w:numPr>
              <w:autoSpaceDE w:val="0"/>
              <w:autoSpaceDN w:val="0"/>
              <w:spacing w:line="276" w:lineRule="auto"/>
              <w:ind w:left="357" w:hanging="357"/>
              <w:jc w:val="both"/>
              <w:rPr>
                <w:rFonts w:ascii="Verdana" w:hAnsi="Verdana" w:cs="Arial"/>
              </w:rPr>
            </w:pPr>
            <w:r w:rsidRPr="009859FE">
              <w:rPr>
                <w:rFonts w:ascii="Verdana" w:hAnsi="Verdana" w:cs="Arial"/>
              </w:rPr>
              <w:t xml:space="preserve">Decreto 1082 de 2015: Artículos 2.2.1.1.1.6.2 y 2.2.1.1.2.2.2. </w:t>
            </w:r>
          </w:p>
          <w:p w14:paraId="4627A1A1" w14:textId="77777777" w:rsidR="00407000" w:rsidRPr="009859FE" w:rsidRDefault="00407000" w:rsidP="00407000">
            <w:pPr>
              <w:pStyle w:val="Prrafodelista"/>
              <w:widowControl w:val="0"/>
              <w:numPr>
                <w:ilvl w:val="0"/>
                <w:numId w:val="17"/>
              </w:numPr>
              <w:autoSpaceDE w:val="0"/>
              <w:autoSpaceDN w:val="0"/>
              <w:spacing w:line="276" w:lineRule="auto"/>
              <w:ind w:left="357" w:hanging="357"/>
              <w:jc w:val="both"/>
              <w:rPr>
                <w:rFonts w:ascii="Verdana" w:hAnsi="Verdana" w:cs="Arial"/>
              </w:rPr>
            </w:pPr>
            <w:r w:rsidRPr="009859FE">
              <w:rPr>
                <w:rFonts w:ascii="Verdana" w:hAnsi="Verdana" w:cs="Arial"/>
                <w:lang w:val="es-MX"/>
              </w:rPr>
              <w:t xml:space="preserve">Agencia Nacional de Contratación Pública – Colombia Compra Eficiente.  Manual para determinar y verificar los requisitos habilitantes en los Procesos de Contratación. Se puede consultar en el siguiente enlace:  </w:t>
            </w:r>
            <w:hyperlink r:id="rId13" w:history="1">
              <w:r w:rsidRPr="009859FE">
                <w:rPr>
                  <w:rStyle w:val="Hipervnculo"/>
                  <w:rFonts w:ascii="Verdana" w:hAnsi="Verdana" w:cs="Arial"/>
                  <w:lang w:val="es-MX"/>
                </w:rPr>
                <w:t>http://www.colombiacompra.gov.co/sites/cce_public/files/cce_documents/20140901_manual_requisitos_habilitantes_4_web.pdf</w:t>
              </w:r>
            </w:hyperlink>
            <w:r w:rsidRPr="009859FE">
              <w:rPr>
                <w:rFonts w:ascii="Verdana" w:hAnsi="Verdana" w:cs="Arial"/>
                <w:lang w:val="es-MX"/>
              </w:rPr>
              <w:t xml:space="preserve"> </w:t>
            </w:r>
          </w:p>
        </w:tc>
      </w:tr>
    </w:tbl>
    <w:p w14:paraId="6BE93450" w14:textId="77777777" w:rsidR="00407000" w:rsidRPr="009859FE" w:rsidRDefault="00407000" w:rsidP="00407000">
      <w:pPr>
        <w:widowControl w:val="0"/>
        <w:autoSpaceDE w:val="0"/>
        <w:autoSpaceDN w:val="0"/>
        <w:spacing w:after="0" w:line="276" w:lineRule="auto"/>
        <w:jc w:val="both"/>
        <w:rPr>
          <w:rFonts w:ascii="Verdana" w:hAnsi="Verdana" w:cs="Arial"/>
        </w:rPr>
      </w:pPr>
    </w:p>
    <w:p w14:paraId="6C88D353" w14:textId="77777777" w:rsidR="00407000" w:rsidRPr="009859FE" w:rsidRDefault="00407000" w:rsidP="004070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9FE">
        <w:rPr>
          <w:rFonts w:ascii="Verdana" w:eastAsia="Century Gothic" w:hAnsi="Verdana" w:cs="Century Gothic"/>
          <w:b/>
          <w:bCs/>
        </w:rPr>
        <w:t>Doctrina de la Agencia Nacional de Contratación Pública:</w:t>
      </w:r>
    </w:p>
    <w:p w14:paraId="58201781" w14:textId="77777777" w:rsidR="00407000" w:rsidRPr="009859FE" w:rsidRDefault="00407000" w:rsidP="00407000">
      <w:pPr>
        <w:widowControl w:val="0"/>
        <w:autoSpaceDE w:val="0"/>
        <w:autoSpaceDN w:val="0"/>
        <w:spacing w:after="0" w:line="276" w:lineRule="auto"/>
        <w:jc w:val="both"/>
        <w:rPr>
          <w:rFonts w:ascii="Verdana" w:hAnsi="Verdana" w:cs="Arial"/>
        </w:rPr>
      </w:pPr>
    </w:p>
    <w:p w14:paraId="19ECD2AD" w14:textId="41AAD041" w:rsidR="00407000" w:rsidRPr="009859FE" w:rsidRDefault="00004056" w:rsidP="00407000">
      <w:pPr>
        <w:widowControl w:val="0"/>
        <w:autoSpaceDE w:val="0"/>
        <w:autoSpaceDN w:val="0"/>
        <w:spacing w:after="0" w:line="276" w:lineRule="auto"/>
        <w:jc w:val="both"/>
        <w:rPr>
          <w:rFonts w:ascii="Verdana" w:hAnsi="Verdana" w:cs="Arial"/>
          <w:color w:val="000000" w:themeColor="text1"/>
          <w:shd w:val="clear" w:color="auto" w:fill="FFFFFF"/>
        </w:rPr>
      </w:pPr>
      <w:r w:rsidRPr="009859FE">
        <w:rPr>
          <w:rFonts w:ascii="Verdana" w:eastAsia="Calibri" w:hAnsi="Verdana" w:cs="Arial"/>
          <w:lang w:val="es-ES" w:eastAsia="es-ES"/>
        </w:rPr>
        <w:t>L</w:t>
      </w:r>
      <w:r w:rsidR="00407000" w:rsidRPr="009859FE">
        <w:rPr>
          <w:rFonts w:ascii="Verdana" w:eastAsia="Calibri" w:hAnsi="Verdana" w:cs="Arial"/>
          <w:lang w:val="es-ES" w:eastAsia="es-ES"/>
        </w:rPr>
        <w:t>a</w:t>
      </w:r>
      <w:r>
        <w:rPr>
          <w:rFonts w:ascii="Verdana" w:eastAsia="Calibri" w:hAnsi="Verdana" w:cs="Arial"/>
          <w:lang w:val="es-ES" w:eastAsia="es-ES"/>
        </w:rPr>
        <w:t xml:space="preserve"> </w:t>
      </w:r>
      <w:r w:rsidR="00407000" w:rsidRPr="009859FE">
        <w:rPr>
          <w:rFonts w:ascii="Verdana" w:eastAsia="Calibri" w:hAnsi="Verdana" w:cs="Arial"/>
          <w:lang w:val="es-ES" w:eastAsia="es-ES"/>
        </w:rPr>
        <w:t xml:space="preserve">Agencia Nacional de Contratación Pública – Colombia Compra Eficiente, en los , C-669 de 3 de diciembre de 2021, C-573 de 13 de septiembre de 2022, C- </w:t>
      </w:r>
      <w:r w:rsidR="00407000" w:rsidRPr="009859FE">
        <w:rPr>
          <w:rFonts w:ascii="Verdana" w:eastAsia="Calibri" w:hAnsi="Verdana" w:cs="Arial"/>
          <w:lang w:val="es-ES" w:eastAsia="es-ES"/>
        </w:rPr>
        <w:lastRenderedPageBreak/>
        <w:t xml:space="preserve">831 de 28 de noviembre de 2022 y C-868 del 19 de diciembre de 2022, C-124 de 25 de mayo de 2023, C-165 de 2 de junio de 2023, C-167 de 5 de junio de 2023, C-215 de 10 de agosto de 2023, C-277 de 14 de julio de 2023, C-337 de 18 de agosto de 2023, entre otros, analizó la naturaleza de los requisitos habilitantes y su carácter enunciativo en el artículo 5, numeral 1, de la Ley 1150 de 2007. Sobre la posibilidad de exigir marcas determinadas en un Proceso de Contratación, esta Subdirección se pronunció en los conceptos con radicados de respuesta No. </w:t>
      </w:r>
      <w:r w:rsidR="00407000" w:rsidRPr="009859FE">
        <w:rPr>
          <w:rFonts w:ascii="Verdana" w:eastAsia="Calibri" w:hAnsi="Verdana" w:cs="Arial"/>
          <w:lang w:eastAsia="es-ES"/>
        </w:rPr>
        <w:t xml:space="preserve">4201614000005100 de 2019, </w:t>
      </w:r>
      <w:r w:rsidR="00407000" w:rsidRPr="009859FE">
        <w:rPr>
          <w:rFonts w:ascii="Verdana" w:eastAsia="Calibri" w:hAnsi="Verdana" w:cs="Arial"/>
          <w:lang w:val="es-MX" w:eastAsia="es-ES"/>
        </w:rPr>
        <w:t xml:space="preserve">4201714000004927 </w:t>
      </w:r>
      <w:r w:rsidR="00CC1CF7" w:rsidRPr="009859FE">
        <w:rPr>
          <w:rFonts w:ascii="Verdana" w:eastAsia="Calibri" w:hAnsi="Verdana" w:cs="Arial"/>
          <w:lang w:val="es-MX" w:eastAsia="es-ES"/>
        </w:rPr>
        <w:t>de</w:t>
      </w:r>
      <w:r w:rsidR="00407000" w:rsidRPr="009859FE">
        <w:rPr>
          <w:rFonts w:ascii="Verdana" w:eastAsia="Calibri" w:hAnsi="Verdana" w:cs="Arial"/>
          <w:lang w:val="es-MX" w:eastAsia="es-ES"/>
        </w:rPr>
        <w:t xml:space="preserve"> 2019</w:t>
      </w:r>
      <w:r>
        <w:rPr>
          <w:rFonts w:ascii="Verdana" w:eastAsia="Calibri" w:hAnsi="Verdana" w:cs="Arial"/>
          <w:lang w:eastAsia="es-ES"/>
        </w:rPr>
        <w:t>,</w:t>
      </w:r>
      <w:r w:rsidR="00407000" w:rsidRPr="009859FE">
        <w:rPr>
          <w:rFonts w:ascii="Verdana" w:eastAsia="Calibri" w:hAnsi="Verdana" w:cs="Arial"/>
          <w:lang w:eastAsia="es-ES"/>
        </w:rPr>
        <w:t xml:space="preserve"> 4201912000002040 del 9 de mayo de 2019</w:t>
      </w:r>
      <w:r>
        <w:rPr>
          <w:rFonts w:ascii="Verdana" w:eastAsia="Calibri" w:hAnsi="Verdana" w:cs="Arial"/>
          <w:lang w:eastAsia="es-ES"/>
        </w:rPr>
        <w:t xml:space="preserve">, </w:t>
      </w:r>
      <w:r w:rsidRPr="00DB21C5">
        <w:rPr>
          <w:rFonts w:ascii="Verdana" w:eastAsia="Arial" w:hAnsi="Verdana" w:cs="Arial"/>
          <w:lang w:val="es-ES"/>
        </w:rPr>
        <w:t>2201913000009143 del 11 de diciembre de 2019 y el C-616 del 26 de septiembre de 2022</w:t>
      </w:r>
      <w:r w:rsidR="00407000" w:rsidRPr="009859FE">
        <w:rPr>
          <w:rFonts w:ascii="Verdana" w:eastAsia="Calibri" w:hAnsi="Verdana" w:cs="Arial"/>
          <w:lang w:eastAsia="es-ES"/>
        </w:rPr>
        <w:t>.</w:t>
      </w:r>
      <w:r>
        <w:rPr>
          <w:rStyle w:val="normaltextrun"/>
          <w:rFonts w:ascii="Verdana" w:hAnsi="Verdana" w:cs="Arial"/>
          <w:shd w:val="clear" w:color="auto" w:fill="FFFFFF"/>
          <w:lang w:val="es-ES"/>
        </w:rPr>
        <w:t xml:space="preserve"> </w:t>
      </w:r>
      <w:r w:rsidR="00407000" w:rsidRPr="009859FE">
        <w:rPr>
          <w:rStyle w:val="normaltextrun"/>
          <w:rFonts w:ascii="Verdana" w:hAnsi="Verdana" w:cs="Arial"/>
          <w:shd w:val="clear" w:color="auto" w:fill="FFFFFF"/>
          <w:lang w:val="es-ES"/>
        </w:rPr>
        <w:t>Es</w:t>
      </w:r>
      <w:r w:rsidR="00407000" w:rsidRPr="009859FE">
        <w:rPr>
          <w:rFonts w:ascii="Verdana" w:hAnsi="Verdana"/>
        </w:rPr>
        <w:t>tos y otros conceptos se encuentran disponibles para consulta en el Sistema de relatoría de la Agencia, al cual se puede acceder a través del siguiente enlace:</w:t>
      </w:r>
      <w:r w:rsidR="00407000" w:rsidRPr="009859FE">
        <w:rPr>
          <w:rStyle w:val="normaltextrun"/>
          <w:rFonts w:ascii="Verdana" w:hAnsi="Verdana" w:cs="Arial"/>
          <w:shd w:val="clear" w:color="auto" w:fill="FFFFFF"/>
          <w:lang w:val="es-ES"/>
        </w:rPr>
        <w:t xml:space="preserve"> </w:t>
      </w:r>
      <w:hyperlink r:id="rId14" w:history="1">
        <w:r w:rsidR="00407000" w:rsidRPr="009859FE">
          <w:rPr>
            <w:rStyle w:val="Hipervnculo"/>
            <w:rFonts w:ascii="Verdana" w:hAnsi="Verdana" w:cs="Arial"/>
            <w:shd w:val="clear" w:color="auto" w:fill="FFFFFF"/>
            <w:lang w:val="es-ES"/>
          </w:rPr>
          <w:t>https://relatoria.colombiacompra.gov.co/busqueda/conceptos</w:t>
        </w:r>
      </w:hyperlink>
      <w:r w:rsidR="00407000" w:rsidRPr="009859FE">
        <w:rPr>
          <w:rStyle w:val="normaltextrun"/>
          <w:rFonts w:ascii="Verdana" w:hAnsi="Verdana" w:cs="Arial"/>
          <w:shd w:val="clear" w:color="auto" w:fill="FFFFFF"/>
          <w:lang w:val="es-ES"/>
        </w:rPr>
        <w:t>.</w:t>
      </w:r>
      <w:r w:rsidR="00407000" w:rsidRPr="009859FE">
        <w:rPr>
          <w:rStyle w:val="normaltextrun"/>
          <w:rFonts w:ascii="Verdana" w:hAnsi="Verdana" w:cs="Arial"/>
          <w:color w:val="FF0000"/>
          <w:shd w:val="clear" w:color="auto" w:fill="FFFFFF"/>
          <w:lang w:val="es-ES"/>
        </w:rPr>
        <w:t xml:space="preserve"> </w:t>
      </w:r>
      <w:r w:rsidR="00407000" w:rsidRPr="009859FE">
        <w:rPr>
          <w:rFonts w:ascii="Verdana" w:hAnsi="Verdana" w:cs="Arial"/>
          <w:color w:val="000000" w:themeColor="text1"/>
          <w:shd w:val="clear" w:color="auto" w:fill="FFFFFF"/>
        </w:rPr>
        <w:t>  </w:t>
      </w:r>
    </w:p>
    <w:p w14:paraId="2D5AFBEF" w14:textId="77777777" w:rsidR="00407000" w:rsidRPr="009859FE" w:rsidRDefault="00407000" w:rsidP="00407000">
      <w:pPr>
        <w:widowControl w:val="0"/>
        <w:autoSpaceDE w:val="0"/>
        <w:autoSpaceDN w:val="0"/>
        <w:spacing w:after="0" w:line="276" w:lineRule="auto"/>
        <w:jc w:val="both"/>
        <w:rPr>
          <w:rFonts w:ascii="Verdana" w:hAnsi="Verdana" w:cs="Arial"/>
          <w:color w:val="000000" w:themeColor="text1"/>
          <w:shd w:val="clear" w:color="auto" w:fill="FFFFFF"/>
        </w:rPr>
      </w:pPr>
    </w:p>
    <w:p w14:paraId="167FC56F" w14:textId="5104377C" w:rsidR="00407000" w:rsidRPr="009859FE" w:rsidRDefault="00407000" w:rsidP="00407000">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9859FE">
        <w:rPr>
          <w:rFonts w:ascii="Verdana" w:hAnsi="Verdana" w:cs="Arial"/>
          <w:color w:val="000000" w:themeColor="text1"/>
          <w:shd w:val="clear" w:color="auto" w:fill="FFFFFF"/>
        </w:rPr>
        <w:t>También le invitamos a consultar las versiones V</w:t>
      </w:r>
      <w:r w:rsidR="00004056">
        <w:rPr>
          <w:rFonts w:ascii="Verdana" w:hAnsi="Verdana" w:cs="Arial"/>
          <w:color w:val="000000" w:themeColor="text1"/>
          <w:shd w:val="clear" w:color="auto" w:fill="FFFFFF"/>
        </w:rPr>
        <w:t>II</w:t>
      </w:r>
      <w:r w:rsidRPr="009859FE">
        <w:rPr>
          <w:rFonts w:ascii="Verdana" w:hAnsi="Verdana" w:cs="Arial"/>
          <w:color w:val="000000" w:themeColor="text1"/>
          <w:shd w:val="clear" w:color="auto" w:fill="FFFFFF"/>
        </w:rPr>
        <w:t xml:space="preserve"> y VI</w:t>
      </w:r>
      <w:r w:rsidR="00004056">
        <w:rPr>
          <w:rFonts w:ascii="Verdana" w:hAnsi="Verdana" w:cs="Arial"/>
          <w:color w:val="000000" w:themeColor="text1"/>
          <w:shd w:val="clear" w:color="auto" w:fill="FFFFFF"/>
        </w:rPr>
        <w:t>II</w:t>
      </w:r>
      <w:r w:rsidRPr="009859FE">
        <w:rPr>
          <w:rFonts w:ascii="Verdana" w:hAnsi="Verdana" w:cs="Arial"/>
          <w:color w:val="000000" w:themeColor="text1"/>
          <w:shd w:val="clear" w:color="auto" w:fill="FFFFFF"/>
        </w:rPr>
        <w:t xml:space="preserve"> de 2024 del Boletín de Relatoría de la Subdirección de Gestión Contractual, los cuales se pueden descargar en la página web de la Agencia: </w:t>
      </w:r>
      <w:hyperlink r:id="rId15" w:tgtFrame="_blank" w:tooltip="Dirección URL original: https://www.colombiacompra.gov.co/sala-de-prensa/boletin-digital. Haga clic o pulse si confía en este vínculo." w:history="1">
        <w:r w:rsidRPr="009859FE">
          <w:rPr>
            <w:rStyle w:val="Hipervnculo"/>
            <w:rFonts w:ascii="Verdana" w:hAnsi="Verdana" w:cs="Arial"/>
            <w:shd w:val="clear" w:color="auto" w:fill="FFFFFF"/>
          </w:rPr>
          <w:t>https://www.colombiacompra.gov.co/sala-de-prensa/boletin-digital</w:t>
        </w:r>
      </w:hyperlink>
      <w:r w:rsidRPr="009859FE">
        <w:rPr>
          <w:rStyle w:val="normaltextrun"/>
          <w:rFonts w:ascii="Verdana" w:hAnsi="Verdana" w:cs="Arial"/>
          <w:color w:val="FF0000"/>
          <w:shd w:val="clear" w:color="auto" w:fill="FFFFFF"/>
          <w:lang w:val="es-ES"/>
        </w:rPr>
        <w:t xml:space="preserve">      </w:t>
      </w:r>
    </w:p>
    <w:p w14:paraId="3EC60359" w14:textId="77777777" w:rsidR="00407000" w:rsidRPr="009859FE" w:rsidRDefault="00407000" w:rsidP="00407000">
      <w:pPr>
        <w:widowControl w:val="0"/>
        <w:autoSpaceDE w:val="0"/>
        <w:autoSpaceDN w:val="0"/>
        <w:spacing w:after="0" w:line="276" w:lineRule="auto"/>
        <w:jc w:val="both"/>
        <w:rPr>
          <w:rFonts w:ascii="Verdana" w:hAnsi="Verdana" w:cs="Arial"/>
        </w:rPr>
      </w:pPr>
    </w:p>
    <w:p w14:paraId="4D7B46DF" w14:textId="77777777" w:rsidR="00407000" w:rsidRPr="009859FE" w:rsidRDefault="00407000" w:rsidP="00407000">
      <w:pPr>
        <w:widowControl w:val="0"/>
        <w:autoSpaceDE w:val="0"/>
        <w:autoSpaceDN w:val="0"/>
        <w:spacing w:after="0" w:line="276" w:lineRule="auto"/>
        <w:jc w:val="both"/>
        <w:rPr>
          <w:rFonts w:ascii="Verdana" w:hAnsi="Verdana" w:cs="Arial"/>
          <w:lang w:val="es-ES_tradnl"/>
        </w:rPr>
      </w:pPr>
      <w:r w:rsidRPr="009859FE">
        <w:rPr>
          <w:rFonts w:ascii="Verdana" w:hAnsi="Verdana" w:cs="Arial"/>
        </w:rPr>
        <w:t xml:space="preserve">Este concepto tiene el alcance previsto en el artículo 28 del Código de Procedimiento Administrativo y de lo Contencioso Administrativo </w:t>
      </w:r>
      <w:r w:rsidRPr="009859FE">
        <w:rPr>
          <w:rFonts w:ascii="Verdana" w:hAnsi="Verdana" w:cs="Arial"/>
          <w:lang w:val="es-ES_tradnl"/>
        </w:rPr>
        <w:t>y las expresiones aquí utilizadas con mayúscula inicial deben ser entendidas con el significado que les otorga el artículo 2.2.1.1.1.3.1. del Decreto 1082 de 2015.</w:t>
      </w:r>
    </w:p>
    <w:p w14:paraId="0D5AB52D" w14:textId="77777777" w:rsidR="00407000" w:rsidRPr="009859FE" w:rsidRDefault="00407000" w:rsidP="00407000">
      <w:pPr>
        <w:widowControl w:val="0"/>
        <w:autoSpaceDE w:val="0"/>
        <w:autoSpaceDN w:val="0"/>
        <w:spacing w:after="0" w:line="276" w:lineRule="auto"/>
        <w:jc w:val="both"/>
        <w:rPr>
          <w:rFonts w:ascii="Verdana" w:hAnsi="Verdana" w:cs="Arial"/>
        </w:rPr>
      </w:pPr>
    </w:p>
    <w:p w14:paraId="6BE542DB" w14:textId="77777777" w:rsidR="00407000" w:rsidRPr="009859FE" w:rsidRDefault="00407000" w:rsidP="00407000">
      <w:pPr>
        <w:spacing w:after="0" w:line="240" w:lineRule="auto"/>
        <w:rPr>
          <w:rFonts w:ascii="Verdana" w:hAnsi="Verdana" w:cs="Arial"/>
          <w:lang w:eastAsia="es-CO"/>
        </w:rPr>
      </w:pPr>
      <w:r w:rsidRPr="009859FE">
        <w:rPr>
          <w:rFonts w:ascii="Verdana" w:eastAsia="Times New Roman" w:hAnsi="Verdana" w:cs="Arial"/>
          <w:lang w:eastAsia="es-CO"/>
        </w:rPr>
        <w:t>Atentamente,</w:t>
      </w:r>
      <w:r w:rsidRPr="009859FE">
        <w:rPr>
          <w:rFonts w:ascii="Verdana" w:hAnsi="Verdana" w:cs="Arial"/>
          <w:lang w:eastAsia="es-CO"/>
        </w:rPr>
        <w:t xml:space="preserve"> </w:t>
      </w:r>
    </w:p>
    <w:p w14:paraId="360A3798" w14:textId="6C5F57CA" w:rsidR="00004056" w:rsidRPr="009859FE" w:rsidRDefault="006B633C" w:rsidP="006B633C">
      <w:pPr>
        <w:spacing w:after="0" w:line="240" w:lineRule="auto"/>
        <w:jc w:val="center"/>
        <w:rPr>
          <w:rFonts w:ascii="Verdana" w:hAnsi="Verdana" w:cs="Arial"/>
          <w:lang w:eastAsia="es-CO"/>
        </w:rPr>
      </w:pPr>
      <w:r>
        <w:rPr>
          <w:noProof/>
        </w:rPr>
        <w:drawing>
          <wp:inline distT="0" distB="0" distL="0" distR="0" wp14:anchorId="1A727568" wp14:editId="340EC876">
            <wp:extent cx="3088005" cy="1146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088005" cy="1146175"/>
                    </a:xfrm>
                    <a:prstGeom prst="rect">
                      <a:avLst/>
                    </a:prstGeom>
                  </pic:spPr>
                </pic:pic>
              </a:graphicData>
            </a:graphic>
          </wp:inline>
        </w:drawing>
      </w:r>
    </w:p>
    <w:tbl>
      <w:tblPr>
        <w:tblW w:w="7457" w:type="dxa"/>
        <w:tblLook w:val="04A0" w:firstRow="1" w:lastRow="0" w:firstColumn="1" w:lastColumn="0" w:noHBand="0" w:noVBand="1"/>
      </w:tblPr>
      <w:tblGrid>
        <w:gridCol w:w="893"/>
        <w:gridCol w:w="6564"/>
      </w:tblGrid>
      <w:tr w:rsidR="00407000" w:rsidRPr="009859FE" w14:paraId="35CAA411" w14:textId="77777777" w:rsidTr="00F21426">
        <w:trPr>
          <w:trHeight w:val="315"/>
        </w:trPr>
        <w:tc>
          <w:tcPr>
            <w:tcW w:w="893" w:type="dxa"/>
            <w:vAlign w:val="center"/>
            <w:hideMark/>
          </w:tcPr>
          <w:p w14:paraId="7C98C024" w14:textId="77777777" w:rsidR="00407000" w:rsidRPr="009859FE" w:rsidRDefault="00407000" w:rsidP="00F21426">
            <w:pPr>
              <w:spacing w:after="0" w:line="240" w:lineRule="auto"/>
              <w:rPr>
                <w:rFonts w:ascii="Verdana" w:hAnsi="Verdana" w:cs="Arial"/>
                <w:sz w:val="16"/>
                <w:szCs w:val="16"/>
                <w:lang w:val="es-ES" w:eastAsia="es-CO"/>
              </w:rPr>
            </w:pPr>
            <w:r w:rsidRPr="009859FE">
              <w:rPr>
                <w:rFonts w:ascii="Verdana" w:hAnsi="Verdana" w:cs="Arial"/>
                <w:sz w:val="16"/>
                <w:szCs w:val="16"/>
                <w:lang w:val="es-ES" w:eastAsia="es-CO"/>
              </w:rPr>
              <w:t>Elaboró:</w:t>
            </w:r>
          </w:p>
        </w:tc>
        <w:tc>
          <w:tcPr>
            <w:tcW w:w="6564" w:type="dxa"/>
            <w:tcBorders>
              <w:top w:val="nil"/>
              <w:left w:val="nil"/>
              <w:bottom w:val="dotted" w:sz="4" w:space="0" w:color="7F7F7F" w:themeColor="text1" w:themeTint="80"/>
              <w:right w:val="nil"/>
            </w:tcBorders>
            <w:vAlign w:val="center"/>
            <w:hideMark/>
          </w:tcPr>
          <w:p w14:paraId="0B101D1E" w14:textId="77777777" w:rsidR="00407000" w:rsidRPr="009859FE" w:rsidRDefault="00407000" w:rsidP="00F21426">
            <w:pPr>
              <w:spacing w:after="0" w:line="240" w:lineRule="auto"/>
              <w:rPr>
                <w:rFonts w:ascii="Verdana" w:hAnsi="Verdana" w:cs="Arial"/>
                <w:sz w:val="16"/>
                <w:szCs w:val="16"/>
                <w:lang w:eastAsia="es-CO"/>
              </w:rPr>
            </w:pPr>
            <w:r w:rsidRPr="009859FE">
              <w:rPr>
                <w:rFonts w:ascii="Verdana" w:hAnsi="Verdana" w:cs="Arial"/>
                <w:sz w:val="16"/>
                <w:szCs w:val="16"/>
                <w:lang w:eastAsia="es-CO"/>
              </w:rPr>
              <w:t>Diana Lucia Saavedra Castañeda</w:t>
            </w:r>
          </w:p>
          <w:p w14:paraId="0439BB14" w14:textId="77777777" w:rsidR="00407000" w:rsidRPr="009859FE" w:rsidRDefault="00407000" w:rsidP="00F21426">
            <w:pPr>
              <w:spacing w:after="0" w:line="240" w:lineRule="auto"/>
              <w:rPr>
                <w:rFonts w:ascii="Verdana" w:hAnsi="Verdana" w:cs="Arial"/>
                <w:sz w:val="16"/>
                <w:szCs w:val="16"/>
                <w:lang w:eastAsia="es-CO"/>
              </w:rPr>
            </w:pPr>
            <w:r w:rsidRPr="009859FE">
              <w:rPr>
                <w:rFonts w:ascii="Verdana" w:hAnsi="Verdana" w:cs="Arial"/>
                <w:sz w:val="16"/>
                <w:szCs w:val="16"/>
                <w:lang w:eastAsia="es-CO"/>
              </w:rPr>
              <w:t>Contratista de la Subdirección de Gestión Contractual</w:t>
            </w:r>
          </w:p>
        </w:tc>
      </w:tr>
      <w:tr w:rsidR="00407000" w:rsidRPr="009859FE" w14:paraId="460FE141" w14:textId="77777777" w:rsidTr="00F21426">
        <w:trPr>
          <w:trHeight w:val="330"/>
        </w:trPr>
        <w:tc>
          <w:tcPr>
            <w:tcW w:w="893" w:type="dxa"/>
            <w:vAlign w:val="center"/>
            <w:hideMark/>
          </w:tcPr>
          <w:p w14:paraId="3A04E3B0" w14:textId="77777777" w:rsidR="00407000" w:rsidRPr="009859FE" w:rsidRDefault="00407000" w:rsidP="00F21426">
            <w:pPr>
              <w:spacing w:after="0" w:line="240" w:lineRule="auto"/>
              <w:rPr>
                <w:rFonts w:ascii="Verdana" w:hAnsi="Verdana" w:cs="Arial"/>
                <w:sz w:val="16"/>
                <w:szCs w:val="16"/>
                <w:lang w:val="es-ES" w:eastAsia="es-CO"/>
              </w:rPr>
            </w:pPr>
            <w:r w:rsidRPr="009859FE">
              <w:rPr>
                <w:rFonts w:ascii="Verdana" w:hAnsi="Verdana" w:cs="Arial"/>
                <w:sz w:val="16"/>
                <w:szCs w:val="16"/>
                <w:lang w:val="es-ES" w:eastAsia="es-CO"/>
              </w:rPr>
              <w:t>Revisó:</w:t>
            </w:r>
          </w:p>
        </w:tc>
        <w:tc>
          <w:tcPr>
            <w:tcW w:w="6564" w:type="dxa"/>
            <w:tcBorders>
              <w:top w:val="dotted" w:sz="4" w:space="0" w:color="7F7F7F" w:themeColor="text1" w:themeTint="80"/>
              <w:left w:val="nil"/>
              <w:bottom w:val="dotted" w:sz="4" w:space="0" w:color="7F7F7F" w:themeColor="text1" w:themeTint="80"/>
              <w:right w:val="nil"/>
            </w:tcBorders>
            <w:vAlign w:val="center"/>
            <w:hideMark/>
          </w:tcPr>
          <w:p w14:paraId="689FA3A9" w14:textId="77777777" w:rsidR="00407000" w:rsidRPr="009859FE" w:rsidRDefault="00407000" w:rsidP="00F21426">
            <w:pPr>
              <w:spacing w:after="0" w:line="240" w:lineRule="auto"/>
              <w:rPr>
                <w:rFonts w:ascii="Verdana" w:hAnsi="Verdana" w:cs="Arial"/>
                <w:sz w:val="16"/>
                <w:szCs w:val="16"/>
                <w:lang w:eastAsia="es-CO"/>
              </w:rPr>
            </w:pPr>
            <w:r w:rsidRPr="009859FE">
              <w:rPr>
                <w:rFonts w:ascii="Verdana" w:hAnsi="Verdana" w:cs="Arial"/>
                <w:sz w:val="16"/>
                <w:szCs w:val="16"/>
                <w:lang w:val="es-ES" w:eastAsia="es-CO"/>
              </w:rPr>
              <w:t>Alejandro Raúl Sarmiento Cantillo</w:t>
            </w:r>
          </w:p>
          <w:p w14:paraId="4F568A99" w14:textId="77777777" w:rsidR="00407000" w:rsidRPr="009859FE" w:rsidRDefault="00407000" w:rsidP="00F21426">
            <w:pPr>
              <w:spacing w:after="0" w:line="240" w:lineRule="auto"/>
              <w:rPr>
                <w:rFonts w:ascii="Verdana" w:hAnsi="Verdana" w:cs="Arial"/>
                <w:sz w:val="16"/>
                <w:szCs w:val="16"/>
                <w:lang w:eastAsia="es-CO"/>
              </w:rPr>
            </w:pPr>
            <w:r w:rsidRPr="009859FE">
              <w:rPr>
                <w:rFonts w:ascii="Verdana" w:hAnsi="Verdana" w:cs="Arial"/>
                <w:sz w:val="16"/>
                <w:szCs w:val="16"/>
                <w:lang w:val="es-ES" w:eastAsia="es-CO"/>
              </w:rPr>
              <w:t>Gestor T1-15 de la Subdirección de Gestión Contractual</w:t>
            </w:r>
            <w:r w:rsidRPr="009859FE">
              <w:rPr>
                <w:rFonts w:ascii="Verdana" w:hAnsi="Verdana" w:cs="Arial"/>
                <w:sz w:val="16"/>
                <w:szCs w:val="16"/>
                <w:lang w:eastAsia="es-CO"/>
              </w:rPr>
              <w:t> </w:t>
            </w:r>
          </w:p>
        </w:tc>
      </w:tr>
      <w:tr w:rsidR="00407000" w:rsidRPr="009859FE" w14:paraId="6B40A0A6" w14:textId="77777777" w:rsidTr="00F21426">
        <w:trPr>
          <w:trHeight w:val="300"/>
        </w:trPr>
        <w:tc>
          <w:tcPr>
            <w:tcW w:w="893" w:type="dxa"/>
            <w:vAlign w:val="center"/>
            <w:hideMark/>
          </w:tcPr>
          <w:p w14:paraId="6A415400" w14:textId="77777777" w:rsidR="00407000" w:rsidRPr="009859FE" w:rsidRDefault="00407000" w:rsidP="00F21426">
            <w:pPr>
              <w:spacing w:after="0" w:line="240" w:lineRule="auto"/>
              <w:rPr>
                <w:rFonts w:ascii="Verdana" w:hAnsi="Verdana" w:cs="Arial"/>
                <w:sz w:val="16"/>
                <w:szCs w:val="16"/>
                <w:lang w:val="es-ES" w:eastAsia="es-CO"/>
              </w:rPr>
            </w:pPr>
            <w:r w:rsidRPr="009859FE">
              <w:rPr>
                <w:rFonts w:ascii="Verdana" w:hAnsi="Verdana" w:cs="Arial"/>
                <w:sz w:val="16"/>
                <w:szCs w:val="16"/>
                <w:lang w:val="es-ES" w:eastAsia="es-CO"/>
              </w:rPr>
              <w:t>Aprobó:</w:t>
            </w:r>
          </w:p>
        </w:tc>
        <w:tc>
          <w:tcPr>
            <w:tcW w:w="6564" w:type="dxa"/>
            <w:tcBorders>
              <w:top w:val="dotted" w:sz="4" w:space="0" w:color="7F7F7F" w:themeColor="text1" w:themeTint="80"/>
              <w:left w:val="nil"/>
              <w:bottom w:val="dotted" w:sz="4" w:space="0" w:color="7F7F7F" w:themeColor="text1" w:themeTint="80"/>
              <w:right w:val="nil"/>
            </w:tcBorders>
            <w:vAlign w:val="center"/>
            <w:hideMark/>
          </w:tcPr>
          <w:p w14:paraId="67407896" w14:textId="77777777" w:rsidR="00407000" w:rsidRPr="009859FE" w:rsidRDefault="00407000" w:rsidP="00F21426">
            <w:pPr>
              <w:spacing w:after="0" w:line="240" w:lineRule="auto"/>
              <w:rPr>
                <w:rFonts w:ascii="Verdana" w:hAnsi="Verdana" w:cs="Arial"/>
                <w:sz w:val="16"/>
                <w:szCs w:val="16"/>
                <w:lang w:val="pt-BR" w:eastAsia="es-CO"/>
              </w:rPr>
            </w:pPr>
            <w:r w:rsidRPr="009859FE">
              <w:rPr>
                <w:rFonts w:ascii="Verdana" w:hAnsi="Verdana" w:cs="Arial"/>
                <w:sz w:val="16"/>
                <w:szCs w:val="16"/>
                <w:lang w:val="pt-BR" w:eastAsia="es-CO"/>
              </w:rPr>
              <w:t>Carolina Quintero Gacharná</w:t>
            </w:r>
          </w:p>
          <w:p w14:paraId="2F5F049C" w14:textId="77777777" w:rsidR="00407000" w:rsidRPr="009859FE" w:rsidRDefault="00407000" w:rsidP="00F21426">
            <w:pPr>
              <w:spacing w:after="0" w:line="240" w:lineRule="auto"/>
              <w:rPr>
                <w:rFonts w:ascii="Verdana" w:hAnsi="Verdana" w:cs="Arial"/>
                <w:sz w:val="16"/>
                <w:szCs w:val="16"/>
                <w:lang w:val="pt-BR" w:eastAsia="es-CO"/>
              </w:rPr>
            </w:pPr>
            <w:r w:rsidRPr="009859FE">
              <w:rPr>
                <w:rFonts w:ascii="Verdana" w:hAnsi="Verdana" w:cs="Arial"/>
                <w:sz w:val="16"/>
                <w:szCs w:val="16"/>
                <w:lang w:eastAsia="es-CO"/>
              </w:rPr>
              <w:t>Subdirectora</w:t>
            </w:r>
            <w:r w:rsidRPr="009859FE">
              <w:rPr>
                <w:rFonts w:ascii="Verdana" w:hAnsi="Verdana" w:cs="Arial"/>
                <w:sz w:val="16"/>
                <w:szCs w:val="16"/>
                <w:lang w:val="pt-BR" w:eastAsia="es-CO"/>
              </w:rPr>
              <w:t xml:space="preserve"> de Gestión Contractual ANCP – CCE</w:t>
            </w:r>
          </w:p>
        </w:tc>
      </w:tr>
      <w:bookmarkEnd w:id="0"/>
    </w:tbl>
    <w:p w14:paraId="2CCAFC75" w14:textId="77777777" w:rsidR="00407000" w:rsidRPr="009859FE" w:rsidRDefault="00407000" w:rsidP="00BF22E6">
      <w:pPr>
        <w:spacing w:after="0" w:line="240" w:lineRule="auto"/>
        <w:rPr>
          <w:rFonts w:ascii="Verdana" w:hAnsi="Verdana"/>
        </w:rPr>
      </w:pPr>
    </w:p>
    <w:sectPr w:rsidR="00407000" w:rsidRPr="009859F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BF5BB7" w14:textId="77777777" w:rsidR="005C2300" w:rsidRDefault="005C2300" w:rsidP="004A1847">
      <w:pPr>
        <w:spacing w:after="0" w:line="240" w:lineRule="auto"/>
      </w:pPr>
      <w:r>
        <w:separator/>
      </w:r>
    </w:p>
  </w:endnote>
  <w:endnote w:type="continuationSeparator" w:id="0">
    <w:p w14:paraId="07C3480C" w14:textId="77777777" w:rsidR="005C2300" w:rsidRDefault="005C2300" w:rsidP="004A1847">
      <w:pPr>
        <w:spacing w:after="0" w:line="240" w:lineRule="auto"/>
      </w:pPr>
      <w:r>
        <w:continuationSeparator/>
      </w:r>
    </w:p>
  </w:endnote>
  <w:endnote w:type="continuationNotice" w:id="1">
    <w:p w14:paraId="13DD61DF" w14:textId="77777777" w:rsidR="005C2300" w:rsidRDefault="005C23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mbria"/>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17B76" w14:textId="77777777" w:rsidR="005C2300" w:rsidRDefault="005C2300" w:rsidP="004A1847">
      <w:pPr>
        <w:spacing w:after="0" w:line="240" w:lineRule="auto"/>
      </w:pPr>
      <w:r>
        <w:separator/>
      </w:r>
    </w:p>
  </w:footnote>
  <w:footnote w:type="continuationSeparator" w:id="0">
    <w:p w14:paraId="057E83E5" w14:textId="77777777" w:rsidR="005C2300" w:rsidRDefault="005C2300" w:rsidP="004A1847">
      <w:pPr>
        <w:spacing w:after="0" w:line="240" w:lineRule="auto"/>
      </w:pPr>
      <w:r>
        <w:continuationSeparator/>
      </w:r>
    </w:p>
  </w:footnote>
  <w:footnote w:type="continuationNotice" w:id="1">
    <w:p w14:paraId="6C6583B1" w14:textId="77777777" w:rsidR="005C2300" w:rsidRDefault="005C2300">
      <w:pPr>
        <w:spacing w:after="0" w:line="240" w:lineRule="auto"/>
      </w:pPr>
    </w:p>
  </w:footnote>
  <w:footnote w:id="2">
    <w:p w14:paraId="34444346" w14:textId="77777777" w:rsidR="00407000" w:rsidRPr="00A82D0F" w:rsidRDefault="00407000" w:rsidP="004A7DF2">
      <w:pPr>
        <w:pStyle w:val="Textonotapie"/>
        <w:ind w:firstLine="426"/>
        <w:jc w:val="both"/>
        <w:rPr>
          <w:rFonts w:ascii="Verdana" w:hAnsi="Verdana"/>
          <w:sz w:val="16"/>
          <w:szCs w:val="16"/>
          <w:lang w:val="es-CO"/>
        </w:rPr>
      </w:pPr>
      <w:r w:rsidRPr="00A82D0F">
        <w:rPr>
          <w:rStyle w:val="Refdenotaalpie"/>
          <w:rFonts w:ascii="Verdana" w:hAnsi="Verdana"/>
          <w:sz w:val="16"/>
          <w:szCs w:val="16"/>
        </w:rPr>
        <w:footnoteRef/>
      </w:r>
      <w:r w:rsidRPr="00A82D0F">
        <w:rPr>
          <w:rFonts w:ascii="Verdana" w:hAnsi="Verdana"/>
          <w:sz w:val="16"/>
          <w:szCs w:val="16"/>
        </w:rPr>
        <w:t xml:space="preserve"> </w:t>
      </w:r>
      <w:r w:rsidRPr="00A82D0F">
        <w:rPr>
          <w:rFonts w:ascii="Verdana" w:hAnsi="Verdana"/>
          <w:sz w:val="16"/>
          <w:szCs w:val="16"/>
          <w:lang w:val="es-ES"/>
        </w:rPr>
        <w:t>“</w:t>
      </w:r>
      <w:r w:rsidRPr="00A82D0F">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39D5AECB" w14:textId="77777777" w:rsidR="00407000" w:rsidRPr="00A82D0F" w:rsidRDefault="00407000" w:rsidP="004A7DF2">
      <w:pPr>
        <w:pStyle w:val="Textonotapie"/>
        <w:ind w:firstLine="426"/>
        <w:jc w:val="both"/>
        <w:rPr>
          <w:rFonts w:ascii="Verdana" w:hAnsi="Verdana"/>
          <w:sz w:val="16"/>
          <w:szCs w:val="16"/>
          <w:lang w:val="es-CO"/>
        </w:rPr>
      </w:pPr>
      <w:r w:rsidRPr="00A82D0F">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559F7DD5" w14:textId="77777777" w:rsidR="00407000" w:rsidRPr="00A82D0F" w:rsidRDefault="00407000" w:rsidP="004A7DF2">
      <w:pPr>
        <w:spacing w:after="0" w:line="240" w:lineRule="auto"/>
        <w:ind w:firstLine="567"/>
        <w:jc w:val="both"/>
        <w:rPr>
          <w:rFonts w:ascii="Verdana" w:hAnsi="Verdana"/>
          <w:sz w:val="16"/>
          <w:szCs w:val="16"/>
        </w:rPr>
      </w:pPr>
    </w:p>
    <w:p w14:paraId="62AB3748" w14:textId="77777777" w:rsidR="00407000" w:rsidRPr="00A82D0F" w:rsidRDefault="00407000" w:rsidP="004A7DF2">
      <w:pPr>
        <w:spacing w:after="0" w:line="240" w:lineRule="auto"/>
        <w:ind w:firstLine="567"/>
        <w:jc w:val="both"/>
        <w:rPr>
          <w:rFonts w:ascii="Verdana" w:hAnsi="Verdana"/>
          <w:sz w:val="16"/>
          <w:szCs w:val="16"/>
          <w:lang w:val="es-MX"/>
        </w:rPr>
      </w:pPr>
      <w:r w:rsidRPr="00A82D0F">
        <w:rPr>
          <w:rStyle w:val="Refdenotaalpie"/>
          <w:rFonts w:ascii="Verdana" w:hAnsi="Verdana"/>
          <w:sz w:val="16"/>
          <w:szCs w:val="16"/>
        </w:rPr>
        <w:footnoteRef/>
      </w:r>
      <w:r w:rsidRPr="00A82D0F">
        <w:rPr>
          <w:rFonts w:ascii="Verdana" w:hAnsi="Verdana"/>
          <w:sz w:val="16"/>
          <w:szCs w:val="16"/>
        </w:rPr>
        <w:t xml:space="preserve"> </w:t>
      </w:r>
      <w:r w:rsidRPr="00A82D0F">
        <w:rPr>
          <w:rFonts w:ascii="Verdana" w:hAnsi="Verdana"/>
          <w:sz w:val="16"/>
          <w:szCs w:val="16"/>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4">
    <w:p w14:paraId="5D74BC5E" w14:textId="77777777" w:rsidR="00407000" w:rsidRPr="00A82D0F" w:rsidRDefault="00407000" w:rsidP="004A7DF2">
      <w:pPr>
        <w:pStyle w:val="Textonotapie"/>
        <w:ind w:firstLine="567"/>
        <w:jc w:val="both"/>
        <w:rPr>
          <w:rFonts w:ascii="Verdana" w:hAnsi="Verdana"/>
          <w:sz w:val="16"/>
          <w:szCs w:val="16"/>
        </w:rPr>
      </w:pPr>
    </w:p>
    <w:p w14:paraId="626B3B9C" w14:textId="77777777" w:rsidR="00407000" w:rsidRPr="00A82D0F" w:rsidRDefault="00407000" w:rsidP="004A7DF2">
      <w:pPr>
        <w:pStyle w:val="Textonotapie"/>
        <w:ind w:firstLine="567"/>
        <w:jc w:val="both"/>
        <w:rPr>
          <w:rFonts w:ascii="Verdana" w:hAnsi="Verdana"/>
          <w:sz w:val="16"/>
          <w:szCs w:val="16"/>
          <w:lang w:val="es-CO"/>
        </w:rPr>
      </w:pPr>
      <w:r w:rsidRPr="00A82D0F">
        <w:rPr>
          <w:rStyle w:val="Refdenotaalpie"/>
          <w:rFonts w:ascii="Verdana" w:hAnsi="Verdana"/>
          <w:sz w:val="16"/>
          <w:szCs w:val="16"/>
        </w:rPr>
        <w:footnoteRef/>
      </w:r>
      <w:r w:rsidRPr="00A82D0F">
        <w:rPr>
          <w:rFonts w:ascii="Verdana" w:hAnsi="Verdana"/>
          <w:sz w:val="16"/>
          <w:szCs w:val="16"/>
        </w:rPr>
        <w:t xml:space="preserve"> Según este parágrafo</w:t>
      </w:r>
      <w:r w:rsidRPr="00A82D0F">
        <w:rPr>
          <w:rFonts w:ascii="Verdana" w:hAnsi="Verdana" w:cs="Arial"/>
          <w:color w:val="000000" w:themeColor="text1"/>
          <w:sz w:val="16"/>
          <w:szCs w:val="16"/>
          <w:lang w:val="es-ES_tradnl"/>
        </w:rPr>
        <w:t xml:space="preserve"> </w:t>
      </w:r>
      <w:r w:rsidRPr="00A82D0F">
        <w:rPr>
          <w:rFonts w:ascii="Verdana" w:hAnsi="Verdana"/>
          <w:sz w:val="16"/>
          <w:szCs w:val="16"/>
          <w:lang w:val="es-ES_tradnl"/>
        </w:rPr>
        <w:t>las certificaciones de sistemas de gestión de calidad no serán objeto de calificación, ni podrán establecerse como documento habilitante para participar en licitaciones o concursos.</w:t>
      </w:r>
      <w:r w:rsidRPr="00A82D0F">
        <w:rPr>
          <w:rFonts w:ascii="Verdana" w:hAnsi="Verdana"/>
          <w:sz w:val="16"/>
          <w:szCs w:val="16"/>
        </w:rPr>
        <w:t xml:space="preserve"> </w:t>
      </w:r>
    </w:p>
  </w:footnote>
  <w:footnote w:id="5">
    <w:p w14:paraId="46DACB3B" w14:textId="77777777" w:rsidR="00407000" w:rsidRPr="00A82D0F" w:rsidRDefault="00407000" w:rsidP="004A7DF2">
      <w:pPr>
        <w:pStyle w:val="Textonotapie"/>
        <w:ind w:firstLine="567"/>
        <w:jc w:val="both"/>
        <w:rPr>
          <w:rFonts w:ascii="Verdana" w:hAnsi="Verdana"/>
          <w:sz w:val="16"/>
          <w:szCs w:val="16"/>
        </w:rPr>
      </w:pPr>
    </w:p>
    <w:p w14:paraId="52B35E10" w14:textId="77777777" w:rsidR="00407000" w:rsidRPr="00A82D0F" w:rsidRDefault="00407000" w:rsidP="004A7DF2">
      <w:pPr>
        <w:pStyle w:val="Textonotapie"/>
        <w:ind w:firstLine="567"/>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sz w:val="16"/>
          <w:szCs w:val="16"/>
        </w:rPr>
        <w:t xml:space="preserve"> Artículo 2.2.1.1.1.5.3. Requisitos habilitantes contenidos en el RUP. “Las cámaras de comercio, con base en la información a la que hace referencia el artículo anterior, deben verificar y certificar los siguientes requisitos habilitantes:</w:t>
      </w:r>
    </w:p>
    <w:p w14:paraId="462C7E87"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A82D0F">
        <w:rPr>
          <w:rFonts w:ascii="Verdana" w:hAnsi="Verdana"/>
          <w:sz w:val="16"/>
          <w:szCs w:val="16"/>
        </w:rPr>
        <w:t>smmlv</w:t>
      </w:r>
      <w:proofErr w:type="spellEnd"/>
      <w:r w:rsidRPr="00A82D0F">
        <w:rPr>
          <w:rFonts w:ascii="Verdana" w:hAnsi="Verdana"/>
          <w:sz w:val="16"/>
          <w:szCs w:val="16"/>
        </w:rPr>
        <w:t>.</w:t>
      </w:r>
    </w:p>
    <w:p w14:paraId="33FEDE68" w14:textId="77777777" w:rsidR="00407000" w:rsidRPr="00A82D0F" w:rsidRDefault="00407000" w:rsidP="004A7DF2">
      <w:pPr>
        <w:pStyle w:val="Textonotapie"/>
        <w:jc w:val="both"/>
        <w:rPr>
          <w:rFonts w:ascii="Verdana" w:hAnsi="Verdana"/>
          <w:sz w:val="16"/>
          <w:szCs w:val="16"/>
        </w:rPr>
      </w:pPr>
      <w:r w:rsidRPr="00A82D0F">
        <w:rPr>
          <w:rFonts w:ascii="Verdana" w:hAnsi="Verdana"/>
          <w:sz w:val="16"/>
          <w:szCs w:val="16"/>
        </w:rPr>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A82D0F">
        <w:rPr>
          <w:rFonts w:ascii="Verdana" w:hAnsi="Verdana"/>
          <w:sz w:val="16"/>
          <w:szCs w:val="16"/>
        </w:rPr>
        <w:t>smmlv</w:t>
      </w:r>
      <w:proofErr w:type="spellEnd"/>
      <w:r w:rsidRPr="00A82D0F">
        <w:rPr>
          <w:rFonts w:ascii="Verdana" w:hAnsi="Verdana"/>
          <w:sz w:val="16"/>
          <w:szCs w:val="16"/>
        </w:rPr>
        <w:t>.</w:t>
      </w:r>
    </w:p>
    <w:p w14:paraId="53A6FBB2" w14:textId="77777777" w:rsidR="00407000" w:rsidRPr="00A82D0F" w:rsidRDefault="00407000" w:rsidP="004A7DF2">
      <w:pPr>
        <w:pStyle w:val="Textonotapie"/>
        <w:ind w:firstLine="709"/>
        <w:jc w:val="both"/>
        <w:rPr>
          <w:rFonts w:ascii="Verdana" w:hAnsi="Verdana"/>
          <w:sz w:val="16"/>
          <w:szCs w:val="16"/>
        </w:rPr>
      </w:pPr>
      <w:r w:rsidRPr="00A82D0F">
        <w:rPr>
          <w:rFonts w:ascii="Verdana" w:hAnsi="Verdana"/>
          <w:sz w:val="16"/>
          <w:szCs w:val="16"/>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4812B32E"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3. Capacidad Financiera – los siguientes indicadores miden la fortaleza financiera del interesado:</w:t>
      </w:r>
    </w:p>
    <w:p w14:paraId="1070CB8C"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3.1. Índice de liquidez: activo corriente dividido por el pasivo corriente.</w:t>
      </w:r>
    </w:p>
    <w:p w14:paraId="523D798C"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3.2. Índice de endeudamiento: pasivo total dividido por el activo total.</w:t>
      </w:r>
    </w:p>
    <w:p w14:paraId="1B6CD8D6"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3.3. Razón de cobertura de intereses: utilidad operacional dividida por los gastos de intereses.</w:t>
      </w:r>
    </w:p>
    <w:p w14:paraId="39C74F93"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4. Capacidad Organizacional – los siguientes indicadores miden el rendimiento de las inversiones y la eficiencia en el uso de activos del interesado:</w:t>
      </w:r>
    </w:p>
    <w:p w14:paraId="2E449F55"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4.1. Rentabilidad del patrimonio: utilidad operacional dividida por el patrimonio.</w:t>
      </w:r>
    </w:p>
    <w:p w14:paraId="19A14D0F" w14:textId="77777777" w:rsidR="00407000" w:rsidRPr="00A82D0F" w:rsidRDefault="00407000" w:rsidP="004A7DF2">
      <w:pPr>
        <w:pStyle w:val="Textonotapie"/>
        <w:ind w:firstLine="567"/>
        <w:jc w:val="both"/>
        <w:rPr>
          <w:rFonts w:ascii="Verdana" w:hAnsi="Verdana"/>
          <w:sz w:val="16"/>
          <w:szCs w:val="16"/>
        </w:rPr>
      </w:pPr>
      <w:r w:rsidRPr="00A82D0F">
        <w:rPr>
          <w:rFonts w:ascii="Verdana" w:hAnsi="Verdana"/>
          <w:sz w:val="16"/>
          <w:szCs w:val="16"/>
        </w:rPr>
        <w:t>4.2. Rentabilidad del activo: utilidad operacional dividida por el activo total”.</w:t>
      </w:r>
    </w:p>
    <w:p w14:paraId="3855C925" w14:textId="77777777" w:rsidR="00903FFB" w:rsidRPr="00A82D0F" w:rsidRDefault="00903FFB" w:rsidP="004A7DF2">
      <w:pPr>
        <w:pStyle w:val="Textonotapie"/>
        <w:jc w:val="both"/>
        <w:rPr>
          <w:rFonts w:ascii="Verdana" w:hAnsi="Verdana"/>
          <w:sz w:val="16"/>
          <w:szCs w:val="16"/>
          <w:lang w:val="es-CO"/>
        </w:rPr>
      </w:pPr>
    </w:p>
  </w:footnote>
  <w:footnote w:id="6">
    <w:p w14:paraId="5C15EF5F" w14:textId="77777777" w:rsidR="00407000" w:rsidRPr="00A82D0F" w:rsidRDefault="00407000" w:rsidP="004A7DF2">
      <w:pPr>
        <w:pStyle w:val="Textonotapie"/>
        <w:ind w:firstLine="567"/>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813B6BD" w14:textId="77777777" w:rsidR="004E6BE2" w:rsidRPr="00A82D0F" w:rsidRDefault="004E6BE2" w:rsidP="004A7DF2">
      <w:pPr>
        <w:pStyle w:val="Textonotapie"/>
        <w:ind w:firstLine="567"/>
        <w:jc w:val="both"/>
        <w:rPr>
          <w:rFonts w:ascii="Verdana" w:hAnsi="Verdana"/>
          <w:sz w:val="16"/>
          <w:szCs w:val="16"/>
          <w:lang w:val="es-CO"/>
        </w:rPr>
      </w:pPr>
    </w:p>
  </w:footnote>
  <w:footnote w:id="7">
    <w:p w14:paraId="6B82D2E9" w14:textId="77777777" w:rsidR="008968DB" w:rsidRPr="00A82D0F" w:rsidRDefault="008968DB" w:rsidP="004A7DF2">
      <w:pPr>
        <w:pStyle w:val="Textonotapie"/>
        <w:ind w:left="119" w:firstLine="720"/>
        <w:jc w:val="both"/>
        <w:rPr>
          <w:rFonts w:ascii="Verdana" w:hAnsi="Verdana" w:cs="Arial"/>
          <w:sz w:val="16"/>
          <w:szCs w:val="16"/>
          <w:lang w:val="es-CO"/>
        </w:rPr>
      </w:pPr>
      <w:r w:rsidRPr="00A82D0F">
        <w:rPr>
          <w:rStyle w:val="Refdenotaalpie"/>
          <w:rFonts w:ascii="Verdana" w:hAnsi="Verdana"/>
          <w:sz w:val="16"/>
          <w:szCs w:val="16"/>
        </w:rPr>
        <w:footnoteRef/>
      </w:r>
      <w:r w:rsidRPr="00A82D0F">
        <w:rPr>
          <w:rFonts w:ascii="Verdana" w:hAnsi="Verdana" w:cs="Arial"/>
          <w:sz w:val="16"/>
          <w:szCs w:val="16"/>
        </w:rPr>
        <w:t xml:space="preserve"> Artículo 163. </w:t>
      </w:r>
      <w:r w:rsidRPr="00A82D0F">
        <w:rPr>
          <w:rFonts w:ascii="Verdana" w:hAnsi="Verdana" w:cs="Arial"/>
          <w:i/>
          <w:sz w:val="16"/>
          <w:szCs w:val="16"/>
        </w:rPr>
        <w:t>Derogatorias</w:t>
      </w:r>
      <w:r w:rsidRPr="00A82D0F">
        <w:rPr>
          <w:rFonts w:ascii="Verdana" w:hAnsi="Verdana" w:cs="Arial"/>
          <w:sz w:val="16"/>
          <w:szCs w:val="16"/>
        </w:rPr>
        <w:t>. El presente decreto deroga el Decreto número 734 de 2012 y el Decreto número 1397 de 2012.</w:t>
      </w:r>
    </w:p>
  </w:footnote>
  <w:footnote w:id="8">
    <w:p w14:paraId="14E21A66" w14:textId="77777777" w:rsidR="008968DB" w:rsidRPr="00A82D0F" w:rsidRDefault="008968DB" w:rsidP="004A7DF2">
      <w:pPr>
        <w:pStyle w:val="Textonotapie"/>
        <w:ind w:firstLine="708"/>
        <w:jc w:val="both"/>
        <w:rPr>
          <w:rFonts w:ascii="Verdana" w:hAnsi="Verdana" w:cs="Arial"/>
          <w:sz w:val="16"/>
          <w:szCs w:val="16"/>
        </w:rPr>
      </w:pPr>
    </w:p>
    <w:p w14:paraId="411B884E" w14:textId="77777777" w:rsidR="008968DB" w:rsidRPr="00A82D0F" w:rsidRDefault="008968DB" w:rsidP="004A7DF2">
      <w:pPr>
        <w:pStyle w:val="Textonotapie"/>
        <w:ind w:firstLine="708"/>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Estas reglas están contenidas en el Capítulo IX del Tratado de Libre Comercio entre Colombia y Estados Unidos, el cual dispone en el numerales 3 al 7 del artículo 9.6. con respecto a las especificaciones técnicas: </w:t>
      </w:r>
    </w:p>
    <w:p w14:paraId="5848FC97" w14:textId="2415CACD" w:rsidR="008968DB" w:rsidRPr="00A82D0F" w:rsidRDefault="004A7DF2" w:rsidP="004A7DF2">
      <w:pPr>
        <w:pStyle w:val="Textonotapie"/>
        <w:ind w:firstLine="708"/>
        <w:jc w:val="both"/>
        <w:rPr>
          <w:rFonts w:ascii="Verdana" w:hAnsi="Verdana" w:cs="Arial"/>
          <w:sz w:val="16"/>
          <w:szCs w:val="16"/>
        </w:rPr>
      </w:pPr>
      <w:r w:rsidRPr="00A82D0F">
        <w:rPr>
          <w:rFonts w:ascii="Verdana" w:eastAsia="Calibri" w:hAnsi="Verdana" w:cs="Arial"/>
          <w:sz w:val="16"/>
          <w:szCs w:val="16"/>
          <w:lang w:val="es-ES"/>
        </w:rPr>
        <w:t>“</w:t>
      </w:r>
      <w:r w:rsidR="008968DB" w:rsidRPr="00A82D0F">
        <w:rPr>
          <w:rStyle w:val="nfasis"/>
          <w:rFonts w:ascii="Verdana" w:hAnsi="Verdana" w:cs="Arial"/>
          <w:sz w:val="16"/>
          <w:szCs w:val="16"/>
        </w:rPr>
        <w:t>Especificaciones Técnicas</w:t>
      </w:r>
    </w:p>
    <w:p w14:paraId="030F080C" w14:textId="7311CF98" w:rsidR="008968DB" w:rsidRPr="00A82D0F" w:rsidRDefault="008968DB" w:rsidP="004A7DF2">
      <w:pPr>
        <w:pStyle w:val="NormalWeb"/>
        <w:shd w:val="clear" w:color="auto" w:fill="FFFFFF"/>
        <w:spacing w:before="0" w:beforeAutospacing="0" w:after="0" w:afterAutospacing="0"/>
        <w:ind w:firstLine="708"/>
        <w:jc w:val="both"/>
        <w:rPr>
          <w:rFonts w:ascii="Verdana" w:hAnsi="Verdana" w:cs="Arial"/>
          <w:sz w:val="16"/>
          <w:szCs w:val="16"/>
        </w:rPr>
      </w:pPr>
      <w:r w:rsidRPr="00A82D0F">
        <w:rPr>
          <w:rFonts w:ascii="Verdana" w:hAnsi="Verdana" w:cs="Arial"/>
          <w:sz w:val="16"/>
          <w:szCs w:val="16"/>
        </w:rPr>
        <w:t>3. Una entidad contratante no preparará, adoptará ni aplicará ninguna especificación técnica ni exigirá ningún procedimiento de evaluación de conformidad que tenga como propósito o efecto crear obstáculos innecesarios al comercio entre las Partes.</w:t>
      </w:r>
    </w:p>
    <w:p w14:paraId="72B46A01" w14:textId="0D55F21C" w:rsidR="008968DB" w:rsidRPr="00A82D0F" w:rsidRDefault="008968DB" w:rsidP="004A7DF2">
      <w:pPr>
        <w:pStyle w:val="NormalWeb"/>
        <w:shd w:val="clear" w:color="auto" w:fill="FFFFFF"/>
        <w:spacing w:before="0" w:beforeAutospacing="0" w:after="0" w:afterAutospacing="0"/>
        <w:ind w:firstLine="708"/>
        <w:jc w:val="both"/>
        <w:rPr>
          <w:rFonts w:ascii="Verdana" w:hAnsi="Verdana" w:cs="Arial"/>
          <w:sz w:val="16"/>
          <w:szCs w:val="16"/>
        </w:rPr>
      </w:pPr>
      <w:r w:rsidRPr="00A82D0F">
        <w:rPr>
          <w:rFonts w:ascii="Verdana" w:hAnsi="Verdana" w:cs="Arial"/>
          <w:sz w:val="16"/>
          <w:szCs w:val="16"/>
        </w:rPr>
        <w:t xml:space="preserve">4 </w:t>
      </w:r>
      <w:proofErr w:type="gramStart"/>
      <w:r w:rsidRPr="00A82D0F">
        <w:rPr>
          <w:rFonts w:ascii="Verdana" w:hAnsi="Verdana" w:cs="Arial"/>
          <w:sz w:val="16"/>
          <w:szCs w:val="16"/>
        </w:rPr>
        <w:t>Al</w:t>
      </w:r>
      <w:proofErr w:type="gramEnd"/>
      <w:r w:rsidRPr="00A82D0F">
        <w:rPr>
          <w:rFonts w:ascii="Verdana" w:hAnsi="Verdana" w:cs="Arial"/>
          <w:sz w:val="16"/>
          <w:szCs w:val="16"/>
        </w:rPr>
        <w:t xml:space="preserve"> establecer cualquier especificación técnica para una mercancía o servicio a ser contratado, la entidad contratante deberá:</w:t>
      </w:r>
    </w:p>
    <w:p w14:paraId="0E53AAAB" w14:textId="21F3E26D" w:rsidR="008968DB" w:rsidRPr="00A82D0F" w:rsidRDefault="008968DB" w:rsidP="004A7DF2">
      <w:pPr>
        <w:pStyle w:val="NormalWeb"/>
        <w:shd w:val="clear" w:color="auto" w:fill="FFFFFF"/>
        <w:spacing w:before="0" w:beforeAutospacing="0" w:after="0" w:afterAutospacing="0"/>
        <w:ind w:firstLine="708"/>
        <w:jc w:val="both"/>
        <w:rPr>
          <w:rFonts w:ascii="Verdana" w:hAnsi="Verdana" w:cs="Arial"/>
          <w:sz w:val="16"/>
          <w:szCs w:val="16"/>
        </w:rPr>
      </w:pPr>
      <w:r w:rsidRPr="00A82D0F">
        <w:rPr>
          <w:rFonts w:ascii="Verdana" w:hAnsi="Verdana" w:cs="Arial"/>
          <w:sz w:val="16"/>
          <w:szCs w:val="16"/>
        </w:rPr>
        <w:t>(a) precisar la especificación técnica, de ser apropiado, en términos de desempeño y requisitos funcionales, más que en términos de características de diseño o descriptivas; y</w:t>
      </w:r>
    </w:p>
    <w:p w14:paraId="3AC727BB" w14:textId="185C80AC" w:rsidR="008968DB" w:rsidRPr="00A82D0F" w:rsidRDefault="008968DB" w:rsidP="004A7DF2">
      <w:pPr>
        <w:pStyle w:val="NormalWeb"/>
        <w:shd w:val="clear" w:color="auto" w:fill="FFFFFF"/>
        <w:spacing w:before="0" w:beforeAutospacing="0" w:after="0" w:afterAutospacing="0"/>
        <w:ind w:firstLine="708"/>
        <w:jc w:val="both"/>
        <w:rPr>
          <w:rFonts w:ascii="Verdana" w:hAnsi="Verdana" w:cs="Arial"/>
          <w:sz w:val="16"/>
          <w:szCs w:val="16"/>
        </w:rPr>
      </w:pPr>
      <w:r w:rsidRPr="00A82D0F">
        <w:rPr>
          <w:rFonts w:ascii="Verdana" w:hAnsi="Verdana" w:cs="Arial"/>
          <w:sz w:val="16"/>
          <w:szCs w:val="16"/>
        </w:rPr>
        <w:t>(b) basar la especificación técnica en estándares internacionales, cuando existan y sean aplicables a la entidad contratante, salvo que la utilización de un estándar internacional no satisfaga los requerimientos del programa de la entidad o imponga una carga mayor que el empleo de un estándar nacional reconocido.</w:t>
      </w:r>
    </w:p>
    <w:p w14:paraId="054C00F6" w14:textId="2FC10307" w:rsidR="008968DB" w:rsidRPr="00A82D0F" w:rsidRDefault="008968DB" w:rsidP="004A7DF2">
      <w:pPr>
        <w:pStyle w:val="NormalWeb"/>
        <w:shd w:val="clear" w:color="auto" w:fill="FFFFFF"/>
        <w:spacing w:before="0" w:beforeAutospacing="0" w:after="0" w:afterAutospacing="0"/>
        <w:ind w:firstLine="708"/>
        <w:jc w:val="both"/>
        <w:rPr>
          <w:rFonts w:ascii="Verdana" w:hAnsi="Verdana" w:cs="Arial"/>
          <w:sz w:val="16"/>
          <w:szCs w:val="16"/>
        </w:rPr>
      </w:pPr>
      <w:r w:rsidRPr="00A82D0F">
        <w:rPr>
          <w:rFonts w:ascii="Verdana" w:hAnsi="Verdana" w:cs="Arial"/>
          <w:sz w:val="16"/>
          <w:szCs w:val="16"/>
        </w:rPr>
        <w:t>5. Una entidad contratante no establecerá ninguna especificación técnica que requiera o haga referencia a una determinada marca o nombre comercial, patente, derecho de autor, diseño o tipo, origen específico, productor o proveedor, salvo que no exista otra manera suficientemente precisa o comprensible de describir los requisitos de la contratación pública y siempre que, en tales casos, se incluya también en los documentos de contratación expresiones tales como "o equivalente".</w:t>
      </w:r>
    </w:p>
    <w:p w14:paraId="1C2F00A9" w14:textId="1A9DF465" w:rsidR="008968DB" w:rsidRPr="00A82D0F" w:rsidRDefault="008968DB" w:rsidP="004A7DF2">
      <w:pPr>
        <w:pStyle w:val="NormalWeb"/>
        <w:shd w:val="clear" w:color="auto" w:fill="FFFFFF"/>
        <w:spacing w:before="0" w:beforeAutospacing="0" w:after="0" w:afterAutospacing="0"/>
        <w:ind w:firstLine="708"/>
        <w:jc w:val="both"/>
        <w:rPr>
          <w:rFonts w:ascii="Verdana" w:hAnsi="Verdana" w:cs="Arial"/>
          <w:sz w:val="16"/>
          <w:szCs w:val="16"/>
        </w:rPr>
      </w:pPr>
      <w:r w:rsidRPr="00A82D0F">
        <w:rPr>
          <w:rFonts w:ascii="Verdana" w:hAnsi="Verdana" w:cs="Arial"/>
          <w:sz w:val="16"/>
          <w:szCs w:val="16"/>
        </w:rPr>
        <w:t>6. Una entidad contratante no solicitará ni aceptará, de manera que pueda tener por efecto impedir la competencia, asesoramiento que pudiera utilizarse para preparar o adoptar cualquier especificación técnica para una contratación pública específica proveniente de cualquier persona que pueda tener interés comercial en esa contratación pública.</w:t>
      </w:r>
    </w:p>
    <w:p w14:paraId="250E35F1" w14:textId="77777777" w:rsidR="004A7DF2" w:rsidRPr="00A82D0F" w:rsidRDefault="004A7DF2" w:rsidP="004A7DF2">
      <w:pPr>
        <w:pStyle w:val="NormalWeb"/>
        <w:shd w:val="clear" w:color="auto" w:fill="FFFFFF"/>
        <w:spacing w:before="0" w:beforeAutospacing="0" w:after="0" w:afterAutospacing="0"/>
        <w:ind w:firstLine="708"/>
        <w:jc w:val="both"/>
        <w:rPr>
          <w:rFonts w:ascii="Verdana" w:hAnsi="Verdana" w:cs="Arial"/>
          <w:sz w:val="16"/>
          <w:szCs w:val="16"/>
        </w:rPr>
      </w:pPr>
    </w:p>
  </w:footnote>
  <w:footnote w:id="9">
    <w:p w14:paraId="0A367B64" w14:textId="77777777" w:rsidR="00725636" w:rsidRPr="00A82D0F" w:rsidRDefault="00725636" w:rsidP="004A7DF2">
      <w:pPr>
        <w:pStyle w:val="Textonotapie"/>
        <w:ind w:firstLine="708"/>
        <w:jc w:val="both"/>
        <w:rPr>
          <w:rFonts w:ascii="Verdana" w:hAnsi="Verdana" w:cs="Arial"/>
          <w:sz w:val="16"/>
          <w:szCs w:val="16"/>
          <w:lang w:val="es-CO"/>
        </w:rPr>
      </w:pPr>
      <w:r w:rsidRPr="00A82D0F">
        <w:rPr>
          <w:rStyle w:val="Refdenotaalpie"/>
          <w:rFonts w:ascii="Verdana" w:hAnsi="Verdana"/>
          <w:sz w:val="16"/>
          <w:szCs w:val="16"/>
        </w:rPr>
        <w:footnoteRef/>
      </w:r>
      <w:r w:rsidRPr="00A82D0F">
        <w:rPr>
          <w:rFonts w:ascii="Verdana" w:hAnsi="Verdana" w:cs="Arial"/>
          <w:sz w:val="16"/>
          <w:szCs w:val="16"/>
        </w:rPr>
        <w:t xml:space="preserve"> En los tratados de Libre Comercio con AELC, Unión Europea, entre otros se establece la restricción para la exigencia de marcas en los procesos de contratación pública.  </w:t>
      </w:r>
    </w:p>
  </w:footnote>
  <w:footnote w:id="10">
    <w:p w14:paraId="306CDDC8" w14:textId="77777777" w:rsidR="008A2AFC" w:rsidRPr="00A82D0F" w:rsidRDefault="008A2AFC" w:rsidP="004A7DF2">
      <w:pPr>
        <w:spacing w:after="0" w:line="240" w:lineRule="auto"/>
        <w:ind w:firstLine="708"/>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Ley 80 de 1993: “Art. 13. DE LA NORMATIVIDAD APLICABLE A LOS CONTRATOS ESTATALES.</w:t>
      </w:r>
    </w:p>
    <w:p w14:paraId="5B8511D4" w14:textId="77777777" w:rsidR="008A2AFC" w:rsidRPr="00A82D0F" w:rsidRDefault="008A2AFC" w:rsidP="004A7DF2">
      <w:pPr>
        <w:spacing w:after="0" w:line="240" w:lineRule="auto"/>
        <w:ind w:left="119"/>
        <w:jc w:val="both"/>
        <w:rPr>
          <w:rFonts w:ascii="Verdana" w:hAnsi="Verdana" w:cs="Arial"/>
          <w:sz w:val="16"/>
          <w:szCs w:val="16"/>
        </w:rPr>
      </w:pPr>
      <w:r w:rsidRPr="00A82D0F">
        <w:rPr>
          <w:rFonts w:ascii="Verdana" w:hAnsi="Verdana" w:cs="Arial"/>
          <w:sz w:val="16"/>
          <w:szCs w:val="16"/>
        </w:rPr>
        <w:t>Los contratos que celebren las entidades a que se refiere el artículo 2 del presente estatuto se regirán por las disposiciones comerciales y civiles pertinentes, salvo en las materias particularmente reguladas en esta ley”.</w:t>
      </w:r>
    </w:p>
  </w:footnote>
  <w:footnote w:id="11">
    <w:p w14:paraId="1B09D97F" w14:textId="77777777" w:rsidR="008A2AFC" w:rsidRPr="00A82D0F" w:rsidRDefault="008A2AFC" w:rsidP="004A7DF2">
      <w:pPr>
        <w:pStyle w:val="Textonotapie"/>
        <w:ind w:left="119" w:firstLine="720"/>
        <w:jc w:val="both"/>
        <w:rPr>
          <w:rFonts w:ascii="Verdana" w:hAnsi="Verdana" w:cs="Arial"/>
          <w:sz w:val="16"/>
          <w:szCs w:val="16"/>
        </w:rPr>
      </w:pPr>
    </w:p>
    <w:p w14:paraId="63E98AB1" w14:textId="5F15652B" w:rsidR="008A2AFC" w:rsidRPr="00A82D0F" w:rsidRDefault="008A2AFC" w:rsidP="004A7DF2">
      <w:pPr>
        <w:pStyle w:val="Textonotapie"/>
        <w:ind w:left="119" w:firstLine="720"/>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Ley 80 de 1993: </w:t>
      </w:r>
      <w:r w:rsidR="004A7DF2" w:rsidRPr="00A82D0F">
        <w:rPr>
          <w:rFonts w:ascii="Verdana" w:eastAsia="Calibri" w:hAnsi="Verdana" w:cs="Arial"/>
          <w:sz w:val="16"/>
          <w:szCs w:val="16"/>
          <w:lang w:val="es-ES"/>
        </w:rPr>
        <w:t>“</w:t>
      </w:r>
      <w:r w:rsidRPr="00A82D0F">
        <w:rPr>
          <w:rFonts w:ascii="Verdana" w:hAnsi="Verdana" w:cs="Arial"/>
          <w:sz w:val="16"/>
          <w:szCs w:val="16"/>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sidR="004A7DF2" w:rsidRPr="00A82D0F">
        <w:rPr>
          <w:rFonts w:ascii="Verdana" w:hAnsi="Verdana" w:cs="Arial"/>
          <w:sz w:val="16"/>
          <w:szCs w:val="16"/>
        </w:rPr>
        <w:t>”.</w:t>
      </w:r>
    </w:p>
    <w:p w14:paraId="117A92ED" w14:textId="77777777" w:rsidR="008A2AFC" w:rsidRPr="00A82D0F" w:rsidRDefault="008A2AFC" w:rsidP="004A7DF2">
      <w:pPr>
        <w:pStyle w:val="Textonotapie"/>
        <w:ind w:left="119" w:firstLine="720"/>
        <w:jc w:val="both"/>
        <w:rPr>
          <w:rFonts w:ascii="Verdana" w:hAnsi="Verdana" w:cs="Arial"/>
          <w:sz w:val="16"/>
          <w:szCs w:val="16"/>
          <w:lang w:val="es-CO"/>
        </w:rPr>
      </w:pPr>
    </w:p>
  </w:footnote>
  <w:footnote w:id="12">
    <w:p w14:paraId="266353C8" w14:textId="58B1F711" w:rsidR="008A2AFC" w:rsidRPr="00A82D0F" w:rsidRDefault="008A2AFC" w:rsidP="004A7DF2">
      <w:pPr>
        <w:spacing w:after="0" w:line="240" w:lineRule="auto"/>
        <w:ind w:left="119" w:right="103" w:firstLine="707"/>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Ley 80 de 1993: </w:t>
      </w:r>
      <w:r w:rsidR="004A7DF2" w:rsidRPr="00A82D0F">
        <w:rPr>
          <w:rFonts w:ascii="Verdana" w:eastAsia="Calibri" w:hAnsi="Verdana" w:cs="Arial"/>
          <w:sz w:val="16"/>
          <w:szCs w:val="16"/>
          <w:lang w:val="es-ES"/>
        </w:rPr>
        <w:t>“</w:t>
      </w:r>
      <w:r w:rsidRPr="00A82D0F">
        <w:rPr>
          <w:rFonts w:ascii="Verdana" w:hAnsi="Verdana" w:cs="Arial"/>
          <w:sz w:val="16"/>
          <w:szCs w:val="16"/>
        </w:rPr>
        <w:t xml:space="preserve">Art. 40. DEL CONTENIDO DEL CONTRATO ESTATAL. Las estipulaciones de los contratos serán las </w:t>
      </w:r>
      <w:proofErr w:type="gramStart"/>
      <w:r w:rsidRPr="00A82D0F">
        <w:rPr>
          <w:rFonts w:ascii="Verdana" w:hAnsi="Verdana" w:cs="Arial"/>
          <w:sz w:val="16"/>
          <w:szCs w:val="16"/>
        </w:rPr>
        <w:t>que</w:t>
      </w:r>
      <w:proofErr w:type="gramEnd"/>
      <w:r w:rsidRPr="00A82D0F">
        <w:rPr>
          <w:rFonts w:ascii="Verdana" w:hAnsi="Verdana" w:cs="Arial"/>
          <w:sz w:val="16"/>
          <w:szCs w:val="16"/>
        </w:rPr>
        <w:t xml:space="preserve"> de acuerdo con las normas civiles, comerciales y las previstas en esta ley, correspondan a su esencia y naturaleza.</w:t>
      </w:r>
    </w:p>
    <w:p w14:paraId="4B91F6A6" w14:textId="0866AD8F" w:rsidR="008A2AFC" w:rsidRPr="00A82D0F" w:rsidRDefault="008A2AFC" w:rsidP="004A7DF2">
      <w:pPr>
        <w:spacing w:after="0" w:line="240" w:lineRule="auto"/>
        <w:ind w:left="119" w:right="108" w:firstLine="589"/>
        <w:jc w:val="both"/>
        <w:rPr>
          <w:rFonts w:ascii="Verdana" w:hAnsi="Verdana"/>
          <w:sz w:val="16"/>
          <w:szCs w:val="16"/>
        </w:rPr>
      </w:pPr>
      <w:r w:rsidRPr="00A82D0F">
        <w:rPr>
          <w:rFonts w:ascii="Verdana" w:hAnsi="Verdana" w:cs="Arial"/>
          <w:sz w:val="16"/>
          <w:szCs w:val="16"/>
        </w:rPr>
        <w:t>Las entidades podrán celebrar los contratos y acuerdos que permitan la autonomía de la voluntad y requieran el cumplimiento de los fines estatales.</w:t>
      </w:r>
    </w:p>
    <w:p w14:paraId="39B013B9" w14:textId="039FD82B" w:rsidR="008A2AFC" w:rsidRPr="00A82D0F" w:rsidRDefault="008A2AFC" w:rsidP="004A7DF2">
      <w:pPr>
        <w:spacing w:after="0" w:line="240" w:lineRule="auto"/>
        <w:ind w:left="119" w:right="103" w:firstLine="589"/>
        <w:jc w:val="both"/>
        <w:rPr>
          <w:rFonts w:ascii="Verdana" w:hAnsi="Verdana"/>
          <w:sz w:val="16"/>
          <w:szCs w:val="16"/>
        </w:rPr>
      </w:pPr>
      <w:r w:rsidRPr="00A82D0F">
        <w:rPr>
          <w:rFonts w:ascii="Verdana" w:hAnsi="Verdana" w:cs="Arial"/>
          <w:sz w:val="16"/>
          <w:szCs w:val="16"/>
        </w:rPr>
        <w:t xml:space="preserve">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w:t>
      </w:r>
      <w:proofErr w:type="spellStart"/>
      <w:r w:rsidRPr="00A82D0F">
        <w:rPr>
          <w:rFonts w:ascii="Verdana" w:hAnsi="Verdana" w:cs="Arial"/>
          <w:sz w:val="16"/>
          <w:szCs w:val="16"/>
        </w:rPr>
        <w:t>de l</w:t>
      </w:r>
      <w:proofErr w:type="spellEnd"/>
      <w:r w:rsidRPr="00A82D0F">
        <w:rPr>
          <w:rFonts w:ascii="Verdana" w:hAnsi="Verdana" w:cs="Arial"/>
          <w:sz w:val="16"/>
          <w:szCs w:val="16"/>
        </w:rPr>
        <w:t xml:space="preserve"> buena administración.</w:t>
      </w:r>
    </w:p>
    <w:p w14:paraId="32F17CBF" w14:textId="66C547BC" w:rsidR="008A2AFC" w:rsidRPr="00A82D0F" w:rsidRDefault="008A2AFC" w:rsidP="004A7DF2">
      <w:pPr>
        <w:spacing w:after="0" w:line="240" w:lineRule="auto"/>
        <w:ind w:left="119" w:right="103" w:firstLine="589"/>
        <w:jc w:val="both"/>
        <w:rPr>
          <w:rFonts w:ascii="Verdana" w:hAnsi="Verdana" w:cs="Arial"/>
          <w:sz w:val="16"/>
          <w:szCs w:val="16"/>
        </w:rPr>
      </w:pPr>
      <w:r w:rsidRPr="00A82D0F">
        <w:rPr>
          <w:rFonts w:ascii="Verdana" w:hAnsi="Verdana" w:cs="Arial"/>
          <w:sz w:val="16"/>
          <w:szCs w:val="16"/>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004A7DF2" w:rsidRPr="00A82D0F">
        <w:rPr>
          <w:rFonts w:ascii="Verdana" w:eastAsia="Calibri" w:hAnsi="Verdana" w:cs="Arial"/>
          <w:color w:val="000000"/>
          <w:sz w:val="16"/>
          <w:szCs w:val="16"/>
        </w:rPr>
        <w:t>”</w:t>
      </w:r>
      <w:r w:rsidRPr="00A82D0F">
        <w:rPr>
          <w:rFonts w:ascii="Verdana" w:hAnsi="Verdana" w:cs="Arial"/>
          <w:sz w:val="16"/>
          <w:szCs w:val="16"/>
        </w:rPr>
        <w:t>.</w:t>
      </w:r>
    </w:p>
    <w:p w14:paraId="754B6B5F" w14:textId="77777777" w:rsidR="008A2AFC" w:rsidRPr="00A82D0F" w:rsidRDefault="008A2AFC" w:rsidP="004A7DF2">
      <w:pPr>
        <w:pStyle w:val="Textonotapie"/>
        <w:ind w:left="119"/>
        <w:jc w:val="both"/>
        <w:rPr>
          <w:rFonts w:ascii="Verdana" w:hAnsi="Verdana" w:cs="Arial"/>
          <w:sz w:val="16"/>
          <w:szCs w:val="16"/>
          <w:lang w:val="es-CO"/>
        </w:rPr>
      </w:pPr>
    </w:p>
  </w:footnote>
  <w:footnote w:id="13">
    <w:p w14:paraId="6963205B" w14:textId="77777777" w:rsidR="008A2AFC" w:rsidRPr="00A82D0F" w:rsidRDefault="008A2AFC" w:rsidP="004A7DF2">
      <w:pPr>
        <w:spacing w:after="0" w:line="240" w:lineRule="auto"/>
        <w:ind w:left="119" w:right="111" w:firstLine="707"/>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Consejo de Estado. Sección Tercera. Subsección C. Sentencia del 24 de marzo de 2011, Rad. 1998-00752 (18.118). C.P. Jaime Orlando Santofimio Gamboa. Salvamento de voto del </w:t>
      </w:r>
      <w:proofErr w:type="gramStart"/>
      <w:r w:rsidRPr="00A82D0F">
        <w:rPr>
          <w:rFonts w:ascii="Verdana" w:hAnsi="Verdana" w:cs="Arial"/>
          <w:sz w:val="16"/>
          <w:szCs w:val="16"/>
        </w:rPr>
        <w:t>Consejero</w:t>
      </w:r>
      <w:proofErr w:type="gramEnd"/>
      <w:r w:rsidRPr="00A82D0F">
        <w:rPr>
          <w:rFonts w:ascii="Verdana" w:hAnsi="Verdana" w:cs="Arial"/>
          <w:sz w:val="16"/>
          <w:szCs w:val="16"/>
        </w:rPr>
        <w:t xml:space="preserve"> Enrique Gil Botero.</w:t>
      </w:r>
    </w:p>
    <w:p w14:paraId="1ADD4536" w14:textId="77777777" w:rsidR="008A2AFC" w:rsidRPr="00A82D0F" w:rsidRDefault="008A2AFC" w:rsidP="004A7DF2">
      <w:pPr>
        <w:pStyle w:val="Textonotapie"/>
        <w:ind w:left="119"/>
        <w:jc w:val="both"/>
        <w:rPr>
          <w:rFonts w:ascii="Verdana" w:hAnsi="Verdana" w:cs="Arial"/>
          <w:sz w:val="16"/>
          <w:szCs w:val="16"/>
          <w:lang w:val="es-CO"/>
        </w:rPr>
      </w:pPr>
    </w:p>
  </w:footnote>
  <w:footnote w:id="14">
    <w:p w14:paraId="35B4EFA6" w14:textId="37761F14" w:rsidR="008A2AFC" w:rsidRPr="00A82D0F" w:rsidRDefault="008A2AFC" w:rsidP="004A7DF2">
      <w:pPr>
        <w:pStyle w:val="Textonotapie"/>
        <w:ind w:left="119" w:firstLine="720"/>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w:t>
      </w:r>
      <w:r w:rsidR="001621BB" w:rsidRPr="00A82D0F">
        <w:rPr>
          <w:rFonts w:ascii="Verdana" w:hAnsi="Verdana" w:cs="Arial"/>
          <w:sz w:val="16"/>
          <w:szCs w:val="16"/>
        </w:rPr>
        <w:t>I</w:t>
      </w:r>
      <w:r w:rsidRPr="00A82D0F">
        <w:rPr>
          <w:rFonts w:ascii="Verdana" w:hAnsi="Verdana" w:cs="Arial"/>
          <w:sz w:val="16"/>
          <w:szCs w:val="16"/>
        </w:rPr>
        <w:t xml:space="preserve">bídem.  </w:t>
      </w:r>
    </w:p>
    <w:p w14:paraId="4CC53AC2" w14:textId="77777777" w:rsidR="00205EC7" w:rsidRPr="00A82D0F" w:rsidRDefault="00205EC7" w:rsidP="004A7DF2">
      <w:pPr>
        <w:pStyle w:val="Textonotapie"/>
        <w:ind w:left="119" w:firstLine="720"/>
        <w:jc w:val="both"/>
        <w:rPr>
          <w:rFonts w:ascii="Verdana" w:hAnsi="Verdana" w:cs="Arial"/>
          <w:sz w:val="16"/>
          <w:szCs w:val="16"/>
          <w:lang w:val="es-CO"/>
        </w:rPr>
      </w:pPr>
    </w:p>
  </w:footnote>
  <w:footnote w:id="15">
    <w:p w14:paraId="795A94A2" w14:textId="3882659B" w:rsidR="008A2AFC" w:rsidRPr="00A82D0F" w:rsidRDefault="008A2AFC" w:rsidP="004A7DF2">
      <w:pPr>
        <w:pStyle w:val="Textonotapie"/>
        <w:ind w:firstLine="708"/>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w:t>
      </w:r>
      <w:proofErr w:type="spellStart"/>
      <w:r w:rsidRPr="00A82D0F">
        <w:rPr>
          <w:rFonts w:ascii="Verdana" w:hAnsi="Verdana" w:cs="Arial"/>
          <w:sz w:val="16"/>
          <w:szCs w:val="16"/>
        </w:rPr>
        <w:t>Ibídem</w:t>
      </w:r>
      <w:proofErr w:type="spellEnd"/>
      <w:r w:rsidR="00205EC7" w:rsidRPr="00A82D0F">
        <w:rPr>
          <w:rFonts w:ascii="Verdana" w:hAnsi="Verdana" w:cs="Arial"/>
          <w:sz w:val="16"/>
          <w:szCs w:val="16"/>
        </w:rPr>
        <w:t>.</w:t>
      </w:r>
      <w:r w:rsidRPr="00A82D0F">
        <w:rPr>
          <w:rFonts w:ascii="Verdana" w:hAnsi="Verdana" w:cs="Arial"/>
          <w:sz w:val="16"/>
          <w:szCs w:val="16"/>
        </w:rPr>
        <w:t xml:space="preserve">  </w:t>
      </w:r>
    </w:p>
    <w:p w14:paraId="5203A819" w14:textId="77777777" w:rsidR="00205EC7" w:rsidRPr="00A82D0F" w:rsidRDefault="00205EC7" w:rsidP="004A7DF2">
      <w:pPr>
        <w:pStyle w:val="Textonotapie"/>
        <w:ind w:firstLine="708"/>
        <w:jc w:val="both"/>
        <w:rPr>
          <w:rFonts w:ascii="Verdana" w:hAnsi="Verdana" w:cs="Arial"/>
          <w:sz w:val="16"/>
          <w:szCs w:val="16"/>
          <w:lang w:val="es-CO"/>
        </w:rPr>
      </w:pPr>
    </w:p>
  </w:footnote>
  <w:footnote w:id="16">
    <w:p w14:paraId="2305092F" w14:textId="1489A549" w:rsidR="008A2AFC" w:rsidRPr="00A82D0F" w:rsidRDefault="008A2AFC" w:rsidP="004A7DF2">
      <w:pPr>
        <w:pStyle w:val="Textonotapie"/>
        <w:ind w:firstLine="709"/>
        <w:jc w:val="both"/>
        <w:rPr>
          <w:rFonts w:ascii="Verdana" w:hAnsi="Verdana" w:cs="Arial"/>
          <w:sz w:val="16"/>
          <w:szCs w:val="16"/>
        </w:rPr>
      </w:pPr>
      <w:r w:rsidRPr="00A82D0F">
        <w:rPr>
          <w:rStyle w:val="Refdenotaalpie"/>
          <w:rFonts w:ascii="Verdana" w:hAnsi="Verdana"/>
          <w:sz w:val="16"/>
          <w:szCs w:val="16"/>
        </w:rPr>
        <w:footnoteRef/>
      </w:r>
      <w:r w:rsidRPr="00A82D0F">
        <w:rPr>
          <w:rFonts w:ascii="Verdana" w:hAnsi="Verdana" w:cs="Arial"/>
          <w:sz w:val="16"/>
          <w:szCs w:val="16"/>
        </w:rPr>
        <w:t xml:space="preserve"> Sobre el principio de proporcionalidad en la discrecionalidad administrativa la doctrina nacional ha señalado: </w:t>
      </w:r>
      <w:r w:rsidR="00205EC7" w:rsidRPr="00A82D0F">
        <w:rPr>
          <w:rFonts w:ascii="Verdana" w:hAnsi="Verdana" w:cs="Arial"/>
          <w:sz w:val="16"/>
          <w:szCs w:val="16"/>
        </w:rPr>
        <w:t>“</w:t>
      </w:r>
      <w:r w:rsidRPr="00A82D0F">
        <w:rPr>
          <w:rFonts w:ascii="Verdana" w:hAnsi="Verdana" w:cs="Arial"/>
          <w:sz w:val="16"/>
          <w:szCs w:val="16"/>
        </w:rPr>
        <w:t>[…]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133E0D25" w14:textId="1F9272EB" w:rsidR="008A2AFC" w:rsidRPr="00A82D0F" w:rsidRDefault="008A2AFC" w:rsidP="004A7DF2">
      <w:pPr>
        <w:pStyle w:val="Textonotapie"/>
        <w:ind w:firstLine="708"/>
        <w:jc w:val="both"/>
        <w:rPr>
          <w:rFonts w:ascii="Verdana" w:hAnsi="Verdana" w:cs="Arial"/>
          <w:sz w:val="16"/>
          <w:szCs w:val="16"/>
        </w:rPr>
      </w:pPr>
      <w:r w:rsidRPr="00A82D0F">
        <w:rPr>
          <w:rFonts w:ascii="Verdana" w:hAnsi="Verdana" w:cs="Arial"/>
          <w:sz w:val="16"/>
          <w:szCs w:val="16"/>
        </w:rPr>
        <w:t>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w:t>
      </w:r>
      <w:r w:rsidR="00205EC7" w:rsidRPr="00A82D0F">
        <w:rPr>
          <w:rFonts w:ascii="Verdana" w:hAnsi="Verdana" w:cs="Arial"/>
          <w:sz w:val="16"/>
          <w:szCs w:val="16"/>
        </w:rPr>
        <w:t>”</w:t>
      </w:r>
      <w:r w:rsidRPr="00A82D0F">
        <w:rPr>
          <w:rFonts w:ascii="Verdana" w:hAnsi="Verdana" w:cs="Arial"/>
          <w:sz w:val="16"/>
          <w:szCs w:val="16"/>
        </w:rPr>
        <w:t xml:space="preserve">. MARÍN HERNÁNDEZ, Hugo Alberto. Naturaleza jurídica de las facultades de la Administración para confeccionar pliego de condiciones. En: Revista digital de Derecho Administrativo. </w:t>
      </w:r>
      <w:proofErr w:type="spellStart"/>
      <w:r w:rsidRPr="00A82D0F">
        <w:rPr>
          <w:rFonts w:ascii="Verdana" w:hAnsi="Verdana" w:cs="Arial"/>
          <w:sz w:val="16"/>
          <w:szCs w:val="16"/>
        </w:rPr>
        <w:t>Vol</w:t>
      </w:r>
      <w:proofErr w:type="spellEnd"/>
      <w:r w:rsidRPr="00A82D0F">
        <w:rPr>
          <w:rFonts w:ascii="Verdana" w:hAnsi="Verdana" w:cs="Arial"/>
          <w:sz w:val="16"/>
          <w:szCs w:val="16"/>
        </w:rPr>
        <w:t xml:space="preserve"> I. </w:t>
      </w:r>
      <w:proofErr w:type="spellStart"/>
      <w:r w:rsidRPr="00A82D0F">
        <w:rPr>
          <w:rFonts w:ascii="Verdana" w:hAnsi="Verdana" w:cs="Arial"/>
          <w:sz w:val="16"/>
          <w:szCs w:val="16"/>
        </w:rPr>
        <w:t>Bogota</w:t>
      </w:r>
      <w:proofErr w:type="spellEnd"/>
      <w:r w:rsidRPr="00A82D0F">
        <w:rPr>
          <w:rFonts w:ascii="Verdana" w:hAnsi="Verdana" w:cs="Arial"/>
          <w:sz w:val="16"/>
          <w:szCs w:val="16"/>
        </w:rPr>
        <w:t xml:space="preserve">: Universidad Externado de Colombia, 2008. pp. 13-14.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B13"/>
      </v:shape>
    </w:pict>
  </w:numPicBullet>
  <w:abstractNum w:abstractNumId="0" w15:restartNumberingAfterBreak="0">
    <w:nsid w:val="01C06310"/>
    <w:multiLevelType w:val="multilevel"/>
    <w:tmpl w:val="6F4C3226"/>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056"/>
    <w:rsid w:val="00016F78"/>
    <w:rsid w:val="00033AE2"/>
    <w:rsid w:val="00046945"/>
    <w:rsid w:val="00061B2A"/>
    <w:rsid w:val="00082362"/>
    <w:rsid w:val="000A1513"/>
    <w:rsid w:val="000A683E"/>
    <w:rsid w:val="000B19B9"/>
    <w:rsid w:val="000D0334"/>
    <w:rsid w:val="000F6486"/>
    <w:rsid w:val="00125105"/>
    <w:rsid w:val="00127233"/>
    <w:rsid w:val="001511A0"/>
    <w:rsid w:val="001621BB"/>
    <w:rsid w:val="001827BF"/>
    <w:rsid w:val="001841EE"/>
    <w:rsid w:val="001E4177"/>
    <w:rsid w:val="001F1C53"/>
    <w:rsid w:val="001F7DC6"/>
    <w:rsid w:val="00205EC7"/>
    <w:rsid w:val="002359D5"/>
    <w:rsid w:val="002421BB"/>
    <w:rsid w:val="0025796E"/>
    <w:rsid w:val="002707A2"/>
    <w:rsid w:val="002951A0"/>
    <w:rsid w:val="002962BC"/>
    <w:rsid w:val="002A093D"/>
    <w:rsid w:val="002A0DD0"/>
    <w:rsid w:val="002A49AC"/>
    <w:rsid w:val="002A64FD"/>
    <w:rsid w:val="002B0A24"/>
    <w:rsid w:val="002C7A84"/>
    <w:rsid w:val="002E4FD9"/>
    <w:rsid w:val="003152D7"/>
    <w:rsid w:val="00316E2C"/>
    <w:rsid w:val="00322A85"/>
    <w:rsid w:val="00324168"/>
    <w:rsid w:val="003448F4"/>
    <w:rsid w:val="003457F3"/>
    <w:rsid w:val="003475AD"/>
    <w:rsid w:val="00374F5E"/>
    <w:rsid w:val="00377E3E"/>
    <w:rsid w:val="003948ED"/>
    <w:rsid w:val="0039750A"/>
    <w:rsid w:val="003A779E"/>
    <w:rsid w:val="003D0F4D"/>
    <w:rsid w:val="003D5B0D"/>
    <w:rsid w:val="003E0499"/>
    <w:rsid w:val="003F3941"/>
    <w:rsid w:val="00406575"/>
    <w:rsid w:val="00407000"/>
    <w:rsid w:val="00414C74"/>
    <w:rsid w:val="0042722E"/>
    <w:rsid w:val="00432A7F"/>
    <w:rsid w:val="0044528D"/>
    <w:rsid w:val="00485778"/>
    <w:rsid w:val="004A1847"/>
    <w:rsid w:val="004A305D"/>
    <w:rsid w:val="004A7DF2"/>
    <w:rsid w:val="004B5513"/>
    <w:rsid w:val="004C6045"/>
    <w:rsid w:val="004D5081"/>
    <w:rsid w:val="004E6BE2"/>
    <w:rsid w:val="004F21C4"/>
    <w:rsid w:val="004F685F"/>
    <w:rsid w:val="005566E8"/>
    <w:rsid w:val="00574867"/>
    <w:rsid w:val="00591460"/>
    <w:rsid w:val="00593907"/>
    <w:rsid w:val="005B3816"/>
    <w:rsid w:val="005C2300"/>
    <w:rsid w:val="005C3777"/>
    <w:rsid w:val="005C5CDC"/>
    <w:rsid w:val="005D476C"/>
    <w:rsid w:val="0060171D"/>
    <w:rsid w:val="006219F8"/>
    <w:rsid w:val="0063444B"/>
    <w:rsid w:val="00636082"/>
    <w:rsid w:val="00665D70"/>
    <w:rsid w:val="006900D9"/>
    <w:rsid w:val="006B633C"/>
    <w:rsid w:val="006E69B0"/>
    <w:rsid w:val="00702355"/>
    <w:rsid w:val="0070619D"/>
    <w:rsid w:val="00706C16"/>
    <w:rsid w:val="00725636"/>
    <w:rsid w:val="0075363C"/>
    <w:rsid w:val="00756841"/>
    <w:rsid w:val="007649AB"/>
    <w:rsid w:val="00771D0C"/>
    <w:rsid w:val="007728C8"/>
    <w:rsid w:val="007833AC"/>
    <w:rsid w:val="007A263A"/>
    <w:rsid w:val="007B268C"/>
    <w:rsid w:val="007B7171"/>
    <w:rsid w:val="007C0C0F"/>
    <w:rsid w:val="007C3DC2"/>
    <w:rsid w:val="007E5497"/>
    <w:rsid w:val="00806F5F"/>
    <w:rsid w:val="00820278"/>
    <w:rsid w:val="00837140"/>
    <w:rsid w:val="0084449C"/>
    <w:rsid w:val="00845042"/>
    <w:rsid w:val="00852938"/>
    <w:rsid w:val="00862A35"/>
    <w:rsid w:val="00867F95"/>
    <w:rsid w:val="008843B6"/>
    <w:rsid w:val="00891928"/>
    <w:rsid w:val="008968DB"/>
    <w:rsid w:val="008A2AFC"/>
    <w:rsid w:val="008A446D"/>
    <w:rsid w:val="008D180B"/>
    <w:rsid w:val="008F0EA7"/>
    <w:rsid w:val="00903FFB"/>
    <w:rsid w:val="00912393"/>
    <w:rsid w:val="00923EEF"/>
    <w:rsid w:val="009337AF"/>
    <w:rsid w:val="009419F9"/>
    <w:rsid w:val="0095685E"/>
    <w:rsid w:val="0096054C"/>
    <w:rsid w:val="00961B09"/>
    <w:rsid w:val="00965334"/>
    <w:rsid w:val="0097093E"/>
    <w:rsid w:val="009855F7"/>
    <w:rsid w:val="009859FE"/>
    <w:rsid w:val="00986AC5"/>
    <w:rsid w:val="009A0DFA"/>
    <w:rsid w:val="009B2D26"/>
    <w:rsid w:val="009C04E7"/>
    <w:rsid w:val="009C71FA"/>
    <w:rsid w:val="009C72E7"/>
    <w:rsid w:val="009D3058"/>
    <w:rsid w:val="009F3A13"/>
    <w:rsid w:val="00A122D3"/>
    <w:rsid w:val="00A17F13"/>
    <w:rsid w:val="00A20739"/>
    <w:rsid w:val="00A33C78"/>
    <w:rsid w:val="00A82D0F"/>
    <w:rsid w:val="00A9721A"/>
    <w:rsid w:val="00AB0ADB"/>
    <w:rsid w:val="00B01B1A"/>
    <w:rsid w:val="00B23FD1"/>
    <w:rsid w:val="00B55602"/>
    <w:rsid w:val="00B56858"/>
    <w:rsid w:val="00B66319"/>
    <w:rsid w:val="00B72CD3"/>
    <w:rsid w:val="00B72FFF"/>
    <w:rsid w:val="00B87963"/>
    <w:rsid w:val="00B94E62"/>
    <w:rsid w:val="00B965AD"/>
    <w:rsid w:val="00BC3D36"/>
    <w:rsid w:val="00BC505F"/>
    <w:rsid w:val="00BD7F72"/>
    <w:rsid w:val="00BE5B07"/>
    <w:rsid w:val="00BF22E6"/>
    <w:rsid w:val="00BF5798"/>
    <w:rsid w:val="00C04FB3"/>
    <w:rsid w:val="00C330EB"/>
    <w:rsid w:val="00C41061"/>
    <w:rsid w:val="00C54FCF"/>
    <w:rsid w:val="00C61AB9"/>
    <w:rsid w:val="00C754BE"/>
    <w:rsid w:val="00C76B1C"/>
    <w:rsid w:val="00C93FA8"/>
    <w:rsid w:val="00CB6357"/>
    <w:rsid w:val="00CC1B26"/>
    <w:rsid w:val="00CC1CF7"/>
    <w:rsid w:val="00CE77E1"/>
    <w:rsid w:val="00CF4724"/>
    <w:rsid w:val="00D00537"/>
    <w:rsid w:val="00D423A2"/>
    <w:rsid w:val="00D520D8"/>
    <w:rsid w:val="00D63AC2"/>
    <w:rsid w:val="00D7383B"/>
    <w:rsid w:val="00DA231B"/>
    <w:rsid w:val="00DC19D9"/>
    <w:rsid w:val="00DC39FC"/>
    <w:rsid w:val="00DF5254"/>
    <w:rsid w:val="00E01645"/>
    <w:rsid w:val="00E16408"/>
    <w:rsid w:val="00E20894"/>
    <w:rsid w:val="00E245AB"/>
    <w:rsid w:val="00E2764C"/>
    <w:rsid w:val="00E27F2E"/>
    <w:rsid w:val="00E32122"/>
    <w:rsid w:val="00E50AFE"/>
    <w:rsid w:val="00E75C92"/>
    <w:rsid w:val="00E771DC"/>
    <w:rsid w:val="00E820BB"/>
    <w:rsid w:val="00E8772A"/>
    <w:rsid w:val="00E908AB"/>
    <w:rsid w:val="00E90F6B"/>
    <w:rsid w:val="00E91080"/>
    <w:rsid w:val="00E92C27"/>
    <w:rsid w:val="00EA0E3D"/>
    <w:rsid w:val="00EC38A7"/>
    <w:rsid w:val="00ED0AB5"/>
    <w:rsid w:val="00ED7384"/>
    <w:rsid w:val="00EE1AA8"/>
    <w:rsid w:val="00F31EDC"/>
    <w:rsid w:val="00F462B3"/>
    <w:rsid w:val="00F5664F"/>
    <w:rsid w:val="00F666C4"/>
    <w:rsid w:val="00F76AFC"/>
    <w:rsid w:val="00FA47C0"/>
    <w:rsid w:val="00FB5DD1"/>
    <w:rsid w:val="00FC2B5D"/>
    <w:rsid w:val="00FC3EDA"/>
    <w:rsid w:val="00FF1449"/>
    <w:rsid w:val="168100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0700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07000"/>
    <w:rPr>
      <w:rFonts w:ascii="Geomanist Light" w:hAnsi="Geomanist Light"/>
      <w:lang w:val="es-ES"/>
    </w:rPr>
  </w:style>
  <w:style w:type="character" w:styleId="nfasis">
    <w:name w:val="Emphasis"/>
    <w:basedOn w:val="Fuentedeprrafopredeter"/>
    <w:uiPriority w:val="20"/>
    <w:qFormat/>
    <w:rsid w:val="007256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sites/cce_public/files/cce_documents/20140901_manual_requisitos_habilitantes_4_web.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rsonovalle@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1D0F7-E192-422D-A925-DAE2942527A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4.xml><?xml version="1.0" encoding="utf-8"?>
<ds:datastoreItem xmlns:ds="http://schemas.openxmlformats.org/officeDocument/2006/customXml" ds:itemID="{7F078F0D-C686-4028-A5C5-8D7E2F546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5924</Words>
  <Characters>32586</Characters>
  <Application>Microsoft Office Word</Application>
  <DocSecurity>0</DocSecurity>
  <Lines>271</Lines>
  <Paragraphs>76</Paragraphs>
  <ScaleCrop>false</ScaleCrop>
  <Company/>
  <LinksUpToDate>false</LinksUpToDate>
  <CharactersWithSpaces>38434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6</cp:revision>
  <cp:lastPrinted>2023-01-10T21:18:00Z</cp:lastPrinted>
  <dcterms:created xsi:type="dcterms:W3CDTF">2024-12-19T12:12:00Z</dcterms:created>
  <dcterms:modified xsi:type="dcterms:W3CDTF">2024-12-19T13:08:00Z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