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6E86E" w14:textId="54CAAABB" w:rsidR="002F7E34" w:rsidRPr="00F37018" w:rsidRDefault="002F7E34" w:rsidP="002F7E34">
      <w:pPr>
        <w:spacing w:after="0" w:line="240" w:lineRule="auto"/>
        <w:jc w:val="both"/>
        <w:rPr>
          <w:rFonts w:ascii="Verdana" w:eastAsia="Arial" w:hAnsi="Verdana" w:cs="Arial"/>
          <w:color w:val="000000"/>
        </w:rPr>
      </w:pPr>
      <w:bookmarkStart w:id="0" w:name="_Hlk143780582"/>
      <w:r w:rsidRPr="00F37018">
        <w:rPr>
          <w:rFonts w:ascii="Verdana" w:eastAsia="Arial" w:hAnsi="Verdana" w:cs="Arial"/>
          <w:b/>
          <w:bCs/>
          <w:color w:val="000000" w:themeColor="text1"/>
        </w:rPr>
        <w:t>PRINCIPIO DE SELECCIÓN OBJETIVA – Fundamento – Alcance – reglas aplicables</w:t>
      </w:r>
    </w:p>
    <w:p w14:paraId="3BBF7C28" w14:textId="77777777" w:rsidR="002F7E34" w:rsidRPr="00A851AA" w:rsidRDefault="002F7E34" w:rsidP="002F7E34">
      <w:pPr>
        <w:spacing w:after="0" w:line="240" w:lineRule="auto"/>
        <w:jc w:val="both"/>
        <w:rPr>
          <w:rFonts w:ascii="Century Gothic" w:eastAsia="Arial" w:hAnsi="Century Gothic" w:cs="Arial"/>
          <w:color w:val="000000"/>
        </w:rPr>
      </w:pPr>
    </w:p>
    <w:p w14:paraId="3C0AED36" w14:textId="77777777" w:rsidR="002F7E34" w:rsidRPr="00F37018" w:rsidRDefault="002F7E34" w:rsidP="002F7E34">
      <w:pPr>
        <w:spacing w:after="0" w:line="240" w:lineRule="auto"/>
        <w:jc w:val="both"/>
        <w:rPr>
          <w:rFonts w:ascii="Verdana" w:eastAsia="Arial" w:hAnsi="Verdana" w:cs="Arial"/>
          <w:color w:val="000000"/>
          <w:sz w:val="20"/>
          <w:szCs w:val="20"/>
        </w:rPr>
      </w:pPr>
      <w:r w:rsidRPr="00F37018">
        <w:rPr>
          <w:rFonts w:ascii="Verdana" w:eastAsia="Arial" w:hAnsi="Verdana" w:cs="Arial"/>
          <w:color w:val="000000"/>
          <w:sz w:val="20"/>
          <w:szCs w:val="20"/>
        </w:rPr>
        <w:t>(…) 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 importancia para la transparencia, en disposiciones como el artículo 24, numeral 5º, literal a) de la Ley 80 de 1993, que regula el principio de transparencia, y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w:t>
      </w:r>
    </w:p>
    <w:p w14:paraId="143A6989" w14:textId="77777777" w:rsidR="002F7E34" w:rsidRPr="00A851AA" w:rsidRDefault="002F7E34" w:rsidP="002F7E34">
      <w:pPr>
        <w:spacing w:after="0" w:line="240" w:lineRule="auto"/>
        <w:jc w:val="both"/>
        <w:rPr>
          <w:rFonts w:ascii="Century Gothic" w:eastAsia="Arial" w:hAnsi="Century Gothic" w:cs="Arial"/>
          <w:color w:val="000000"/>
          <w:sz w:val="20"/>
          <w:szCs w:val="20"/>
        </w:rPr>
      </w:pPr>
    </w:p>
    <w:p w14:paraId="0C738B46" w14:textId="502DBB6D" w:rsidR="00596F9B" w:rsidRDefault="00B90240" w:rsidP="00596F9B">
      <w:pPr>
        <w:spacing w:after="0" w:line="240" w:lineRule="auto"/>
        <w:jc w:val="both"/>
        <w:rPr>
          <w:rFonts w:ascii="Verdana" w:eastAsia="Calibri" w:hAnsi="Verdana" w:cs="Arial"/>
          <w:b/>
          <w:bCs/>
          <w:color w:val="000000" w:themeColor="text1"/>
          <w:lang w:val="es-ES_tradnl"/>
        </w:rPr>
      </w:pPr>
      <w:r w:rsidRPr="00B90240">
        <w:rPr>
          <w:rFonts w:ascii="Verdana" w:eastAsia="Calibri" w:hAnsi="Verdana" w:cs="Arial"/>
          <w:b/>
          <w:bCs/>
          <w:color w:val="000000" w:themeColor="text1"/>
          <w:lang w:val="es-ES_tradnl"/>
        </w:rPr>
        <w:t>PRECIO – Concepto – Estructuración – Mecanismos de ponderación</w:t>
      </w:r>
    </w:p>
    <w:p w14:paraId="374B6FBF" w14:textId="77777777" w:rsidR="005520EF" w:rsidRPr="00DB06FE" w:rsidRDefault="005520EF" w:rsidP="00596F9B">
      <w:pPr>
        <w:spacing w:after="0" w:line="240" w:lineRule="auto"/>
        <w:jc w:val="both"/>
        <w:rPr>
          <w:rFonts w:ascii="Verdana" w:eastAsia="Calibri" w:hAnsi="Verdana" w:cs="Arial"/>
          <w:b/>
          <w:bCs/>
          <w:color w:val="000000" w:themeColor="text1"/>
          <w:sz w:val="20"/>
          <w:szCs w:val="20"/>
          <w:lang w:val="es-MX"/>
        </w:rPr>
      </w:pPr>
    </w:p>
    <w:p w14:paraId="47B2BB25" w14:textId="01A6540D" w:rsidR="00596F9B" w:rsidRPr="00DB06FE" w:rsidRDefault="00596F9B" w:rsidP="00596F9B">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U</w:t>
      </w:r>
      <w:r w:rsidRPr="00DB06FE">
        <w:rPr>
          <w:rFonts w:ascii="Verdana" w:eastAsia="Calibri" w:hAnsi="Verdana" w:cs="Arial"/>
          <w:color w:val="000000" w:themeColor="text1"/>
          <w:sz w:val="20"/>
          <w:szCs w:val="20"/>
        </w:rPr>
        <w:t>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14:paraId="2EC2558E" w14:textId="77777777" w:rsidR="00596F9B" w:rsidRPr="00DB06FE" w:rsidRDefault="00596F9B" w:rsidP="00596F9B">
      <w:pPr>
        <w:spacing w:after="0" w:line="240" w:lineRule="auto"/>
        <w:jc w:val="both"/>
        <w:rPr>
          <w:rFonts w:ascii="Verdana" w:eastAsia="Calibri" w:hAnsi="Verdana" w:cs="Arial"/>
          <w:color w:val="000000" w:themeColor="text1"/>
          <w:sz w:val="20"/>
          <w:szCs w:val="20"/>
        </w:rPr>
      </w:pPr>
    </w:p>
    <w:p w14:paraId="7058FDA0" w14:textId="77777777" w:rsidR="00596F9B" w:rsidRPr="00DB06FE" w:rsidRDefault="00596F9B" w:rsidP="00596F9B">
      <w:pPr>
        <w:spacing w:after="0" w:line="240" w:lineRule="auto"/>
        <w:jc w:val="both"/>
        <w:rPr>
          <w:rFonts w:ascii="Verdana" w:eastAsia="Calibri" w:hAnsi="Verdana" w:cs="Arial"/>
          <w:color w:val="000000" w:themeColor="text1"/>
          <w:sz w:val="20"/>
          <w:szCs w:val="20"/>
        </w:rPr>
      </w:pPr>
      <w:r w:rsidRPr="00DB06FE">
        <w:rPr>
          <w:rFonts w:ascii="Verdana" w:eastAsia="Calibri" w:hAnsi="Verdana" w:cs="Arial"/>
          <w:color w:val="000000" w:themeColor="text1"/>
          <w:sz w:val="20"/>
          <w:szCs w:val="20"/>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w:t>
      </w:r>
      <w:r w:rsidRPr="00DB06FE">
        <w:rPr>
          <w:rFonts w:ascii="Verdana" w:eastAsia="Calibri" w:hAnsi="Verdana" w:cs="Arial"/>
          <w:color w:val="000000" w:themeColor="text1"/>
          <w:sz w:val="20"/>
          <w:szCs w:val="20"/>
        </w:rPr>
        <w:lastRenderedPageBreak/>
        <w:t xml:space="preserve">modalidades más comunes en los de obra pública; otras más utilizadas en los de prestación de servicios y otras más indicadas 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w:t>
      </w:r>
    </w:p>
    <w:p w14:paraId="2106E98C" w14:textId="77777777" w:rsidR="00596F9B" w:rsidRDefault="00596F9B" w:rsidP="00596F9B">
      <w:pPr>
        <w:spacing w:after="0" w:line="240" w:lineRule="auto"/>
        <w:jc w:val="both"/>
        <w:rPr>
          <w:rFonts w:ascii="Century Gothic" w:eastAsia="Arial" w:hAnsi="Century Gothic" w:cs="Arial"/>
          <w:b/>
          <w:color w:val="000000"/>
          <w:sz w:val="20"/>
          <w:szCs w:val="20"/>
        </w:rPr>
      </w:pPr>
    </w:p>
    <w:p w14:paraId="2A9C0A3F" w14:textId="2CAB79E6" w:rsidR="00B90240" w:rsidRPr="00B90240" w:rsidRDefault="00B90240" w:rsidP="00596F9B">
      <w:pPr>
        <w:spacing w:after="0" w:line="240" w:lineRule="auto"/>
        <w:jc w:val="both"/>
        <w:rPr>
          <w:rFonts w:ascii="Verdana" w:eastAsia="Calibri" w:hAnsi="Verdana" w:cs="Arial"/>
          <w:color w:val="000000" w:themeColor="text1"/>
          <w:sz w:val="20"/>
          <w:szCs w:val="20"/>
        </w:rPr>
      </w:pPr>
      <w:r w:rsidRPr="00B90240">
        <w:rPr>
          <w:rFonts w:ascii="Verdana" w:eastAsia="Calibri" w:hAnsi="Verdana" w:cs="Arial"/>
          <w:color w:val="000000" w:themeColor="text1"/>
          <w:sz w:val="20"/>
          <w:szCs w:val="20"/>
        </w:rPr>
        <w:t>(…)</w:t>
      </w:r>
    </w:p>
    <w:p w14:paraId="7382DFC6" w14:textId="77777777" w:rsidR="00B90240" w:rsidRPr="00B90240" w:rsidRDefault="00B90240" w:rsidP="00596F9B">
      <w:pPr>
        <w:spacing w:after="0" w:line="240" w:lineRule="auto"/>
        <w:jc w:val="both"/>
        <w:rPr>
          <w:rFonts w:ascii="Verdana" w:eastAsia="Calibri" w:hAnsi="Verdana" w:cs="Arial"/>
          <w:color w:val="000000" w:themeColor="text1"/>
          <w:sz w:val="20"/>
          <w:szCs w:val="20"/>
        </w:rPr>
      </w:pPr>
    </w:p>
    <w:p w14:paraId="7F92C7B3" w14:textId="2C8F5D07" w:rsidR="00B90240" w:rsidRPr="00F37018" w:rsidRDefault="00B90240" w:rsidP="00F37018">
      <w:pPr>
        <w:spacing w:after="120" w:line="276" w:lineRule="auto"/>
        <w:jc w:val="both"/>
        <w:rPr>
          <w:rFonts w:ascii="Verdana" w:eastAsia="Calibri" w:hAnsi="Verdana" w:cs="Arial"/>
          <w:color w:val="000000" w:themeColor="text1"/>
          <w:sz w:val="20"/>
          <w:szCs w:val="20"/>
        </w:rPr>
      </w:pPr>
      <w:r w:rsidRPr="00B90240">
        <w:rPr>
          <w:rFonts w:ascii="Verdana" w:eastAsia="Calibri" w:hAnsi="Verdana" w:cs="Arial"/>
          <w:color w:val="000000" w:themeColor="text1"/>
          <w:sz w:val="20"/>
          <w:szCs w:val="20"/>
        </w:rPr>
        <w:t>En todo caso, al margen de la modalidad aplicada, el precio es uno de los elementos principales del contrato estatal, en este se materializa la contraprestación a recibir por el contratista en el marco del contrato estatal–en tanto negocio jurídico conmutativo–, a cambio del suministro de los bienes, obras o servicios requeridos por la Entidad Estatal. Es por esto por lo que, independientemente de si se aplican o no sistemas de puntaje para la ponderación del precio, las entidades están llamadas a garantizar que el precio este de acuerdo con las condiciones materiales del mercado, verificando que no se presente ofertas artificialmente bajas de acuerdo con el artículo 2.2.1.1.2.2.4 del Decreto 1082 de 2015</w:t>
      </w:r>
      <w:r w:rsidRPr="00B90240">
        <w:rPr>
          <w:rFonts w:eastAsia="Calibri"/>
          <w:color w:val="000000" w:themeColor="text1"/>
          <w:sz w:val="20"/>
          <w:szCs w:val="20"/>
        </w:rPr>
        <w:footnoteReference w:id="1"/>
      </w:r>
      <w:r w:rsidRPr="00B90240">
        <w:rPr>
          <w:rFonts w:ascii="Verdana" w:eastAsia="Calibri" w:hAnsi="Verdana" w:cs="Arial"/>
          <w:color w:val="000000" w:themeColor="text1"/>
          <w:sz w:val="20"/>
          <w:szCs w:val="20"/>
        </w:rPr>
        <w:t>, garantizando el cumplimiento de lo dispuesto en el artículos 4, numeral 3</w:t>
      </w:r>
      <w:r w:rsidRPr="00B90240">
        <w:rPr>
          <w:rFonts w:eastAsia="Calibri"/>
          <w:color w:val="000000" w:themeColor="text1"/>
          <w:sz w:val="20"/>
          <w:szCs w:val="20"/>
        </w:rPr>
        <w:footnoteReference w:id="2"/>
      </w:r>
      <w:r w:rsidRPr="00B90240">
        <w:rPr>
          <w:rFonts w:ascii="Verdana" w:eastAsia="Calibri" w:hAnsi="Verdana" w:cs="Arial"/>
          <w:color w:val="000000" w:themeColor="text1"/>
          <w:sz w:val="20"/>
          <w:szCs w:val="20"/>
        </w:rPr>
        <w:t xml:space="preserve"> y  5, numeral 1 de la Ley 80 de 1993</w:t>
      </w:r>
      <w:r w:rsidRPr="00B90240">
        <w:rPr>
          <w:rFonts w:eastAsia="Calibri"/>
          <w:color w:val="000000" w:themeColor="text1"/>
          <w:sz w:val="20"/>
          <w:szCs w:val="20"/>
        </w:rPr>
        <w:footnoteReference w:id="3"/>
      </w:r>
      <w:r w:rsidRPr="00B90240">
        <w:rPr>
          <w:rFonts w:ascii="Verdana" w:eastAsia="Calibri" w:hAnsi="Verdana" w:cs="Arial"/>
          <w:color w:val="000000" w:themeColor="text1"/>
          <w:sz w:val="20"/>
          <w:szCs w:val="20"/>
        </w:rPr>
        <w:t xml:space="preserve">, de manera que evite que la alteración </w:t>
      </w:r>
      <w:r w:rsidRPr="00B90240">
        <w:rPr>
          <w:rFonts w:ascii="Verdana" w:eastAsia="Calibri" w:hAnsi="Verdana" w:cs="Arial"/>
          <w:color w:val="000000" w:themeColor="text1"/>
          <w:sz w:val="20"/>
          <w:szCs w:val="20"/>
        </w:rPr>
        <w:lastRenderedPageBreak/>
        <w:t xml:space="preserve">de las condiciones económicas impacte el interés general asociado a la ejecución del contrato.       </w:t>
      </w:r>
    </w:p>
    <w:p w14:paraId="68AB5F1A" w14:textId="1927380F" w:rsidR="00C0436E" w:rsidRPr="00596F9B" w:rsidRDefault="00C0436E" w:rsidP="00E245AB">
      <w:pPr>
        <w:spacing w:after="0"/>
        <w:rPr>
          <w:rFonts w:ascii="Verdana" w:hAnsi="Verdana"/>
          <w:b/>
        </w:rPr>
      </w:pPr>
      <w:r w:rsidRPr="00596F9B">
        <w:rPr>
          <w:rFonts w:ascii="Verdana" w:hAnsi="Verdana" w:cs="Arial"/>
          <w:b/>
          <w:color w:val="000000" w:themeColor="text1"/>
          <w:lang w:val="es-ES_tradnl"/>
        </w:rPr>
        <w:t>MODALIDADES DE SELECCIÓN – Asignación de Puntaje – Procedencia</w:t>
      </w:r>
    </w:p>
    <w:p w14:paraId="02B8EADE" w14:textId="77777777" w:rsidR="00C0436E" w:rsidRPr="00B90240" w:rsidRDefault="00C0436E" w:rsidP="00E245AB">
      <w:pPr>
        <w:spacing w:after="0"/>
        <w:rPr>
          <w:rFonts w:ascii="Verdana" w:hAnsi="Verdana"/>
          <w:sz w:val="20"/>
          <w:szCs w:val="20"/>
        </w:rPr>
      </w:pPr>
    </w:p>
    <w:p w14:paraId="1F7E5AFD" w14:textId="2A9FECA8" w:rsidR="00B90240" w:rsidRPr="00B90240" w:rsidRDefault="00B90240" w:rsidP="00B90240">
      <w:pPr>
        <w:tabs>
          <w:tab w:val="left" w:pos="0"/>
        </w:tabs>
        <w:spacing w:after="120" w:line="276" w:lineRule="auto"/>
        <w:jc w:val="both"/>
        <w:rPr>
          <w:rFonts w:ascii="Verdana" w:eastAsia="Arial" w:hAnsi="Verdana" w:cs="Arial"/>
          <w:color w:val="000000"/>
          <w:sz w:val="20"/>
          <w:szCs w:val="20"/>
        </w:rPr>
      </w:pPr>
      <w:r>
        <w:rPr>
          <w:rFonts w:ascii="Verdana" w:eastAsia="Arial" w:hAnsi="Verdana" w:cs="Arial"/>
          <w:color w:val="000000"/>
          <w:sz w:val="20"/>
          <w:szCs w:val="20"/>
        </w:rPr>
        <w:t>(…) N</w:t>
      </w:r>
      <w:r w:rsidRPr="00B90240">
        <w:rPr>
          <w:rFonts w:ascii="Verdana" w:eastAsia="Arial" w:hAnsi="Verdana" w:cs="Arial"/>
          <w:color w:val="000000"/>
          <w:sz w:val="20"/>
          <w:szCs w:val="20"/>
        </w:rPr>
        <w:t xml:space="preserve">ormas como el literal a) del numeral 2 del artículo 5 de la Ley 1150 de 2007 y el artículo 2.2.1.1.2.2.2 del Decreto 1082 de 2015, contemplan la asignación de puntajes como un mecanismo para ponderar el precio ofertado, frente a los factores de calidad, de manera que, a través de la sumatoria de los puntos asignados a estos, la entidad estatal pueda determinar cuál es la oferta que resulta más favorable. En ese sentido, la asignación de puntajes para valorar el precio se justifica en la medida en que, en el marco de modalidades como la licitación pública y la selección abreviada de menor cuantía, la aplicación del deber de selección objetiva implica que sean la calidad y el precio–así como los criterios sociales y ambientales–, sean los factores que determinen la oferta ganadora. </w:t>
      </w:r>
    </w:p>
    <w:p w14:paraId="4D755F7F" w14:textId="1D536D1B" w:rsidR="00B90240" w:rsidRPr="00B90240" w:rsidRDefault="00B90240" w:rsidP="00B90240">
      <w:pPr>
        <w:tabs>
          <w:tab w:val="left" w:pos="0"/>
        </w:tabs>
        <w:spacing w:after="120" w:line="276" w:lineRule="auto"/>
        <w:jc w:val="both"/>
        <w:rPr>
          <w:rFonts w:ascii="Verdana" w:eastAsia="Arial" w:hAnsi="Verdana" w:cs="Arial"/>
          <w:color w:val="000000"/>
          <w:sz w:val="20"/>
          <w:szCs w:val="20"/>
        </w:rPr>
      </w:pPr>
      <w:r w:rsidRPr="00B90240">
        <w:rPr>
          <w:rFonts w:ascii="Verdana" w:eastAsia="Arial" w:hAnsi="Verdana" w:cs="Arial"/>
          <w:color w:val="000000"/>
          <w:sz w:val="20"/>
          <w:szCs w:val="20"/>
        </w:rPr>
        <w:t xml:space="preserve">No sucede lo mismo en los mecanismos de selección abreviada dirigidos a la adquisición o suministro de bienes y servicios de características técnicas uniformes y común utilización, en los que en atención a lo dispuesto en el artículo 5, numeral 3 de la Ley 1150 de 2007, el precio es el único factor de evaluación. Esto hace que, en mecanismos como la subasta inversa, la bolsa de productos y en las compras por catálogos derivados de mecanismos de agregación de demanda, devenga en innecesaria la asignación de un puntaje al precio, al no a ver otros factores frente a los que ponderarlo. Esto mismo sucede, </w:t>
      </w:r>
      <w:r w:rsidRPr="00B90240">
        <w:rPr>
          <w:rFonts w:ascii="Verdana" w:eastAsia="Arial" w:hAnsi="Verdana" w:cs="Arial"/>
          <w:i/>
          <w:iCs/>
          <w:color w:val="000000"/>
          <w:sz w:val="20"/>
          <w:szCs w:val="20"/>
        </w:rPr>
        <w:t>mutatis mutandis</w:t>
      </w:r>
      <w:r w:rsidRPr="00B90240">
        <w:rPr>
          <w:rFonts w:ascii="Verdana" w:eastAsia="Arial" w:hAnsi="Verdana" w:cs="Arial"/>
          <w:color w:val="000000"/>
          <w:sz w:val="20"/>
          <w:szCs w:val="20"/>
        </w:rPr>
        <w:t>, en la modalidad de mínima cuantía, en la que por disposición del literal c) del numeral 5 del artículo 2 de la Ley 1150 de 2007, el menor precio ofertado es único factor de selección, excluyéndose la valoración de otros factores–más allá del cumplimiento de los requisitos habilitantes–.</w:t>
      </w:r>
    </w:p>
    <w:p w14:paraId="2ADD5ED5" w14:textId="77777777" w:rsidR="00B90240" w:rsidRPr="00B90240" w:rsidRDefault="00B90240" w:rsidP="00F37018">
      <w:pPr>
        <w:tabs>
          <w:tab w:val="left" w:pos="0"/>
        </w:tabs>
        <w:spacing w:after="120" w:line="276" w:lineRule="auto"/>
        <w:jc w:val="both"/>
        <w:rPr>
          <w:rFonts w:ascii="Verdana" w:eastAsia="Arial" w:hAnsi="Verdana" w:cs="Arial"/>
          <w:color w:val="000000"/>
          <w:sz w:val="20"/>
          <w:szCs w:val="20"/>
        </w:rPr>
      </w:pPr>
      <w:r w:rsidRPr="00B90240">
        <w:rPr>
          <w:rFonts w:ascii="Verdana" w:eastAsia="Arial" w:hAnsi="Verdana" w:cs="Arial"/>
          <w:color w:val="000000"/>
          <w:sz w:val="20"/>
          <w:szCs w:val="20"/>
        </w:rPr>
        <w:t>En el caso del concurso de méritos, en atención a la expresa prohibición establecida en el segundo inciso del numeral 4 del artículo 5 de la Ley 1150 de 2007, tampoco resulta procedente asignar puntos al precio, en la medida en que dicha norma excluye que el este sea un factor determinante para la selección de consultares. No obstante, esto no significa que la entidad estatal no pueda utilizar sistemas de asignación de puntaje para realizar la evaluación de los criterios permitidos en el marco de esta modalidad, tales como la experiencia del proponente y su equipo de trabajo, así como la formación académica, de acuerdo con el primer inciso del numeral 4 del artículo de la Ley 1150 de 2007 y el artículo 2.2.1.2.1.3.2 del Decreto 1082 de 2015</w:t>
      </w:r>
      <w:r w:rsidRPr="00B90240">
        <w:rPr>
          <w:rStyle w:val="Refdenotaalpie"/>
          <w:rFonts w:ascii="Verdana" w:eastAsia="Arial" w:hAnsi="Verdana" w:cs="Arial"/>
          <w:color w:val="000000"/>
          <w:sz w:val="20"/>
          <w:szCs w:val="20"/>
        </w:rPr>
        <w:footnoteReference w:id="4"/>
      </w:r>
      <w:r w:rsidRPr="00B90240">
        <w:rPr>
          <w:rFonts w:ascii="Verdana" w:eastAsia="Arial" w:hAnsi="Verdana" w:cs="Arial"/>
          <w:color w:val="000000"/>
          <w:sz w:val="20"/>
          <w:szCs w:val="20"/>
        </w:rPr>
        <w:t xml:space="preserve">.  </w:t>
      </w:r>
    </w:p>
    <w:p w14:paraId="098BE71A" w14:textId="77777777" w:rsidR="00B90240" w:rsidRPr="00B90240" w:rsidRDefault="00B90240" w:rsidP="00F37018">
      <w:pPr>
        <w:tabs>
          <w:tab w:val="left" w:pos="0"/>
        </w:tabs>
        <w:spacing w:after="120" w:line="276" w:lineRule="auto"/>
        <w:jc w:val="both"/>
        <w:rPr>
          <w:rFonts w:ascii="Verdana" w:eastAsia="Arial" w:hAnsi="Verdana" w:cs="Arial"/>
          <w:color w:val="000000"/>
          <w:sz w:val="20"/>
          <w:szCs w:val="20"/>
        </w:rPr>
      </w:pPr>
      <w:r w:rsidRPr="00B90240">
        <w:rPr>
          <w:rFonts w:ascii="Verdana" w:eastAsia="Arial" w:hAnsi="Verdana" w:cs="Arial"/>
          <w:color w:val="000000"/>
          <w:sz w:val="20"/>
          <w:szCs w:val="20"/>
        </w:rPr>
        <w:lastRenderedPageBreak/>
        <w:t xml:space="preserve">Por último, en lo referente la contratación directa, debido la naturaleza no competitiva de dicha modalidad, tampoco se hace necesaria la utilización de sistemas de asignación de puntajes para valorar el precio. La procedencia de esta modalidad se determina a partir de la configuración de algunos de los supuestos de hecho estipulados en las diferentes causales de interpretación restrictiva contempladas en los diferentes literales del numeral 4 del artículo de la Ley 1150 de 2007. En todo caso, es importante que las entidades realicen un análisis del sector que permita establecer que el valor del contrato a celebrarse se encuentra conforme al valor que en el mercado tienen los bienes o servicios a contratar, y que este es asumible de acuerdo con el presupuesto destinado a la contratación, el cual es uno de los aspectos a valorar en el acto administrativo de la contratación directa, de acuerdo con el numeral 3 del artículo 2.2.1.2.1.4.1. del Decreto 1082 de 2015.   </w:t>
      </w:r>
    </w:p>
    <w:p w14:paraId="09308A34" w14:textId="77777777" w:rsidR="00C0436E" w:rsidRDefault="00C0436E" w:rsidP="00E245AB">
      <w:pPr>
        <w:spacing w:after="0"/>
        <w:rPr>
          <w:rFonts w:ascii="Verdana" w:hAnsi="Verdana"/>
        </w:rPr>
      </w:pPr>
    </w:p>
    <w:p w14:paraId="7EDA105C" w14:textId="77777777" w:rsidR="00C0436E" w:rsidRDefault="00C0436E" w:rsidP="00E245AB">
      <w:pPr>
        <w:spacing w:after="0"/>
        <w:rPr>
          <w:rFonts w:ascii="Verdana" w:hAnsi="Verdana"/>
        </w:rPr>
      </w:pPr>
    </w:p>
    <w:p w14:paraId="0DAE3A38" w14:textId="77777777" w:rsidR="005520EF" w:rsidRDefault="005520EF" w:rsidP="00E245AB">
      <w:pPr>
        <w:spacing w:after="0"/>
        <w:rPr>
          <w:rFonts w:ascii="Verdana" w:hAnsi="Verdana"/>
        </w:rPr>
      </w:pPr>
    </w:p>
    <w:p w14:paraId="392D7FD5" w14:textId="77777777" w:rsidR="005520EF" w:rsidRDefault="005520EF" w:rsidP="00E245AB">
      <w:pPr>
        <w:spacing w:after="0"/>
        <w:rPr>
          <w:rFonts w:ascii="Verdana" w:hAnsi="Verdana"/>
        </w:rPr>
      </w:pPr>
    </w:p>
    <w:p w14:paraId="58BFA44B" w14:textId="77777777" w:rsidR="005520EF" w:rsidRDefault="005520EF" w:rsidP="00E245AB">
      <w:pPr>
        <w:spacing w:after="0"/>
        <w:rPr>
          <w:rFonts w:ascii="Verdana" w:hAnsi="Verdana"/>
        </w:rPr>
      </w:pPr>
    </w:p>
    <w:p w14:paraId="1149C8AE" w14:textId="77777777" w:rsidR="005520EF" w:rsidRDefault="005520EF" w:rsidP="00E245AB">
      <w:pPr>
        <w:spacing w:after="0"/>
        <w:rPr>
          <w:rFonts w:ascii="Verdana" w:hAnsi="Verdana"/>
        </w:rPr>
      </w:pPr>
    </w:p>
    <w:p w14:paraId="7C17B48A" w14:textId="77777777" w:rsidR="005520EF" w:rsidRDefault="005520EF" w:rsidP="00E245AB">
      <w:pPr>
        <w:spacing w:after="0"/>
        <w:rPr>
          <w:rFonts w:ascii="Verdana" w:hAnsi="Verdana"/>
        </w:rPr>
      </w:pPr>
    </w:p>
    <w:p w14:paraId="2F1D90D6" w14:textId="77777777" w:rsidR="005520EF" w:rsidRDefault="005520EF" w:rsidP="00E245AB">
      <w:pPr>
        <w:spacing w:after="0"/>
        <w:rPr>
          <w:rFonts w:ascii="Verdana" w:hAnsi="Verdana"/>
        </w:rPr>
      </w:pPr>
    </w:p>
    <w:p w14:paraId="66D3F530" w14:textId="77777777" w:rsidR="005520EF" w:rsidRDefault="005520EF" w:rsidP="00E245AB">
      <w:pPr>
        <w:spacing w:after="0"/>
        <w:rPr>
          <w:rFonts w:ascii="Verdana" w:hAnsi="Verdana"/>
        </w:rPr>
      </w:pPr>
    </w:p>
    <w:p w14:paraId="7016DCE6" w14:textId="77777777" w:rsidR="005520EF" w:rsidRDefault="005520EF" w:rsidP="00E245AB">
      <w:pPr>
        <w:spacing w:after="0"/>
        <w:rPr>
          <w:rFonts w:ascii="Verdana" w:hAnsi="Verdana"/>
        </w:rPr>
      </w:pPr>
    </w:p>
    <w:p w14:paraId="0CECA12D" w14:textId="77777777" w:rsidR="005520EF" w:rsidRDefault="005520EF" w:rsidP="00E245AB">
      <w:pPr>
        <w:spacing w:after="0"/>
        <w:rPr>
          <w:rFonts w:ascii="Verdana" w:hAnsi="Verdana"/>
        </w:rPr>
      </w:pPr>
    </w:p>
    <w:p w14:paraId="4C4DBEF4" w14:textId="77777777" w:rsidR="005520EF" w:rsidRDefault="005520EF" w:rsidP="00E245AB">
      <w:pPr>
        <w:spacing w:after="0"/>
        <w:rPr>
          <w:rFonts w:ascii="Verdana" w:hAnsi="Verdana"/>
        </w:rPr>
      </w:pPr>
    </w:p>
    <w:p w14:paraId="615B7926" w14:textId="77777777" w:rsidR="005520EF" w:rsidRDefault="005520EF" w:rsidP="00E245AB">
      <w:pPr>
        <w:spacing w:after="0"/>
        <w:rPr>
          <w:rFonts w:ascii="Verdana" w:hAnsi="Verdana"/>
        </w:rPr>
      </w:pPr>
    </w:p>
    <w:p w14:paraId="735A3836" w14:textId="77777777" w:rsidR="005520EF" w:rsidRDefault="005520EF" w:rsidP="00E245AB">
      <w:pPr>
        <w:spacing w:after="0"/>
        <w:rPr>
          <w:rFonts w:ascii="Verdana" w:hAnsi="Verdana"/>
        </w:rPr>
      </w:pPr>
    </w:p>
    <w:p w14:paraId="07B5A551" w14:textId="77777777" w:rsidR="005520EF" w:rsidRDefault="005520EF" w:rsidP="00E245AB">
      <w:pPr>
        <w:spacing w:after="0"/>
        <w:rPr>
          <w:rFonts w:ascii="Verdana" w:hAnsi="Verdana"/>
        </w:rPr>
      </w:pPr>
    </w:p>
    <w:p w14:paraId="66AAD79D" w14:textId="77777777" w:rsidR="005520EF" w:rsidRDefault="005520EF" w:rsidP="00E245AB">
      <w:pPr>
        <w:spacing w:after="0"/>
        <w:rPr>
          <w:rFonts w:ascii="Verdana" w:hAnsi="Verdana"/>
        </w:rPr>
      </w:pPr>
    </w:p>
    <w:p w14:paraId="067CCFC8" w14:textId="77777777" w:rsidR="005520EF" w:rsidRDefault="005520EF" w:rsidP="00E245AB">
      <w:pPr>
        <w:spacing w:after="0"/>
        <w:rPr>
          <w:rFonts w:ascii="Verdana" w:hAnsi="Verdana"/>
        </w:rPr>
      </w:pPr>
    </w:p>
    <w:p w14:paraId="7A2BACB4" w14:textId="77777777" w:rsidR="005520EF" w:rsidRDefault="005520EF" w:rsidP="00E245AB">
      <w:pPr>
        <w:spacing w:after="0"/>
        <w:rPr>
          <w:rFonts w:ascii="Verdana" w:hAnsi="Verdana"/>
        </w:rPr>
      </w:pPr>
    </w:p>
    <w:p w14:paraId="67AB4588" w14:textId="77777777" w:rsidR="005520EF" w:rsidRDefault="005520EF" w:rsidP="00E245AB">
      <w:pPr>
        <w:spacing w:after="0"/>
        <w:rPr>
          <w:rFonts w:ascii="Verdana" w:hAnsi="Verdana"/>
        </w:rPr>
      </w:pPr>
    </w:p>
    <w:p w14:paraId="387A115E" w14:textId="77777777" w:rsidR="005520EF" w:rsidRDefault="005520EF" w:rsidP="00E245AB">
      <w:pPr>
        <w:spacing w:after="0"/>
        <w:rPr>
          <w:rFonts w:ascii="Verdana" w:hAnsi="Verdana"/>
        </w:rPr>
      </w:pPr>
    </w:p>
    <w:p w14:paraId="608E9703" w14:textId="77777777" w:rsidR="00F37018" w:rsidRDefault="00F37018" w:rsidP="00E245AB">
      <w:pPr>
        <w:spacing w:after="0"/>
        <w:rPr>
          <w:rFonts w:ascii="Verdana" w:hAnsi="Verdana"/>
        </w:rPr>
      </w:pPr>
    </w:p>
    <w:p w14:paraId="2B29342E" w14:textId="77777777" w:rsidR="00F37018" w:rsidRDefault="00F37018" w:rsidP="00E245AB">
      <w:pPr>
        <w:spacing w:after="0"/>
        <w:rPr>
          <w:rFonts w:ascii="Verdana" w:hAnsi="Verdana"/>
        </w:rPr>
      </w:pPr>
    </w:p>
    <w:p w14:paraId="3FE2184B" w14:textId="59444573" w:rsidR="00E245AB" w:rsidRPr="0044528D" w:rsidRDefault="00E245AB" w:rsidP="00E245AB">
      <w:pPr>
        <w:spacing w:after="0"/>
        <w:rPr>
          <w:rFonts w:ascii="Verdana" w:hAnsi="Verdana"/>
        </w:rPr>
      </w:pPr>
      <w:r w:rsidRPr="0044528D">
        <w:rPr>
          <w:rFonts w:ascii="Verdana" w:hAnsi="Verdana"/>
        </w:rPr>
        <w:lastRenderedPageBreak/>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14C80DC9" w14:textId="4985EE23" w:rsidR="00837C41" w:rsidRPr="00A12CB6" w:rsidRDefault="000B0C8F" w:rsidP="00837C41">
      <w:pPr>
        <w:spacing w:after="0" w:line="240" w:lineRule="auto"/>
        <w:rPr>
          <w:rFonts w:ascii="Verdana" w:eastAsia="Calibri" w:hAnsi="Verdana" w:cs="Times New Roman"/>
          <w:lang w:val="es-MX"/>
        </w:rPr>
      </w:pPr>
      <w:r w:rsidRPr="000B0C8F">
        <w:drawing>
          <wp:anchor distT="0" distB="0" distL="114300" distR="114300" simplePos="0" relativeHeight="251658752" behindDoc="0" locked="0" layoutInCell="1" allowOverlap="1" wp14:anchorId="6EE94620" wp14:editId="599A46D2">
            <wp:simplePos x="0" y="0"/>
            <wp:positionH relativeFrom="column">
              <wp:posOffset>3292890</wp:posOffset>
            </wp:positionH>
            <wp:positionV relativeFrom="paragraph">
              <wp:posOffset>5715</wp:posOffset>
            </wp:positionV>
            <wp:extent cx="2806700" cy="923290"/>
            <wp:effectExtent l="0" t="0" r="0" b="0"/>
            <wp:wrapSquare wrapText="bothSides"/>
            <wp:docPr id="11379972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97281"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806700" cy="923290"/>
                    </a:xfrm>
                    <a:prstGeom prst="rect">
                      <a:avLst/>
                    </a:prstGeom>
                  </pic:spPr>
                </pic:pic>
              </a:graphicData>
            </a:graphic>
            <wp14:sizeRelH relativeFrom="margin">
              <wp14:pctWidth>0</wp14:pctWidth>
            </wp14:sizeRelH>
            <wp14:sizeRelV relativeFrom="margin">
              <wp14:pctHeight>0</wp14:pctHeight>
            </wp14:sizeRelV>
          </wp:anchor>
        </w:drawing>
      </w:r>
      <w:r w:rsidR="00837C41">
        <w:rPr>
          <w:rFonts w:ascii="Verdana" w:eastAsia="Calibri" w:hAnsi="Verdana" w:cs="Times New Roman"/>
          <w:lang w:val="es-MX"/>
        </w:rPr>
        <w:t>Señora</w:t>
      </w:r>
    </w:p>
    <w:p w14:paraId="59C5A5A5" w14:textId="0BB841B5" w:rsidR="00837C41" w:rsidRDefault="00837C41" w:rsidP="00837C41">
      <w:pPr>
        <w:spacing w:after="0" w:line="240" w:lineRule="auto"/>
        <w:rPr>
          <w:rFonts w:ascii="Verdana" w:eastAsia="Calibri" w:hAnsi="Verdana" w:cs="Times New Roman"/>
          <w:b/>
        </w:rPr>
      </w:pPr>
      <w:r>
        <w:rPr>
          <w:rFonts w:ascii="Verdana" w:eastAsia="Calibri" w:hAnsi="Verdana" w:cs="Times New Roman"/>
          <w:b/>
        </w:rPr>
        <w:t xml:space="preserve">Mariana </w:t>
      </w:r>
      <w:r w:rsidRPr="004B158B">
        <w:rPr>
          <w:rFonts w:ascii="Verdana" w:eastAsia="Calibri" w:hAnsi="Verdana" w:cs="Times New Roman"/>
          <w:b/>
        </w:rPr>
        <w:t>Salazar Maturana</w:t>
      </w:r>
    </w:p>
    <w:p w14:paraId="0E708BAD" w14:textId="3192CA9E" w:rsidR="00837C41" w:rsidRPr="00B72CE1" w:rsidRDefault="00837C41" w:rsidP="00837C41">
      <w:pPr>
        <w:spacing w:after="0" w:line="240" w:lineRule="auto"/>
        <w:rPr>
          <w:rFonts w:ascii="Verdana" w:eastAsia="Calibri" w:hAnsi="Verdana" w:cs="Times New Roman"/>
        </w:rPr>
      </w:pPr>
      <w:hyperlink r:id="rId12" w:history="1">
        <w:r w:rsidRPr="00EC57AE">
          <w:rPr>
            <w:rStyle w:val="Hipervnculo"/>
            <w:rFonts w:ascii="Verdana" w:hAnsi="Verdana"/>
          </w:rPr>
          <w:t>marianasalazarm99@hotmail.com</w:t>
        </w:r>
      </w:hyperlink>
      <w:r w:rsidR="000B0C8F" w:rsidRPr="000B0C8F">
        <w:rPr>
          <w:noProof/>
        </w:rPr>
        <w:t xml:space="preserve"> </w:t>
      </w:r>
    </w:p>
    <w:p w14:paraId="0EAB326F" w14:textId="09C327BA" w:rsidR="00837C41" w:rsidRPr="00B72CE1" w:rsidRDefault="00837C41" w:rsidP="00837C41">
      <w:pPr>
        <w:spacing w:after="0" w:line="240" w:lineRule="auto"/>
        <w:rPr>
          <w:rFonts w:ascii="Verdana" w:eastAsia="Calibri" w:hAnsi="Verdana" w:cs="Times New Roman"/>
        </w:rPr>
      </w:pPr>
      <w:r w:rsidRPr="00B72CE1">
        <w:rPr>
          <w:rFonts w:ascii="Verdana" w:eastAsia="Calibri" w:hAnsi="Verdana" w:cs="Times New Roman"/>
        </w:rPr>
        <w:t xml:space="preserve">Medellín, Antioquia. </w:t>
      </w:r>
    </w:p>
    <w:p w14:paraId="58BA83D8" w14:textId="17664586" w:rsidR="00837C41" w:rsidRDefault="00837C41" w:rsidP="00837C41">
      <w:pPr>
        <w:spacing w:after="0" w:line="240" w:lineRule="auto"/>
        <w:rPr>
          <w:rFonts w:ascii="Verdana" w:eastAsia="Calibri" w:hAnsi="Verdana" w:cs="Times New Roman"/>
        </w:rPr>
      </w:pPr>
    </w:p>
    <w:p w14:paraId="0660E62A" w14:textId="77777777" w:rsidR="00837C41" w:rsidRDefault="00837C41" w:rsidP="00837C41">
      <w:pPr>
        <w:spacing w:after="0" w:line="240" w:lineRule="auto"/>
        <w:rPr>
          <w:rFonts w:ascii="Verdana" w:eastAsia="Calibri" w:hAnsi="Verdana" w:cs="Times New Roman"/>
        </w:rPr>
      </w:pPr>
    </w:p>
    <w:p w14:paraId="0C4E13D0" w14:textId="77777777" w:rsidR="000B0C8F" w:rsidRPr="00A12CB6" w:rsidRDefault="000B0C8F" w:rsidP="00837C41">
      <w:pPr>
        <w:spacing w:after="0" w:line="240" w:lineRule="auto"/>
        <w:rPr>
          <w:rFonts w:ascii="Verdana" w:eastAsia="Calibri" w:hAnsi="Verdana" w:cs="Times New Roman"/>
        </w:rPr>
      </w:pPr>
    </w:p>
    <w:p w14:paraId="4E6A93ED" w14:textId="77777777" w:rsidR="00837C41" w:rsidRPr="00A12CB6" w:rsidRDefault="00837C41" w:rsidP="00837C41">
      <w:pPr>
        <w:spacing w:after="0" w:line="240"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C–722 de 2025</w:t>
      </w:r>
    </w:p>
    <w:p w14:paraId="69B9CD8D" w14:textId="77777777" w:rsidR="00837C41" w:rsidRPr="00A12CB6" w:rsidRDefault="00837C41" w:rsidP="00837C41">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837C41" w:rsidRPr="00A12CB6" w14:paraId="3F7B6612" w14:textId="77777777" w:rsidTr="00B95769">
        <w:trPr>
          <w:trHeight w:val="884"/>
        </w:trPr>
        <w:tc>
          <w:tcPr>
            <w:tcW w:w="2685" w:type="dxa"/>
            <w:hideMark/>
          </w:tcPr>
          <w:p w14:paraId="180F8DFD" w14:textId="77777777" w:rsidR="00837C41" w:rsidRPr="00A12CB6" w:rsidRDefault="00837C41" w:rsidP="00B95769">
            <w:pPr>
              <w:spacing w:line="27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27C6EEBD" w14:textId="23D23BAB" w:rsidR="00837C41" w:rsidRPr="00E42471" w:rsidRDefault="00837C41" w:rsidP="00B95769">
            <w:pPr>
              <w:spacing w:line="276" w:lineRule="auto"/>
              <w:jc w:val="both"/>
              <w:rPr>
                <w:rFonts w:ascii="Verdana" w:hAnsi="Verdana" w:cs="Arial"/>
                <w:bCs/>
                <w:color w:val="000000" w:themeColor="text1"/>
                <w:lang w:val="es-ES_tradnl"/>
              </w:rPr>
            </w:pPr>
            <w:r w:rsidRPr="00E42471">
              <w:rPr>
                <w:rFonts w:ascii="Verdana" w:hAnsi="Verdana" w:cs="Arial"/>
                <w:bCs/>
                <w:color w:val="000000" w:themeColor="text1"/>
                <w:lang w:val="es-ES_tradnl"/>
              </w:rPr>
              <w:t xml:space="preserve">PRINCIPIO DE SELECCIÓN OBJETIVA – Fundamento – Alcance – </w:t>
            </w:r>
            <w:r w:rsidR="007F360A">
              <w:rPr>
                <w:rFonts w:ascii="Verdana" w:hAnsi="Verdana" w:cs="Arial"/>
                <w:bCs/>
                <w:color w:val="000000" w:themeColor="text1"/>
                <w:lang w:val="es-ES_tradnl"/>
              </w:rPr>
              <w:t>Reglas aplicables</w:t>
            </w:r>
            <w:r w:rsidR="007F360A" w:rsidRPr="00E42471" w:rsidDel="0010099D">
              <w:rPr>
                <w:rFonts w:ascii="Verdana" w:hAnsi="Verdana" w:cs="Arial"/>
                <w:bCs/>
                <w:color w:val="000000" w:themeColor="text1"/>
                <w:lang w:val="es-ES_tradnl"/>
              </w:rPr>
              <w:t xml:space="preserve"> </w:t>
            </w:r>
            <w:r w:rsidRPr="00E42471">
              <w:rPr>
                <w:rFonts w:ascii="Verdana" w:hAnsi="Verdana" w:cs="Arial"/>
                <w:bCs/>
                <w:color w:val="000000" w:themeColor="text1"/>
                <w:lang w:val="es-ES_tradnl"/>
              </w:rPr>
              <w:t xml:space="preserve">/ PRECIO – Concepto – Estructuración </w:t>
            </w:r>
            <w:r w:rsidR="00601E95">
              <w:rPr>
                <w:rFonts w:ascii="Verdana" w:hAnsi="Verdana" w:cs="Arial"/>
                <w:bCs/>
                <w:color w:val="000000" w:themeColor="text1"/>
                <w:lang w:val="es-ES_tradnl"/>
              </w:rPr>
              <w:t>– Mecanismos de ponderación</w:t>
            </w:r>
            <w:r w:rsidRPr="00E42471">
              <w:rPr>
                <w:rFonts w:ascii="Verdana" w:hAnsi="Verdana" w:cs="Arial"/>
                <w:bCs/>
                <w:color w:val="000000" w:themeColor="text1"/>
                <w:lang w:val="es-ES_tradnl"/>
              </w:rPr>
              <w:t xml:space="preserve"> / </w:t>
            </w:r>
            <w:r w:rsidRPr="00630891">
              <w:rPr>
                <w:rFonts w:ascii="Verdana" w:hAnsi="Verdana" w:cs="Arial"/>
                <w:bCs/>
                <w:color w:val="000000" w:themeColor="text1"/>
                <w:lang w:val="es-ES_tradnl"/>
              </w:rPr>
              <w:t>MODALIDADES DE SELECCIÓN –</w:t>
            </w:r>
            <w:r>
              <w:rPr>
                <w:rFonts w:ascii="Verdana" w:hAnsi="Verdana" w:cs="Arial"/>
                <w:bCs/>
                <w:color w:val="000000" w:themeColor="text1"/>
                <w:lang w:val="es-ES_tradnl"/>
              </w:rPr>
              <w:t xml:space="preserve"> </w:t>
            </w:r>
            <w:r w:rsidR="00601E95">
              <w:rPr>
                <w:rFonts w:ascii="Verdana" w:hAnsi="Verdana" w:cs="Arial"/>
                <w:bCs/>
                <w:color w:val="000000" w:themeColor="text1"/>
                <w:lang w:val="es-ES_tradnl"/>
              </w:rPr>
              <w:t xml:space="preserve">Asignación de Puntaje – Procedencia </w:t>
            </w:r>
          </w:p>
        </w:tc>
        <w:tc>
          <w:tcPr>
            <w:tcW w:w="6237" w:type="dxa"/>
          </w:tcPr>
          <w:p w14:paraId="15C19B9C" w14:textId="77777777" w:rsidR="00837C41" w:rsidRPr="00A12CB6" w:rsidRDefault="00837C41" w:rsidP="00B95769">
            <w:pPr>
              <w:spacing w:line="276" w:lineRule="auto"/>
              <w:rPr>
                <w:rFonts w:ascii="Verdana" w:hAnsi="Verdana"/>
              </w:rPr>
            </w:pPr>
          </w:p>
        </w:tc>
      </w:tr>
      <w:tr w:rsidR="00837C41" w:rsidRPr="00A12CB6" w14:paraId="4541D1D8" w14:textId="77777777" w:rsidTr="00B95769">
        <w:tc>
          <w:tcPr>
            <w:tcW w:w="2685" w:type="dxa"/>
          </w:tcPr>
          <w:p w14:paraId="7C07956E" w14:textId="77777777" w:rsidR="00837C41" w:rsidRPr="00A12CB6" w:rsidRDefault="00837C41" w:rsidP="00B95769">
            <w:pPr>
              <w:spacing w:line="256" w:lineRule="auto"/>
              <w:rPr>
                <w:rFonts w:ascii="Verdana" w:hAnsi="Verdana"/>
                <w:lang w:val="es-ES_tradnl"/>
              </w:rPr>
            </w:pPr>
          </w:p>
          <w:p w14:paraId="49FC9572" w14:textId="77777777" w:rsidR="00837C41" w:rsidRPr="00A12CB6" w:rsidRDefault="00837C41" w:rsidP="00B95769">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79FE133F" w14:textId="77777777" w:rsidR="00837C41" w:rsidRPr="00A12CB6" w:rsidRDefault="00837C41" w:rsidP="00B95769">
            <w:pPr>
              <w:spacing w:line="257" w:lineRule="auto"/>
              <w:rPr>
                <w:rFonts w:ascii="Verdana" w:hAnsi="Verdana"/>
                <w:lang w:val="es-ES_tradnl"/>
              </w:rPr>
            </w:pPr>
          </w:p>
          <w:p w14:paraId="2A5B9CB9" w14:textId="3E407386" w:rsidR="00837C41" w:rsidRPr="00F37018" w:rsidRDefault="00837C41" w:rsidP="00B95769">
            <w:pPr>
              <w:spacing w:line="257" w:lineRule="auto"/>
              <w:jc w:val="both"/>
              <w:rPr>
                <w:rFonts w:ascii="Verdana" w:hAnsi="Verdana"/>
                <w:lang w:val="es-ES_tradnl"/>
              </w:rPr>
            </w:pPr>
            <w:r w:rsidRPr="00A12CB6">
              <w:rPr>
                <w:rFonts w:ascii="Verdana" w:hAnsi="Verdana"/>
                <w:lang w:val="es-ES_tradnl"/>
              </w:rPr>
              <w:t xml:space="preserve">Respuesta a consulta con radicado No. </w:t>
            </w:r>
            <w:r w:rsidRPr="00653315">
              <w:rPr>
                <w:rFonts w:ascii="Verdana" w:hAnsi="Verdana"/>
              </w:rPr>
              <w:t>1-2025-06-05-005502</w:t>
            </w:r>
          </w:p>
        </w:tc>
        <w:tc>
          <w:tcPr>
            <w:tcW w:w="6237" w:type="dxa"/>
          </w:tcPr>
          <w:p w14:paraId="1798354F" w14:textId="77777777" w:rsidR="00837C41" w:rsidRPr="00A12CB6" w:rsidRDefault="00837C41" w:rsidP="00B95769">
            <w:pPr>
              <w:spacing w:line="256" w:lineRule="auto"/>
              <w:rPr>
                <w:rFonts w:ascii="Verdana" w:hAnsi="Verdana"/>
                <w:lang w:val="es-ES_tradnl"/>
              </w:rPr>
            </w:pPr>
          </w:p>
        </w:tc>
      </w:tr>
    </w:tbl>
    <w:p w14:paraId="7974AD88" w14:textId="77777777" w:rsidR="00F37018" w:rsidRDefault="00F37018" w:rsidP="00837C41">
      <w:pPr>
        <w:spacing w:after="0" w:line="256" w:lineRule="auto"/>
        <w:rPr>
          <w:rFonts w:ascii="Verdana" w:eastAsia="Calibri" w:hAnsi="Verdana" w:cs="Times New Roman"/>
          <w:lang w:val="es-ES"/>
        </w:rPr>
      </w:pPr>
    </w:p>
    <w:p w14:paraId="091C2383" w14:textId="325EC9E9" w:rsidR="00837C41" w:rsidRPr="00A12CB6" w:rsidRDefault="00837C41" w:rsidP="00837C41">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Mariana: </w:t>
      </w:r>
    </w:p>
    <w:p w14:paraId="178B1C7A" w14:textId="77777777" w:rsidR="00837C41" w:rsidRPr="00A12CB6" w:rsidRDefault="00837C41" w:rsidP="00837C41">
      <w:pPr>
        <w:spacing w:after="0" w:line="256" w:lineRule="auto"/>
        <w:rPr>
          <w:rFonts w:ascii="Verdana" w:eastAsia="Calibri" w:hAnsi="Verdana" w:cs="Times New Roman"/>
          <w:lang w:val="es-ES"/>
        </w:rPr>
      </w:pPr>
    </w:p>
    <w:p w14:paraId="4ED03D86" w14:textId="77777777" w:rsidR="00837C41" w:rsidRDefault="00837C41" w:rsidP="00837C41">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presentada el 2 de mayo de 2025</w:t>
      </w:r>
      <w:r w:rsidRPr="00A12061">
        <w:rPr>
          <w:rFonts w:ascii="Verdana" w:eastAsia="Calibri" w:hAnsi="Verdana" w:cs="Times New Roman"/>
          <w:lang w:val="es-ES"/>
        </w:rPr>
        <w:t>, en la cual manifiesta:</w:t>
      </w:r>
      <w:r w:rsidRPr="000D6D0E">
        <w:rPr>
          <w:rFonts w:ascii="Verdana" w:eastAsia="Calibri" w:hAnsi="Verdana" w:cs="Times New Roman"/>
        </w:rPr>
        <w:t xml:space="preserve"> </w:t>
      </w:r>
    </w:p>
    <w:p w14:paraId="25D52947" w14:textId="77777777" w:rsidR="00837C41" w:rsidRDefault="00837C41" w:rsidP="00837C41">
      <w:pPr>
        <w:spacing w:after="0" w:line="276" w:lineRule="auto"/>
        <w:jc w:val="both"/>
        <w:rPr>
          <w:rFonts w:ascii="Verdana" w:eastAsia="Calibri" w:hAnsi="Verdana" w:cs="Times New Roman"/>
        </w:rPr>
      </w:pPr>
    </w:p>
    <w:p w14:paraId="7D9D5C56" w14:textId="77777777" w:rsidR="00837C41" w:rsidRDefault="00837C41" w:rsidP="00837C41">
      <w:pPr>
        <w:spacing w:after="0" w:line="240" w:lineRule="auto"/>
        <w:ind w:left="709" w:right="709"/>
        <w:jc w:val="both"/>
        <w:rPr>
          <w:rFonts w:ascii="Verdana" w:eastAsia="Calibri" w:hAnsi="Verdana" w:cs="Times New Roman"/>
          <w:iCs/>
          <w:sz w:val="20"/>
        </w:rPr>
      </w:pPr>
      <w:r w:rsidRPr="00557A66">
        <w:rPr>
          <w:rFonts w:ascii="Verdana" w:eastAsia="Calibri" w:hAnsi="Verdana" w:cs="Times New Roman"/>
          <w:iCs/>
          <w:sz w:val="20"/>
        </w:rPr>
        <w:t xml:space="preserve">“[…] </w:t>
      </w:r>
      <w:r w:rsidRPr="00110455">
        <w:rPr>
          <w:rFonts w:ascii="Verdana" w:eastAsia="Calibri" w:hAnsi="Verdana" w:cs="Times New Roman"/>
          <w:iCs/>
          <w:sz w:val="20"/>
        </w:rPr>
        <w:t>Me permito realizar la siguiente consulta:</w:t>
      </w:r>
    </w:p>
    <w:p w14:paraId="18EC3D64" w14:textId="77777777" w:rsidR="00837C41" w:rsidRPr="00110455" w:rsidRDefault="00837C41" w:rsidP="00837C41">
      <w:pPr>
        <w:spacing w:after="0" w:line="240" w:lineRule="auto"/>
        <w:ind w:left="709" w:right="709"/>
        <w:jc w:val="both"/>
        <w:rPr>
          <w:rFonts w:ascii="Verdana" w:eastAsia="Calibri" w:hAnsi="Verdana" w:cs="Times New Roman"/>
          <w:iCs/>
          <w:sz w:val="20"/>
        </w:rPr>
      </w:pPr>
    </w:p>
    <w:p w14:paraId="39FBD967" w14:textId="77777777" w:rsidR="00837C41" w:rsidRDefault="00837C41" w:rsidP="00837C41">
      <w:pPr>
        <w:spacing w:after="0" w:line="240" w:lineRule="auto"/>
        <w:ind w:left="709" w:right="709"/>
        <w:jc w:val="both"/>
        <w:rPr>
          <w:rFonts w:ascii="Verdana" w:eastAsia="Calibri" w:hAnsi="Verdana" w:cs="Times New Roman"/>
          <w:iCs/>
          <w:sz w:val="20"/>
        </w:rPr>
      </w:pPr>
      <w:r w:rsidRPr="00110455">
        <w:rPr>
          <w:rFonts w:ascii="Verdana" w:eastAsia="Calibri" w:hAnsi="Verdana" w:cs="Times New Roman"/>
          <w:iCs/>
          <w:sz w:val="20"/>
        </w:rPr>
        <w:t>¿Existen por lo menos dos casos o procesos de contratación donde el precio no se</w:t>
      </w:r>
      <w:r>
        <w:rPr>
          <w:rFonts w:ascii="Verdana" w:eastAsia="Calibri" w:hAnsi="Verdana" w:cs="Times New Roman"/>
          <w:iCs/>
          <w:sz w:val="20"/>
        </w:rPr>
        <w:t xml:space="preserve"> </w:t>
      </w:r>
      <w:r w:rsidRPr="00110455">
        <w:rPr>
          <w:rFonts w:ascii="Verdana" w:eastAsia="Calibri" w:hAnsi="Verdana" w:cs="Times New Roman"/>
          <w:iCs/>
          <w:sz w:val="20"/>
        </w:rPr>
        <w:t>puede evaluar con puntos? Y, en ese sentido, ¿podría considerarse para estos dos</w:t>
      </w:r>
      <w:r>
        <w:rPr>
          <w:rFonts w:ascii="Verdana" w:eastAsia="Calibri" w:hAnsi="Verdana" w:cs="Times New Roman"/>
          <w:iCs/>
          <w:sz w:val="20"/>
        </w:rPr>
        <w:t xml:space="preserve"> </w:t>
      </w:r>
      <w:r w:rsidRPr="00110455">
        <w:rPr>
          <w:rFonts w:ascii="Verdana" w:eastAsia="Calibri" w:hAnsi="Verdana" w:cs="Times New Roman"/>
          <w:iCs/>
          <w:sz w:val="20"/>
        </w:rPr>
        <w:t>casos la consultoría o contratación directa?</w:t>
      </w:r>
    </w:p>
    <w:p w14:paraId="0DD0277A" w14:textId="77777777" w:rsidR="00837C41" w:rsidRPr="00110455" w:rsidRDefault="00837C41" w:rsidP="00837C41">
      <w:pPr>
        <w:spacing w:after="0" w:line="240" w:lineRule="auto"/>
        <w:ind w:left="709" w:right="709"/>
        <w:jc w:val="both"/>
        <w:rPr>
          <w:rFonts w:ascii="Verdana" w:eastAsia="Calibri" w:hAnsi="Verdana" w:cs="Times New Roman"/>
          <w:iCs/>
          <w:sz w:val="20"/>
        </w:rPr>
      </w:pPr>
    </w:p>
    <w:p w14:paraId="05872BBF" w14:textId="77777777" w:rsidR="00837C41" w:rsidRPr="00557A66" w:rsidRDefault="00837C41" w:rsidP="00837C41">
      <w:pPr>
        <w:spacing w:after="0" w:line="240" w:lineRule="auto"/>
        <w:ind w:left="709" w:right="709"/>
        <w:jc w:val="both"/>
        <w:rPr>
          <w:rFonts w:ascii="Verdana" w:eastAsia="Calibri" w:hAnsi="Verdana" w:cs="Times New Roman"/>
          <w:bCs/>
          <w:iCs/>
          <w:sz w:val="20"/>
        </w:rPr>
      </w:pPr>
      <w:r w:rsidRPr="00110455">
        <w:rPr>
          <w:rFonts w:ascii="Verdana" w:eastAsia="Calibri" w:hAnsi="Verdana" w:cs="Times New Roman"/>
          <w:iCs/>
          <w:sz w:val="20"/>
        </w:rPr>
        <w:t>Agradezco de antemano la atención prestada.:</w:t>
      </w:r>
      <w:r w:rsidRPr="00557A66">
        <w:rPr>
          <w:rFonts w:ascii="Verdana" w:eastAsia="Calibri" w:hAnsi="Verdana" w:cs="Times New Roman"/>
          <w:iCs/>
          <w:sz w:val="20"/>
        </w:rPr>
        <w:t>”</w:t>
      </w:r>
    </w:p>
    <w:p w14:paraId="2DA5E93F" w14:textId="77777777" w:rsidR="00837C41" w:rsidRPr="00BE7E3E" w:rsidRDefault="00837C41" w:rsidP="00837C41">
      <w:pPr>
        <w:spacing w:after="120" w:line="276" w:lineRule="auto"/>
        <w:jc w:val="both"/>
        <w:rPr>
          <w:rFonts w:ascii="Verdana" w:eastAsia="Calibri" w:hAnsi="Verdana" w:cs="Times New Roman"/>
          <w:i/>
          <w:iCs/>
          <w:lang w:val="es-ES"/>
        </w:rPr>
      </w:pPr>
    </w:p>
    <w:p w14:paraId="50F1EBD4" w14:textId="77777777" w:rsidR="00837C41" w:rsidRPr="00A12CB6" w:rsidRDefault="00837C41" w:rsidP="00837C41">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A12CB6">
        <w:rPr>
          <w:rFonts w:ascii="Verdana" w:eastAsia="Calibri" w:hAnsi="Verdana" w:cs="Times New Roman"/>
          <w:lang w:val="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BF10AF7" w14:textId="77777777" w:rsidR="00837C41" w:rsidRPr="00A12CB6" w:rsidRDefault="00837C41" w:rsidP="00837C41">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93E959A" w14:textId="77777777" w:rsidR="00837C41" w:rsidRPr="00A12CB6" w:rsidRDefault="00837C41" w:rsidP="00837C41">
      <w:pPr>
        <w:spacing w:after="0" w:line="256" w:lineRule="auto"/>
        <w:rPr>
          <w:rFonts w:ascii="Verdana" w:eastAsia="Calibri" w:hAnsi="Verdana" w:cs="Times New Roman"/>
          <w:lang w:val="es-ES"/>
        </w:rPr>
      </w:pPr>
    </w:p>
    <w:p w14:paraId="10FDEFC4" w14:textId="77777777" w:rsidR="00837C41" w:rsidRPr="00A12CB6" w:rsidRDefault="00837C41" w:rsidP="00837C41">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78E3FC3B" w14:textId="77777777" w:rsidR="00837C41" w:rsidRPr="00A12CB6" w:rsidRDefault="00837C41" w:rsidP="00837C41">
      <w:pPr>
        <w:spacing w:after="0" w:line="256" w:lineRule="auto"/>
        <w:rPr>
          <w:rFonts w:ascii="Verdana" w:eastAsia="Calibri" w:hAnsi="Verdana" w:cs="Times New Roman"/>
        </w:rPr>
      </w:pPr>
    </w:p>
    <w:p w14:paraId="5D504EF4" w14:textId="08147ECD" w:rsidR="00837C41" w:rsidRPr="00485156" w:rsidRDefault="00837C41" w:rsidP="00837C41">
      <w:pPr>
        <w:spacing w:after="0" w:line="276" w:lineRule="auto"/>
        <w:jc w:val="both"/>
        <w:rPr>
          <w:rFonts w:ascii="Verdana" w:eastAsia="Calibri" w:hAnsi="Verdana" w:cs="Times New Roman"/>
          <w:bCs/>
          <w:iCs/>
        </w:rPr>
      </w:pPr>
      <w:r w:rsidRPr="00A12CB6">
        <w:rPr>
          <w:rFonts w:ascii="Verdana" w:eastAsia="Calibri" w:hAnsi="Verdana" w:cs="Times New Roman"/>
        </w:rPr>
        <w:t>De acuerdo con el contenido de su solicitud, esta Agencia procede a resolver</w:t>
      </w:r>
      <w:r>
        <w:rPr>
          <w:rFonts w:ascii="Verdana" w:eastAsia="Calibri" w:hAnsi="Verdana" w:cs="Times New Roman"/>
        </w:rPr>
        <w:t xml:space="preserve"> el siguiente problema que condensa las inquietudes del solicitante:</w:t>
      </w:r>
      <w:r>
        <w:rPr>
          <w:rFonts w:ascii="Verdana" w:eastAsia="Calibri" w:hAnsi="Verdana" w:cs="Times New Roman"/>
          <w:bCs/>
          <w:iCs/>
        </w:rPr>
        <w:t xml:space="preserve"> </w:t>
      </w:r>
      <w:r w:rsidRPr="00485156">
        <w:rPr>
          <w:rFonts w:ascii="Verdana" w:eastAsia="Calibri" w:hAnsi="Verdana" w:cs="Times New Roman"/>
          <w:bCs/>
          <w:iCs/>
        </w:rPr>
        <w:t>¿</w:t>
      </w:r>
      <w:r w:rsidRPr="00485156">
        <w:rPr>
          <w:rFonts w:ascii="Verdana" w:hAnsi="Verdana"/>
          <w:bCs/>
        </w:rPr>
        <w:t>En</w:t>
      </w:r>
      <w:r w:rsidRPr="00485156">
        <w:rPr>
          <w:rFonts w:ascii="Verdana" w:eastAsia="Calibri" w:hAnsi="Verdana" w:cs="Times New Roman"/>
          <w:bCs/>
          <w:iCs/>
        </w:rPr>
        <w:t xml:space="preserve"> </w:t>
      </w:r>
      <w:r>
        <w:rPr>
          <w:rFonts w:ascii="Verdana" w:eastAsia="Calibri" w:hAnsi="Verdana" w:cs="Times New Roman"/>
          <w:bCs/>
          <w:iCs/>
        </w:rPr>
        <w:t>cuales</w:t>
      </w:r>
      <w:r w:rsidRPr="00485156">
        <w:rPr>
          <w:rFonts w:ascii="Verdana" w:eastAsia="Calibri" w:hAnsi="Verdana" w:cs="Times New Roman"/>
          <w:bCs/>
          <w:iCs/>
        </w:rPr>
        <w:t xml:space="preserve"> modalidades de selección regulad</w:t>
      </w:r>
      <w:r w:rsidR="00B5154D">
        <w:rPr>
          <w:rFonts w:ascii="Verdana" w:eastAsia="Calibri" w:hAnsi="Verdana" w:cs="Times New Roman"/>
          <w:bCs/>
          <w:iCs/>
        </w:rPr>
        <w:t>a</w:t>
      </w:r>
      <w:r w:rsidRPr="00485156">
        <w:rPr>
          <w:rFonts w:ascii="Verdana" w:eastAsia="Calibri" w:hAnsi="Verdana" w:cs="Times New Roman"/>
          <w:bCs/>
          <w:iCs/>
        </w:rPr>
        <w:t xml:space="preserve">s por el Estatuto General de Contratación no </w:t>
      </w:r>
      <w:r>
        <w:rPr>
          <w:rFonts w:ascii="Verdana" w:eastAsia="Calibri" w:hAnsi="Verdana" w:cs="Times New Roman"/>
          <w:bCs/>
          <w:iCs/>
        </w:rPr>
        <w:t xml:space="preserve">es posible </w:t>
      </w:r>
      <w:r w:rsidR="00154342">
        <w:rPr>
          <w:rFonts w:ascii="Verdana" w:eastAsia="Calibri" w:hAnsi="Verdana" w:cs="Times New Roman"/>
          <w:bCs/>
          <w:iCs/>
        </w:rPr>
        <w:t xml:space="preserve">ponderar el precio </w:t>
      </w:r>
      <w:r>
        <w:rPr>
          <w:rFonts w:ascii="Verdana" w:eastAsia="Calibri" w:hAnsi="Verdana" w:cs="Times New Roman"/>
          <w:bCs/>
          <w:iCs/>
        </w:rPr>
        <w:t xml:space="preserve">a través de </w:t>
      </w:r>
      <w:r w:rsidRPr="00485156">
        <w:rPr>
          <w:rFonts w:ascii="Verdana" w:eastAsia="Calibri" w:hAnsi="Verdana" w:cs="Times New Roman"/>
          <w:bCs/>
          <w:iCs/>
        </w:rPr>
        <w:t>la asignación de puntajes</w:t>
      </w:r>
      <w:r w:rsidRPr="00485156">
        <w:rPr>
          <w:rFonts w:ascii="Verdana" w:eastAsia="Calibri" w:hAnsi="Verdana" w:cs="Times New Roman"/>
          <w:bCs/>
        </w:rPr>
        <w:t>?</w:t>
      </w:r>
    </w:p>
    <w:p w14:paraId="6CF1D9A7" w14:textId="77777777" w:rsidR="00837C41" w:rsidRPr="00A12CB6" w:rsidRDefault="00837C41" w:rsidP="00837C41">
      <w:pPr>
        <w:spacing w:after="0" w:line="256" w:lineRule="auto"/>
        <w:rPr>
          <w:rFonts w:ascii="Verdana" w:eastAsia="Calibri" w:hAnsi="Verdana" w:cs="Times New Roman"/>
        </w:rPr>
      </w:pPr>
    </w:p>
    <w:p w14:paraId="1537D4E8" w14:textId="77777777" w:rsidR="00837C41" w:rsidRDefault="00837C41" w:rsidP="00837C41">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19EF77DD" w14:textId="77777777" w:rsidR="00837C41" w:rsidRPr="00A12CB6" w:rsidRDefault="00837C41" w:rsidP="00837C41">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837C41" w:rsidRPr="001205D1" w14:paraId="5FA69BF2" w14:textId="77777777" w:rsidTr="00E17F16">
        <w:trPr>
          <w:trHeight w:val="870"/>
          <w:jc w:val="center"/>
        </w:trPr>
        <w:tc>
          <w:tcPr>
            <w:tcW w:w="8784" w:type="dxa"/>
          </w:tcPr>
          <w:p w14:paraId="52966A21" w14:textId="0A7DB2F1" w:rsidR="005534CE" w:rsidRDefault="00633A94" w:rsidP="007F1838">
            <w:pPr>
              <w:tabs>
                <w:tab w:val="left" w:pos="0"/>
              </w:tabs>
              <w:spacing w:after="120" w:line="276" w:lineRule="auto"/>
              <w:jc w:val="both"/>
              <w:rPr>
                <w:rFonts w:ascii="Verdana" w:eastAsia="Arial" w:hAnsi="Verdana" w:cs="Arial"/>
                <w:color w:val="000000"/>
              </w:rPr>
            </w:pPr>
            <w:r>
              <w:rPr>
                <w:rFonts w:ascii="Verdana" w:eastAsia="Arial" w:hAnsi="Verdana" w:cs="Arial"/>
                <w:color w:val="000000"/>
              </w:rPr>
              <w:t>De conformidad con el</w:t>
            </w:r>
            <w:r w:rsidR="00174BFA">
              <w:rPr>
                <w:rFonts w:ascii="Verdana" w:eastAsia="Arial" w:hAnsi="Verdana" w:cs="Arial"/>
                <w:color w:val="000000"/>
              </w:rPr>
              <w:t xml:space="preserve"> literal </w:t>
            </w:r>
            <w:r w:rsidR="001134AD">
              <w:rPr>
                <w:rFonts w:ascii="Verdana" w:eastAsia="Arial" w:hAnsi="Verdana" w:cs="Arial"/>
                <w:color w:val="000000"/>
              </w:rPr>
              <w:t>a) del numeral 2 del</w:t>
            </w:r>
            <w:r>
              <w:rPr>
                <w:rFonts w:ascii="Verdana" w:eastAsia="Arial" w:hAnsi="Verdana" w:cs="Arial"/>
                <w:color w:val="000000"/>
              </w:rPr>
              <w:t xml:space="preserve"> artículo 5</w:t>
            </w:r>
            <w:r w:rsidR="001134AD">
              <w:rPr>
                <w:rFonts w:ascii="Verdana" w:eastAsia="Arial" w:hAnsi="Verdana" w:cs="Arial"/>
                <w:color w:val="000000"/>
              </w:rPr>
              <w:t xml:space="preserve"> de la Ley 1150 de 2007</w:t>
            </w:r>
            <w:r w:rsidR="00174BFA">
              <w:rPr>
                <w:rFonts w:ascii="Verdana" w:eastAsia="Arial" w:hAnsi="Verdana" w:cs="Arial"/>
                <w:color w:val="000000"/>
              </w:rPr>
              <w:t>,</w:t>
            </w:r>
            <w:r w:rsidR="007F1838">
              <w:rPr>
                <w:rFonts w:ascii="Verdana" w:eastAsia="Arial" w:hAnsi="Verdana" w:cs="Arial"/>
                <w:color w:val="000000"/>
              </w:rPr>
              <w:t xml:space="preserve"> reglamentado por el artículo </w:t>
            </w:r>
            <w:r w:rsidR="007F1838" w:rsidRPr="007F1838">
              <w:rPr>
                <w:rFonts w:ascii="Verdana" w:eastAsia="Arial" w:hAnsi="Verdana" w:cs="Arial"/>
                <w:color w:val="000000"/>
              </w:rPr>
              <w:t>2.2.1.1.2.2.2</w:t>
            </w:r>
            <w:r w:rsidR="007F1838">
              <w:rPr>
                <w:rFonts w:ascii="Verdana" w:eastAsia="Arial" w:hAnsi="Verdana" w:cs="Arial"/>
                <w:color w:val="000000"/>
              </w:rPr>
              <w:t xml:space="preserve"> del Decreto 1082 de </w:t>
            </w:r>
            <w:r w:rsidR="004D78E1">
              <w:rPr>
                <w:rFonts w:ascii="Verdana" w:eastAsia="Arial" w:hAnsi="Verdana" w:cs="Arial"/>
                <w:color w:val="000000"/>
              </w:rPr>
              <w:t>2015, la</w:t>
            </w:r>
            <w:r w:rsidR="001661BF">
              <w:rPr>
                <w:rFonts w:ascii="Verdana" w:eastAsia="Arial" w:hAnsi="Verdana" w:cs="Arial"/>
                <w:color w:val="000000"/>
              </w:rPr>
              <w:t xml:space="preserve"> valoración del precio </w:t>
            </w:r>
            <w:r w:rsidR="00174BFA">
              <w:rPr>
                <w:rFonts w:ascii="Verdana" w:eastAsia="Arial" w:hAnsi="Verdana" w:cs="Arial"/>
                <w:color w:val="000000"/>
              </w:rPr>
              <w:t xml:space="preserve">a través de sistemas de asignación de </w:t>
            </w:r>
            <w:r w:rsidR="00CF05F5">
              <w:rPr>
                <w:rFonts w:ascii="Verdana" w:eastAsia="Arial" w:hAnsi="Verdana" w:cs="Arial"/>
                <w:color w:val="000000"/>
              </w:rPr>
              <w:t>puntaje</w:t>
            </w:r>
            <w:r w:rsidR="004D78E1">
              <w:rPr>
                <w:rFonts w:ascii="Verdana" w:eastAsia="Arial" w:hAnsi="Verdana" w:cs="Arial"/>
                <w:color w:val="000000"/>
              </w:rPr>
              <w:t xml:space="preserve"> </w:t>
            </w:r>
            <w:r w:rsidR="00D51A98">
              <w:rPr>
                <w:rFonts w:ascii="Verdana" w:eastAsia="Arial" w:hAnsi="Verdana" w:cs="Arial"/>
                <w:color w:val="000000"/>
              </w:rPr>
              <w:t xml:space="preserve">es una </w:t>
            </w:r>
            <w:r w:rsidR="004D78E1">
              <w:rPr>
                <w:rFonts w:ascii="Verdana" w:eastAsia="Arial" w:hAnsi="Verdana" w:cs="Arial"/>
                <w:color w:val="000000"/>
              </w:rPr>
              <w:t>práctica</w:t>
            </w:r>
            <w:r w:rsidR="00D51A98">
              <w:rPr>
                <w:rFonts w:ascii="Verdana" w:eastAsia="Arial" w:hAnsi="Verdana" w:cs="Arial"/>
                <w:color w:val="000000"/>
              </w:rPr>
              <w:t xml:space="preserve"> propia de las modalidades de </w:t>
            </w:r>
            <w:r w:rsidR="00721D03">
              <w:rPr>
                <w:rFonts w:ascii="Verdana" w:eastAsia="Arial" w:hAnsi="Verdana" w:cs="Arial"/>
                <w:color w:val="000000"/>
              </w:rPr>
              <w:t>licitación pública y selección</w:t>
            </w:r>
            <w:r w:rsidR="004D78E1">
              <w:rPr>
                <w:rFonts w:ascii="Verdana" w:eastAsia="Arial" w:hAnsi="Verdana" w:cs="Arial"/>
                <w:color w:val="000000"/>
              </w:rPr>
              <w:t xml:space="preserve"> abreviada.</w:t>
            </w:r>
            <w:r w:rsidR="004F00C1">
              <w:rPr>
                <w:rFonts w:ascii="Verdana" w:eastAsia="Arial" w:hAnsi="Verdana" w:cs="Arial"/>
                <w:color w:val="000000"/>
              </w:rPr>
              <w:t xml:space="preserve"> Esto como quiera que, en el marco de esta</w:t>
            </w:r>
            <w:r w:rsidR="00E17F16">
              <w:rPr>
                <w:rFonts w:ascii="Verdana" w:eastAsia="Arial" w:hAnsi="Verdana" w:cs="Arial"/>
                <w:color w:val="000000"/>
              </w:rPr>
              <w:t>s</w:t>
            </w:r>
            <w:r w:rsidR="004F00C1">
              <w:rPr>
                <w:rFonts w:ascii="Verdana" w:eastAsia="Arial" w:hAnsi="Verdana" w:cs="Arial"/>
                <w:color w:val="000000"/>
              </w:rPr>
              <w:t xml:space="preserve"> modalidades, la oferta más favorable se determina</w:t>
            </w:r>
            <w:r w:rsidR="000D3456">
              <w:rPr>
                <w:rFonts w:ascii="Verdana" w:eastAsia="Arial" w:hAnsi="Verdana" w:cs="Arial"/>
                <w:color w:val="000000"/>
              </w:rPr>
              <w:t xml:space="preserve"> a partir de la ponderación de elementos de calidad y precio, </w:t>
            </w:r>
            <w:r w:rsidR="00255A32">
              <w:rPr>
                <w:rFonts w:ascii="Verdana" w:eastAsia="Arial" w:hAnsi="Verdana" w:cs="Arial"/>
                <w:color w:val="000000"/>
              </w:rPr>
              <w:t>lo que implica que la selección del contratista supone asignar un margen de puntaje al precio</w:t>
            </w:r>
            <w:r w:rsidR="00683059">
              <w:rPr>
                <w:rFonts w:ascii="Verdana" w:eastAsia="Arial" w:hAnsi="Verdana" w:cs="Arial"/>
                <w:color w:val="000000"/>
              </w:rPr>
              <w:t>, a efectos de que pueda ser ponderado frente a los factores de calidad, así como a los criterios sociales y ambientales incorporados</w:t>
            </w:r>
            <w:r w:rsidR="00DF2BC6">
              <w:rPr>
                <w:rFonts w:ascii="Verdana" w:eastAsia="Arial" w:hAnsi="Verdana" w:cs="Arial"/>
                <w:color w:val="000000"/>
              </w:rPr>
              <w:t xml:space="preserve"> en el pliego de condiciones. </w:t>
            </w:r>
            <w:r w:rsidR="00D51A98">
              <w:rPr>
                <w:rFonts w:ascii="Verdana" w:eastAsia="Arial" w:hAnsi="Verdana" w:cs="Arial"/>
                <w:color w:val="000000"/>
              </w:rPr>
              <w:t xml:space="preserve"> </w:t>
            </w:r>
            <w:r w:rsidR="001134AD">
              <w:rPr>
                <w:rFonts w:ascii="Verdana" w:eastAsia="Arial" w:hAnsi="Verdana" w:cs="Arial"/>
                <w:color w:val="000000"/>
              </w:rPr>
              <w:t xml:space="preserve"> </w:t>
            </w:r>
          </w:p>
          <w:p w14:paraId="742F09A2" w14:textId="181C5080" w:rsidR="00745032" w:rsidRDefault="00DF2BC6" w:rsidP="00F35D5F">
            <w:pPr>
              <w:tabs>
                <w:tab w:val="left" w:pos="0"/>
              </w:tabs>
              <w:spacing w:after="120" w:line="276" w:lineRule="auto"/>
              <w:ind w:firstLine="709"/>
              <w:jc w:val="both"/>
              <w:rPr>
                <w:rFonts w:ascii="Verdana" w:eastAsia="Arial" w:hAnsi="Verdana" w:cs="Arial"/>
                <w:color w:val="000000"/>
              </w:rPr>
            </w:pPr>
            <w:r>
              <w:rPr>
                <w:rFonts w:ascii="Verdana" w:eastAsia="Arial" w:hAnsi="Verdana" w:cs="Arial"/>
                <w:color w:val="000000"/>
              </w:rPr>
              <w:t xml:space="preserve">Por el contrario, </w:t>
            </w:r>
            <w:r w:rsidR="00B25B00">
              <w:rPr>
                <w:rFonts w:ascii="Verdana" w:eastAsia="Arial" w:hAnsi="Verdana" w:cs="Arial"/>
                <w:color w:val="000000"/>
              </w:rPr>
              <w:t>en atención a lo dispuesto en el numeral 3 del artículo</w:t>
            </w:r>
            <w:r w:rsidR="006E4769">
              <w:rPr>
                <w:rFonts w:ascii="Verdana" w:eastAsia="Arial" w:hAnsi="Verdana" w:cs="Arial"/>
                <w:color w:val="000000"/>
              </w:rPr>
              <w:t xml:space="preserve"> 5 de la Ley 1150 de 2007, </w:t>
            </w:r>
            <w:r w:rsidR="00511A66">
              <w:rPr>
                <w:rFonts w:ascii="Verdana" w:eastAsia="Arial" w:hAnsi="Verdana" w:cs="Arial"/>
                <w:color w:val="000000"/>
              </w:rPr>
              <w:t>el precio es único valor factor de evaluación en los</w:t>
            </w:r>
            <w:r w:rsidR="00F35D5F">
              <w:rPr>
                <w:rFonts w:ascii="Verdana" w:eastAsia="Arial" w:hAnsi="Verdana" w:cs="Arial"/>
                <w:color w:val="000000"/>
              </w:rPr>
              <w:t xml:space="preserve"> procesos</w:t>
            </w:r>
            <w:r w:rsidR="00511A66">
              <w:rPr>
                <w:rFonts w:ascii="Verdana" w:eastAsia="Arial" w:hAnsi="Verdana" w:cs="Arial"/>
                <w:color w:val="000000"/>
              </w:rPr>
              <w:t xml:space="preserve"> </w:t>
            </w:r>
            <w:r w:rsidR="00F35D5F" w:rsidRPr="00F35D5F">
              <w:rPr>
                <w:rFonts w:ascii="Verdana" w:eastAsia="Arial" w:hAnsi="Verdana" w:cs="Arial"/>
                <w:color w:val="000000"/>
              </w:rPr>
              <w:t xml:space="preserve">cuyo objeto sea la adquisición o suministro de bienes y servicios de </w:t>
            </w:r>
            <w:r w:rsidR="00F35D5F" w:rsidRPr="00F35D5F">
              <w:rPr>
                <w:rFonts w:ascii="Verdana" w:eastAsia="Arial" w:hAnsi="Verdana" w:cs="Arial"/>
                <w:color w:val="000000"/>
              </w:rPr>
              <w:lastRenderedPageBreak/>
              <w:t>características técnicas uniformes y común utilización</w:t>
            </w:r>
            <w:r w:rsidR="00F35D5F">
              <w:rPr>
                <w:rFonts w:ascii="Verdana" w:eastAsia="Arial" w:hAnsi="Verdana" w:cs="Arial"/>
                <w:color w:val="000000"/>
              </w:rPr>
              <w:t>. Esto implica que</w:t>
            </w:r>
            <w:r w:rsidR="00CF05F5">
              <w:rPr>
                <w:rFonts w:ascii="Verdana" w:eastAsia="Arial" w:hAnsi="Verdana" w:cs="Arial"/>
                <w:color w:val="000000"/>
              </w:rPr>
              <w:t>, en</w:t>
            </w:r>
            <w:r w:rsidR="00F35D5F">
              <w:rPr>
                <w:rFonts w:ascii="Verdana" w:eastAsia="Arial" w:hAnsi="Verdana" w:cs="Arial"/>
                <w:color w:val="000000"/>
              </w:rPr>
              <w:t xml:space="preserve"> procedimientos de subasta inversa, bolsa de productos y compras por catálogos derivados de mecanismos de agregación de demanda, tampoco resulte procedente valorar el precio a través de punta</w:t>
            </w:r>
            <w:r w:rsidR="00CF05F5">
              <w:rPr>
                <w:rFonts w:ascii="Verdana" w:eastAsia="Arial" w:hAnsi="Verdana" w:cs="Arial"/>
                <w:color w:val="000000"/>
              </w:rPr>
              <w:t>jes</w:t>
            </w:r>
            <w:r w:rsidR="00F7439B">
              <w:rPr>
                <w:rFonts w:ascii="Verdana" w:eastAsia="Arial" w:hAnsi="Verdana" w:cs="Arial"/>
                <w:color w:val="000000"/>
              </w:rPr>
              <w:t xml:space="preserve">. Lo propio sucede </w:t>
            </w:r>
            <w:r w:rsidR="00F7439B" w:rsidRPr="00E17F16">
              <w:rPr>
                <w:rFonts w:ascii="Verdana" w:eastAsia="Arial" w:hAnsi="Verdana" w:cs="Arial"/>
                <w:i/>
                <w:iCs/>
                <w:color w:val="000000"/>
              </w:rPr>
              <w:t>mutatis mutandis</w:t>
            </w:r>
            <w:r w:rsidR="00F7439B">
              <w:rPr>
                <w:rFonts w:ascii="Verdana" w:eastAsia="Arial" w:hAnsi="Verdana" w:cs="Arial"/>
                <w:color w:val="000000"/>
              </w:rPr>
              <w:t xml:space="preserve">, en la modalidad de mínima cuantía, en la que por disposición del </w:t>
            </w:r>
            <w:r w:rsidR="00E75660">
              <w:rPr>
                <w:rFonts w:ascii="Verdana" w:eastAsia="Arial" w:hAnsi="Verdana" w:cs="Arial"/>
                <w:color w:val="000000"/>
              </w:rPr>
              <w:t xml:space="preserve">literal c) del numeral 5 del </w:t>
            </w:r>
            <w:r w:rsidR="00F7439B">
              <w:rPr>
                <w:rFonts w:ascii="Verdana" w:eastAsia="Arial" w:hAnsi="Verdana" w:cs="Arial"/>
                <w:color w:val="000000"/>
              </w:rPr>
              <w:t>artículo</w:t>
            </w:r>
            <w:r w:rsidR="00E75660">
              <w:rPr>
                <w:rFonts w:ascii="Verdana" w:eastAsia="Arial" w:hAnsi="Verdana" w:cs="Arial"/>
                <w:color w:val="000000"/>
              </w:rPr>
              <w:t xml:space="preserve"> 2 de la Ley 1150 de 2007, </w:t>
            </w:r>
            <w:r w:rsidR="00745032">
              <w:rPr>
                <w:rFonts w:ascii="Verdana" w:eastAsia="Arial" w:hAnsi="Verdana" w:cs="Arial"/>
                <w:color w:val="000000"/>
              </w:rPr>
              <w:t xml:space="preserve">el menor precio ofertado es único factor de selección. </w:t>
            </w:r>
          </w:p>
          <w:p w14:paraId="15971252" w14:textId="31D18CA1" w:rsidR="00837C41" w:rsidRPr="00AF3C8C" w:rsidRDefault="00745032" w:rsidP="00E17F16">
            <w:pPr>
              <w:tabs>
                <w:tab w:val="left" w:pos="0"/>
              </w:tabs>
              <w:spacing w:after="120" w:line="276" w:lineRule="auto"/>
              <w:ind w:firstLine="709"/>
              <w:jc w:val="both"/>
              <w:rPr>
                <w:rFonts w:cs="Times New Roman"/>
              </w:rPr>
            </w:pPr>
            <w:r>
              <w:rPr>
                <w:rFonts w:ascii="Verdana" w:eastAsia="Arial" w:hAnsi="Verdana" w:cs="Arial"/>
                <w:color w:val="000000"/>
              </w:rPr>
              <w:t>Tampoco resulta procedente la valoración del precio a través de puntajes</w:t>
            </w:r>
            <w:r w:rsidR="005429DA">
              <w:rPr>
                <w:rFonts w:ascii="Verdana" w:eastAsia="Arial" w:hAnsi="Verdana" w:cs="Arial"/>
                <w:color w:val="000000"/>
              </w:rPr>
              <w:t xml:space="preserve"> en modalidades como el concurso de méritos y la contratación directa</w:t>
            </w:r>
            <w:r w:rsidR="001A7618">
              <w:rPr>
                <w:rFonts w:ascii="Verdana" w:eastAsia="Arial" w:hAnsi="Verdana" w:cs="Arial"/>
                <w:color w:val="000000"/>
              </w:rPr>
              <w:t>. En el caso del concurso de méritos esto se debe a la expresa prohibición</w:t>
            </w:r>
            <w:r w:rsidR="006A5B4B">
              <w:rPr>
                <w:rFonts w:ascii="Verdana" w:eastAsia="Arial" w:hAnsi="Verdana" w:cs="Arial"/>
                <w:color w:val="000000"/>
              </w:rPr>
              <w:t xml:space="preserve"> establecida en el segundo inciso del numeral 4 del artículo 5 de la Ley 1150 de 2007, mientras que en la contratación directa,</w:t>
            </w:r>
            <w:r w:rsidR="0080040E">
              <w:rPr>
                <w:rFonts w:ascii="Verdana" w:eastAsia="Arial" w:hAnsi="Verdana" w:cs="Arial"/>
                <w:color w:val="000000"/>
              </w:rPr>
              <w:t xml:space="preserve"> debido la naturaleza no competitiva de dicha modalidad, cuya procedencia se determina a partir de la configuración de un supuesto de hecho estipulado en alguna de las causales de interpretación restrictiva contempladas en los diferentes literales del numeral 4 del artículo de la Ley 1150 de 2007.</w:t>
            </w:r>
            <w:r w:rsidR="00F7439B">
              <w:rPr>
                <w:rFonts w:ascii="Verdana" w:eastAsia="Arial" w:hAnsi="Verdana" w:cs="Arial"/>
                <w:color w:val="000000"/>
              </w:rPr>
              <w:t xml:space="preserve"> </w:t>
            </w:r>
            <w:r w:rsidR="00CF05F5">
              <w:rPr>
                <w:rFonts w:ascii="Verdana" w:eastAsia="Arial" w:hAnsi="Verdana" w:cs="Arial"/>
                <w:color w:val="000000"/>
              </w:rPr>
              <w:t xml:space="preserve"> </w:t>
            </w:r>
            <w:r w:rsidR="001954FD">
              <w:rPr>
                <w:rFonts w:ascii="Verdana" w:eastAsia="Arial" w:hAnsi="Verdana" w:cs="Arial"/>
                <w:color w:val="000000"/>
              </w:rPr>
              <w:t xml:space="preserve"> </w:t>
            </w:r>
          </w:p>
        </w:tc>
      </w:tr>
    </w:tbl>
    <w:p w14:paraId="15B969AF" w14:textId="77777777" w:rsidR="00837C41" w:rsidRPr="00A12CB6" w:rsidRDefault="00837C41" w:rsidP="00837C41">
      <w:pPr>
        <w:spacing w:after="0" w:line="276" w:lineRule="auto"/>
        <w:jc w:val="both"/>
        <w:rPr>
          <w:rFonts w:ascii="Verdana" w:eastAsia="Calibri" w:hAnsi="Verdana" w:cs="Arial"/>
          <w:bCs/>
          <w:color w:val="000000" w:themeColor="text1"/>
        </w:rPr>
      </w:pPr>
    </w:p>
    <w:p w14:paraId="05181F17" w14:textId="77777777" w:rsidR="00837C41" w:rsidRPr="00A12CB6" w:rsidRDefault="00837C41" w:rsidP="00837C41">
      <w:pPr>
        <w:numPr>
          <w:ilvl w:val="0"/>
          <w:numId w:val="16"/>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Razones de la respuesta:</w:t>
      </w:r>
    </w:p>
    <w:p w14:paraId="096D77E5" w14:textId="77777777" w:rsidR="00837C41" w:rsidRPr="00A12CB6" w:rsidRDefault="00837C41" w:rsidP="00837C41">
      <w:pPr>
        <w:spacing w:after="0" w:line="256" w:lineRule="auto"/>
        <w:rPr>
          <w:rFonts w:ascii="Verdana" w:eastAsia="Calibri" w:hAnsi="Verdana" w:cs="Times New Roman"/>
          <w:b/>
          <w:bCs/>
          <w:lang w:val="es-ES"/>
        </w:rPr>
      </w:pPr>
    </w:p>
    <w:p w14:paraId="479D4B0E" w14:textId="77777777" w:rsidR="00837C41" w:rsidRDefault="00837C41" w:rsidP="00837C41">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093DB0D7" w14:textId="77777777" w:rsidR="00837C41" w:rsidRPr="00E42471" w:rsidRDefault="00837C41" w:rsidP="00837C41">
      <w:pPr>
        <w:spacing w:after="0" w:line="276" w:lineRule="auto"/>
        <w:jc w:val="both"/>
        <w:rPr>
          <w:rFonts w:ascii="Verdana" w:hAnsi="Verdana" w:cs="Arial"/>
          <w:color w:val="000000" w:themeColor="text1"/>
          <w:lang w:val="es-ES"/>
        </w:rPr>
      </w:pPr>
    </w:p>
    <w:p w14:paraId="1EB5D657" w14:textId="59A1864E" w:rsidR="00837C41" w:rsidRPr="00561CCE" w:rsidRDefault="001C07D7" w:rsidP="00E17F16">
      <w:pPr>
        <w:spacing w:after="120" w:line="276" w:lineRule="auto"/>
        <w:jc w:val="both"/>
        <w:rPr>
          <w:rFonts w:ascii="Verdana" w:eastAsia="Calibri" w:hAnsi="Verdana" w:cs="Arial"/>
          <w:lang w:val="es-MX"/>
        </w:rPr>
      </w:pPr>
      <w:r>
        <w:rPr>
          <w:rFonts w:ascii="Verdana" w:eastAsia="Arial" w:hAnsi="Verdana" w:cs="Arial"/>
          <w:color w:val="000000"/>
        </w:rPr>
        <w:t xml:space="preserve">i. </w:t>
      </w:r>
      <w:r w:rsidR="00837C41" w:rsidRPr="00561CCE">
        <w:rPr>
          <w:rFonts w:ascii="Verdana" w:eastAsia="Arial" w:hAnsi="Verdana" w:cs="Arial"/>
          <w:color w:val="000000"/>
        </w:rPr>
        <w:t xml:space="preserve"> En primer lugar, </w:t>
      </w:r>
      <w:r w:rsidR="00837C41" w:rsidRPr="00561CCE">
        <w:rPr>
          <w:rFonts w:ascii="Verdana" w:eastAsia="Calibri" w:hAnsi="Verdana" w:cs="Arial"/>
          <w:lang w:val="es-MX"/>
        </w:rPr>
        <w:t>e</w:t>
      </w:r>
      <w:r w:rsidR="00837C41" w:rsidRPr="00561CCE">
        <w:rPr>
          <w:rFonts w:ascii="Verdana" w:eastAsia="Calibri" w:hAnsi="Verdana" w:cs="Arial"/>
        </w:rPr>
        <w:t>l contrato estatal, en el ordenamiento jurídico colombiano, se erige como el instrumento principal a través del cual la Administración Pública cumple con sus fines esenciales, entre ellos, la prestación de servicios públicos, la realización de obras y la adquisición de bienes. Dentro de la estructura de todo contrato, el precio ocupa un lugar central, siendo no solo un elemento esencial para su existencia y validez, sino también un factor determinante en la eficiencia y transparencia de la gestión pública. A continuación, se abordará de manera breve este aspecto.</w:t>
      </w:r>
    </w:p>
    <w:p w14:paraId="4BA50184" w14:textId="77777777" w:rsidR="00837C41" w:rsidRPr="00333D3D" w:rsidRDefault="00837C41" w:rsidP="00837C41">
      <w:pPr>
        <w:spacing w:after="0" w:line="276" w:lineRule="auto"/>
        <w:ind w:firstLine="708"/>
        <w:jc w:val="both"/>
        <w:rPr>
          <w:rFonts w:ascii="Verdana" w:eastAsia="Calibri" w:hAnsi="Verdana" w:cs="Arial"/>
          <w:lang w:val="es-MX"/>
        </w:rPr>
      </w:pPr>
      <w:r>
        <w:rPr>
          <w:rFonts w:ascii="Verdana" w:eastAsia="Calibri" w:hAnsi="Verdana" w:cs="Arial"/>
        </w:rPr>
        <w:t xml:space="preserve">El </w:t>
      </w:r>
      <w:r w:rsidRPr="00333D3D">
        <w:rPr>
          <w:rFonts w:ascii="Verdana" w:eastAsia="Calibri" w:hAnsi="Verdana" w:cs="Arial"/>
          <w:lang w:val="es-MX"/>
        </w:rPr>
        <w:t>precio es el “valor pecuniario en que se estima algo”</w:t>
      </w:r>
      <w:r w:rsidRPr="00DB06FE">
        <w:rPr>
          <w:rStyle w:val="Refdenotaalpie"/>
          <w:rFonts w:ascii="Verdana" w:eastAsia="Calibri" w:hAnsi="Verdana" w:cs="Arial"/>
          <w:lang w:val="es-MX"/>
        </w:rPr>
        <w:footnoteReference w:id="5"/>
      </w:r>
      <w:r w:rsidRPr="00333D3D">
        <w:rPr>
          <w:rFonts w:ascii="Verdana" w:eastAsia="Calibri" w:hAnsi="Verdana" w:cs="Arial"/>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1437FF52" w14:textId="77777777" w:rsidR="00837C41" w:rsidRPr="00DB06FE" w:rsidRDefault="00837C41" w:rsidP="00837C41">
      <w:pPr>
        <w:spacing w:after="0"/>
        <w:jc w:val="both"/>
        <w:rPr>
          <w:rFonts w:ascii="Verdana" w:eastAsia="Calibri" w:hAnsi="Verdana" w:cs="Arial"/>
          <w:lang w:val="es-MX"/>
        </w:rPr>
      </w:pPr>
      <w:r w:rsidRPr="00DB06FE">
        <w:rPr>
          <w:rFonts w:ascii="Verdana" w:eastAsia="Calibri" w:hAnsi="Verdana" w:cs="Arial"/>
          <w:lang w:val="es-MX"/>
        </w:rPr>
        <w:lastRenderedPageBreak/>
        <w:t xml:space="preserve"> </w:t>
      </w:r>
    </w:p>
    <w:p w14:paraId="434AA283" w14:textId="77777777" w:rsidR="00837C41" w:rsidRPr="00B95769" w:rsidRDefault="00837C41" w:rsidP="00837C41">
      <w:pPr>
        <w:spacing w:after="120" w:line="240" w:lineRule="auto"/>
        <w:ind w:left="709" w:right="709"/>
        <w:jc w:val="both"/>
        <w:rPr>
          <w:rFonts w:ascii="Verdana" w:eastAsia="Calibri" w:hAnsi="Verdana" w:cs="Arial"/>
          <w:sz w:val="20"/>
          <w:szCs w:val="20"/>
          <w:lang w:val="es-MX"/>
        </w:rPr>
      </w:pPr>
      <w:r w:rsidRPr="00B95769">
        <w:rPr>
          <w:rFonts w:ascii="Verdana" w:eastAsia="Calibri" w:hAnsi="Verdana" w:cs="Arial"/>
          <w:sz w:val="20"/>
          <w:szCs w:val="20"/>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21495E7F" w14:textId="77777777" w:rsidR="00837C41" w:rsidRPr="00B95769" w:rsidRDefault="00837C41" w:rsidP="00837C41">
      <w:pPr>
        <w:spacing w:after="0" w:line="240" w:lineRule="auto"/>
        <w:ind w:left="709" w:right="709"/>
        <w:jc w:val="both"/>
        <w:rPr>
          <w:rFonts w:ascii="Verdana" w:eastAsia="Calibri" w:hAnsi="Verdana" w:cs="Arial"/>
          <w:sz w:val="20"/>
          <w:szCs w:val="20"/>
          <w:lang w:val="es-MX"/>
        </w:rPr>
      </w:pPr>
      <w:r w:rsidRPr="00B95769">
        <w:rPr>
          <w:rFonts w:ascii="Verdana" w:eastAsia="Calibri" w:hAnsi="Verdana" w:cs="Arial"/>
          <w:sz w:val="20"/>
          <w:szCs w:val="20"/>
          <w:lang w:val="es-MX"/>
        </w:rPr>
        <w:t>[Artículo 905 del Código de Comercio]: La compraventa es un contrato en que una de las partes se obliga a trasmitir la propiedad de una cosa y la otra a pagarla en dinero. El dinero que el comprador da por la cosa vendida se llama precio”.</w:t>
      </w:r>
    </w:p>
    <w:p w14:paraId="16BAFEFD" w14:textId="77777777" w:rsidR="00837C41" w:rsidRPr="00B95769" w:rsidRDefault="00837C41" w:rsidP="00837C41">
      <w:pPr>
        <w:spacing w:after="120" w:line="240" w:lineRule="auto"/>
        <w:jc w:val="both"/>
        <w:rPr>
          <w:rFonts w:ascii="Verdana" w:hAnsi="Verdana" w:cs="Arial"/>
          <w:bCs/>
          <w:sz w:val="20"/>
          <w:szCs w:val="20"/>
          <w:lang w:val="es-ES_tradnl"/>
        </w:rPr>
      </w:pPr>
      <w:bookmarkStart w:id="1" w:name="_Hlk131175734"/>
    </w:p>
    <w:p w14:paraId="1ED4E303" w14:textId="2825E947" w:rsidR="00837C41" w:rsidRPr="00333D3D" w:rsidRDefault="00837C41" w:rsidP="00837C41">
      <w:pPr>
        <w:spacing w:after="120" w:line="276" w:lineRule="auto"/>
        <w:ind w:firstLine="708"/>
        <w:jc w:val="both"/>
        <w:rPr>
          <w:rFonts w:ascii="Verdana" w:hAnsi="Verdana" w:cs="Arial"/>
          <w:bCs/>
          <w:lang w:val="es-ES"/>
        </w:rPr>
      </w:pPr>
      <w:r w:rsidRPr="00333D3D">
        <w:rPr>
          <w:rFonts w:ascii="Verdana" w:hAnsi="Verdana" w:cs="Arial"/>
          <w:bCs/>
          <w:lang w:val="es-ES_tradnl"/>
        </w:rPr>
        <w:t xml:space="preserve">Como es sabido, uno de los elementos de los contratos estatales es el precio, que por lo general se identifica con el valor del contrato. Aunque no todo contrato lo incluye </w:t>
      </w:r>
      <w:r w:rsidR="00AD37F6">
        <w:rPr>
          <w:rFonts w:ascii="Verdana" w:hAnsi="Verdana" w:cs="Arial"/>
          <w:bCs/>
          <w:lang w:val="es-ES_tradnl"/>
        </w:rPr>
        <w:t>–</w:t>
      </w:r>
      <w:r w:rsidRPr="00333D3D">
        <w:rPr>
          <w:rFonts w:ascii="Verdana" w:hAnsi="Verdana" w:cs="Arial"/>
          <w:bCs/>
          <w:lang w:val="es-ES_tradnl"/>
        </w:rPr>
        <w:t>pues también existen negocios gratuitos</w:t>
      </w:r>
      <w:r w:rsidR="00AD37F6">
        <w:rPr>
          <w:rFonts w:ascii="Verdana" w:hAnsi="Verdana" w:cs="Arial"/>
          <w:bCs/>
          <w:lang w:val="es-ES_tradnl"/>
        </w:rPr>
        <w:t>–</w:t>
      </w:r>
      <w:r w:rsidRPr="00333D3D">
        <w:rPr>
          <w:rFonts w:ascii="Verdana" w:hAnsi="Verdana" w:cs="Arial"/>
          <w:bCs/>
          <w:lang w:val="es-ES_tradnl"/>
        </w:rPr>
        <w:t xml:space="preserve"> lo usual es que los contratos estatales se configuren como onerosos y, la mayoría de las veces, como conmutativos, cuando hay un acuerdo entre el objeto y la contraprestación pactado por escrito entre la entidad estatal y el contratista</w:t>
      </w:r>
      <w:r w:rsidRPr="00DB06FE">
        <w:rPr>
          <w:rStyle w:val="Refdenotaalpie"/>
          <w:rFonts w:ascii="Verdana" w:hAnsi="Verdana" w:cs="Arial"/>
          <w:bCs/>
          <w:lang w:val="es-ES_tradnl"/>
        </w:rPr>
        <w:footnoteReference w:id="6"/>
      </w:r>
      <w:r w:rsidRPr="00333D3D">
        <w:rPr>
          <w:rFonts w:ascii="Verdana" w:hAnsi="Verdana"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DB06FE">
        <w:rPr>
          <w:rStyle w:val="Refdenotaalpie"/>
          <w:rFonts w:ascii="Verdana" w:hAnsi="Verdana" w:cs="Arial"/>
          <w:bCs/>
          <w:lang w:val="es-ES_tradnl"/>
        </w:rPr>
        <w:footnoteReference w:id="7"/>
      </w:r>
      <w:r w:rsidRPr="00333D3D">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DB06FE">
        <w:rPr>
          <w:rStyle w:val="Refdenotaalpie"/>
          <w:rFonts w:ascii="Verdana" w:hAnsi="Verdana" w:cs="Arial"/>
          <w:bCs/>
          <w:lang w:val="es-ES_tradnl"/>
        </w:rPr>
        <w:footnoteReference w:id="8"/>
      </w:r>
      <w:r w:rsidRPr="00333D3D">
        <w:rPr>
          <w:rFonts w:ascii="Verdana" w:hAnsi="Verdana" w:cs="Arial"/>
          <w:bCs/>
          <w:lang w:val="es-ES_tradnl"/>
        </w:rPr>
        <w:t>.</w:t>
      </w:r>
    </w:p>
    <w:bookmarkEnd w:id="1"/>
    <w:p w14:paraId="6815BF48" w14:textId="77777777" w:rsidR="00837C41" w:rsidRDefault="00837C41" w:rsidP="00E17F16">
      <w:pPr>
        <w:spacing w:after="120" w:line="276" w:lineRule="auto"/>
        <w:ind w:firstLine="708"/>
        <w:jc w:val="both"/>
        <w:rPr>
          <w:rFonts w:ascii="Verdana" w:hAnsi="Verdana" w:cs="Arial"/>
        </w:rPr>
      </w:pPr>
      <w:r w:rsidRPr="00333D3D">
        <w:rPr>
          <w:rFonts w:ascii="Verdana" w:hAnsi="Verdana" w:cs="Arial"/>
        </w:rPr>
        <w:t xml:space="preserve">Desde la etapa de planeación, en la fase precontractual, las entidades estatales deben calcular tanto el valor estimado del contrato como el presupuesto oficial destinado para satisfacer la necesidad que se pretende suplir </w:t>
      </w:r>
      <w:r w:rsidRPr="00333D3D">
        <w:rPr>
          <w:rFonts w:ascii="Verdana" w:hAnsi="Verdana" w:cs="Arial"/>
        </w:rPr>
        <w:lastRenderedPageBreak/>
        <w:t>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DB06FE">
        <w:rPr>
          <w:rStyle w:val="Refdenotaalpie"/>
          <w:rFonts w:ascii="Verdana" w:hAnsi="Verdana" w:cs="Arial"/>
          <w:lang w:val="es-ES"/>
        </w:rPr>
        <w:footnoteReference w:id="9"/>
      </w:r>
      <w:r w:rsidRPr="00333D3D">
        <w:rPr>
          <w:rFonts w:ascii="Verdana" w:hAnsi="Verdana" w:cs="Arial"/>
        </w:rPr>
        <w:t>. No hay, pues, una sola metodología para pactar el precio y, en gran medida, la manera de hacerlo ha obedecido a la costumbre mercantil y a la influencia de disciplinas técnicas, como la ingeniería o la administración de empresas, en la contratación estatal.</w:t>
      </w:r>
    </w:p>
    <w:p w14:paraId="40167385" w14:textId="0369F77C" w:rsidR="00837C41" w:rsidRDefault="00837C41" w:rsidP="00837C41">
      <w:pPr>
        <w:spacing w:after="120" w:line="276" w:lineRule="auto"/>
        <w:ind w:firstLine="708"/>
        <w:jc w:val="both"/>
        <w:rPr>
          <w:rFonts w:ascii="Verdana" w:eastAsia="Calibri" w:hAnsi="Verdana" w:cs="Arial"/>
          <w:bCs/>
          <w:lang w:eastAsia="es-ES_tradnl"/>
        </w:rPr>
      </w:pPr>
      <w:r w:rsidRPr="00EB389C">
        <w:rPr>
          <w:rFonts w:ascii="Verdana" w:eastAsia="Calibri" w:hAnsi="Verdana" w:cs="Arial"/>
          <w:bCs/>
          <w:lang w:eastAsia="es-ES_tradnl"/>
        </w:rPr>
        <w:t>En consecuencia,</w:t>
      </w:r>
      <w:r w:rsidRPr="00333D3D">
        <w:rPr>
          <w:rFonts w:ascii="Verdana" w:eastAsia="Calibri" w:hAnsi="Verdana" w:cs="Arial"/>
          <w:bCs/>
          <w:lang w:eastAsia="es-ES_tradnl"/>
        </w:rPr>
        <w:t xml:space="preserve"> </w:t>
      </w:r>
      <w:r w:rsidR="002C7557">
        <w:rPr>
          <w:rFonts w:ascii="Verdana" w:eastAsia="Calibri" w:hAnsi="Verdana" w:cs="Arial"/>
          <w:bCs/>
          <w:lang w:eastAsia="es-ES_tradnl"/>
        </w:rPr>
        <w:t>e</w:t>
      </w:r>
      <w:r w:rsidRPr="00333D3D">
        <w:rPr>
          <w:rFonts w:ascii="Verdana" w:eastAsia="Calibri" w:hAnsi="Verdana" w:cs="Arial"/>
          <w:bCs/>
          <w:lang w:eastAsia="es-ES_tradnl"/>
        </w:rPr>
        <w:t>l precio es un elemento ineludible y central en todo contrato estatal, no solo desde una perspectiva nominalista de contraprestación económica, sino como un pilar fundamental de la gestión pública eficiente, transparente y responsable. Su determinación, evaluación y ejecución deben ajustarse estrictamente a los principios y reglas establecidas en el Estatuto General de Contratación Pública.</w:t>
      </w:r>
      <w:r w:rsidR="006173AC">
        <w:rPr>
          <w:rFonts w:ascii="Verdana" w:eastAsia="Calibri" w:hAnsi="Verdana" w:cs="Arial"/>
          <w:bCs/>
          <w:lang w:eastAsia="es-ES_tradnl"/>
        </w:rPr>
        <w:t xml:space="preserve"> </w:t>
      </w:r>
      <w:r w:rsidRPr="00333D3D">
        <w:rPr>
          <w:rFonts w:ascii="Verdana" w:eastAsia="Calibri" w:hAnsi="Verdana" w:cs="Arial"/>
          <w:bCs/>
          <w:lang w:eastAsia="es-ES_tradnl"/>
        </w:rPr>
        <w:t>La forma en que el precio es considerado y evaluado varía según la modalidad de selección, reflejando la complejidad y la diversidad de las necesidades de la Administración Pública, pero siempre bajo el imperativo de buscar siempre la oferta más favorable.</w:t>
      </w:r>
    </w:p>
    <w:p w14:paraId="385A92AE" w14:textId="77777777" w:rsidR="00837C41" w:rsidRPr="00B95769" w:rsidRDefault="00837C41" w:rsidP="00837C41">
      <w:pPr>
        <w:spacing w:after="120" w:line="276" w:lineRule="auto"/>
        <w:ind w:firstLine="708"/>
        <w:jc w:val="both"/>
        <w:rPr>
          <w:rFonts w:ascii="Verdana" w:eastAsia="Calibri" w:hAnsi="Verdana" w:cs="Arial"/>
          <w:bCs/>
          <w:lang w:eastAsia="es-ES_tradnl"/>
        </w:rPr>
      </w:pPr>
      <w:proofErr w:type="spellStart"/>
      <w:r w:rsidRPr="00B95769">
        <w:rPr>
          <w:rFonts w:ascii="Verdana" w:eastAsia="Calibri" w:hAnsi="Verdana" w:cs="Arial"/>
          <w:bCs/>
          <w:color w:val="000000"/>
          <w:lang w:eastAsia="es-ES_tradnl"/>
        </w:rPr>
        <w:t>ii</w:t>
      </w:r>
      <w:proofErr w:type="spellEnd"/>
      <w:r w:rsidRPr="00B95769">
        <w:rPr>
          <w:rFonts w:ascii="Verdana" w:eastAsia="Calibri" w:hAnsi="Verdana" w:cs="Arial"/>
          <w:bCs/>
          <w:color w:val="000000"/>
          <w:lang w:eastAsia="es-ES_tradnl"/>
        </w:rPr>
        <w:t>.</w:t>
      </w:r>
      <w:r>
        <w:rPr>
          <w:rFonts w:ascii="Verdana" w:eastAsia="Arial" w:hAnsi="Verdana" w:cs="Arial"/>
          <w:color w:val="000000"/>
        </w:rPr>
        <w:t xml:space="preserve"> </w:t>
      </w:r>
      <w:r w:rsidRPr="00B95769">
        <w:rPr>
          <w:rFonts w:ascii="Verdana" w:eastAsia="Arial" w:hAnsi="Verdana" w:cs="Arial"/>
          <w:color w:val="000000"/>
        </w:rPr>
        <w:t xml:space="preserve">En segundo lugar, uno de los principios transversales de los procedimientos de selección es el de </w:t>
      </w:r>
      <w:r w:rsidRPr="00B95769">
        <w:rPr>
          <w:rFonts w:ascii="Verdana" w:eastAsia="Arial" w:hAnsi="Verdana" w:cs="Arial"/>
          <w:i/>
          <w:color w:val="000000"/>
        </w:rPr>
        <w:t>selección objetiva</w:t>
      </w:r>
      <w:r w:rsidRPr="00B95769">
        <w:rPr>
          <w:rFonts w:ascii="Verdana" w:eastAsia="Arial" w:hAnsi="Verdana" w:cs="Arial"/>
          <w:color w:val="000000"/>
        </w:rPr>
        <w:t xml:space="preserve">. Se trata del postulado que exige que la escogencia de la oferta ganadora deba fundamentarse en </w:t>
      </w:r>
      <w:r w:rsidRPr="00B95769">
        <w:rPr>
          <w:rFonts w:ascii="Verdana" w:eastAsia="Arial" w:hAnsi="Verdana" w:cs="Arial"/>
          <w:color w:val="000000"/>
        </w:rPr>
        <w:lastRenderedPageBreak/>
        <w:t>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E42471">
        <w:rPr>
          <w:vertAlign w:val="superscript"/>
        </w:rPr>
        <w:footnoteReference w:id="10"/>
      </w:r>
      <w:r w:rsidRPr="00B95769">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4664EC24" w14:textId="440C0B6D" w:rsidR="00837C41" w:rsidRPr="00E42471" w:rsidRDefault="006173AC" w:rsidP="00837C41">
      <w:pPr>
        <w:spacing w:after="120" w:line="240" w:lineRule="auto"/>
        <w:ind w:left="709" w:right="709"/>
        <w:jc w:val="both"/>
        <w:rPr>
          <w:rFonts w:ascii="Verdana" w:eastAsia="Arial" w:hAnsi="Verdana" w:cs="Arial"/>
          <w:color w:val="000000"/>
          <w:sz w:val="20"/>
          <w:szCs w:val="20"/>
        </w:rPr>
      </w:pPr>
      <w:r>
        <w:rPr>
          <w:rFonts w:ascii="Verdana" w:eastAsia="Arial" w:hAnsi="Verdana" w:cs="Arial"/>
          <w:color w:val="000000"/>
          <w:sz w:val="20"/>
          <w:szCs w:val="20"/>
        </w:rPr>
        <w:t>“</w:t>
      </w:r>
      <w:r w:rsidRPr="00E42471">
        <w:rPr>
          <w:rFonts w:ascii="Verdana" w:eastAsia="Arial" w:hAnsi="Verdana" w:cs="Arial"/>
          <w:color w:val="000000"/>
          <w:sz w:val="20"/>
          <w:szCs w:val="20"/>
        </w:rPr>
        <w:t>Artículo</w:t>
      </w:r>
      <w:r w:rsidR="00837C41" w:rsidRPr="00E42471">
        <w:rPr>
          <w:rFonts w:ascii="Verdana" w:eastAsia="Arial" w:hAnsi="Verdana" w:cs="Arial"/>
          <w:color w:val="000000"/>
          <w:sz w:val="20"/>
          <w:szCs w:val="20"/>
        </w:rPr>
        <w:t xml:space="preserve"> 5o. </w:t>
      </w:r>
      <w:r w:rsidRPr="00E42471">
        <w:rPr>
          <w:rFonts w:ascii="Verdana" w:eastAsia="Arial" w:hAnsi="Verdana" w:cs="Arial"/>
          <w:color w:val="000000"/>
          <w:sz w:val="20"/>
          <w:szCs w:val="20"/>
        </w:rPr>
        <w:t>De la selección objetiva</w:t>
      </w:r>
      <w:r w:rsidR="00837C41" w:rsidRPr="00E42471">
        <w:rPr>
          <w:rFonts w:ascii="Verdana" w:eastAsia="Arial" w:hAnsi="Verdana" w:cs="Arial"/>
          <w:color w:val="000000"/>
          <w:sz w:val="20"/>
          <w:szCs w:val="20"/>
        </w:rPr>
        <w:t xml:space="preserv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00837C41" w:rsidRPr="00E42471">
        <w:rPr>
          <w:rFonts w:ascii="Verdana" w:eastAsia="Arial" w:hAnsi="Verdana" w:cs="Arial"/>
          <w:color w:val="000000"/>
          <w:sz w:val="20"/>
          <w:szCs w:val="20"/>
        </w:rPr>
        <w:t>equivalentes,</w:t>
      </w:r>
      <w:proofErr w:type="gramEnd"/>
      <w:r w:rsidR="00837C41" w:rsidRPr="00E42471">
        <w:rPr>
          <w:rFonts w:ascii="Verdana" w:eastAsia="Arial" w:hAnsi="Verdana" w:cs="Arial"/>
          <w:color w:val="000000"/>
          <w:sz w:val="20"/>
          <w:szCs w:val="20"/>
        </w:rPr>
        <w:t xml:space="preserve"> tendrán en cuenta los siguientes criterios:</w:t>
      </w:r>
    </w:p>
    <w:p w14:paraId="28C400EA"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0263D0B3"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w:t>
      </w:r>
      <w:r w:rsidRPr="00E42471">
        <w:rPr>
          <w:rFonts w:ascii="Verdana" w:eastAsia="Arial" w:hAnsi="Verdana" w:cs="Arial"/>
          <w:color w:val="000000"/>
          <w:sz w:val="20"/>
          <w:szCs w:val="20"/>
        </w:rPr>
        <w:lastRenderedPageBreak/>
        <w:t>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A4A25A3"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En los procesos de selección en los que se tenga en cuenta los factores técnicos y económicos, la oferta más ventajosa será la que resulte de aplicar alguna de las siguientes alternativas:</w:t>
      </w:r>
    </w:p>
    <w:p w14:paraId="1992CA6B"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a) La ponderación de los elementos de calidad y precio soportados en puntajes o fórmulas señaladas en el pliego de condiciones; o</w:t>
      </w:r>
    </w:p>
    <w:p w14:paraId="2F6C1A14"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b) La ponderación de los elementos de calidad y precio que representen la mejor relación de costo-beneficio para la entidad.</w:t>
      </w:r>
    </w:p>
    <w:p w14:paraId="61313560"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37D981FC" w14:textId="77777777" w:rsidR="00837C41" w:rsidRPr="00E42471" w:rsidRDefault="00837C41" w:rsidP="00837C41">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2D9EF054" w14:textId="50A7EB82" w:rsidR="00837C41" w:rsidRDefault="00837C41" w:rsidP="00E17F16">
      <w:pPr>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 xml:space="preserve">En ningún caso se podrá incluir el precio, como factor de escogencia para la selección de </w:t>
      </w:r>
      <w:proofErr w:type="gramStart"/>
      <w:r w:rsidRPr="00E42471">
        <w:rPr>
          <w:rFonts w:ascii="Verdana" w:eastAsia="Arial" w:hAnsi="Verdana" w:cs="Arial"/>
          <w:color w:val="000000"/>
          <w:sz w:val="20"/>
          <w:szCs w:val="20"/>
        </w:rPr>
        <w:t>consultores</w:t>
      </w:r>
      <w:r>
        <w:rPr>
          <w:rFonts w:ascii="Verdana" w:eastAsia="Arial" w:hAnsi="Verdana" w:cs="Arial"/>
          <w:color w:val="000000"/>
          <w:sz w:val="20"/>
          <w:szCs w:val="20"/>
        </w:rPr>
        <w:t>[</w:t>
      </w:r>
      <w:proofErr w:type="gramEnd"/>
      <w:r>
        <w:rPr>
          <w:rFonts w:ascii="Verdana" w:eastAsia="Arial" w:hAnsi="Verdana" w:cs="Arial"/>
          <w:color w:val="000000"/>
          <w:sz w:val="20"/>
          <w:szCs w:val="20"/>
        </w:rPr>
        <w:t>…]”</w:t>
      </w:r>
      <w:r w:rsidR="0096742D">
        <w:rPr>
          <w:rFonts w:ascii="Verdana" w:eastAsia="Arial" w:hAnsi="Verdana" w:cs="Arial"/>
          <w:color w:val="000000"/>
          <w:sz w:val="20"/>
          <w:szCs w:val="20"/>
        </w:rPr>
        <w:t>.</w:t>
      </w:r>
    </w:p>
    <w:p w14:paraId="457683BB" w14:textId="77777777" w:rsidR="00837C41" w:rsidRPr="00A851AA" w:rsidRDefault="00837C41" w:rsidP="00837C41">
      <w:pPr>
        <w:spacing w:after="0" w:line="240" w:lineRule="auto"/>
        <w:ind w:right="709"/>
        <w:jc w:val="both"/>
        <w:rPr>
          <w:rFonts w:ascii="Century Gothic" w:eastAsia="Arial" w:hAnsi="Century Gothic" w:cs="Arial"/>
          <w:color w:val="000000"/>
        </w:rPr>
      </w:pPr>
    </w:p>
    <w:p w14:paraId="6EA88621" w14:textId="5502CB24" w:rsidR="00837C41" w:rsidRPr="00E42471" w:rsidRDefault="00837C41" w:rsidP="00E17F16">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De acuerdo con el artículo 5 de la Ley 1150 de 2007</w:t>
      </w:r>
      <w:r w:rsidR="007D2C1B">
        <w:rPr>
          <w:rFonts w:ascii="Verdana" w:eastAsia="Arial" w:hAnsi="Verdana" w:cs="Arial"/>
          <w:color w:val="000000"/>
        </w:rPr>
        <w:t xml:space="preserve">, </w:t>
      </w:r>
      <w:r w:rsidRPr="00E42471">
        <w:rPr>
          <w:rFonts w:ascii="Verdana" w:eastAsia="Arial" w:hAnsi="Verdana" w:cs="Arial"/>
          <w:color w:val="000000"/>
        </w:rPr>
        <w:t xml:space="preserve">el deber de selección objetiva supone que las entidades escojan en los procesos de selección el </w:t>
      </w:r>
      <w:r w:rsidRPr="00E17F16">
        <w:rPr>
          <w:rFonts w:ascii="Verdana" w:eastAsia="Arial" w:hAnsi="Verdana" w:cs="Arial"/>
          <w:i/>
          <w:color w:val="000000"/>
        </w:rPr>
        <w:t xml:space="preserve">“[…] ofrecimiento más favorable a la entidad y a los fines que ella busca […]”. </w:t>
      </w:r>
      <w:r w:rsidRPr="00E42471">
        <w:rPr>
          <w:rFonts w:ascii="Verdana" w:eastAsia="Arial" w:hAnsi="Verdana" w:cs="Arial"/>
          <w:color w:val="000000"/>
        </w:rPr>
        <w:t xml:space="preserve">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522EA117" w14:textId="49DA408C" w:rsidR="00837C41" w:rsidRPr="00E42471" w:rsidRDefault="00837C41" w:rsidP="00837C41">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 xml:space="preserve">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w:t>
      </w:r>
      <w:r w:rsidRPr="00E42471">
        <w:rPr>
          <w:rFonts w:ascii="Verdana" w:eastAsia="Arial" w:hAnsi="Verdana" w:cs="Arial"/>
          <w:color w:val="000000"/>
        </w:rPr>
        <w:lastRenderedPageBreak/>
        <w:t>disposición legal– no otorgan puntaje. Lo anterior comoquiera que</w:t>
      </w:r>
      <w:r w:rsidR="007D2C1B">
        <w:rPr>
          <w:rFonts w:ascii="Verdana" w:eastAsia="Arial" w:hAnsi="Verdana" w:cs="Arial"/>
          <w:color w:val="000000"/>
        </w:rPr>
        <w:t>,</w:t>
      </w:r>
      <w:r w:rsidRPr="00E42471">
        <w:rPr>
          <w:rFonts w:ascii="Verdana" w:eastAsia="Arial" w:hAnsi="Verdana" w:cs="Arial"/>
          <w:color w:val="000000"/>
        </w:rPr>
        <w:t xml:space="preserve"> estos no se refieren a la oferta misma sino a la idoneidad del oferente para asumir adecuadamente la ejecución del contrato</w:t>
      </w:r>
      <w:r w:rsidRPr="00E42471">
        <w:rPr>
          <w:rFonts w:ascii="Verdana" w:eastAsia="Arial" w:hAnsi="Verdana" w:cs="Arial"/>
          <w:color w:val="000000"/>
          <w:vertAlign w:val="superscript"/>
        </w:rPr>
        <w:footnoteReference w:id="11"/>
      </w:r>
      <w:r w:rsidRPr="00E42471">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E42471">
        <w:rPr>
          <w:rFonts w:ascii="Verdana" w:eastAsia="Arial" w:hAnsi="Verdana" w:cs="Arial"/>
          <w:i/>
          <w:color w:val="000000"/>
        </w:rPr>
        <w:t xml:space="preserve">habilitantes </w:t>
      </w:r>
      <w:r w:rsidRPr="00E42471">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61E6C7FE" w14:textId="77777777" w:rsidR="00837C41" w:rsidRPr="00E42471" w:rsidRDefault="00837C41" w:rsidP="00837C41">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6D9356E7" w14:textId="77777777" w:rsidR="00837C41" w:rsidRPr="00E42471" w:rsidRDefault="00837C41" w:rsidP="00837C41">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4879D0E1" w14:textId="77777777" w:rsidR="00837C41" w:rsidRPr="00E42471" w:rsidRDefault="00837C41" w:rsidP="00837C41">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 xml:space="preserve">Conforme a lo anterior, el artículo 5 de la Ley 1150 de 2007, alude a diferentes conceptos como factores de escogencia, de calificación, técnicos y </w:t>
      </w:r>
      <w:r w:rsidRPr="00E42471">
        <w:rPr>
          <w:rFonts w:ascii="Verdana" w:eastAsia="Arial" w:hAnsi="Verdana" w:cs="Arial"/>
          <w:color w:val="000000"/>
        </w:rPr>
        <w:lastRenderedPageBreak/>
        <w:t>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E42471">
        <w:rPr>
          <w:rFonts w:ascii="Verdana" w:eastAsia="Arial" w:hAnsi="Verdana" w:cs="Arial"/>
          <w:color w:val="000000"/>
          <w:vertAlign w:val="superscript"/>
        </w:rPr>
        <w:footnoteReference w:id="12"/>
      </w:r>
      <w:r w:rsidRPr="00E42471">
        <w:rPr>
          <w:rFonts w:ascii="Verdana" w:eastAsia="Arial" w:hAnsi="Verdana"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E42471">
        <w:rPr>
          <w:rFonts w:ascii="Verdana" w:eastAsia="Arial" w:hAnsi="Verdana" w:cs="Arial"/>
          <w:color w:val="000000"/>
          <w:vertAlign w:val="superscript"/>
        </w:rPr>
        <w:footnoteReference w:id="13"/>
      </w:r>
      <w:r w:rsidRPr="00E42471">
        <w:rPr>
          <w:rFonts w:ascii="Verdana" w:eastAsia="Arial" w:hAnsi="Verdana" w:cs="Arial"/>
          <w:color w:val="000000"/>
        </w:rPr>
        <w:t>. Conforme a esto, la doctrina explica que:</w:t>
      </w:r>
    </w:p>
    <w:p w14:paraId="6DE7187B" w14:textId="108BBACE" w:rsidR="00837C41" w:rsidRPr="00E42471" w:rsidRDefault="00450B36" w:rsidP="00837C41">
      <w:pPr>
        <w:tabs>
          <w:tab w:val="left" w:pos="0"/>
        </w:tabs>
        <w:spacing w:after="120" w:line="240" w:lineRule="auto"/>
        <w:ind w:left="709" w:right="709"/>
        <w:jc w:val="both"/>
        <w:rPr>
          <w:rFonts w:ascii="Verdana" w:eastAsia="Arial" w:hAnsi="Verdana" w:cs="Arial"/>
          <w:color w:val="000000"/>
          <w:sz w:val="20"/>
          <w:szCs w:val="20"/>
        </w:rPr>
      </w:pPr>
      <w:r>
        <w:rPr>
          <w:rFonts w:ascii="Verdana" w:eastAsia="Arial" w:hAnsi="Verdana" w:cs="Arial"/>
          <w:color w:val="000000"/>
          <w:sz w:val="20"/>
          <w:szCs w:val="20"/>
        </w:rPr>
        <w:t>“</w:t>
      </w:r>
      <w:r w:rsidR="00837C41" w:rsidRPr="00E42471">
        <w:rPr>
          <w:rFonts w:ascii="Verdana" w:eastAsia="Arial" w:hAnsi="Verdana" w:cs="Arial"/>
          <w:color w:val="000000"/>
          <w:sz w:val="20"/>
          <w:szCs w:val="20"/>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55A32BAE" w14:textId="77777777" w:rsidR="00837C41" w:rsidRPr="00E42471" w:rsidRDefault="00837C41" w:rsidP="00837C41">
      <w:pPr>
        <w:tabs>
          <w:tab w:val="left" w:pos="0"/>
        </w:tabs>
        <w:spacing w:after="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FCF9BEF" w14:textId="77777777" w:rsidR="00837C41" w:rsidRPr="00E42471" w:rsidRDefault="00837C41" w:rsidP="00837C41">
      <w:pPr>
        <w:tabs>
          <w:tab w:val="left" w:pos="0"/>
        </w:tabs>
        <w:spacing w:after="12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w:t>
      </w:r>
    </w:p>
    <w:p w14:paraId="0A9E04FB" w14:textId="4DF8BEB3" w:rsidR="00837C41" w:rsidRPr="00E42471" w:rsidRDefault="00837C41" w:rsidP="00837C41">
      <w:pPr>
        <w:tabs>
          <w:tab w:val="left" w:pos="0"/>
        </w:tabs>
        <w:spacing w:after="0" w:line="240" w:lineRule="auto"/>
        <w:ind w:left="709" w:right="709"/>
        <w:jc w:val="both"/>
        <w:rPr>
          <w:rFonts w:ascii="Verdana" w:eastAsia="Arial" w:hAnsi="Verdana" w:cs="Arial"/>
          <w:color w:val="000000"/>
          <w:sz w:val="20"/>
          <w:szCs w:val="20"/>
        </w:rPr>
      </w:pPr>
      <w:r w:rsidRPr="00E42471">
        <w:rPr>
          <w:rFonts w:ascii="Verdana" w:eastAsia="Arial" w:hAnsi="Verdana" w:cs="Arial"/>
          <w:color w:val="000000"/>
          <w:sz w:val="20"/>
          <w:szCs w:val="20"/>
        </w:rPr>
        <w:t xml:space="preserve">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w:t>
      </w:r>
      <w:r w:rsidRPr="00E42471">
        <w:rPr>
          <w:rFonts w:ascii="Verdana" w:eastAsia="Arial" w:hAnsi="Verdana" w:cs="Arial"/>
          <w:color w:val="000000"/>
          <w:sz w:val="20"/>
          <w:szCs w:val="20"/>
        </w:rPr>
        <w:lastRenderedPageBreak/>
        <w:t>ello, poder hacer la comparación entre las ofertas y concluir cuál de ellas es la más ventajosa para la entidad estatal</w:t>
      </w:r>
      <w:r w:rsidR="00EE5C85">
        <w:rPr>
          <w:rFonts w:ascii="Verdana" w:eastAsia="Arial" w:hAnsi="Verdana" w:cs="Arial"/>
          <w:color w:val="000000"/>
          <w:sz w:val="20"/>
          <w:szCs w:val="20"/>
        </w:rPr>
        <w:t>”</w:t>
      </w:r>
      <w:r w:rsidRPr="00E42471">
        <w:rPr>
          <w:rFonts w:ascii="Verdana" w:eastAsia="Arial" w:hAnsi="Verdana" w:cs="Arial"/>
          <w:color w:val="000000"/>
          <w:sz w:val="20"/>
          <w:szCs w:val="20"/>
          <w:vertAlign w:val="superscript"/>
        </w:rPr>
        <w:footnoteReference w:id="14"/>
      </w:r>
      <w:r w:rsidRPr="00E42471">
        <w:rPr>
          <w:rFonts w:ascii="Verdana" w:eastAsia="Arial" w:hAnsi="Verdana" w:cs="Arial"/>
          <w:color w:val="000000"/>
          <w:sz w:val="20"/>
          <w:szCs w:val="20"/>
        </w:rPr>
        <w:t>.</w:t>
      </w:r>
    </w:p>
    <w:p w14:paraId="6B31CD0D" w14:textId="77777777" w:rsidR="00837C41" w:rsidRPr="00E42471" w:rsidRDefault="00837C41" w:rsidP="00837C41">
      <w:pPr>
        <w:tabs>
          <w:tab w:val="left" w:pos="0"/>
        </w:tabs>
        <w:spacing w:after="0" w:line="276" w:lineRule="auto"/>
        <w:ind w:left="709" w:right="709"/>
        <w:jc w:val="both"/>
        <w:rPr>
          <w:rFonts w:ascii="Verdana" w:eastAsia="Arial" w:hAnsi="Verdana" w:cs="Arial"/>
          <w:color w:val="000000"/>
          <w:sz w:val="20"/>
          <w:szCs w:val="20"/>
        </w:rPr>
      </w:pPr>
    </w:p>
    <w:p w14:paraId="70944A94" w14:textId="77777777" w:rsidR="00837C41" w:rsidRPr="00E42471" w:rsidRDefault="00837C41" w:rsidP="00E17F16">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 xml:space="preserve">En ese sentido, la asignación de puntaje es un mecanismo mediante el cual las entidades ponderan los factores de calificación </w:t>
      </w:r>
      <w:r w:rsidRPr="00065D9A">
        <w:rPr>
          <w:rFonts w:ascii="Arial" w:eastAsia="Tahoma" w:hAnsi="Arial" w:cs="Arial"/>
          <w:color w:val="000000"/>
        </w:rPr>
        <w:t>ꟷ</w:t>
      </w:r>
      <w:r w:rsidRPr="00E42471">
        <w:rPr>
          <w:rFonts w:ascii="Verdana" w:eastAsia="Arial" w:hAnsi="Verdana" w:cs="Arial"/>
          <w:i/>
          <w:color w:val="000000"/>
        </w:rPr>
        <w:t>v.g.</w:t>
      </w:r>
      <w:r w:rsidRPr="00E42471">
        <w:rPr>
          <w:rFonts w:ascii="Verdana" w:eastAsia="Arial" w:hAnsi="Verdana" w:cs="Arial"/>
          <w:color w:val="000000"/>
        </w:rPr>
        <w:t xml:space="preserve"> técnicos y económicos, de calidad y precio, etc.</w:t>
      </w:r>
      <w:r w:rsidRPr="00065D9A">
        <w:rPr>
          <w:rFonts w:ascii="Arial" w:eastAsia="Tahoma" w:hAnsi="Arial" w:cs="Arial"/>
          <w:color w:val="000000"/>
        </w:rPr>
        <w:t>ꟷ</w:t>
      </w:r>
      <w:r w:rsidRPr="00E42471">
        <w:rPr>
          <w:rFonts w:ascii="Verdana" w:eastAsia="Arial" w:hAnsi="Verdana" w:cs="Arial"/>
          <w:color w:val="000000"/>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w:t>
      </w:r>
    </w:p>
    <w:p w14:paraId="03FE0E79" w14:textId="49BB8662" w:rsidR="00837C41" w:rsidRPr="00E42471" w:rsidRDefault="00837C41" w:rsidP="00837C41">
      <w:pPr>
        <w:tabs>
          <w:tab w:val="left" w:pos="0"/>
        </w:tabs>
        <w:spacing w:after="120" w:line="276" w:lineRule="auto"/>
        <w:ind w:firstLine="709"/>
        <w:jc w:val="both"/>
        <w:rPr>
          <w:rFonts w:ascii="Verdana" w:eastAsia="Arial" w:hAnsi="Verdana" w:cs="Arial"/>
          <w:color w:val="000000"/>
        </w:rPr>
      </w:pPr>
      <w:r w:rsidRPr="00E42471">
        <w:rPr>
          <w:rFonts w:ascii="Verdana" w:eastAsia="Arial" w:hAnsi="Verdana" w:cs="Arial"/>
          <w:color w:val="000000"/>
        </w:rPr>
        <w:t>A estos se suman, los procesos de selección de bienes y servicios de características técnicas uniformes y de común utilización, así como los de mínima cuantía, en los que – según el numeral 3 del artículo 5</w:t>
      </w:r>
      <w:r w:rsidR="00351910">
        <w:rPr>
          <w:rFonts w:ascii="Verdana" w:eastAsia="Arial" w:hAnsi="Verdana" w:cs="Arial"/>
          <w:color w:val="000000"/>
        </w:rPr>
        <w:t>–</w:t>
      </w:r>
      <w:r w:rsidRPr="00E42471">
        <w:rPr>
          <w:rFonts w:ascii="Verdana" w:eastAsia="Arial" w:hAnsi="Verdana" w:cs="Arial"/>
          <w:color w:val="000000"/>
        </w:rPr>
        <w:t xml:space="preserve"> y numeral 5</w:t>
      </w:r>
      <w:r w:rsidR="00602CB5">
        <w:rPr>
          <w:rFonts w:ascii="Verdana" w:eastAsia="Arial" w:hAnsi="Verdana" w:cs="Arial"/>
          <w:color w:val="000000"/>
        </w:rPr>
        <w:t>, literal c)</w:t>
      </w:r>
      <w:r w:rsidRPr="00E42471">
        <w:rPr>
          <w:rFonts w:ascii="Verdana" w:eastAsia="Arial" w:hAnsi="Verdana" w:cs="Arial"/>
          <w:color w:val="000000"/>
        </w:rPr>
        <w:t xml:space="preserve"> del artículo 2 de la Ley 1150 de 2007</w:t>
      </w:r>
      <w:r w:rsidR="00602CB5">
        <w:rPr>
          <w:rFonts w:ascii="Verdana" w:eastAsia="Arial" w:hAnsi="Verdana" w:cs="Arial"/>
          <w:color w:val="000000"/>
        </w:rPr>
        <w:t>–</w:t>
      </w:r>
      <w:r w:rsidRPr="00E42471">
        <w:rPr>
          <w:rFonts w:ascii="Verdana" w:eastAsia="Arial" w:hAnsi="Verdana" w:cs="Arial"/>
          <w:color w:val="000000"/>
        </w:rPr>
        <w:t xml:space="preserve"> el único factor de selección es el menor precio ofertado, por lo que no hay lugar a ponderación mediante puntajes o relaciones costo beneficio.</w:t>
      </w:r>
    </w:p>
    <w:p w14:paraId="447DF16D" w14:textId="1821AE09" w:rsidR="00837C41" w:rsidRPr="00E42471" w:rsidRDefault="00837C41" w:rsidP="00837C41">
      <w:pPr>
        <w:spacing w:after="120" w:line="276" w:lineRule="auto"/>
        <w:ind w:firstLine="709"/>
        <w:jc w:val="both"/>
        <w:rPr>
          <w:rFonts w:ascii="Verdana" w:eastAsia="Arial" w:hAnsi="Verdana" w:cs="Arial"/>
          <w:color w:val="000000"/>
        </w:rPr>
      </w:pPr>
      <w:r w:rsidRPr="00E42471">
        <w:rPr>
          <w:rFonts w:ascii="Verdana" w:eastAsia="Arial" w:hAnsi="Verdana" w:cs="Arial"/>
          <w:color w:val="000000"/>
        </w:rPr>
        <w:t xml:space="preserve">Conforme a lo anterior, </w:t>
      </w:r>
      <w:bookmarkStart w:id="2" w:name="_Hlk169791737"/>
      <w:r w:rsidRPr="00E42471">
        <w:rPr>
          <w:rFonts w:ascii="Verdana" w:eastAsia="Arial" w:hAnsi="Verdana" w:cs="Arial"/>
          <w:color w:val="000000"/>
        </w:rPr>
        <w:t>el deber de selección objetiva está ligado a la determinación del ofrecimiento más favorable, cuyo contenido debe ser precisado a partir de las diferentes alternativas del artículo 5 de la Ley 1150 de 2007, reglamentado por el artículo 2.2.1.1.2.2.2 del Decreto 1082 de 2015</w:t>
      </w:r>
      <w:bookmarkEnd w:id="2"/>
      <w:r w:rsidR="00F53A0B">
        <w:rPr>
          <w:rStyle w:val="Refdenotaalpie"/>
          <w:rFonts w:ascii="Verdana" w:eastAsia="Arial" w:hAnsi="Verdana" w:cs="Arial"/>
          <w:color w:val="000000"/>
        </w:rPr>
        <w:footnoteReference w:id="15"/>
      </w:r>
      <w:r w:rsidRPr="00E42471">
        <w:rPr>
          <w:rFonts w:ascii="Verdana" w:eastAsia="Arial" w:hAnsi="Verdana" w:cs="Arial"/>
          <w:color w:val="000000"/>
        </w:rPr>
        <w:t xml:space="preserve">, </w:t>
      </w:r>
      <w:r w:rsidRPr="00E42471">
        <w:rPr>
          <w:rFonts w:ascii="Verdana" w:eastAsia="Arial" w:hAnsi="Verdana" w:cs="Arial"/>
          <w:color w:val="000000"/>
        </w:rPr>
        <w:lastRenderedPageBreak/>
        <w:t>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25547ACD" w14:textId="66627FF8" w:rsidR="00314206" w:rsidRDefault="007A406F" w:rsidP="007A406F">
      <w:pPr>
        <w:tabs>
          <w:tab w:val="left" w:pos="0"/>
        </w:tabs>
        <w:spacing w:after="120" w:line="276" w:lineRule="auto"/>
        <w:jc w:val="both"/>
        <w:rPr>
          <w:rFonts w:ascii="Verdana" w:eastAsia="Arial" w:hAnsi="Verdana" w:cs="Arial"/>
          <w:color w:val="000000"/>
        </w:rPr>
      </w:pPr>
      <w:proofErr w:type="spellStart"/>
      <w:r>
        <w:rPr>
          <w:rFonts w:ascii="Verdana" w:eastAsia="Arial" w:hAnsi="Verdana" w:cs="Arial"/>
          <w:color w:val="000000"/>
        </w:rPr>
        <w:t>iii</w:t>
      </w:r>
      <w:proofErr w:type="spellEnd"/>
      <w:r>
        <w:rPr>
          <w:rFonts w:ascii="Verdana" w:eastAsia="Arial" w:hAnsi="Verdana" w:cs="Arial"/>
          <w:color w:val="000000"/>
        </w:rPr>
        <w:t xml:space="preserve">. De conformidad con lo hasta aquí expuesto, se colige que, normas como el literal a) del numeral 2 del artículo 5 de la Ley 1150 de 2007 y el artículo </w:t>
      </w:r>
      <w:r w:rsidRPr="007F1838">
        <w:rPr>
          <w:rFonts w:ascii="Verdana" w:eastAsia="Arial" w:hAnsi="Verdana" w:cs="Arial"/>
          <w:color w:val="000000"/>
        </w:rPr>
        <w:t>2.2.1.1.2.2.2</w:t>
      </w:r>
      <w:r>
        <w:rPr>
          <w:rFonts w:ascii="Verdana" w:eastAsia="Arial" w:hAnsi="Verdana" w:cs="Arial"/>
          <w:color w:val="000000"/>
        </w:rPr>
        <w:t xml:space="preserve"> del Decreto 1082 de 2015, contemplan la asignación de puntajes como </w:t>
      </w:r>
      <w:r w:rsidR="00BD01A9">
        <w:rPr>
          <w:rFonts w:ascii="Verdana" w:eastAsia="Arial" w:hAnsi="Verdana" w:cs="Arial"/>
          <w:color w:val="000000"/>
        </w:rPr>
        <w:t xml:space="preserve">un mecanismo para </w:t>
      </w:r>
      <w:r w:rsidR="00414EFC">
        <w:rPr>
          <w:rFonts w:ascii="Verdana" w:eastAsia="Arial" w:hAnsi="Verdana" w:cs="Arial"/>
          <w:color w:val="000000"/>
        </w:rPr>
        <w:t xml:space="preserve">ponderar </w:t>
      </w:r>
      <w:r w:rsidR="005E7A9A">
        <w:rPr>
          <w:rFonts w:ascii="Verdana" w:eastAsia="Arial" w:hAnsi="Verdana" w:cs="Arial"/>
          <w:color w:val="000000"/>
        </w:rPr>
        <w:t xml:space="preserve">el precio ofertado, frente a los factores de calidad, de manera </w:t>
      </w:r>
      <w:r w:rsidR="00676D9E">
        <w:rPr>
          <w:rFonts w:ascii="Verdana" w:eastAsia="Arial" w:hAnsi="Verdana" w:cs="Arial"/>
          <w:color w:val="000000"/>
        </w:rPr>
        <w:t>que,</w:t>
      </w:r>
      <w:r w:rsidR="005E7A9A">
        <w:rPr>
          <w:rFonts w:ascii="Verdana" w:eastAsia="Arial" w:hAnsi="Verdana" w:cs="Arial"/>
          <w:color w:val="000000"/>
        </w:rPr>
        <w:t xml:space="preserve"> </w:t>
      </w:r>
      <w:r w:rsidR="006C4C97">
        <w:rPr>
          <w:rFonts w:ascii="Verdana" w:eastAsia="Arial" w:hAnsi="Verdana" w:cs="Arial"/>
          <w:color w:val="000000"/>
        </w:rPr>
        <w:t>a través de la sumatoria de los punto</w:t>
      </w:r>
      <w:r w:rsidR="004E6B90">
        <w:rPr>
          <w:rFonts w:ascii="Verdana" w:eastAsia="Arial" w:hAnsi="Verdana" w:cs="Arial"/>
          <w:color w:val="000000"/>
        </w:rPr>
        <w:t xml:space="preserve">s asignados a estos, la entidad estatal pueda determinar cuál es la oferta que resulta más favorable. En ese sentido, la asignación de puntajes </w:t>
      </w:r>
      <w:r w:rsidR="00676D9E">
        <w:rPr>
          <w:rFonts w:ascii="Verdana" w:eastAsia="Arial" w:hAnsi="Verdana" w:cs="Arial"/>
          <w:color w:val="000000"/>
        </w:rPr>
        <w:t xml:space="preserve">para valorar el precio </w:t>
      </w:r>
      <w:r w:rsidR="004E6B90">
        <w:rPr>
          <w:rFonts w:ascii="Verdana" w:eastAsia="Arial" w:hAnsi="Verdana" w:cs="Arial"/>
          <w:color w:val="000000"/>
        </w:rPr>
        <w:t>se justifica en la medida en que</w:t>
      </w:r>
      <w:r w:rsidR="00676D9E">
        <w:rPr>
          <w:rFonts w:ascii="Verdana" w:eastAsia="Arial" w:hAnsi="Verdana" w:cs="Arial"/>
          <w:color w:val="000000"/>
        </w:rPr>
        <w:t xml:space="preserve">, en el marco de modalidades como la licitación pública y la selección abreviada de menor cuantía, la aplicación del deber de selección </w:t>
      </w:r>
      <w:r w:rsidR="00191E1E">
        <w:rPr>
          <w:rFonts w:ascii="Verdana" w:eastAsia="Arial" w:hAnsi="Verdana" w:cs="Arial"/>
          <w:color w:val="000000"/>
        </w:rPr>
        <w:t>objetiva</w:t>
      </w:r>
      <w:r w:rsidR="00676D9E">
        <w:rPr>
          <w:rFonts w:ascii="Verdana" w:eastAsia="Arial" w:hAnsi="Verdana" w:cs="Arial"/>
          <w:color w:val="000000"/>
        </w:rPr>
        <w:t xml:space="preserve"> </w:t>
      </w:r>
      <w:r w:rsidR="00E60F2B">
        <w:rPr>
          <w:rFonts w:ascii="Verdana" w:eastAsia="Arial" w:hAnsi="Verdana" w:cs="Arial"/>
          <w:color w:val="000000"/>
        </w:rPr>
        <w:t>implica que sean la calidad y el precio–así como los criterios sociales y ambientales–,</w:t>
      </w:r>
      <w:r w:rsidR="00314206">
        <w:rPr>
          <w:rFonts w:ascii="Verdana" w:eastAsia="Arial" w:hAnsi="Verdana" w:cs="Arial"/>
          <w:color w:val="000000"/>
        </w:rPr>
        <w:t xml:space="preserve"> sean los factores que determinen la oferta ganadora. </w:t>
      </w:r>
    </w:p>
    <w:p w14:paraId="1A35FC08" w14:textId="77777777" w:rsidR="00FE75CE" w:rsidRDefault="00E60F2B" w:rsidP="00FE75CE">
      <w:pPr>
        <w:tabs>
          <w:tab w:val="left" w:pos="0"/>
        </w:tabs>
        <w:spacing w:after="120" w:line="276" w:lineRule="auto"/>
        <w:jc w:val="both"/>
        <w:rPr>
          <w:rFonts w:ascii="Verdana" w:eastAsia="Arial" w:hAnsi="Verdana" w:cs="Arial"/>
          <w:color w:val="000000"/>
        </w:rPr>
      </w:pPr>
      <w:r>
        <w:rPr>
          <w:rFonts w:ascii="Verdana" w:eastAsia="Arial" w:hAnsi="Verdana" w:cs="Arial"/>
          <w:color w:val="000000"/>
        </w:rPr>
        <w:t xml:space="preserve"> </w:t>
      </w:r>
      <w:r w:rsidR="004E6B90">
        <w:rPr>
          <w:rFonts w:ascii="Verdana" w:eastAsia="Arial" w:hAnsi="Verdana" w:cs="Arial"/>
          <w:color w:val="000000"/>
        </w:rPr>
        <w:t xml:space="preserve"> </w:t>
      </w:r>
      <w:r w:rsidR="00BD01A9">
        <w:rPr>
          <w:rFonts w:ascii="Verdana" w:eastAsia="Arial" w:hAnsi="Verdana" w:cs="Arial"/>
          <w:color w:val="000000"/>
        </w:rPr>
        <w:t xml:space="preserve"> </w:t>
      </w:r>
      <w:r w:rsidR="00314206">
        <w:rPr>
          <w:rFonts w:ascii="Verdana" w:eastAsia="Arial" w:hAnsi="Verdana" w:cs="Arial"/>
          <w:color w:val="000000"/>
        </w:rPr>
        <w:tab/>
      </w:r>
      <w:r w:rsidR="00191E1E">
        <w:rPr>
          <w:rFonts w:ascii="Verdana" w:eastAsia="Arial" w:hAnsi="Verdana" w:cs="Arial"/>
          <w:color w:val="000000"/>
        </w:rPr>
        <w:t xml:space="preserve">No </w:t>
      </w:r>
      <w:r w:rsidR="00314206">
        <w:rPr>
          <w:rFonts w:ascii="Verdana" w:eastAsia="Arial" w:hAnsi="Verdana" w:cs="Arial"/>
          <w:color w:val="000000"/>
        </w:rPr>
        <w:t xml:space="preserve">sucede </w:t>
      </w:r>
      <w:r w:rsidR="0088050E">
        <w:rPr>
          <w:rFonts w:ascii="Verdana" w:eastAsia="Arial" w:hAnsi="Verdana" w:cs="Arial"/>
          <w:color w:val="000000"/>
        </w:rPr>
        <w:t>lo mismo en los</w:t>
      </w:r>
      <w:r w:rsidR="00314206">
        <w:rPr>
          <w:rFonts w:ascii="Verdana" w:eastAsia="Arial" w:hAnsi="Verdana" w:cs="Arial"/>
          <w:color w:val="000000"/>
        </w:rPr>
        <w:t xml:space="preserve"> mecanismos de selección abreviada dirigidos a la adquisición </w:t>
      </w:r>
      <w:r w:rsidR="007A406F" w:rsidRPr="00F35D5F">
        <w:rPr>
          <w:rFonts w:ascii="Verdana" w:eastAsia="Arial" w:hAnsi="Verdana" w:cs="Arial"/>
          <w:color w:val="000000"/>
        </w:rPr>
        <w:t>o suministro de bienes y servicios de características técnicas uniformes y común utilizació</w:t>
      </w:r>
      <w:r w:rsidR="003B6866">
        <w:rPr>
          <w:rFonts w:ascii="Verdana" w:eastAsia="Arial" w:hAnsi="Verdana" w:cs="Arial"/>
          <w:color w:val="000000"/>
        </w:rPr>
        <w:t>n</w:t>
      </w:r>
      <w:r w:rsidR="0088050E">
        <w:rPr>
          <w:rFonts w:ascii="Verdana" w:eastAsia="Arial" w:hAnsi="Verdana" w:cs="Arial"/>
          <w:color w:val="000000"/>
        </w:rPr>
        <w:t xml:space="preserve">, en los que en atención a lo dispuesto en el artículo </w:t>
      </w:r>
      <w:r w:rsidR="0026502A">
        <w:rPr>
          <w:rFonts w:ascii="Verdana" w:eastAsia="Arial" w:hAnsi="Verdana" w:cs="Arial"/>
          <w:color w:val="000000"/>
        </w:rPr>
        <w:t xml:space="preserve">5, numeral 3 de la Ley 1150 de 2007, el precio es </w:t>
      </w:r>
      <w:r w:rsidR="003B6866">
        <w:rPr>
          <w:rFonts w:ascii="Verdana" w:eastAsia="Arial" w:hAnsi="Verdana" w:cs="Arial"/>
          <w:color w:val="000000"/>
        </w:rPr>
        <w:t xml:space="preserve">el único factor de evaluación. Esto hace </w:t>
      </w:r>
      <w:r w:rsidR="004F4C18">
        <w:rPr>
          <w:rFonts w:ascii="Verdana" w:eastAsia="Arial" w:hAnsi="Verdana" w:cs="Arial"/>
          <w:color w:val="000000"/>
        </w:rPr>
        <w:t>que,</w:t>
      </w:r>
      <w:r w:rsidR="003B6866">
        <w:rPr>
          <w:rFonts w:ascii="Verdana" w:eastAsia="Arial" w:hAnsi="Verdana" w:cs="Arial"/>
          <w:color w:val="000000"/>
        </w:rPr>
        <w:t xml:space="preserve"> en</w:t>
      </w:r>
      <w:r w:rsidR="002A225F">
        <w:rPr>
          <w:rFonts w:ascii="Verdana" w:eastAsia="Arial" w:hAnsi="Verdana" w:cs="Arial"/>
          <w:color w:val="000000"/>
        </w:rPr>
        <w:t xml:space="preserve"> mecanismos</w:t>
      </w:r>
      <w:r w:rsidR="003B6866">
        <w:rPr>
          <w:rFonts w:ascii="Verdana" w:eastAsia="Arial" w:hAnsi="Verdana" w:cs="Arial"/>
          <w:color w:val="000000"/>
        </w:rPr>
        <w:t xml:space="preserve"> </w:t>
      </w:r>
      <w:r w:rsidR="002A225F">
        <w:rPr>
          <w:rFonts w:ascii="Verdana" w:eastAsia="Arial" w:hAnsi="Verdana" w:cs="Arial"/>
          <w:color w:val="000000"/>
        </w:rPr>
        <w:t xml:space="preserve">como la </w:t>
      </w:r>
      <w:r w:rsidR="003B6866">
        <w:rPr>
          <w:rFonts w:ascii="Verdana" w:eastAsia="Arial" w:hAnsi="Verdana" w:cs="Arial"/>
          <w:color w:val="000000"/>
        </w:rPr>
        <w:t>subasta inversa,</w:t>
      </w:r>
      <w:r w:rsidR="002A225F">
        <w:rPr>
          <w:rFonts w:ascii="Verdana" w:eastAsia="Arial" w:hAnsi="Verdana" w:cs="Arial"/>
          <w:color w:val="000000"/>
        </w:rPr>
        <w:t xml:space="preserve"> la</w:t>
      </w:r>
      <w:r w:rsidR="003B6866">
        <w:rPr>
          <w:rFonts w:ascii="Verdana" w:eastAsia="Arial" w:hAnsi="Verdana" w:cs="Arial"/>
          <w:color w:val="000000"/>
        </w:rPr>
        <w:t xml:space="preserve"> bolsa de productos y</w:t>
      </w:r>
      <w:r w:rsidR="002A225F">
        <w:rPr>
          <w:rFonts w:ascii="Verdana" w:eastAsia="Arial" w:hAnsi="Verdana" w:cs="Arial"/>
          <w:color w:val="000000"/>
        </w:rPr>
        <w:t xml:space="preserve"> en las</w:t>
      </w:r>
      <w:r w:rsidR="003B6866">
        <w:rPr>
          <w:rFonts w:ascii="Verdana" w:eastAsia="Arial" w:hAnsi="Verdana" w:cs="Arial"/>
          <w:color w:val="000000"/>
        </w:rPr>
        <w:t xml:space="preserve"> compras por catálogos derivados de mecanismos de agregación de demanda</w:t>
      </w:r>
      <w:r w:rsidR="002A225F">
        <w:rPr>
          <w:rFonts w:ascii="Verdana" w:eastAsia="Arial" w:hAnsi="Verdana" w:cs="Arial"/>
          <w:color w:val="000000"/>
        </w:rPr>
        <w:t xml:space="preserve">, devenga en innecesaria la </w:t>
      </w:r>
      <w:r w:rsidR="00D55421">
        <w:rPr>
          <w:rFonts w:ascii="Verdana" w:eastAsia="Arial" w:hAnsi="Verdana" w:cs="Arial"/>
          <w:color w:val="000000"/>
        </w:rPr>
        <w:t xml:space="preserve">asignación de un puntaje al precio, al no a ver otros factores frente a los que ponderarlo. </w:t>
      </w:r>
      <w:r w:rsidR="004F4C18">
        <w:rPr>
          <w:rFonts w:ascii="Verdana" w:eastAsia="Arial" w:hAnsi="Verdana" w:cs="Arial"/>
          <w:color w:val="000000"/>
        </w:rPr>
        <w:t xml:space="preserve">Esto mismo </w:t>
      </w:r>
      <w:r w:rsidR="007A406F">
        <w:rPr>
          <w:rFonts w:ascii="Verdana" w:eastAsia="Arial" w:hAnsi="Verdana" w:cs="Arial"/>
          <w:color w:val="000000"/>
        </w:rPr>
        <w:t>sucede</w:t>
      </w:r>
      <w:r w:rsidR="004F4C18">
        <w:rPr>
          <w:rFonts w:ascii="Verdana" w:eastAsia="Arial" w:hAnsi="Verdana" w:cs="Arial"/>
          <w:color w:val="000000"/>
        </w:rPr>
        <w:t>,</w:t>
      </w:r>
      <w:r w:rsidR="007A406F">
        <w:rPr>
          <w:rFonts w:ascii="Verdana" w:eastAsia="Arial" w:hAnsi="Verdana" w:cs="Arial"/>
          <w:color w:val="000000"/>
        </w:rPr>
        <w:t xml:space="preserve"> </w:t>
      </w:r>
      <w:r w:rsidR="007A406F" w:rsidRPr="00C22771">
        <w:rPr>
          <w:rFonts w:ascii="Verdana" w:eastAsia="Arial" w:hAnsi="Verdana" w:cs="Arial"/>
          <w:i/>
          <w:iCs/>
          <w:color w:val="000000"/>
        </w:rPr>
        <w:t>mutatis mutandis</w:t>
      </w:r>
      <w:r w:rsidR="007A406F">
        <w:rPr>
          <w:rFonts w:ascii="Verdana" w:eastAsia="Arial" w:hAnsi="Verdana" w:cs="Arial"/>
          <w:color w:val="000000"/>
        </w:rPr>
        <w:t>, en la modalidad de mínima cuantía, en la que por disposición del literal c) del numeral 5 del artículo 2 de la Ley 1150 de 2007, el menor precio ofertado es único factor de selección</w:t>
      </w:r>
      <w:r w:rsidR="004F4C18">
        <w:rPr>
          <w:rFonts w:ascii="Verdana" w:eastAsia="Arial" w:hAnsi="Verdana" w:cs="Arial"/>
          <w:color w:val="000000"/>
        </w:rPr>
        <w:t xml:space="preserve">, </w:t>
      </w:r>
      <w:r w:rsidR="00FE75CE">
        <w:rPr>
          <w:rFonts w:ascii="Verdana" w:eastAsia="Arial" w:hAnsi="Verdana" w:cs="Arial"/>
          <w:color w:val="000000"/>
        </w:rPr>
        <w:t>excluyéndose la valoración de otros factores–más allá del cumplimiento de los requisitos habilitantes–.</w:t>
      </w:r>
    </w:p>
    <w:p w14:paraId="677D423B" w14:textId="48D0AFEC" w:rsidR="00FE75CE" w:rsidRDefault="007A406F" w:rsidP="00FE75CE">
      <w:pPr>
        <w:tabs>
          <w:tab w:val="left" w:pos="0"/>
        </w:tabs>
        <w:spacing w:after="120" w:line="276" w:lineRule="auto"/>
        <w:ind w:firstLine="709"/>
        <w:jc w:val="both"/>
        <w:rPr>
          <w:rFonts w:ascii="Verdana" w:eastAsia="Arial" w:hAnsi="Verdana" w:cs="Arial"/>
          <w:color w:val="000000"/>
        </w:rPr>
      </w:pPr>
      <w:r>
        <w:rPr>
          <w:rFonts w:ascii="Verdana" w:eastAsia="Arial" w:hAnsi="Verdana" w:cs="Arial"/>
          <w:color w:val="000000"/>
        </w:rPr>
        <w:lastRenderedPageBreak/>
        <w:t>En el caso del concurso de méritos</w:t>
      </w:r>
      <w:r w:rsidR="00FE75CE">
        <w:rPr>
          <w:rFonts w:ascii="Verdana" w:eastAsia="Arial" w:hAnsi="Verdana" w:cs="Arial"/>
          <w:color w:val="000000"/>
        </w:rPr>
        <w:t>, en atención a la</w:t>
      </w:r>
      <w:r>
        <w:rPr>
          <w:rFonts w:ascii="Verdana" w:eastAsia="Arial" w:hAnsi="Verdana" w:cs="Arial"/>
          <w:color w:val="000000"/>
        </w:rPr>
        <w:t xml:space="preserve"> expresa prohibición establecida en el segundo inciso del numeral 4 del artículo 5 de la Ley 1150 de 2007, </w:t>
      </w:r>
      <w:r w:rsidR="00FE75CE">
        <w:rPr>
          <w:rFonts w:ascii="Verdana" w:eastAsia="Arial" w:hAnsi="Verdana" w:cs="Arial"/>
          <w:color w:val="000000"/>
        </w:rPr>
        <w:t xml:space="preserve">tampoco resulta procedente asignar </w:t>
      </w:r>
      <w:r w:rsidR="00F0593F">
        <w:rPr>
          <w:rFonts w:ascii="Verdana" w:eastAsia="Arial" w:hAnsi="Verdana" w:cs="Arial"/>
          <w:color w:val="000000"/>
        </w:rPr>
        <w:t>puntos al precio, en la medida en que dicha norma excluye que el este sea un factor determinante para la selección de consultares. No obstante, esto no significa que la entidad estatal no pueda utilizar sistemas de asignaci</w:t>
      </w:r>
      <w:r w:rsidR="00011C69">
        <w:rPr>
          <w:rFonts w:ascii="Verdana" w:eastAsia="Arial" w:hAnsi="Verdana" w:cs="Arial"/>
          <w:color w:val="000000"/>
        </w:rPr>
        <w:t xml:space="preserve">ón de puntaje para realizar la evaluación de los criterios permitidos en el marco de esta modalidad, tales como la </w:t>
      </w:r>
      <w:r w:rsidR="00011C69" w:rsidRPr="00011C69">
        <w:rPr>
          <w:rFonts w:ascii="Verdana" w:eastAsia="Arial" w:hAnsi="Verdana" w:cs="Arial"/>
          <w:color w:val="000000"/>
        </w:rPr>
        <w:t xml:space="preserve">experiencia del </w:t>
      </w:r>
      <w:r w:rsidR="00011C69">
        <w:rPr>
          <w:rFonts w:ascii="Verdana" w:eastAsia="Arial" w:hAnsi="Verdana" w:cs="Arial"/>
          <w:color w:val="000000"/>
        </w:rPr>
        <w:t xml:space="preserve">proponente </w:t>
      </w:r>
      <w:r w:rsidR="00AF2371">
        <w:rPr>
          <w:rFonts w:ascii="Verdana" w:eastAsia="Arial" w:hAnsi="Verdana" w:cs="Arial"/>
          <w:color w:val="000000"/>
        </w:rPr>
        <w:t>y su</w:t>
      </w:r>
      <w:r w:rsidR="00011C69" w:rsidRPr="00011C69">
        <w:rPr>
          <w:rFonts w:ascii="Verdana" w:eastAsia="Arial" w:hAnsi="Verdana" w:cs="Arial"/>
          <w:color w:val="000000"/>
        </w:rPr>
        <w:t xml:space="preserve"> equipo de trabajo</w:t>
      </w:r>
      <w:r w:rsidR="00AF2371">
        <w:rPr>
          <w:rFonts w:ascii="Verdana" w:eastAsia="Arial" w:hAnsi="Verdana" w:cs="Arial"/>
          <w:color w:val="000000"/>
        </w:rPr>
        <w:t>, así como la</w:t>
      </w:r>
      <w:r w:rsidR="00011C69" w:rsidRPr="00011C69">
        <w:rPr>
          <w:rFonts w:ascii="Verdana" w:eastAsia="Arial" w:hAnsi="Verdana" w:cs="Arial"/>
          <w:color w:val="000000"/>
        </w:rPr>
        <w:t xml:space="preserve"> formación académica</w:t>
      </w:r>
      <w:r w:rsidR="00AF2371">
        <w:rPr>
          <w:rFonts w:ascii="Verdana" w:eastAsia="Arial" w:hAnsi="Verdana" w:cs="Arial"/>
          <w:color w:val="000000"/>
        </w:rPr>
        <w:t xml:space="preserve">, de acuerdo con el primer inciso del </w:t>
      </w:r>
      <w:r w:rsidR="00FF5436">
        <w:rPr>
          <w:rFonts w:ascii="Verdana" w:eastAsia="Arial" w:hAnsi="Verdana" w:cs="Arial"/>
          <w:color w:val="000000"/>
        </w:rPr>
        <w:t xml:space="preserve">numeral 4 del artículo de la Ley 1150 de 2007 y el artículo </w:t>
      </w:r>
      <w:r w:rsidR="00F06FFC" w:rsidRPr="00F06FFC">
        <w:rPr>
          <w:rFonts w:ascii="Verdana" w:eastAsia="Arial" w:hAnsi="Verdana" w:cs="Arial"/>
          <w:color w:val="000000"/>
        </w:rPr>
        <w:t>2.2.1.2.1.3.2</w:t>
      </w:r>
      <w:r w:rsidR="00F06FFC">
        <w:rPr>
          <w:rFonts w:ascii="Verdana" w:eastAsia="Arial" w:hAnsi="Verdana" w:cs="Arial"/>
          <w:color w:val="000000"/>
        </w:rPr>
        <w:t xml:space="preserve"> del Decreto 1082 de 2015</w:t>
      </w:r>
      <w:r w:rsidR="00F06FFC">
        <w:rPr>
          <w:rStyle w:val="Refdenotaalpie"/>
          <w:rFonts w:ascii="Verdana" w:eastAsia="Arial" w:hAnsi="Verdana" w:cs="Arial"/>
          <w:color w:val="000000"/>
        </w:rPr>
        <w:footnoteReference w:id="16"/>
      </w:r>
      <w:r w:rsidR="00F06FFC">
        <w:rPr>
          <w:rFonts w:ascii="Verdana" w:eastAsia="Arial" w:hAnsi="Verdana" w:cs="Arial"/>
          <w:color w:val="000000"/>
        </w:rPr>
        <w:t xml:space="preserve">. </w:t>
      </w:r>
      <w:r w:rsidR="00011C69" w:rsidRPr="00011C69">
        <w:rPr>
          <w:rFonts w:ascii="Verdana" w:eastAsia="Arial" w:hAnsi="Verdana" w:cs="Arial"/>
          <w:color w:val="000000"/>
        </w:rPr>
        <w:t xml:space="preserve"> </w:t>
      </w:r>
    </w:p>
    <w:p w14:paraId="75281A19" w14:textId="230E83F7" w:rsidR="00822781" w:rsidRDefault="00D71563" w:rsidP="00E17F16">
      <w:pPr>
        <w:tabs>
          <w:tab w:val="left" w:pos="0"/>
        </w:tabs>
        <w:spacing w:after="120" w:line="276" w:lineRule="auto"/>
        <w:ind w:firstLine="709"/>
        <w:jc w:val="both"/>
        <w:rPr>
          <w:rFonts w:ascii="Verdana" w:eastAsia="Arial" w:hAnsi="Verdana" w:cs="Arial"/>
          <w:color w:val="000000"/>
        </w:rPr>
      </w:pPr>
      <w:r>
        <w:rPr>
          <w:rFonts w:ascii="Verdana" w:eastAsia="Arial" w:hAnsi="Verdana" w:cs="Arial"/>
          <w:color w:val="000000"/>
        </w:rPr>
        <w:t xml:space="preserve">Por último, </w:t>
      </w:r>
      <w:r w:rsidR="007A406F">
        <w:rPr>
          <w:rFonts w:ascii="Verdana" w:eastAsia="Arial" w:hAnsi="Verdana" w:cs="Arial"/>
          <w:color w:val="000000"/>
        </w:rPr>
        <w:t>en l</w:t>
      </w:r>
      <w:r>
        <w:rPr>
          <w:rFonts w:ascii="Verdana" w:eastAsia="Arial" w:hAnsi="Verdana" w:cs="Arial"/>
          <w:color w:val="000000"/>
        </w:rPr>
        <w:t>o referente la</w:t>
      </w:r>
      <w:r w:rsidR="007A406F">
        <w:rPr>
          <w:rFonts w:ascii="Verdana" w:eastAsia="Arial" w:hAnsi="Verdana" w:cs="Arial"/>
          <w:color w:val="000000"/>
        </w:rPr>
        <w:t xml:space="preserve"> contratación directa, debido la naturaleza no competitiva de dicha modalidad, </w:t>
      </w:r>
      <w:r w:rsidR="00E93B16">
        <w:rPr>
          <w:rFonts w:ascii="Verdana" w:eastAsia="Arial" w:hAnsi="Verdana" w:cs="Arial"/>
          <w:color w:val="000000"/>
        </w:rPr>
        <w:t xml:space="preserve">tampoco se hace necesaria la utilización de sistemas de asignación de puntajes </w:t>
      </w:r>
      <w:r w:rsidR="006F5D17">
        <w:rPr>
          <w:rFonts w:ascii="Verdana" w:eastAsia="Arial" w:hAnsi="Verdana" w:cs="Arial"/>
          <w:color w:val="000000"/>
        </w:rPr>
        <w:t>para valorar el precio. La procedencia de esta modalidad se</w:t>
      </w:r>
      <w:r w:rsidR="007A406F">
        <w:rPr>
          <w:rFonts w:ascii="Verdana" w:eastAsia="Arial" w:hAnsi="Verdana" w:cs="Arial"/>
          <w:color w:val="000000"/>
        </w:rPr>
        <w:t xml:space="preserve"> determina a partir de la configuración de </w:t>
      </w:r>
      <w:r w:rsidR="006F5D17">
        <w:rPr>
          <w:rFonts w:ascii="Verdana" w:eastAsia="Arial" w:hAnsi="Verdana" w:cs="Arial"/>
          <w:color w:val="000000"/>
        </w:rPr>
        <w:t>algunos de los</w:t>
      </w:r>
      <w:r w:rsidR="007A406F">
        <w:rPr>
          <w:rFonts w:ascii="Verdana" w:eastAsia="Arial" w:hAnsi="Verdana" w:cs="Arial"/>
          <w:color w:val="000000"/>
        </w:rPr>
        <w:t xml:space="preserve"> supuesto</w:t>
      </w:r>
      <w:r w:rsidR="005C02E6">
        <w:rPr>
          <w:rFonts w:ascii="Verdana" w:eastAsia="Arial" w:hAnsi="Verdana" w:cs="Arial"/>
          <w:color w:val="000000"/>
        </w:rPr>
        <w:t>s</w:t>
      </w:r>
      <w:r w:rsidR="007A406F">
        <w:rPr>
          <w:rFonts w:ascii="Verdana" w:eastAsia="Arial" w:hAnsi="Verdana" w:cs="Arial"/>
          <w:color w:val="000000"/>
        </w:rPr>
        <w:t xml:space="preserve"> de hecho estipulado</w:t>
      </w:r>
      <w:r w:rsidR="006F5D17">
        <w:rPr>
          <w:rFonts w:ascii="Verdana" w:eastAsia="Arial" w:hAnsi="Verdana" w:cs="Arial"/>
          <w:color w:val="000000"/>
        </w:rPr>
        <w:t>s</w:t>
      </w:r>
      <w:r w:rsidR="007A406F">
        <w:rPr>
          <w:rFonts w:ascii="Verdana" w:eastAsia="Arial" w:hAnsi="Verdana" w:cs="Arial"/>
          <w:color w:val="000000"/>
        </w:rPr>
        <w:t xml:space="preserve"> en las</w:t>
      </w:r>
      <w:r w:rsidR="006F5D17">
        <w:rPr>
          <w:rFonts w:ascii="Verdana" w:eastAsia="Arial" w:hAnsi="Verdana" w:cs="Arial"/>
          <w:color w:val="000000"/>
        </w:rPr>
        <w:t xml:space="preserve"> diferentes</w:t>
      </w:r>
      <w:r w:rsidR="007A406F">
        <w:rPr>
          <w:rFonts w:ascii="Verdana" w:eastAsia="Arial" w:hAnsi="Verdana" w:cs="Arial"/>
          <w:color w:val="000000"/>
        </w:rPr>
        <w:t xml:space="preserve"> causales de interpretación restrictiva contempladas en los diferentes literales del numeral 4 del artículo de la Ley 1150 de 2007. </w:t>
      </w:r>
      <w:r w:rsidR="00B61A52">
        <w:rPr>
          <w:rFonts w:ascii="Verdana" w:eastAsia="Arial" w:hAnsi="Verdana" w:cs="Arial"/>
          <w:color w:val="000000"/>
        </w:rPr>
        <w:t xml:space="preserve">En todo caso, es importante que las entidades realicen un análisis del sector que permita establecer que el valor del contrato a </w:t>
      </w:r>
      <w:r w:rsidR="00C37A47">
        <w:rPr>
          <w:rFonts w:ascii="Verdana" w:eastAsia="Arial" w:hAnsi="Verdana" w:cs="Arial"/>
          <w:color w:val="000000"/>
        </w:rPr>
        <w:t>celebrarse se encuentra conforme al valor que en el mercado tienen los bienes o servicios a contratar</w:t>
      </w:r>
      <w:r w:rsidR="00B741B1">
        <w:rPr>
          <w:rFonts w:ascii="Verdana" w:eastAsia="Arial" w:hAnsi="Verdana" w:cs="Arial"/>
          <w:color w:val="000000"/>
        </w:rPr>
        <w:t xml:space="preserve">, y que este </w:t>
      </w:r>
      <w:r w:rsidR="005636DA">
        <w:rPr>
          <w:rFonts w:ascii="Verdana" w:eastAsia="Arial" w:hAnsi="Verdana" w:cs="Arial"/>
          <w:color w:val="000000"/>
        </w:rPr>
        <w:t xml:space="preserve">es asumible de acuerdo con el presupuesto destinado a la contratación, el cual es uno de los aspectos a valorar en el acto administrativo de la contratación directa, de acuerdo con el numeral 3 del artículo </w:t>
      </w:r>
      <w:r w:rsidR="00900588" w:rsidRPr="00900588">
        <w:rPr>
          <w:rFonts w:ascii="Verdana" w:eastAsia="Arial" w:hAnsi="Verdana" w:cs="Arial"/>
          <w:color w:val="000000"/>
        </w:rPr>
        <w:t>2.2.1.2.1.4.1.</w:t>
      </w:r>
      <w:r w:rsidR="00900588">
        <w:rPr>
          <w:rFonts w:ascii="Verdana" w:eastAsia="Arial" w:hAnsi="Verdana" w:cs="Arial"/>
          <w:color w:val="000000"/>
        </w:rPr>
        <w:t xml:space="preserve"> del Decreto 1082 de 2015. </w:t>
      </w:r>
      <w:r w:rsidR="007A406F">
        <w:rPr>
          <w:rFonts w:ascii="Verdana" w:eastAsia="Arial" w:hAnsi="Verdana" w:cs="Arial"/>
          <w:color w:val="000000"/>
        </w:rPr>
        <w:t xml:space="preserve">  </w:t>
      </w:r>
    </w:p>
    <w:p w14:paraId="3B8C5F62" w14:textId="31B158D5" w:rsidR="00822781" w:rsidRDefault="00BA6C97" w:rsidP="00837C41">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En todo caso, </w:t>
      </w:r>
      <w:r w:rsidR="00081A2A">
        <w:rPr>
          <w:rFonts w:ascii="Verdana" w:eastAsia="Arial" w:hAnsi="Verdana" w:cs="Arial"/>
          <w:color w:val="000000"/>
        </w:rPr>
        <w:t>al margen de</w:t>
      </w:r>
      <w:r>
        <w:rPr>
          <w:rFonts w:ascii="Verdana" w:eastAsia="Arial" w:hAnsi="Verdana" w:cs="Arial"/>
          <w:color w:val="000000"/>
        </w:rPr>
        <w:t xml:space="preserve"> la modalidad</w:t>
      </w:r>
      <w:r w:rsidR="00FB60CC">
        <w:rPr>
          <w:rFonts w:ascii="Verdana" w:eastAsia="Arial" w:hAnsi="Verdana" w:cs="Arial"/>
          <w:color w:val="000000"/>
        </w:rPr>
        <w:t xml:space="preserve"> aplicada, </w:t>
      </w:r>
      <w:r w:rsidR="00BD7446">
        <w:rPr>
          <w:rFonts w:ascii="Verdana" w:eastAsia="Arial" w:hAnsi="Verdana" w:cs="Arial"/>
          <w:color w:val="000000"/>
        </w:rPr>
        <w:t xml:space="preserve">el </w:t>
      </w:r>
      <w:r w:rsidR="00FB60CC">
        <w:rPr>
          <w:rFonts w:ascii="Verdana" w:eastAsia="Arial" w:hAnsi="Verdana" w:cs="Arial"/>
          <w:color w:val="000000"/>
        </w:rPr>
        <w:t xml:space="preserve">precio es uno de los elementos principales del contrato estatal, </w:t>
      </w:r>
      <w:r w:rsidR="00062463">
        <w:rPr>
          <w:rFonts w:ascii="Verdana" w:eastAsia="Arial" w:hAnsi="Verdana" w:cs="Arial"/>
          <w:color w:val="000000"/>
        </w:rPr>
        <w:t xml:space="preserve">en este se materializa </w:t>
      </w:r>
      <w:r w:rsidR="0054579E">
        <w:rPr>
          <w:rFonts w:ascii="Verdana" w:eastAsia="Arial" w:hAnsi="Verdana" w:cs="Arial"/>
          <w:color w:val="000000"/>
        </w:rPr>
        <w:t>la contraprestación a recibir por el contratista</w:t>
      </w:r>
      <w:r w:rsidR="00B847DF">
        <w:rPr>
          <w:rFonts w:ascii="Verdana" w:eastAsia="Arial" w:hAnsi="Verdana" w:cs="Arial"/>
          <w:color w:val="000000"/>
        </w:rPr>
        <w:t xml:space="preserve"> en el marco del contrato estatal–en tanto negocio jurídico conmutativo–,</w:t>
      </w:r>
      <w:r w:rsidR="00BD7446">
        <w:rPr>
          <w:rFonts w:ascii="Verdana" w:eastAsia="Arial" w:hAnsi="Verdana" w:cs="Arial"/>
          <w:color w:val="000000"/>
        </w:rPr>
        <w:t xml:space="preserve"> a cambio del suministro de los bienes, obras o servicios requeridos por la Entidad Estatal</w:t>
      </w:r>
      <w:r w:rsidR="00081A2A">
        <w:rPr>
          <w:rFonts w:ascii="Verdana" w:eastAsia="Arial" w:hAnsi="Verdana" w:cs="Arial"/>
          <w:color w:val="000000"/>
        </w:rPr>
        <w:t xml:space="preserve">. Es por esto por lo que, </w:t>
      </w:r>
      <w:r w:rsidR="00081A2A">
        <w:rPr>
          <w:rFonts w:ascii="Verdana" w:eastAsia="Arial" w:hAnsi="Verdana" w:cs="Arial"/>
          <w:color w:val="000000"/>
        </w:rPr>
        <w:lastRenderedPageBreak/>
        <w:t xml:space="preserve">independientemente de si se aplican o no sistemas de puntaje para la ponderación del precio, las entidades están llamadas a garantizar </w:t>
      </w:r>
      <w:r w:rsidR="00F02A1E">
        <w:rPr>
          <w:rFonts w:ascii="Verdana" w:eastAsia="Arial" w:hAnsi="Verdana" w:cs="Arial"/>
          <w:color w:val="000000"/>
        </w:rPr>
        <w:t xml:space="preserve">que el precio este </w:t>
      </w:r>
      <w:r w:rsidR="00AB0D90">
        <w:rPr>
          <w:rFonts w:ascii="Verdana" w:eastAsia="Arial" w:hAnsi="Verdana" w:cs="Arial"/>
          <w:color w:val="000000"/>
        </w:rPr>
        <w:t xml:space="preserve">de acuerdo con las condiciones materiales del mercado, verificando que no se presente ofertas artificialmente bajas de acuerdo con el artículo </w:t>
      </w:r>
      <w:r w:rsidR="00AB0D90" w:rsidRPr="00AB0D90">
        <w:rPr>
          <w:rFonts w:ascii="Verdana" w:eastAsia="Arial" w:hAnsi="Verdana" w:cs="Arial"/>
          <w:color w:val="000000"/>
        </w:rPr>
        <w:t>2.2.1.1.2.2.4</w:t>
      </w:r>
      <w:r w:rsidR="00AB0D90">
        <w:rPr>
          <w:rFonts w:ascii="Verdana" w:eastAsia="Arial" w:hAnsi="Verdana" w:cs="Arial"/>
          <w:color w:val="000000"/>
        </w:rPr>
        <w:t xml:space="preserve"> del Decreto 1082 de 2015</w:t>
      </w:r>
      <w:r w:rsidR="00557E45">
        <w:rPr>
          <w:rStyle w:val="Refdenotaalpie"/>
          <w:rFonts w:ascii="Verdana" w:eastAsia="Arial" w:hAnsi="Verdana" w:cs="Arial"/>
          <w:color w:val="000000"/>
        </w:rPr>
        <w:footnoteReference w:id="17"/>
      </w:r>
      <w:r w:rsidR="00AB0D90">
        <w:rPr>
          <w:rFonts w:ascii="Verdana" w:eastAsia="Arial" w:hAnsi="Verdana" w:cs="Arial"/>
          <w:color w:val="000000"/>
        </w:rPr>
        <w:t>,</w:t>
      </w:r>
      <w:r w:rsidR="003F2869">
        <w:rPr>
          <w:rFonts w:ascii="Verdana" w:eastAsia="Arial" w:hAnsi="Verdana" w:cs="Arial"/>
          <w:color w:val="000000"/>
        </w:rPr>
        <w:t xml:space="preserve"> garantizando</w:t>
      </w:r>
      <w:r w:rsidR="00F63401">
        <w:rPr>
          <w:rFonts w:ascii="Verdana" w:eastAsia="Arial" w:hAnsi="Verdana" w:cs="Arial"/>
          <w:color w:val="000000"/>
        </w:rPr>
        <w:t xml:space="preserve"> el cumplimiento de lo dispuesto en el </w:t>
      </w:r>
      <w:r w:rsidR="00745F78">
        <w:rPr>
          <w:rFonts w:ascii="Verdana" w:eastAsia="Arial" w:hAnsi="Verdana" w:cs="Arial"/>
          <w:color w:val="000000"/>
        </w:rPr>
        <w:t>artículos 4, numeral 3</w:t>
      </w:r>
      <w:r w:rsidR="00964BEC">
        <w:rPr>
          <w:rStyle w:val="Refdenotaalpie"/>
          <w:rFonts w:ascii="Verdana" w:eastAsia="Arial" w:hAnsi="Verdana" w:cs="Arial"/>
          <w:color w:val="000000"/>
        </w:rPr>
        <w:footnoteReference w:id="18"/>
      </w:r>
      <w:r w:rsidR="00745F78">
        <w:rPr>
          <w:rFonts w:ascii="Verdana" w:eastAsia="Arial" w:hAnsi="Verdana" w:cs="Arial"/>
          <w:color w:val="000000"/>
        </w:rPr>
        <w:t xml:space="preserve"> y </w:t>
      </w:r>
      <w:r w:rsidR="00F63401">
        <w:rPr>
          <w:rFonts w:ascii="Verdana" w:eastAsia="Arial" w:hAnsi="Verdana" w:cs="Arial"/>
          <w:color w:val="000000"/>
        </w:rPr>
        <w:t xml:space="preserve"> 5, numeral 1</w:t>
      </w:r>
      <w:r w:rsidR="00745F78">
        <w:rPr>
          <w:rFonts w:ascii="Verdana" w:eastAsia="Arial" w:hAnsi="Verdana" w:cs="Arial"/>
          <w:color w:val="000000"/>
        </w:rPr>
        <w:t xml:space="preserve"> de la Ley 80 de 1993</w:t>
      </w:r>
      <w:r w:rsidR="00EE5C85">
        <w:rPr>
          <w:rStyle w:val="Refdenotaalpie"/>
          <w:rFonts w:ascii="Verdana" w:eastAsia="Arial" w:hAnsi="Verdana" w:cs="Arial"/>
          <w:color w:val="000000"/>
        </w:rPr>
        <w:footnoteReference w:id="19"/>
      </w:r>
      <w:r w:rsidR="00745F78">
        <w:rPr>
          <w:rFonts w:ascii="Verdana" w:eastAsia="Arial" w:hAnsi="Verdana" w:cs="Arial"/>
          <w:color w:val="000000"/>
        </w:rPr>
        <w:t xml:space="preserve">, </w:t>
      </w:r>
      <w:r w:rsidR="00F40587">
        <w:rPr>
          <w:rFonts w:ascii="Verdana" w:eastAsia="Arial" w:hAnsi="Verdana" w:cs="Arial"/>
          <w:color w:val="000000"/>
        </w:rPr>
        <w:t>de manera que evite que la alteración de las condiciones</w:t>
      </w:r>
      <w:r w:rsidR="00557E45">
        <w:rPr>
          <w:rFonts w:ascii="Verdana" w:eastAsia="Arial" w:hAnsi="Verdana" w:cs="Arial"/>
          <w:color w:val="000000"/>
        </w:rPr>
        <w:t xml:space="preserve"> económicas</w:t>
      </w:r>
      <w:r w:rsidR="00F40587">
        <w:rPr>
          <w:rFonts w:ascii="Verdana" w:eastAsia="Arial" w:hAnsi="Verdana" w:cs="Arial"/>
          <w:color w:val="000000"/>
        </w:rPr>
        <w:t xml:space="preserve"> </w:t>
      </w:r>
      <w:r w:rsidR="00557E45">
        <w:rPr>
          <w:rFonts w:ascii="Verdana" w:eastAsia="Arial" w:hAnsi="Verdana" w:cs="Arial"/>
          <w:color w:val="000000"/>
        </w:rPr>
        <w:t xml:space="preserve">impacte el interés general asociado a la ejecución del contrato.  </w:t>
      </w:r>
      <w:r w:rsidR="00F63401">
        <w:rPr>
          <w:rFonts w:ascii="Verdana" w:eastAsia="Arial" w:hAnsi="Verdana" w:cs="Arial"/>
          <w:color w:val="000000"/>
        </w:rPr>
        <w:t xml:space="preserve"> </w:t>
      </w:r>
      <w:r w:rsidR="00AB0D90">
        <w:rPr>
          <w:rFonts w:ascii="Verdana" w:eastAsia="Arial" w:hAnsi="Verdana" w:cs="Arial"/>
          <w:color w:val="000000"/>
        </w:rPr>
        <w:t xml:space="preserve"> </w:t>
      </w:r>
      <w:r w:rsidR="00081A2A">
        <w:rPr>
          <w:rFonts w:ascii="Verdana" w:eastAsia="Arial" w:hAnsi="Verdana" w:cs="Arial"/>
          <w:color w:val="000000"/>
        </w:rPr>
        <w:t xml:space="preserve"> </w:t>
      </w:r>
      <w:r w:rsidR="00B847DF">
        <w:rPr>
          <w:rFonts w:ascii="Verdana" w:eastAsia="Arial" w:hAnsi="Verdana" w:cs="Arial"/>
          <w:color w:val="000000"/>
        </w:rPr>
        <w:t xml:space="preserve"> </w:t>
      </w:r>
      <w:r w:rsidR="00FB60CC">
        <w:rPr>
          <w:rFonts w:ascii="Verdana" w:eastAsia="Arial" w:hAnsi="Verdana" w:cs="Arial"/>
          <w:color w:val="000000"/>
        </w:rPr>
        <w:t xml:space="preserve"> </w:t>
      </w:r>
    </w:p>
    <w:p w14:paraId="740B9C59" w14:textId="77777777" w:rsidR="00837C41" w:rsidRPr="001B2873" w:rsidRDefault="00837C41" w:rsidP="00E17F16">
      <w:pPr>
        <w:tabs>
          <w:tab w:val="left" w:pos="426"/>
        </w:tabs>
        <w:spacing w:after="120" w:line="276" w:lineRule="auto"/>
        <w:jc w:val="both"/>
        <w:rPr>
          <w:rFonts w:ascii="Verdana" w:eastAsia="Calibri" w:hAnsi="Verdana" w:cs="Times New Roman"/>
          <w:b/>
          <w:bCs/>
          <w:lang w:val="es-ES"/>
        </w:rPr>
      </w:pPr>
      <w:r w:rsidRPr="00A12CB6">
        <w:rPr>
          <w:rFonts w:ascii="Verdana" w:eastAsia="Calibri" w:hAnsi="Verdana" w:cs="Times New Roman"/>
          <w:b/>
          <w:bCs/>
          <w:lang w:val="es-ES"/>
        </w:rPr>
        <w:t>Referencias normativas</w:t>
      </w:r>
      <w:r>
        <w:rPr>
          <w:rFonts w:ascii="Verdana" w:eastAsia="Calibri" w:hAnsi="Verdana" w:cs="Times New Roman"/>
          <w:b/>
          <w:bCs/>
          <w:lang w:val="es-ES"/>
        </w:rPr>
        <w:t>, jurisprudenciales y doctrinales</w:t>
      </w:r>
    </w:p>
    <w:p w14:paraId="7C79FF02" w14:textId="77777777" w:rsidR="00837C41" w:rsidRPr="004B3607" w:rsidRDefault="00837C41" w:rsidP="00837C41">
      <w:pPr>
        <w:spacing w:after="0" w:line="256" w:lineRule="auto"/>
        <w:ind w:left="1080"/>
        <w:rPr>
          <w:rFonts w:ascii="Verdana" w:eastAsia="Calibri" w:hAnsi="Verdana" w:cs="Times New Roman"/>
          <w:b/>
          <w:bCs/>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37C41" w:rsidRPr="001205D1" w14:paraId="642B589C" w14:textId="77777777" w:rsidTr="00B95769">
        <w:trPr>
          <w:trHeight w:val="870"/>
          <w:jc w:val="center"/>
        </w:trPr>
        <w:tc>
          <w:tcPr>
            <w:tcW w:w="8647" w:type="dxa"/>
          </w:tcPr>
          <w:p w14:paraId="4E9CFBA1" w14:textId="047C5451" w:rsidR="0096742D" w:rsidRPr="00E17F16" w:rsidRDefault="0096742D" w:rsidP="0096742D">
            <w:pPr>
              <w:pStyle w:val="Prrafodelista"/>
              <w:numPr>
                <w:ilvl w:val="0"/>
                <w:numId w:val="24"/>
              </w:numPr>
              <w:spacing w:after="120"/>
              <w:ind w:right="709"/>
              <w:jc w:val="both"/>
              <w:rPr>
                <w:rFonts w:ascii="Verdana" w:eastAsia="Calibri" w:hAnsi="Verdana" w:cs="Arial"/>
                <w:lang w:val="es-MX"/>
              </w:rPr>
            </w:pPr>
            <w:r w:rsidRPr="00E17F16">
              <w:rPr>
                <w:rFonts w:ascii="Verdana" w:eastAsia="Calibri" w:hAnsi="Verdana" w:cs="Arial"/>
                <w:lang w:val="es-MX"/>
              </w:rPr>
              <w:t>Código Civil, artículo 1849.</w:t>
            </w:r>
          </w:p>
          <w:p w14:paraId="0F4986D6" w14:textId="7A70A5FE" w:rsidR="0096742D" w:rsidRPr="00E17F16" w:rsidRDefault="0096742D" w:rsidP="00E17F16">
            <w:pPr>
              <w:pStyle w:val="Prrafodelista"/>
              <w:spacing w:after="120"/>
              <w:ind w:right="709"/>
              <w:jc w:val="both"/>
              <w:rPr>
                <w:rFonts w:ascii="Verdana" w:eastAsia="Calibri" w:hAnsi="Verdana" w:cs="Arial"/>
                <w:lang w:val="es-MX"/>
              </w:rPr>
            </w:pPr>
            <w:r w:rsidRPr="00E17F16">
              <w:rPr>
                <w:rFonts w:ascii="Verdana" w:eastAsia="Calibri" w:hAnsi="Verdana" w:cs="Arial"/>
                <w:lang w:val="es-MX"/>
              </w:rPr>
              <w:t xml:space="preserve"> </w:t>
            </w:r>
          </w:p>
          <w:p w14:paraId="6970DEE8" w14:textId="291BAFA7" w:rsidR="0096742D" w:rsidRPr="0096742D" w:rsidRDefault="0096742D" w:rsidP="0096742D">
            <w:pPr>
              <w:pStyle w:val="Prrafodelista"/>
              <w:numPr>
                <w:ilvl w:val="0"/>
                <w:numId w:val="17"/>
              </w:numPr>
              <w:spacing w:before="120" w:after="120" w:line="276" w:lineRule="auto"/>
              <w:ind w:left="714" w:hanging="357"/>
              <w:contextualSpacing w:val="0"/>
              <w:jc w:val="both"/>
              <w:rPr>
                <w:rFonts w:ascii="Verdana" w:hAnsi="Verdana" w:cs="Arial"/>
              </w:rPr>
            </w:pPr>
            <w:r w:rsidRPr="00E17F16">
              <w:rPr>
                <w:rFonts w:ascii="Verdana" w:eastAsia="Calibri" w:hAnsi="Verdana" w:cs="Arial"/>
                <w:lang w:val="es-MX"/>
              </w:rPr>
              <w:t>Código de Comercio, artículo 905.</w:t>
            </w:r>
          </w:p>
          <w:p w14:paraId="6F38F984" w14:textId="748B05FF" w:rsidR="00837C41" w:rsidRDefault="00837C41" w:rsidP="00837C41">
            <w:pPr>
              <w:pStyle w:val="Prrafodelista"/>
              <w:numPr>
                <w:ilvl w:val="0"/>
                <w:numId w:val="17"/>
              </w:numPr>
              <w:spacing w:before="120" w:after="120" w:line="276" w:lineRule="auto"/>
              <w:ind w:left="714" w:hanging="357"/>
              <w:contextualSpacing w:val="0"/>
              <w:jc w:val="both"/>
              <w:rPr>
                <w:rFonts w:ascii="Verdana" w:hAnsi="Verdana" w:cs="Arial"/>
              </w:rPr>
            </w:pPr>
            <w:r>
              <w:rPr>
                <w:rFonts w:ascii="Verdana" w:hAnsi="Verdana" w:cs="Arial"/>
              </w:rPr>
              <w:t>Ley 80 de 1993, artículos 2</w:t>
            </w:r>
            <w:r w:rsidRPr="00977D20">
              <w:rPr>
                <w:rFonts w:ascii="Verdana" w:hAnsi="Verdana" w:cs="Arial"/>
              </w:rPr>
              <w:t xml:space="preserve">, </w:t>
            </w:r>
            <w:r w:rsidR="00EE5C85" w:rsidRPr="0096742D">
              <w:rPr>
                <w:rFonts w:ascii="Verdana" w:hAnsi="Verdana" w:cs="Arial"/>
              </w:rPr>
              <w:t xml:space="preserve">4 y 5. </w:t>
            </w:r>
          </w:p>
          <w:p w14:paraId="77C93EA7" w14:textId="199F6926" w:rsidR="00837C41" w:rsidRPr="00EE0353" w:rsidRDefault="00837C41" w:rsidP="00837C41">
            <w:pPr>
              <w:pStyle w:val="Prrafodelista"/>
              <w:numPr>
                <w:ilvl w:val="0"/>
                <w:numId w:val="17"/>
              </w:numPr>
              <w:spacing w:after="160" w:line="276" w:lineRule="auto"/>
              <w:rPr>
                <w:rFonts w:ascii="Verdana" w:hAnsi="Verdana" w:cs="Arial"/>
              </w:rPr>
            </w:pPr>
            <w:r w:rsidRPr="00EE0353">
              <w:rPr>
                <w:rFonts w:ascii="Verdana" w:hAnsi="Verdana" w:cs="Arial"/>
              </w:rPr>
              <w:t>Ley 1150 de 2007</w:t>
            </w:r>
            <w:r w:rsidR="007C1ECA" w:rsidRPr="0096742D">
              <w:rPr>
                <w:rFonts w:ascii="Verdana" w:hAnsi="Verdana" w:cs="Arial"/>
              </w:rPr>
              <w:t>,</w:t>
            </w:r>
            <w:r w:rsidRPr="0096742D">
              <w:rPr>
                <w:rFonts w:ascii="Verdana" w:hAnsi="Verdana" w:cs="Arial"/>
              </w:rPr>
              <w:t xml:space="preserve"> artículo</w:t>
            </w:r>
            <w:r w:rsidR="00EE5C85" w:rsidRPr="0096742D">
              <w:rPr>
                <w:rFonts w:ascii="Verdana" w:hAnsi="Verdana" w:cs="Arial"/>
              </w:rPr>
              <w:t>s</w:t>
            </w:r>
            <w:r w:rsidRPr="00EE0353">
              <w:rPr>
                <w:rFonts w:ascii="Verdana" w:hAnsi="Verdana" w:cs="Arial"/>
              </w:rPr>
              <w:t xml:space="preserve"> 2</w:t>
            </w:r>
            <w:r w:rsidR="00EE5C85" w:rsidRPr="0096742D">
              <w:rPr>
                <w:rFonts w:ascii="Verdana" w:hAnsi="Verdana" w:cs="Arial"/>
              </w:rPr>
              <w:t xml:space="preserve"> y 5</w:t>
            </w:r>
            <w:r w:rsidRPr="00EE0353">
              <w:rPr>
                <w:rFonts w:ascii="Verdana" w:hAnsi="Verdana" w:cs="Arial"/>
              </w:rPr>
              <w:t>.</w:t>
            </w:r>
          </w:p>
          <w:p w14:paraId="39D51D55" w14:textId="77777777" w:rsidR="007C1ECA" w:rsidRPr="0096742D" w:rsidRDefault="007C1ECA" w:rsidP="00E17F16">
            <w:pPr>
              <w:pStyle w:val="Prrafodelista"/>
              <w:spacing w:after="160" w:line="276" w:lineRule="auto"/>
              <w:rPr>
                <w:rFonts w:ascii="Verdana" w:hAnsi="Verdana" w:cs="Arial"/>
              </w:rPr>
            </w:pPr>
          </w:p>
          <w:p w14:paraId="7B573F09" w14:textId="20C969E8" w:rsidR="00837C41" w:rsidRPr="00561CCE" w:rsidRDefault="00837C41" w:rsidP="00837C41">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6742D">
              <w:rPr>
                <w:rFonts w:ascii="Verdana" w:hAnsi="Verdana" w:cs="Arial"/>
              </w:rPr>
              <w:lastRenderedPageBreak/>
              <w:t>Decreto 1082 del 2015</w:t>
            </w:r>
            <w:r w:rsidR="00EE5C85" w:rsidRPr="0096742D">
              <w:rPr>
                <w:rFonts w:ascii="Verdana" w:hAnsi="Verdana" w:cs="Arial"/>
              </w:rPr>
              <w:t xml:space="preserve">, </w:t>
            </w:r>
            <w:r w:rsidR="007C1ECA" w:rsidRPr="0096742D">
              <w:rPr>
                <w:rFonts w:ascii="Verdana" w:hAnsi="Verdana" w:cs="Arial"/>
              </w:rPr>
              <w:t>a</w:t>
            </w:r>
            <w:r w:rsidR="00EE5C85" w:rsidRPr="0096742D">
              <w:rPr>
                <w:rFonts w:ascii="Verdana" w:hAnsi="Verdana" w:cs="Arial"/>
              </w:rPr>
              <w:t xml:space="preserve">rtículos </w:t>
            </w:r>
            <w:r w:rsidR="00EE5C85" w:rsidRPr="00E17F16">
              <w:rPr>
                <w:rFonts w:ascii="Verdana" w:hAnsi="Verdana"/>
                <w:lang w:val="es-CO"/>
              </w:rPr>
              <w:t xml:space="preserve">2.2.1.2.1.3.2, </w:t>
            </w:r>
            <w:r w:rsidR="00EE5C85" w:rsidRPr="0096742D">
              <w:rPr>
                <w:rFonts w:ascii="Verdana" w:eastAsia="Arial" w:hAnsi="Verdana" w:cs="Arial"/>
                <w:color w:val="000000"/>
              </w:rPr>
              <w:t>2.2.1.1.2.2.2</w:t>
            </w:r>
            <w:r w:rsidR="0096742D" w:rsidRPr="0096742D">
              <w:rPr>
                <w:rFonts w:ascii="Verdana" w:eastAsia="Arial" w:hAnsi="Verdana" w:cs="Arial"/>
                <w:color w:val="000000"/>
              </w:rPr>
              <w:t>, 2.2.1.2.1.4.1 y</w:t>
            </w:r>
            <w:r w:rsidR="00EE5C85" w:rsidRPr="00E17F16">
              <w:rPr>
                <w:rFonts w:ascii="Verdana" w:hAnsi="Verdana"/>
                <w:lang w:val="es-CO"/>
              </w:rPr>
              <w:t> </w:t>
            </w:r>
            <w:r w:rsidR="00EE5C85" w:rsidRPr="0096742D">
              <w:rPr>
                <w:rFonts w:ascii="Verdana" w:eastAsia="Arial" w:hAnsi="Verdana" w:cs="Arial"/>
                <w:color w:val="000000"/>
              </w:rPr>
              <w:t>2.2.1.1.2.2.4</w:t>
            </w:r>
            <w:r w:rsidR="0096742D" w:rsidRPr="0096742D">
              <w:rPr>
                <w:rFonts w:ascii="Verdana" w:eastAsia="Arial" w:hAnsi="Verdana" w:cs="Arial"/>
                <w:color w:val="000000"/>
              </w:rPr>
              <w:t>.</w:t>
            </w:r>
          </w:p>
          <w:p w14:paraId="5410154D" w14:textId="6E8E78E6" w:rsidR="0096742D" w:rsidRPr="00E17F16" w:rsidRDefault="007F360A" w:rsidP="00837C41">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6742D">
              <w:rPr>
                <w:rFonts w:ascii="Verdana" w:hAnsi="Verdana" w:cs="Arial"/>
              </w:rPr>
              <w:t>CONSEJO DE ESTADO</w:t>
            </w:r>
            <w:r w:rsidR="0096742D" w:rsidRPr="0096742D">
              <w:rPr>
                <w:rFonts w:ascii="Verdana" w:hAnsi="Verdana" w:cs="Arial"/>
              </w:rPr>
              <w:t>, Sección Tercera, Subsección A sentencia de 19 de julio de 2018, M.P. Marta Nubia Velázquez Rico, Rad. 2013-01826(57.576).</w:t>
            </w:r>
          </w:p>
          <w:p w14:paraId="17E323A4" w14:textId="3B039CB6" w:rsidR="0096742D" w:rsidRPr="0096742D" w:rsidRDefault="0096742D" w:rsidP="00E17F1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E17F16">
              <w:rPr>
                <w:rFonts w:ascii="Verdana" w:eastAsia="Arial" w:hAnsi="Verdana" w:cs="Arial"/>
                <w:color w:val="000000"/>
              </w:rPr>
              <w:t>DÁVILA VINUEZA, Luis Guillermo. Régimen jurídico de la contratación estatal. Tercera edición, Bogotá: Legis, 2016.</w:t>
            </w:r>
          </w:p>
          <w:p w14:paraId="287968C3" w14:textId="65D2DD99" w:rsidR="0096742D" w:rsidRPr="0096742D" w:rsidRDefault="0096742D" w:rsidP="00E17F1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6742D">
              <w:rPr>
                <w:rFonts w:ascii="Verdana" w:hAnsi="Verdana" w:cs="Arial"/>
              </w:rPr>
              <w:t>EXPÓSITO VÉLEZ, Juan C., El deber de selección objetiva, en: Del contrato estatal a los sistemas de compras públicas,</w:t>
            </w:r>
            <w:r w:rsidR="00F25616">
              <w:rPr>
                <w:rFonts w:ascii="Verdana" w:hAnsi="Verdana" w:cs="Arial"/>
              </w:rPr>
              <w:t xml:space="preserve"> en</w:t>
            </w:r>
            <w:r w:rsidR="003C41E6">
              <w:rPr>
                <w:rFonts w:ascii="Verdana" w:hAnsi="Verdana" w:cs="Arial"/>
              </w:rPr>
              <w:t xml:space="preserve"> </w:t>
            </w:r>
            <w:r w:rsidR="00F25616" w:rsidRPr="00F25616">
              <w:rPr>
                <w:rFonts w:ascii="Verdana" w:hAnsi="Verdana" w:cs="Arial"/>
              </w:rPr>
              <w:t xml:space="preserve">COVILLA MARTÍNEZ Juan C. y LOZANO VILLEGAS Germán (Eds.). Universidad Externado de Colombia, Bogotá, 2019. </w:t>
            </w:r>
          </w:p>
          <w:p w14:paraId="5D647170" w14:textId="007E2B9F" w:rsidR="0096742D" w:rsidRPr="0096742D" w:rsidRDefault="0096742D" w:rsidP="00E17F16">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96742D">
              <w:rPr>
                <w:rFonts w:ascii="Verdana" w:hAnsi="Verdana" w:cs="Arial"/>
              </w:rPr>
              <w:t>MARÍN CORTÉS, Fabián. El precio. Serie: Las cláusulas del contrato estatal. Medellín: Librería Jurídica Sánchez y Centro de Estudios de Derecho Administrativo –CEDA–, 2012.</w:t>
            </w:r>
          </w:p>
          <w:p w14:paraId="0DB9C81F" w14:textId="2629871E" w:rsidR="0096742D" w:rsidRPr="0096742D" w:rsidRDefault="0096742D" w:rsidP="00E17F16">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96742D">
              <w:rPr>
                <w:rFonts w:ascii="Verdana" w:hAnsi="Verdana" w:cs="Arial"/>
              </w:rPr>
              <w:t xml:space="preserve">RODRÍGUEZ TAMAYO, Mauricio F. Evaluación y rechazo de ofertas en la Ley 80 de 1993. Primera edición. Medellín: Librería Jurídica Sánchez, 2016. </w:t>
            </w:r>
          </w:p>
          <w:p w14:paraId="64F69E7F" w14:textId="6D3E1FF5" w:rsidR="00837C41" w:rsidRPr="00611B33" w:rsidRDefault="00837C41" w:rsidP="00E17F16">
            <w:pPr>
              <w:pStyle w:val="Prrafodelista"/>
              <w:rPr>
                <w:rFonts w:cs="Arial"/>
                <w:lang w:val="es-MX"/>
              </w:rPr>
            </w:pPr>
          </w:p>
        </w:tc>
      </w:tr>
    </w:tbl>
    <w:p w14:paraId="6DF336C8" w14:textId="77777777" w:rsidR="00837C41" w:rsidRPr="00A12CB6" w:rsidRDefault="00837C41" w:rsidP="00837C41">
      <w:pPr>
        <w:spacing w:line="276" w:lineRule="auto"/>
        <w:ind w:right="709"/>
        <w:contextualSpacing/>
        <w:jc w:val="both"/>
        <w:rPr>
          <w:rFonts w:ascii="Verdana" w:hAnsi="Verdana" w:cs="Arial"/>
          <w:color w:val="000000" w:themeColor="text1"/>
          <w:lang w:val="es-ES_tradnl"/>
        </w:rPr>
      </w:pPr>
    </w:p>
    <w:p w14:paraId="268975E4" w14:textId="77777777" w:rsidR="00837C41" w:rsidRPr="00A12CB6" w:rsidRDefault="00837C41" w:rsidP="00837C41">
      <w:pPr>
        <w:numPr>
          <w:ilvl w:val="0"/>
          <w:numId w:val="16"/>
        </w:num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Doctrina de la Agencia Nacional de Contratación Pública:</w:t>
      </w:r>
    </w:p>
    <w:p w14:paraId="027C8093" w14:textId="77777777" w:rsidR="00837C41" w:rsidRPr="00A12CB6" w:rsidRDefault="00837C41" w:rsidP="00837C41">
      <w:pPr>
        <w:spacing w:after="0" w:line="256" w:lineRule="auto"/>
        <w:rPr>
          <w:rFonts w:ascii="Verdana" w:eastAsia="Calibri" w:hAnsi="Verdana" w:cs="Times New Roman"/>
          <w:lang w:val="es-ES"/>
        </w:rPr>
      </w:pPr>
    </w:p>
    <w:p w14:paraId="7F299E92" w14:textId="6B0213B2" w:rsidR="00837C41" w:rsidRPr="00A12CB6" w:rsidRDefault="00837C41" w:rsidP="00E17F16">
      <w:pPr>
        <w:widowControl w:val="0"/>
        <w:autoSpaceDE w:val="0"/>
        <w:autoSpaceDN w:val="0"/>
        <w:spacing w:after="0" w:line="276" w:lineRule="auto"/>
        <w:jc w:val="both"/>
        <w:rPr>
          <w:rFonts w:ascii="Verdana" w:eastAsia="Calibri" w:hAnsi="Verdana" w:cs="Times New Roman"/>
        </w:rPr>
      </w:pPr>
      <w:r w:rsidRPr="00FE1BBF">
        <w:rPr>
          <w:rFonts w:ascii="Verdana" w:eastAsia="Calibri" w:hAnsi="Verdana" w:cs="Arial"/>
          <w:lang w:val="es-ES_tradnl" w:eastAsia="es-ES_tradnl"/>
        </w:rPr>
        <w:t xml:space="preserve">Sobre </w:t>
      </w:r>
      <w:r w:rsidRPr="00954359">
        <w:rPr>
          <w:rFonts w:ascii="Verdana" w:eastAsia="Calibri" w:hAnsi="Verdana" w:cs="Arial"/>
          <w:color w:val="000000"/>
        </w:rPr>
        <w:t xml:space="preserve">el principio de selección objetiva, </w:t>
      </w:r>
      <w:r>
        <w:rPr>
          <w:rFonts w:ascii="Verdana" w:eastAsia="Calibri" w:hAnsi="Verdana" w:cs="Arial"/>
          <w:color w:val="000000"/>
        </w:rPr>
        <w:t>esta</w:t>
      </w:r>
      <w:r w:rsidR="007C1ECA">
        <w:rPr>
          <w:rFonts w:ascii="Verdana" w:eastAsia="Calibri" w:hAnsi="Verdana" w:cs="Arial"/>
          <w:color w:val="000000"/>
        </w:rPr>
        <w:t xml:space="preserve"> S</w:t>
      </w:r>
      <w:r>
        <w:rPr>
          <w:rFonts w:ascii="Verdana" w:eastAsia="Calibri" w:hAnsi="Verdana" w:cs="Arial"/>
          <w:color w:val="000000"/>
        </w:rPr>
        <w:t xml:space="preserve">ubdirección se ha pronunciado </w:t>
      </w:r>
      <w:r w:rsidR="003C41E6">
        <w:rPr>
          <w:rFonts w:ascii="Verdana" w:eastAsia="Calibri" w:hAnsi="Verdana" w:cs="Arial"/>
          <w:color w:val="000000"/>
        </w:rPr>
        <w:t>en</w:t>
      </w:r>
      <w:r w:rsidRPr="00954359">
        <w:rPr>
          <w:rFonts w:ascii="Verdana" w:eastAsia="Calibri" w:hAnsi="Verdana" w:cs="Arial"/>
          <w:color w:val="000000"/>
        </w:rPr>
        <w:t xml:space="preserve"> los conceptos</w:t>
      </w:r>
      <w:r>
        <w:rPr>
          <w:rFonts w:ascii="Verdana" w:eastAsia="Calibri" w:hAnsi="Verdana" w:cs="Arial"/>
          <w:color w:val="000000"/>
        </w:rPr>
        <w:t xml:space="preserve"> </w:t>
      </w:r>
      <w:r w:rsidRPr="00954359">
        <w:rPr>
          <w:rFonts w:ascii="Verdana" w:eastAsia="Calibri" w:hAnsi="Verdana" w:cs="Arial"/>
          <w:color w:val="000000"/>
        </w:rPr>
        <w:t>C-218 del 2 de abril</w:t>
      </w:r>
      <w:r w:rsidRPr="00954359">
        <w:rPr>
          <w:rFonts w:ascii="Verdana" w:eastAsia="Arial" w:hAnsi="Verdana" w:cs="Arial"/>
          <w:bCs/>
          <w:lang w:val="es-ES_tradnl" w:eastAsia="es-ES_tradnl"/>
        </w:rPr>
        <w:t xml:space="preserve"> de </w:t>
      </w:r>
      <w:r w:rsidR="00021F60" w:rsidRPr="00954359">
        <w:rPr>
          <w:rFonts w:ascii="Verdana" w:eastAsia="Arial" w:hAnsi="Verdana" w:cs="Arial"/>
          <w:bCs/>
          <w:lang w:val="es-ES_tradnl" w:eastAsia="es-ES_tradnl"/>
        </w:rPr>
        <w:t>2020,</w:t>
      </w:r>
      <w:r w:rsidR="00021F60">
        <w:rPr>
          <w:rFonts w:ascii="Verdana" w:eastAsia="Arial" w:hAnsi="Verdana" w:cs="Arial"/>
          <w:bCs/>
          <w:lang w:val="es-ES_tradnl" w:eastAsia="es-ES_tradnl"/>
        </w:rPr>
        <w:t xml:space="preserve"> </w:t>
      </w:r>
      <w:r w:rsidR="00021F60" w:rsidRPr="00954359">
        <w:rPr>
          <w:rFonts w:ascii="Verdana" w:eastAsia="Arial" w:hAnsi="Verdana" w:cs="Arial"/>
          <w:bCs/>
          <w:lang w:val="es-ES_tradnl" w:eastAsia="es-ES_tradnl"/>
        </w:rPr>
        <w:t>C</w:t>
      </w:r>
      <w:r w:rsidRPr="00954359">
        <w:rPr>
          <w:rFonts w:ascii="Verdana" w:eastAsia="Arial" w:hAnsi="Verdana" w:cs="Arial"/>
          <w:bCs/>
          <w:lang w:val="es-ES_tradnl" w:eastAsia="es-ES_tradnl"/>
        </w:rPr>
        <w:t xml:space="preserve">-083 del 18 de marzo de 2021, C-691 del 28 de diciembre de 2021, C-431 del 7 de julio de 2022, C-965 del 27 de enero de 2023, </w:t>
      </w:r>
      <w:r w:rsidRPr="006045B7">
        <w:rPr>
          <w:rFonts w:ascii="Verdana" w:eastAsia="Arial" w:hAnsi="Verdana" w:cs="Arial"/>
          <w:bCs/>
          <w:lang w:val="es-ES_tradnl" w:eastAsia="es-ES_tradnl"/>
        </w:rPr>
        <w:t>C-304 del 4 de julio de 2023</w:t>
      </w:r>
      <w:r>
        <w:rPr>
          <w:rFonts w:ascii="Verdana" w:eastAsia="Arial" w:hAnsi="Verdana" w:cs="Arial"/>
          <w:bCs/>
          <w:lang w:val="es-ES_tradnl" w:eastAsia="es-ES_tradnl"/>
        </w:rPr>
        <w:t xml:space="preserve">, C-114 del 25 de junio de 2025 y C-442 del 21 de mayo de 2025. </w:t>
      </w:r>
    </w:p>
    <w:p w14:paraId="7AB53927" w14:textId="77777777" w:rsidR="00837C41" w:rsidRPr="00A12CB6" w:rsidRDefault="00837C41" w:rsidP="00837C41">
      <w:pPr>
        <w:spacing w:after="0" w:line="256" w:lineRule="auto"/>
        <w:jc w:val="both"/>
        <w:rPr>
          <w:rFonts w:ascii="Verdana" w:eastAsia="Calibri" w:hAnsi="Verdana" w:cs="Times New Roman"/>
          <w:lang w:val="es-ES"/>
        </w:rPr>
      </w:pPr>
    </w:p>
    <w:p w14:paraId="155E7F96" w14:textId="77777777" w:rsidR="00837C41" w:rsidRDefault="00837C41" w:rsidP="00837C41">
      <w:pPr>
        <w:spacing w:after="0" w:line="276" w:lineRule="auto"/>
        <w:jc w:val="both"/>
        <w:rPr>
          <w:rFonts w:ascii="Verdana" w:eastAsia="Calibri" w:hAnsi="Verdana" w:cs="Times New Roman"/>
        </w:rPr>
      </w:pPr>
      <w:r w:rsidRPr="006926C4">
        <w:rPr>
          <w:rFonts w:ascii="Verdana" w:hAnsi="Verdana" w:cs="Arial"/>
          <w:color w:val="000000" w:themeColor="text1"/>
          <w:shd w:val="clear" w:color="auto" w:fill="FFFFFF"/>
        </w:rPr>
        <w:t xml:space="preserve">Nos complace informarle que </w:t>
      </w:r>
      <w:r w:rsidRPr="00FF3AB4">
        <w:rPr>
          <w:rFonts w:ascii="Verdana" w:eastAsia="Calibri" w:hAnsi="Verdana" w:cs="Times New Roman"/>
        </w:rPr>
        <w:t>ya se encuentra disponible la </w:t>
      </w:r>
      <w:r w:rsidRPr="00FF3AB4">
        <w:rPr>
          <w:rFonts w:ascii="Verdana" w:eastAsia="Calibri" w:hAnsi="Verdana" w:cs="Times New Roman"/>
          <w:b/>
          <w:bCs/>
        </w:rPr>
        <w:t>Guía de lineamientos de transparencia y selección objetiva para el departamento de La Guajira – Objetivo sexto constitucional de la Sentencia T-302 del 2017. </w:t>
      </w:r>
      <w:r w:rsidRPr="00FF3AB4">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w:t>
      </w:r>
      <w:r w:rsidRPr="00FF3AB4">
        <w:rPr>
          <w:rFonts w:ascii="Verdana" w:eastAsia="Calibri" w:hAnsi="Verdana" w:cs="Times New Roman"/>
        </w:rPr>
        <w:lastRenderedPageBreak/>
        <w:t xml:space="preserve">de las niñas del Pueblo </w:t>
      </w:r>
      <w:proofErr w:type="spellStart"/>
      <w:r w:rsidRPr="00FF3AB4">
        <w:rPr>
          <w:rFonts w:ascii="Verdana" w:eastAsia="Calibri" w:hAnsi="Verdana" w:cs="Times New Roman"/>
        </w:rPr>
        <w:t>Wayúu</w:t>
      </w:r>
      <w:proofErr w:type="spellEnd"/>
      <w:r w:rsidRPr="00FF3AB4">
        <w:rPr>
          <w:rFonts w:ascii="Verdana" w:eastAsia="Calibri" w:hAnsi="Verdana" w:cs="Times New Roman"/>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FF3AB4">
          <w:rPr>
            <w:rStyle w:val="Hipervnculo"/>
            <w:rFonts w:ascii="Verdana" w:eastAsia="Calibri" w:hAnsi="Verdana" w:cs="Times New Roman"/>
          </w:rPr>
          <w:t>Guía de lineamientos de transparencia y selección objetiva para el departamento de La Guajira – Objetivo sexto constitucional de la Sentencia T-302 del 2017</w:t>
        </w:r>
      </w:hyperlink>
      <w:r w:rsidRPr="00FF3AB4">
        <w:rPr>
          <w:rFonts w:ascii="Verdana" w:eastAsia="Calibri" w:hAnsi="Verdana" w:cs="Times New Roman"/>
          <w:u w:val="single"/>
        </w:rPr>
        <w:t>"</w:t>
      </w:r>
    </w:p>
    <w:p w14:paraId="65515F0D" w14:textId="77777777" w:rsidR="00837C41" w:rsidRDefault="00837C41" w:rsidP="00837C41">
      <w:pPr>
        <w:spacing w:after="0" w:line="276" w:lineRule="auto"/>
        <w:rPr>
          <w:rFonts w:ascii="Verdana" w:eastAsia="Calibri" w:hAnsi="Verdana" w:cs="Times New Roman"/>
        </w:rPr>
      </w:pPr>
    </w:p>
    <w:p w14:paraId="7DB87373" w14:textId="77777777" w:rsidR="00837C41" w:rsidRPr="00A12CB6" w:rsidRDefault="00837C41" w:rsidP="00837C41">
      <w:pPr>
        <w:spacing w:after="0" w:line="276" w:lineRule="auto"/>
        <w:rPr>
          <w:rFonts w:ascii="Verdana" w:eastAsia="Calibri" w:hAnsi="Verdana" w:cs="Times New Roman"/>
        </w:rPr>
      </w:pPr>
      <w:r w:rsidRPr="00A12CB6">
        <w:rPr>
          <w:rFonts w:ascii="Verdana" w:eastAsia="Calibri" w:hAnsi="Verdana" w:cs="Times New Roman"/>
        </w:rPr>
        <w:t xml:space="preserve">Por último, lo invitamos a seguirnos en las redes sociales en las cuales se difunde información institucional: </w:t>
      </w:r>
    </w:p>
    <w:p w14:paraId="2831FB0A" w14:textId="77777777" w:rsidR="00837C41" w:rsidRPr="00A12CB6" w:rsidRDefault="00837C41" w:rsidP="00837C41">
      <w:pPr>
        <w:spacing w:after="0" w:line="276" w:lineRule="auto"/>
        <w:rPr>
          <w:rFonts w:ascii="Verdana" w:eastAsia="Calibri" w:hAnsi="Verdana" w:cs="Times New Roman"/>
        </w:rPr>
      </w:pPr>
    </w:p>
    <w:p w14:paraId="207876A4" w14:textId="77777777" w:rsidR="00837C41" w:rsidRPr="00A12CB6" w:rsidRDefault="00837C41" w:rsidP="00837C41">
      <w:pPr>
        <w:spacing w:after="0" w:line="276" w:lineRule="auto"/>
        <w:rPr>
          <w:rFonts w:ascii="Verdana" w:eastAsia="Calibri" w:hAnsi="Verdana" w:cs="Times New Roman"/>
        </w:rPr>
      </w:pPr>
      <w:r w:rsidRPr="00A12CB6">
        <w:rPr>
          <w:rFonts w:ascii="Verdana" w:eastAsia="Calibri" w:hAnsi="Verdana" w:cs="Times New Roman"/>
        </w:rPr>
        <w:t xml:space="preserve">Twitter: </w:t>
      </w:r>
      <w:r w:rsidRPr="00A12CB6">
        <w:rPr>
          <w:rFonts w:ascii="Verdana" w:eastAsia="Calibri" w:hAnsi="Verdana" w:cs="Times New Roman"/>
          <w:u w:val="single"/>
        </w:rPr>
        <w:t>@colombiacompra</w:t>
      </w:r>
      <w:r w:rsidRPr="00A12CB6">
        <w:rPr>
          <w:rFonts w:ascii="Verdana" w:eastAsia="Calibri" w:hAnsi="Verdana" w:cs="Times New Roman"/>
        </w:rPr>
        <w:t xml:space="preserve"> </w:t>
      </w:r>
    </w:p>
    <w:p w14:paraId="486C3A69" w14:textId="77777777" w:rsidR="00837C41" w:rsidRPr="00A12CB6" w:rsidRDefault="00837C41" w:rsidP="00837C41">
      <w:pPr>
        <w:spacing w:after="0" w:line="276" w:lineRule="auto"/>
        <w:rPr>
          <w:rFonts w:ascii="Verdana" w:eastAsia="Calibri" w:hAnsi="Verdana" w:cs="Times New Roman"/>
        </w:rPr>
      </w:pPr>
      <w:r w:rsidRPr="00A12CB6">
        <w:rPr>
          <w:rFonts w:ascii="Verdana" w:eastAsia="Calibri" w:hAnsi="Verdana" w:cs="Times New Roman"/>
        </w:rPr>
        <w:t xml:space="preserve">Facebook: </w:t>
      </w:r>
      <w:proofErr w:type="spellStart"/>
      <w:r w:rsidRPr="00A12CB6">
        <w:rPr>
          <w:rFonts w:ascii="Verdana" w:eastAsia="Calibri" w:hAnsi="Verdana" w:cs="Times New Roman"/>
          <w:u w:val="single"/>
        </w:rPr>
        <w:t>ColombiaCompraEficiente</w:t>
      </w:r>
      <w:proofErr w:type="spellEnd"/>
    </w:p>
    <w:p w14:paraId="7B0996E6" w14:textId="77777777" w:rsidR="00837C41" w:rsidRPr="00A12CB6" w:rsidRDefault="00837C41" w:rsidP="00837C41">
      <w:pPr>
        <w:spacing w:after="0" w:line="276" w:lineRule="auto"/>
        <w:rPr>
          <w:rFonts w:ascii="Verdana" w:eastAsia="Calibri" w:hAnsi="Verdana" w:cs="Times New Roman"/>
          <w:u w:val="single"/>
        </w:rPr>
      </w:pPr>
      <w:r w:rsidRPr="00A12CB6">
        <w:rPr>
          <w:rFonts w:ascii="Verdana" w:eastAsia="Calibri" w:hAnsi="Verdana" w:cs="Times New Roman"/>
        </w:rPr>
        <w:t xml:space="preserve">LinkedIn: </w:t>
      </w:r>
      <w:r w:rsidRPr="00A12CB6">
        <w:rPr>
          <w:rFonts w:ascii="Verdana" w:eastAsia="Calibri" w:hAnsi="Verdana" w:cs="Times New Roman"/>
          <w:u w:val="single"/>
        </w:rPr>
        <w:t>Agencia Nacional de Contratación Pública - Colombia Compra Eficiente</w:t>
      </w:r>
      <w:r w:rsidRPr="00A12CB6">
        <w:rPr>
          <w:rFonts w:ascii="Verdana" w:eastAsia="Calibri" w:hAnsi="Verdana" w:cs="Times New Roman"/>
        </w:rPr>
        <w:t xml:space="preserve"> Instagram: </w:t>
      </w:r>
      <w:r w:rsidRPr="00A12CB6">
        <w:rPr>
          <w:rFonts w:ascii="Verdana" w:eastAsia="Calibri" w:hAnsi="Verdana" w:cs="Times New Roman"/>
          <w:u w:val="single"/>
        </w:rPr>
        <w:t>@colombiacompraeficiente_cce</w:t>
      </w:r>
    </w:p>
    <w:p w14:paraId="39EEDDB5" w14:textId="77777777" w:rsidR="00837C41" w:rsidRPr="00A12CB6" w:rsidRDefault="00837C41" w:rsidP="00837C41">
      <w:pPr>
        <w:spacing w:after="0" w:line="276" w:lineRule="auto"/>
        <w:rPr>
          <w:rFonts w:ascii="Verdana" w:eastAsia="Calibri" w:hAnsi="Verdana" w:cs="Times New Roman"/>
          <w:b/>
          <w:bCs/>
        </w:rPr>
      </w:pPr>
    </w:p>
    <w:p w14:paraId="1BBC2ED0" w14:textId="77777777" w:rsidR="00837C41" w:rsidRPr="00A12CB6" w:rsidRDefault="00837C41" w:rsidP="00837C41">
      <w:pPr>
        <w:spacing w:after="0" w:line="27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D5CB509" w14:textId="77777777" w:rsidR="00837C41" w:rsidRPr="00A12CB6" w:rsidRDefault="00837C41" w:rsidP="00837C41">
      <w:pPr>
        <w:spacing w:after="0" w:line="276" w:lineRule="auto"/>
        <w:jc w:val="both"/>
        <w:rPr>
          <w:rFonts w:ascii="Verdana" w:eastAsia="Calibri" w:hAnsi="Verdana" w:cs="Times New Roman"/>
        </w:rPr>
      </w:pPr>
    </w:p>
    <w:p w14:paraId="0899DB16" w14:textId="77777777" w:rsidR="00837C41" w:rsidRDefault="00837C41" w:rsidP="00837C41">
      <w:pPr>
        <w:spacing w:after="0" w:line="276" w:lineRule="auto"/>
        <w:jc w:val="both"/>
        <w:rPr>
          <w:rFonts w:ascii="Verdana" w:eastAsia="Calibri" w:hAnsi="Verdana" w:cs="Times New Roman"/>
        </w:rPr>
      </w:pPr>
      <w:r w:rsidRPr="00A12CB6">
        <w:rPr>
          <w:rFonts w:ascii="Verdana" w:eastAsia="Calibri" w:hAnsi="Verdana" w:cs="Times New Roman"/>
        </w:rPr>
        <w:t>Atentamente,</w:t>
      </w:r>
    </w:p>
    <w:p w14:paraId="1176930B" w14:textId="0A6BF578" w:rsidR="00837C41" w:rsidRPr="00F608C4" w:rsidRDefault="00D11256" w:rsidP="00837C41">
      <w:pPr>
        <w:autoSpaceDE w:val="0"/>
        <w:autoSpaceDN w:val="0"/>
        <w:adjustRightInd w:val="0"/>
        <w:spacing w:after="0" w:line="276" w:lineRule="auto"/>
        <w:jc w:val="center"/>
        <w:rPr>
          <w:rFonts w:ascii="Verdana" w:eastAsia="Calibri" w:hAnsi="Verdana" w:cs="Arial"/>
        </w:rPr>
      </w:pPr>
      <w:r w:rsidRPr="00D11256">
        <w:rPr>
          <w:rFonts w:ascii="Verdana" w:eastAsia="Calibri" w:hAnsi="Verdana" w:cs="Arial"/>
          <w:noProof/>
        </w:rPr>
        <w:drawing>
          <wp:inline distT="0" distB="0" distL="0" distR="0" wp14:anchorId="721D25A5" wp14:editId="5C60D8D9">
            <wp:extent cx="3771900" cy="1402080"/>
            <wp:effectExtent l="0" t="0" r="0" b="7620"/>
            <wp:docPr id="433341914"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o&#10;&#10;Descripción generada automáticamente, Imag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r w:rsidRPr="00D11256">
        <w:rPr>
          <w:rFonts w:ascii="Verdana" w:eastAsia="Calibri" w:hAnsi="Verdana" w:cs="Arial"/>
        </w:rPr>
        <w:br/>
      </w:r>
    </w:p>
    <w:tbl>
      <w:tblPr>
        <w:tblW w:w="65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5711"/>
      </w:tblGrid>
      <w:tr w:rsidR="00837C41" w:rsidRPr="00F608C4" w14:paraId="74C4383F" w14:textId="77777777" w:rsidTr="00E17F16">
        <w:trPr>
          <w:trHeight w:val="315"/>
        </w:trPr>
        <w:tc>
          <w:tcPr>
            <w:tcW w:w="810" w:type="dxa"/>
            <w:tcBorders>
              <w:top w:val="nil"/>
              <w:left w:val="nil"/>
              <w:bottom w:val="nil"/>
              <w:right w:val="nil"/>
            </w:tcBorders>
            <w:vAlign w:val="center"/>
            <w:hideMark/>
          </w:tcPr>
          <w:p w14:paraId="0CF3BB61" w14:textId="77777777" w:rsidR="00837C41" w:rsidRPr="00F608C4" w:rsidRDefault="00837C41" w:rsidP="00B95769">
            <w:pPr>
              <w:autoSpaceDE w:val="0"/>
              <w:autoSpaceDN w:val="0"/>
              <w:adjustRightInd w:val="0"/>
              <w:spacing w:after="0" w:line="240" w:lineRule="auto"/>
              <w:jc w:val="both"/>
              <w:rPr>
                <w:rFonts w:ascii="Verdana" w:eastAsia="Calibri" w:hAnsi="Verdana" w:cs="Arial"/>
                <w:sz w:val="16"/>
                <w:szCs w:val="16"/>
              </w:rPr>
            </w:pPr>
            <w:r w:rsidRPr="00F608C4">
              <w:rPr>
                <w:rFonts w:ascii="Verdana" w:eastAsia="Calibri" w:hAnsi="Verdana" w:cs="Arial"/>
                <w:sz w:val="16"/>
                <w:szCs w:val="16"/>
              </w:rPr>
              <w:t>Elaboró: </w:t>
            </w:r>
          </w:p>
        </w:tc>
        <w:tc>
          <w:tcPr>
            <w:tcW w:w="5711" w:type="dxa"/>
            <w:tcBorders>
              <w:top w:val="nil"/>
              <w:left w:val="nil"/>
              <w:bottom w:val="dotted" w:sz="6" w:space="0" w:color="7F7F7F" w:themeColor="text1" w:themeTint="80"/>
              <w:right w:val="nil"/>
            </w:tcBorders>
            <w:vAlign w:val="center"/>
            <w:hideMark/>
          </w:tcPr>
          <w:p w14:paraId="7D683C6B" w14:textId="77777777" w:rsidR="00837C41" w:rsidRPr="00F608C4" w:rsidRDefault="00837C41" w:rsidP="00B95769">
            <w:pPr>
              <w:spacing w:after="0" w:line="240" w:lineRule="auto"/>
              <w:jc w:val="both"/>
              <w:rPr>
                <w:rFonts w:ascii="Verdana" w:hAnsi="Verdana"/>
              </w:rPr>
            </w:pPr>
            <w:r w:rsidRPr="00F608C4">
              <w:rPr>
                <w:rFonts w:ascii="Verdana" w:eastAsia="Calibri" w:hAnsi="Verdana" w:cs="Arial"/>
                <w:sz w:val="16"/>
                <w:szCs w:val="16"/>
              </w:rPr>
              <w:t>María Joshira Nieto Manzano</w:t>
            </w:r>
          </w:p>
          <w:p w14:paraId="22E2E051" w14:textId="77777777" w:rsidR="00837C41" w:rsidRPr="00F608C4" w:rsidRDefault="00837C41" w:rsidP="00B95769">
            <w:pPr>
              <w:autoSpaceDE w:val="0"/>
              <w:autoSpaceDN w:val="0"/>
              <w:adjustRightInd w:val="0"/>
              <w:spacing w:after="0" w:line="240" w:lineRule="auto"/>
              <w:jc w:val="both"/>
              <w:rPr>
                <w:rFonts w:ascii="Verdana" w:eastAsia="Arial" w:hAnsi="Verdana" w:cs="Arial"/>
                <w:sz w:val="16"/>
                <w:szCs w:val="16"/>
                <w:lang w:val="es-ES"/>
              </w:rPr>
            </w:pPr>
            <w:r w:rsidRPr="00F608C4">
              <w:rPr>
                <w:rFonts w:ascii="Verdana" w:eastAsia="Calibri" w:hAnsi="Verdana" w:cs="Arial"/>
                <w:sz w:val="16"/>
                <w:szCs w:val="16"/>
              </w:rPr>
              <w:t>Contratista de la Subdirección de Gestión Contractual</w:t>
            </w:r>
          </w:p>
        </w:tc>
      </w:tr>
      <w:tr w:rsidR="00837C41" w:rsidRPr="00F608C4" w14:paraId="564B36EE" w14:textId="77777777" w:rsidTr="00E17F16">
        <w:trPr>
          <w:trHeight w:val="315"/>
        </w:trPr>
        <w:tc>
          <w:tcPr>
            <w:tcW w:w="810" w:type="dxa"/>
            <w:tcBorders>
              <w:top w:val="nil"/>
              <w:left w:val="nil"/>
              <w:bottom w:val="nil"/>
              <w:right w:val="nil"/>
            </w:tcBorders>
            <w:vAlign w:val="center"/>
            <w:hideMark/>
          </w:tcPr>
          <w:p w14:paraId="26AECB44" w14:textId="77777777" w:rsidR="00837C41" w:rsidRPr="00F608C4" w:rsidRDefault="00837C41" w:rsidP="00B95769">
            <w:pPr>
              <w:autoSpaceDE w:val="0"/>
              <w:autoSpaceDN w:val="0"/>
              <w:adjustRightInd w:val="0"/>
              <w:spacing w:after="0" w:line="240" w:lineRule="auto"/>
              <w:jc w:val="both"/>
              <w:rPr>
                <w:rFonts w:ascii="Verdana" w:eastAsia="Calibri" w:hAnsi="Verdana" w:cs="Arial"/>
                <w:sz w:val="16"/>
                <w:szCs w:val="16"/>
              </w:rPr>
            </w:pPr>
            <w:r w:rsidRPr="00F608C4">
              <w:rPr>
                <w:rFonts w:ascii="Verdana" w:eastAsia="Calibri" w:hAnsi="Verdana" w:cs="Arial"/>
                <w:sz w:val="16"/>
                <w:szCs w:val="16"/>
              </w:rPr>
              <w:t>Revisó: </w:t>
            </w:r>
          </w:p>
        </w:tc>
        <w:tc>
          <w:tcPr>
            <w:tcW w:w="5711" w:type="dxa"/>
            <w:tcBorders>
              <w:top w:val="dotted" w:sz="6" w:space="0" w:color="7F7F7F" w:themeColor="text1" w:themeTint="80"/>
              <w:left w:val="nil"/>
              <w:bottom w:val="dotted" w:sz="6" w:space="0" w:color="7F7F7F" w:themeColor="text1" w:themeTint="80"/>
              <w:right w:val="nil"/>
            </w:tcBorders>
            <w:vAlign w:val="center"/>
            <w:hideMark/>
          </w:tcPr>
          <w:p w14:paraId="1AB8A548" w14:textId="77777777" w:rsidR="00837C41" w:rsidRPr="00F608C4" w:rsidRDefault="00837C41" w:rsidP="00B95769">
            <w:pPr>
              <w:pStyle w:val="Default"/>
              <w:jc w:val="both"/>
              <w:rPr>
                <w:rFonts w:ascii="Verdana" w:eastAsia="Calibri" w:hAnsi="Verdana"/>
                <w:color w:val="auto"/>
                <w:sz w:val="16"/>
                <w:szCs w:val="16"/>
              </w:rPr>
            </w:pPr>
            <w:r w:rsidRPr="00F608C4">
              <w:rPr>
                <w:rFonts w:ascii="Verdana" w:eastAsia="Calibri" w:hAnsi="Verdana"/>
                <w:color w:val="auto"/>
                <w:sz w:val="16"/>
                <w:szCs w:val="16"/>
              </w:rPr>
              <w:t xml:space="preserve">Alejandro Sarmiento Cantillo </w:t>
            </w:r>
          </w:p>
          <w:p w14:paraId="38A969C3" w14:textId="335B5675" w:rsidR="00837C41" w:rsidRPr="00F608C4" w:rsidRDefault="00837C41" w:rsidP="00B95769">
            <w:pPr>
              <w:autoSpaceDE w:val="0"/>
              <w:autoSpaceDN w:val="0"/>
              <w:adjustRightInd w:val="0"/>
              <w:spacing w:after="0" w:line="240" w:lineRule="auto"/>
              <w:jc w:val="both"/>
              <w:rPr>
                <w:rFonts w:ascii="Verdana" w:eastAsia="Arial" w:hAnsi="Verdana" w:cs="Arial"/>
                <w:sz w:val="16"/>
                <w:szCs w:val="16"/>
              </w:rPr>
            </w:pPr>
            <w:r w:rsidRPr="00F608C4">
              <w:rPr>
                <w:rFonts w:ascii="Verdana" w:eastAsia="Calibri" w:hAnsi="Verdana" w:cs="Arial"/>
                <w:sz w:val="16"/>
                <w:szCs w:val="16"/>
              </w:rPr>
              <w:t>Gestor T1</w:t>
            </w:r>
            <w:r w:rsidR="0096742D">
              <w:rPr>
                <w:rFonts w:ascii="Verdana" w:eastAsia="Calibri" w:hAnsi="Verdana" w:cs="Arial"/>
                <w:sz w:val="16"/>
                <w:szCs w:val="16"/>
              </w:rPr>
              <w:t>–</w:t>
            </w:r>
            <w:r w:rsidRPr="00F608C4">
              <w:rPr>
                <w:rFonts w:ascii="Verdana" w:eastAsia="Calibri" w:hAnsi="Verdana" w:cs="Arial"/>
                <w:sz w:val="16"/>
                <w:szCs w:val="16"/>
              </w:rPr>
              <w:t>15 de la Subdirección de Gestión Contractual</w:t>
            </w:r>
          </w:p>
        </w:tc>
      </w:tr>
      <w:tr w:rsidR="00837C41" w:rsidRPr="00F608C4" w14:paraId="319B5C10" w14:textId="77777777" w:rsidTr="00E17F16">
        <w:trPr>
          <w:trHeight w:val="300"/>
        </w:trPr>
        <w:tc>
          <w:tcPr>
            <w:tcW w:w="810" w:type="dxa"/>
            <w:tcBorders>
              <w:top w:val="nil"/>
              <w:left w:val="nil"/>
              <w:bottom w:val="nil"/>
              <w:right w:val="nil"/>
            </w:tcBorders>
            <w:vAlign w:val="center"/>
            <w:hideMark/>
          </w:tcPr>
          <w:p w14:paraId="1E87212E" w14:textId="77777777" w:rsidR="00837C41" w:rsidRPr="00F608C4" w:rsidRDefault="00837C41" w:rsidP="00B95769">
            <w:pPr>
              <w:autoSpaceDE w:val="0"/>
              <w:autoSpaceDN w:val="0"/>
              <w:adjustRightInd w:val="0"/>
              <w:spacing w:after="0" w:line="240" w:lineRule="auto"/>
              <w:jc w:val="both"/>
              <w:rPr>
                <w:rFonts w:ascii="Verdana" w:eastAsia="Calibri" w:hAnsi="Verdana" w:cs="Arial"/>
                <w:sz w:val="16"/>
                <w:szCs w:val="16"/>
              </w:rPr>
            </w:pPr>
            <w:r w:rsidRPr="00F608C4">
              <w:rPr>
                <w:rFonts w:ascii="Verdana" w:eastAsia="Calibri" w:hAnsi="Verdana" w:cs="Arial"/>
                <w:sz w:val="16"/>
                <w:szCs w:val="16"/>
              </w:rPr>
              <w:t>Aprobó: </w:t>
            </w:r>
          </w:p>
        </w:tc>
        <w:tc>
          <w:tcPr>
            <w:tcW w:w="5711" w:type="dxa"/>
            <w:tcBorders>
              <w:top w:val="dotted" w:sz="6" w:space="0" w:color="7F7F7F" w:themeColor="text1" w:themeTint="80"/>
              <w:left w:val="nil"/>
              <w:bottom w:val="dotted" w:sz="6" w:space="0" w:color="7F7F7F" w:themeColor="text1" w:themeTint="80"/>
              <w:right w:val="nil"/>
            </w:tcBorders>
            <w:vAlign w:val="center"/>
            <w:hideMark/>
          </w:tcPr>
          <w:p w14:paraId="41109796" w14:textId="77777777" w:rsidR="00837C41" w:rsidRPr="00F608C4" w:rsidRDefault="00837C41" w:rsidP="00B95769">
            <w:pPr>
              <w:autoSpaceDE w:val="0"/>
              <w:autoSpaceDN w:val="0"/>
              <w:adjustRightInd w:val="0"/>
              <w:spacing w:after="0" w:line="240" w:lineRule="auto"/>
              <w:jc w:val="both"/>
              <w:rPr>
                <w:rFonts w:ascii="Verdana" w:eastAsia="Calibri" w:hAnsi="Verdana" w:cs="Arial"/>
                <w:sz w:val="16"/>
                <w:szCs w:val="16"/>
              </w:rPr>
            </w:pPr>
            <w:r w:rsidRPr="00F608C4">
              <w:rPr>
                <w:rFonts w:ascii="Verdana" w:eastAsia="Calibri" w:hAnsi="Verdana" w:cs="Arial"/>
                <w:sz w:val="16"/>
                <w:szCs w:val="16"/>
              </w:rPr>
              <w:t xml:space="preserve">Carolina Quintero </w:t>
            </w:r>
            <w:proofErr w:type="spellStart"/>
            <w:r w:rsidRPr="00F608C4">
              <w:rPr>
                <w:rFonts w:ascii="Verdana" w:eastAsia="Calibri" w:hAnsi="Verdana" w:cs="Arial"/>
                <w:sz w:val="16"/>
                <w:szCs w:val="16"/>
              </w:rPr>
              <w:t>Gacharná</w:t>
            </w:r>
            <w:proofErr w:type="spellEnd"/>
          </w:p>
          <w:p w14:paraId="34941FF9" w14:textId="77777777" w:rsidR="00837C41" w:rsidRPr="00F608C4" w:rsidRDefault="00837C41" w:rsidP="00B95769">
            <w:pPr>
              <w:autoSpaceDE w:val="0"/>
              <w:autoSpaceDN w:val="0"/>
              <w:adjustRightInd w:val="0"/>
              <w:spacing w:after="0" w:line="240" w:lineRule="auto"/>
              <w:jc w:val="both"/>
              <w:rPr>
                <w:rFonts w:ascii="Verdana" w:eastAsia="Calibri" w:hAnsi="Verdana" w:cs="Arial"/>
                <w:sz w:val="16"/>
                <w:szCs w:val="16"/>
              </w:rPr>
            </w:pPr>
            <w:r w:rsidRPr="00F608C4">
              <w:rPr>
                <w:rFonts w:ascii="Verdana" w:eastAsia="Calibri" w:hAnsi="Verdana" w:cs="Arial"/>
                <w:sz w:val="16"/>
                <w:szCs w:val="16"/>
              </w:rPr>
              <w:t>Subdirectora de Gestión Contractual ANCP-CCE</w:t>
            </w:r>
          </w:p>
        </w:tc>
      </w:tr>
    </w:tbl>
    <w:p w14:paraId="3027AC07" w14:textId="77777777" w:rsidR="00837C41" w:rsidRPr="00EC57AE" w:rsidRDefault="00837C41" w:rsidP="00837C41">
      <w:pPr>
        <w:spacing w:after="0" w:line="256" w:lineRule="auto"/>
        <w:rPr>
          <w:rFonts w:ascii="Century Gothic" w:hAnsi="Century Gothic"/>
          <w:noProof/>
        </w:rPr>
      </w:pPr>
    </w:p>
    <w:p w14:paraId="7CFF56B1" w14:textId="77777777" w:rsidR="00837C41" w:rsidRPr="00354BCA" w:rsidRDefault="00837C41" w:rsidP="00837C41">
      <w:pPr>
        <w:spacing w:after="0" w:line="256" w:lineRule="auto"/>
        <w:rPr>
          <w:rFonts w:ascii="Verdana" w:hAnsi="Verdana"/>
        </w:rPr>
      </w:pPr>
    </w:p>
    <w:p w14:paraId="6AADAF72" w14:textId="77777777" w:rsidR="00837C41" w:rsidRDefault="00837C41" w:rsidP="00837C41">
      <w:pPr>
        <w:spacing w:after="0"/>
        <w:rPr>
          <w:rFonts w:ascii="Verdana" w:hAnsi="Verdana"/>
        </w:rPr>
      </w:pPr>
    </w:p>
    <w:p w14:paraId="24309F07" w14:textId="77777777" w:rsidR="00837C41" w:rsidRPr="00354BCA" w:rsidRDefault="00837C41" w:rsidP="00837C41">
      <w:pPr>
        <w:spacing w:after="0" w:line="256" w:lineRule="auto"/>
        <w:rPr>
          <w:rFonts w:ascii="Verdana" w:hAnsi="Verdana"/>
        </w:rPr>
      </w:pPr>
    </w:p>
    <w:p w14:paraId="7851979F" w14:textId="77777777" w:rsidR="00837C41" w:rsidRPr="0044528D" w:rsidRDefault="00837C41" w:rsidP="00837C41">
      <w:pPr>
        <w:spacing w:after="0"/>
        <w:jc w:val="both"/>
        <w:rPr>
          <w:rStyle w:val="Hipervnculo"/>
          <w:rFonts w:ascii="Verdana" w:hAnsi="Verdana"/>
        </w:rPr>
      </w:pPr>
    </w:p>
    <w:p w14:paraId="6D32A4EC" w14:textId="77777777" w:rsidR="00837C41" w:rsidRPr="0044528D" w:rsidRDefault="00837C41" w:rsidP="00837C41">
      <w:pPr>
        <w:spacing w:after="0" w:line="240" w:lineRule="auto"/>
        <w:textAlignment w:val="baseline"/>
        <w:rPr>
          <w:rFonts w:ascii="Verdana" w:eastAsia="Times New Roman" w:hAnsi="Verdana" w:cs="Segoe UI"/>
          <w:b/>
          <w:bCs/>
          <w:color w:val="46589C"/>
          <w:lang w:val="es-ES" w:eastAsia="es-CO"/>
        </w:rPr>
      </w:pPr>
    </w:p>
    <w:bookmarkEnd w:id="0"/>
    <w:sectPr w:rsidR="00837C41"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E652A" w14:textId="77777777" w:rsidR="001260C6" w:rsidRDefault="001260C6" w:rsidP="004A1847">
      <w:pPr>
        <w:spacing w:after="0" w:line="240" w:lineRule="auto"/>
      </w:pPr>
      <w:r>
        <w:separator/>
      </w:r>
    </w:p>
  </w:endnote>
  <w:endnote w:type="continuationSeparator" w:id="0">
    <w:p w14:paraId="1293319F" w14:textId="77777777" w:rsidR="001260C6" w:rsidRDefault="001260C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B4FF2" w14:textId="77777777" w:rsidR="001260C6" w:rsidRDefault="001260C6" w:rsidP="004A1847">
      <w:pPr>
        <w:spacing w:after="0" w:line="240" w:lineRule="auto"/>
      </w:pPr>
      <w:r>
        <w:separator/>
      </w:r>
    </w:p>
  </w:footnote>
  <w:footnote w:type="continuationSeparator" w:id="0">
    <w:p w14:paraId="0316C4FF" w14:textId="77777777" w:rsidR="001260C6" w:rsidRDefault="001260C6" w:rsidP="004A1847">
      <w:pPr>
        <w:spacing w:after="0" w:line="240" w:lineRule="auto"/>
      </w:pPr>
      <w:r>
        <w:continuationSeparator/>
      </w:r>
    </w:p>
  </w:footnote>
  <w:footnote w:id="1">
    <w:p w14:paraId="61EBD079" w14:textId="77777777" w:rsidR="00B90240" w:rsidRPr="00E17F16" w:rsidRDefault="00B90240" w:rsidP="00B90240">
      <w:pPr>
        <w:pStyle w:val="Textonotapie"/>
        <w:spacing w:after="120"/>
        <w:ind w:firstLine="709"/>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Decreto 1082 de 2015: “</w:t>
      </w:r>
      <w:r w:rsidRPr="00E17F16">
        <w:rPr>
          <w:rFonts w:ascii="Verdana" w:hAnsi="Verdana"/>
          <w:sz w:val="16"/>
          <w:szCs w:val="16"/>
          <w:lang w:val="es-CO"/>
        </w:rPr>
        <w:t>Artículo 2.2.1.1.2.2.4. </w:t>
      </w:r>
      <w:r w:rsidRPr="00E17F16">
        <w:rPr>
          <w:rFonts w:ascii="Verdana" w:hAnsi="Verdana"/>
          <w:i/>
          <w:iCs/>
          <w:sz w:val="16"/>
          <w:szCs w:val="16"/>
          <w:lang w:val="es-CO"/>
        </w:rPr>
        <w:t>Oferta con valor artificialmente bajo</w:t>
      </w:r>
      <w:r w:rsidRPr="00E17F16">
        <w:rPr>
          <w:rFonts w:ascii="Verdana" w:hAnsi="Verdana"/>
          <w:b/>
          <w:bCs/>
          <w:i/>
          <w:iCs/>
          <w:sz w:val="16"/>
          <w:szCs w:val="16"/>
          <w:lang w:val="es-CO"/>
        </w:rPr>
        <w:t>.</w:t>
      </w:r>
      <w:r w:rsidRPr="00E17F16">
        <w:rPr>
          <w:rFonts w:ascii="Verdana" w:hAnsi="Verdana"/>
          <w:sz w:val="16"/>
          <w:szCs w:val="16"/>
          <w:lang w:val="es-CO"/>
        </w:rPr>
        <w:t xml:space="preserve">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E17F16">
        <w:rPr>
          <w:rFonts w:ascii="Verdana" w:hAnsi="Verdana"/>
          <w:sz w:val="16"/>
          <w:szCs w:val="16"/>
          <w:lang w:val="es-CO"/>
        </w:rPr>
        <w:t>la misma</w:t>
      </w:r>
      <w:proofErr w:type="gramEnd"/>
      <w:r w:rsidRPr="00E17F16">
        <w:rPr>
          <w:rFonts w:ascii="Verdana" w:hAnsi="Verdana"/>
          <w:sz w:val="16"/>
          <w:szCs w:val="16"/>
          <w:lang w:val="es-CO"/>
        </w:rPr>
        <w:t xml:space="preserve"> en la evaluación de las ofertas. </w:t>
      </w:r>
    </w:p>
    <w:p w14:paraId="2EA9952A"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 xml:space="preserve"> Cuando el valor de la oferta sobre la cual la Entidad Estatal tuvo dudas sobre su </w:t>
      </w:r>
      <w:proofErr w:type="gramStart"/>
      <w:r w:rsidRPr="00E17F16">
        <w:rPr>
          <w:rFonts w:ascii="Verdana" w:hAnsi="Verdana"/>
          <w:sz w:val="16"/>
          <w:szCs w:val="16"/>
          <w:lang w:val="es-CO"/>
        </w:rPr>
        <w:t>valor,</w:t>
      </w:r>
      <w:proofErr w:type="gramEnd"/>
      <w:r w:rsidRPr="00E17F16">
        <w:rPr>
          <w:rFonts w:ascii="Verdana" w:hAnsi="Verdana"/>
          <w:sz w:val="16"/>
          <w:szCs w:val="16"/>
          <w:lang w:val="es-CO"/>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3ACC329E"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 xml:space="preserve">En la subasta inversa esta disposición es aplicable sobre el precio obtenido al final de </w:t>
      </w:r>
      <w:proofErr w:type="gramStart"/>
      <w:r w:rsidRPr="00E17F16">
        <w:rPr>
          <w:rFonts w:ascii="Verdana" w:hAnsi="Verdana"/>
          <w:sz w:val="16"/>
          <w:szCs w:val="16"/>
          <w:lang w:val="es-CO"/>
        </w:rPr>
        <w:t>la misma</w:t>
      </w:r>
      <w:proofErr w:type="gramEnd"/>
      <w:r w:rsidRPr="00E17F16">
        <w:rPr>
          <w:rFonts w:ascii="Verdana" w:hAnsi="Verdana"/>
          <w:sz w:val="16"/>
          <w:szCs w:val="16"/>
          <w:lang w:val="es-CO"/>
        </w:rPr>
        <w:t>”.</w:t>
      </w:r>
    </w:p>
    <w:p w14:paraId="46BEA061" w14:textId="77777777" w:rsidR="00B90240" w:rsidRPr="00E17F16" w:rsidRDefault="00B90240" w:rsidP="00B90240">
      <w:pPr>
        <w:pStyle w:val="Textonotapie"/>
        <w:ind w:firstLine="708"/>
        <w:jc w:val="both"/>
        <w:rPr>
          <w:rFonts w:ascii="Verdana" w:hAnsi="Verdana"/>
          <w:sz w:val="16"/>
          <w:szCs w:val="16"/>
        </w:rPr>
      </w:pPr>
    </w:p>
  </w:footnote>
  <w:footnote w:id="2">
    <w:p w14:paraId="1A1B7FEF" w14:textId="77777777" w:rsidR="00B90240" w:rsidRPr="00E17F16" w:rsidRDefault="00B90240" w:rsidP="00B90240">
      <w:pPr>
        <w:pStyle w:val="Textonotapie"/>
        <w:ind w:firstLine="708"/>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Ley 80 de 1993: “</w:t>
      </w:r>
      <w:r w:rsidRPr="00E17F16">
        <w:rPr>
          <w:rFonts w:ascii="Verdana" w:hAnsi="Verdana"/>
          <w:sz w:val="16"/>
          <w:szCs w:val="16"/>
          <w:lang w:val="es-CO"/>
        </w:rPr>
        <w:t>Artículo 4. De los derechos y deberes de las entidades estatales</w:t>
      </w:r>
      <w:r w:rsidRPr="00E17F16">
        <w:rPr>
          <w:rFonts w:ascii="Verdana" w:hAnsi="Verdana"/>
          <w:b/>
          <w:bCs/>
          <w:sz w:val="16"/>
          <w:szCs w:val="16"/>
          <w:lang w:val="es-CO"/>
        </w:rPr>
        <w:t>. </w:t>
      </w:r>
      <w:r w:rsidRPr="00E17F16">
        <w:rPr>
          <w:rFonts w:ascii="Verdana" w:hAnsi="Verdana"/>
          <w:sz w:val="16"/>
          <w:szCs w:val="16"/>
          <w:lang w:val="es-CO"/>
        </w:rPr>
        <w:t>Para la consecución de los fines de que trata el artículo anterior, las entidades estatales: </w:t>
      </w:r>
    </w:p>
    <w:p w14:paraId="2C07AD5F"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  […]</w:t>
      </w:r>
    </w:p>
    <w:p w14:paraId="3D92DC2B"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3o. Solicitarán la actualización o la revisión de los precios cuando se produzcan fenómenos que alteren en su contra el equilibrio económico o financiero del contrato”. </w:t>
      </w:r>
    </w:p>
    <w:p w14:paraId="46154279" w14:textId="77777777" w:rsidR="00B90240" w:rsidRPr="00E17F16" w:rsidRDefault="00B90240" w:rsidP="00B90240">
      <w:pPr>
        <w:pStyle w:val="Textonotapie"/>
        <w:ind w:firstLine="708"/>
        <w:jc w:val="both"/>
        <w:rPr>
          <w:rFonts w:ascii="Verdana" w:hAnsi="Verdana"/>
          <w:sz w:val="16"/>
          <w:szCs w:val="16"/>
        </w:rPr>
      </w:pPr>
    </w:p>
  </w:footnote>
  <w:footnote w:id="3">
    <w:p w14:paraId="38A40887" w14:textId="77777777" w:rsidR="00B90240" w:rsidRPr="00E17F16" w:rsidRDefault="00B90240" w:rsidP="00B90240">
      <w:pPr>
        <w:pStyle w:val="Textonotapie"/>
        <w:ind w:firstLine="708"/>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Ley 80 de 1993: “</w:t>
      </w:r>
      <w:r w:rsidRPr="00E17F16">
        <w:rPr>
          <w:rFonts w:ascii="Verdana" w:hAnsi="Verdana"/>
          <w:sz w:val="16"/>
          <w:szCs w:val="16"/>
          <w:lang w:val="es-CO"/>
        </w:rPr>
        <w:t>Artículo 5. De los derechos y deberes de los contratistas.</w:t>
      </w:r>
      <w:r w:rsidRPr="00E17F16">
        <w:rPr>
          <w:rFonts w:ascii="Verdana" w:hAnsi="Verdana"/>
          <w:b/>
          <w:bCs/>
          <w:sz w:val="16"/>
          <w:szCs w:val="16"/>
          <w:lang w:val="es-CO"/>
        </w:rPr>
        <w:t> </w:t>
      </w:r>
      <w:r w:rsidRPr="00E17F16">
        <w:rPr>
          <w:rFonts w:ascii="Verdana" w:hAnsi="Verdana"/>
          <w:sz w:val="16"/>
          <w:szCs w:val="16"/>
          <w:lang w:val="es-CO"/>
        </w:rPr>
        <w:t>Para la realización de los fines de que trata el artículo 3o. de esta ley, los contratistas: </w:t>
      </w:r>
    </w:p>
    <w:p w14:paraId="07E80474"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  </w:t>
      </w:r>
    </w:p>
    <w:p w14:paraId="6AFF8EB6"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1o. Tendrán derecho a recibir oportunamente la remuneración pactada y a que el valor intrínseco de la misma no se altere o modifique durante la vigencia del contrato. </w:t>
      </w:r>
    </w:p>
    <w:p w14:paraId="6912BB46"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 xml:space="preserve">  En </w:t>
      </w:r>
      <w:proofErr w:type="gramStart"/>
      <w:r w:rsidRPr="00E17F16">
        <w:rPr>
          <w:rFonts w:ascii="Verdana" w:hAnsi="Verdana"/>
          <w:sz w:val="16"/>
          <w:szCs w:val="16"/>
          <w:lang w:val="es-CO"/>
        </w:rPr>
        <w:t>consecuencia</w:t>
      </w:r>
      <w:proofErr w:type="gramEnd"/>
      <w:r w:rsidRPr="00E17F16">
        <w:rPr>
          <w:rFonts w:ascii="Verdana" w:hAnsi="Verdana"/>
          <w:sz w:val="16"/>
          <w:szCs w:val="16"/>
          <w:lang w:val="es-CO"/>
        </w:rPr>
        <w:t xml:space="preserve">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 </w:t>
      </w:r>
    </w:p>
    <w:p w14:paraId="0EA760A6" w14:textId="77777777" w:rsidR="00B90240" w:rsidRPr="00E17F16" w:rsidRDefault="00B90240" w:rsidP="00B90240">
      <w:pPr>
        <w:pStyle w:val="Textonotapie"/>
        <w:ind w:firstLine="708"/>
        <w:jc w:val="both"/>
        <w:rPr>
          <w:rFonts w:ascii="Verdana" w:hAnsi="Verdana"/>
          <w:sz w:val="16"/>
          <w:szCs w:val="16"/>
        </w:rPr>
      </w:pPr>
      <w:r w:rsidRPr="00E17F16">
        <w:rPr>
          <w:rFonts w:ascii="Verdana" w:hAnsi="Verdana"/>
          <w:sz w:val="16"/>
          <w:szCs w:val="16"/>
        </w:rPr>
        <w:t xml:space="preserve"> </w:t>
      </w:r>
    </w:p>
  </w:footnote>
  <w:footnote w:id="4">
    <w:p w14:paraId="572D7C21" w14:textId="77777777" w:rsidR="00B90240" w:rsidRPr="00E17F16" w:rsidRDefault="00B90240" w:rsidP="00B90240">
      <w:pPr>
        <w:pStyle w:val="Textonotapie"/>
        <w:ind w:firstLine="708"/>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Decreto 1082 de 2015: “</w:t>
      </w:r>
      <w:r w:rsidRPr="00E17F16">
        <w:rPr>
          <w:rFonts w:ascii="Verdana" w:hAnsi="Verdana"/>
          <w:sz w:val="16"/>
          <w:szCs w:val="16"/>
          <w:lang w:val="es-CO"/>
        </w:rPr>
        <w:t>Artículo 2.2.1.2.1.3.2. Procedimiento del concurso de méritos. Además de las reglas generales previstas en la ley y en el presente título, las siguientes reglas son aplicables al concurso de méritos abierto o con precalificación:  </w:t>
      </w:r>
    </w:p>
    <w:p w14:paraId="06FFD3DC"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1. La Entidad Estatal en los pliegos de condiciones debe indicar la forma como calificará, entre otros, los siguientes criterios: a) la experiencia del interesado y del equipo de trabajo y b) la formación académica del equipo de trabajo.  </w:t>
      </w:r>
    </w:p>
    <w:p w14:paraId="1F6F588B" w14:textId="77777777" w:rsidR="00B90240" w:rsidRPr="00E17F16" w:rsidRDefault="00B90240" w:rsidP="00B90240">
      <w:pPr>
        <w:pStyle w:val="Textonotapie"/>
        <w:ind w:firstLine="708"/>
        <w:jc w:val="both"/>
        <w:rPr>
          <w:rFonts w:ascii="Verdana" w:hAnsi="Verdana"/>
          <w:sz w:val="16"/>
          <w:szCs w:val="16"/>
          <w:lang w:val="es-CO"/>
        </w:rPr>
      </w:pPr>
      <w:r w:rsidRPr="00E17F16">
        <w:rPr>
          <w:rFonts w:ascii="Verdana" w:hAnsi="Verdana"/>
          <w:sz w:val="16"/>
          <w:szCs w:val="16"/>
          <w:lang w:val="es-CO"/>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  </w:t>
      </w:r>
    </w:p>
    <w:p w14:paraId="0DA49A20" w14:textId="77777777" w:rsidR="00B90240" w:rsidRPr="00E17F16" w:rsidRDefault="00B90240" w:rsidP="00B90240">
      <w:pPr>
        <w:pStyle w:val="Textonotapie"/>
        <w:ind w:firstLine="708"/>
        <w:jc w:val="both"/>
        <w:rPr>
          <w:rFonts w:ascii="Verdana" w:hAnsi="Verdana"/>
          <w:sz w:val="16"/>
          <w:szCs w:val="16"/>
        </w:rPr>
      </w:pPr>
      <w:r w:rsidRPr="00E17F16">
        <w:rPr>
          <w:rFonts w:ascii="Verdana" w:hAnsi="Verdana"/>
          <w:sz w:val="16"/>
          <w:szCs w:val="16"/>
          <w:lang w:val="es-CO"/>
        </w:rPr>
        <w:t>3. Una vez resueltas las observaciones al informe de evaluación, la entidad adjudicará el contrato mediante acto administrativo al oferente que haya cumplido todos los requisitos exigidos en el pliego de condiciones y haya obtenido el mayor puntaje”. </w:t>
      </w:r>
    </w:p>
  </w:footnote>
  <w:footnote w:id="5">
    <w:p w14:paraId="64857A5C" w14:textId="6652F8AF" w:rsidR="00837C41" w:rsidRPr="00E17F16" w:rsidRDefault="00837C41" w:rsidP="00837C41">
      <w:pPr>
        <w:pStyle w:val="Textonotapie"/>
        <w:ind w:firstLine="708"/>
        <w:jc w:val="both"/>
        <w:rPr>
          <w:rFonts w:ascii="Verdana" w:hAnsi="Verdana" w:cs="Arial"/>
          <w:sz w:val="16"/>
          <w:szCs w:val="16"/>
          <w:lang w:val="es-ES"/>
        </w:rPr>
      </w:pPr>
      <w:r w:rsidRPr="00E17F16">
        <w:rPr>
          <w:rStyle w:val="Refdenotaalpie"/>
          <w:rFonts w:ascii="Verdana" w:hAnsi="Verdana" w:cs="Arial"/>
          <w:sz w:val="16"/>
          <w:szCs w:val="16"/>
        </w:rPr>
        <w:footnoteRef/>
      </w:r>
      <w:r w:rsidRPr="00E17F16">
        <w:rPr>
          <w:rFonts w:ascii="Verdana" w:hAnsi="Verdana" w:cs="Arial"/>
          <w:sz w:val="16"/>
          <w:szCs w:val="16"/>
        </w:rPr>
        <w:t xml:space="preserve"> </w:t>
      </w:r>
      <w:r w:rsidR="0096742D" w:rsidRPr="0096742D">
        <w:rPr>
          <w:rFonts w:ascii="Verdana" w:hAnsi="Verdana" w:cs="Arial"/>
          <w:sz w:val="16"/>
          <w:szCs w:val="16"/>
        </w:rPr>
        <w:t>RAE.</w:t>
      </w:r>
      <w:r w:rsidRPr="0096742D">
        <w:rPr>
          <w:rFonts w:ascii="Verdana" w:hAnsi="Verdana" w:cs="Arial"/>
          <w:sz w:val="16"/>
          <w:szCs w:val="16"/>
        </w:rPr>
        <w:t xml:space="preserve"> </w:t>
      </w:r>
      <w:r w:rsidRPr="00E17F16">
        <w:rPr>
          <w:rFonts w:ascii="Verdana" w:hAnsi="Verdana" w:cs="Arial"/>
          <w:sz w:val="16"/>
          <w:szCs w:val="16"/>
          <w:lang w:val="es-ES"/>
        </w:rPr>
        <w:t>Diccionario de la Lengua Española.</w:t>
      </w:r>
      <w:r w:rsidR="0096742D" w:rsidRPr="0096742D">
        <w:rPr>
          <w:rFonts w:ascii="Verdana" w:hAnsi="Verdana" w:cs="Arial"/>
          <w:sz w:val="16"/>
          <w:szCs w:val="16"/>
          <w:lang w:val="es-ES"/>
        </w:rPr>
        <w:t xml:space="preserve"> </w:t>
      </w:r>
    </w:p>
    <w:p w14:paraId="6FB41687" w14:textId="77777777" w:rsidR="00837C41" w:rsidRPr="00E17F16" w:rsidRDefault="00837C41" w:rsidP="00837C41">
      <w:pPr>
        <w:pStyle w:val="Textonotapie"/>
        <w:ind w:firstLine="708"/>
        <w:jc w:val="both"/>
        <w:rPr>
          <w:rFonts w:ascii="Verdana" w:hAnsi="Verdana" w:cs="Arial"/>
          <w:sz w:val="16"/>
          <w:szCs w:val="16"/>
          <w:lang w:val="es-ES"/>
        </w:rPr>
      </w:pPr>
    </w:p>
  </w:footnote>
  <w:footnote w:id="6">
    <w:p w14:paraId="6AD12397" w14:textId="77777777" w:rsidR="00837C41" w:rsidRPr="00E17F16" w:rsidRDefault="00837C41" w:rsidP="00837C41">
      <w:pPr>
        <w:pStyle w:val="Textonotapie"/>
        <w:ind w:firstLine="708"/>
        <w:jc w:val="both"/>
        <w:rPr>
          <w:rFonts w:ascii="Verdana" w:hAnsi="Verdana" w:cs="Arial"/>
          <w:sz w:val="16"/>
          <w:szCs w:val="16"/>
        </w:rPr>
      </w:pPr>
      <w:r w:rsidRPr="00E17F16">
        <w:rPr>
          <w:rStyle w:val="Refdenotaalpie"/>
          <w:rFonts w:ascii="Verdana" w:hAnsi="Verdana" w:cs="Arial"/>
          <w:sz w:val="16"/>
          <w:szCs w:val="16"/>
        </w:rPr>
        <w:footnoteRef/>
      </w:r>
      <w:r w:rsidRPr="00E17F16">
        <w:rPr>
          <w:rFonts w:ascii="Verdana" w:hAnsi="Verdana" w:cs="Arial"/>
          <w:sz w:val="16"/>
          <w:szCs w:val="16"/>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t>
      </w:r>
      <w:proofErr w:type="spellStart"/>
      <w:r w:rsidRPr="00E17F16">
        <w:rPr>
          <w:rFonts w:ascii="Verdana" w:hAnsi="Verdana" w:cs="Arial"/>
          <w:sz w:val="16"/>
          <w:szCs w:val="16"/>
        </w:rPr>
        <w:t>Wolker</w:t>
      </w:r>
      <w:proofErr w:type="spellEnd"/>
      <w:r w:rsidRPr="00E17F16">
        <w:rPr>
          <w:rFonts w:ascii="Verdana" w:hAnsi="Verdana" w:cs="Arial"/>
          <w:sz w:val="16"/>
          <w:szCs w:val="16"/>
        </w:rPr>
        <w:t xml:space="preserve"> </w:t>
      </w:r>
      <w:proofErr w:type="spellStart"/>
      <w:r w:rsidRPr="00E17F16">
        <w:rPr>
          <w:rFonts w:ascii="Verdana" w:hAnsi="Verdana" w:cs="Arial"/>
          <w:sz w:val="16"/>
          <w:szCs w:val="16"/>
        </w:rPr>
        <w:t>Kluwer</w:t>
      </w:r>
      <w:proofErr w:type="spellEnd"/>
      <w:r w:rsidRPr="00E17F16">
        <w:rPr>
          <w:rFonts w:ascii="Verdana" w:hAnsi="Verdana" w:cs="Arial"/>
          <w:sz w:val="16"/>
          <w:szCs w:val="16"/>
        </w:rPr>
        <w:t xml:space="preserve">, 2018. P. 268).     </w:t>
      </w:r>
    </w:p>
    <w:p w14:paraId="744F3D15" w14:textId="77777777" w:rsidR="00837C41" w:rsidRPr="00E17F16" w:rsidRDefault="00837C41" w:rsidP="00837C41">
      <w:pPr>
        <w:pStyle w:val="Textonotapie"/>
        <w:ind w:firstLine="708"/>
        <w:jc w:val="both"/>
        <w:rPr>
          <w:rFonts w:ascii="Verdana" w:hAnsi="Verdana" w:cs="Arial"/>
          <w:sz w:val="16"/>
          <w:szCs w:val="16"/>
        </w:rPr>
      </w:pPr>
    </w:p>
  </w:footnote>
  <w:footnote w:id="7">
    <w:p w14:paraId="1EE737C1" w14:textId="77777777" w:rsidR="00837C41" w:rsidRPr="00E17F16" w:rsidRDefault="00837C41" w:rsidP="00837C41">
      <w:pPr>
        <w:pStyle w:val="Textonotapie"/>
        <w:ind w:firstLine="708"/>
        <w:jc w:val="both"/>
        <w:rPr>
          <w:rFonts w:ascii="Verdana" w:hAnsi="Verdana" w:cs="Arial"/>
          <w:sz w:val="16"/>
          <w:szCs w:val="16"/>
          <w:lang w:val="es-ES"/>
        </w:rPr>
      </w:pPr>
      <w:r w:rsidRPr="00E17F16">
        <w:rPr>
          <w:rStyle w:val="Refdenotaalpie"/>
          <w:rFonts w:ascii="Verdana" w:hAnsi="Verdana" w:cs="Arial"/>
          <w:sz w:val="16"/>
          <w:szCs w:val="16"/>
        </w:rPr>
        <w:footnoteRef/>
      </w:r>
      <w:r w:rsidRPr="00E17F16">
        <w:rPr>
          <w:rFonts w:ascii="Verdana" w:hAnsi="Verdana" w:cs="Arial"/>
          <w:sz w:val="16"/>
          <w:szCs w:val="16"/>
        </w:rPr>
        <w:t xml:space="preserve"> </w:t>
      </w:r>
      <w:r w:rsidRPr="00E17F16">
        <w:rPr>
          <w:rFonts w:ascii="Verdana" w:hAnsi="Verdana" w:cs="Arial"/>
          <w:sz w:val="16"/>
          <w:szCs w:val="16"/>
          <w:lang w:val="es-ES"/>
        </w:rPr>
        <w:t xml:space="preserve">MARÍN CORTÉS, Fabián G. El precio. Ed. Librería Jurídica Sánchez R. Ltda. y Centro de Estudios de Derecho Administrativo, Medellín, 2012, p. 60. </w:t>
      </w:r>
    </w:p>
  </w:footnote>
  <w:footnote w:id="8">
    <w:p w14:paraId="2752BAF6" w14:textId="77777777" w:rsidR="00837C41" w:rsidRPr="00E17F16" w:rsidRDefault="00837C41" w:rsidP="00837C41">
      <w:pPr>
        <w:pStyle w:val="Textonotapie"/>
        <w:ind w:firstLine="708"/>
        <w:jc w:val="both"/>
        <w:rPr>
          <w:rFonts w:ascii="Verdana" w:hAnsi="Verdana" w:cs="Arial"/>
          <w:sz w:val="16"/>
          <w:szCs w:val="16"/>
        </w:rPr>
      </w:pPr>
    </w:p>
    <w:p w14:paraId="2BDB2CA9" w14:textId="73B92C35" w:rsidR="00837C41" w:rsidRPr="00E17F16" w:rsidRDefault="00837C41" w:rsidP="00837C41">
      <w:pPr>
        <w:pStyle w:val="Textonotapie"/>
        <w:ind w:firstLine="708"/>
        <w:jc w:val="both"/>
        <w:rPr>
          <w:rFonts w:ascii="Verdana" w:hAnsi="Verdana" w:cs="Arial"/>
          <w:sz w:val="16"/>
          <w:szCs w:val="16"/>
        </w:rPr>
      </w:pPr>
      <w:r w:rsidRPr="00E17F16">
        <w:rPr>
          <w:rStyle w:val="Refdenotaalpie"/>
          <w:rFonts w:ascii="Verdana" w:hAnsi="Verdana" w:cs="Arial"/>
          <w:sz w:val="16"/>
          <w:szCs w:val="16"/>
        </w:rPr>
        <w:footnoteRef/>
      </w:r>
      <w:r w:rsidRPr="00E17F16">
        <w:rPr>
          <w:rFonts w:ascii="Verdana" w:hAnsi="Verdana" w:cs="Arial"/>
          <w:sz w:val="16"/>
          <w:szCs w:val="16"/>
        </w:rPr>
        <w:t xml:space="preserve"> </w:t>
      </w:r>
      <w:r w:rsidR="0096742D" w:rsidRPr="0096742D">
        <w:rPr>
          <w:rFonts w:ascii="Verdana" w:hAnsi="Verdana" w:cs="Arial"/>
          <w:sz w:val="16"/>
          <w:szCs w:val="16"/>
          <w:lang w:val="es-ES"/>
        </w:rPr>
        <w:t>CONSEJO DE ESTADO</w:t>
      </w:r>
      <w:r w:rsidRPr="00E17F16">
        <w:rPr>
          <w:rFonts w:ascii="Verdana" w:hAnsi="Verdana" w:cs="Arial"/>
          <w:sz w:val="16"/>
          <w:szCs w:val="16"/>
          <w:lang w:val="es-ES"/>
        </w:rPr>
        <w:t>, Sección Tercera, Subsección A sentencia de 19 de julio de 2018, M.P. Marta Nubia Velázquez Rico, Rad. 2013-01826(57.576)</w:t>
      </w:r>
      <w:r w:rsidR="0096742D">
        <w:rPr>
          <w:rFonts w:ascii="Verdana" w:hAnsi="Verdana" w:cs="Arial"/>
          <w:sz w:val="16"/>
          <w:szCs w:val="16"/>
          <w:lang w:val="es-ES"/>
        </w:rPr>
        <w:t>.</w:t>
      </w:r>
      <w:r w:rsidRPr="00E17F16">
        <w:rPr>
          <w:rFonts w:ascii="Verdana" w:hAnsi="Verdana" w:cs="Arial"/>
          <w:sz w:val="16"/>
          <w:szCs w:val="16"/>
        </w:rPr>
        <w:t xml:space="preserve"> </w:t>
      </w:r>
    </w:p>
  </w:footnote>
  <w:footnote w:id="9">
    <w:p w14:paraId="32CC9025" w14:textId="77777777" w:rsidR="00837C41" w:rsidRPr="00E17F16" w:rsidRDefault="00837C41" w:rsidP="00837C41">
      <w:pPr>
        <w:pStyle w:val="Textonotapie"/>
        <w:ind w:firstLine="709"/>
        <w:jc w:val="both"/>
        <w:rPr>
          <w:rFonts w:ascii="Verdana" w:hAnsi="Verdana" w:cs="Arial"/>
          <w:sz w:val="16"/>
          <w:szCs w:val="16"/>
          <w:lang w:val="es-ES"/>
        </w:rPr>
      </w:pPr>
      <w:r w:rsidRPr="00E17F16">
        <w:rPr>
          <w:rStyle w:val="Refdenotaalpie"/>
          <w:rFonts w:ascii="Verdana" w:hAnsi="Verdana" w:cs="Arial"/>
          <w:sz w:val="16"/>
          <w:szCs w:val="16"/>
        </w:rPr>
        <w:footnoteRef/>
      </w:r>
      <w:r w:rsidRPr="00E17F16">
        <w:rPr>
          <w:rFonts w:ascii="Verdana" w:hAnsi="Verdana" w:cs="Arial"/>
          <w:sz w:val="16"/>
          <w:szCs w:val="16"/>
        </w:rPr>
        <w:t xml:space="preserve"> </w:t>
      </w:r>
      <w:r w:rsidRPr="00E17F16">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6CC2B461" w14:textId="77777777" w:rsidR="00837C41" w:rsidRPr="00E17F16" w:rsidRDefault="00837C41" w:rsidP="00837C41">
      <w:pPr>
        <w:pStyle w:val="Textonotapie"/>
        <w:ind w:firstLine="709"/>
        <w:jc w:val="both"/>
        <w:rPr>
          <w:rFonts w:ascii="Verdana" w:hAnsi="Verdana" w:cs="Arial"/>
          <w:sz w:val="16"/>
          <w:szCs w:val="16"/>
          <w:lang w:val="es-ES"/>
        </w:rPr>
      </w:pPr>
      <w:r w:rsidRPr="00E17F16">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E17F16">
        <w:rPr>
          <w:rFonts w:ascii="Verdana" w:hAnsi="Verdana" w:cs="Arial"/>
          <w:i/>
          <w:sz w:val="16"/>
          <w:szCs w:val="16"/>
          <w:lang w:val="es-ES"/>
        </w:rPr>
        <w:t>costos directos</w:t>
      </w:r>
      <w:r w:rsidRPr="00E17F16">
        <w:rPr>
          <w:rFonts w:ascii="Verdana" w:hAnsi="Verdana" w:cs="Arial"/>
          <w:sz w:val="16"/>
          <w:szCs w:val="16"/>
          <w:lang w:val="es-ES"/>
        </w:rPr>
        <w:t xml:space="preserve"> y los</w:t>
      </w:r>
      <w:r w:rsidRPr="00E17F16">
        <w:rPr>
          <w:rFonts w:ascii="Verdana" w:hAnsi="Verdana" w:cs="Arial"/>
          <w:i/>
          <w:sz w:val="16"/>
          <w:szCs w:val="16"/>
          <w:lang w:val="es-ES"/>
        </w:rPr>
        <w:t xml:space="preserve"> costos indirectos</w:t>
      </w:r>
      <w:r w:rsidRPr="00E17F16">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E17F16">
        <w:rPr>
          <w:rFonts w:ascii="Verdana" w:hAnsi="Verdana" w:cs="Arial"/>
          <w:i/>
          <w:sz w:val="16"/>
          <w:szCs w:val="16"/>
          <w:lang w:val="es-ES"/>
        </w:rPr>
        <w:t>ítems</w:t>
      </w:r>
      <w:r w:rsidRPr="00E17F16">
        <w:rPr>
          <w:rFonts w:ascii="Verdana" w:hAnsi="Verdana" w:cs="Arial"/>
          <w:sz w:val="16"/>
          <w:szCs w:val="16"/>
          <w:lang w:val="es-ES"/>
        </w:rPr>
        <w:t xml:space="preserve"> que componen el contrato–. Los costos </w:t>
      </w:r>
      <w:r w:rsidRPr="00E17F16">
        <w:rPr>
          <w:rFonts w:ascii="Verdana" w:hAnsi="Verdana" w:cs="Arial"/>
          <w:i/>
          <w:sz w:val="16"/>
          <w:szCs w:val="16"/>
          <w:lang w:val="es-ES"/>
        </w:rPr>
        <w:t>indirectos</w:t>
      </w:r>
      <w:r w:rsidRPr="00E17F16">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0">
    <w:p w14:paraId="048EDE62" w14:textId="77777777" w:rsidR="00837C41" w:rsidRPr="00E17F16" w:rsidRDefault="00837C41" w:rsidP="00837C4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7F16">
        <w:rPr>
          <w:rFonts w:ascii="Verdana" w:hAnsi="Verdana" w:cs="Arial"/>
          <w:sz w:val="16"/>
          <w:szCs w:val="16"/>
          <w:vertAlign w:val="superscript"/>
        </w:rPr>
        <w:footnoteRef/>
      </w:r>
      <w:r w:rsidRPr="00E17F16">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77F613DD" w14:textId="77777777" w:rsidR="00837C41" w:rsidRPr="00E17F16" w:rsidRDefault="00837C41" w:rsidP="00837C4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7F16">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36650351" w14:textId="77777777" w:rsidR="00837C41" w:rsidRPr="00E17F16" w:rsidRDefault="00837C41" w:rsidP="00837C4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7F16">
        <w:rPr>
          <w:rFonts w:ascii="Verdana" w:eastAsia="Arial" w:hAnsi="Verdana"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E17F16">
        <w:rPr>
          <w:rFonts w:ascii="Verdana" w:eastAsia="Arial" w:hAnsi="Verdana" w:cs="Arial"/>
          <w:color w:val="000000"/>
          <w:sz w:val="16"/>
          <w:szCs w:val="16"/>
        </w:rPr>
        <w:t>pliegos,</w:t>
      </w:r>
      <w:proofErr w:type="gramEnd"/>
      <w:r w:rsidRPr="00E17F16">
        <w:rPr>
          <w:rFonts w:ascii="Verdana" w:eastAsia="Arial" w:hAnsi="Verdana" w:cs="Arial"/>
          <w:color w:val="000000"/>
          <w:sz w:val="16"/>
          <w:szCs w:val="16"/>
        </w:rPr>
        <w:t xml:space="preserve"> no será objeto de evaluación”.</w:t>
      </w:r>
    </w:p>
    <w:p w14:paraId="5C3D01FB" w14:textId="77777777" w:rsidR="00837C41" w:rsidRPr="00E17F16" w:rsidRDefault="00837C41" w:rsidP="00837C4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7F16">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2B81E5EF" w14:textId="77777777" w:rsidR="00837C41" w:rsidRPr="00E42471" w:rsidRDefault="00837C41" w:rsidP="00837C4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E17F16">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11">
    <w:p w14:paraId="315EBCF2" w14:textId="77777777" w:rsidR="00837C41" w:rsidRPr="00E17F16" w:rsidRDefault="00837C41" w:rsidP="00837C41">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E17F16">
        <w:rPr>
          <w:rFonts w:ascii="Verdana" w:hAnsi="Verdana" w:cs="Arial"/>
          <w:sz w:val="16"/>
          <w:szCs w:val="16"/>
          <w:vertAlign w:val="superscript"/>
        </w:rPr>
        <w:footnoteRef/>
      </w:r>
      <w:r w:rsidRPr="00E17F16">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12">
    <w:p w14:paraId="3A8BF02E" w14:textId="660E03FE" w:rsidR="00837C41" w:rsidRPr="00E17F16" w:rsidRDefault="00837C41" w:rsidP="00E17F16">
      <w:pPr>
        <w:pBdr>
          <w:top w:val="nil"/>
          <w:left w:val="nil"/>
          <w:bottom w:val="nil"/>
          <w:right w:val="nil"/>
          <w:between w:val="nil"/>
        </w:pBdr>
        <w:spacing w:after="120" w:line="240" w:lineRule="auto"/>
        <w:ind w:firstLine="709"/>
        <w:jc w:val="both"/>
        <w:rPr>
          <w:rFonts w:ascii="Verdana" w:eastAsia="Arial" w:hAnsi="Verdana" w:cs="Arial"/>
          <w:color w:val="000000"/>
          <w:sz w:val="16"/>
          <w:szCs w:val="16"/>
        </w:rPr>
      </w:pPr>
      <w:r w:rsidRPr="00E17F16">
        <w:rPr>
          <w:rFonts w:ascii="Verdana" w:hAnsi="Verdana" w:cs="Arial"/>
          <w:sz w:val="16"/>
          <w:szCs w:val="16"/>
          <w:vertAlign w:val="superscript"/>
        </w:rPr>
        <w:footnoteRef/>
      </w:r>
      <w:r w:rsidRPr="00E17F16">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13">
    <w:p w14:paraId="2589E2CA" w14:textId="77777777" w:rsidR="00837C41" w:rsidRPr="00E42471" w:rsidRDefault="00837C41" w:rsidP="00E17F16">
      <w:pPr>
        <w:pBdr>
          <w:top w:val="nil"/>
          <w:left w:val="nil"/>
          <w:bottom w:val="nil"/>
          <w:right w:val="nil"/>
          <w:between w:val="nil"/>
        </w:pBdr>
        <w:spacing w:after="120" w:line="240" w:lineRule="auto"/>
        <w:ind w:firstLine="709"/>
        <w:jc w:val="both"/>
        <w:rPr>
          <w:rFonts w:ascii="Verdana" w:eastAsia="Arial" w:hAnsi="Verdana" w:cs="Arial"/>
          <w:color w:val="000000"/>
          <w:sz w:val="16"/>
          <w:szCs w:val="16"/>
        </w:rPr>
      </w:pPr>
      <w:r w:rsidRPr="00E17F16">
        <w:rPr>
          <w:rFonts w:ascii="Verdana" w:hAnsi="Verdana" w:cs="Arial"/>
          <w:sz w:val="16"/>
          <w:szCs w:val="16"/>
          <w:vertAlign w:val="superscript"/>
        </w:rPr>
        <w:footnoteRef/>
      </w:r>
      <w:r w:rsidRPr="00E17F16">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14">
    <w:p w14:paraId="3F4301BF" w14:textId="02B3853E" w:rsidR="00837C41" w:rsidRPr="00E42471" w:rsidRDefault="00837C41" w:rsidP="00E17F16">
      <w:pPr>
        <w:pBdr>
          <w:top w:val="nil"/>
          <w:left w:val="nil"/>
          <w:bottom w:val="nil"/>
          <w:right w:val="nil"/>
          <w:between w:val="nil"/>
        </w:pBdr>
        <w:spacing w:after="120" w:line="240" w:lineRule="auto"/>
        <w:ind w:firstLine="709"/>
        <w:jc w:val="both"/>
        <w:rPr>
          <w:rFonts w:ascii="Verdana" w:eastAsia="Arial" w:hAnsi="Verdana" w:cs="Arial"/>
          <w:color w:val="000000"/>
          <w:sz w:val="16"/>
          <w:szCs w:val="16"/>
        </w:rPr>
      </w:pPr>
      <w:r w:rsidRPr="00E17F16">
        <w:rPr>
          <w:rFonts w:ascii="Verdana" w:hAnsi="Verdana" w:cs="Arial"/>
          <w:sz w:val="16"/>
          <w:szCs w:val="16"/>
          <w:vertAlign w:val="superscript"/>
        </w:rPr>
        <w:footnoteRef/>
      </w:r>
      <w:r w:rsidRPr="00E17F16">
        <w:rPr>
          <w:rFonts w:ascii="Verdana" w:eastAsia="Arial" w:hAnsi="Verdana" w:cs="Arial"/>
          <w:i/>
          <w:color w:val="000000"/>
          <w:sz w:val="16"/>
          <w:szCs w:val="16"/>
        </w:rPr>
        <w:t xml:space="preserve"> Ib</w:t>
      </w:r>
      <w:r w:rsidR="0096742D">
        <w:rPr>
          <w:rFonts w:ascii="Verdana" w:eastAsia="Arial" w:hAnsi="Verdana" w:cs="Arial"/>
          <w:i/>
          <w:color w:val="000000"/>
          <w:sz w:val="16"/>
          <w:szCs w:val="16"/>
        </w:rPr>
        <w:t>id.</w:t>
      </w:r>
    </w:p>
  </w:footnote>
  <w:footnote w:id="15">
    <w:p w14:paraId="01E4882C" w14:textId="77777777" w:rsidR="00EA0381" w:rsidRPr="00E17F16" w:rsidRDefault="00EA0381" w:rsidP="00E17F16">
      <w:pPr>
        <w:pStyle w:val="Textonotapie"/>
        <w:ind w:firstLine="708"/>
        <w:jc w:val="both"/>
        <w:rPr>
          <w:rFonts w:ascii="Verdana" w:hAnsi="Verdana"/>
          <w:sz w:val="16"/>
          <w:szCs w:val="16"/>
        </w:rPr>
      </w:pPr>
    </w:p>
    <w:p w14:paraId="1F5D22E5" w14:textId="0944B9DE" w:rsidR="00EA0381" w:rsidRPr="00E17F16" w:rsidRDefault="00F53A0B" w:rsidP="00E17F16">
      <w:pPr>
        <w:pStyle w:val="Textonotapie"/>
        <w:ind w:firstLine="708"/>
        <w:jc w:val="both"/>
        <w:rPr>
          <w:rFonts w:ascii="Verdana" w:hAnsi="Verdana"/>
          <w:sz w:val="16"/>
          <w:szCs w:val="16"/>
        </w:rPr>
      </w:pPr>
      <w:r w:rsidRPr="00E17F16">
        <w:rPr>
          <w:rStyle w:val="Refdenotaalpie"/>
          <w:rFonts w:ascii="Verdana" w:hAnsi="Verdana"/>
          <w:sz w:val="16"/>
          <w:szCs w:val="16"/>
        </w:rPr>
        <w:footnoteRef/>
      </w:r>
      <w:r w:rsidR="00EA0381" w:rsidRPr="00E17F16">
        <w:rPr>
          <w:rFonts w:ascii="Verdana" w:hAnsi="Verdana"/>
          <w:sz w:val="16"/>
          <w:szCs w:val="16"/>
        </w:rPr>
        <w:t xml:space="preserve"> </w:t>
      </w:r>
      <w:r w:rsidR="00A964ED" w:rsidRPr="00E17F16">
        <w:rPr>
          <w:rFonts w:ascii="Verdana" w:hAnsi="Verdana"/>
          <w:sz w:val="16"/>
          <w:szCs w:val="16"/>
        </w:rPr>
        <w:t>Decreto 1082 de 2015: “</w:t>
      </w:r>
      <w:r w:rsidR="00EA0381" w:rsidRPr="00E17F16">
        <w:rPr>
          <w:rFonts w:ascii="Verdana" w:hAnsi="Verdana"/>
          <w:sz w:val="16"/>
          <w:szCs w:val="16"/>
        </w:rPr>
        <w:t>Artículo 2.2.1.1.2.2.2. Ofrecimiento más favorable. La Entidad Estatal debe determinar la oferta más favorable teniendo en cuenta las normas aplicables a cada modalidad de selección del contratista.</w:t>
      </w:r>
    </w:p>
    <w:p w14:paraId="6234ACD3" w14:textId="77777777" w:rsidR="00EA0381" w:rsidRPr="00E17F16" w:rsidRDefault="00EA0381" w:rsidP="00E17F16">
      <w:pPr>
        <w:pStyle w:val="Textonotapie"/>
        <w:ind w:firstLine="708"/>
        <w:jc w:val="both"/>
        <w:rPr>
          <w:rFonts w:ascii="Verdana" w:hAnsi="Verdana"/>
          <w:sz w:val="16"/>
          <w:szCs w:val="16"/>
        </w:rPr>
      </w:pPr>
      <w:r w:rsidRPr="00E17F16">
        <w:rPr>
          <w:rFonts w:ascii="Verdana" w:hAnsi="Verdana"/>
          <w:sz w:val="16"/>
          <w:szCs w:val="16"/>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w:t>
      </w:r>
    </w:p>
    <w:p w14:paraId="189DA6C4" w14:textId="545D563B" w:rsidR="00EA0381" w:rsidRPr="00E17F16" w:rsidRDefault="00A964ED" w:rsidP="00E17F16">
      <w:pPr>
        <w:pStyle w:val="Textonotapie"/>
        <w:ind w:firstLine="708"/>
        <w:jc w:val="both"/>
        <w:rPr>
          <w:rFonts w:ascii="Verdana" w:hAnsi="Verdana"/>
          <w:sz w:val="16"/>
          <w:szCs w:val="16"/>
        </w:rPr>
      </w:pPr>
      <w:r w:rsidRPr="00E17F16">
        <w:rPr>
          <w:rFonts w:ascii="Verdana" w:hAnsi="Verdana"/>
          <w:sz w:val="16"/>
          <w:szCs w:val="16"/>
        </w:rPr>
        <w:t>[…]</w:t>
      </w:r>
    </w:p>
    <w:p w14:paraId="4B82650E" w14:textId="587C28E8" w:rsidR="00EA0381" w:rsidRPr="00E17F16" w:rsidRDefault="00EA0381" w:rsidP="00E17F16">
      <w:pPr>
        <w:pStyle w:val="Textonotapie"/>
        <w:ind w:firstLine="708"/>
        <w:jc w:val="both"/>
        <w:rPr>
          <w:rFonts w:ascii="Verdana" w:hAnsi="Verdana"/>
          <w:sz w:val="16"/>
          <w:szCs w:val="16"/>
        </w:rPr>
      </w:pPr>
      <w:r w:rsidRPr="00E17F16">
        <w:rPr>
          <w:rFonts w:ascii="Verdana" w:hAnsi="Verdana"/>
          <w:sz w:val="16"/>
          <w:szCs w:val="16"/>
        </w:rPr>
        <w:t>Parágrafo. Los criterios de calidad para evaluar la mejor relación calidad</w:t>
      </w:r>
      <w:r w:rsidR="00A964ED" w:rsidRPr="00E17F16">
        <w:rPr>
          <w:rFonts w:ascii="Verdana" w:hAnsi="Verdana"/>
          <w:sz w:val="16"/>
          <w:szCs w:val="16"/>
        </w:rPr>
        <w:t>-</w:t>
      </w:r>
      <w:r w:rsidRPr="00E17F16">
        <w:rPr>
          <w:rFonts w:ascii="Verdana" w:hAnsi="Verdana"/>
          <w:sz w:val="16"/>
          <w:szCs w:val="16"/>
        </w:rPr>
        <w:t>precio podrán incluir criterios ambientales o sociales vinculados al objeto del contrato.</w:t>
      </w:r>
    </w:p>
    <w:p w14:paraId="620A79CC" w14:textId="77777777" w:rsidR="00EA0381" w:rsidRPr="00E17F16" w:rsidRDefault="00EA0381" w:rsidP="00E17F16">
      <w:pPr>
        <w:pStyle w:val="Textonotapie"/>
        <w:ind w:firstLine="708"/>
        <w:jc w:val="both"/>
        <w:rPr>
          <w:rFonts w:ascii="Verdana" w:hAnsi="Verdana"/>
          <w:sz w:val="16"/>
          <w:szCs w:val="16"/>
        </w:rPr>
      </w:pPr>
      <w:r w:rsidRPr="00E17F16">
        <w:rPr>
          <w:rFonts w:ascii="Verdana" w:hAnsi="Verdana"/>
          <w:sz w:val="16"/>
          <w:szCs w:val="16"/>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5F1E4225" w14:textId="4CB75DD9" w:rsidR="00F53A0B" w:rsidRPr="00E17F16" w:rsidRDefault="00EA0381" w:rsidP="00E17F16">
      <w:pPr>
        <w:pStyle w:val="Textonotapie"/>
        <w:ind w:firstLine="708"/>
        <w:jc w:val="both"/>
        <w:rPr>
          <w:rFonts w:ascii="Verdana" w:hAnsi="Verdana"/>
          <w:sz w:val="16"/>
          <w:szCs w:val="16"/>
        </w:rPr>
      </w:pPr>
      <w:r w:rsidRPr="00E17F16">
        <w:rPr>
          <w:rFonts w:ascii="Verdana" w:hAnsi="Verdana"/>
          <w:sz w:val="16"/>
          <w:szCs w:val="16"/>
        </w:rPr>
        <w:t>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w:t>
      </w:r>
      <w:r w:rsidR="00A964ED" w:rsidRPr="00E17F16">
        <w:rPr>
          <w:rFonts w:ascii="Verdana" w:hAnsi="Verdana"/>
          <w:sz w:val="16"/>
          <w:szCs w:val="16"/>
        </w:rPr>
        <w:t xml:space="preserve"> […]”.</w:t>
      </w:r>
    </w:p>
  </w:footnote>
  <w:footnote w:id="16">
    <w:p w14:paraId="337D233E" w14:textId="4DDA635D" w:rsidR="008144FE" w:rsidRPr="00E17F16" w:rsidRDefault="00F06FFC" w:rsidP="00E17F16">
      <w:pPr>
        <w:pStyle w:val="Textonotapie"/>
        <w:ind w:firstLine="708"/>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w:t>
      </w:r>
      <w:r w:rsidR="008144FE" w:rsidRPr="00E17F16">
        <w:rPr>
          <w:rFonts w:ascii="Verdana" w:hAnsi="Verdana"/>
          <w:sz w:val="16"/>
          <w:szCs w:val="16"/>
        </w:rPr>
        <w:t>Decreto 1082 de 2015: “</w:t>
      </w:r>
      <w:r w:rsidR="008144FE" w:rsidRPr="00E17F16">
        <w:rPr>
          <w:rFonts w:ascii="Verdana" w:hAnsi="Verdana"/>
          <w:sz w:val="16"/>
          <w:szCs w:val="16"/>
          <w:lang w:val="es-CO"/>
        </w:rPr>
        <w:t>Artículo 2.2.1.2.1.3.2. Procedimiento del concurso de méritos. Además de las reglas generales previstas en la ley y en el presente título, las siguientes reglas son aplicables al concurso de méritos abierto o con precalificación:  </w:t>
      </w:r>
    </w:p>
    <w:p w14:paraId="62BDE002" w14:textId="77777777" w:rsidR="008144FE" w:rsidRPr="00E17F16" w:rsidRDefault="008144FE" w:rsidP="00E17F16">
      <w:pPr>
        <w:pStyle w:val="Textonotapie"/>
        <w:ind w:firstLine="708"/>
        <w:jc w:val="both"/>
        <w:rPr>
          <w:rFonts w:ascii="Verdana" w:hAnsi="Verdana"/>
          <w:sz w:val="16"/>
          <w:szCs w:val="16"/>
          <w:lang w:val="es-CO"/>
        </w:rPr>
      </w:pPr>
      <w:r w:rsidRPr="00E17F16">
        <w:rPr>
          <w:rFonts w:ascii="Verdana" w:hAnsi="Verdana"/>
          <w:sz w:val="16"/>
          <w:szCs w:val="16"/>
          <w:lang w:val="es-CO"/>
        </w:rPr>
        <w:t>1. La Entidad Estatal en los pliegos de condiciones debe indicar la forma como calificará, entre otros, los siguientes criterios: a) la experiencia del interesado y del equipo de trabajo y b) la formación académica del equipo de trabajo.  </w:t>
      </w:r>
    </w:p>
    <w:p w14:paraId="29478871" w14:textId="77777777" w:rsidR="008144FE" w:rsidRPr="00E17F16" w:rsidRDefault="008144FE" w:rsidP="00E17F16">
      <w:pPr>
        <w:pStyle w:val="Textonotapie"/>
        <w:ind w:firstLine="708"/>
        <w:jc w:val="both"/>
        <w:rPr>
          <w:rFonts w:ascii="Verdana" w:hAnsi="Verdana"/>
          <w:sz w:val="16"/>
          <w:szCs w:val="16"/>
          <w:lang w:val="es-CO"/>
        </w:rPr>
      </w:pPr>
      <w:r w:rsidRPr="00E17F16">
        <w:rPr>
          <w:rFonts w:ascii="Verdana" w:hAnsi="Verdana"/>
          <w:sz w:val="16"/>
          <w:szCs w:val="16"/>
          <w:lang w:val="es-CO"/>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  </w:t>
      </w:r>
    </w:p>
    <w:p w14:paraId="08F9BD64" w14:textId="3DF1D73C" w:rsidR="00F06FFC" w:rsidRPr="00E17F16" w:rsidRDefault="008144FE" w:rsidP="00E17F16">
      <w:pPr>
        <w:pStyle w:val="Textonotapie"/>
        <w:ind w:firstLine="708"/>
        <w:jc w:val="both"/>
        <w:rPr>
          <w:rFonts w:ascii="Verdana" w:hAnsi="Verdana"/>
          <w:sz w:val="16"/>
          <w:szCs w:val="16"/>
        </w:rPr>
      </w:pPr>
      <w:r w:rsidRPr="00E17F16">
        <w:rPr>
          <w:rFonts w:ascii="Verdana" w:hAnsi="Verdana"/>
          <w:sz w:val="16"/>
          <w:szCs w:val="16"/>
          <w:lang w:val="es-CO"/>
        </w:rPr>
        <w:t>3. Una vez resueltas las observaciones al informe de evaluación, la entidad adjudicará el contrato mediante acto administrativo al oferente que haya cumplido todos los requisitos exigidos en el pliego de condiciones y haya obtenido el mayor puntaje”. </w:t>
      </w:r>
    </w:p>
  </w:footnote>
  <w:footnote w:id="17">
    <w:p w14:paraId="4093427F" w14:textId="77777777" w:rsidR="003F0DA2" w:rsidRPr="00E17F16" w:rsidRDefault="00557E45" w:rsidP="00E17F16">
      <w:pPr>
        <w:pStyle w:val="Textonotapie"/>
        <w:spacing w:after="120"/>
        <w:ind w:firstLine="709"/>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w:t>
      </w:r>
      <w:r w:rsidR="003F0DA2" w:rsidRPr="00E17F16">
        <w:rPr>
          <w:rFonts w:ascii="Verdana" w:hAnsi="Verdana"/>
          <w:sz w:val="16"/>
          <w:szCs w:val="16"/>
        </w:rPr>
        <w:t>Decreto 1082 de 2015: “</w:t>
      </w:r>
      <w:r w:rsidR="003F0DA2" w:rsidRPr="00E17F16">
        <w:rPr>
          <w:rFonts w:ascii="Verdana" w:hAnsi="Verdana"/>
          <w:sz w:val="16"/>
          <w:szCs w:val="16"/>
          <w:lang w:val="es-CO"/>
        </w:rPr>
        <w:t>Artículo 2.2.1.1.2.2.4. </w:t>
      </w:r>
      <w:r w:rsidR="003F0DA2" w:rsidRPr="00E17F16">
        <w:rPr>
          <w:rFonts w:ascii="Verdana" w:hAnsi="Verdana"/>
          <w:i/>
          <w:iCs/>
          <w:sz w:val="16"/>
          <w:szCs w:val="16"/>
          <w:lang w:val="es-CO"/>
        </w:rPr>
        <w:t>Oferta con valor artificialmente bajo</w:t>
      </w:r>
      <w:r w:rsidR="003F0DA2" w:rsidRPr="00E17F16">
        <w:rPr>
          <w:rFonts w:ascii="Verdana" w:hAnsi="Verdana"/>
          <w:b/>
          <w:bCs/>
          <w:i/>
          <w:iCs/>
          <w:sz w:val="16"/>
          <w:szCs w:val="16"/>
          <w:lang w:val="es-CO"/>
        </w:rPr>
        <w:t>.</w:t>
      </w:r>
      <w:r w:rsidR="003F0DA2" w:rsidRPr="00E17F16">
        <w:rPr>
          <w:rFonts w:ascii="Verdana" w:hAnsi="Verdana"/>
          <w:sz w:val="16"/>
          <w:szCs w:val="16"/>
          <w:lang w:val="es-CO"/>
        </w:rPr>
        <w:t xml:space="preserve">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003F0DA2" w:rsidRPr="00E17F16">
        <w:rPr>
          <w:rFonts w:ascii="Verdana" w:hAnsi="Verdana"/>
          <w:sz w:val="16"/>
          <w:szCs w:val="16"/>
          <w:lang w:val="es-CO"/>
        </w:rPr>
        <w:t>la misma</w:t>
      </w:r>
      <w:proofErr w:type="gramEnd"/>
      <w:r w:rsidR="003F0DA2" w:rsidRPr="00E17F16">
        <w:rPr>
          <w:rFonts w:ascii="Verdana" w:hAnsi="Verdana"/>
          <w:sz w:val="16"/>
          <w:szCs w:val="16"/>
          <w:lang w:val="es-CO"/>
        </w:rPr>
        <w:t xml:space="preserve"> en la evaluación de las ofertas. </w:t>
      </w:r>
    </w:p>
    <w:p w14:paraId="4459B11E" w14:textId="0D0F7485" w:rsidR="003F0DA2" w:rsidRPr="00E17F16" w:rsidRDefault="003F0DA2" w:rsidP="00E17F16">
      <w:pPr>
        <w:pStyle w:val="Textonotapie"/>
        <w:ind w:firstLine="708"/>
        <w:jc w:val="both"/>
        <w:rPr>
          <w:rFonts w:ascii="Verdana" w:hAnsi="Verdana"/>
          <w:sz w:val="16"/>
          <w:szCs w:val="16"/>
          <w:lang w:val="es-CO"/>
        </w:rPr>
      </w:pPr>
      <w:r w:rsidRPr="00E17F16">
        <w:rPr>
          <w:rFonts w:ascii="Verdana" w:hAnsi="Verdana"/>
          <w:sz w:val="16"/>
          <w:szCs w:val="16"/>
          <w:lang w:val="es-CO"/>
        </w:rPr>
        <w:t xml:space="preserve"> Cuando el valor de la oferta sobre la cual la Entidad Estatal tuvo dudas sobre su </w:t>
      </w:r>
      <w:proofErr w:type="gramStart"/>
      <w:r w:rsidRPr="00E17F16">
        <w:rPr>
          <w:rFonts w:ascii="Verdana" w:hAnsi="Verdana"/>
          <w:sz w:val="16"/>
          <w:szCs w:val="16"/>
          <w:lang w:val="es-CO"/>
        </w:rPr>
        <w:t>valor,</w:t>
      </w:r>
      <w:proofErr w:type="gramEnd"/>
      <w:r w:rsidRPr="00E17F16">
        <w:rPr>
          <w:rFonts w:ascii="Verdana" w:hAnsi="Verdana"/>
          <w:sz w:val="16"/>
          <w:szCs w:val="16"/>
          <w:lang w:val="es-CO"/>
        </w:rPr>
        <w:t xml:space="preserve"> responde a circunstancias objetivas del oferente y de su oferta que no ponen en riesgo el cumplimiento del contrato si este es adjudicado a tal oferta, la Entidad Estatal debe continuar con su análisis en el proceso de evaluación de ofertas.</w:t>
      </w:r>
    </w:p>
    <w:p w14:paraId="3FECB459" w14:textId="54850E4B" w:rsidR="003F0DA2" w:rsidRPr="00E17F16" w:rsidRDefault="003F0DA2" w:rsidP="00E17F16">
      <w:pPr>
        <w:pStyle w:val="Textonotapie"/>
        <w:ind w:firstLine="708"/>
        <w:jc w:val="both"/>
        <w:rPr>
          <w:rFonts w:ascii="Verdana" w:hAnsi="Verdana"/>
          <w:sz w:val="16"/>
          <w:szCs w:val="16"/>
          <w:lang w:val="es-CO"/>
        </w:rPr>
      </w:pPr>
      <w:r w:rsidRPr="00E17F16">
        <w:rPr>
          <w:rFonts w:ascii="Verdana" w:hAnsi="Verdana"/>
          <w:sz w:val="16"/>
          <w:szCs w:val="16"/>
          <w:lang w:val="es-CO"/>
        </w:rPr>
        <w:t xml:space="preserve">En la subasta inversa esta disposición es aplicable sobre el precio obtenido al final de </w:t>
      </w:r>
      <w:proofErr w:type="gramStart"/>
      <w:r w:rsidRPr="00E17F16">
        <w:rPr>
          <w:rFonts w:ascii="Verdana" w:hAnsi="Verdana"/>
          <w:sz w:val="16"/>
          <w:szCs w:val="16"/>
          <w:lang w:val="es-CO"/>
        </w:rPr>
        <w:t>la misma</w:t>
      </w:r>
      <w:proofErr w:type="gramEnd"/>
      <w:r w:rsidRPr="00E17F16">
        <w:rPr>
          <w:rFonts w:ascii="Verdana" w:hAnsi="Verdana"/>
          <w:sz w:val="16"/>
          <w:szCs w:val="16"/>
          <w:lang w:val="es-CO"/>
        </w:rPr>
        <w:t>”.</w:t>
      </w:r>
    </w:p>
    <w:p w14:paraId="0B570589" w14:textId="76CF9C1C" w:rsidR="00557E45" w:rsidRPr="00E17F16" w:rsidRDefault="00557E45" w:rsidP="00E17F16">
      <w:pPr>
        <w:pStyle w:val="Textonotapie"/>
        <w:ind w:firstLine="708"/>
        <w:jc w:val="both"/>
        <w:rPr>
          <w:rFonts w:ascii="Verdana" w:hAnsi="Verdana"/>
          <w:sz w:val="16"/>
          <w:szCs w:val="16"/>
        </w:rPr>
      </w:pPr>
    </w:p>
  </w:footnote>
  <w:footnote w:id="18">
    <w:p w14:paraId="47537080" w14:textId="19616D62" w:rsidR="00964BEC" w:rsidRPr="00E17F16" w:rsidRDefault="00964BEC" w:rsidP="00E17F16">
      <w:pPr>
        <w:pStyle w:val="Textonotapie"/>
        <w:ind w:firstLine="708"/>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Ley 80 de 1993: “</w:t>
      </w:r>
      <w:r w:rsidRPr="00E17F16">
        <w:rPr>
          <w:rFonts w:ascii="Verdana" w:hAnsi="Verdana"/>
          <w:sz w:val="16"/>
          <w:szCs w:val="16"/>
          <w:lang w:val="es-CO"/>
        </w:rPr>
        <w:t>Art</w:t>
      </w:r>
      <w:r w:rsidR="00426F33" w:rsidRPr="00E17F16">
        <w:rPr>
          <w:rFonts w:ascii="Verdana" w:hAnsi="Verdana"/>
          <w:sz w:val="16"/>
          <w:szCs w:val="16"/>
          <w:lang w:val="es-CO"/>
        </w:rPr>
        <w:t>í</w:t>
      </w:r>
      <w:r w:rsidRPr="00E17F16">
        <w:rPr>
          <w:rFonts w:ascii="Verdana" w:hAnsi="Verdana"/>
          <w:sz w:val="16"/>
          <w:szCs w:val="16"/>
          <w:lang w:val="es-CO"/>
        </w:rPr>
        <w:t xml:space="preserve">culo 4. </w:t>
      </w:r>
      <w:r w:rsidR="00426F33" w:rsidRPr="00E17F16">
        <w:rPr>
          <w:rFonts w:ascii="Verdana" w:hAnsi="Verdana"/>
          <w:sz w:val="16"/>
          <w:szCs w:val="16"/>
          <w:lang w:val="es-CO"/>
        </w:rPr>
        <w:t>De los derechos y deberes de las entidades estatales</w:t>
      </w:r>
      <w:r w:rsidRPr="00E17F16">
        <w:rPr>
          <w:rFonts w:ascii="Verdana" w:hAnsi="Verdana"/>
          <w:b/>
          <w:bCs/>
          <w:sz w:val="16"/>
          <w:szCs w:val="16"/>
          <w:lang w:val="es-CO"/>
        </w:rPr>
        <w:t>. </w:t>
      </w:r>
      <w:r w:rsidRPr="00E17F16">
        <w:rPr>
          <w:rFonts w:ascii="Verdana" w:hAnsi="Verdana"/>
          <w:sz w:val="16"/>
          <w:szCs w:val="16"/>
          <w:lang w:val="es-CO"/>
        </w:rPr>
        <w:t>Para la consecución de los fines de que trata el artículo anterior, las entidades estatales: </w:t>
      </w:r>
    </w:p>
    <w:p w14:paraId="7C08CFB5" w14:textId="4B007B73" w:rsidR="00964BEC" w:rsidRPr="00E17F16" w:rsidRDefault="00964BEC" w:rsidP="00E17F16">
      <w:pPr>
        <w:pStyle w:val="Textonotapie"/>
        <w:ind w:firstLine="708"/>
        <w:jc w:val="both"/>
        <w:rPr>
          <w:rFonts w:ascii="Verdana" w:hAnsi="Verdana"/>
          <w:sz w:val="16"/>
          <w:szCs w:val="16"/>
          <w:lang w:val="es-CO"/>
        </w:rPr>
      </w:pPr>
      <w:r w:rsidRPr="00E17F16">
        <w:rPr>
          <w:rFonts w:ascii="Verdana" w:hAnsi="Verdana"/>
          <w:sz w:val="16"/>
          <w:szCs w:val="16"/>
          <w:lang w:val="es-CO"/>
        </w:rPr>
        <w:t>  […]</w:t>
      </w:r>
    </w:p>
    <w:p w14:paraId="79155DF8" w14:textId="249390FB" w:rsidR="00964BEC" w:rsidRPr="00E17F16" w:rsidRDefault="00964BEC" w:rsidP="00E17F16">
      <w:pPr>
        <w:pStyle w:val="Textonotapie"/>
        <w:ind w:firstLine="708"/>
        <w:jc w:val="both"/>
        <w:rPr>
          <w:rFonts w:ascii="Verdana" w:hAnsi="Verdana"/>
          <w:sz w:val="16"/>
          <w:szCs w:val="16"/>
          <w:lang w:val="es-CO"/>
        </w:rPr>
      </w:pPr>
      <w:r w:rsidRPr="00E17F16">
        <w:rPr>
          <w:rFonts w:ascii="Verdana" w:hAnsi="Verdana"/>
          <w:sz w:val="16"/>
          <w:szCs w:val="16"/>
          <w:lang w:val="es-CO"/>
        </w:rPr>
        <w:t>3o. Solicitarán la actualización o la revisión de los precios cuando se produzcan fenómenos que alteren en su contra el equilibrio económico o financiero del contrato”. </w:t>
      </w:r>
    </w:p>
    <w:p w14:paraId="5FF8CAA2" w14:textId="43C2DFD1" w:rsidR="00964BEC" w:rsidRPr="00E17F16" w:rsidRDefault="00964BEC" w:rsidP="00E17F16">
      <w:pPr>
        <w:pStyle w:val="Textonotapie"/>
        <w:ind w:firstLine="708"/>
        <w:jc w:val="both"/>
        <w:rPr>
          <w:rFonts w:ascii="Verdana" w:hAnsi="Verdana"/>
          <w:sz w:val="16"/>
          <w:szCs w:val="16"/>
        </w:rPr>
      </w:pPr>
    </w:p>
  </w:footnote>
  <w:footnote w:id="19">
    <w:p w14:paraId="28FAE17C" w14:textId="32FD426D" w:rsidR="00EE5C85" w:rsidRPr="00E17F16" w:rsidRDefault="00EE5C85" w:rsidP="00E17F16">
      <w:pPr>
        <w:pStyle w:val="Textonotapie"/>
        <w:ind w:firstLine="708"/>
        <w:jc w:val="both"/>
        <w:rPr>
          <w:rFonts w:ascii="Verdana" w:hAnsi="Verdana"/>
          <w:sz w:val="16"/>
          <w:szCs w:val="16"/>
          <w:lang w:val="es-CO"/>
        </w:rPr>
      </w:pPr>
      <w:r w:rsidRPr="00E17F16">
        <w:rPr>
          <w:rStyle w:val="Refdenotaalpie"/>
          <w:rFonts w:ascii="Verdana" w:hAnsi="Verdana"/>
          <w:sz w:val="16"/>
          <w:szCs w:val="16"/>
        </w:rPr>
        <w:footnoteRef/>
      </w:r>
      <w:r w:rsidRPr="00E17F16">
        <w:rPr>
          <w:rFonts w:ascii="Verdana" w:hAnsi="Verdana"/>
          <w:sz w:val="16"/>
          <w:szCs w:val="16"/>
        </w:rPr>
        <w:t xml:space="preserve"> Ley 80 de 1993: “</w:t>
      </w:r>
      <w:r w:rsidRPr="00E17F16">
        <w:rPr>
          <w:rFonts w:ascii="Verdana" w:hAnsi="Verdana"/>
          <w:sz w:val="16"/>
          <w:szCs w:val="16"/>
          <w:lang w:val="es-CO"/>
        </w:rPr>
        <w:t>Artículo 5. De los derechos y deberes de los contratistas.</w:t>
      </w:r>
      <w:r w:rsidRPr="00E17F16">
        <w:rPr>
          <w:rFonts w:ascii="Verdana" w:hAnsi="Verdana"/>
          <w:b/>
          <w:bCs/>
          <w:sz w:val="16"/>
          <w:szCs w:val="16"/>
          <w:lang w:val="es-CO"/>
        </w:rPr>
        <w:t> </w:t>
      </w:r>
      <w:r w:rsidRPr="00E17F16">
        <w:rPr>
          <w:rFonts w:ascii="Verdana" w:hAnsi="Verdana"/>
          <w:sz w:val="16"/>
          <w:szCs w:val="16"/>
          <w:lang w:val="es-CO"/>
        </w:rPr>
        <w:t>Para la realización de los fines de que trata el artículo 3o. de esta ley, los contratistas: </w:t>
      </w:r>
    </w:p>
    <w:p w14:paraId="3BA922E5" w14:textId="77777777" w:rsidR="00EE5C85" w:rsidRPr="00E17F16" w:rsidRDefault="00EE5C85" w:rsidP="00E17F16">
      <w:pPr>
        <w:pStyle w:val="Textonotapie"/>
        <w:ind w:firstLine="708"/>
        <w:jc w:val="both"/>
        <w:rPr>
          <w:rFonts w:ascii="Verdana" w:hAnsi="Verdana"/>
          <w:sz w:val="16"/>
          <w:szCs w:val="16"/>
          <w:lang w:val="es-CO"/>
        </w:rPr>
      </w:pPr>
      <w:r w:rsidRPr="00E17F16">
        <w:rPr>
          <w:rFonts w:ascii="Verdana" w:hAnsi="Verdana"/>
          <w:sz w:val="16"/>
          <w:szCs w:val="16"/>
          <w:lang w:val="es-CO"/>
        </w:rPr>
        <w:t>  </w:t>
      </w:r>
    </w:p>
    <w:p w14:paraId="62AC84A7" w14:textId="77777777" w:rsidR="00EE5C85" w:rsidRPr="00E17F16" w:rsidRDefault="00EE5C85" w:rsidP="00E17F16">
      <w:pPr>
        <w:pStyle w:val="Textonotapie"/>
        <w:ind w:firstLine="708"/>
        <w:jc w:val="both"/>
        <w:rPr>
          <w:rFonts w:ascii="Verdana" w:hAnsi="Verdana"/>
          <w:sz w:val="16"/>
          <w:szCs w:val="16"/>
          <w:lang w:val="es-CO"/>
        </w:rPr>
      </w:pPr>
      <w:r w:rsidRPr="00E17F16">
        <w:rPr>
          <w:rFonts w:ascii="Verdana" w:hAnsi="Verdana"/>
          <w:sz w:val="16"/>
          <w:szCs w:val="16"/>
          <w:lang w:val="es-CO"/>
        </w:rPr>
        <w:t>1o. Tendrán derecho a recibir oportunamente la remuneración pactada y a que el valor intrínseco de la misma no se altere o modifique durante la vigencia del contrato. </w:t>
      </w:r>
    </w:p>
    <w:p w14:paraId="009483BF" w14:textId="56B856F5" w:rsidR="00EE5C85" w:rsidRPr="00E17F16" w:rsidRDefault="00EE5C85" w:rsidP="00E17F16">
      <w:pPr>
        <w:pStyle w:val="Textonotapie"/>
        <w:ind w:firstLine="708"/>
        <w:jc w:val="both"/>
        <w:rPr>
          <w:rFonts w:ascii="Verdana" w:hAnsi="Verdana"/>
          <w:sz w:val="16"/>
          <w:szCs w:val="16"/>
          <w:lang w:val="es-CO"/>
        </w:rPr>
      </w:pPr>
      <w:r w:rsidRPr="00E17F16">
        <w:rPr>
          <w:rFonts w:ascii="Verdana" w:hAnsi="Verdana"/>
          <w:sz w:val="16"/>
          <w:szCs w:val="16"/>
          <w:lang w:val="es-CO"/>
        </w:rPr>
        <w:t xml:space="preserve">  En </w:t>
      </w:r>
      <w:proofErr w:type="gramStart"/>
      <w:r w:rsidRPr="00E17F16">
        <w:rPr>
          <w:rFonts w:ascii="Verdana" w:hAnsi="Verdana"/>
          <w:sz w:val="16"/>
          <w:szCs w:val="16"/>
          <w:lang w:val="es-CO"/>
        </w:rPr>
        <w:t>consecuencia</w:t>
      </w:r>
      <w:proofErr w:type="gramEnd"/>
      <w:r w:rsidRPr="00E17F16">
        <w:rPr>
          <w:rFonts w:ascii="Verdana" w:hAnsi="Verdana"/>
          <w:sz w:val="16"/>
          <w:szCs w:val="16"/>
          <w:lang w:val="es-CO"/>
        </w:rPr>
        <w:t xml:space="preserve">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 </w:t>
      </w:r>
    </w:p>
    <w:p w14:paraId="7BA9B7E5" w14:textId="5C8EED75" w:rsidR="00EE5C85" w:rsidRPr="00E17F16" w:rsidRDefault="00EE5C85" w:rsidP="00E17F16">
      <w:pPr>
        <w:pStyle w:val="Textonotapie"/>
        <w:ind w:firstLine="708"/>
        <w:jc w:val="both"/>
        <w:rPr>
          <w:rFonts w:ascii="Verdana" w:hAnsi="Verdana"/>
          <w:sz w:val="16"/>
          <w:szCs w:val="16"/>
        </w:rPr>
      </w:pPr>
      <w:r w:rsidRPr="00E17F16">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0CA7D3B"/>
    <w:multiLevelType w:val="hybridMultilevel"/>
    <w:tmpl w:val="A6A47EC8"/>
    <w:lvl w:ilvl="0" w:tplc="713471DA">
      <w:start w:val="1"/>
      <w:numFmt w:val="lowerRoman"/>
      <w:suff w:val="nothing"/>
      <w:lvlText w:val="%1."/>
      <w:lvlJc w:val="left"/>
      <w:pPr>
        <w:ind w:left="0" w:firstLine="709"/>
      </w:pPr>
      <w:rPr>
        <w:rFonts w:eastAsia="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E66F9B"/>
    <w:multiLevelType w:val="hybridMultilevel"/>
    <w:tmpl w:val="0B3A2AA8"/>
    <w:lvl w:ilvl="0" w:tplc="CACC67B6">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15:restartNumberingAfterBreak="0">
    <w:nsid w:val="13444D32"/>
    <w:multiLevelType w:val="hybridMultilevel"/>
    <w:tmpl w:val="87A088E6"/>
    <w:lvl w:ilvl="0" w:tplc="45AAF596">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0B0BE0"/>
    <w:multiLevelType w:val="multilevel"/>
    <w:tmpl w:val="C7102360"/>
    <w:lvl w:ilvl="0">
      <w:start w:val="1"/>
      <w:numFmt w:val="decimal"/>
      <w:lvlText w:val="%1."/>
      <w:lvlJc w:val="left"/>
      <w:pPr>
        <w:tabs>
          <w:tab w:val="num" w:pos="720"/>
        </w:tabs>
        <w:ind w:left="709" w:hanging="349"/>
      </w:pPr>
      <w:rPr>
        <w:rFonts w:ascii="Verdana" w:eastAsia="Calibri" w:hAnsi="Verdana" w:cs="Arial"/>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DB16DD4"/>
    <w:multiLevelType w:val="hybridMultilevel"/>
    <w:tmpl w:val="4A9EE2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6113B3D"/>
    <w:multiLevelType w:val="multilevel"/>
    <w:tmpl w:val="C3146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BF62C1"/>
    <w:multiLevelType w:val="hybridMultilevel"/>
    <w:tmpl w:val="A17A5C34"/>
    <w:lvl w:ilvl="0" w:tplc="9A1CCAE0">
      <w:start w:val="1"/>
      <w:numFmt w:val="lowerRoman"/>
      <w:lvlText w:val="%1."/>
      <w:lvlJc w:val="righ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8"/>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5"/>
  </w:num>
  <w:num w:numId="14" w16cid:durableId="895897244">
    <w:abstractNumId w:val="21"/>
  </w:num>
  <w:num w:numId="15" w16cid:durableId="390349800">
    <w:abstractNumId w:val="17"/>
  </w:num>
  <w:num w:numId="16" w16cid:durableId="120537306">
    <w:abstractNumId w:val="6"/>
  </w:num>
  <w:num w:numId="17" w16cid:durableId="1800220459">
    <w:abstractNumId w:val="13"/>
  </w:num>
  <w:num w:numId="18" w16cid:durableId="334722667">
    <w:abstractNumId w:val="16"/>
  </w:num>
  <w:num w:numId="19" w16cid:durableId="1028874767">
    <w:abstractNumId w:val="4"/>
  </w:num>
  <w:num w:numId="20" w16cid:durableId="2135367300">
    <w:abstractNumId w:val="3"/>
  </w:num>
  <w:num w:numId="21" w16cid:durableId="1854949009">
    <w:abstractNumId w:val="15"/>
  </w:num>
  <w:num w:numId="22" w16cid:durableId="137916296">
    <w:abstractNumId w:val="0"/>
  </w:num>
  <w:num w:numId="23" w16cid:durableId="820971302">
    <w:abstractNumId w:val="12"/>
  </w:num>
  <w:num w:numId="24" w16cid:durableId="10403274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104"/>
    <w:rsid w:val="00011C69"/>
    <w:rsid w:val="00016F78"/>
    <w:rsid w:val="000205CF"/>
    <w:rsid w:val="00021F60"/>
    <w:rsid w:val="000420F6"/>
    <w:rsid w:val="00046945"/>
    <w:rsid w:val="00052B54"/>
    <w:rsid w:val="00061B2A"/>
    <w:rsid w:val="00062463"/>
    <w:rsid w:val="00081A2A"/>
    <w:rsid w:val="00082362"/>
    <w:rsid w:val="000A683E"/>
    <w:rsid w:val="000B0C8F"/>
    <w:rsid w:val="000B19B9"/>
    <w:rsid w:val="000C6409"/>
    <w:rsid w:val="000D0334"/>
    <w:rsid w:val="000D3456"/>
    <w:rsid w:val="000F551B"/>
    <w:rsid w:val="000F6486"/>
    <w:rsid w:val="001134AD"/>
    <w:rsid w:val="00125105"/>
    <w:rsid w:val="001260C6"/>
    <w:rsid w:val="00127233"/>
    <w:rsid w:val="001511A0"/>
    <w:rsid w:val="00154342"/>
    <w:rsid w:val="001661BF"/>
    <w:rsid w:val="00174BFA"/>
    <w:rsid w:val="00191E1E"/>
    <w:rsid w:val="001954FD"/>
    <w:rsid w:val="001A7618"/>
    <w:rsid w:val="001B1D8C"/>
    <w:rsid w:val="001C07D7"/>
    <w:rsid w:val="001E4177"/>
    <w:rsid w:val="001F7DC6"/>
    <w:rsid w:val="002421BB"/>
    <w:rsid w:val="00255A32"/>
    <w:rsid w:val="0025796E"/>
    <w:rsid w:val="0026502A"/>
    <w:rsid w:val="002707A2"/>
    <w:rsid w:val="00294CBE"/>
    <w:rsid w:val="002951A0"/>
    <w:rsid w:val="002962BC"/>
    <w:rsid w:val="002A093D"/>
    <w:rsid w:val="002A0DD0"/>
    <w:rsid w:val="002A225F"/>
    <w:rsid w:val="002A2646"/>
    <w:rsid w:val="002A49AC"/>
    <w:rsid w:val="002A64FD"/>
    <w:rsid w:val="002C7557"/>
    <w:rsid w:val="002C7A84"/>
    <w:rsid w:val="002E4FD9"/>
    <w:rsid w:val="002F7E34"/>
    <w:rsid w:val="00307DFF"/>
    <w:rsid w:val="00314206"/>
    <w:rsid w:val="00314E1D"/>
    <w:rsid w:val="00322A85"/>
    <w:rsid w:val="00324168"/>
    <w:rsid w:val="003448F4"/>
    <w:rsid w:val="00351910"/>
    <w:rsid w:val="00374F5E"/>
    <w:rsid w:val="00377E3E"/>
    <w:rsid w:val="00384E83"/>
    <w:rsid w:val="003A5701"/>
    <w:rsid w:val="003A779E"/>
    <w:rsid w:val="003B60AF"/>
    <w:rsid w:val="003B6866"/>
    <w:rsid w:val="003C41E6"/>
    <w:rsid w:val="003D0F4D"/>
    <w:rsid w:val="003D5B0D"/>
    <w:rsid w:val="003E0499"/>
    <w:rsid w:val="003F0DA2"/>
    <w:rsid w:val="003F2869"/>
    <w:rsid w:val="003F3941"/>
    <w:rsid w:val="00406575"/>
    <w:rsid w:val="00414C74"/>
    <w:rsid w:val="00414EFC"/>
    <w:rsid w:val="004163A1"/>
    <w:rsid w:val="00426F33"/>
    <w:rsid w:val="0042722E"/>
    <w:rsid w:val="0044528D"/>
    <w:rsid w:val="00445797"/>
    <w:rsid w:val="00450B36"/>
    <w:rsid w:val="004A1847"/>
    <w:rsid w:val="004A305D"/>
    <w:rsid w:val="004D78E1"/>
    <w:rsid w:val="004E24E0"/>
    <w:rsid w:val="004E6B90"/>
    <w:rsid w:val="004F00C1"/>
    <w:rsid w:val="004F21C4"/>
    <w:rsid w:val="004F4C18"/>
    <w:rsid w:val="004F685F"/>
    <w:rsid w:val="00511A66"/>
    <w:rsid w:val="005429DA"/>
    <w:rsid w:val="0054579E"/>
    <w:rsid w:val="005520EF"/>
    <w:rsid w:val="0055337A"/>
    <w:rsid w:val="005534CE"/>
    <w:rsid w:val="005566E8"/>
    <w:rsid w:val="00557E45"/>
    <w:rsid w:val="00561CCE"/>
    <w:rsid w:val="005636DA"/>
    <w:rsid w:val="00574867"/>
    <w:rsid w:val="00591460"/>
    <w:rsid w:val="0059621B"/>
    <w:rsid w:val="00596F9B"/>
    <w:rsid w:val="005B3816"/>
    <w:rsid w:val="005C02E6"/>
    <w:rsid w:val="005C3777"/>
    <w:rsid w:val="005C5CDC"/>
    <w:rsid w:val="005D476C"/>
    <w:rsid w:val="005D66CA"/>
    <w:rsid w:val="005E30E7"/>
    <w:rsid w:val="005E7A9A"/>
    <w:rsid w:val="00601E95"/>
    <w:rsid w:val="00602CB5"/>
    <w:rsid w:val="006173AC"/>
    <w:rsid w:val="006219F8"/>
    <w:rsid w:val="00633A94"/>
    <w:rsid w:val="0064520E"/>
    <w:rsid w:val="006637A1"/>
    <w:rsid w:val="00665D70"/>
    <w:rsid w:val="00676D9E"/>
    <w:rsid w:val="00683059"/>
    <w:rsid w:val="006900D9"/>
    <w:rsid w:val="006A5B30"/>
    <w:rsid w:val="006A5B4B"/>
    <w:rsid w:val="006B019C"/>
    <w:rsid w:val="006C4C97"/>
    <w:rsid w:val="006E4769"/>
    <w:rsid w:val="006E757F"/>
    <w:rsid w:val="006F5D17"/>
    <w:rsid w:val="00706C16"/>
    <w:rsid w:val="00721D03"/>
    <w:rsid w:val="00730E80"/>
    <w:rsid w:val="00745032"/>
    <w:rsid w:val="00745F78"/>
    <w:rsid w:val="00756841"/>
    <w:rsid w:val="007649AB"/>
    <w:rsid w:val="00771D0C"/>
    <w:rsid w:val="007833AC"/>
    <w:rsid w:val="007A406F"/>
    <w:rsid w:val="007B268C"/>
    <w:rsid w:val="007B7171"/>
    <w:rsid w:val="007C0C0F"/>
    <w:rsid w:val="007C1ECA"/>
    <w:rsid w:val="007C3DC2"/>
    <w:rsid w:val="007D2C1B"/>
    <w:rsid w:val="007E5497"/>
    <w:rsid w:val="007F1838"/>
    <w:rsid w:val="007F360A"/>
    <w:rsid w:val="0080040E"/>
    <w:rsid w:val="00806F5F"/>
    <w:rsid w:val="008144FE"/>
    <w:rsid w:val="00820278"/>
    <w:rsid w:val="00822781"/>
    <w:rsid w:val="00837C41"/>
    <w:rsid w:val="00867F95"/>
    <w:rsid w:val="0087082B"/>
    <w:rsid w:val="00870D78"/>
    <w:rsid w:val="008714CA"/>
    <w:rsid w:val="0087482F"/>
    <w:rsid w:val="0088050E"/>
    <w:rsid w:val="008843B6"/>
    <w:rsid w:val="00891928"/>
    <w:rsid w:val="008A446D"/>
    <w:rsid w:val="008B259F"/>
    <w:rsid w:val="008C5847"/>
    <w:rsid w:val="008D180B"/>
    <w:rsid w:val="008F0EA7"/>
    <w:rsid w:val="00900588"/>
    <w:rsid w:val="00912CE8"/>
    <w:rsid w:val="00923EEF"/>
    <w:rsid w:val="00927698"/>
    <w:rsid w:val="009419F9"/>
    <w:rsid w:val="0095685E"/>
    <w:rsid w:val="00961B09"/>
    <w:rsid w:val="00964BEC"/>
    <w:rsid w:val="00965334"/>
    <w:rsid w:val="0096742D"/>
    <w:rsid w:val="0097093E"/>
    <w:rsid w:val="00986AC5"/>
    <w:rsid w:val="009A0DFA"/>
    <w:rsid w:val="009B2D26"/>
    <w:rsid w:val="009C696A"/>
    <w:rsid w:val="009C71FA"/>
    <w:rsid w:val="009C72E7"/>
    <w:rsid w:val="009D3058"/>
    <w:rsid w:val="009F3A13"/>
    <w:rsid w:val="00A10689"/>
    <w:rsid w:val="00A122D3"/>
    <w:rsid w:val="00A17F13"/>
    <w:rsid w:val="00A20739"/>
    <w:rsid w:val="00A20F6D"/>
    <w:rsid w:val="00A33C78"/>
    <w:rsid w:val="00A416E6"/>
    <w:rsid w:val="00A629DF"/>
    <w:rsid w:val="00A964ED"/>
    <w:rsid w:val="00AB0ADB"/>
    <w:rsid w:val="00AB0D90"/>
    <w:rsid w:val="00AB5959"/>
    <w:rsid w:val="00AD37F6"/>
    <w:rsid w:val="00AF2371"/>
    <w:rsid w:val="00B01B1A"/>
    <w:rsid w:val="00B25B00"/>
    <w:rsid w:val="00B4002A"/>
    <w:rsid w:val="00B5154D"/>
    <w:rsid w:val="00B54C19"/>
    <w:rsid w:val="00B61A52"/>
    <w:rsid w:val="00B642C0"/>
    <w:rsid w:val="00B66319"/>
    <w:rsid w:val="00B72CD3"/>
    <w:rsid w:val="00B72FFF"/>
    <w:rsid w:val="00B741B1"/>
    <w:rsid w:val="00B84077"/>
    <w:rsid w:val="00B847DF"/>
    <w:rsid w:val="00B90240"/>
    <w:rsid w:val="00BA6C97"/>
    <w:rsid w:val="00BC3D36"/>
    <w:rsid w:val="00BD01A9"/>
    <w:rsid w:val="00BD7446"/>
    <w:rsid w:val="00BD7F72"/>
    <w:rsid w:val="00BE1464"/>
    <w:rsid w:val="00BF1BC6"/>
    <w:rsid w:val="00C0436E"/>
    <w:rsid w:val="00C04FB3"/>
    <w:rsid w:val="00C124BD"/>
    <w:rsid w:val="00C330EB"/>
    <w:rsid w:val="00C37A47"/>
    <w:rsid w:val="00C41061"/>
    <w:rsid w:val="00C754BE"/>
    <w:rsid w:val="00C76B1C"/>
    <w:rsid w:val="00CB6357"/>
    <w:rsid w:val="00CC1B26"/>
    <w:rsid w:val="00CC3EFD"/>
    <w:rsid w:val="00CC7420"/>
    <w:rsid w:val="00CF05F5"/>
    <w:rsid w:val="00D11256"/>
    <w:rsid w:val="00D22AC9"/>
    <w:rsid w:val="00D23F07"/>
    <w:rsid w:val="00D35556"/>
    <w:rsid w:val="00D423A2"/>
    <w:rsid w:val="00D4651D"/>
    <w:rsid w:val="00D51A98"/>
    <w:rsid w:val="00D520D8"/>
    <w:rsid w:val="00D55421"/>
    <w:rsid w:val="00D63AC2"/>
    <w:rsid w:val="00D71563"/>
    <w:rsid w:val="00D7383B"/>
    <w:rsid w:val="00D938DA"/>
    <w:rsid w:val="00DA231B"/>
    <w:rsid w:val="00DB1FEE"/>
    <w:rsid w:val="00DC39FC"/>
    <w:rsid w:val="00DF2BC6"/>
    <w:rsid w:val="00DF5254"/>
    <w:rsid w:val="00E01075"/>
    <w:rsid w:val="00E16408"/>
    <w:rsid w:val="00E17F16"/>
    <w:rsid w:val="00E20894"/>
    <w:rsid w:val="00E245AB"/>
    <w:rsid w:val="00E2764C"/>
    <w:rsid w:val="00E27F2E"/>
    <w:rsid w:val="00E4266E"/>
    <w:rsid w:val="00E50AFE"/>
    <w:rsid w:val="00E60F2B"/>
    <w:rsid w:val="00E65591"/>
    <w:rsid w:val="00E75660"/>
    <w:rsid w:val="00E75C92"/>
    <w:rsid w:val="00E771DC"/>
    <w:rsid w:val="00E8772A"/>
    <w:rsid w:val="00E90F6B"/>
    <w:rsid w:val="00E92C27"/>
    <w:rsid w:val="00E93B16"/>
    <w:rsid w:val="00EA0381"/>
    <w:rsid w:val="00EA0E3D"/>
    <w:rsid w:val="00EC38A7"/>
    <w:rsid w:val="00ED7384"/>
    <w:rsid w:val="00ED7761"/>
    <w:rsid w:val="00ED7A0A"/>
    <w:rsid w:val="00EE1AA8"/>
    <w:rsid w:val="00EE5C85"/>
    <w:rsid w:val="00F02A1E"/>
    <w:rsid w:val="00F0593F"/>
    <w:rsid w:val="00F06FFC"/>
    <w:rsid w:val="00F25616"/>
    <w:rsid w:val="00F31EDC"/>
    <w:rsid w:val="00F35D5F"/>
    <w:rsid w:val="00F37018"/>
    <w:rsid w:val="00F40587"/>
    <w:rsid w:val="00F41E06"/>
    <w:rsid w:val="00F462B3"/>
    <w:rsid w:val="00F53A0B"/>
    <w:rsid w:val="00F5664F"/>
    <w:rsid w:val="00F63401"/>
    <w:rsid w:val="00F666C4"/>
    <w:rsid w:val="00F7439B"/>
    <w:rsid w:val="00F76AFC"/>
    <w:rsid w:val="00F82B5A"/>
    <w:rsid w:val="00F839FF"/>
    <w:rsid w:val="00FA47C0"/>
    <w:rsid w:val="00FB5DD1"/>
    <w:rsid w:val="00FB60CC"/>
    <w:rsid w:val="00FC2B5D"/>
    <w:rsid w:val="00FE75CE"/>
    <w:rsid w:val="00FF1449"/>
    <w:rsid w:val="00FF5436"/>
    <w:rsid w:val="00FF59E0"/>
    <w:rsid w:val="07AFE764"/>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8714C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714C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14CA"/>
    <w:rPr>
      <w:rFonts w:ascii="Geomanist Light" w:hAnsi="Geomanist Light"/>
      <w:lang w:val="es-ES"/>
    </w:rPr>
  </w:style>
  <w:style w:type="paragraph" w:styleId="Textoindependiente">
    <w:name w:val="Body Text"/>
    <w:basedOn w:val="Normal"/>
    <w:link w:val="TextoindependienteCar"/>
    <w:uiPriority w:val="1"/>
    <w:qFormat/>
    <w:rsid w:val="008714C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714CA"/>
    <w:rPr>
      <w:rFonts w:ascii="Arial" w:eastAsia="Arial" w:hAnsi="Arial" w:cs="Arial"/>
      <w:lang w:val="es-ES"/>
    </w:rPr>
  </w:style>
  <w:style w:type="character" w:customStyle="1" w:styleId="NormalWebCar">
    <w:name w:val="Normal (Web) Car"/>
    <w:link w:val="NormalWeb"/>
    <w:uiPriority w:val="99"/>
    <w:locked/>
    <w:rsid w:val="008714CA"/>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C124BD"/>
    <w:rPr>
      <w:sz w:val="16"/>
      <w:szCs w:val="16"/>
    </w:rPr>
  </w:style>
  <w:style w:type="paragraph" w:styleId="Textocomentario">
    <w:name w:val="annotation text"/>
    <w:basedOn w:val="Normal"/>
    <w:link w:val="TextocomentarioCar"/>
    <w:uiPriority w:val="99"/>
    <w:unhideWhenUsed/>
    <w:rsid w:val="00C124BD"/>
    <w:pPr>
      <w:spacing w:line="240" w:lineRule="auto"/>
    </w:pPr>
    <w:rPr>
      <w:sz w:val="20"/>
      <w:szCs w:val="20"/>
    </w:rPr>
  </w:style>
  <w:style w:type="character" w:customStyle="1" w:styleId="TextocomentarioCar">
    <w:name w:val="Texto comentario Car"/>
    <w:basedOn w:val="Fuentedeprrafopredeter"/>
    <w:link w:val="Textocomentario"/>
    <w:uiPriority w:val="99"/>
    <w:rsid w:val="00C124BD"/>
    <w:rPr>
      <w:sz w:val="20"/>
      <w:szCs w:val="20"/>
    </w:rPr>
  </w:style>
  <w:style w:type="paragraph" w:styleId="Asuntodelcomentario">
    <w:name w:val="annotation subject"/>
    <w:basedOn w:val="Textocomentario"/>
    <w:next w:val="Textocomentario"/>
    <w:link w:val="AsuntodelcomentarioCar"/>
    <w:uiPriority w:val="99"/>
    <w:semiHidden/>
    <w:unhideWhenUsed/>
    <w:rsid w:val="00C124BD"/>
    <w:rPr>
      <w:b/>
      <w:bCs/>
    </w:rPr>
  </w:style>
  <w:style w:type="character" w:customStyle="1" w:styleId="AsuntodelcomentarioCar">
    <w:name w:val="Asunto del comentario Car"/>
    <w:basedOn w:val="TextocomentarioCar"/>
    <w:link w:val="Asuntodelcomentario"/>
    <w:uiPriority w:val="99"/>
    <w:semiHidden/>
    <w:rsid w:val="00C124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24587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022841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6480019">
      <w:bodyDiv w:val="1"/>
      <w:marLeft w:val="0"/>
      <w:marRight w:val="0"/>
      <w:marTop w:val="0"/>
      <w:marBottom w:val="0"/>
      <w:divBdr>
        <w:top w:val="none" w:sz="0" w:space="0" w:color="auto"/>
        <w:left w:val="none" w:sz="0" w:space="0" w:color="auto"/>
        <w:bottom w:val="none" w:sz="0" w:space="0" w:color="auto"/>
        <w:right w:val="none" w:sz="0" w:space="0" w:color="auto"/>
      </w:divBdr>
    </w:div>
    <w:div w:id="994921485">
      <w:bodyDiv w:val="1"/>
      <w:marLeft w:val="0"/>
      <w:marRight w:val="0"/>
      <w:marTop w:val="0"/>
      <w:marBottom w:val="0"/>
      <w:divBdr>
        <w:top w:val="none" w:sz="0" w:space="0" w:color="auto"/>
        <w:left w:val="none" w:sz="0" w:space="0" w:color="auto"/>
        <w:bottom w:val="none" w:sz="0" w:space="0" w:color="auto"/>
        <w:right w:val="none" w:sz="0" w:space="0" w:color="auto"/>
      </w:divBdr>
    </w:div>
    <w:div w:id="1057701198">
      <w:bodyDiv w:val="1"/>
      <w:marLeft w:val="0"/>
      <w:marRight w:val="0"/>
      <w:marTop w:val="0"/>
      <w:marBottom w:val="0"/>
      <w:divBdr>
        <w:top w:val="none" w:sz="0" w:space="0" w:color="auto"/>
        <w:left w:val="none" w:sz="0" w:space="0" w:color="auto"/>
        <w:bottom w:val="none" w:sz="0" w:space="0" w:color="auto"/>
        <w:right w:val="none" w:sz="0" w:space="0" w:color="auto"/>
      </w:divBdr>
    </w:div>
    <w:div w:id="105933021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922418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864722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maria.nieto%40colombiacompra.gov.co%7C7cfff6dece924643582c08dd97bfed90%7C7b09041e245149d08cb179d5e3d8c1be%7C0%7C0%7C638833572796123304%7CUnknown%7CTWFpbGZsb3d8eyJFbXB0eU1hcGkiOnRydWUsIlYiOiIwLjAuMDAwMCIsIlAiOiJXaW4zMiIsIkFOIjoiTWFpbCIsIldUIjoyfQ%3D%3D%7C0%7C%7C%7C&amp;sdata=YGIZkSb6OXEWu64aAN2Xg1ASRT%2B%2FFCRMkzA9l2l6jB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anasalazarm99@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222FE44-90C1-428F-AA25-D473F538B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4A02D7E-4DB6-483B-9A80-2BDA9D7941BD}">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http://www.w3.org/XML/1998/namespace"/>
    <ds:schemaRef ds:uri="a6cb9e4b-f1d1-4245-83ec-6cad768d538a"/>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5887</Words>
  <Characters>32383</Characters>
  <Application>Microsoft Office Word</Application>
  <DocSecurity>0</DocSecurity>
  <Lines>269</Lines>
  <Paragraphs>76</Paragraphs>
  <ScaleCrop>false</ScaleCrop>
  <Company/>
  <LinksUpToDate>false</LinksUpToDate>
  <CharactersWithSpaces>38194</CharactersWithSpaces>
  <SharedDoc>false</SharedDoc>
  <HLinks>
    <vt:vector size="24" baseType="variant">
      <vt:variant>
        <vt:i4>7471218</vt:i4>
      </vt:variant>
      <vt:variant>
        <vt:i4>6</vt:i4>
      </vt:variant>
      <vt:variant>
        <vt:i4>0</vt:i4>
      </vt:variant>
      <vt:variant>
        <vt:i4>5</vt:i4>
      </vt:variant>
      <vt:variant>
        <vt:lpwstr>https://relatoria.colombiacompra.gov.co/busqueda/conceptos</vt:lpwstr>
      </vt:variant>
      <vt:variant>
        <vt:lpwstr/>
      </vt:variant>
      <vt:variant>
        <vt:i4>7274555</vt:i4>
      </vt:variant>
      <vt:variant>
        <vt:i4>3</vt:i4>
      </vt:variant>
      <vt:variant>
        <vt:i4>0</vt:i4>
      </vt:variant>
      <vt:variant>
        <vt:i4>5</vt:i4>
      </vt:variant>
      <vt:variant>
        <vt:lpwstr>https://www.colombiacompra.gov.co/wp-content/uploads/2024/08/manual_de_la_modalidad_de_seleccion_de_minima_cuantia.pdf</vt:lpwstr>
      </vt:variant>
      <vt:variant>
        <vt:lpwstr/>
      </vt:variant>
      <vt:variant>
        <vt:i4>5701736</vt:i4>
      </vt:variant>
      <vt:variant>
        <vt:i4>0</vt:i4>
      </vt:variant>
      <vt:variant>
        <vt:i4>0</vt:i4>
      </vt:variant>
      <vt:variant>
        <vt:i4>5</vt:i4>
      </vt:variant>
      <vt:variant>
        <vt:lpwstr>mailto:marianasalazarm99@hotmail.com</vt:lpwstr>
      </vt:variant>
      <vt:variant>
        <vt:lpwstr/>
      </vt:variant>
      <vt:variant>
        <vt:i4>7405586</vt:i4>
      </vt:variant>
      <vt:variant>
        <vt:i4>0</vt:i4>
      </vt:variant>
      <vt:variant>
        <vt:i4>0</vt:i4>
      </vt:variant>
      <vt:variant>
        <vt:i4>5</vt:i4>
      </vt:variant>
      <vt:variant>
        <vt:lpwstr>https://www.colombiacompra.gov.co/sites/cce_public/files/cce_documents/cce-eicp-ma-05._manual_de_modalidad_de_seleccion_de_minima_cuantia_v.02.pdf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2025-07-03T17:36:00Z</dcterms:created>
  <dcterms:modified xsi:type="dcterms:W3CDTF">2025-07-03T17:36:00Z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