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4CF7" w14:textId="77777777" w:rsidR="00D3215D" w:rsidRPr="000C7D33" w:rsidRDefault="00D3215D" w:rsidP="00D3215D">
      <w:pPr>
        <w:spacing w:after="0" w:line="240" w:lineRule="auto"/>
        <w:jc w:val="both"/>
        <w:rPr>
          <w:rFonts w:ascii="Verdana" w:eastAsia="Verdana" w:hAnsi="Verdana" w:cs="Verdana"/>
          <w:b/>
          <w:lang w:val="es-ES"/>
        </w:rPr>
      </w:pPr>
      <w:bookmarkStart w:id="0" w:name="_Hlk143780582"/>
      <w:r w:rsidRPr="000C7D33">
        <w:rPr>
          <w:rFonts w:ascii="Verdana" w:eastAsia="Verdana" w:hAnsi="Verdana" w:cs="Verdana"/>
          <w:b/>
          <w:lang w:val="es-ES"/>
        </w:rPr>
        <w:t xml:space="preserve">RÉGIMEN EXCEPCIONAL – Justificación – Criterios de clasificación </w:t>
      </w:r>
    </w:p>
    <w:p w14:paraId="55DE7692" w14:textId="77777777" w:rsidR="00D3215D" w:rsidRPr="000C7D33" w:rsidRDefault="00D3215D" w:rsidP="00D3215D">
      <w:pPr>
        <w:spacing w:after="0" w:line="240" w:lineRule="auto"/>
        <w:jc w:val="both"/>
        <w:rPr>
          <w:rFonts w:ascii="Verdana" w:eastAsia="Verdana" w:hAnsi="Verdana" w:cs="Verdana"/>
          <w:b/>
          <w:lang w:val="es-ES"/>
        </w:rPr>
      </w:pPr>
    </w:p>
    <w:p w14:paraId="5277ACE2" w14:textId="3F061B7C" w:rsidR="00D3215D" w:rsidRPr="000C7D33" w:rsidRDefault="00D3215D" w:rsidP="00D3215D">
      <w:pPr>
        <w:spacing w:after="0" w:line="240" w:lineRule="auto"/>
        <w:jc w:val="both"/>
        <w:rPr>
          <w:rFonts w:ascii="Verdana" w:eastAsia="Verdana" w:hAnsi="Verdana" w:cs="Verdana"/>
          <w:bCs/>
          <w:sz w:val="20"/>
          <w:lang w:val="es-MX"/>
        </w:rPr>
      </w:pPr>
      <w:r w:rsidRPr="000C7D33">
        <w:rPr>
          <w:rFonts w:ascii="Verdana" w:eastAsia="Verdana" w:hAnsi="Verdana" w:cs="Verdana"/>
          <w:bCs/>
          <w:sz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0C7D33">
        <w:rPr>
          <w:rFonts w:ascii="Verdana" w:eastAsia="Verdana" w:hAnsi="Verdana" w:cs="Verdana"/>
          <w:bCs/>
          <w:i/>
          <w:iCs/>
          <w:sz w:val="20"/>
          <w:lang w:val="es-MX"/>
        </w:rPr>
        <w:t>entidades estatales que prestan los servicios públicos</w:t>
      </w:r>
      <w:r w:rsidRPr="000C7D33">
        <w:rPr>
          <w:rFonts w:ascii="Verdana" w:eastAsia="Verdana" w:hAnsi="Verdana" w:cs="Verdana"/>
          <w:bCs/>
          <w:sz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así como los requeridos para la administración y el ejercicio de los derechos de todas las personas que sean socias de ellas, en lo no dispuesto en esta Ley, se regirán exclusivamente por las reglas del derecho privado”</w:t>
      </w:r>
      <w:r>
        <w:rPr>
          <w:rFonts w:ascii="Verdana" w:eastAsia="Verdana" w:hAnsi="Verdana" w:cs="Verdana"/>
          <w:bCs/>
          <w:sz w:val="20"/>
          <w:lang w:val="es-MX"/>
        </w:rPr>
        <w:t>.</w:t>
      </w:r>
    </w:p>
    <w:p w14:paraId="54303EE1" w14:textId="77777777" w:rsidR="00D3215D" w:rsidRPr="000C7D33" w:rsidRDefault="00D3215D" w:rsidP="00D3215D">
      <w:pPr>
        <w:spacing w:after="0" w:line="240" w:lineRule="auto"/>
        <w:jc w:val="both"/>
        <w:rPr>
          <w:rFonts w:ascii="Verdana" w:eastAsia="Verdana" w:hAnsi="Verdana" w:cs="Verdana"/>
          <w:b/>
          <w:lang w:val="es-ES"/>
        </w:rPr>
      </w:pPr>
    </w:p>
    <w:p w14:paraId="59E92357" w14:textId="77777777" w:rsidR="00D3215D" w:rsidRPr="000C7D33" w:rsidRDefault="00D3215D" w:rsidP="00D3215D">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Naturaleza – régimen especial </w:t>
      </w:r>
    </w:p>
    <w:p w14:paraId="5FFDA622" w14:textId="77777777" w:rsidR="00D3215D" w:rsidRPr="000C7D33" w:rsidRDefault="00D3215D" w:rsidP="00D3215D">
      <w:pPr>
        <w:spacing w:after="0" w:line="240" w:lineRule="auto"/>
        <w:jc w:val="both"/>
        <w:rPr>
          <w:rFonts w:ascii="Verdana" w:eastAsia="Verdana" w:hAnsi="Verdana" w:cs="Verdana"/>
          <w:b/>
          <w:lang w:val="es-ES"/>
        </w:rPr>
      </w:pPr>
    </w:p>
    <w:p w14:paraId="20DB44EA" w14:textId="77777777" w:rsidR="00D3215D" w:rsidRPr="000C7D33" w:rsidRDefault="00D3215D" w:rsidP="00D3215D">
      <w:pPr>
        <w:spacing w:after="0" w:line="240" w:lineRule="auto"/>
        <w:jc w:val="both"/>
        <w:rPr>
          <w:rFonts w:ascii="Verdana" w:eastAsia="Verdana" w:hAnsi="Verdana" w:cs="Verdana"/>
          <w:sz w:val="20"/>
        </w:rPr>
      </w:pPr>
      <w:r w:rsidRPr="000C7D33">
        <w:rPr>
          <w:rFonts w:ascii="Verdana" w:eastAsia="Verdana" w:hAnsi="Verdana" w:cs="Verdana"/>
          <w:bCs/>
          <w:sz w:val="20"/>
          <w:lang w:val="es-MX"/>
        </w:rPr>
        <w:t xml:space="preserve">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xml:space="preserve">, así como los requeridos para la administración y el ejercicio de los derechos de todas las personas que sean socias de ellas, en lo no dispuesto en esta Ley, se regirán exclusivamente por las reglas del derecho privado” (Énfasis fuera de texto). </w:t>
      </w:r>
      <w:r w:rsidRPr="000C7D33">
        <w:rPr>
          <w:rFonts w:ascii="Verdana" w:eastAsia="Verdana" w:hAnsi="Verdana" w:cs="Verdana"/>
          <w:sz w:val="20"/>
          <w:lang w:val="es-ES"/>
        </w:rPr>
        <w:t xml:space="preserve">De esta manera, el máximo órgano de la Jurisdicción de lo Contencioso Administrativo considera que: “En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16EF8154" w14:textId="77777777" w:rsidR="00D3215D" w:rsidRPr="000C7D33" w:rsidRDefault="00D3215D" w:rsidP="00D3215D">
      <w:pPr>
        <w:spacing w:after="0" w:line="240" w:lineRule="auto"/>
        <w:jc w:val="both"/>
        <w:rPr>
          <w:rFonts w:ascii="Verdana" w:eastAsia="Verdana" w:hAnsi="Verdana" w:cs="Verdana"/>
          <w:b/>
          <w:lang w:val="es-ES"/>
        </w:rPr>
      </w:pPr>
    </w:p>
    <w:p w14:paraId="7D412F74" w14:textId="77777777" w:rsidR="00D3215D" w:rsidRPr="000C7D33" w:rsidRDefault="00D3215D" w:rsidP="00D3215D">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Mixtas – Privadas con participación estatal – Entidades descentralizadas por servicios – Sentencia C-736 de 2007 </w:t>
      </w:r>
    </w:p>
    <w:p w14:paraId="48C68155" w14:textId="77777777" w:rsidR="00D3215D" w:rsidRPr="000C7D33" w:rsidRDefault="00D3215D" w:rsidP="00D3215D">
      <w:pPr>
        <w:spacing w:after="0" w:line="240" w:lineRule="auto"/>
        <w:jc w:val="both"/>
        <w:rPr>
          <w:rFonts w:ascii="Verdana" w:eastAsia="Verdana" w:hAnsi="Verdana" w:cs="Verdana"/>
          <w:b/>
          <w:lang w:val="es-ES"/>
        </w:rPr>
      </w:pPr>
    </w:p>
    <w:p w14:paraId="025C6E07" w14:textId="77777777" w:rsidR="00D3215D" w:rsidRDefault="00D3215D" w:rsidP="00D3215D">
      <w:pPr>
        <w:spacing w:after="0" w:line="240" w:lineRule="auto"/>
        <w:jc w:val="both"/>
        <w:rPr>
          <w:rFonts w:ascii="Verdana" w:eastAsia="Verdana" w:hAnsi="Verdana" w:cs="Verdana"/>
          <w:bCs/>
          <w:sz w:val="20"/>
          <w:lang w:val="es-ES_tradnl"/>
        </w:rPr>
      </w:pPr>
      <w:r w:rsidRPr="000C7D33">
        <w:rPr>
          <w:rFonts w:ascii="Verdana" w:eastAsia="Verdana" w:hAnsi="Verdana" w:cs="Verdana"/>
          <w:bCs/>
          <w:sz w:val="20"/>
          <w:lang w:val="es-ES_tradnl"/>
        </w:rPr>
        <w:t xml:space="preserve">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0C7D33">
        <w:rPr>
          <w:rFonts w:ascii="Verdana" w:eastAsia="Verdana" w:hAnsi="Verdana" w:cs="Verdana"/>
          <w:bCs/>
          <w:i/>
          <w:iCs/>
          <w:sz w:val="20"/>
          <w:lang w:val="es-ES_tradnl"/>
        </w:rPr>
        <w:t>oficiales</w:t>
      </w:r>
      <w:r w:rsidRPr="000C7D33">
        <w:rPr>
          <w:rFonts w:ascii="Verdana" w:eastAsia="Verdana" w:hAnsi="Verdana" w:cs="Verdana"/>
          <w:bCs/>
          <w:sz w:val="20"/>
          <w:lang w:val="es-ES_tradnl"/>
        </w:rPr>
        <w:t xml:space="preserve">, </w:t>
      </w:r>
      <w:r w:rsidRPr="000C7D33">
        <w:rPr>
          <w:rFonts w:ascii="Verdana" w:eastAsia="Verdana" w:hAnsi="Verdana" w:cs="Verdana"/>
          <w:bCs/>
          <w:i/>
          <w:iCs/>
          <w:sz w:val="20"/>
          <w:lang w:val="es-ES_tradnl"/>
        </w:rPr>
        <w:t>mixtas</w:t>
      </w:r>
      <w:r w:rsidRPr="000C7D33">
        <w:rPr>
          <w:rFonts w:ascii="Verdana" w:eastAsia="Verdana" w:hAnsi="Verdana" w:cs="Verdana"/>
          <w:bCs/>
          <w:sz w:val="20"/>
          <w:lang w:val="es-ES_tradnl"/>
        </w:rPr>
        <w:t xml:space="preserve"> o </w:t>
      </w:r>
      <w:r w:rsidRPr="000C7D33">
        <w:rPr>
          <w:rFonts w:ascii="Verdana" w:eastAsia="Verdana" w:hAnsi="Verdana" w:cs="Verdana"/>
          <w:bCs/>
          <w:i/>
          <w:iCs/>
          <w:sz w:val="20"/>
          <w:lang w:val="es-ES_tradnl"/>
        </w:rPr>
        <w:t>privadas</w:t>
      </w:r>
      <w:r w:rsidRPr="000C7D33">
        <w:rPr>
          <w:rFonts w:ascii="Verdana" w:eastAsia="Verdana" w:hAnsi="Verdana" w:cs="Verdana"/>
          <w:bCs/>
          <w:sz w:val="20"/>
          <w:lang w:val="es-ES_tradnl"/>
        </w:rPr>
        <w:t xml:space="preserve">, estas tres especies ingresan en la categoría de las </w:t>
      </w:r>
      <w:r w:rsidRPr="000C7D33">
        <w:rPr>
          <w:rFonts w:ascii="Verdana" w:eastAsia="Verdana" w:hAnsi="Verdana" w:cs="Verdana"/>
          <w:bCs/>
          <w:i/>
          <w:iCs/>
          <w:sz w:val="20"/>
          <w:lang w:val="es-ES_tradnl"/>
        </w:rPr>
        <w:t>entidades descentralizadas por servicios</w:t>
      </w:r>
      <w:r w:rsidRPr="000C7D33">
        <w:rPr>
          <w:rFonts w:ascii="Verdana" w:eastAsia="Verdana" w:hAnsi="Verdana" w:cs="Verdana"/>
          <w:bCs/>
          <w:sz w:val="20"/>
          <w:lang w:val="es-ES_tradnl"/>
        </w:rPr>
        <w:t xml:space="preserve">, es decir, hacen parte de la Rama Ejecutiva del Orden Público.  </w:t>
      </w:r>
    </w:p>
    <w:p w14:paraId="2EF5B559" w14:textId="77777777" w:rsidR="00D3215D" w:rsidRPr="000C7D33" w:rsidRDefault="00D3215D" w:rsidP="00D3215D">
      <w:pPr>
        <w:spacing w:after="0" w:line="240" w:lineRule="auto"/>
        <w:jc w:val="both"/>
        <w:rPr>
          <w:rFonts w:ascii="Verdana" w:eastAsia="Verdana" w:hAnsi="Verdana" w:cs="Verdana"/>
          <w:bCs/>
          <w:sz w:val="20"/>
          <w:lang w:val="es-ES_tradnl"/>
        </w:rPr>
      </w:pPr>
    </w:p>
    <w:p w14:paraId="233AD0A8" w14:textId="77777777" w:rsidR="00D3215D" w:rsidRPr="000C7D33" w:rsidRDefault="00D3215D" w:rsidP="00D3215D">
      <w:pPr>
        <w:spacing w:after="0" w:line="240" w:lineRule="auto"/>
        <w:jc w:val="both"/>
        <w:rPr>
          <w:rFonts w:ascii="Verdana" w:eastAsia="Verdana" w:hAnsi="Verdana" w:cs="Verdana"/>
          <w:sz w:val="20"/>
          <w:lang w:val="es-ES"/>
        </w:rPr>
      </w:pPr>
      <w:r w:rsidRPr="000C7D33">
        <w:rPr>
          <w:rFonts w:ascii="Verdana" w:eastAsia="Verdana" w:hAnsi="Verdana" w:cs="Verdana"/>
          <w:bCs/>
          <w:sz w:val="20"/>
          <w:lang w:val="es-ES_tradnl"/>
        </w:rPr>
        <w:t xml:space="preserve">Al respecto, debe recordarse que en dicha Sentencia el alto tribunal afirmó que las empresas prestadoras de servicios públicos domiciliarios </w:t>
      </w:r>
      <w:r w:rsidRPr="000C7D33">
        <w:rPr>
          <w:rFonts w:ascii="Verdana" w:eastAsia="Verdana" w:hAnsi="Verdana" w:cs="Verdana"/>
          <w:bCs/>
          <w:i/>
          <w:iCs/>
          <w:sz w:val="20"/>
          <w:lang w:val="es-ES_tradnl"/>
        </w:rPr>
        <w:t>mixtas y privadas</w:t>
      </w:r>
      <w:r w:rsidRPr="000C7D33">
        <w:rPr>
          <w:rFonts w:ascii="Verdana" w:eastAsia="Verdana" w:hAnsi="Verdana" w:cs="Verdana"/>
          <w:bCs/>
          <w:sz w:val="20"/>
          <w:lang w:val="es-ES_tradnl"/>
        </w:rPr>
        <w:t xml:space="preserve"> con aportes estatales son tipos </w:t>
      </w:r>
      <w:r w:rsidRPr="000C7D33">
        <w:rPr>
          <w:rFonts w:ascii="Verdana" w:eastAsia="Verdana" w:hAnsi="Verdana" w:cs="Verdana"/>
          <w:bCs/>
          <w:i/>
          <w:iCs/>
          <w:sz w:val="20"/>
          <w:lang w:val="es-ES_tradnl"/>
        </w:rPr>
        <w:t>especiales</w:t>
      </w:r>
      <w:r w:rsidRPr="000C7D33">
        <w:rPr>
          <w:rFonts w:ascii="Verdana" w:eastAsia="Verdana" w:hAnsi="Verdana" w:cs="Verdana"/>
          <w:bCs/>
          <w:sz w:val="20"/>
          <w:lang w:val="es-ES_tradnl"/>
        </w:rPr>
        <w:t xml:space="preserve"> de entidades descentralizadas por servicios que, por tanto, </w:t>
      </w:r>
      <w:r w:rsidRPr="000C7D33">
        <w:rPr>
          <w:rFonts w:ascii="Verdana" w:eastAsia="Verdana" w:hAnsi="Verdana" w:cs="Verdana"/>
          <w:bCs/>
          <w:sz w:val="20"/>
          <w:lang w:val="es-ES_tradnl"/>
        </w:rPr>
        <w:lastRenderedPageBreak/>
        <w:t>no pueden enmarcarse en las otras especies de entidades descentralizadas por servicios enlistadas en el artículo 38 de la Ley 489 de 1998, es decir, que no cabe considerarlas, verbigracia, dentro de las sociedades públicas ni en las sociedades de economía mixta.</w:t>
      </w:r>
    </w:p>
    <w:p w14:paraId="226385CA" w14:textId="77777777" w:rsidR="00D3215D" w:rsidRPr="000C7D33" w:rsidRDefault="00D3215D" w:rsidP="00D3215D">
      <w:pPr>
        <w:spacing w:after="0" w:line="240" w:lineRule="auto"/>
        <w:jc w:val="both"/>
        <w:rPr>
          <w:rFonts w:ascii="Verdana" w:eastAsia="Verdana" w:hAnsi="Verdana" w:cs="Verdana"/>
          <w:b/>
          <w:lang w:val="es-ES"/>
        </w:rPr>
      </w:pPr>
    </w:p>
    <w:p w14:paraId="5F10582B" w14:textId="77777777" w:rsidR="00D3215D" w:rsidRPr="000C7D33" w:rsidRDefault="00D3215D" w:rsidP="00D3215D">
      <w:pPr>
        <w:spacing w:after="0" w:line="240" w:lineRule="auto"/>
        <w:jc w:val="both"/>
        <w:rPr>
          <w:rFonts w:ascii="Verdana" w:eastAsia="Verdana" w:hAnsi="Verdana" w:cs="Verdana"/>
          <w:b/>
          <w:lang w:val="es-ES"/>
        </w:rPr>
      </w:pPr>
      <w:r w:rsidRPr="000C7D33">
        <w:rPr>
          <w:rFonts w:ascii="Verdana" w:eastAsia="Verdana" w:hAnsi="Verdana" w:cs="Verdana"/>
          <w:b/>
          <w:lang w:val="es-ES"/>
        </w:rPr>
        <w:t>EMPRESAS PRIVADAS DE SERVICIOS PÚBLICOS – Capital – 100% privadas – Naturaleza</w:t>
      </w:r>
    </w:p>
    <w:p w14:paraId="111355E5" w14:textId="77777777" w:rsidR="00D3215D" w:rsidRPr="000C7D33" w:rsidRDefault="00D3215D" w:rsidP="00D3215D">
      <w:pPr>
        <w:spacing w:after="0" w:line="240" w:lineRule="auto"/>
        <w:jc w:val="both"/>
        <w:rPr>
          <w:rFonts w:ascii="Verdana" w:eastAsia="Verdana" w:hAnsi="Verdana" w:cs="Verdana"/>
          <w:b/>
          <w:lang w:val="es-ES"/>
        </w:rPr>
      </w:pPr>
    </w:p>
    <w:p w14:paraId="2DD2F7BA" w14:textId="77777777" w:rsidR="00D3215D" w:rsidRPr="00ED0AD9" w:rsidRDefault="00D3215D" w:rsidP="00D3215D">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117663A1" w14:textId="77777777" w:rsidR="00D3215D" w:rsidRPr="00ED0AD9" w:rsidRDefault="00D3215D" w:rsidP="00D3215D">
      <w:pPr>
        <w:spacing w:after="0" w:line="240" w:lineRule="auto"/>
        <w:jc w:val="both"/>
        <w:rPr>
          <w:rFonts w:ascii="Verdana" w:eastAsia="Verdana" w:hAnsi="Verdana" w:cs="Verdana"/>
          <w:sz w:val="20"/>
          <w:lang w:val="es-ES"/>
        </w:rPr>
      </w:pPr>
    </w:p>
    <w:p w14:paraId="05D8CECA" w14:textId="77777777" w:rsidR="00D3215D" w:rsidRPr="00ED0AD9" w:rsidRDefault="00D3215D" w:rsidP="00D3215D">
      <w:pPr>
        <w:spacing w:after="0" w:line="240" w:lineRule="auto"/>
        <w:jc w:val="both"/>
        <w:rPr>
          <w:rFonts w:ascii="Verdana" w:eastAsia="Verdana" w:hAnsi="Verdana" w:cs="Verdana"/>
          <w:sz w:val="20"/>
        </w:rPr>
      </w:pPr>
      <w:r w:rsidRPr="00ED0AD9">
        <w:rPr>
          <w:rFonts w:ascii="Verdana" w:eastAsia="Verdana" w:hAnsi="Verdana" w:cs="Verdana"/>
          <w:sz w:val="20"/>
          <w:lang w:val="es-ES"/>
        </w:rPr>
        <w:t>La primera postura es la que resalta la doctrina, donde se expone que el pronunciamiento de constitucionalidad implica que lo dispuesto en el literal g) se subsumen las empresas de servicios públicos mixtas o privadas</w:t>
      </w:r>
      <w:r w:rsidRPr="00ED0AD9">
        <w:rPr>
          <w:rFonts w:ascii="Verdana" w:eastAsia="Verdana" w:hAnsi="Verdana" w:cs="Verdana"/>
          <w:sz w:val="20"/>
        </w:rPr>
        <w:t xml:space="preserve"> (en torno a las últimas ya no precisa si tienen aporte estatal) como parte de la Rama Ejecutiva en su sector descentralizado. </w:t>
      </w:r>
    </w:p>
    <w:p w14:paraId="6981D0CE" w14:textId="77777777" w:rsidR="00D3215D" w:rsidRPr="00ED0AD9" w:rsidRDefault="00D3215D" w:rsidP="00D3215D">
      <w:pPr>
        <w:spacing w:after="0" w:line="240" w:lineRule="auto"/>
        <w:jc w:val="both"/>
        <w:rPr>
          <w:rFonts w:ascii="Verdana" w:eastAsia="Verdana" w:hAnsi="Verdana" w:cs="Verdana"/>
          <w:sz w:val="20"/>
        </w:rPr>
      </w:pPr>
    </w:p>
    <w:p w14:paraId="34345C3B" w14:textId="77777777" w:rsidR="00D3215D" w:rsidRPr="00ED0AD9" w:rsidRDefault="00D3215D" w:rsidP="00D3215D">
      <w:pPr>
        <w:spacing w:after="0" w:line="240" w:lineRule="auto"/>
        <w:jc w:val="both"/>
        <w:rPr>
          <w:rFonts w:ascii="Verdana" w:eastAsia="Verdana" w:hAnsi="Verdana" w:cs="Verdana"/>
          <w:sz w:val="20"/>
        </w:rPr>
      </w:pPr>
      <w:r w:rsidRPr="00ED0AD9">
        <w:rPr>
          <w:rFonts w:ascii="Verdana" w:eastAsia="Verdana" w:hAnsi="Verdana" w:cs="Verdana"/>
          <w:sz w:val="20"/>
          <w:lang w:val="es-ES"/>
        </w:rPr>
        <w:t>La segunda postura que también se deriva de la interpretación de la sentencia es que la Corte Constitucional</w:t>
      </w:r>
      <w:r w:rsidRPr="00ED0AD9">
        <w:rPr>
          <w:rFonts w:ascii="Verdana" w:eastAsia="Verdana" w:hAnsi="Verdana" w:cs="Verdana"/>
          <w:sz w:val="20"/>
        </w:rPr>
        <w:t xml:space="preserve"> </w:t>
      </w:r>
      <w:r w:rsidRPr="00ED0AD9">
        <w:rPr>
          <w:rFonts w:ascii="Verdana" w:eastAsia="Verdana" w:hAnsi="Verdana" w:cs="Verdana"/>
          <w:sz w:val="20"/>
          <w:lang w:val="es-ES"/>
        </w:rPr>
        <w:t xml:space="preserve">determinó que las empresas de servicios públicos domiciliarios mixtas y privadas con participación estatal constituyen una categoría especial de entidades descentralizadas por servicios. En esta línea, se destaca que el encabezado de la consideración 5.3. alude expresamente, así como en varios apartes que son entidades descentralizadas por servicios las </w:t>
      </w:r>
      <w:r w:rsidRPr="00ED0AD9">
        <w:rPr>
          <w:rFonts w:ascii="Verdana" w:eastAsia="Verdana" w:hAnsi="Verdana" w:cs="Verdana"/>
          <w:bCs/>
          <w:sz w:val="20"/>
          <w:lang w:val="es-ES"/>
        </w:rPr>
        <w:t xml:space="preserve">empresas de servicios públicos mixtas y privadas en las cuales haya cualquier porcentaje de participación pública. </w:t>
      </w:r>
      <w:r w:rsidRPr="00ED0AD9">
        <w:rPr>
          <w:rFonts w:ascii="Verdana" w:eastAsia="Verdana" w:hAnsi="Verdana" w:cs="Verdana"/>
          <w:sz w:val="20"/>
          <w:lang w:val="es-ES"/>
        </w:rPr>
        <w:t xml:space="preserve">Esta interpretación se complementa con la Ley 142 de 1994, que define los tipos societarios según la proporción de capital estatal y privado, entendiendo como empresa privada de servicios públicos como </w:t>
      </w:r>
      <w:r w:rsidRPr="00ED0AD9">
        <w:rPr>
          <w:rFonts w:ascii="Verdana" w:eastAsia="Verdana" w:hAnsi="Verdana" w:cs="Verdana"/>
          <w:sz w:val="20"/>
        </w:rPr>
        <w:t>aquella cuyo capital pertenece mayoritariamente a particulares o a entidades internacionales que se acogen al régimen privado, lo que implica una participación minoritaria del Estado.</w:t>
      </w:r>
    </w:p>
    <w:p w14:paraId="57C324C4" w14:textId="77777777" w:rsidR="00D3215D" w:rsidRPr="00ED0AD9" w:rsidRDefault="00D3215D" w:rsidP="00D3215D">
      <w:pPr>
        <w:spacing w:after="0" w:line="240" w:lineRule="auto"/>
        <w:jc w:val="both"/>
        <w:rPr>
          <w:rFonts w:ascii="Verdana" w:eastAsia="Verdana" w:hAnsi="Verdana" w:cs="Verdana"/>
          <w:sz w:val="20"/>
        </w:rPr>
      </w:pPr>
    </w:p>
    <w:p w14:paraId="74664B2B" w14:textId="77777777" w:rsidR="00D3215D" w:rsidRPr="00ED0AD9" w:rsidRDefault="00D3215D" w:rsidP="00D3215D">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135E93E7" w14:textId="77777777" w:rsidR="00D3215D" w:rsidRPr="00ED0AD9" w:rsidRDefault="00D3215D" w:rsidP="00D3215D">
      <w:pPr>
        <w:spacing w:after="0" w:line="240" w:lineRule="auto"/>
        <w:jc w:val="both"/>
        <w:rPr>
          <w:rFonts w:ascii="Verdana" w:eastAsia="Verdana" w:hAnsi="Verdana" w:cs="Verdana"/>
          <w:sz w:val="20"/>
          <w:lang w:val="es-ES"/>
        </w:rPr>
      </w:pPr>
    </w:p>
    <w:p w14:paraId="2E5CD252"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CONTRATOS Y CONVENIOS INTERADMINISTRATIVOS – Noción – Diferencias </w:t>
      </w:r>
    </w:p>
    <w:p w14:paraId="39FD5F9E" w14:textId="77777777" w:rsidR="00D3215D" w:rsidRDefault="00D3215D" w:rsidP="00D3215D">
      <w:pPr>
        <w:spacing w:after="0" w:line="240" w:lineRule="auto"/>
        <w:jc w:val="both"/>
        <w:rPr>
          <w:rFonts w:ascii="Verdana" w:eastAsia="Verdana" w:hAnsi="Verdana" w:cs="Verdana"/>
          <w:bCs/>
          <w:sz w:val="20"/>
          <w:lang w:val="es-ES"/>
        </w:rPr>
      </w:pPr>
    </w:p>
    <w:p w14:paraId="484A0358"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w:t>
      </w:r>
    </w:p>
    <w:p w14:paraId="0BCFDED8" w14:textId="77777777" w:rsidR="00D3215D" w:rsidRDefault="00D3215D" w:rsidP="00D3215D">
      <w:pPr>
        <w:spacing w:after="0" w:line="240" w:lineRule="auto"/>
        <w:jc w:val="both"/>
        <w:rPr>
          <w:rFonts w:ascii="Verdana" w:eastAsia="Verdana" w:hAnsi="Verdana" w:cs="Verdana"/>
          <w:bCs/>
          <w:sz w:val="20"/>
          <w:lang w:val="es-ES"/>
        </w:rPr>
      </w:pPr>
    </w:p>
    <w:p w14:paraId="5A6F23BB" w14:textId="2103047C" w:rsidR="00D3215D" w:rsidRDefault="00D3215D" w:rsidP="00D3215D">
      <w:pPr>
        <w:spacing w:after="0" w:line="240" w:lineRule="auto"/>
        <w:jc w:val="both"/>
        <w:rPr>
          <w:rFonts w:ascii="Verdana" w:eastAsia="Verdana" w:hAnsi="Verdana" w:cs="Verdana"/>
          <w:bCs/>
          <w:sz w:val="20"/>
          <w:lang w:val="es-ES"/>
        </w:rPr>
      </w:pPr>
      <w:r>
        <w:rPr>
          <w:rFonts w:ascii="Verdana" w:eastAsia="Verdana" w:hAnsi="Verdana" w:cs="Verdana"/>
          <w:bCs/>
          <w:sz w:val="20"/>
          <w:lang w:val="es-ES"/>
        </w:rPr>
        <w:t>[…]</w:t>
      </w:r>
    </w:p>
    <w:p w14:paraId="3F6F0441" w14:textId="77777777" w:rsidR="00D3215D" w:rsidRDefault="00D3215D" w:rsidP="00D3215D">
      <w:pPr>
        <w:spacing w:after="0" w:line="240" w:lineRule="auto"/>
        <w:jc w:val="both"/>
        <w:rPr>
          <w:rFonts w:ascii="Verdana" w:eastAsia="Verdana" w:hAnsi="Verdana" w:cs="Verdana"/>
          <w:bCs/>
          <w:sz w:val="20"/>
        </w:rPr>
      </w:pPr>
    </w:p>
    <w:p w14:paraId="74BA91D3" w14:textId="68592861" w:rsidR="00D3215D" w:rsidRPr="00ED0AD9" w:rsidRDefault="00D3215D" w:rsidP="00D3215D">
      <w:pPr>
        <w:spacing w:after="0" w:line="240" w:lineRule="auto"/>
        <w:jc w:val="both"/>
        <w:rPr>
          <w:rFonts w:ascii="Verdana" w:eastAsia="Verdana" w:hAnsi="Verdana" w:cs="Verdana"/>
          <w:bCs/>
          <w:sz w:val="20"/>
          <w:lang w:val="es-ES"/>
        </w:rPr>
      </w:pPr>
      <w:r w:rsidRPr="00BE429B">
        <w:rPr>
          <w:rFonts w:ascii="Verdana" w:eastAsia="Verdana" w:hAnsi="Verdana" w:cs="Verdana"/>
          <w:bCs/>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34794423" w14:textId="77777777" w:rsidR="00D3215D" w:rsidRPr="000C7D33" w:rsidRDefault="00D3215D" w:rsidP="00D3215D">
      <w:pPr>
        <w:spacing w:after="0" w:line="240" w:lineRule="auto"/>
        <w:jc w:val="both"/>
        <w:rPr>
          <w:rFonts w:ascii="Verdana" w:eastAsia="Verdana" w:hAnsi="Verdana" w:cs="Verdana"/>
          <w:b/>
          <w:bCs/>
          <w:lang w:val="es-ES"/>
        </w:rPr>
      </w:pPr>
    </w:p>
    <w:p w14:paraId="2B37CF8D"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CONVENIO INTERADMINISTRATIVO – Naturaleza – Inaplicabilidad – Ley 80 de 1993</w:t>
      </w:r>
    </w:p>
    <w:p w14:paraId="17223016" w14:textId="77777777" w:rsidR="00D3215D" w:rsidRPr="000C7D33" w:rsidRDefault="00D3215D" w:rsidP="00D3215D">
      <w:pPr>
        <w:spacing w:after="0" w:line="240" w:lineRule="auto"/>
        <w:jc w:val="both"/>
        <w:rPr>
          <w:rFonts w:ascii="Verdana" w:eastAsia="Verdana" w:hAnsi="Verdana" w:cs="Verdana"/>
          <w:b/>
          <w:bCs/>
          <w:lang w:val="es-ES"/>
        </w:rPr>
      </w:pPr>
    </w:p>
    <w:p w14:paraId="159B89FF"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0B09B27D" w14:textId="77777777" w:rsidR="00D3215D" w:rsidRPr="00BE429B" w:rsidRDefault="00D3215D" w:rsidP="00D3215D">
      <w:pPr>
        <w:spacing w:after="0" w:line="240" w:lineRule="auto"/>
        <w:jc w:val="both"/>
        <w:rPr>
          <w:rFonts w:ascii="Verdana" w:eastAsia="Verdana" w:hAnsi="Verdana" w:cs="Verdana"/>
          <w:b/>
          <w:bCs/>
        </w:rPr>
      </w:pPr>
    </w:p>
    <w:p w14:paraId="0E111764"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SERVICIOS PÚBLICOS DOMICILIARIOS – Subsidios – Estado Social de Derecho </w:t>
      </w:r>
    </w:p>
    <w:p w14:paraId="40BB10B9" w14:textId="77777777" w:rsidR="00D3215D" w:rsidRPr="00BE429B" w:rsidRDefault="00D3215D" w:rsidP="00D3215D">
      <w:pPr>
        <w:spacing w:after="0" w:line="240" w:lineRule="auto"/>
        <w:jc w:val="both"/>
        <w:rPr>
          <w:rFonts w:ascii="Verdana" w:eastAsia="Verdana" w:hAnsi="Verdana" w:cs="Verdana"/>
          <w:bCs/>
          <w:sz w:val="20"/>
          <w:lang w:val="es-ES"/>
        </w:rPr>
      </w:pPr>
    </w:p>
    <w:p w14:paraId="637D684A" w14:textId="77777777" w:rsidR="00D3215D" w:rsidRPr="00BE429B" w:rsidRDefault="00D3215D" w:rsidP="00D3215D">
      <w:pPr>
        <w:spacing w:after="0" w:line="240" w:lineRule="auto"/>
        <w:jc w:val="both"/>
        <w:rPr>
          <w:rFonts w:ascii="Verdana" w:eastAsia="Verdana" w:hAnsi="Verdana" w:cs="Verdana"/>
          <w:bCs/>
          <w:iCs/>
          <w:sz w:val="20"/>
        </w:rPr>
      </w:pPr>
      <w:r w:rsidRPr="00BE429B">
        <w:rPr>
          <w:rFonts w:ascii="Verdana" w:eastAsia="Verdana" w:hAnsi="Verdana" w:cs="Verdana"/>
          <w:bCs/>
          <w:iCs/>
          <w:sz w:val="20"/>
        </w:rPr>
        <w:t xml:space="preserve">Como manifestación del deber de otorgar subsidios en el marco del Estado Social de Derecho, se encuentra el artículo 368 constitucional prescribe: “[…] La Nación, los departamentos, los distritos, los municipios y las entidades descentralizadas podrán conceder subsidios, en sus respectivos presupuestos, para que las personas de menores ingresos puedan pagar las tarifas de los servicios públicos domiciliarios que cubran sus necesidades básicas”. En tal sentido, dicho tratamiento constitucional se desarrolló en la Leyes 142 y 143 de 1994. </w:t>
      </w:r>
    </w:p>
    <w:p w14:paraId="5D16CBFA" w14:textId="77777777" w:rsidR="00D3215D" w:rsidRDefault="00D3215D" w:rsidP="00D3215D">
      <w:pPr>
        <w:spacing w:after="0" w:line="240" w:lineRule="auto"/>
        <w:jc w:val="both"/>
        <w:rPr>
          <w:rFonts w:ascii="Verdana" w:eastAsia="Verdana" w:hAnsi="Verdana" w:cs="Verdana"/>
          <w:bCs/>
          <w:iCs/>
          <w:sz w:val="20"/>
        </w:rPr>
      </w:pPr>
    </w:p>
    <w:p w14:paraId="4E9C21A4" w14:textId="77777777" w:rsidR="00D3215D" w:rsidRPr="00BE429B" w:rsidRDefault="00D3215D" w:rsidP="00D3215D">
      <w:pPr>
        <w:spacing w:after="0" w:line="240" w:lineRule="auto"/>
        <w:jc w:val="both"/>
        <w:rPr>
          <w:rFonts w:ascii="Verdana" w:eastAsia="Verdana" w:hAnsi="Verdana" w:cs="Verdana"/>
          <w:bCs/>
          <w:iCs/>
          <w:sz w:val="20"/>
          <w:lang w:val="es-ES"/>
        </w:rPr>
      </w:pPr>
      <w:r w:rsidRPr="00BE429B">
        <w:rPr>
          <w:rFonts w:ascii="Verdana" w:eastAsia="Verdana" w:hAnsi="Verdana" w:cs="Verdana"/>
          <w:bCs/>
          <w:iCs/>
          <w:sz w:val="20"/>
        </w:rPr>
        <w:t>Para ello, se hace una referencia especial a la Ley 142 de 1994, “por la cual se establece el régimen de los servicios públicos domiciliarios y se dictan otras disposiciones”. Dicha Ley en su artículo 3° establece que la intervención 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56C37907" w14:textId="77777777" w:rsidR="00D3215D" w:rsidRPr="00BE429B" w:rsidRDefault="00D3215D" w:rsidP="00D3215D">
      <w:pPr>
        <w:spacing w:after="0" w:line="240" w:lineRule="auto"/>
        <w:jc w:val="both"/>
        <w:rPr>
          <w:rFonts w:ascii="Verdana" w:eastAsia="Verdana" w:hAnsi="Verdana" w:cs="Verdana"/>
          <w:bCs/>
          <w:sz w:val="20"/>
          <w:lang w:val="es-ES"/>
        </w:rPr>
      </w:pPr>
    </w:p>
    <w:p w14:paraId="2406E354"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SUBSIDIOS – Ley 142 de 2994 – Contratos y Convenios – Financiación de Subsidios </w:t>
      </w:r>
    </w:p>
    <w:p w14:paraId="374BC291" w14:textId="77777777" w:rsidR="00D3215D" w:rsidRPr="000C7D33" w:rsidRDefault="00D3215D" w:rsidP="00D3215D">
      <w:pPr>
        <w:spacing w:after="0" w:line="240" w:lineRule="auto"/>
        <w:jc w:val="both"/>
        <w:rPr>
          <w:rFonts w:ascii="Verdana" w:eastAsia="Verdana" w:hAnsi="Verdana" w:cs="Verdana"/>
          <w:b/>
          <w:bCs/>
          <w:lang w:val="es-ES"/>
        </w:rPr>
      </w:pPr>
    </w:p>
    <w:p w14:paraId="7073FF3A"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ser una empresa de servicios públicos domiciliarios de naturaleza pública, mixta o privada -con o sin participación estatal-. Para la ejecución de dichas transferencias, se emplean instrumentos jurídicos como los convenios de transferencia de recursos.</w:t>
      </w:r>
    </w:p>
    <w:p w14:paraId="2D134A02"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 </w:t>
      </w:r>
    </w:p>
    <w:p w14:paraId="580B04F8"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este escenario, la naturaleza de los convenios de transferencia de recursos depende de la naturaleza jurídica de las partes que los suscriben. Cuando una entidad territorial celebra estos acuerdos con empresas de servicios públicos de carácter público, mixto o privado con participación estatal, se configura un contrato o convenio interadministrativo. Ello se sustenta en que dichas empresas son catalogadas como entidades descentralizadas por servicios, conforme a lo establecido en el numeral 2 del artículo 38 de la Ley 489 de 1998 y a lo reiterado por la Corte Constitucional en la Sentencia C-736 de 2008, lo que les otorga un carácter especial dentro de la estructura administrativa del Estado. </w:t>
      </w:r>
    </w:p>
    <w:p w14:paraId="39CA7A8E" w14:textId="77777777" w:rsidR="00D3215D" w:rsidRPr="00BE429B" w:rsidRDefault="00D3215D" w:rsidP="00D3215D">
      <w:pPr>
        <w:spacing w:after="0" w:line="240" w:lineRule="auto"/>
        <w:jc w:val="both"/>
        <w:rPr>
          <w:rFonts w:ascii="Verdana" w:eastAsia="Verdana" w:hAnsi="Verdana" w:cs="Verdana"/>
          <w:bCs/>
          <w:sz w:val="20"/>
        </w:rPr>
      </w:pPr>
    </w:p>
    <w:p w14:paraId="27CC78F9"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sidRPr="00BE429B">
        <w:rPr>
          <w:rFonts w:ascii="Verdana" w:eastAsia="Verdana" w:hAnsi="Verdana" w:cs="Verdana"/>
          <w:bCs/>
          <w:sz w:val="20"/>
        </w:rPr>
        <w:t>y</w:t>
      </w:r>
      <w:proofErr w:type="gramEnd"/>
      <w:r w:rsidRPr="00BE429B">
        <w:rPr>
          <w:rFonts w:ascii="Verdana" w:eastAsia="Verdana" w:hAnsi="Verdana" w:cs="Verdana"/>
          <w:bCs/>
          <w:sz w:val="20"/>
        </w:rPr>
        <w:t xml:space="preserve"> por ende, sus condiciones se encuentran sujetas a la autonomía de la voluntad de las partes que lo suscriben, lo cual debe plasmarse en el texto contractual”. </w:t>
      </w:r>
    </w:p>
    <w:p w14:paraId="6A49A4B2" w14:textId="77777777" w:rsidR="00D3215D" w:rsidRPr="00BE429B" w:rsidRDefault="00D3215D" w:rsidP="00D3215D">
      <w:pPr>
        <w:spacing w:after="0" w:line="240" w:lineRule="auto"/>
        <w:jc w:val="both"/>
        <w:rPr>
          <w:rFonts w:ascii="Verdana" w:eastAsia="Verdana" w:hAnsi="Verdana" w:cs="Verdana"/>
          <w:b/>
          <w:bCs/>
        </w:rPr>
      </w:pPr>
    </w:p>
    <w:p w14:paraId="2640425E"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 Artículo 38 – Artículo 33 </w:t>
      </w:r>
    </w:p>
    <w:p w14:paraId="0A3ED3BD" w14:textId="77777777" w:rsidR="00D3215D" w:rsidRPr="000C7D33" w:rsidRDefault="00D3215D" w:rsidP="00D3215D">
      <w:pPr>
        <w:spacing w:after="0" w:line="240" w:lineRule="auto"/>
        <w:jc w:val="both"/>
        <w:rPr>
          <w:rFonts w:ascii="Verdana" w:eastAsia="Verdana" w:hAnsi="Verdana" w:cs="Verdana"/>
          <w:b/>
          <w:bCs/>
          <w:lang w:val="es-ES"/>
        </w:rPr>
      </w:pPr>
    </w:p>
    <w:p w14:paraId="274DA6FE" w14:textId="77777777" w:rsidR="00D3215D"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un lado, el </w:t>
      </w:r>
      <w:r w:rsidRPr="00BE429B">
        <w:rPr>
          <w:rFonts w:ascii="Verdana" w:eastAsia="Verdana" w:hAnsi="Verdana" w:cs="Verdana"/>
          <w:bCs/>
          <w:i/>
          <w:iCs/>
          <w:sz w:val="20"/>
        </w:rPr>
        <w:t>artículo 33 de la Ley 996 de 2005</w:t>
      </w:r>
      <w:r w:rsidRPr="00BE429B">
        <w:rPr>
          <w:rFonts w:ascii="Verdana" w:eastAsia="Verdana" w:hAnsi="Verdana" w:cs="Verdana"/>
          <w:bCs/>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90C33FD" w14:textId="77777777" w:rsidR="00D3215D" w:rsidRPr="00BE429B" w:rsidRDefault="00D3215D" w:rsidP="00D3215D">
      <w:pPr>
        <w:spacing w:after="0" w:line="240" w:lineRule="auto"/>
        <w:jc w:val="both"/>
        <w:rPr>
          <w:rFonts w:ascii="Verdana" w:eastAsia="Verdana" w:hAnsi="Verdana" w:cs="Verdana"/>
          <w:bCs/>
          <w:sz w:val="20"/>
        </w:rPr>
      </w:pPr>
    </w:p>
    <w:p w14:paraId="14336953" w14:textId="77777777" w:rsidR="00D3215D" w:rsidRPr="00BE429B" w:rsidRDefault="00D3215D" w:rsidP="00D3215D">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otro lado, </w:t>
      </w:r>
      <w:r w:rsidRPr="00BE429B">
        <w:rPr>
          <w:rFonts w:ascii="Verdana" w:eastAsia="Verdana" w:hAnsi="Verdana" w:cs="Verdana"/>
          <w:bCs/>
          <w:i/>
          <w:iCs/>
          <w:sz w:val="20"/>
        </w:rPr>
        <w:t>el parágrafo del artículo 38 de la Ley 996 de 2005</w:t>
      </w:r>
      <w:r w:rsidRPr="00BE429B">
        <w:rPr>
          <w:rFonts w:ascii="Verdana" w:eastAsia="Verdana" w:hAnsi="Verdana" w:cs="Verdana"/>
          <w:bCs/>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E429B">
        <w:rPr>
          <w:rFonts w:ascii="Verdana" w:eastAsia="Verdana" w:hAnsi="Verdana" w:cs="Verdana"/>
          <w:bCs/>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429B">
        <w:rPr>
          <w:rFonts w:ascii="Verdana" w:eastAsia="Verdana" w:hAnsi="Verdana" w:cs="Verdana"/>
          <w:bCs/>
          <w:sz w:val="20"/>
        </w:rPr>
        <w:t>”.</w:t>
      </w:r>
    </w:p>
    <w:p w14:paraId="135C44A9" w14:textId="77777777" w:rsidR="00D3215D" w:rsidRPr="000C7D33" w:rsidRDefault="00D3215D" w:rsidP="00D3215D">
      <w:pPr>
        <w:spacing w:after="0" w:line="240" w:lineRule="auto"/>
        <w:jc w:val="both"/>
        <w:rPr>
          <w:rFonts w:ascii="Verdana" w:eastAsia="Verdana" w:hAnsi="Verdana" w:cs="Verdana"/>
          <w:b/>
          <w:bCs/>
          <w:lang w:val="es-ES"/>
        </w:rPr>
      </w:pPr>
    </w:p>
    <w:p w14:paraId="55C2C103" w14:textId="77777777"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–Superintendencia de Servicios Públicos Domiciliarios </w:t>
      </w:r>
    </w:p>
    <w:p w14:paraId="2B738415" w14:textId="77777777" w:rsidR="00D3215D" w:rsidRPr="000C7D33" w:rsidRDefault="00D3215D" w:rsidP="00D3215D">
      <w:pPr>
        <w:spacing w:after="0" w:line="240" w:lineRule="auto"/>
        <w:jc w:val="both"/>
        <w:rPr>
          <w:rFonts w:ascii="Verdana" w:eastAsia="Verdana" w:hAnsi="Verdana" w:cs="Verdana"/>
          <w:b/>
          <w:bCs/>
          <w:lang w:val="es-ES"/>
        </w:rPr>
      </w:pPr>
    </w:p>
    <w:p w14:paraId="099ED400" w14:textId="77777777" w:rsidR="00D3215D" w:rsidRDefault="00D3215D" w:rsidP="00D3215D">
      <w:pPr>
        <w:spacing w:after="0" w:line="240" w:lineRule="auto"/>
        <w:jc w:val="both"/>
        <w:rPr>
          <w:rFonts w:ascii="Verdana" w:eastAsia="Verdana" w:hAnsi="Verdana" w:cs="Verdana"/>
          <w:bCs/>
          <w:iCs/>
          <w:sz w:val="20"/>
        </w:rPr>
      </w:pPr>
      <w:r w:rsidRPr="00D01973">
        <w:rPr>
          <w:rFonts w:ascii="Verdana" w:eastAsia="Verdana" w:hAnsi="Verdana" w:cs="Verdana"/>
          <w:bCs/>
          <w:sz w:val="20"/>
        </w:rPr>
        <w:t>Teniendo en cuenta lo expuesto, la Superintendencia de Servicios Públicos ha expresado que l</w:t>
      </w:r>
      <w:r w:rsidRPr="00D01973">
        <w:rPr>
          <w:rFonts w:ascii="Verdana" w:eastAsia="Verdana" w:hAnsi="Verdana" w:cs="Verdana"/>
          <w:bCs/>
          <w:iCs/>
          <w:sz w:val="20"/>
        </w:rPr>
        <w:t>a celebración de contratos o convenios para la transferencia de recursos destinados a subsidios entre los entes territoriales y los prestadores de servicios públicos constituye una obligación legal esencial, exceptuando de la aplicación de la Ley de Garantías. Este organismo considera que estos convenios o contratos 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p>
    <w:p w14:paraId="2D37CA95" w14:textId="77777777" w:rsidR="00D3215D" w:rsidRPr="00D01973" w:rsidRDefault="00D3215D" w:rsidP="00D3215D">
      <w:pPr>
        <w:spacing w:after="0" w:line="240" w:lineRule="auto"/>
        <w:jc w:val="both"/>
        <w:rPr>
          <w:rFonts w:ascii="Verdana" w:eastAsia="Verdana" w:hAnsi="Verdana" w:cs="Verdana"/>
          <w:bCs/>
          <w:sz w:val="20"/>
          <w:lang w:val="es-ES"/>
        </w:rPr>
      </w:pPr>
    </w:p>
    <w:p w14:paraId="50639403" w14:textId="77777777" w:rsidR="00D3215D"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w:t>
      </w:r>
      <w:r>
        <w:rPr>
          <w:rFonts w:ascii="Verdana" w:eastAsia="Verdana" w:hAnsi="Verdana" w:cs="Verdana"/>
          <w:b/>
          <w:bCs/>
          <w:lang w:val="es-ES"/>
        </w:rPr>
        <w:t>Posturas del Consejo de Estado</w:t>
      </w:r>
    </w:p>
    <w:p w14:paraId="173227C9" w14:textId="77777777" w:rsidR="00D3215D" w:rsidRDefault="00D3215D" w:rsidP="00D3215D">
      <w:pPr>
        <w:spacing w:after="0" w:line="240" w:lineRule="auto"/>
        <w:jc w:val="both"/>
        <w:rPr>
          <w:rFonts w:ascii="Verdana" w:eastAsia="Verdana" w:hAnsi="Verdana" w:cs="Verdana"/>
          <w:b/>
          <w:bCs/>
          <w:lang w:val="es-ES"/>
        </w:rPr>
      </w:pPr>
    </w:p>
    <w:p w14:paraId="7A2D04AF" w14:textId="77777777" w:rsidR="00D3215D" w:rsidRPr="00D01973" w:rsidRDefault="00D3215D" w:rsidP="00D3215D">
      <w:pPr>
        <w:spacing w:after="0" w:line="240" w:lineRule="auto"/>
        <w:jc w:val="both"/>
        <w:rPr>
          <w:rFonts w:ascii="Verdana" w:eastAsia="Verdana" w:hAnsi="Verdana" w:cs="Verdana"/>
          <w:bCs/>
          <w:sz w:val="20"/>
          <w:lang w:val="es-ES"/>
        </w:rPr>
      </w:pPr>
      <w:r w:rsidRPr="00D01973">
        <w:rPr>
          <w:rFonts w:ascii="Verdana" w:eastAsia="Verdana" w:hAnsi="Verdana" w:cs="Verdana"/>
          <w:bCs/>
          <w:sz w:val="20"/>
        </w:rPr>
        <w:t xml:space="preserve">Bajo ese escenario, </w:t>
      </w:r>
      <w:r w:rsidRPr="00D01973">
        <w:rPr>
          <w:rFonts w:ascii="Verdana" w:eastAsia="Verdana" w:hAnsi="Verdana" w:cs="Verdana"/>
          <w:bCs/>
          <w:sz w:val="20"/>
          <w:lang w:val="es-ES" w:bidi="es-ES"/>
        </w:rPr>
        <w:t>el alcance de esta obligación frente a las restricciones de la Ley de Garantías Electorales, resulta pertinente traer a colación el pronunciamiento de la Sala de Consulta y Servicio Civil del Consejo de Estado,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D01973">
        <w:rPr>
          <w:rFonts w:ascii="Verdana" w:eastAsia="Verdana" w:hAnsi="Verdana" w:cs="Verdana"/>
          <w:bCs/>
          <w:sz w:val="20"/>
          <w:lang w:val="es-ES"/>
        </w:rPr>
        <w:t xml:space="preserve"> En este contexto, 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p>
    <w:p w14:paraId="2C19B665" w14:textId="77777777" w:rsidR="00D3215D" w:rsidRPr="00D01973" w:rsidRDefault="00D3215D" w:rsidP="00D3215D">
      <w:pPr>
        <w:spacing w:after="0" w:line="240" w:lineRule="auto"/>
        <w:jc w:val="both"/>
        <w:rPr>
          <w:rFonts w:ascii="Verdana" w:eastAsia="Verdana" w:hAnsi="Verdana" w:cs="Verdana"/>
          <w:b/>
          <w:bCs/>
          <w:lang w:val="es-ES"/>
        </w:rPr>
      </w:pPr>
    </w:p>
    <w:p w14:paraId="71770E3D" w14:textId="0A11F203" w:rsidR="00D3215D" w:rsidRPr="000C7D33" w:rsidRDefault="00D3215D" w:rsidP="00D3215D">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LEY DE GARANTIAS – Restricciones</w:t>
      </w:r>
      <w:r>
        <w:rPr>
          <w:rFonts w:ascii="Verdana" w:eastAsia="Verdana" w:hAnsi="Verdana" w:cs="Verdana"/>
          <w:b/>
          <w:bCs/>
          <w:lang w:val="es-ES"/>
        </w:rPr>
        <w:t xml:space="preserve"> </w:t>
      </w:r>
      <w:r w:rsidRPr="000C7D33">
        <w:rPr>
          <w:rFonts w:ascii="Verdana" w:eastAsia="Verdana" w:hAnsi="Verdana" w:cs="Verdana"/>
          <w:b/>
          <w:bCs/>
          <w:lang w:val="es-ES"/>
        </w:rPr>
        <w:t>-</w:t>
      </w:r>
      <w:r>
        <w:rPr>
          <w:rFonts w:ascii="Verdana" w:eastAsia="Verdana" w:hAnsi="Verdana" w:cs="Verdana"/>
          <w:b/>
          <w:bCs/>
          <w:lang w:val="es-ES"/>
        </w:rPr>
        <w:t xml:space="preserve"> </w:t>
      </w:r>
      <w:r w:rsidRPr="000C7D33">
        <w:rPr>
          <w:rFonts w:ascii="Verdana" w:eastAsia="Verdana" w:hAnsi="Verdana" w:cs="Verdana"/>
          <w:b/>
          <w:bCs/>
          <w:lang w:val="es-ES"/>
        </w:rPr>
        <w:t xml:space="preserve">Celebración de Contratos y Convenios – Transferencia de recursos </w:t>
      </w:r>
    </w:p>
    <w:p w14:paraId="7F6A3A49" w14:textId="77777777" w:rsidR="00D3215D" w:rsidRPr="00D01973" w:rsidRDefault="00D3215D" w:rsidP="00D3215D">
      <w:pPr>
        <w:spacing w:after="0" w:line="240" w:lineRule="auto"/>
        <w:jc w:val="both"/>
        <w:rPr>
          <w:rFonts w:ascii="Verdana" w:eastAsia="Verdana" w:hAnsi="Verdana" w:cs="Verdana"/>
          <w:bCs/>
          <w:sz w:val="20"/>
          <w:lang w:val="es-ES"/>
        </w:rPr>
      </w:pPr>
    </w:p>
    <w:p w14:paraId="294AF3BD" w14:textId="77777777" w:rsidR="00D3215D" w:rsidRPr="00D01973" w:rsidRDefault="00D3215D" w:rsidP="00D3215D">
      <w:pPr>
        <w:spacing w:after="0" w:line="240" w:lineRule="auto"/>
        <w:jc w:val="both"/>
        <w:rPr>
          <w:rFonts w:ascii="Verdana" w:eastAsia="Verdana" w:hAnsi="Verdana" w:cs="Verdana"/>
          <w:bCs/>
          <w:sz w:val="20"/>
          <w:lang w:val="es-ES"/>
        </w:rPr>
      </w:pPr>
      <w:r w:rsidRPr="00D01973">
        <w:rPr>
          <w:rFonts w:ascii="Verdana" w:eastAsia="Verdana" w:hAnsi="Verdana" w:cs="Verdana"/>
          <w:bCs/>
          <w:sz w:val="20"/>
          <w:lang w:val="es-ES"/>
        </w:rPr>
        <w:t xml:space="preserve">A partir de lo expuesto en las consideraciones previas, la Agencia considera esta Agencia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3B755ED2" w14:textId="77777777" w:rsidR="00D3215D" w:rsidRPr="000C7D33" w:rsidRDefault="00D3215D" w:rsidP="00D3215D">
      <w:pPr>
        <w:spacing w:after="0" w:line="240" w:lineRule="auto"/>
        <w:jc w:val="both"/>
        <w:rPr>
          <w:rFonts w:ascii="Verdana" w:eastAsia="Verdana" w:hAnsi="Verdana" w:cs="Verdana"/>
          <w:b/>
          <w:bCs/>
          <w:lang w:val="es-ES"/>
        </w:rPr>
      </w:pPr>
    </w:p>
    <w:p w14:paraId="764EBE09" w14:textId="77777777" w:rsidR="00D3215D" w:rsidRDefault="00D3215D" w:rsidP="00813702">
      <w:pPr>
        <w:spacing w:after="0"/>
        <w:rPr>
          <w:rFonts w:ascii="Verdana" w:eastAsia="Verdana" w:hAnsi="Verdana" w:cs="Verdana"/>
          <w:lang w:val="es-ES"/>
        </w:rPr>
      </w:pPr>
    </w:p>
    <w:p w14:paraId="19487119" w14:textId="77777777" w:rsidR="00D3215D" w:rsidRDefault="00D3215D" w:rsidP="00813702">
      <w:pPr>
        <w:spacing w:after="0"/>
        <w:rPr>
          <w:rFonts w:ascii="Verdana" w:eastAsia="Verdana" w:hAnsi="Verdana" w:cs="Verdana"/>
          <w:lang w:val="es-ES"/>
        </w:rPr>
      </w:pPr>
    </w:p>
    <w:p w14:paraId="0909F7F2" w14:textId="77777777" w:rsidR="00D3215D" w:rsidRDefault="00D3215D" w:rsidP="00813702">
      <w:pPr>
        <w:spacing w:after="0"/>
        <w:rPr>
          <w:rFonts w:ascii="Verdana" w:eastAsia="Verdana" w:hAnsi="Verdana" w:cs="Verdana"/>
          <w:lang w:val="es-ES"/>
        </w:rPr>
      </w:pPr>
    </w:p>
    <w:p w14:paraId="00D6D44F" w14:textId="77777777" w:rsidR="00D3215D" w:rsidRDefault="00D3215D" w:rsidP="00813702">
      <w:pPr>
        <w:spacing w:after="0"/>
        <w:rPr>
          <w:rFonts w:ascii="Verdana" w:eastAsia="Verdana" w:hAnsi="Verdana" w:cs="Verdana"/>
          <w:lang w:val="es-ES"/>
        </w:rPr>
      </w:pPr>
    </w:p>
    <w:p w14:paraId="089E4F86" w14:textId="77777777" w:rsidR="00D3215D" w:rsidRDefault="00D3215D" w:rsidP="00813702">
      <w:pPr>
        <w:spacing w:after="0"/>
        <w:rPr>
          <w:rFonts w:ascii="Verdana" w:eastAsia="Verdana" w:hAnsi="Verdana" w:cs="Verdana"/>
          <w:lang w:val="es-ES"/>
        </w:rPr>
      </w:pPr>
    </w:p>
    <w:p w14:paraId="66F779F9" w14:textId="77777777" w:rsidR="00D3215D" w:rsidRDefault="00D3215D" w:rsidP="00813702">
      <w:pPr>
        <w:spacing w:after="0"/>
        <w:rPr>
          <w:rFonts w:ascii="Verdana" w:eastAsia="Verdana" w:hAnsi="Verdana" w:cs="Verdana"/>
          <w:lang w:val="es-ES"/>
        </w:rPr>
      </w:pPr>
    </w:p>
    <w:p w14:paraId="437B0969" w14:textId="77777777" w:rsidR="00D3215D" w:rsidRDefault="00D3215D" w:rsidP="00813702">
      <w:pPr>
        <w:spacing w:after="0"/>
        <w:rPr>
          <w:rFonts w:ascii="Verdana" w:eastAsia="Verdana" w:hAnsi="Verdana" w:cs="Verdana"/>
          <w:lang w:val="es-ES"/>
        </w:rPr>
      </w:pPr>
    </w:p>
    <w:p w14:paraId="38D83F67" w14:textId="77777777" w:rsidR="00D3215D" w:rsidRDefault="00D3215D" w:rsidP="00813702">
      <w:pPr>
        <w:spacing w:after="0"/>
        <w:rPr>
          <w:rFonts w:ascii="Verdana" w:eastAsia="Verdana" w:hAnsi="Verdana" w:cs="Verdana"/>
          <w:lang w:val="es-ES"/>
        </w:rPr>
      </w:pPr>
    </w:p>
    <w:p w14:paraId="70EFCC9A" w14:textId="77777777" w:rsidR="00D3215D" w:rsidRDefault="00D3215D" w:rsidP="00813702">
      <w:pPr>
        <w:spacing w:after="0"/>
        <w:rPr>
          <w:rFonts w:ascii="Verdana" w:eastAsia="Verdana" w:hAnsi="Verdana" w:cs="Verdana"/>
          <w:lang w:val="es-ES"/>
        </w:rPr>
      </w:pPr>
    </w:p>
    <w:p w14:paraId="3AE0E0CC" w14:textId="77777777" w:rsidR="00D3215D" w:rsidRDefault="00D3215D" w:rsidP="00813702">
      <w:pPr>
        <w:spacing w:after="0"/>
        <w:rPr>
          <w:rFonts w:ascii="Verdana" w:eastAsia="Verdana" w:hAnsi="Verdana" w:cs="Verdana"/>
          <w:lang w:val="es-ES"/>
        </w:rPr>
      </w:pPr>
    </w:p>
    <w:p w14:paraId="4C169775" w14:textId="77777777" w:rsidR="00D3215D" w:rsidRDefault="00D3215D" w:rsidP="00813702">
      <w:pPr>
        <w:spacing w:after="0"/>
        <w:rPr>
          <w:rFonts w:ascii="Verdana" w:eastAsia="Verdana" w:hAnsi="Verdana" w:cs="Verdana"/>
          <w:lang w:val="es-ES"/>
        </w:rPr>
      </w:pPr>
    </w:p>
    <w:p w14:paraId="0C6884D3" w14:textId="77777777" w:rsidR="00D3215D" w:rsidRDefault="00D3215D" w:rsidP="00813702">
      <w:pPr>
        <w:spacing w:after="0"/>
        <w:rPr>
          <w:rFonts w:ascii="Verdana" w:eastAsia="Verdana" w:hAnsi="Verdana" w:cs="Verdana"/>
          <w:lang w:val="es-ES"/>
        </w:rPr>
      </w:pPr>
    </w:p>
    <w:p w14:paraId="72BE4771" w14:textId="77777777" w:rsidR="00D3215D" w:rsidRDefault="00D3215D" w:rsidP="00813702">
      <w:pPr>
        <w:spacing w:after="0"/>
        <w:rPr>
          <w:rFonts w:ascii="Verdana" w:eastAsia="Verdana" w:hAnsi="Verdana" w:cs="Verdana"/>
          <w:lang w:val="es-ES"/>
        </w:rPr>
      </w:pPr>
    </w:p>
    <w:p w14:paraId="6E642243" w14:textId="77777777" w:rsidR="00D3215D" w:rsidRDefault="00D3215D" w:rsidP="00813702">
      <w:pPr>
        <w:spacing w:after="0"/>
        <w:rPr>
          <w:rFonts w:ascii="Verdana" w:eastAsia="Verdana" w:hAnsi="Verdana" w:cs="Verdana"/>
          <w:lang w:val="es-ES"/>
        </w:rPr>
      </w:pPr>
    </w:p>
    <w:p w14:paraId="5225C350" w14:textId="77777777" w:rsidR="00D3215D" w:rsidRDefault="00D3215D" w:rsidP="00813702">
      <w:pPr>
        <w:spacing w:after="0"/>
        <w:rPr>
          <w:rFonts w:ascii="Verdana" w:eastAsia="Verdana" w:hAnsi="Verdana" w:cs="Verdana"/>
          <w:lang w:val="es-ES"/>
        </w:rPr>
      </w:pPr>
    </w:p>
    <w:p w14:paraId="02E94DD3" w14:textId="77777777" w:rsidR="00D3215D" w:rsidRDefault="00D3215D" w:rsidP="00813702">
      <w:pPr>
        <w:spacing w:after="0"/>
        <w:rPr>
          <w:rFonts w:ascii="Verdana" w:eastAsia="Verdana" w:hAnsi="Verdana" w:cs="Verdana"/>
          <w:lang w:val="es-ES"/>
        </w:rPr>
      </w:pPr>
    </w:p>
    <w:p w14:paraId="06F0F317" w14:textId="77777777" w:rsidR="00D3215D" w:rsidRDefault="00D3215D" w:rsidP="00813702">
      <w:pPr>
        <w:spacing w:after="0"/>
        <w:rPr>
          <w:rFonts w:ascii="Verdana" w:eastAsia="Verdana" w:hAnsi="Verdana" w:cs="Verdana"/>
          <w:lang w:val="es-ES"/>
        </w:rPr>
      </w:pPr>
    </w:p>
    <w:p w14:paraId="7A7129C9" w14:textId="77777777" w:rsidR="00D3215D" w:rsidRDefault="00D3215D" w:rsidP="00813702">
      <w:pPr>
        <w:spacing w:after="0"/>
        <w:rPr>
          <w:rFonts w:ascii="Verdana" w:eastAsia="Verdana" w:hAnsi="Verdana" w:cs="Verdana"/>
          <w:lang w:val="es-ES"/>
        </w:rPr>
      </w:pPr>
    </w:p>
    <w:p w14:paraId="2743BBC3" w14:textId="77777777" w:rsidR="00D3215D" w:rsidRDefault="00D3215D" w:rsidP="00813702">
      <w:pPr>
        <w:spacing w:after="0"/>
        <w:rPr>
          <w:rFonts w:ascii="Verdana" w:eastAsia="Verdana" w:hAnsi="Verdana" w:cs="Verdana"/>
          <w:lang w:val="es-ES"/>
        </w:rPr>
      </w:pPr>
    </w:p>
    <w:p w14:paraId="123E630D" w14:textId="77777777" w:rsidR="00D3215D" w:rsidRDefault="00D3215D" w:rsidP="00813702">
      <w:pPr>
        <w:spacing w:after="0"/>
        <w:rPr>
          <w:rFonts w:ascii="Verdana" w:eastAsia="Verdana" w:hAnsi="Verdana" w:cs="Verdana"/>
          <w:lang w:val="es-ES"/>
        </w:rPr>
      </w:pPr>
    </w:p>
    <w:p w14:paraId="5ADE420B" w14:textId="77777777" w:rsidR="00D3215D" w:rsidRPr="00D3215D" w:rsidRDefault="00D3215D" w:rsidP="00813702">
      <w:pPr>
        <w:spacing w:after="0"/>
        <w:rPr>
          <w:rFonts w:ascii="Verdana" w:eastAsia="Verdana" w:hAnsi="Verdana" w:cs="Verdana"/>
          <w:lang w:val="es-ES"/>
        </w:rPr>
      </w:pPr>
    </w:p>
    <w:p w14:paraId="3BCD3808" w14:textId="5D468AFC" w:rsidR="00D3215D" w:rsidRDefault="00C15139" w:rsidP="00813702">
      <w:pPr>
        <w:spacing w:after="0"/>
        <w:rPr>
          <w:rFonts w:ascii="Verdana" w:eastAsia="Verdana" w:hAnsi="Verdana" w:cs="Verdana"/>
        </w:rPr>
      </w:pPr>
      <w:r w:rsidRPr="30821638">
        <w:rPr>
          <w:rFonts w:ascii="Verdana" w:eastAsia="Verdana" w:hAnsi="Verdana" w:cs="Verdana"/>
        </w:rPr>
        <w:t xml:space="preserve">Bogotá D.C., </w:t>
      </w:r>
      <w:r w:rsidR="00D3215D">
        <w:rPr>
          <w:rFonts w:ascii="Verdana" w:eastAsia="Verdana" w:hAnsi="Verdana" w:cs="Verdana"/>
        </w:rPr>
        <w:t xml:space="preserve">26 </w:t>
      </w:r>
      <w:proofErr w:type="gramStart"/>
      <w:r w:rsidR="00D3215D">
        <w:rPr>
          <w:rFonts w:ascii="Verdana" w:eastAsia="Verdana" w:hAnsi="Verdana" w:cs="Verdana"/>
        </w:rPr>
        <w:t>Mayo</w:t>
      </w:r>
      <w:proofErr w:type="gramEnd"/>
      <w:r w:rsidR="00D3215D">
        <w:rPr>
          <w:rFonts w:ascii="Verdana" w:eastAsia="Verdana" w:hAnsi="Verdana" w:cs="Verdana"/>
        </w:rPr>
        <w:t xml:space="preserve"> 2026</w:t>
      </w:r>
    </w:p>
    <w:p w14:paraId="165A8951" w14:textId="7F35B27A" w:rsidR="00813702" w:rsidRDefault="00D3215D" w:rsidP="00D3215D">
      <w:pPr>
        <w:spacing w:after="0"/>
        <w:jc w:val="right"/>
      </w:pPr>
      <w:r w:rsidRPr="00D3215D">
        <w:drawing>
          <wp:inline distT="0" distB="0" distL="0" distR="0" wp14:anchorId="4A0CFB84" wp14:editId="2310CC32">
            <wp:extent cx="1596336" cy="353419"/>
            <wp:effectExtent l="0" t="0" r="4445" b="8890"/>
            <wp:docPr id="2063806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80661" name=""/>
                    <pic:cNvPicPr/>
                  </pic:nvPicPr>
                  <pic:blipFill>
                    <a:blip r:embed="rId10"/>
                    <a:stretch>
                      <a:fillRect/>
                    </a:stretch>
                  </pic:blipFill>
                  <pic:spPr>
                    <a:xfrm>
                      <a:off x="0" y="0"/>
                      <a:ext cx="1629044" cy="360660"/>
                    </a:xfrm>
                    <a:prstGeom prst="rect">
                      <a:avLst/>
                    </a:prstGeom>
                  </pic:spPr>
                </pic:pic>
              </a:graphicData>
            </a:graphic>
          </wp:inline>
        </w:drawing>
      </w:r>
      <w:r w:rsidR="00C15139">
        <w:tab/>
      </w:r>
    </w:p>
    <w:p w14:paraId="636CAB2C" w14:textId="0348AE7C" w:rsidR="00813702" w:rsidRPr="0024624F" w:rsidRDefault="00813702" w:rsidP="00813702">
      <w:pPr>
        <w:spacing w:after="0"/>
        <w:rPr>
          <w:rFonts w:ascii="Verdana" w:eastAsia="Verdana" w:hAnsi="Verdana" w:cs="Verdana"/>
        </w:rPr>
      </w:pPr>
      <w:r>
        <w:tab/>
      </w:r>
    </w:p>
    <w:p w14:paraId="5AEFAE7E" w14:textId="77777777" w:rsidR="00813702" w:rsidRDefault="00813702" w:rsidP="00813702">
      <w:pPr>
        <w:spacing w:after="0" w:line="240" w:lineRule="auto"/>
        <w:jc w:val="both"/>
        <w:rPr>
          <w:rFonts w:ascii="Verdana" w:eastAsia="Calibri" w:hAnsi="Verdana" w:cs="Arial"/>
          <w:b/>
          <w:bCs/>
          <w:lang w:eastAsia="es-ES"/>
        </w:rPr>
      </w:pPr>
      <w:bookmarkStart w:id="1" w:name="_Hlk214366482"/>
      <w:r>
        <w:rPr>
          <w:rFonts w:ascii="Verdana" w:eastAsia="Calibri" w:hAnsi="Verdana" w:cs="Arial"/>
          <w:b/>
          <w:bCs/>
          <w:lang w:eastAsia="es-ES"/>
        </w:rPr>
        <w:t>Señor</w:t>
      </w:r>
    </w:p>
    <w:p w14:paraId="38060D1D" w14:textId="77777777" w:rsidR="00813702" w:rsidRDefault="00813702" w:rsidP="00813702">
      <w:pPr>
        <w:spacing w:after="0" w:line="240" w:lineRule="auto"/>
        <w:jc w:val="both"/>
        <w:rPr>
          <w:rFonts w:ascii="Verdana" w:eastAsia="Calibri" w:hAnsi="Verdana" w:cs="Arial"/>
          <w:b/>
          <w:bCs/>
          <w:lang w:eastAsia="es-ES"/>
        </w:rPr>
      </w:pPr>
      <w:r w:rsidRPr="00690072">
        <w:rPr>
          <w:rFonts w:ascii="Verdana" w:eastAsia="Calibri" w:hAnsi="Verdana" w:cs="Arial"/>
          <w:b/>
          <w:bCs/>
          <w:lang w:eastAsia="es-ES"/>
        </w:rPr>
        <w:t>Julio Roberto Machado Cepeda</w:t>
      </w:r>
    </w:p>
    <w:p w14:paraId="5B31D63E" w14:textId="77777777" w:rsidR="00813702" w:rsidRPr="00690072" w:rsidRDefault="00813702" w:rsidP="00813702">
      <w:pPr>
        <w:spacing w:after="0" w:line="240" w:lineRule="auto"/>
        <w:jc w:val="both"/>
        <w:rPr>
          <w:rFonts w:ascii="Verdana" w:eastAsia="Calibri" w:hAnsi="Verdana" w:cs="Arial"/>
          <w:lang w:eastAsia="es-ES"/>
        </w:rPr>
      </w:pPr>
      <w:r w:rsidRPr="00690072">
        <w:rPr>
          <w:rFonts w:ascii="Verdana" w:eastAsia="Calibri" w:hAnsi="Verdana" w:cs="Arial"/>
          <w:lang w:eastAsia="es-ES"/>
        </w:rPr>
        <w:t>Alcalde encargado</w:t>
      </w:r>
      <w:r>
        <w:rPr>
          <w:rFonts w:ascii="Verdana" w:eastAsia="Calibri" w:hAnsi="Verdana" w:cs="Arial"/>
          <w:lang w:eastAsia="es-ES"/>
        </w:rPr>
        <w:t xml:space="preserve"> </w:t>
      </w:r>
      <w:r w:rsidRPr="00690072">
        <w:rPr>
          <w:rFonts w:ascii="Verdana" w:eastAsia="Calibri" w:hAnsi="Verdana" w:cs="Arial"/>
          <w:lang w:eastAsia="es-ES"/>
        </w:rPr>
        <w:t>del Municipio de Tena - Cundinamarca</w:t>
      </w:r>
    </w:p>
    <w:p w14:paraId="21F4F805" w14:textId="77777777" w:rsidR="00813702" w:rsidRPr="00690072" w:rsidRDefault="00813702" w:rsidP="00813702">
      <w:pPr>
        <w:spacing w:after="0" w:line="240" w:lineRule="auto"/>
        <w:jc w:val="both"/>
        <w:rPr>
          <w:rFonts w:ascii="Verdana" w:hAnsi="Verdana"/>
          <w:b/>
          <w:bCs/>
        </w:rPr>
      </w:pPr>
      <w:hyperlink r:id="rId11" w:history="1">
        <w:r w:rsidRPr="00690072">
          <w:rPr>
            <w:rStyle w:val="Hipervnculo"/>
            <w:rFonts w:ascii="Verdana" w:hAnsi="Verdana"/>
            <w:b/>
            <w:bCs/>
          </w:rPr>
          <w:t>alcaldia@tena-cundinamarca.gov.co</w:t>
        </w:r>
      </w:hyperlink>
    </w:p>
    <w:p w14:paraId="4DDB9615" w14:textId="77777777" w:rsidR="00813702" w:rsidRPr="00690072" w:rsidRDefault="00813702" w:rsidP="00813702">
      <w:pPr>
        <w:spacing w:after="0" w:line="240" w:lineRule="auto"/>
        <w:jc w:val="both"/>
        <w:rPr>
          <w:rFonts w:ascii="Verdana" w:eastAsia="Calibri" w:hAnsi="Verdana" w:cs="Arial"/>
          <w:lang w:eastAsia="es-ES"/>
        </w:rPr>
      </w:pPr>
      <w:r w:rsidRPr="00690072">
        <w:rPr>
          <w:rFonts w:ascii="Verdana" w:eastAsia="Calibri" w:hAnsi="Verdana" w:cs="Arial"/>
          <w:lang w:eastAsia="es-ES"/>
        </w:rPr>
        <w:t>Tena – Cundinamarca</w:t>
      </w:r>
    </w:p>
    <w:p w14:paraId="7C197B4B" w14:textId="77777777" w:rsidR="00813702" w:rsidRPr="007F2AEC" w:rsidRDefault="00813702" w:rsidP="00813702">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5103"/>
      </w:tblGrid>
      <w:tr w:rsidR="00813702" w:rsidRPr="005644FE" w14:paraId="0BAFE9BB" w14:textId="77777777" w:rsidTr="00CD385A">
        <w:trPr>
          <w:trHeight w:val="162"/>
        </w:trPr>
        <w:tc>
          <w:tcPr>
            <w:tcW w:w="3686" w:type="dxa"/>
          </w:tcPr>
          <w:p w14:paraId="789BDA03" w14:textId="77777777" w:rsidR="00813702" w:rsidRPr="007F2AEC" w:rsidRDefault="00813702" w:rsidP="00F0268C">
            <w:pPr>
              <w:jc w:val="both"/>
              <w:rPr>
                <w:rFonts w:ascii="Verdana" w:eastAsia="Calibri" w:hAnsi="Verdana" w:cs="Arial"/>
                <w:b/>
                <w:bCs/>
                <w:color w:val="7030A0"/>
                <w:lang w:eastAsia="es-ES_tradnl"/>
              </w:rPr>
            </w:pPr>
          </w:p>
        </w:tc>
        <w:tc>
          <w:tcPr>
            <w:tcW w:w="5103" w:type="dxa"/>
          </w:tcPr>
          <w:p w14:paraId="0E07A957" w14:textId="77777777" w:rsidR="00813702" w:rsidRPr="005644FE" w:rsidRDefault="00813702" w:rsidP="00F0268C">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722 de 2026</w:t>
            </w:r>
          </w:p>
          <w:p w14:paraId="56F83902" w14:textId="77777777" w:rsidR="00813702" w:rsidRPr="005644FE" w:rsidRDefault="00813702" w:rsidP="00F0268C">
            <w:pPr>
              <w:jc w:val="both"/>
              <w:rPr>
                <w:rFonts w:ascii="Verdana" w:eastAsia="Calibri" w:hAnsi="Verdana" w:cs="Arial"/>
                <w:b/>
                <w:bCs/>
                <w:color w:val="7030A0"/>
                <w:lang w:eastAsia="es-ES"/>
              </w:rPr>
            </w:pPr>
          </w:p>
        </w:tc>
      </w:tr>
      <w:tr w:rsidR="00813702" w:rsidRPr="005644FE" w14:paraId="23A2A78F" w14:textId="77777777" w:rsidTr="00CD385A">
        <w:trPr>
          <w:trHeight w:val="884"/>
        </w:trPr>
        <w:tc>
          <w:tcPr>
            <w:tcW w:w="3686" w:type="dxa"/>
          </w:tcPr>
          <w:p w14:paraId="76A662E7" w14:textId="77777777" w:rsidR="00813702" w:rsidRPr="005644FE" w:rsidRDefault="00813702" w:rsidP="00F0268C">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103" w:type="dxa"/>
          </w:tcPr>
          <w:p w14:paraId="13A29FDC" w14:textId="77777777" w:rsidR="00813702" w:rsidRDefault="00813702" w:rsidP="00813702">
            <w:pPr>
              <w:spacing w:line="276" w:lineRule="auto"/>
              <w:jc w:val="both"/>
              <w:rPr>
                <w:rFonts w:ascii="Verdana" w:hAnsi="Verdana" w:cs="Arial"/>
                <w:bCs/>
                <w:lang w:val="es-ES" w:eastAsia="es-ES"/>
              </w:rPr>
            </w:pPr>
            <w:r w:rsidRPr="00482020">
              <w:rPr>
                <w:rFonts w:ascii="Verdana" w:hAnsi="Verdana" w:cs="Arial"/>
                <w:lang w:val="es-ES" w:eastAsia="es-ES"/>
              </w:rPr>
              <w:t>RÉGIMEN EXCEPCIONAL – Justificación – Criterios de clasificación / EMPRESAS DE SERVICIOS PÚBLICOS – Naturaleza – régimen especial / EMPRESAS DE SERVICIOS PÚBLICOS – Mixtas – Privadas con participación estatal – Entidades descentralizadas por servicios – Sentencia C-</w:t>
            </w:r>
            <w:r>
              <w:rPr>
                <w:rFonts w:ascii="Verdana" w:hAnsi="Verdana" w:cs="Arial"/>
                <w:lang w:val="es-ES" w:eastAsia="es-ES"/>
              </w:rPr>
              <w:t>736</w:t>
            </w:r>
            <w:r w:rsidRPr="00482020">
              <w:rPr>
                <w:rFonts w:ascii="Verdana" w:hAnsi="Verdana" w:cs="Arial"/>
                <w:lang w:val="es-ES" w:eastAsia="es-ES"/>
              </w:rPr>
              <w:t xml:space="preserve"> de 2007 / EMPRESAS PRIVADAS DE SERVICIOS PÚBLICOS – Capital – 100% privadas – Naturaleza </w:t>
            </w:r>
            <w:r w:rsidRPr="00AC39B6">
              <w:rPr>
                <w:rFonts w:ascii="Verdana" w:hAnsi="Verdana" w:cs="Arial"/>
                <w:lang w:val="es-ES" w:eastAsia="es-ES"/>
              </w:rPr>
              <w:t xml:space="preserve">/ </w:t>
            </w:r>
            <w:r w:rsidRPr="0027160D">
              <w:rPr>
                <w:rFonts w:ascii="Verdana" w:hAnsi="Verdana" w:cs="Arial"/>
                <w:bCs/>
                <w:lang w:val="es-ES" w:eastAsia="es-ES"/>
              </w:rPr>
              <w:t>CONTRATOS Y CONVENIOS INTERADMINISTRATIVOS – Noción – Diferencias / CONVENIO INTERADMINISTRATIVO – Naturaleza – Inaplicabilidad – Ley 80 de 1993</w:t>
            </w:r>
            <w:r>
              <w:rPr>
                <w:rFonts w:ascii="Verdana" w:hAnsi="Verdana" w:cs="Arial"/>
                <w:bCs/>
                <w:lang w:val="es-ES" w:eastAsia="es-ES"/>
              </w:rPr>
              <w:t xml:space="preserve"> / SERVICIOS PÚBLICOS DOMICILIARIOS – Subsidios – Estado Social de Derecho / SUBSIDIOS – Ley 142 de 2994 – Contratos y Convenios – Financiación de Subsidios / LEY DE GARANTÍAS ELECTORALES – Restricciones – Artículo 38 – Artículo 33 / LEY DE GARANTÍAS ELECTORALES – Restricciones –Superintendencia de Servicios Públicos Domiciliarios / LEY DE GARANTÍAS ELECTORALES – Posturas del Consejo de Estado / LEY DE GARANTIAS – Restricciones-Celebración de Contratos y Convenios – Transferencia de recursos </w:t>
            </w:r>
          </w:p>
          <w:p w14:paraId="280003E8" w14:textId="65C7A5AA" w:rsidR="00813702" w:rsidRPr="00813702" w:rsidRDefault="00813702" w:rsidP="00813702">
            <w:pPr>
              <w:spacing w:line="276" w:lineRule="auto"/>
              <w:jc w:val="both"/>
              <w:rPr>
                <w:rFonts w:ascii="Verdana" w:hAnsi="Verdana" w:cs="Arial"/>
                <w:bCs/>
                <w:lang w:val="es-ES" w:eastAsia="es-ES"/>
              </w:rPr>
            </w:pPr>
          </w:p>
        </w:tc>
      </w:tr>
      <w:tr w:rsidR="00813702" w:rsidRPr="005644FE" w14:paraId="0D734882" w14:textId="77777777" w:rsidTr="00CD385A">
        <w:tc>
          <w:tcPr>
            <w:tcW w:w="3686" w:type="dxa"/>
          </w:tcPr>
          <w:p w14:paraId="3202EF58" w14:textId="77777777" w:rsidR="00813702" w:rsidRPr="005644FE" w:rsidRDefault="00813702" w:rsidP="00F0268C">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103" w:type="dxa"/>
          </w:tcPr>
          <w:p w14:paraId="35A4C701" w14:textId="77777777" w:rsidR="00813702" w:rsidRPr="00F04657" w:rsidRDefault="00813702" w:rsidP="00F0268C">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Pr="00690072">
              <w:rPr>
                <w:rFonts w:ascii="Verdana" w:eastAsia="Calibri" w:hAnsi="Verdana" w:cs="Arial"/>
                <w:lang w:eastAsia="es-ES"/>
              </w:rPr>
              <w:t>1_2026_04_30_005912</w:t>
            </w:r>
          </w:p>
        </w:tc>
      </w:tr>
    </w:tbl>
    <w:p w14:paraId="1AB16039" w14:textId="77777777" w:rsidR="00813702" w:rsidRPr="005644FE" w:rsidRDefault="00813702" w:rsidP="00813702">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21C518A4" w14:textId="77777777" w:rsidR="00813702" w:rsidRDefault="00813702" w:rsidP="00813702">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Machado: </w:t>
      </w:r>
    </w:p>
    <w:p w14:paraId="4FB87E66" w14:textId="77777777" w:rsidR="00CD385A" w:rsidRPr="005644FE" w:rsidRDefault="00CD385A" w:rsidP="00813702">
      <w:pPr>
        <w:spacing w:after="0" w:line="276" w:lineRule="auto"/>
        <w:jc w:val="both"/>
        <w:rPr>
          <w:rFonts w:ascii="Verdana" w:eastAsia="Calibri" w:hAnsi="Verdana" w:cs="Arial"/>
          <w:lang w:eastAsia="es-ES"/>
        </w:rPr>
      </w:pPr>
    </w:p>
    <w:p w14:paraId="709856DD" w14:textId="77777777" w:rsidR="00813702" w:rsidRPr="0084712D" w:rsidRDefault="00813702" w:rsidP="00813702">
      <w:pPr>
        <w:spacing w:after="12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84712D">
        <w:rPr>
          <w:rFonts w:ascii="Verdana" w:hAnsi="Verdana"/>
        </w:rPr>
        <w:t>N°</w:t>
      </w:r>
      <w:proofErr w:type="spellEnd"/>
      <w:r w:rsidRPr="0084712D">
        <w:rPr>
          <w:rFonts w:ascii="Verdana" w:hAnsi="Verdana"/>
        </w:rPr>
        <w:t xml:space="preserve"> 469 del 2025 expedida por esta Agencia, responde la solicitud de consulta</w:t>
      </w:r>
      <w:r>
        <w:rPr>
          <w:rFonts w:ascii="Verdana" w:hAnsi="Verdana"/>
        </w:rPr>
        <w:t xml:space="preserve"> previamente trasladada por parte del Departamento Administrativo de Función Pública mediante radicado </w:t>
      </w:r>
      <w:r w:rsidRPr="00690072">
        <w:rPr>
          <w:rFonts w:ascii="Verdana" w:hAnsi="Verdana"/>
        </w:rPr>
        <w:t xml:space="preserve">20266000146941 </w:t>
      </w:r>
      <w:r w:rsidRPr="0084712D">
        <w:rPr>
          <w:rFonts w:ascii="Verdana" w:hAnsi="Verdana"/>
        </w:rPr>
        <w:t xml:space="preserve">de fecha </w:t>
      </w:r>
      <w:r>
        <w:rPr>
          <w:rFonts w:ascii="Verdana" w:hAnsi="Verdana"/>
        </w:rPr>
        <w:t>20</w:t>
      </w:r>
      <w:r w:rsidRPr="0084712D">
        <w:rPr>
          <w:rFonts w:ascii="Verdana" w:hAnsi="Verdana"/>
        </w:rPr>
        <w:t xml:space="preserve"> de abril de 2026,</w:t>
      </w:r>
      <w:r>
        <w:rPr>
          <w:rFonts w:ascii="Verdana" w:hAnsi="Verdana"/>
        </w:rPr>
        <w:t xml:space="preserve"> y allegada a esta entidad el 30 de abril de 2026,</w:t>
      </w:r>
      <w:r w:rsidRPr="0084712D">
        <w:rPr>
          <w:rFonts w:ascii="Verdana" w:hAnsi="Verdana"/>
        </w:rPr>
        <w:t xml:space="preserve"> en la cual</w:t>
      </w:r>
      <w:r>
        <w:rPr>
          <w:rFonts w:ascii="Verdana" w:hAnsi="Verdana"/>
        </w:rPr>
        <w:t xml:space="preserve"> </w:t>
      </w:r>
      <w:r w:rsidRPr="0084712D">
        <w:rPr>
          <w:rFonts w:ascii="Verdana" w:hAnsi="Verdana"/>
        </w:rPr>
        <w:t>manifiesta lo siguiente:</w:t>
      </w:r>
    </w:p>
    <w:p w14:paraId="1F495B84" w14:textId="77777777" w:rsidR="00813702" w:rsidRDefault="00813702" w:rsidP="00813702">
      <w:pPr>
        <w:spacing w:after="0" w:line="240" w:lineRule="auto"/>
        <w:jc w:val="both"/>
        <w:rPr>
          <w:rFonts w:ascii="Verdana" w:hAnsi="Verdana"/>
        </w:rPr>
      </w:pPr>
    </w:p>
    <w:p w14:paraId="5C489AE9" w14:textId="77777777" w:rsidR="00813702" w:rsidRPr="002D339E" w:rsidRDefault="00813702" w:rsidP="00813702">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686BD32E" w14:textId="77777777" w:rsidR="00813702" w:rsidRDefault="00813702" w:rsidP="00813702">
      <w:pPr>
        <w:spacing w:after="0" w:line="240" w:lineRule="auto"/>
        <w:ind w:left="709" w:right="709"/>
        <w:jc w:val="both"/>
        <w:rPr>
          <w:rFonts w:ascii="Verdana" w:hAnsi="Verdana"/>
          <w:sz w:val="20"/>
          <w:szCs w:val="20"/>
        </w:rPr>
      </w:pPr>
      <w:r>
        <w:rPr>
          <w:rFonts w:ascii="Verdana" w:hAnsi="Verdana"/>
          <w:sz w:val="20"/>
          <w:szCs w:val="20"/>
        </w:rPr>
        <w:t xml:space="preserve">“(…) En el marco de la ejecución del presupuesto de subsidios para los servicios públicos domiciliarios de acueductos y alcantarillado, financiados a través del Fondo de Solidaridad y Redistribución de Ingresos (FSRI) establecido en el artículo 89 de la Ley 142 de 1994, surge la necesidad de establecer si se puede llevar a cabo contratos de transferencias de recursos, convenios o contrato interadministrativo de transferencia de dichos recursos, que se suscriben entre las entidad territorial “Municipio” y la Empresa de Servicios Públicos o acueductos veredales, los cuales, se encuentran restringidas o prohibida durante los periodos de aplicación de la ley 996 de 2005 – Ley de Garantías Electorales. </w:t>
      </w:r>
    </w:p>
    <w:p w14:paraId="0B917331" w14:textId="77777777" w:rsidR="00813702" w:rsidRDefault="00813702" w:rsidP="00813702">
      <w:pPr>
        <w:spacing w:after="0" w:line="240" w:lineRule="auto"/>
        <w:ind w:left="709" w:right="709"/>
        <w:jc w:val="both"/>
        <w:rPr>
          <w:rFonts w:ascii="Verdana" w:hAnsi="Verdana"/>
          <w:sz w:val="20"/>
          <w:szCs w:val="20"/>
        </w:rPr>
      </w:pPr>
    </w:p>
    <w:p w14:paraId="65FCCC5B" w14:textId="77777777" w:rsidR="00813702" w:rsidRDefault="00813702" w:rsidP="00813702">
      <w:pPr>
        <w:spacing w:after="0" w:line="240" w:lineRule="auto"/>
        <w:ind w:left="709" w:right="709"/>
        <w:jc w:val="both"/>
        <w:rPr>
          <w:rFonts w:ascii="Verdana" w:hAnsi="Verdana"/>
          <w:sz w:val="20"/>
          <w:szCs w:val="20"/>
        </w:rPr>
      </w:pPr>
      <w:r w:rsidRPr="00690072">
        <w:rPr>
          <w:rFonts w:ascii="Verdana" w:hAnsi="Verdana"/>
          <w:sz w:val="20"/>
          <w:szCs w:val="20"/>
        </w:rPr>
        <w:t>En consecuencia, respetuosamente solicito concepto sobre los siguientes puntos:</w:t>
      </w:r>
    </w:p>
    <w:p w14:paraId="2E38A9AF" w14:textId="77777777" w:rsidR="00813702" w:rsidRPr="00690072" w:rsidRDefault="00813702" w:rsidP="00813702">
      <w:pPr>
        <w:spacing w:after="0" w:line="240" w:lineRule="auto"/>
        <w:ind w:left="709" w:right="709"/>
        <w:jc w:val="both"/>
        <w:rPr>
          <w:rFonts w:ascii="Verdana" w:hAnsi="Verdana"/>
          <w:sz w:val="20"/>
          <w:szCs w:val="20"/>
        </w:rPr>
      </w:pPr>
    </w:p>
    <w:p w14:paraId="4ED26442" w14:textId="77777777" w:rsidR="00813702" w:rsidRDefault="00813702" w:rsidP="00813702">
      <w:pPr>
        <w:spacing w:after="0" w:line="240" w:lineRule="auto"/>
        <w:ind w:left="709" w:right="709"/>
        <w:jc w:val="both"/>
        <w:rPr>
          <w:rFonts w:ascii="Verdana" w:hAnsi="Verdana"/>
          <w:sz w:val="20"/>
          <w:szCs w:val="20"/>
        </w:rPr>
      </w:pPr>
      <w:r w:rsidRPr="00690072">
        <w:rPr>
          <w:rFonts w:ascii="Verdana" w:hAnsi="Verdana"/>
          <w:sz w:val="20"/>
          <w:szCs w:val="20"/>
        </w:rPr>
        <w:t xml:space="preserve">1. Solicito se precise si los contratos de transferencia de recursos, convenios o contrato interadministrativos de transferencia de recursos, que se suscriben entre la entidad territorial "Municipio" y la Empresa de Servicios Públicos o acueductos veredales para la financiación de subsidios pueden considerarse restringidos o prohibidos dentro del marco de las limitaciones impuestas por la Ley de Garantías Electorales. </w:t>
      </w:r>
    </w:p>
    <w:p w14:paraId="785D0EF7" w14:textId="77777777" w:rsidR="00813702" w:rsidRPr="00690072" w:rsidRDefault="00813702" w:rsidP="00813702">
      <w:pPr>
        <w:spacing w:after="0" w:line="240" w:lineRule="auto"/>
        <w:ind w:left="709" w:right="709"/>
        <w:jc w:val="both"/>
        <w:rPr>
          <w:rFonts w:ascii="Verdana" w:hAnsi="Verdana"/>
          <w:sz w:val="20"/>
          <w:szCs w:val="20"/>
        </w:rPr>
      </w:pPr>
      <w:r w:rsidRPr="00690072">
        <w:rPr>
          <w:rFonts w:ascii="Verdana" w:hAnsi="Verdana"/>
          <w:sz w:val="20"/>
          <w:szCs w:val="20"/>
        </w:rPr>
        <w:t>2. En caso afirmativo, ¿existen excepciones aplicables que permitan la suscripción o continuidad de contratos o convenios de transferencia de recursos durante los períodos de restricción establecidos por la Ley 996 de 2005, especialmente tratándose de un servicio esencial y de prestación continua.?</w:t>
      </w:r>
    </w:p>
    <w:p w14:paraId="25141584" w14:textId="77777777" w:rsidR="00813702" w:rsidRDefault="00813702" w:rsidP="00813702">
      <w:pPr>
        <w:spacing w:after="0" w:line="240" w:lineRule="auto"/>
        <w:ind w:left="709" w:right="709"/>
        <w:jc w:val="both"/>
        <w:rPr>
          <w:rFonts w:ascii="Verdana" w:hAnsi="Verdana"/>
          <w:sz w:val="20"/>
          <w:szCs w:val="20"/>
        </w:rPr>
      </w:pPr>
      <w:r w:rsidRPr="00690072">
        <w:rPr>
          <w:rFonts w:ascii="Verdana" w:hAnsi="Verdana"/>
          <w:sz w:val="20"/>
          <w:szCs w:val="20"/>
        </w:rPr>
        <w:t xml:space="preserve">3. ¿Es viable llevar a cabo dicha transferencia bajo una modalidad o forma jurídica diferente que no quede comprendida dentro de las prohibiciones de la Ley de Garantías? De ser así, ¿cuál sería el procedimiento? </w:t>
      </w:r>
      <w:r>
        <w:rPr>
          <w:rFonts w:ascii="Verdana" w:hAnsi="Verdana"/>
          <w:sz w:val="20"/>
          <w:szCs w:val="20"/>
        </w:rPr>
        <w:t>(…)”.</w:t>
      </w:r>
    </w:p>
    <w:p w14:paraId="0E8A1F21" w14:textId="77777777" w:rsidR="00813702" w:rsidRPr="00647D77" w:rsidRDefault="00813702" w:rsidP="00813702">
      <w:pPr>
        <w:spacing w:after="0" w:line="240" w:lineRule="auto"/>
        <w:ind w:right="709"/>
        <w:jc w:val="both"/>
        <w:rPr>
          <w:rFonts w:ascii="Verdana" w:hAnsi="Verdana"/>
        </w:rPr>
      </w:pPr>
    </w:p>
    <w:p w14:paraId="63D8F4FA" w14:textId="77777777" w:rsidR="00813702" w:rsidRPr="00F64722" w:rsidRDefault="00813702" w:rsidP="00813702">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53AF94F" w14:textId="77777777" w:rsidR="00813702" w:rsidRPr="00BC65C7" w:rsidRDefault="00813702" w:rsidP="00813702">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w:t>
      </w:r>
      <w:r w:rsidRPr="00BC65C7">
        <w:rPr>
          <w:rFonts w:ascii="Verdana" w:eastAsia="Calibri" w:hAnsi="Verdana" w:cs="Arial"/>
          <w:color w:val="000000"/>
          <w:lang w:eastAsia="es-ES"/>
        </w:rPr>
        <w:t>señalando algunas consideraciones sobre las normas generales relacionadas a</w:t>
      </w:r>
      <w:r>
        <w:rPr>
          <w:rFonts w:ascii="Verdana" w:eastAsia="Calibri" w:hAnsi="Verdana" w:cs="Arial"/>
          <w:color w:val="000000"/>
          <w:lang w:eastAsia="es-ES"/>
        </w:rPr>
        <w:t xml:space="preserve"> </w:t>
      </w:r>
      <w:r w:rsidRPr="00BC65C7">
        <w:rPr>
          <w:rFonts w:ascii="Verdana" w:eastAsia="Calibri" w:hAnsi="Verdana" w:cs="Arial"/>
          <w:color w:val="000000"/>
          <w:lang w:eastAsia="es-ES"/>
        </w:rPr>
        <w:t>l</w:t>
      </w:r>
      <w:r>
        <w:rPr>
          <w:rFonts w:ascii="Verdana" w:eastAsia="Calibri" w:hAnsi="Verdana" w:cs="Arial"/>
          <w:color w:val="000000"/>
          <w:lang w:eastAsia="es-ES"/>
        </w:rPr>
        <w:t>os</w:t>
      </w:r>
      <w:r w:rsidRPr="00BC65C7">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BC65C7">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BC65C7">
        <w:rPr>
          <w:rFonts w:ascii="Verdana" w:eastAsia="Calibri" w:hAnsi="Verdana" w:cs="Arial"/>
          <w:color w:val="000000"/>
          <w:lang w:eastAsia="es-ES"/>
        </w:rPr>
        <w:t xml:space="preserve"> de su consulta.</w:t>
      </w:r>
      <w:r w:rsidRPr="00BC65C7">
        <w:rPr>
          <w:rFonts w:ascii="Verdana" w:eastAsia="Calibri" w:hAnsi="Verdana" w:cs="Arial"/>
          <w:lang w:eastAsia="es-ES"/>
        </w:rPr>
        <w:t xml:space="preserve">  </w:t>
      </w:r>
    </w:p>
    <w:p w14:paraId="127B010D" w14:textId="77777777" w:rsidR="00813702" w:rsidRPr="00BC65C7" w:rsidRDefault="00813702" w:rsidP="008137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65C7">
        <w:rPr>
          <w:rFonts w:ascii="Verdana" w:eastAsia="Century Gothic" w:hAnsi="Verdana" w:cs="Century Gothic"/>
          <w:b/>
          <w:bCs/>
        </w:rPr>
        <w:t>Problema planteado:</w:t>
      </w:r>
    </w:p>
    <w:p w14:paraId="13E40FCA" w14:textId="77777777" w:rsidR="00813702" w:rsidRPr="00DB6A18" w:rsidRDefault="00813702" w:rsidP="00813702">
      <w:pPr>
        <w:spacing w:after="0" w:line="240" w:lineRule="auto"/>
        <w:jc w:val="both"/>
        <w:rPr>
          <w:rFonts w:ascii="Verdana" w:eastAsia="Calibri" w:hAnsi="Verdana" w:cs="Arial"/>
          <w:color w:val="000000"/>
          <w:lang w:eastAsia="es-ES"/>
        </w:rPr>
      </w:pPr>
    </w:p>
    <w:p w14:paraId="2F3E7779" w14:textId="77777777" w:rsidR="00813702" w:rsidRDefault="00813702" w:rsidP="00813702">
      <w:pPr>
        <w:spacing w:after="0" w:line="276" w:lineRule="auto"/>
        <w:jc w:val="both"/>
      </w:pPr>
      <w:r w:rsidRPr="00BC65C7">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los</w:t>
      </w:r>
      <w:r w:rsidRPr="00BC65C7">
        <w:rPr>
          <w:rFonts w:ascii="Verdana" w:eastAsia="Calibri" w:hAnsi="Verdana" w:cs="Arial"/>
          <w:color w:val="000000"/>
          <w:lang w:eastAsia="es-ES"/>
        </w:rPr>
        <w:t xml:space="preserve"> siguiente</w:t>
      </w:r>
      <w:r>
        <w:rPr>
          <w:rFonts w:ascii="Verdana" w:eastAsia="Calibri" w:hAnsi="Verdana" w:cs="Arial"/>
          <w:color w:val="000000"/>
          <w:lang w:eastAsia="es-ES"/>
        </w:rPr>
        <w:t>s</w:t>
      </w:r>
      <w:r w:rsidRPr="00BC65C7">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BC65C7">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BC65C7">
        <w:rPr>
          <w:rFonts w:ascii="Verdana" w:eastAsia="Calibri" w:hAnsi="Verdana" w:cs="Arial"/>
          <w:color w:val="000000"/>
          <w:lang w:eastAsia="es-ES"/>
        </w:rPr>
        <w:t>:</w:t>
      </w:r>
      <w:r>
        <w:rPr>
          <w:rFonts w:ascii="Verdana" w:eastAsia="Calibri" w:hAnsi="Verdana" w:cs="Arial"/>
          <w:color w:val="000000"/>
          <w:lang w:eastAsia="es-ES"/>
        </w:rPr>
        <w:t xml:space="preserve"> i) </w:t>
      </w:r>
      <w:r w:rsidRPr="00890DF7">
        <w:rPr>
          <w:rFonts w:ascii="Verdana" w:eastAsia="Calibri" w:hAnsi="Verdana" w:cs="Times New Roman"/>
          <w:iCs/>
          <w:lang w:val="es-ES"/>
        </w:rPr>
        <w:t>¿</w:t>
      </w:r>
      <w:r w:rsidRPr="005F1A8F">
        <w:rPr>
          <w:rFonts w:ascii="Verdana" w:eastAsia="Calibri" w:hAnsi="Verdana" w:cs="Times New Roman"/>
          <w:iCs/>
          <w:lang w:val="es-ES"/>
        </w:rPr>
        <w:t>Cuáles son los criterios jurídicos relevantes para definir si el instrumento de transfere</w:t>
      </w:r>
      <w:r>
        <w:rPr>
          <w:rFonts w:ascii="Verdana" w:eastAsia="Calibri" w:hAnsi="Verdana" w:cs="Times New Roman"/>
          <w:iCs/>
          <w:lang w:val="es-ES"/>
        </w:rPr>
        <w:t xml:space="preserve">ncia de recursos para subsidios o </w:t>
      </w:r>
      <w:r w:rsidRPr="005F1A8F">
        <w:rPr>
          <w:rFonts w:ascii="Verdana" w:eastAsia="Calibri" w:hAnsi="Verdana" w:cs="Times New Roman"/>
          <w:iCs/>
          <w:lang w:val="es-ES"/>
        </w:rPr>
        <w:t xml:space="preserve">aportes en servicios públicos domiciliarios </w:t>
      </w:r>
      <w:r>
        <w:rPr>
          <w:rFonts w:ascii="Verdana" w:eastAsia="Calibri" w:hAnsi="Verdana" w:cs="Times New Roman"/>
          <w:iCs/>
          <w:lang w:val="es-ES"/>
        </w:rPr>
        <w:t>debe clasificarse como convenio o contrato interadministrativo</w:t>
      </w:r>
      <w:r w:rsidRPr="005F1A8F">
        <w:rPr>
          <w:rFonts w:ascii="Verdana" w:eastAsia="Calibri" w:hAnsi="Verdana" w:cs="Times New Roman"/>
          <w:iCs/>
          <w:lang w:val="es-ES"/>
        </w:rPr>
        <w:t>?</w:t>
      </w:r>
      <w:r>
        <w:rPr>
          <w:rFonts w:ascii="Verdana" w:eastAsia="Calibri" w:hAnsi="Verdana" w:cs="Times New Roman"/>
          <w:iCs/>
          <w:lang w:val="es-ES"/>
        </w:rPr>
        <w:t xml:space="preserve"> </w:t>
      </w:r>
      <w:proofErr w:type="spellStart"/>
      <w:r>
        <w:rPr>
          <w:rFonts w:ascii="Verdana" w:eastAsia="Calibri" w:hAnsi="Verdana" w:cs="Times New Roman"/>
          <w:iCs/>
          <w:lang w:val="es-ES"/>
        </w:rPr>
        <w:t>ii</w:t>
      </w:r>
      <w:proofErr w:type="spellEnd"/>
      <w:r>
        <w:rPr>
          <w:rFonts w:ascii="Verdana" w:eastAsia="Calibri" w:hAnsi="Verdana" w:cs="Times New Roman"/>
          <w:iCs/>
          <w:lang w:val="es-ES"/>
        </w:rPr>
        <w:t xml:space="preserve">) </w:t>
      </w:r>
      <w:r>
        <w:rPr>
          <w:rFonts w:ascii="Verdana" w:hAnsi="Verdana"/>
        </w:rPr>
        <w:t>D</w:t>
      </w:r>
      <w:r w:rsidRPr="005D29E2">
        <w:rPr>
          <w:rFonts w:ascii="Verdana" w:hAnsi="Verdana"/>
        </w:rPr>
        <w:t xml:space="preserve">urante la vigencia de la Ley de Garantías </w:t>
      </w:r>
      <w:r>
        <w:rPr>
          <w:rFonts w:ascii="Verdana" w:hAnsi="Verdana"/>
        </w:rPr>
        <w:t xml:space="preserve">Electorales ¿es procedente celebrar por parte de una entidad territorial un convenio o contrato </w:t>
      </w:r>
      <w:r w:rsidRPr="005D29E2">
        <w:rPr>
          <w:rFonts w:ascii="Verdana" w:hAnsi="Verdana"/>
        </w:rPr>
        <w:t xml:space="preserve">interadministrativo para la transferencia de recursos </w:t>
      </w:r>
      <w:r>
        <w:rPr>
          <w:rFonts w:ascii="Verdana" w:hAnsi="Verdana"/>
        </w:rPr>
        <w:t>de subsidios con una empresa de servicios públicos domiciliarios?</w:t>
      </w:r>
    </w:p>
    <w:p w14:paraId="0A7A348D" w14:textId="77777777" w:rsidR="00813702" w:rsidRPr="00C94BB8" w:rsidRDefault="00813702" w:rsidP="00813702">
      <w:pPr>
        <w:spacing w:after="0" w:line="276" w:lineRule="auto"/>
        <w:jc w:val="both"/>
      </w:pPr>
    </w:p>
    <w:p w14:paraId="0D3EC5AA" w14:textId="77777777" w:rsidR="00813702" w:rsidRPr="00C97CA6" w:rsidRDefault="00813702" w:rsidP="00813702">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3C31C654" w14:textId="77777777" w:rsidR="00813702" w:rsidRPr="005644FE" w:rsidRDefault="00813702" w:rsidP="00813702">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13702" w:rsidRPr="005644FE" w14:paraId="0E000BF0" w14:textId="77777777" w:rsidTr="00F0268C">
        <w:tc>
          <w:tcPr>
            <w:tcW w:w="8828" w:type="dxa"/>
          </w:tcPr>
          <w:p w14:paraId="5C924780" w14:textId="77777777" w:rsidR="00813702" w:rsidRDefault="00813702" w:rsidP="00F0268C">
            <w:pPr>
              <w:spacing w:after="120" w:line="276" w:lineRule="auto"/>
              <w:jc w:val="both"/>
              <w:rPr>
                <w:rFonts w:ascii="Verdana" w:hAnsi="Verdana"/>
              </w:rPr>
            </w:pPr>
            <w:r>
              <w:rPr>
                <w:rFonts w:ascii="Verdana" w:hAnsi="Verdana" w:cs="Arial"/>
                <w:lang w:val="es-ES" w:eastAsia="es-ES"/>
              </w:rPr>
              <w:t>i)</w:t>
            </w:r>
            <w:r w:rsidRPr="003C5FD9">
              <w:rPr>
                <w:rFonts w:ascii="Verdana" w:hAnsi="Verdana"/>
              </w:rPr>
              <w:t xml:space="preserve"> </w:t>
            </w:r>
            <w:r>
              <w:rPr>
                <w:rFonts w:ascii="Verdana" w:hAnsi="Verdana"/>
              </w:rPr>
              <w:t xml:space="preserve">De acuerdo con el primer problema jurídico, se destaca que </w:t>
            </w:r>
            <w:r w:rsidRPr="003C5FD9">
              <w:rPr>
                <w:rFonts w:ascii="Verdana" w:hAnsi="Verdana"/>
              </w:rPr>
              <w:t xml:space="preserve">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72CDE22C" w14:textId="77777777" w:rsidR="00813702" w:rsidRDefault="00813702" w:rsidP="00F0268C">
            <w:pPr>
              <w:spacing w:after="120" w:line="276" w:lineRule="auto"/>
              <w:ind w:firstLine="709"/>
              <w:jc w:val="both"/>
              <w:rPr>
                <w:rFonts w:ascii="Verdana" w:hAnsi="Verdana"/>
              </w:rPr>
            </w:pPr>
            <w:r>
              <w:rPr>
                <w:rFonts w:ascii="Verdana" w:hAnsi="Verdana"/>
              </w:rPr>
              <w:t>En este escenario, l</w:t>
            </w:r>
            <w:r w:rsidRPr="00055945">
              <w:rPr>
                <w:rFonts w:ascii="Verdana" w:hAnsi="Verdana"/>
              </w:rPr>
              <w:t xml:space="preserve">a </w:t>
            </w:r>
            <w:r>
              <w:rPr>
                <w:rFonts w:ascii="Verdana" w:hAnsi="Verdana"/>
              </w:rPr>
              <w:t>denominación de</w:t>
            </w:r>
            <w:r w:rsidRPr="00055945">
              <w:rPr>
                <w:rFonts w:ascii="Verdana" w:hAnsi="Verdana"/>
              </w:rPr>
              <w:t xml:space="preserve">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xml:space="preserve">, conforme a lo </w:t>
            </w:r>
            <w:r>
              <w:rPr>
                <w:rFonts w:ascii="Verdana" w:hAnsi="Verdana"/>
              </w:rPr>
              <w:t xml:space="preserve">expresado </w:t>
            </w:r>
            <w:r w:rsidRPr="00055945">
              <w:rPr>
                <w:rFonts w:ascii="Verdana" w:hAnsi="Verdana"/>
              </w:rPr>
              <w:t>por la Corte Constitucional en la Sentencia C-736 de 200</w:t>
            </w:r>
            <w:r>
              <w:rPr>
                <w:rFonts w:ascii="Verdana" w:hAnsi="Verdana"/>
              </w:rPr>
              <w:t>7</w:t>
            </w:r>
            <w:r w:rsidRPr="00055945">
              <w:rPr>
                <w:rFonts w:ascii="Verdana" w:hAnsi="Verdana"/>
              </w:rPr>
              <w:t>, lo que les otorga un carácter especial dentro de la estructura administrativa del Estad</w:t>
            </w:r>
            <w:r>
              <w:rPr>
                <w:rFonts w:ascii="Verdana" w:hAnsi="Verdana"/>
              </w:rPr>
              <w:t xml:space="preserve">o. </w:t>
            </w:r>
          </w:p>
          <w:p w14:paraId="5F6AA8AB" w14:textId="77777777" w:rsidR="00813702" w:rsidRDefault="00813702" w:rsidP="00F0268C">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Pr>
                <w:rFonts w:ascii="Verdana" w:hAnsi="Verdana"/>
              </w:rPr>
              <w:t>y</w:t>
            </w:r>
            <w:proofErr w:type="gramEnd"/>
            <w:r>
              <w:rPr>
                <w:rFonts w:ascii="Verdana" w:hAnsi="Verdana"/>
              </w:rPr>
              <w:t xml:space="preserve"> por ende, sus condiciones se encuentran sujetas a la autonomía de la voluntad de las partes que lo suscriben, lo cual debe plasmarse en el texto contractual”. </w:t>
            </w:r>
          </w:p>
          <w:p w14:paraId="19D59D89" w14:textId="77777777" w:rsidR="00813702" w:rsidRDefault="00813702" w:rsidP="00F0268C">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33095C73" w14:textId="77777777" w:rsidR="00813702" w:rsidRDefault="00813702" w:rsidP="00F0268C">
            <w:pPr>
              <w:spacing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idénticas o similares</w:t>
            </w:r>
            <w:r w:rsidRPr="00055945">
              <w:rPr>
                <w:rFonts w:ascii="Verdana" w:hAnsi="Verdana"/>
              </w:rPr>
              <w:t>.</w:t>
            </w:r>
            <w:r>
              <w:rPr>
                <w:rFonts w:ascii="Verdana" w:hAnsi="Verdana"/>
              </w:rPr>
              <w:t xml:space="preserve"> </w:t>
            </w:r>
          </w:p>
          <w:p w14:paraId="092C6CCA" w14:textId="77777777" w:rsidR="00813702" w:rsidRPr="00897CAB" w:rsidRDefault="00813702" w:rsidP="00F0268C">
            <w:pPr>
              <w:ind w:firstLine="709"/>
              <w:jc w:val="both"/>
              <w:rPr>
                <w:rFonts w:ascii="Verdana" w:hAnsi="Verdana"/>
              </w:rPr>
            </w:pPr>
          </w:p>
          <w:p w14:paraId="08564007" w14:textId="77777777" w:rsidR="00813702" w:rsidRPr="00E2397D" w:rsidRDefault="00813702" w:rsidP="00813702">
            <w:pPr>
              <w:spacing w:after="120" w:line="276" w:lineRule="auto"/>
              <w:jc w:val="both"/>
              <w:rPr>
                <w:rFonts w:ascii="Verdana" w:eastAsia="Arial" w:hAnsi="Verdana" w:cs="Arial"/>
                <w:lang w:val="es-ES" w:eastAsia="es-ES" w:bidi="es-ES"/>
              </w:rPr>
            </w:pPr>
            <w:proofErr w:type="spellStart"/>
            <w:r>
              <w:rPr>
                <w:rFonts w:ascii="Verdana" w:hAnsi="Verdana" w:cs="Arial"/>
                <w:lang w:val="es-ES" w:eastAsia="es-ES"/>
              </w:rPr>
              <w:t>ii</w:t>
            </w:r>
            <w:proofErr w:type="spellEnd"/>
            <w:r>
              <w:rPr>
                <w:rFonts w:ascii="Verdana" w:hAnsi="Verdana" w:cs="Arial"/>
                <w:lang w:val="es-ES" w:eastAsia="es-ES"/>
              </w:rPr>
              <w:t xml:space="preserve">. De acuerdo con el segundo problema jurídico, objeto de consulta, se señala que </w:t>
            </w:r>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val="es-ES" w:eastAsia="es-ES" w:bidi="es-ES"/>
              </w:rPr>
              <w:t xml:space="preserve"> </w:t>
            </w: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FE2FA52" w14:textId="77777777" w:rsidR="00813702" w:rsidRDefault="00813702" w:rsidP="00F0268C">
            <w:pPr>
              <w:spacing w:after="120" w:line="276" w:lineRule="auto"/>
              <w:ind w:firstLine="708"/>
              <w:jc w:val="both"/>
              <w:rPr>
                <w:rFonts w:ascii="Verdana" w:eastAsia="Times New Roman" w:hAnsi="Verdana" w:cs="Times New Roman"/>
                <w:iCs/>
                <w:lang w:val="es-ES" w:eastAsia="es-ES"/>
              </w:rPr>
            </w:pPr>
            <w:r>
              <w:rPr>
                <w:rFonts w:ascii="Verdana" w:eastAsia="Times New Roman" w:hAnsi="Verdana" w:cs="Arial"/>
                <w:bCs/>
                <w:lang w:val="es-MX" w:eastAsia="x-none"/>
              </w:rPr>
              <w:t xml:space="preserve">Es importante señalar que </w:t>
            </w:r>
            <w:r w:rsidRPr="0057193B">
              <w:rPr>
                <w:rFonts w:ascii="Verdana" w:eastAsia="Times New Roman" w:hAnsi="Verdana" w:cs="Arial"/>
                <w:bCs/>
                <w:lang w:val="es-MX" w:eastAsia="x-none"/>
              </w:rPr>
              <w:t>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t xml:space="preserve"> </w:t>
            </w:r>
            <w:r w:rsidRPr="0057193B">
              <w:rPr>
                <w:rFonts w:ascii="Verdana" w:eastAsia="Times New Roman" w:hAnsi="Verdana" w:cs="Arial"/>
                <w:bCs/>
                <w:lang w:val="es-MX" w:eastAsia="x-none"/>
              </w:rPr>
              <w:t xml:space="preserve">De lo anterior se desprende que la restricción </w:t>
            </w:r>
            <w:r>
              <w:rPr>
                <w:rFonts w:ascii="Verdana" w:eastAsia="Times New Roman" w:hAnsi="Verdana" w:cs="Arial"/>
                <w:bCs/>
                <w:lang w:val="es-MX" w:eastAsia="x-none"/>
              </w:rPr>
              <w:t xml:space="preserve">del artículo 33 </w:t>
            </w:r>
            <w:r w:rsidRPr="0057193B">
              <w:rPr>
                <w:rFonts w:ascii="Verdana" w:eastAsia="Times New Roman" w:hAnsi="Verdana" w:cs="Arial"/>
                <w:bCs/>
                <w:lang w:val="es-MX" w:eastAsia="x-none"/>
              </w:rPr>
              <w:t xml:space="preserve">aplica, sin perjuicio de las excepciones establecidas </w:t>
            </w:r>
            <w:r w:rsidRPr="00B2403B">
              <w:rPr>
                <w:rFonts w:ascii="Verdana" w:eastAsia="Times New Roman" w:hAnsi="Verdana" w:cs="Arial"/>
                <w:bCs/>
                <w:lang w:val="es-MX" w:eastAsia="x-none"/>
              </w:rPr>
              <w:t>en el inciso final del</w:t>
            </w:r>
            <w:r>
              <w:rPr>
                <w:rFonts w:ascii="Verdana" w:eastAsia="Times New Roman" w:hAnsi="Verdana" w:cs="Arial"/>
                <w:bCs/>
                <w:lang w:val="es-MX" w:eastAsia="x-none"/>
              </w:rPr>
              <w:t xml:space="preserve"> precitado artículo:</w:t>
            </w:r>
            <w:r w:rsidRPr="00B2403B">
              <w:rPr>
                <w:rFonts w:ascii="Verdana" w:eastAsia="Times New Roman" w:hAnsi="Verdana" w:cs="Arial"/>
                <w:bCs/>
                <w:lang w:val="es-MX" w:eastAsia="x-none"/>
              </w:rPr>
              <w:t xml:space="preserve"> a i) la defensa y seguridad del Estado; </w:t>
            </w:r>
            <w:proofErr w:type="spellStart"/>
            <w:r w:rsidRPr="00B2403B">
              <w:rPr>
                <w:rFonts w:ascii="Verdana" w:eastAsia="Times New Roman" w:hAnsi="Verdana" w:cs="Arial"/>
                <w:bCs/>
                <w:lang w:val="es-MX" w:eastAsia="x-none"/>
              </w:rPr>
              <w:t>ii</w:t>
            </w:r>
            <w:proofErr w:type="spellEnd"/>
            <w:r w:rsidRPr="00B2403B">
              <w:rPr>
                <w:rFonts w:ascii="Verdana" w:eastAsia="Times New Roman" w:hAnsi="Verdana" w:cs="Arial"/>
                <w:bCs/>
                <w:lang w:val="es-MX" w:eastAsia="x-none"/>
              </w:rPr>
              <w:t xml:space="preserve">) los contratos de crédito público; </w:t>
            </w:r>
            <w:proofErr w:type="spellStart"/>
            <w:r w:rsidRPr="00B2403B">
              <w:rPr>
                <w:rFonts w:ascii="Verdana" w:eastAsia="Times New Roman" w:hAnsi="Verdana" w:cs="Arial"/>
                <w:bCs/>
                <w:lang w:val="es-MX" w:eastAsia="x-none"/>
              </w:rPr>
              <w:t>iii</w:t>
            </w:r>
            <w:proofErr w:type="spellEnd"/>
            <w:r w:rsidRPr="00B2403B">
              <w:rPr>
                <w:rFonts w:ascii="Verdana" w:eastAsia="Times New Roman" w:hAnsi="Verdana" w:cs="Arial"/>
                <w:bCs/>
                <w:lang w:val="es-MX" w:eastAsia="x-none"/>
              </w:rPr>
              <w:t xml:space="preserve">) los requeridos para cubrir las emergencias educativas, sanitarias y desastres; </w:t>
            </w:r>
            <w:proofErr w:type="spellStart"/>
            <w:r w:rsidRPr="00B2403B">
              <w:rPr>
                <w:rFonts w:ascii="Verdana" w:eastAsia="Times New Roman" w:hAnsi="Verdana" w:cs="Arial"/>
                <w:bCs/>
                <w:lang w:val="es-MX" w:eastAsia="x-none"/>
              </w:rPr>
              <w:t>iv</w:t>
            </w:r>
            <w:proofErr w:type="spellEnd"/>
            <w:r w:rsidRPr="00B240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71AA1B50" w14:textId="77777777" w:rsidR="00813702" w:rsidRPr="000D3291" w:rsidRDefault="00813702" w:rsidP="00F0268C">
            <w:pPr>
              <w:spacing w:after="120" w:line="276" w:lineRule="auto"/>
              <w:ind w:firstLine="709"/>
              <w:jc w:val="both"/>
              <w:rPr>
                <w:rFonts w:ascii="Verdana" w:hAnsi="Verdana"/>
                <w:sz w:val="20"/>
                <w:szCs w:val="20"/>
              </w:rPr>
            </w:pPr>
            <w:r>
              <w:rPr>
                <w:rFonts w:ascii="Verdana" w:eastAsia="Times New Roman" w:hAnsi="Verdana" w:cs="Arial"/>
                <w:bCs/>
                <w:lang w:val="es-MX" w:eastAsia="es-CO"/>
              </w:rPr>
              <w:t xml:space="preserve">Por otro lado, el artículo 38 frente a la prohibición de celebrar convenios interadministrativos para la ejecución de recursos públicos no establece excepciones como el artículo 33, para que puedan adelantarse sin ninguna dificultad. Así mismo, el Consejo de Estado señaló que el concepto de convenio interadministrativo no es aplicable a los contratos interadministrativos, pues son instituciones totalmente diferentes. </w:t>
            </w:r>
          </w:p>
          <w:p w14:paraId="25E6D243" w14:textId="77777777" w:rsidR="00813702" w:rsidRDefault="00813702" w:rsidP="00F0268C">
            <w:pPr>
              <w:spacing w:after="120" w:line="276" w:lineRule="auto"/>
              <w:ind w:firstLine="709"/>
              <w:jc w:val="both"/>
              <w:rPr>
                <w:rFonts w:ascii="Verdana" w:hAnsi="Verdana"/>
                <w:sz w:val="20"/>
                <w:szCs w:val="20"/>
              </w:rPr>
            </w:pPr>
            <w:r>
              <w:rPr>
                <w:rFonts w:ascii="Verdana" w:hAnsi="Verdana"/>
              </w:rPr>
              <w:t xml:space="preserve">Sin perjuicio de lo anterior, Superintendencia de Servicios Públicos en varios conceptos - </w:t>
            </w:r>
            <w:r w:rsidRPr="005D4BFC">
              <w:rPr>
                <w:rFonts w:ascii="Verdana" w:hAnsi="Verdana"/>
              </w:rPr>
              <w:t>C-086 de 2022 y C-194 de 2022</w:t>
            </w:r>
            <w:r>
              <w:rPr>
                <w:rFonts w:ascii="Verdana" w:hAnsi="Verdana"/>
              </w:rPr>
              <w:t>-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Dicho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hAnsi="Verdana"/>
                <w:sz w:val="20"/>
                <w:szCs w:val="20"/>
              </w:rPr>
              <w:t xml:space="preserve">. </w:t>
            </w:r>
            <w:r>
              <w:rPr>
                <w:rFonts w:ascii="Verdana" w:eastAsia="Calibri" w:hAnsi="Verdana" w:cs="Times New Roman"/>
                <w:iCs/>
              </w:rPr>
              <w:t xml:space="preserve">Dicha </w:t>
            </w:r>
            <w:r w:rsidRPr="00B2403B">
              <w:rPr>
                <w:rFonts w:ascii="Verdana" w:eastAsia="Calibri" w:hAnsi="Verdana" w:cs="Times New Roman"/>
                <w:iCs/>
              </w:rPr>
              <w:t xml:space="preserve">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 </w:t>
            </w:r>
          </w:p>
          <w:p w14:paraId="231D141B" w14:textId="77777777" w:rsidR="00813702" w:rsidRDefault="00813702" w:rsidP="00F0268C">
            <w:pPr>
              <w:spacing w:after="120" w:line="276" w:lineRule="auto"/>
              <w:ind w:firstLine="709"/>
              <w:jc w:val="both"/>
              <w:rPr>
                <w:rFonts w:ascii="Verdana" w:eastAsia="Times New Roman" w:hAnsi="Verdana" w:cs="Arial"/>
                <w:bCs/>
                <w:lang w:val="es-ES" w:eastAsia="es-CO"/>
              </w:rPr>
            </w:pPr>
            <w:r w:rsidRPr="0046286C">
              <w:rPr>
                <w:rFonts w:ascii="Verdana" w:eastAsiaTheme="minorEastAsia" w:hAnsi="Verdana" w:cs="Arial"/>
                <w:lang w:eastAsia="es-CO"/>
              </w:rPr>
              <w:t xml:space="preserve">Bajo ese escenario, </w:t>
            </w:r>
            <w:r w:rsidRPr="0046286C">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sidRPr="0046286C">
              <w:rPr>
                <w:rStyle w:val="Refdenotaalpie"/>
                <w:rFonts w:ascii="Verdana" w:eastAsia="Arial" w:hAnsi="Verdana" w:cs="Arial"/>
                <w:lang w:val="es-ES" w:eastAsia="es-ES" w:bidi="es-ES"/>
              </w:rPr>
              <w:t xml:space="preserve"> </w:t>
            </w:r>
            <w:r w:rsidRPr="0046286C">
              <w:rPr>
                <w:rFonts w:ascii="Verdana" w:hAnsi="Verdana"/>
              </w:rPr>
              <w:t>en Concepto con Radicado 1736</w:t>
            </w:r>
            <w:r w:rsidRPr="0046286C">
              <w:rPr>
                <w:rFonts w:ascii="Verdana" w:eastAsia="Arial" w:hAnsi="Verdana" w:cs="Arial"/>
                <w:lang w:val="es-ES" w:eastAsia="es-ES" w:bidi="es-ES"/>
              </w:rPr>
              <w:t>,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46286C">
              <w:rPr>
                <w:rFonts w:ascii="Verdana" w:eastAsia="Times New Roman" w:hAnsi="Verdana" w:cs="Arial"/>
                <w:bCs/>
                <w:lang w:val="es-ES" w:eastAsia="es-CO"/>
              </w:rPr>
              <w:t xml:space="preserve"> </w:t>
            </w:r>
          </w:p>
          <w:p w14:paraId="2D991964" w14:textId="77777777" w:rsidR="00813702" w:rsidRPr="0046286C" w:rsidRDefault="00813702" w:rsidP="00F0268C">
            <w:pPr>
              <w:spacing w:after="120" w:line="276" w:lineRule="auto"/>
              <w:ind w:firstLine="709"/>
              <w:jc w:val="both"/>
              <w:rPr>
                <w:rFonts w:ascii="Verdana" w:eastAsia="Calibri" w:hAnsi="Verdana" w:cs="Arial"/>
                <w:sz w:val="20"/>
                <w:szCs w:val="20"/>
              </w:rPr>
            </w:pPr>
            <w:r>
              <w:rPr>
                <w:rFonts w:ascii="Verdana" w:eastAsia="Times New Roman" w:hAnsi="Verdana" w:cs="Arial"/>
                <w:bCs/>
                <w:lang w:val="es-ES" w:eastAsia="es-CO"/>
              </w:rPr>
              <w:t>En este contexto, l</w:t>
            </w:r>
            <w:r w:rsidRPr="00C15179">
              <w:rPr>
                <w:rFonts w:ascii="Verdana" w:eastAsia="Times New Roman" w:hAnsi="Verdana" w:cs="Arial"/>
                <w:bCs/>
                <w:lang w:val="es-ES" w:eastAsia="es-CO"/>
              </w:rPr>
              <w:t>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que están vinculados a la garantía de derechos fundamentales.</w:t>
            </w:r>
          </w:p>
          <w:p w14:paraId="656FD30A" w14:textId="77777777" w:rsidR="00813702" w:rsidRPr="00897CAB" w:rsidRDefault="00813702" w:rsidP="00F0268C">
            <w:pPr>
              <w:spacing w:after="120" w:line="276" w:lineRule="auto"/>
              <w:ind w:firstLine="708"/>
              <w:jc w:val="both"/>
              <w:rPr>
                <w:rFonts w:ascii="Verdana" w:eastAsia="Times New Roman" w:hAnsi="Verdana" w:cs="Arial"/>
                <w:bCs/>
                <w:lang w:val="es-ES" w:eastAsia="es-CO"/>
              </w:rPr>
            </w:pPr>
            <w:r>
              <w:rPr>
                <w:rFonts w:ascii="Verdana" w:hAnsi="Verdana" w:cs="Arial"/>
                <w:lang w:val="es-ES"/>
              </w:rPr>
              <w:t xml:space="preserve">En todo caso, la Agencia considera que, la posibilidad de suscribir contratos o convenios entre entidades territoriales y empresas de servicios públicos para la transferencia de recursos en el marco de subsidios a los servicios públicos </w:t>
            </w:r>
            <w:proofErr w:type="gramStart"/>
            <w:r>
              <w:rPr>
                <w:rFonts w:ascii="Verdana" w:hAnsi="Verdana" w:cs="Arial"/>
                <w:lang w:val="es-ES"/>
              </w:rPr>
              <w:t>domiciliarios,</w:t>
            </w:r>
            <w:proofErr w:type="gramEnd"/>
            <w:r>
              <w:rPr>
                <w:rFonts w:ascii="Verdana" w:hAnsi="Verdana" w:cs="Arial"/>
                <w:lang w:val="es-ES"/>
              </w:rPr>
              <w:t xml:space="preserve"> depende de si </w:t>
            </w:r>
            <w:proofErr w:type="gramStart"/>
            <w:r>
              <w:rPr>
                <w:rFonts w:ascii="Verdana" w:hAnsi="Verdana" w:cs="Arial"/>
                <w:lang w:val="es-ES"/>
              </w:rPr>
              <w:t>se enmarca dentro de</w:t>
            </w:r>
            <w:proofErr w:type="gramEnd"/>
            <w:r>
              <w:rPr>
                <w:rFonts w:ascii="Verdana" w:hAnsi="Verdana" w:cs="Arial"/>
                <w:lang w:val="es-ES"/>
              </w:rPr>
              <w:t xml:space="preserv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tc>
      </w:tr>
    </w:tbl>
    <w:p w14:paraId="32D6BFD8" w14:textId="77777777" w:rsidR="00813702" w:rsidRDefault="00813702" w:rsidP="00813702">
      <w:pPr>
        <w:tabs>
          <w:tab w:val="left" w:pos="142"/>
          <w:tab w:val="left" w:pos="284"/>
        </w:tabs>
        <w:spacing w:after="0" w:line="276" w:lineRule="auto"/>
        <w:jc w:val="both"/>
        <w:rPr>
          <w:rFonts w:ascii="Verdana" w:eastAsia="Century Gothic" w:hAnsi="Verdana" w:cs="Century Gothic"/>
          <w:b/>
          <w:bCs/>
        </w:rPr>
      </w:pPr>
    </w:p>
    <w:p w14:paraId="738A8A25" w14:textId="77777777" w:rsidR="00813702" w:rsidRPr="005644FE" w:rsidRDefault="00813702" w:rsidP="00813702">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24E2B4FD" w14:textId="77777777" w:rsidR="00813702" w:rsidRPr="005644FE" w:rsidRDefault="00813702" w:rsidP="00813702">
      <w:pPr>
        <w:pStyle w:val="Prrafodelista"/>
        <w:tabs>
          <w:tab w:val="left" w:pos="142"/>
          <w:tab w:val="left" w:pos="284"/>
        </w:tabs>
        <w:spacing w:after="0" w:line="240" w:lineRule="auto"/>
        <w:ind w:left="0"/>
        <w:contextualSpacing w:val="0"/>
        <w:jc w:val="both"/>
        <w:rPr>
          <w:rFonts w:ascii="Verdana" w:eastAsia="Calibri" w:hAnsi="Verdana" w:cs="Arial"/>
        </w:rPr>
      </w:pPr>
    </w:p>
    <w:p w14:paraId="28461804" w14:textId="77777777" w:rsidR="00813702" w:rsidRDefault="00813702" w:rsidP="00813702">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24141D95" w14:textId="77777777" w:rsidR="00813702" w:rsidRPr="00E81D08" w:rsidRDefault="00813702" w:rsidP="00813702">
      <w:pPr>
        <w:tabs>
          <w:tab w:val="left" w:pos="142"/>
          <w:tab w:val="left" w:pos="284"/>
          <w:tab w:val="left" w:pos="6975"/>
        </w:tabs>
        <w:spacing w:after="0" w:line="276" w:lineRule="auto"/>
        <w:jc w:val="both"/>
        <w:rPr>
          <w:rFonts w:ascii="Verdana" w:eastAsia="Calibri" w:hAnsi="Verdana" w:cs="Arial"/>
        </w:rPr>
      </w:pPr>
    </w:p>
    <w:p w14:paraId="32BFA596" w14:textId="77777777" w:rsidR="00813702" w:rsidRDefault="00813702" w:rsidP="00813702">
      <w:pPr>
        <w:spacing w:after="120" w:line="276" w:lineRule="auto"/>
        <w:jc w:val="both"/>
        <w:rPr>
          <w:rFonts w:ascii="Verdana" w:hAnsi="Verdana" w:cs="Arial"/>
          <w:bCs/>
          <w:lang w:val="es-MX"/>
        </w:rPr>
      </w:pPr>
      <w:r>
        <w:rPr>
          <w:rFonts w:ascii="Verdana" w:hAnsi="Verdana" w:cs="Arial"/>
          <w:bCs/>
        </w:rPr>
        <w:t xml:space="preserve">i) </w:t>
      </w:r>
      <w:r>
        <w:rPr>
          <w:rFonts w:ascii="Verdana" w:hAnsi="Verdana" w:cs="Arial"/>
          <w:bCs/>
          <w:lang w:val="es-MX"/>
        </w:rPr>
        <w:t>El inciso segundo del artículo 365 de la Constitución Política dispone que “</w:t>
      </w:r>
      <w:r w:rsidRPr="002A30BA">
        <w:rPr>
          <w:rFonts w:ascii="Verdana" w:hAnsi="Verdana" w:cs="Arial"/>
          <w:bCs/>
          <w:lang w:val="es-MX"/>
        </w:rPr>
        <w:t>Los servicios públicos estarán sometidos al régimen jurídico que fije la ley, podrán ser prestados por el Estado, directa o indirectamente, por comunidades organizadas, o por particulares</w:t>
      </w:r>
      <w:r>
        <w:rPr>
          <w:rFonts w:ascii="Verdana" w:hAnsi="Verdana" w:cs="Arial"/>
          <w:bCs/>
          <w:lang w:val="es-MX"/>
        </w:rPr>
        <w:t xml:space="preserve"> […]”. Por ello, </w:t>
      </w:r>
      <w:r w:rsidRPr="002A30BA">
        <w:rPr>
          <w:rFonts w:ascii="Verdana" w:hAnsi="Verdana" w:cs="Arial"/>
          <w:bCs/>
          <w:lang w:val="es-MX"/>
        </w:rPr>
        <w:t xml:space="preserve">el </w:t>
      </w:r>
      <w:r>
        <w:rPr>
          <w:rFonts w:ascii="Verdana" w:hAnsi="Verdana" w:cs="Arial"/>
          <w:bCs/>
          <w:lang w:val="es-MX"/>
        </w:rPr>
        <w:t xml:space="preserve">inciso primero del </w:t>
      </w:r>
      <w:r w:rsidRPr="002A30BA">
        <w:rPr>
          <w:rFonts w:ascii="Verdana" w:hAnsi="Verdana" w:cs="Arial"/>
          <w:bCs/>
          <w:lang w:val="es-MX"/>
        </w:rPr>
        <w:t xml:space="preserve">artículo 31 de la Ley 142 de 1994 </w:t>
      </w:r>
      <w:r>
        <w:rPr>
          <w:rFonts w:ascii="Verdana" w:hAnsi="Verdana" w:cs="Arial"/>
          <w:bCs/>
          <w:lang w:val="es-MX"/>
        </w:rPr>
        <w:t>dispuso expresamente que</w:t>
      </w:r>
      <w:r w:rsidRPr="002A30BA">
        <w:rPr>
          <w:rFonts w:ascii="Verdana" w:hAnsi="Verdana" w:cs="Arial"/>
          <w:bCs/>
          <w:lang w:val="es-MX"/>
        </w:rPr>
        <w:t xml:space="preserve"> </w:t>
      </w:r>
      <w:r>
        <w:rPr>
          <w:rFonts w:ascii="Verdana" w:hAnsi="Verdana" w:cs="Arial"/>
          <w:bCs/>
          <w:lang w:val="es-MX"/>
        </w:rPr>
        <w:t>“</w:t>
      </w:r>
      <w:r w:rsidRPr="002A30BA">
        <w:rPr>
          <w:rFonts w:ascii="Verdana" w:hAnsi="Verdana" w:cs="Arial"/>
          <w:bCs/>
          <w:lang w:val="es-MX"/>
        </w:rPr>
        <w:t xml:space="preserve">Los contratos que celebren las </w:t>
      </w:r>
      <w:r w:rsidRPr="00C87D7C">
        <w:rPr>
          <w:rFonts w:ascii="Verdana" w:hAnsi="Verdana" w:cs="Arial"/>
          <w:bCs/>
          <w:i/>
          <w:iCs/>
          <w:lang w:val="es-MX"/>
        </w:rPr>
        <w:t>entidades estatales que prestan los servicios públicos</w:t>
      </w:r>
      <w:r w:rsidRPr="002A30BA">
        <w:rPr>
          <w:rFonts w:ascii="Verdana" w:hAnsi="Verdana" w:cs="Arial"/>
          <w:bCs/>
          <w:lang w:val="es-MX"/>
        </w:rPr>
        <w:t xml:space="preserve"> a los que se refiere esta ley no estarán sujetos a las disposiciones del Estatuto General de Contratación de la Administración Pública, salvo en lo que la presente ley dispong</w:t>
      </w:r>
      <w:r w:rsidRPr="008638A5">
        <w:rPr>
          <w:rFonts w:ascii="Verdana" w:hAnsi="Verdana" w:cs="Arial"/>
          <w:bCs/>
          <w:lang w:val="es-MX"/>
        </w:rPr>
        <w:t>a otra cosa”</w:t>
      </w:r>
      <w:r>
        <w:rPr>
          <w:rFonts w:ascii="Verdana" w:hAnsi="Verdana" w:cs="Arial"/>
          <w:bCs/>
          <w:lang w:val="es-MX"/>
        </w:rPr>
        <w:t xml:space="preserve"> (Énfasis fuera de texto)</w:t>
      </w:r>
      <w:r w:rsidRPr="008638A5">
        <w:rPr>
          <w:rFonts w:ascii="Verdana" w:hAnsi="Verdana" w:cs="Arial"/>
          <w:bCs/>
          <w:lang w:val="es-MX"/>
        </w:rPr>
        <w:t xml:space="preserve">. </w:t>
      </w:r>
      <w:r>
        <w:rPr>
          <w:rFonts w:ascii="Verdana" w:hAnsi="Verdana" w:cs="Arial"/>
          <w:bCs/>
          <w:lang w:val="es-MX"/>
        </w:rPr>
        <w:t>Asimismo,</w:t>
      </w:r>
      <w:r w:rsidRPr="00C87D7C">
        <w:rPr>
          <w:rFonts w:ascii="Verdana" w:hAnsi="Verdana" w:cs="Arial"/>
          <w:bCs/>
          <w:lang w:val="es-MX"/>
        </w:rPr>
        <w:t xml:space="preserve"> </w:t>
      </w:r>
      <w:r>
        <w:rPr>
          <w:rFonts w:ascii="Verdana" w:hAnsi="Verdana" w:cs="Arial"/>
          <w:bCs/>
          <w:lang w:val="es-MX"/>
        </w:rPr>
        <w:t>el inciso primero del</w:t>
      </w:r>
      <w:r w:rsidRPr="00C87D7C">
        <w:rPr>
          <w:rFonts w:ascii="Verdana" w:hAnsi="Verdana" w:cs="Arial"/>
          <w:bCs/>
          <w:lang w:val="es-MX"/>
        </w:rPr>
        <w:t xml:space="preserve"> artículo 32 </w:t>
      </w:r>
      <w:r w:rsidRPr="00C87D7C">
        <w:rPr>
          <w:rFonts w:ascii="Verdana" w:hAnsi="Verdana" w:cs="Arial"/>
          <w:bCs/>
          <w:i/>
          <w:iCs/>
          <w:lang w:val="es-MX"/>
        </w:rPr>
        <w:t>ibidem</w:t>
      </w:r>
      <w:r>
        <w:rPr>
          <w:rFonts w:ascii="Verdana" w:hAnsi="Verdana" w:cs="Arial"/>
          <w:bCs/>
          <w:lang w:val="es-MX"/>
        </w:rPr>
        <w:t xml:space="preserve"> precisa lo siguiente: “</w:t>
      </w:r>
      <w:r w:rsidRPr="00C87D7C">
        <w:rPr>
          <w:rFonts w:ascii="Verdana" w:hAnsi="Verdana" w:cs="Arial"/>
          <w:bCs/>
          <w:lang w:val="es-MX"/>
        </w:rPr>
        <w:t xml:space="preserve">Salvo en cuanto la Constitución Política o esta Ley dispongan expresamente lo contrario, la constitución, y los actos de todas las </w:t>
      </w:r>
      <w:r w:rsidRPr="00C87D7C">
        <w:rPr>
          <w:rFonts w:ascii="Verdana" w:hAnsi="Verdana" w:cs="Arial"/>
          <w:bCs/>
          <w:i/>
          <w:iCs/>
          <w:lang w:val="es-MX"/>
        </w:rPr>
        <w:t>empresas de servicios públicos</w:t>
      </w:r>
      <w:r w:rsidRPr="00C87D7C">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w:t>
      </w:r>
      <w:r>
        <w:rPr>
          <w:rFonts w:ascii="Verdana" w:hAnsi="Verdana" w:cs="Arial"/>
          <w:bCs/>
          <w:lang w:val="es-MX"/>
        </w:rPr>
        <w:t>” (Énfasis fuera de texto)</w:t>
      </w:r>
      <w:r w:rsidRPr="00C87D7C">
        <w:rPr>
          <w:rFonts w:ascii="Verdana" w:hAnsi="Verdana" w:cs="Arial"/>
          <w:bCs/>
          <w:lang w:val="es-MX"/>
        </w:rPr>
        <w:t>.</w:t>
      </w:r>
      <w:r>
        <w:rPr>
          <w:rFonts w:ascii="Verdana" w:hAnsi="Verdana" w:cs="Arial"/>
          <w:bCs/>
          <w:lang w:val="es-MX"/>
        </w:rPr>
        <w:t xml:space="preserve"> </w:t>
      </w:r>
    </w:p>
    <w:p w14:paraId="7D4037C4" w14:textId="77777777" w:rsidR="00813702" w:rsidRPr="00E0284C" w:rsidRDefault="00813702" w:rsidP="00813702">
      <w:pPr>
        <w:spacing w:after="120" w:line="276" w:lineRule="auto"/>
        <w:ind w:firstLine="708"/>
        <w:jc w:val="both"/>
        <w:rPr>
          <w:rFonts w:ascii="Verdana" w:hAnsi="Verdana" w:cs="Arial"/>
        </w:rPr>
      </w:pPr>
      <w:r>
        <w:rPr>
          <w:rFonts w:ascii="Verdana" w:eastAsia="Calibri" w:hAnsi="Verdana" w:cs="Arial"/>
          <w:color w:val="000000" w:themeColor="text1"/>
          <w:lang w:val="es-ES"/>
        </w:rPr>
        <w:t>De esta manera, el</w:t>
      </w:r>
      <w:r w:rsidRPr="00060C87">
        <w:rPr>
          <w:rFonts w:ascii="Verdana" w:eastAsia="Calibri" w:hAnsi="Verdana" w:cs="Arial"/>
          <w:color w:val="000000" w:themeColor="text1"/>
          <w:lang w:val="es-ES"/>
        </w:rPr>
        <w:t xml:space="preserve"> máximo órgano de la Jurisdicción de lo Contencioso Administrativo</w:t>
      </w:r>
      <w:r>
        <w:rPr>
          <w:rFonts w:ascii="Verdana" w:eastAsia="Calibri" w:hAnsi="Verdana" w:cs="Arial"/>
          <w:color w:val="000000" w:themeColor="text1"/>
          <w:lang w:val="es-ES"/>
        </w:rPr>
        <w:t xml:space="preserve"> considera que</w:t>
      </w:r>
      <w:r w:rsidRPr="00060C87">
        <w:rPr>
          <w:rFonts w:ascii="Verdana" w:eastAsia="Calibri" w:hAnsi="Verdana" w:cs="Arial"/>
          <w:color w:val="000000" w:themeColor="text1"/>
          <w:lang w:val="es-ES"/>
        </w:rPr>
        <w:t xml:space="preserve">: </w:t>
      </w:r>
    </w:p>
    <w:p w14:paraId="23A856F6" w14:textId="77777777" w:rsidR="00813702" w:rsidRPr="00033F5A" w:rsidRDefault="00813702" w:rsidP="00813702">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0C1CDF7B" w14:textId="77777777" w:rsidR="00813702" w:rsidRPr="00033F5A" w:rsidRDefault="00813702" w:rsidP="00813702">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4AB6296E" w14:textId="77777777" w:rsidR="00813702" w:rsidRPr="00033F5A" w:rsidRDefault="00813702" w:rsidP="00813702">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033F5A">
        <w:rPr>
          <w:rStyle w:val="Refdenotaalpie"/>
          <w:rFonts w:ascii="Verdana" w:eastAsia="Calibri" w:hAnsi="Verdana" w:cs="Arial"/>
          <w:color w:val="000000" w:themeColor="text1"/>
          <w:sz w:val="20"/>
          <w:szCs w:val="20"/>
          <w:lang w:val="es-ES"/>
        </w:rPr>
        <w:footnoteReference w:id="1"/>
      </w:r>
      <w:r w:rsidRPr="00033F5A">
        <w:rPr>
          <w:rFonts w:ascii="Verdana" w:eastAsia="Calibri" w:hAnsi="Verdana" w:cs="Arial"/>
          <w:color w:val="000000" w:themeColor="text1"/>
          <w:sz w:val="20"/>
          <w:szCs w:val="20"/>
          <w:lang w:val="es-ES"/>
        </w:rPr>
        <w:t>.</w:t>
      </w:r>
    </w:p>
    <w:p w14:paraId="49604032" w14:textId="77777777" w:rsidR="00813702" w:rsidRDefault="00813702" w:rsidP="00813702">
      <w:pPr>
        <w:tabs>
          <w:tab w:val="left" w:pos="0"/>
        </w:tabs>
        <w:spacing w:before="120" w:after="120" w:line="276" w:lineRule="auto"/>
        <w:ind w:firstLine="709"/>
        <w:jc w:val="both"/>
        <w:rPr>
          <w:rFonts w:ascii="Verdana" w:eastAsia="Calibri" w:hAnsi="Verdana" w:cs="Arial"/>
          <w:bCs/>
          <w:color w:val="000000" w:themeColor="text1"/>
          <w:lang w:val="es-ES_tradnl"/>
        </w:rPr>
      </w:pPr>
      <w:r w:rsidRPr="008638A5">
        <w:rPr>
          <w:rFonts w:ascii="Verdana" w:eastAsia="Calibri" w:hAnsi="Verdana" w:cs="Arial"/>
          <w:bCs/>
          <w:color w:val="000000" w:themeColor="text1"/>
          <w:lang w:val="es-ES_tradnl"/>
        </w:rPr>
        <w:t>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w:t>
      </w:r>
      <w:r w:rsidRPr="008638A5">
        <w:rPr>
          <w:rStyle w:val="Refdenotaalpie"/>
          <w:rFonts w:ascii="Verdana" w:eastAsia="Calibri" w:hAnsi="Verdana" w:cs="Arial"/>
          <w:bCs/>
          <w:color w:val="000000" w:themeColor="text1"/>
          <w:lang w:val="es-ES_tradnl"/>
        </w:rPr>
        <w:footnoteReference w:id="2"/>
      </w:r>
      <w:r w:rsidRPr="008638A5">
        <w:rPr>
          <w:rFonts w:ascii="Verdana" w:eastAsia="Calibri" w:hAnsi="Verdana" w:cs="Arial"/>
          <w:bCs/>
          <w:color w:val="000000" w:themeColor="text1"/>
          <w:lang w:val="es-ES_tradnl"/>
        </w:rPr>
        <w:t xml:space="preserve">. En otras palabras, aunque el artículo 14 de la Ley 142 de 1994 establece que las empresas prestadoras de servicios públicos domiciliarios pueden ser </w:t>
      </w:r>
      <w:r w:rsidRPr="008638A5">
        <w:rPr>
          <w:rFonts w:ascii="Verdana" w:eastAsia="Calibri" w:hAnsi="Verdana" w:cs="Arial"/>
          <w:bCs/>
          <w:i/>
          <w:iCs/>
          <w:color w:val="000000" w:themeColor="text1"/>
          <w:lang w:val="es-ES_tradnl"/>
        </w:rPr>
        <w:t>oficiales</w:t>
      </w:r>
      <w:r w:rsidRPr="008638A5">
        <w:rPr>
          <w:rFonts w:ascii="Verdana" w:eastAsia="Calibri" w:hAnsi="Verdana" w:cs="Arial"/>
          <w:bCs/>
          <w:color w:val="000000" w:themeColor="text1"/>
          <w:lang w:val="es-ES_tradnl"/>
        </w:rPr>
        <w:t xml:space="preserve">, </w:t>
      </w:r>
      <w:r w:rsidRPr="008638A5">
        <w:rPr>
          <w:rFonts w:ascii="Verdana" w:eastAsia="Calibri" w:hAnsi="Verdana" w:cs="Arial"/>
          <w:bCs/>
          <w:i/>
          <w:iCs/>
          <w:color w:val="000000" w:themeColor="text1"/>
          <w:lang w:val="es-ES_tradnl"/>
        </w:rPr>
        <w:t>mixtas</w:t>
      </w:r>
      <w:r w:rsidRPr="008638A5">
        <w:rPr>
          <w:rFonts w:ascii="Verdana" w:eastAsia="Calibri" w:hAnsi="Verdana" w:cs="Arial"/>
          <w:bCs/>
          <w:color w:val="000000" w:themeColor="text1"/>
          <w:lang w:val="es-ES_tradnl"/>
        </w:rPr>
        <w:t xml:space="preserve"> o </w:t>
      </w:r>
      <w:r w:rsidRPr="008638A5">
        <w:rPr>
          <w:rFonts w:ascii="Verdana" w:eastAsia="Calibri" w:hAnsi="Verdana" w:cs="Arial"/>
          <w:bCs/>
          <w:i/>
          <w:iCs/>
          <w:color w:val="000000" w:themeColor="text1"/>
          <w:lang w:val="es-ES_tradnl"/>
        </w:rPr>
        <w:t>privadas</w:t>
      </w:r>
      <w:r w:rsidRPr="008638A5">
        <w:rPr>
          <w:rFonts w:ascii="Verdana" w:eastAsia="Calibri" w:hAnsi="Verdana" w:cs="Arial"/>
          <w:bCs/>
          <w:color w:val="000000" w:themeColor="text1"/>
          <w:lang w:val="es-ES_tradnl"/>
        </w:rPr>
        <w:t xml:space="preserve">, estas tres especies ingresan en la categoría de las </w:t>
      </w:r>
      <w:r w:rsidRPr="008638A5">
        <w:rPr>
          <w:rFonts w:ascii="Verdana" w:eastAsia="Calibri" w:hAnsi="Verdana" w:cs="Arial"/>
          <w:bCs/>
          <w:i/>
          <w:iCs/>
          <w:color w:val="000000" w:themeColor="text1"/>
          <w:lang w:val="es-ES_tradnl"/>
        </w:rPr>
        <w:t>entidades descentralizadas por servicios</w:t>
      </w:r>
      <w:r>
        <w:rPr>
          <w:rFonts w:ascii="Verdana" w:eastAsia="Calibri" w:hAnsi="Verdana" w:cs="Arial"/>
          <w:bCs/>
          <w:color w:val="000000" w:themeColor="text1"/>
          <w:lang w:val="es-ES_tradnl"/>
        </w:rPr>
        <w:t xml:space="preserve">, es decir, hacen parte de la Rama Ejecutiva del Orden Público. </w:t>
      </w:r>
      <w:r w:rsidRPr="008638A5">
        <w:rPr>
          <w:rFonts w:ascii="Verdana" w:eastAsia="Calibri" w:hAnsi="Verdana" w:cs="Arial"/>
          <w:bCs/>
          <w:color w:val="000000" w:themeColor="text1"/>
          <w:lang w:val="es-ES_tradnl"/>
        </w:rPr>
        <w:t xml:space="preserve"> </w:t>
      </w:r>
    </w:p>
    <w:p w14:paraId="0C8B92D6" w14:textId="77777777" w:rsidR="00813702" w:rsidRDefault="00813702" w:rsidP="00813702">
      <w:pPr>
        <w:tabs>
          <w:tab w:val="left" w:pos="0"/>
        </w:tabs>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Al respecto</w:t>
      </w:r>
      <w:r w:rsidRPr="008638A5">
        <w:rPr>
          <w:rFonts w:ascii="Verdana" w:eastAsia="Calibri" w:hAnsi="Verdana" w:cs="Arial"/>
          <w:bCs/>
          <w:color w:val="000000" w:themeColor="text1"/>
          <w:lang w:val="es-ES_tradnl"/>
        </w:rPr>
        <w:t xml:space="preserve">, debe recordarse que en dicha </w:t>
      </w:r>
      <w:r>
        <w:rPr>
          <w:rFonts w:ascii="Verdana" w:eastAsia="Calibri" w:hAnsi="Verdana" w:cs="Arial"/>
          <w:bCs/>
          <w:color w:val="000000" w:themeColor="text1"/>
          <w:lang w:val="es-ES_tradnl"/>
        </w:rPr>
        <w:t>s</w:t>
      </w:r>
      <w:r w:rsidRPr="008638A5">
        <w:rPr>
          <w:rFonts w:ascii="Verdana" w:eastAsia="Calibri" w:hAnsi="Verdana" w:cs="Arial"/>
          <w:bCs/>
          <w:color w:val="000000" w:themeColor="text1"/>
          <w:lang w:val="es-ES_tradnl"/>
        </w:rPr>
        <w:t xml:space="preserve">entencia el alto tribunal afirmó que las empresas prestadoras de servicios públicos domiciliarios </w:t>
      </w:r>
      <w:r w:rsidRPr="008638A5">
        <w:rPr>
          <w:rFonts w:ascii="Verdana" w:eastAsia="Calibri" w:hAnsi="Verdana" w:cs="Arial"/>
          <w:bCs/>
          <w:i/>
          <w:iCs/>
          <w:color w:val="000000" w:themeColor="text1"/>
          <w:lang w:val="es-ES_tradnl"/>
        </w:rPr>
        <w:t>mixtas y privadas</w:t>
      </w:r>
      <w:r w:rsidRPr="008638A5">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con aportes estatales </w:t>
      </w:r>
      <w:r w:rsidRPr="008638A5">
        <w:rPr>
          <w:rFonts w:ascii="Verdana" w:eastAsia="Calibri" w:hAnsi="Verdana" w:cs="Arial"/>
          <w:bCs/>
          <w:color w:val="000000" w:themeColor="text1"/>
          <w:lang w:val="es-ES_tradnl"/>
        </w:rPr>
        <w:t xml:space="preserve">son tipos </w:t>
      </w:r>
      <w:r w:rsidRPr="008638A5">
        <w:rPr>
          <w:rFonts w:ascii="Verdana" w:eastAsia="Calibri" w:hAnsi="Verdana" w:cs="Arial"/>
          <w:bCs/>
          <w:i/>
          <w:iCs/>
          <w:color w:val="000000" w:themeColor="text1"/>
          <w:lang w:val="es-ES_tradnl"/>
        </w:rPr>
        <w:t>especiales</w:t>
      </w:r>
      <w:r w:rsidRPr="008638A5">
        <w:rPr>
          <w:rFonts w:ascii="Verdana" w:eastAsia="Calibri" w:hAnsi="Verdana" w:cs="Arial"/>
          <w:bCs/>
          <w:color w:val="000000" w:themeColor="text1"/>
          <w:lang w:val="es-ES_tradnl"/>
        </w:rPr>
        <w:t xml:space="preserve"> de entidades descentralizadas por servicios que, por tanto, no pueden e</w:t>
      </w:r>
      <w:r>
        <w:rPr>
          <w:rFonts w:ascii="Verdana" w:eastAsia="Calibri" w:hAnsi="Verdana" w:cs="Arial"/>
          <w:bCs/>
          <w:color w:val="000000" w:themeColor="text1"/>
          <w:lang w:val="es-ES_tradnl"/>
        </w:rPr>
        <w:t>nmarcarse</w:t>
      </w:r>
      <w:r w:rsidRPr="008638A5">
        <w:rPr>
          <w:rFonts w:ascii="Verdana" w:eastAsia="Calibri" w:hAnsi="Verdana" w:cs="Arial"/>
          <w:bCs/>
          <w:color w:val="000000" w:themeColor="text1"/>
          <w:lang w:val="es-ES_tradnl"/>
        </w:rPr>
        <w:t xml:space="preserve"> en las otras especies de entidades descentralizadas por servicios enlistadas en el artículo 38 de la Ley 489 de 1998, es decir, que no cabe considerarlas, verbigracia, dentro de las sociedades públicas ni en las sociedades de economía mixta.</w:t>
      </w:r>
      <w:r>
        <w:rPr>
          <w:rFonts w:ascii="Verdana" w:eastAsia="Calibri" w:hAnsi="Verdana" w:cs="Arial"/>
          <w:bCs/>
          <w:color w:val="000000" w:themeColor="text1"/>
          <w:lang w:val="es-ES_tradnl"/>
        </w:rPr>
        <w:t xml:space="preserve"> En dicho sentido, en el numeral 5.3. de la precitada Sentencia expresa: </w:t>
      </w:r>
    </w:p>
    <w:p w14:paraId="618CD8F5" w14:textId="77777777" w:rsidR="00813702" w:rsidRDefault="00813702" w:rsidP="00813702">
      <w:pPr>
        <w:tabs>
          <w:tab w:val="left" w:pos="0"/>
        </w:tabs>
        <w:spacing w:after="0" w:line="276" w:lineRule="auto"/>
        <w:ind w:firstLine="709"/>
        <w:jc w:val="both"/>
        <w:rPr>
          <w:rFonts w:ascii="Verdana" w:eastAsia="Calibri" w:hAnsi="Verdana" w:cs="Arial"/>
          <w:bCs/>
          <w:color w:val="000000" w:themeColor="text1"/>
          <w:lang w:val="es-ES_tradnl"/>
        </w:rPr>
      </w:pPr>
    </w:p>
    <w:p w14:paraId="736C1833" w14:textId="77777777" w:rsidR="00813702" w:rsidRDefault="00813702" w:rsidP="00813702">
      <w:pPr>
        <w:tabs>
          <w:tab w:val="left" w:pos="0"/>
        </w:tabs>
        <w:spacing w:after="0" w:line="240" w:lineRule="auto"/>
        <w:ind w:left="709" w:right="709"/>
        <w:jc w:val="both"/>
        <w:rPr>
          <w:rFonts w:ascii="Verdana" w:eastAsia="Times New Roman" w:hAnsi="Verdana" w:cs="Arial"/>
          <w:sz w:val="20"/>
          <w:szCs w:val="20"/>
          <w:lang w:val="es-ES" w:eastAsia="es-ES"/>
        </w:rPr>
      </w:pPr>
      <w:r w:rsidRPr="00270257">
        <w:rPr>
          <w:rFonts w:ascii="Verdana" w:eastAsia="Calibri" w:hAnsi="Verdana" w:cs="Arial"/>
          <w:bCs/>
          <w:color w:val="000000" w:themeColor="text1"/>
          <w:sz w:val="20"/>
          <w:szCs w:val="20"/>
          <w:lang w:val="es-ES_tradnl"/>
        </w:rPr>
        <w:t>“</w:t>
      </w:r>
      <w:r w:rsidRPr="00270257">
        <w:rPr>
          <w:rFonts w:ascii="Verdana" w:eastAsia="Times New Roman" w:hAnsi="Verdana" w:cs="Arial"/>
          <w:sz w:val="20"/>
          <w:szCs w:val="20"/>
          <w:lang w:val="es-ES" w:eastAsia="es-ES"/>
        </w:rPr>
        <w:t xml:space="preserve">[…] desde la perspectiva constitucional, en el nivel nacional las empresas de servicios públicos públicas, mixtas o privadas en las </w:t>
      </w:r>
      <w:r w:rsidRPr="00270257">
        <w:rPr>
          <w:rFonts w:ascii="Verdana" w:eastAsia="Times New Roman" w:hAnsi="Verdana" w:cs="Arial"/>
          <w:i/>
          <w:sz w:val="20"/>
          <w:szCs w:val="20"/>
          <w:lang w:val="es-ES" w:eastAsia="es-ES"/>
        </w:rPr>
        <w:t>cuales haya cualquier porcentaje de capital público pueden formar parte de la estructura de la Rama Ejecutiva</w:t>
      </w:r>
      <w:r w:rsidRPr="00270257">
        <w:rPr>
          <w:rFonts w:ascii="Verdana" w:eastAsia="Times New Roman" w:hAnsi="Verdana" w:cs="Arial"/>
          <w:sz w:val="20"/>
          <w:szCs w:val="20"/>
          <w:lang w:val="es-ES" w:eastAsia="es-ES"/>
        </w:rPr>
        <w:t>, según lo disponga el legislador, que para esos efectos está revestido de las facultades que le confiere expresamente el numeral 7° del artículo150 superior (énfasis fuera de texto)”</w:t>
      </w:r>
      <w:r w:rsidRPr="00270257">
        <w:rPr>
          <w:rStyle w:val="Refdenotaalpie"/>
          <w:rFonts w:ascii="Verdana" w:eastAsia="Times New Roman" w:hAnsi="Verdana" w:cs="Arial"/>
          <w:sz w:val="20"/>
          <w:szCs w:val="20"/>
          <w:lang w:val="es-ES" w:eastAsia="es-ES"/>
        </w:rPr>
        <w:footnoteReference w:id="3"/>
      </w:r>
    </w:p>
    <w:p w14:paraId="72F7EC78" w14:textId="77777777" w:rsidR="00CD385A" w:rsidRDefault="00CD385A" w:rsidP="00CD385A">
      <w:pPr>
        <w:tabs>
          <w:tab w:val="left" w:pos="0"/>
        </w:tabs>
        <w:spacing w:after="0" w:line="240" w:lineRule="auto"/>
        <w:jc w:val="both"/>
        <w:rPr>
          <w:rFonts w:ascii="Verdana" w:eastAsia="Times New Roman" w:hAnsi="Verdana" w:cs="Arial"/>
          <w:lang w:val="es-ES" w:eastAsia="es-ES"/>
        </w:rPr>
      </w:pPr>
    </w:p>
    <w:p w14:paraId="14E95DA2" w14:textId="73D5FA80" w:rsidR="00813702" w:rsidRDefault="00813702" w:rsidP="00813702">
      <w:pPr>
        <w:tabs>
          <w:tab w:val="left" w:pos="0"/>
        </w:tabs>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Lo expuesto, permite resaltar</w:t>
      </w:r>
      <w:r w:rsidRPr="00270257">
        <w:rPr>
          <w:rFonts w:ascii="Verdana" w:eastAsia="Times New Roman" w:hAnsi="Verdana" w:cs="Arial"/>
          <w:lang w:val="es-ES" w:eastAsia="es-ES"/>
        </w:rPr>
        <w:t xml:space="preserve"> la flexibilidad constitucional al legislador colombiano</w:t>
      </w:r>
      <w:r>
        <w:rPr>
          <w:rFonts w:ascii="Verdana" w:eastAsia="Times New Roman" w:hAnsi="Verdana" w:cs="Arial"/>
          <w:lang w:val="es-ES" w:eastAsia="es-ES"/>
        </w:rPr>
        <w:t xml:space="preserve"> de</w:t>
      </w:r>
      <w:r w:rsidRPr="00270257">
        <w:rPr>
          <w:rFonts w:ascii="Verdana" w:eastAsia="Times New Roman" w:hAnsi="Verdana" w:cs="Arial"/>
          <w:lang w:val="es-ES" w:eastAsia="es-ES"/>
        </w:rPr>
        <w:t xml:space="preserve"> incorporar empresas de servicios públicos —ya sean públicas, mixtas o privadas con participación estatal— dentro de la estructura de la Rama Ejecutiva. Esta posibilida</w:t>
      </w:r>
      <w:r>
        <w:rPr>
          <w:rFonts w:ascii="Verdana" w:eastAsia="Times New Roman" w:hAnsi="Verdana" w:cs="Arial"/>
          <w:lang w:val="es-ES" w:eastAsia="es-ES"/>
        </w:rPr>
        <w:t>d se justifica</w:t>
      </w:r>
      <w:r w:rsidRPr="00270257">
        <w:rPr>
          <w:rFonts w:ascii="Verdana" w:eastAsia="Times New Roman" w:hAnsi="Verdana" w:cs="Arial"/>
          <w:lang w:val="es-ES" w:eastAsia="es-ES"/>
        </w:rPr>
        <w:t xml:space="preserve"> en el numeral 7° del artículo 150 de la Constitución, que </w:t>
      </w:r>
      <w:r>
        <w:rPr>
          <w:rFonts w:ascii="Verdana" w:eastAsia="Times New Roman" w:hAnsi="Verdana" w:cs="Arial"/>
          <w:lang w:val="es-ES" w:eastAsia="es-ES"/>
        </w:rPr>
        <w:t xml:space="preserve">otorga la competencia </w:t>
      </w:r>
      <w:r w:rsidRPr="00270257">
        <w:rPr>
          <w:rFonts w:ascii="Verdana" w:eastAsia="Times New Roman" w:hAnsi="Verdana" w:cs="Arial"/>
          <w:lang w:val="es-ES" w:eastAsia="es-ES"/>
        </w:rPr>
        <w:t>al Congreso la facultad de organizar la a</w:t>
      </w:r>
      <w:r>
        <w:rPr>
          <w:rFonts w:ascii="Verdana" w:eastAsia="Times New Roman" w:hAnsi="Verdana" w:cs="Arial"/>
          <w:lang w:val="es-ES" w:eastAsia="es-ES"/>
        </w:rPr>
        <w:t>dministración nacional. De esta manera, no</w:t>
      </w:r>
      <w:r w:rsidRPr="00270257">
        <w:rPr>
          <w:rFonts w:ascii="Verdana" w:eastAsia="Times New Roman" w:hAnsi="Verdana" w:cs="Arial"/>
          <w:lang w:val="es-ES" w:eastAsia="es-ES"/>
        </w:rPr>
        <w:t xml:space="preserve"> es necesario que la empresa sea completamente pública para que pueda </w:t>
      </w:r>
      <w:r>
        <w:rPr>
          <w:rFonts w:ascii="Verdana" w:eastAsia="Times New Roman" w:hAnsi="Verdana" w:cs="Arial"/>
          <w:lang w:val="es-ES" w:eastAsia="es-ES"/>
        </w:rPr>
        <w:t xml:space="preserve">considerarse parte del Estado. </w:t>
      </w:r>
    </w:p>
    <w:p w14:paraId="57B9C221" w14:textId="77777777" w:rsidR="00813702" w:rsidRPr="00270257" w:rsidRDefault="00813702" w:rsidP="00813702">
      <w:pPr>
        <w:tabs>
          <w:tab w:val="left" w:pos="0"/>
        </w:tabs>
        <w:spacing w:before="120" w:after="0" w:line="276" w:lineRule="auto"/>
        <w:jc w:val="both"/>
        <w:rPr>
          <w:rFonts w:ascii="Verdana" w:eastAsia="Times New Roman" w:hAnsi="Verdana" w:cs="Arial"/>
          <w:sz w:val="20"/>
          <w:szCs w:val="20"/>
          <w:lang w:val="es-ES" w:eastAsia="es-ES"/>
        </w:rPr>
      </w:pPr>
      <w:r>
        <w:rPr>
          <w:rFonts w:ascii="Verdana" w:eastAsia="Times New Roman" w:hAnsi="Verdana" w:cs="Times New Roman"/>
          <w:lang w:val="es-ES" w:eastAsia="es-ES"/>
        </w:rPr>
        <w:t xml:space="preserve">         Posteriormente, en la sentencia precitada haciendo un análisis de los artículos 38 y 68 de la Ley 489 de 1998 sobre la integración de la Rama Ejecutiva del Poder Público en el orden nacional y cuáles son las entidades descentralizadas del orden nacional, solo se incluyen a las empresas de servicios públicos domiciliarios, pero no de manera expresa a las empresas mixtas o privadas de la misma naturaleza. En este sentido, se cuestiona la constitucionalidad de dichos artículos, teniendo en cuenta que los numerales 6 y 7 del artículo 14 de la Ley 142 de 1994 señalan que son tipos societarios con capital del Estado y de los particulares:</w:t>
      </w:r>
    </w:p>
    <w:p w14:paraId="0C594143" w14:textId="77777777" w:rsidR="00813702" w:rsidRDefault="00813702" w:rsidP="00813702">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val="es-ES" w:eastAsia="es-ES"/>
        </w:rPr>
      </w:pPr>
    </w:p>
    <w:p w14:paraId="57294F93" w14:textId="77777777" w:rsidR="00813702" w:rsidRPr="00585A53" w:rsidRDefault="00813702" w:rsidP="00813702">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14.6. Empresa de servicios públicos mixta. Es aquella en cuyo capital la Nación, las entidades territoriales, o las entidades descentralizadas de aquella o </w:t>
      </w:r>
      <w:r w:rsidRPr="00585A53">
        <w:rPr>
          <w:rFonts w:ascii="Verdana" w:eastAsia="Times New Roman" w:hAnsi="Verdana" w:cs="Times New Roman"/>
          <w:i/>
          <w:sz w:val="20"/>
          <w:lang w:eastAsia="es-ES"/>
        </w:rPr>
        <w:t>éstas tienen aportes iguales o superiores al 50%. </w:t>
      </w:r>
    </w:p>
    <w:p w14:paraId="66DEA8FF" w14:textId="77777777" w:rsidR="00813702" w:rsidRPr="00585A53" w:rsidRDefault="00813702" w:rsidP="00813702">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w:t>
      </w:r>
    </w:p>
    <w:p w14:paraId="07061C60" w14:textId="77777777" w:rsidR="00813702" w:rsidRPr="00585A53" w:rsidRDefault="00813702" w:rsidP="00813702">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14.7. Empresa de servicios públicos privada. Es aquella cuyo capital pertenece </w:t>
      </w:r>
      <w:r w:rsidRPr="00585A53">
        <w:rPr>
          <w:rFonts w:ascii="Verdana" w:eastAsia="Times New Roman" w:hAnsi="Verdana" w:cs="Times New Roman"/>
          <w:i/>
          <w:sz w:val="20"/>
          <w:lang w:eastAsia="es-ES"/>
        </w:rPr>
        <w:t>mayoritariamente</w:t>
      </w:r>
      <w:r w:rsidRPr="00585A53">
        <w:rPr>
          <w:rFonts w:ascii="Verdana" w:eastAsia="Times New Roman" w:hAnsi="Verdana" w:cs="Times New Roman"/>
          <w:sz w:val="20"/>
          <w:lang w:eastAsia="es-ES"/>
        </w:rPr>
        <w:t xml:space="preserve"> a particulares, o a entidades surgidas de convenios internacionales que deseen someterse íntegramente para estos efectos a las reglas a las que se someten los p</w:t>
      </w:r>
      <w:r>
        <w:rPr>
          <w:rFonts w:ascii="Verdana" w:eastAsia="Times New Roman" w:hAnsi="Verdana" w:cs="Times New Roman"/>
          <w:sz w:val="20"/>
          <w:lang w:eastAsia="es-ES"/>
        </w:rPr>
        <w:t xml:space="preserve">articulares (énfasis fuera de texto) </w:t>
      </w:r>
    </w:p>
    <w:p w14:paraId="107B4B45" w14:textId="77777777" w:rsidR="00813702" w:rsidRPr="00585A53" w:rsidRDefault="00813702" w:rsidP="00813702">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eastAsia="es-ES"/>
        </w:rPr>
      </w:pPr>
    </w:p>
    <w:p w14:paraId="650358FA" w14:textId="77777777" w:rsidR="00813702" w:rsidRDefault="00813702" w:rsidP="00813702">
      <w:pPr>
        <w:spacing w:after="120" w:line="276" w:lineRule="auto"/>
        <w:jc w:val="both"/>
        <w:rPr>
          <w:rFonts w:ascii="Verdana" w:eastAsia="Times New Roman" w:hAnsi="Verdana" w:cs="Times New Roman"/>
          <w:lang w:val="es-ES" w:eastAsia="es-ES"/>
        </w:rPr>
      </w:pPr>
      <w:r w:rsidRPr="00DE3ED2">
        <w:rPr>
          <w:rFonts w:ascii="Verdana" w:eastAsia="Times New Roman" w:hAnsi="Verdana" w:cs="Times New Roman"/>
          <w:lang w:val="es-ES" w:eastAsia="es-ES"/>
        </w:rPr>
        <w:tab/>
        <w:t xml:space="preserve">En este aspecto, la </w:t>
      </w:r>
      <w:r>
        <w:rPr>
          <w:rFonts w:ascii="Verdana" w:eastAsia="Times New Roman" w:hAnsi="Verdana" w:cs="Times New Roman"/>
          <w:lang w:val="es-ES" w:eastAsia="es-ES"/>
        </w:rPr>
        <w:t>s</w:t>
      </w:r>
      <w:r w:rsidRPr="00DE3ED2">
        <w:rPr>
          <w:rFonts w:ascii="Verdana" w:eastAsia="Times New Roman" w:hAnsi="Verdana" w:cs="Times New Roman"/>
          <w:lang w:val="es-ES" w:eastAsia="es-ES"/>
        </w:rPr>
        <w:t xml:space="preserve">entencia expresa que una empresa de servicios públicos privada es aquella cuyo capital pertenece de forma mayoritaria a particulares, lo que implica que hay una participación minoritaria de las entidades del Estado. Mientras, una empresa de servicios públicos mixta es aquella en la cual el capital público </w:t>
      </w:r>
      <w:r w:rsidRPr="00E0284C">
        <w:rPr>
          <w:rFonts w:ascii="Verdana" w:eastAsia="Times New Roman" w:hAnsi="Verdana" w:cs="Times New Roman"/>
          <w:lang w:val="es-ES" w:eastAsia="es-ES"/>
        </w:rPr>
        <w:t>es igual o superior al</w:t>
      </w:r>
      <w:r w:rsidRPr="00DE3ED2">
        <w:rPr>
          <w:rFonts w:ascii="Verdana" w:eastAsia="Times New Roman" w:hAnsi="Verdana" w:cs="Times New Roman"/>
          <w:lang w:val="es-ES" w:eastAsia="es-ES"/>
        </w:rPr>
        <w:t xml:space="preserve"> cin</w:t>
      </w:r>
      <w:r>
        <w:rPr>
          <w:rFonts w:ascii="Verdana" w:eastAsia="Times New Roman" w:hAnsi="Verdana" w:cs="Times New Roman"/>
          <w:lang w:val="es-ES" w:eastAsia="es-ES"/>
        </w:rPr>
        <w:t>cuenta por ciento (50%), lo que implica</w:t>
      </w:r>
      <w:r w:rsidRPr="00DE3ED2">
        <w:rPr>
          <w:rFonts w:ascii="Verdana" w:eastAsia="Times New Roman" w:hAnsi="Verdana" w:cs="Times New Roman"/>
          <w:lang w:val="es-ES" w:eastAsia="es-ES"/>
        </w:rPr>
        <w:t xml:space="preserve"> </w:t>
      </w:r>
      <w:r w:rsidRPr="00E0284C">
        <w:rPr>
          <w:rFonts w:ascii="Verdana" w:eastAsia="Times New Roman" w:hAnsi="Verdana" w:cs="Times New Roman"/>
          <w:lang w:val="es-ES" w:eastAsia="es-ES"/>
        </w:rPr>
        <w:t>que</w:t>
      </w:r>
      <w:r>
        <w:rPr>
          <w:rFonts w:ascii="Verdana" w:eastAsia="Times New Roman" w:hAnsi="Verdana" w:cs="Times New Roman"/>
          <w:lang w:val="es-ES" w:eastAsia="es-ES"/>
        </w:rPr>
        <w:t>,</w:t>
      </w:r>
      <w:r w:rsidRPr="00E0284C">
        <w:rPr>
          <w:rFonts w:ascii="Verdana" w:eastAsia="Times New Roman" w:hAnsi="Verdana" w:cs="Times New Roman"/>
          <w:lang w:val="es-ES" w:eastAsia="es-ES"/>
        </w:rPr>
        <w:t xml:space="preserve"> </w:t>
      </w:r>
      <w:r w:rsidRPr="00E0284C">
        <w:rPr>
          <w:rFonts w:ascii="Verdana" w:eastAsia="Times New Roman" w:hAnsi="Verdana" w:cs="Times New Roman"/>
          <w:i/>
          <w:iCs/>
          <w:lang w:val="es-ES" w:eastAsia="es-ES"/>
        </w:rPr>
        <w:t xml:space="preserve">minoritariamente </w:t>
      </w:r>
      <w:r w:rsidRPr="00E0284C">
        <w:rPr>
          <w:rFonts w:ascii="Verdana" w:eastAsia="Times New Roman" w:hAnsi="Verdana" w:cs="Times New Roman"/>
          <w:lang w:val="es-ES" w:eastAsia="es-ES"/>
        </w:rPr>
        <w:t xml:space="preserve">pertenece a particulares. </w:t>
      </w:r>
    </w:p>
    <w:p w14:paraId="4C795087" w14:textId="77777777" w:rsidR="00813702" w:rsidRPr="00FF6C85" w:rsidRDefault="00813702" w:rsidP="00813702">
      <w:pPr>
        <w:spacing w:after="120" w:line="276" w:lineRule="auto"/>
        <w:jc w:val="both"/>
        <w:rPr>
          <w:rFonts w:ascii="Verdana" w:eastAsia="Times New Roman" w:hAnsi="Verdana" w:cs="Times New Roman"/>
          <w:lang w:val="es-ES" w:eastAsia="es-ES"/>
        </w:rPr>
      </w:pPr>
      <w:r>
        <w:rPr>
          <w:rFonts w:ascii="Verdana" w:eastAsia="Times New Roman" w:hAnsi="Verdana" w:cs="Times New Roman"/>
          <w:lang w:val="es-ES" w:eastAsia="es-ES"/>
        </w:rPr>
        <w:tab/>
        <w:t>La Corte Constitucional luego</w:t>
      </w:r>
      <w:r w:rsidRPr="008B3502">
        <w:rPr>
          <w:rFonts w:ascii="Verdana" w:eastAsia="Calibri" w:hAnsi="Verdana" w:cs="Arial"/>
          <w:bCs/>
          <w:color w:val="000000" w:themeColor="text1"/>
          <w:lang w:val="es-ES"/>
        </w:rPr>
        <w:t>, al analizar el artículo 38 de la Ley 489 de 1998, concluyó que</w:t>
      </w:r>
      <w:r>
        <w:rPr>
          <w:rFonts w:ascii="Verdana" w:eastAsia="Calibri" w:hAnsi="Verdana" w:cs="Arial"/>
          <w:bCs/>
          <w:color w:val="000000" w:themeColor="text1"/>
          <w:lang w:val="es-ES"/>
        </w:rPr>
        <w:t>,</w:t>
      </w:r>
      <w:r w:rsidRPr="008B3502">
        <w:rPr>
          <w:rFonts w:ascii="Verdana" w:eastAsia="Calibri" w:hAnsi="Verdana" w:cs="Arial"/>
          <w:bCs/>
          <w:color w:val="000000" w:themeColor="text1"/>
          <w:lang w:val="es-ES"/>
        </w:rPr>
        <w:t xml:space="preserve"> aunque el literal d) menciona únicamente a las empresas oficiales de servicios públicos domiciliarios como parte de la Rama Ejecutiva, el literal g) permite una interpretación más amplia. Este último incluye a todas las entidades administrativas nacionales con personería jurídica creadas o autorizadas por la ley, lo que abarca también a las empresas de servicios públicos mixtas o privadas. Por tanto, estas empresas pueden considerarse parte del sector descentralizado de la Rama Ejecutiva, lo que</w:t>
      </w:r>
      <w:r>
        <w:rPr>
          <w:rFonts w:ascii="Verdana" w:eastAsia="Calibri" w:hAnsi="Verdana" w:cs="Arial"/>
          <w:bCs/>
          <w:color w:val="000000" w:themeColor="text1"/>
          <w:lang w:val="es-ES"/>
        </w:rPr>
        <w:t xml:space="preserve"> implica la declaratoria de </w:t>
      </w:r>
      <w:r w:rsidRPr="008B3502">
        <w:rPr>
          <w:rFonts w:ascii="Verdana" w:eastAsia="Calibri" w:hAnsi="Verdana" w:cs="Arial"/>
          <w:bCs/>
          <w:color w:val="000000" w:themeColor="text1"/>
          <w:lang w:val="es-ES"/>
        </w:rPr>
        <w:t xml:space="preserve">la </w:t>
      </w:r>
      <w:proofErr w:type="spellStart"/>
      <w:r w:rsidRPr="008B3502">
        <w:rPr>
          <w:rFonts w:ascii="Verdana" w:eastAsia="Calibri" w:hAnsi="Verdana" w:cs="Arial"/>
          <w:bCs/>
          <w:color w:val="000000" w:themeColor="text1"/>
          <w:lang w:val="es-ES"/>
        </w:rPr>
        <w:t>exequibilidad</w:t>
      </w:r>
      <w:proofErr w:type="spellEnd"/>
      <w:r w:rsidRPr="008B3502">
        <w:rPr>
          <w:rFonts w:ascii="Verdana" w:eastAsia="Calibri" w:hAnsi="Verdana" w:cs="Arial"/>
          <w:bCs/>
          <w:color w:val="000000" w:themeColor="text1"/>
          <w:lang w:val="es-ES"/>
        </w:rPr>
        <w:t xml:space="preserve"> de la norma demandada.</w:t>
      </w:r>
    </w:p>
    <w:p w14:paraId="65131F7C" w14:textId="77777777" w:rsidR="00813702" w:rsidRDefault="00813702" w:rsidP="00813702">
      <w:pPr>
        <w:tabs>
          <w:tab w:val="left" w:pos="0"/>
        </w:tabs>
        <w:spacing w:before="120" w:after="120" w:line="276" w:lineRule="auto"/>
        <w:ind w:firstLine="709"/>
        <w:jc w:val="both"/>
        <w:rPr>
          <w:rFonts w:ascii="Verdana" w:eastAsia="Calibri" w:hAnsi="Verdana" w:cs="Arial"/>
          <w:bCs/>
          <w:color w:val="000000" w:themeColor="text1"/>
          <w:lang w:val="es-ES"/>
        </w:rPr>
      </w:pPr>
      <w:r w:rsidRPr="008B3502">
        <w:rPr>
          <w:rFonts w:ascii="Verdana" w:eastAsia="Calibri" w:hAnsi="Verdana" w:cs="Arial"/>
          <w:bCs/>
          <w:color w:val="000000" w:themeColor="text1"/>
          <w:lang w:val="es-ES"/>
        </w:rPr>
        <w:t xml:space="preserve">Respecto al artículo 68, aunque se </w:t>
      </w:r>
      <w:r>
        <w:rPr>
          <w:rFonts w:ascii="Verdana" w:eastAsia="Calibri" w:hAnsi="Verdana" w:cs="Arial"/>
          <w:bCs/>
          <w:color w:val="000000" w:themeColor="text1"/>
          <w:lang w:val="es-ES"/>
        </w:rPr>
        <w:t xml:space="preserve">refiere explícitamente </w:t>
      </w:r>
      <w:r w:rsidRPr="008B3502">
        <w:rPr>
          <w:rFonts w:ascii="Verdana" w:eastAsia="Calibri" w:hAnsi="Verdana" w:cs="Arial"/>
          <w:bCs/>
          <w:color w:val="000000" w:themeColor="text1"/>
          <w:lang w:val="es-ES"/>
        </w:rPr>
        <w:t xml:space="preserve">a las empresas oficiales como entidades descentralizadas, el legislador también incluye a otras entidades con personería jurídica, autonomía administrativa y patrimonio propio, cuyo objeto sea prestar servicios públicos o realizar actividades administrativas, industriales o comerciales. Esta redacción permite incluir a las empresas mixtas o privadas de servicios públicos como entidades descentralizadas del orden nacional. En consecuencia, la Corte no encuentra reparos de constitucionalidad y declara la norma ajustada a la </w:t>
      </w:r>
      <w:r>
        <w:rPr>
          <w:rFonts w:ascii="Verdana" w:eastAsia="Calibri" w:hAnsi="Verdana" w:cs="Arial"/>
          <w:bCs/>
          <w:color w:val="000000" w:themeColor="text1"/>
          <w:lang w:val="es-ES"/>
        </w:rPr>
        <w:t xml:space="preserve">Constitución Política. Con respecto a este tema, hay doctrina que tiene sus observaciones frente a dicha sentencia de constitucionalidad, expresando: </w:t>
      </w:r>
    </w:p>
    <w:p w14:paraId="29ABCD16" w14:textId="77777777" w:rsidR="00813702" w:rsidRPr="00435AFF" w:rsidRDefault="00813702" w:rsidP="00813702">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De hecho, allí no se afirma, ni se deduce, que los operadores de los servicios públicos deban o tengan que ser entidades de naturaleza especial, y sobre todo distintas de los establecimientos públicos, de las empresas industriales y comerciales y de las sociedades de economía mixta. Más bien, se observa que la norma le concedió libertad de configuración al legislador para que hiciera en este tema lo que considerara más conveniente, y así debió reconocerlo la Corte.</w:t>
      </w:r>
    </w:p>
    <w:p w14:paraId="3EE79431" w14:textId="77777777" w:rsidR="00813702" w:rsidRPr="00435AFF" w:rsidRDefault="00813702" w:rsidP="00813702">
      <w:pPr>
        <w:tabs>
          <w:tab w:val="left" w:pos="0"/>
        </w:tabs>
        <w:spacing w:after="0" w:line="240" w:lineRule="auto"/>
        <w:ind w:left="709" w:right="709"/>
        <w:jc w:val="both"/>
        <w:rPr>
          <w:rFonts w:ascii="Verdana" w:eastAsia="Calibri" w:hAnsi="Verdana" w:cs="Arial"/>
          <w:bCs/>
          <w:color w:val="000000" w:themeColor="text1"/>
          <w:sz w:val="20"/>
        </w:rPr>
      </w:pPr>
    </w:p>
    <w:p w14:paraId="552CF56A" w14:textId="77777777" w:rsidR="00813702" w:rsidRPr="00435AFF" w:rsidRDefault="00813702" w:rsidP="00813702">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Ahora, el error de este criterio se proyecta en dos sentidos: de un lado, en el hecho de que no solo las empresas mixtas de servicios públicos domiciliarios son diferentes a las sociedades de economía mixta, y de otro, porque no pueden confundirse pues se viola la Constitución, ya que las empresas oficiales –algunas de las cuales son empresas industriales y comerciales del Estado- tampoco podrían tener esta naturaleza jurídica, porque se asimilarían a las empresas industriales y comerciales del Estado convencionales, de manera que se violaría la Constitución.</w:t>
      </w:r>
    </w:p>
    <w:p w14:paraId="38CFC6A4" w14:textId="77777777" w:rsidR="00813702" w:rsidRPr="00435AFF" w:rsidRDefault="00813702" w:rsidP="00813702">
      <w:pPr>
        <w:tabs>
          <w:tab w:val="left" w:pos="0"/>
        </w:tabs>
        <w:spacing w:after="0" w:line="240" w:lineRule="auto"/>
        <w:ind w:left="709" w:right="709"/>
        <w:jc w:val="both"/>
        <w:rPr>
          <w:rFonts w:ascii="Verdana" w:eastAsia="Calibri" w:hAnsi="Verdana" w:cs="Arial"/>
          <w:bCs/>
          <w:color w:val="000000" w:themeColor="text1"/>
          <w:sz w:val="20"/>
        </w:rPr>
      </w:pPr>
    </w:p>
    <w:p w14:paraId="3C3D3732" w14:textId="336AEC5F" w:rsidR="00813702" w:rsidRDefault="00813702" w:rsidP="00AA4630">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Lo propio cabe decir de las empresas privadas que prestan servicios públicos domiciliarios, pues ellas no podrían ser "sociedades por acciones" convencionales -es decir, las del Código de Comercio-, sino que deben ser diferentes, so pena de violar la Constitución</w:t>
      </w:r>
      <w:r>
        <w:rPr>
          <w:rStyle w:val="Refdenotaalpie"/>
          <w:rFonts w:ascii="Verdana" w:eastAsia="Calibri" w:hAnsi="Verdana" w:cs="Arial"/>
          <w:bCs/>
          <w:color w:val="000000" w:themeColor="text1"/>
          <w:sz w:val="20"/>
        </w:rPr>
        <w:footnoteReference w:id="4"/>
      </w:r>
      <w:r w:rsidRPr="00435AFF">
        <w:rPr>
          <w:rFonts w:ascii="Verdana" w:eastAsia="Calibri" w:hAnsi="Verdana" w:cs="Arial"/>
          <w:bCs/>
          <w:color w:val="000000" w:themeColor="text1"/>
          <w:sz w:val="20"/>
        </w:rPr>
        <w:t>.</w:t>
      </w:r>
    </w:p>
    <w:p w14:paraId="3BAF7C2D" w14:textId="77777777" w:rsidR="00D0672D" w:rsidRPr="00435AFF" w:rsidRDefault="00D0672D" w:rsidP="00AA4630">
      <w:pPr>
        <w:tabs>
          <w:tab w:val="left" w:pos="0"/>
        </w:tabs>
        <w:spacing w:after="0" w:line="240" w:lineRule="auto"/>
        <w:ind w:left="709" w:right="709"/>
        <w:jc w:val="both"/>
        <w:rPr>
          <w:rFonts w:ascii="Verdana" w:eastAsia="Calibri" w:hAnsi="Verdana" w:cs="Arial"/>
          <w:bCs/>
          <w:color w:val="000000" w:themeColor="text1"/>
          <w:sz w:val="20"/>
        </w:rPr>
      </w:pPr>
    </w:p>
    <w:p w14:paraId="137B4F7C" w14:textId="77777777" w:rsidR="00813702" w:rsidRDefault="00813702" w:rsidP="00813702">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7CA5051C" w14:textId="77777777" w:rsidR="00813702" w:rsidRDefault="00813702" w:rsidP="00813702">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primera postura es la que resalta la doctrina</w:t>
      </w:r>
      <w:r>
        <w:rPr>
          <w:rStyle w:val="Refdenotaalpie"/>
          <w:rFonts w:ascii="Verdana" w:eastAsia="Calibri" w:hAnsi="Verdana" w:cs="Arial"/>
          <w:color w:val="000000" w:themeColor="text1"/>
          <w:lang w:val="es-ES"/>
        </w:rPr>
        <w:footnoteReference w:id="5"/>
      </w:r>
      <w:r>
        <w:rPr>
          <w:rFonts w:ascii="Verdana" w:eastAsia="Calibri" w:hAnsi="Verdana" w:cs="Arial"/>
          <w:color w:val="000000" w:themeColor="text1"/>
          <w:lang w:val="es-ES"/>
        </w:rPr>
        <w:t>, donde se expone que el pronunciamiento de constitucionalidad implica que lo dispuesto en el literal g) se subsumen las empresas de servicios públicos mixtas o privadas</w:t>
      </w:r>
      <w:r>
        <w:rPr>
          <w:rFonts w:ascii="Verdana" w:eastAsia="Calibri" w:hAnsi="Verdana" w:cs="Arial"/>
          <w:color w:val="000000" w:themeColor="text1"/>
        </w:rPr>
        <w:t xml:space="preserve"> (en torno a las últimas ya no precisa si tienen aporte estatal) como parte de la Rama Ejecutiva en su sector descentralizado. Dicha afirmación se origina de lo siguiente: </w:t>
      </w:r>
    </w:p>
    <w:p w14:paraId="4A86868E" w14:textId="77777777" w:rsidR="00D0672D" w:rsidRDefault="00D0672D" w:rsidP="00813702">
      <w:pPr>
        <w:spacing w:after="0" w:line="276" w:lineRule="auto"/>
        <w:ind w:firstLine="709"/>
        <w:jc w:val="both"/>
        <w:rPr>
          <w:rFonts w:ascii="Verdana" w:eastAsia="Calibri" w:hAnsi="Verdana" w:cs="Arial"/>
          <w:color w:val="000000" w:themeColor="text1"/>
        </w:rPr>
      </w:pPr>
    </w:p>
    <w:p w14:paraId="61C204CC" w14:textId="77777777" w:rsidR="00813702" w:rsidRDefault="00813702" w:rsidP="00813702">
      <w:pPr>
        <w:spacing w:after="0" w:line="240" w:lineRule="auto"/>
        <w:ind w:left="709" w:right="709"/>
        <w:jc w:val="both"/>
        <w:rPr>
          <w:rFonts w:ascii="Verdana" w:eastAsia="Calibri" w:hAnsi="Verdana" w:cs="Arial"/>
          <w:color w:val="000000" w:themeColor="text1"/>
          <w:sz w:val="20"/>
          <w:szCs w:val="20"/>
        </w:rPr>
      </w:pPr>
      <w:r w:rsidRPr="008719EC">
        <w:rPr>
          <w:rFonts w:ascii="Verdana" w:eastAsia="Calibri" w:hAnsi="Verdana" w:cs="Arial"/>
          <w:color w:val="000000" w:themeColor="text1"/>
          <w:sz w:val="20"/>
          <w:szCs w:val="20"/>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8719EC">
        <w:rPr>
          <w:rFonts w:ascii="Verdana" w:eastAsia="Calibri" w:hAnsi="Verdana" w:cs="Arial"/>
          <w:i/>
          <w:iCs/>
          <w:color w:val="000000" w:themeColor="text1"/>
          <w:sz w:val="20"/>
          <w:szCs w:val="20"/>
        </w:rPr>
        <w:t xml:space="preserve">“las demás entidades creadas por la ley o con su autorización, cuyo objeto principal sea el ejercicio de funciones administrativas, </w:t>
      </w:r>
      <w:r w:rsidRPr="008719EC">
        <w:rPr>
          <w:rFonts w:ascii="Verdana" w:eastAsia="Calibri" w:hAnsi="Verdana" w:cs="Arial"/>
          <w:i/>
          <w:iCs/>
          <w:color w:val="000000" w:themeColor="text1"/>
          <w:sz w:val="20"/>
          <w:szCs w:val="20"/>
          <w:u w:val="single"/>
        </w:rPr>
        <w:t>la prestación de servicios públicos</w:t>
      </w:r>
      <w:r w:rsidRPr="008719EC">
        <w:rPr>
          <w:rFonts w:ascii="Verdana" w:eastAsia="Calibri" w:hAnsi="Verdana" w:cs="Arial"/>
          <w:i/>
          <w:iCs/>
          <w:color w:val="000000" w:themeColor="text1"/>
          <w:sz w:val="20"/>
          <w:szCs w:val="20"/>
        </w:rPr>
        <w:t xml:space="preserve"> o la realización de actividades industriales o comerciales con personería jurídica, autonomía administrativa y patrimonio propio.” </w:t>
      </w:r>
      <w:r w:rsidRPr="008719EC">
        <w:rPr>
          <w:rFonts w:ascii="Verdana" w:eastAsia="Calibri" w:hAnsi="Verdana" w:cs="Arial"/>
          <w:color w:val="000000" w:themeColor="text1"/>
          <w:sz w:val="20"/>
          <w:szCs w:val="20"/>
        </w:rPr>
        <w:t>(Subraya la Corte)</w:t>
      </w:r>
      <w:r>
        <w:rPr>
          <w:rStyle w:val="Refdenotaalpie"/>
          <w:rFonts w:ascii="Verdana" w:eastAsia="Calibri" w:hAnsi="Verdana" w:cs="Arial"/>
          <w:color w:val="000000" w:themeColor="text1"/>
          <w:sz w:val="20"/>
          <w:szCs w:val="20"/>
        </w:rPr>
        <w:footnoteReference w:id="6"/>
      </w:r>
      <w:r w:rsidRPr="008719EC">
        <w:rPr>
          <w:rFonts w:ascii="Verdana" w:eastAsia="Calibri" w:hAnsi="Verdana" w:cs="Arial"/>
          <w:color w:val="000000" w:themeColor="text1"/>
          <w:sz w:val="20"/>
          <w:szCs w:val="20"/>
        </w:rPr>
        <w:t>.</w:t>
      </w:r>
    </w:p>
    <w:p w14:paraId="6B3EE93D" w14:textId="77777777" w:rsidR="00813702" w:rsidRPr="008719EC" w:rsidRDefault="00813702" w:rsidP="00813702">
      <w:pPr>
        <w:spacing w:after="0" w:line="240" w:lineRule="auto"/>
        <w:jc w:val="both"/>
        <w:rPr>
          <w:rFonts w:ascii="Verdana" w:eastAsia="Calibri" w:hAnsi="Verdana" w:cs="Arial"/>
          <w:color w:val="000000" w:themeColor="text1"/>
          <w:sz w:val="20"/>
          <w:szCs w:val="20"/>
        </w:rPr>
      </w:pPr>
    </w:p>
    <w:p w14:paraId="6786AEE9" w14:textId="77777777" w:rsidR="00813702" w:rsidRPr="00D50C4E" w:rsidRDefault="00813702" w:rsidP="00813702">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segunda postura que también se deriva de la interpretación de la sentencia es que la Corte Constitucional</w:t>
      </w:r>
      <w:r w:rsidRPr="008719EC">
        <w:t xml:space="preserve"> </w:t>
      </w:r>
      <w:r w:rsidRPr="008719EC">
        <w:rPr>
          <w:rFonts w:ascii="Verdana" w:eastAsia="Calibri" w:hAnsi="Verdana" w:cs="Arial"/>
          <w:color w:val="000000" w:themeColor="text1"/>
          <w:lang w:val="es-ES"/>
        </w:rPr>
        <w:t xml:space="preserve">determinó que las empresas de servicios públicos domiciliarios mixtas y privadas con participación estatal constituyen una categoría especial de entidades descentralizadas por servicios. </w:t>
      </w:r>
      <w:r>
        <w:rPr>
          <w:rFonts w:ascii="Verdana" w:eastAsia="Calibri" w:hAnsi="Verdana" w:cs="Arial"/>
          <w:color w:val="000000" w:themeColor="text1"/>
          <w:lang w:val="es-ES"/>
        </w:rPr>
        <w:t xml:space="preserve">En esta línea, se destaca que el encabezado de la consideración 5.3. alude expresamente, así como en varios apartes que son entidades descentralizadas por servicios las </w:t>
      </w:r>
      <w:r w:rsidRPr="00D50C4E">
        <w:rPr>
          <w:rFonts w:ascii="Verdana" w:eastAsia="Calibri" w:hAnsi="Verdana" w:cs="Arial"/>
          <w:bCs/>
          <w:color w:val="000000" w:themeColor="text1"/>
          <w:lang w:val="es-ES"/>
        </w:rPr>
        <w:t>empresas de servicios públicos mixtas y privadas en las cuales haya cualquier porc</w:t>
      </w:r>
      <w:r>
        <w:rPr>
          <w:rFonts w:ascii="Verdana" w:eastAsia="Calibri" w:hAnsi="Verdana" w:cs="Arial"/>
          <w:bCs/>
          <w:color w:val="000000" w:themeColor="text1"/>
          <w:lang w:val="es-ES"/>
        </w:rPr>
        <w:t xml:space="preserve">entaje de participación pública. </w:t>
      </w:r>
      <w:r w:rsidRPr="008719EC">
        <w:rPr>
          <w:rFonts w:ascii="Verdana" w:eastAsia="Calibri" w:hAnsi="Verdana" w:cs="Arial"/>
          <w:color w:val="000000" w:themeColor="text1"/>
          <w:lang w:val="es-ES"/>
        </w:rPr>
        <w:t>Esta interpretación se complementa con la Ley 142 de 1994, que define los tipos societarios según la proporción de capital estatal y privado</w:t>
      </w:r>
      <w:r>
        <w:rPr>
          <w:rFonts w:ascii="Verdana" w:eastAsia="Calibri" w:hAnsi="Verdana" w:cs="Arial"/>
          <w:color w:val="000000" w:themeColor="text1"/>
          <w:lang w:val="es-ES"/>
        </w:rPr>
        <w:t xml:space="preserve">, entendiendo como empresa privada de servicios públicos como </w:t>
      </w:r>
      <w:r w:rsidRPr="00D50C4E">
        <w:rPr>
          <w:rFonts w:ascii="Verdana" w:eastAsia="Calibri" w:hAnsi="Verdana" w:cs="Arial"/>
          <w:color w:val="000000" w:themeColor="text1"/>
        </w:rPr>
        <w:t>aquella cuyo capital pertenece mayoritariamente a particulares o a entidades internacionales que se acogen al régimen privado</w:t>
      </w:r>
      <w:r>
        <w:rPr>
          <w:rFonts w:ascii="Verdana" w:eastAsia="Calibri" w:hAnsi="Verdana" w:cs="Arial"/>
          <w:color w:val="000000" w:themeColor="text1"/>
        </w:rPr>
        <w:t>, lo que implica</w:t>
      </w:r>
      <w:r w:rsidRPr="00D50C4E">
        <w:rPr>
          <w:rFonts w:ascii="Verdana" w:eastAsia="Calibri" w:hAnsi="Verdana" w:cs="Arial"/>
          <w:color w:val="000000" w:themeColor="text1"/>
        </w:rPr>
        <w:t xml:space="preserve"> una participación minoritaria del Estado.</w:t>
      </w:r>
    </w:p>
    <w:p w14:paraId="34F11443" w14:textId="77777777" w:rsidR="00813702" w:rsidRDefault="00813702" w:rsidP="00813702">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1FA30C3C" w14:textId="77777777" w:rsidR="00813702" w:rsidRDefault="00813702" w:rsidP="00813702">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 importante señalar </w:t>
      </w:r>
      <w:r w:rsidRPr="00A11176">
        <w:rPr>
          <w:rFonts w:ascii="Verdana" w:eastAsia="Calibri" w:hAnsi="Verdana" w:cs="Arial"/>
          <w:color w:val="000000" w:themeColor="text1"/>
          <w:lang w:val="es-ES"/>
        </w:rPr>
        <w:t xml:space="preserve">que la naturaleza jurídica de una entidad no depende </w:t>
      </w:r>
      <w:r>
        <w:rPr>
          <w:rFonts w:ascii="Verdana" w:eastAsia="Calibri" w:hAnsi="Verdana" w:cs="Arial"/>
          <w:color w:val="000000" w:themeColor="text1"/>
          <w:lang w:val="es-ES"/>
        </w:rPr>
        <w:t xml:space="preserve">solo </w:t>
      </w:r>
      <w:r w:rsidRPr="00A11176">
        <w:rPr>
          <w:rFonts w:ascii="Verdana" w:eastAsia="Calibri" w:hAnsi="Verdana" w:cs="Arial"/>
          <w:color w:val="000000" w:themeColor="text1"/>
          <w:lang w:val="es-ES"/>
        </w:rPr>
        <w:t>de la función que cumple.</w:t>
      </w:r>
      <w:r>
        <w:rPr>
          <w:rFonts w:ascii="Verdana" w:eastAsia="Calibri" w:hAnsi="Verdana" w:cs="Arial"/>
          <w:color w:val="000000" w:themeColor="text1"/>
          <w:lang w:val="es-ES"/>
        </w:rPr>
        <w:t xml:space="preserve"> En otras palabras</w:t>
      </w:r>
      <w:r w:rsidRPr="00A11176">
        <w:rPr>
          <w:rFonts w:ascii="Verdana" w:eastAsia="Calibri" w:hAnsi="Verdana" w:cs="Arial"/>
          <w:color w:val="000000" w:themeColor="text1"/>
          <w:lang w:val="es-ES"/>
        </w:rPr>
        <w:t>, prestar un servicio público no convierte a una empresa en entidad pública. Lo determinante es su origen legal, su régimen jurídico y su vinculación con e</w:t>
      </w:r>
      <w:r>
        <w:rPr>
          <w:rFonts w:ascii="Verdana" w:eastAsia="Calibri" w:hAnsi="Verdana" w:cs="Arial"/>
          <w:color w:val="000000" w:themeColor="text1"/>
          <w:lang w:val="es-ES"/>
        </w:rPr>
        <w:t xml:space="preserve">l Estado. Aunque </w:t>
      </w:r>
      <w:r w:rsidRPr="00A11176">
        <w:rPr>
          <w:rFonts w:ascii="Verdana" w:eastAsia="Calibri" w:hAnsi="Verdana" w:cs="Arial"/>
          <w:color w:val="000000" w:themeColor="text1"/>
          <w:lang w:val="es-ES"/>
        </w:rPr>
        <w:t>las empresas privadas</w:t>
      </w:r>
      <w:r>
        <w:rPr>
          <w:rFonts w:ascii="Verdana" w:eastAsia="Calibri" w:hAnsi="Verdana" w:cs="Arial"/>
          <w:color w:val="000000" w:themeColor="text1"/>
          <w:lang w:val="es-ES"/>
        </w:rPr>
        <w:t xml:space="preserve"> con capital 100% privado</w:t>
      </w:r>
      <w:r w:rsidRPr="00A11176">
        <w:rPr>
          <w:rFonts w:ascii="Verdana" w:eastAsia="Calibri" w:hAnsi="Verdana" w:cs="Arial"/>
          <w:color w:val="000000" w:themeColor="text1"/>
          <w:lang w:val="es-ES"/>
        </w:rPr>
        <w:t xml:space="preserve"> de servicios públicos cumplen una función pública, siguen siendo entidades privadas en cuanto a su estructura, ges</w:t>
      </w:r>
      <w:r>
        <w:rPr>
          <w:rFonts w:ascii="Verdana" w:eastAsia="Calibri" w:hAnsi="Verdana" w:cs="Arial"/>
          <w:color w:val="000000" w:themeColor="text1"/>
          <w:lang w:val="es-ES"/>
        </w:rPr>
        <w:t xml:space="preserve">tión y responsabilidad jurídica. Esto, sin dejar de lado que las empresas de servicios públicos domiciliarios mixtas y las empresas privadas con participación minoritaria del Estado son comprendidas como entidades descentralizadas por servicios, de acuerdo con lo expresado por la Corte Constitucional en la sentencia ya precitada. </w:t>
      </w:r>
    </w:p>
    <w:p w14:paraId="4D190E9F" w14:textId="77777777" w:rsidR="00813702" w:rsidRDefault="00813702" w:rsidP="00813702">
      <w:pPr>
        <w:spacing w:after="120" w:line="276" w:lineRule="auto"/>
        <w:ind w:firstLine="709"/>
        <w:jc w:val="both"/>
        <w:rPr>
          <w:rFonts w:ascii="Verdana" w:eastAsia="Calibri" w:hAnsi="Verdana" w:cs="Arial"/>
          <w:color w:val="000000" w:themeColor="text1"/>
          <w:lang w:val="es-ES"/>
        </w:rPr>
      </w:pPr>
      <w:r w:rsidRPr="000B07AC">
        <w:rPr>
          <w:rFonts w:ascii="Verdana" w:eastAsia="Calibri" w:hAnsi="Verdana" w:cs="Arial"/>
          <w:color w:val="000000" w:themeColor="text1"/>
          <w:lang w:val="es-ES"/>
        </w:rPr>
        <w:t xml:space="preserve">De este modo, se </w:t>
      </w:r>
      <w:r>
        <w:rPr>
          <w:rFonts w:ascii="Verdana" w:eastAsia="Calibri" w:hAnsi="Verdana" w:cs="Arial"/>
          <w:color w:val="000000" w:themeColor="text1"/>
          <w:lang w:val="es-ES"/>
        </w:rPr>
        <w:t xml:space="preserve">consideran entidades descentralizadas por servicios, es decir, adquieren la naturaleza de ser una entidad pública, lo que implica que tienen </w:t>
      </w:r>
      <w:r w:rsidRPr="001B0ECC">
        <w:rPr>
          <w:rFonts w:ascii="Verdana" w:eastAsia="Calibri" w:hAnsi="Verdana" w:cs="Arial"/>
          <w:color w:val="000000" w:themeColor="text1"/>
          <w:lang w:val="es-ES"/>
        </w:rPr>
        <w:t>la facultad de celebrar convenios y contratos inte</w:t>
      </w:r>
      <w:r>
        <w:rPr>
          <w:rFonts w:ascii="Verdana" w:eastAsia="Calibri" w:hAnsi="Verdana" w:cs="Arial"/>
          <w:color w:val="000000" w:themeColor="text1"/>
          <w:lang w:val="es-ES"/>
        </w:rPr>
        <w:t>radministrativos con otras entidades</w:t>
      </w:r>
      <w:r w:rsidRPr="001B0ECC">
        <w:rPr>
          <w:rFonts w:ascii="Verdana" w:eastAsia="Calibri" w:hAnsi="Verdana" w:cs="Arial"/>
          <w:color w:val="000000" w:themeColor="text1"/>
          <w:lang w:val="es-ES"/>
        </w:rPr>
        <w:t xml:space="preserve"> estatales, lo que les permite coordinar esfuerzos y optimizar recursos en la ejecución de proyectos comunes. A la par, deben cumplir con las obligaciones propias de su régimen especial, como la sujeción a la vigilancia de organismos de control y la aplicación de las normas de contratación pública. </w:t>
      </w:r>
    </w:p>
    <w:p w14:paraId="5552C5C6" w14:textId="77777777" w:rsidR="00813702" w:rsidRPr="00AE3A77" w:rsidRDefault="00813702" w:rsidP="00813702">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ii</w:t>
      </w:r>
      <w:proofErr w:type="spellEnd"/>
      <w:r>
        <w:rPr>
          <w:rFonts w:ascii="Verdana" w:eastAsia="Calibri" w:hAnsi="Verdana" w:cs="Arial"/>
          <w:color w:val="000000" w:themeColor="text1"/>
          <w:lang w:val="es-ES"/>
        </w:rPr>
        <w:t>) Por su parte l</w:t>
      </w:r>
      <w:r w:rsidRPr="00B57A1B">
        <w:rPr>
          <w:rFonts w:ascii="Verdana" w:eastAsiaTheme="minorEastAsia" w:hAnsi="Verdana" w:cs="Arial"/>
          <w:lang w:eastAsia="es-CO"/>
        </w:rPr>
        <w:t>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7"/>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637A18DD" w14:textId="77777777" w:rsidR="00813702" w:rsidRPr="00B57A1B" w:rsidRDefault="00813702" w:rsidP="0081370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5E18D19E" w14:textId="77777777" w:rsidR="00813702" w:rsidRPr="00B57A1B" w:rsidRDefault="00813702" w:rsidP="00813702">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8"/>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792E737C" w14:textId="77777777" w:rsidR="00813702" w:rsidRDefault="00813702" w:rsidP="0081370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9"/>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w:t>
      </w:r>
    </w:p>
    <w:p w14:paraId="06115B21" w14:textId="77777777" w:rsidR="00813702" w:rsidRPr="00B57A1B" w:rsidRDefault="00813702" w:rsidP="0081370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62E1B6DC" w14:textId="77777777" w:rsidR="00813702" w:rsidRPr="000E225C" w:rsidRDefault="00813702" w:rsidP="0081370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83106C5" w14:textId="77777777" w:rsidR="00813702" w:rsidRPr="000E225C" w:rsidRDefault="00813702" w:rsidP="00813702">
      <w:pPr>
        <w:numPr>
          <w:ilvl w:val="0"/>
          <w:numId w:val="18"/>
        </w:numPr>
        <w:spacing w:after="0" w:line="240" w:lineRule="auto"/>
        <w:ind w:left="709" w:right="709" w:firstLine="0"/>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5BDD55CF" w14:textId="77777777" w:rsidR="00813702" w:rsidRPr="000E225C" w:rsidRDefault="00813702" w:rsidP="00813702">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70AF70A8" w14:textId="27E5DD1B" w:rsidR="00813702" w:rsidRPr="00D0672D" w:rsidRDefault="00813702" w:rsidP="00D0672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10"/>
      </w:r>
      <w:r w:rsidR="00D0672D">
        <w:rPr>
          <w:rFonts w:ascii="Verdana" w:eastAsiaTheme="minorEastAsia" w:hAnsi="Verdana" w:cs="Arial"/>
          <w:sz w:val="20"/>
          <w:szCs w:val="20"/>
          <w:lang w:eastAsia="es-CO"/>
        </w:rPr>
        <w:t>.</w:t>
      </w:r>
    </w:p>
    <w:p w14:paraId="1581C82E" w14:textId="77777777" w:rsidR="00813702" w:rsidRDefault="00813702" w:rsidP="0081370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2EE95CF6" w14:textId="77777777" w:rsidR="00813702" w:rsidRPr="00B57A1B" w:rsidRDefault="00813702" w:rsidP="00813702">
      <w:pPr>
        <w:spacing w:after="0" w:line="276" w:lineRule="auto"/>
        <w:ind w:firstLine="709"/>
        <w:jc w:val="both"/>
        <w:rPr>
          <w:rFonts w:ascii="Verdana" w:eastAsiaTheme="minorEastAsia" w:hAnsi="Verdana" w:cs="Arial"/>
          <w:lang w:eastAsia="es-CO"/>
        </w:rPr>
      </w:pPr>
    </w:p>
    <w:p w14:paraId="49A01173" w14:textId="77777777" w:rsidR="00813702" w:rsidRPr="000E225C" w:rsidRDefault="00813702" w:rsidP="0081370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1CCA3894" w14:textId="77777777" w:rsidR="00813702" w:rsidRPr="000E225C" w:rsidRDefault="00813702" w:rsidP="0081370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14E94A67" w14:textId="77777777" w:rsidR="00813702" w:rsidRDefault="00813702" w:rsidP="00813702">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11"/>
      </w:r>
      <w:r w:rsidRPr="000E225C">
        <w:rPr>
          <w:rFonts w:ascii="Verdana" w:hAnsi="Verdana" w:cs="Weiss"/>
          <w:sz w:val="20"/>
          <w:szCs w:val="19"/>
        </w:rPr>
        <w:t>.</w:t>
      </w:r>
    </w:p>
    <w:p w14:paraId="54D81394" w14:textId="77777777" w:rsidR="00813702" w:rsidRPr="004A769B" w:rsidRDefault="00813702" w:rsidP="00813702">
      <w:pPr>
        <w:autoSpaceDE w:val="0"/>
        <w:autoSpaceDN w:val="0"/>
        <w:adjustRightInd w:val="0"/>
        <w:spacing w:after="0" w:line="240" w:lineRule="auto"/>
        <w:ind w:left="709" w:right="709"/>
        <w:jc w:val="both"/>
        <w:rPr>
          <w:rFonts w:ascii="Verdana" w:hAnsi="Verdana" w:cs="Weiss"/>
          <w:sz w:val="20"/>
          <w:szCs w:val="19"/>
        </w:rPr>
      </w:pPr>
    </w:p>
    <w:p w14:paraId="0073FD85" w14:textId="77777777" w:rsidR="00813702" w:rsidRPr="004A769B" w:rsidRDefault="00813702" w:rsidP="0081370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Ahora bien, esta distinción conceptual entre contratos y convenios interadministrativos resulta relevante para precisar </w:t>
      </w:r>
      <w:r>
        <w:rPr>
          <w:rFonts w:ascii="Verdana" w:eastAsiaTheme="minorEastAsia" w:hAnsi="Verdana" w:cs="Arial"/>
          <w:lang w:eastAsia="es-CO"/>
        </w:rPr>
        <w:t xml:space="preserve">el </w:t>
      </w:r>
      <w:r w:rsidRPr="00B57A1B">
        <w:rPr>
          <w:rFonts w:ascii="Verdana" w:eastAsiaTheme="minorEastAsia" w:hAnsi="Verdana" w:cs="Arial"/>
          <w:lang w:eastAsia="es-CO"/>
        </w:rPr>
        <w:t xml:space="preserve">ámbito de aplicación de las instituciones del EGCAP. Al respecto, el Consejo </w:t>
      </w:r>
      <w:r>
        <w:rPr>
          <w:rFonts w:ascii="Verdana" w:eastAsiaTheme="minorEastAsia" w:hAnsi="Verdana" w:cs="Arial"/>
          <w:lang w:eastAsia="es-CO"/>
        </w:rPr>
        <w:t xml:space="preserve">de Estado </w:t>
      </w:r>
      <w:r w:rsidRPr="00B57A1B">
        <w:rPr>
          <w:rFonts w:ascii="Verdana" w:eastAsiaTheme="minorEastAsia" w:hAnsi="Verdana" w:cs="Arial"/>
          <w:lang w:eastAsia="es-CO"/>
        </w:rPr>
        <w:t>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12"/>
      </w:r>
      <w:r w:rsidRPr="00B57A1B">
        <w:rPr>
          <w:rFonts w:ascii="Verdana" w:eastAsiaTheme="minorEastAsia" w:hAnsi="Verdana" w:cs="Arial"/>
          <w:lang w:eastAsia="es-CO"/>
        </w:rPr>
        <w:t xml:space="preserve">. De esta manera, el Consejo de Estado expresa:  </w:t>
      </w:r>
    </w:p>
    <w:p w14:paraId="7CD1883E" w14:textId="77777777" w:rsidR="00813702" w:rsidRPr="000E225C" w:rsidRDefault="00813702" w:rsidP="00813702">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0D64A3D2" w14:textId="77777777" w:rsidR="00813702" w:rsidRPr="000E225C" w:rsidRDefault="00813702" w:rsidP="00813702">
      <w:pPr>
        <w:widowControl w:val="0"/>
        <w:autoSpaceDE w:val="0"/>
        <w:autoSpaceDN w:val="0"/>
        <w:spacing w:after="0" w:line="240" w:lineRule="auto"/>
        <w:ind w:left="709" w:right="709"/>
        <w:jc w:val="both"/>
        <w:rPr>
          <w:rFonts w:ascii="Verdana" w:eastAsia="Arial MT" w:hAnsi="Verdana" w:cs="Arial MT"/>
          <w:sz w:val="20"/>
          <w:szCs w:val="19"/>
        </w:rPr>
      </w:pPr>
    </w:p>
    <w:p w14:paraId="68ED6084" w14:textId="77777777" w:rsidR="00813702" w:rsidRPr="000E225C" w:rsidRDefault="00813702" w:rsidP="00813702">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759C8EC0" w14:textId="77777777" w:rsidR="00813702" w:rsidRPr="000E225C" w:rsidRDefault="00813702" w:rsidP="00813702">
      <w:pPr>
        <w:widowControl w:val="0"/>
        <w:autoSpaceDE w:val="0"/>
        <w:autoSpaceDN w:val="0"/>
        <w:spacing w:after="0" w:line="240" w:lineRule="auto"/>
        <w:ind w:left="709" w:right="709"/>
        <w:jc w:val="both"/>
        <w:rPr>
          <w:rFonts w:ascii="Verdana" w:eastAsia="Arial MT" w:hAnsi="Verdana" w:cs="Arial MT"/>
          <w:sz w:val="20"/>
          <w:szCs w:val="19"/>
        </w:rPr>
      </w:pPr>
    </w:p>
    <w:p w14:paraId="121D640C" w14:textId="77777777" w:rsidR="00813702" w:rsidRDefault="00813702" w:rsidP="00813702">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13"/>
      </w:r>
      <w:r w:rsidRPr="000E225C">
        <w:rPr>
          <w:rFonts w:ascii="Verdana" w:eastAsia="Arial MT" w:hAnsi="Verdana" w:cs="Arial MT"/>
          <w:i/>
          <w:iCs/>
          <w:sz w:val="20"/>
          <w:szCs w:val="19"/>
        </w:rPr>
        <w:t>.</w:t>
      </w:r>
    </w:p>
    <w:p w14:paraId="0C93E36C" w14:textId="77777777" w:rsidR="00813702" w:rsidRPr="004A769B" w:rsidRDefault="00813702" w:rsidP="00813702">
      <w:pPr>
        <w:widowControl w:val="0"/>
        <w:autoSpaceDE w:val="0"/>
        <w:autoSpaceDN w:val="0"/>
        <w:spacing w:after="0" w:line="240" w:lineRule="auto"/>
        <w:ind w:left="709" w:right="709"/>
        <w:jc w:val="both"/>
        <w:rPr>
          <w:rFonts w:ascii="Verdana" w:eastAsia="Arial MT" w:hAnsi="Verdana" w:cs="Arial MT"/>
          <w:sz w:val="20"/>
          <w:szCs w:val="19"/>
          <w:lang w:val="es-ES"/>
        </w:rPr>
      </w:pPr>
    </w:p>
    <w:p w14:paraId="20886F84" w14:textId="77777777" w:rsidR="00813702" w:rsidRDefault="00813702" w:rsidP="00813702">
      <w:pPr>
        <w:spacing w:after="120" w:line="276" w:lineRule="auto"/>
        <w:ind w:firstLine="709"/>
        <w:jc w:val="both"/>
        <w:rPr>
          <w:rFonts w:ascii="Verdana" w:eastAsia="Calibri" w:hAnsi="Verdana" w:cs="Times New Roman"/>
          <w:iCs/>
          <w:lang w:val="es-ES"/>
        </w:rPr>
      </w:pPr>
      <w:r w:rsidRPr="00B57A1B">
        <w:rPr>
          <w:rFonts w:ascii="Verdana" w:eastAsiaTheme="minorEastAsia" w:hAnsi="Verdana" w:cs="Arial"/>
          <w:lang w:eastAsia="es-CO"/>
        </w:rPr>
        <w:t>Teniendo en cuenta, este entendimiento sobre los convenios</w:t>
      </w:r>
      <w:r>
        <w:rPr>
          <w:rFonts w:ascii="Verdana" w:eastAsiaTheme="minorEastAsia" w:hAnsi="Verdana" w:cs="Arial"/>
          <w:lang w:eastAsia="es-CO"/>
        </w:rPr>
        <w:t xml:space="preserve"> </w:t>
      </w:r>
      <w:r w:rsidRPr="00B57A1B">
        <w:rPr>
          <w:rFonts w:ascii="Verdana" w:eastAsiaTheme="minorEastAsia" w:hAnsi="Verdana" w:cs="Arial"/>
          <w:lang w:eastAsia="es-CO"/>
        </w:rPr>
        <w:t>y contratos interadministrativos</w:t>
      </w:r>
      <w:r>
        <w:rPr>
          <w:rFonts w:ascii="Verdana" w:eastAsia="Calibri" w:hAnsi="Verdana" w:cs="Times New Roman"/>
          <w:iCs/>
          <w:lang w:val="es-ES"/>
        </w:rPr>
        <w:t xml:space="preserve"> se infiere que su denominación parte de que ambos actores son entidades públicas. Ahora bien, será necesario analizar la posibilidad de celebración de convenios o contratos interadministrativos para el otorgamiento de subsidios en el marco de los servicios públicos domiciliarios. </w:t>
      </w:r>
    </w:p>
    <w:p w14:paraId="2D2AE728" w14:textId="77777777" w:rsidR="00813702" w:rsidRDefault="00813702" w:rsidP="00813702">
      <w:pPr>
        <w:spacing w:after="120" w:line="276" w:lineRule="auto"/>
        <w:ind w:firstLine="709"/>
        <w:jc w:val="both"/>
        <w:rPr>
          <w:rFonts w:ascii="Verdana" w:eastAsia="Calibri" w:hAnsi="Verdana" w:cs="Times New Roman"/>
          <w:iCs/>
          <w:lang w:val="es-ES"/>
        </w:rPr>
      </w:pPr>
      <w:r>
        <w:rPr>
          <w:rFonts w:ascii="Verdana" w:eastAsia="Calibri" w:hAnsi="Verdana" w:cs="Times New Roman"/>
          <w:iCs/>
          <w:lang w:val="es-ES"/>
        </w:rPr>
        <w:t xml:space="preserve">Ahora bien, </w:t>
      </w:r>
      <w:proofErr w:type="gramStart"/>
      <w:r>
        <w:rPr>
          <w:rFonts w:ascii="Verdana" w:eastAsia="Calibri" w:hAnsi="Verdana" w:cs="Times New Roman"/>
          <w:iCs/>
          <w:lang w:val="es-ES"/>
        </w:rPr>
        <w:t>en relación a</w:t>
      </w:r>
      <w:proofErr w:type="gramEnd"/>
      <w:r>
        <w:rPr>
          <w:rFonts w:ascii="Verdana" w:eastAsia="Calibri" w:hAnsi="Verdana" w:cs="Times New Roman"/>
          <w:iCs/>
          <w:lang w:val="es-ES"/>
        </w:rPr>
        <w:t xml:space="preserve"> los subsidios en materia de servicios públicos domiciliarios, un aspecto que poco se explora en el Sistema de Compras Públicas, en especial, sobre la forma o el instrumento jurídico en que se otorgan. Para ello, se señala que el subsidio es una forma de auxilio, que en el marco del Estado Social de Derecho pregonado en la Constitución busca garantizar el bienestar general, y en especial, la igualdad material y el principio de solidaridad</w:t>
      </w:r>
      <w:r>
        <w:rPr>
          <w:rStyle w:val="Refdenotaalpie"/>
          <w:rFonts w:ascii="Verdana" w:eastAsia="Calibri" w:hAnsi="Verdana" w:cs="Times New Roman"/>
          <w:iCs/>
          <w:lang w:val="es-ES"/>
        </w:rPr>
        <w:footnoteReference w:id="14"/>
      </w:r>
      <w:r>
        <w:rPr>
          <w:rFonts w:ascii="Verdana" w:eastAsia="Calibri" w:hAnsi="Verdana" w:cs="Times New Roman"/>
          <w:iCs/>
          <w:lang w:val="es-ES"/>
        </w:rPr>
        <w:t>. Al respecto, la Doctrina expresa:</w:t>
      </w:r>
    </w:p>
    <w:p w14:paraId="61F2B8F4" w14:textId="77777777" w:rsidR="00813702" w:rsidRDefault="00813702" w:rsidP="00813702">
      <w:pPr>
        <w:spacing w:after="0" w:line="240" w:lineRule="auto"/>
        <w:ind w:left="709" w:right="709"/>
        <w:jc w:val="both"/>
        <w:rPr>
          <w:rFonts w:ascii="Verdana" w:eastAsia="Calibri" w:hAnsi="Verdana" w:cs="Times New Roman"/>
          <w:iCs/>
          <w:sz w:val="20"/>
        </w:rPr>
      </w:pPr>
      <w:r w:rsidRPr="006571B8">
        <w:rPr>
          <w:rFonts w:ascii="Verdana" w:eastAsia="Calibri" w:hAnsi="Verdana" w:cs="Times New Roman"/>
          <w:iCs/>
          <w:sz w:val="20"/>
        </w:rPr>
        <w:t xml:space="preserve">Siendo este el comportamiento de los subsidios, su naturaleza se parece bastante a la de un auxilio, lo que hace pensar que puede violarse el artículo 355 de la Constitución Política, según el cual está prohibido, con recursos del erario, conceder auxilios o donaciones a favor de particulares. En realidad, si bien </w:t>
      </w:r>
      <w:r>
        <w:rPr>
          <w:rFonts w:ascii="Verdana" w:eastAsia="Calibri" w:hAnsi="Verdana" w:cs="Times New Roman"/>
          <w:iCs/>
          <w:sz w:val="20"/>
        </w:rPr>
        <w:t>los subsidios se comportan com</w:t>
      </w:r>
      <w:r w:rsidRPr="006571B8">
        <w:rPr>
          <w:rFonts w:ascii="Verdana" w:eastAsia="Calibri" w:hAnsi="Verdana" w:cs="Times New Roman"/>
          <w:iCs/>
          <w:sz w:val="20"/>
        </w:rPr>
        <w:t>o un auxilio, debe quedar claro que hay liberalidades, como esta, que el Estado hace en favor de los particulares por mandato de la propia Constitución, pues debemos recordar que el artículo 368 dispone que con cargo a los recursos de las entidades estatales se pueden otorgar subsidios para los usuarios de menores ingresos; luego, si la Constitución lo autoriza, entonces no se viola la norma fundamental; al contrario: existe armonía con lo que mandan sus disposiciones</w:t>
      </w:r>
      <w:r>
        <w:rPr>
          <w:rStyle w:val="Refdenotaalpie"/>
          <w:rFonts w:ascii="Verdana" w:eastAsia="Calibri" w:hAnsi="Verdana" w:cs="Times New Roman"/>
          <w:iCs/>
          <w:sz w:val="20"/>
        </w:rPr>
        <w:footnoteReference w:id="15"/>
      </w:r>
      <w:r w:rsidRPr="006571B8">
        <w:rPr>
          <w:rFonts w:ascii="Verdana" w:eastAsia="Calibri" w:hAnsi="Verdana" w:cs="Times New Roman"/>
          <w:iCs/>
          <w:sz w:val="20"/>
        </w:rPr>
        <w:t xml:space="preserve">. </w:t>
      </w:r>
    </w:p>
    <w:p w14:paraId="37AE5729" w14:textId="77777777" w:rsidR="00813702" w:rsidRPr="00286BBA" w:rsidRDefault="00813702" w:rsidP="00813702">
      <w:pPr>
        <w:spacing w:after="0" w:line="240" w:lineRule="auto"/>
        <w:ind w:left="709" w:right="709"/>
        <w:jc w:val="both"/>
        <w:rPr>
          <w:rFonts w:ascii="Verdana" w:eastAsia="Calibri" w:hAnsi="Verdana" w:cs="Times New Roman"/>
          <w:iCs/>
          <w:sz w:val="20"/>
        </w:rPr>
      </w:pPr>
    </w:p>
    <w:p w14:paraId="365296AA" w14:textId="77777777" w:rsidR="00813702" w:rsidRPr="003004D2" w:rsidRDefault="00813702" w:rsidP="00813702">
      <w:pPr>
        <w:spacing w:after="120" w:line="276" w:lineRule="auto"/>
        <w:jc w:val="both"/>
        <w:rPr>
          <w:rFonts w:ascii="Verdana" w:eastAsia="Calibri" w:hAnsi="Verdana" w:cs="Times New Roman"/>
          <w:iCs/>
        </w:rPr>
      </w:pPr>
      <w:r>
        <w:rPr>
          <w:rFonts w:ascii="Verdana" w:eastAsia="Calibri" w:hAnsi="Verdana" w:cs="Times New Roman"/>
          <w:iCs/>
        </w:rPr>
        <w:tab/>
        <w:t>Como manifestación del deber de otorgar subsidios en el marco del Estado Social de Derecho, se encuentra el artículo 368 constitucional prescribe: “</w:t>
      </w:r>
      <w:r w:rsidRPr="006571B8">
        <w:rPr>
          <w:rFonts w:ascii="Verdana" w:eastAsia="Calibri" w:hAnsi="Verdana" w:cs="Times New Roman"/>
          <w:bCs/>
          <w:iCs/>
        </w:rPr>
        <w:t>[…]</w:t>
      </w:r>
      <w:r>
        <w:rPr>
          <w:rFonts w:ascii="Verdana" w:eastAsia="Calibri" w:hAnsi="Verdana" w:cs="Times New Roman"/>
          <w:b/>
          <w:bCs/>
          <w:iCs/>
        </w:rPr>
        <w:t xml:space="preserve"> </w:t>
      </w:r>
      <w:r w:rsidRPr="006571B8">
        <w:rPr>
          <w:rFonts w:ascii="Verdana" w:eastAsia="Calibri" w:hAnsi="Verdana" w:cs="Times New Roman"/>
          <w:iCs/>
        </w:rPr>
        <w:t xml:space="preserve">La Nación, los departamentos, los distritos, los municipios y las entidades descentralizadas podrán conceder subsidios, en sus respectivos presupuestos, para que las personas de menores ingresos puedan pagar las tarifas de los servicios públicos domiciliarios que </w:t>
      </w:r>
      <w:r>
        <w:rPr>
          <w:rFonts w:ascii="Verdana" w:eastAsia="Calibri" w:hAnsi="Verdana" w:cs="Times New Roman"/>
          <w:iCs/>
        </w:rPr>
        <w:t>cubran sus necesidades básicas”. En tal sentido, dicho tratamiento constitucional se desarrolló en la Leyes 142 y 143 de 19</w:t>
      </w:r>
      <w:r w:rsidRPr="003004D2">
        <w:rPr>
          <w:rFonts w:ascii="Verdana" w:eastAsia="Calibri" w:hAnsi="Verdana" w:cs="Times New Roman"/>
          <w:iCs/>
        </w:rPr>
        <w:t xml:space="preserve">94. </w:t>
      </w:r>
    </w:p>
    <w:p w14:paraId="196AB846" w14:textId="77777777" w:rsidR="00813702" w:rsidRPr="003004D2" w:rsidRDefault="00813702" w:rsidP="00813702">
      <w:pPr>
        <w:spacing w:after="120" w:line="276" w:lineRule="auto"/>
        <w:jc w:val="both"/>
        <w:rPr>
          <w:rFonts w:ascii="Verdana" w:eastAsia="Calibri" w:hAnsi="Verdana" w:cs="Times New Roman"/>
          <w:iCs/>
          <w:lang w:val="es-ES"/>
        </w:rPr>
      </w:pPr>
      <w:r w:rsidRPr="003004D2">
        <w:rPr>
          <w:rFonts w:ascii="Verdana" w:eastAsia="Calibri" w:hAnsi="Verdana" w:cs="Times New Roman"/>
          <w:iCs/>
        </w:rPr>
        <w:tab/>
        <w:t>Para ello, se hace una referencia especial a la Ley 142 de 1994, “</w:t>
      </w:r>
      <w:r w:rsidRPr="003004D2">
        <w:rPr>
          <w:rFonts w:ascii="Verdana" w:eastAsia="Calibri" w:hAnsi="Verdana" w:cs="Times New Roman"/>
          <w:bCs/>
          <w:iCs/>
        </w:rPr>
        <w:t>por la cual se establece el régimen de los servicios públicos domiciliarios y se dictan otras disposiciones”. Dicha Ley en su artículo 3°</w:t>
      </w:r>
      <w:r w:rsidRPr="003004D2">
        <w:rPr>
          <w:rStyle w:val="Refdenotaalpie"/>
          <w:rFonts w:ascii="Verdana" w:eastAsia="Calibri" w:hAnsi="Verdana" w:cs="Times New Roman"/>
          <w:bCs/>
          <w:iCs/>
        </w:rPr>
        <w:footnoteReference w:id="16"/>
      </w:r>
      <w:r w:rsidRPr="003004D2">
        <w:rPr>
          <w:rFonts w:ascii="Verdana" w:eastAsia="Calibri" w:hAnsi="Verdana" w:cs="Times New Roman"/>
          <w:bCs/>
          <w:iCs/>
        </w:rPr>
        <w:t xml:space="preserve"> establece que la intervención 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2E2C17F8" w14:textId="77777777" w:rsidR="00813702" w:rsidRPr="00442203" w:rsidRDefault="00813702" w:rsidP="00813702">
      <w:pPr>
        <w:pStyle w:val="Default"/>
        <w:spacing w:line="276" w:lineRule="auto"/>
        <w:jc w:val="both"/>
        <w:rPr>
          <w:rFonts w:ascii="Verdana" w:hAnsi="Verdana"/>
          <w:sz w:val="22"/>
          <w:szCs w:val="22"/>
        </w:rPr>
      </w:pPr>
      <w:r w:rsidRPr="003004D2">
        <w:rPr>
          <w:rFonts w:ascii="Verdana" w:hAnsi="Verdana"/>
          <w:sz w:val="22"/>
          <w:szCs w:val="22"/>
        </w:rPr>
        <w:tab/>
      </w:r>
      <w:r w:rsidRPr="00442203">
        <w:rPr>
          <w:rFonts w:ascii="Verdana" w:hAnsi="Verdana"/>
          <w:sz w:val="22"/>
          <w:szCs w:val="22"/>
        </w:rPr>
        <w:t xml:space="preserve">Una de las formas de intervención estatal es la entrega de subsidios a las personas con menores ingresos. En este </w:t>
      </w:r>
      <w:r>
        <w:rPr>
          <w:rFonts w:ascii="Verdana" w:hAnsi="Verdana"/>
          <w:sz w:val="22"/>
          <w:szCs w:val="22"/>
        </w:rPr>
        <w:t>contexto</w:t>
      </w:r>
      <w:r w:rsidRPr="00442203">
        <w:rPr>
          <w:rFonts w:ascii="Verdana" w:hAnsi="Verdana"/>
          <w:sz w:val="22"/>
          <w:szCs w:val="22"/>
        </w:rPr>
        <w:t xml:space="preserve">, </w:t>
      </w:r>
      <w:r>
        <w:rPr>
          <w:rFonts w:ascii="Verdana" w:hAnsi="Verdana"/>
          <w:sz w:val="22"/>
          <w:szCs w:val="22"/>
        </w:rPr>
        <w:t>como se señaló previamente, en el</w:t>
      </w:r>
      <w:r w:rsidRPr="00442203">
        <w:rPr>
          <w:rFonts w:ascii="Verdana" w:hAnsi="Verdana"/>
          <w:sz w:val="22"/>
          <w:szCs w:val="22"/>
        </w:rPr>
        <w:t xml:space="preserve"> artículo 368, autorizó de manera potestativa —no obligatoria— a la Nación, los departamentos, los municipios y demás entidades descentralizadas para otorgar subsidios, con cargo a sus presupuestos, a lo</w:t>
      </w:r>
      <w:r>
        <w:rPr>
          <w:rFonts w:ascii="Verdana" w:hAnsi="Verdana"/>
          <w:sz w:val="22"/>
          <w:szCs w:val="22"/>
        </w:rPr>
        <w:t>s usuarios de menores ingresos. Al respecto, l</w:t>
      </w:r>
      <w:r w:rsidRPr="00442203">
        <w:rPr>
          <w:rFonts w:ascii="Verdana" w:hAnsi="Verdana"/>
          <w:sz w:val="22"/>
          <w:szCs w:val="22"/>
        </w:rPr>
        <w:t>a Ley 142 abordó el tema en su artículo</w:t>
      </w:r>
      <w:r>
        <w:rPr>
          <w:rFonts w:ascii="Verdana" w:hAnsi="Verdana"/>
          <w:sz w:val="22"/>
          <w:szCs w:val="22"/>
        </w:rPr>
        <w:t xml:space="preserve"> 99</w:t>
      </w:r>
      <w:r w:rsidRPr="00442203">
        <w:rPr>
          <w:rFonts w:ascii="Verdana" w:hAnsi="Verdana"/>
          <w:sz w:val="22"/>
          <w:szCs w:val="22"/>
        </w:rPr>
        <w:t>, imponiendo, la obligación a la Nación y a las entidades territoriales de subsidiar los servicios públicos domiciliarios.</w:t>
      </w:r>
      <w:r>
        <w:rPr>
          <w:rFonts w:ascii="Verdana" w:hAnsi="Verdana"/>
          <w:sz w:val="22"/>
          <w:szCs w:val="22"/>
        </w:rPr>
        <w:t xml:space="preserve"> Dicha norma prescribe</w:t>
      </w:r>
      <w:r w:rsidRPr="00442203">
        <w:rPr>
          <w:rFonts w:ascii="Verdana" w:hAnsi="Verdana"/>
          <w:sz w:val="22"/>
          <w:szCs w:val="22"/>
        </w:rPr>
        <w:t>:</w:t>
      </w:r>
    </w:p>
    <w:p w14:paraId="6CA043F5" w14:textId="77777777" w:rsidR="00813702" w:rsidRDefault="00813702" w:rsidP="00813702">
      <w:pPr>
        <w:pStyle w:val="Default"/>
        <w:jc w:val="both"/>
        <w:rPr>
          <w:rFonts w:ascii="Verdana" w:hAnsi="Verdana"/>
          <w:sz w:val="22"/>
          <w:szCs w:val="22"/>
        </w:rPr>
      </w:pPr>
    </w:p>
    <w:p w14:paraId="5B5BF70D"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bCs/>
          <w:sz w:val="20"/>
          <w:szCs w:val="20"/>
        </w:rPr>
        <w:t>Artículo 99. Forma de subsidiar.</w:t>
      </w:r>
      <w:r w:rsidRPr="009C2F3C">
        <w:rPr>
          <w:rFonts w:ascii="Verdana" w:hAnsi="Verdana"/>
          <w:sz w:val="20"/>
          <w:szCs w:val="20"/>
        </w:rPr>
        <w:t xml:space="preserve"> Las entidades señaladas en el artículo 368 de la Constitución Política podrán conceder subsidios en sus respectivos presupuestos </w:t>
      </w:r>
      <w:proofErr w:type="gramStart"/>
      <w:r w:rsidRPr="009C2F3C">
        <w:rPr>
          <w:rFonts w:ascii="Verdana" w:hAnsi="Verdana"/>
          <w:sz w:val="20"/>
          <w:szCs w:val="20"/>
        </w:rPr>
        <w:t>de acuerdo a</w:t>
      </w:r>
      <w:proofErr w:type="gramEnd"/>
      <w:r w:rsidRPr="009C2F3C">
        <w:rPr>
          <w:rFonts w:ascii="Verdana" w:hAnsi="Verdana"/>
          <w:sz w:val="20"/>
          <w:szCs w:val="20"/>
        </w:rPr>
        <w:t xml:space="preserve"> las siguientes reglas: </w:t>
      </w:r>
    </w:p>
    <w:p w14:paraId="7221A109"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99.1. Deben indicar específicamente el tipo de servicio subsidiado. </w:t>
      </w:r>
    </w:p>
    <w:p w14:paraId="0F2BC504"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99.2. Se señalará la entidad prestadora que repartirá el subsidio. </w:t>
      </w:r>
    </w:p>
    <w:p w14:paraId="1D31EFEA"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99.3. El reparto debe hacerse entre los usuarios como un descuento en el valor de la factura que éste debe cancelar, conforme a lo dispuesto en esta Ley y en las Ordenanzas y Acuerdos según el caso. </w:t>
      </w:r>
    </w:p>
    <w:p w14:paraId="1FCDA619"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 xml:space="preserve">93.4. El </w:t>
      </w:r>
      <w:proofErr w:type="gramStart"/>
      <w:r w:rsidRPr="009C2F3C">
        <w:rPr>
          <w:rFonts w:ascii="Verdana" w:hAnsi="Verdana"/>
          <w:sz w:val="20"/>
          <w:szCs w:val="20"/>
        </w:rPr>
        <w:t>Presidente</w:t>
      </w:r>
      <w:proofErr w:type="gramEnd"/>
      <w:r w:rsidRPr="009C2F3C">
        <w:rPr>
          <w:rFonts w:ascii="Verdana" w:hAnsi="Verdana"/>
          <w:sz w:val="20"/>
          <w:szCs w:val="20"/>
        </w:rPr>
        <w:t xml:space="preserve"> y los gobernadores podrán suspender a los alcaldes cuando sean negligentes en la aplicación de las normas relativas al pago de los subsidios; o cuando las infrinjan de cualquier otra manera. </w:t>
      </w:r>
    </w:p>
    <w:p w14:paraId="2F69C880"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99.5. Los subsidios no excederán, en ningún caso, del valor de los consumos básicos o de subsistencia. Los alcaldes y los concejales tomarán las medidas que a cada uno correspondan para crear en el presupuesto municipal, y ejecutar, apropiaciones para subsidiar los consumos básicos de acueducto de los usuarios de menores recursos y extender la cobertura y mejorar la calidad de los servicios de agua potable y saneamiento básico, dando prioridad a esas apropiaciones, dentro de las posibilidades del municipio, sobre otros gastos que no sean indispensables para el funcionamiento de éste. La infracción de este deber dará lugar a sanción disciplinaria. </w:t>
      </w:r>
    </w:p>
    <w:p w14:paraId="083DB1EB"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 xml:space="preserve">99.6. La parte de la tarifa que refleje los costos de administración, operación y mantenimiento a que dé lugar el suministro será </w:t>
      </w:r>
      <w:proofErr w:type="gramStart"/>
      <w:r w:rsidRPr="009C2F3C">
        <w:rPr>
          <w:rFonts w:ascii="Verdana" w:hAnsi="Verdana"/>
          <w:sz w:val="20"/>
          <w:szCs w:val="20"/>
        </w:rPr>
        <w:t>cubierta</w:t>
      </w:r>
      <w:proofErr w:type="gramEnd"/>
      <w:r w:rsidRPr="009C2F3C">
        <w:rPr>
          <w:rFonts w:ascii="Verdana" w:hAnsi="Verdana"/>
          <w:sz w:val="20"/>
          <w:szCs w:val="20"/>
        </w:rPr>
        <w:t xml:space="preserve"> siempre por el usuario; la que tenga el propósito de recuperar el valor de las inversiones hechas para prestar el servicio podrá ser cubierta por los subsidios, y siempre que no lo sean, la empresa de servicios públicos podrá tomar todas las medidas necesarias para que los usuarios las cubran. En ningún caso el subsidio será superior al 15% del costo medio del suministro para el estrato 3, al 40% del costo medio del suministro para el estrato 2, ni superior al 50% de éste para el estrato 1. </w:t>
      </w:r>
    </w:p>
    <w:p w14:paraId="41DF2890"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99.7. Los subsidios sólo se otorgarán a los usuarios de inmuebles residenciales y a las zonas rurales de los estratos 1 y 2; las comisiones de regulación definirán las condiciones para otorgarlos al estrato 3. </w:t>
      </w:r>
    </w:p>
    <w:p w14:paraId="2923EBE3"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 xml:space="preserve">99.8. Cuando los Concejos creen los fondos de solidaridad para subsidios y redistribución de ingresos y autoricen el pago de subsidios a través de las </w:t>
      </w:r>
      <w:proofErr w:type="gramStart"/>
      <w:r w:rsidRPr="009C2F3C">
        <w:rPr>
          <w:rFonts w:ascii="Verdana" w:hAnsi="Verdana"/>
          <w:sz w:val="20"/>
          <w:szCs w:val="20"/>
        </w:rPr>
        <w:t>empresas</w:t>
      </w:r>
      <w:proofErr w:type="gramEnd"/>
      <w:r w:rsidRPr="009C2F3C">
        <w:rPr>
          <w:rFonts w:ascii="Verdana" w:hAnsi="Verdana"/>
          <w:sz w:val="20"/>
          <w:szCs w:val="20"/>
        </w:rPr>
        <w:t xml:space="preserve"> pero con desembolsos de los recursos que manejen las tesorerías municipales, la transferencia de recursos se hará en un plazo de 30 días, contados desde la misma fecha en que se expida la factura a cargo del municipio. Para asegurar la transferencia, las empresas firmarán contratos con el municipio. </w:t>
      </w:r>
    </w:p>
    <w:p w14:paraId="621D398E"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sz w:val="20"/>
          <w:szCs w:val="20"/>
        </w:rPr>
        <w:t>99.9. Los subsidios que otorguen la Nación y los departamentos se asignarán, preferentemente, a los usuarios que residan en aquellos municipios que tengan menor capacidad para otorgar subsidios con sus propios ingresos. En consecuencia y con el fin de cumplir cabalmente con los principios de solidaridad y redistribución no existirá exoneración en el pago de los servicios de que trata esta Ley para ninguna persona natural o jurídica. </w:t>
      </w:r>
    </w:p>
    <w:p w14:paraId="1635F17A" w14:textId="77777777" w:rsidR="00813702" w:rsidRPr="009C2F3C" w:rsidRDefault="00813702" w:rsidP="00813702">
      <w:pPr>
        <w:pStyle w:val="Default"/>
        <w:ind w:left="709" w:right="709"/>
        <w:jc w:val="both"/>
        <w:rPr>
          <w:rFonts w:ascii="Verdana" w:hAnsi="Verdana"/>
          <w:sz w:val="20"/>
          <w:szCs w:val="20"/>
        </w:rPr>
      </w:pPr>
      <w:r w:rsidRPr="009C2F3C">
        <w:rPr>
          <w:rFonts w:ascii="Verdana" w:hAnsi="Verdana"/>
          <w:bCs/>
          <w:sz w:val="20"/>
          <w:szCs w:val="20"/>
        </w:rPr>
        <w:t>Parágrafo 1º.</w:t>
      </w:r>
      <w:r w:rsidRPr="009C2F3C">
        <w:rPr>
          <w:rFonts w:ascii="Verdana" w:hAnsi="Verdana"/>
          <w:sz w:val="20"/>
          <w:szCs w:val="20"/>
        </w:rPr>
        <w:t xml:space="preserve"> La tarifa del servicio público de electricidad para los distritos de riego construidos o administrados por el </w:t>
      </w:r>
      <w:proofErr w:type="spellStart"/>
      <w:r w:rsidRPr="009C2F3C">
        <w:rPr>
          <w:rFonts w:ascii="Verdana" w:hAnsi="Verdana"/>
          <w:sz w:val="20"/>
          <w:szCs w:val="20"/>
        </w:rPr>
        <w:t>Incora</w:t>
      </w:r>
      <w:proofErr w:type="spellEnd"/>
      <w:r w:rsidRPr="009C2F3C">
        <w:rPr>
          <w:rFonts w:ascii="Verdana" w:hAnsi="Verdana"/>
          <w:sz w:val="20"/>
          <w:szCs w:val="20"/>
        </w:rPr>
        <w:t xml:space="preserve"> y que sean menores a 50 hectáreas, se considerarán incorporados al estrato 1 para efecto de los subsidios a que haya lugar. </w:t>
      </w:r>
    </w:p>
    <w:p w14:paraId="2E7D9696" w14:textId="77777777" w:rsidR="00813702" w:rsidRDefault="00813702" w:rsidP="00813702">
      <w:pPr>
        <w:pStyle w:val="Default"/>
        <w:jc w:val="both"/>
        <w:rPr>
          <w:rFonts w:ascii="Verdana" w:hAnsi="Verdana"/>
          <w:sz w:val="22"/>
          <w:szCs w:val="22"/>
        </w:rPr>
      </w:pPr>
    </w:p>
    <w:p w14:paraId="2306B3FD" w14:textId="77777777" w:rsidR="00813702" w:rsidRDefault="00813702" w:rsidP="00813702">
      <w:pPr>
        <w:pStyle w:val="Default"/>
        <w:spacing w:line="276" w:lineRule="auto"/>
        <w:jc w:val="both"/>
        <w:rPr>
          <w:rFonts w:ascii="Verdana" w:hAnsi="Verdana"/>
          <w:sz w:val="22"/>
          <w:szCs w:val="22"/>
        </w:rPr>
      </w:pPr>
      <w:r>
        <w:rPr>
          <w:rFonts w:ascii="Verdana" w:hAnsi="Verdana"/>
          <w:sz w:val="22"/>
          <w:szCs w:val="22"/>
        </w:rPr>
        <w:tab/>
        <w:t>El numeral</w:t>
      </w:r>
      <w:r w:rsidRPr="00E94B76">
        <w:rPr>
          <w:rFonts w:ascii="Verdana" w:hAnsi="Verdana"/>
          <w:sz w:val="22"/>
          <w:szCs w:val="22"/>
        </w:rPr>
        <w:t xml:space="preserve"> 99.8 establece que, cuando los concejos municipales creen fondos de solidaridad para subsidios y redistribución de ingresos y autoricen que las empresas paguen dichos subsidios con recursos administrados por las tesorerías municipales, la transferencia de esos recursos debe realizarse en un plazo máximo de 30 días contados desde la fecha de expedición de la factura correspondiente al municipio. Para garantizar el cumplimiento de esta obligación, las empresas deben suscribir contratos con el municipio, lo que asegura un marco jurídico y administrativo que respalde la transferencia oportuna de los fondos destinados a los subsidios.</w:t>
      </w:r>
      <w:r>
        <w:rPr>
          <w:rFonts w:ascii="Verdana" w:hAnsi="Verdana"/>
          <w:sz w:val="22"/>
          <w:szCs w:val="22"/>
        </w:rPr>
        <w:t xml:space="preserve"> De otro lado, el artículo 11 de la Ley 1176 de 2007 dispone:</w:t>
      </w:r>
    </w:p>
    <w:p w14:paraId="5333ACED" w14:textId="77777777" w:rsidR="00813702" w:rsidRDefault="00813702" w:rsidP="00813702">
      <w:pPr>
        <w:pStyle w:val="Default"/>
        <w:spacing w:line="276" w:lineRule="auto"/>
        <w:jc w:val="both"/>
        <w:rPr>
          <w:rFonts w:ascii="Verdana" w:hAnsi="Verdana"/>
          <w:sz w:val="22"/>
          <w:szCs w:val="22"/>
        </w:rPr>
      </w:pPr>
    </w:p>
    <w:p w14:paraId="007DECE6" w14:textId="77777777" w:rsidR="00813702" w:rsidRPr="00AA5DB3" w:rsidRDefault="00813702" w:rsidP="00813702">
      <w:pPr>
        <w:pStyle w:val="Default"/>
        <w:ind w:left="709" w:right="709"/>
        <w:jc w:val="both"/>
        <w:rPr>
          <w:rFonts w:ascii="Verdana" w:hAnsi="Verdana"/>
          <w:sz w:val="20"/>
          <w:szCs w:val="20"/>
        </w:rPr>
      </w:pPr>
      <w:bookmarkStart w:id="2" w:name="11"/>
      <w:r w:rsidRPr="00AA5DB3">
        <w:rPr>
          <w:rFonts w:ascii="Verdana" w:hAnsi="Verdana"/>
          <w:sz w:val="20"/>
          <w:szCs w:val="20"/>
        </w:rPr>
        <w:t>ARTÍCULO 11. DESTINACIÓN DE LOS RECURSOS DE LA PARTICIPACIÓN DE AGUA POTABLE Y SANEAMIENTO BÁSICO EN LOS DISTRITOS Y MUNICIPIOS.</w:t>
      </w:r>
      <w:bookmarkEnd w:id="2"/>
      <w:r w:rsidRPr="00AA5DB3">
        <w:rPr>
          <w:rFonts w:ascii="Verdana" w:hAnsi="Verdana"/>
          <w:sz w:val="20"/>
          <w:szCs w:val="20"/>
        </w:rPr>
        <w:t xml:space="preserve"> Los recursos del Sistema General de Participaciones para agua potable y saneamiento básico que se asignen a los distritos y </w:t>
      </w:r>
      <w:proofErr w:type="gramStart"/>
      <w:r w:rsidRPr="00AA5DB3">
        <w:rPr>
          <w:rFonts w:ascii="Verdana" w:hAnsi="Verdana"/>
          <w:sz w:val="20"/>
          <w:szCs w:val="20"/>
        </w:rPr>
        <w:t>municipios,</w:t>
      </w:r>
      <w:proofErr w:type="gramEnd"/>
      <w:r w:rsidRPr="00AA5DB3">
        <w:rPr>
          <w:rFonts w:ascii="Verdana" w:hAnsi="Verdana"/>
          <w:sz w:val="20"/>
          <w:szCs w:val="20"/>
        </w:rPr>
        <w:t xml:space="preserve"> se destinarán a financiar la prestación de los servicios públicos domiciliarios de agua potable y saneamiento básico, en las siguientes actividades:</w:t>
      </w:r>
    </w:p>
    <w:p w14:paraId="79F5DD23"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a) Los subsidios que se otorguen a los estratos subsidiables de acuerdo con lo dispuesto en la normatividad vigente;</w:t>
      </w:r>
    </w:p>
    <w:p w14:paraId="683180A6"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b) Pago del servicio de la deuda originado en el financiamiento de proyectos del sector de agua potable y saneamiento básico, mediante la pignoración de los recursos asignados y demás operaciones financieras autorizadas por la ley;</w:t>
      </w:r>
    </w:p>
    <w:p w14:paraId="4E214C20"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 xml:space="preserve">c) </w:t>
      </w:r>
      <w:proofErr w:type="spellStart"/>
      <w:r w:rsidRPr="00AA5DB3">
        <w:rPr>
          <w:rFonts w:ascii="Verdana" w:hAnsi="Verdana"/>
          <w:sz w:val="20"/>
          <w:szCs w:val="20"/>
        </w:rPr>
        <w:t>Preinversión</w:t>
      </w:r>
      <w:proofErr w:type="spellEnd"/>
      <w:r w:rsidRPr="00AA5DB3">
        <w:rPr>
          <w:rFonts w:ascii="Verdana" w:hAnsi="Verdana"/>
          <w:sz w:val="20"/>
          <w:szCs w:val="20"/>
        </w:rPr>
        <w:t xml:space="preserve"> en diseños, estudios e interventorías para proyectos del sector de agua potable y saneamiento básico;</w:t>
      </w:r>
    </w:p>
    <w:p w14:paraId="6E725013"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d) Formulación, implantación y acciones de fortalecimiento de esquemas organizacionales para la administración y operación de los servicios de acueducto, alcantarillado y aseo, en las zonas urbana y rural;</w:t>
      </w:r>
    </w:p>
    <w:p w14:paraId="3276CAAF"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e) Construcción, ampliación, optimización y mejoramiento de los sistemas de acueducto y alcantarillado, e inversión para la prestación del servicio público de aseo;</w:t>
      </w:r>
    </w:p>
    <w:p w14:paraId="124A7711"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 xml:space="preserve">f) Programas de macro y </w:t>
      </w:r>
      <w:proofErr w:type="spellStart"/>
      <w:r w:rsidRPr="00AA5DB3">
        <w:rPr>
          <w:rFonts w:ascii="Verdana" w:hAnsi="Verdana"/>
          <w:sz w:val="20"/>
          <w:szCs w:val="20"/>
        </w:rPr>
        <w:t>micromedición</w:t>
      </w:r>
      <w:proofErr w:type="spellEnd"/>
      <w:r w:rsidRPr="00AA5DB3">
        <w:rPr>
          <w:rFonts w:ascii="Verdana" w:hAnsi="Verdana"/>
          <w:sz w:val="20"/>
          <w:szCs w:val="20"/>
        </w:rPr>
        <w:t>;</w:t>
      </w:r>
    </w:p>
    <w:p w14:paraId="4DC67255" w14:textId="77777777" w:rsidR="00813702" w:rsidRPr="00AA5DB3" w:rsidRDefault="00813702" w:rsidP="00813702">
      <w:pPr>
        <w:pStyle w:val="Default"/>
        <w:ind w:left="709" w:right="709"/>
        <w:jc w:val="both"/>
        <w:rPr>
          <w:rFonts w:ascii="Verdana" w:hAnsi="Verdana"/>
          <w:sz w:val="20"/>
          <w:szCs w:val="20"/>
        </w:rPr>
      </w:pPr>
      <w:r w:rsidRPr="00AA5DB3">
        <w:rPr>
          <w:rFonts w:ascii="Verdana" w:hAnsi="Verdana"/>
          <w:sz w:val="20"/>
          <w:szCs w:val="20"/>
        </w:rPr>
        <w:t>g) Programas de reducción de agua no contabilizada;</w:t>
      </w:r>
    </w:p>
    <w:p w14:paraId="511D18B2" w14:textId="77777777" w:rsidR="00813702" w:rsidRDefault="00813702" w:rsidP="00813702">
      <w:pPr>
        <w:pStyle w:val="Default"/>
        <w:spacing w:line="276" w:lineRule="auto"/>
        <w:jc w:val="both"/>
        <w:rPr>
          <w:rFonts w:ascii="Verdana" w:hAnsi="Verdana"/>
          <w:sz w:val="22"/>
          <w:szCs w:val="22"/>
        </w:rPr>
      </w:pPr>
    </w:p>
    <w:p w14:paraId="64493B21" w14:textId="77777777" w:rsidR="00813702" w:rsidRPr="005A7504" w:rsidRDefault="00813702" w:rsidP="00813702">
      <w:pPr>
        <w:pStyle w:val="Default"/>
        <w:spacing w:after="120" w:line="276" w:lineRule="auto"/>
        <w:jc w:val="both"/>
        <w:rPr>
          <w:rFonts w:ascii="Verdana" w:hAnsi="Verdana"/>
          <w:sz w:val="22"/>
          <w:szCs w:val="22"/>
        </w:rPr>
      </w:pPr>
      <w:r>
        <w:rPr>
          <w:rFonts w:ascii="Verdana" w:hAnsi="Verdana"/>
          <w:sz w:val="22"/>
          <w:szCs w:val="22"/>
        </w:rPr>
        <w:t xml:space="preserve"> </w:t>
      </w:r>
      <w:r>
        <w:rPr>
          <w:rFonts w:ascii="Verdana" w:hAnsi="Verdana"/>
          <w:sz w:val="22"/>
          <w:szCs w:val="22"/>
        </w:rPr>
        <w:tab/>
        <w:t xml:space="preserve">Siguiendo esta línea, el artículo 2.3.4.1.2.11 del Decreto 1077 de 2015 prescribe: </w:t>
      </w:r>
    </w:p>
    <w:p w14:paraId="686E525A" w14:textId="77777777" w:rsidR="00813702" w:rsidRPr="004D5C33" w:rsidRDefault="00813702" w:rsidP="00813702">
      <w:pPr>
        <w:pStyle w:val="Default"/>
        <w:ind w:left="709" w:right="709"/>
        <w:jc w:val="both"/>
        <w:rPr>
          <w:rFonts w:ascii="Verdana" w:hAnsi="Verdana"/>
          <w:sz w:val="20"/>
          <w:szCs w:val="20"/>
        </w:rPr>
      </w:pPr>
      <w:r w:rsidRPr="004D5C33">
        <w:rPr>
          <w:rFonts w:ascii="Verdana" w:hAnsi="Verdana"/>
          <w:bCs/>
          <w:sz w:val="20"/>
          <w:szCs w:val="20"/>
        </w:rPr>
        <w:t>Artículo 2.3.4.1.2.11. </w:t>
      </w:r>
      <w:r w:rsidRPr="004D5C33">
        <w:rPr>
          <w:rFonts w:ascii="Verdana" w:hAnsi="Verdana"/>
          <w:bCs/>
          <w:i/>
          <w:iCs/>
          <w:sz w:val="20"/>
          <w:szCs w:val="20"/>
        </w:rPr>
        <w:t>Transferencias de dinero de las entidades territoriales</w:t>
      </w:r>
      <w:r w:rsidRPr="004D5C33">
        <w:rPr>
          <w:rFonts w:ascii="Verdana" w:hAnsi="Verdana"/>
          <w:i/>
          <w:iCs/>
          <w:sz w:val="20"/>
          <w:szCs w:val="20"/>
        </w:rPr>
        <w:t>. </w:t>
      </w:r>
      <w:r w:rsidRPr="004D5C33">
        <w:rPr>
          <w:rFonts w:ascii="Verdana" w:hAnsi="Verdana"/>
          <w:sz w:val="20"/>
          <w:szCs w:val="20"/>
        </w:rPr>
        <w:t xml:space="preserve">Las transferencias de dinero de las entidades territoriales a los Fondos de Solidaridad y Redistribución de Ingresos por concepto de </w:t>
      </w:r>
      <w:proofErr w:type="gramStart"/>
      <w:r w:rsidRPr="004D5C33">
        <w:rPr>
          <w:rFonts w:ascii="Verdana" w:hAnsi="Verdana"/>
          <w:sz w:val="20"/>
          <w:szCs w:val="20"/>
        </w:rPr>
        <w:t>subsidios,</w:t>
      </w:r>
      <w:proofErr w:type="gramEnd"/>
      <w:r w:rsidRPr="004D5C33">
        <w:rPr>
          <w:rFonts w:ascii="Verdana" w:hAnsi="Verdana"/>
          <w:sz w:val="20"/>
          <w:szCs w:val="20"/>
        </w:rPr>
        <w:t xml:space="preserve"> deberán ser giradas a la entidad prestadora del servicio público para la aplicación de los subsidios, en un plazo de treinta días, contados desde la misma fecha en que la entidad prestadora expida la factura a cargo del municipio (artículo 99.8 de la Ley 142 de 1994). </w:t>
      </w:r>
    </w:p>
    <w:p w14:paraId="6B5A4014" w14:textId="77777777" w:rsidR="00813702" w:rsidRPr="004D5C33" w:rsidRDefault="00813702" w:rsidP="00813702">
      <w:pPr>
        <w:pStyle w:val="Default"/>
        <w:ind w:left="709" w:right="709"/>
        <w:jc w:val="both"/>
        <w:rPr>
          <w:rFonts w:ascii="Verdana" w:hAnsi="Verdana"/>
          <w:sz w:val="20"/>
          <w:szCs w:val="20"/>
        </w:rPr>
      </w:pPr>
    </w:p>
    <w:p w14:paraId="00592300" w14:textId="77777777" w:rsidR="00813702" w:rsidRPr="004D5C33" w:rsidRDefault="00813702" w:rsidP="00813702">
      <w:pPr>
        <w:pStyle w:val="Default"/>
        <w:ind w:left="709" w:right="709"/>
        <w:jc w:val="both"/>
        <w:rPr>
          <w:rFonts w:ascii="Verdana" w:hAnsi="Verdana"/>
          <w:sz w:val="20"/>
          <w:szCs w:val="20"/>
        </w:rPr>
      </w:pPr>
      <w:r w:rsidRPr="004D5C33">
        <w:rPr>
          <w:rFonts w:ascii="Verdana" w:hAnsi="Verdana"/>
          <w:sz w:val="20"/>
          <w:szCs w:val="20"/>
        </w:rPr>
        <w:t>Para asegurar esta transferencia, los recursos destinados a otorgar subsidios, y que provengan de las tesorerías de las entidades territoriales, deberán ceñirse en su manejo a lo que se estipule en el contrato que para el efecto debe suscribirse entre el municipio, distrito, o departamento y las entidades encargadas de la prestación de los servicios públicos, en el que, entre otros, se establecerán los intereses de mora. </w:t>
      </w:r>
    </w:p>
    <w:p w14:paraId="76A0617B" w14:textId="77777777" w:rsidR="00813702" w:rsidRPr="004D5C33" w:rsidRDefault="00813702" w:rsidP="00813702">
      <w:pPr>
        <w:pStyle w:val="Default"/>
        <w:ind w:left="709" w:right="709"/>
        <w:jc w:val="both"/>
        <w:rPr>
          <w:rFonts w:ascii="Verdana" w:hAnsi="Verdana"/>
          <w:sz w:val="20"/>
          <w:szCs w:val="20"/>
        </w:rPr>
      </w:pPr>
    </w:p>
    <w:p w14:paraId="01C8AB84" w14:textId="77777777" w:rsidR="00813702" w:rsidRDefault="00813702" w:rsidP="00813702">
      <w:pPr>
        <w:pStyle w:val="Default"/>
        <w:ind w:left="709" w:right="709"/>
        <w:jc w:val="both"/>
        <w:rPr>
          <w:rFonts w:ascii="Verdana" w:hAnsi="Verdana"/>
          <w:sz w:val="20"/>
          <w:szCs w:val="20"/>
        </w:rPr>
      </w:pPr>
      <w:r w:rsidRPr="004D5C33">
        <w:rPr>
          <w:rFonts w:ascii="Verdana" w:hAnsi="Verdana"/>
          <w:sz w:val="20"/>
          <w:szCs w:val="20"/>
        </w:rPr>
        <w:t>Los alcaldes y concejales deberán dar prioridad a las apropiaciones para los servicios de acueducto y alcantarillado, sobre otros gastos que no sean indispensables para el funcionamiento del ente territorial respectivo (artículo 99.5 de la Ley 142 de 1994). </w:t>
      </w:r>
    </w:p>
    <w:p w14:paraId="0A68A42C" w14:textId="77777777" w:rsidR="00813702" w:rsidRPr="004D5C33" w:rsidRDefault="00813702" w:rsidP="00813702">
      <w:pPr>
        <w:pStyle w:val="Default"/>
        <w:ind w:left="709" w:right="709"/>
        <w:jc w:val="both"/>
        <w:rPr>
          <w:rFonts w:ascii="Verdana" w:hAnsi="Verdana"/>
          <w:sz w:val="20"/>
          <w:szCs w:val="20"/>
        </w:rPr>
      </w:pPr>
    </w:p>
    <w:p w14:paraId="6B6EEED2" w14:textId="77777777" w:rsidR="00813702" w:rsidRPr="003C5FD9" w:rsidRDefault="00813702" w:rsidP="00813702">
      <w:pPr>
        <w:pStyle w:val="Default"/>
        <w:spacing w:after="120" w:line="276" w:lineRule="auto"/>
        <w:ind w:firstLine="709"/>
        <w:jc w:val="both"/>
        <w:rPr>
          <w:rFonts w:ascii="Verdana" w:hAnsi="Verdana"/>
          <w:color w:val="auto"/>
          <w:sz w:val="22"/>
          <w:szCs w:val="22"/>
        </w:rPr>
      </w:pPr>
      <w:r w:rsidRPr="003C5FD9">
        <w:rPr>
          <w:rFonts w:ascii="Verdana" w:hAnsi="Verdana"/>
          <w:color w:val="auto"/>
          <w:sz w:val="22"/>
          <w:szCs w:val="22"/>
        </w:rPr>
        <w:t xml:space="preserve">En este aspecto, se precisa que para el caso de los municipios y distritos certificados esta obligación corresponde a estas entidades territoriales, pero para los municipios o distritos descertificados, este deber está bajo la competencia de los departamentos, </w:t>
      </w:r>
      <w:r>
        <w:rPr>
          <w:rFonts w:ascii="Verdana" w:hAnsi="Verdana"/>
          <w:color w:val="auto"/>
          <w:sz w:val="22"/>
          <w:szCs w:val="22"/>
        </w:rPr>
        <w:t>con la condición de que</w:t>
      </w:r>
      <w:r w:rsidRPr="003C5FD9">
        <w:rPr>
          <w:rFonts w:ascii="Verdana" w:hAnsi="Verdana"/>
          <w:color w:val="auto"/>
          <w:sz w:val="22"/>
          <w:szCs w:val="22"/>
        </w:rPr>
        <w:t xml:space="preserve"> los recursos que garanticen la transferencia de subsidios correspondan a la fuente del SGP-APSB, conforme a lo prescrito en el artículo 2.3.5.1.2.2.14 del Decreto 1077 de 2015</w:t>
      </w:r>
      <w:r w:rsidRPr="003C5FD9">
        <w:rPr>
          <w:rStyle w:val="Refdenotaalpie"/>
          <w:rFonts w:ascii="Verdana" w:hAnsi="Verdana"/>
          <w:color w:val="auto"/>
          <w:sz w:val="22"/>
          <w:szCs w:val="22"/>
        </w:rPr>
        <w:footnoteReference w:id="17"/>
      </w:r>
      <w:r>
        <w:rPr>
          <w:rFonts w:ascii="Verdana" w:hAnsi="Verdana"/>
          <w:color w:val="auto"/>
          <w:sz w:val="22"/>
          <w:szCs w:val="22"/>
        </w:rPr>
        <w:t>.</w:t>
      </w:r>
    </w:p>
    <w:p w14:paraId="19CCE006" w14:textId="77777777" w:rsidR="00813702" w:rsidRDefault="00813702" w:rsidP="00813702">
      <w:pPr>
        <w:spacing w:after="120" w:line="276" w:lineRule="auto"/>
        <w:ind w:firstLine="709"/>
        <w:jc w:val="both"/>
        <w:rPr>
          <w:rFonts w:ascii="Verdana" w:hAnsi="Verdana"/>
        </w:rPr>
      </w:pPr>
      <w:r w:rsidRPr="003C5FD9">
        <w:rPr>
          <w:rFonts w:ascii="Verdana" w:hAnsi="Verdana"/>
        </w:rPr>
        <w:t xml:space="preserve">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63BB068B" w14:textId="77777777" w:rsidR="00813702" w:rsidRDefault="00813702" w:rsidP="00813702">
      <w:pPr>
        <w:spacing w:after="120" w:line="276" w:lineRule="auto"/>
        <w:ind w:firstLine="709"/>
        <w:jc w:val="both"/>
        <w:rPr>
          <w:rFonts w:ascii="Verdana" w:hAnsi="Verdana"/>
        </w:rPr>
      </w:pPr>
      <w:r>
        <w:rPr>
          <w:rFonts w:ascii="Verdana" w:hAnsi="Verdana"/>
        </w:rPr>
        <w:t>En este escenario, l</w:t>
      </w:r>
      <w:r w:rsidRPr="00055945">
        <w:rPr>
          <w:rFonts w:ascii="Verdana" w:hAnsi="Verdana"/>
        </w:rPr>
        <w:t>a naturaleza de los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conforme a lo establecido en el numeral 2 del artículo 38 de la Ley 489 de 1998 y a lo reiterado por la Corte Constitucional en la Sentencia C-736 de 2008, lo que les otorga un carácter especial dentro de la estructura administrativa del Estad</w:t>
      </w:r>
      <w:r>
        <w:rPr>
          <w:rFonts w:ascii="Verdana" w:hAnsi="Verdana"/>
        </w:rPr>
        <w:t xml:space="preserve">o. </w:t>
      </w:r>
    </w:p>
    <w:p w14:paraId="18F6DD76" w14:textId="77777777" w:rsidR="00813702" w:rsidRDefault="00813702" w:rsidP="00813702">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Pr>
          <w:rFonts w:ascii="Verdana" w:hAnsi="Verdana"/>
        </w:rPr>
        <w:t>y</w:t>
      </w:r>
      <w:proofErr w:type="gramEnd"/>
      <w:r>
        <w:rPr>
          <w:rFonts w:ascii="Verdana" w:hAnsi="Verdana"/>
        </w:rPr>
        <w:t xml:space="preserve"> por ende, sus condiciones se encuentran sujetas a la autonomía de la voluntad de las partes que lo suscriben, lo cual debe plasmarse en el texto contractual”. </w:t>
      </w:r>
    </w:p>
    <w:p w14:paraId="519ABEF9" w14:textId="77777777" w:rsidR="00813702" w:rsidRDefault="00813702" w:rsidP="00813702">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389D3EC2" w14:textId="77777777" w:rsidR="00813702" w:rsidRDefault="00813702" w:rsidP="00813702">
      <w:pPr>
        <w:spacing w:after="120"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similares</w:t>
      </w:r>
      <w:r w:rsidRPr="00055945">
        <w:rPr>
          <w:rFonts w:ascii="Verdana" w:hAnsi="Verdana"/>
        </w:rPr>
        <w:t>.</w:t>
      </w:r>
      <w:r>
        <w:rPr>
          <w:rFonts w:ascii="Verdana" w:hAnsi="Verdana"/>
        </w:rPr>
        <w:t xml:space="preserve"> </w:t>
      </w:r>
    </w:p>
    <w:p w14:paraId="037D6C53" w14:textId="77777777" w:rsidR="00813702" w:rsidRPr="00286BBA" w:rsidRDefault="00813702" w:rsidP="00813702">
      <w:pPr>
        <w:spacing w:after="120" w:line="276" w:lineRule="auto"/>
        <w:ind w:firstLine="709"/>
        <w:jc w:val="both"/>
        <w:rPr>
          <w:rFonts w:ascii="Verdana" w:hAnsi="Verdana"/>
        </w:rPr>
      </w:pPr>
      <w:r>
        <w:rPr>
          <w:rFonts w:ascii="Verdana" w:hAnsi="Verdana"/>
        </w:rPr>
        <w:t xml:space="preserve">Ahora bien, en relación con las </w:t>
      </w:r>
      <w:r w:rsidRPr="00E2397D">
        <w:rPr>
          <w:rFonts w:ascii="Verdana" w:eastAsia="Arial" w:hAnsi="Verdana" w:cs="Arial"/>
          <w:lang w:val="es-ES" w:eastAsia="es-ES" w:bidi="es-ES"/>
        </w:rPr>
        <w:t xml:space="preserve">restricciones consagradas en la Ley </w:t>
      </w:r>
      <w:r>
        <w:rPr>
          <w:rFonts w:ascii="Verdana" w:eastAsia="Arial" w:hAnsi="Verdana" w:cs="Arial"/>
          <w:lang w:val="es-ES" w:eastAsia="es-ES" w:bidi="es-ES"/>
        </w:rPr>
        <w:t xml:space="preserve">de garantías es de precisar que estas se </w:t>
      </w:r>
      <w:r w:rsidRPr="00E2397D">
        <w:rPr>
          <w:rFonts w:ascii="Verdana" w:eastAsia="Arial" w:hAnsi="Verdana" w:cs="Arial"/>
          <w:lang w:val="es-ES" w:eastAsia="es-ES" w:bidi="es-ES"/>
        </w:rPr>
        <w:t>dirigen a dos (2) tipos de campañas electorales claramente diferenciadas: las presidenciales y las demás que se adelanten para la elección de los demás cargos de elección popular, tanto a nivel nacional como territorial.</w:t>
      </w:r>
    </w:p>
    <w:p w14:paraId="7DB16971" w14:textId="77777777" w:rsidR="00813702" w:rsidRPr="00E2397D" w:rsidRDefault="00813702" w:rsidP="00813702">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18"/>
      </w:r>
      <w:r w:rsidRPr="00E2397D">
        <w:rPr>
          <w:rFonts w:ascii="Verdana" w:eastAsia="Calibri" w:hAnsi="Verdana" w:cs="Arial"/>
        </w:rPr>
        <w:t>.</w:t>
      </w:r>
    </w:p>
    <w:p w14:paraId="1A270439" w14:textId="77777777" w:rsidR="00813702" w:rsidRDefault="00813702" w:rsidP="00813702">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1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65D9AF09" w14:textId="77777777" w:rsidR="00813702" w:rsidRDefault="00813702" w:rsidP="00813702">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6B1CCC2D" w14:textId="77777777" w:rsidR="00813702" w:rsidRDefault="00813702" w:rsidP="00813702">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4AD1C75E" w14:textId="77777777" w:rsidR="00813702" w:rsidRDefault="00813702" w:rsidP="00813702">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CDA4613" w14:textId="77777777" w:rsidR="00813702" w:rsidRPr="00286BBA" w:rsidRDefault="00813702" w:rsidP="00813702">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vigor de las prohibiciones anotadas, así como la cesión de estos,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20"/>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0CBF3A72" w14:textId="77777777" w:rsidR="00813702" w:rsidRPr="00E2397D" w:rsidRDefault="00813702" w:rsidP="0081370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5" w:name="_Hlk76109421"/>
      <w:r w:rsidRPr="00E2397D">
        <w:rPr>
          <w:rFonts w:ascii="Verdana" w:eastAsia="Arial" w:hAnsi="Verdana" w:cs="Arial"/>
          <w:sz w:val="20"/>
          <w:szCs w:val="20"/>
          <w:lang w:eastAsia="es-ES" w:bidi="es-ES"/>
        </w:rPr>
        <w:t>se integran parcialmente</w:t>
      </w:r>
      <w:bookmarkEnd w:id="5"/>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21"/>
      </w:r>
    </w:p>
    <w:p w14:paraId="1F31DE7D" w14:textId="77777777" w:rsidR="00813702" w:rsidRPr="00E2397D" w:rsidRDefault="00813702" w:rsidP="00813702">
      <w:pPr>
        <w:widowControl w:val="0"/>
        <w:autoSpaceDE w:val="0"/>
        <w:autoSpaceDN w:val="0"/>
        <w:spacing w:after="0" w:line="276" w:lineRule="auto"/>
        <w:contextualSpacing/>
        <w:rPr>
          <w:rFonts w:ascii="Verdana" w:eastAsia="Arial" w:hAnsi="Verdana" w:cs="Arial"/>
          <w:lang w:val="es-ES" w:eastAsia="es-ES" w:bidi="es-ES"/>
        </w:rPr>
      </w:pPr>
    </w:p>
    <w:p w14:paraId="5731284B" w14:textId="77777777" w:rsidR="00813702" w:rsidRPr="00E2397D" w:rsidRDefault="00813702" w:rsidP="00813702">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6" w:name="_Hlk77236420"/>
      <w:bookmarkStart w:id="7" w:name="_Hlk78818435"/>
      <w:bookmarkStart w:id="8"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6"/>
    </w:p>
    <w:bookmarkEnd w:id="7"/>
    <w:p w14:paraId="13E398A5" w14:textId="77777777" w:rsidR="00813702" w:rsidRPr="00E2397D" w:rsidRDefault="00813702" w:rsidP="00813702">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8"/>
    <w:p w14:paraId="1D63ABCA" w14:textId="77777777" w:rsidR="00813702" w:rsidRDefault="00813702" w:rsidP="00813702">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13C2208E" w14:textId="77777777" w:rsidR="00813702" w:rsidRDefault="00813702" w:rsidP="00813702">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Es importante señalar que </w:t>
      </w:r>
      <w:r w:rsidRPr="0057193B">
        <w:rPr>
          <w:rFonts w:ascii="Verdana" w:eastAsia="Times New Roman" w:hAnsi="Verdana" w:cs="Arial"/>
          <w:bCs/>
          <w:lang w:val="es-MX" w:eastAsia="x-none"/>
        </w:rPr>
        <w:t>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22"/>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r w:rsidRPr="0057193B">
        <w:rPr>
          <w:rFonts w:ascii="Verdana" w:eastAsia="Times New Roman" w:hAnsi="Verdana" w:cs="Arial"/>
          <w:bCs/>
          <w:lang w:val="es-MX" w:eastAsia="x-none"/>
        </w:rPr>
        <w:t xml:space="preserve">De lo anterior se desprende que la restricción </w:t>
      </w:r>
      <w:r>
        <w:rPr>
          <w:rFonts w:ascii="Verdana" w:eastAsia="Times New Roman" w:hAnsi="Verdana" w:cs="Arial"/>
          <w:bCs/>
          <w:lang w:val="es-MX" w:eastAsia="x-none"/>
        </w:rPr>
        <w:t xml:space="preserve">del artículo 33 </w:t>
      </w:r>
      <w:r w:rsidRPr="0057193B">
        <w:rPr>
          <w:rFonts w:ascii="Verdana" w:eastAsia="Times New Roman" w:hAnsi="Verdana" w:cs="Arial"/>
          <w:bCs/>
          <w:lang w:val="es-MX" w:eastAsia="x-none"/>
        </w:rPr>
        <w:t>aplica, sin perjuicio de las excepciones establecidas en la misma ley, para celebrar cualquier contrato de forma directa, esto es, sin que exista un proceso abierto y competitivo.</w:t>
      </w:r>
    </w:p>
    <w:p w14:paraId="19679598" w14:textId="77777777" w:rsidR="00813702" w:rsidRDefault="00813702" w:rsidP="00813702">
      <w:pPr>
        <w:spacing w:after="120" w:line="276" w:lineRule="auto"/>
        <w:ind w:firstLine="708"/>
        <w:jc w:val="both"/>
        <w:rPr>
          <w:rFonts w:ascii="Verdana" w:eastAsia="Times New Roman" w:hAnsi="Verdana" w:cs="Arial"/>
          <w:bCs/>
          <w:lang w:val="es-MX" w:eastAsia="es-CO"/>
        </w:rPr>
      </w:pPr>
      <w:r w:rsidRPr="00B2403B">
        <w:rPr>
          <w:rFonts w:ascii="Verdana" w:eastAsia="Calibri" w:hAnsi="Verdana" w:cs="Times New Roman"/>
          <w:iCs/>
        </w:rPr>
        <w:t xml:space="preserve">Las excepciones están </w:t>
      </w:r>
      <w:r>
        <w:rPr>
          <w:rFonts w:ascii="Verdana" w:eastAsia="Times New Roman" w:hAnsi="Verdana" w:cs="Arial"/>
          <w:bCs/>
          <w:lang w:val="es-MX" w:eastAsia="x-none"/>
        </w:rPr>
        <w:t>consagradas de forma expresa</w:t>
      </w:r>
      <w:r w:rsidRPr="00B2403B">
        <w:rPr>
          <w:rFonts w:ascii="Verdana" w:eastAsia="Times New Roman" w:hAnsi="Verdana" w:cs="Arial"/>
          <w:bCs/>
          <w:lang w:val="es-MX" w:eastAsia="x-none"/>
        </w:rPr>
        <w:t xml:space="preserve"> en el inciso final del citado artículo 33 de la Ley 996 de 2005 en lo referente a i) la defensa y seguridad del Estado; </w:t>
      </w:r>
      <w:proofErr w:type="spellStart"/>
      <w:r w:rsidRPr="00B2403B">
        <w:rPr>
          <w:rFonts w:ascii="Verdana" w:eastAsia="Times New Roman" w:hAnsi="Verdana" w:cs="Arial"/>
          <w:bCs/>
          <w:lang w:val="es-MX" w:eastAsia="x-none"/>
        </w:rPr>
        <w:t>ii</w:t>
      </w:r>
      <w:proofErr w:type="spellEnd"/>
      <w:r w:rsidRPr="00B2403B">
        <w:rPr>
          <w:rFonts w:ascii="Verdana" w:eastAsia="Times New Roman" w:hAnsi="Verdana" w:cs="Arial"/>
          <w:bCs/>
          <w:lang w:val="es-MX" w:eastAsia="x-none"/>
        </w:rPr>
        <w:t xml:space="preserve">) los contratos de crédito público; </w:t>
      </w:r>
      <w:proofErr w:type="spellStart"/>
      <w:r w:rsidRPr="00B2403B">
        <w:rPr>
          <w:rFonts w:ascii="Verdana" w:eastAsia="Times New Roman" w:hAnsi="Verdana" w:cs="Arial"/>
          <w:bCs/>
          <w:lang w:val="es-MX" w:eastAsia="x-none"/>
        </w:rPr>
        <w:t>iii</w:t>
      </w:r>
      <w:proofErr w:type="spellEnd"/>
      <w:r w:rsidRPr="00B2403B">
        <w:rPr>
          <w:rFonts w:ascii="Verdana" w:eastAsia="Times New Roman" w:hAnsi="Verdana" w:cs="Arial"/>
          <w:bCs/>
          <w:lang w:val="es-MX" w:eastAsia="x-none"/>
        </w:rPr>
        <w:t xml:space="preserve">) los requeridos para cubrir las emergencias educativas, sanitarias y desastres; </w:t>
      </w:r>
      <w:proofErr w:type="spellStart"/>
      <w:r w:rsidRPr="00B2403B">
        <w:rPr>
          <w:rFonts w:ascii="Verdana" w:eastAsia="Times New Roman" w:hAnsi="Verdana" w:cs="Arial"/>
          <w:bCs/>
          <w:lang w:val="es-MX" w:eastAsia="x-none"/>
        </w:rPr>
        <w:t>iv</w:t>
      </w:r>
      <w:proofErr w:type="spellEnd"/>
      <w:r w:rsidRPr="00B240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w:t>
      </w:r>
    </w:p>
    <w:p w14:paraId="35E2AFED" w14:textId="77777777" w:rsidR="00813702" w:rsidRDefault="00813702" w:rsidP="00813702">
      <w:pPr>
        <w:spacing w:after="120" w:line="276" w:lineRule="auto"/>
        <w:ind w:firstLine="709"/>
        <w:jc w:val="both"/>
        <w:rPr>
          <w:rFonts w:ascii="Verdana" w:eastAsia="Times New Roman" w:hAnsi="Verdana" w:cs="Times New Roman"/>
          <w:iCs/>
          <w:lang w:val="es-ES" w:eastAsia="es-ES"/>
        </w:rPr>
      </w:pPr>
      <w:r w:rsidRPr="00B2403B">
        <w:rPr>
          <w:rFonts w:ascii="Verdana" w:eastAsia="Times New Roman" w:hAnsi="Verdana" w:cs="Arial"/>
          <w:bCs/>
          <w:lang w:val="es-MX" w:eastAsia="es-CO"/>
        </w:rPr>
        <w:t xml:space="preserve">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5483EA6B" w14:textId="77777777" w:rsidR="00813702" w:rsidRPr="00FD66D5" w:rsidRDefault="00813702" w:rsidP="00813702">
      <w:pPr>
        <w:spacing w:after="120" w:line="276" w:lineRule="auto"/>
        <w:ind w:firstLine="709"/>
        <w:jc w:val="both"/>
        <w:rPr>
          <w:rFonts w:ascii="Verdana" w:eastAsia="Times New Roman" w:hAnsi="Verdana" w:cs="Times New Roman"/>
          <w:i/>
          <w:iCs/>
          <w:lang w:val="es-ES" w:eastAsia="es-ES"/>
        </w:rPr>
      </w:pPr>
      <w:r>
        <w:rPr>
          <w:rFonts w:ascii="Verdana" w:eastAsia="Times New Roman" w:hAnsi="Verdana" w:cs="Arial"/>
          <w:bCs/>
          <w:lang w:val="es-MX" w:eastAsia="es-CO"/>
        </w:rPr>
        <w:t>Por otro lado, el artículo 38 frente a la prohibición de celebrar convenios interadministrativos para la ejecución de recursos públicos no establece excepciones como el artículo 33, para que puedan adelantarse sin ninguna dificultad. Así mismo, el Consejo de Estado señaló que el concepto de convenio interadministrativo no es aplicable a los contratos interadministrativos, pues son instituciones totalmente diferentes</w:t>
      </w:r>
      <w:r>
        <w:rPr>
          <w:rStyle w:val="Refdenotaalpie"/>
          <w:rFonts w:ascii="Verdana" w:eastAsia="Times New Roman" w:hAnsi="Verdana" w:cs="Arial"/>
          <w:bCs/>
          <w:lang w:val="es-MX" w:eastAsia="es-CO"/>
        </w:rPr>
        <w:footnoteReference w:id="23"/>
      </w:r>
      <w:r>
        <w:rPr>
          <w:rFonts w:ascii="Verdana" w:eastAsia="Times New Roman" w:hAnsi="Verdana" w:cs="Arial"/>
          <w:bCs/>
          <w:lang w:val="es-MX" w:eastAsia="es-CO"/>
        </w:rPr>
        <w:t xml:space="preserve">. </w:t>
      </w:r>
    </w:p>
    <w:p w14:paraId="63C4E41C" w14:textId="77777777" w:rsidR="00813702" w:rsidRDefault="00813702" w:rsidP="00813702">
      <w:pPr>
        <w:spacing w:after="0" w:line="276" w:lineRule="auto"/>
        <w:ind w:firstLine="709"/>
        <w:jc w:val="both"/>
        <w:rPr>
          <w:rFonts w:ascii="Verdana" w:eastAsia="Calibri" w:hAnsi="Verdana" w:cs="Times New Roman"/>
          <w:iCs/>
        </w:rPr>
      </w:pPr>
      <w:r>
        <w:rPr>
          <w:rFonts w:ascii="Verdana" w:hAnsi="Verdana"/>
        </w:rPr>
        <w:t>Teniendo en cuenta lo expuesto, la Superintendencia de Servicios Públicos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Este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eastAsia="Calibri" w:hAnsi="Verdana" w:cs="Times New Roman"/>
          <w:iCs/>
        </w:rPr>
        <w:t xml:space="preserve"> En tal sentido, la Superintendencia en varios de sus conceptos expresa: </w:t>
      </w:r>
    </w:p>
    <w:p w14:paraId="136FECD4" w14:textId="77777777" w:rsidR="00813702" w:rsidRDefault="00813702" w:rsidP="00813702">
      <w:pPr>
        <w:spacing w:after="0" w:line="240" w:lineRule="auto"/>
        <w:ind w:left="709" w:right="709"/>
        <w:jc w:val="both"/>
        <w:rPr>
          <w:rFonts w:ascii="Verdana" w:hAnsi="Verdana"/>
          <w:sz w:val="20"/>
          <w:szCs w:val="20"/>
        </w:rPr>
      </w:pPr>
    </w:p>
    <w:p w14:paraId="47DD2EA6" w14:textId="77777777" w:rsidR="00813702" w:rsidRPr="00B30F07" w:rsidRDefault="00813702" w:rsidP="00813702">
      <w:pPr>
        <w:spacing w:after="0" w:line="240" w:lineRule="auto"/>
        <w:ind w:left="709" w:right="709"/>
        <w:jc w:val="both"/>
        <w:rPr>
          <w:rFonts w:ascii="Verdana" w:hAnsi="Verdana"/>
          <w:sz w:val="20"/>
          <w:szCs w:val="20"/>
        </w:rPr>
      </w:pPr>
      <w:r w:rsidRPr="00B30F07">
        <w:rPr>
          <w:rFonts w:ascii="Verdana" w:hAnsi="Verdana"/>
          <w:sz w:val="20"/>
          <w:szCs w:val="20"/>
        </w:rPr>
        <w:t xml:space="preserve">Esta Oficina considera que aquellos acuerdos, convenios e instrumentos necesarios para garantizar la prestación de los servicios públicos, así como los contratos que se suscriben entre la empresa y el usuario con el fin de asegurar dicha prestación, deben ser interpretados a la luz de principios y fines que son superiores a los que persigue la propia Ley 996 de 2005, tales como la esencialidad de los servicios públicos domiciliarios, que precisamente busca evitar que la interrupción de esos servicios afecte o vulnere derechos fundamentales de las personas y que se cumplan los cometidos constitucionales y legales'. </w:t>
      </w:r>
    </w:p>
    <w:p w14:paraId="0B536189" w14:textId="77777777" w:rsidR="00813702" w:rsidRPr="00B30F07" w:rsidRDefault="00813702" w:rsidP="00813702">
      <w:pPr>
        <w:spacing w:after="0" w:line="240" w:lineRule="auto"/>
        <w:ind w:left="709" w:right="709"/>
        <w:jc w:val="both"/>
        <w:rPr>
          <w:rFonts w:ascii="Verdana" w:hAnsi="Verdana"/>
          <w:sz w:val="20"/>
          <w:szCs w:val="20"/>
        </w:rPr>
      </w:pPr>
    </w:p>
    <w:p w14:paraId="18D18656" w14:textId="77777777" w:rsidR="00813702" w:rsidRPr="00B30F07" w:rsidRDefault="00813702" w:rsidP="00813702">
      <w:pPr>
        <w:spacing w:after="0" w:line="240" w:lineRule="auto"/>
        <w:ind w:left="709" w:right="709"/>
        <w:jc w:val="both"/>
        <w:rPr>
          <w:rFonts w:ascii="Verdana" w:hAnsi="Verdana"/>
          <w:sz w:val="20"/>
          <w:szCs w:val="20"/>
        </w:rPr>
      </w:pPr>
      <w:r w:rsidRPr="00B30F07">
        <w:rPr>
          <w:rFonts w:ascii="Verdana" w:hAnsi="Verdana"/>
          <w:sz w:val="20"/>
          <w:szCs w:val="20"/>
        </w:rPr>
        <w:t xml:space="preserve">(…) Conforme con lo señalado, la celebración de los contratos o convenios de transferencia entre los entes territoriales y los prestadores de servicios públicos constituye una obligación legal de la cual no pueden apartarse, acuerdos cuya naturaleza no se encuentra tipificada ni en el derecho público ni en el derecho privado, por lo que constituyen una modalidad especial de contratación. </w:t>
      </w:r>
    </w:p>
    <w:p w14:paraId="391B423F" w14:textId="77777777" w:rsidR="00813702" w:rsidRDefault="00813702" w:rsidP="00813702">
      <w:pPr>
        <w:spacing w:after="0" w:line="240" w:lineRule="auto"/>
        <w:ind w:left="709" w:right="709"/>
        <w:jc w:val="both"/>
        <w:rPr>
          <w:rFonts w:ascii="Verdana" w:hAnsi="Verdana"/>
          <w:sz w:val="20"/>
          <w:szCs w:val="20"/>
        </w:rPr>
      </w:pPr>
      <w:r w:rsidRPr="00B30F07">
        <w:rPr>
          <w:rFonts w:ascii="Verdana" w:hAnsi="Verdana"/>
          <w:sz w:val="20"/>
          <w:szCs w:val="20"/>
        </w:rPr>
        <w:t>En este sentido, y teniendo en cuenta que la exigencia de la celebración de estos contratos, convenios o acuerdos de transferencia, fue consagrada por el legislador con el propósito de realizar la transferencia de los recursos presupuestales aludidos, para subsidiar a los usuarios de menores recursos, es dable concluir, que ni los contratos de transferencia de recursos para subsidios, ni los contratos de servicios públicos domiciliarios, pueden dejar de ser celebrados, teniendo en cuenta que la esencialidad de dichos servicios tiene su sustento en normas de orden constitucional, prevalentes sobre normas de inferior jerarquía</w:t>
      </w:r>
      <w:r>
        <w:rPr>
          <w:rStyle w:val="Refdenotaalpie"/>
          <w:rFonts w:ascii="Verdana" w:hAnsi="Verdana"/>
          <w:sz w:val="20"/>
          <w:szCs w:val="20"/>
        </w:rPr>
        <w:footnoteReference w:id="24"/>
      </w:r>
      <w:r w:rsidRPr="00B30F07">
        <w:rPr>
          <w:rFonts w:ascii="Verdana" w:hAnsi="Verdana"/>
          <w:sz w:val="20"/>
          <w:szCs w:val="20"/>
        </w:rPr>
        <w:t>.</w:t>
      </w:r>
    </w:p>
    <w:p w14:paraId="65C93CC8" w14:textId="77777777" w:rsidR="00813702" w:rsidRPr="00B30F07" w:rsidRDefault="00813702" w:rsidP="00813702">
      <w:pPr>
        <w:spacing w:after="0" w:line="240" w:lineRule="auto"/>
        <w:ind w:left="709" w:right="709"/>
        <w:jc w:val="both"/>
        <w:rPr>
          <w:rFonts w:ascii="Verdana" w:hAnsi="Verdana"/>
          <w:sz w:val="20"/>
          <w:szCs w:val="20"/>
        </w:rPr>
      </w:pPr>
    </w:p>
    <w:p w14:paraId="742DB2F3" w14:textId="77777777" w:rsidR="00813702" w:rsidRPr="00E662F1" w:rsidRDefault="00813702" w:rsidP="00813702">
      <w:pPr>
        <w:spacing w:after="120" w:line="276" w:lineRule="auto"/>
        <w:ind w:firstLine="709"/>
        <w:jc w:val="both"/>
        <w:rPr>
          <w:rFonts w:ascii="Verdana" w:eastAsia="Calibri" w:hAnsi="Verdana" w:cs="Times New Roman"/>
        </w:rPr>
      </w:pPr>
      <w:r>
        <w:rPr>
          <w:rFonts w:ascii="Verdana" w:eastAsia="Calibri" w:hAnsi="Verdana" w:cs="Times New Roman"/>
          <w:iCs/>
        </w:rPr>
        <w:t>Bajo este escenario, la Superintendencia de Servicios Públicos Domiciliarios expresa que l</w:t>
      </w:r>
      <w:r w:rsidRPr="00916FC1">
        <w:rPr>
          <w:rFonts w:ascii="Verdana" w:eastAsia="Calibri" w:hAnsi="Verdana" w:cs="Times New Roman"/>
          <w:iCs/>
        </w:rPr>
        <w:t>a regulación no contempla causales que permitan a los entes territoriales abstenerse de transferir los subsidios. Por el contrario, su incumplimiento puede constituir una violación al régimen de servicios públicos. Incluso si no se ha suscrito el contrato o convenio correspondiente, esta omisión no exime a las entidades territoriales de cumplir con su deber de transferir los recursos presupuestales necesarios para garantizar el equilibrio financiero del sistema y la adecuada prestación del servicio.</w:t>
      </w:r>
      <w:r>
        <w:rPr>
          <w:rFonts w:ascii="Verdana" w:eastAsia="Calibri" w:hAnsi="Verdana" w:cs="Times New Roman"/>
          <w:iCs/>
        </w:rPr>
        <w:t xml:space="preserve"> Dicha 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 </w:t>
      </w:r>
    </w:p>
    <w:p w14:paraId="1836FC81" w14:textId="77777777" w:rsidR="00813702" w:rsidRPr="00286BBA" w:rsidRDefault="00813702" w:rsidP="00813702">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Ante estas posturas, es necesario señalar que el argumento de la Superintendencia de Servicios Públicos Domiciliarios se funda en el deber de transferir subsidios, que están contemplados en el artículo 368 constitucional, en la Ley 142 de 1994 y demás normas legales y reglamentarias. Bajo ese escenario, </w:t>
      </w:r>
      <w:r>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Pr>
          <w:rStyle w:val="Refdenotaalpie"/>
          <w:rFonts w:ascii="Verdana" w:eastAsia="Arial" w:hAnsi="Verdana" w:cs="Arial"/>
          <w:lang w:val="es-ES" w:eastAsia="es-ES" w:bidi="es-ES"/>
        </w:rPr>
        <w:footnoteReference w:id="25"/>
      </w:r>
      <w:r>
        <w:rPr>
          <w:rFonts w:ascii="Verdana" w:eastAsia="Arial" w:hAnsi="Verdana" w:cs="Arial"/>
          <w:lang w:val="es-ES" w:eastAsia="es-ES" w:bidi="es-ES"/>
        </w:rPr>
        <w:t xml:space="preserve">, el cual en un tema concerniente a las restricciones de la Ley de Garantías Electorales expresa que si bien </w:t>
      </w:r>
      <w:r w:rsidRPr="005B7756">
        <w:rPr>
          <w:rFonts w:ascii="Verdana" w:eastAsia="Arial" w:hAnsi="Verdana" w:cs="Arial"/>
          <w:lang w:val="es-ES" w:eastAsia="es-ES" w:bidi="es-ES"/>
        </w:rPr>
        <w:t>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Pr>
          <w:rFonts w:ascii="Verdana" w:eastAsia="Times New Roman" w:hAnsi="Verdana" w:cs="Arial"/>
          <w:bCs/>
          <w:lang w:val="es-ES" w:eastAsia="es-CO"/>
        </w:rPr>
        <w:t xml:space="preserve"> En este contexto, </w:t>
      </w:r>
      <w:r w:rsidRPr="00C15179">
        <w:rPr>
          <w:rFonts w:ascii="Verdana" w:eastAsia="Times New Roman" w:hAnsi="Verdana" w:cs="Arial"/>
          <w:bCs/>
          <w:lang w:val="es-ES" w:eastAsia="es-CO"/>
        </w:rPr>
        <w:t>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1081ADD1" w14:textId="77777777" w:rsidR="00813702" w:rsidRDefault="00813702" w:rsidP="00813702">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w:t>
      </w:r>
      <w:proofErr w:type="gramStart"/>
      <w:r w:rsidRPr="002D1225">
        <w:rPr>
          <w:rFonts w:ascii="Verdana" w:eastAsia="Calibri" w:hAnsi="Verdana" w:cs="Arial"/>
          <w:sz w:val="20"/>
          <w:szCs w:val="20"/>
        </w:rPr>
        <w:t>que</w:t>
      </w:r>
      <w:proofErr w:type="gramEnd"/>
      <w:r w:rsidRPr="002D1225">
        <w:rPr>
          <w:rFonts w:ascii="Verdana" w:eastAsia="Calibri" w:hAnsi="Verdana" w:cs="Arial"/>
          <w:sz w:val="20"/>
          <w:szCs w:val="20"/>
        </w:rPr>
        <w:t xml:space="preserve"> frente a los servicios públicos domiciliarios, los usuarios tienen un derecho subjetivo a su prestación, que en veces está en conexión con los derechos fundamentales, como en el caso de los servicios del acueducto, alcantarillado, saneamiento básico, etc.</w:t>
      </w:r>
      <w:r>
        <w:rPr>
          <w:rFonts w:ascii="Verdana" w:eastAsia="Calibri" w:hAnsi="Verdana" w:cs="Arial"/>
          <w:lang w:val="es-MX"/>
        </w:rPr>
        <w:t>”</w:t>
      </w:r>
      <w:r w:rsidRPr="0057193B">
        <w:rPr>
          <w:rFonts w:ascii="Verdana" w:eastAsia="Calibri" w:hAnsi="Verdana" w:cs="Arial"/>
          <w:vertAlign w:val="superscript"/>
          <w:lang w:val="es-MX"/>
        </w:rPr>
        <w:footnoteReference w:id="26"/>
      </w:r>
    </w:p>
    <w:p w14:paraId="59F5F34E" w14:textId="77777777" w:rsidR="00813702" w:rsidRDefault="00813702" w:rsidP="00813702">
      <w:pPr>
        <w:spacing w:after="0" w:line="276" w:lineRule="auto"/>
        <w:ind w:left="709" w:right="709"/>
        <w:jc w:val="both"/>
        <w:rPr>
          <w:rFonts w:ascii="Verdana" w:eastAsia="Calibri" w:hAnsi="Verdana" w:cs="Arial"/>
          <w:sz w:val="20"/>
          <w:szCs w:val="20"/>
        </w:rPr>
      </w:pPr>
    </w:p>
    <w:p w14:paraId="4B83E302" w14:textId="77777777" w:rsidR="00813702" w:rsidRPr="00C15525" w:rsidRDefault="00813702" w:rsidP="00813702">
      <w:pPr>
        <w:spacing w:after="120" w:line="276" w:lineRule="auto"/>
        <w:ind w:firstLine="709"/>
        <w:jc w:val="both"/>
        <w:rPr>
          <w:rFonts w:ascii="Verdana" w:eastAsia="Arial" w:hAnsi="Verdana" w:cs="Arial"/>
          <w:lang w:val="es-ES" w:eastAsia="es-ES" w:bidi="es-ES"/>
        </w:rPr>
      </w:pPr>
      <w:r>
        <w:rPr>
          <w:rFonts w:ascii="Verdana" w:hAnsi="Verdana" w:cs="Arial"/>
          <w:lang w:val="es-ES_tradnl"/>
        </w:rPr>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el pronunciamiento de la Sala de Consulta y Servicio Civil del Consejo de Estado, el cual precisó, respecto del artículo 5 de la Ley 109 de 1994, que cuando excepcionalmente el contrato o convenio interadministrativo es ordenado por una ley, su celebración no resultaría violatoria de la restricción a la contratación directa contenida en la Ley 996 de 2005:</w:t>
      </w:r>
    </w:p>
    <w:p w14:paraId="1DA89E3E" w14:textId="77777777" w:rsidR="00813702" w:rsidRPr="00C15525" w:rsidRDefault="00813702" w:rsidP="00813702">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68CB742E" w14:textId="77777777" w:rsidR="00813702" w:rsidRPr="00C15525" w:rsidRDefault="00813702" w:rsidP="00813702">
      <w:pPr>
        <w:widowControl w:val="0"/>
        <w:autoSpaceDE w:val="0"/>
        <w:autoSpaceDN w:val="0"/>
        <w:spacing w:after="0" w:line="240" w:lineRule="auto"/>
        <w:ind w:left="709" w:right="709"/>
        <w:jc w:val="both"/>
        <w:rPr>
          <w:rFonts w:ascii="Verdana" w:hAnsi="Verdana" w:cs="Arial"/>
          <w:sz w:val="20"/>
          <w:szCs w:val="20"/>
        </w:rPr>
      </w:pPr>
    </w:p>
    <w:p w14:paraId="603509BC" w14:textId="77777777" w:rsidR="00813702" w:rsidRPr="00C15525" w:rsidRDefault="00813702" w:rsidP="00813702">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 claro que la ley ordena que la regulación de dicha relación interadministrativa se efectúe por el mecanismo de una convención, pero también es claro que </w:t>
      </w:r>
      <w:proofErr w:type="gramStart"/>
      <w:r w:rsidRPr="00C15525">
        <w:rPr>
          <w:rFonts w:ascii="Verdana" w:hAnsi="Verdana" w:cs="Arial"/>
          <w:sz w:val="20"/>
          <w:szCs w:val="20"/>
        </w:rPr>
        <w:t>éste</w:t>
      </w:r>
      <w:proofErr w:type="gramEnd"/>
      <w:r w:rsidRPr="00C15525">
        <w:rPr>
          <w:rFonts w:ascii="Verdana" w:hAnsi="Verdana" w:cs="Arial"/>
          <w:sz w:val="20"/>
          <w:szCs w:val="20"/>
        </w:rPr>
        <w:t xml:space="preserv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6DC36941" w14:textId="77777777" w:rsidR="00813702" w:rsidRPr="00C15525" w:rsidRDefault="00813702" w:rsidP="00813702">
      <w:pPr>
        <w:widowControl w:val="0"/>
        <w:autoSpaceDE w:val="0"/>
        <w:autoSpaceDN w:val="0"/>
        <w:spacing w:after="0" w:line="240" w:lineRule="auto"/>
        <w:ind w:left="709" w:right="709"/>
        <w:jc w:val="both"/>
        <w:rPr>
          <w:rFonts w:ascii="Verdana" w:hAnsi="Verdana" w:cs="Arial"/>
          <w:sz w:val="20"/>
          <w:szCs w:val="20"/>
        </w:rPr>
      </w:pPr>
    </w:p>
    <w:p w14:paraId="7CA9DB65" w14:textId="77777777" w:rsidR="00813702" w:rsidRPr="00C15525" w:rsidRDefault="00813702" w:rsidP="00813702">
      <w:pPr>
        <w:widowControl w:val="0"/>
        <w:autoSpaceDE w:val="0"/>
        <w:autoSpaceDN w:val="0"/>
        <w:spacing w:after="0" w:line="240" w:lineRule="auto"/>
        <w:ind w:left="709" w:right="709"/>
        <w:jc w:val="both"/>
        <w:rPr>
          <w:rFonts w:ascii="Verdana" w:hAnsi="Verdana" w:cs="Arial"/>
        </w:rPr>
      </w:pPr>
      <w:bookmarkStart w:id="9" w:name="_Hlk75761737"/>
      <w:r w:rsidRPr="00C15525">
        <w:rPr>
          <w:rFonts w:ascii="Verdana" w:hAnsi="Verdana" w:cs="Arial"/>
          <w:sz w:val="20"/>
          <w:szCs w:val="20"/>
        </w:rPr>
        <w:t>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el legislador</w:t>
      </w:r>
      <w:bookmarkEnd w:id="9"/>
      <w:r w:rsidRPr="00C15525">
        <w:rPr>
          <w:rFonts w:ascii="Verdana" w:hAnsi="Verdana" w:cs="Arial"/>
          <w:sz w:val="20"/>
          <w:szCs w:val="20"/>
          <w:vertAlign w:val="superscript"/>
        </w:rPr>
        <w:footnoteReference w:id="27"/>
      </w:r>
      <w:r w:rsidRPr="00C15525">
        <w:rPr>
          <w:rFonts w:ascii="Verdana" w:hAnsi="Verdana" w:cs="Arial"/>
          <w:sz w:val="20"/>
          <w:szCs w:val="20"/>
        </w:rPr>
        <w:t xml:space="preserve">. </w:t>
      </w:r>
    </w:p>
    <w:p w14:paraId="1B52AA67" w14:textId="77777777" w:rsidR="00813702" w:rsidRPr="00C15525" w:rsidRDefault="00813702" w:rsidP="00813702">
      <w:pPr>
        <w:widowControl w:val="0"/>
        <w:autoSpaceDE w:val="0"/>
        <w:autoSpaceDN w:val="0"/>
        <w:spacing w:after="0" w:line="276" w:lineRule="auto"/>
        <w:jc w:val="both"/>
        <w:rPr>
          <w:rFonts w:ascii="Verdana" w:eastAsia="Arial" w:hAnsi="Verdana" w:cs="Arial"/>
          <w:lang w:val="es-ES" w:eastAsia="es-ES" w:bidi="es-ES"/>
        </w:rPr>
      </w:pPr>
    </w:p>
    <w:p w14:paraId="4D5FFCDF" w14:textId="77777777" w:rsidR="00813702" w:rsidRPr="000E03E2" w:rsidRDefault="00813702" w:rsidP="00813702">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directa contenida en el artículo 33 de la Ley 996 de 2005. </w:t>
      </w:r>
    </w:p>
    <w:p w14:paraId="7674CD7A" w14:textId="77777777" w:rsidR="00813702" w:rsidRPr="006177F8" w:rsidRDefault="00813702" w:rsidP="00813702">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79FBB2AF" w14:textId="77777777" w:rsidR="00813702" w:rsidRPr="006177F8" w:rsidRDefault="00813702" w:rsidP="00813702">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10"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0"/>
      <w:r w:rsidRPr="006177F8">
        <w:rPr>
          <w:rFonts w:ascii="Verdana" w:eastAsia="Arial" w:hAnsi="Verdana" w:cs="Arial"/>
          <w:vertAlign w:val="superscript"/>
          <w:lang w:val="es-ES" w:eastAsia="es-ES" w:bidi="es-ES"/>
        </w:rPr>
        <w:footnoteReference w:id="28"/>
      </w:r>
      <w:r w:rsidRPr="006177F8">
        <w:rPr>
          <w:rFonts w:ascii="Verdana" w:eastAsia="Arial" w:hAnsi="Verdana" w:cs="Arial"/>
          <w:lang w:val="es-ES" w:eastAsia="es-ES" w:bidi="es-ES"/>
        </w:rPr>
        <w:t>. Al respecto, dicho Concepto expresa:</w:t>
      </w:r>
    </w:p>
    <w:p w14:paraId="4802DD08" w14:textId="77777777" w:rsidR="00813702" w:rsidRPr="006177F8" w:rsidRDefault="00813702" w:rsidP="00813702">
      <w:pPr>
        <w:spacing w:after="0" w:line="276" w:lineRule="auto"/>
        <w:ind w:firstLine="709"/>
        <w:jc w:val="both"/>
        <w:rPr>
          <w:rFonts w:ascii="Verdana" w:eastAsia="Arial" w:hAnsi="Verdana" w:cs="Arial"/>
          <w:lang w:val="es-ES" w:eastAsia="es-ES" w:bidi="es-ES"/>
        </w:rPr>
      </w:pPr>
    </w:p>
    <w:p w14:paraId="30E666AE" w14:textId="77777777" w:rsidR="00813702" w:rsidRPr="006177F8" w:rsidRDefault="00813702" w:rsidP="00813702">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11FDF4D6" w14:textId="77777777" w:rsidR="00813702" w:rsidRPr="006177F8" w:rsidRDefault="00813702" w:rsidP="00813702">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56A65E21" w14:textId="77777777" w:rsidR="00813702" w:rsidRPr="006177F8" w:rsidRDefault="00813702" w:rsidP="00813702">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2"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123E4A07" w14:textId="0738F701" w:rsidR="00813702" w:rsidRDefault="00813702" w:rsidP="00CD385A">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3"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4"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5"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6D2BDF54" w14:textId="77777777" w:rsidR="00D0672D" w:rsidRPr="00CD385A" w:rsidRDefault="00D0672D" w:rsidP="00CD385A">
      <w:pPr>
        <w:spacing w:after="0" w:line="240" w:lineRule="auto"/>
        <w:ind w:left="709" w:right="709"/>
        <w:jc w:val="both"/>
        <w:rPr>
          <w:rFonts w:ascii="Verdana" w:eastAsia="Arial" w:hAnsi="Verdana" w:cs="Arial"/>
          <w:sz w:val="20"/>
          <w:lang w:eastAsia="es-ES" w:bidi="es-ES"/>
        </w:rPr>
      </w:pPr>
    </w:p>
    <w:p w14:paraId="7AAAABAE" w14:textId="77777777" w:rsidR="00813702" w:rsidRDefault="00813702" w:rsidP="00813702">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00893ACF" w14:textId="77777777" w:rsidR="00813702" w:rsidRPr="006D07A8" w:rsidRDefault="00813702" w:rsidP="00813702">
      <w:pPr>
        <w:spacing w:after="120" w:line="276" w:lineRule="auto"/>
        <w:ind w:firstLine="708"/>
        <w:jc w:val="both"/>
        <w:rPr>
          <w:rFonts w:ascii="Verdana" w:hAnsi="Verdana" w:cs="Arial"/>
          <w:lang w:val="es-ES"/>
        </w:rPr>
      </w:pPr>
      <w:r>
        <w:rPr>
          <w:rFonts w:ascii="Verdana" w:hAnsi="Verdana" w:cs="Arial"/>
          <w:lang w:val="es-ES"/>
        </w:rPr>
        <w:t>A partir de lo expuesto en las consideraciones previas, la Agencia considera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previamente. De otra parte, posturas como la expuesta por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2BA1CFC6" w14:textId="77777777" w:rsidR="00813702" w:rsidRDefault="00813702" w:rsidP="00813702">
      <w:pPr>
        <w:spacing w:after="120" w:line="276" w:lineRule="auto"/>
        <w:ind w:firstLine="709"/>
        <w:jc w:val="both"/>
        <w:rPr>
          <w:rFonts w:ascii="Verdana" w:eastAsia="Times New Roman" w:hAnsi="Verdana" w:cs="Arial"/>
          <w:bCs/>
          <w:lang w:val="es-ES" w:eastAsia="es-CO"/>
        </w:rPr>
      </w:pPr>
      <w:r>
        <w:rPr>
          <w:rFonts w:ascii="Verdana" w:eastAsiaTheme="minorEastAsia" w:hAnsi="Verdana" w:cs="Arial"/>
          <w:lang w:eastAsia="es-CO"/>
        </w:rPr>
        <w:t xml:space="preserve">Por último, es importante exponer la postura de la Agencia en el Concepto C-998 del 28 de agosto de 2025, en la que expresó que </w:t>
      </w:r>
      <w:r>
        <w:rPr>
          <w:rFonts w:ascii="Verdana" w:eastAsia="Times New Roman" w:hAnsi="Verdana" w:cs="Arial"/>
          <w:bCs/>
          <w:lang w:val="es-ES" w:eastAsia="es-CO"/>
        </w:rPr>
        <w:t xml:space="preserve">es procedente que se celebren contratos y/ o convenios interadministrativos para la transferencia de recursos para el subsidio de servicios públicos, previos al límite temporal fijado por la Ley de Garantías Electorales y ejecutarse en meses posteriores. Dicha postura de la Agencia </w:t>
      </w:r>
      <w:r w:rsidRPr="00FC70BE">
        <w:rPr>
          <w:rFonts w:ascii="Verdana" w:eastAsia="Times New Roman" w:hAnsi="Verdana" w:cs="Arial"/>
          <w:bCs/>
          <w:lang w:val="es-ES" w:eastAsia="es-CO"/>
        </w:rPr>
        <w:t xml:space="preserve">reconoce la validez de comprometer recursos con anterioridad al período de restricción, </w:t>
      </w:r>
      <w:r>
        <w:rPr>
          <w:rFonts w:ascii="Verdana" w:eastAsia="Times New Roman" w:hAnsi="Verdana" w:cs="Arial"/>
          <w:bCs/>
          <w:lang w:val="es-ES" w:eastAsia="es-CO"/>
        </w:rPr>
        <w:t xml:space="preserve">partiendo de la posibilidad de celebrar los convenios interadministrativos antes de la restricción del artículo 38 y su inicio de ejecución de forma posterior, lo que implica que la transferencia de recursos para el otorgamiento de subsidios podría ser posterior al período preelectoral. </w:t>
      </w:r>
      <w:r w:rsidRPr="00FC70BE">
        <w:rPr>
          <w:rFonts w:ascii="Verdana" w:eastAsia="Times New Roman" w:hAnsi="Verdana" w:cs="Arial"/>
          <w:bCs/>
          <w:lang w:val="es-ES" w:eastAsia="es-CO"/>
        </w:rPr>
        <w:t>Asimismo, la Agencia enfatizó que en estos casos debe observarse rigurosamente el marco normativo aplicable, incluyendo las reglas de planeación, ejecución presupuestal, directrices y lineamientos vigentes. De esta manera, la posibilidad de ejecutar convenios interadministrativos con posterioridad al inicio de las restricciones del artículo 38 se encuentra condicionada al cumplimiento estricto de los principios de legalidad y transparencia en la gestión de los recursos públicos.</w:t>
      </w:r>
      <w:r>
        <w:rPr>
          <w:rFonts w:ascii="Verdana" w:eastAsia="Times New Roman" w:hAnsi="Verdana" w:cs="Arial"/>
          <w:bCs/>
          <w:lang w:val="es-ES" w:eastAsia="es-CO"/>
        </w:rPr>
        <w:t xml:space="preserve"> </w:t>
      </w:r>
    </w:p>
    <w:p w14:paraId="79AC97B9" w14:textId="77777777" w:rsidR="00813702" w:rsidRPr="00C3378E" w:rsidRDefault="00813702" w:rsidP="00813702">
      <w:pPr>
        <w:spacing w:after="120" w:line="276" w:lineRule="auto"/>
        <w:jc w:val="both"/>
        <w:rPr>
          <w:rFonts w:ascii="Verdana" w:eastAsia="Times New Roman" w:hAnsi="Verdana" w:cs="Arial"/>
          <w:bCs/>
          <w:lang w:val="es-MX" w:eastAsia="es-CO"/>
        </w:rPr>
      </w:pPr>
      <w:r>
        <w:rPr>
          <w:rFonts w:ascii="Verdana" w:eastAsia="Times New Roman" w:hAnsi="Verdana" w:cs="Arial"/>
          <w:bCs/>
          <w:lang w:val="es-ES" w:eastAsia="es-CO"/>
        </w:rPr>
        <w:tab/>
        <w:t xml:space="preserve">Se reitera </w:t>
      </w:r>
      <w:r w:rsidRPr="00C3378E">
        <w:rPr>
          <w:rFonts w:ascii="Verdana" w:eastAsia="Times New Roman" w:hAnsi="Verdana" w:cs="Arial"/>
          <w:bCs/>
          <w:lang w:val="es-MX" w:eastAsia="es-CO"/>
        </w:rPr>
        <w:t xml:space="preserve">que las prórrogas, modificaciones o adiciones de los contratos suscritos antes de la entrada en vigor de las prohibiciones anotadas, así como la cesión de </w:t>
      </w:r>
      <w:proofErr w:type="gramStart"/>
      <w:r w:rsidRPr="00C3378E">
        <w:rPr>
          <w:rFonts w:ascii="Verdana" w:eastAsia="Times New Roman" w:hAnsi="Verdana" w:cs="Arial"/>
          <w:bCs/>
          <w:lang w:val="es-MX" w:eastAsia="es-CO"/>
        </w:rPr>
        <w:t>los mismos</w:t>
      </w:r>
      <w:proofErr w:type="gramEnd"/>
      <w:r w:rsidRPr="00C3378E">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C3378E">
        <w:rPr>
          <w:rFonts w:ascii="Verdana" w:eastAsia="Times New Roman" w:hAnsi="Verdana" w:cs="Arial"/>
          <w:bCs/>
          <w:vertAlign w:val="superscript"/>
          <w:lang w:val="es-MX" w:eastAsia="es-CO"/>
        </w:rPr>
        <w:footnoteReference w:id="29"/>
      </w:r>
      <w:r w:rsidRPr="00C3378E">
        <w:rPr>
          <w:rFonts w:ascii="Verdana" w:eastAsia="Times New Roman" w:hAnsi="Verdana" w:cs="Arial"/>
          <w:bCs/>
          <w:lang w:val="es-MX" w:eastAsia="es-CO"/>
        </w:rPr>
        <w:t>. Además, también es posible que contratos celebrados previamente se continúen ejecutando con normalidad.</w:t>
      </w:r>
    </w:p>
    <w:p w14:paraId="6D4593C5" w14:textId="77777777" w:rsidR="00813702" w:rsidRDefault="00813702" w:rsidP="00813702">
      <w:pPr>
        <w:spacing w:after="120" w:line="276" w:lineRule="auto"/>
        <w:ind w:firstLine="709"/>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w:t>
      </w:r>
      <w:proofErr w:type="gramStart"/>
      <w:r w:rsidRPr="006B17A7">
        <w:rPr>
          <w:rFonts w:ascii="Verdana" w:eastAsia="Calibri" w:hAnsi="Verdana" w:cs="Arial"/>
        </w:rPr>
        <w:t>estatales,</w:t>
      </w:r>
      <w:proofErr w:type="gramEnd"/>
      <w:r w:rsidRPr="006B17A7">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2142E308" w14:textId="77777777" w:rsidR="00813702" w:rsidRPr="000F5703" w:rsidRDefault="00813702" w:rsidP="00813702">
      <w:pPr>
        <w:spacing w:after="120" w:line="276" w:lineRule="auto"/>
        <w:ind w:firstLine="709"/>
        <w:jc w:val="both"/>
        <w:rPr>
          <w:rFonts w:ascii="Verdana" w:eastAsia="Calibri" w:hAnsi="Verdana" w:cs="Arial"/>
        </w:rPr>
      </w:pPr>
      <w:r w:rsidRPr="006B17A7">
        <w:rPr>
          <w:rFonts w:ascii="Verdana" w:eastAsia="Calibri" w:hAnsi="Verdana" w:cs="Arial"/>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bookmarkStart w:id="12" w:name="_Hlk204854194"/>
    </w:p>
    <w:p w14:paraId="1E0C6421" w14:textId="77777777" w:rsidR="00813702" w:rsidRDefault="00813702" w:rsidP="00813702">
      <w:pPr>
        <w:spacing w:after="0" w:line="276" w:lineRule="auto"/>
        <w:jc w:val="both"/>
        <w:rPr>
          <w:rFonts w:ascii="Verdana" w:eastAsia="Century Gothic" w:hAnsi="Verdana" w:cs="Century Gothic"/>
          <w:b/>
          <w:bCs/>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5644FE">
        <w:rPr>
          <w:rFonts w:ascii="Verdana" w:eastAsia="Century Gothic" w:hAnsi="Verdana" w:cs="Century Gothic"/>
          <w:b/>
          <w:bCs/>
        </w:rPr>
        <w:t>:</w:t>
      </w:r>
      <w:bookmarkEnd w:id="12"/>
    </w:p>
    <w:p w14:paraId="5C69FEA2" w14:textId="77777777" w:rsidR="00813702" w:rsidRPr="00E5656D" w:rsidRDefault="00813702" w:rsidP="00813702">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3702" w:rsidRPr="002D2C18" w14:paraId="0F94FF35" w14:textId="77777777" w:rsidTr="00F0268C">
        <w:trPr>
          <w:trHeight w:val="56"/>
          <w:jc w:val="center"/>
        </w:trPr>
        <w:tc>
          <w:tcPr>
            <w:tcW w:w="8647" w:type="dxa"/>
          </w:tcPr>
          <w:p w14:paraId="695A72FA"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lang w:eastAsia="es-ES"/>
              </w:rPr>
              <w:t>Constitución Política. Artículos 150 numeral 7, 365.</w:t>
            </w:r>
          </w:p>
          <w:p w14:paraId="4DF9D0C3"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sidRPr="002A30BA">
              <w:rPr>
                <w:rFonts w:ascii="Verdana" w:hAnsi="Verdana" w:cs="Arial"/>
                <w:bCs/>
                <w:lang w:val="es-MX"/>
              </w:rPr>
              <w:t>Ley 142 de 1994</w:t>
            </w:r>
            <w:r>
              <w:rPr>
                <w:rFonts w:ascii="Verdana" w:hAnsi="Verdana" w:cs="Arial"/>
                <w:bCs/>
                <w:lang w:val="es-MX"/>
              </w:rPr>
              <w:t xml:space="preserve">. Artículos 14, 31, 32, 99. </w:t>
            </w:r>
          </w:p>
          <w:p w14:paraId="03CAB0EB"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bCs/>
                <w:lang w:val="es-MX"/>
              </w:rPr>
              <w:t>Ley 489 de 1998. Artículos 38, 68.</w:t>
            </w:r>
          </w:p>
          <w:p w14:paraId="11F1E650" w14:textId="77777777" w:rsidR="00813702" w:rsidRPr="00257BE6"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bCs/>
                <w:lang w:val="es-MX"/>
              </w:rPr>
              <w:t>Ley 80 de 1993. Artículos 39 y 41.</w:t>
            </w:r>
          </w:p>
          <w:p w14:paraId="081D54B9"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bCs/>
                <w:lang w:val="es-MX"/>
              </w:rPr>
              <w:t>Ley 996 de 2005. Artículo 33 y parágrafo del artículo 38.</w:t>
            </w:r>
          </w:p>
          <w:p w14:paraId="6847DF86" w14:textId="77777777" w:rsidR="00813702" w:rsidRPr="00257BE6"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bCs/>
                <w:lang w:val="es-MX"/>
              </w:rPr>
              <w:t xml:space="preserve">Ley 1150 de 2007. Artículo 2 numeral 4 literal c). </w:t>
            </w:r>
          </w:p>
          <w:p w14:paraId="2856F8DD"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rPr>
              <w:t>Ley 1176 de 2007. Artículo 11.</w:t>
            </w:r>
          </w:p>
          <w:p w14:paraId="2B960051" w14:textId="77777777" w:rsidR="00813702" w:rsidRPr="00257BE6"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bCs/>
                <w:lang w:val="es-MX"/>
              </w:rPr>
              <w:t xml:space="preserve">Decreto 1082 de 2015. Artículo </w:t>
            </w:r>
            <w:r w:rsidRPr="00A85F7B">
              <w:rPr>
                <w:rFonts w:ascii="Verdana" w:hAnsi="Verdana" w:cs="Arial"/>
                <w:bCs/>
                <w:lang w:val="es-MX"/>
              </w:rPr>
              <w:t>2.2.1.2.1.4.4</w:t>
            </w:r>
            <w:r>
              <w:rPr>
                <w:rFonts w:ascii="Verdana" w:hAnsi="Verdana" w:cs="Arial"/>
                <w:bCs/>
                <w:lang w:val="es-MX"/>
              </w:rPr>
              <w:t>.</w:t>
            </w:r>
          </w:p>
          <w:p w14:paraId="3496E896"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rPr>
              <w:t xml:space="preserve">Decreto 1077 de 2015. Artículo 2.3.4.1.2.11., </w:t>
            </w:r>
            <w:r w:rsidRPr="003C5FD9">
              <w:rPr>
                <w:rFonts w:ascii="Verdana" w:hAnsi="Verdana"/>
              </w:rPr>
              <w:t>2.3.5.1.2.2.14</w:t>
            </w:r>
            <w:r>
              <w:rPr>
                <w:rFonts w:ascii="Verdana" w:hAnsi="Verdana"/>
              </w:rPr>
              <w:t>.</w:t>
            </w:r>
          </w:p>
          <w:p w14:paraId="1C658F12"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Subsección C. Sentencia del 13 de abril de 2011. </w:t>
            </w:r>
            <w:proofErr w:type="spellStart"/>
            <w:r w:rsidRPr="00A85F7B">
              <w:rPr>
                <w:rFonts w:ascii="Verdana" w:hAnsi="Verdana" w:cs="Arial"/>
                <w:lang w:eastAsia="es-ES"/>
              </w:rPr>
              <w:t>Exp</w:t>
            </w:r>
            <w:proofErr w:type="spellEnd"/>
            <w:r w:rsidRPr="00A85F7B">
              <w:rPr>
                <w:rFonts w:ascii="Verdana" w:hAnsi="Verdana" w:cs="Arial"/>
                <w:lang w:eastAsia="es-ES"/>
              </w:rPr>
              <w:t xml:space="preserve">. 37423. C.P: Jaime Orlando Santofimio Gamboa. </w:t>
            </w:r>
          </w:p>
          <w:p w14:paraId="7F2E7170"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Subsección B. Sentencia del 15 de noviembre de 2011. </w:t>
            </w:r>
            <w:proofErr w:type="spellStart"/>
            <w:r w:rsidRPr="00A85F7B">
              <w:rPr>
                <w:rFonts w:ascii="Verdana" w:hAnsi="Verdana" w:cs="Arial"/>
                <w:lang w:eastAsia="es-ES"/>
              </w:rPr>
              <w:t>Exp</w:t>
            </w:r>
            <w:proofErr w:type="spellEnd"/>
            <w:r w:rsidRPr="00A85F7B">
              <w:rPr>
                <w:rFonts w:ascii="Verdana" w:hAnsi="Verdana" w:cs="Arial"/>
                <w:lang w:eastAsia="es-ES"/>
              </w:rPr>
              <w:t>. 21178. C.P: Ruth Stella Correa Palacio.</w:t>
            </w:r>
          </w:p>
          <w:p w14:paraId="33C2D5F7"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Consulta y Servicio Civil. Concepto no. 2257 del 26 de julio de 2016, C.P: Álvaro Namén Vargas. </w:t>
            </w:r>
          </w:p>
          <w:p w14:paraId="54973D5F"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Subsección A. Sentencia del 23 de junio de 2010. </w:t>
            </w:r>
            <w:proofErr w:type="spellStart"/>
            <w:r w:rsidRPr="00A85F7B">
              <w:rPr>
                <w:rFonts w:ascii="Verdana" w:hAnsi="Verdana" w:cs="Arial"/>
                <w:lang w:eastAsia="es-ES"/>
              </w:rPr>
              <w:t>Exp</w:t>
            </w:r>
            <w:proofErr w:type="spellEnd"/>
            <w:r w:rsidRPr="00A85F7B">
              <w:rPr>
                <w:rFonts w:ascii="Verdana" w:hAnsi="Verdana" w:cs="Arial"/>
                <w:lang w:eastAsia="es-ES"/>
              </w:rPr>
              <w:t xml:space="preserve"> 17860. C.P: Mauricio Fajardo Gómez. </w:t>
            </w:r>
          </w:p>
          <w:p w14:paraId="491A3AC8"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Auto del 4 de octubre de 2024. </w:t>
            </w:r>
            <w:proofErr w:type="spellStart"/>
            <w:r w:rsidRPr="00A85F7B">
              <w:rPr>
                <w:rFonts w:ascii="Verdana" w:hAnsi="Verdana" w:cs="Arial"/>
                <w:lang w:eastAsia="es-ES"/>
              </w:rPr>
              <w:t>Exp</w:t>
            </w:r>
            <w:proofErr w:type="spellEnd"/>
            <w:r w:rsidRPr="00A85F7B">
              <w:rPr>
                <w:rFonts w:ascii="Verdana" w:hAnsi="Verdana" w:cs="Arial"/>
                <w:lang w:eastAsia="es-ES"/>
              </w:rPr>
              <w:t xml:space="preserve"> 70313. C.P: Fredy Ibarra Martínez.</w:t>
            </w:r>
          </w:p>
          <w:p w14:paraId="0E4DD942"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Subsección A. Sentencia del 25 de mayo de 2025. </w:t>
            </w:r>
            <w:proofErr w:type="spellStart"/>
            <w:r w:rsidRPr="00A85F7B">
              <w:rPr>
                <w:rFonts w:ascii="Verdana" w:hAnsi="Verdana" w:cs="Arial"/>
                <w:lang w:eastAsia="es-ES"/>
              </w:rPr>
              <w:t>Exp</w:t>
            </w:r>
            <w:proofErr w:type="spellEnd"/>
            <w:r w:rsidRPr="00A85F7B">
              <w:rPr>
                <w:rFonts w:ascii="Verdana" w:hAnsi="Verdana" w:cs="Arial"/>
                <w:lang w:eastAsia="es-ES"/>
              </w:rPr>
              <w:t xml:space="preserve">. 70.504. C.P: María Adriana Marín. </w:t>
            </w:r>
          </w:p>
          <w:p w14:paraId="5B948135"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 xml:space="preserve">Consejo de Estado. Sala de lo Contencioso Administrativo. Sección Tercera, Subsección A. Sentencia del 16 de agosto de 2022. </w:t>
            </w:r>
            <w:proofErr w:type="spellStart"/>
            <w:r w:rsidRPr="00A85F7B">
              <w:rPr>
                <w:rFonts w:ascii="Verdana" w:hAnsi="Verdana" w:cs="Arial"/>
                <w:lang w:eastAsia="es-ES"/>
              </w:rPr>
              <w:t>Exp</w:t>
            </w:r>
            <w:proofErr w:type="spellEnd"/>
            <w:r w:rsidRPr="00A85F7B">
              <w:rPr>
                <w:rFonts w:ascii="Verdana" w:hAnsi="Verdana" w:cs="Arial"/>
                <w:lang w:eastAsia="es-ES"/>
              </w:rPr>
              <w:t>. 60434. C.P.: María Adriana Marín.</w:t>
            </w:r>
          </w:p>
          <w:p w14:paraId="6B2DABFD"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del 17 de febrero de 2015. Rad. 2269. C.P: William Zambrano Cetina.</w:t>
            </w:r>
          </w:p>
          <w:p w14:paraId="522BEBAA"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del 08 de mayo de 2018. Rad. 2.382. C.P: Álvaro Namén Vargas.</w:t>
            </w:r>
          </w:p>
          <w:p w14:paraId="79FCC22E"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Pr>
                <w:rFonts w:ascii="Verdana" w:hAnsi="Verdana" w:cs="Arial"/>
                <w:lang w:eastAsia="es-ES"/>
              </w:rPr>
              <w:t>Consejo de Estado. Sala de lo Contencioso Administrativo. Sección Tercera. Subsección B. Sentencia del 17 de octubre de 2025. E</w:t>
            </w:r>
            <w:r w:rsidRPr="00257BE6">
              <w:rPr>
                <w:rFonts w:ascii="Verdana" w:hAnsi="Verdana" w:cs="Arial"/>
                <w:lang w:eastAsia="es-ES"/>
              </w:rPr>
              <w:t>xpediente 11001-03-26-000-2023-00139-00</w:t>
            </w:r>
            <w:r>
              <w:rPr>
                <w:rFonts w:ascii="Verdana" w:hAnsi="Verdana" w:cs="Arial"/>
                <w:lang w:eastAsia="es-ES"/>
              </w:rPr>
              <w:t xml:space="preserve">. C.P: Fredy Ibarra. </w:t>
            </w:r>
          </w:p>
          <w:p w14:paraId="70B24E5A"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del 6 de abril de 2006, Rad. 1736. C.P: Luis Fernando Álvarez Jaramillo.</w:t>
            </w:r>
          </w:p>
          <w:p w14:paraId="0374C56A"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del 20 de febrero de 2006. Rad. 1727. C.P: Enrique José Arboleda Perdomo.</w:t>
            </w:r>
          </w:p>
          <w:p w14:paraId="31C62A95"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 6 de abril de 2006. Rad. 1738. C.P: Enrique José Arboleda Perdomo.</w:t>
            </w:r>
          </w:p>
          <w:p w14:paraId="1A5C5D04" w14:textId="77777777" w:rsidR="00813702" w:rsidRPr="00A85F7B"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Consejo de Estado. Sala de Consulta y Servicio Civil. Concepto del 15 de noviembre de 2007. Rad. 1863. C.P: Luis Fernando Álvarez Jaramillo.</w:t>
            </w:r>
          </w:p>
          <w:p w14:paraId="64690F7C"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Corte Constitucional. Sentencia C-736 de 2007. M.P. Marco Gerardo Monroy Cabra.</w:t>
            </w:r>
          </w:p>
          <w:p w14:paraId="2D83E842"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Corte Constitucional. Sentencia C-671 de 2005. M.P. Álvaro Tafur Galvis.</w:t>
            </w:r>
          </w:p>
          <w:p w14:paraId="3871E825"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MARÍN CORTES, Fabián Gonzalo. Los servicios semipúblicos domiciliarios. Bogotá: Temis, 2010</w:t>
            </w:r>
            <w:r>
              <w:rPr>
                <w:rFonts w:ascii="Verdana" w:hAnsi="Verdana" w:cs="Arial"/>
                <w:lang w:eastAsia="es-ES"/>
              </w:rPr>
              <w:t>.</w:t>
            </w:r>
          </w:p>
          <w:p w14:paraId="04E3A7D1"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LUQUE, Guillermo Sánchez. ¿Las empresas prestadoras de servicios públicos privadas son entidades estatales? A propósito de la Sentencia C 736 de 2007. Con-texto Revista de Derecho y Economía, 2008. Vol 25.</w:t>
            </w:r>
          </w:p>
          <w:p w14:paraId="2CA99E45" w14:textId="77777777" w:rsidR="00813702" w:rsidRDefault="00813702" w:rsidP="00F0268C">
            <w:pPr>
              <w:pStyle w:val="Prrafodelista"/>
              <w:numPr>
                <w:ilvl w:val="0"/>
                <w:numId w:val="17"/>
              </w:numPr>
              <w:spacing w:before="120" w:line="276" w:lineRule="auto"/>
              <w:jc w:val="both"/>
              <w:rPr>
                <w:rFonts w:ascii="Verdana" w:hAnsi="Verdana" w:cs="Arial"/>
                <w:lang w:eastAsia="es-ES"/>
              </w:rPr>
            </w:pPr>
            <w:r w:rsidRPr="00A85F7B">
              <w:rPr>
                <w:rFonts w:ascii="Verdana" w:hAnsi="Verdana" w:cs="Arial"/>
                <w:lang w:eastAsia="es-ES"/>
              </w:rPr>
              <w:t>SANTOS RODRÍGUEZ, Jorge Enrique. Consideraciones sobre los contratos y convenios interadministrativos. En: Revista Digital de Derecho Administrativo, 2008.</w:t>
            </w:r>
          </w:p>
          <w:p w14:paraId="02299064" w14:textId="77777777" w:rsidR="00813702" w:rsidRPr="002104D7" w:rsidRDefault="00813702" w:rsidP="00F0268C">
            <w:pPr>
              <w:pStyle w:val="Prrafodelista"/>
              <w:numPr>
                <w:ilvl w:val="0"/>
                <w:numId w:val="17"/>
              </w:numPr>
              <w:spacing w:before="120" w:line="276" w:lineRule="auto"/>
              <w:jc w:val="both"/>
              <w:rPr>
                <w:rFonts w:ascii="Verdana" w:hAnsi="Verdana" w:cs="Arial"/>
                <w:lang w:eastAsia="es-ES"/>
              </w:rPr>
            </w:pPr>
            <w:r w:rsidRPr="00257BE6">
              <w:rPr>
                <w:rFonts w:ascii="Verdana" w:hAnsi="Verdana" w:cs="Arial"/>
                <w:lang w:eastAsia="es-ES"/>
              </w:rPr>
              <w:t>Superintendencia de Servicios Públicos Domiciliarios. Conceptos C-086 de 2022 y C-194 de 2022.</w:t>
            </w:r>
          </w:p>
        </w:tc>
      </w:tr>
    </w:tbl>
    <w:p w14:paraId="620F548B" w14:textId="77777777" w:rsidR="00813702" w:rsidRDefault="00813702" w:rsidP="00813702">
      <w:pPr>
        <w:tabs>
          <w:tab w:val="left" w:pos="142"/>
          <w:tab w:val="left" w:pos="284"/>
          <w:tab w:val="left" w:pos="3828"/>
        </w:tabs>
        <w:spacing w:after="0" w:line="276" w:lineRule="auto"/>
        <w:jc w:val="both"/>
        <w:rPr>
          <w:rFonts w:ascii="Verdana" w:eastAsia="Century Gothic" w:hAnsi="Verdana" w:cs="Century Gothic"/>
          <w:b/>
          <w:bCs/>
        </w:rPr>
      </w:pPr>
    </w:p>
    <w:p w14:paraId="012B437F" w14:textId="77777777" w:rsidR="00813702" w:rsidRPr="0091091D" w:rsidRDefault="00813702" w:rsidP="00813702">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73C9214C" w14:textId="77777777" w:rsidR="00813702" w:rsidRPr="007A3DD4" w:rsidRDefault="00813702" w:rsidP="00813702">
      <w:pPr>
        <w:widowControl w:val="0"/>
        <w:autoSpaceDE w:val="0"/>
        <w:autoSpaceDN w:val="0"/>
        <w:spacing w:after="0" w:line="240" w:lineRule="auto"/>
        <w:jc w:val="both"/>
        <w:rPr>
          <w:rStyle w:val="normaltextrun"/>
          <w:rFonts w:ascii="Verdana" w:hAnsi="Verdana" w:cs="Arial"/>
          <w:shd w:val="clear" w:color="auto" w:fill="FFFFFF"/>
        </w:rPr>
      </w:pPr>
    </w:p>
    <w:p w14:paraId="5AE3651C" w14:textId="77777777" w:rsidR="00CD385A" w:rsidRDefault="00813702" w:rsidP="00813702">
      <w:pPr>
        <w:widowControl w:val="0"/>
        <w:autoSpaceDE w:val="0"/>
        <w:autoSpaceDN w:val="0"/>
        <w:spacing w:after="120" w:line="276" w:lineRule="auto"/>
        <w:jc w:val="both"/>
        <w:rPr>
          <w:rFonts w:ascii="Verdana" w:hAnsi="Verdana" w:cs="Arial"/>
          <w:shd w:val="clear" w:color="auto" w:fill="FFFFFF"/>
          <w:lang w:val="es-ES"/>
        </w:rPr>
      </w:pPr>
      <w:r w:rsidRPr="00CB4E1A">
        <w:rPr>
          <w:rFonts w:ascii="Verdana" w:eastAsia="Calibri" w:hAnsi="Verdana" w:cs="Arial"/>
          <w:lang w:eastAsia="es-ES"/>
        </w:rPr>
        <w:t xml:space="preserve">La Agencia Nacional de Contratación Pública – Colombia Compra Eficiente se ha pronunciado sobre la posibilidad de celebrar contratos o convenios interadministrativos para la transferencia de recursos </w:t>
      </w:r>
      <w:r w:rsidRPr="00CB4E1A">
        <w:rPr>
          <w:rFonts w:ascii="Verdana" w:eastAsia="Calibri" w:hAnsi="Verdana" w:cs="Times New Roman"/>
          <w:iCs/>
          <w:lang w:val="es-ES"/>
        </w:rPr>
        <w:t xml:space="preserve">para subsidios o aportes en servicios públicos domiciliarios en los conceptos C-095 del 4 de marzo de 2026, C-438 del 30 de abril de 2026, C-480 del 8 de mayo de 2026, </w:t>
      </w:r>
      <w:r w:rsidRPr="00CB4E1A">
        <w:rPr>
          <w:rFonts w:ascii="Verdana" w:hAnsi="Verdana" w:cs="Arial"/>
          <w:shd w:val="clear" w:color="auto" w:fill="FFFFFF"/>
          <w:lang w:val="es-ES"/>
        </w:rPr>
        <w:t xml:space="preserve">entre otros. </w:t>
      </w:r>
    </w:p>
    <w:p w14:paraId="060F495D" w14:textId="2F6899DC" w:rsidR="00813702" w:rsidRPr="00CB4E1A" w:rsidRDefault="00813702" w:rsidP="00813702">
      <w:pPr>
        <w:widowControl w:val="0"/>
        <w:autoSpaceDE w:val="0"/>
        <w:autoSpaceDN w:val="0"/>
        <w:spacing w:after="120" w:line="276" w:lineRule="auto"/>
        <w:jc w:val="both"/>
        <w:rPr>
          <w:rFonts w:ascii="Verdana" w:hAnsi="Verdana" w:cs="Arial"/>
          <w:shd w:val="clear" w:color="auto" w:fill="FFFFFF"/>
          <w:lang w:val="es-ES"/>
        </w:rPr>
      </w:pPr>
      <w:r w:rsidRPr="00CB4E1A">
        <w:rPr>
          <w:rFonts w:ascii="Verdana" w:hAnsi="Verdana" w:cs="Arial"/>
          <w:shd w:val="clear" w:color="auto" w:fill="FFFFFF"/>
          <w:lang w:val="es-ES"/>
        </w:rPr>
        <w:t>Así mismo, la</w:t>
      </w:r>
      <w:r>
        <w:rPr>
          <w:rFonts w:ascii="Verdana" w:hAnsi="Verdana" w:cs="Arial"/>
          <w:shd w:val="clear" w:color="auto" w:fill="FFFFFF"/>
          <w:lang w:val="es-ES"/>
        </w:rPr>
        <w:t xml:space="preserve"> Agencia Nacional de Contratación Pública se ha pronunciado sobre </w:t>
      </w:r>
      <w:r>
        <w:rPr>
          <w:rFonts w:ascii="Verdana" w:hAnsi="Verdana" w:cs="Arial"/>
          <w:shd w:val="clear" w:color="auto" w:fill="FFFFFF"/>
        </w:rPr>
        <w:t>las empresas de servicios públicos en los Conceptos C- 792 del 28 de noviembre de 2024, C- 429 del 13 de mayo de 2025, C-477 del 20 de mayo de 2025, C-1004 del 29 de agosto de 2025, C- 1012 del 4 de septiembre de 2025, C-1368 del 5 de noviembre de 2025, entre otros.</w:t>
      </w:r>
      <w:r>
        <w:rPr>
          <w:rFonts w:ascii="Verdana" w:hAnsi="Verdana" w:cs="Arial"/>
          <w:shd w:val="clear" w:color="auto" w:fill="FFFFFF"/>
          <w:lang w:val="es-ES"/>
        </w:rPr>
        <w:t xml:space="preserve"> </w:t>
      </w:r>
      <w:r w:rsidRPr="00622C01">
        <w:rPr>
          <w:rFonts w:ascii="Verdana" w:hAnsi="Verdana" w:cs="Arial"/>
        </w:rPr>
        <w:t xml:space="preserve">Estos y otros </w:t>
      </w:r>
      <w:r w:rsidRPr="00622C01">
        <w:rPr>
          <w:rFonts w:ascii="Verdana" w:hAnsi="Verdana"/>
        </w:rPr>
        <w:t>conceptos se encuentran disponibles para consulta en el Sistema de relatoría de la Agencia, al cual se puede acceder a través del siguiente enlace:</w:t>
      </w:r>
      <w:r w:rsidRPr="00622C01">
        <w:rPr>
          <w:rFonts w:ascii="Verdana" w:hAnsi="Verdana" w:cs="Arial"/>
          <w:shd w:val="clear" w:color="auto" w:fill="FFFFFF"/>
        </w:rPr>
        <w:t xml:space="preserve"> </w:t>
      </w:r>
      <w:hyperlink r:id="rId16" w:history="1">
        <w:r w:rsidRPr="00622C01">
          <w:rPr>
            <w:rFonts w:ascii="Verdana" w:hAnsi="Verdana" w:cs="Arial"/>
            <w:color w:val="0563C1" w:themeColor="hyperlink"/>
            <w:u w:val="single"/>
            <w:shd w:val="clear" w:color="auto" w:fill="FFFFFF"/>
          </w:rPr>
          <w:t>https://relatoria.colombiacompra.gov.co/busqueda/conceptos</w:t>
        </w:r>
      </w:hyperlink>
      <w:r w:rsidRPr="00622C01">
        <w:rPr>
          <w:rFonts w:ascii="Verdana" w:hAnsi="Verdana" w:cs="Arial"/>
          <w:shd w:val="clear" w:color="auto" w:fill="FFFFFF"/>
        </w:rPr>
        <w:t>.</w:t>
      </w:r>
      <w:r w:rsidRPr="00147D6A">
        <w:rPr>
          <w:rFonts w:ascii="Verdana" w:hAnsi="Verdana" w:cs="Arial"/>
          <w:color w:val="FF0000"/>
          <w:shd w:val="clear" w:color="auto" w:fill="FFFFFF"/>
        </w:rPr>
        <w:t xml:space="preserve"> </w:t>
      </w:r>
    </w:p>
    <w:p w14:paraId="137E3141" w14:textId="77777777" w:rsidR="00813702" w:rsidRPr="00AB4B99" w:rsidRDefault="00813702" w:rsidP="00813702">
      <w:pPr>
        <w:widowControl w:val="0"/>
        <w:autoSpaceDE w:val="0"/>
        <w:autoSpaceDN w:val="0"/>
        <w:spacing w:after="120" w:line="276" w:lineRule="auto"/>
        <w:jc w:val="both"/>
        <w:rPr>
          <w:rFonts w:ascii="Verdana" w:hAnsi="Verdana" w:cs="Arial"/>
          <w:shd w:val="clear" w:color="auto" w:fill="FFFFFF"/>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7" w:tgtFrame="_new" w:history="1">
        <w:r w:rsidRPr="008746BD">
          <w:rPr>
            <w:rStyle w:val="Hipervnculo"/>
            <w:rFonts w:ascii="Verdana" w:hAnsi="Verdana"/>
          </w:rPr>
          <w:t>https://formacionvirtual.colombiacompra.gov.co/mod/page/view.php?id=3718</w:t>
        </w:r>
      </w:hyperlink>
    </w:p>
    <w:p w14:paraId="6B34547E" w14:textId="77777777" w:rsidR="00813702" w:rsidRDefault="00813702" w:rsidP="00813702">
      <w:pPr>
        <w:widowControl w:val="0"/>
        <w:autoSpaceDE w:val="0"/>
        <w:autoSpaceDN w:val="0"/>
        <w:spacing w:after="0" w:line="240" w:lineRule="auto"/>
        <w:jc w:val="both"/>
        <w:rPr>
          <w:rFonts w:ascii="Verdana" w:hAnsi="Verdana"/>
        </w:rPr>
      </w:pPr>
    </w:p>
    <w:p w14:paraId="519A435C" w14:textId="77777777" w:rsidR="00813702" w:rsidRDefault="00813702" w:rsidP="00813702">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8" w:tgtFrame="_new" w:history="1">
        <w:r w:rsidRPr="000E1EA7">
          <w:rPr>
            <w:rStyle w:val="Hipervnculo"/>
            <w:rFonts w:ascii="Verdana" w:hAnsi="Verdana"/>
          </w:rPr>
          <w:t>https://www.colombiacompra.gov.co/normativa-y-relatoria/documentos-tipo</w:t>
        </w:r>
      </w:hyperlink>
    </w:p>
    <w:p w14:paraId="2616F551" w14:textId="77777777" w:rsidR="00813702" w:rsidRDefault="00813702" w:rsidP="00813702">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9"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9CDF68C" w14:textId="77777777" w:rsidR="00813702" w:rsidRPr="007A3DD4" w:rsidRDefault="00813702" w:rsidP="00813702">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4D7835B2" w14:textId="77777777" w:rsidR="00813702" w:rsidRPr="00116940" w:rsidRDefault="00813702" w:rsidP="00813702">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7B0C987" w14:textId="77777777" w:rsidR="00813702" w:rsidRPr="00116940" w:rsidRDefault="00813702" w:rsidP="00813702">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4300E0A" w14:textId="77777777" w:rsidR="00813702" w:rsidRPr="00116940" w:rsidRDefault="00813702" w:rsidP="00813702">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0">
        <w:r w:rsidRPr="00116940">
          <w:rPr>
            <w:rStyle w:val="Hipervnculo"/>
            <w:rFonts w:ascii="Verdana" w:eastAsia="Verdana" w:hAnsi="Verdana" w:cs="Verdana"/>
            <w:lang w:val="es-MX"/>
          </w:rPr>
          <w:t>ventanilladeradicacion@colombiacompra.gov.co</w:t>
        </w:r>
      </w:hyperlink>
    </w:p>
    <w:p w14:paraId="72979934" w14:textId="77777777" w:rsidR="00813702" w:rsidRPr="00116940" w:rsidRDefault="00813702" w:rsidP="00813702">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1">
        <w:r w:rsidRPr="00116940">
          <w:rPr>
            <w:rStyle w:val="Hipervnculo"/>
            <w:rFonts w:ascii="Verdana" w:eastAsia="Verdana" w:hAnsi="Verdana" w:cs="Verdana"/>
            <w:lang w:val="es-MX"/>
          </w:rPr>
          <w:t>https://www.colombiacompra.gov.co/pqrsd/informacion-importante-antes-de-formular-una-pqrsd</w:t>
        </w:r>
      </w:hyperlink>
    </w:p>
    <w:p w14:paraId="3CDD5E98" w14:textId="77777777" w:rsidR="00813702" w:rsidRDefault="00813702" w:rsidP="00813702">
      <w:pPr>
        <w:spacing w:after="0" w:line="240" w:lineRule="auto"/>
        <w:jc w:val="both"/>
        <w:rPr>
          <w:rFonts w:ascii="Verdana" w:hAnsi="Verdana"/>
        </w:rPr>
      </w:pPr>
    </w:p>
    <w:p w14:paraId="1382CD0E" w14:textId="77777777" w:rsidR="00813702" w:rsidRDefault="00813702" w:rsidP="00813702">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2"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1C0151C7" w14:textId="77777777" w:rsidR="00813702" w:rsidRDefault="00813702" w:rsidP="00813702">
      <w:pPr>
        <w:spacing w:after="0" w:line="240" w:lineRule="auto"/>
        <w:jc w:val="both"/>
        <w:rPr>
          <w:rFonts w:ascii="Verdana" w:hAnsi="Verdana"/>
        </w:rPr>
      </w:pPr>
    </w:p>
    <w:p w14:paraId="79AB01E7" w14:textId="77777777" w:rsidR="00813702" w:rsidRPr="00116940" w:rsidRDefault="00813702" w:rsidP="00813702">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074E71E" w14:textId="77777777" w:rsidR="00813702" w:rsidRPr="008746BD" w:rsidRDefault="00813702" w:rsidP="00813702">
      <w:pPr>
        <w:spacing w:after="0" w:line="240" w:lineRule="auto"/>
        <w:jc w:val="both"/>
        <w:rPr>
          <w:rFonts w:ascii="Verdana" w:hAnsi="Verdana"/>
        </w:rPr>
      </w:pPr>
    </w:p>
    <w:p w14:paraId="0FD32878" w14:textId="77777777" w:rsidR="00813702" w:rsidRPr="00116940" w:rsidRDefault="00813702" w:rsidP="00813702">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2C42A68" w14:textId="77777777" w:rsidR="00813702" w:rsidRPr="00116940" w:rsidRDefault="00813702" w:rsidP="00813702">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A9BB512" w14:textId="77777777" w:rsidR="00813702" w:rsidRPr="00116940" w:rsidRDefault="00813702" w:rsidP="00813702">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27E2C7C" w14:textId="77777777" w:rsidR="00813702" w:rsidRDefault="00813702" w:rsidP="00813702">
      <w:pPr>
        <w:spacing w:after="0" w:line="276" w:lineRule="auto"/>
        <w:jc w:val="both"/>
        <w:rPr>
          <w:rFonts w:ascii="Century Gothic" w:eastAsia="Century Gothic" w:hAnsi="Century Gothic" w:cs="Century Gothic"/>
          <w:lang w:val="es-ES" w:eastAsia="es-ES_tradnl"/>
        </w:rPr>
      </w:pPr>
    </w:p>
    <w:p w14:paraId="2D7D6CB0" w14:textId="77777777" w:rsidR="00813702" w:rsidRPr="00842775" w:rsidRDefault="00813702" w:rsidP="00813702">
      <w:pPr>
        <w:spacing w:after="120" w:line="276" w:lineRule="auto"/>
        <w:jc w:val="both"/>
        <w:rPr>
          <w:rFonts w:ascii="Verdana" w:hAnsi="Verdana"/>
          <w:lang w:val="es-MX"/>
        </w:rPr>
      </w:pPr>
      <w:r w:rsidRPr="00842775">
        <w:rPr>
          <w:rFonts w:ascii="Verdana" w:eastAsia="Century Gothic" w:hAnsi="Verdana"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3FBF5509" w14:textId="77777777" w:rsidR="00813702" w:rsidRDefault="00813702" w:rsidP="00813702">
      <w:pPr>
        <w:spacing w:after="0" w:line="276" w:lineRule="auto"/>
        <w:jc w:val="both"/>
        <w:rPr>
          <w:rFonts w:ascii="Verdana" w:hAnsi="Verdana"/>
          <w:lang w:val="es-MX"/>
        </w:rPr>
      </w:pPr>
    </w:p>
    <w:p w14:paraId="2A2DFD7B" w14:textId="77777777" w:rsidR="00813702" w:rsidRPr="00330029" w:rsidRDefault="00813702" w:rsidP="00813702">
      <w:pPr>
        <w:spacing w:after="0" w:line="276" w:lineRule="auto"/>
        <w:jc w:val="both"/>
        <w:rPr>
          <w:rFonts w:ascii="Verdana" w:hAnsi="Verdana"/>
          <w:lang w:val="es-MX"/>
        </w:rPr>
      </w:pPr>
      <w:r w:rsidRPr="00E02524">
        <w:rPr>
          <w:rFonts w:ascii="Verdana" w:hAnsi="Verdana"/>
          <w:lang w:val="es-MX"/>
        </w:rPr>
        <w:t>Cordialmente,</w:t>
      </w:r>
    </w:p>
    <w:p w14:paraId="41622EE6" w14:textId="1ED423B2" w:rsidR="00813702" w:rsidRDefault="00D3215D" w:rsidP="00813702">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4B6A19E9" wp14:editId="1130D4D6">
            <wp:extent cx="2401002" cy="1131242"/>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3"/>
                    <a:stretch>
                      <a:fillRect/>
                    </a:stretch>
                  </pic:blipFill>
                  <pic:spPr>
                    <a:xfrm>
                      <a:off x="0" y="0"/>
                      <a:ext cx="2413097" cy="1136941"/>
                    </a:xfrm>
                    <a:prstGeom prst="rect">
                      <a:avLst/>
                    </a:prstGeom>
                  </pic:spPr>
                </pic:pic>
              </a:graphicData>
            </a:graphic>
          </wp:inline>
        </w:drawing>
      </w:r>
    </w:p>
    <w:p w14:paraId="6EAE17E0" w14:textId="03AB8B4D" w:rsidR="00813702" w:rsidRDefault="00813702" w:rsidP="00813702">
      <w:pPr>
        <w:spacing w:after="0" w:line="256" w:lineRule="auto"/>
        <w:jc w:val="center"/>
        <w:rPr>
          <w:rFonts w:ascii="Verdana" w:eastAsia="Calibri" w:hAnsi="Verdana" w:cs="Times New Roman"/>
        </w:rPr>
      </w:pPr>
    </w:p>
    <w:p w14:paraId="27D6E2EA" w14:textId="77777777" w:rsidR="00813702" w:rsidRDefault="00813702" w:rsidP="00813702">
      <w:pPr>
        <w:spacing w:after="0" w:line="256" w:lineRule="auto"/>
        <w:jc w:val="center"/>
        <w:rPr>
          <w:rFonts w:ascii="Verdana" w:eastAsia="Calibri" w:hAnsi="Verdana" w:cs="Times New Roman"/>
        </w:rPr>
      </w:pPr>
    </w:p>
    <w:tbl>
      <w:tblPr>
        <w:tblStyle w:val="Tablaconcuadrcula"/>
        <w:tblW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86"/>
      </w:tblGrid>
      <w:tr w:rsidR="00813702" w:rsidRPr="005644FE" w14:paraId="0C0CD913" w14:textId="77777777" w:rsidTr="00F0268C">
        <w:trPr>
          <w:trHeight w:val="288"/>
        </w:trPr>
        <w:tc>
          <w:tcPr>
            <w:tcW w:w="893" w:type="dxa"/>
            <w:vAlign w:val="center"/>
            <w:hideMark/>
          </w:tcPr>
          <w:p w14:paraId="79CBEC44" w14:textId="77777777" w:rsidR="00813702" w:rsidRPr="005644FE" w:rsidRDefault="00813702" w:rsidP="00F0268C">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486" w:type="dxa"/>
            <w:tcBorders>
              <w:top w:val="nil"/>
              <w:left w:val="nil"/>
              <w:bottom w:val="dotted" w:sz="4" w:space="0" w:color="7F7F7F" w:themeColor="text1" w:themeTint="80"/>
              <w:right w:val="nil"/>
            </w:tcBorders>
            <w:vAlign w:val="center"/>
            <w:hideMark/>
          </w:tcPr>
          <w:p w14:paraId="1F33F4ED" w14:textId="77777777" w:rsidR="00813702" w:rsidRPr="005644FE" w:rsidRDefault="00813702" w:rsidP="00F0268C">
            <w:pPr>
              <w:contextualSpacing/>
              <w:jc w:val="both"/>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2747E444" w14:textId="77777777" w:rsidR="00813702" w:rsidRPr="005644FE" w:rsidRDefault="00813702" w:rsidP="00F0268C">
            <w:pPr>
              <w:contextualSpacing/>
              <w:jc w:val="both"/>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813702" w:rsidRPr="005644FE" w14:paraId="5F62813D" w14:textId="77777777" w:rsidTr="00F0268C">
        <w:trPr>
          <w:trHeight w:val="330"/>
        </w:trPr>
        <w:tc>
          <w:tcPr>
            <w:tcW w:w="893" w:type="dxa"/>
            <w:vAlign w:val="center"/>
            <w:hideMark/>
          </w:tcPr>
          <w:p w14:paraId="63F0759B" w14:textId="77777777" w:rsidR="00813702" w:rsidRPr="005644FE" w:rsidRDefault="00813702" w:rsidP="00F0268C">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486" w:type="dxa"/>
            <w:tcBorders>
              <w:top w:val="dotted" w:sz="4" w:space="0" w:color="7F7F7F" w:themeColor="text1" w:themeTint="80"/>
              <w:left w:val="nil"/>
              <w:bottom w:val="dotted" w:sz="4" w:space="0" w:color="7F7F7F" w:themeColor="text1" w:themeTint="80"/>
              <w:right w:val="nil"/>
            </w:tcBorders>
            <w:vAlign w:val="center"/>
            <w:hideMark/>
          </w:tcPr>
          <w:p w14:paraId="1ADCB4FF" w14:textId="77777777" w:rsidR="00813702" w:rsidRPr="00147D6A" w:rsidRDefault="00813702" w:rsidP="00F0268C">
            <w:pPr>
              <w:pStyle w:val="paragraph"/>
              <w:spacing w:before="0" w:beforeAutospacing="0" w:after="0" w:afterAutospacing="0"/>
              <w:contextualSpacing/>
              <w:jc w:val="both"/>
              <w:textAlignment w:val="baseline"/>
              <w:rPr>
                <w:rStyle w:val="normaltextrun"/>
                <w:rFonts w:ascii="Verdana" w:hAnsi="Verdana"/>
                <w:sz w:val="16"/>
                <w:szCs w:val="16"/>
              </w:rPr>
            </w:pPr>
            <w:r>
              <w:rPr>
                <w:rStyle w:val="normaltextrun"/>
                <w:rFonts w:ascii="Verdana" w:hAnsi="Verdana"/>
                <w:sz w:val="16"/>
                <w:szCs w:val="16"/>
              </w:rPr>
              <w:t xml:space="preserve">Alejandro Sarmiento Cantillo </w:t>
            </w:r>
          </w:p>
          <w:p w14:paraId="20184D84" w14:textId="77777777" w:rsidR="00813702" w:rsidRPr="00147D6A" w:rsidRDefault="00813702" w:rsidP="00F0268C">
            <w:pPr>
              <w:pStyle w:val="paragraph"/>
              <w:spacing w:before="0" w:beforeAutospacing="0" w:after="0" w:afterAutospacing="0"/>
              <w:contextualSpacing/>
              <w:jc w:val="both"/>
              <w:textAlignment w:val="baseline"/>
              <w:rPr>
                <w:rFonts w:ascii="Verdana" w:hAnsi="Verdana" w:cs="Segoe UI"/>
                <w:sz w:val="16"/>
                <w:szCs w:val="16"/>
              </w:rPr>
            </w:pPr>
            <w:r>
              <w:rPr>
                <w:rStyle w:val="normaltextrun"/>
                <w:rFonts w:ascii="Verdana" w:hAnsi="Verdana"/>
                <w:sz w:val="16"/>
                <w:szCs w:val="16"/>
              </w:rPr>
              <w:t xml:space="preserve">Gestor T1 grado 15 de la Subdirección de Gestión Contractual  </w:t>
            </w:r>
            <w:r w:rsidRPr="00147D6A">
              <w:rPr>
                <w:rStyle w:val="normaltextrun"/>
                <w:rFonts w:ascii="Verdana" w:hAnsi="Verdana"/>
                <w:sz w:val="16"/>
                <w:szCs w:val="16"/>
              </w:rPr>
              <w:t xml:space="preserve">  </w:t>
            </w:r>
          </w:p>
        </w:tc>
      </w:tr>
      <w:tr w:rsidR="00813702" w:rsidRPr="005644FE" w14:paraId="1EBD7A9A" w14:textId="77777777" w:rsidTr="00F0268C">
        <w:trPr>
          <w:trHeight w:val="300"/>
        </w:trPr>
        <w:tc>
          <w:tcPr>
            <w:tcW w:w="893" w:type="dxa"/>
            <w:vAlign w:val="center"/>
          </w:tcPr>
          <w:p w14:paraId="6104FB84" w14:textId="77777777" w:rsidR="00813702" w:rsidRPr="005644FE" w:rsidRDefault="00813702" w:rsidP="00F0268C">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486" w:type="dxa"/>
            <w:tcBorders>
              <w:top w:val="dotted" w:sz="4" w:space="0" w:color="7F7F7F" w:themeColor="text1" w:themeTint="80"/>
              <w:left w:val="nil"/>
              <w:bottom w:val="dotted" w:sz="4" w:space="0" w:color="7F7F7F" w:themeColor="text1" w:themeTint="80"/>
              <w:right w:val="nil"/>
            </w:tcBorders>
            <w:vAlign w:val="center"/>
          </w:tcPr>
          <w:p w14:paraId="1731E88C" w14:textId="77777777" w:rsidR="00813702" w:rsidRPr="00147D6A" w:rsidRDefault="00813702" w:rsidP="00F0268C">
            <w:pPr>
              <w:contextualSpacing/>
              <w:jc w:val="both"/>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70B3046B" w14:textId="77777777" w:rsidR="00813702" w:rsidRPr="00147D6A" w:rsidRDefault="00813702" w:rsidP="00F0268C">
            <w:pPr>
              <w:contextualSpacing/>
              <w:jc w:val="both"/>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1"/>
    </w:tbl>
    <w:p w14:paraId="661537FD" w14:textId="77777777" w:rsidR="00813702" w:rsidRPr="0024624F" w:rsidRDefault="00813702" w:rsidP="00813702">
      <w:pPr>
        <w:spacing w:after="0"/>
        <w:rPr>
          <w:rFonts w:ascii="Verdana" w:eastAsia="Verdana" w:hAnsi="Verdana" w:cs="Verdana"/>
        </w:rPr>
      </w:pPr>
    </w:p>
    <w:p w14:paraId="5711E124" w14:textId="77777777" w:rsidR="00813702" w:rsidRPr="00A374FD" w:rsidRDefault="00813702" w:rsidP="00813702"/>
    <w:bookmarkEnd w:id="0"/>
    <w:p w14:paraId="1468C46D" w14:textId="089FC26C" w:rsidR="00C15139" w:rsidRPr="0024624F" w:rsidRDefault="00C15139" w:rsidP="30821638">
      <w:pPr>
        <w:spacing w:after="0"/>
        <w:rPr>
          <w:rFonts w:ascii="Verdana" w:eastAsia="Verdana" w:hAnsi="Verdana" w:cs="Verdana"/>
        </w:rPr>
      </w:pPr>
    </w:p>
    <w:sectPr w:rsidR="00C15139" w:rsidRPr="0024624F"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B349" w14:textId="77777777" w:rsidR="007E20EB" w:rsidRDefault="007E20EB" w:rsidP="004A1847">
      <w:pPr>
        <w:spacing w:after="0" w:line="240" w:lineRule="auto"/>
      </w:pPr>
      <w:r>
        <w:separator/>
      </w:r>
    </w:p>
  </w:endnote>
  <w:endnote w:type="continuationSeparator" w:id="0">
    <w:p w14:paraId="6B09AB62" w14:textId="77777777" w:rsidR="007E20EB" w:rsidRDefault="007E20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96F04" w14:textId="77777777" w:rsidR="007E20EB" w:rsidRDefault="007E20EB" w:rsidP="004A1847">
      <w:pPr>
        <w:spacing w:after="0" w:line="240" w:lineRule="auto"/>
      </w:pPr>
      <w:r>
        <w:separator/>
      </w:r>
    </w:p>
  </w:footnote>
  <w:footnote w:type="continuationSeparator" w:id="0">
    <w:p w14:paraId="7E50D897" w14:textId="77777777" w:rsidR="007E20EB" w:rsidRDefault="007E20EB" w:rsidP="004A1847">
      <w:pPr>
        <w:spacing w:after="0" w:line="240" w:lineRule="auto"/>
      </w:pPr>
      <w:r>
        <w:continuationSeparator/>
      </w:r>
    </w:p>
  </w:footnote>
  <w:footnote w:id="1">
    <w:p w14:paraId="56BC2A44" w14:textId="77777777" w:rsidR="00813702" w:rsidRDefault="00813702" w:rsidP="00813702">
      <w:pPr>
        <w:pStyle w:val="Textonotapie"/>
        <w:ind w:firstLine="709"/>
        <w:jc w:val="both"/>
        <w:rPr>
          <w:rFonts w:ascii="Verdana" w:hAnsi="Verdana" w:cs="Arial"/>
          <w:color w:val="000000" w:themeColor="text1"/>
          <w:sz w:val="16"/>
          <w:szCs w:val="16"/>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w:t>
      </w:r>
      <w:r>
        <w:rPr>
          <w:rFonts w:ascii="Verdana" w:hAnsi="Verdana" w:cs="Arial"/>
          <w:color w:val="000000" w:themeColor="text1"/>
          <w:sz w:val="16"/>
          <w:szCs w:val="16"/>
        </w:rPr>
        <w:t xml:space="preserve">Sala de lo Contencioso Administrativo. </w:t>
      </w:r>
      <w:r w:rsidRPr="00A30929">
        <w:rPr>
          <w:rFonts w:ascii="Verdana" w:hAnsi="Verdana" w:cs="Arial"/>
          <w:color w:val="000000" w:themeColor="text1"/>
          <w:sz w:val="16"/>
          <w:szCs w:val="16"/>
        </w:rPr>
        <w:t>Sección Tercera. Subsección C. Sentencia del 13 de abril de 2011. Exp. 37423. C.P</w:t>
      </w:r>
      <w:r>
        <w:rPr>
          <w:rFonts w:ascii="Verdana" w:hAnsi="Verdana" w:cs="Arial"/>
          <w:color w:val="000000" w:themeColor="text1"/>
          <w:sz w:val="16"/>
          <w:szCs w:val="16"/>
        </w:rPr>
        <w:t>:</w:t>
      </w:r>
      <w:r w:rsidRPr="00A30929">
        <w:rPr>
          <w:rFonts w:ascii="Verdana" w:hAnsi="Verdana" w:cs="Arial"/>
          <w:color w:val="000000" w:themeColor="text1"/>
          <w:sz w:val="16"/>
          <w:szCs w:val="16"/>
        </w:rPr>
        <w:t xml:space="preserve"> Jaime Orlando Santofimio Gamboa. En similar sentido, puede verse: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w:t>
      </w:r>
      <w:r>
        <w:rPr>
          <w:rFonts w:ascii="Verdana" w:hAnsi="Verdana" w:cs="Arial"/>
          <w:color w:val="000000" w:themeColor="text1"/>
          <w:sz w:val="16"/>
          <w:szCs w:val="16"/>
        </w:rPr>
        <w:t>Sala de lo Contencioso Administrativo.</w:t>
      </w:r>
      <w:r w:rsidRPr="00A30929">
        <w:rPr>
          <w:rFonts w:ascii="Verdana" w:hAnsi="Verdana" w:cs="Arial"/>
          <w:color w:val="000000" w:themeColor="text1"/>
          <w:sz w:val="16"/>
          <w:szCs w:val="16"/>
        </w:rPr>
        <w:t xml:space="preserve"> Sección Tercera. Subsección B. Sentencia del 15 de noviembre de 2011. Exp. 21178. C.P</w:t>
      </w:r>
      <w:r>
        <w:rPr>
          <w:rFonts w:ascii="Verdana" w:hAnsi="Verdana" w:cs="Arial"/>
          <w:color w:val="000000" w:themeColor="text1"/>
          <w:sz w:val="16"/>
          <w:szCs w:val="16"/>
        </w:rPr>
        <w:t>:</w:t>
      </w:r>
      <w:r w:rsidRPr="00A30929">
        <w:rPr>
          <w:rFonts w:ascii="Verdana" w:hAnsi="Verdana" w:cs="Arial"/>
          <w:color w:val="000000" w:themeColor="text1"/>
          <w:sz w:val="16"/>
          <w:szCs w:val="16"/>
        </w:rPr>
        <w:t xml:space="preserve"> Ruth Stella Correa Palacio.</w:t>
      </w:r>
    </w:p>
    <w:p w14:paraId="0BAE66D8" w14:textId="77777777" w:rsidR="00813702" w:rsidRPr="00A30929" w:rsidRDefault="00813702" w:rsidP="00813702">
      <w:pPr>
        <w:pStyle w:val="Textonotapie"/>
        <w:ind w:firstLine="709"/>
        <w:jc w:val="both"/>
        <w:rPr>
          <w:rFonts w:ascii="Verdana" w:hAnsi="Verdana" w:cs="Arial"/>
          <w:color w:val="000000" w:themeColor="text1"/>
          <w:sz w:val="16"/>
          <w:szCs w:val="16"/>
        </w:rPr>
      </w:pPr>
    </w:p>
  </w:footnote>
  <w:footnote w:id="2">
    <w:p w14:paraId="3CAC34C6" w14:textId="77777777" w:rsidR="00813702" w:rsidRPr="00A30929" w:rsidRDefault="00813702" w:rsidP="00813702">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lang w:val="pt-BR"/>
        </w:rPr>
        <w:t xml:space="preserve"> Corte Constitucional. Sentencia C-736 de 2007. </w:t>
      </w:r>
      <w:r w:rsidRPr="00A30929">
        <w:rPr>
          <w:rFonts w:ascii="Verdana" w:hAnsi="Verdana" w:cs="Arial"/>
          <w:color w:val="000000" w:themeColor="text1"/>
          <w:sz w:val="16"/>
          <w:szCs w:val="16"/>
        </w:rPr>
        <w:t>M.P. Marco Gerardo Monroy Cabra.</w:t>
      </w:r>
    </w:p>
  </w:footnote>
  <w:footnote w:id="3">
    <w:p w14:paraId="357174A2" w14:textId="77777777" w:rsidR="00813702" w:rsidRPr="00C45436" w:rsidRDefault="00813702" w:rsidP="00813702">
      <w:pPr>
        <w:pStyle w:val="Textonotapie"/>
        <w:ind w:firstLine="708"/>
        <w:rPr>
          <w:rFonts w:ascii="Verdana" w:hAnsi="Verdana"/>
          <w:sz w:val="16"/>
          <w:szCs w:val="16"/>
          <w:lang w:val="es-ES"/>
        </w:rPr>
      </w:pPr>
      <w:r w:rsidRPr="00C45436">
        <w:rPr>
          <w:rStyle w:val="Refdenotaalpie"/>
          <w:rFonts w:ascii="Verdana" w:hAnsi="Verdana"/>
          <w:sz w:val="16"/>
          <w:szCs w:val="16"/>
        </w:rPr>
        <w:footnoteRef/>
      </w:r>
      <w:r w:rsidRPr="00C45436">
        <w:rPr>
          <w:rFonts w:ascii="Verdana" w:hAnsi="Verdana"/>
          <w:sz w:val="16"/>
          <w:szCs w:val="16"/>
        </w:rPr>
        <w:t xml:space="preserve"> Ibídem. </w:t>
      </w:r>
    </w:p>
  </w:footnote>
  <w:footnote w:id="4">
    <w:p w14:paraId="5C94497C" w14:textId="77777777" w:rsidR="00813702" w:rsidRPr="007B7B6A" w:rsidRDefault="00813702" w:rsidP="00813702">
      <w:pPr>
        <w:pStyle w:val="Textonotapie"/>
        <w:ind w:firstLine="708"/>
        <w:jc w:val="both"/>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7B7B6A">
        <w:rPr>
          <w:rFonts w:ascii="Verdana" w:hAnsi="Verdana"/>
          <w:sz w:val="16"/>
          <w:szCs w:val="16"/>
        </w:rPr>
        <w:t xml:space="preserve">MARÍN CORTES, Fabián Gonzalo. Los servicios semipúblicos domiciliarios. Bogotá: Temis, 2010. p. 160. Al respecto, la Doctrina también ha expresado frente a la Sentencia C-736 de 2007: </w:t>
      </w:r>
      <w:r w:rsidRPr="007B7B6A">
        <w:rPr>
          <w:rFonts w:ascii="Verdana" w:hAnsi="Verdana"/>
          <w:sz w:val="16"/>
          <w:szCs w:val="16"/>
          <w:lang w:val="es-CO"/>
        </w:rPr>
        <w:t xml:space="preserve">Por otra parte, esa misma Corporación -igualmente en cumplimiento de dicha providencia de constitucionalidad- estudió varios procesos en que hace parte una empresa de servicios públicos privada con aportes públicos (sin importar el monto), sobre la base de que se trata de una </w:t>
      </w:r>
      <w:r w:rsidRPr="007B7B6A">
        <w:rPr>
          <w:rFonts w:ascii="Verdana" w:hAnsi="Verdana"/>
          <w:i/>
          <w:iCs/>
          <w:sz w:val="16"/>
          <w:szCs w:val="16"/>
          <w:lang w:val="es-CO"/>
        </w:rPr>
        <w:t>“entidad estatal”</w:t>
      </w:r>
      <w:r w:rsidRPr="007B7B6A">
        <w:rPr>
          <w:rFonts w:ascii="Verdana" w:hAnsi="Verdana"/>
          <w:sz w:val="16"/>
          <w:szCs w:val="16"/>
          <w:lang w:val="es-CO"/>
        </w:rPr>
        <w:t>.  En esta oportunidad la Sala se limitó a obedecer el pronunciamiento de constitucionalidad.</w:t>
      </w:r>
    </w:p>
    <w:p w14:paraId="3FD403B2" w14:textId="77777777" w:rsidR="00813702" w:rsidRPr="007B7B6A" w:rsidRDefault="00813702" w:rsidP="00813702">
      <w:pPr>
        <w:pStyle w:val="Textonotapie"/>
        <w:ind w:firstLine="708"/>
        <w:jc w:val="both"/>
        <w:rPr>
          <w:rFonts w:ascii="Verdana" w:hAnsi="Verdana"/>
          <w:i/>
          <w:iCs/>
          <w:sz w:val="16"/>
          <w:szCs w:val="16"/>
          <w:lang w:val="es-CO"/>
        </w:rPr>
      </w:pPr>
      <w:r w:rsidRPr="007B7B6A">
        <w:rPr>
          <w:rFonts w:ascii="Verdana" w:hAnsi="Verdana"/>
          <w:sz w:val="16"/>
          <w:szCs w:val="16"/>
          <w:lang w:val="es-CO"/>
        </w:rPr>
        <w:t>Sin embargo, el Señor Consejero de Estado Mauricio Fajardo Gómez, al aclarar su voto en esta última sentencia, rectificó lo afirmado en tres providencias de la Sala</w:t>
      </w:r>
      <w:r>
        <w:rPr>
          <w:rFonts w:ascii="Verdana" w:hAnsi="Verdana"/>
          <w:sz w:val="16"/>
          <w:szCs w:val="16"/>
          <w:lang w:val="es-CO"/>
        </w:rPr>
        <w:t xml:space="preserve"> </w:t>
      </w:r>
      <w:r w:rsidRPr="007B7B6A">
        <w:rPr>
          <w:rFonts w:ascii="Verdana" w:hAnsi="Verdana"/>
          <w:sz w:val="16"/>
          <w:szCs w:val="16"/>
          <w:lang w:val="es-CO"/>
        </w:rPr>
        <w:t xml:space="preserve">con ponencia suya y manifestó que resultaba innecesario e inútil invocar ese fallo de constitucionalidad para determinar la competencia del juez administrativo, </w:t>
      </w:r>
      <w:r w:rsidRPr="007B7B6A">
        <w:rPr>
          <w:rFonts w:ascii="Verdana" w:hAnsi="Verdana"/>
          <w:i/>
          <w:iCs/>
          <w:sz w:val="16"/>
          <w:szCs w:val="16"/>
          <w:lang w:val="es-CO"/>
        </w:rPr>
        <w:t>“puesto que</w:t>
      </w:r>
      <w:r w:rsidRPr="007B7B6A">
        <w:rPr>
          <w:rFonts w:ascii="Verdana" w:hAnsi="Verdana"/>
          <w:sz w:val="16"/>
          <w:szCs w:val="16"/>
          <w:lang w:val="es-CO"/>
        </w:rPr>
        <w:t xml:space="preserve"> </w:t>
      </w:r>
      <w:r w:rsidRPr="007B7B6A">
        <w:rPr>
          <w:rFonts w:ascii="Verdana" w:hAnsi="Verdana"/>
          <w:i/>
          <w:iCs/>
          <w:sz w:val="16"/>
          <w:szCs w:val="16"/>
          <w:lang w:val="es-CO"/>
        </w:rPr>
        <w:t>las consideraciones que le sirvieron de soporte acerca</w:t>
      </w:r>
      <w:r w:rsidRPr="007B7B6A">
        <w:rPr>
          <w:rFonts w:ascii="Verdana" w:hAnsi="Verdana"/>
          <w:sz w:val="16"/>
          <w:szCs w:val="16"/>
          <w:lang w:val="es-CO"/>
        </w:rPr>
        <w:t xml:space="preserve"> </w:t>
      </w:r>
      <w:r w:rsidRPr="007B7B6A">
        <w:rPr>
          <w:rFonts w:ascii="Verdana" w:hAnsi="Verdana"/>
          <w:i/>
          <w:iCs/>
          <w:sz w:val="16"/>
          <w:szCs w:val="16"/>
          <w:lang w:val="es-CO"/>
        </w:rPr>
        <w:t>de la naturaleza jurídica de las empresas de servicios</w:t>
      </w:r>
      <w:r w:rsidRPr="007B7B6A">
        <w:rPr>
          <w:rFonts w:ascii="Verdana" w:hAnsi="Verdana"/>
          <w:sz w:val="16"/>
          <w:szCs w:val="16"/>
          <w:lang w:val="es-CO"/>
        </w:rPr>
        <w:t xml:space="preserve"> </w:t>
      </w:r>
      <w:r w:rsidRPr="007B7B6A">
        <w:rPr>
          <w:rFonts w:ascii="Verdana" w:hAnsi="Verdana"/>
          <w:i/>
          <w:iCs/>
          <w:sz w:val="16"/>
          <w:szCs w:val="16"/>
          <w:lang w:val="es-CO"/>
        </w:rPr>
        <w:t>públicos domiciliarios de carácter mixto no resultan</w:t>
      </w:r>
      <w:r w:rsidRPr="007B7B6A">
        <w:rPr>
          <w:rFonts w:ascii="Verdana" w:hAnsi="Verdana"/>
          <w:sz w:val="16"/>
          <w:szCs w:val="16"/>
          <w:lang w:val="es-CO"/>
        </w:rPr>
        <w:t xml:space="preserve"> </w:t>
      </w:r>
      <w:r w:rsidRPr="007B7B6A">
        <w:rPr>
          <w:rFonts w:ascii="Verdana" w:hAnsi="Verdana"/>
          <w:i/>
          <w:iCs/>
          <w:sz w:val="16"/>
          <w:szCs w:val="16"/>
          <w:lang w:val="es-CO"/>
        </w:rPr>
        <w:t>vinculantes y desafortunadamente no aportan claridad</w:t>
      </w:r>
      <w:r w:rsidRPr="007B7B6A">
        <w:rPr>
          <w:rFonts w:ascii="Verdana" w:hAnsi="Verdana"/>
          <w:sz w:val="16"/>
          <w:szCs w:val="16"/>
          <w:lang w:val="es-CO"/>
        </w:rPr>
        <w:t xml:space="preserve"> </w:t>
      </w:r>
      <w:r w:rsidRPr="007B7B6A">
        <w:rPr>
          <w:rFonts w:ascii="Verdana" w:hAnsi="Verdana"/>
          <w:i/>
          <w:iCs/>
          <w:sz w:val="16"/>
          <w:szCs w:val="16"/>
          <w:lang w:val="es-CO"/>
        </w:rPr>
        <w:t>en esa materia”.</w:t>
      </w:r>
    </w:p>
    <w:p w14:paraId="439EA1D9" w14:textId="77777777" w:rsidR="00813702" w:rsidRPr="007B7B6A" w:rsidRDefault="00813702" w:rsidP="00813702">
      <w:pPr>
        <w:pStyle w:val="Textonotapie"/>
        <w:ind w:firstLine="708"/>
        <w:jc w:val="both"/>
        <w:rPr>
          <w:rFonts w:ascii="Verdana" w:hAnsi="Verdana"/>
          <w:sz w:val="16"/>
          <w:szCs w:val="16"/>
          <w:lang w:val="es-CO"/>
        </w:rPr>
      </w:pPr>
      <w:r w:rsidRPr="007B7B6A">
        <w:rPr>
          <w:rFonts w:ascii="Verdana" w:hAnsi="Verdana"/>
          <w:i/>
          <w:iCs/>
          <w:sz w:val="16"/>
          <w:szCs w:val="16"/>
          <w:lang w:val="es-CO"/>
        </w:rPr>
        <w:t xml:space="preserve"> </w:t>
      </w:r>
      <w:r w:rsidRPr="007B7B6A">
        <w:rPr>
          <w:rFonts w:ascii="Verdana" w:hAnsi="Verdana"/>
          <w:sz w:val="16"/>
          <w:szCs w:val="16"/>
          <w:lang w:val="es-CO"/>
        </w:rPr>
        <w:t xml:space="preserve">La aclaración de voto subrayó, además, que el pronunciamiento de constitucionalidad no explica las razones en que se apoya para aducir la naturaleza jurídica especial delas esp. Destacó que la sentencia de constitucionalidad aparentemente se aproxima a la tesis jurisprudencial del Consejo de Estado,  </w:t>
      </w:r>
      <w:r w:rsidRPr="007B7B6A">
        <w:rPr>
          <w:rFonts w:ascii="Verdana" w:hAnsi="Verdana"/>
          <w:i/>
          <w:iCs/>
          <w:sz w:val="16"/>
          <w:szCs w:val="16"/>
          <w:lang w:val="es-CO"/>
        </w:rPr>
        <w:t>“la misma que sin fundamentación alguna calificó de</w:t>
      </w:r>
      <w:r w:rsidRPr="007B7B6A">
        <w:rPr>
          <w:rFonts w:ascii="Verdana" w:hAnsi="Verdana"/>
          <w:sz w:val="16"/>
          <w:szCs w:val="16"/>
          <w:lang w:val="es-CO"/>
        </w:rPr>
        <w:t xml:space="preserve"> </w:t>
      </w:r>
      <w:r w:rsidRPr="007B7B6A">
        <w:rPr>
          <w:rFonts w:ascii="Verdana" w:hAnsi="Verdana"/>
          <w:i/>
          <w:iCs/>
          <w:sz w:val="16"/>
          <w:szCs w:val="16"/>
          <w:lang w:val="es-CO"/>
        </w:rPr>
        <w:t>inconstitucional”</w:t>
      </w:r>
      <w:r w:rsidRPr="007B7B6A">
        <w:rPr>
          <w:rFonts w:ascii="Verdana" w:hAnsi="Verdana"/>
          <w:sz w:val="16"/>
          <w:szCs w:val="16"/>
          <w:lang w:val="es-CO"/>
        </w:rPr>
        <w:t xml:space="preserve">, al sostener y anunciar que las empresas de servicios públicos mixtas y privadas son entidades descentralizadas, sobre la base de </w:t>
      </w:r>
      <w:r w:rsidRPr="007B7B6A">
        <w:rPr>
          <w:rFonts w:ascii="Verdana" w:hAnsi="Verdana"/>
          <w:i/>
          <w:iCs/>
          <w:sz w:val="16"/>
          <w:szCs w:val="16"/>
          <w:lang w:val="es-CO"/>
        </w:rPr>
        <w:t>“un análisis eminentemente legal, que no</w:t>
      </w:r>
      <w:r w:rsidRPr="007B7B6A">
        <w:rPr>
          <w:rFonts w:ascii="Verdana" w:hAnsi="Verdana"/>
          <w:sz w:val="16"/>
          <w:szCs w:val="16"/>
          <w:lang w:val="es-CO"/>
        </w:rPr>
        <w:t xml:space="preserve"> </w:t>
      </w:r>
      <w:r w:rsidRPr="007B7B6A">
        <w:rPr>
          <w:rFonts w:ascii="Verdana" w:hAnsi="Verdana"/>
          <w:i/>
          <w:iCs/>
          <w:sz w:val="16"/>
          <w:szCs w:val="16"/>
          <w:lang w:val="es-CO"/>
        </w:rPr>
        <w:t xml:space="preserve">constitucional” </w:t>
      </w:r>
      <w:r w:rsidRPr="007B7B6A">
        <w:rPr>
          <w:rFonts w:ascii="Verdana" w:hAnsi="Verdana"/>
          <w:sz w:val="16"/>
          <w:szCs w:val="16"/>
          <w:lang w:val="es-CO"/>
        </w:rPr>
        <w:t>a partir de lo dispuesto por el artículo 38 de la Ley 489 de 1998.</w:t>
      </w:r>
    </w:p>
    <w:p w14:paraId="37B3E809" w14:textId="77777777" w:rsidR="00813702" w:rsidRDefault="00813702" w:rsidP="00813702">
      <w:pPr>
        <w:pStyle w:val="Textonotapie"/>
        <w:ind w:firstLine="708"/>
        <w:jc w:val="both"/>
        <w:rPr>
          <w:rFonts w:ascii="Verdana" w:hAnsi="Verdana"/>
          <w:sz w:val="16"/>
          <w:szCs w:val="16"/>
          <w:lang w:val="es-CO"/>
        </w:rPr>
      </w:pPr>
      <w:r w:rsidRPr="007B7B6A">
        <w:rPr>
          <w:rFonts w:ascii="Verdana" w:hAnsi="Verdana"/>
          <w:sz w:val="16"/>
          <w:szCs w:val="16"/>
          <w:lang w:val="es-CO"/>
        </w:rPr>
        <w:t xml:space="preserve">Al concluir el Señor Magistrado Fajardo Gómez anotó que las normas acusadas </w:t>
      </w:r>
      <w:r w:rsidRPr="007B7B6A">
        <w:rPr>
          <w:rFonts w:ascii="Verdana" w:hAnsi="Verdana"/>
          <w:i/>
          <w:iCs/>
          <w:sz w:val="16"/>
          <w:szCs w:val="16"/>
          <w:lang w:val="es-CO"/>
        </w:rPr>
        <w:t>“no sufrieron alteración alguna en cuanto a su contenido</w:t>
      </w:r>
      <w:r w:rsidRPr="007B7B6A">
        <w:rPr>
          <w:rFonts w:ascii="Verdana" w:hAnsi="Verdana"/>
          <w:sz w:val="16"/>
          <w:szCs w:val="16"/>
          <w:lang w:val="es-CO"/>
        </w:rPr>
        <w:t xml:space="preserve"> </w:t>
      </w:r>
      <w:r w:rsidRPr="007B7B6A">
        <w:rPr>
          <w:rFonts w:ascii="Verdana" w:hAnsi="Verdana"/>
          <w:i/>
          <w:iCs/>
          <w:sz w:val="16"/>
          <w:szCs w:val="16"/>
          <w:lang w:val="es-CO"/>
        </w:rPr>
        <w:t>y, por tanto, seguirán rigiendo normalmente</w:t>
      </w:r>
      <w:r w:rsidRPr="007B7B6A">
        <w:rPr>
          <w:rFonts w:ascii="Verdana" w:hAnsi="Verdana"/>
          <w:sz w:val="16"/>
          <w:szCs w:val="16"/>
          <w:lang w:val="es-CO"/>
        </w:rPr>
        <w:t xml:space="preserve"> </w:t>
      </w:r>
      <w:r w:rsidRPr="007B7B6A">
        <w:rPr>
          <w:rFonts w:ascii="Verdana" w:hAnsi="Verdana"/>
          <w:i/>
          <w:iCs/>
          <w:sz w:val="16"/>
          <w:szCs w:val="16"/>
          <w:lang w:val="es-CO"/>
        </w:rPr>
        <w:t>hacia el futuro”</w:t>
      </w:r>
      <w:r w:rsidRPr="007B7B6A">
        <w:rPr>
          <w:rFonts w:ascii="Verdana" w:hAnsi="Verdana"/>
          <w:sz w:val="16"/>
          <w:szCs w:val="16"/>
          <w:lang w:val="es-CO"/>
        </w:rPr>
        <w:t xml:space="preserve">, dado que se trata de una sentencia de constitucionalidad pura y simple y que –a su juicio– todo lo demás expuesto por la Corte </w:t>
      </w:r>
      <w:r w:rsidRPr="007B7B6A">
        <w:rPr>
          <w:rFonts w:ascii="Verdana" w:hAnsi="Verdana"/>
          <w:i/>
          <w:iCs/>
          <w:sz w:val="16"/>
          <w:szCs w:val="16"/>
          <w:lang w:val="es-CO"/>
        </w:rPr>
        <w:t>“no pasa de ser un obiter dictum que</w:t>
      </w:r>
      <w:r w:rsidRPr="007B7B6A">
        <w:rPr>
          <w:rFonts w:ascii="Verdana" w:hAnsi="Verdana"/>
          <w:sz w:val="16"/>
          <w:szCs w:val="16"/>
          <w:lang w:val="es-CO"/>
        </w:rPr>
        <w:t xml:space="preserve"> </w:t>
      </w:r>
      <w:r w:rsidRPr="007B7B6A">
        <w:rPr>
          <w:rFonts w:ascii="Verdana" w:hAnsi="Verdana"/>
          <w:i/>
          <w:iCs/>
          <w:sz w:val="16"/>
          <w:szCs w:val="16"/>
          <w:lang w:val="es-CO"/>
        </w:rPr>
        <w:t>en cada caso concreto podría ser valorado por el juez</w:t>
      </w:r>
      <w:r w:rsidRPr="007B7B6A">
        <w:rPr>
          <w:rFonts w:ascii="Verdana" w:hAnsi="Verdana"/>
          <w:sz w:val="16"/>
          <w:szCs w:val="16"/>
          <w:lang w:val="es-CO"/>
        </w:rPr>
        <w:t xml:space="preserve"> </w:t>
      </w:r>
      <w:r w:rsidRPr="007B7B6A">
        <w:rPr>
          <w:rFonts w:ascii="Verdana" w:hAnsi="Verdana"/>
          <w:i/>
          <w:iCs/>
          <w:sz w:val="16"/>
          <w:szCs w:val="16"/>
          <w:lang w:val="es-CO"/>
        </w:rPr>
        <w:t>de la respectiva causa</w:t>
      </w:r>
      <w:r>
        <w:rPr>
          <w:rFonts w:ascii="Verdana" w:hAnsi="Verdana"/>
          <w:sz w:val="16"/>
          <w:szCs w:val="16"/>
          <w:lang w:val="es-CO"/>
        </w:rPr>
        <w:t>” (LUQUE, Guillermo Sánchez. ¿</w:t>
      </w:r>
      <w:r w:rsidRPr="00A14813">
        <w:rPr>
          <w:rFonts w:ascii="Verdana" w:hAnsi="Verdana"/>
          <w:sz w:val="16"/>
          <w:szCs w:val="16"/>
          <w:lang w:val="es-CO"/>
        </w:rPr>
        <w:t>Las empresas prestadoras de servicios públicos pr</w:t>
      </w:r>
      <w:r>
        <w:rPr>
          <w:rFonts w:ascii="Verdana" w:hAnsi="Verdana"/>
          <w:sz w:val="16"/>
          <w:szCs w:val="16"/>
          <w:lang w:val="es-CO"/>
        </w:rPr>
        <w:t xml:space="preserve">ivadas son entidades estatales? </w:t>
      </w:r>
      <w:r w:rsidRPr="00A14813">
        <w:rPr>
          <w:rFonts w:ascii="Verdana" w:hAnsi="Verdana"/>
          <w:sz w:val="16"/>
          <w:szCs w:val="16"/>
          <w:lang w:val="es-CO"/>
        </w:rPr>
        <w:t>A propósit</w:t>
      </w:r>
      <w:r>
        <w:rPr>
          <w:rFonts w:ascii="Verdana" w:hAnsi="Verdana"/>
          <w:sz w:val="16"/>
          <w:szCs w:val="16"/>
          <w:lang w:val="es-CO"/>
        </w:rPr>
        <w:t>o de la Sentencia C 736 de 2007</w:t>
      </w:r>
      <w:r w:rsidRPr="00A14813">
        <w:rPr>
          <w:rFonts w:ascii="Verdana" w:hAnsi="Verdana"/>
          <w:sz w:val="16"/>
          <w:szCs w:val="16"/>
          <w:lang w:val="es-CO"/>
        </w:rPr>
        <w:t>. </w:t>
      </w:r>
      <w:r w:rsidRPr="00A14813">
        <w:rPr>
          <w:rFonts w:ascii="Verdana" w:hAnsi="Verdana"/>
          <w:i/>
          <w:iCs/>
          <w:sz w:val="16"/>
          <w:szCs w:val="16"/>
          <w:lang w:val="es-CO"/>
        </w:rPr>
        <w:t>Con</w:t>
      </w:r>
      <w:r>
        <w:rPr>
          <w:rFonts w:ascii="Verdana" w:hAnsi="Verdana"/>
          <w:i/>
          <w:iCs/>
          <w:sz w:val="16"/>
          <w:szCs w:val="16"/>
          <w:lang w:val="es-CO"/>
        </w:rPr>
        <w:t>-</w:t>
      </w:r>
      <w:r w:rsidRPr="00A14813">
        <w:rPr>
          <w:rFonts w:ascii="Verdana" w:hAnsi="Verdana"/>
          <w:i/>
          <w:iCs/>
          <w:sz w:val="16"/>
          <w:szCs w:val="16"/>
          <w:lang w:val="es-CO"/>
        </w:rPr>
        <w:t>texto</w:t>
      </w:r>
      <w:r>
        <w:rPr>
          <w:rFonts w:ascii="Verdana" w:hAnsi="Verdana"/>
          <w:sz w:val="16"/>
          <w:szCs w:val="16"/>
          <w:lang w:val="es-CO"/>
        </w:rPr>
        <w:t xml:space="preserve"> Revista de Derecho y Economía, </w:t>
      </w:r>
      <w:r w:rsidRPr="00A14813">
        <w:rPr>
          <w:rFonts w:ascii="Verdana" w:hAnsi="Verdana"/>
          <w:sz w:val="16"/>
          <w:szCs w:val="16"/>
          <w:lang w:val="es-CO"/>
        </w:rPr>
        <w:t>2008.</w:t>
      </w:r>
      <w:r>
        <w:rPr>
          <w:rFonts w:ascii="Verdana" w:hAnsi="Verdana"/>
          <w:sz w:val="16"/>
          <w:szCs w:val="16"/>
          <w:lang w:val="es-CO"/>
        </w:rPr>
        <w:t xml:space="preserve"> Vol 25. p. 88)</w:t>
      </w:r>
    </w:p>
    <w:p w14:paraId="0BD971D2" w14:textId="77777777" w:rsidR="00813702" w:rsidRPr="007B7B6A" w:rsidRDefault="00813702" w:rsidP="00813702">
      <w:pPr>
        <w:pStyle w:val="Textonotapie"/>
        <w:ind w:firstLine="708"/>
        <w:jc w:val="both"/>
        <w:rPr>
          <w:rFonts w:ascii="Verdana" w:hAnsi="Verdana"/>
          <w:sz w:val="16"/>
          <w:szCs w:val="16"/>
          <w:lang w:val="es-CO"/>
        </w:rPr>
      </w:pPr>
    </w:p>
  </w:footnote>
  <w:footnote w:id="5">
    <w:p w14:paraId="2FF042E2" w14:textId="77777777" w:rsidR="00813702" w:rsidRDefault="00813702" w:rsidP="00813702">
      <w:pPr>
        <w:pStyle w:val="Textonotapie"/>
        <w:ind w:firstLine="708"/>
        <w:jc w:val="both"/>
        <w:rPr>
          <w:rFonts w:ascii="Verdana" w:hAnsi="Verdana"/>
          <w:sz w:val="16"/>
          <w:szCs w:val="16"/>
          <w:lang w:val="es-CO"/>
        </w:rPr>
      </w:pPr>
      <w:r w:rsidRPr="008719EC">
        <w:rPr>
          <w:rStyle w:val="Refdenotaalpie"/>
          <w:rFonts w:ascii="Verdana" w:hAnsi="Verdana"/>
          <w:sz w:val="16"/>
          <w:szCs w:val="16"/>
        </w:rPr>
        <w:footnoteRef/>
      </w:r>
      <w:r w:rsidRPr="008719EC">
        <w:rPr>
          <w:rFonts w:ascii="Verdana" w:hAnsi="Verdana"/>
          <w:sz w:val="16"/>
          <w:szCs w:val="16"/>
        </w:rPr>
        <w:t xml:space="preserve"> </w:t>
      </w:r>
      <w:r>
        <w:rPr>
          <w:rFonts w:ascii="Verdana" w:hAnsi="Verdana"/>
          <w:sz w:val="16"/>
          <w:szCs w:val="16"/>
          <w:lang w:val="es-CO"/>
        </w:rPr>
        <w:t>LUQUE, Guillermo Sánchez. ¿</w:t>
      </w:r>
      <w:r w:rsidRPr="008719EC">
        <w:rPr>
          <w:rFonts w:ascii="Verdana" w:hAnsi="Verdana"/>
          <w:sz w:val="16"/>
          <w:szCs w:val="16"/>
          <w:lang w:val="es-CO"/>
        </w:rPr>
        <w:t>Las empresas prestadoras de servicios públicos privadas son entidades estatales? A propósito de la Sentencia C 736 de 2007. </w:t>
      </w:r>
      <w:r w:rsidRPr="008719EC">
        <w:rPr>
          <w:rFonts w:ascii="Verdana" w:hAnsi="Verdana"/>
          <w:i/>
          <w:iCs/>
          <w:sz w:val="16"/>
          <w:szCs w:val="16"/>
          <w:lang w:val="es-CO"/>
        </w:rPr>
        <w:t>Con-texto</w:t>
      </w:r>
      <w:r w:rsidRPr="008719EC">
        <w:rPr>
          <w:rFonts w:ascii="Verdana" w:hAnsi="Verdana"/>
          <w:sz w:val="16"/>
          <w:szCs w:val="16"/>
          <w:lang w:val="es-CO"/>
        </w:rPr>
        <w:t xml:space="preserve"> Revista de Derecho y Economía, 2008. Vol 25. p. 87. </w:t>
      </w:r>
    </w:p>
    <w:p w14:paraId="57550A7E" w14:textId="77777777" w:rsidR="00D0672D" w:rsidRPr="008719EC" w:rsidRDefault="00D0672D" w:rsidP="00813702">
      <w:pPr>
        <w:pStyle w:val="Textonotapie"/>
        <w:ind w:firstLine="708"/>
        <w:jc w:val="both"/>
        <w:rPr>
          <w:rFonts w:ascii="Verdana" w:hAnsi="Verdana"/>
          <w:sz w:val="16"/>
          <w:szCs w:val="16"/>
          <w:lang w:val="es-ES"/>
        </w:rPr>
      </w:pPr>
    </w:p>
  </w:footnote>
  <w:footnote w:id="6">
    <w:p w14:paraId="2F42976B" w14:textId="77777777" w:rsidR="00813702" w:rsidRPr="00485C44" w:rsidRDefault="00813702" w:rsidP="00813702">
      <w:pPr>
        <w:pStyle w:val="Textonotapie"/>
        <w:ind w:firstLine="708"/>
        <w:rPr>
          <w:rFonts w:ascii="Verdana" w:hAnsi="Verdana"/>
          <w:sz w:val="16"/>
          <w:szCs w:val="16"/>
          <w:lang w:val="es-ES"/>
        </w:rPr>
      </w:pPr>
      <w:r w:rsidRPr="00485C44">
        <w:rPr>
          <w:rStyle w:val="Refdenotaalpie"/>
          <w:rFonts w:ascii="Verdana" w:hAnsi="Verdana"/>
          <w:sz w:val="16"/>
          <w:szCs w:val="16"/>
        </w:rPr>
        <w:footnoteRef/>
      </w:r>
      <w:r w:rsidRPr="00485C44">
        <w:rPr>
          <w:rFonts w:ascii="Verdana" w:hAnsi="Verdana"/>
          <w:sz w:val="16"/>
          <w:szCs w:val="16"/>
        </w:rPr>
        <w:t xml:space="preserve"> </w:t>
      </w:r>
      <w:r w:rsidRPr="0099359D">
        <w:rPr>
          <w:rFonts w:ascii="Verdana" w:hAnsi="Verdana"/>
          <w:sz w:val="16"/>
          <w:szCs w:val="16"/>
          <w:lang w:val="es-CO"/>
        </w:rPr>
        <w:t xml:space="preserve">Corte Constitucional. Sentencia C-736 de 2007. </w:t>
      </w:r>
      <w:r w:rsidRPr="00485C44">
        <w:rPr>
          <w:rFonts w:ascii="Verdana" w:hAnsi="Verdana"/>
          <w:sz w:val="16"/>
          <w:szCs w:val="16"/>
          <w:lang w:val="es-CO"/>
        </w:rPr>
        <w:t>M.P. Marco Gerardo Monroy Cabra.</w:t>
      </w:r>
    </w:p>
  </w:footnote>
  <w:footnote w:id="7">
    <w:p w14:paraId="28B7AA01" w14:textId="77777777" w:rsidR="00813702" w:rsidRPr="005D42C1" w:rsidRDefault="00813702" w:rsidP="00813702">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901C2CE" w14:textId="77777777" w:rsidR="00813702" w:rsidRPr="005D42C1" w:rsidRDefault="00813702" w:rsidP="00813702">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8">
    <w:p w14:paraId="439B1587" w14:textId="77777777" w:rsidR="00813702" w:rsidRDefault="00813702" w:rsidP="00813702">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p w14:paraId="2F95BAD4" w14:textId="77777777" w:rsidR="00813702" w:rsidRPr="006366CF" w:rsidRDefault="00813702" w:rsidP="00813702">
      <w:pPr>
        <w:spacing w:after="0" w:line="240" w:lineRule="auto"/>
        <w:ind w:firstLine="709"/>
        <w:jc w:val="both"/>
        <w:rPr>
          <w:rFonts w:ascii="Verdana" w:hAnsi="Verdana" w:cs="Arial"/>
          <w:sz w:val="16"/>
          <w:szCs w:val="16"/>
        </w:rPr>
      </w:pPr>
    </w:p>
  </w:footnote>
  <w:footnote w:id="9">
    <w:p w14:paraId="1E2D283E" w14:textId="77777777" w:rsidR="00813702" w:rsidRPr="006366CF" w:rsidRDefault="00813702" w:rsidP="00813702">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10">
    <w:p w14:paraId="456D821A" w14:textId="77777777" w:rsidR="00813702" w:rsidRPr="006366CF" w:rsidRDefault="00813702" w:rsidP="00813702">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w:t>
      </w:r>
      <w:r>
        <w:rPr>
          <w:rFonts w:ascii="Verdana" w:hAnsi="Verdana"/>
          <w:sz w:val="16"/>
          <w:szCs w:val="16"/>
          <w:lang w:val="es-CO"/>
        </w:rPr>
        <w:t>d</w:t>
      </w:r>
      <w:r w:rsidRPr="006366CF">
        <w:rPr>
          <w:rFonts w:ascii="Verdana" w:hAnsi="Verdana"/>
          <w:sz w:val="16"/>
          <w:szCs w:val="16"/>
          <w:lang w:val="es-CO"/>
        </w:rPr>
        <w:t>e Estado, Sala de Consulta y Servicio Civil. Concepto no. 2257 del 26 de julio de 2016, C.P</w:t>
      </w:r>
      <w:r>
        <w:rPr>
          <w:rFonts w:ascii="Verdana" w:hAnsi="Verdana"/>
          <w:sz w:val="16"/>
          <w:szCs w:val="16"/>
          <w:lang w:val="es-CO"/>
        </w:rPr>
        <w:t>:</w:t>
      </w:r>
      <w:r w:rsidRPr="006366CF">
        <w:rPr>
          <w:rFonts w:ascii="Verdana" w:hAnsi="Verdana"/>
          <w:sz w:val="16"/>
          <w:szCs w:val="16"/>
          <w:lang w:val="es-CO"/>
        </w:rPr>
        <w:t xml:space="preserve"> Álvaro Namén Vargas</w:t>
      </w:r>
      <w:r>
        <w:rPr>
          <w:rFonts w:ascii="Verdana" w:hAnsi="Verdana"/>
          <w:sz w:val="16"/>
          <w:szCs w:val="16"/>
          <w:lang w:val="es-CO"/>
        </w:rPr>
        <w:t>. Consejo de Estado. Sala de lo Contencioso Administrativo.</w:t>
      </w:r>
      <w:r w:rsidRPr="006366CF">
        <w:rPr>
          <w:rFonts w:ascii="Verdana" w:hAnsi="Verdana"/>
          <w:sz w:val="16"/>
          <w:szCs w:val="16"/>
          <w:lang w:val="es-CO"/>
        </w:rPr>
        <w:t xml:space="preserve"> Sección Tercera, Subsección A. Sentencia del 23 de junio de 2010. Exp 17860</w:t>
      </w:r>
      <w:r>
        <w:rPr>
          <w:rFonts w:ascii="Verdana" w:hAnsi="Verdana"/>
          <w:sz w:val="16"/>
          <w:szCs w:val="16"/>
          <w:lang w:val="es-CO"/>
        </w:rPr>
        <w:t xml:space="preserve">. </w:t>
      </w:r>
      <w:r w:rsidRPr="006366CF">
        <w:rPr>
          <w:rFonts w:ascii="Verdana" w:hAnsi="Verdana"/>
          <w:sz w:val="16"/>
          <w:szCs w:val="16"/>
          <w:lang w:val="es-CO"/>
        </w:rPr>
        <w:t>C.P</w:t>
      </w:r>
      <w:r>
        <w:rPr>
          <w:rFonts w:ascii="Verdana" w:hAnsi="Verdana"/>
          <w:sz w:val="16"/>
          <w:szCs w:val="16"/>
          <w:lang w:val="es-CO"/>
        </w:rPr>
        <w:t>:</w:t>
      </w:r>
      <w:r w:rsidRPr="006366CF">
        <w:rPr>
          <w:rFonts w:ascii="Verdana" w:hAnsi="Verdana"/>
          <w:sz w:val="16"/>
          <w:szCs w:val="16"/>
          <w:lang w:val="es-CO"/>
        </w:rPr>
        <w:t xml:space="preserve"> Mauricio Fajardo Gómez.</w:t>
      </w:r>
      <w:r>
        <w:rPr>
          <w:rFonts w:ascii="Verdana" w:hAnsi="Verdana"/>
          <w:sz w:val="16"/>
          <w:szCs w:val="16"/>
          <w:lang w:val="es-CO"/>
        </w:rPr>
        <w:t xml:space="preserve"> Consejo de Estado. Sala de lo Contencioso Administrativo.</w:t>
      </w:r>
      <w:r w:rsidRPr="006366CF">
        <w:rPr>
          <w:rFonts w:ascii="Verdana" w:hAnsi="Verdana"/>
          <w:sz w:val="16"/>
          <w:szCs w:val="16"/>
          <w:lang w:val="es-CO"/>
        </w:rPr>
        <w:t xml:space="preserve"> Sección Tercera. Auto del 4 de octubre de 2024.</w:t>
      </w:r>
      <w:r>
        <w:rPr>
          <w:rFonts w:ascii="Verdana" w:hAnsi="Verdana"/>
          <w:sz w:val="16"/>
          <w:szCs w:val="16"/>
          <w:lang w:val="es-CO"/>
        </w:rPr>
        <w:t xml:space="preserve"> </w:t>
      </w:r>
      <w:r w:rsidRPr="006366CF">
        <w:rPr>
          <w:rFonts w:ascii="Verdana" w:hAnsi="Verdana"/>
          <w:sz w:val="16"/>
          <w:szCs w:val="16"/>
          <w:lang w:val="es-CO"/>
        </w:rPr>
        <w:t xml:space="preserve">Exp </w:t>
      </w:r>
      <w:r w:rsidRPr="006366CF">
        <w:rPr>
          <w:rFonts w:ascii="Verdana" w:hAnsi="Verdana"/>
          <w:bCs/>
          <w:sz w:val="16"/>
          <w:szCs w:val="16"/>
        </w:rPr>
        <w:t>70313.</w:t>
      </w:r>
      <w:r w:rsidRPr="006366CF">
        <w:rPr>
          <w:rFonts w:ascii="Verdana" w:hAnsi="Verdana"/>
          <w:sz w:val="16"/>
          <w:szCs w:val="16"/>
          <w:lang w:val="es-CO"/>
        </w:rPr>
        <w:t xml:space="preserve"> C.P</w:t>
      </w:r>
      <w:r>
        <w:rPr>
          <w:rFonts w:ascii="Verdana" w:hAnsi="Verdana"/>
          <w:sz w:val="16"/>
          <w:szCs w:val="16"/>
          <w:lang w:val="es-CO"/>
        </w:rPr>
        <w:t>:</w:t>
      </w:r>
      <w:r w:rsidRPr="006366CF">
        <w:rPr>
          <w:rFonts w:ascii="Verdana" w:hAnsi="Verdana"/>
          <w:sz w:val="16"/>
          <w:szCs w:val="16"/>
          <w:lang w:val="es-CO"/>
        </w:rPr>
        <w:t xml:space="preserve"> Fredy Ibarra Martínez. </w:t>
      </w:r>
    </w:p>
  </w:footnote>
  <w:footnote w:id="11">
    <w:p w14:paraId="15250666" w14:textId="77777777" w:rsidR="00813702" w:rsidRDefault="00813702" w:rsidP="00813702">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p w14:paraId="4873408F" w14:textId="77777777" w:rsidR="00813702" w:rsidRPr="006366CF" w:rsidRDefault="00813702" w:rsidP="00813702">
      <w:pPr>
        <w:pStyle w:val="Textonotapie"/>
        <w:ind w:firstLine="708"/>
        <w:jc w:val="both"/>
        <w:rPr>
          <w:rFonts w:ascii="Verdana" w:hAnsi="Verdana"/>
          <w:sz w:val="16"/>
          <w:szCs w:val="16"/>
          <w:lang w:val="es-CO"/>
        </w:rPr>
      </w:pPr>
    </w:p>
  </w:footnote>
  <w:footnote w:id="12">
    <w:p w14:paraId="08808F0F" w14:textId="77777777" w:rsidR="00813702" w:rsidRDefault="00813702" w:rsidP="00813702">
      <w:pPr>
        <w:pStyle w:val="Textonotapie"/>
        <w:ind w:firstLine="708"/>
        <w:jc w:val="both"/>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rPr>
        <w:t xml:space="preserve"> Consejo </w:t>
      </w:r>
      <w:r>
        <w:rPr>
          <w:rFonts w:ascii="Verdana" w:hAnsi="Verdana"/>
          <w:sz w:val="16"/>
          <w:szCs w:val="16"/>
        </w:rPr>
        <w:t>d</w:t>
      </w:r>
      <w:r w:rsidRPr="006366CF">
        <w:rPr>
          <w:rFonts w:ascii="Verdana" w:hAnsi="Verdana"/>
          <w:sz w:val="16"/>
          <w:szCs w:val="16"/>
        </w:rPr>
        <w:t xml:space="preserve">e Estado. </w:t>
      </w:r>
      <w:r>
        <w:rPr>
          <w:rFonts w:ascii="Verdana" w:hAnsi="Verdana"/>
          <w:sz w:val="16"/>
          <w:szCs w:val="16"/>
        </w:rPr>
        <w:t xml:space="preserve">Sala de lo Contencioso Administrativo. </w:t>
      </w:r>
      <w:r w:rsidRPr="006366CF">
        <w:rPr>
          <w:rFonts w:ascii="Verdana" w:hAnsi="Verdana"/>
          <w:sz w:val="16"/>
          <w:szCs w:val="16"/>
        </w:rPr>
        <w:t>Sección Tercera, Subsección A. Sentencia del 25 de mayo de 2025. Exp. 70.504</w:t>
      </w:r>
      <w:r>
        <w:rPr>
          <w:rFonts w:ascii="Verdana" w:hAnsi="Verdana"/>
          <w:sz w:val="16"/>
          <w:szCs w:val="16"/>
        </w:rPr>
        <w:t xml:space="preserve">. </w:t>
      </w:r>
      <w:r w:rsidRPr="006366CF">
        <w:rPr>
          <w:rFonts w:ascii="Verdana" w:hAnsi="Verdana"/>
          <w:sz w:val="16"/>
          <w:szCs w:val="16"/>
        </w:rPr>
        <w:t>C.P</w:t>
      </w:r>
      <w:r>
        <w:rPr>
          <w:rFonts w:ascii="Verdana" w:hAnsi="Verdana"/>
          <w:sz w:val="16"/>
          <w:szCs w:val="16"/>
        </w:rPr>
        <w:t>:</w:t>
      </w:r>
      <w:r w:rsidRPr="006366CF">
        <w:rPr>
          <w:rFonts w:ascii="Verdana" w:hAnsi="Verdana"/>
          <w:sz w:val="16"/>
          <w:szCs w:val="16"/>
        </w:rPr>
        <w:t xml:space="preserve"> María Adriana Marín. Consejo </w:t>
      </w:r>
      <w:r>
        <w:rPr>
          <w:rFonts w:ascii="Verdana" w:hAnsi="Verdana"/>
          <w:sz w:val="16"/>
          <w:szCs w:val="16"/>
        </w:rPr>
        <w:t>d</w:t>
      </w:r>
      <w:r w:rsidRPr="006366CF">
        <w:rPr>
          <w:rFonts w:ascii="Verdana" w:hAnsi="Verdana"/>
          <w:sz w:val="16"/>
          <w:szCs w:val="16"/>
        </w:rPr>
        <w:t xml:space="preserve">e Estado. </w:t>
      </w:r>
      <w:r>
        <w:rPr>
          <w:rFonts w:ascii="Verdana" w:hAnsi="Verdana"/>
          <w:sz w:val="16"/>
          <w:szCs w:val="16"/>
        </w:rPr>
        <w:t xml:space="preserve">Sala de lo Contencioso Administrativo. </w:t>
      </w:r>
      <w:r w:rsidRPr="006366CF">
        <w:rPr>
          <w:rFonts w:ascii="Verdana" w:hAnsi="Verdana"/>
          <w:sz w:val="16"/>
          <w:szCs w:val="16"/>
        </w:rPr>
        <w:t>Sección Tercera, Subsección A. Sentencia del 16 de agosto de 2022</w:t>
      </w:r>
      <w:r>
        <w:rPr>
          <w:rFonts w:ascii="Verdana" w:hAnsi="Verdana"/>
          <w:sz w:val="16"/>
          <w:szCs w:val="16"/>
        </w:rPr>
        <w:t xml:space="preserve">. </w:t>
      </w:r>
      <w:r w:rsidRPr="006366CF">
        <w:rPr>
          <w:rFonts w:ascii="Verdana" w:hAnsi="Verdana"/>
          <w:sz w:val="16"/>
          <w:szCs w:val="16"/>
        </w:rPr>
        <w:t>Exp. 60434</w:t>
      </w:r>
      <w:r>
        <w:rPr>
          <w:rFonts w:ascii="Verdana" w:hAnsi="Verdana"/>
          <w:sz w:val="16"/>
          <w:szCs w:val="16"/>
        </w:rPr>
        <w:t>.</w:t>
      </w:r>
      <w:r w:rsidRPr="006366CF">
        <w:rPr>
          <w:rFonts w:ascii="Verdana" w:hAnsi="Verdana"/>
          <w:sz w:val="16"/>
          <w:szCs w:val="16"/>
        </w:rPr>
        <w:t xml:space="preserve"> C.P.: María Adriana Marín.</w:t>
      </w:r>
    </w:p>
    <w:p w14:paraId="5AD69FE7" w14:textId="77777777" w:rsidR="00D0672D" w:rsidRPr="006366CF" w:rsidRDefault="00D0672D" w:rsidP="00813702">
      <w:pPr>
        <w:pStyle w:val="Textonotapie"/>
        <w:ind w:firstLine="708"/>
        <w:jc w:val="both"/>
        <w:rPr>
          <w:rFonts w:ascii="Verdana" w:hAnsi="Verdana"/>
          <w:sz w:val="16"/>
          <w:szCs w:val="16"/>
          <w:lang w:val="es-ES"/>
        </w:rPr>
      </w:pPr>
    </w:p>
  </w:footnote>
  <w:footnote w:id="13">
    <w:p w14:paraId="46FCF583" w14:textId="77777777" w:rsidR="00813702" w:rsidRDefault="00813702" w:rsidP="00813702">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 xml:space="preserve">Consejo </w:t>
      </w:r>
      <w:r>
        <w:rPr>
          <w:rFonts w:ascii="Verdana" w:hAnsi="Verdana"/>
          <w:sz w:val="16"/>
          <w:szCs w:val="16"/>
          <w:lang w:val="es-CO"/>
        </w:rPr>
        <w:t>d</w:t>
      </w:r>
      <w:r w:rsidRPr="00AD7D5F">
        <w:rPr>
          <w:rFonts w:ascii="Verdana" w:hAnsi="Verdana"/>
          <w:sz w:val="16"/>
          <w:szCs w:val="16"/>
          <w:lang w:val="es-CO"/>
        </w:rPr>
        <w:t xml:space="preserve">e Estado. </w:t>
      </w:r>
      <w:r>
        <w:rPr>
          <w:rFonts w:ascii="Verdana" w:hAnsi="Verdana"/>
          <w:sz w:val="16"/>
          <w:szCs w:val="16"/>
          <w:lang w:val="es-CO"/>
        </w:rPr>
        <w:t xml:space="preserve">Sala de lo Contencioso Administrativo. </w:t>
      </w:r>
      <w:r w:rsidRPr="00AD7D5F">
        <w:rPr>
          <w:rFonts w:ascii="Verdana" w:hAnsi="Verdana"/>
          <w:sz w:val="16"/>
          <w:szCs w:val="16"/>
          <w:lang w:val="es-CO"/>
        </w:rPr>
        <w:t>Sección Tercera, Subsección A. Sentencia del 14 de junio de 2019</w:t>
      </w:r>
      <w:r>
        <w:rPr>
          <w:rFonts w:ascii="Verdana" w:hAnsi="Verdana"/>
          <w:sz w:val="16"/>
          <w:szCs w:val="16"/>
          <w:lang w:val="es-CO"/>
        </w:rPr>
        <w:t xml:space="preserve">. </w:t>
      </w:r>
      <w:r w:rsidRPr="00AD7D5F">
        <w:rPr>
          <w:rFonts w:ascii="Verdana" w:hAnsi="Verdana"/>
          <w:sz w:val="16"/>
          <w:szCs w:val="16"/>
          <w:lang w:val="es-CO"/>
        </w:rPr>
        <w:t>Rad.: 25000-23-37-000-2010-02552-01 (AP)</w:t>
      </w:r>
      <w:r>
        <w:rPr>
          <w:rFonts w:ascii="Verdana" w:hAnsi="Verdana"/>
          <w:sz w:val="16"/>
          <w:szCs w:val="16"/>
          <w:lang w:val="es-CO"/>
        </w:rPr>
        <w:t xml:space="preserve">. </w:t>
      </w:r>
      <w:r w:rsidRPr="00AD7D5F">
        <w:rPr>
          <w:rFonts w:ascii="Verdana" w:hAnsi="Verdana"/>
          <w:sz w:val="16"/>
          <w:szCs w:val="16"/>
          <w:lang w:val="es-CO"/>
        </w:rPr>
        <w:t xml:space="preserve">C.P: Marta Nubia Velásquez Rico. Consejo </w:t>
      </w:r>
      <w:r>
        <w:rPr>
          <w:rFonts w:ascii="Verdana" w:hAnsi="Verdana"/>
          <w:sz w:val="16"/>
          <w:szCs w:val="16"/>
          <w:lang w:val="es-CO"/>
        </w:rPr>
        <w:t>d</w:t>
      </w:r>
      <w:r w:rsidRPr="00AD7D5F">
        <w:rPr>
          <w:rFonts w:ascii="Verdana" w:hAnsi="Verdana"/>
          <w:sz w:val="16"/>
          <w:szCs w:val="16"/>
          <w:lang w:val="es-CO"/>
        </w:rPr>
        <w:t xml:space="preserve">e Estado. </w:t>
      </w:r>
      <w:r>
        <w:rPr>
          <w:rFonts w:ascii="Verdana" w:hAnsi="Verdana"/>
          <w:sz w:val="16"/>
          <w:szCs w:val="16"/>
          <w:lang w:val="es-CO"/>
        </w:rPr>
        <w:t xml:space="preserve">Sala de lo Contencioso Administrativo. </w:t>
      </w:r>
      <w:r w:rsidRPr="00AD7D5F">
        <w:rPr>
          <w:rFonts w:ascii="Verdana" w:hAnsi="Verdana"/>
          <w:sz w:val="16"/>
          <w:szCs w:val="16"/>
          <w:lang w:val="es-CO"/>
        </w:rPr>
        <w:t>Sección Tercera</w:t>
      </w:r>
      <w:r>
        <w:rPr>
          <w:rFonts w:ascii="Verdana" w:hAnsi="Verdana"/>
          <w:sz w:val="16"/>
          <w:szCs w:val="16"/>
          <w:lang w:val="es-CO"/>
        </w:rPr>
        <w:t>.</w:t>
      </w:r>
      <w:r w:rsidRPr="00AD7D5F">
        <w:rPr>
          <w:rFonts w:ascii="Verdana" w:hAnsi="Verdana"/>
          <w:sz w:val="16"/>
          <w:szCs w:val="16"/>
          <w:lang w:val="es-CO"/>
        </w:rPr>
        <w:t xml:space="preserve"> Subsección A. Sentencia del 25 de mayo de 2025. Exp. 70.504</w:t>
      </w:r>
      <w:r>
        <w:rPr>
          <w:rFonts w:ascii="Verdana" w:hAnsi="Verdana"/>
          <w:sz w:val="16"/>
          <w:szCs w:val="16"/>
          <w:lang w:val="es-CO"/>
        </w:rPr>
        <w:t xml:space="preserve">. </w:t>
      </w:r>
      <w:r w:rsidRPr="00AD7D5F">
        <w:rPr>
          <w:rFonts w:ascii="Verdana" w:hAnsi="Verdana"/>
          <w:sz w:val="16"/>
          <w:szCs w:val="16"/>
          <w:lang w:val="es-CO"/>
        </w:rPr>
        <w:t>C.P. María Adriana Marín..</w:t>
      </w:r>
    </w:p>
    <w:p w14:paraId="71636BDE" w14:textId="77777777" w:rsidR="00813702" w:rsidRPr="00AD7D5F" w:rsidRDefault="00813702" w:rsidP="00813702">
      <w:pPr>
        <w:pStyle w:val="Textonotapie"/>
        <w:ind w:firstLine="708"/>
        <w:jc w:val="both"/>
        <w:rPr>
          <w:rFonts w:ascii="Verdana" w:hAnsi="Verdana"/>
          <w:sz w:val="16"/>
          <w:szCs w:val="16"/>
          <w:lang w:val="es-CO"/>
        </w:rPr>
      </w:pPr>
    </w:p>
  </w:footnote>
  <w:footnote w:id="14">
    <w:p w14:paraId="0E2E1638" w14:textId="77777777" w:rsidR="00813702" w:rsidRDefault="00813702" w:rsidP="00813702">
      <w:pPr>
        <w:pStyle w:val="Textonotapie"/>
        <w:ind w:firstLine="708"/>
        <w:jc w:val="both"/>
        <w:rPr>
          <w:rFonts w:ascii="Verdana" w:hAnsi="Verdana"/>
          <w:sz w:val="16"/>
          <w:szCs w:val="16"/>
        </w:rPr>
      </w:pPr>
      <w:r w:rsidRPr="003B2822">
        <w:rPr>
          <w:rStyle w:val="Refdenotaalpie"/>
          <w:rFonts w:ascii="Verdana" w:hAnsi="Verdana"/>
          <w:sz w:val="16"/>
          <w:szCs w:val="16"/>
        </w:rPr>
        <w:footnoteRef/>
      </w:r>
      <w:r w:rsidRPr="003B2822">
        <w:rPr>
          <w:rFonts w:ascii="Verdana" w:hAnsi="Verdana"/>
          <w:sz w:val="16"/>
          <w:szCs w:val="16"/>
        </w:rPr>
        <w:t xml:space="preserve"> La Corte Constitucional, al analizar el concepto, alcance y finalidad del principio de solidaridad</w:t>
      </w:r>
      <w:r>
        <w:rPr>
          <w:rFonts w:ascii="Verdana" w:hAnsi="Verdana"/>
          <w:sz w:val="16"/>
          <w:szCs w:val="16"/>
        </w:rPr>
        <w:t xml:space="preserve"> en la Constitución Política,</w:t>
      </w:r>
      <w:r w:rsidRPr="003B2822">
        <w:rPr>
          <w:rFonts w:ascii="Verdana" w:hAnsi="Verdana"/>
          <w:sz w:val="16"/>
          <w:szCs w:val="16"/>
        </w:rPr>
        <w:t xml:space="preserve"> señaló en la sentencia C-580 de 1.992: “(…) Al considerar la norma, que los servicios públicos se prestarán "en beneficio de la comunidad", entendida como un todo, se consagra allí un principio de solidaridad que, elimina la posibilidad que se establezca la prestación de los mismos, en condiciones favorables a sólo una parte del conglomerado social.  Más aún, se impone en ella, tomar en cuenta los distintos estratos sociales que participan como usuarios de los servicios públicos, según su capacidad económica, para establecer un régimen tarifario diferencial, que consulta una función redistributiva del costo de los servicios, de acuerdo con la capacidad económica del usuario del servicio, para evitar que sea igual la tarifa para los sectores más ricos de la comunidad que para los más pobres, con lo que se impide que una mayor proporción de la riqueza se concentre en pequeños segmentos de la población, mientras que las grandes mayorías asumen el mayor costo de los servicios.(…)”</w:t>
      </w:r>
      <w:r>
        <w:rPr>
          <w:rFonts w:ascii="Verdana" w:hAnsi="Verdana"/>
          <w:sz w:val="16"/>
          <w:szCs w:val="16"/>
        </w:rPr>
        <w:t>.</w:t>
      </w:r>
    </w:p>
    <w:p w14:paraId="19170B7B" w14:textId="77777777" w:rsidR="00813702" w:rsidRPr="003B2822" w:rsidRDefault="00813702" w:rsidP="00813702">
      <w:pPr>
        <w:pStyle w:val="Textonotapie"/>
        <w:ind w:firstLine="708"/>
        <w:jc w:val="both"/>
        <w:rPr>
          <w:rFonts w:ascii="Verdana" w:hAnsi="Verdana"/>
          <w:sz w:val="16"/>
          <w:szCs w:val="16"/>
          <w:lang w:val="es-CO"/>
        </w:rPr>
      </w:pPr>
    </w:p>
  </w:footnote>
  <w:footnote w:id="15">
    <w:p w14:paraId="24203CCF" w14:textId="77777777" w:rsidR="00813702" w:rsidRDefault="00813702" w:rsidP="00813702">
      <w:pPr>
        <w:pStyle w:val="Textonotapie"/>
        <w:ind w:firstLine="708"/>
        <w:jc w:val="both"/>
        <w:rPr>
          <w:rFonts w:ascii="Verdana" w:hAnsi="Verdana"/>
          <w:sz w:val="16"/>
          <w:szCs w:val="16"/>
          <w:lang w:val="es-ES"/>
        </w:rPr>
      </w:pPr>
      <w:r w:rsidRPr="00BC61F4">
        <w:rPr>
          <w:rStyle w:val="Refdenotaalpie"/>
          <w:rFonts w:ascii="Verdana" w:hAnsi="Verdana"/>
          <w:sz w:val="16"/>
          <w:szCs w:val="16"/>
        </w:rPr>
        <w:footnoteRef/>
      </w:r>
      <w:r w:rsidRPr="00BC61F4">
        <w:rPr>
          <w:rFonts w:ascii="Verdana" w:hAnsi="Verdana"/>
          <w:sz w:val="16"/>
          <w:szCs w:val="16"/>
        </w:rPr>
        <w:t xml:space="preserve"> MARÍN CORTÉS, Fabián Gonzalo. Los servicios semipúblicos domiciliarios. Bogotá: Temis, 2010</w:t>
      </w:r>
      <w:r>
        <w:rPr>
          <w:rFonts w:ascii="Verdana" w:hAnsi="Verdana"/>
          <w:sz w:val="16"/>
          <w:szCs w:val="16"/>
        </w:rPr>
        <w:t>.</w:t>
      </w:r>
      <w:r w:rsidRPr="00BC61F4">
        <w:rPr>
          <w:rFonts w:ascii="Verdana" w:hAnsi="Verdana"/>
          <w:sz w:val="16"/>
          <w:szCs w:val="16"/>
        </w:rPr>
        <w:t xml:space="preserve"> p. </w:t>
      </w:r>
      <w:r w:rsidRPr="00BC61F4">
        <w:rPr>
          <w:rFonts w:ascii="Verdana" w:hAnsi="Verdana"/>
          <w:sz w:val="16"/>
          <w:szCs w:val="16"/>
          <w:lang w:val="es-ES"/>
        </w:rPr>
        <w:t xml:space="preserve">483. </w:t>
      </w:r>
    </w:p>
    <w:p w14:paraId="03C9A3D9" w14:textId="77777777" w:rsidR="00813702" w:rsidRPr="00BC61F4" w:rsidRDefault="00813702" w:rsidP="00813702">
      <w:pPr>
        <w:pStyle w:val="Textonotapie"/>
        <w:ind w:firstLine="708"/>
        <w:jc w:val="both"/>
        <w:rPr>
          <w:rFonts w:ascii="Verdana" w:hAnsi="Verdana"/>
          <w:sz w:val="16"/>
          <w:szCs w:val="16"/>
          <w:lang w:val="es-ES"/>
        </w:rPr>
      </w:pPr>
    </w:p>
  </w:footnote>
  <w:footnote w:id="16">
    <w:p w14:paraId="699F7CB8" w14:textId="77777777" w:rsidR="00813702" w:rsidRPr="00BC61F4" w:rsidRDefault="00813702" w:rsidP="00813702">
      <w:pPr>
        <w:pStyle w:val="Textonotapie"/>
        <w:ind w:firstLine="708"/>
        <w:jc w:val="both"/>
        <w:rPr>
          <w:rFonts w:ascii="Verdana" w:hAnsi="Verdana"/>
          <w:sz w:val="16"/>
          <w:szCs w:val="16"/>
          <w:lang w:val="es-CO"/>
        </w:rPr>
      </w:pPr>
      <w:r w:rsidRPr="00BC61F4">
        <w:rPr>
          <w:rStyle w:val="Refdenotaalpie"/>
          <w:rFonts w:ascii="Verdana" w:hAnsi="Verdana"/>
          <w:sz w:val="16"/>
          <w:szCs w:val="16"/>
        </w:rPr>
        <w:footnoteRef/>
      </w:r>
      <w:r w:rsidRPr="00BC61F4">
        <w:rPr>
          <w:rFonts w:ascii="Verdana" w:hAnsi="Verdana"/>
          <w:sz w:val="16"/>
          <w:szCs w:val="16"/>
        </w:rPr>
        <w:t xml:space="preserve"> </w:t>
      </w:r>
      <w:r w:rsidRPr="00BC61F4">
        <w:rPr>
          <w:rFonts w:ascii="Verdana" w:hAnsi="Verdana"/>
          <w:bCs/>
          <w:sz w:val="16"/>
          <w:szCs w:val="16"/>
          <w:lang w:val="es-CO"/>
        </w:rPr>
        <w:t>Artículo 3°. Instrumentos de la intervención estatal.</w:t>
      </w:r>
      <w:r w:rsidRPr="00BC61F4">
        <w:rPr>
          <w:rFonts w:ascii="Verdana" w:hAnsi="Verdana"/>
          <w:sz w:val="16"/>
          <w:szCs w:val="16"/>
          <w:lang w:val="es-CO"/>
        </w:rPr>
        <w:t> Constituyen instrumentos para la intervención estatal en los servicios públicos todas las atribuciones y funciones asignadas a las entidades, autoridades y organismos de que trata esta Ley, especialmente las relativas a las siguientes materias: </w:t>
      </w:r>
    </w:p>
    <w:p w14:paraId="26808439"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3.1. Promoción y apoyo a personas que presten los servicios públicos. </w:t>
      </w:r>
    </w:p>
    <w:p w14:paraId="2B5D4F55"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3.2. Gestión y obtención de recursos para la prestación de servicios. </w:t>
      </w:r>
    </w:p>
    <w:p w14:paraId="35B93470"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3.3. Regulación de la prestación de los servicios públicos teniendo en cuenta las características de cada región; fijación de metas de eficiencia, cobertura y calidad, evaluación de las mismas, y definición del régimen tarifario. </w:t>
      </w:r>
    </w:p>
    <w:p w14:paraId="1D1D8E3F" w14:textId="77777777" w:rsidR="00813702" w:rsidRPr="00BC61F4" w:rsidRDefault="00813702" w:rsidP="00813702">
      <w:pPr>
        <w:pStyle w:val="Textonotapie"/>
        <w:jc w:val="both"/>
        <w:rPr>
          <w:rFonts w:ascii="Verdana" w:hAnsi="Verdana"/>
          <w:sz w:val="16"/>
          <w:szCs w:val="16"/>
          <w:lang w:val="es-CO"/>
        </w:rPr>
      </w:pPr>
      <w:r w:rsidRPr="00BC61F4">
        <w:rPr>
          <w:rFonts w:ascii="Verdana" w:hAnsi="Verdana"/>
          <w:sz w:val="16"/>
          <w:szCs w:val="16"/>
          <w:lang w:val="es-CO"/>
        </w:rPr>
        <w:t> </w:t>
      </w:r>
      <w:r w:rsidRPr="00BC61F4">
        <w:rPr>
          <w:rFonts w:ascii="Verdana" w:hAnsi="Verdana"/>
          <w:sz w:val="16"/>
          <w:szCs w:val="16"/>
          <w:lang w:val="es-CO"/>
        </w:rPr>
        <w:tab/>
        <w:t>3.4. Control y vigilancia de la observancia de las normas y de los planes y programas sobre la materia. </w:t>
      </w:r>
    </w:p>
    <w:p w14:paraId="11E6CD66"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3.5. Organización de sistemas de información, capacitación y asistencia técnica. </w:t>
      </w:r>
    </w:p>
    <w:p w14:paraId="5E62729B"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3.6. Protección de los recursos naturales. </w:t>
      </w:r>
    </w:p>
    <w:p w14:paraId="01D39920"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3.7. Otorgamiento de subsidios a las personas de menores ingresos. </w:t>
      </w:r>
    </w:p>
    <w:p w14:paraId="2DA61AEC"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3.8. Estímulo a la inversión de los particulares en los servicios públicos. </w:t>
      </w:r>
    </w:p>
    <w:p w14:paraId="58638F5A"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3.9. Respeto del principio de neutralidad, a fin de asegurar que no exista ninguna práctica discriminatoria en la prestación de los servicios. </w:t>
      </w:r>
    </w:p>
    <w:p w14:paraId="7E7F4256" w14:textId="77777777" w:rsidR="00813702" w:rsidRPr="00BC61F4"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Todas las decisiones de las autoridades en materia de servicios públicos deben fundarse en los motivos que determina esta Ley; y los motivos que invoquen deben ser comprobables. </w:t>
      </w:r>
    </w:p>
    <w:p w14:paraId="7320EADB" w14:textId="77777777" w:rsidR="00813702" w:rsidRPr="008A3E33" w:rsidRDefault="00813702" w:rsidP="00813702">
      <w:pPr>
        <w:pStyle w:val="Textonotapie"/>
        <w:ind w:firstLine="708"/>
        <w:jc w:val="both"/>
        <w:rPr>
          <w:rFonts w:ascii="Verdana" w:hAnsi="Verdana"/>
          <w:sz w:val="16"/>
          <w:szCs w:val="16"/>
          <w:lang w:val="es-CO"/>
        </w:rPr>
      </w:pPr>
      <w:r w:rsidRPr="00BC61F4">
        <w:rPr>
          <w:rFonts w:ascii="Verdana" w:hAnsi="Verdana"/>
          <w:sz w:val="16"/>
          <w:szCs w:val="16"/>
          <w:lang w:val="es-CO"/>
        </w:rPr>
        <w:t>Todos los prestadores quedarán sujetos, en lo que no sea incompatible con la Constitución o con la ley, a todo lo que esta Ley dispone para las empresas y sus administradores y, en especial, a las regulaciones</w:t>
      </w:r>
      <w:r w:rsidRPr="008A3E33">
        <w:rPr>
          <w:rFonts w:ascii="Verdana" w:hAnsi="Verdana"/>
          <w:sz w:val="16"/>
          <w:szCs w:val="16"/>
          <w:lang w:val="es-CO"/>
        </w:rPr>
        <w:t xml:space="preserve"> de las Comisiones, al control, inspección y vigilancia de la Superintendencia de Servicios Públicos, y a las contribuciones para aquéllas y ésta. </w:t>
      </w:r>
    </w:p>
    <w:p w14:paraId="50DEB916" w14:textId="77777777" w:rsidR="00813702" w:rsidRPr="00C45436" w:rsidRDefault="00813702" w:rsidP="00813702">
      <w:pPr>
        <w:pStyle w:val="Textonotapie"/>
        <w:rPr>
          <w:rFonts w:ascii="Verdana" w:hAnsi="Verdana"/>
          <w:sz w:val="16"/>
          <w:szCs w:val="16"/>
          <w:lang w:val="es-ES"/>
        </w:rPr>
      </w:pPr>
    </w:p>
  </w:footnote>
  <w:footnote w:id="17">
    <w:p w14:paraId="0B6F5FA1" w14:textId="77777777" w:rsidR="00813702" w:rsidRPr="00474655" w:rsidRDefault="00813702" w:rsidP="00813702">
      <w:pPr>
        <w:pStyle w:val="Textonotapie"/>
        <w:ind w:firstLine="708"/>
        <w:jc w:val="both"/>
        <w:rPr>
          <w:rFonts w:ascii="Verdana" w:hAnsi="Verdana"/>
          <w:sz w:val="16"/>
          <w:szCs w:val="16"/>
          <w:lang w:val="es-CO"/>
        </w:rPr>
      </w:pPr>
      <w:r w:rsidRPr="00474655">
        <w:rPr>
          <w:rStyle w:val="Refdenotaalpie"/>
          <w:rFonts w:ascii="Verdana" w:hAnsi="Verdana"/>
          <w:sz w:val="16"/>
          <w:szCs w:val="16"/>
        </w:rPr>
        <w:footnoteRef/>
      </w:r>
      <w:r w:rsidRPr="00474655">
        <w:rPr>
          <w:rFonts w:ascii="Verdana" w:hAnsi="Verdana"/>
          <w:sz w:val="16"/>
          <w:szCs w:val="16"/>
        </w:rPr>
        <w:t xml:space="preserve"> </w:t>
      </w:r>
      <w:r w:rsidRPr="00474655">
        <w:rPr>
          <w:rFonts w:ascii="Verdana" w:hAnsi="Verdana"/>
          <w:bCs/>
          <w:sz w:val="16"/>
          <w:szCs w:val="16"/>
          <w:lang w:val="es-CO"/>
        </w:rPr>
        <w:t>Artículo 2.3.5.1.2.2.14. </w:t>
      </w:r>
      <w:r w:rsidRPr="00474655">
        <w:rPr>
          <w:rFonts w:ascii="Verdana" w:hAnsi="Verdana"/>
          <w:bCs/>
          <w:i/>
          <w:iCs/>
          <w:sz w:val="16"/>
          <w:szCs w:val="16"/>
          <w:lang w:val="es-CO"/>
        </w:rPr>
        <w:t>Administración de los recursos del Sistema General de Participaciones para Agua Potable y Saneamiento Básico. </w:t>
      </w:r>
      <w:r w:rsidRPr="00474655">
        <w:rPr>
          <w:rFonts w:ascii="Verdana" w:hAnsi="Verdana"/>
          <w:sz w:val="16"/>
          <w:szCs w:val="16"/>
          <w:lang w:val="es-CO"/>
        </w:rPr>
        <w:t>El departamento, en ejercicio de la competencia asignada por el artículo 5° de la Ley 1176 de 2007, administrará los recursos del Sistema General de Participaciones para Agua Potable y Saneamiento Básico asignados al municipio o distrito descertificado, a partir de la fecha en que quede ejecutoriado el acto administrativo expedido por la Superintendencia de Servicios Públicos Domiciliarios, y en tal virtud le corresponde: </w:t>
      </w:r>
    </w:p>
    <w:p w14:paraId="4AB466C6"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1. Realizar reunión de empalme con el fin de oficializar la recepción del cierre operativo del municipio o distrito descertificado donde el departamento reciba el balance detallado de la ejecución de ingresos: apropiación y recaudo efectivo; y de la ejecución de los gastos: apropiación, compromisos, obligaciones y pagos, de los recursos correspondientes al Sistema General de Participaciones – APSB ejecutados por el municipio o distrito. El Gobernador realizará dicha reunión, dentro de los 15 días siguientes a la fecha de ejecutoria del acto de descertificación del municipio o distrito de su jurisdicción. Si por razones de fuerza mayor el gobernador no puede asistir, solo podrá delegar esta función en el Secretario de Hacienda del departamento o quien haga sus veces. </w:t>
      </w:r>
    </w:p>
    <w:p w14:paraId="05D7981E"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Las cifras del cierre operativo tendrán como fecha de corte la ejecutoria del acto administrativo de la descertificación y como soporte la ejecución presupuestal de ingresos y gastos a esa fecha y las certificaciones bancarias de los saldos correspondientes. Los saldos sin ejecutar, las cuentas por pagar y las reservas presupuestales serán incorporados como rentas administradas en el presupuesto del departamento en la cuenta del municipio correspondiente. </w:t>
      </w:r>
    </w:p>
    <w:p w14:paraId="3AF376BD"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2. Administrar, apropiar, incorporar, comprometer, ordenar el gasto y ejecutar los recursos asignados, los recursos de créditos y los recursos del balance del Sistema General de Participaciones para agua potable y saneamiento de los municipios y distritos descertificados, en el presupuesto del departamento y llevar contabilidad en forma independiente disponiendo de una cuenta bancaria para cada municipio o distrito, de conformidad con el plan de desarrollo del municipio o distrito descertificado. </w:t>
      </w:r>
    </w:p>
    <w:p w14:paraId="291F0136"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3. Presupuestar y contabilizar sin situación de fondos los recursos girados directamente a los prestadores de los servicios de acueducto, alcantarillado y aseo, a los patrimonios autónomos o a los esquemas fiduciarios constituidos para el manejo de los recursos del Sistema General de Participaciones para Agua Potable y Saneamiento Básico. </w:t>
      </w:r>
    </w:p>
    <w:p w14:paraId="257E3236"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4. Suscribir los contratos que sean requeridos para asegurar la adecuada destinación de los recursos del Sistema General de Participaciones para Agua Potable y Saneamiento Básico. </w:t>
      </w:r>
    </w:p>
    <w:p w14:paraId="755900EE"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5. Suscribir con las personas prestadoras de los servicios públicos los contratos o convenios de que trata el artículo 2.3.4.1.2.11 del capítulo I del título IV del presente Libro o la norma que lo modifique, complemente o sustituya, para el otorgamiento de subsidios con cargo al SGP. Los contratos o convenios para la financiación de subsidios con cargo a otras fuentes diferentes al Sistema General de Participaciones serán suscritos y ejecutados por el municipio o distrito descertificado. </w:t>
      </w:r>
    </w:p>
    <w:p w14:paraId="728596F4" w14:textId="77777777" w:rsidR="00813702" w:rsidRPr="00474655" w:rsidRDefault="00813702" w:rsidP="00813702">
      <w:pPr>
        <w:pStyle w:val="Textonotapie"/>
        <w:ind w:firstLine="708"/>
        <w:jc w:val="both"/>
        <w:rPr>
          <w:rFonts w:ascii="Verdana" w:hAnsi="Verdana"/>
          <w:sz w:val="16"/>
          <w:szCs w:val="16"/>
          <w:lang w:val="es-CO"/>
        </w:rPr>
      </w:pPr>
      <w:r w:rsidRPr="00474655">
        <w:rPr>
          <w:rFonts w:ascii="Verdana" w:hAnsi="Verdana"/>
          <w:sz w:val="16"/>
          <w:szCs w:val="16"/>
          <w:lang w:val="es-CO"/>
        </w:rPr>
        <w:t>6. Cumplir con los compromisos adquiridos por el municipio o distrito descertificado con anterioridad a la fecha de ejecutoria del acto administrativo expedido por la Superintendencia de Servicios Públicos Domiciliarios que impone la descertificación, que hayan sido financiados con los recursos del Sistema General de Participaciones para Agua Potable y Saneamiento Básico y cuyo objeto sea cualquiera de las actividades establecidas en el artículo 11 de la Ley 1176 de 2007. </w:t>
      </w:r>
    </w:p>
    <w:p w14:paraId="09FD0F72" w14:textId="77777777" w:rsidR="00813702" w:rsidRPr="00C45436" w:rsidRDefault="00813702" w:rsidP="00813702">
      <w:pPr>
        <w:pStyle w:val="Textonotapie"/>
        <w:rPr>
          <w:rFonts w:ascii="Verdana" w:hAnsi="Verdana"/>
          <w:sz w:val="16"/>
          <w:szCs w:val="16"/>
          <w:lang w:val="es-CO"/>
        </w:rPr>
      </w:pPr>
      <w:r w:rsidRPr="00C45436">
        <w:rPr>
          <w:rFonts w:ascii="Verdana" w:hAnsi="Verdana"/>
          <w:sz w:val="16"/>
          <w:szCs w:val="16"/>
          <w:lang w:val="es-CO"/>
        </w:rPr>
        <w:t>[…]</w:t>
      </w:r>
    </w:p>
  </w:footnote>
  <w:footnote w:id="18">
    <w:p w14:paraId="4C46452E" w14:textId="77777777" w:rsidR="00813702" w:rsidRPr="00C45436" w:rsidRDefault="00813702" w:rsidP="00813702">
      <w:pPr>
        <w:spacing w:after="0" w:line="240" w:lineRule="auto"/>
        <w:ind w:firstLine="709"/>
        <w:jc w:val="both"/>
        <w:rPr>
          <w:rFonts w:ascii="Verdana" w:eastAsia="Times New Roman"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3" w:name="33"/>
      <w:r w:rsidRPr="00C45436">
        <w:rPr>
          <w:rFonts w:ascii="Verdana" w:eastAsia="Calibri" w:hAnsi="Verdana" w:cs="Arial"/>
          <w:color w:val="000000"/>
          <w:sz w:val="16"/>
          <w:szCs w:val="16"/>
        </w:rPr>
        <w:t>“</w:t>
      </w:r>
      <w:r w:rsidRPr="00C45436">
        <w:rPr>
          <w:rFonts w:ascii="Verdana" w:eastAsia="Times New Roman" w:hAnsi="Verdana" w:cs="Arial"/>
          <w:sz w:val="16"/>
          <w:szCs w:val="16"/>
        </w:rPr>
        <w:t>Artículo 33. Restricciones a la contratación pública.</w:t>
      </w:r>
      <w:bookmarkEnd w:id="3"/>
      <w:r w:rsidRPr="00C45436">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ED8DB77" w14:textId="77777777" w:rsidR="00813702" w:rsidRDefault="00813702" w:rsidP="00813702">
      <w:pPr>
        <w:spacing w:after="0" w:line="240" w:lineRule="auto"/>
        <w:ind w:firstLine="709"/>
        <w:jc w:val="both"/>
        <w:rPr>
          <w:rFonts w:ascii="Verdana" w:eastAsia="Times New Roman" w:hAnsi="Verdana" w:cs="Arial"/>
          <w:sz w:val="16"/>
          <w:szCs w:val="16"/>
        </w:rPr>
      </w:pPr>
      <w:r w:rsidRPr="00C45436">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45436">
        <w:rPr>
          <w:rFonts w:ascii="Verdana" w:eastAsia="Calibri" w:hAnsi="Verdana" w:cs="Arial"/>
          <w:color w:val="000000"/>
          <w:sz w:val="16"/>
          <w:szCs w:val="16"/>
        </w:rPr>
        <w:t>”</w:t>
      </w:r>
      <w:r w:rsidRPr="00C45436">
        <w:rPr>
          <w:rFonts w:ascii="Verdana" w:eastAsia="Times New Roman" w:hAnsi="Verdana" w:cs="Arial"/>
          <w:sz w:val="16"/>
          <w:szCs w:val="16"/>
        </w:rPr>
        <w:t>.</w:t>
      </w:r>
    </w:p>
    <w:p w14:paraId="20683155" w14:textId="77777777" w:rsidR="00813702" w:rsidRPr="00C45436" w:rsidRDefault="00813702" w:rsidP="00813702">
      <w:pPr>
        <w:spacing w:after="0" w:line="240" w:lineRule="auto"/>
        <w:ind w:firstLine="709"/>
        <w:jc w:val="both"/>
        <w:rPr>
          <w:rFonts w:ascii="Verdana" w:eastAsia="Times New Roman" w:hAnsi="Verdana" w:cs="Arial"/>
          <w:sz w:val="16"/>
          <w:szCs w:val="16"/>
        </w:rPr>
      </w:pPr>
    </w:p>
  </w:footnote>
  <w:footnote w:id="19">
    <w:p w14:paraId="58396032" w14:textId="77777777" w:rsidR="00813702" w:rsidRPr="00C45436" w:rsidRDefault="00813702" w:rsidP="00813702">
      <w:pPr>
        <w:pStyle w:val="NormalWeb"/>
        <w:spacing w:before="0" w:beforeAutospacing="0" w:after="0" w:afterAutospacing="0"/>
        <w:ind w:firstLine="709"/>
        <w:jc w:val="both"/>
        <w:rPr>
          <w:rFonts w:ascii="Verdana" w:hAnsi="Verdana" w:cs="Arial"/>
          <w:sz w:val="16"/>
          <w:szCs w:val="16"/>
          <w:lang w:val="es-MX"/>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4" w:name="38"/>
      <w:r w:rsidRPr="00C45436">
        <w:rPr>
          <w:rFonts w:ascii="Verdana" w:eastAsia="Calibri" w:hAnsi="Verdana" w:cs="Arial"/>
          <w:color w:val="000000"/>
          <w:sz w:val="16"/>
          <w:szCs w:val="16"/>
        </w:rPr>
        <w:t>“</w:t>
      </w:r>
      <w:r w:rsidRPr="00C45436">
        <w:rPr>
          <w:rFonts w:ascii="Verdana" w:hAnsi="Verdana" w:cs="Arial"/>
          <w:sz w:val="16"/>
          <w:szCs w:val="16"/>
          <w:lang w:val="es-MX"/>
        </w:rPr>
        <w:t>Artículo 38. Prohibiciones para los servidores públicos. A los empleados del Estado les está prohibido:</w:t>
      </w:r>
      <w:bookmarkEnd w:id="4"/>
      <w:r w:rsidRPr="00C45436">
        <w:rPr>
          <w:rFonts w:ascii="Verdana" w:hAnsi="Verdana" w:cs="Arial"/>
          <w:sz w:val="16"/>
          <w:szCs w:val="16"/>
          <w:lang w:val="es-MX"/>
        </w:rPr>
        <w:t xml:space="preserve"> […] </w:t>
      </w:r>
      <w:r w:rsidRPr="00C45436">
        <w:rPr>
          <w:rStyle w:val="baj"/>
          <w:rFonts w:ascii="Verdana" w:hAnsi="Verdana" w:cs="Arial"/>
          <w:sz w:val="16"/>
          <w:szCs w:val="16"/>
          <w:lang w:val="es-MX"/>
        </w:rPr>
        <w:t>Parágrafo.</w:t>
      </w:r>
      <w:r w:rsidRPr="00C45436">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5436">
        <w:rPr>
          <w:rFonts w:ascii="Verdana" w:eastAsia="Calibri" w:hAnsi="Verdana" w:cs="Arial"/>
          <w:color w:val="000000"/>
          <w:sz w:val="16"/>
          <w:szCs w:val="16"/>
        </w:rPr>
        <w:t>”</w:t>
      </w:r>
      <w:r w:rsidRPr="00C45436">
        <w:rPr>
          <w:rFonts w:ascii="Verdana" w:hAnsi="Verdana" w:cs="Arial"/>
          <w:sz w:val="16"/>
          <w:szCs w:val="16"/>
          <w:lang w:val="es-MX"/>
        </w:rPr>
        <w:t>.</w:t>
      </w:r>
    </w:p>
  </w:footnote>
  <w:footnote w:id="20">
    <w:p w14:paraId="2C2C4198" w14:textId="77777777" w:rsidR="00813702" w:rsidRDefault="00813702" w:rsidP="00813702">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16.5. </w:t>
      </w:r>
    </w:p>
    <w:p w14:paraId="38DD3F7B" w14:textId="77777777" w:rsidR="00813702" w:rsidRPr="00C45436" w:rsidRDefault="00813702" w:rsidP="00813702">
      <w:pPr>
        <w:pStyle w:val="Textonotapie"/>
        <w:ind w:firstLine="708"/>
        <w:jc w:val="both"/>
        <w:rPr>
          <w:rFonts w:ascii="Verdana" w:hAnsi="Verdana" w:cs="Arial"/>
          <w:sz w:val="16"/>
          <w:szCs w:val="16"/>
        </w:rPr>
      </w:pPr>
    </w:p>
  </w:footnote>
  <w:footnote w:id="21">
    <w:p w14:paraId="1AD934AB" w14:textId="77777777" w:rsidR="00813702" w:rsidRPr="00C45436" w:rsidRDefault="00813702" w:rsidP="00813702">
      <w:pPr>
        <w:spacing w:after="0" w:line="240" w:lineRule="auto"/>
        <w:ind w:left="100" w:right="244" w:firstLine="608"/>
        <w:jc w:val="both"/>
        <w:rPr>
          <w:rFonts w:ascii="Verdana" w:hAnsi="Verdana" w:cs="Arial"/>
          <w:sz w:val="16"/>
          <w:szCs w:val="16"/>
          <w:lang w:val="es-ES"/>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17 de febrero de 2015. Rad. 2269.</w:t>
      </w:r>
      <w:r>
        <w:rPr>
          <w:rFonts w:ascii="Verdana" w:hAnsi="Verdana" w:cs="Arial"/>
          <w:sz w:val="16"/>
          <w:szCs w:val="16"/>
        </w:rPr>
        <w:t xml:space="preserve"> </w:t>
      </w:r>
      <w:r w:rsidRPr="00C45436">
        <w:rPr>
          <w:rFonts w:ascii="Verdana" w:hAnsi="Verdana" w:cs="Arial"/>
          <w:sz w:val="16"/>
          <w:szCs w:val="16"/>
        </w:rPr>
        <w:t>C.P</w:t>
      </w:r>
      <w:r>
        <w:rPr>
          <w:rFonts w:ascii="Verdana" w:hAnsi="Verdana" w:cs="Arial"/>
          <w:sz w:val="16"/>
          <w:szCs w:val="16"/>
        </w:rPr>
        <w:t>:</w:t>
      </w:r>
      <w:r w:rsidRPr="00C45436">
        <w:rPr>
          <w:rFonts w:ascii="Verdana" w:hAnsi="Verdana" w:cs="Arial"/>
          <w:sz w:val="16"/>
          <w:szCs w:val="16"/>
        </w:rPr>
        <w:t xml:space="preserve"> William Zambrano Cetina. </w:t>
      </w:r>
    </w:p>
  </w:footnote>
  <w:footnote w:id="22">
    <w:p w14:paraId="19C63594" w14:textId="77777777" w:rsidR="00813702" w:rsidRPr="00C45436" w:rsidRDefault="00813702" w:rsidP="00813702">
      <w:pPr>
        <w:pStyle w:val="Textonotapie"/>
        <w:ind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08 de mayo de 2018.</w:t>
      </w:r>
      <w:r>
        <w:rPr>
          <w:rFonts w:ascii="Verdana" w:hAnsi="Verdana" w:cs="Arial"/>
          <w:sz w:val="16"/>
          <w:szCs w:val="16"/>
        </w:rPr>
        <w:t xml:space="preserve"> </w:t>
      </w:r>
      <w:r w:rsidRPr="00C45436">
        <w:rPr>
          <w:rFonts w:ascii="Verdana" w:hAnsi="Verdana" w:cs="Arial"/>
          <w:sz w:val="16"/>
          <w:szCs w:val="16"/>
        </w:rPr>
        <w:t>Rad. 2.382</w:t>
      </w:r>
      <w:r>
        <w:rPr>
          <w:rFonts w:ascii="Verdana" w:hAnsi="Verdana" w:cs="Arial"/>
          <w:sz w:val="16"/>
          <w:szCs w:val="16"/>
        </w:rPr>
        <w:t>.</w:t>
      </w:r>
      <w:r w:rsidRPr="00C45436">
        <w:rPr>
          <w:rFonts w:ascii="Verdana" w:hAnsi="Verdana" w:cs="Arial"/>
          <w:sz w:val="16"/>
          <w:szCs w:val="16"/>
          <w:lang w:val="es-CO"/>
        </w:rPr>
        <w:t xml:space="preserve"> C.P</w:t>
      </w:r>
      <w:r>
        <w:rPr>
          <w:rFonts w:ascii="Verdana" w:hAnsi="Verdana" w:cs="Arial"/>
          <w:sz w:val="16"/>
          <w:szCs w:val="16"/>
          <w:lang w:val="es-CO"/>
        </w:rPr>
        <w:t>:</w:t>
      </w:r>
      <w:r w:rsidRPr="00C45436">
        <w:rPr>
          <w:rFonts w:ascii="Verdana" w:hAnsi="Verdana" w:cs="Arial"/>
          <w:sz w:val="16"/>
          <w:szCs w:val="16"/>
          <w:lang w:val="es-CO"/>
        </w:rPr>
        <w:t xml:space="preserve"> Álvaro Namén Vargas.</w:t>
      </w:r>
    </w:p>
  </w:footnote>
  <w:footnote w:id="23">
    <w:p w14:paraId="64021DBE" w14:textId="77777777" w:rsidR="00813702" w:rsidRPr="00C45436" w:rsidRDefault="00813702" w:rsidP="00813702">
      <w:pPr>
        <w:pStyle w:val="Textonotapie"/>
        <w:ind w:firstLine="708"/>
        <w:jc w:val="both"/>
        <w:rPr>
          <w:rFonts w:ascii="Verdana" w:hAnsi="Verdana"/>
          <w:sz w:val="16"/>
          <w:szCs w:val="16"/>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eastAsia="Arial" w:hAnsi="Verdana" w:cs="Arial"/>
          <w:sz w:val="16"/>
          <w:szCs w:val="16"/>
          <w:lang w:eastAsia="es-ES" w:bidi="es-ES"/>
        </w:rPr>
        <w:t xml:space="preserve">Mediante sentencia del 17 de octubre de 2025, emitida por la Sección Tercera del Consejo de Estado, dentro del expediente </w:t>
      </w:r>
      <w:r w:rsidRPr="00C45436">
        <w:rPr>
          <w:rFonts w:ascii="Verdana" w:eastAsia="Times New Roman" w:hAnsi="Verdana" w:cs="Times New Roman"/>
          <w:sz w:val="16"/>
          <w:szCs w:val="16"/>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footnote>
  <w:footnote w:id="24">
    <w:p w14:paraId="403BFDF5" w14:textId="77777777" w:rsidR="00813702" w:rsidRDefault="00813702" w:rsidP="00813702">
      <w:pPr>
        <w:pStyle w:val="Textonotapie"/>
        <w:ind w:firstLine="708"/>
        <w:rPr>
          <w:rFonts w:ascii="Verdana" w:hAnsi="Verdana"/>
          <w:sz w:val="16"/>
          <w:szCs w:val="16"/>
        </w:rPr>
      </w:pPr>
      <w:r w:rsidRPr="004F6BEA">
        <w:rPr>
          <w:rStyle w:val="Refdenotaalpie"/>
          <w:rFonts w:ascii="Verdana" w:hAnsi="Verdana"/>
          <w:sz w:val="16"/>
          <w:szCs w:val="16"/>
        </w:rPr>
        <w:footnoteRef/>
      </w:r>
      <w:r w:rsidRPr="004F6BEA">
        <w:rPr>
          <w:rFonts w:ascii="Verdana" w:hAnsi="Verdana"/>
          <w:sz w:val="16"/>
          <w:szCs w:val="16"/>
        </w:rPr>
        <w:t xml:space="preserve"> </w:t>
      </w:r>
      <w:r>
        <w:rPr>
          <w:rFonts w:ascii="Verdana" w:hAnsi="Verdana"/>
          <w:sz w:val="16"/>
          <w:szCs w:val="16"/>
        </w:rPr>
        <w:t xml:space="preserve">Superintendencia de Servicios Públicos Domiciliarios. Conceptos C-086 de 2022 y C-194 de 2022. </w:t>
      </w:r>
    </w:p>
    <w:p w14:paraId="588A641D" w14:textId="77777777" w:rsidR="00813702" w:rsidRPr="004F6BEA" w:rsidRDefault="00813702" w:rsidP="00813702">
      <w:pPr>
        <w:pStyle w:val="Textonotapie"/>
        <w:ind w:firstLine="708"/>
        <w:rPr>
          <w:rFonts w:ascii="Verdana" w:hAnsi="Verdana"/>
          <w:sz w:val="16"/>
          <w:szCs w:val="16"/>
          <w:lang w:val="es-CO"/>
        </w:rPr>
      </w:pPr>
    </w:p>
  </w:footnote>
  <w:footnote w:id="25">
    <w:p w14:paraId="502F8AA5" w14:textId="77777777" w:rsidR="00813702" w:rsidRPr="00F5052E" w:rsidRDefault="00813702" w:rsidP="00813702">
      <w:pPr>
        <w:pStyle w:val="Textonotapie"/>
        <w:ind w:firstLine="708"/>
        <w:jc w:val="both"/>
        <w:rPr>
          <w:rFonts w:ascii="Verdana" w:hAnsi="Verdana"/>
          <w:sz w:val="16"/>
          <w:szCs w:val="16"/>
          <w:lang w:val="es-CO"/>
        </w:rPr>
      </w:pPr>
      <w:r w:rsidRPr="00F5052E">
        <w:rPr>
          <w:rStyle w:val="Refdenotaalpie"/>
          <w:rFonts w:ascii="Verdana" w:hAnsi="Verdana"/>
          <w:sz w:val="16"/>
          <w:szCs w:val="16"/>
        </w:rPr>
        <w:footnoteRef/>
      </w:r>
      <w:r w:rsidRPr="00F5052E">
        <w:rPr>
          <w:rFonts w:ascii="Verdana" w:hAnsi="Verdana"/>
          <w:sz w:val="16"/>
          <w:szCs w:val="16"/>
        </w:rPr>
        <w:t xml:space="preserve"> </w:t>
      </w:r>
      <w:r w:rsidRPr="00F5052E">
        <w:rPr>
          <w:rFonts w:ascii="Verdana" w:hAnsi="Verdana"/>
          <w:sz w:val="16"/>
          <w:szCs w:val="16"/>
          <w:lang w:val="es-CO"/>
        </w:rPr>
        <w:t>Consejo de Estado, Sala de Consulta y Servicio Civil. Concepto del 6 de abril de 2006, Rad. 1736. C.P</w:t>
      </w:r>
      <w:r>
        <w:rPr>
          <w:rFonts w:ascii="Verdana" w:hAnsi="Verdana"/>
          <w:sz w:val="16"/>
          <w:szCs w:val="16"/>
          <w:lang w:val="es-CO"/>
        </w:rPr>
        <w:t>:</w:t>
      </w:r>
      <w:r w:rsidRPr="00F5052E">
        <w:rPr>
          <w:rFonts w:ascii="Verdana" w:hAnsi="Verdana"/>
          <w:sz w:val="16"/>
          <w:szCs w:val="16"/>
          <w:lang w:val="es-CO"/>
        </w:rPr>
        <w:t xml:space="preserve"> Luis Fernando Álvarez Jaramillo. </w:t>
      </w:r>
    </w:p>
  </w:footnote>
  <w:footnote w:id="26">
    <w:p w14:paraId="4AE6BB2D" w14:textId="77777777" w:rsidR="00813702" w:rsidRDefault="00813702" w:rsidP="00813702">
      <w:pPr>
        <w:pStyle w:val="Textonotapie"/>
        <w:ind w:right="51"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20 de febrero de 2006. Rad. 1727. C.P</w:t>
      </w:r>
      <w:r>
        <w:rPr>
          <w:rFonts w:ascii="Verdana" w:hAnsi="Verdana" w:cs="Arial"/>
          <w:sz w:val="16"/>
          <w:szCs w:val="16"/>
        </w:rPr>
        <w:t>:</w:t>
      </w:r>
      <w:r w:rsidRPr="00C45436">
        <w:rPr>
          <w:rFonts w:ascii="Verdana" w:hAnsi="Verdana" w:cs="Arial"/>
          <w:sz w:val="16"/>
          <w:szCs w:val="16"/>
        </w:rPr>
        <w:t xml:space="preserve"> Enrique José Arboleda Perdomo. </w:t>
      </w:r>
    </w:p>
    <w:p w14:paraId="10A78205" w14:textId="77777777" w:rsidR="00813702" w:rsidRPr="00C45436" w:rsidRDefault="00813702" w:rsidP="00813702">
      <w:pPr>
        <w:pStyle w:val="Textonotapie"/>
        <w:ind w:right="51" w:firstLine="709"/>
        <w:jc w:val="both"/>
        <w:rPr>
          <w:rFonts w:ascii="Verdana" w:hAnsi="Verdana" w:cs="Arial"/>
          <w:sz w:val="16"/>
          <w:szCs w:val="16"/>
        </w:rPr>
      </w:pPr>
    </w:p>
  </w:footnote>
  <w:footnote w:id="27">
    <w:p w14:paraId="0533B709" w14:textId="77777777" w:rsidR="00813702" w:rsidRPr="00C45436" w:rsidRDefault="00813702" w:rsidP="00813702">
      <w:pPr>
        <w:pStyle w:val="Textonotapie"/>
        <w:ind w:firstLine="709"/>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hAnsi="Verdana" w:cs="Arial"/>
          <w:sz w:val="16"/>
          <w:szCs w:val="16"/>
        </w:rPr>
        <w:t>Consejo de Estado. Sala de Consulta y Servicio Civil. Concepto de 6 de abril de 2006. Rad. 1738. C.P</w:t>
      </w:r>
      <w:r>
        <w:rPr>
          <w:rFonts w:ascii="Verdana" w:hAnsi="Verdana" w:cs="Arial"/>
          <w:sz w:val="16"/>
          <w:szCs w:val="16"/>
        </w:rPr>
        <w:t>:</w:t>
      </w:r>
      <w:r w:rsidRPr="00C45436">
        <w:rPr>
          <w:rFonts w:ascii="Verdana" w:hAnsi="Verdana" w:cs="Arial"/>
          <w:sz w:val="16"/>
          <w:szCs w:val="16"/>
        </w:rPr>
        <w:t xml:space="preserve"> Enrique José Arboleda Perdomo.</w:t>
      </w:r>
    </w:p>
  </w:footnote>
  <w:footnote w:id="28">
    <w:p w14:paraId="2C01971B" w14:textId="77777777" w:rsidR="00813702" w:rsidRPr="00C45436" w:rsidRDefault="00813702" w:rsidP="00813702">
      <w:pPr>
        <w:pStyle w:val="Textonotapie"/>
        <w:ind w:firstLine="709"/>
        <w:contextualSpacing/>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11" w:name="_Hlk192533196"/>
      <w:r w:rsidRPr="00C45436">
        <w:rPr>
          <w:rFonts w:ascii="Verdana" w:hAnsi="Verdana" w:cs="Arial"/>
          <w:sz w:val="16"/>
          <w:szCs w:val="16"/>
        </w:rPr>
        <w:t>Consejo de Estado. Sala de Consulta y Servicio Civil. Concepto del 15 de noviembre de 2007. Rad. 1863. C.P: Luis Fernando Álvarez Jaramillo.</w:t>
      </w:r>
      <w:bookmarkEnd w:id="11"/>
    </w:p>
  </w:footnote>
  <w:footnote w:id="29">
    <w:p w14:paraId="540EC18C" w14:textId="77777777" w:rsidR="00813702" w:rsidRPr="00C45436" w:rsidRDefault="00813702" w:rsidP="00813702">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FB7985"/>
    <w:multiLevelType w:val="hybridMultilevel"/>
    <w:tmpl w:val="6D723D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691346076">
    <w:abstractNumId w:val="3"/>
  </w:num>
  <w:num w:numId="18" w16cid:durableId="16466197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09F4"/>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4767"/>
    <w:rsid w:val="002421BB"/>
    <w:rsid w:val="00244192"/>
    <w:rsid w:val="0025796E"/>
    <w:rsid w:val="0026381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20EB"/>
    <w:rsid w:val="007E5497"/>
    <w:rsid w:val="00806F5F"/>
    <w:rsid w:val="00813702"/>
    <w:rsid w:val="00820278"/>
    <w:rsid w:val="008258C9"/>
    <w:rsid w:val="00844AE9"/>
    <w:rsid w:val="00867F95"/>
    <w:rsid w:val="008843B6"/>
    <w:rsid w:val="00891928"/>
    <w:rsid w:val="008A446D"/>
    <w:rsid w:val="008B25F1"/>
    <w:rsid w:val="008D180B"/>
    <w:rsid w:val="008F0EA7"/>
    <w:rsid w:val="00922EC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4630"/>
    <w:rsid w:val="00AB0ADB"/>
    <w:rsid w:val="00B00C0E"/>
    <w:rsid w:val="00B01B1A"/>
    <w:rsid w:val="00B0381D"/>
    <w:rsid w:val="00B44A47"/>
    <w:rsid w:val="00B72CD3"/>
    <w:rsid w:val="00B72FFF"/>
    <w:rsid w:val="00B75F22"/>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385A"/>
    <w:rsid w:val="00D0672D"/>
    <w:rsid w:val="00D3215D"/>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0E13"/>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13702"/>
    <w:rPr>
      <w:rFonts w:ascii="Geomanist Light" w:hAnsi="Geomanist Light"/>
      <w:lang w:val="es-ES"/>
    </w:rPr>
  </w:style>
  <w:style w:type="paragraph" w:customStyle="1" w:styleId="Appelnotedebasde">
    <w:name w:val="Appel note de bas de..."/>
    <w:basedOn w:val="Normal"/>
    <w:link w:val="Refdenotaalpie"/>
    <w:uiPriority w:val="99"/>
    <w:rsid w:val="00813702"/>
    <w:pPr>
      <w:spacing w:line="240" w:lineRule="exact"/>
    </w:pPr>
    <w:rPr>
      <w:vertAlign w:val="superscript"/>
    </w:rPr>
  </w:style>
  <w:style w:type="character" w:customStyle="1" w:styleId="baj">
    <w:name w:val="b_aj"/>
    <w:basedOn w:val="Fuentedeprrafopredeter"/>
    <w:rsid w:val="00813702"/>
  </w:style>
  <w:style w:type="character" w:customStyle="1" w:styleId="NormalWebCar">
    <w:name w:val="Normal (Web) Car"/>
    <w:link w:val="NormalWeb"/>
    <w:uiPriority w:val="99"/>
    <w:locked/>
    <w:rsid w:val="0081370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www.colombiacompra.gov.co/normativa-y-relatoria/documentos-tip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pqrsd/informacion-importante-antes-de-formular-una-pqrsd"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18232" TargetMode="External"/><Relationship Id="rId17" Type="http://schemas.openxmlformats.org/officeDocument/2006/relationships/hyperlink" Target="https://formacionvirtual.colombiacompra.gov.co/mod/page/view.php?id=3718"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caldia@tena-cundinamarca.gov.co"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funcionpublica.gov.co/eva/gestornormativo/norma.php?i=18232" TargetMode="External"/><Relationship Id="rId23"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https://forms.office.com/r/pPHyWVs2SZ"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0FB4A7-BA95-455C-BEE0-4DA809BBB06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47</Pages>
  <Words>16504</Words>
  <Characters>90776</Characters>
  <Application>Microsoft Office Word</Application>
  <DocSecurity>0</DocSecurity>
  <Lines>756</Lines>
  <Paragraphs>214</Paragraphs>
  <ScaleCrop>false</ScaleCrop>
  <Company/>
  <LinksUpToDate>false</LinksUpToDate>
  <CharactersWithSpaces>107066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2026-05-26T03:18:00Z</dcterms:created>
  <dcterms:modified xsi:type="dcterms:W3CDTF">2026-05-26T18:29:00Z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