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44FE0" w14:textId="77777777" w:rsidR="002A1C17" w:rsidRDefault="002A1C17" w:rsidP="002A1C17">
      <w:pPr>
        <w:spacing w:after="0" w:line="240" w:lineRule="auto"/>
        <w:jc w:val="both"/>
        <w:rPr>
          <w:rFonts w:ascii="Verdana" w:eastAsia="Calibri" w:hAnsi="Verdana" w:cs="Arial"/>
          <w:sz w:val="20"/>
          <w:szCs w:val="20"/>
          <w:lang w:val="es-ES_tradnl" w:eastAsia="es-ES"/>
        </w:rPr>
      </w:pPr>
    </w:p>
    <w:p w14:paraId="35F94674" w14:textId="77777777" w:rsidR="002A1C17" w:rsidRPr="002677D0" w:rsidRDefault="002A1C17" w:rsidP="002A1C17">
      <w:pPr>
        <w:spacing w:after="0" w:line="240" w:lineRule="auto"/>
        <w:jc w:val="both"/>
        <w:rPr>
          <w:rFonts w:ascii="Verdana" w:eastAsia="Calibri" w:hAnsi="Verdana" w:cs="Arial"/>
          <w:b/>
          <w:bCs/>
          <w:lang w:val="es-ES_tradnl" w:eastAsia="es-ES"/>
        </w:rPr>
      </w:pPr>
      <w:r w:rsidRPr="002677D0">
        <w:rPr>
          <w:rFonts w:ascii="Verdana" w:eastAsia="Calibri" w:hAnsi="Verdana" w:cs="Arial"/>
          <w:b/>
          <w:bCs/>
          <w:lang w:val="es-ES_tradnl" w:eastAsia="es-ES"/>
        </w:rPr>
        <w:t>ASOCIACIONES DE MUNICIPIOS – Naturaleza</w:t>
      </w:r>
    </w:p>
    <w:p w14:paraId="37109035" w14:textId="77777777" w:rsidR="002A1C17" w:rsidRPr="002677D0" w:rsidRDefault="002A1C17" w:rsidP="002A1C17">
      <w:pPr>
        <w:spacing w:after="0" w:line="240" w:lineRule="auto"/>
        <w:jc w:val="both"/>
        <w:rPr>
          <w:rFonts w:ascii="Verdana" w:eastAsia="Calibri" w:hAnsi="Verdana" w:cs="Arial"/>
          <w:sz w:val="20"/>
          <w:szCs w:val="20"/>
          <w:lang w:val="es-ES_tradnl" w:eastAsia="es-ES"/>
        </w:rPr>
      </w:pPr>
    </w:p>
    <w:p w14:paraId="11790059" w14:textId="77777777" w:rsidR="002A1C17" w:rsidRPr="002677D0" w:rsidRDefault="002A1C17" w:rsidP="002A1C17">
      <w:pPr>
        <w:spacing w:after="0" w:line="240" w:lineRule="auto"/>
        <w:jc w:val="both"/>
        <w:rPr>
          <w:rFonts w:ascii="Verdana" w:eastAsia="Calibri" w:hAnsi="Verdana" w:cs="Arial"/>
          <w:sz w:val="20"/>
          <w:szCs w:val="20"/>
          <w:lang w:val="es-ES_tradnl" w:eastAsia="es-ES"/>
        </w:rPr>
      </w:pPr>
      <w:r w:rsidRPr="002677D0">
        <w:rPr>
          <w:rFonts w:ascii="Verdana" w:eastAsia="Calibri" w:hAnsi="Verdana" w:cs="Arial"/>
          <w:sz w:val="20"/>
          <w:szCs w:val="20"/>
          <w:lang w:val="es-ES_tradnl" w:eastAsia="es-ES"/>
        </w:rPr>
        <w:t xml:space="preserve">La Ley 1454 de 2011, orgánica del ordenamiento territorial, concibió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6A0F078F" w14:textId="77777777" w:rsidR="002A1C17" w:rsidRPr="002677D0" w:rsidRDefault="002A1C17" w:rsidP="002A1C17">
      <w:pPr>
        <w:spacing w:after="0" w:line="240" w:lineRule="auto"/>
        <w:jc w:val="both"/>
        <w:rPr>
          <w:rFonts w:ascii="Verdana" w:eastAsia="Calibri" w:hAnsi="Verdana" w:cs="Arial"/>
          <w:sz w:val="20"/>
          <w:szCs w:val="20"/>
          <w:lang w:val="es-ES_tradnl" w:eastAsia="es-ES"/>
        </w:rPr>
      </w:pPr>
    </w:p>
    <w:p w14:paraId="5DA1DFC0" w14:textId="77777777" w:rsidR="002A1C17" w:rsidRPr="002677D0" w:rsidRDefault="002A1C17" w:rsidP="002A1C17">
      <w:pPr>
        <w:spacing w:after="0" w:line="240" w:lineRule="auto"/>
        <w:jc w:val="both"/>
        <w:rPr>
          <w:rFonts w:ascii="Verdana" w:eastAsia="Calibri" w:hAnsi="Verdana" w:cs="Arial"/>
          <w:sz w:val="20"/>
          <w:szCs w:val="20"/>
          <w:lang w:val="es-ES_tradnl" w:eastAsia="es-ES"/>
        </w:rPr>
      </w:pPr>
      <w:r w:rsidRPr="002677D0">
        <w:rPr>
          <w:rFonts w:ascii="Verdana" w:eastAsia="Calibri" w:hAnsi="Verdana" w:cs="Arial"/>
          <w:sz w:val="20"/>
          <w:szCs w:val="20"/>
          <w:lang w:val="es-ES_tradnl" w:eastAsia="es-ES"/>
        </w:rPr>
        <w:t>En cuanto a la manera como se conforman las asociaciones de municipios, tanto la Ley 136 de 1994 –artículo 150–, como la Ley 1454 de 2011 –artículo 14–, establecen que se hace a través de convenios, en los términos indicados en dichas disposiciones.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2611AAAF" w14:textId="77777777" w:rsidR="002A1C17" w:rsidRPr="002677D0" w:rsidRDefault="002A1C17" w:rsidP="002A1C17">
      <w:pPr>
        <w:spacing w:after="0" w:line="240" w:lineRule="auto"/>
        <w:jc w:val="both"/>
        <w:rPr>
          <w:rFonts w:ascii="Verdana" w:eastAsia="Calibri" w:hAnsi="Verdana" w:cs="Arial"/>
          <w:sz w:val="20"/>
          <w:szCs w:val="20"/>
          <w:lang w:val="es-ES_tradnl" w:eastAsia="es-ES"/>
        </w:rPr>
      </w:pPr>
    </w:p>
    <w:p w14:paraId="0ECDBE90" w14:textId="77777777" w:rsidR="002A1C17" w:rsidRPr="002677D0" w:rsidRDefault="002A1C17" w:rsidP="002A1C17">
      <w:pPr>
        <w:spacing w:after="0" w:line="240" w:lineRule="auto"/>
        <w:jc w:val="both"/>
        <w:rPr>
          <w:rFonts w:ascii="Verdana" w:eastAsia="Calibri" w:hAnsi="Verdana" w:cs="Arial"/>
          <w:b/>
          <w:bCs/>
          <w:lang w:val="es-ES_tradnl" w:eastAsia="es-ES"/>
        </w:rPr>
      </w:pPr>
      <w:r w:rsidRPr="002677D0">
        <w:rPr>
          <w:rFonts w:ascii="Verdana" w:eastAsia="Calibri" w:hAnsi="Verdana" w:cs="Arial"/>
          <w:b/>
          <w:bCs/>
          <w:lang w:val="es-ES_tradnl" w:eastAsia="es-ES"/>
        </w:rPr>
        <w:t xml:space="preserve">CONVENIOS INTERADMINISTRATIVOS – Asociaciones de Municipios </w:t>
      </w:r>
    </w:p>
    <w:p w14:paraId="06145CA1" w14:textId="77777777" w:rsidR="002A1C17" w:rsidRPr="002677D0" w:rsidRDefault="002A1C17" w:rsidP="002A1C17">
      <w:pPr>
        <w:spacing w:after="0" w:line="240" w:lineRule="auto"/>
        <w:jc w:val="both"/>
        <w:rPr>
          <w:rFonts w:ascii="Verdana" w:eastAsia="Calibri" w:hAnsi="Verdana" w:cs="Arial"/>
          <w:sz w:val="20"/>
          <w:szCs w:val="20"/>
          <w:lang w:val="es-ES_tradnl" w:eastAsia="es-ES"/>
        </w:rPr>
      </w:pPr>
    </w:p>
    <w:p w14:paraId="56323672" w14:textId="77777777" w:rsidR="002A1C17" w:rsidRDefault="002A1C17" w:rsidP="002A1C17">
      <w:pPr>
        <w:spacing w:after="0" w:line="240" w:lineRule="auto"/>
        <w:jc w:val="both"/>
        <w:rPr>
          <w:rFonts w:ascii="Verdana" w:eastAsia="Calibri" w:hAnsi="Verdana" w:cs="Arial"/>
          <w:sz w:val="20"/>
          <w:szCs w:val="20"/>
          <w:lang w:val="es-ES_tradnl" w:eastAsia="es-ES"/>
        </w:rPr>
      </w:pPr>
      <w:r w:rsidRPr="002677D0">
        <w:rPr>
          <w:rFonts w:ascii="Verdana" w:eastAsia="Calibri" w:hAnsi="Verdana" w:cs="Arial"/>
          <w:sz w:val="20"/>
          <w:szCs w:val="20"/>
          <w:lang w:val="es-ES_tradnl" w:eastAsia="es-ES"/>
        </w:rPr>
        <w:t>[…] con fundamento en el parágrafo del artículo 17 de la Ley 1454 de 2011, es posible que los esquemas asociativos de entidades territoriales señalados en la disposición, entre otros, las asociaciones de municipios celebren convenios interadministrativos con otras entidades estatales, con estricta observancia de los requisitos establecidos en el artículo 95 de la Ley 489 de 1998. Sin perjuicio de lo anterior, deben observarse las prohibiciones establecidas en el artículo 10 de la Ley 1150 de 2007 y en el artículo 92 de la Ley 1474 de 2011.</w:t>
      </w:r>
    </w:p>
    <w:p w14:paraId="5F5FA8D3" w14:textId="77777777" w:rsidR="002A1C17" w:rsidRPr="00123DAA" w:rsidRDefault="002A1C17" w:rsidP="002A1C17">
      <w:pPr>
        <w:spacing w:after="0" w:line="240" w:lineRule="auto"/>
        <w:jc w:val="both"/>
        <w:rPr>
          <w:rFonts w:ascii="Verdana" w:eastAsia="Calibri" w:hAnsi="Verdana" w:cs="Arial"/>
          <w:sz w:val="20"/>
          <w:szCs w:val="20"/>
          <w:lang w:val="es-ES_tradnl" w:eastAsia="es-ES"/>
        </w:rPr>
      </w:pPr>
    </w:p>
    <w:p w14:paraId="73DC98B1" w14:textId="77777777" w:rsidR="002A1C17" w:rsidRPr="00123DAA" w:rsidRDefault="002A1C17" w:rsidP="002A1C17">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INTERVENTORÍA</w:t>
      </w:r>
      <w:r w:rsidRPr="00B73955">
        <w:rPr>
          <w:rFonts w:ascii="Verdana" w:eastAsia="Calibri" w:hAnsi="Verdana" w:cs="Arial"/>
          <w:b/>
          <w:bCs/>
          <w:lang w:val="es-ES_tradnl" w:eastAsia="es-ES"/>
        </w:rPr>
        <w:t xml:space="preserve"> – </w:t>
      </w:r>
      <w:r>
        <w:rPr>
          <w:rFonts w:ascii="Verdana" w:eastAsia="Calibri" w:hAnsi="Verdana" w:cs="Arial"/>
          <w:b/>
          <w:bCs/>
          <w:lang w:val="es-ES_tradnl" w:eastAsia="es-ES"/>
        </w:rPr>
        <w:t>Contrato de prestación de servicios –</w:t>
      </w:r>
      <w:r w:rsidRPr="00B73955">
        <w:rPr>
          <w:rFonts w:ascii="Verdana" w:eastAsia="Calibri" w:hAnsi="Verdana" w:cs="Arial"/>
          <w:b/>
          <w:bCs/>
          <w:lang w:val="es-ES_tradnl" w:eastAsia="es-ES"/>
        </w:rPr>
        <w:t xml:space="preserve"> </w:t>
      </w:r>
      <w:r>
        <w:rPr>
          <w:rFonts w:ascii="Verdana" w:eastAsia="Calibri" w:hAnsi="Verdana" w:cs="Arial"/>
          <w:b/>
          <w:bCs/>
          <w:lang w:val="es-ES_tradnl" w:eastAsia="es-ES"/>
        </w:rPr>
        <w:t>Evaluación de Conformidad – Concepto</w:t>
      </w:r>
      <w:r w:rsidRPr="00871930">
        <w:rPr>
          <w:rFonts w:ascii="Verdana" w:eastAsia="Calibri" w:hAnsi="Verdana" w:cs="Arial"/>
          <w:b/>
          <w:bCs/>
          <w:lang w:val="es-ES_tradnl" w:eastAsia="es-ES"/>
        </w:rPr>
        <w:t xml:space="preserve"> C-492 del 6 de junio de 2025</w:t>
      </w:r>
      <w:r>
        <w:rPr>
          <w:rFonts w:ascii="Verdana" w:eastAsia="Calibri" w:hAnsi="Verdana" w:cs="Arial"/>
          <w:b/>
          <w:bCs/>
          <w:lang w:val="es-ES_tradnl" w:eastAsia="es-ES"/>
        </w:rPr>
        <w:t xml:space="preserve"> – Reconsideración de postura</w:t>
      </w:r>
    </w:p>
    <w:p w14:paraId="70DAA9AC" w14:textId="77777777" w:rsidR="002A1C17" w:rsidRDefault="002A1C17" w:rsidP="002A1C17">
      <w:pPr>
        <w:spacing w:after="0" w:line="240" w:lineRule="auto"/>
        <w:jc w:val="both"/>
        <w:rPr>
          <w:rFonts w:ascii="Verdana" w:eastAsia="Calibri" w:hAnsi="Verdana" w:cs="Arial"/>
          <w:sz w:val="20"/>
          <w:szCs w:val="20"/>
          <w:lang w:val="es-ES_tradnl" w:eastAsia="es-ES"/>
        </w:rPr>
      </w:pPr>
    </w:p>
    <w:p w14:paraId="0FAC1091" w14:textId="77777777" w:rsidR="002A1C17" w:rsidRDefault="002A1C17" w:rsidP="002A1C17">
      <w:pPr>
        <w:spacing w:after="0" w:line="240" w:lineRule="auto"/>
        <w:jc w:val="both"/>
        <w:rPr>
          <w:rFonts w:ascii="Verdana" w:eastAsia="Calibri" w:hAnsi="Verdana" w:cs="Arial"/>
          <w:sz w:val="20"/>
          <w:szCs w:val="20"/>
          <w:lang w:val="es-ES_tradnl" w:eastAsia="es-ES"/>
        </w:rPr>
      </w:pPr>
      <w:r>
        <w:rPr>
          <w:rFonts w:ascii="Verdana" w:eastAsia="Calibri" w:hAnsi="Verdana" w:cs="Arial"/>
          <w:sz w:val="20"/>
          <w:szCs w:val="20"/>
          <w:lang w:val="es-ES_tradnl" w:eastAsia="es-ES"/>
        </w:rPr>
        <w:t>L</w:t>
      </w:r>
      <w:r w:rsidRPr="00871930">
        <w:rPr>
          <w:rFonts w:ascii="Verdana" w:eastAsia="Calibri" w:hAnsi="Verdana" w:cs="Arial"/>
          <w:sz w:val="20"/>
          <w:szCs w:val="20"/>
          <w:lang w:val="es-ES_tradnl" w:eastAsia="es-ES"/>
        </w:rPr>
        <w:t xml:space="preserve">a interventoría es distinta a los “contratos de prestación de servicios de evaluación de conformidad respecto de las normas o reglamentos técnicos”. Por un lado, como la interventoría hace parte del contrato de consultoría, no puede equipararse con un contrato de prestación de servicios; además, mientras la interventoría se desarrolla en el marco del artículo 83 de la Ley 1474 de 2011, la evaluación de conformidad tiene fundamento en artículo 73 de la Ley 1480 de 1993 y está reglamentada en el Capítulo 7 del Título I de la Parte 2 del Libro 2 del Decreto 1074 de 2015. </w:t>
      </w:r>
    </w:p>
    <w:p w14:paraId="57043F80" w14:textId="77777777" w:rsidR="002A1C17" w:rsidRPr="00871930" w:rsidRDefault="002A1C17" w:rsidP="002A1C17">
      <w:pPr>
        <w:spacing w:after="0" w:line="240" w:lineRule="auto"/>
        <w:jc w:val="both"/>
        <w:rPr>
          <w:rFonts w:ascii="Verdana" w:eastAsia="Calibri" w:hAnsi="Verdana" w:cs="Arial"/>
          <w:sz w:val="20"/>
          <w:szCs w:val="20"/>
          <w:lang w:val="es-ES_tradnl" w:eastAsia="es-ES"/>
        </w:rPr>
      </w:pPr>
    </w:p>
    <w:p w14:paraId="5904ED83" w14:textId="77777777" w:rsidR="002A1C17" w:rsidRDefault="002A1C17" w:rsidP="002A1C17">
      <w:pPr>
        <w:spacing w:after="0" w:line="240" w:lineRule="auto"/>
        <w:jc w:val="both"/>
        <w:rPr>
          <w:rFonts w:ascii="Verdana" w:eastAsia="Calibri" w:hAnsi="Verdana" w:cs="Arial"/>
          <w:sz w:val="20"/>
          <w:szCs w:val="20"/>
          <w:lang w:val="es-ES_tradnl" w:eastAsia="es-ES"/>
        </w:rPr>
      </w:pPr>
      <w:r w:rsidRPr="00871930">
        <w:rPr>
          <w:rFonts w:ascii="Verdana" w:eastAsia="Calibri" w:hAnsi="Verdana" w:cs="Arial"/>
          <w:sz w:val="20"/>
          <w:szCs w:val="20"/>
          <w:lang w:val="es-ES_tradnl" w:eastAsia="es-ES"/>
        </w:rPr>
        <w:t xml:space="preserve">De esta conclusión no se deriva que la contratación directa de interadministrativos con asociaciones de municipios esté permitida en el caso planteado en la consulta del </w:t>
      </w:r>
      <w:r w:rsidRPr="00871930">
        <w:rPr>
          <w:rFonts w:ascii="Verdana" w:eastAsia="Calibri" w:hAnsi="Verdana" w:cs="Arial"/>
          <w:sz w:val="20"/>
          <w:szCs w:val="20"/>
          <w:lang w:val="es-ES_tradnl" w:eastAsia="es-ES"/>
        </w:rPr>
        <w:lastRenderedPageBreak/>
        <w:t xml:space="preserve">radicado P20250423003825 del 23 de abril de 2024. Esto en la medida que, fuera de lo regulado en el literal c) del artículo 2.4 de la Ley 1150 de 2007, el Concepto C-492 del 6 de junio de 2025 debía tener en cuenta el mandato de procesos competitivos consagrado en el artículo 10 </w:t>
      </w:r>
      <w:r w:rsidRPr="00871930">
        <w:rPr>
          <w:rFonts w:ascii="Verdana" w:eastAsia="Calibri" w:hAnsi="Verdana" w:cs="Arial"/>
          <w:i/>
          <w:iCs/>
          <w:sz w:val="20"/>
          <w:szCs w:val="20"/>
          <w:lang w:val="es-ES_tradnl" w:eastAsia="es-ES"/>
        </w:rPr>
        <w:t>ibidem</w:t>
      </w:r>
      <w:r w:rsidRPr="00871930">
        <w:rPr>
          <w:rFonts w:ascii="Verdana" w:eastAsia="Calibri" w:hAnsi="Verdana" w:cs="Arial"/>
          <w:sz w:val="20"/>
          <w:szCs w:val="20"/>
          <w:lang w:val="es-ES_tradnl" w:eastAsia="es-ES"/>
        </w:rPr>
        <w:t>.</w:t>
      </w:r>
    </w:p>
    <w:p w14:paraId="2D189687" w14:textId="77777777" w:rsidR="002A1C17" w:rsidRPr="00871930" w:rsidRDefault="002A1C17" w:rsidP="002A1C17">
      <w:pPr>
        <w:spacing w:after="0" w:line="240" w:lineRule="auto"/>
        <w:jc w:val="both"/>
        <w:rPr>
          <w:rFonts w:ascii="Verdana" w:eastAsia="Calibri" w:hAnsi="Verdana" w:cs="Arial"/>
          <w:sz w:val="20"/>
          <w:szCs w:val="20"/>
          <w:lang w:val="es-ES_tradnl" w:eastAsia="es-ES"/>
        </w:rPr>
      </w:pPr>
    </w:p>
    <w:p w14:paraId="23538E04" w14:textId="77777777" w:rsidR="002A1C17" w:rsidRDefault="002A1C17" w:rsidP="002A1C17">
      <w:pPr>
        <w:spacing w:after="0" w:line="240" w:lineRule="auto"/>
        <w:jc w:val="both"/>
        <w:rPr>
          <w:rFonts w:ascii="Verdana" w:eastAsia="Calibri" w:hAnsi="Verdana" w:cs="Arial"/>
          <w:sz w:val="20"/>
          <w:szCs w:val="20"/>
          <w:lang w:val="es-ES_tradnl" w:eastAsia="es-ES"/>
        </w:rPr>
      </w:pPr>
      <w:r w:rsidRPr="00871930">
        <w:rPr>
          <w:rFonts w:ascii="Verdana" w:eastAsia="Calibri" w:hAnsi="Verdana" w:cs="Arial"/>
          <w:sz w:val="20"/>
          <w:szCs w:val="20"/>
          <w:lang w:val="es-ES_tradnl" w:eastAsia="es-ES"/>
        </w:rPr>
        <w:t>La norma citada dispone expresamente que “[…]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Es decir, en los casos no cubiertos por el literal c) del artículo 2.4 de la Ley 1150 de 2007, rige el artículo 10 de la misma ley, el cual establece la necesidad de pluralidad de oferentes y excluye la contratación directa. Esta última norma no ha sido objeto de modificación o derogación, por lo que todavía sigue vigente.</w:t>
      </w:r>
      <w:r>
        <w:rPr>
          <w:rFonts w:ascii="Verdana" w:eastAsia="Calibri" w:hAnsi="Verdana" w:cs="Arial"/>
          <w:sz w:val="20"/>
          <w:szCs w:val="20"/>
          <w:lang w:val="es-ES_tradnl" w:eastAsia="es-ES"/>
        </w:rPr>
        <w:t xml:space="preserve"> </w:t>
      </w:r>
      <w:r w:rsidRPr="00871930">
        <w:rPr>
          <w:rFonts w:ascii="Verdana" w:eastAsia="Calibri" w:hAnsi="Verdana" w:cs="Arial"/>
          <w:sz w:val="20"/>
          <w:szCs w:val="20"/>
          <w:lang w:val="es-ES_tradnl" w:eastAsia="es-ES"/>
        </w:rPr>
        <w:t>En estas condiciones, la Agencia reconsidera la postura del Concepto C-492 del 6 de junio de 2025 para efectos del deber de aplicación uniforme de que trata el artículo 10 de Ley 1437 de 2011.</w:t>
      </w:r>
    </w:p>
    <w:p w14:paraId="577BE22E" w14:textId="77777777" w:rsidR="002A1C17" w:rsidRPr="00123DAA" w:rsidRDefault="002A1C17" w:rsidP="002A1C17">
      <w:pPr>
        <w:spacing w:after="0" w:line="240" w:lineRule="auto"/>
        <w:jc w:val="both"/>
        <w:rPr>
          <w:rFonts w:ascii="Verdana" w:eastAsia="Calibri" w:hAnsi="Verdana" w:cs="Arial"/>
          <w:sz w:val="20"/>
          <w:szCs w:val="20"/>
          <w:lang w:val="es-ES_tradnl" w:eastAsia="es-ES"/>
        </w:rPr>
      </w:pPr>
    </w:p>
    <w:p w14:paraId="46A0D76D" w14:textId="77777777" w:rsidR="002A1C17" w:rsidRPr="00123DAA" w:rsidRDefault="002A1C17" w:rsidP="002A1C17">
      <w:pPr>
        <w:spacing w:after="0" w:line="240" w:lineRule="auto"/>
        <w:jc w:val="both"/>
        <w:rPr>
          <w:rFonts w:ascii="Verdana" w:eastAsia="Calibri" w:hAnsi="Verdana" w:cs="Arial"/>
          <w:sz w:val="20"/>
          <w:szCs w:val="20"/>
          <w:lang w:val="es-ES_tradnl" w:eastAsia="es-ES"/>
        </w:rPr>
      </w:pPr>
    </w:p>
    <w:p w14:paraId="22873626" w14:textId="77777777" w:rsidR="002A1C17" w:rsidRDefault="002A1C17" w:rsidP="00487D6C">
      <w:pPr>
        <w:spacing w:after="0" w:line="240" w:lineRule="auto"/>
        <w:rPr>
          <w:rFonts w:ascii="Verdana" w:eastAsia="Geomanist Light" w:hAnsi="Verdana" w:cs="Arial"/>
          <w:color w:val="000000" w:themeColor="text1"/>
          <w:lang w:val="es-ES_tradnl"/>
        </w:rPr>
      </w:pPr>
    </w:p>
    <w:p w14:paraId="5B69293F" w14:textId="77777777" w:rsidR="002A1C17" w:rsidRDefault="002A1C17" w:rsidP="00487D6C">
      <w:pPr>
        <w:spacing w:after="0" w:line="240" w:lineRule="auto"/>
        <w:rPr>
          <w:rFonts w:ascii="Verdana" w:eastAsia="Geomanist Light" w:hAnsi="Verdana" w:cs="Arial"/>
          <w:color w:val="000000" w:themeColor="text1"/>
          <w:lang w:val="es-ES_tradnl"/>
        </w:rPr>
      </w:pPr>
    </w:p>
    <w:p w14:paraId="421C3858" w14:textId="77777777" w:rsidR="002A1C17" w:rsidRDefault="002A1C17" w:rsidP="00487D6C">
      <w:pPr>
        <w:spacing w:after="0" w:line="240" w:lineRule="auto"/>
        <w:rPr>
          <w:rFonts w:ascii="Verdana" w:eastAsia="Geomanist Light" w:hAnsi="Verdana" w:cs="Arial"/>
          <w:color w:val="000000" w:themeColor="text1"/>
          <w:lang w:val="es-ES_tradnl"/>
        </w:rPr>
      </w:pPr>
    </w:p>
    <w:p w14:paraId="57124CE3" w14:textId="77777777" w:rsidR="002A1C17" w:rsidRDefault="002A1C17" w:rsidP="00487D6C">
      <w:pPr>
        <w:spacing w:after="0" w:line="240" w:lineRule="auto"/>
        <w:rPr>
          <w:rFonts w:ascii="Verdana" w:eastAsia="Geomanist Light" w:hAnsi="Verdana" w:cs="Arial"/>
          <w:color w:val="000000" w:themeColor="text1"/>
          <w:lang w:val="es-ES_tradnl"/>
        </w:rPr>
      </w:pPr>
    </w:p>
    <w:p w14:paraId="04A0C799" w14:textId="77777777" w:rsidR="002A1C17" w:rsidRDefault="002A1C17" w:rsidP="00487D6C">
      <w:pPr>
        <w:spacing w:after="0" w:line="240" w:lineRule="auto"/>
        <w:rPr>
          <w:rFonts w:ascii="Verdana" w:eastAsia="Geomanist Light" w:hAnsi="Verdana" w:cs="Arial"/>
          <w:color w:val="000000" w:themeColor="text1"/>
          <w:lang w:val="es-ES_tradnl"/>
        </w:rPr>
      </w:pPr>
    </w:p>
    <w:p w14:paraId="0D30A298" w14:textId="77777777" w:rsidR="002A1C17" w:rsidRDefault="002A1C17" w:rsidP="00487D6C">
      <w:pPr>
        <w:spacing w:after="0" w:line="240" w:lineRule="auto"/>
        <w:rPr>
          <w:rFonts w:ascii="Verdana" w:eastAsia="Geomanist Light" w:hAnsi="Verdana" w:cs="Arial"/>
          <w:color w:val="000000" w:themeColor="text1"/>
          <w:lang w:val="es-ES_tradnl"/>
        </w:rPr>
      </w:pPr>
    </w:p>
    <w:p w14:paraId="5AE78E3C" w14:textId="77777777" w:rsidR="002A1C17" w:rsidRDefault="002A1C17" w:rsidP="00487D6C">
      <w:pPr>
        <w:spacing w:after="0" w:line="240" w:lineRule="auto"/>
        <w:rPr>
          <w:rFonts w:ascii="Verdana" w:eastAsia="Geomanist Light" w:hAnsi="Verdana" w:cs="Arial"/>
          <w:color w:val="000000" w:themeColor="text1"/>
          <w:lang w:val="es-ES_tradnl"/>
        </w:rPr>
      </w:pPr>
    </w:p>
    <w:p w14:paraId="74E5206B" w14:textId="77777777" w:rsidR="002A1C17" w:rsidRDefault="002A1C17" w:rsidP="00487D6C">
      <w:pPr>
        <w:spacing w:after="0" w:line="240" w:lineRule="auto"/>
        <w:rPr>
          <w:rFonts w:ascii="Verdana" w:eastAsia="Geomanist Light" w:hAnsi="Verdana" w:cs="Arial"/>
          <w:color w:val="000000" w:themeColor="text1"/>
          <w:lang w:val="es-ES_tradnl"/>
        </w:rPr>
      </w:pPr>
    </w:p>
    <w:p w14:paraId="14EB18B7" w14:textId="77777777" w:rsidR="002A1C17" w:rsidRDefault="002A1C17" w:rsidP="00487D6C">
      <w:pPr>
        <w:spacing w:after="0" w:line="240" w:lineRule="auto"/>
        <w:rPr>
          <w:rFonts w:ascii="Verdana" w:eastAsia="Geomanist Light" w:hAnsi="Verdana" w:cs="Arial"/>
          <w:color w:val="000000" w:themeColor="text1"/>
          <w:lang w:val="es-ES_tradnl"/>
        </w:rPr>
      </w:pPr>
    </w:p>
    <w:p w14:paraId="54E2EA33" w14:textId="77777777" w:rsidR="002A1C17" w:rsidRDefault="002A1C17" w:rsidP="00487D6C">
      <w:pPr>
        <w:spacing w:after="0" w:line="240" w:lineRule="auto"/>
        <w:rPr>
          <w:rFonts w:ascii="Verdana" w:eastAsia="Geomanist Light" w:hAnsi="Verdana" w:cs="Arial"/>
          <w:color w:val="000000" w:themeColor="text1"/>
          <w:lang w:val="es-ES_tradnl"/>
        </w:rPr>
      </w:pPr>
    </w:p>
    <w:p w14:paraId="3E2C9355" w14:textId="77777777" w:rsidR="002A1C17" w:rsidRDefault="002A1C17" w:rsidP="00487D6C">
      <w:pPr>
        <w:spacing w:after="0" w:line="240" w:lineRule="auto"/>
        <w:rPr>
          <w:rFonts w:ascii="Verdana" w:eastAsia="Geomanist Light" w:hAnsi="Verdana" w:cs="Arial"/>
          <w:color w:val="000000" w:themeColor="text1"/>
          <w:lang w:val="es-ES_tradnl"/>
        </w:rPr>
      </w:pPr>
    </w:p>
    <w:p w14:paraId="23A64B64" w14:textId="77777777" w:rsidR="002A1C17" w:rsidRDefault="002A1C17" w:rsidP="00487D6C">
      <w:pPr>
        <w:spacing w:after="0" w:line="240" w:lineRule="auto"/>
        <w:rPr>
          <w:rFonts w:ascii="Verdana" w:eastAsia="Geomanist Light" w:hAnsi="Verdana" w:cs="Arial"/>
          <w:color w:val="000000" w:themeColor="text1"/>
          <w:lang w:val="es-ES_tradnl"/>
        </w:rPr>
      </w:pPr>
    </w:p>
    <w:p w14:paraId="4CC1915B" w14:textId="77777777" w:rsidR="002A1C17" w:rsidRDefault="002A1C17" w:rsidP="00487D6C">
      <w:pPr>
        <w:spacing w:after="0" w:line="240" w:lineRule="auto"/>
        <w:rPr>
          <w:rFonts w:ascii="Verdana" w:eastAsia="Geomanist Light" w:hAnsi="Verdana" w:cs="Arial"/>
          <w:color w:val="000000" w:themeColor="text1"/>
          <w:lang w:val="es-ES_tradnl"/>
        </w:rPr>
      </w:pPr>
    </w:p>
    <w:p w14:paraId="3C4F98F6" w14:textId="77777777" w:rsidR="002A1C17" w:rsidRDefault="002A1C17" w:rsidP="00487D6C">
      <w:pPr>
        <w:spacing w:after="0" w:line="240" w:lineRule="auto"/>
        <w:rPr>
          <w:rFonts w:ascii="Verdana" w:eastAsia="Geomanist Light" w:hAnsi="Verdana" w:cs="Arial"/>
          <w:color w:val="000000" w:themeColor="text1"/>
          <w:lang w:val="es-ES_tradnl"/>
        </w:rPr>
      </w:pPr>
    </w:p>
    <w:p w14:paraId="6277BC43" w14:textId="77777777" w:rsidR="002A1C17" w:rsidRDefault="002A1C17" w:rsidP="00487D6C">
      <w:pPr>
        <w:spacing w:after="0" w:line="240" w:lineRule="auto"/>
        <w:rPr>
          <w:rFonts w:ascii="Verdana" w:eastAsia="Geomanist Light" w:hAnsi="Verdana" w:cs="Arial"/>
          <w:color w:val="000000" w:themeColor="text1"/>
          <w:lang w:val="es-ES_tradnl"/>
        </w:rPr>
      </w:pPr>
    </w:p>
    <w:p w14:paraId="537DF5B3" w14:textId="77777777" w:rsidR="002A1C17" w:rsidRDefault="002A1C17" w:rsidP="00487D6C">
      <w:pPr>
        <w:spacing w:after="0" w:line="240" w:lineRule="auto"/>
        <w:rPr>
          <w:rFonts w:ascii="Verdana" w:eastAsia="Geomanist Light" w:hAnsi="Verdana" w:cs="Arial"/>
          <w:color w:val="000000" w:themeColor="text1"/>
          <w:lang w:val="es-ES_tradnl"/>
        </w:rPr>
      </w:pPr>
    </w:p>
    <w:p w14:paraId="33A686A8" w14:textId="77777777" w:rsidR="002A1C17" w:rsidRDefault="002A1C17" w:rsidP="00487D6C">
      <w:pPr>
        <w:spacing w:after="0" w:line="240" w:lineRule="auto"/>
        <w:rPr>
          <w:rFonts w:ascii="Verdana" w:eastAsia="Geomanist Light" w:hAnsi="Verdana" w:cs="Arial"/>
          <w:color w:val="000000" w:themeColor="text1"/>
          <w:lang w:val="es-ES_tradnl"/>
        </w:rPr>
      </w:pPr>
    </w:p>
    <w:p w14:paraId="145C0E86" w14:textId="77777777" w:rsidR="002A1C17" w:rsidRDefault="002A1C17" w:rsidP="00487D6C">
      <w:pPr>
        <w:spacing w:after="0" w:line="240" w:lineRule="auto"/>
        <w:rPr>
          <w:rFonts w:ascii="Verdana" w:eastAsia="Geomanist Light" w:hAnsi="Verdana" w:cs="Arial"/>
          <w:color w:val="000000" w:themeColor="text1"/>
          <w:lang w:val="es-ES_tradnl"/>
        </w:rPr>
      </w:pPr>
    </w:p>
    <w:p w14:paraId="3B0E7643" w14:textId="77777777" w:rsidR="002A1C17" w:rsidRDefault="002A1C17" w:rsidP="00487D6C">
      <w:pPr>
        <w:spacing w:after="0" w:line="240" w:lineRule="auto"/>
        <w:rPr>
          <w:rFonts w:ascii="Verdana" w:eastAsia="Geomanist Light" w:hAnsi="Verdana" w:cs="Arial"/>
          <w:color w:val="000000" w:themeColor="text1"/>
          <w:lang w:val="es-ES_tradnl"/>
        </w:rPr>
      </w:pPr>
    </w:p>
    <w:p w14:paraId="6A933476" w14:textId="77777777" w:rsidR="002A1C17" w:rsidRDefault="002A1C17" w:rsidP="00487D6C">
      <w:pPr>
        <w:spacing w:after="0" w:line="240" w:lineRule="auto"/>
        <w:rPr>
          <w:rFonts w:ascii="Verdana" w:eastAsia="Geomanist Light" w:hAnsi="Verdana" w:cs="Arial"/>
          <w:color w:val="000000" w:themeColor="text1"/>
          <w:lang w:val="es-ES_tradnl"/>
        </w:rPr>
      </w:pPr>
    </w:p>
    <w:p w14:paraId="29EA8DEE" w14:textId="77777777" w:rsidR="002A1C17" w:rsidRDefault="002A1C17" w:rsidP="00487D6C">
      <w:pPr>
        <w:spacing w:after="0" w:line="240" w:lineRule="auto"/>
        <w:rPr>
          <w:rFonts w:ascii="Verdana" w:eastAsia="Geomanist Light" w:hAnsi="Verdana" w:cs="Arial"/>
          <w:color w:val="000000" w:themeColor="text1"/>
          <w:lang w:val="es-ES_tradnl"/>
        </w:rPr>
      </w:pPr>
    </w:p>
    <w:p w14:paraId="713996B1" w14:textId="77777777" w:rsidR="002A1C17" w:rsidRDefault="002A1C17" w:rsidP="00487D6C">
      <w:pPr>
        <w:spacing w:after="0" w:line="240" w:lineRule="auto"/>
        <w:rPr>
          <w:rFonts w:ascii="Verdana" w:eastAsia="Geomanist Light" w:hAnsi="Verdana" w:cs="Arial"/>
          <w:color w:val="000000" w:themeColor="text1"/>
          <w:lang w:val="es-ES_tradnl"/>
        </w:rPr>
      </w:pPr>
    </w:p>
    <w:p w14:paraId="27CDD7A3" w14:textId="77777777" w:rsidR="002A1C17" w:rsidRDefault="002A1C17" w:rsidP="00487D6C">
      <w:pPr>
        <w:spacing w:after="0" w:line="240" w:lineRule="auto"/>
        <w:rPr>
          <w:rFonts w:ascii="Verdana" w:eastAsia="Geomanist Light" w:hAnsi="Verdana" w:cs="Arial"/>
          <w:color w:val="000000" w:themeColor="text1"/>
          <w:lang w:val="es-ES_tradnl"/>
        </w:rPr>
      </w:pPr>
    </w:p>
    <w:p w14:paraId="1CA59C80" w14:textId="77777777" w:rsidR="002A1C17" w:rsidRDefault="002A1C17" w:rsidP="00487D6C">
      <w:pPr>
        <w:spacing w:after="0" w:line="240" w:lineRule="auto"/>
        <w:rPr>
          <w:rFonts w:ascii="Verdana" w:eastAsia="Geomanist Light" w:hAnsi="Verdana" w:cs="Arial"/>
          <w:color w:val="000000" w:themeColor="text1"/>
          <w:lang w:val="es-ES_tradnl"/>
        </w:rPr>
      </w:pPr>
    </w:p>
    <w:p w14:paraId="59070E7B" w14:textId="77777777" w:rsidR="002A1C17" w:rsidRDefault="002A1C17" w:rsidP="00487D6C">
      <w:pPr>
        <w:spacing w:after="0" w:line="240" w:lineRule="auto"/>
        <w:rPr>
          <w:rFonts w:ascii="Verdana" w:eastAsia="Geomanist Light" w:hAnsi="Verdana" w:cs="Arial"/>
          <w:color w:val="000000" w:themeColor="text1"/>
          <w:lang w:val="es-ES_tradnl"/>
        </w:rPr>
      </w:pPr>
    </w:p>
    <w:p w14:paraId="29305F4B" w14:textId="77777777" w:rsidR="002A1C17" w:rsidRPr="002A1C17" w:rsidRDefault="002A1C17" w:rsidP="00487D6C">
      <w:pPr>
        <w:spacing w:after="0" w:line="240" w:lineRule="auto"/>
        <w:rPr>
          <w:rFonts w:ascii="Verdana" w:eastAsia="Geomanist Light" w:hAnsi="Verdana" w:cs="Arial"/>
          <w:color w:val="000000" w:themeColor="text1"/>
          <w:lang w:val="es-ES_tradnl"/>
        </w:rPr>
      </w:pPr>
    </w:p>
    <w:p w14:paraId="69A57AF5" w14:textId="77777777" w:rsidR="002A1C17" w:rsidRDefault="002A1C17" w:rsidP="00487D6C">
      <w:pPr>
        <w:spacing w:after="0" w:line="240" w:lineRule="auto"/>
        <w:rPr>
          <w:rFonts w:ascii="Verdana" w:eastAsia="Geomanist Light" w:hAnsi="Verdana" w:cs="Arial"/>
          <w:color w:val="000000" w:themeColor="text1"/>
          <w:lang w:val="es-MX"/>
        </w:rPr>
      </w:pPr>
    </w:p>
    <w:p w14:paraId="441E575A" w14:textId="383523A6" w:rsidR="00487D6C" w:rsidRPr="00593A5F" w:rsidRDefault="00487D6C" w:rsidP="00487D6C">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CD602B" w:rsidRPr="00CD602B">
        <w:rPr>
          <w:rFonts w:ascii="Verdana" w:eastAsia="Geomanist Light" w:hAnsi="Verdana" w:cs="Arial"/>
          <w:color w:val="000000" w:themeColor="text1"/>
          <w:lang w:val="es-MX"/>
        </w:rPr>
        <w:t>25 de Junio de 2025</w:t>
      </w:r>
    </w:p>
    <w:p w14:paraId="5B09FF3F" w14:textId="77777777" w:rsidR="00487D6C" w:rsidRDefault="00487D6C" w:rsidP="00487D6C">
      <w:pPr>
        <w:spacing w:after="0" w:line="240" w:lineRule="auto"/>
        <w:jc w:val="both"/>
        <w:rPr>
          <w:rFonts w:ascii="Verdana" w:eastAsia="Calibri" w:hAnsi="Verdana" w:cs="Arial"/>
          <w:color w:val="000000"/>
          <w:lang w:val="es-ES"/>
        </w:rPr>
      </w:pPr>
    </w:p>
    <w:p w14:paraId="6EA07224" w14:textId="179B0446" w:rsidR="00CD602B" w:rsidRDefault="00CD602B" w:rsidP="00CD602B">
      <w:pPr>
        <w:spacing w:after="0" w:line="240" w:lineRule="auto"/>
        <w:jc w:val="right"/>
        <w:rPr>
          <w:rFonts w:ascii="Verdana" w:eastAsia="Calibri" w:hAnsi="Verdana" w:cs="Arial"/>
          <w:color w:val="000000"/>
          <w:lang w:val="es-ES"/>
        </w:rPr>
      </w:pPr>
      <w:r w:rsidRPr="00CD602B">
        <w:rPr>
          <w:rFonts w:ascii="Verdana" w:eastAsia="Calibri" w:hAnsi="Verdana" w:cs="Arial"/>
          <w:noProof/>
          <w:color w:val="000000"/>
          <w:lang w:val="es-ES"/>
        </w:rPr>
        <w:drawing>
          <wp:inline distT="0" distB="0" distL="0" distR="0" wp14:anchorId="30FF9E50" wp14:editId="59693555">
            <wp:extent cx="2400300" cy="622300"/>
            <wp:effectExtent l="0" t="0" r="0" b="0"/>
            <wp:docPr id="12065356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535675" name=""/>
                    <pic:cNvPicPr/>
                  </pic:nvPicPr>
                  <pic:blipFill>
                    <a:blip r:embed="rId10"/>
                    <a:stretch>
                      <a:fillRect/>
                    </a:stretch>
                  </pic:blipFill>
                  <pic:spPr>
                    <a:xfrm>
                      <a:off x="0" y="0"/>
                      <a:ext cx="2400300" cy="622300"/>
                    </a:xfrm>
                    <a:prstGeom prst="rect">
                      <a:avLst/>
                    </a:prstGeom>
                  </pic:spPr>
                </pic:pic>
              </a:graphicData>
            </a:graphic>
          </wp:inline>
        </w:drawing>
      </w:r>
    </w:p>
    <w:p w14:paraId="2991EEC7" w14:textId="77777777" w:rsidR="00487D6C" w:rsidRPr="00593A5F" w:rsidRDefault="00487D6C" w:rsidP="00487D6C">
      <w:pPr>
        <w:spacing w:after="0" w:line="240" w:lineRule="auto"/>
        <w:jc w:val="both"/>
        <w:rPr>
          <w:rFonts w:ascii="Verdana" w:eastAsia="Calibri" w:hAnsi="Verdana" w:cs="Arial"/>
          <w:color w:val="000000"/>
          <w:lang w:val="es-ES"/>
        </w:rPr>
      </w:pPr>
    </w:p>
    <w:p w14:paraId="5E82086E" w14:textId="77777777" w:rsidR="00487D6C" w:rsidRPr="000C555D" w:rsidRDefault="00487D6C" w:rsidP="00487D6C">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3D8A5062" w14:textId="77777777" w:rsidR="00487D6C" w:rsidRPr="00583C7F" w:rsidRDefault="00487D6C" w:rsidP="00487D6C">
      <w:pPr>
        <w:spacing w:after="0" w:line="240" w:lineRule="auto"/>
        <w:rPr>
          <w:rFonts w:ascii="Verdana" w:eastAsia="Calibri" w:hAnsi="Verdana" w:cs="Arial"/>
          <w:b/>
          <w:lang w:val="es-ES" w:eastAsia="es-ES"/>
        </w:rPr>
      </w:pPr>
      <w:r w:rsidRPr="00656C7F">
        <w:rPr>
          <w:rFonts w:ascii="Verdana" w:eastAsia="Calibri" w:hAnsi="Verdana" w:cs="Arial"/>
          <w:b/>
          <w:lang w:val="es-ES" w:eastAsia="es-ES"/>
        </w:rPr>
        <w:t xml:space="preserve">Luis Alfonso Mogollón </w:t>
      </w:r>
      <w:proofErr w:type="spellStart"/>
      <w:r w:rsidRPr="00656C7F">
        <w:rPr>
          <w:rFonts w:ascii="Verdana" w:eastAsia="Calibri" w:hAnsi="Verdana" w:cs="Arial"/>
          <w:b/>
          <w:lang w:val="es-ES" w:eastAsia="es-ES"/>
        </w:rPr>
        <w:t>Behaine</w:t>
      </w:r>
      <w:proofErr w:type="spellEnd"/>
      <w:r w:rsidRPr="56F3586C">
        <w:rPr>
          <w:rFonts w:ascii="Verdana" w:eastAsia="Calibri" w:hAnsi="Verdana" w:cs="Arial"/>
          <w:b/>
          <w:lang w:val="es-ES" w:eastAsia="es-ES"/>
        </w:rPr>
        <w:t xml:space="preserve"> </w:t>
      </w:r>
    </w:p>
    <w:p w14:paraId="7E3A9311" w14:textId="77777777" w:rsidR="00487D6C" w:rsidRPr="00656C7F" w:rsidRDefault="00487D6C" w:rsidP="00487D6C">
      <w:pPr>
        <w:spacing w:after="0" w:line="240" w:lineRule="auto"/>
        <w:rPr>
          <w:rFonts w:ascii="Verdana" w:eastAsia="Calibri" w:hAnsi="Verdana" w:cs="Arial"/>
          <w:lang w:val="es-ES" w:eastAsia="es-ES"/>
        </w:rPr>
      </w:pPr>
      <w:hyperlink r:id="rId11" w:history="1">
        <w:r w:rsidRPr="005220BB">
          <w:rPr>
            <w:rStyle w:val="Hipervnculo"/>
            <w:rFonts w:ascii="Verdana" w:hAnsi="Verdana"/>
          </w:rPr>
          <w:t>luismogollon20@hotmail.com</w:t>
        </w:r>
      </w:hyperlink>
      <w:r>
        <w:rPr>
          <w:rFonts w:ascii="Verdana" w:hAnsi="Verdana"/>
        </w:rPr>
        <w:t xml:space="preserve"> </w:t>
      </w:r>
      <w:r w:rsidRPr="00656C7F">
        <w:rPr>
          <w:rFonts w:ascii="Verdana" w:hAnsi="Verdana"/>
        </w:rPr>
        <w:t xml:space="preserve">            </w:t>
      </w:r>
      <w:r w:rsidRPr="00656C7F">
        <w:rPr>
          <w:rFonts w:ascii="Verdana" w:eastAsia="Calibri" w:hAnsi="Verdana" w:cs="Arial"/>
          <w:lang w:val="es-ES" w:eastAsia="es-ES"/>
        </w:rPr>
        <w:t xml:space="preserve">    </w:t>
      </w:r>
    </w:p>
    <w:p w14:paraId="282900B8" w14:textId="77777777" w:rsidR="00487D6C" w:rsidRDefault="00487D6C" w:rsidP="00487D6C">
      <w:pPr>
        <w:spacing w:after="0" w:line="240" w:lineRule="auto"/>
        <w:rPr>
          <w:rFonts w:ascii="Verdana" w:eastAsia="Calibri" w:hAnsi="Verdana" w:cs="Arial"/>
          <w:lang w:val="es-ES" w:eastAsia="es-ES"/>
        </w:rPr>
      </w:pPr>
      <w:r w:rsidRPr="00656C7F">
        <w:rPr>
          <w:rFonts w:ascii="Verdana" w:eastAsia="Calibri" w:hAnsi="Verdana" w:cs="Arial"/>
          <w:lang w:val="es-ES" w:eastAsia="es-ES"/>
        </w:rPr>
        <w:t>Monter</w:t>
      </w:r>
      <w:r>
        <w:rPr>
          <w:rFonts w:ascii="Verdana" w:eastAsia="Calibri" w:hAnsi="Verdana" w:cs="Arial"/>
          <w:lang w:val="es-ES" w:eastAsia="es-ES"/>
        </w:rPr>
        <w:t>í</w:t>
      </w:r>
      <w:r w:rsidRPr="00656C7F">
        <w:rPr>
          <w:rFonts w:ascii="Verdana" w:eastAsia="Calibri" w:hAnsi="Verdana" w:cs="Arial"/>
          <w:lang w:val="es-ES" w:eastAsia="es-ES"/>
        </w:rPr>
        <w:t>a, C</w:t>
      </w:r>
      <w:r>
        <w:rPr>
          <w:rFonts w:ascii="Verdana" w:eastAsia="Calibri" w:hAnsi="Verdana" w:cs="Arial"/>
          <w:lang w:val="es-ES" w:eastAsia="es-ES"/>
        </w:rPr>
        <w:t>ó</w:t>
      </w:r>
      <w:r w:rsidRPr="00656C7F">
        <w:rPr>
          <w:rFonts w:ascii="Verdana" w:eastAsia="Calibri" w:hAnsi="Verdana" w:cs="Arial"/>
          <w:lang w:val="es-ES" w:eastAsia="es-ES"/>
        </w:rPr>
        <w:t>rdoba</w:t>
      </w:r>
      <w:r>
        <w:rPr>
          <w:rFonts w:ascii="Verdana" w:eastAsia="Calibri" w:hAnsi="Verdana" w:cs="Arial"/>
          <w:lang w:val="es-ES" w:eastAsia="es-ES"/>
        </w:rPr>
        <w:t xml:space="preserve"> </w:t>
      </w:r>
    </w:p>
    <w:p w14:paraId="480D4AF7" w14:textId="77777777" w:rsidR="00487D6C" w:rsidRPr="00593A5F" w:rsidRDefault="00487D6C" w:rsidP="00487D6C">
      <w:pPr>
        <w:spacing w:after="0" w:line="240" w:lineRule="auto"/>
        <w:rPr>
          <w:rFonts w:ascii="Verdana" w:eastAsia="Calibri" w:hAnsi="Verdana" w:cs="Arial"/>
          <w:b/>
          <w:bCs/>
          <w:color w:val="000000"/>
          <w:lang w:val="es-ES_tradnl" w:eastAsia="es-ES_tradnl"/>
        </w:rPr>
      </w:pPr>
    </w:p>
    <w:p w14:paraId="4101C171" w14:textId="77777777" w:rsidR="00487D6C" w:rsidRPr="00593A5F" w:rsidRDefault="00487D6C" w:rsidP="00487D6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87D6C" w:rsidRPr="00593A5F" w14:paraId="08A9DE86" w14:textId="77777777" w:rsidTr="009111DC">
        <w:trPr>
          <w:trHeight w:val="884"/>
        </w:trPr>
        <w:tc>
          <w:tcPr>
            <w:tcW w:w="2689" w:type="dxa"/>
          </w:tcPr>
          <w:p w14:paraId="7B66F279" w14:textId="77777777" w:rsidR="00487D6C" w:rsidRPr="00C00976" w:rsidRDefault="00487D6C" w:rsidP="009111DC">
            <w:pPr>
              <w:jc w:val="both"/>
              <w:rPr>
                <w:rFonts w:ascii="Verdana" w:eastAsia="Calibri" w:hAnsi="Verdana" w:cs="Arial"/>
                <w:b/>
                <w:bCs/>
                <w:color w:val="7030A0"/>
                <w:lang w:val="es-ES_tradnl" w:eastAsia="es-ES_tradnl"/>
              </w:rPr>
            </w:pPr>
          </w:p>
        </w:tc>
        <w:tc>
          <w:tcPr>
            <w:tcW w:w="6100" w:type="dxa"/>
          </w:tcPr>
          <w:p w14:paraId="377117C6" w14:textId="77777777" w:rsidR="00487D6C" w:rsidRPr="00C00976" w:rsidRDefault="00487D6C" w:rsidP="009111DC">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723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487D6C" w:rsidRPr="00593A5F" w14:paraId="38BDB555" w14:textId="77777777" w:rsidTr="009111DC">
        <w:trPr>
          <w:trHeight w:val="884"/>
        </w:trPr>
        <w:tc>
          <w:tcPr>
            <w:tcW w:w="2689" w:type="dxa"/>
          </w:tcPr>
          <w:p w14:paraId="77CA7B1D" w14:textId="77777777" w:rsidR="00487D6C" w:rsidRPr="00593A5F" w:rsidRDefault="00487D6C" w:rsidP="009111DC">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2DE20FD5" w14:textId="50F6C103" w:rsidR="00487D6C" w:rsidRPr="00A11406" w:rsidRDefault="00487D6C" w:rsidP="009111DC">
            <w:pPr>
              <w:spacing w:line="276" w:lineRule="auto"/>
              <w:jc w:val="both"/>
              <w:rPr>
                <w:rFonts w:ascii="Verdana" w:eastAsia="Calibri" w:hAnsi="Verdana" w:cs="Arial"/>
                <w:lang w:val="es-ES" w:eastAsia="es-ES"/>
              </w:rPr>
            </w:pPr>
            <w:r w:rsidRPr="00307AEB">
              <w:rPr>
                <w:rFonts w:ascii="Verdana" w:eastAsia="Calibri" w:hAnsi="Verdana" w:cs="Arial"/>
                <w:lang w:val="es-ES" w:eastAsia="es-ES"/>
              </w:rPr>
              <w:t>ASOCIACIONES DE MUNICIPIOS – Naturaleza</w:t>
            </w:r>
            <w:r>
              <w:rPr>
                <w:rFonts w:ascii="Verdana" w:eastAsia="Calibri" w:hAnsi="Verdana" w:cs="Arial"/>
                <w:lang w:val="es-ES" w:eastAsia="es-ES"/>
              </w:rPr>
              <w:t xml:space="preserve"> / </w:t>
            </w:r>
            <w:r w:rsidRPr="00307AEB">
              <w:rPr>
                <w:rFonts w:ascii="Verdana" w:eastAsia="Calibri" w:hAnsi="Verdana" w:cs="Arial"/>
                <w:lang w:val="es-ES" w:eastAsia="es-ES"/>
              </w:rPr>
              <w:t>CONVENIOS INTERADMINISTRATIVOS – Asociaciones de Municipios</w:t>
            </w:r>
            <w:r>
              <w:rPr>
                <w:rFonts w:ascii="Verdana" w:eastAsia="Calibri" w:hAnsi="Verdana" w:cs="Arial"/>
                <w:lang w:val="es-ES" w:eastAsia="es-ES"/>
              </w:rPr>
              <w:t xml:space="preserve"> / </w:t>
            </w:r>
            <w:r w:rsidRPr="00307AEB">
              <w:rPr>
                <w:rFonts w:ascii="Verdana" w:eastAsia="Calibri" w:hAnsi="Verdana" w:cs="Arial"/>
                <w:lang w:val="es-ES" w:eastAsia="es-ES"/>
              </w:rPr>
              <w:t>INTERVENTORÍA – Contrato de prestación de servicios – Evaluación de Conformidad – Concepto C-492 del 6 de junio de 2025 – Reconsideración de postura</w:t>
            </w:r>
          </w:p>
          <w:p w14:paraId="54862170" w14:textId="27704B26" w:rsidR="00487D6C" w:rsidRPr="00593A5F" w:rsidRDefault="00487D6C" w:rsidP="009111DC">
            <w:pPr>
              <w:spacing w:line="276" w:lineRule="auto"/>
              <w:jc w:val="both"/>
              <w:rPr>
                <w:rFonts w:ascii="Verdana" w:eastAsia="Calibri" w:hAnsi="Verdana" w:cs="Arial"/>
                <w:lang w:val="es-ES" w:eastAsia="es-ES"/>
              </w:rPr>
            </w:pPr>
          </w:p>
        </w:tc>
      </w:tr>
      <w:tr w:rsidR="00487D6C" w:rsidRPr="008E6AD9" w14:paraId="2686FC3E" w14:textId="77777777" w:rsidTr="009111DC">
        <w:tc>
          <w:tcPr>
            <w:tcW w:w="2689" w:type="dxa"/>
          </w:tcPr>
          <w:p w14:paraId="60E24A14" w14:textId="77777777" w:rsidR="00487D6C" w:rsidRPr="008E6AD9" w:rsidRDefault="00487D6C" w:rsidP="009111DC">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440D70D" w14:textId="19FFC028" w:rsidR="00487D6C" w:rsidRPr="00B92340" w:rsidRDefault="00487D6C" w:rsidP="009111DC">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656C7F">
              <w:rPr>
                <w:rFonts w:ascii="Verdana" w:eastAsia="Calibri" w:hAnsi="Verdana" w:cs="Arial"/>
                <w:lang w:val="es-ES_tradnl" w:eastAsia="es-ES_tradnl"/>
              </w:rPr>
              <w:t>1-2025-06-06-005521</w:t>
            </w:r>
            <w:r>
              <w:rPr>
                <w:rFonts w:ascii="Verdana" w:eastAsia="Calibri" w:hAnsi="Verdana" w:cs="Arial"/>
                <w:lang w:val="es-ES_tradnl" w:eastAsia="es-ES_tradnl"/>
              </w:rPr>
              <w:t xml:space="preserve"> </w:t>
            </w:r>
          </w:p>
        </w:tc>
      </w:tr>
    </w:tbl>
    <w:p w14:paraId="2387AD4B" w14:textId="77777777" w:rsidR="00487D6C" w:rsidRPr="00593A5F" w:rsidRDefault="00487D6C" w:rsidP="00487D6C">
      <w:pPr>
        <w:spacing w:after="0" w:line="240" w:lineRule="auto"/>
        <w:jc w:val="both"/>
        <w:rPr>
          <w:rFonts w:ascii="Verdana" w:eastAsia="Calibri" w:hAnsi="Verdana" w:cs="Arial"/>
          <w:color w:val="000000"/>
          <w:lang w:val="es-ES_tradnl" w:eastAsia="es-ES_tradnl"/>
        </w:rPr>
      </w:pPr>
    </w:p>
    <w:p w14:paraId="270FD6C3" w14:textId="77777777" w:rsidR="00487D6C" w:rsidRPr="00593A5F" w:rsidRDefault="00487D6C" w:rsidP="00487D6C">
      <w:pPr>
        <w:spacing w:after="0" w:line="240" w:lineRule="auto"/>
        <w:jc w:val="both"/>
        <w:rPr>
          <w:rFonts w:ascii="Verdana" w:eastAsia="Calibri" w:hAnsi="Verdana" w:cs="Arial"/>
          <w:color w:val="000000"/>
          <w:lang w:val="es-ES_tradnl" w:eastAsia="es-ES_tradnl"/>
        </w:rPr>
      </w:pPr>
    </w:p>
    <w:p w14:paraId="25AEB961" w14:textId="77777777" w:rsidR="00487D6C" w:rsidRPr="008E6AD9" w:rsidRDefault="00487D6C" w:rsidP="00487D6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596510">
        <w:rPr>
          <w:rFonts w:ascii="Verdana" w:eastAsia="Calibri" w:hAnsi="Verdana" w:cs="Arial"/>
          <w:lang w:val="es-ES" w:eastAsia="es-ES"/>
        </w:rPr>
        <w:t xml:space="preserve">Mogollón </w:t>
      </w:r>
      <w:proofErr w:type="spellStart"/>
      <w:r w:rsidRPr="00596510">
        <w:rPr>
          <w:rFonts w:ascii="Verdana" w:eastAsia="Calibri" w:hAnsi="Verdana" w:cs="Arial"/>
          <w:lang w:val="es-ES" w:eastAsia="es-ES"/>
        </w:rPr>
        <w:t>Behaine</w:t>
      </w:r>
      <w:proofErr w:type="spellEnd"/>
      <w:r w:rsidRPr="008E6AD9">
        <w:rPr>
          <w:rFonts w:ascii="Verdana" w:eastAsia="Calibri" w:hAnsi="Verdana" w:cs="Arial"/>
          <w:lang w:val="es-ES" w:eastAsia="es-ES"/>
        </w:rPr>
        <w:t xml:space="preserve">: </w:t>
      </w:r>
    </w:p>
    <w:p w14:paraId="3B0A7D1B" w14:textId="037B7FB9" w:rsidR="00487D6C" w:rsidRDefault="00487D6C" w:rsidP="00487D6C">
      <w:pPr>
        <w:tabs>
          <w:tab w:val="left" w:pos="3768"/>
        </w:tabs>
        <w:spacing w:after="0" w:line="276" w:lineRule="auto"/>
        <w:jc w:val="both"/>
        <w:rPr>
          <w:rFonts w:ascii="Verdana" w:eastAsia="Calibri" w:hAnsi="Verdana" w:cs="Arial"/>
          <w:color w:val="000000" w:themeColor="text1"/>
          <w:lang w:val="es-ES" w:eastAsia="es-ES"/>
        </w:rPr>
      </w:pPr>
    </w:p>
    <w:p w14:paraId="1C6E377F" w14:textId="77777777" w:rsidR="00487D6C" w:rsidRPr="00593A5F" w:rsidRDefault="00487D6C" w:rsidP="00487D6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6 de junio de 2025, </w:t>
      </w:r>
      <w:r w:rsidRPr="008E6AD9">
        <w:rPr>
          <w:rFonts w:ascii="Verdana" w:eastAsia="Calibri" w:hAnsi="Verdana" w:cs="Arial"/>
          <w:lang w:val="es-ES" w:eastAsia="es-ES"/>
        </w:rPr>
        <w:t xml:space="preserve">en </w:t>
      </w:r>
      <w:r>
        <w:rPr>
          <w:rFonts w:ascii="Verdana" w:eastAsia="Calibri" w:hAnsi="Verdana" w:cs="Arial"/>
          <w:lang w:val="es-ES" w:eastAsia="es-ES"/>
        </w:rPr>
        <w:t>la cual manifiesta lo siguiente</w:t>
      </w:r>
      <w:r w:rsidRPr="008E6AD9">
        <w:rPr>
          <w:rFonts w:ascii="Verdana" w:eastAsia="Calibri" w:hAnsi="Verdana" w:cs="Arial"/>
          <w:lang w:val="es-ES" w:eastAsia="es-ES"/>
        </w:rPr>
        <w:t xml:space="preserve">: </w:t>
      </w:r>
    </w:p>
    <w:p w14:paraId="4B53CFF0" w14:textId="77777777" w:rsidR="00487D6C" w:rsidRPr="00272A7B" w:rsidRDefault="00487D6C" w:rsidP="00487D6C">
      <w:pPr>
        <w:pStyle w:val="Prrafodelista"/>
        <w:tabs>
          <w:tab w:val="left" w:pos="142"/>
          <w:tab w:val="left" w:pos="284"/>
        </w:tabs>
        <w:spacing w:after="0" w:line="276" w:lineRule="auto"/>
        <w:ind w:left="0"/>
        <w:jc w:val="both"/>
        <w:rPr>
          <w:rFonts w:ascii="Verdana" w:eastAsia="Century Gothic" w:hAnsi="Verdana" w:cs="Century Gothic"/>
          <w:b/>
          <w:bCs/>
        </w:rPr>
      </w:pPr>
    </w:p>
    <w:p w14:paraId="695D0AFE" w14:textId="3A28018A" w:rsidR="00487D6C" w:rsidRPr="00596510" w:rsidRDefault="00487D6C" w:rsidP="00487D6C">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596510">
        <w:rPr>
          <w:rFonts w:ascii="Verdana" w:eastAsia="Century Gothic" w:hAnsi="Verdana" w:cs="Century Gothic"/>
          <w:sz w:val="21"/>
          <w:szCs w:val="21"/>
          <w:lang w:val="es-ES"/>
        </w:rPr>
        <w:t xml:space="preserve">Revisado el concepto C- 492 de 2025 encuentro que la entidad incurre en un grave error de interpretación al equiparar el contrato de </w:t>
      </w:r>
      <w:r>
        <w:rPr>
          <w:rFonts w:ascii="Verdana" w:eastAsia="Century Gothic" w:hAnsi="Verdana" w:cs="Century Gothic"/>
          <w:sz w:val="23"/>
          <w:szCs w:val="23"/>
          <w:lang w:val="es-ES"/>
        </w:rPr>
        <w:t>‘</w:t>
      </w:r>
      <w:r w:rsidRPr="00596510">
        <w:rPr>
          <w:rFonts w:ascii="Verdana" w:eastAsia="Century Gothic" w:hAnsi="Verdana" w:cs="Century Gothic"/>
          <w:i/>
          <w:iCs/>
          <w:sz w:val="21"/>
          <w:szCs w:val="21"/>
          <w:lang w:val="es-ES"/>
        </w:rPr>
        <w:t>prestación de servicios de evaluación de conformidad respecto de las normas o reglamentos técnicos</w:t>
      </w:r>
      <w:r>
        <w:rPr>
          <w:rFonts w:ascii="Verdana" w:eastAsia="Century Gothic" w:hAnsi="Verdana" w:cs="Century Gothic"/>
          <w:sz w:val="21"/>
          <w:szCs w:val="21"/>
          <w:lang w:val="es-ES"/>
        </w:rPr>
        <w:t xml:space="preserve">’ </w:t>
      </w:r>
      <w:r w:rsidRPr="00596510">
        <w:rPr>
          <w:rFonts w:ascii="Verdana" w:eastAsia="Century Gothic" w:hAnsi="Verdana" w:cs="Century Gothic"/>
          <w:sz w:val="21"/>
          <w:szCs w:val="21"/>
          <w:lang w:val="es-ES"/>
        </w:rPr>
        <w:t xml:space="preserve">con el de interventoría, puesto que, la definición de este último está dada de manera clara por el inciso </w:t>
      </w:r>
      <w:r w:rsidRPr="00596510">
        <w:rPr>
          <w:rFonts w:ascii="Verdana" w:eastAsia="Century Gothic" w:hAnsi="Verdana" w:cs="Century Gothic"/>
          <w:sz w:val="21"/>
          <w:szCs w:val="21"/>
          <w:lang w:val="es-ES"/>
        </w:rPr>
        <w:lastRenderedPageBreak/>
        <w:t xml:space="preserve">segundo del numeral 2 del </w:t>
      </w:r>
      <w:r w:rsidR="00C2203F" w:rsidRPr="00596510">
        <w:rPr>
          <w:rFonts w:ascii="Verdana" w:eastAsia="Century Gothic" w:hAnsi="Verdana" w:cs="Century Gothic"/>
          <w:sz w:val="21"/>
          <w:szCs w:val="21"/>
          <w:lang w:val="es-ES"/>
        </w:rPr>
        <w:t>artículo</w:t>
      </w:r>
      <w:r w:rsidRPr="00596510">
        <w:rPr>
          <w:rFonts w:ascii="Verdana" w:eastAsia="Century Gothic" w:hAnsi="Verdana" w:cs="Century Gothic"/>
          <w:sz w:val="21"/>
          <w:szCs w:val="21"/>
          <w:lang w:val="es-ES"/>
        </w:rPr>
        <w:t xml:space="preserve"> 32 de la Ley 80 de 1993, que lo cataloga como un contrato de consultoría. Y este último no se encuentra dentro de las excepciones previstas en la modificación realizada por el artículo 92 de la Ley 1474 de 2011 al literal c) del numeral 4 del artículo 2 de la Ley 1150 de 2007. En este sentido, de querer el legislador incluir el</w:t>
      </w:r>
      <w:r>
        <w:rPr>
          <w:rFonts w:ascii="Verdana" w:eastAsia="Century Gothic" w:hAnsi="Verdana" w:cs="Century Gothic"/>
          <w:sz w:val="21"/>
          <w:szCs w:val="21"/>
          <w:lang w:val="es-ES"/>
        </w:rPr>
        <w:t xml:space="preserve"> </w:t>
      </w:r>
      <w:r w:rsidRPr="00596510">
        <w:rPr>
          <w:rFonts w:ascii="Verdana" w:eastAsia="Century Gothic" w:hAnsi="Verdana" w:cs="Century Gothic"/>
          <w:sz w:val="21"/>
          <w:szCs w:val="21"/>
          <w:lang w:val="es-ES"/>
        </w:rPr>
        <w:t>contrato de interventoría dentro de las excepciones lo hubiese hecho de manera expresa.</w:t>
      </w:r>
    </w:p>
    <w:p w14:paraId="317BA630" w14:textId="6278CBA7" w:rsidR="00487D6C" w:rsidRPr="00596510" w:rsidRDefault="00487D6C" w:rsidP="00487D6C">
      <w:pPr>
        <w:spacing w:after="120" w:line="240" w:lineRule="auto"/>
        <w:ind w:left="709" w:right="709"/>
        <w:jc w:val="both"/>
        <w:rPr>
          <w:rFonts w:ascii="Verdana" w:eastAsia="Century Gothic" w:hAnsi="Verdana" w:cs="Century Gothic"/>
          <w:sz w:val="21"/>
          <w:szCs w:val="21"/>
          <w:lang w:val="es-ES"/>
        </w:rPr>
      </w:pPr>
      <w:r w:rsidRPr="00596510">
        <w:rPr>
          <w:rFonts w:ascii="Verdana" w:eastAsia="Century Gothic" w:hAnsi="Verdana" w:cs="Century Gothic"/>
          <w:sz w:val="21"/>
          <w:szCs w:val="21"/>
          <w:lang w:val="es-ES"/>
        </w:rPr>
        <w:t xml:space="preserve">Ahora bien, Colombia Compra Eficiente en el documento equipara el concepto de seguimiento con el de evaluación, verbos que tienen definiciones diferentes, situación que bajo todo punto de vista en el marco de un contrato de interventoría no se pueden equiparar, dado que, en estos claramente no se hacen evaluaciones y acorde a la definición dispuesta por la inciso tercero del </w:t>
      </w:r>
      <w:r w:rsidR="00C2203F" w:rsidRPr="00596510">
        <w:rPr>
          <w:rFonts w:ascii="Verdana" w:eastAsia="Century Gothic" w:hAnsi="Verdana" w:cs="Century Gothic"/>
          <w:sz w:val="21"/>
          <w:szCs w:val="21"/>
          <w:lang w:val="es-ES"/>
        </w:rPr>
        <w:t>artículo</w:t>
      </w:r>
      <w:r w:rsidRPr="00596510">
        <w:rPr>
          <w:rFonts w:ascii="Verdana" w:eastAsia="Century Gothic" w:hAnsi="Verdana" w:cs="Century Gothic"/>
          <w:sz w:val="21"/>
          <w:szCs w:val="21"/>
          <w:lang w:val="es-ES"/>
        </w:rPr>
        <w:t xml:space="preserve"> 83 de la Ley 1474 de 2011 esta consiste en el seguimiento técnico que sobre el cumplimiento del contrato, NO EN LA EVALUACION.</w:t>
      </w:r>
    </w:p>
    <w:p w14:paraId="6FA35933" w14:textId="77777777" w:rsidR="00487D6C" w:rsidRPr="005B7798" w:rsidRDefault="00487D6C" w:rsidP="00487D6C">
      <w:pPr>
        <w:spacing w:after="0" w:line="240" w:lineRule="auto"/>
        <w:ind w:left="709" w:right="709"/>
        <w:jc w:val="both"/>
        <w:rPr>
          <w:rFonts w:ascii="Verdana" w:eastAsia="Century Gothic" w:hAnsi="Verdana" w:cs="Century Gothic"/>
          <w:sz w:val="21"/>
          <w:szCs w:val="21"/>
          <w:lang w:val="es-ES"/>
        </w:rPr>
      </w:pPr>
      <w:r w:rsidRPr="00596510">
        <w:rPr>
          <w:rFonts w:ascii="Verdana" w:eastAsia="Century Gothic" w:hAnsi="Verdana" w:cs="Century Gothic"/>
          <w:sz w:val="21"/>
          <w:szCs w:val="21"/>
          <w:lang w:val="es-ES"/>
        </w:rPr>
        <w:t>Expuesto lo anterior, le solicito de manera respetuosa realizar la REVISION DE CONCEPTO C- 492 de 2025</w:t>
      </w:r>
      <w:r w:rsidRPr="006040CE">
        <w:rPr>
          <w:rFonts w:ascii="Verdana" w:eastAsia="Century Gothic" w:hAnsi="Verdana" w:cs="Century Gothic"/>
          <w:sz w:val="21"/>
          <w:szCs w:val="21"/>
          <w:lang w:val="es-ES"/>
        </w:rPr>
        <w:t>”.</w:t>
      </w:r>
    </w:p>
    <w:p w14:paraId="68A1EA98" w14:textId="77777777" w:rsidR="00487D6C" w:rsidRPr="008E6AD9" w:rsidRDefault="00487D6C" w:rsidP="00487D6C">
      <w:pPr>
        <w:pStyle w:val="Prrafodelista"/>
        <w:tabs>
          <w:tab w:val="left" w:pos="142"/>
          <w:tab w:val="left" w:pos="284"/>
        </w:tabs>
        <w:spacing w:after="0" w:line="276" w:lineRule="auto"/>
        <w:ind w:left="0"/>
        <w:jc w:val="both"/>
        <w:rPr>
          <w:rFonts w:ascii="Verdana" w:eastAsia="Century Gothic" w:hAnsi="Verdana" w:cs="Century Gothic"/>
          <w:b/>
          <w:bCs/>
        </w:rPr>
      </w:pPr>
    </w:p>
    <w:p w14:paraId="26B1A6CE" w14:textId="77777777" w:rsidR="00487D6C" w:rsidRDefault="00487D6C" w:rsidP="00487D6C">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Conforme a la relatoría de la Agencia, el Concepto C-492 del 6 de junio de 2025 resolvió la consulta con radicado </w:t>
      </w:r>
      <w:r w:rsidRPr="00596510">
        <w:rPr>
          <w:rFonts w:ascii="Verdana" w:eastAsia="Calibri" w:hAnsi="Verdana" w:cs="Arial"/>
          <w:color w:val="000000"/>
          <w:lang w:val="es-ES" w:eastAsia="es-ES"/>
        </w:rPr>
        <w:t>P20250423003825</w:t>
      </w:r>
      <w:r>
        <w:rPr>
          <w:rFonts w:ascii="Verdana" w:eastAsia="Calibri" w:hAnsi="Verdana" w:cs="Arial"/>
          <w:color w:val="000000"/>
          <w:lang w:val="es-ES" w:eastAsia="es-ES"/>
        </w:rPr>
        <w:t xml:space="preserve"> del 23 de abril de 2024, en la que se preguntaba si “</w:t>
      </w:r>
      <w:r w:rsidRPr="00D4062A">
        <w:rPr>
          <w:rFonts w:ascii="Verdana" w:eastAsia="Calibri" w:hAnsi="Verdana" w:cs="Arial"/>
          <w:color w:val="000000"/>
          <w:lang w:val="es-ES" w:eastAsia="es-ES"/>
        </w:rPr>
        <w:t xml:space="preserve">Pueden los municipios contratar de manera directa la interventoría de obras públicas con Asociaciones de Municipios, siempre que el objeto a contratar tenga relación directa con el objeto de </w:t>
      </w:r>
      <w:proofErr w:type="gramStart"/>
      <w:r w:rsidRPr="00D4062A">
        <w:rPr>
          <w:rFonts w:ascii="Verdana" w:eastAsia="Calibri" w:hAnsi="Verdana" w:cs="Arial"/>
          <w:color w:val="000000"/>
          <w:lang w:val="es-ES" w:eastAsia="es-ES"/>
        </w:rPr>
        <w:t>las mismas</w:t>
      </w:r>
      <w:proofErr w:type="gramEnd"/>
      <w:r w:rsidRPr="00D4062A">
        <w:rPr>
          <w:rFonts w:ascii="Verdana" w:eastAsia="Calibri" w:hAnsi="Verdana" w:cs="Arial"/>
          <w:color w:val="000000"/>
          <w:lang w:val="es-ES" w:eastAsia="es-ES"/>
        </w:rPr>
        <w:t xml:space="preserve"> señalado en sus estatutos o reglamentos</w:t>
      </w:r>
      <w:r>
        <w:rPr>
          <w:rFonts w:ascii="Verdana" w:eastAsia="Calibri" w:hAnsi="Verdana" w:cs="Arial"/>
          <w:color w:val="000000"/>
          <w:lang w:val="es-ES" w:eastAsia="es-ES"/>
        </w:rPr>
        <w:t>”. La Subdirección de Gestión Contractual estimó que:</w:t>
      </w:r>
    </w:p>
    <w:p w14:paraId="085901A9" w14:textId="77777777" w:rsidR="00487D6C" w:rsidRDefault="00487D6C" w:rsidP="00487D6C">
      <w:pPr>
        <w:spacing w:after="0" w:line="276" w:lineRule="auto"/>
        <w:ind w:firstLine="709"/>
        <w:jc w:val="both"/>
        <w:rPr>
          <w:rFonts w:ascii="Verdana" w:eastAsia="Calibri" w:hAnsi="Verdana" w:cs="Arial"/>
          <w:color w:val="000000"/>
          <w:lang w:val="es-ES" w:eastAsia="es-ES"/>
        </w:rPr>
      </w:pPr>
    </w:p>
    <w:p w14:paraId="59A1552F" w14:textId="77777777" w:rsidR="00487D6C" w:rsidRDefault="00487D6C" w:rsidP="00487D6C">
      <w:pPr>
        <w:spacing w:after="120" w:line="240" w:lineRule="auto"/>
        <w:ind w:left="709" w:right="709"/>
        <w:jc w:val="both"/>
        <w:rPr>
          <w:rFonts w:ascii="Verdana" w:eastAsia="Calibri" w:hAnsi="Verdana" w:cs="Arial"/>
          <w:color w:val="000000"/>
          <w:sz w:val="21"/>
          <w:szCs w:val="21"/>
          <w:lang w:val="es-ES" w:eastAsia="es-ES"/>
        </w:rPr>
      </w:pPr>
      <w:r w:rsidRPr="00D63D73">
        <w:rPr>
          <w:rFonts w:ascii="Verdana" w:eastAsia="Calibri" w:hAnsi="Verdana" w:cs="Arial"/>
          <w:color w:val="000000"/>
          <w:sz w:val="21"/>
          <w:szCs w:val="21"/>
          <w:lang w:val="es-ES" w:eastAsia="es-ES"/>
        </w:rPr>
        <w:t>“</w:t>
      </w:r>
      <w:r w:rsidRPr="0054633E">
        <w:rPr>
          <w:rFonts w:ascii="Verdana" w:eastAsia="Calibri" w:hAnsi="Verdana" w:cs="Arial"/>
          <w:color w:val="000000"/>
          <w:sz w:val="21"/>
          <w:szCs w:val="21"/>
          <w:lang w:val="es-ES" w:eastAsia="es-ES"/>
        </w:rPr>
        <w:t>La normativa de contratación pública en Colombia establece restricciones claras para la modalidad de contratación directa en contratos interadministrativos. Específicamente, el artículo 92 de la Ley 1474 de 2011, que modificó el literal c) del numeral 4 del artículo 2 de la Ley 1150 de 2007, prohíbe de manera taxativa la celebración de contratos bajo esta modalidad para ciertos objetos y tipologías contractuales.</w:t>
      </w:r>
    </w:p>
    <w:p w14:paraId="1D4DCD09" w14:textId="77777777" w:rsidR="00487D6C" w:rsidRDefault="00487D6C" w:rsidP="00487D6C">
      <w:pPr>
        <w:spacing w:after="0" w:line="240" w:lineRule="auto"/>
        <w:ind w:left="709" w:right="709"/>
        <w:jc w:val="both"/>
        <w:rPr>
          <w:rFonts w:ascii="Verdana" w:eastAsia="Calibri" w:hAnsi="Verdana" w:cs="Arial"/>
          <w:color w:val="000000"/>
          <w:sz w:val="21"/>
          <w:szCs w:val="21"/>
          <w:lang w:val="es-ES" w:eastAsia="es-ES"/>
        </w:rPr>
      </w:pPr>
      <w:r w:rsidRPr="0054633E">
        <w:rPr>
          <w:rFonts w:ascii="Verdana" w:eastAsia="Calibri" w:hAnsi="Verdana" w:cs="Arial"/>
          <w:color w:val="000000"/>
          <w:sz w:val="21"/>
          <w:szCs w:val="21"/>
          <w:lang w:val="es-ES" w:eastAsia="es-ES"/>
        </w:rPr>
        <w:t xml:space="preserve">En particular, se exceptúa la posibilidad de contratar directamente: los Contratos de obra, Suministro, Prestación de servicios de evaluación de conformidad respecto de las normas o reglamentos técnicos y Encargos fiduciarios y fiducia pública. Adicionalmente, la ley establece una prohibición específica para las personas jurídicas sin ánimo de lucro que son conformadas por la asociación de entidades públicas. Se determina que estas deben someterse a los procesos de selección </w:t>
      </w:r>
      <w:r w:rsidRPr="0054633E">
        <w:rPr>
          <w:rFonts w:ascii="Verdana" w:eastAsia="Calibri" w:hAnsi="Verdana" w:cs="Arial"/>
          <w:color w:val="000000"/>
          <w:sz w:val="21"/>
          <w:szCs w:val="21"/>
          <w:lang w:val="es-ES" w:eastAsia="es-ES"/>
        </w:rPr>
        <w:lastRenderedPageBreak/>
        <w:t>competitivos establecidos en la Ley 1150 de 2007, es decir, la licitación pública y la selección abreviada.</w:t>
      </w:r>
    </w:p>
    <w:p w14:paraId="4CBF8765" w14:textId="77777777" w:rsidR="00487D6C" w:rsidRDefault="00487D6C" w:rsidP="00487D6C">
      <w:pPr>
        <w:spacing w:after="120" w:line="240" w:lineRule="auto"/>
        <w:ind w:left="709" w:right="709"/>
        <w:jc w:val="both"/>
        <w:rPr>
          <w:rFonts w:ascii="Verdana" w:eastAsia="Calibri" w:hAnsi="Verdana" w:cs="Arial"/>
          <w:color w:val="000000"/>
          <w:sz w:val="21"/>
          <w:szCs w:val="21"/>
          <w:lang w:val="es-ES" w:eastAsia="es-ES"/>
        </w:rPr>
      </w:pPr>
      <w:r>
        <w:rPr>
          <w:rFonts w:ascii="Verdana" w:eastAsia="Calibri" w:hAnsi="Verdana" w:cs="Arial"/>
          <w:color w:val="000000"/>
          <w:sz w:val="21"/>
          <w:szCs w:val="21"/>
          <w:lang w:val="es-ES" w:eastAsia="es-ES"/>
        </w:rPr>
        <w:t xml:space="preserve">[…] </w:t>
      </w:r>
    </w:p>
    <w:p w14:paraId="6AB9FF36" w14:textId="77777777" w:rsidR="00487D6C" w:rsidRPr="00D63D73" w:rsidRDefault="00487D6C" w:rsidP="00487D6C">
      <w:pPr>
        <w:spacing w:after="120" w:line="240" w:lineRule="auto"/>
        <w:ind w:left="709" w:right="709"/>
        <w:jc w:val="both"/>
        <w:rPr>
          <w:rFonts w:ascii="Verdana" w:eastAsia="Calibri" w:hAnsi="Verdana" w:cs="Arial"/>
          <w:color w:val="000000"/>
          <w:sz w:val="21"/>
          <w:szCs w:val="21"/>
          <w:lang w:val="es-ES" w:eastAsia="es-ES"/>
        </w:rPr>
      </w:pPr>
      <w:r w:rsidRPr="0054633E">
        <w:rPr>
          <w:rFonts w:ascii="Verdana" w:eastAsia="Calibri" w:hAnsi="Verdana" w:cs="Arial"/>
          <w:color w:val="000000"/>
          <w:sz w:val="21"/>
          <w:szCs w:val="21"/>
          <w:lang w:val="es-ES" w:eastAsia="es-ES"/>
        </w:rPr>
        <w:t>Así las cosas,</w:t>
      </w:r>
      <w:r>
        <w:rPr>
          <w:rFonts w:ascii="Verdana" w:eastAsia="Calibri" w:hAnsi="Verdana" w:cs="Arial"/>
          <w:color w:val="000000"/>
          <w:sz w:val="21"/>
          <w:szCs w:val="21"/>
          <w:lang w:val="es-ES" w:eastAsia="es-ES"/>
        </w:rPr>
        <w:t xml:space="preserve"> </w:t>
      </w:r>
      <w:r w:rsidRPr="00D63D73">
        <w:rPr>
          <w:rFonts w:ascii="Verdana" w:eastAsia="Calibri" w:hAnsi="Verdana" w:cs="Arial"/>
          <w:color w:val="000000"/>
          <w:sz w:val="21"/>
          <w:szCs w:val="21"/>
          <w:lang w:val="es-ES" w:eastAsia="es-ES"/>
        </w:rPr>
        <w:t xml:space="preserve">es claro que el artículo 92 de la Ley 1474 de 2011 contempla dos prohibiciones que aplican a este caso: i) La naturaleza del servicio: la interventoría se enmarca en la </w:t>
      </w:r>
      <w:r>
        <w:rPr>
          <w:rFonts w:ascii="Verdana" w:eastAsia="Calibri" w:hAnsi="Verdana" w:cs="Arial"/>
          <w:color w:val="000000"/>
          <w:sz w:val="21"/>
          <w:szCs w:val="21"/>
          <w:lang w:val="es-ES" w:eastAsia="es-ES"/>
        </w:rPr>
        <w:t>‘</w:t>
      </w:r>
      <w:r w:rsidRPr="00D63D73">
        <w:rPr>
          <w:rFonts w:ascii="Verdana" w:eastAsia="Calibri" w:hAnsi="Verdana" w:cs="Arial"/>
          <w:color w:val="000000"/>
          <w:sz w:val="21"/>
          <w:szCs w:val="21"/>
          <w:lang w:val="es-ES" w:eastAsia="es-ES"/>
        </w:rPr>
        <w:t>prestación de servicios de evaluación de conformidad</w:t>
      </w:r>
      <w:r>
        <w:rPr>
          <w:rFonts w:ascii="Verdana" w:eastAsia="Calibri" w:hAnsi="Verdana" w:cs="Arial"/>
          <w:color w:val="000000"/>
          <w:sz w:val="21"/>
          <w:szCs w:val="21"/>
          <w:lang w:val="es-ES" w:eastAsia="es-ES"/>
        </w:rPr>
        <w:t>’ (sic)</w:t>
      </w:r>
      <w:r w:rsidRPr="00D63D73">
        <w:rPr>
          <w:rFonts w:ascii="Verdana" w:eastAsia="Calibri" w:hAnsi="Verdana" w:cs="Arial"/>
          <w:color w:val="000000"/>
          <w:sz w:val="21"/>
          <w:szCs w:val="21"/>
          <w:lang w:val="es-ES" w:eastAsia="es-ES"/>
        </w:rPr>
        <w:t xml:space="preserve">. </w:t>
      </w:r>
      <w:proofErr w:type="spellStart"/>
      <w:r w:rsidRPr="00D63D73">
        <w:rPr>
          <w:rFonts w:ascii="Verdana" w:eastAsia="Calibri" w:hAnsi="Verdana" w:cs="Arial"/>
          <w:color w:val="000000"/>
          <w:sz w:val="21"/>
          <w:szCs w:val="21"/>
          <w:lang w:val="es-ES" w:eastAsia="es-ES"/>
        </w:rPr>
        <w:t>ii</w:t>
      </w:r>
      <w:proofErr w:type="spellEnd"/>
      <w:r w:rsidRPr="00D63D73">
        <w:rPr>
          <w:rFonts w:ascii="Verdana" w:eastAsia="Calibri" w:hAnsi="Verdana" w:cs="Arial"/>
          <w:color w:val="000000"/>
          <w:sz w:val="21"/>
          <w:szCs w:val="21"/>
          <w:lang w:val="es-ES" w:eastAsia="es-ES"/>
        </w:rPr>
        <w:t>) La naturaleza de la entidad: ser una persona jurídica sin ánimo de lucro conformada por una asociación de entidades públicas.</w:t>
      </w:r>
    </w:p>
    <w:p w14:paraId="7C80AC6E" w14:textId="77777777" w:rsidR="00487D6C" w:rsidRPr="00D63D73" w:rsidRDefault="00487D6C" w:rsidP="00487D6C">
      <w:pPr>
        <w:spacing w:after="0" w:line="240" w:lineRule="auto"/>
        <w:ind w:left="709" w:right="709"/>
        <w:jc w:val="both"/>
        <w:rPr>
          <w:rFonts w:ascii="Verdana" w:eastAsia="Calibri" w:hAnsi="Verdana" w:cs="Arial"/>
          <w:color w:val="000000"/>
          <w:sz w:val="21"/>
          <w:szCs w:val="21"/>
          <w:lang w:val="es-ES" w:eastAsia="es-ES"/>
        </w:rPr>
      </w:pPr>
      <w:r w:rsidRPr="00D63D73">
        <w:rPr>
          <w:rFonts w:ascii="Verdana" w:eastAsia="Calibri" w:hAnsi="Verdana" w:cs="Arial"/>
          <w:color w:val="000000"/>
          <w:sz w:val="21"/>
          <w:szCs w:val="21"/>
          <w:lang w:val="es-ES" w:eastAsia="es-ES"/>
        </w:rPr>
        <w:t>Bajo estos supuestos, las Asociaciones de Municipios están obligadas a competir a través de las reglas de selección objetiva. Esta exigencia garantiza el cumplimiento de los principios de transparencia y libre concurrencia que rigen la contratación pública en Colombia”.</w:t>
      </w:r>
    </w:p>
    <w:p w14:paraId="6F63F4CA" w14:textId="77777777" w:rsidR="00487D6C" w:rsidRDefault="00487D6C" w:rsidP="00487D6C">
      <w:pPr>
        <w:spacing w:after="0" w:line="276" w:lineRule="auto"/>
        <w:jc w:val="both"/>
        <w:rPr>
          <w:rFonts w:ascii="Verdana" w:eastAsia="Calibri" w:hAnsi="Verdana" w:cs="Arial"/>
          <w:color w:val="000000"/>
          <w:lang w:val="es-ES" w:eastAsia="es-ES"/>
        </w:rPr>
      </w:pPr>
    </w:p>
    <w:p w14:paraId="68B2DABF" w14:textId="77777777" w:rsidR="00487D6C" w:rsidRPr="00A652FF" w:rsidRDefault="00487D6C" w:rsidP="00487D6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07ECAD9" w14:textId="77777777" w:rsidR="00487D6C" w:rsidRDefault="00487D6C" w:rsidP="00487D6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0B38AB2C" w14:textId="77777777" w:rsidR="00487D6C" w:rsidRPr="00593A5F" w:rsidRDefault="00487D6C" w:rsidP="00487D6C">
      <w:pPr>
        <w:spacing w:after="0" w:line="276" w:lineRule="auto"/>
        <w:ind w:firstLine="709"/>
        <w:jc w:val="both"/>
        <w:rPr>
          <w:rFonts w:ascii="Verdana" w:eastAsia="Calibri" w:hAnsi="Verdana" w:cs="Arial"/>
          <w:color w:val="000000"/>
          <w:lang w:val="es-ES" w:eastAsia="es-ES"/>
        </w:rPr>
      </w:pPr>
    </w:p>
    <w:p w14:paraId="180B5D47" w14:textId="77777777" w:rsidR="00487D6C" w:rsidRPr="00593A5F" w:rsidRDefault="00487D6C" w:rsidP="00487D6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706194E" w14:textId="77777777" w:rsidR="00487D6C" w:rsidRPr="00593A5F" w:rsidRDefault="00487D6C" w:rsidP="00487D6C">
      <w:pPr>
        <w:tabs>
          <w:tab w:val="left" w:pos="426"/>
        </w:tabs>
        <w:spacing w:after="0" w:line="276" w:lineRule="auto"/>
        <w:jc w:val="both"/>
        <w:rPr>
          <w:rFonts w:ascii="Verdana" w:eastAsia="Century Gothic" w:hAnsi="Verdana" w:cs="Century Gothic"/>
          <w:lang w:val="es-ES"/>
        </w:rPr>
      </w:pPr>
    </w:p>
    <w:p w14:paraId="100574C5" w14:textId="77777777" w:rsidR="00487D6C" w:rsidRPr="00593A5F" w:rsidRDefault="00487D6C" w:rsidP="00487D6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sidRPr="00411C6D">
        <w:rPr>
          <w:rFonts w:ascii="Verdana" w:eastAsia="Century Gothic" w:hAnsi="Verdana" w:cs="Century Gothic"/>
        </w:rPr>
        <w:t>¿</w:t>
      </w:r>
      <w:r>
        <w:rPr>
          <w:rFonts w:ascii="Verdana" w:eastAsia="Century Gothic" w:hAnsi="Verdana" w:cs="Century Gothic"/>
        </w:rPr>
        <w:t xml:space="preserve">cuál es el alcance de las prohibiciones a la selección directa en los contratos interadministrativos con asociaciones de municipios?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3C5D5C38" w14:textId="77777777" w:rsidR="00487D6C" w:rsidRPr="004B140F" w:rsidRDefault="00487D6C" w:rsidP="00487D6C">
      <w:pPr>
        <w:spacing w:after="0" w:line="276" w:lineRule="auto"/>
        <w:jc w:val="both"/>
        <w:rPr>
          <w:rFonts w:ascii="Verdana" w:eastAsia="Calibri" w:hAnsi="Verdana" w:cs="Arial"/>
          <w:color w:val="7030A0"/>
        </w:rPr>
      </w:pPr>
    </w:p>
    <w:p w14:paraId="64A7A217" w14:textId="77777777" w:rsidR="00487D6C" w:rsidRPr="00593A5F" w:rsidRDefault="00487D6C" w:rsidP="00487D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Respuesta:</w:t>
      </w:r>
    </w:p>
    <w:p w14:paraId="0E022CB7" w14:textId="77777777" w:rsidR="00487D6C" w:rsidRPr="00593A5F" w:rsidRDefault="00487D6C" w:rsidP="00487D6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87D6C" w:rsidRPr="00593A5F" w14:paraId="2C22C628" w14:textId="77777777" w:rsidTr="009111DC">
        <w:trPr>
          <w:jc w:val="center"/>
        </w:trPr>
        <w:tc>
          <w:tcPr>
            <w:tcW w:w="8828" w:type="dxa"/>
            <w:shd w:val="clear" w:color="auto" w:fill="auto"/>
          </w:tcPr>
          <w:p w14:paraId="047A3297" w14:textId="77777777" w:rsidR="00487D6C" w:rsidRDefault="00487D6C" w:rsidP="009111DC">
            <w:pPr>
              <w:spacing w:after="120" w:line="276" w:lineRule="auto"/>
              <w:jc w:val="both"/>
              <w:rPr>
                <w:rFonts w:ascii="Verdana" w:eastAsia="Arial" w:hAnsi="Verdana" w:cs="Arial"/>
                <w:color w:val="000000" w:themeColor="text1"/>
                <w:lang w:val="es-ES"/>
              </w:rPr>
            </w:pPr>
            <w:bookmarkStart w:id="1" w:name="_Hlk171694685"/>
            <w:r>
              <w:rPr>
                <w:rFonts w:ascii="Verdana" w:eastAsia="Arial" w:hAnsi="Verdana" w:cs="Arial"/>
                <w:color w:val="000000" w:themeColor="text1"/>
                <w:lang w:val="es-ES"/>
              </w:rPr>
              <w:t xml:space="preserve">Conforme a la interpretación general de las normas del sistema de compras públicas, </w:t>
            </w:r>
            <w:r w:rsidRPr="00F2172E">
              <w:rPr>
                <w:rFonts w:ascii="Verdana" w:eastAsia="Arial" w:hAnsi="Verdana" w:cs="Arial"/>
                <w:color w:val="000000" w:themeColor="text1"/>
                <w:lang w:val="es-ES"/>
              </w:rPr>
              <w:t>la interventoría es distinta a los “contratos de prestación de servicios de evaluación de conformidad respecto de las normas o reglamentos técnicos”</w:t>
            </w:r>
            <w:r>
              <w:rPr>
                <w:rFonts w:ascii="Verdana" w:eastAsia="Arial" w:hAnsi="Verdana" w:cs="Arial"/>
                <w:color w:val="000000" w:themeColor="text1"/>
                <w:lang w:val="es-ES"/>
              </w:rPr>
              <w:t xml:space="preserve">. </w:t>
            </w:r>
            <w:r w:rsidRPr="00F2172E">
              <w:rPr>
                <w:rFonts w:ascii="Verdana" w:eastAsia="Arial" w:hAnsi="Verdana" w:cs="Arial"/>
                <w:i/>
                <w:iCs/>
                <w:color w:val="000000" w:themeColor="text1"/>
                <w:lang w:val="es-ES"/>
              </w:rPr>
              <w:t>Por un lado</w:t>
            </w:r>
            <w:r>
              <w:rPr>
                <w:rFonts w:ascii="Verdana" w:eastAsia="Arial" w:hAnsi="Verdana" w:cs="Arial"/>
                <w:color w:val="000000" w:themeColor="text1"/>
                <w:lang w:val="es-ES"/>
              </w:rPr>
              <w:t xml:space="preserve">, como </w:t>
            </w:r>
            <w:r w:rsidRPr="00F2172E">
              <w:rPr>
                <w:rFonts w:ascii="Verdana" w:eastAsia="Arial" w:hAnsi="Verdana" w:cs="Arial"/>
                <w:color w:val="000000" w:themeColor="text1"/>
                <w:lang w:val="es-ES"/>
              </w:rPr>
              <w:t>la interventoría hace parte del contrato de consultoría, no puede equipararse con un contrato de prestación de servicios</w:t>
            </w:r>
            <w:r>
              <w:rPr>
                <w:rFonts w:ascii="Verdana" w:eastAsia="Arial" w:hAnsi="Verdana" w:cs="Arial"/>
                <w:color w:val="000000" w:themeColor="text1"/>
                <w:lang w:val="es-ES"/>
              </w:rPr>
              <w:t xml:space="preserve">; además, mientras la interventoría se desarrolla en el marco del artículo 83 de la Ley 1474 de 2011, la evaluación de conformidad tiene fundamento en artículo 73 de la Ley 1480 de 1993 y está reglamentada en el </w:t>
            </w:r>
            <w:r w:rsidRPr="001233CB">
              <w:rPr>
                <w:rFonts w:ascii="Verdana" w:eastAsia="Arial" w:hAnsi="Verdana" w:cs="Arial"/>
                <w:color w:val="000000" w:themeColor="text1"/>
                <w:lang w:val="es-ES"/>
              </w:rPr>
              <w:t xml:space="preserve">Capítulo </w:t>
            </w:r>
            <w:r>
              <w:rPr>
                <w:rFonts w:ascii="Verdana" w:eastAsia="Arial" w:hAnsi="Verdana" w:cs="Arial"/>
                <w:color w:val="000000" w:themeColor="text1"/>
                <w:lang w:val="es-ES"/>
              </w:rPr>
              <w:t>7</w:t>
            </w:r>
            <w:r w:rsidRPr="001233CB">
              <w:rPr>
                <w:rFonts w:ascii="Verdana" w:eastAsia="Arial" w:hAnsi="Verdana" w:cs="Arial"/>
                <w:color w:val="000000" w:themeColor="text1"/>
                <w:lang w:val="es-ES"/>
              </w:rPr>
              <w:t xml:space="preserve"> del Título I de la Parte 2 del Libro 2 del Decreto 1074 de 2015</w:t>
            </w:r>
            <w:r>
              <w:rPr>
                <w:rFonts w:ascii="Verdana" w:eastAsia="Arial" w:hAnsi="Verdana" w:cs="Arial"/>
                <w:color w:val="000000" w:themeColor="text1"/>
                <w:lang w:val="es-ES"/>
              </w:rPr>
              <w:t xml:space="preserve">. </w:t>
            </w:r>
          </w:p>
          <w:p w14:paraId="5EF3709E" w14:textId="77777777" w:rsidR="00487D6C" w:rsidRPr="005B0D9F" w:rsidRDefault="00487D6C" w:rsidP="009111DC">
            <w:pPr>
              <w:spacing w:after="120" w:line="276" w:lineRule="auto"/>
              <w:ind w:firstLine="737"/>
              <w:jc w:val="both"/>
              <w:rPr>
                <w:rFonts w:ascii="Verdana" w:eastAsia="Arial" w:hAnsi="Verdana" w:cs="Arial"/>
                <w:color w:val="000000" w:themeColor="text1"/>
                <w:lang w:val="es-ES"/>
              </w:rPr>
            </w:pPr>
            <w:r>
              <w:rPr>
                <w:rFonts w:ascii="Verdana" w:eastAsia="Arial" w:hAnsi="Verdana" w:cs="Arial"/>
                <w:color w:val="000000" w:themeColor="text1"/>
                <w:lang w:val="es-ES"/>
              </w:rPr>
              <w:t>D</w:t>
            </w:r>
            <w:r w:rsidRPr="005B0D9F">
              <w:rPr>
                <w:rFonts w:ascii="Verdana" w:eastAsia="Arial" w:hAnsi="Verdana" w:cs="Arial"/>
                <w:color w:val="000000" w:themeColor="text1"/>
                <w:lang w:val="es-ES"/>
              </w:rPr>
              <w:t xml:space="preserve">e esta conclusión no se deriva </w:t>
            </w:r>
            <w:r>
              <w:rPr>
                <w:rFonts w:ascii="Verdana" w:eastAsia="Arial" w:hAnsi="Verdana" w:cs="Arial"/>
                <w:color w:val="000000" w:themeColor="text1"/>
                <w:lang w:val="es-ES"/>
              </w:rPr>
              <w:t xml:space="preserve">que </w:t>
            </w:r>
            <w:r w:rsidRPr="005B0D9F">
              <w:rPr>
                <w:rFonts w:ascii="Verdana" w:eastAsia="Arial" w:hAnsi="Verdana" w:cs="Arial"/>
                <w:color w:val="000000" w:themeColor="text1"/>
                <w:lang w:val="es-ES"/>
              </w:rPr>
              <w:t xml:space="preserve">la contratación directa de interadministrativos con asociaciones de municipios </w:t>
            </w:r>
            <w:r>
              <w:rPr>
                <w:rFonts w:ascii="Verdana" w:eastAsia="Arial" w:hAnsi="Verdana" w:cs="Arial"/>
                <w:color w:val="000000" w:themeColor="text1"/>
                <w:lang w:val="es-ES"/>
              </w:rPr>
              <w:t xml:space="preserve">esté permitida </w:t>
            </w:r>
            <w:r w:rsidRPr="005B0D9F">
              <w:rPr>
                <w:rFonts w:ascii="Verdana" w:eastAsia="Arial" w:hAnsi="Verdana" w:cs="Arial"/>
                <w:color w:val="000000" w:themeColor="text1"/>
                <w:lang w:val="es-ES"/>
              </w:rPr>
              <w:t xml:space="preserve">en el caso planteado en la consulta del radicado P20250423003825 del 23 de abril de 2024. Esto en la medida que, fuera de lo regulado en el literal c) del artículo 2.4 de la Ley 1150 de 2007, el Concepto C-492 del 6 de junio de 2025 debía tener en cuenta el mandato de procesos competitivos consagrado en el artículo 10 </w:t>
            </w:r>
            <w:r w:rsidRPr="005B0D9F">
              <w:rPr>
                <w:rFonts w:ascii="Verdana" w:eastAsia="Arial" w:hAnsi="Verdana" w:cs="Arial"/>
                <w:i/>
                <w:iCs/>
                <w:color w:val="000000" w:themeColor="text1"/>
                <w:lang w:val="es-ES"/>
              </w:rPr>
              <w:t>ibidem</w:t>
            </w:r>
            <w:r w:rsidRPr="005B0D9F">
              <w:rPr>
                <w:rFonts w:ascii="Verdana" w:eastAsia="Arial" w:hAnsi="Verdana" w:cs="Arial"/>
                <w:color w:val="000000" w:themeColor="text1"/>
                <w:lang w:val="es-ES"/>
              </w:rPr>
              <w:t>.</w:t>
            </w:r>
          </w:p>
          <w:p w14:paraId="3C344C38" w14:textId="77777777" w:rsidR="00487D6C" w:rsidRDefault="00487D6C" w:rsidP="009111DC">
            <w:pPr>
              <w:spacing w:after="120" w:line="276" w:lineRule="auto"/>
              <w:ind w:firstLine="737"/>
              <w:jc w:val="both"/>
              <w:rPr>
                <w:rFonts w:ascii="Verdana" w:eastAsia="Arial" w:hAnsi="Verdana" w:cs="Arial"/>
                <w:color w:val="000000" w:themeColor="text1"/>
                <w:lang w:val="es-ES"/>
              </w:rPr>
            </w:pPr>
            <w:r w:rsidRPr="005B0D9F">
              <w:rPr>
                <w:rFonts w:ascii="Verdana" w:eastAsia="Arial" w:hAnsi="Verdana" w:cs="Arial"/>
                <w:color w:val="000000" w:themeColor="text1"/>
              </w:rPr>
              <w:t xml:space="preserve">La norma citada dispone expresamente que “[…]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Es decir, en los casos no cubiertos por el literal c) del artículo 2.4 de la Ley 1150 de 2007, rige el artículo 10 de la misma ley, el cual establece la necesidad de pluralidad de oferentes y excluye la contratación directa. Esta última norma no ha sido objeto de modificación o derogación, por lo que todavía sigue vigente. </w:t>
            </w:r>
            <w:r>
              <w:rPr>
                <w:rFonts w:ascii="Verdana" w:eastAsia="Arial" w:hAnsi="Verdana" w:cs="Arial"/>
                <w:color w:val="000000" w:themeColor="text1"/>
                <w:lang w:val="es-ES"/>
              </w:rPr>
              <w:t xml:space="preserve">  </w:t>
            </w:r>
          </w:p>
          <w:p w14:paraId="3D5CCC9F" w14:textId="04795D51" w:rsidR="00487D6C" w:rsidRPr="001941FD" w:rsidRDefault="00487D6C" w:rsidP="009111DC">
            <w:pPr>
              <w:spacing w:line="276" w:lineRule="auto"/>
              <w:ind w:right="51" w:firstLine="737"/>
              <w:jc w:val="both"/>
              <w:rPr>
                <w:rFonts w:ascii="Verdana" w:eastAsia="Calibri" w:hAnsi="Verdana" w:cs="Arial"/>
                <w:bCs/>
                <w:color w:val="000000" w:themeColor="text1"/>
              </w:rPr>
            </w:pPr>
            <w:r w:rsidRPr="006E2DF1">
              <w:rPr>
                <w:rFonts w:ascii="Verdana" w:hAnsi="Verdana"/>
                <w:bCs/>
                <w:color w:val="000000"/>
              </w:rPr>
              <w:t xml:space="preserve">En estas condiciones, la Agencia </w:t>
            </w:r>
            <w:r w:rsidRPr="006E2DF1">
              <w:rPr>
                <w:rFonts w:ascii="Verdana" w:hAnsi="Verdana"/>
                <w:bCs/>
                <w:color w:val="000000"/>
                <w:lang w:val="es-ES_tradnl"/>
              </w:rPr>
              <w:t xml:space="preserve">reconsidera la postura del </w:t>
            </w:r>
            <w:r w:rsidRPr="006E2DF1">
              <w:rPr>
                <w:rFonts w:ascii="Verdana" w:hAnsi="Verdana"/>
                <w:color w:val="000000"/>
                <w:lang w:val="es-ES"/>
              </w:rPr>
              <w:t>Concepto C-492 del 6 de junio de 2025</w:t>
            </w:r>
            <w:r w:rsidRPr="006E2DF1">
              <w:rPr>
                <w:rFonts w:ascii="Verdana" w:hAnsi="Verdana"/>
                <w:bCs/>
                <w:color w:val="000000"/>
              </w:rPr>
              <w:t xml:space="preserve"> para efectos del deber de aplicación uniforme de que trata el artículo 10 de Ley 1437 de 2011.</w:t>
            </w:r>
            <w:r>
              <w:rPr>
                <w:rFonts w:ascii="Verdana" w:hAnsi="Verdana"/>
                <w:bCs/>
                <w:color w:val="000000"/>
              </w:rPr>
              <w:t xml:space="preserve"> </w:t>
            </w: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00646325">
              <w:rPr>
                <w:rStyle w:val="s15"/>
                <w:rFonts w:ascii="Verdana" w:hAnsi="Verdana"/>
                <w:color w:val="000000"/>
              </w:rPr>
              <w:t xml:space="preserve">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 xml:space="preserve">concepto de sus asesores, la solución de situaciones particulares corresponde a los interesados adoptar la decisión correspondiente y, en caso de conflicto, a las </w:t>
            </w:r>
            <w:r w:rsidRPr="001941FD">
              <w:rPr>
                <w:rStyle w:val="s15"/>
                <w:rFonts w:ascii="Verdana" w:hAnsi="Verdana"/>
                <w:color w:val="000000"/>
              </w:rPr>
              <w:lastRenderedPageBreak/>
              <w:t>autoridades judiciales, fiscales y disciplinarias. Así, cada entidad definirá la forma de adelantar su gestión contractual, sin que sea atribución de Colombia Compra Eficiente validar sus actuaciones.</w:t>
            </w:r>
          </w:p>
        </w:tc>
      </w:tr>
    </w:tbl>
    <w:p w14:paraId="4D18B091" w14:textId="77777777" w:rsidR="00487D6C" w:rsidRPr="00593A5F" w:rsidRDefault="00487D6C" w:rsidP="00487D6C">
      <w:pPr>
        <w:tabs>
          <w:tab w:val="left" w:pos="142"/>
          <w:tab w:val="left" w:pos="284"/>
        </w:tabs>
        <w:spacing w:after="0" w:line="276" w:lineRule="auto"/>
        <w:jc w:val="both"/>
        <w:rPr>
          <w:rFonts w:ascii="Verdana" w:eastAsia="Century Gothic" w:hAnsi="Verdana" w:cs="Century Gothic"/>
          <w:b/>
          <w:bCs/>
          <w:lang w:val="es-ES"/>
        </w:rPr>
      </w:pPr>
    </w:p>
    <w:bookmarkEnd w:id="1"/>
    <w:p w14:paraId="473A81D1" w14:textId="77777777" w:rsidR="00487D6C" w:rsidRPr="00593A5F" w:rsidRDefault="00487D6C" w:rsidP="00487D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A931248" w14:textId="77777777" w:rsidR="00487D6C" w:rsidRPr="00593A5F" w:rsidRDefault="00487D6C" w:rsidP="00487D6C">
      <w:pPr>
        <w:spacing w:after="0" w:line="276" w:lineRule="auto"/>
        <w:jc w:val="both"/>
        <w:rPr>
          <w:rFonts w:ascii="Verdana" w:eastAsia="Calibri" w:hAnsi="Verdana" w:cs="Arial"/>
          <w:color w:val="7030A0"/>
          <w:lang w:val="es-ES"/>
        </w:rPr>
      </w:pPr>
    </w:p>
    <w:p w14:paraId="67312873" w14:textId="77777777" w:rsidR="00487D6C" w:rsidRDefault="00487D6C" w:rsidP="00487D6C">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3E9AAE0" w14:textId="77777777" w:rsidR="00487D6C" w:rsidRDefault="00487D6C" w:rsidP="00487D6C">
      <w:pPr>
        <w:spacing w:after="0" w:line="276" w:lineRule="auto"/>
        <w:jc w:val="both"/>
        <w:rPr>
          <w:rFonts w:ascii="Verdana" w:eastAsia="Calibri" w:hAnsi="Verdana" w:cs="Arial"/>
          <w:lang w:val="es-ES"/>
        </w:rPr>
      </w:pPr>
    </w:p>
    <w:p w14:paraId="164D512F" w14:textId="77777777" w:rsidR="00487D6C" w:rsidRDefault="00487D6C" w:rsidP="00487D6C">
      <w:pPr>
        <w:tabs>
          <w:tab w:val="left" w:pos="426"/>
        </w:tabs>
        <w:spacing w:after="120" w:line="276" w:lineRule="auto"/>
        <w:jc w:val="both"/>
        <w:rPr>
          <w:rFonts w:ascii="Verdana" w:eastAsia="Calibri" w:hAnsi="Verdana" w:cs="Arial"/>
          <w:lang w:val="es-ES_tradnl"/>
        </w:rPr>
      </w:pPr>
      <w:r>
        <w:rPr>
          <w:rFonts w:ascii="Verdana" w:eastAsia="Calibri" w:hAnsi="Verdana" w:cs="Arial"/>
          <w:lang w:val="es-ES_tradnl"/>
        </w:rPr>
        <w:t xml:space="preserve">i. El artículo 28 de la Ley 1437 de 2011 </w:t>
      </w:r>
      <w:r w:rsidRPr="00F0176E">
        <w:rPr>
          <w:rFonts w:ascii="Verdana" w:eastAsia="Calibri" w:hAnsi="Verdana" w:cs="Arial"/>
          <w:lang w:val="es-ES_tradnl"/>
        </w:rPr>
        <w:t>establece que los conceptos, emitidos por las autoridades al responder peticiones realizadas en ejercicio del derecho a formular consultas, no son de obligatorio cumplimiento o ejecución, en otras palabras, no tienen efectos vinculantes. Las respuestas emitidas como concepto, entonces, consisten en la posición hermenéutica que las entidades tienen respecto del ordenamiento jurídico. Esto explica por qué esta Agencia, reiteradamente, no resuelve controversias concretas ni brinda asesorías puntuales a los partícipes de la contratación estatal.</w:t>
      </w:r>
    </w:p>
    <w:p w14:paraId="2F302A94" w14:textId="77777777" w:rsidR="00487D6C" w:rsidRDefault="00487D6C" w:rsidP="00487D6C">
      <w:pPr>
        <w:tabs>
          <w:tab w:val="left" w:pos="709"/>
        </w:tabs>
        <w:spacing w:before="120" w:line="276" w:lineRule="auto"/>
        <w:jc w:val="both"/>
        <w:rPr>
          <w:rFonts w:ascii="Verdana" w:eastAsia="Calibri" w:hAnsi="Verdana" w:cs="Arial"/>
          <w:bCs/>
          <w:lang w:val="es-ES_tradnl"/>
        </w:rPr>
      </w:pPr>
      <w:r>
        <w:rPr>
          <w:rFonts w:ascii="Verdana" w:eastAsia="Calibri" w:hAnsi="Verdana" w:cs="Arial"/>
          <w:lang w:val="es-ES_tradnl"/>
        </w:rPr>
        <w:tab/>
      </w:r>
      <w:r w:rsidRPr="005C7811">
        <w:rPr>
          <w:rFonts w:ascii="Verdana" w:eastAsia="Calibri" w:hAnsi="Verdana" w:cs="Arial"/>
          <w:bCs/>
          <w:lang w:val="es-ES_tradnl"/>
        </w:rPr>
        <w:t xml:space="preserve">En términos generales, lo que se busca con el ejercicio de la función consultiva es que la opinión jurídica de la Agencia Nacional de Contratación Pública – Colombia Compra Eficiente sea un criterio de orientación para los operadores jurídicos, sin que ello suponga resolver un problema entre partes o asumir la </w:t>
      </w:r>
      <w:r w:rsidRPr="005C7811">
        <w:rPr>
          <w:rFonts w:ascii="Verdana" w:eastAsia="Calibri" w:hAnsi="Verdana" w:cs="Arial"/>
          <w:bCs/>
          <w:i/>
          <w:iCs/>
          <w:lang w:val="es-ES_tradnl"/>
        </w:rPr>
        <w:t>única</w:t>
      </w:r>
      <w:r w:rsidRPr="005C7811">
        <w:rPr>
          <w:rFonts w:ascii="Verdana" w:eastAsia="Calibri" w:hAnsi="Verdana" w:cs="Arial"/>
          <w:bCs/>
          <w:lang w:val="es-ES_tradnl"/>
        </w:rPr>
        <w:t xml:space="preserve">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5C7811">
        <w:rPr>
          <w:rStyle w:val="Refdenotaalpie"/>
          <w:rFonts w:ascii="Verdana" w:eastAsia="Calibri" w:hAnsi="Verdana" w:cs="Arial"/>
          <w:bCs/>
          <w:lang w:val="es-ES_tradnl"/>
        </w:rPr>
        <w:footnoteReference w:id="2"/>
      </w:r>
      <w:r w:rsidRPr="005C7811">
        <w:rPr>
          <w:rFonts w:ascii="Verdana" w:eastAsia="Calibri" w:hAnsi="Verdana" w:cs="Arial"/>
          <w:bCs/>
          <w:lang w:val="es-ES_tradnl"/>
        </w:rPr>
        <w:t>.</w:t>
      </w:r>
    </w:p>
    <w:p w14:paraId="65DE3393" w14:textId="77777777" w:rsidR="00487D6C" w:rsidRDefault="00487D6C" w:rsidP="00487D6C">
      <w:pPr>
        <w:tabs>
          <w:tab w:val="left" w:pos="709"/>
        </w:tabs>
        <w:spacing w:after="0" w:line="276" w:lineRule="auto"/>
        <w:jc w:val="both"/>
        <w:rPr>
          <w:rFonts w:ascii="Verdana" w:eastAsia="Calibri" w:hAnsi="Verdana" w:cs="Arial"/>
          <w:lang w:val="es-ES_tradnl"/>
        </w:rPr>
      </w:pPr>
      <w:r>
        <w:rPr>
          <w:rFonts w:ascii="Verdana" w:eastAsia="Calibri" w:hAnsi="Verdana" w:cs="Arial"/>
          <w:bCs/>
          <w:lang w:val="es-ES_tradnl"/>
        </w:rPr>
        <w:tab/>
      </w:r>
      <w:r w:rsidRPr="005C7811">
        <w:rPr>
          <w:rFonts w:ascii="Verdana" w:eastAsia="Calibri" w:hAnsi="Verdana" w:cs="Arial"/>
          <w:bCs/>
          <w:lang w:val="es-ES_tradnl"/>
        </w:rPr>
        <w:t xml:space="preserve">Así, Colombia Compra Eficiente considera que no hay lugar a acceder, por ejemplo, a solicitudes de </w:t>
      </w:r>
      <w:r w:rsidRPr="005C7811">
        <w:rPr>
          <w:rFonts w:ascii="Verdana" w:eastAsia="Calibri" w:hAnsi="Verdana" w:cs="Arial"/>
          <w:bCs/>
          <w:i/>
          <w:iCs/>
          <w:lang w:val="es-ES_tradnl"/>
        </w:rPr>
        <w:t>revocación directa</w:t>
      </w:r>
      <w:r w:rsidRPr="005C7811">
        <w:rPr>
          <w:rFonts w:ascii="Verdana" w:eastAsia="Calibri" w:hAnsi="Verdana" w:cs="Arial"/>
          <w:bCs/>
          <w:lang w:val="es-ES_tradnl"/>
        </w:rPr>
        <w:t xml:space="preserve"> de los conceptos, pues no son actos administrativos, no tienen efectos vinculantes en relación con una situación jurídica particular y concreta, y exponen un criterio que, aunque jurídicamente fundamentado, no representan necesariamente la única interpretación válida del ordenamiento jurídico. Lo anterior no implica que la Agencia Nacional de Contratación Pública considere inalterables sus posturas, pues, de ser necesario, podría replantear una tesis previamente expuesta, bajo estrictos estándares argumentativos, al emitir otro concepto, ya que, dada su falta de </w:t>
      </w:r>
      <w:r w:rsidRPr="005C7811">
        <w:rPr>
          <w:rFonts w:ascii="Verdana" w:eastAsia="Calibri" w:hAnsi="Verdana" w:cs="Arial"/>
          <w:bCs/>
          <w:lang w:val="es-ES_tradnl"/>
        </w:rPr>
        <w:lastRenderedPageBreak/>
        <w:t>vinculatoriedad, la legitimación de sus posturas proviene de la fuerza de los argumentos.</w:t>
      </w:r>
      <w:r>
        <w:rPr>
          <w:rFonts w:ascii="Verdana" w:eastAsia="Calibri" w:hAnsi="Verdana" w:cs="Arial"/>
          <w:bCs/>
          <w:lang w:val="es-ES_tradnl"/>
        </w:rPr>
        <w:t xml:space="preserve"> Teniendo en cuenta esta última consideración, la Subdirección observa necesidad de reconsiderar la postura del </w:t>
      </w:r>
      <w:r>
        <w:rPr>
          <w:rFonts w:ascii="Verdana" w:eastAsia="Calibri" w:hAnsi="Verdana" w:cs="Arial"/>
          <w:color w:val="000000"/>
          <w:lang w:val="es-ES" w:eastAsia="es-ES"/>
        </w:rPr>
        <w:t>Concepto C-492 del 6 de junio de 2025</w:t>
      </w:r>
      <w:r>
        <w:rPr>
          <w:rFonts w:ascii="Verdana" w:eastAsia="Calibri" w:hAnsi="Verdana" w:cs="Arial"/>
          <w:lang w:val="es-ES_tradnl"/>
        </w:rPr>
        <w:t xml:space="preserve">. </w:t>
      </w:r>
    </w:p>
    <w:p w14:paraId="186D7701" w14:textId="77777777" w:rsidR="00487D6C" w:rsidRDefault="00487D6C" w:rsidP="00487D6C">
      <w:pPr>
        <w:tabs>
          <w:tab w:val="left" w:pos="709"/>
        </w:tabs>
        <w:spacing w:after="0" w:line="276" w:lineRule="auto"/>
        <w:jc w:val="both"/>
        <w:rPr>
          <w:rFonts w:ascii="Verdana" w:eastAsia="Calibri" w:hAnsi="Verdana" w:cs="Arial"/>
          <w:lang w:val="es-ES_tradnl"/>
        </w:rPr>
      </w:pPr>
    </w:p>
    <w:p w14:paraId="3A7B2AB8" w14:textId="77777777" w:rsidR="00487D6C" w:rsidRPr="00EE7AB2" w:rsidRDefault="00487D6C" w:rsidP="00487D6C">
      <w:pPr>
        <w:pStyle w:val="Textoindependiente"/>
        <w:spacing w:after="120" w:line="276" w:lineRule="auto"/>
        <w:ind w:right="103"/>
        <w:jc w:val="both"/>
        <w:rPr>
          <w:color w:val="000000" w:themeColor="text1"/>
        </w:rPr>
      </w:pPr>
      <w:proofErr w:type="spellStart"/>
      <w:r>
        <w:rPr>
          <w:rFonts w:eastAsia="Calibri" w:cs="Arial"/>
          <w:lang w:val="es-ES_tradnl"/>
        </w:rPr>
        <w:t>ii</w:t>
      </w:r>
      <w:proofErr w:type="spellEnd"/>
      <w:r>
        <w:rPr>
          <w:rFonts w:eastAsia="Calibri" w:cs="Arial"/>
          <w:lang w:val="es-ES_tradnl"/>
        </w:rPr>
        <w:t xml:space="preserve">. </w:t>
      </w:r>
      <w:r w:rsidRPr="00381977">
        <w:rPr>
          <w:rFonts w:eastAsia="Calibri" w:cs="Arial"/>
          <w:lang w:val="es-ES_tradnl"/>
        </w:rPr>
        <w:t xml:space="preserve">Para estos efectos, </w:t>
      </w:r>
      <w:r>
        <w:rPr>
          <w:rFonts w:eastAsia="Calibri" w:cs="Arial"/>
          <w:lang w:val="es-ES_tradnl"/>
        </w:rPr>
        <w:t>u</w:t>
      </w:r>
      <w:r w:rsidRPr="00381977">
        <w:rPr>
          <w:rFonts w:eastAsia="Calibri" w:cs="Arial"/>
          <w:lang w:val="es-ES_tradnl"/>
        </w:rPr>
        <w:t xml:space="preserve">na de las primeras disposiciones relacionadas con las asociaciones de municipios </w:t>
      </w:r>
      <w:r>
        <w:rPr>
          <w:rFonts w:eastAsia="Calibri" w:cs="Arial"/>
          <w:lang w:val="es-ES_tradnl"/>
        </w:rPr>
        <w:t>fue</w:t>
      </w:r>
      <w:r w:rsidRPr="00381977">
        <w:rPr>
          <w:rFonts w:eastAsia="Calibri" w:cs="Arial"/>
          <w:lang w:val="es-ES_tradnl"/>
        </w:rPr>
        <w:t xml:space="preserve"> el artículo 63 del Acto Legislativo 1 de 1968</w:t>
      </w:r>
      <w:r w:rsidRPr="00EE7AB2">
        <w:rPr>
          <w:color w:val="000000" w:themeColor="text1"/>
        </w:rPr>
        <w:t xml:space="preserve">, con el cual se modificó el artículo 198 de la Constitución de 1886, en el sentido de indicar, entre otras cosas, que </w:t>
      </w:r>
      <w:r>
        <w:rPr>
          <w:color w:val="000000" w:themeColor="text1"/>
        </w:rPr>
        <w:t>“</w:t>
      </w:r>
      <w:r w:rsidRPr="00EE7AB2">
        <w:rPr>
          <w:color w:val="000000" w:themeColor="text1"/>
        </w:rPr>
        <w:t>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w:t>
      </w:r>
      <w:r w:rsidRPr="00EE7AB2">
        <w:rPr>
          <w:color w:val="000000" w:themeColor="text1"/>
          <w:spacing w:val="-4"/>
        </w:rPr>
        <w:t xml:space="preserve"> </w:t>
      </w:r>
      <w:r w:rsidRPr="00EE7AB2">
        <w:rPr>
          <w:color w:val="000000" w:themeColor="text1"/>
        </w:rPr>
        <w:t>requieran</w:t>
      </w:r>
      <w:r>
        <w:rPr>
          <w:color w:val="000000" w:themeColor="text1"/>
        </w:rPr>
        <w:t>”</w:t>
      </w:r>
      <w:r w:rsidRPr="00EE7AB2">
        <w:rPr>
          <w:color w:val="000000" w:themeColor="text1"/>
        </w:rPr>
        <w:t>.</w:t>
      </w:r>
    </w:p>
    <w:p w14:paraId="2222A804" w14:textId="77777777" w:rsidR="00487D6C" w:rsidRPr="00EE7AB2" w:rsidRDefault="00487D6C" w:rsidP="00487D6C">
      <w:pPr>
        <w:pStyle w:val="Textoindependiente"/>
        <w:spacing w:after="120" w:line="276" w:lineRule="auto"/>
        <w:ind w:right="108" w:firstLine="709"/>
        <w:jc w:val="both"/>
        <w:rPr>
          <w:color w:val="000000" w:themeColor="text1"/>
        </w:rPr>
      </w:pPr>
      <w:r w:rsidRPr="00EE7AB2">
        <w:rPr>
          <w:color w:val="000000" w:themeColor="text1"/>
        </w:rPr>
        <w:t>En desarrollo de lo anterior fue expedida la Ley 1 de 1975, a través de la cual se regularon aspectos como la naturaleza jurídica de las asociaciones de municipios, la manera de conformarlas y su funcionamiento</w:t>
      </w:r>
      <w:r w:rsidRPr="00EE7AB2">
        <w:rPr>
          <w:rStyle w:val="Refdenotaalpie"/>
          <w:color w:val="000000" w:themeColor="text1"/>
        </w:rPr>
        <w:footnoteReference w:id="3"/>
      </w:r>
      <w:r w:rsidRPr="00EE7AB2">
        <w:rPr>
          <w:color w:val="000000" w:themeColor="text1"/>
        </w:rPr>
        <w:t xml:space="preserve">. Posteriormente, la Ley 136 de 1994, en el artículo 149, reiteró el primero de dichos aspectos, al </w:t>
      </w:r>
      <w:r>
        <w:rPr>
          <w:color w:val="000000" w:themeColor="text1"/>
        </w:rPr>
        <w:t>señalar</w:t>
      </w:r>
      <w:r w:rsidRPr="00EE7AB2">
        <w:rPr>
          <w:color w:val="000000" w:themeColor="text1"/>
        </w:rPr>
        <w:t xml:space="preserve"> que esas asociaciones </w:t>
      </w:r>
      <w:r>
        <w:rPr>
          <w:color w:val="000000" w:themeColor="text1"/>
        </w:rPr>
        <w:t>“</w:t>
      </w:r>
      <w:r w:rsidRPr="00EE7AB2">
        <w:rPr>
          <w:color w:val="000000" w:themeColor="text1"/>
        </w:rPr>
        <w:t>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r>
        <w:rPr>
          <w:color w:val="000000" w:themeColor="text1"/>
        </w:rPr>
        <w:t>”</w:t>
      </w:r>
      <w:r w:rsidRPr="00EE7AB2">
        <w:rPr>
          <w:color w:val="000000" w:themeColor="text1"/>
        </w:rPr>
        <w:t>.</w:t>
      </w:r>
    </w:p>
    <w:p w14:paraId="26946CC2" w14:textId="77777777" w:rsidR="00487D6C" w:rsidRPr="00EE7AB2" w:rsidRDefault="00487D6C" w:rsidP="00487D6C">
      <w:pPr>
        <w:pStyle w:val="Textoindependiente"/>
        <w:spacing w:after="120" w:line="276" w:lineRule="auto"/>
        <w:ind w:right="108" w:firstLine="709"/>
        <w:jc w:val="both"/>
        <w:rPr>
          <w:color w:val="000000" w:themeColor="text1"/>
        </w:rPr>
      </w:pPr>
      <w:r w:rsidRPr="00EE7AB2">
        <w:rPr>
          <w:color w:val="000000" w:themeColor="text1"/>
        </w:rPr>
        <w:t xml:space="preserve">Por su parte, el artículo 148 de la referida Ley 136 de 1994 autorizó que </w:t>
      </w:r>
      <w:r>
        <w:rPr>
          <w:color w:val="000000" w:themeColor="text1"/>
        </w:rPr>
        <w:t>“</w:t>
      </w:r>
      <w:r w:rsidRPr="00EE7AB2">
        <w:rPr>
          <w:color w:val="000000" w:themeColor="text1"/>
        </w:rPr>
        <w:t>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r>
        <w:rPr>
          <w:color w:val="000000" w:themeColor="text1"/>
        </w:rPr>
        <w:t>”</w:t>
      </w:r>
      <w:r w:rsidRPr="00EE7AB2">
        <w:rPr>
          <w:color w:val="000000" w:themeColor="text1"/>
        </w:rPr>
        <w:t>.</w:t>
      </w:r>
    </w:p>
    <w:p w14:paraId="271D1702" w14:textId="77777777" w:rsidR="00487D6C" w:rsidRPr="009E168D" w:rsidRDefault="00487D6C" w:rsidP="00487D6C">
      <w:pPr>
        <w:pStyle w:val="Textoindependiente"/>
        <w:spacing w:after="120" w:line="276" w:lineRule="auto"/>
        <w:ind w:right="108" w:firstLine="709"/>
        <w:jc w:val="both"/>
        <w:rPr>
          <w:color w:val="000000" w:themeColor="text1"/>
        </w:rPr>
      </w:pPr>
      <w:r w:rsidRPr="00EE7AB2">
        <w:rPr>
          <w:color w:val="000000" w:themeColor="text1"/>
        </w:rPr>
        <w:t xml:space="preserve">A su vez, </w:t>
      </w:r>
      <w:r w:rsidRPr="006500F1">
        <w:rPr>
          <w:color w:val="000000" w:themeColor="text1"/>
        </w:rPr>
        <w:t xml:space="preserve">la Ley 1454 de 2011, orgánica del ordenamiento territorial, concibió a las asociaciones de municipios como una clase de los denominados </w:t>
      </w:r>
      <w:r w:rsidRPr="006500F1">
        <w:rPr>
          <w:color w:val="000000" w:themeColor="text1"/>
        </w:rPr>
        <w:lastRenderedPageBreak/>
        <w:t>esquemas asociativos territoriales</w:t>
      </w:r>
      <w:r w:rsidRPr="00A27C8F">
        <w:rPr>
          <w:vertAlign w:val="superscript"/>
        </w:rPr>
        <w:footnoteReference w:id="4"/>
      </w:r>
      <w:r w:rsidRPr="006500F1">
        <w:rPr>
          <w:color w:val="000000" w:themeColor="text1"/>
        </w:rPr>
        <w:t xml:space="preserve">, sobre los que el artículo 17 señala que </w:t>
      </w:r>
      <w:r>
        <w:rPr>
          <w:color w:val="000000" w:themeColor="text1"/>
        </w:rPr>
        <w:t>“</w:t>
      </w:r>
      <w:r w:rsidRPr="006500F1">
        <w:rPr>
          <w:color w:val="000000" w:themeColor="text1"/>
        </w:rPr>
        <w:t>son entidades administrativas de derecho público, con personería jurídica y patrimonio propio e independiente de los entes que la conforman</w:t>
      </w:r>
      <w:r>
        <w:rPr>
          <w:color w:val="000000" w:themeColor="text1"/>
        </w:rPr>
        <w:t>”. De igual forma,</w:t>
      </w:r>
      <w:r w:rsidRPr="006500F1">
        <w:rPr>
          <w:color w:val="000000" w:themeColor="text1"/>
        </w:rPr>
        <w:t xml:space="preserve"> </w:t>
      </w:r>
      <w:r>
        <w:rPr>
          <w:color w:val="000000" w:themeColor="text1"/>
        </w:rPr>
        <w:t>el</w:t>
      </w:r>
      <w:r w:rsidRPr="006500F1">
        <w:rPr>
          <w:color w:val="000000" w:themeColor="text1"/>
        </w:rPr>
        <w:t xml:space="preserve"> parágrafo</w:t>
      </w:r>
      <w:r>
        <w:rPr>
          <w:color w:val="000000" w:themeColor="text1"/>
        </w:rPr>
        <w:t xml:space="preserve"> de esa norma</w:t>
      </w:r>
      <w:r w:rsidRPr="006500F1">
        <w:rPr>
          <w:color w:val="000000" w:themeColor="text1"/>
        </w:rPr>
        <w:t xml:space="preserve"> indica que </w:t>
      </w:r>
      <w:r>
        <w:rPr>
          <w:color w:val="000000" w:themeColor="text1"/>
        </w:rPr>
        <w:t>“</w:t>
      </w:r>
      <w:r w:rsidRPr="006500F1">
        <w:rPr>
          <w:color w:val="000000" w:themeColor="text1"/>
        </w:rPr>
        <w:t xml:space="preserve">en </w:t>
      </w:r>
      <w:r w:rsidRPr="009E168D">
        <w:rPr>
          <w:color w:val="000000" w:themeColor="text1"/>
        </w:rPr>
        <w:t>concordancia con lo previsto en el artículo 95 de la Ley 489 de 1998, las entidades territoriales podrán continuar asociándose mediante la celebración de convenios interadministrativos o mediante la conformación de personas jurídicas de derecho público o derecho privado</w:t>
      </w:r>
      <w:r>
        <w:rPr>
          <w:color w:val="000000" w:themeColor="text1"/>
        </w:rPr>
        <w:t>”</w:t>
      </w:r>
      <w:r w:rsidRPr="009E168D">
        <w:rPr>
          <w:color w:val="000000" w:themeColor="text1"/>
        </w:rPr>
        <w:t xml:space="preserve">. </w:t>
      </w:r>
    </w:p>
    <w:p w14:paraId="22087AF9" w14:textId="77777777" w:rsidR="00487D6C" w:rsidRPr="009E168D" w:rsidRDefault="00487D6C" w:rsidP="00487D6C">
      <w:pPr>
        <w:pStyle w:val="Textoindependiente"/>
        <w:spacing w:after="120" w:line="276" w:lineRule="auto"/>
        <w:ind w:right="108" w:firstLine="709"/>
        <w:jc w:val="both"/>
        <w:rPr>
          <w:color w:val="000000" w:themeColor="text1"/>
        </w:rPr>
      </w:pPr>
      <w:r w:rsidRPr="009E168D">
        <w:rPr>
          <w:color w:val="000000" w:themeColor="text1"/>
        </w:rPr>
        <w:t>En cuanto a la manera como se conforman las asociaciones de municipios, tanto la Ley 136 de 1994 –artículo 150–</w:t>
      </w:r>
      <w:r w:rsidRPr="004669CB">
        <w:rPr>
          <w:vertAlign w:val="superscript"/>
        </w:rPr>
        <w:footnoteReference w:id="5"/>
      </w:r>
      <w:r w:rsidRPr="009E168D">
        <w:rPr>
          <w:color w:val="000000" w:themeColor="text1"/>
        </w:rPr>
        <w:t>, como la Ley 1454 de 2011 –artículo 14–, establecen que se hace a través de convenios, en los términos indicados en dichas disposiciones</w:t>
      </w:r>
      <w:r w:rsidRPr="009E168D">
        <w:rPr>
          <w:vertAlign w:val="superscript"/>
        </w:rPr>
        <w:footnoteReference w:id="6"/>
      </w:r>
      <w:r w:rsidRPr="009E168D">
        <w:rPr>
          <w:color w:val="000000" w:themeColor="text1"/>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3A6274BB" w14:textId="77777777" w:rsidR="00487D6C" w:rsidRPr="00EE7AB2" w:rsidRDefault="00487D6C" w:rsidP="00487D6C">
      <w:pPr>
        <w:pStyle w:val="Textoindependiente"/>
        <w:spacing w:after="120" w:line="276" w:lineRule="auto"/>
        <w:ind w:firstLine="709"/>
        <w:jc w:val="both"/>
        <w:rPr>
          <w:color w:val="000000" w:themeColor="text1"/>
        </w:rPr>
      </w:pPr>
      <w:r w:rsidRPr="009E168D">
        <w:rPr>
          <w:color w:val="000000" w:themeColor="text1"/>
        </w:rPr>
        <w:t xml:space="preserve">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prescrito en el artículo 95 de la Ley 489 de 1998, que permite la asociación de entidades públicas, estableciendo la posibilidad de conformar personas jurídicas </w:t>
      </w:r>
      <w:r w:rsidRPr="009E168D">
        <w:rPr>
          <w:color w:val="000000" w:themeColor="text1"/>
        </w:rPr>
        <w:lastRenderedPageBreak/>
        <w:t>sin ánimo de lucro</w:t>
      </w:r>
      <w:r w:rsidRPr="009E168D">
        <w:rPr>
          <w:rStyle w:val="Refdenotaalpie"/>
          <w:color w:val="000000" w:themeColor="text1"/>
        </w:rPr>
        <w:footnoteReference w:id="7"/>
      </w:r>
      <w:r w:rsidRPr="009E168D">
        <w:rPr>
          <w:color w:val="000000" w:themeColor="text1"/>
        </w:rPr>
        <w:t>.</w:t>
      </w:r>
      <w:r>
        <w:rPr>
          <w:color w:val="000000" w:themeColor="text1"/>
        </w:rPr>
        <w:t xml:space="preserve"> </w:t>
      </w:r>
      <w:r>
        <w:rPr>
          <w:rStyle w:val="normaltextrun"/>
          <w:color w:val="000000"/>
          <w:shd w:val="clear" w:color="auto" w:fill="FFFFFF"/>
        </w:rPr>
        <w:t>De este modo, la naturaleza y el carácter de persona jurídica que dichas leyes le atribuyen a las asociaciones de municipios conducen a entender que son entidades diferentes a los municipios que las conforman.</w:t>
      </w:r>
      <w:r>
        <w:rPr>
          <w:rStyle w:val="eop"/>
          <w:color w:val="000000"/>
          <w:shd w:val="clear" w:color="auto" w:fill="FFFFFF"/>
        </w:rPr>
        <w:t> </w:t>
      </w:r>
    </w:p>
    <w:p w14:paraId="6E24EE57" w14:textId="77777777" w:rsidR="00487D6C" w:rsidRPr="00381977" w:rsidRDefault="00487D6C" w:rsidP="00487D6C">
      <w:pPr>
        <w:pStyle w:val="paragraph"/>
        <w:shd w:val="clear" w:color="auto" w:fill="FFFFFF"/>
        <w:spacing w:before="0" w:beforeAutospacing="0" w:after="120" w:afterAutospacing="0" w:line="276" w:lineRule="auto"/>
        <w:ind w:firstLine="703"/>
        <w:jc w:val="both"/>
        <w:textAlignment w:val="baseline"/>
        <w:rPr>
          <w:rFonts w:ascii="Verdana" w:hAnsi="Verdana" w:cs="Segoe UI"/>
          <w:sz w:val="18"/>
          <w:szCs w:val="18"/>
        </w:rPr>
      </w:pPr>
      <w:r w:rsidRPr="00381977">
        <w:rPr>
          <w:rStyle w:val="normaltextrun"/>
          <w:rFonts w:ascii="Verdana" w:hAnsi="Verdana" w:cs="Arial"/>
          <w:color w:val="000000"/>
          <w:sz w:val="22"/>
          <w:szCs w:val="22"/>
        </w:rPr>
        <w:t xml:space="preserve">Dicho lo anterior, en relación con la naturaleza jurídica de las asociaciones de municipios, puede afirmarse que su régimen de contratación es el general. Lo anterior se desprende, además, de lo previsto en el numeral 1 del artículo 2 de la Ley 80 de 1993, que define como entidades estatales, sujetas a dicho estatuto a: “La Nación, las regiones, los departamentos, las provincias, el distrito capital y los distritos especiales, las áreas metropolitanas, </w:t>
      </w:r>
      <w:r w:rsidRPr="00381977">
        <w:rPr>
          <w:rStyle w:val="normaltextrun"/>
          <w:rFonts w:ascii="Verdana" w:hAnsi="Verdana" w:cs="Arial"/>
          <w:i/>
          <w:iCs/>
          <w:color w:val="000000"/>
          <w:sz w:val="22"/>
          <w:szCs w:val="22"/>
        </w:rPr>
        <w:t>las asociaciones de municipios</w:t>
      </w:r>
      <w:r w:rsidRPr="00381977">
        <w:rPr>
          <w:rStyle w:val="normaltextrun"/>
          <w:rFonts w:ascii="Verdana" w:hAnsi="Verdana" w:cs="Arial"/>
          <w:color w:val="000000"/>
          <w:sz w:val="22"/>
          <w:szCs w:val="22"/>
        </w:rPr>
        <w:t>, los territorios indígenas y los municipios (…)” (Énfasis fuera de texto). Así las cosas, el Estatuto General de Contratación de la Administración Pública establece que las asociaciones de municipios son entidades estatales para efectos contractuales, razón por la cual se someten a dicho estatuto.  </w:t>
      </w:r>
      <w:r w:rsidRPr="00381977">
        <w:rPr>
          <w:rStyle w:val="eop"/>
          <w:rFonts w:ascii="Verdana" w:eastAsia="Verdana" w:hAnsi="Verdana" w:cs="Arial"/>
          <w:color w:val="000000"/>
          <w:sz w:val="22"/>
          <w:szCs w:val="22"/>
        </w:rPr>
        <w:t> </w:t>
      </w:r>
    </w:p>
    <w:p w14:paraId="19D87997" w14:textId="77777777" w:rsidR="00487D6C" w:rsidRDefault="00487D6C" w:rsidP="00487D6C">
      <w:pPr>
        <w:pStyle w:val="paragraph"/>
        <w:shd w:val="clear" w:color="auto" w:fill="FFFFFF"/>
        <w:spacing w:before="0" w:beforeAutospacing="0" w:after="0" w:afterAutospacing="0" w:line="276" w:lineRule="auto"/>
        <w:ind w:firstLine="705"/>
        <w:jc w:val="both"/>
        <w:textAlignment w:val="baseline"/>
        <w:rPr>
          <w:rStyle w:val="eop"/>
          <w:rFonts w:ascii="Verdana" w:hAnsi="Verdana" w:cs="Arial"/>
          <w:color w:val="000000"/>
          <w:sz w:val="22"/>
          <w:szCs w:val="22"/>
        </w:rPr>
      </w:pPr>
      <w:r w:rsidRPr="00381977">
        <w:rPr>
          <w:rStyle w:val="normaltextrun"/>
          <w:rFonts w:ascii="Verdana" w:hAnsi="Verdana" w:cs="Arial"/>
          <w:color w:val="000000"/>
          <w:sz w:val="22"/>
          <w:szCs w:val="22"/>
        </w:rPr>
        <w:t>De forma más precisa, el artículo 10 de la Ley 1150 de 2007 establece que “Las cooperativas, las asociaciones conformadas por entidades territoriales y en general los entes solidarios de carácter público estarán sometidos a las disposiciones del Estatuto General de Contratación de la Administración Pública […]”. Dicho lo anterior, resulta claro que el régimen contractual de las asociaciones de municipios no es especial, puesto que por mandato legal se someten al EGCAP.  </w:t>
      </w:r>
      <w:r w:rsidRPr="00381977">
        <w:rPr>
          <w:rStyle w:val="eop"/>
          <w:rFonts w:ascii="Verdana" w:eastAsia="Verdana" w:hAnsi="Verdana" w:cs="Arial"/>
          <w:color w:val="000000"/>
          <w:sz w:val="22"/>
          <w:szCs w:val="22"/>
        </w:rPr>
        <w:t> </w:t>
      </w:r>
    </w:p>
    <w:p w14:paraId="20BD649B" w14:textId="77777777" w:rsidR="00487D6C" w:rsidRDefault="00487D6C" w:rsidP="00487D6C">
      <w:pPr>
        <w:pStyle w:val="paragraph"/>
        <w:shd w:val="clear" w:color="auto" w:fill="FFFFFF"/>
        <w:spacing w:before="0" w:beforeAutospacing="0" w:after="0" w:afterAutospacing="0" w:line="276" w:lineRule="auto"/>
        <w:jc w:val="both"/>
        <w:textAlignment w:val="baseline"/>
        <w:rPr>
          <w:rStyle w:val="eop"/>
          <w:rFonts w:ascii="Verdana" w:hAnsi="Verdana" w:cs="Arial"/>
          <w:color w:val="000000"/>
          <w:sz w:val="22"/>
          <w:szCs w:val="22"/>
        </w:rPr>
      </w:pPr>
    </w:p>
    <w:p w14:paraId="1CC9647B" w14:textId="77777777" w:rsidR="00487D6C" w:rsidRPr="00EE7AB2" w:rsidRDefault="00487D6C" w:rsidP="00487D6C">
      <w:pPr>
        <w:pStyle w:val="Textoindependiente"/>
        <w:spacing w:line="276" w:lineRule="auto"/>
        <w:ind w:right="108"/>
        <w:jc w:val="both"/>
        <w:rPr>
          <w:color w:val="000000" w:themeColor="text1"/>
        </w:rPr>
      </w:pPr>
      <w:proofErr w:type="spellStart"/>
      <w:r>
        <w:rPr>
          <w:rStyle w:val="eop"/>
          <w:rFonts w:cs="Arial"/>
          <w:color w:val="000000"/>
        </w:rPr>
        <w:t>ii</w:t>
      </w:r>
      <w:proofErr w:type="spellEnd"/>
      <w:r>
        <w:rPr>
          <w:rStyle w:val="eop"/>
          <w:rFonts w:cs="Arial"/>
          <w:color w:val="000000"/>
        </w:rPr>
        <w:t xml:space="preserve">. En efecto, </w:t>
      </w:r>
      <w:r w:rsidRPr="00EE7AB2">
        <w:rPr>
          <w:color w:val="000000" w:themeColor="text1"/>
        </w:rPr>
        <w:t>la Ley 80 de 1993, en el parágrafo 1 del artículo 2, incluía a las cooperativas y asociaciones de entidades territoriales dentro de la categoría de entidades estatales sometidas a la Ley 80 de 1993, y las facultaba para suscribir convenios</w:t>
      </w:r>
      <w:r w:rsidRPr="00EE7AB2">
        <w:rPr>
          <w:color w:val="000000" w:themeColor="text1"/>
          <w:spacing w:val="-18"/>
        </w:rPr>
        <w:t xml:space="preserve"> </w:t>
      </w:r>
      <w:r w:rsidRPr="00EE7AB2">
        <w:rPr>
          <w:color w:val="000000" w:themeColor="text1"/>
        </w:rPr>
        <w:t>interadministrativos:</w:t>
      </w:r>
    </w:p>
    <w:p w14:paraId="752071D0" w14:textId="77777777" w:rsidR="00487D6C" w:rsidRPr="00EE7AB2" w:rsidRDefault="00487D6C" w:rsidP="00487D6C">
      <w:pPr>
        <w:pStyle w:val="Textoindependiente"/>
        <w:spacing w:before="3" w:line="276" w:lineRule="auto"/>
        <w:rPr>
          <w:color w:val="000000" w:themeColor="text1"/>
        </w:rPr>
      </w:pPr>
    </w:p>
    <w:p w14:paraId="78BB1C10" w14:textId="77777777" w:rsidR="00487D6C" w:rsidRPr="008031FA" w:rsidRDefault="00487D6C" w:rsidP="00487D6C">
      <w:pPr>
        <w:pStyle w:val="Textoindependiente"/>
        <w:ind w:left="652" w:right="652"/>
        <w:jc w:val="both"/>
        <w:rPr>
          <w:color w:val="000000" w:themeColor="text1"/>
          <w:sz w:val="21"/>
          <w:szCs w:val="21"/>
        </w:rPr>
      </w:pPr>
      <w:r>
        <w:rPr>
          <w:color w:val="000000" w:themeColor="text1"/>
          <w:sz w:val="21"/>
          <w:szCs w:val="21"/>
        </w:rPr>
        <w:t>“</w:t>
      </w:r>
      <w:r w:rsidRPr="008031FA">
        <w:rPr>
          <w:color w:val="000000" w:themeColor="text1"/>
          <w:sz w:val="21"/>
          <w:szCs w:val="21"/>
        </w:rPr>
        <w:t xml:space="preserve">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w:t>
      </w:r>
      <w:r w:rsidRPr="008031FA">
        <w:rPr>
          <w:color w:val="000000" w:themeColor="text1"/>
          <w:sz w:val="21"/>
          <w:szCs w:val="21"/>
        </w:rPr>
        <w:lastRenderedPageBreak/>
        <w:t>entidades</w:t>
      </w:r>
      <w:r>
        <w:rPr>
          <w:color w:val="000000" w:themeColor="text1"/>
          <w:sz w:val="21"/>
          <w:szCs w:val="21"/>
        </w:rPr>
        <w:t>”</w:t>
      </w:r>
      <w:r w:rsidRPr="008031FA">
        <w:rPr>
          <w:color w:val="000000" w:themeColor="text1"/>
          <w:sz w:val="21"/>
          <w:szCs w:val="21"/>
        </w:rPr>
        <w:t>.</w:t>
      </w:r>
    </w:p>
    <w:p w14:paraId="3D309A68" w14:textId="77777777" w:rsidR="00487D6C" w:rsidRPr="00EE7AB2" w:rsidRDefault="00487D6C" w:rsidP="00487D6C">
      <w:pPr>
        <w:pStyle w:val="Textoindependiente"/>
        <w:spacing w:before="3" w:line="276" w:lineRule="auto"/>
        <w:rPr>
          <w:color w:val="000000" w:themeColor="text1"/>
        </w:rPr>
      </w:pPr>
    </w:p>
    <w:p w14:paraId="0CA066B8" w14:textId="77777777" w:rsidR="00487D6C" w:rsidRPr="00EE7AB2" w:rsidRDefault="00487D6C" w:rsidP="00487D6C">
      <w:pPr>
        <w:pStyle w:val="Textoindependiente"/>
        <w:spacing w:line="276" w:lineRule="auto"/>
        <w:ind w:right="108" w:firstLine="652"/>
        <w:jc w:val="both"/>
        <w:rPr>
          <w:color w:val="000000" w:themeColor="text1"/>
        </w:rPr>
      </w:pPr>
      <w:r w:rsidRPr="00EE7AB2">
        <w:rPr>
          <w:color w:val="000000" w:themeColor="text1"/>
        </w:rPr>
        <w:t>En virtud de lo anterior, el parágrafo del artículo 2 de la Ley 80 de 1993 facultaba a las cooperativas y asociaciones de entidades territoriales para celebrar convenios interadministrativos.</w:t>
      </w:r>
      <w:r>
        <w:rPr>
          <w:color w:val="000000" w:themeColor="text1"/>
        </w:rPr>
        <w:t xml:space="preserve"> </w:t>
      </w:r>
      <w:r w:rsidRPr="00EE7AB2">
        <w:rPr>
          <w:color w:val="000000" w:themeColor="text1"/>
        </w:rPr>
        <w:t>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selección</w:t>
      </w:r>
      <w:r>
        <w:rPr>
          <w:color w:val="000000" w:themeColor="text1"/>
        </w:rPr>
        <w:t xml:space="preserve"> competitivos</w:t>
      </w:r>
      <w:r w:rsidRPr="00EE7AB2">
        <w:rPr>
          <w:color w:val="000000" w:themeColor="text1"/>
        </w:rPr>
        <w:t>, convenios interadministrativos</w:t>
      </w:r>
      <w:r>
        <w:rPr>
          <w:color w:val="000000" w:themeColor="text1"/>
        </w:rPr>
        <w:t>, siempre que se acreditaran los siguientes requisitos establecidos en la norma indicada</w:t>
      </w:r>
      <w:r w:rsidRPr="00EE7AB2">
        <w:rPr>
          <w:color w:val="000000" w:themeColor="text1"/>
        </w:rPr>
        <w:t>:</w:t>
      </w:r>
    </w:p>
    <w:p w14:paraId="009159A5" w14:textId="77777777" w:rsidR="00487D6C" w:rsidRPr="00EE7AB2" w:rsidRDefault="00487D6C" w:rsidP="00487D6C">
      <w:pPr>
        <w:pStyle w:val="Textoindependiente"/>
        <w:spacing w:before="2" w:line="276" w:lineRule="auto"/>
        <w:rPr>
          <w:color w:val="000000" w:themeColor="text1"/>
        </w:rPr>
      </w:pPr>
    </w:p>
    <w:p w14:paraId="6328B647" w14:textId="77777777" w:rsidR="00487D6C" w:rsidRPr="008031FA" w:rsidRDefault="00487D6C" w:rsidP="00487D6C">
      <w:pPr>
        <w:pStyle w:val="Textoindependiente"/>
        <w:ind w:left="709" w:right="709"/>
        <w:jc w:val="both"/>
        <w:rPr>
          <w:color w:val="000000" w:themeColor="text1"/>
          <w:sz w:val="21"/>
          <w:szCs w:val="21"/>
        </w:rPr>
      </w:pPr>
      <w:r>
        <w:rPr>
          <w:color w:val="000000" w:themeColor="text1"/>
          <w:sz w:val="21"/>
          <w:szCs w:val="21"/>
        </w:rPr>
        <w:t>“</w:t>
      </w:r>
      <w:r w:rsidRPr="008031FA">
        <w:rPr>
          <w:color w:val="000000" w:themeColor="text1"/>
          <w:sz w:val="21"/>
          <w:szCs w:val="21"/>
        </w:rPr>
        <w:t>Artículo 14. De conformidad con lo previsto en el parágrafo del artículo 2o. de la Ley 80 de 1993, los contratos que se celebren en desarrollo de los convenios interadministrativos estarán sujetos a dicha ley.</w:t>
      </w:r>
    </w:p>
    <w:p w14:paraId="2BE5A97F" w14:textId="77777777" w:rsidR="00487D6C" w:rsidRPr="008031FA" w:rsidRDefault="00487D6C" w:rsidP="00487D6C">
      <w:pPr>
        <w:pStyle w:val="Textoindependiente"/>
        <w:spacing w:after="120"/>
        <w:ind w:left="709" w:right="709"/>
        <w:jc w:val="both"/>
        <w:rPr>
          <w:color w:val="000000" w:themeColor="text1"/>
          <w:sz w:val="21"/>
          <w:szCs w:val="21"/>
        </w:rPr>
      </w:pPr>
      <w:r>
        <w:rPr>
          <w:color w:val="000000" w:themeColor="text1"/>
          <w:sz w:val="21"/>
          <w:szCs w:val="21"/>
        </w:rPr>
        <w:t>[</w:t>
      </w:r>
      <w:r w:rsidRPr="008031FA">
        <w:rPr>
          <w:color w:val="000000" w:themeColor="text1"/>
          <w:sz w:val="21"/>
          <w:szCs w:val="21"/>
        </w:rPr>
        <w:t>…</w:t>
      </w:r>
      <w:r>
        <w:rPr>
          <w:color w:val="000000" w:themeColor="text1"/>
          <w:sz w:val="21"/>
          <w:szCs w:val="21"/>
        </w:rPr>
        <w:t>]</w:t>
      </w:r>
    </w:p>
    <w:p w14:paraId="24A43B10" w14:textId="77777777" w:rsidR="00487D6C" w:rsidRPr="008031FA" w:rsidRDefault="00487D6C" w:rsidP="00487D6C">
      <w:pPr>
        <w:pStyle w:val="Textoindependiente"/>
        <w:ind w:left="709" w:right="709"/>
        <w:jc w:val="both"/>
        <w:rPr>
          <w:color w:val="000000" w:themeColor="text1"/>
          <w:sz w:val="21"/>
          <w:szCs w:val="21"/>
        </w:rPr>
      </w:pPr>
      <w:r w:rsidRPr="008031FA">
        <w:rPr>
          <w:color w:val="000000" w:themeColor="text1"/>
          <w:sz w:val="21"/>
          <w:szCs w:val="21"/>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r>
        <w:rPr>
          <w:color w:val="000000" w:themeColor="text1"/>
          <w:sz w:val="21"/>
          <w:szCs w:val="21"/>
        </w:rPr>
        <w:t>”</w:t>
      </w:r>
      <w:r w:rsidRPr="008031FA">
        <w:rPr>
          <w:color w:val="000000" w:themeColor="text1"/>
          <w:sz w:val="21"/>
          <w:szCs w:val="21"/>
        </w:rPr>
        <w:t>.</w:t>
      </w:r>
    </w:p>
    <w:p w14:paraId="4B7AAB0E" w14:textId="77777777" w:rsidR="00487D6C" w:rsidRPr="00EE7AB2" w:rsidRDefault="00487D6C" w:rsidP="00487D6C">
      <w:pPr>
        <w:pStyle w:val="Textoindependiente"/>
        <w:spacing w:before="3" w:line="276" w:lineRule="auto"/>
        <w:rPr>
          <w:color w:val="000000" w:themeColor="text1"/>
        </w:rPr>
      </w:pPr>
    </w:p>
    <w:p w14:paraId="3C01148C" w14:textId="77777777" w:rsidR="00487D6C" w:rsidRPr="00EE7AB2" w:rsidRDefault="00487D6C" w:rsidP="00487D6C">
      <w:pPr>
        <w:pStyle w:val="Textoindependiente"/>
        <w:spacing w:line="276" w:lineRule="auto"/>
        <w:ind w:right="108" w:firstLine="709"/>
        <w:jc w:val="both"/>
        <w:rPr>
          <w:color w:val="000000" w:themeColor="text1"/>
        </w:rPr>
      </w:pPr>
      <w:r w:rsidRPr="00EE7AB2">
        <w:rPr>
          <w:color w:val="000000" w:themeColor="text1"/>
        </w:rPr>
        <w:t>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w:t>
      </w:r>
      <w:r w:rsidRPr="00EE7AB2">
        <w:rPr>
          <w:color w:val="000000" w:themeColor="text1"/>
          <w:spacing w:val="40"/>
        </w:rPr>
        <w:t xml:space="preserve"> </w:t>
      </w:r>
      <w:r w:rsidRPr="00EE7AB2">
        <w:rPr>
          <w:color w:val="000000" w:themeColor="text1"/>
        </w:rPr>
        <w:t>29</w:t>
      </w:r>
      <w:r w:rsidRPr="00EE7AB2">
        <w:rPr>
          <w:color w:val="000000" w:themeColor="text1"/>
          <w:spacing w:val="40"/>
        </w:rPr>
        <w:t xml:space="preserve"> </w:t>
      </w:r>
      <w:r w:rsidRPr="00EE7AB2">
        <w:rPr>
          <w:color w:val="000000" w:themeColor="text1"/>
        </w:rPr>
        <w:t>de</w:t>
      </w:r>
      <w:r w:rsidRPr="00EE7AB2">
        <w:rPr>
          <w:color w:val="000000" w:themeColor="text1"/>
          <w:spacing w:val="41"/>
        </w:rPr>
        <w:t xml:space="preserve"> </w:t>
      </w:r>
      <w:r w:rsidRPr="00EE7AB2">
        <w:rPr>
          <w:color w:val="000000" w:themeColor="text1"/>
        </w:rPr>
        <w:t>la</w:t>
      </w:r>
      <w:r w:rsidRPr="00EE7AB2">
        <w:rPr>
          <w:color w:val="000000" w:themeColor="text1"/>
          <w:spacing w:val="40"/>
        </w:rPr>
        <w:t xml:space="preserve"> </w:t>
      </w:r>
      <w:r w:rsidRPr="00EE7AB2">
        <w:rPr>
          <w:color w:val="000000" w:themeColor="text1"/>
        </w:rPr>
        <w:t>Ley</w:t>
      </w:r>
      <w:r w:rsidRPr="00EE7AB2">
        <w:rPr>
          <w:color w:val="000000" w:themeColor="text1"/>
          <w:spacing w:val="38"/>
        </w:rPr>
        <w:t xml:space="preserve"> </w:t>
      </w:r>
      <w:r w:rsidRPr="00EE7AB2">
        <w:rPr>
          <w:color w:val="000000" w:themeColor="text1"/>
        </w:rPr>
        <w:t>80</w:t>
      </w:r>
      <w:r w:rsidRPr="00EE7AB2">
        <w:rPr>
          <w:color w:val="000000" w:themeColor="text1"/>
          <w:spacing w:val="44"/>
        </w:rPr>
        <w:t xml:space="preserve"> </w:t>
      </w:r>
      <w:r w:rsidRPr="00EE7AB2">
        <w:rPr>
          <w:color w:val="000000" w:themeColor="text1"/>
        </w:rPr>
        <w:t>de</w:t>
      </w:r>
      <w:r w:rsidRPr="00EE7AB2">
        <w:rPr>
          <w:color w:val="000000" w:themeColor="text1"/>
          <w:spacing w:val="40"/>
        </w:rPr>
        <w:t xml:space="preserve"> </w:t>
      </w:r>
      <w:r w:rsidRPr="00EE7AB2">
        <w:rPr>
          <w:color w:val="000000" w:themeColor="text1"/>
        </w:rPr>
        <w:t>1993,</w:t>
      </w:r>
      <w:r w:rsidRPr="00EE7AB2">
        <w:rPr>
          <w:color w:val="000000" w:themeColor="text1"/>
          <w:spacing w:val="39"/>
        </w:rPr>
        <w:t xml:space="preserve"> </w:t>
      </w:r>
      <w:r w:rsidRPr="00EE7AB2">
        <w:rPr>
          <w:color w:val="000000" w:themeColor="text1"/>
        </w:rPr>
        <w:t>normativa</w:t>
      </w:r>
      <w:r w:rsidRPr="00EE7AB2">
        <w:rPr>
          <w:color w:val="000000" w:themeColor="text1"/>
          <w:spacing w:val="41"/>
        </w:rPr>
        <w:t xml:space="preserve"> </w:t>
      </w:r>
      <w:r w:rsidRPr="00EE7AB2">
        <w:rPr>
          <w:color w:val="000000" w:themeColor="text1"/>
        </w:rPr>
        <w:t>que</w:t>
      </w:r>
      <w:r w:rsidRPr="00EE7AB2">
        <w:rPr>
          <w:color w:val="000000" w:themeColor="text1"/>
          <w:spacing w:val="41"/>
        </w:rPr>
        <w:t xml:space="preserve"> </w:t>
      </w:r>
      <w:r w:rsidRPr="00EE7AB2">
        <w:rPr>
          <w:color w:val="000000" w:themeColor="text1"/>
        </w:rPr>
        <w:t>desarrolla</w:t>
      </w:r>
      <w:r w:rsidRPr="00EE7AB2">
        <w:rPr>
          <w:color w:val="000000" w:themeColor="text1"/>
          <w:spacing w:val="40"/>
        </w:rPr>
        <w:t xml:space="preserve"> </w:t>
      </w:r>
      <w:r w:rsidRPr="00EE7AB2">
        <w:rPr>
          <w:color w:val="000000" w:themeColor="text1"/>
        </w:rPr>
        <w:t>la</w:t>
      </w:r>
      <w:r w:rsidRPr="00EE7AB2">
        <w:rPr>
          <w:color w:val="000000" w:themeColor="text1"/>
          <w:spacing w:val="41"/>
        </w:rPr>
        <w:t xml:space="preserve"> </w:t>
      </w:r>
      <w:r w:rsidRPr="00EE7AB2">
        <w:rPr>
          <w:color w:val="000000" w:themeColor="text1"/>
        </w:rPr>
        <w:t>selección</w:t>
      </w:r>
      <w:r w:rsidRPr="00EE7AB2">
        <w:rPr>
          <w:color w:val="000000" w:themeColor="text1"/>
          <w:spacing w:val="38"/>
        </w:rPr>
        <w:t xml:space="preserve"> </w:t>
      </w:r>
      <w:r w:rsidRPr="00EE7AB2">
        <w:rPr>
          <w:color w:val="000000" w:themeColor="text1"/>
        </w:rPr>
        <w:t>objetiva</w:t>
      </w:r>
      <w:r w:rsidRPr="00EE7AB2">
        <w:rPr>
          <w:color w:val="000000" w:themeColor="text1"/>
          <w:spacing w:val="41"/>
        </w:rPr>
        <w:t xml:space="preserve"> </w:t>
      </w:r>
      <w:r w:rsidRPr="00EE7AB2">
        <w:rPr>
          <w:color w:val="000000" w:themeColor="text1"/>
        </w:rPr>
        <w:t>como principio orientador para los procesos de selección sometidos al Estatuto General de Contratación</w:t>
      </w:r>
      <w:r>
        <w:rPr>
          <w:color w:val="000000" w:themeColor="text1"/>
        </w:rPr>
        <w:t xml:space="preserve"> de la Administración</w:t>
      </w:r>
      <w:r w:rsidRPr="00EE7AB2">
        <w:rPr>
          <w:color w:val="000000" w:themeColor="text1"/>
        </w:rPr>
        <w:t xml:space="preserve"> Pública:</w:t>
      </w:r>
    </w:p>
    <w:p w14:paraId="107E1E3F" w14:textId="77777777" w:rsidR="00487D6C" w:rsidRPr="00EE7AB2" w:rsidRDefault="00487D6C" w:rsidP="00487D6C">
      <w:pPr>
        <w:pStyle w:val="Textoindependiente"/>
        <w:spacing w:before="1" w:line="276" w:lineRule="auto"/>
        <w:rPr>
          <w:color w:val="000000" w:themeColor="text1"/>
        </w:rPr>
      </w:pPr>
    </w:p>
    <w:p w14:paraId="515B1321" w14:textId="77777777" w:rsidR="00487D6C" w:rsidRPr="008031FA" w:rsidRDefault="00487D6C" w:rsidP="00487D6C">
      <w:pPr>
        <w:pStyle w:val="Textoindependiente"/>
        <w:spacing w:after="120"/>
        <w:ind w:left="709" w:right="709"/>
        <w:jc w:val="both"/>
        <w:rPr>
          <w:color w:val="000000" w:themeColor="text1"/>
          <w:sz w:val="21"/>
          <w:szCs w:val="21"/>
        </w:rPr>
      </w:pPr>
      <w:r>
        <w:rPr>
          <w:color w:val="000000" w:themeColor="text1"/>
          <w:sz w:val="21"/>
          <w:szCs w:val="21"/>
        </w:rPr>
        <w:t>“</w:t>
      </w:r>
      <w:r w:rsidRPr="008031FA">
        <w:rPr>
          <w:color w:val="000000" w:themeColor="text1"/>
          <w:sz w:val="21"/>
          <w:szCs w:val="21"/>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2DF9B454" w14:textId="77777777" w:rsidR="00487D6C" w:rsidRPr="008031FA" w:rsidRDefault="00487D6C" w:rsidP="00487D6C">
      <w:pPr>
        <w:pStyle w:val="Textoindependiente"/>
        <w:spacing w:after="120"/>
        <w:ind w:left="709" w:right="709"/>
        <w:jc w:val="both"/>
        <w:rPr>
          <w:color w:val="000000" w:themeColor="text1"/>
          <w:sz w:val="21"/>
          <w:szCs w:val="21"/>
        </w:rPr>
      </w:pPr>
      <w:r w:rsidRPr="008031FA">
        <w:rPr>
          <w:color w:val="000000" w:themeColor="text1"/>
          <w:sz w:val="21"/>
          <w:szCs w:val="21"/>
        </w:rPr>
        <w:t>La selección de estas entidades se hará conforme a las siguientes reglas:</w:t>
      </w:r>
    </w:p>
    <w:p w14:paraId="5F87BE19" w14:textId="77777777" w:rsidR="00487D6C" w:rsidRPr="008031FA" w:rsidRDefault="00487D6C" w:rsidP="00487D6C">
      <w:pPr>
        <w:pStyle w:val="Textoindependiente"/>
        <w:spacing w:after="120"/>
        <w:ind w:left="709" w:right="709"/>
        <w:jc w:val="both"/>
        <w:rPr>
          <w:color w:val="000000" w:themeColor="text1"/>
          <w:sz w:val="21"/>
          <w:szCs w:val="21"/>
        </w:rPr>
      </w:pPr>
      <w:r w:rsidRPr="008031FA">
        <w:rPr>
          <w:color w:val="000000" w:themeColor="text1"/>
          <w:sz w:val="21"/>
          <w:szCs w:val="21"/>
        </w:rPr>
        <w:t xml:space="preserve">La entidad demandante del bien, obra o servicio invitará a presentar </w:t>
      </w:r>
      <w:r w:rsidRPr="008031FA">
        <w:rPr>
          <w:color w:val="000000" w:themeColor="text1"/>
          <w:sz w:val="21"/>
          <w:szCs w:val="21"/>
        </w:rPr>
        <w:lastRenderedPageBreak/>
        <w:t>ofertas a todas aquellas cooperativas o asociaciones de entidades territoriales que puedan ejecutar el contrato, para adelantar entre ellas un concurso que permita la selección de la oferta más favorable en los términos del artículo 29 de la Ley 80 de 1993.</w:t>
      </w:r>
    </w:p>
    <w:p w14:paraId="7594BF23" w14:textId="77777777" w:rsidR="00487D6C" w:rsidRPr="008031FA" w:rsidRDefault="00487D6C" w:rsidP="00487D6C">
      <w:pPr>
        <w:pStyle w:val="Textoindependiente"/>
        <w:ind w:left="709" w:right="709"/>
        <w:jc w:val="both"/>
        <w:rPr>
          <w:color w:val="000000" w:themeColor="text1"/>
          <w:sz w:val="21"/>
          <w:szCs w:val="21"/>
        </w:rPr>
      </w:pPr>
      <w:r w:rsidRPr="008031FA">
        <w:rPr>
          <w:color w:val="000000" w:themeColor="text1"/>
          <w:sz w:val="21"/>
          <w:szCs w:val="21"/>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r>
        <w:rPr>
          <w:color w:val="000000" w:themeColor="text1"/>
          <w:sz w:val="21"/>
          <w:szCs w:val="21"/>
        </w:rPr>
        <w:t>”</w:t>
      </w:r>
      <w:r w:rsidRPr="008031FA">
        <w:rPr>
          <w:color w:val="000000" w:themeColor="text1"/>
          <w:sz w:val="21"/>
          <w:szCs w:val="21"/>
        </w:rPr>
        <w:t>.</w:t>
      </w:r>
    </w:p>
    <w:p w14:paraId="66759DCB" w14:textId="77777777" w:rsidR="00487D6C" w:rsidRPr="006A6B68" w:rsidRDefault="00487D6C" w:rsidP="00487D6C">
      <w:pPr>
        <w:pStyle w:val="Textoindependiente"/>
        <w:spacing w:line="276" w:lineRule="auto"/>
        <w:ind w:left="668" w:right="531"/>
        <w:jc w:val="both"/>
        <w:rPr>
          <w:color w:val="000000" w:themeColor="text1"/>
        </w:rPr>
      </w:pPr>
      <w:r>
        <w:rPr>
          <w:color w:val="000000" w:themeColor="text1"/>
          <w:sz w:val="21"/>
          <w:szCs w:val="21"/>
        </w:rPr>
        <w:tab/>
      </w:r>
    </w:p>
    <w:p w14:paraId="49336D28" w14:textId="77777777" w:rsidR="00487D6C" w:rsidRPr="00EE7AB2" w:rsidRDefault="00487D6C" w:rsidP="00487D6C">
      <w:pPr>
        <w:pStyle w:val="Textoindependiente"/>
        <w:spacing w:after="120" w:line="276" w:lineRule="auto"/>
        <w:ind w:right="108" w:firstLine="709"/>
        <w:jc w:val="both"/>
        <w:rPr>
          <w:color w:val="000000" w:themeColor="text1"/>
        </w:rPr>
      </w:pPr>
      <w:r w:rsidRPr="00EE7AB2">
        <w:rPr>
          <w:color w:val="000000" w:themeColor="text1"/>
        </w:rPr>
        <w:t xml:space="preserve">De este modo, la modificación </w:t>
      </w:r>
      <w:r>
        <w:rPr>
          <w:color w:val="000000" w:themeColor="text1"/>
        </w:rPr>
        <w:t>realizada</w:t>
      </w:r>
      <w:r w:rsidRPr="00EE7AB2">
        <w:rPr>
          <w:color w:val="000000" w:themeColor="text1"/>
        </w:rPr>
        <w:t xml:space="preserve"> por el artículo 1 del Decreto 4375 de 2006 restringió la libertad contractual de las cooperativas y asociaciones de entidades territoriales para celebrar convenios interadministrativos de forma directa, sometiéndolas a las reglas de la selección objetiva </w:t>
      </w:r>
      <w:r>
        <w:rPr>
          <w:color w:val="000000" w:themeColor="text1"/>
        </w:rPr>
        <w:t xml:space="preserve">indicadas </w:t>
      </w:r>
      <w:r w:rsidRPr="00EE7AB2">
        <w:rPr>
          <w:color w:val="000000" w:themeColor="text1"/>
        </w:rPr>
        <w:t>en caso de que estas pretendieran contratar o ser contratadas por una entidad</w:t>
      </w:r>
      <w:r w:rsidRPr="00EE7AB2">
        <w:rPr>
          <w:color w:val="000000" w:themeColor="text1"/>
          <w:spacing w:val="-2"/>
        </w:rPr>
        <w:t xml:space="preserve"> </w:t>
      </w:r>
      <w:r w:rsidRPr="00EE7AB2">
        <w:rPr>
          <w:color w:val="000000" w:themeColor="text1"/>
        </w:rPr>
        <w:t>estatal.</w:t>
      </w:r>
    </w:p>
    <w:p w14:paraId="54EF6D66" w14:textId="77777777" w:rsidR="00487D6C" w:rsidRPr="00EE7AB2" w:rsidRDefault="00487D6C" w:rsidP="00487D6C">
      <w:pPr>
        <w:pStyle w:val="Textoindependiente"/>
        <w:spacing w:line="276" w:lineRule="auto"/>
        <w:ind w:right="108" w:firstLine="709"/>
        <w:jc w:val="both"/>
        <w:rPr>
          <w:color w:val="000000" w:themeColor="text1"/>
        </w:rPr>
      </w:pPr>
      <w:r w:rsidRPr="00EE7AB2">
        <w:rPr>
          <w:color w:val="000000" w:themeColor="text1"/>
        </w:rPr>
        <w:t xml:space="preserve">A su vez, con la vigencia de la Ley 1150 de 2007, normativa que introdujo medidas para la eficiencia y la transparencia en la </w:t>
      </w:r>
      <w:r>
        <w:rPr>
          <w:color w:val="000000" w:themeColor="text1"/>
        </w:rPr>
        <w:t>contratación pública</w:t>
      </w:r>
      <w:r w:rsidRPr="00EE7AB2">
        <w:rPr>
          <w:color w:val="000000" w:themeColor="text1"/>
        </w:rPr>
        <w:t xml:space="preserve">, se establecieron nuevos criterios para la celebración de convenios interadministrativos para la actividad contractual de cooperativas y asociaciones </w:t>
      </w:r>
      <w:r>
        <w:rPr>
          <w:color w:val="000000" w:themeColor="text1"/>
        </w:rPr>
        <w:t xml:space="preserve">de </w:t>
      </w:r>
      <w:r w:rsidRPr="00EE7AB2">
        <w:rPr>
          <w:color w:val="000000" w:themeColor="text1"/>
        </w:rPr>
        <w:t>entidades territoriales. Particularmente, el artículo 32 de la Ley 1150 de 2007 derogó de manera expresa el parágrafo 1 del artículo 2 de la Ley 80 de 1993, que permitía la celebración de convenios interadministrativos por parte de cooperativas y asociaciones de entidades</w:t>
      </w:r>
      <w:r w:rsidRPr="00EE7AB2">
        <w:rPr>
          <w:color w:val="000000" w:themeColor="text1"/>
          <w:spacing w:val="-12"/>
        </w:rPr>
        <w:t xml:space="preserve"> </w:t>
      </w:r>
      <w:r w:rsidRPr="00EE7AB2">
        <w:rPr>
          <w:color w:val="000000" w:themeColor="text1"/>
        </w:rPr>
        <w:t>territoriales</w:t>
      </w:r>
      <w:r w:rsidRPr="00EE7AB2">
        <w:rPr>
          <w:rStyle w:val="Refdenotaalpie"/>
          <w:color w:val="000000" w:themeColor="text1"/>
        </w:rPr>
        <w:footnoteReference w:id="8"/>
      </w:r>
      <w:r w:rsidRPr="00EE7AB2">
        <w:rPr>
          <w:color w:val="000000" w:themeColor="text1"/>
        </w:rPr>
        <w:t>.</w:t>
      </w:r>
      <w:r>
        <w:rPr>
          <w:color w:val="000000" w:themeColor="text1"/>
        </w:rPr>
        <w:t xml:space="preserve"> Además, en armonía con lo anterior</w:t>
      </w:r>
      <w:r w:rsidRPr="00EE7AB2">
        <w:rPr>
          <w:color w:val="000000" w:themeColor="text1"/>
        </w:rPr>
        <w:t>, el artículo 10 de la Ley 1150 de 2007 estableció:</w:t>
      </w:r>
    </w:p>
    <w:p w14:paraId="0044C20B" w14:textId="77777777" w:rsidR="00487D6C" w:rsidRPr="00EE7AB2" w:rsidRDefault="00487D6C" w:rsidP="00487D6C">
      <w:pPr>
        <w:pStyle w:val="Textoindependiente"/>
        <w:spacing w:before="8" w:line="276" w:lineRule="auto"/>
        <w:rPr>
          <w:color w:val="000000" w:themeColor="text1"/>
        </w:rPr>
      </w:pPr>
    </w:p>
    <w:p w14:paraId="68D4C742" w14:textId="77777777" w:rsidR="00487D6C" w:rsidRPr="008031FA" w:rsidRDefault="00487D6C" w:rsidP="00487D6C">
      <w:pPr>
        <w:pStyle w:val="Textoindependiente"/>
        <w:ind w:left="709" w:right="709"/>
        <w:jc w:val="both"/>
        <w:rPr>
          <w:color w:val="000000" w:themeColor="text1"/>
          <w:sz w:val="21"/>
          <w:szCs w:val="21"/>
        </w:rPr>
      </w:pPr>
      <w:r>
        <w:rPr>
          <w:color w:val="000000" w:themeColor="text1"/>
          <w:sz w:val="21"/>
          <w:szCs w:val="21"/>
        </w:rPr>
        <w:t>“</w:t>
      </w:r>
      <w:r w:rsidRPr="008031FA">
        <w:rPr>
          <w:color w:val="000000" w:themeColor="text1"/>
          <w:sz w:val="21"/>
          <w:szCs w:val="21"/>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r>
        <w:rPr>
          <w:color w:val="000000" w:themeColor="text1"/>
          <w:sz w:val="21"/>
          <w:szCs w:val="21"/>
        </w:rPr>
        <w:t>”</w:t>
      </w:r>
      <w:r w:rsidRPr="008031FA">
        <w:rPr>
          <w:color w:val="000000" w:themeColor="text1"/>
          <w:sz w:val="21"/>
          <w:szCs w:val="21"/>
        </w:rPr>
        <w:t>.</w:t>
      </w:r>
    </w:p>
    <w:p w14:paraId="45ED0FB6" w14:textId="77777777" w:rsidR="00487D6C" w:rsidRPr="00EE7AB2" w:rsidRDefault="00487D6C" w:rsidP="00487D6C">
      <w:pPr>
        <w:pStyle w:val="Textoindependiente"/>
        <w:spacing w:before="4" w:line="276" w:lineRule="auto"/>
        <w:rPr>
          <w:color w:val="000000" w:themeColor="text1"/>
        </w:rPr>
      </w:pPr>
    </w:p>
    <w:p w14:paraId="32808E16" w14:textId="77777777" w:rsidR="00487D6C" w:rsidRPr="00EE7AB2" w:rsidRDefault="00487D6C" w:rsidP="00487D6C">
      <w:pPr>
        <w:pStyle w:val="Textoindependiente"/>
        <w:spacing w:after="120" w:line="276" w:lineRule="auto"/>
        <w:ind w:right="108" w:firstLine="709"/>
        <w:jc w:val="both"/>
        <w:rPr>
          <w:color w:val="000000" w:themeColor="text1"/>
        </w:rPr>
      </w:pPr>
      <w:r w:rsidRPr="00EE7AB2">
        <w:rPr>
          <w:color w:val="000000" w:themeColor="text1"/>
        </w:rPr>
        <w:t>A partir de la norma citada, para la celebración de contratos con entidades estatales</w:t>
      </w:r>
      <w:r>
        <w:rPr>
          <w:color w:val="000000" w:themeColor="text1"/>
        </w:rPr>
        <w:t>,</w:t>
      </w:r>
      <w:r w:rsidRPr="00EE7AB2">
        <w:rPr>
          <w:color w:val="000000" w:themeColor="text1"/>
        </w:rPr>
        <w:t xml:space="preserve"> las cooperativas y asociaciones conformadas por entidades territoriales debe</w:t>
      </w:r>
      <w:r>
        <w:rPr>
          <w:color w:val="000000" w:themeColor="text1"/>
        </w:rPr>
        <w:t>n</w:t>
      </w:r>
      <w:r w:rsidRPr="00EE7AB2">
        <w:rPr>
          <w:color w:val="000000" w:themeColor="text1"/>
        </w:rPr>
        <w:t xml:space="preserve"> someterse a los procesos de selección de la Ley 1150 de 2007, en igualdad de condiciones con los particulares</w:t>
      </w:r>
      <w:r>
        <w:rPr>
          <w:color w:val="000000" w:themeColor="text1"/>
        </w:rPr>
        <w:t xml:space="preserve">. </w:t>
      </w:r>
      <w:r>
        <w:rPr>
          <w:rStyle w:val="normaltextrun"/>
          <w:color w:val="000000"/>
          <w:shd w:val="clear" w:color="auto" w:fill="FFFFFF"/>
        </w:rPr>
        <w:t>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De otro lado, vale la pena destacar como la disposición analizada no efectuó distinciones entre el tipo de asociaciones de entidades territoriales frente a las que aplica esta restricción, por lo que allí también se encuentran incluidas las asociaciones de municipios, que son un tipo de asociaciones de entidades territoriales</w:t>
      </w:r>
      <w:r>
        <w:rPr>
          <w:color w:val="000000" w:themeColor="text1"/>
          <w:sz w:val="21"/>
          <w:szCs w:val="21"/>
        </w:rPr>
        <w:t xml:space="preserve">. </w:t>
      </w:r>
    </w:p>
    <w:p w14:paraId="08D7BB16" w14:textId="77777777" w:rsidR="00487D6C" w:rsidRPr="00EE7AB2" w:rsidRDefault="00487D6C" w:rsidP="00487D6C">
      <w:pPr>
        <w:pStyle w:val="Textoindependiente"/>
        <w:spacing w:after="120" w:line="276" w:lineRule="auto"/>
        <w:ind w:right="108" w:firstLine="709"/>
        <w:jc w:val="both"/>
        <w:rPr>
          <w:color w:val="000000" w:themeColor="text1"/>
        </w:rPr>
      </w:pPr>
      <w:r w:rsidRPr="00EE7AB2">
        <w:rPr>
          <w:color w:val="000000" w:themeColor="text1"/>
        </w:rPr>
        <w:t xml:space="preserve">De la evolución normativa expuesta se advierte que la prohibición de celebrar </w:t>
      </w:r>
      <w:r>
        <w:rPr>
          <w:color w:val="000000" w:themeColor="text1"/>
        </w:rPr>
        <w:t>contratos mediante la modalidad de contratación directa, incluyendo la imposibilidad de acudir a la causal de contratos interadministrativos,</w:t>
      </w:r>
      <w:r w:rsidRPr="00EE7AB2">
        <w:rPr>
          <w:color w:val="000000" w:themeColor="text1"/>
        </w:rPr>
        <w:t xml:space="preserve">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w:t>
      </w:r>
      <w:r>
        <w:rPr>
          <w:color w:val="000000" w:themeColor="text1"/>
        </w:rPr>
        <w:t>;</w:t>
      </w:r>
      <w:r w:rsidRPr="00EE7AB2">
        <w:rPr>
          <w:color w:val="000000" w:themeColor="text1"/>
        </w:rPr>
        <w:t xml:space="preserve"> y</w:t>
      </w:r>
      <w:r>
        <w:rPr>
          <w:color w:val="000000" w:themeColor="text1"/>
        </w:rPr>
        <w:t>, particularmente,</w:t>
      </w:r>
      <w:r w:rsidRPr="00EE7AB2">
        <w:rPr>
          <w:color w:val="000000" w:themeColor="text1"/>
        </w:rPr>
        <w:t xml:space="preserve"> </w:t>
      </w:r>
      <w:proofErr w:type="spellStart"/>
      <w:r w:rsidRPr="00EE7AB2">
        <w:rPr>
          <w:color w:val="000000" w:themeColor="text1"/>
        </w:rPr>
        <w:t>ii</w:t>
      </w:r>
      <w:proofErr w:type="spellEnd"/>
      <w:r w:rsidRPr="00EE7AB2">
        <w:rPr>
          <w:color w:val="000000" w:themeColor="text1"/>
        </w:rPr>
        <w:t xml:space="preserve">) el artículo 10 de la ley 1150 de 2007 que </w:t>
      </w:r>
      <w:r>
        <w:rPr>
          <w:color w:val="000000" w:themeColor="text1"/>
        </w:rPr>
        <w:t xml:space="preserve">establece que la celebración de contratos entre una entidad estatal con, entre otras, asociaciones de entidades territoriales </w:t>
      </w:r>
      <w:r w:rsidRPr="00EE7AB2">
        <w:rPr>
          <w:color w:val="000000" w:themeColor="text1"/>
        </w:rPr>
        <w:t xml:space="preserve"> </w:t>
      </w:r>
      <w:r>
        <w:rPr>
          <w:color w:val="000000" w:themeColor="text1"/>
        </w:rPr>
        <w:t xml:space="preserve">únicamente se pueden realizar </w:t>
      </w:r>
      <w:r w:rsidRPr="00EE7AB2">
        <w:rPr>
          <w:color w:val="000000" w:themeColor="text1"/>
        </w:rPr>
        <w:t>mediante un proceso competitivo</w:t>
      </w:r>
      <w:r>
        <w:rPr>
          <w:color w:val="000000" w:themeColor="text1"/>
        </w:rPr>
        <w:t>, pues deben participar “en igualdad de condiciones con los particulares”</w:t>
      </w:r>
      <w:r w:rsidRPr="00EE7AB2">
        <w:rPr>
          <w:color w:val="000000" w:themeColor="text1"/>
        </w:rPr>
        <w:t xml:space="preserve"> y no mediante la modalidad de contratación directa</w:t>
      </w:r>
      <w:r>
        <w:rPr>
          <w:color w:val="000000" w:themeColor="text1"/>
        </w:rPr>
        <w:t xml:space="preserve">, incluyendo en la prohibición acudir a la causal de </w:t>
      </w:r>
      <w:r w:rsidRPr="00EE7AB2">
        <w:rPr>
          <w:color w:val="000000" w:themeColor="text1"/>
        </w:rPr>
        <w:t>los contratos interadministrativos.</w:t>
      </w:r>
    </w:p>
    <w:p w14:paraId="5730ED58" w14:textId="77777777" w:rsidR="00487D6C" w:rsidRDefault="00487D6C" w:rsidP="00487D6C">
      <w:pPr>
        <w:pStyle w:val="Textoindependiente"/>
        <w:spacing w:line="276" w:lineRule="auto"/>
        <w:ind w:right="108" w:firstLine="709"/>
        <w:jc w:val="both"/>
        <w:rPr>
          <w:color w:val="000000" w:themeColor="text1"/>
        </w:rPr>
      </w:pPr>
      <w:r>
        <w:rPr>
          <w:color w:val="000000" w:themeColor="text1"/>
        </w:rPr>
        <w:t xml:space="preserve">No obstante, continuando con el análisis del desarrollo normativo, debe tenerse en cuenta que posterior a la Ley 1150 de 2007 se expidió la Ley 1454 de 2011, que en el parágrafo del artículo 17 es concluyente frente a la posibilidad que tienen </w:t>
      </w:r>
      <w:r w:rsidRPr="004669CB">
        <w:rPr>
          <w:color w:val="000000" w:themeColor="text1"/>
        </w:rPr>
        <w:t>las asociaciones de departamentos, las provincias y las asociaciones de distritos y de municipios</w:t>
      </w:r>
      <w:r>
        <w:rPr>
          <w:color w:val="000000" w:themeColor="text1"/>
        </w:rPr>
        <w:t xml:space="preserve"> de suscribir convenios interadministrativos, en los términos establecidos en el artículo 95 de la ley 489 de 1998:</w:t>
      </w:r>
    </w:p>
    <w:p w14:paraId="0B0E2536" w14:textId="77777777" w:rsidR="00487D6C" w:rsidRDefault="00487D6C" w:rsidP="00487D6C">
      <w:pPr>
        <w:pStyle w:val="Textoindependiente"/>
        <w:spacing w:line="276" w:lineRule="auto"/>
        <w:ind w:right="108" w:firstLine="709"/>
        <w:jc w:val="both"/>
        <w:rPr>
          <w:color w:val="000000" w:themeColor="text1"/>
        </w:rPr>
      </w:pPr>
    </w:p>
    <w:p w14:paraId="38B62CBC" w14:textId="77777777" w:rsidR="00487D6C" w:rsidRPr="004669CB" w:rsidRDefault="00487D6C" w:rsidP="00487D6C">
      <w:pPr>
        <w:pStyle w:val="Textoindependiente"/>
        <w:spacing w:after="120"/>
        <w:ind w:left="709" w:right="709"/>
        <w:jc w:val="both"/>
        <w:rPr>
          <w:color w:val="000000" w:themeColor="text1"/>
          <w:sz w:val="21"/>
          <w:szCs w:val="21"/>
        </w:rPr>
      </w:pPr>
      <w:bookmarkStart w:id="2" w:name="17"/>
      <w:r>
        <w:rPr>
          <w:color w:val="000000" w:themeColor="text1"/>
          <w:sz w:val="21"/>
          <w:szCs w:val="21"/>
        </w:rPr>
        <w:lastRenderedPageBreak/>
        <w:t>“</w:t>
      </w:r>
      <w:r w:rsidRPr="004669CB">
        <w:rPr>
          <w:color w:val="000000" w:themeColor="text1"/>
          <w:sz w:val="21"/>
          <w:szCs w:val="21"/>
        </w:rPr>
        <w:t>A</w:t>
      </w:r>
      <w:r>
        <w:rPr>
          <w:color w:val="000000" w:themeColor="text1"/>
          <w:sz w:val="21"/>
          <w:szCs w:val="21"/>
        </w:rPr>
        <w:t>rtículo</w:t>
      </w:r>
      <w:r w:rsidRPr="004669CB">
        <w:rPr>
          <w:color w:val="000000" w:themeColor="text1"/>
          <w:sz w:val="21"/>
          <w:szCs w:val="21"/>
        </w:rPr>
        <w:t xml:space="preserve"> 17. </w:t>
      </w:r>
      <w:r>
        <w:rPr>
          <w:color w:val="000000" w:themeColor="text1"/>
          <w:sz w:val="21"/>
          <w:szCs w:val="21"/>
        </w:rPr>
        <w:t>N</w:t>
      </w:r>
      <w:r w:rsidRPr="00863B12">
        <w:rPr>
          <w:color w:val="000000" w:themeColor="text1"/>
          <w:sz w:val="21"/>
          <w:szCs w:val="21"/>
        </w:rPr>
        <w:t>aturaleza y funcionamiento de los esquemas asociativos</w:t>
      </w:r>
      <w:r w:rsidRPr="004669CB">
        <w:rPr>
          <w:color w:val="000000" w:themeColor="text1"/>
          <w:sz w:val="21"/>
          <w:szCs w:val="21"/>
        </w:rPr>
        <w:t>.</w:t>
      </w:r>
      <w:bookmarkEnd w:id="2"/>
      <w:r w:rsidRPr="004669CB">
        <w:rPr>
          <w:color w:val="000000" w:themeColor="text1"/>
          <w:sz w:val="21"/>
          <w:szCs w:val="21"/>
        </w:rPr>
        <w:t xml:space="preserve"> Las asociaciones de departamentos, las provincias y las </w:t>
      </w:r>
      <w:r w:rsidRPr="004669CB">
        <w:rPr>
          <w:i/>
          <w:iCs/>
          <w:color w:val="000000" w:themeColor="text1"/>
          <w:sz w:val="21"/>
          <w:szCs w:val="21"/>
        </w:rPr>
        <w:t>asociaciones de distritos y de municipios</w:t>
      </w:r>
      <w:r w:rsidRPr="004669CB">
        <w:rPr>
          <w:color w:val="000000" w:themeColor="text1"/>
          <w:sz w:val="21"/>
          <w:szCs w:val="21"/>
        </w:rPr>
        <w:t xml:space="preserve"> son entidades administrativas de derecho público, con personería jurídica y patrimonio propio e independiente de los entes que la conforman.</w:t>
      </w:r>
    </w:p>
    <w:p w14:paraId="3FDEF0E7" w14:textId="77777777" w:rsidR="00487D6C" w:rsidRPr="004669CB" w:rsidRDefault="00487D6C" w:rsidP="00487D6C">
      <w:pPr>
        <w:pStyle w:val="Textoindependiente"/>
        <w:spacing w:after="120"/>
        <w:ind w:left="709" w:right="709"/>
        <w:jc w:val="both"/>
        <w:rPr>
          <w:color w:val="000000" w:themeColor="text1"/>
          <w:sz w:val="21"/>
          <w:szCs w:val="21"/>
        </w:rPr>
      </w:pPr>
      <w:r w:rsidRPr="004669CB">
        <w:rPr>
          <w:color w:val="000000" w:themeColor="text1"/>
          <w:sz w:val="21"/>
          <w:szCs w:val="21"/>
        </w:rPr>
        <w:t>Las asociaciones de departamentos podrán constituirse en regiones administrativas y de planificación, previa autorización de sus asambleas departamentales.</w:t>
      </w:r>
    </w:p>
    <w:p w14:paraId="66CCA821" w14:textId="77777777" w:rsidR="00487D6C" w:rsidRPr="004669CB" w:rsidRDefault="00487D6C" w:rsidP="00487D6C">
      <w:pPr>
        <w:pStyle w:val="Textoindependiente"/>
        <w:spacing w:after="120"/>
        <w:ind w:left="709" w:right="709"/>
        <w:jc w:val="both"/>
        <w:rPr>
          <w:color w:val="000000" w:themeColor="text1"/>
          <w:sz w:val="21"/>
          <w:szCs w:val="21"/>
        </w:rPr>
      </w:pPr>
      <w:r w:rsidRPr="004669CB">
        <w:rPr>
          <w:color w:val="000000" w:themeColor="text1"/>
          <w:sz w:val="21"/>
          <w:szCs w:val="21"/>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14:paraId="545AEE80" w14:textId="77777777" w:rsidR="00487D6C" w:rsidRPr="004669CB" w:rsidRDefault="00487D6C" w:rsidP="00487D6C">
      <w:pPr>
        <w:pStyle w:val="Textoindependiente"/>
        <w:ind w:left="709" w:right="709"/>
        <w:jc w:val="both"/>
        <w:rPr>
          <w:color w:val="000000" w:themeColor="text1"/>
          <w:sz w:val="21"/>
          <w:szCs w:val="21"/>
        </w:rPr>
      </w:pPr>
      <w:r w:rsidRPr="004669CB">
        <w:rPr>
          <w:color w:val="000000" w:themeColor="text1"/>
          <w:sz w:val="21"/>
          <w:szCs w:val="21"/>
        </w:rPr>
        <w:t>PARÁGRAFO. </w:t>
      </w:r>
      <w:r w:rsidRPr="004669CB">
        <w:rPr>
          <w:i/>
          <w:iCs/>
          <w:color w:val="000000" w:themeColor="text1"/>
          <w:sz w:val="21"/>
          <w:szCs w:val="21"/>
        </w:rPr>
        <w:t>En concordancia con lo previsto en el artículo </w:t>
      </w:r>
      <w:hyperlink r:id="rId12" w:anchor="95" w:history="1">
        <w:r w:rsidRPr="004669CB">
          <w:rPr>
            <w:i/>
            <w:iCs/>
            <w:color w:val="000000" w:themeColor="text1"/>
            <w:sz w:val="21"/>
            <w:szCs w:val="21"/>
          </w:rPr>
          <w:t>95</w:t>
        </w:r>
      </w:hyperlink>
      <w:r w:rsidRPr="004669CB">
        <w:rPr>
          <w:i/>
          <w:iCs/>
          <w:color w:val="000000" w:themeColor="text1"/>
          <w:sz w:val="21"/>
          <w:szCs w:val="21"/>
        </w:rPr>
        <w:t> de la Ley 489 de 1998, las Entidades Territoriales podrán continuar asociándose mediante la celebración de convenios interadministrativos o mediante la conformación de personas jurídicas de derecho público o derecho privado</w:t>
      </w:r>
      <w:r>
        <w:rPr>
          <w:color w:val="000000" w:themeColor="text1"/>
          <w:sz w:val="21"/>
          <w:szCs w:val="21"/>
        </w:rPr>
        <w:t>”</w:t>
      </w:r>
      <w:r w:rsidRPr="004669CB">
        <w:rPr>
          <w:color w:val="000000" w:themeColor="text1"/>
          <w:sz w:val="21"/>
          <w:szCs w:val="21"/>
        </w:rPr>
        <w:t>.</w:t>
      </w:r>
      <w:r>
        <w:rPr>
          <w:color w:val="000000" w:themeColor="text1"/>
          <w:sz w:val="21"/>
          <w:szCs w:val="21"/>
        </w:rPr>
        <w:t xml:space="preserve"> (Énfasis fuera de texto)</w:t>
      </w:r>
    </w:p>
    <w:p w14:paraId="3F7C8FA6" w14:textId="77777777" w:rsidR="00487D6C" w:rsidRDefault="00487D6C" w:rsidP="00487D6C">
      <w:pPr>
        <w:pStyle w:val="Textoindependiente"/>
        <w:spacing w:line="276" w:lineRule="auto"/>
        <w:ind w:right="108" w:firstLine="709"/>
        <w:jc w:val="both"/>
        <w:rPr>
          <w:color w:val="000000" w:themeColor="text1"/>
        </w:rPr>
      </w:pPr>
    </w:p>
    <w:p w14:paraId="289FA368" w14:textId="77777777" w:rsidR="00487D6C" w:rsidRDefault="00487D6C" w:rsidP="00487D6C">
      <w:pPr>
        <w:pStyle w:val="Textoindependiente"/>
        <w:spacing w:after="120" w:line="276" w:lineRule="auto"/>
        <w:ind w:right="108"/>
        <w:jc w:val="both"/>
        <w:rPr>
          <w:color w:val="000000" w:themeColor="text1"/>
        </w:rPr>
      </w:pPr>
      <w:r>
        <w:rPr>
          <w:color w:val="000000" w:themeColor="text1"/>
        </w:rPr>
        <w:tab/>
        <w:t xml:space="preserve">En los términos indicados, es posible que los esquemas asociativos de entidades territoriales señalados en la disposición, entre otros, las asociaciones de </w:t>
      </w:r>
      <w:proofErr w:type="gramStart"/>
      <w:r>
        <w:rPr>
          <w:color w:val="000000" w:themeColor="text1"/>
        </w:rPr>
        <w:t>municipios,</w:t>
      </w:r>
      <w:proofErr w:type="gramEnd"/>
      <w:r>
        <w:rPr>
          <w:color w:val="000000" w:themeColor="text1"/>
        </w:rPr>
        <w:t xml:space="preserve"> celebren convenios interadministrativos con otras entidades estatales, con estricta observancia de los requisitos establecidos en el artículo 95 de la Ley 489 de 1998. </w:t>
      </w:r>
    </w:p>
    <w:p w14:paraId="0F4C86EE" w14:textId="77777777" w:rsidR="00487D6C" w:rsidRDefault="00487D6C" w:rsidP="00487D6C">
      <w:pPr>
        <w:pStyle w:val="Textoindependiente"/>
        <w:spacing w:line="276" w:lineRule="auto"/>
        <w:ind w:right="108" w:firstLine="708"/>
        <w:jc w:val="both"/>
        <w:rPr>
          <w:color w:val="000000" w:themeColor="text1"/>
        </w:rPr>
      </w:pPr>
      <w:r>
        <w:rPr>
          <w:color w:val="000000" w:themeColor="text1"/>
        </w:rPr>
        <w:t xml:space="preserve">Para finalizar el recuento normativo, es necesario hacer referencia a la modificación realizada por el artículo 92 de la Ley 1474 de 2011 al </w:t>
      </w:r>
      <w:r w:rsidRPr="006E6EE9">
        <w:rPr>
          <w:color w:val="000000" w:themeColor="text1"/>
        </w:rPr>
        <w:t>literal </w:t>
      </w:r>
      <w:hyperlink r:id="rId13" w:anchor="2.4.c" w:history="1">
        <w:r w:rsidRPr="006E6EE9">
          <w:rPr>
            <w:color w:val="000000" w:themeColor="text1"/>
          </w:rPr>
          <w:t>c)</w:t>
        </w:r>
      </w:hyperlink>
      <w:r w:rsidRPr="006E6EE9">
        <w:rPr>
          <w:color w:val="000000" w:themeColor="text1"/>
        </w:rPr>
        <w:t> del numeral 4 del artículo 2 de la Ley 1150 de 2007</w:t>
      </w:r>
      <w:r>
        <w:rPr>
          <w:color w:val="000000" w:themeColor="text1"/>
        </w:rPr>
        <w:t>. En efecto, el artículo 92 indicado prohíbe acudir a la causal de contratación directa para celebrar ciertas tipologías y objetos contractuales por parte de ciertas entidades, donde se incluye esta restricción precisa frente a las asociaciones de entidades públicas. En efecto, la disposición establece:</w:t>
      </w:r>
    </w:p>
    <w:p w14:paraId="05E10A24" w14:textId="77777777" w:rsidR="00487D6C" w:rsidRDefault="00487D6C" w:rsidP="00487D6C">
      <w:pPr>
        <w:pStyle w:val="Textoindependiente"/>
        <w:spacing w:line="276" w:lineRule="auto"/>
        <w:ind w:right="108" w:firstLine="708"/>
        <w:jc w:val="both"/>
        <w:rPr>
          <w:color w:val="000000" w:themeColor="text1"/>
        </w:rPr>
      </w:pPr>
    </w:p>
    <w:p w14:paraId="254ECAF7" w14:textId="77777777" w:rsidR="00487D6C" w:rsidRPr="004669CB" w:rsidRDefault="00487D6C" w:rsidP="00487D6C">
      <w:pPr>
        <w:pStyle w:val="Textoindependiente"/>
        <w:spacing w:after="120"/>
        <w:ind w:left="709" w:right="709"/>
        <w:jc w:val="both"/>
        <w:rPr>
          <w:color w:val="000000" w:themeColor="text1"/>
          <w:sz w:val="21"/>
          <w:szCs w:val="21"/>
        </w:rPr>
      </w:pPr>
      <w:r>
        <w:rPr>
          <w:color w:val="000000" w:themeColor="text1"/>
          <w:sz w:val="21"/>
          <w:szCs w:val="21"/>
        </w:rPr>
        <w:t>“</w:t>
      </w:r>
      <w:r w:rsidRPr="004669CB">
        <w:rPr>
          <w:color w:val="000000" w:themeColor="text1"/>
          <w:sz w:val="21"/>
          <w:szCs w:val="21"/>
        </w:rPr>
        <w:t>A</w:t>
      </w:r>
      <w:r>
        <w:rPr>
          <w:color w:val="000000" w:themeColor="text1"/>
          <w:sz w:val="21"/>
          <w:szCs w:val="21"/>
        </w:rPr>
        <w:t>rtículo</w:t>
      </w:r>
      <w:r w:rsidRPr="004669CB">
        <w:rPr>
          <w:color w:val="000000" w:themeColor="text1"/>
          <w:sz w:val="21"/>
          <w:szCs w:val="21"/>
        </w:rPr>
        <w:t xml:space="preserve"> 92. </w:t>
      </w:r>
      <w:r>
        <w:rPr>
          <w:color w:val="000000" w:themeColor="text1"/>
          <w:sz w:val="21"/>
          <w:szCs w:val="21"/>
        </w:rPr>
        <w:t>C</w:t>
      </w:r>
      <w:r w:rsidRPr="00863B12">
        <w:rPr>
          <w:color w:val="000000" w:themeColor="text1"/>
          <w:sz w:val="21"/>
          <w:szCs w:val="21"/>
        </w:rPr>
        <w:t>ontratos interadministrativos</w:t>
      </w:r>
      <w:r w:rsidRPr="004669CB">
        <w:rPr>
          <w:color w:val="000000" w:themeColor="text1"/>
          <w:sz w:val="21"/>
          <w:szCs w:val="21"/>
        </w:rPr>
        <w:t xml:space="preserve">. </w:t>
      </w:r>
      <w:proofErr w:type="spellStart"/>
      <w:r w:rsidRPr="004669CB">
        <w:rPr>
          <w:color w:val="000000" w:themeColor="text1"/>
          <w:sz w:val="21"/>
          <w:szCs w:val="21"/>
        </w:rPr>
        <w:t>Modifícase</w:t>
      </w:r>
      <w:proofErr w:type="spellEnd"/>
      <w:r w:rsidRPr="004669CB">
        <w:rPr>
          <w:color w:val="000000" w:themeColor="text1"/>
          <w:sz w:val="21"/>
          <w:szCs w:val="21"/>
        </w:rPr>
        <w:t xml:space="preserve"> el inciso primero del literal c) del numeral 4 del artículo 2o de la Ley 1150 de 2007, el cual quedará así:</w:t>
      </w:r>
    </w:p>
    <w:p w14:paraId="5ACD2EEF" w14:textId="77777777" w:rsidR="00487D6C" w:rsidRPr="004669CB" w:rsidRDefault="00487D6C" w:rsidP="00487D6C">
      <w:pPr>
        <w:pStyle w:val="Textoindependiente"/>
        <w:spacing w:after="120"/>
        <w:ind w:left="709" w:right="709"/>
        <w:jc w:val="both"/>
        <w:rPr>
          <w:color w:val="000000" w:themeColor="text1"/>
          <w:sz w:val="21"/>
          <w:szCs w:val="21"/>
        </w:rPr>
      </w:pPr>
      <w:r w:rsidRPr="004669CB">
        <w:rPr>
          <w:color w:val="000000" w:themeColor="text1"/>
          <w:sz w:val="21"/>
          <w:szCs w:val="21"/>
        </w:rPr>
        <w:t>c) Contratos interadministrativos, siempre que las obligaciones derivadas del mismo tengan relación directa con el objeto de la entidad ejecutora señalado en la ley o en sus reglamentos.</w:t>
      </w:r>
    </w:p>
    <w:p w14:paraId="0C8E726D" w14:textId="77777777" w:rsidR="00487D6C" w:rsidRPr="004669CB" w:rsidRDefault="00487D6C" w:rsidP="00487D6C">
      <w:pPr>
        <w:pStyle w:val="Textoindependiente"/>
        <w:ind w:left="709" w:right="709"/>
        <w:jc w:val="both"/>
        <w:rPr>
          <w:color w:val="000000" w:themeColor="text1"/>
          <w:sz w:val="21"/>
          <w:szCs w:val="21"/>
        </w:rPr>
      </w:pPr>
      <w:r w:rsidRPr="004669CB">
        <w:rPr>
          <w:i/>
          <w:iCs/>
          <w:color w:val="000000" w:themeColor="text1"/>
          <w:sz w:val="21"/>
          <w:szCs w:val="21"/>
        </w:rPr>
        <w:t xml:space="preserve">Se exceptúan los contratos de obra, suministro, prestación de servicios de evaluación de conformidad respecto de las normas o reglamentos </w:t>
      </w:r>
      <w:r w:rsidRPr="004669CB">
        <w:rPr>
          <w:i/>
          <w:iCs/>
          <w:color w:val="000000" w:themeColor="text1"/>
          <w:sz w:val="21"/>
          <w:szCs w:val="21"/>
        </w:rPr>
        <w:lastRenderedPageBreak/>
        <w:t>técnicos, encargos fiduciarios y fiducia pública cuando</w:t>
      </w:r>
      <w:r w:rsidRPr="004669CB">
        <w:rPr>
          <w:color w:val="000000" w:themeColor="text1"/>
          <w:sz w:val="21"/>
          <w:szCs w:val="21"/>
        </w:rPr>
        <w:t xml:space="preserve"> las instituciones de educación superior públicas o las Sociedades de Economía Mixta con participación mayoritaria del Estado, o </w:t>
      </w:r>
      <w:r w:rsidRPr="004669CB">
        <w:rPr>
          <w:i/>
          <w:iCs/>
          <w:color w:val="000000" w:themeColor="text1"/>
          <w:sz w:val="21"/>
          <w:szCs w:val="21"/>
        </w:rPr>
        <w:t>las personas jurídicas sin ánimo de lucro conformadas por la asociación de entidades públicas, o las federaciones de entidades territoriales sean las ejecutoras</w:t>
      </w:r>
      <w:r w:rsidRPr="004669CB">
        <w:rPr>
          <w:color w:val="000000" w:themeColor="text1"/>
          <w:sz w:val="21"/>
          <w:szCs w:val="21"/>
        </w:rPr>
        <w:t>. Estos contratos podrán ser ejecutados por las mismas, siempre que participen en procesos de licitación pública o contratación abreviada de acuerdo con lo dispuesto por los numerales 1 y 2 del presente artículo</w:t>
      </w:r>
      <w:r>
        <w:rPr>
          <w:color w:val="000000" w:themeColor="text1"/>
          <w:sz w:val="21"/>
          <w:szCs w:val="21"/>
        </w:rPr>
        <w:t>”</w:t>
      </w:r>
      <w:r w:rsidRPr="004669CB">
        <w:rPr>
          <w:color w:val="000000" w:themeColor="text1"/>
          <w:sz w:val="21"/>
          <w:szCs w:val="21"/>
        </w:rPr>
        <w:t xml:space="preserve">. </w:t>
      </w:r>
      <w:r>
        <w:rPr>
          <w:color w:val="000000" w:themeColor="text1"/>
          <w:sz w:val="21"/>
          <w:szCs w:val="21"/>
        </w:rPr>
        <w:t>(Cursiva fuera de texto)</w:t>
      </w:r>
    </w:p>
    <w:p w14:paraId="4FC86CC7" w14:textId="77777777" w:rsidR="00487D6C" w:rsidRDefault="00487D6C" w:rsidP="00487D6C">
      <w:pPr>
        <w:pStyle w:val="Textoindependiente"/>
        <w:spacing w:line="276" w:lineRule="auto"/>
        <w:ind w:right="108" w:firstLine="709"/>
        <w:jc w:val="both"/>
        <w:rPr>
          <w:color w:val="000000" w:themeColor="text1"/>
        </w:rPr>
      </w:pPr>
    </w:p>
    <w:p w14:paraId="5701FC70" w14:textId="77777777" w:rsidR="00487D6C" w:rsidRDefault="00487D6C" w:rsidP="00487D6C">
      <w:pPr>
        <w:pStyle w:val="Textoindependiente"/>
        <w:spacing w:after="120" w:line="276" w:lineRule="auto"/>
        <w:ind w:right="108" w:firstLine="709"/>
        <w:jc w:val="both"/>
        <w:rPr>
          <w:color w:val="000000" w:themeColor="text1"/>
        </w:rPr>
      </w:pPr>
      <w:r w:rsidRPr="009E168D">
        <w:rPr>
          <w:color w:val="000000" w:themeColor="text1"/>
        </w:rPr>
        <w:t>La anterior constituye otra prohibición precisa para celebrar ciertos objetos y tipologías contractuales por parte de personas jurídicas sin ánimo de lucro conformadas por la asociación de entidades públicas, donde se incluyen las asociaciones de entidades territoriales</w:t>
      </w:r>
      <w:r>
        <w:rPr>
          <w:color w:val="000000" w:themeColor="text1"/>
        </w:rPr>
        <w:t>.</w:t>
      </w:r>
      <w:r w:rsidRPr="009E168D">
        <w:rPr>
          <w:color w:val="000000" w:themeColor="text1"/>
        </w:rPr>
        <w:t xml:space="preserve"> </w:t>
      </w:r>
      <w:r>
        <w:rPr>
          <w:color w:val="000000" w:themeColor="text1"/>
        </w:rPr>
        <w:t>E</w:t>
      </w:r>
      <w:r w:rsidRPr="009E168D">
        <w:rPr>
          <w:color w:val="000000" w:themeColor="text1"/>
        </w:rPr>
        <w:t>n particular</w:t>
      </w:r>
      <w:r>
        <w:rPr>
          <w:color w:val="000000" w:themeColor="text1"/>
        </w:rPr>
        <w:t>,</w:t>
      </w:r>
      <w:r w:rsidRPr="009E168D">
        <w:rPr>
          <w:color w:val="000000" w:themeColor="text1"/>
        </w:rPr>
        <w:t xml:space="preserve">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w:t>
      </w:r>
    </w:p>
    <w:p w14:paraId="023E2EFB" w14:textId="77777777" w:rsidR="00487D6C" w:rsidRDefault="00487D6C" w:rsidP="00487D6C">
      <w:pPr>
        <w:pStyle w:val="Textoindependiente"/>
        <w:spacing w:line="276" w:lineRule="auto"/>
        <w:ind w:right="108" w:firstLine="709"/>
        <w:jc w:val="both"/>
        <w:rPr>
          <w:color w:val="000000" w:themeColor="text1"/>
        </w:rPr>
      </w:pPr>
      <w:r>
        <w:rPr>
          <w:color w:val="000000" w:themeColor="text1"/>
        </w:rPr>
        <w:t xml:space="preserve">De lo anteriormente expuesto se concluye que con fundamento en el parágrafo del artículo 17 de la Ley 1454 de 2011, es posible que los esquemas asociativos de entidades territoriales señalados en la disposición, entre otros, las asociaciones de </w:t>
      </w:r>
      <w:proofErr w:type="gramStart"/>
      <w:r>
        <w:rPr>
          <w:color w:val="000000" w:themeColor="text1"/>
        </w:rPr>
        <w:t>municipios,</w:t>
      </w:r>
      <w:proofErr w:type="gramEnd"/>
      <w:r>
        <w:rPr>
          <w:color w:val="000000" w:themeColor="text1"/>
        </w:rPr>
        <w:t xml:space="preserve"> celebren convenios interadministrativos con otras entidades estatales, con estricta observancia de los requisitos establecidos en el artículo 95 de la Ley 489 de 1998. En todo caso, deben observarse las prohibiciones establecidas en el artículo 10 de la Ley 1150 de 2007 y en el artículo 92 de la Ley 1474 de 2011, los cuales limitan la modalidad de contratación directa. </w:t>
      </w:r>
    </w:p>
    <w:p w14:paraId="269D01F1" w14:textId="77777777" w:rsidR="00487D6C" w:rsidRDefault="00487D6C" w:rsidP="00487D6C">
      <w:pPr>
        <w:pStyle w:val="Textoindependiente"/>
        <w:spacing w:line="276" w:lineRule="auto"/>
        <w:ind w:right="108"/>
        <w:jc w:val="both"/>
        <w:rPr>
          <w:color w:val="000000" w:themeColor="text1"/>
        </w:rPr>
      </w:pPr>
    </w:p>
    <w:p w14:paraId="70603B37" w14:textId="77777777" w:rsidR="00487D6C" w:rsidRDefault="00487D6C" w:rsidP="00487D6C">
      <w:pPr>
        <w:pStyle w:val="Textoindependiente"/>
        <w:spacing w:after="120" w:line="276" w:lineRule="auto"/>
        <w:ind w:right="108"/>
        <w:jc w:val="both"/>
        <w:rPr>
          <w:rFonts w:eastAsia="Calibri" w:cs="Arial"/>
          <w:color w:val="000000"/>
          <w:lang w:eastAsia="es-ES"/>
        </w:rPr>
      </w:pPr>
      <w:proofErr w:type="spellStart"/>
      <w:r>
        <w:rPr>
          <w:color w:val="000000" w:themeColor="text1"/>
        </w:rPr>
        <w:t>iii</w:t>
      </w:r>
      <w:proofErr w:type="spellEnd"/>
      <w:r>
        <w:rPr>
          <w:color w:val="000000" w:themeColor="text1"/>
        </w:rPr>
        <w:t xml:space="preserve">. Respecto al </w:t>
      </w:r>
      <w:r>
        <w:rPr>
          <w:rFonts w:eastAsia="Calibri" w:cs="Arial"/>
          <w:color w:val="000000"/>
          <w:lang w:eastAsia="es-ES"/>
        </w:rPr>
        <w:t xml:space="preserve">Concepto C-492 del 6 de junio de 2025, es impreciso sostener que la interventoría es un “contrato de </w:t>
      </w:r>
      <w:r w:rsidRPr="007A4A7E">
        <w:rPr>
          <w:rFonts w:eastAsia="Calibri" w:cs="Arial"/>
          <w:color w:val="000000"/>
          <w:lang w:eastAsia="es-ES"/>
        </w:rPr>
        <w:t>prestación de servicios de evaluación de conformidad respecto de las normas o reglamentos técnicos</w:t>
      </w:r>
      <w:r>
        <w:rPr>
          <w:rFonts w:eastAsia="Calibri" w:cs="Arial"/>
          <w:color w:val="000000"/>
          <w:lang w:eastAsia="es-ES"/>
        </w:rPr>
        <w:t>” y que, por tanto, la restricción a la contratación directa de interadministrativos con asociaciones de municipios deriva del inciso segundo del literal c) del artículo 2.4 de la Ley 1150 de 2007, modificado por el artículo 92 de la Ley 1474 de 2011.</w:t>
      </w:r>
    </w:p>
    <w:p w14:paraId="36CC9475" w14:textId="77777777" w:rsidR="00487D6C" w:rsidRDefault="00487D6C" w:rsidP="00487D6C">
      <w:pPr>
        <w:pStyle w:val="Textoindependiente"/>
        <w:spacing w:after="120" w:line="276" w:lineRule="auto"/>
        <w:ind w:right="108"/>
        <w:jc w:val="both"/>
        <w:rPr>
          <w:rFonts w:eastAsia="Calibri" w:cs="Arial"/>
          <w:bCs/>
          <w:color w:val="000000" w:themeColor="text1"/>
        </w:rPr>
      </w:pPr>
      <w:r>
        <w:rPr>
          <w:rFonts w:eastAsia="Calibri" w:cs="Arial"/>
          <w:color w:val="000000"/>
          <w:lang w:eastAsia="es-ES"/>
        </w:rPr>
        <w:tab/>
      </w:r>
      <w:r w:rsidRPr="007A4A7E">
        <w:rPr>
          <w:rFonts w:eastAsia="Calibri" w:cs="Arial"/>
          <w:i/>
          <w:iCs/>
          <w:color w:val="000000"/>
          <w:lang w:eastAsia="es-ES"/>
        </w:rPr>
        <w:t>Por un lado</w:t>
      </w:r>
      <w:r>
        <w:rPr>
          <w:rFonts w:eastAsia="Calibri" w:cs="Arial"/>
          <w:color w:val="000000"/>
          <w:lang w:eastAsia="es-ES"/>
        </w:rPr>
        <w:t xml:space="preserve">, la interventoría es una actividad específica del contrato de </w:t>
      </w:r>
      <w:r>
        <w:rPr>
          <w:rFonts w:eastAsia="Calibri" w:cs="Arial"/>
          <w:color w:val="000000"/>
          <w:lang w:eastAsia="es-ES"/>
        </w:rPr>
        <w:lastRenderedPageBreak/>
        <w:t>consultoría en los términos del artículo 32.2 de la Ley 80 de 1993</w:t>
      </w:r>
      <w:r>
        <w:rPr>
          <w:rStyle w:val="Refdenotaalpie"/>
          <w:rFonts w:eastAsia="Calibri" w:cs="Arial"/>
          <w:color w:val="000000"/>
          <w:lang w:eastAsia="es-ES"/>
        </w:rPr>
        <w:footnoteReference w:id="9"/>
      </w:r>
      <w:r>
        <w:rPr>
          <w:rFonts w:eastAsia="Calibri" w:cs="Arial"/>
          <w:color w:val="000000"/>
          <w:lang w:eastAsia="es-ES"/>
        </w:rPr>
        <w:t xml:space="preserve">. </w:t>
      </w:r>
      <w:r w:rsidRPr="00D76F72">
        <w:rPr>
          <w:rFonts w:eastAsiaTheme="minorHAnsi" w:cs="Arial"/>
          <w:iCs/>
          <w:color w:val="000000" w:themeColor="text1"/>
        </w:rPr>
        <w:t xml:space="preserve">Esta definición consiste en una lista de actividades cobijadas bajo esa tipología, la cual fue tomada de la prevista en el artículo 115 del derogado Decreto </w:t>
      </w:r>
      <w:r w:rsidRPr="00D76F72">
        <w:rPr>
          <w:rFonts w:eastAsia="Calibri" w:cs="Arial"/>
          <w:color w:val="000000" w:themeColor="text1"/>
        </w:rPr>
        <w:t>Ley 222 de 1983.</w:t>
      </w:r>
      <w:r w:rsidRPr="00D76F72">
        <w:rPr>
          <w:rFonts w:eastAsiaTheme="minorHAnsi" w:cs="Arial"/>
          <w:iCs/>
          <w:color w:val="000000" w:themeColor="text1"/>
        </w:rPr>
        <w:t xml:space="preserve"> Como explica el Consejo de Estado, el contrato de consultoría está revestido de una cláusula de estricta tipicidad cerrada que condiciona de manera detallada la procedencia de dicho contrato</w:t>
      </w:r>
      <w:r w:rsidRPr="00D76F72">
        <w:rPr>
          <w:rStyle w:val="Refdenotaalpie"/>
          <w:rFonts w:cs="Arial"/>
          <w:color w:val="000000" w:themeColor="text1"/>
          <w:lang w:val="es-ES_tradnl"/>
        </w:rPr>
        <w:footnoteReference w:id="10"/>
      </w:r>
      <w:r w:rsidRPr="00D76F72">
        <w:rPr>
          <w:rFonts w:eastAsiaTheme="minorHAnsi" w:cs="Arial"/>
          <w:iCs/>
          <w:color w:val="000000" w:themeColor="text1"/>
        </w:rPr>
        <w:t xml:space="preserve">. </w:t>
      </w:r>
      <w:r w:rsidRPr="00D76F72">
        <w:rPr>
          <w:rFonts w:eastAsia="Calibri" w:cs="Arial"/>
          <w:bCs/>
          <w:color w:val="000000" w:themeColor="text1"/>
        </w:rPr>
        <w:t>Se sigue de lo anterior que el criterio distintivo entre el contrato de prestación de servicios y el de consultoría está relacionado con el alcance que la ley le confiere a este último, dadas las causales específicas previstas en el ordenamiento jurídico para acudir a esa tipología contractual</w:t>
      </w:r>
      <w:r>
        <w:rPr>
          <w:rFonts w:eastAsia="Calibri" w:cs="Arial"/>
          <w:bCs/>
          <w:color w:val="000000" w:themeColor="text1"/>
        </w:rPr>
        <w:t>.</w:t>
      </w:r>
    </w:p>
    <w:p w14:paraId="6168207F" w14:textId="77777777" w:rsidR="00487D6C" w:rsidRDefault="00487D6C" w:rsidP="00487D6C">
      <w:pPr>
        <w:pStyle w:val="Textoindependiente"/>
        <w:spacing w:after="120" w:line="276" w:lineRule="auto"/>
        <w:ind w:right="108"/>
        <w:jc w:val="both"/>
        <w:rPr>
          <w:rFonts w:eastAsia="Calibri" w:cs="Arial"/>
          <w:bCs/>
          <w:color w:val="000000" w:themeColor="text1"/>
        </w:rPr>
      </w:pPr>
      <w:r>
        <w:rPr>
          <w:rFonts w:eastAsia="Calibri" w:cs="Arial"/>
          <w:bCs/>
          <w:color w:val="000000" w:themeColor="text1"/>
        </w:rPr>
        <w:tab/>
        <w:t xml:space="preserve">En consecuencia, dado que la interventoría hace parte del contrato de consultoría, no puede equipararse con un contrato de prestación de servicios. A ello se refiere el inciso segundo del artículo </w:t>
      </w:r>
      <w:r w:rsidRPr="00D76F72">
        <w:rPr>
          <w:rFonts w:eastAsia="Calibri" w:cs="Arial"/>
          <w:bCs/>
          <w:color w:val="000000" w:themeColor="text1"/>
        </w:rPr>
        <w:t>2.2.1.2.1.4.9</w:t>
      </w:r>
      <w:r>
        <w:rPr>
          <w:rFonts w:eastAsia="Calibri" w:cs="Arial"/>
          <w:bCs/>
          <w:color w:val="000000" w:themeColor="text1"/>
        </w:rPr>
        <w:t xml:space="preserve"> del Decreto 1082 de Decreto 1082 de 2015 cuando dispone que “</w:t>
      </w:r>
      <w:r w:rsidRPr="00D76F72">
        <w:rPr>
          <w:rFonts w:eastAsia="Calibri" w:cs="Arial"/>
          <w:bCs/>
          <w:color w:val="000000" w:themeColor="text1"/>
        </w:rPr>
        <w:t xml:space="preserve">Los servicios profesionales y de apoyo a la gestión corresponden a aquellos de naturaleza intelectual </w:t>
      </w:r>
      <w:r w:rsidRPr="00D76F72">
        <w:rPr>
          <w:rFonts w:eastAsia="Calibri" w:cs="Arial"/>
          <w:bCs/>
          <w:i/>
          <w:iCs/>
          <w:color w:val="000000" w:themeColor="text1"/>
        </w:rPr>
        <w:t>diferentes a los de consultoría</w:t>
      </w:r>
      <w:r w:rsidRPr="00D76F72">
        <w:rPr>
          <w:rFonts w:eastAsia="Calibri" w:cs="Arial"/>
          <w:bCs/>
          <w:color w:val="000000" w:themeColor="text1"/>
        </w:rPr>
        <w:t xml:space="preserve"> que se derivan del cumplimiento de las funciones de la Entidad Estatal, así como los relacionados con actividades operativas, logísticas, o asistenciales</w:t>
      </w:r>
      <w:r>
        <w:rPr>
          <w:rFonts w:eastAsia="Calibri" w:cs="Arial"/>
          <w:bCs/>
          <w:color w:val="000000" w:themeColor="text1"/>
        </w:rPr>
        <w:t>” (Énfasis fuera de texto)</w:t>
      </w:r>
      <w:r w:rsidRPr="00D76F72">
        <w:rPr>
          <w:rFonts w:eastAsia="Calibri" w:cs="Arial"/>
          <w:bCs/>
          <w:color w:val="000000" w:themeColor="text1"/>
        </w:rPr>
        <w:t xml:space="preserve">. </w:t>
      </w:r>
    </w:p>
    <w:p w14:paraId="72B399BA" w14:textId="77777777" w:rsidR="00487D6C" w:rsidRDefault="00487D6C" w:rsidP="00487D6C">
      <w:pPr>
        <w:pStyle w:val="Textoindependiente"/>
        <w:spacing w:after="120" w:line="276" w:lineRule="auto"/>
        <w:ind w:right="108" w:firstLine="708"/>
        <w:jc w:val="both"/>
        <w:rPr>
          <w:rFonts w:eastAsia="Calibri" w:cs="Arial"/>
          <w:color w:val="000000"/>
          <w:lang w:eastAsia="es-ES"/>
        </w:rPr>
      </w:pPr>
      <w:r>
        <w:rPr>
          <w:rFonts w:eastAsia="Calibri" w:cs="Arial"/>
          <w:bCs/>
          <w:color w:val="000000" w:themeColor="text1"/>
        </w:rPr>
        <w:t>Asimismo, la interventoría tampoco consiste en la “</w:t>
      </w:r>
      <w:r w:rsidRPr="007A4A7E">
        <w:rPr>
          <w:rFonts w:eastAsia="Calibri" w:cs="Arial"/>
          <w:color w:val="000000"/>
          <w:lang w:eastAsia="es-ES"/>
        </w:rPr>
        <w:t>evaluación de conformidad respecto de las normas o reglamentos técnicos</w:t>
      </w:r>
      <w:r>
        <w:rPr>
          <w:rFonts w:eastAsia="Calibri" w:cs="Arial"/>
          <w:color w:val="000000"/>
          <w:lang w:eastAsia="es-ES"/>
        </w:rPr>
        <w:t>”. Por el contrario, el inciso tercero del artículo 83 de la Ley 1474 de 2011 dispone que “</w:t>
      </w:r>
      <w:r w:rsidRPr="00AB0350">
        <w:rPr>
          <w:rFonts w:eastAsia="Calibri" w:cs="Arial"/>
          <w:color w:val="000000"/>
          <w:lang w:eastAsia="es-ES"/>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AB0350">
        <w:rPr>
          <w:rFonts w:eastAsia="Calibri" w:cs="Arial"/>
          <w:color w:val="000000"/>
          <w:lang w:eastAsia="es-ES"/>
        </w:rPr>
        <w:t>del mismo</w:t>
      </w:r>
      <w:proofErr w:type="gramEnd"/>
      <w:r w:rsidRPr="00AB0350">
        <w:rPr>
          <w:rFonts w:eastAsia="Calibri" w:cs="Arial"/>
          <w:color w:val="000000"/>
          <w:lang w:eastAsia="es-ES"/>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r>
        <w:rPr>
          <w:rFonts w:eastAsia="Calibri" w:cs="Arial"/>
          <w:color w:val="000000"/>
          <w:lang w:eastAsia="es-ES"/>
        </w:rPr>
        <w:t>”.</w:t>
      </w:r>
    </w:p>
    <w:p w14:paraId="6F1D5C7E" w14:textId="77777777" w:rsidR="00487D6C" w:rsidRDefault="00487D6C" w:rsidP="00487D6C">
      <w:pPr>
        <w:pStyle w:val="Textoindependiente"/>
        <w:spacing w:after="120" w:line="276" w:lineRule="auto"/>
        <w:ind w:right="108" w:firstLine="708"/>
        <w:jc w:val="both"/>
        <w:rPr>
          <w:rFonts w:eastAsia="Calibri" w:cs="Arial"/>
          <w:color w:val="000000"/>
          <w:lang w:eastAsia="es-ES"/>
        </w:rPr>
      </w:pPr>
      <w:r>
        <w:rPr>
          <w:rFonts w:eastAsia="Calibri" w:cs="Arial"/>
          <w:color w:val="000000"/>
          <w:lang w:eastAsia="es-ES"/>
        </w:rPr>
        <w:lastRenderedPageBreak/>
        <w:t xml:space="preserve">La interventoría implica el seguimiento de las obras durante la ejecución del contrato, por lo que es distinto a la evaluación de conformidad. En desarrollo del artículo 73 de la Ley 1480 de 2011, el numeral 33 del artículo </w:t>
      </w:r>
      <w:r w:rsidRPr="00BD77E3">
        <w:rPr>
          <w:rFonts w:eastAsia="Calibri" w:cs="Arial"/>
          <w:color w:val="000000"/>
          <w:lang w:eastAsia="es-ES"/>
        </w:rPr>
        <w:t>2.2.1.7.2.1</w:t>
      </w:r>
      <w:r>
        <w:rPr>
          <w:rFonts w:eastAsia="Calibri" w:cs="Arial"/>
          <w:color w:val="000000"/>
          <w:lang w:eastAsia="es-ES"/>
        </w:rPr>
        <w:t xml:space="preserve"> del Decreto 1074 de 2015 define esta última como la “</w:t>
      </w:r>
      <w:r w:rsidRPr="00BD77E3">
        <w:rPr>
          <w:rFonts w:eastAsia="Calibri" w:cs="Arial"/>
          <w:color w:val="000000"/>
          <w:lang w:eastAsia="es-ES"/>
        </w:rPr>
        <w:t>Demostración de que se cumplen los requisitos especificados relativos a un producto, proceso, sistema, persona u organismo. El campo de la evaluación de la conformidad incluye actividades tales como el ensayo/prueba, la inspección y la certificación, así como la acreditación de organismos de evaluación de la conformidad</w:t>
      </w:r>
      <w:r>
        <w:rPr>
          <w:rFonts w:eastAsia="Calibri" w:cs="Arial"/>
          <w:color w:val="000000"/>
          <w:lang w:eastAsia="es-ES"/>
        </w:rPr>
        <w:t>”</w:t>
      </w:r>
      <w:r>
        <w:rPr>
          <w:rStyle w:val="Refdenotaalpie"/>
          <w:rFonts w:eastAsia="Calibri" w:cs="Arial"/>
          <w:color w:val="000000"/>
          <w:lang w:eastAsia="es-ES"/>
        </w:rPr>
        <w:footnoteReference w:id="11"/>
      </w:r>
      <w:r w:rsidRPr="00BD77E3">
        <w:rPr>
          <w:rFonts w:eastAsia="Calibri" w:cs="Arial"/>
          <w:color w:val="000000"/>
          <w:lang w:eastAsia="es-ES"/>
        </w:rPr>
        <w:t>.</w:t>
      </w:r>
      <w:r>
        <w:rPr>
          <w:rFonts w:eastAsia="Calibri" w:cs="Arial"/>
          <w:color w:val="000000"/>
          <w:lang w:eastAsia="es-ES"/>
        </w:rPr>
        <w:t xml:space="preserve"> En este contexto, dicha evaluación concierne a los organismos descritos en el artículo </w:t>
      </w:r>
      <w:r w:rsidRPr="008C5F66">
        <w:rPr>
          <w:rFonts w:eastAsia="Calibri" w:cs="Arial"/>
          <w:color w:val="000000"/>
          <w:lang w:eastAsia="es-ES"/>
        </w:rPr>
        <w:t>2.2.1.7.8.1</w:t>
      </w:r>
      <w:r>
        <w:rPr>
          <w:rFonts w:eastAsia="Calibri" w:cs="Arial"/>
          <w:color w:val="000000"/>
          <w:lang w:eastAsia="es-ES"/>
        </w:rPr>
        <w:t xml:space="preserve"> </w:t>
      </w:r>
      <w:r w:rsidRPr="008C5F66">
        <w:rPr>
          <w:rFonts w:eastAsia="Calibri" w:cs="Arial"/>
          <w:i/>
          <w:iCs/>
          <w:color w:val="000000"/>
          <w:lang w:eastAsia="es-ES"/>
        </w:rPr>
        <w:t>ibidem</w:t>
      </w:r>
      <w:r>
        <w:rPr>
          <w:rFonts w:eastAsia="Calibri" w:cs="Arial"/>
          <w:color w:val="000000"/>
          <w:lang w:eastAsia="es-ES"/>
        </w:rPr>
        <w:t>, por lo dichas actividades no incumben a la interventoría</w:t>
      </w:r>
      <w:r>
        <w:rPr>
          <w:rStyle w:val="Refdenotaalpie"/>
          <w:rFonts w:eastAsia="Calibri" w:cs="Arial"/>
          <w:color w:val="000000"/>
          <w:lang w:eastAsia="es-ES"/>
        </w:rPr>
        <w:footnoteReference w:id="12"/>
      </w:r>
      <w:r>
        <w:rPr>
          <w:rFonts w:eastAsia="Calibri" w:cs="Arial"/>
          <w:color w:val="000000"/>
          <w:lang w:eastAsia="es-ES"/>
        </w:rPr>
        <w:t xml:space="preserve">. </w:t>
      </w:r>
    </w:p>
    <w:p w14:paraId="54724B94" w14:textId="77777777" w:rsidR="00487D6C" w:rsidRDefault="00487D6C" w:rsidP="00487D6C">
      <w:pPr>
        <w:pStyle w:val="Textoindependiente"/>
        <w:spacing w:after="120" w:line="276" w:lineRule="auto"/>
        <w:ind w:right="108" w:firstLine="708"/>
        <w:jc w:val="both"/>
        <w:rPr>
          <w:rFonts w:eastAsia="Calibri" w:cs="Arial"/>
          <w:color w:val="000000"/>
          <w:lang w:eastAsia="es-ES"/>
        </w:rPr>
      </w:pPr>
      <w:r w:rsidRPr="00727823">
        <w:rPr>
          <w:rFonts w:eastAsia="Calibri" w:cs="Arial"/>
          <w:i/>
          <w:iCs/>
          <w:color w:val="000000"/>
          <w:lang w:eastAsia="es-ES"/>
        </w:rPr>
        <w:t>Por otra parte</w:t>
      </w:r>
      <w:r>
        <w:rPr>
          <w:rFonts w:eastAsia="Calibri" w:cs="Arial"/>
          <w:color w:val="000000"/>
          <w:lang w:eastAsia="es-ES"/>
        </w:rPr>
        <w:t xml:space="preserve">, si bien la interventoría es distinta a los “contratos de </w:t>
      </w:r>
      <w:r w:rsidRPr="007A4A7E">
        <w:rPr>
          <w:rFonts w:eastAsia="Calibri" w:cs="Arial"/>
          <w:color w:val="000000"/>
          <w:lang w:eastAsia="es-ES"/>
        </w:rPr>
        <w:t>prestación de servicios de evaluación de conformidad respecto de las normas o reglamentos técnicos</w:t>
      </w:r>
      <w:r>
        <w:rPr>
          <w:rFonts w:eastAsia="Calibri" w:cs="Arial"/>
          <w:color w:val="000000"/>
          <w:lang w:eastAsia="es-ES"/>
        </w:rPr>
        <w:t xml:space="preserve">”, de esta conclusión no se deriva que la contratación directa de interadministrativos con asociaciones de municipios esté permitida en el caso planteado en la consulta del radicado </w:t>
      </w:r>
      <w:r w:rsidRPr="00596510">
        <w:rPr>
          <w:rFonts w:eastAsia="Calibri" w:cs="Arial"/>
          <w:color w:val="000000"/>
          <w:lang w:eastAsia="es-ES"/>
        </w:rPr>
        <w:t>P20250423003825</w:t>
      </w:r>
      <w:r>
        <w:rPr>
          <w:rFonts w:eastAsia="Calibri" w:cs="Arial"/>
          <w:color w:val="000000"/>
          <w:lang w:eastAsia="es-ES"/>
        </w:rPr>
        <w:t xml:space="preserve"> del 23 de abril de 2024. Esto en la medida que, fuera de lo regulado en el literal c) del artículo 2.4 de la Ley 1150 de 2007, el Concepto C-492 del 6 de junio de 2025 debía tener en cuenta el mandato de procesos competitivos consagrado en el artículo 10 </w:t>
      </w:r>
      <w:r w:rsidRPr="00E31394">
        <w:rPr>
          <w:rFonts w:eastAsia="Calibri" w:cs="Arial"/>
          <w:i/>
          <w:iCs/>
          <w:color w:val="000000"/>
          <w:lang w:eastAsia="es-ES"/>
        </w:rPr>
        <w:t>ibidem</w:t>
      </w:r>
      <w:r w:rsidRPr="00E31394">
        <w:rPr>
          <w:rFonts w:eastAsia="Calibri" w:cs="Arial"/>
          <w:color w:val="000000"/>
          <w:lang w:eastAsia="es-ES"/>
        </w:rPr>
        <w:t>.</w:t>
      </w:r>
    </w:p>
    <w:p w14:paraId="3FCA45B5" w14:textId="77777777" w:rsidR="00487D6C" w:rsidRDefault="00487D6C" w:rsidP="00487D6C">
      <w:pPr>
        <w:pStyle w:val="Textoindependiente"/>
        <w:spacing w:line="276" w:lineRule="auto"/>
        <w:ind w:right="108" w:firstLine="708"/>
        <w:jc w:val="both"/>
        <w:rPr>
          <w:rFonts w:eastAsia="Calibri" w:cs="Arial"/>
          <w:color w:val="000000"/>
          <w:lang w:eastAsia="es-ES"/>
        </w:rPr>
      </w:pPr>
      <w:r>
        <w:rPr>
          <w:rFonts w:eastAsia="Calibri" w:cs="Arial"/>
          <w:color w:val="000000"/>
          <w:lang w:eastAsia="es-ES"/>
        </w:rPr>
        <w:t xml:space="preserve">La norma citada dispone expresamente que “[…] </w:t>
      </w:r>
      <w:r w:rsidRPr="00FC1917">
        <w:rPr>
          <w:rFonts w:eastAsia="Calibri" w:cs="Arial"/>
          <w:color w:val="000000"/>
          <w:lang w:eastAsia="es-ES"/>
        </w:rPr>
        <w:t xml:space="preserve">La celebración de contratos de entidades estatales con asociaciones o cooperativas de entidades territoriales y en general con entes solidarios, se someterá a los procesos de </w:t>
      </w:r>
      <w:r w:rsidRPr="00FC1917">
        <w:rPr>
          <w:rFonts w:eastAsia="Calibri" w:cs="Arial"/>
          <w:color w:val="000000"/>
          <w:lang w:eastAsia="es-ES"/>
        </w:rPr>
        <w:lastRenderedPageBreak/>
        <w:t>selección de que trata la presente ley, en los que participarán en igualdad de condiciones con los particulares</w:t>
      </w:r>
      <w:r>
        <w:rPr>
          <w:rFonts w:eastAsia="Calibri" w:cs="Arial"/>
          <w:color w:val="000000"/>
          <w:lang w:eastAsia="es-ES"/>
        </w:rPr>
        <w:t xml:space="preserve">”. Es decir, en los casos no cubiertos por el literal c) del artículo 2.4 de la Ley 1150 de 2007, rige el artículo 10 de la misma ley, el cual establece la necesidad de pluralidad de oferentes y excluye la contratación directa. Esta última norma no ha sido objeto de modificación o derogación, por lo que todavía sigue vigente.  </w:t>
      </w:r>
    </w:p>
    <w:p w14:paraId="4DE0FB88" w14:textId="77777777" w:rsidR="00487D6C" w:rsidRPr="00D76F72" w:rsidRDefault="00487D6C" w:rsidP="00487D6C">
      <w:pPr>
        <w:pStyle w:val="Textoindependiente"/>
        <w:spacing w:line="276" w:lineRule="auto"/>
        <w:ind w:right="108" w:firstLine="708"/>
        <w:jc w:val="both"/>
        <w:rPr>
          <w:rFonts w:eastAsia="Calibri" w:cs="Arial"/>
          <w:bCs/>
          <w:color w:val="000000" w:themeColor="text1"/>
        </w:rPr>
      </w:pPr>
    </w:p>
    <w:p w14:paraId="4B1E74E2" w14:textId="77777777" w:rsidR="00487D6C" w:rsidRPr="006B5CFC" w:rsidRDefault="00487D6C" w:rsidP="00487D6C">
      <w:pPr>
        <w:pStyle w:val="Textoindependiente"/>
        <w:spacing w:after="120" w:line="276" w:lineRule="auto"/>
        <w:ind w:right="108"/>
        <w:jc w:val="both"/>
        <w:rPr>
          <w:color w:val="000000" w:themeColor="text1"/>
        </w:rPr>
      </w:pPr>
      <w:proofErr w:type="spellStart"/>
      <w:r>
        <w:rPr>
          <w:rFonts w:eastAsia="Calibri" w:cs="Arial"/>
          <w:bCs/>
          <w:color w:val="000000" w:themeColor="text1"/>
        </w:rPr>
        <w:t>iv</w:t>
      </w:r>
      <w:proofErr w:type="spellEnd"/>
      <w:r>
        <w:rPr>
          <w:rFonts w:eastAsia="Calibri" w:cs="Arial"/>
          <w:bCs/>
          <w:color w:val="000000" w:themeColor="text1"/>
        </w:rPr>
        <w:t xml:space="preserve">. En estas condiciones, la Agencia </w:t>
      </w:r>
      <w:r>
        <w:rPr>
          <w:rFonts w:eastAsia="Calibri" w:cs="Arial"/>
          <w:bCs/>
          <w:lang w:val="es-ES_tradnl"/>
        </w:rPr>
        <w:t xml:space="preserve">reconsidera la postura del </w:t>
      </w:r>
      <w:r>
        <w:rPr>
          <w:rFonts w:eastAsia="Calibri" w:cs="Arial"/>
          <w:color w:val="000000"/>
          <w:lang w:eastAsia="es-ES"/>
        </w:rPr>
        <w:t>Concepto C-492 del 6 de junio de 2025</w:t>
      </w:r>
      <w:r>
        <w:rPr>
          <w:rFonts w:eastAsia="Calibri" w:cs="Arial"/>
          <w:bCs/>
          <w:color w:val="000000" w:themeColor="text1"/>
        </w:rPr>
        <w:t xml:space="preserve"> para efectos del deber de aplicación uniforme de que trata el artículo 10 de Ley 1437 de 2011. </w:t>
      </w:r>
      <w:r w:rsidRPr="00E853DE">
        <w:rPr>
          <w:rFonts w:eastAsia="Calibri"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A76F231" w14:textId="77777777" w:rsidR="00487D6C" w:rsidRPr="00185EE9" w:rsidRDefault="00487D6C" w:rsidP="00487D6C">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703637CF" w14:textId="77777777" w:rsidR="00487D6C" w:rsidRPr="008415A2" w:rsidRDefault="00487D6C" w:rsidP="00487D6C">
      <w:pPr>
        <w:spacing w:after="0" w:line="276" w:lineRule="auto"/>
        <w:jc w:val="both"/>
        <w:rPr>
          <w:rFonts w:ascii="Verdana" w:hAnsi="Verdana"/>
        </w:rPr>
      </w:pPr>
      <w:r>
        <w:rPr>
          <w:rFonts w:ascii="Verdana" w:hAnsi="Verdana"/>
        </w:rPr>
        <w:t xml:space="preserve"> </w:t>
      </w:r>
    </w:p>
    <w:p w14:paraId="6B08039F" w14:textId="77777777" w:rsidR="00487D6C" w:rsidRPr="00593A5F" w:rsidRDefault="00487D6C" w:rsidP="00487D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D7FDB88" w14:textId="77777777" w:rsidR="00487D6C" w:rsidRPr="00593A5F" w:rsidRDefault="00487D6C" w:rsidP="00487D6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7D6C" w:rsidRPr="002407CE" w14:paraId="11C55A9C" w14:textId="77777777" w:rsidTr="009111DC">
        <w:trPr>
          <w:trHeight w:val="870"/>
          <w:jc w:val="center"/>
        </w:trPr>
        <w:tc>
          <w:tcPr>
            <w:tcW w:w="8647" w:type="dxa"/>
          </w:tcPr>
          <w:p w14:paraId="1D15B21F"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 y 32.</w:t>
            </w:r>
          </w:p>
          <w:p w14:paraId="645F0E33"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Ley 136 de 1994, artículos 148, 149 y 150. </w:t>
            </w:r>
          </w:p>
          <w:p w14:paraId="2DB0AA8C"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489 de 1998, artículo 95.</w:t>
            </w:r>
          </w:p>
          <w:p w14:paraId="6D8B858A"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y 10.</w:t>
            </w:r>
          </w:p>
          <w:p w14:paraId="1C8EE051"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1437 de 2011, artículos 10 y 28.</w:t>
            </w:r>
          </w:p>
          <w:p w14:paraId="30404D88"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1454 de 2011, artículo 17.</w:t>
            </w:r>
          </w:p>
          <w:p w14:paraId="2DEB2689"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artículos 83 y 92.</w:t>
            </w:r>
          </w:p>
          <w:p w14:paraId="31321E3A"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1480 de 2011, artículo 73.</w:t>
            </w:r>
          </w:p>
          <w:p w14:paraId="6ABE6358" w14:textId="77777777" w:rsidR="00487D6C" w:rsidRDefault="00487D6C" w:rsidP="009111DC">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1074 de 2015, artículos </w:t>
            </w:r>
            <w:r w:rsidRPr="00E2413F">
              <w:rPr>
                <w:rFonts w:ascii="Verdana" w:hAnsi="Verdana" w:cs="Arial"/>
              </w:rPr>
              <w:t>2.2.1.7.2.1</w:t>
            </w:r>
            <w:r>
              <w:rPr>
                <w:rFonts w:ascii="Verdana" w:hAnsi="Verdana" w:cs="Arial"/>
              </w:rPr>
              <w:t xml:space="preserve"> y </w:t>
            </w:r>
            <w:r w:rsidRPr="00E2413F">
              <w:rPr>
                <w:rFonts w:ascii="Verdana" w:hAnsi="Verdana" w:cs="Arial"/>
              </w:rPr>
              <w:t>2.2.1.7.8.1</w:t>
            </w:r>
            <w:r>
              <w:rPr>
                <w:rFonts w:ascii="Verdana" w:hAnsi="Verdana" w:cs="Arial"/>
              </w:rPr>
              <w:t>.</w:t>
            </w:r>
          </w:p>
          <w:p w14:paraId="24F623BA" w14:textId="77777777" w:rsidR="00487D6C" w:rsidRPr="00E2413F" w:rsidRDefault="00487D6C" w:rsidP="009111DC">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 </w:t>
            </w:r>
            <w:r w:rsidRPr="007A758C">
              <w:rPr>
                <w:rFonts w:ascii="Verdana" w:hAnsi="Verdana" w:cs="Arial"/>
              </w:rPr>
              <w:t>2.2.1.2.1.4.9</w:t>
            </w:r>
            <w:r>
              <w:rPr>
                <w:rFonts w:ascii="Verdana" w:hAnsi="Verdana" w:cs="Arial"/>
              </w:rPr>
              <w:t xml:space="preserve">. </w:t>
            </w:r>
          </w:p>
        </w:tc>
      </w:tr>
    </w:tbl>
    <w:p w14:paraId="5B31C373" w14:textId="77777777" w:rsidR="00487D6C" w:rsidRPr="002407CE" w:rsidRDefault="00487D6C" w:rsidP="00487D6C">
      <w:pPr>
        <w:widowControl w:val="0"/>
        <w:autoSpaceDE w:val="0"/>
        <w:autoSpaceDN w:val="0"/>
        <w:spacing w:after="0" w:line="276" w:lineRule="auto"/>
        <w:jc w:val="both"/>
        <w:rPr>
          <w:rFonts w:ascii="Verdana" w:hAnsi="Verdana" w:cs="Arial"/>
        </w:rPr>
      </w:pPr>
    </w:p>
    <w:p w14:paraId="1F23F622" w14:textId="77777777" w:rsidR="00487D6C" w:rsidRPr="00593A5F" w:rsidRDefault="00487D6C" w:rsidP="00487D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1A64AA5" w14:textId="77777777" w:rsidR="00487D6C" w:rsidRPr="00593A5F" w:rsidRDefault="00487D6C" w:rsidP="00487D6C">
      <w:pPr>
        <w:widowControl w:val="0"/>
        <w:autoSpaceDE w:val="0"/>
        <w:autoSpaceDN w:val="0"/>
        <w:spacing w:after="0" w:line="276" w:lineRule="auto"/>
        <w:jc w:val="both"/>
        <w:rPr>
          <w:rFonts w:ascii="Verdana" w:hAnsi="Verdana" w:cs="Arial"/>
        </w:rPr>
      </w:pPr>
    </w:p>
    <w:p w14:paraId="238A830B" w14:textId="77777777" w:rsidR="00487D6C" w:rsidRPr="00ED0098" w:rsidRDefault="00487D6C" w:rsidP="00487D6C">
      <w:pPr>
        <w:widowControl w:val="0"/>
        <w:autoSpaceDE w:val="0"/>
        <w:autoSpaceDN w:val="0"/>
        <w:spacing w:after="0" w:line="276" w:lineRule="auto"/>
        <w:jc w:val="both"/>
        <w:rPr>
          <w:rStyle w:val="normaltextrun"/>
          <w:rFonts w:ascii="Verdana" w:hAnsi="Verdana" w:cs="Arial"/>
          <w:shd w:val="clear" w:color="auto" w:fill="FFFFFF"/>
        </w:rPr>
      </w:pPr>
      <w:r w:rsidRPr="00326117">
        <w:rPr>
          <w:rFonts w:ascii="Verdana" w:hAnsi="Verdana" w:cs="Arial"/>
          <w:shd w:val="clear" w:color="auto" w:fill="FFFFFF"/>
        </w:rPr>
        <w:t xml:space="preserve">Esta Subdirección </w:t>
      </w:r>
      <w:r w:rsidRPr="00436F4E">
        <w:rPr>
          <w:rFonts w:ascii="Verdana" w:hAnsi="Verdana" w:cs="Arial"/>
          <w:shd w:val="clear" w:color="auto" w:fill="FFFFFF"/>
        </w:rPr>
        <w:t>se ha pronunciado sobre los esquemas asociativos de entidades territoriales y la celebración de convenios y contratos interadministrativos</w:t>
      </w:r>
      <w:r w:rsidRPr="00326117">
        <w:rPr>
          <w:rFonts w:ascii="Verdana" w:hAnsi="Verdana" w:cs="Arial"/>
          <w:shd w:val="clear" w:color="auto" w:fill="FFFFFF"/>
        </w:rPr>
        <w:t xml:space="preserve"> en los </w:t>
      </w:r>
      <w:r>
        <w:rPr>
          <w:rFonts w:ascii="Verdana" w:hAnsi="Verdana" w:cs="Arial"/>
          <w:shd w:val="clear" w:color="auto" w:fill="FFFFFF"/>
        </w:rPr>
        <w:t>C</w:t>
      </w:r>
      <w:r w:rsidRPr="00326117">
        <w:rPr>
          <w:rFonts w:ascii="Verdana" w:hAnsi="Verdana" w:cs="Arial"/>
          <w:shd w:val="clear" w:color="auto" w:fill="FFFFFF"/>
        </w:rPr>
        <w:t>onceptos</w:t>
      </w:r>
      <w:r>
        <w:rPr>
          <w:rFonts w:ascii="Verdana" w:hAnsi="Verdana" w:cs="Arial"/>
          <w:shd w:val="clear" w:color="auto" w:fill="FFFFFF"/>
        </w:rPr>
        <w:t xml:space="preserve"> </w:t>
      </w:r>
      <w:r w:rsidRPr="00436F4E">
        <w:rPr>
          <w:rFonts w:ascii="Verdana" w:hAnsi="Verdana" w:cs="Arial"/>
          <w:shd w:val="clear" w:color="auto" w:fill="FFFFFF"/>
        </w:rPr>
        <w:t>2201913000005444 del 30 de julio de 2019, 2201913000005649 del 8 de agosto de 2019, 4201912000007676 del 20 de diciembre de 2019, C-059 del 25 de febrero de 2020, C-659 del 10 de noviembre de 2020, C-788 del 21 de enero de 2021, C-054 del 10 de marzo de 2021, C-116 del 30 de marzo de 2021, C-149 de 8 de abril de 2021, C-173 del 16 de abril de 2021, C-214 del 13 de mayo de 2021, C-284 del 18 de junio de 2021, C-347 del 23 de julio de 2021, C-664 del 30 de agosto de 2021, C-554 del 6 de octubre de 2021, C-249 del 16 de junio de 2022, C-033 del 27 de febrero de 2023, C-285 del 4 de julio de 2023, C-379 del 29 de octubre de 2023, C-1044 del 11 de febrero de 2025 y C</w:t>
      </w:r>
      <w:r>
        <w:rPr>
          <w:rFonts w:ascii="Verdana" w:hAnsi="Verdana" w:cs="Arial"/>
          <w:shd w:val="clear" w:color="auto" w:fill="FFFFFF"/>
        </w:rPr>
        <w:t>-</w:t>
      </w:r>
      <w:r w:rsidRPr="00436F4E">
        <w:rPr>
          <w:rFonts w:ascii="Verdana" w:hAnsi="Verdana" w:cs="Arial"/>
          <w:shd w:val="clear" w:color="auto" w:fill="FFFFFF"/>
        </w:rPr>
        <w:t>442 del 9 de mayo de 2025</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4"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13D21471" w14:textId="77777777" w:rsidR="00487D6C" w:rsidRPr="00096788" w:rsidRDefault="00487D6C" w:rsidP="00487D6C">
      <w:pPr>
        <w:widowControl w:val="0"/>
        <w:autoSpaceDE w:val="0"/>
        <w:autoSpaceDN w:val="0"/>
        <w:spacing w:after="0" w:line="276" w:lineRule="auto"/>
        <w:jc w:val="both"/>
        <w:rPr>
          <w:rFonts w:ascii="Verdana" w:hAnsi="Verdana" w:cs="Arial"/>
          <w:color w:val="000000" w:themeColor="text1"/>
          <w:shd w:val="clear" w:color="auto" w:fill="FFFFFF"/>
        </w:rPr>
      </w:pPr>
    </w:p>
    <w:p w14:paraId="7D66E58D" w14:textId="5AB34A03" w:rsidR="00487D6C" w:rsidRPr="001205D1" w:rsidRDefault="00487D6C" w:rsidP="00487D6C">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 xml:space="preserve">Guía de lineamientos de transparencia y selección </w:t>
        </w:r>
        <w:r w:rsidRPr="00032009">
          <w:rPr>
            <w:rStyle w:val="Hipervnculo"/>
            <w:rFonts w:ascii="Verdana" w:hAnsi="Verdana"/>
          </w:rPr>
          <w:lastRenderedPageBreak/>
          <w:t>objetiva para el departamento de La Guajira – Objetivo sexto constitucional de la Sentencia T-302 del 2017</w:t>
        </w:r>
      </w:hyperlink>
      <w:r>
        <w:rPr>
          <w:rFonts w:ascii="Verdana" w:hAnsi="Verdana"/>
          <w:color w:val="000000"/>
          <w:u w:val="single"/>
        </w:rPr>
        <w:t>.</w:t>
      </w:r>
    </w:p>
    <w:p w14:paraId="6F813C65" w14:textId="77777777" w:rsidR="00487D6C" w:rsidRPr="009C4035" w:rsidRDefault="00487D6C" w:rsidP="00487D6C">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4BF6D75E" w14:textId="77777777" w:rsidR="00487D6C" w:rsidRPr="00593A5F" w:rsidRDefault="00487D6C" w:rsidP="00487D6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7B1018C" w14:textId="77777777" w:rsidR="00487D6C" w:rsidRPr="00593A5F" w:rsidRDefault="00487D6C" w:rsidP="00487D6C">
      <w:pPr>
        <w:widowControl w:val="0"/>
        <w:autoSpaceDE w:val="0"/>
        <w:autoSpaceDN w:val="0"/>
        <w:spacing w:after="0" w:line="276" w:lineRule="auto"/>
        <w:jc w:val="both"/>
        <w:rPr>
          <w:rFonts w:ascii="Verdana" w:hAnsi="Verdana" w:cs="Arial"/>
        </w:rPr>
      </w:pPr>
    </w:p>
    <w:p w14:paraId="3C952DE1" w14:textId="77777777" w:rsidR="00487D6C" w:rsidRPr="00593A5F" w:rsidRDefault="00487D6C" w:rsidP="00487D6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20DD84C" w14:textId="77717800" w:rsidR="00487D6C" w:rsidRPr="00593A5F" w:rsidRDefault="00E45BAD" w:rsidP="00487D6C">
      <w:pPr>
        <w:spacing w:line="276" w:lineRule="auto"/>
        <w:jc w:val="center"/>
        <w:rPr>
          <w:rFonts w:ascii="Verdana" w:hAnsi="Verdana" w:cs="Arial"/>
          <w:color w:val="000000"/>
          <w:lang w:val="es-ES_tradnl" w:eastAsia="es-CO"/>
        </w:rPr>
      </w:pPr>
      <w:r>
        <w:rPr>
          <w:noProof/>
        </w:rPr>
        <w:drawing>
          <wp:inline distT="0" distB="0" distL="0" distR="0" wp14:anchorId="57158552" wp14:editId="6FA8753A">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87D6C" w:rsidRPr="00593A5F" w14:paraId="5245177D" w14:textId="77777777" w:rsidTr="009111DC">
        <w:trPr>
          <w:trHeight w:val="315"/>
        </w:trPr>
        <w:tc>
          <w:tcPr>
            <w:tcW w:w="893" w:type="dxa"/>
            <w:vAlign w:val="center"/>
            <w:hideMark/>
          </w:tcPr>
          <w:p w14:paraId="282FA0FF" w14:textId="77777777" w:rsidR="00487D6C" w:rsidRPr="003751C7" w:rsidRDefault="00487D6C" w:rsidP="009111DC">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64011C1" w14:textId="77777777" w:rsidR="00487D6C" w:rsidRPr="00254A7A" w:rsidRDefault="00487D6C" w:rsidP="009111DC">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22F5FF05" w14:textId="77777777" w:rsidR="00487D6C" w:rsidRPr="00254A7A" w:rsidRDefault="00487D6C" w:rsidP="009111DC">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487D6C" w:rsidRPr="00593A5F" w14:paraId="77A124D4" w14:textId="77777777" w:rsidTr="009111DC">
        <w:trPr>
          <w:trHeight w:val="330"/>
        </w:trPr>
        <w:tc>
          <w:tcPr>
            <w:tcW w:w="893" w:type="dxa"/>
            <w:vAlign w:val="center"/>
            <w:hideMark/>
          </w:tcPr>
          <w:p w14:paraId="3FA30AD9" w14:textId="77777777" w:rsidR="00487D6C" w:rsidRPr="003751C7" w:rsidRDefault="00487D6C" w:rsidP="009111DC">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CE40B02" w14:textId="77777777" w:rsidR="00487D6C" w:rsidRPr="001B6B73" w:rsidRDefault="00487D6C" w:rsidP="009111DC">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03874650" w14:textId="77777777" w:rsidR="00487D6C" w:rsidRPr="00254A7A" w:rsidRDefault="00487D6C" w:rsidP="009111DC">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487D6C" w:rsidRPr="00593A5F" w14:paraId="51314E3A" w14:textId="77777777" w:rsidTr="009111DC">
        <w:trPr>
          <w:trHeight w:val="300"/>
        </w:trPr>
        <w:tc>
          <w:tcPr>
            <w:tcW w:w="893" w:type="dxa"/>
            <w:vAlign w:val="center"/>
          </w:tcPr>
          <w:p w14:paraId="7C0EDAF0" w14:textId="77777777" w:rsidR="00487D6C" w:rsidRPr="003751C7" w:rsidRDefault="00487D6C" w:rsidP="009111DC">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0F2280A" w14:textId="77777777" w:rsidR="00487D6C" w:rsidRPr="003751C7" w:rsidRDefault="00487D6C" w:rsidP="009111DC">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44F6F567" w14:textId="77777777" w:rsidR="00487D6C" w:rsidRPr="003751C7" w:rsidRDefault="00487D6C" w:rsidP="009111DC">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B92F0CB" w14:textId="77777777" w:rsidR="00487D6C" w:rsidRPr="00543BFE" w:rsidRDefault="00487D6C" w:rsidP="00487D6C"/>
    <w:p w14:paraId="7F2C80E5" w14:textId="77777777" w:rsidR="00487D6C" w:rsidRPr="00543BFE" w:rsidRDefault="00487D6C" w:rsidP="00487D6C"/>
    <w:p w14:paraId="6959D9A2" w14:textId="77777777" w:rsidR="00487D6C" w:rsidRPr="00B36323" w:rsidRDefault="00487D6C" w:rsidP="00487D6C"/>
    <w:p w14:paraId="3900974D" w14:textId="77777777" w:rsidR="003D5B0D" w:rsidRPr="00487D6C" w:rsidRDefault="003D5B0D" w:rsidP="00BA231E"/>
    <w:p w14:paraId="7CB75425" w14:textId="77777777" w:rsidR="003876F2" w:rsidRPr="00487D6C" w:rsidRDefault="003876F2"/>
    <w:sectPr w:rsidR="003876F2" w:rsidRPr="00487D6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F5F44" w14:textId="77777777" w:rsidR="00E00568" w:rsidRDefault="00E00568" w:rsidP="004A1847">
      <w:pPr>
        <w:spacing w:after="0" w:line="240" w:lineRule="auto"/>
      </w:pPr>
      <w:r>
        <w:separator/>
      </w:r>
    </w:p>
  </w:endnote>
  <w:endnote w:type="continuationSeparator" w:id="0">
    <w:p w14:paraId="0993AA3D" w14:textId="77777777" w:rsidR="00E00568" w:rsidRDefault="00E00568" w:rsidP="004A1847">
      <w:pPr>
        <w:spacing w:after="0" w:line="240" w:lineRule="auto"/>
      </w:pPr>
      <w:r>
        <w:continuationSeparator/>
      </w:r>
    </w:p>
  </w:endnote>
  <w:endnote w:type="continuationNotice" w:id="1">
    <w:p w14:paraId="0E0F43CC" w14:textId="77777777" w:rsidR="00E00568" w:rsidRDefault="00E005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A0D94" w14:textId="77777777" w:rsidR="00E00568" w:rsidRDefault="00E00568" w:rsidP="004A1847">
      <w:pPr>
        <w:spacing w:after="0" w:line="240" w:lineRule="auto"/>
      </w:pPr>
      <w:r>
        <w:separator/>
      </w:r>
    </w:p>
  </w:footnote>
  <w:footnote w:type="continuationSeparator" w:id="0">
    <w:p w14:paraId="63A5F666" w14:textId="77777777" w:rsidR="00E00568" w:rsidRDefault="00E00568" w:rsidP="004A1847">
      <w:pPr>
        <w:spacing w:after="0" w:line="240" w:lineRule="auto"/>
      </w:pPr>
      <w:r>
        <w:continuationSeparator/>
      </w:r>
    </w:p>
  </w:footnote>
  <w:footnote w:type="continuationNotice" w:id="1">
    <w:p w14:paraId="70A7541E" w14:textId="77777777" w:rsidR="00E00568" w:rsidRDefault="00E00568">
      <w:pPr>
        <w:spacing w:after="0" w:line="240" w:lineRule="auto"/>
      </w:pPr>
    </w:p>
  </w:footnote>
  <w:footnote w:id="2">
    <w:p w14:paraId="3BD51AC5" w14:textId="77777777" w:rsidR="00487D6C" w:rsidRPr="00727823" w:rsidRDefault="00487D6C" w:rsidP="00487D6C">
      <w:pPr>
        <w:pStyle w:val="Textonotapie"/>
        <w:ind w:firstLine="708"/>
        <w:jc w:val="both"/>
        <w:rPr>
          <w:rFonts w:ascii="Verdana" w:hAnsi="Verdana" w:cs="Arial"/>
          <w:sz w:val="16"/>
          <w:szCs w:val="16"/>
        </w:rPr>
      </w:pPr>
      <w:r w:rsidRPr="00727823">
        <w:rPr>
          <w:rStyle w:val="Refdenotaalpie"/>
          <w:rFonts w:ascii="Verdana" w:hAnsi="Verdana" w:cs="Arial"/>
          <w:sz w:val="16"/>
          <w:szCs w:val="16"/>
        </w:rPr>
        <w:footnoteRef/>
      </w:r>
      <w:r w:rsidRPr="00727823">
        <w:rPr>
          <w:rFonts w:ascii="Verdana" w:hAnsi="Verdana" w:cs="Arial"/>
          <w:sz w:val="16"/>
          <w:szCs w:val="16"/>
        </w:rPr>
        <w:t xml:space="preserve"> ARBOLEDA PERDONO, Enrique José. Comentarios al Nuevo Código de Procedimiento Administrativo y de lo Contencioso Administrativo (2ª ed.). Editorial Legis. Bogotá. 2012. p. 59.</w:t>
      </w:r>
    </w:p>
  </w:footnote>
  <w:footnote w:id="3">
    <w:p w14:paraId="7970C005" w14:textId="77777777" w:rsidR="00487D6C" w:rsidRPr="00727823" w:rsidRDefault="00487D6C" w:rsidP="00487D6C">
      <w:pPr>
        <w:pStyle w:val="Textonotapie"/>
        <w:ind w:firstLine="720"/>
        <w:jc w:val="both"/>
        <w:rPr>
          <w:rFonts w:ascii="Verdana" w:hAnsi="Verdana" w:cs="Arial"/>
          <w:color w:val="000000" w:themeColor="text1"/>
          <w:sz w:val="16"/>
          <w:szCs w:val="16"/>
        </w:rPr>
      </w:pPr>
      <w:r w:rsidRPr="00727823">
        <w:rPr>
          <w:rStyle w:val="Refdenotaalpie"/>
          <w:rFonts w:ascii="Verdana" w:hAnsi="Verdana" w:cs="Arial"/>
          <w:sz w:val="16"/>
          <w:szCs w:val="16"/>
        </w:rPr>
        <w:footnoteRef/>
      </w:r>
      <w:r w:rsidRPr="00727823">
        <w:rPr>
          <w:rFonts w:ascii="Verdana" w:hAnsi="Verdana" w:cs="Arial"/>
          <w:sz w:val="16"/>
          <w:szCs w:val="16"/>
        </w:rPr>
        <w:t xml:space="preserve"> </w:t>
      </w:r>
      <w:r w:rsidRPr="00727823">
        <w:rPr>
          <w:rFonts w:ascii="Verdana" w:hAnsi="Verdana" w:cs="Arial"/>
          <w:color w:val="000000" w:themeColor="text1"/>
          <w:sz w:val="16"/>
          <w:szCs w:val="16"/>
        </w:rPr>
        <w:t>“Artículo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footnote>
  <w:footnote w:id="4">
    <w:p w14:paraId="75837274" w14:textId="77777777" w:rsidR="00487D6C" w:rsidRPr="00727823" w:rsidRDefault="00487D6C" w:rsidP="00487D6C">
      <w:pPr>
        <w:spacing w:after="0" w:line="240" w:lineRule="auto"/>
        <w:ind w:firstLine="720"/>
        <w:jc w:val="both"/>
        <w:rPr>
          <w:rFonts w:ascii="Verdana" w:hAnsi="Verdana" w:cs="Arial"/>
          <w:sz w:val="16"/>
          <w:szCs w:val="16"/>
        </w:rPr>
      </w:pPr>
      <w:r w:rsidRPr="00727823">
        <w:rPr>
          <w:rStyle w:val="Refdenotaalpie"/>
          <w:rFonts w:ascii="Verdana" w:hAnsi="Verdana" w:cs="Arial"/>
          <w:sz w:val="16"/>
          <w:szCs w:val="16"/>
        </w:rPr>
        <w:footnoteRef/>
      </w:r>
      <w:r w:rsidRPr="00727823">
        <w:rPr>
          <w:rFonts w:ascii="Verdana" w:hAnsi="Verdana" w:cs="Arial"/>
          <w:sz w:val="16"/>
          <w:szCs w:val="16"/>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footnote>
  <w:footnote w:id="5">
    <w:p w14:paraId="4ECAC8E5" w14:textId="77777777" w:rsidR="00487D6C" w:rsidRPr="00727823" w:rsidRDefault="00487D6C" w:rsidP="00487D6C">
      <w:pPr>
        <w:spacing w:after="0" w:line="240" w:lineRule="auto"/>
        <w:ind w:firstLine="720"/>
        <w:jc w:val="both"/>
        <w:rPr>
          <w:rFonts w:ascii="Verdana" w:hAnsi="Verdana" w:cs="Arial"/>
          <w:color w:val="000000" w:themeColor="text1"/>
          <w:sz w:val="16"/>
          <w:szCs w:val="16"/>
        </w:rPr>
      </w:pPr>
      <w:r w:rsidRPr="00727823">
        <w:rPr>
          <w:rStyle w:val="Refdenotaalpie"/>
          <w:rFonts w:ascii="Verdana" w:hAnsi="Verdana" w:cs="Arial"/>
          <w:sz w:val="16"/>
          <w:szCs w:val="16"/>
        </w:rPr>
        <w:footnoteRef/>
      </w:r>
      <w:r w:rsidRPr="00727823">
        <w:rPr>
          <w:rFonts w:ascii="Verdana" w:hAnsi="Verdana" w:cs="Arial"/>
          <w:sz w:val="16"/>
          <w:szCs w:val="16"/>
        </w:rPr>
        <w:t xml:space="preserve"> Ley 136 de 1994: </w:t>
      </w:r>
      <w:r w:rsidRPr="00727823">
        <w:rPr>
          <w:rFonts w:ascii="Verdana" w:hAnsi="Verdana" w:cs="Arial"/>
          <w:color w:val="000000" w:themeColor="text1"/>
          <w:sz w:val="16"/>
          <w:szCs w:val="16"/>
        </w:rPr>
        <w:t>“Artículo 150. Conformación y funcionamiento. Las asociaciones para su conformación y funcionamiento se sujetarán a las siguientes reglas:</w:t>
      </w:r>
    </w:p>
    <w:p w14:paraId="5489E3AA" w14:textId="77777777" w:rsidR="00487D6C" w:rsidRPr="00727823" w:rsidRDefault="00487D6C" w:rsidP="00487D6C">
      <w:pPr>
        <w:spacing w:after="0" w:line="240" w:lineRule="auto"/>
        <w:ind w:firstLine="720"/>
        <w:jc w:val="both"/>
        <w:rPr>
          <w:rFonts w:ascii="Verdana" w:hAnsi="Verdana" w:cs="Arial"/>
          <w:color w:val="000000" w:themeColor="text1"/>
          <w:sz w:val="16"/>
          <w:szCs w:val="16"/>
        </w:rPr>
      </w:pPr>
      <w:r w:rsidRPr="00727823">
        <w:rPr>
          <w:rFonts w:ascii="Verdana" w:hAnsi="Verdana" w:cs="Arial"/>
          <w:color w:val="000000" w:themeColor="text1"/>
          <w:sz w:val="16"/>
          <w:szCs w:val="16"/>
        </w:rPr>
        <w:t xml:space="preserve">1. Toda asociación de municipios será siempre voluntaria. </w:t>
      </w:r>
      <w:r w:rsidRPr="00727823">
        <w:rPr>
          <w:rFonts w:ascii="Verdana" w:hAnsi="Verdana" w:cs="Arial"/>
          <w:i/>
          <w:iCs/>
          <w:color w:val="000000" w:themeColor="text1"/>
          <w:sz w:val="16"/>
          <w:szCs w:val="16"/>
        </w:rPr>
        <w:t>Se conformará mediante convenio</w:t>
      </w:r>
      <w:r w:rsidRPr="00727823">
        <w:rPr>
          <w:rFonts w:ascii="Verdana" w:hAnsi="Verdana" w:cs="Arial"/>
          <w:color w:val="000000" w:themeColor="text1"/>
          <w:sz w:val="16"/>
          <w:szCs w:val="16"/>
        </w:rPr>
        <w:t xml:space="preserve"> suscrito por sus alcaldes, previa autorización de los respectivos concejos” (Cursiva fuera de texto).</w:t>
      </w:r>
    </w:p>
  </w:footnote>
  <w:footnote w:id="6">
    <w:p w14:paraId="48EFCEDE" w14:textId="77777777" w:rsidR="00487D6C" w:rsidRPr="00727823" w:rsidRDefault="00487D6C" w:rsidP="00487D6C">
      <w:pPr>
        <w:spacing w:after="0" w:line="240" w:lineRule="auto"/>
        <w:ind w:firstLine="720"/>
        <w:jc w:val="both"/>
        <w:rPr>
          <w:rFonts w:ascii="Verdana" w:hAnsi="Verdana" w:cs="Arial"/>
          <w:color w:val="000000" w:themeColor="text1"/>
          <w:sz w:val="16"/>
          <w:szCs w:val="16"/>
        </w:rPr>
      </w:pPr>
      <w:r w:rsidRPr="00727823">
        <w:rPr>
          <w:rStyle w:val="Refdenotaalpie"/>
          <w:rFonts w:ascii="Verdana" w:hAnsi="Verdana" w:cs="Arial"/>
          <w:sz w:val="16"/>
          <w:szCs w:val="16"/>
        </w:rPr>
        <w:footnoteRef/>
      </w:r>
      <w:r w:rsidRPr="00727823">
        <w:rPr>
          <w:rFonts w:ascii="Verdana" w:hAnsi="Verdana" w:cs="Arial"/>
          <w:sz w:val="16"/>
          <w:szCs w:val="16"/>
        </w:rPr>
        <w:t xml:space="preserve"> </w:t>
      </w:r>
      <w:r w:rsidRPr="00727823">
        <w:rPr>
          <w:rFonts w:ascii="Verdana" w:hAnsi="Verdana" w:cs="Arial"/>
          <w:color w:val="000000" w:themeColor="text1"/>
          <w:position w:val="6"/>
          <w:sz w:val="16"/>
          <w:szCs w:val="16"/>
        </w:rPr>
        <w:t xml:space="preserve"> </w:t>
      </w:r>
      <w:r w:rsidRPr="00727823">
        <w:rPr>
          <w:rFonts w:ascii="Verdana" w:hAnsi="Verdana" w:cs="Arial"/>
          <w:color w:val="000000" w:themeColor="text1"/>
          <w:sz w:val="16"/>
          <w:szCs w:val="16"/>
        </w:rPr>
        <w:t xml:space="preserve">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727823">
        <w:rPr>
          <w:rFonts w:ascii="Verdana" w:hAnsi="Verdana" w:cs="Arial"/>
          <w:i/>
          <w:iCs/>
          <w:color w:val="000000" w:themeColor="text1"/>
          <w:sz w:val="16"/>
          <w:szCs w:val="16"/>
        </w:rPr>
        <w:t>mediante convenio o contrato-plan</w:t>
      </w:r>
      <w:r w:rsidRPr="00727823">
        <w:rPr>
          <w:rFonts w:ascii="Verdana" w:hAnsi="Verdana" w:cs="Arial"/>
          <w:color w:val="000000" w:themeColor="text1"/>
          <w:sz w:val="16"/>
          <w:szCs w:val="16"/>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 (Cursiva fuera de texto).</w:t>
      </w:r>
    </w:p>
  </w:footnote>
  <w:footnote w:id="7">
    <w:p w14:paraId="32DFF9E2" w14:textId="77777777" w:rsidR="00487D6C" w:rsidRPr="00727823" w:rsidRDefault="00487D6C" w:rsidP="00487D6C">
      <w:pPr>
        <w:spacing w:after="0" w:line="240" w:lineRule="auto"/>
        <w:ind w:firstLine="720"/>
        <w:jc w:val="both"/>
        <w:rPr>
          <w:rFonts w:ascii="Verdana" w:hAnsi="Verdana" w:cs="Arial"/>
          <w:color w:val="000000" w:themeColor="text1"/>
          <w:sz w:val="16"/>
          <w:szCs w:val="16"/>
        </w:rPr>
      </w:pPr>
      <w:r w:rsidRPr="00727823">
        <w:rPr>
          <w:rStyle w:val="Refdenotaalpie"/>
          <w:rFonts w:ascii="Verdana" w:hAnsi="Verdana" w:cs="Arial"/>
          <w:sz w:val="16"/>
          <w:szCs w:val="16"/>
        </w:rPr>
        <w:footnoteRef/>
      </w:r>
      <w:r w:rsidRPr="00727823">
        <w:rPr>
          <w:rFonts w:ascii="Verdana" w:hAnsi="Verdana" w:cs="Arial"/>
          <w:sz w:val="16"/>
          <w:szCs w:val="16"/>
        </w:rPr>
        <w:t xml:space="preserve"> </w:t>
      </w:r>
      <w:r w:rsidRPr="00727823">
        <w:rPr>
          <w:rFonts w:ascii="Verdana" w:hAnsi="Verdana" w:cs="Arial"/>
          <w:color w:val="000000" w:themeColor="text1"/>
          <w:sz w:val="16"/>
          <w:szCs w:val="16"/>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727823">
        <w:rPr>
          <w:rFonts w:ascii="Verdana" w:hAnsi="Verdana" w:cs="Arial"/>
          <w:color w:val="000000" w:themeColor="text1"/>
          <w:spacing w:val="-4"/>
          <w:sz w:val="16"/>
          <w:szCs w:val="16"/>
        </w:rPr>
        <w:t xml:space="preserve"> </w:t>
      </w:r>
      <w:r w:rsidRPr="00727823">
        <w:rPr>
          <w:rFonts w:ascii="Verdana" w:hAnsi="Verdana" w:cs="Arial"/>
          <w:color w:val="000000" w:themeColor="text1"/>
          <w:sz w:val="16"/>
          <w:szCs w:val="16"/>
        </w:rPr>
        <w:t>lucro.</w:t>
      </w:r>
    </w:p>
    <w:p w14:paraId="558227C5" w14:textId="77777777" w:rsidR="00487D6C" w:rsidRPr="00727823" w:rsidRDefault="00487D6C" w:rsidP="00487D6C">
      <w:pPr>
        <w:spacing w:after="0" w:line="240" w:lineRule="auto"/>
        <w:ind w:firstLine="720"/>
        <w:jc w:val="both"/>
        <w:rPr>
          <w:rFonts w:ascii="Verdana" w:hAnsi="Verdana" w:cs="Arial"/>
          <w:color w:val="000000" w:themeColor="text1"/>
          <w:sz w:val="16"/>
          <w:szCs w:val="16"/>
        </w:rPr>
      </w:pPr>
      <w:r w:rsidRPr="00727823">
        <w:rPr>
          <w:rFonts w:ascii="Verdana" w:hAnsi="Verdana" w:cs="Arial"/>
          <w:color w:val="000000" w:themeColor="text1"/>
          <w:sz w:val="16"/>
          <w:szCs w:val="16"/>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8">
    <w:p w14:paraId="7D3C9425" w14:textId="77777777" w:rsidR="00487D6C" w:rsidRPr="00727823" w:rsidRDefault="00487D6C" w:rsidP="00487D6C">
      <w:pPr>
        <w:spacing w:after="0" w:line="240" w:lineRule="auto"/>
        <w:ind w:firstLine="720"/>
        <w:jc w:val="both"/>
        <w:rPr>
          <w:rFonts w:ascii="Verdana" w:hAnsi="Verdana" w:cs="Arial"/>
          <w:color w:val="000000" w:themeColor="text1"/>
          <w:sz w:val="16"/>
          <w:szCs w:val="16"/>
        </w:rPr>
      </w:pPr>
      <w:r w:rsidRPr="00727823">
        <w:rPr>
          <w:rStyle w:val="Refdenotaalpie"/>
          <w:rFonts w:ascii="Verdana" w:hAnsi="Verdana" w:cs="Arial"/>
          <w:sz w:val="16"/>
          <w:szCs w:val="16"/>
        </w:rPr>
        <w:footnoteRef/>
      </w:r>
      <w:r w:rsidRPr="00727823">
        <w:rPr>
          <w:rFonts w:ascii="Verdana" w:hAnsi="Verdana" w:cs="Arial"/>
          <w:sz w:val="16"/>
          <w:szCs w:val="16"/>
        </w:rPr>
        <w:t xml:space="preserve"> </w:t>
      </w:r>
      <w:r w:rsidRPr="00727823">
        <w:rPr>
          <w:rFonts w:ascii="Verdana" w:hAnsi="Verdana" w:cs="Arial"/>
          <w:color w:val="000000" w:themeColor="text1"/>
          <w:sz w:val="16"/>
          <w:szCs w:val="16"/>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727823">
        <w:rPr>
          <w:rFonts w:ascii="Verdana" w:hAnsi="Verdana" w:cs="Arial"/>
          <w:color w:val="000000" w:themeColor="text1"/>
          <w:spacing w:val="-5"/>
          <w:sz w:val="16"/>
          <w:szCs w:val="16"/>
        </w:rPr>
        <w:t xml:space="preserve"> </w:t>
      </w:r>
      <w:r w:rsidRPr="00727823">
        <w:rPr>
          <w:rFonts w:ascii="Verdana" w:hAnsi="Verdana" w:cs="Arial"/>
          <w:color w:val="000000" w:themeColor="text1"/>
          <w:sz w:val="16"/>
          <w:szCs w:val="16"/>
        </w:rPr>
        <w:t>entidades”.</w:t>
      </w:r>
    </w:p>
  </w:footnote>
  <w:footnote w:id="9">
    <w:p w14:paraId="180C38A5" w14:textId="77777777" w:rsidR="00487D6C" w:rsidRPr="00727823" w:rsidRDefault="00487D6C" w:rsidP="00487D6C">
      <w:pPr>
        <w:pStyle w:val="Textonotapie"/>
        <w:ind w:firstLine="708"/>
        <w:jc w:val="both"/>
        <w:rPr>
          <w:rFonts w:ascii="Verdana" w:hAnsi="Verdana"/>
          <w:sz w:val="16"/>
          <w:szCs w:val="16"/>
        </w:rPr>
      </w:pPr>
      <w:r w:rsidRPr="00727823">
        <w:rPr>
          <w:rStyle w:val="Refdenotaalpie"/>
          <w:rFonts w:ascii="Verdana" w:hAnsi="Verdana"/>
          <w:sz w:val="16"/>
          <w:szCs w:val="16"/>
        </w:rPr>
        <w:footnoteRef/>
      </w:r>
      <w:r w:rsidRPr="00727823">
        <w:rPr>
          <w:rFonts w:ascii="Verdana" w:hAnsi="Verdana"/>
          <w:sz w:val="16"/>
          <w:szCs w:val="16"/>
        </w:rPr>
        <w:t xml:space="preserve"> El artículo 32.2 de la Ley 80 de 1993 dispone que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7E5C651" w14:textId="77777777" w:rsidR="00487D6C" w:rsidRPr="00727823" w:rsidRDefault="00487D6C" w:rsidP="00487D6C">
      <w:pPr>
        <w:pStyle w:val="Textonotapie"/>
        <w:ind w:firstLine="708"/>
        <w:jc w:val="both"/>
        <w:rPr>
          <w:rFonts w:ascii="Verdana" w:hAnsi="Verdana"/>
          <w:sz w:val="16"/>
          <w:szCs w:val="16"/>
        </w:rPr>
      </w:pPr>
      <w:r w:rsidRPr="00727823">
        <w:rPr>
          <w:rFonts w:ascii="Verdana" w:hAnsi="Verdana"/>
          <w:sz w:val="16"/>
          <w:szCs w:val="16"/>
        </w:rPr>
        <w:t>Son también contratos de consultoría los que tienen por objeto la interventoría, asesoría, gerencia de obra o de proyectos, dirección, programación y la ejecución de diseños, planos, anteproyectos y proyectos.</w:t>
      </w:r>
    </w:p>
    <w:p w14:paraId="34F5E9FE" w14:textId="77777777" w:rsidR="00487D6C" w:rsidRPr="00727823" w:rsidRDefault="00487D6C" w:rsidP="00487D6C">
      <w:pPr>
        <w:pStyle w:val="Textonotapie"/>
        <w:ind w:firstLine="708"/>
        <w:jc w:val="both"/>
        <w:rPr>
          <w:rFonts w:ascii="Verdana" w:hAnsi="Verdana"/>
          <w:sz w:val="16"/>
          <w:szCs w:val="16"/>
          <w:lang w:val="es-CO"/>
        </w:rPr>
      </w:pPr>
      <w:r w:rsidRPr="00727823">
        <w:rPr>
          <w:rFonts w:ascii="Verdana" w:hAnsi="Verdana"/>
          <w:sz w:val="16"/>
          <w:szCs w:val="16"/>
        </w:rPr>
        <w:t>[…]”.</w:t>
      </w:r>
    </w:p>
  </w:footnote>
  <w:footnote w:id="10">
    <w:p w14:paraId="591E8393" w14:textId="77777777" w:rsidR="00487D6C" w:rsidRPr="00727823" w:rsidRDefault="00487D6C" w:rsidP="00487D6C">
      <w:pPr>
        <w:pStyle w:val="Textonotapie"/>
        <w:ind w:firstLine="709"/>
        <w:jc w:val="both"/>
        <w:rPr>
          <w:rFonts w:ascii="Verdana" w:hAnsi="Verdana" w:cs="Arial"/>
          <w:color w:val="000000" w:themeColor="text1"/>
          <w:sz w:val="16"/>
          <w:szCs w:val="16"/>
          <w:lang w:val="es-ES"/>
        </w:rPr>
      </w:pPr>
      <w:r w:rsidRPr="00727823">
        <w:rPr>
          <w:rStyle w:val="Refdenotaalpie"/>
          <w:rFonts w:ascii="Verdana" w:hAnsi="Verdana" w:cs="Arial"/>
          <w:color w:val="000000" w:themeColor="text1"/>
          <w:sz w:val="16"/>
          <w:szCs w:val="16"/>
        </w:rPr>
        <w:footnoteRef/>
      </w:r>
      <w:r w:rsidRPr="00727823">
        <w:rPr>
          <w:rFonts w:ascii="Verdana" w:hAnsi="Verdana" w:cs="Arial"/>
          <w:color w:val="000000" w:themeColor="text1"/>
          <w:sz w:val="16"/>
          <w:szCs w:val="16"/>
        </w:rPr>
        <w:t xml:space="preserve"> </w:t>
      </w:r>
      <w:r w:rsidRPr="00727823">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footnote>
  <w:footnote w:id="11">
    <w:p w14:paraId="02AA7121" w14:textId="77777777" w:rsidR="00487D6C" w:rsidRPr="00300857" w:rsidRDefault="00487D6C" w:rsidP="00487D6C">
      <w:pPr>
        <w:pStyle w:val="Textonotapie"/>
        <w:ind w:firstLine="708"/>
        <w:jc w:val="both"/>
        <w:rPr>
          <w:rFonts w:ascii="Verdana" w:hAnsi="Verdana"/>
          <w:sz w:val="16"/>
          <w:szCs w:val="16"/>
        </w:rPr>
      </w:pPr>
      <w:r w:rsidRPr="00AC3202">
        <w:rPr>
          <w:rStyle w:val="Refdenotaalpie"/>
          <w:rFonts w:ascii="Verdana" w:hAnsi="Verdana"/>
          <w:sz w:val="16"/>
          <w:szCs w:val="16"/>
        </w:rPr>
        <w:footnoteRef/>
      </w:r>
      <w:r w:rsidRPr="00AC3202">
        <w:rPr>
          <w:rFonts w:ascii="Verdana" w:hAnsi="Verdana"/>
          <w:sz w:val="16"/>
          <w:szCs w:val="16"/>
        </w:rPr>
        <w:t xml:space="preserve"> </w:t>
      </w:r>
      <w:r>
        <w:rPr>
          <w:rFonts w:ascii="Verdana" w:hAnsi="Verdana"/>
          <w:sz w:val="16"/>
          <w:szCs w:val="16"/>
        </w:rPr>
        <w:t>E</w:t>
      </w:r>
      <w:r w:rsidRPr="00AC3202">
        <w:rPr>
          <w:rFonts w:ascii="Verdana" w:hAnsi="Verdana"/>
          <w:sz w:val="16"/>
          <w:szCs w:val="16"/>
        </w:rPr>
        <w:t>l artículo 73 de la Ley 1480 de 2011</w:t>
      </w:r>
      <w:r>
        <w:rPr>
          <w:rFonts w:ascii="Verdana" w:hAnsi="Verdana"/>
          <w:sz w:val="16"/>
          <w:szCs w:val="16"/>
        </w:rPr>
        <w:t xml:space="preserve"> prescribe que “</w:t>
      </w:r>
      <w:r w:rsidRPr="00300857">
        <w:rPr>
          <w:rFonts w:ascii="Verdana" w:hAnsi="Verdana"/>
          <w:sz w:val="16"/>
          <w:szCs w:val="16"/>
        </w:rPr>
        <w:t>Los organismos de evaluación de la conformidad serán responsables por los servicios de evaluación que presten dentro del marco del certificado o del documento de evaluación de la conformidad que hayan expedido. El evaluador de la conformidad no será responsable cuando el evaluado haya modificado los elementos, procesos, sistemas o demás condiciones evaluadas y exista nexo causal entre dichas variaciones y el daño ocasionado. Sin perjuicio de las multas a que haya lugar, el evaluador de la conformidad será responsable frente al consumidor por el servicio de evaluación de la conformidad efectuado respecto de un producto sujeto a reglamento técnico o medida sanitaria cuando haya obrado con dolo o culpa grave.</w:t>
      </w:r>
    </w:p>
    <w:p w14:paraId="5FC2A07B" w14:textId="77777777" w:rsidR="00487D6C" w:rsidRPr="00AC3202" w:rsidRDefault="00487D6C" w:rsidP="00487D6C">
      <w:pPr>
        <w:pStyle w:val="Textonotapie"/>
        <w:ind w:firstLine="708"/>
        <w:jc w:val="both"/>
        <w:rPr>
          <w:rFonts w:ascii="Verdana" w:hAnsi="Verdana"/>
          <w:sz w:val="16"/>
          <w:szCs w:val="16"/>
        </w:rPr>
      </w:pPr>
      <w:r w:rsidRPr="00300857">
        <w:rPr>
          <w:rFonts w:ascii="Verdana" w:hAnsi="Verdana"/>
          <w:sz w:val="16"/>
          <w:szCs w:val="16"/>
        </w:rPr>
        <w:t>PARÁGRAFO. En todo producto, publicidad o información en los que se avise que un producto o proceso ha sido certificado o evaluado, se deberá indicar, en los términos de la presente ley, el alcance de la evaluación, el organismo de evaluación de la conformidad y la entidad que acreditó al organismo de evaluación</w:t>
      </w:r>
      <w:r>
        <w:rPr>
          <w:rFonts w:ascii="Verdana" w:hAnsi="Verdana"/>
          <w:sz w:val="16"/>
          <w:szCs w:val="16"/>
        </w:rPr>
        <w:t>”</w:t>
      </w:r>
      <w:r w:rsidRPr="00300857">
        <w:rPr>
          <w:rFonts w:ascii="Verdana" w:hAnsi="Verdana"/>
          <w:sz w:val="16"/>
          <w:szCs w:val="16"/>
        </w:rPr>
        <w:t>.</w:t>
      </w:r>
    </w:p>
  </w:footnote>
  <w:footnote w:id="12">
    <w:p w14:paraId="48936FF1" w14:textId="77777777" w:rsidR="00487D6C" w:rsidRPr="00727823" w:rsidRDefault="00487D6C" w:rsidP="00487D6C">
      <w:pPr>
        <w:pStyle w:val="Textonotapie"/>
        <w:ind w:firstLine="708"/>
        <w:jc w:val="both"/>
        <w:rPr>
          <w:rFonts w:ascii="Verdana" w:hAnsi="Verdana"/>
          <w:sz w:val="16"/>
          <w:szCs w:val="16"/>
          <w:lang w:val="es-CO"/>
        </w:rPr>
      </w:pPr>
      <w:r w:rsidRPr="00727823">
        <w:rPr>
          <w:rStyle w:val="Refdenotaalpie"/>
          <w:rFonts w:ascii="Verdana" w:hAnsi="Verdana"/>
          <w:sz w:val="16"/>
          <w:szCs w:val="16"/>
        </w:rPr>
        <w:footnoteRef/>
      </w:r>
      <w:r w:rsidRPr="00727823">
        <w:rPr>
          <w:rFonts w:ascii="Verdana" w:hAnsi="Verdana"/>
          <w:sz w:val="16"/>
          <w:szCs w:val="16"/>
        </w:rPr>
        <w:t xml:space="preserve"> El artículo 2.2.1.7.8.1 del Decreto 1074 de 2015 dispone lo siguiente: “Los organismos evaluadores de la conformidad radicados en el país deberán ser acreditados por el Organismo Nacional de Acreditación respecto a un documento normativo para realizar actividades de evaluación de la conformidad frente a un reglamento técnico, tales como certificación, inspección, realización de ensayo/prueba y calibración, o la provisión de ensayos de aptitud y otras actividades acreditables. Cuando el organismo nacional de acreditación no tenga la competencia técnica para acreditar un organismo en un alcance requerido, podrá acudir al esquema definido para la acreditación transfrontera con el fin de prestar el servicio en el país. Los organismos evaluadores de la conformidad radicados en el exterior se sujetarán a lo establecido en el artículo 2.2.1.7.9.2, numerales 2, 3 y 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58350C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031951703" o:spid="_x0000_i1025" type="#_x0000_t75" style="width:11.45pt;height:11.45pt;visibility:visible;mso-wrap-style:square">
            <v:imagedata r:id="rId1" o:title=""/>
          </v:shape>
        </w:pict>
      </mc:Choice>
      <mc:Fallback>
        <w:drawing>
          <wp:inline distT="0" distB="0" distL="0" distR="0" wp14:anchorId="585D7A12" wp14:editId="1520E114">
            <wp:extent cx="145415" cy="145415"/>
            <wp:effectExtent l="0" t="0" r="0" b="0"/>
            <wp:docPr id="2031951703" name="Imagen 2031951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3152"/>
    <w:rsid w:val="000A683E"/>
    <w:rsid w:val="000B19B9"/>
    <w:rsid w:val="000D0334"/>
    <w:rsid w:val="000F6486"/>
    <w:rsid w:val="00125105"/>
    <w:rsid w:val="00127233"/>
    <w:rsid w:val="001511A0"/>
    <w:rsid w:val="001B70F9"/>
    <w:rsid w:val="001E4177"/>
    <w:rsid w:val="001F7DC6"/>
    <w:rsid w:val="002421BB"/>
    <w:rsid w:val="0025796E"/>
    <w:rsid w:val="002707A2"/>
    <w:rsid w:val="002951A0"/>
    <w:rsid w:val="002962BC"/>
    <w:rsid w:val="002A093D"/>
    <w:rsid w:val="002A0DD0"/>
    <w:rsid w:val="002A1C17"/>
    <w:rsid w:val="002A49AC"/>
    <w:rsid w:val="002A64FD"/>
    <w:rsid w:val="002C7A84"/>
    <w:rsid w:val="002E4FD9"/>
    <w:rsid w:val="00322A85"/>
    <w:rsid w:val="00324168"/>
    <w:rsid w:val="003266F6"/>
    <w:rsid w:val="003448F4"/>
    <w:rsid w:val="00374F5E"/>
    <w:rsid w:val="00377E3E"/>
    <w:rsid w:val="003876F2"/>
    <w:rsid w:val="003A779E"/>
    <w:rsid w:val="003D0F4D"/>
    <w:rsid w:val="003D34BD"/>
    <w:rsid w:val="003D5B0D"/>
    <w:rsid w:val="003E0499"/>
    <w:rsid w:val="003F3941"/>
    <w:rsid w:val="00406575"/>
    <w:rsid w:val="00414C74"/>
    <w:rsid w:val="0042722E"/>
    <w:rsid w:val="0044528D"/>
    <w:rsid w:val="00487D6C"/>
    <w:rsid w:val="004A1847"/>
    <w:rsid w:val="004A305D"/>
    <w:rsid w:val="004A5577"/>
    <w:rsid w:val="004F21C4"/>
    <w:rsid w:val="004F685F"/>
    <w:rsid w:val="005566E8"/>
    <w:rsid w:val="00560D39"/>
    <w:rsid w:val="00574867"/>
    <w:rsid w:val="00591460"/>
    <w:rsid w:val="005B3816"/>
    <w:rsid w:val="005C3777"/>
    <w:rsid w:val="005C5CDC"/>
    <w:rsid w:val="005D476C"/>
    <w:rsid w:val="005F1280"/>
    <w:rsid w:val="006219F8"/>
    <w:rsid w:val="00643EA9"/>
    <w:rsid w:val="00646325"/>
    <w:rsid w:val="00665D70"/>
    <w:rsid w:val="006900D9"/>
    <w:rsid w:val="00706C16"/>
    <w:rsid w:val="0073542D"/>
    <w:rsid w:val="00756841"/>
    <w:rsid w:val="007649AB"/>
    <w:rsid w:val="00771D0C"/>
    <w:rsid w:val="007833AC"/>
    <w:rsid w:val="00784D62"/>
    <w:rsid w:val="007B268C"/>
    <w:rsid w:val="007B7171"/>
    <w:rsid w:val="007C0C0F"/>
    <w:rsid w:val="007C3DC2"/>
    <w:rsid w:val="007E5497"/>
    <w:rsid w:val="00806F5F"/>
    <w:rsid w:val="00820278"/>
    <w:rsid w:val="0084421D"/>
    <w:rsid w:val="00867F95"/>
    <w:rsid w:val="008843B6"/>
    <w:rsid w:val="00891928"/>
    <w:rsid w:val="008A446D"/>
    <w:rsid w:val="008D180B"/>
    <w:rsid w:val="008F0EA7"/>
    <w:rsid w:val="008F5E5B"/>
    <w:rsid w:val="00923EEF"/>
    <w:rsid w:val="009419F9"/>
    <w:rsid w:val="009564DA"/>
    <w:rsid w:val="0095685E"/>
    <w:rsid w:val="00961B09"/>
    <w:rsid w:val="00965334"/>
    <w:rsid w:val="0097093E"/>
    <w:rsid w:val="00971C75"/>
    <w:rsid w:val="00982E34"/>
    <w:rsid w:val="00986AC5"/>
    <w:rsid w:val="009A0DFA"/>
    <w:rsid w:val="009B2D26"/>
    <w:rsid w:val="009C71FA"/>
    <w:rsid w:val="009C72E7"/>
    <w:rsid w:val="009D3058"/>
    <w:rsid w:val="009F3A13"/>
    <w:rsid w:val="00A122D3"/>
    <w:rsid w:val="00A17F13"/>
    <w:rsid w:val="00A20739"/>
    <w:rsid w:val="00A33C78"/>
    <w:rsid w:val="00AA3B46"/>
    <w:rsid w:val="00AB0ADB"/>
    <w:rsid w:val="00B01B1A"/>
    <w:rsid w:val="00B66319"/>
    <w:rsid w:val="00B72CD3"/>
    <w:rsid w:val="00B72FFF"/>
    <w:rsid w:val="00BA231E"/>
    <w:rsid w:val="00BC2171"/>
    <w:rsid w:val="00BC3D36"/>
    <w:rsid w:val="00BD7F72"/>
    <w:rsid w:val="00C04FB3"/>
    <w:rsid w:val="00C2203F"/>
    <w:rsid w:val="00C330EB"/>
    <w:rsid w:val="00C41061"/>
    <w:rsid w:val="00C70049"/>
    <w:rsid w:val="00C754BE"/>
    <w:rsid w:val="00C76B1C"/>
    <w:rsid w:val="00CB6357"/>
    <w:rsid w:val="00CC1B26"/>
    <w:rsid w:val="00CD602B"/>
    <w:rsid w:val="00D423A2"/>
    <w:rsid w:val="00D520D8"/>
    <w:rsid w:val="00D63AC2"/>
    <w:rsid w:val="00D65507"/>
    <w:rsid w:val="00D7383B"/>
    <w:rsid w:val="00DA231B"/>
    <w:rsid w:val="00DC39FC"/>
    <w:rsid w:val="00DF5254"/>
    <w:rsid w:val="00E00568"/>
    <w:rsid w:val="00E029CD"/>
    <w:rsid w:val="00E16408"/>
    <w:rsid w:val="00E20894"/>
    <w:rsid w:val="00E245AB"/>
    <w:rsid w:val="00E2764C"/>
    <w:rsid w:val="00E27F2E"/>
    <w:rsid w:val="00E45BAD"/>
    <w:rsid w:val="00E50AFE"/>
    <w:rsid w:val="00E75C92"/>
    <w:rsid w:val="00E771DC"/>
    <w:rsid w:val="00E8772A"/>
    <w:rsid w:val="00E90F6B"/>
    <w:rsid w:val="00E92C27"/>
    <w:rsid w:val="00EA0E3D"/>
    <w:rsid w:val="00EC38A7"/>
    <w:rsid w:val="00ED6BDC"/>
    <w:rsid w:val="00ED7384"/>
    <w:rsid w:val="00EE1AA8"/>
    <w:rsid w:val="00F31EDC"/>
    <w:rsid w:val="00F462B3"/>
    <w:rsid w:val="00F5664F"/>
    <w:rsid w:val="00F666C4"/>
    <w:rsid w:val="00F76AFC"/>
    <w:rsid w:val="00FA47C0"/>
    <w:rsid w:val="00FB5DD1"/>
    <w:rsid w:val="00FC2B5D"/>
    <w:rsid w:val="00FF0612"/>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87D6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87D6C"/>
    <w:rPr>
      <w:rFonts w:ascii="Geomanist Light" w:hAnsi="Geomanist Light"/>
      <w:lang w:val="es-ES"/>
    </w:rPr>
  </w:style>
  <w:style w:type="character" w:customStyle="1" w:styleId="s15">
    <w:name w:val="s15"/>
    <w:basedOn w:val="Fuentedeprrafopredeter"/>
    <w:rsid w:val="00487D6C"/>
  </w:style>
  <w:style w:type="character" w:customStyle="1" w:styleId="apple-converted-space">
    <w:name w:val="apple-converted-space"/>
    <w:basedOn w:val="Fuentedeprrafopredeter"/>
    <w:rsid w:val="00487D6C"/>
  </w:style>
  <w:style w:type="paragraph" w:styleId="Textoindependiente">
    <w:name w:val="Body Text"/>
    <w:basedOn w:val="Normal"/>
    <w:link w:val="TextoindependienteCar"/>
    <w:uiPriority w:val="1"/>
    <w:qFormat/>
    <w:rsid w:val="00487D6C"/>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487D6C"/>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567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0489_1998_pr002.htm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mogollon20@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6E1677F-5505-42AE-9543-71590E84FD4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6545</Words>
  <Characters>36003</Characters>
  <Application>Microsoft Office Word</Application>
  <DocSecurity>0</DocSecurity>
  <Lines>300</Lines>
  <Paragraphs>84</Paragraphs>
  <ScaleCrop>false</ScaleCrop>
  <Company/>
  <LinksUpToDate>false</LinksUpToDate>
  <CharactersWithSpaces>42464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2025-06-25T00:31:00Z</dcterms:created>
  <dcterms:modified xsi:type="dcterms:W3CDTF">2025-06-25T14:51:00Z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