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400D" w14:textId="77777777" w:rsidR="00F078F6" w:rsidRPr="00132CCC" w:rsidRDefault="00F078F6" w:rsidP="00F078F6">
      <w:pPr>
        <w:spacing w:after="0" w:line="240" w:lineRule="auto"/>
        <w:jc w:val="both"/>
        <w:rPr>
          <w:rFonts w:ascii="Verdana" w:eastAsia="Calibri" w:hAnsi="Verdana" w:cs="Arial"/>
          <w:b/>
          <w:lang w:eastAsia="es-ES"/>
        </w:rPr>
      </w:pPr>
      <w:bookmarkStart w:id="0" w:name="_Hlk143780582"/>
      <w:r w:rsidRPr="00132CCC">
        <w:rPr>
          <w:rFonts w:ascii="Verdana" w:eastAsia="Calibri" w:hAnsi="Verdana" w:cs="Arial"/>
          <w:b/>
          <w:lang w:eastAsia="es-ES"/>
        </w:rPr>
        <w:t xml:space="preserve">CONVOCATORIAS LIMITADAS A MIPYMES NACIONALES – Requisitos – presupuestos mínimos </w:t>
      </w:r>
    </w:p>
    <w:p w14:paraId="427B23DD" w14:textId="77777777" w:rsidR="00F078F6" w:rsidRPr="00132CCC" w:rsidRDefault="00F078F6" w:rsidP="00F078F6">
      <w:pPr>
        <w:spacing w:after="0" w:line="240" w:lineRule="auto"/>
        <w:jc w:val="both"/>
        <w:rPr>
          <w:rFonts w:ascii="Verdana" w:eastAsia="Calibri" w:hAnsi="Verdana" w:cs="Arial"/>
          <w:b/>
          <w:sz w:val="20"/>
          <w:szCs w:val="20"/>
          <w:lang w:eastAsia="es-ES"/>
        </w:rPr>
      </w:pPr>
    </w:p>
    <w:p w14:paraId="091BB9EB" w14:textId="77777777" w:rsidR="00F078F6" w:rsidRPr="00132CCC" w:rsidRDefault="00F078F6" w:rsidP="00F078F6">
      <w:pPr>
        <w:spacing w:after="0" w:line="240" w:lineRule="auto"/>
        <w:jc w:val="both"/>
        <w:rPr>
          <w:rFonts w:ascii="Verdana" w:eastAsia="Calibri" w:hAnsi="Verdana" w:cs="Arial"/>
          <w:bCs/>
          <w:sz w:val="20"/>
          <w:szCs w:val="20"/>
          <w:lang w:eastAsia="es-ES"/>
        </w:rPr>
      </w:pPr>
      <w:r w:rsidRPr="0028080B">
        <w:rPr>
          <w:rFonts w:ascii="Verdana" w:eastAsia="Calibri" w:hAnsi="Verdana" w:cs="Arial"/>
          <w:bCs/>
          <w:sz w:val="20"/>
          <w:szCs w:val="20"/>
          <w:lang w:val="es-ES_tradnl" w:eastAsia="es-ES"/>
        </w:rPr>
        <w:t xml:space="preserve">El artículo 5 del Decreto 1860 de 2021 modificó </w:t>
      </w:r>
      <w:r w:rsidRPr="0028080B">
        <w:rPr>
          <w:rFonts w:ascii="Verdana" w:eastAsia="Calibri" w:hAnsi="Verdana" w:cs="Arial"/>
          <w:bCs/>
          <w:sz w:val="20"/>
          <w:szCs w:val="20"/>
          <w:lang w:eastAsia="es-ES"/>
        </w:rPr>
        <w:t>los artículos 2.2.1.2.4.2.2., 2.2.1.2.4.2.3. y 2.2.1.2.4.2.4. de la Subsección 2 de la Sección 4 del Capítulo 2 del Título 1 de la Parte 2 del Libro 2 del Decreto 1082 de 2015, reglamentando</w:t>
      </w:r>
      <w:r w:rsidRPr="0028080B">
        <w:rPr>
          <w:rFonts w:ascii="Verdana" w:eastAsia="Calibri" w:hAnsi="Verdana" w:cs="Arial"/>
          <w:bCs/>
          <w:sz w:val="20"/>
          <w:szCs w:val="20"/>
          <w:lang w:val="es-ES_tradnl" w:eastAsia="es-ES"/>
        </w:rPr>
        <w:t xml:space="preserve"> las convocatorias limitadas a Mipyme, con fundamento en lo establecido en el artículo 34 de la Ley 2069 de 2020. Esta nueva reglamentación desarrolla tres aspectos: i) requisitos para limitar la convocatoria de los </w:t>
      </w:r>
      <w:r w:rsidRPr="0028080B">
        <w:rPr>
          <w:rFonts w:ascii="Verdana" w:eastAsia="Calibri" w:hAnsi="Verdana" w:cs="Arial"/>
          <w:bCs/>
          <w:sz w:val="20"/>
          <w:szCs w:val="20"/>
          <w:lang w:eastAsia="es-ES"/>
        </w:rPr>
        <w:t>procesos de contratación con pluralidad de oferentes</w:t>
      </w:r>
      <w:r w:rsidRPr="0028080B">
        <w:rPr>
          <w:rFonts w:ascii="Verdana" w:eastAsia="Calibri" w:hAnsi="Verdana" w:cs="Arial"/>
          <w:bCs/>
          <w:sz w:val="20"/>
          <w:szCs w:val="20"/>
          <w:lang w:val="es-ES_tradnl" w:eastAsia="es-ES"/>
        </w:rPr>
        <w:t xml:space="preserve"> a las Mipyme colombianas con mínimo un (1) año de existencia – artículo </w:t>
      </w:r>
      <w:r w:rsidRPr="0028080B">
        <w:rPr>
          <w:rFonts w:ascii="Verdana" w:eastAsia="Calibri" w:hAnsi="Verdana" w:cs="Arial"/>
          <w:bCs/>
          <w:sz w:val="20"/>
          <w:szCs w:val="20"/>
          <w:lang w:eastAsia="es-ES"/>
        </w:rPr>
        <w:t>2.2.1.2.4.2.2</w:t>
      </w:r>
      <w:r w:rsidRPr="0028080B">
        <w:rPr>
          <w:rFonts w:ascii="Verdana" w:eastAsia="Calibri" w:hAnsi="Verdana" w:cs="Arial"/>
          <w:bCs/>
          <w:sz w:val="20"/>
          <w:szCs w:val="20"/>
          <w:lang w:val="es-ES_tradnl" w:eastAsia="es-ES"/>
        </w:rPr>
        <w:t xml:space="preserve">, ii) desarrolla las </w:t>
      </w:r>
      <w:r w:rsidRPr="0028080B">
        <w:rPr>
          <w:rFonts w:ascii="Verdana" w:eastAsia="Calibri" w:hAnsi="Verdana" w:cs="Arial"/>
          <w:bCs/>
          <w:sz w:val="20"/>
          <w:szCs w:val="20"/>
          <w:lang w:eastAsia="es-ES"/>
        </w:rPr>
        <w:t>convocatorias limitadas a Mipyme colombianas que tengan domicilio en los departamentos o municipios en donde se va a ejecutar el contrato – artículo 2.2.1.2.4.2.3.,</w:t>
      </w:r>
      <w:r w:rsidRPr="0028080B">
        <w:rPr>
          <w:rFonts w:ascii="Verdana" w:eastAsia="Calibri" w:hAnsi="Verdana" w:cs="Arial"/>
          <w:bCs/>
          <w:sz w:val="20"/>
          <w:szCs w:val="20"/>
          <w:lang w:val="es-ES_tradnl" w:eastAsia="es-ES"/>
        </w:rPr>
        <w:t xml:space="preserve"> y iii) </w:t>
      </w:r>
      <w:r w:rsidRPr="0028080B">
        <w:rPr>
          <w:rFonts w:ascii="Verdana" w:eastAsia="Calibri" w:hAnsi="Verdana" w:cs="Arial"/>
          <w:bCs/>
          <w:sz w:val="20"/>
          <w:szCs w:val="20"/>
          <w:lang w:eastAsia="es-ES"/>
        </w:rPr>
        <w:t>regula la acreditación de requisitos para participar en convocatorias limitadas – artículo 2.2.1.2.4.2.4-.</w:t>
      </w:r>
    </w:p>
    <w:p w14:paraId="07B81DAD" w14:textId="77777777" w:rsidR="00F078F6" w:rsidRPr="0028080B" w:rsidRDefault="00F078F6" w:rsidP="00F078F6">
      <w:pPr>
        <w:spacing w:after="0" w:line="240" w:lineRule="auto"/>
        <w:jc w:val="both"/>
        <w:rPr>
          <w:rFonts w:ascii="Verdana" w:eastAsia="Calibri" w:hAnsi="Verdana" w:cs="Arial"/>
          <w:bCs/>
          <w:sz w:val="20"/>
          <w:szCs w:val="20"/>
          <w:lang w:eastAsia="es-ES"/>
        </w:rPr>
      </w:pPr>
    </w:p>
    <w:p w14:paraId="3D573D41" w14:textId="77777777" w:rsidR="00F078F6" w:rsidRDefault="00F078F6" w:rsidP="00F078F6">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p>
    <w:p w14:paraId="56D5C46C" w14:textId="77777777" w:rsidR="00F078F6" w:rsidRPr="0028080B" w:rsidRDefault="00F078F6" w:rsidP="00F078F6">
      <w:pPr>
        <w:spacing w:after="0" w:line="240" w:lineRule="auto"/>
        <w:jc w:val="both"/>
        <w:rPr>
          <w:rFonts w:ascii="Verdana" w:eastAsia="Calibri" w:hAnsi="Verdana" w:cs="Arial"/>
          <w:sz w:val="20"/>
          <w:szCs w:val="20"/>
          <w:lang w:val="es-ES" w:eastAsia="es-ES"/>
        </w:rPr>
      </w:pPr>
    </w:p>
    <w:p w14:paraId="61DD4CF5" w14:textId="77777777" w:rsidR="00F078F6" w:rsidRPr="00132CCC" w:rsidRDefault="00F078F6" w:rsidP="00F078F6">
      <w:pPr>
        <w:spacing w:after="0" w:line="240" w:lineRule="auto"/>
        <w:jc w:val="both"/>
        <w:rPr>
          <w:rFonts w:ascii="Verdana" w:eastAsia="Calibri" w:hAnsi="Verdana" w:cs="Arial"/>
          <w:sz w:val="20"/>
          <w:szCs w:val="20"/>
          <w:lang w:val="es-ES" w:eastAsia="es-ES"/>
        </w:rPr>
      </w:pPr>
      <w:r w:rsidRPr="00132CCC">
        <w:rPr>
          <w:rFonts w:ascii="Verdana" w:eastAsia="Calibri" w:hAnsi="Verdana" w:cs="Arial"/>
          <w:sz w:val="20"/>
          <w:szCs w:val="20"/>
          <w:lang w:eastAsia="es-ES"/>
        </w:rPr>
        <w:t>En este contexto,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p>
    <w:p w14:paraId="01DE3829" w14:textId="77777777" w:rsidR="00F078F6" w:rsidRPr="00132CCC" w:rsidRDefault="00F078F6" w:rsidP="00F078F6">
      <w:pPr>
        <w:spacing w:after="0" w:line="240" w:lineRule="auto"/>
        <w:jc w:val="both"/>
        <w:rPr>
          <w:rFonts w:ascii="Verdana" w:eastAsia="Calibri" w:hAnsi="Verdana" w:cs="Arial"/>
          <w:sz w:val="20"/>
          <w:szCs w:val="20"/>
          <w:lang w:val="es-ES" w:eastAsia="es-ES"/>
        </w:rPr>
      </w:pPr>
    </w:p>
    <w:p w14:paraId="451D389D" w14:textId="77777777" w:rsidR="00F078F6" w:rsidRPr="00132CCC" w:rsidRDefault="00F078F6" w:rsidP="00F078F6">
      <w:pPr>
        <w:spacing w:after="0" w:line="240" w:lineRule="auto"/>
        <w:jc w:val="both"/>
        <w:rPr>
          <w:rFonts w:ascii="Verdana" w:eastAsia="Calibri" w:hAnsi="Verdana" w:cs="Arial"/>
          <w:b/>
          <w:lang w:eastAsia="es-ES"/>
        </w:rPr>
      </w:pPr>
      <w:r w:rsidRPr="00132CCC">
        <w:rPr>
          <w:rFonts w:ascii="Verdana" w:eastAsia="Calibri" w:hAnsi="Verdana" w:cs="Arial"/>
          <w:b/>
          <w:lang w:eastAsia="es-ES"/>
        </w:rPr>
        <w:t>CONVOCATORIAS LIMITADAS A MIPYMES EN EL ÁMBITO TERRITORIAL – Limitación territorial – Facultad discrecional</w:t>
      </w:r>
    </w:p>
    <w:p w14:paraId="0D11AFF7" w14:textId="77777777" w:rsidR="00F078F6" w:rsidRPr="00132CCC" w:rsidRDefault="00F078F6" w:rsidP="00F078F6">
      <w:pPr>
        <w:spacing w:after="0" w:line="240" w:lineRule="auto"/>
        <w:rPr>
          <w:rFonts w:ascii="Verdana" w:eastAsia="Calibri" w:hAnsi="Verdana" w:cs="Arial"/>
          <w:sz w:val="20"/>
          <w:szCs w:val="20"/>
          <w:lang w:eastAsia="es-ES"/>
        </w:rPr>
      </w:pPr>
    </w:p>
    <w:p w14:paraId="7A984170" w14:textId="77777777" w:rsidR="00F078F6" w:rsidRPr="00132CCC" w:rsidRDefault="00F078F6" w:rsidP="00F078F6">
      <w:pPr>
        <w:spacing w:after="0" w:line="240" w:lineRule="auto"/>
        <w:jc w:val="both"/>
        <w:rPr>
          <w:rFonts w:ascii="Verdana" w:eastAsia="Calibri" w:hAnsi="Verdana" w:cs="Arial"/>
          <w:sz w:val="20"/>
          <w:szCs w:val="20"/>
          <w:lang w:eastAsia="es-ES"/>
        </w:rPr>
      </w:pPr>
      <w:r w:rsidRPr="00132CCC">
        <w:rPr>
          <w:rFonts w:ascii="Verdana" w:eastAsia="Calibri" w:hAnsi="Verdana" w:cs="Arial"/>
          <w:sz w:val="20"/>
          <w:szCs w:val="20"/>
          <w:lang w:eastAsia="es-ES"/>
        </w:rPr>
        <w:t>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proprio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E13540F" w14:textId="77777777" w:rsidR="00F078F6" w:rsidRPr="00132CCC" w:rsidRDefault="00F078F6" w:rsidP="00F078F6">
      <w:pPr>
        <w:spacing w:after="0" w:line="240" w:lineRule="auto"/>
        <w:jc w:val="both"/>
        <w:rPr>
          <w:rFonts w:ascii="Verdana" w:eastAsia="Calibri" w:hAnsi="Verdana" w:cs="Arial"/>
          <w:sz w:val="20"/>
          <w:szCs w:val="20"/>
          <w:lang w:eastAsia="es-ES"/>
        </w:rPr>
      </w:pPr>
    </w:p>
    <w:p w14:paraId="068C8C5C" w14:textId="77777777" w:rsidR="00F078F6" w:rsidRPr="00132CCC" w:rsidRDefault="00F078F6" w:rsidP="00F078F6">
      <w:pPr>
        <w:spacing w:after="0" w:line="240" w:lineRule="auto"/>
        <w:jc w:val="both"/>
        <w:rPr>
          <w:rFonts w:ascii="Verdana" w:eastAsia="Calibri" w:hAnsi="Verdana" w:cs="Arial"/>
          <w:sz w:val="20"/>
          <w:szCs w:val="20"/>
          <w:lang w:eastAsia="es-ES"/>
        </w:rPr>
      </w:pPr>
      <w:r w:rsidRPr="00132CCC">
        <w:rPr>
          <w:rFonts w:ascii="Verdana" w:eastAsia="Calibri" w:hAnsi="Verdana" w:cs="Arial"/>
          <w:sz w:val="20"/>
          <w:szCs w:val="20"/>
          <w:lang w:eastAsia="es-ES"/>
        </w:rPr>
        <w:t xml:space="preserve">Cumplidos los dos requisitos del artículo 2.2.1.2.4.2.2. ibídem, la entidad estatal, independientemente de su régimen de contratación, los patrimonios autónomos constituidos por entidades estatales y los particulares que ejecuten recursos públicos, pueden ─no tienen que─ decidir si limitan la convocatoria a las Mipymes colombianas domiciliadas en el municipio o departamento en el que se ejecutará el contrato. Esto de </w:t>
      </w:r>
      <w:r w:rsidRPr="00132CCC">
        <w:rPr>
          <w:rFonts w:ascii="Verdana" w:eastAsia="Calibri" w:hAnsi="Verdana" w:cs="Arial"/>
          <w:sz w:val="20"/>
          <w:szCs w:val="20"/>
          <w:lang w:eastAsia="es-ES"/>
        </w:rPr>
        <w:lastRenderedPageBreak/>
        <w:t xml:space="preserve">acuerdo con lo establecido en artículo 2.2.1.2.4.2.3. del Decreto 1082 de 2015 modificado por el Decreto 1860 de 2021, norma que se refiere a la facultad de la administración con el verbo infinitivo “poder”, no “deber”. </w:t>
      </w:r>
    </w:p>
    <w:p w14:paraId="58F14EC8" w14:textId="77777777" w:rsidR="00F078F6" w:rsidRPr="00132CCC" w:rsidRDefault="00F078F6" w:rsidP="00F078F6">
      <w:pPr>
        <w:spacing w:after="0" w:line="240" w:lineRule="auto"/>
        <w:jc w:val="both"/>
        <w:rPr>
          <w:rFonts w:ascii="Verdana" w:eastAsia="Calibri" w:hAnsi="Verdana" w:cs="Arial"/>
          <w:sz w:val="20"/>
          <w:szCs w:val="20"/>
          <w:lang w:eastAsia="es-ES"/>
        </w:rPr>
      </w:pPr>
    </w:p>
    <w:p w14:paraId="3C6832B0" w14:textId="77777777" w:rsidR="00F078F6" w:rsidRPr="00132CCC" w:rsidRDefault="00F078F6" w:rsidP="00F078F6">
      <w:pPr>
        <w:spacing w:after="0" w:line="240" w:lineRule="auto"/>
        <w:jc w:val="both"/>
        <w:rPr>
          <w:rFonts w:ascii="Verdana" w:eastAsia="Calibri" w:hAnsi="Verdana" w:cs="Arial"/>
          <w:sz w:val="20"/>
          <w:szCs w:val="20"/>
          <w:lang w:eastAsia="es-ES"/>
        </w:rPr>
      </w:pPr>
      <w:r w:rsidRPr="00BF78B9">
        <w:rPr>
          <w:rFonts w:ascii="Verdana" w:eastAsia="Calibri" w:hAnsi="Verdana" w:cs="Arial"/>
          <w:sz w:val="20"/>
          <w:szCs w:val="20"/>
          <w:lang w:eastAsia="es-ES"/>
        </w:rPr>
        <w:t>La Agencia Nacional de Contratación Pública – Colombia Compra Eficiente ha sostenido que la decisión de limitar territorialmente una convocatoria a MiPymes es discrecional de la entidad, sin embargo, la decisión debe estar justificada en los correspondientes “estudios del sector”. Lo anterior por cuanto el artículo 2.2.1.2.4.2.3. del Decreto 1082 de 2015, indicó que las Mipymes beneficiadas deben tener su domicilio principal en el municipio o departamento donde se ejecutará el contrato para poder participar en una convocatoria limitada territorialmente.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r>
        <w:rPr>
          <w:rFonts w:ascii="Verdana" w:eastAsia="Calibri" w:hAnsi="Verdana" w:cs="Arial"/>
          <w:sz w:val="20"/>
          <w:szCs w:val="20"/>
          <w:lang w:eastAsia="es-ES"/>
        </w:rPr>
        <w:t xml:space="preserve"> </w:t>
      </w:r>
    </w:p>
    <w:p w14:paraId="046D5039" w14:textId="77777777" w:rsidR="00F078F6" w:rsidRPr="00132CCC" w:rsidRDefault="00F078F6" w:rsidP="00F078F6">
      <w:pPr>
        <w:spacing w:after="0" w:line="240" w:lineRule="auto"/>
        <w:rPr>
          <w:rFonts w:ascii="Verdana" w:eastAsia="Calibri" w:hAnsi="Verdana" w:cs="Arial"/>
          <w:sz w:val="20"/>
          <w:szCs w:val="20"/>
          <w:lang w:eastAsia="es-ES"/>
        </w:rPr>
      </w:pPr>
    </w:p>
    <w:p w14:paraId="70AB5CB7" w14:textId="77777777" w:rsidR="00F078F6" w:rsidRPr="00132CCC" w:rsidRDefault="00F078F6" w:rsidP="00F078F6">
      <w:pPr>
        <w:spacing w:after="0" w:line="240" w:lineRule="auto"/>
        <w:jc w:val="both"/>
        <w:rPr>
          <w:rFonts w:ascii="Verdana" w:eastAsia="Calibri" w:hAnsi="Verdana" w:cs="Arial"/>
          <w:b/>
          <w:lang w:eastAsia="es-ES"/>
        </w:rPr>
      </w:pPr>
      <w:r w:rsidRPr="00132CCC">
        <w:rPr>
          <w:rFonts w:ascii="Verdana" w:eastAsia="Calibri" w:hAnsi="Verdana" w:cs="Arial"/>
          <w:b/>
          <w:lang w:eastAsia="es-ES"/>
        </w:rPr>
        <w:t xml:space="preserve">CONVOCATORIAS LIMITADAS A MIPYMES EN EL ÁMBITO TERRITORIAL – Domicilio en lugar de ejecución </w:t>
      </w:r>
    </w:p>
    <w:p w14:paraId="7910D9A7" w14:textId="77777777" w:rsidR="00F078F6" w:rsidRPr="00132CCC" w:rsidRDefault="00F078F6" w:rsidP="00F078F6">
      <w:pPr>
        <w:spacing w:after="0" w:line="240" w:lineRule="auto"/>
        <w:rPr>
          <w:rFonts w:ascii="Verdana" w:eastAsia="Calibri" w:hAnsi="Verdana" w:cs="Arial"/>
          <w:sz w:val="20"/>
          <w:szCs w:val="20"/>
          <w:lang w:eastAsia="es-ES"/>
        </w:rPr>
      </w:pPr>
    </w:p>
    <w:p w14:paraId="167AE191" w14:textId="77777777" w:rsidR="00F078F6" w:rsidRDefault="00F078F6" w:rsidP="00F078F6">
      <w:pPr>
        <w:spacing w:after="0" w:line="240" w:lineRule="auto"/>
        <w:jc w:val="both"/>
        <w:rPr>
          <w:rFonts w:ascii="Verdana" w:eastAsia="Calibri" w:hAnsi="Verdana" w:cs="Arial"/>
          <w:sz w:val="20"/>
          <w:szCs w:val="20"/>
          <w:lang w:eastAsia="es-ES"/>
        </w:rPr>
      </w:pPr>
      <w:r w:rsidRPr="00051ED8">
        <w:rPr>
          <w:rFonts w:ascii="Verdana" w:eastAsia="Calibri" w:hAnsi="Verdana" w:cs="Arial"/>
          <w:sz w:val="20"/>
          <w:szCs w:val="20"/>
          <w:lang w:eastAsia="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032C41EF" w14:textId="77777777" w:rsidR="00F078F6" w:rsidRPr="00051ED8" w:rsidRDefault="00F078F6" w:rsidP="00F078F6">
      <w:pPr>
        <w:spacing w:after="0" w:line="240" w:lineRule="auto"/>
        <w:jc w:val="both"/>
        <w:rPr>
          <w:rFonts w:ascii="Verdana" w:eastAsia="Calibri" w:hAnsi="Verdana" w:cs="Arial"/>
          <w:sz w:val="20"/>
          <w:szCs w:val="20"/>
          <w:lang w:eastAsia="es-ES"/>
        </w:rPr>
      </w:pPr>
    </w:p>
    <w:p w14:paraId="53EA2186" w14:textId="77777777" w:rsidR="00F078F6" w:rsidRPr="00092C3E" w:rsidRDefault="00F078F6" w:rsidP="00F078F6">
      <w:pPr>
        <w:spacing w:after="0" w:line="240" w:lineRule="auto"/>
        <w:jc w:val="both"/>
        <w:rPr>
          <w:rFonts w:ascii="Verdana" w:eastAsia="Calibri" w:hAnsi="Verdana" w:cs="Arial"/>
          <w:sz w:val="20"/>
          <w:szCs w:val="20"/>
          <w:lang w:eastAsia="es-ES"/>
        </w:rPr>
      </w:pPr>
      <w:r w:rsidRPr="00051ED8">
        <w:rPr>
          <w:rFonts w:ascii="Verdana" w:eastAsia="Calibri" w:hAnsi="Verdana" w:cs="Arial"/>
          <w:sz w:val="20"/>
          <w:szCs w:val="20"/>
          <w:lang w:eastAsia="es-ES"/>
        </w:rPr>
        <w:t>En este contexto, y de acuerdo con el objeto de la consulta, si bien la limitación territorial prevista en el artículo 2.2.1.2.4.2.3 del Decreto 1082 de 2015 faculta a las entidades estatales para limitar la convocatoria a las Mipymes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5814F842" w14:textId="77777777" w:rsidR="00F078F6" w:rsidRPr="00132CCC" w:rsidRDefault="00F078F6" w:rsidP="00F078F6">
      <w:pPr>
        <w:spacing w:after="0" w:line="240" w:lineRule="auto"/>
        <w:jc w:val="both"/>
        <w:rPr>
          <w:rFonts w:ascii="Verdana" w:eastAsia="Calibri" w:hAnsi="Verdana" w:cs="Arial"/>
          <w:sz w:val="20"/>
          <w:szCs w:val="20"/>
          <w:lang w:eastAsia="es-ES"/>
        </w:rPr>
      </w:pPr>
    </w:p>
    <w:p w14:paraId="3784E002" w14:textId="77777777" w:rsidR="00F078F6" w:rsidRPr="00132CCC" w:rsidRDefault="00F078F6" w:rsidP="00F078F6">
      <w:pPr>
        <w:spacing w:after="0" w:line="240" w:lineRule="auto"/>
        <w:jc w:val="both"/>
        <w:rPr>
          <w:rFonts w:ascii="Verdana" w:eastAsia="Calibri" w:hAnsi="Verdana" w:cs="Arial"/>
          <w:b/>
          <w:lang w:eastAsia="es-ES"/>
        </w:rPr>
      </w:pPr>
      <w:r w:rsidRPr="00132CCC">
        <w:rPr>
          <w:rFonts w:ascii="Verdana" w:eastAsia="Calibri" w:hAnsi="Verdana" w:cs="Arial"/>
          <w:b/>
          <w:lang w:eastAsia="es-ES"/>
        </w:rPr>
        <w:t>CONVOCATORIAS LIMITADAS A MIPYMES EN EL ÁMBITO TERRITORIAL –</w:t>
      </w:r>
      <w:r>
        <w:rPr>
          <w:rFonts w:ascii="Verdana" w:eastAsia="Calibri" w:hAnsi="Verdana" w:cs="Arial"/>
          <w:b/>
          <w:lang w:eastAsia="es-ES"/>
        </w:rPr>
        <w:t xml:space="preserve"> C</w:t>
      </w:r>
      <w:r w:rsidRPr="00132CCC">
        <w:rPr>
          <w:rFonts w:ascii="Verdana" w:eastAsia="Calibri" w:hAnsi="Verdana" w:cs="Arial"/>
          <w:b/>
          <w:lang w:eastAsia="es-ES"/>
        </w:rPr>
        <w:t>ircunscripciones municipal y departamental</w:t>
      </w:r>
    </w:p>
    <w:p w14:paraId="7F927301" w14:textId="77777777" w:rsidR="00F078F6" w:rsidRPr="00132CCC" w:rsidRDefault="00F078F6" w:rsidP="00F078F6">
      <w:pPr>
        <w:spacing w:after="0" w:line="240" w:lineRule="auto"/>
        <w:rPr>
          <w:rFonts w:ascii="Verdana" w:eastAsia="Calibri" w:hAnsi="Verdana" w:cs="Arial"/>
          <w:sz w:val="20"/>
          <w:szCs w:val="20"/>
          <w:lang w:eastAsia="es-ES"/>
        </w:rPr>
      </w:pPr>
    </w:p>
    <w:p w14:paraId="3052FC1A" w14:textId="77777777" w:rsidR="00F078F6" w:rsidRDefault="00F078F6" w:rsidP="00F078F6">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
        </w:rPr>
        <w:t>D</w:t>
      </w:r>
      <w:r w:rsidRPr="00DE7009">
        <w:rPr>
          <w:rFonts w:ascii="Verdana" w:eastAsia="Calibri" w:hAnsi="Verdana" w:cs="Arial"/>
          <w:sz w:val="20"/>
          <w:szCs w:val="20"/>
          <w:lang w:eastAsia="es-ES"/>
        </w:rPr>
        <w:t xml:space="preserve">ebe resaltarse que el enfoque actual del marco normativo busca que las Entidades Estatales incorporen prácticas activas de planeación participativa e inclusiva que fortalezcan la participación de las Mipymes y de otras unidades económicas de menor escala y, orienten sus estrategias de contratación hacia el fortalecimiento de la economía </w:t>
      </w:r>
      <w:r w:rsidRPr="00DE7009">
        <w:rPr>
          <w:rFonts w:ascii="Verdana" w:eastAsia="Calibri" w:hAnsi="Verdana" w:cs="Arial"/>
          <w:sz w:val="20"/>
          <w:szCs w:val="20"/>
          <w:lang w:eastAsia="es-ES"/>
        </w:rPr>
        <w:lastRenderedPageBreak/>
        <w:t xml:space="preserve">local y regional, procurando que las oportunidades de contratación pública promuevan el desarrollo territorial. De esta manera, la limitación territorial se erige como una herramienta complementaria dentro de este ecosistema normativo, destinada a fomentar la vinculación de Mipymes domiciliadas en los territorios donde se ejecutan los contratos, generando encadenamientos productivos y fortalecimiento regional. </w:t>
      </w:r>
    </w:p>
    <w:p w14:paraId="7A9E4C55" w14:textId="77777777" w:rsidR="00F078F6" w:rsidRDefault="00F078F6" w:rsidP="00F078F6">
      <w:pPr>
        <w:spacing w:after="0" w:line="240" w:lineRule="auto"/>
        <w:jc w:val="both"/>
        <w:rPr>
          <w:rFonts w:ascii="Verdana" w:eastAsia="Calibri" w:hAnsi="Verdana" w:cs="Arial"/>
          <w:sz w:val="20"/>
          <w:szCs w:val="20"/>
          <w:lang w:eastAsia="es-ES"/>
        </w:rPr>
      </w:pPr>
    </w:p>
    <w:p w14:paraId="25E33F62" w14:textId="77777777" w:rsidR="00F078F6" w:rsidRPr="00132CCC" w:rsidRDefault="00F078F6" w:rsidP="00F078F6">
      <w:pPr>
        <w:spacing w:after="0" w:line="240" w:lineRule="auto"/>
        <w:jc w:val="both"/>
        <w:rPr>
          <w:rFonts w:ascii="Verdana" w:eastAsia="Calibri" w:hAnsi="Verdana" w:cs="Arial"/>
          <w:sz w:val="20"/>
          <w:szCs w:val="20"/>
          <w:lang w:eastAsia="es-ES"/>
        </w:rPr>
      </w:pPr>
      <w:r w:rsidRPr="00DE7009">
        <w:rPr>
          <w:rFonts w:ascii="Verdana" w:eastAsia="Calibri" w:hAnsi="Verdana" w:cs="Arial"/>
          <w:sz w:val="20"/>
          <w:szCs w:val="20"/>
          <w:lang w:eastAsia="es-ES"/>
        </w:rPr>
        <w:t>Así las cosas, una decisión orientada a excluir un municipio en particular, pese a encontrarse comprendido dentro del ámbito territorial relacionado con la ejecución del objeto contractual, desbordaría la finalidad establecida en el artículo 2.2.1.2.4.2.3 del Decreto 1082 de 2015. Ello, por cuanto la determinación dejaría de sustentarse en el criterio principal previsto por la norma, esto es, el lugar de ejecución del contrato, para apoyarse en consideraciones ajenas a la finalidad de la medida, lo que podría comprometer la legalidad de la actuación administrativa y la validez de las reglas del proceso de selección. Por tanto, la decisión de aplicar una limitación territorial debe basarse en criterios técnicos que demuestren que tal medida contribuye efectivamente a los fines de promoción empresarial y desarrollo regional previstos en el ordenamiento jurídicos</w:t>
      </w:r>
      <w:r>
        <w:rPr>
          <w:rFonts w:ascii="Verdana" w:eastAsia="Calibri" w:hAnsi="Verdana" w:cs="Arial"/>
          <w:sz w:val="20"/>
          <w:szCs w:val="20"/>
          <w:lang w:eastAsia="es-ES"/>
        </w:rPr>
        <w:t>.</w:t>
      </w:r>
    </w:p>
    <w:p w14:paraId="1A0358AA" w14:textId="77777777" w:rsidR="00F078F6" w:rsidRDefault="00F078F6" w:rsidP="00F078F6">
      <w:pPr>
        <w:spacing w:after="0" w:line="240" w:lineRule="auto"/>
        <w:rPr>
          <w:rFonts w:ascii="Verdana" w:eastAsia="Geomanist Light" w:hAnsi="Verdana" w:cs="Arial"/>
          <w:color w:val="000000" w:themeColor="text1"/>
          <w:lang w:val="es-MX"/>
        </w:rPr>
      </w:pPr>
    </w:p>
    <w:p w14:paraId="0D6D1EDE" w14:textId="77777777" w:rsidR="00F078F6" w:rsidRDefault="00F078F6" w:rsidP="00F078F6">
      <w:pPr>
        <w:spacing w:after="0" w:line="240" w:lineRule="auto"/>
        <w:rPr>
          <w:rFonts w:ascii="Verdana" w:eastAsia="Geomanist Light" w:hAnsi="Verdana" w:cs="Arial"/>
          <w:color w:val="000000" w:themeColor="text1"/>
          <w:lang w:val="es-MX"/>
        </w:rPr>
      </w:pPr>
    </w:p>
    <w:p w14:paraId="2E45EB76" w14:textId="77777777" w:rsidR="00F078F6" w:rsidRDefault="00F078F6" w:rsidP="00F078F6">
      <w:pPr>
        <w:spacing w:after="0" w:line="240" w:lineRule="auto"/>
        <w:rPr>
          <w:rFonts w:ascii="Verdana" w:eastAsia="Geomanist Light" w:hAnsi="Verdana" w:cs="Arial"/>
          <w:color w:val="000000" w:themeColor="text1"/>
          <w:lang w:val="es-MX"/>
        </w:rPr>
      </w:pPr>
    </w:p>
    <w:p w14:paraId="4B66EC47" w14:textId="77777777" w:rsidR="00F078F6" w:rsidRDefault="00F078F6" w:rsidP="00F078F6">
      <w:pPr>
        <w:spacing w:after="0" w:line="240" w:lineRule="auto"/>
        <w:rPr>
          <w:rFonts w:ascii="Verdana" w:eastAsia="Geomanist Light" w:hAnsi="Verdana" w:cs="Arial"/>
          <w:color w:val="000000" w:themeColor="text1"/>
          <w:lang w:val="es-MX"/>
        </w:rPr>
      </w:pPr>
    </w:p>
    <w:p w14:paraId="46833489" w14:textId="77777777" w:rsidR="00F078F6" w:rsidRDefault="00F078F6" w:rsidP="00F078F6">
      <w:pPr>
        <w:spacing w:after="0" w:line="240" w:lineRule="auto"/>
        <w:rPr>
          <w:rFonts w:ascii="Verdana" w:eastAsia="Geomanist Light" w:hAnsi="Verdana" w:cs="Arial"/>
          <w:color w:val="000000" w:themeColor="text1"/>
          <w:lang w:val="es-MX"/>
        </w:rPr>
      </w:pPr>
    </w:p>
    <w:p w14:paraId="32835652" w14:textId="77777777" w:rsidR="00F078F6" w:rsidRDefault="00F078F6" w:rsidP="00F078F6">
      <w:pPr>
        <w:spacing w:after="0" w:line="240" w:lineRule="auto"/>
        <w:rPr>
          <w:rFonts w:ascii="Verdana" w:eastAsia="Geomanist Light" w:hAnsi="Verdana" w:cs="Arial"/>
          <w:color w:val="000000" w:themeColor="text1"/>
          <w:lang w:val="es-MX"/>
        </w:rPr>
      </w:pPr>
    </w:p>
    <w:p w14:paraId="73934680" w14:textId="77777777" w:rsidR="00F078F6" w:rsidRDefault="00F078F6" w:rsidP="00F078F6">
      <w:pPr>
        <w:spacing w:after="0" w:line="240" w:lineRule="auto"/>
        <w:rPr>
          <w:rFonts w:ascii="Verdana" w:eastAsia="Geomanist Light" w:hAnsi="Verdana" w:cs="Arial"/>
          <w:color w:val="000000" w:themeColor="text1"/>
          <w:lang w:val="es-MX"/>
        </w:rPr>
      </w:pPr>
    </w:p>
    <w:p w14:paraId="74049DF9" w14:textId="77777777" w:rsidR="00F078F6" w:rsidRDefault="00F078F6" w:rsidP="00F078F6">
      <w:pPr>
        <w:spacing w:after="0" w:line="240" w:lineRule="auto"/>
        <w:rPr>
          <w:rFonts w:ascii="Verdana" w:eastAsia="Geomanist Light" w:hAnsi="Verdana" w:cs="Arial"/>
          <w:color w:val="000000" w:themeColor="text1"/>
          <w:lang w:val="es-MX"/>
        </w:rPr>
      </w:pPr>
    </w:p>
    <w:p w14:paraId="702D54DC" w14:textId="77777777" w:rsidR="00F078F6" w:rsidRDefault="00F078F6" w:rsidP="00F078F6">
      <w:pPr>
        <w:spacing w:after="0" w:line="240" w:lineRule="auto"/>
        <w:rPr>
          <w:rFonts w:ascii="Verdana" w:eastAsia="Geomanist Light" w:hAnsi="Verdana" w:cs="Arial"/>
          <w:color w:val="000000" w:themeColor="text1"/>
          <w:lang w:val="es-MX"/>
        </w:rPr>
      </w:pPr>
    </w:p>
    <w:p w14:paraId="161D826C" w14:textId="77777777" w:rsidR="00F078F6" w:rsidRDefault="00F078F6" w:rsidP="00F078F6">
      <w:pPr>
        <w:spacing w:after="0" w:line="240" w:lineRule="auto"/>
        <w:rPr>
          <w:rFonts w:ascii="Verdana" w:eastAsia="Geomanist Light" w:hAnsi="Verdana" w:cs="Arial"/>
          <w:color w:val="000000" w:themeColor="text1"/>
          <w:lang w:val="es-MX"/>
        </w:rPr>
      </w:pPr>
    </w:p>
    <w:p w14:paraId="05211E83" w14:textId="77777777" w:rsidR="00F078F6" w:rsidRDefault="00F078F6" w:rsidP="00F078F6">
      <w:pPr>
        <w:spacing w:after="0" w:line="240" w:lineRule="auto"/>
        <w:rPr>
          <w:rFonts w:ascii="Verdana" w:eastAsia="Geomanist Light" w:hAnsi="Verdana" w:cs="Arial"/>
          <w:color w:val="000000" w:themeColor="text1"/>
          <w:lang w:val="es-MX"/>
        </w:rPr>
      </w:pPr>
    </w:p>
    <w:p w14:paraId="629C40AF" w14:textId="77777777" w:rsidR="00F078F6" w:rsidRDefault="00F078F6" w:rsidP="00F078F6">
      <w:pPr>
        <w:spacing w:after="0" w:line="240" w:lineRule="auto"/>
        <w:rPr>
          <w:rFonts w:ascii="Verdana" w:eastAsia="Geomanist Light" w:hAnsi="Verdana" w:cs="Arial"/>
          <w:color w:val="000000" w:themeColor="text1"/>
          <w:lang w:val="es-MX"/>
        </w:rPr>
      </w:pPr>
    </w:p>
    <w:p w14:paraId="1F6A6327" w14:textId="77777777" w:rsidR="00F078F6" w:rsidRDefault="00F078F6" w:rsidP="00F078F6">
      <w:pPr>
        <w:spacing w:after="0" w:line="240" w:lineRule="auto"/>
        <w:rPr>
          <w:rFonts w:ascii="Verdana" w:eastAsia="Geomanist Light" w:hAnsi="Verdana" w:cs="Arial"/>
          <w:color w:val="000000" w:themeColor="text1"/>
          <w:lang w:val="es-MX"/>
        </w:rPr>
      </w:pPr>
    </w:p>
    <w:p w14:paraId="4F6A8005" w14:textId="77777777" w:rsidR="00F078F6" w:rsidRDefault="00F078F6" w:rsidP="00F078F6">
      <w:pPr>
        <w:spacing w:after="0" w:line="240" w:lineRule="auto"/>
        <w:rPr>
          <w:rFonts w:ascii="Verdana" w:eastAsia="Geomanist Light" w:hAnsi="Verdana" w:cs="Arial"/>
          <w:color w:val="000000" w:themeColor="text1"/>
          <w:lang w:val="es-MX"/>
        </w:rPr>
      </w:pPr>
    </w:p>
    <w:p w14:paraId="43BE2A24" w14:textId="77777777" w:rsidR="00F078F6" w:rsidRDefault="00F078F6" w:rsidP="00F078F6">
      <w:pPr>
        <w:spacing w:after="0" w:line="240" w:lineRule="auto"/>
        <w:rPr>
          <w:rFonts w:ascii="Verdana" w:eastAsia="Geomanist Light" w:hAnsi="Verdana" w:cs="Arial"/>
          <w:color w:val="000000" w:themeColor="text1"/>
          <w:lang w:val="es-MX"/>
        </w:rPr>
      </w:pPr>
    </w:p>
    <w:p w14:paraId="71637740" w14:textId="77777777" w:rsidR="00F078F6" w:rsidRDefault="00F078F6" w:rsidP="00F078F6">
      <w:pPr>
        <w:spacing w:after="0" w:line="240" w:lineRule="auto"/>
        <w:rPr>
          <w:rFonts w:ascii="Verdana" w:eastAsia="Geomanist Light" w:hAnsi="Verdana" w:cs="Arial"/>
          <w:color w:val="000000" w:themeColor="text1"/>
          <w:lang w:val="es-MX"/>
        </w:rPr>
      </w:pPr>
    </w:p>
    <w:p w14:paraId="0FE2B9BB" w14:textId="77777777" w:rsidR="00F078F6" w:rsidRDefault="00F078F6" w:rsidP="00F078F6">
      <w:pPr>
        <w:spacing w:after="0" w:line="240" w:lineRule="auto"/>
        <w:rPr>
          <w:rFonts w:ascii="Verdana" w:eastAsia="Geomanist Light" w:hAnsi="Verdana" w:cs="Arial"/>
          <w:color w:val="000000" w:themeColor="text1"/>
          <w:lang w:val="es-MX"/>
        </w:rPr>
      </w:pPr>
    </w:p>
    <w:p w14:paraId="07FBE892" w14:textId="77777777" w:rsidR="00F078F6" w:rsidRDefault="00F078F6" w:rsidP="00F078F6">
      <w:pPr>
        <w:spacing w:after="0" w:line="240" w:lineRule="auto"/>
        <w:rPr>
          <w:rFonts w:ascii="Verdana" w:eastAsia="Geomanist Light" w:hAnsi="Verdana" w:cs="Arial"/>
          <w:color w:val="000000" w:themeColor="text1"/>
          <w:lang w:val="es-MX"/>
        </w:rPr>
      </w:pPr>
    </w:p>
    <w:p w14:paraId="6615CDE7" w14:textId="77777777" w:rsidR="00F078F6" w:rsidRDefault="00F078F6" w:rsidP="00F078F6">
      <w:pPr>
        <w:spacing w:after="0" w:line="240" w:lineRule="auto"/>
        <w:rPr>
          <w:rFonts w:ascii="Verdana" w:eastAsia="Geomanist Light" w:hAnsi="Verdana" w:cs="Arial"/>
          <w:color w:val="000000" w:themeColor="text1"/>
          <w:lang w:val="es-MX"/>
        </w:rPr>
      </w:pPr>
    </w:p>
    <w:p w14:paraId="6D88FED7" w14:textId="77777777" w:rsidR="00F078F6" w:rsidRDefault="00F078F6" w:rsidP="00F078F6">
      <w:pPr>
        <w:spacing w:after="0" w:line="240" w:lineRule="auto"/>
        <w:rPr>
          <w:rFonts w:ascii="Verdana" w:eastAsia="Geomanist Light" w:hAnsi="Verdana" w:cs="Arial"/>
          <w:color w:val="000000" w:themeColor="text1"/>
          <w:lang w:val="es-MX"/>
        </w:rPr>
      </w:pPr>
    </w:p>
    <w:p w14:paraId="3BA57BD6" w14:textId="77777777" w:rsidR="00F078F6" w:rsidRDefault="00F078F6" w:rsidP="00F078F6">
      <w:pPr>
        <w:spacing w:after="0" w:line="240" w:lineRule="auto"/>
        <w:rPr>
          <w:rFonts w:ascii="Verdana" w:eastAsia="Geomanist Light" w:hAnsi="Verdana" w:cs="Arial"/>
          <w:color w:val="000000" w:themeColor="text1"/>
          <w:lang w:val="es-MX"/>
        </w:rPr>
      </w:pPr>
    </w:p>
    <w:p w14:paraId="568C92CA" w14:textId="77777777" w:rsidR="00F078F6" w:rsidRDefault="00F078F6" w:rsidP="00F078F6">
      <w:pPr>
        <w:spacing w:after="0" w:line="240" w:lineRule="auto"/>
        <w:rPr>
          <w:rFonts w:ascii="Verdana" w:eastAsia="Geomanist Light" w:hAnsi="Verdana" w:cs="Arial"/>
          <w:color w:val="000000" w:themeColor="text1"/>
          <w:lang w:val="es-MX"/>
        </w:rPr>
      </w:pPr>
    </w:p>
    <w:p w14:paraId="69E82540" w14:textId="77777777" w:rsidR="00F078F6" w:rsidRDefault="00F078F6" w:rsidP="00F078F6">
      <w:pPr>
        <w:spacing w:after="0" w:line="240" w:lineRule="auto"/>
        <w:rPr>
          <w:rFonts w:ascii="Verdana" w:eastAsia="Geomanist Light" w:hAnsi="Verdana" w:cs="Arial"/>
          <w:color w:val="000000" w:themeColor="text1"/>
          <w:lang w:val="es-MX"/>
        </w:rPr>
      </w:pPr>
    </w:p>
    <w:p w14:paraId="09E9E83D" w14:textId="77777777" w:rsidR="00F078F6" w:rsidRDefault="00F078F6" w:rsidP="00F078F6">
      <w:pPr>
        <w:spacing w:after="0" w:line="240" w:lineRule="auto"/>
        <w:rPr>
          <w:rFonts w:ascii="Verdana" w:eastAsia="Geomanist Light" w:hAnsi="Verdana" w:cs="Arial"/>
          <w:color w:val="000000" w:themeColor="text1"/>
          <w:lang w:val="es-MX"/>
        </w:rPr>
      </w:pPr>
    </w:p>
    <w:p w14:paraId="6D7F136C" w14:textId="77777777" w:rsidR="00F078F6" w:rsidRDefault="00F078F6" w:rsidP="00F078F6">
      <w:pPr>
        <w:spacing w:after="0" w:line="240" w:lineRule="auto"/>
        <w:rPr>
          <w:rFonts w:ascii="Verdana" w:eastAsia="Geomanist Light" w:hAnsi="Verdana" w:cs="Arial"/>
          <w:color w:val="000000" w:themeColor="text1"/>
          <w:lang w:val="es-MX"/>
        </w:rPr>
      </w:pPr>
    </w:p>
    <w:p w14:paraId="3F18F6F8" w14:textId="77777777" w:rsidR="00F078F6" w:rsidRDefault="00F078F6" w:rsidP="00F078F6">
      <w:pPr>
        <w:spacing w:after="0" w:line="240" w:lineRule="auto"/>
        <w:rPr>
          <w:rFonts w:ascii="Verdana" w:eastAsia="Geomanist Light" w:hAnsi="Verdana" w:cs="Arial"/>
          <w:color w:val="000000" w:themeColor="text1"/>
          <w:lang w:val="es-MX"/>
        </w:rPr>
      </w:pPr>
    </w:p>
    <w:p w14:paraId="3BC74EC0" w14:textId="0C7E2F75" w:rsidR="00F078F6" w:rsidRPr="00241376" w:rsidRDefault="00F078F6" w:rsidP="00F078F6">
      <w:pPr>
        <w:spacing w:after="0" w:line="240" w:lineRule="auto"/>
        <w:rPr>
          <w:rFonts w:ascii="Verdana" w:eastAsia="Geomanist Light" w:hAnsi="Verdana" w:cs="Arial"/>
          <w:color w:val="201F1E"/>
          <w:lang w:val="es-MX"/>
        </w:rPr>
      </w:pPr>
      <w:r w:rsidRPr="00241376">
        <w:rPr>
          <w:rFonts w:ascii="Verdana" w:eastAsia="Geomanist Light" w:hAnsi="Verdana" w:cs="Arial"/>
          <w:color w:val="000000" w:themeColor="text1"/>
          <w:lang w:val="es-MX"/>
        </w:rPr>
        <w:lastRenderedPageBreak/>
        <w:t>Bogotá D.C.,</w:t>
      </w:r>
      <w:r>
        <w:rPr>
          <w:rFonts w:ascii="Verdana" w:eastAsia="Geomanist Light" w:hAnsi="Verdana" w:cs="Arial"/>
          <w:color w:val="000000" w:themeColor="text1"/>
          <w:lang w:val="es-MX"/>
        </w:rPr>
        <w:t xml:space="preserve"> </w:t>
      </w:r>
      <w:r w:rsidR="005835BC">
        <w:rPr>
          <w:rFonts w:ascii="Verdana" w:eastAsia="Geomanist Light" w:hAnsi="Verdana" w:cs="Arial"/>
          <w:color w:val="000000" w:themeColor="text1"/>
        </w:rPr>
        <w:t>09 junio 2026</w:t>
      </w:r>
    </w:p>
    <w:p w14:paraId="6825009A" w14:textId="77777777" w:rsidR="00F078F6" w:rsidRDefault="00F078F6" w:rsidP="00F078F6">
      <w:pPr>
        <w:spacing w:after="0" w:line="278" w:lineRule="auto"/>
        <w:jc w:val="right"/>
        <w:rPr>
          <w:rFonts w:ascii="Verdana" w:eastAsia="Aptos" w:hAnsi="Verdana" w:cs="Times New Roman"/>
          <w:kern w:val="2"/>
          <w14:ligatures w14:val="standardContextual"/>
        </w:rPr>
      </w:pPr>
    </w:p>
    <w:p w14:paraId="6E950084" w14:textId="77777777" w:rsidR="00F078F6" w:rsidRPr="001B3C5D" w:rsidRDefault="00F078F6" w:rsidP="00F078F6">
      <w:pPr>
        <w:spacing w:after="0" w:line="278" w:lineRule="auto"/>
        <w:jc w:val="right"/>
        <w:rPr>
          <w:rFonts w:ascii="Verdana" w:eastAsia="Aptos" w:hAnsi="Verdana" w:cs="Times New Roman"/>
          <w:kern w:val="2"/>
          <w:sz w:val="24"/>
          <w:szCs w:val="24"/>
          <w14:ligatures w14:val="standardContextual"/>
        </w:rPr>
      </w:pPr>
    </w:p>
    <w:p w14:paraId="6541A95C" w14:textId="3021AB4C" w:rsidR="00F078F6" w:rsidRPr="001B3C5D" w:rsidRDefault="005835BC" w:rsidP="00F078F6">
      <w:pPr>
        <w:spacing w:after="0" w:line="240" w:lineRule="auto"/>
        <w:rPr>
          <w:rFonts w:ascii="Verdana" w:eastAsia="Calibri" w:hAnsi="Verdana" w:cs="Arial"/>
          <w:kern w:val="2"/>
          <w:lang w:val="es-ES" w:eastAsia="es-ES"/>
          <w14:ligatures w14:val="standardContextual"/>
        </w:rPr>
      </w:pPr>
      <w:r w:rsidRPr="005835BC">
        <w:rPr>
          <w:rFonts w:ascii="Verdana" w:eastAsia="Times New Roman" w:hAnsi="Verdana" w:cs="Segoe UI"/>
          <w:b/>
          <w:bCs/>
          <w:noProof/>
          <w:color w:val="242424"/>
          <w:lang w:eastAsia="es-CO"/>
        </w:rPr>
        <w:drawing>
          <wp:anchor distT="0" distB="0" distL="114300" distR="114300" simplePos="0" relativeHeight="251658240" behindDoc="1" locked="0" layoutInCell="1" allowOverlap="1" wp14:anchorId="7179DAAA" wp14:editId="16B559AE">
            <wp:simplePos x="0" y="0"/>
            <wp:positionH relativeFrom="margin">
              <wp:align>right</wp:align>
            </wp:positionH>
            <wp:positionV relativeFrom="paragraph">
              <wp:posOffset>11355</wp:posOffset>
            </wp:positionV>
            <wp:extent cx="2912745" cy="807085"/>
            <wp:effectExtent l="0" t="0" r="1905" b="0"/>
            <wp:wrapTight wrapText="bothSides">
              <wp:wrapPolygon edited="0">
                <wp:start x="0" y="0"/>
                <wp:lineTo x="0" y="20903"/>
                <wp:lineTo x="21473" y="20903"/>
                <wp:lineTo x="21473" y="0"/>
                <wp:lineTo x="0" y="0"/>
              </wp:wrapPolygon>
            </wp:wrapTight>
            <wp:docPr id="242907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2745" cy="807085"/>
                    </a:xfrm>
                    <a:prstGeom prst="rect">
                      <a:avLst/>
                    </a:prstGeom>
                    <a:noFill/>
                    <a:ln>
                      <a:noFill/>
                    </a:ln>
                  </pic:spPr>
                </pic:pic>
              </a:graphicData>
            </a:graphic>
          </wp:anchor>
        </w:drawing>
      </w:r>
      <w:r w:rsidR="00F078F6" w:rsidRPr="001B3C5D">
        <w:rPr>
          <w:rFonts w:ascii="Verdana" w:eastAsia="Calibri" w:hAnsi="Verdana" w:cs="Arial"/>
          <w:kern w:val="2"/>
          <w:lang w:val="es-ES" w:eastAsia="es-ES"/>
          <w14:ligatures w14:val="standardContextual"/>
        </w:rPr>
        <w:t>Señor</w:t>
      </w:r>
      <w:r w:rsidR="00F078F6">
        <w:rPr>
          <w:rFonts w:ascii="Verdana" w:eastAsia="Calibri" w:hAnsi="Verdana" w:cs="Arial"/>
          <w:kern w:val="2"/>
          <w:lang w:val="es-ES" w:eastAsia="es-ES"/>
          <w14:ligatures w14:val="standardContextual"/>
        </w:rPr>
        <w:t>(a)</w:t>
      </w:r>
    </w:p>
    <w:p w14:paraId="230B0D5C" w14:textId="105F3930" w:rsidR="00F078F6" w:rsidRPr="00516866" w:rsidRDefault="00F078F6" w:rsidP="00F078F6">
      <w:pPr>
        <w:shd w:val="clear" w:color="auto" w:fill="FFFFFF"/>
        <w:spacing w:after="0" w:line="240" w:lineRule="auto"/>
        <w:textAlignment w:val="baseline"/>
        <w:rPr>
          <w:rFonts w:ascii="Verdana" w:eastAsia="Times New Roman" w:hAnsi="Verdana" w:cs="Segoe UI"/>
          <w:b/>
          <w:bCs/>
          <w:color w:val="242424"/>
          <w:lang w:eastAsia="es-CO"/>
        </w:rPr>
      </w:pPr>
      <w:r>
        <w:rPr>
          <w:rFonts w:ascii="Verdana" w:eastAsia="Times New Roman" w:hAnsi="Verdana" w:cs="Segoe UI"/>
          <w:b/>
          <w:bCs/>
          <w:color w:val="242424"/>
          <w:lang w:eastAsia="es-CO"/>
        </w:rPr>
        <w:t>Anónimo</w:t>
      </w:r>
    </w:p>
    <w:p w14:paraId="7A0C3B37" w14:textId="77777777" w:rsidR="00F078F6" w:rsidRPr="00FE3DFA" w:rsidRDefault="00F078F6" w:rsidP="00F078F6">
      <w:pPr>
        <w:spacing w:after="0" w:line="240" w:lineRule="auto"/>
        <w:rPr>
          <w:rFonts w:ascii="Verdana" w:hAnsi="Verdana"/>
        </w:rPr>
      </w:pPr>
      <w:hyperlink r:id="rId8" w:history="1">
        <w:r w:rsidRPr="00FE3DFA">
          <w:rPr>
            <w:rStyle w:val="Hipervnculo"/>
            <w:rFonts w:ascii="Verdana" w:hAnsi="Verdana"/>
          </w:rPr>
          <w:t>ivanoozo@gmail.com</w:t>
        </w:r>
      </w:hyperlink>
    </w:p>
    <w:p w14:paraId="4248A10B" w14:textId="77777777" w:rsidR="00F078F6" w:rsidRPr="001B3C5D" w:rsidRDefault="00F078F6" w:rsidP="00F078F6">
      <w:pPr>
        <w:spacing w:after="0" w:line="240" w:lineRule="auto"/>
        <w:rPr>
          <w:rFonts w:ascii="Verdana" w:eastAsia="Calibri" w:hAnsi="Verdana" w:cs="Arial"/>
          <w:lang w:val="es-ES_tradnl" w:eastAsia="es-ES_tradnl"/>
        </w:rPr>
      </w:pPr>
      <w:r>
        <w:rPr>
          <w:rFonts w:ascii="Verdana" w:eastAsia="Calibri" w:hAnsi="Verdana" w:cs="Arial"/>
          <w:kern w:val="2"/>
          <w:lang w:val="es-ES" w:eastAsia="es-ES"/>
          <w14:ligatures w14:val="standardContextual"/>
        </w:rPr>
        <w:t>Ciudad</w:t>
      </w:r>
    </w:p>
    <w:p w14:paraId="77570AC5" w14:textId="77777777" w:rsidR="00F078F6" w:rsidRDefault="00F078F6" w:rsidP="00F078F6">
      <w:pPr>
        <w:spacing w:after="0" w:line="240" w:lineRule="auto"/>
        <w:rPr>
          <w:rFonts w:ascii="Verdana" w:eastAsia="Calibri" w:hAnsi="Verdana" w:cs="Arial"/>
          <w:b/>
          <w:bCs/>
          <w:lang w:val="es-ES_tradnl" w:eastAsia="es-ES_tradnl"/>
        </w:rPr>
      </w:pPr>
    </w:p>
    <w:p w14:paraId="6145175C" w14:textId="77777777" w:rsidR="00F078F6" w:rsidRPr="001B3C5D" w:rsidRDefault="00F078F6" w:rsidP="00F078F6">
      <w:pPr>
        <w:spacing w:after="0" w:line="240" w:lineRule="auto"/>
        <w:rPr>
          <w:rFonts w:ascii="Verdana" w:eastAsia="Calibri" w:hAnsi="Verdana" w:cs="Arial"/>
          <w:b/>
          <w:bCs/>
          <w:lang w:val="es-ES_tradnl" w:eastAsia="es-ES_tradnl"/>
        </w:rPr>
      </w:pPr>
    </w:p>
    <w:tbl>
      <w:tblPr>
        <w:tblStyle w:val="Tablaconcuadrcula1"/>
        <w:tblW w:w="8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83"/>
      </w:tblGrid>
      <w:tr w:rsidR="00F078F6" w:rsidRPr="001B3C5D" w14:paraId="0451CBCC" w14:textId="77777777" w:rsidTr="00BB5CE7">
        <w:trPr>
          <w:trHeight w:val="229"/>
        </w:trPr>
        <w:tc>
          <w:tcPr>
            <w:tcW w:w="2552" w:type="dxa"/>
          </w:tcPr>
          <w:p w14:paraId="329DFE90" w14:textId="77777777" w:rsidR="00F078F6" w:rsidRPr="001B3C5D" w:rsidRDefault="00F078F6" w:rsidP="00BB5CE7">
            <w:pPr>
              <w:jc w:val="both"/>
              <w:rPr>
                <w:rFonts w:ascii="Verdana" w:eastAsia="Calibri" w:hAnsi="Verdana" w:cs="Arial"/>
                <w:b/>
                <w:bCs/>
                <w:lang w:val="es-ES_tradnl" w:eastAsia="es-ES_tradnl"/>
              </w:rPr>
            </w:pPr>
          </w:p>
        </w:tc>
        <w:tc>
          <w:tcPr>
            <w:tcW w:w="6383" w:type="dxa"/>
          </w:tcPr>
          <w:p w14:paraId="723BA17E" w14:textId="77777777" w:rsidR="00F078F6" w:rsidRPr="001B3C5D" w:rsidRDefault="00F078F6" w:rsidP="00BB5CE7">
            <w:pPr>
              <w:jc w:val="both"/>
              <w:rPr>
                <w:rFonts w:ascii="Verdana" w:eastAsia="Calibri" w:hAnsi="Verdana" w:cs="Arial"/>
                <w:b/>
                <w:bCs/>
                <w:lang w:val="es-ES" w:eastAsia="es-ES"/>
              </w:rPr>
            </w:pPr>
            <w:r w:rsidRPr="001B3C5D">
              <w:rPr>
                <w:rFonts w:ascii="Verdana" w:eastAsia="Calibri" w:hAnsi="Verdana" w:cs="Arial"/>
                <w:b/>
                <w:bCs/>
                <w:lang w:val="es-ES" w:eastAsia="es-ES"/>
              </w:rPr>
              <w:t>Concepto C–</w:t>
            </w:r>
            <w:r>
              <w:rPr>
                <w:rFonts w:ascii="Verdana" w:eastAsia="Calibri" w:hAnsi="Verdana" w:cs="Arial"/>
                <w:b/>
                <w:bCs/>
                <w:lang w:val="es-ES" w:eastAsia="es-ES"/>
              </w:rPr>
              <w:t>723</w:t>
            </w:r>
            <w:r w:rsidRPr="001B3C5D">
              <w:rPr>
                <w:rFonts w:ascii="Verdana" w:eastAsia="Calibri" w:hAnsi="Verdana" w:cs="Arial"/>
                <w:b/>
                <w:bCs/>
                <w:lang w:val="es-ES" w:eastAsia="es-ES"/>
              </w:rPr>
              <w:t xml:space="preserve"> de 2026</w:t>
            </w:r>
          </w:p>
          <w:p w14:paraId="74AF4E0A" w14:textId="77777777" w:rsidR="00F078F6" w:rsidRPr="001B3C5D" w:rsidRDefault="00F078F6" w:rsidP="00BB5CE7">
            <w:pPr>
              <w:jc w:val="both"/>
              <w:rPr>
                <w:rFonts w:ascii="Verdana" w:eastAsia="Calibri" w:hAnsi="Verdana" w:cs="Arial"/>
                <w:b/>
                <w:bCs/>
                <w:lang w:val="es-ES" w:eastAsia="es-ES"/>
              </w:rPr>
            </w:pPr>
          </w:p>
        </w:tc>
      </w:tr>
    </w:tbl>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078F6" w:rsidRPr="00132CCC" w14:paraId="5508912A" w14:textId="77777777" w:rsidTr="00BB5CE7">
        <w:trPr>
          <w:trHeight w:val="884"/>
        </w:trPr>
        <w:tc>
          <w:tcPr>
            <w:tcW w:w="2689" w:type="dxa"/>
          </w:tcPr>
          <w:p w14:paraId="510415D1" w14:textId="77777777" w:rsidR="00F078F6" w:rsidRPr="00474910" w:rsidRDefault="00F078F6" w:rsidP="00BB5CE7">
            <w:pPr>
              <w:jc w:val="both"/>
              <w:rPr>
                <w:rFonts w:ascii="Verdana" w:eastAsia="Calibri" w:hAnsi="Verdana" w:cs="Arial"/>
                <w:color w:val="000000"/>
                <w:lang w:val="es-ES_tradnl" w:eastAsia="es-ES_tradnl"/>
              </w:rPr>
            </w:pPr>
            <w:r w:rsidRPr="00474910">
              <w:rPr>
                <w:rFonts w:ascii="Verdana" w:eastAsia="Calibri" w:hAnsi="Verdana" w:cs="Arial"/>
                <w:b/>
                <w:color w:val="000000"/>
                <w:lang w:val="es-ES_tradnl" w:eastAsia="es-ES_tradnl"/>
              </w:rPr>
              <w:t>Temas:</w:t>
            </w:r>
            <w:r w:rsidRPr="00474910">
              <w:rPr>
                <w:rFonts w:ascii="Verdana" w:eastAsia="Calibri" w:hAnsi="Verdana" w:cs="Arial"/>
                <w:color w:val="000000"/>
                <w:lang w:val="es-ES_tradnl" w:eastAsia="es-ES_tradnl"/>
              </w:rPr>
              <w:t xml:space="preserve">                   </w:t>
            </w:r>
          </w:p>
        </w:tc>
        <w:tc>
          <w:tcPr>
            <w:tcW w:w="6100" w:type="dxa"/>
          </w:tcPr>
          <w:p w14:paraId="24C5E26C" w14:textId="77777777" w:rsidR="00F078F6" w:rsidRDefault="00F078F6" w:rsidP="00BB5CE7">
            <w:pPr>
              <w:spacing w:line="276" w:lineRule="auto"/>
              <w:jc w:val="both"/>
              <w:rPr>
                <w:rFonts w:ascii="Verdana" w:eastAsia="Calibri" w:hAnsi="Verdana" w:cs="Arial"/>
                <w:lang w:eastAsia="es-ES"/>
              </w:rPr>
            </w:pPr>
            <w:r w:rsidRPr="00132CCC">
              <w:rPr>
                <w:rFonts w:ascii="Verdana" w:eastAsia="Calibri" w:hAnsi="Verdana" w:cs="Arial"/>
                <w:lang w:eastAsia="es-ES"/>
              </w:rPr>
              <w:t xml:space="preserve">CONVOCATORIAS LIMITADAS A MIPYMES NACIONALES – Requisitos – </w:t>
            </w:r>
            <w:r>
              <w:rPr>
                <w:rFonts w:ascii="Verdana" w:eastAsia="Calibri" w:hAnsi="Verdana" w:cs="Arial"/>
                <w:lang w:eastAsia="es-ES"/>
              </w:rPr>
              <w:t>P</w:t>
            </w:r>
            <w:r w:rsidRPr="00132CCC">
              <w:rPr>
                <w:rFonts w:ascii="Verdana" w:eastAsia="Calibri" w:hAnsi="Verdana" w:cs="Arial"/>
                <w:lang w:eastAsia="es-ES"/>
              </w:rPr>
              <w:t>resupuestos mínimos</w:t>
            </w:r>
            <w:r>
              <w:rPr>
                <w:rFonts w:ascii="Verdana" w:eastAsia="Calibri" w:hAnsi="Verdana" w:cs="Arial"/>
                <w:lang w:eastAsia="es-ES"/>
              </w:rPr>
              <w:t xml:space="preserve"> / </w:t>
            </w:r>
            <w:r w:rsidRPr="00132CCC">
              <w:rPr>
                <w:rFonts w:ascii="Verdana" w:eastAsia="Calibri" w:hAnsi="Verdana" w:cs="Arial"/>
                <w:lang w:eastAsia="es-ES"/>
              </w:rPr>
              <w:t>CONVOCATORIAS LIMITADAS A MIPYMES EN EL ÁMBITO TERRITORIAL – Limitación territorial – Facultad discrecional</w:t>
            </w:r>
            <w:r>
              <w:rPr>
                <w:rFonts w:ascii="Verdana" w:eastAsia="Calibri" w:hAnsi="Verdana" w:cs="Arial"/>
                <w:lang w:eastAsia="es-ES"/>
              </w:rPr>
              <w:t xml:space="preserve"> / </w:t>
            </w:r>
            <w:r w:rsidRPr="00D63FDA">
              <w:rPr>
                <w:rFonts w:ascii="Verdana" w:eastAsia="Calibri" w:hAnsi="Verdana" w:cs="Arial"/>
                <w:lang w:eastAsia="es-ES"/>
              </w:rPr>
              <w:t>CONVOCATORIAS LIMITADAS A MIPYMES EN EL ÁMBITO TERRITORIAL – Domicilio en lugar de ejecución</w:t>
            </w:r>
            <w:r>
              <w:rPr>
                <w:rFonts w:ascii="Verdana" w:eastAsia="Calibri" w:hAnsi="Verdana" w:cs="Arial"/>
                <w:lang w:eastAsia="es-ES"/>
              </w:rPr>
              <w:t xml:space="preserve"> / </w:t>
            </w:r>
            <w:r w:rsidRPr="00D63FDA">
              <w:rPr>
                <w:rFonts w:ascii="Verdana" w:eastAsia="Calibri" w:hAnsi="Verdana" w:cs="Arial"/>
                <w:lang w:eastAsia="es-ES"/>
              </w:rPr>
              <w:t>CONVOCATORIAS LIMITADAS A MIPYMES EN EL ÁMBITO TERRITORIAL –</w:t>
            </w:r>
            <w:r>
              <w:rPr>
                <w:rFonts w:ascii="Verdana" w:eastAsia="Calibri" w:hAnsi="Verdana" w:cs="Arial"/>
                <w:lang w:eastAsia="es-ES"/>
              </w:rPr>
              <w:t xml:space="preserve"> C</w:t>
            </w:r>
            <w:r w:rsidRPr="00D63FDA">
              <w:rPr>
                <w:rFonts w:ascii="Verdana" w:eastAsia="Calibri" w:hAnsi="Verdana" w:cs="Arial"/>
                <w:lang w:eastAsia="es-ES"/>
              </w:rPr>
              <w:t>ircunscripciones municipal y departamental</w:t>
            </w:r>
            <w:r>
              <w:rPr>
                <w:rFonts w:ascii="Verdana" w:eastAsia="Calibri" w:hAnsi="Verdana" w:cs="Arial"/>
                <w:lang w:eastAsia="es-ES"/>
              </w:rPr>
              <w:t xml:space="preserve"> </w:t>
            </w:r>
          </w:p>
          <w:p w14:paraId="568C0780" w14:textId="77777777" w:rsidR="00F078F6" w:rsidRPr="00132CCC" w:rsidRDefault="00F078F6" w:rsidP="00BB5CE7">
            <w:pPr>
              <w:jc w:val="both"/>
              <w:rPr>
                <w:rFonts w:ascii="Verdana" w:eastAsia="Calibri" w:hAnsi="Verdana" w:cs="Arial"/>
                <w:highlight w:val="yellow"/>
                <w:lang w:eastAsia="es-ES"/>
              </w:rPr>
            </w:pPr>
          </w:p>
        </w:tc>
      </w:tr>
      <w:tr w:rsidR="00F078F6" w:rsidRPr="00474910" w14:paraId="7DC43405" w14:textId="77777777" w:rsidTr="00BB5CE7">
        <w:tc>
          <w:tcPr>
            <w:tcW w:w="2689" w:type="dxa"/>
          </w:tcPr>
          <w:p w14:paraId="44B5E607" w14:textId="77777777" w:rsidR="00F078F6" w:rsidRPr="00474910" w:rsidRDefault="00F078F6" w:rsidP="00BB5CE7">
            <w:pPr>
              <w:jc w:val="both"/>
              <w:rPr>
                <w:rFonts w:ascii="Verdana" w:eastAsia="Calibri" w:hAnsi="Verdana" w:cs="Arial"/>
                <w:b/>
                <w:lang w:val="es-ES_tradnl" w:eastAsia="es-ES_tradnl"/>
              </w:rPr>
            </w:pPr>
            <w:r w:rsidRPr="00474910">
              <w:rPr>
                <w:rFonts w:ascii="Verdana" w:eastAsia="Calibri" w:hAnsi="Verdana" w:cs="Arial"/>
                <w:b/>
                <w:lang w:val="es-ES_tradnl" w:eastAsia="es-ES_tradnl"/>
              </w:rPr>
              <w:t>Radicación:</w:t>
            </w:r>
            <w:r w:rsidRPr="00474910">
              <w:rPr>
                <w:rFonts w:ascii="Verdana" w:eastAsia="Calibri" w:hAnsi="Verdana" w:cs="Arial"/>
                <w:lang w:val="es-ES_tradnl" w:eastAsia="es-ES_tradnl"/>
              </w:rPr>
              <w:t xml:space="preserve">               </w:t>
            </w:r>
          </w:p>
        </w:tc>
        <w:tc>
          <w:tcPr>
            <w:tcW w:w="6100" w:type="dxa"/>
          </w:tcPr>
          <w:p w14:paraId="1146785B" w14:textId="77777777" w:rsidR="00F078F6" w:rsidRPr="00FC764E" w:rsidRDefault="00F078F6" w:rsidP="00BB5CE7">
            <w:pPr>
              <w:jc w:val="both"/>
              <w:rPr>
                <w:rFonts w:ascii="Verdana" w:eastAsia="Calibri" w:hAnsi="Verdana" w:cs="Arial"/>
                <w:lang w:eastAsia="es-ES_tradnl"/>
              </w:rPr>
            </w:pPr>
            <w:r w:rsidRPr="00474910">
              <w:rPr>
                <w:rFonts w:ascii="Verdana" w:eastAsia="Calibri" w:hAnsi="Verdana" w:cs="Arial"/>
                <w:lang w:val="es-ES_tradnl" w:eastAsia="es-ES_tradnl"/>
              </w:rPr>
              <w:t xml:space="preserve">Respuesta a la consulta con radicado No. </w:t>
            </w:r>
            <w:r w:rsidRPr="00FC764E">
              <w:rPr>
                <w:rFonts w:ascii="Verdana" w:eastAsia="Calibri" w:hAnsi="Verdana" w:cs="Arial"/>
                <w:lang w:eastAsia="es-ES_tradnl"/>
              </w:rPr>
              <w:t>1_2026_04_30_005909</w:t>
            </w:r>
          </w:p>
          <w:p w14:paraId="5783FE6B" w14:textId="77777777" w:rsidR="00F078F6" w:rsidRPr="00474910" w:rsidRDefault="00F078F6" w:rsidP="00BB5CE7">
            <w:pPr>
              <w:jc w:val="both"/>
              <w:rPr>
                <w:rFonts w:ascii="Verdana" w:eastAsia="Calibri" w:hAnsi="Verdana" w:cs="Arial"/>
                <w:lang w:eastAsia="es-ES_tradnl"/>
              </w:rPr>
            </w:pPr>
          </w:p>
        </w:tc>
      </w:tr>
    </w:tbl>
    <w:p w14:paraId="6B0CAC42" w14:textId="77777777" w:rsidR="00F078F6" w:rsidRPr="001B3C5D" w:rsidRDefault="00F078F6" w:rsidP="00F078F6">
      <w:pPr>
        <w:spacing w:after="0" w:line="240" w:lineRule="auto"/>
        <w:jc w:val="both"/>
        <w:rPr>
          <w:rFonts w:ascii="Verdana" w:eastAsia="Calibri" w:hAnsi="Verdana" w:cs="Arial"/>
          <w:lang w:val="es-ES_tradnl" w:eastAsia="es-ES_tradnl"/>
        </w:rPr>
      </w:pPr>
    </w:p>
    <w:p w14:paraId="60395756" w14:textId="77777777" w:rsidR="00F078F6" w:rsidRDefault="00F078F6" w:rsidP="00F078F6">
      <w:pPr>
        <w:spacing w:after="0" w:line="276" w:lineRule="auto"/>
        <w:jc w:val="both"/>
        <w:rPr>
          <w:rFonts w:ascii="Verdana" w:eastAsia="Calibri" w:hAnsi="Verdana" w:cs="Arial"/>
          <w:lang w:val="es-ES" w:eastAsia="es-ES"/>
        </w:rPr>
      </w:pPr>
    </w:p>
    <w:p w14:paraId="12D865B9" w14:textId="77777777" w:rsidR="00F078F6" w:rsidRPr="001B3C5D" w:rsidRDefault="00F078F6" w:rsidP="00F078F6">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Estimad</w:t>
      </w:r>
      <w:r>
        <w:rPr>
          <w:rFonts w:ascii="Verdana" w:eastAsia="Calibri" w:hAnsi="Verdana" w:cs="Arial"/>
          <w:lang w:val="es-ES" w:eastAsia="es-ES"/>
        </w:rPr>
        <w:t xml:space="preserve">o </w:t>
      </w:r>
      <w:r w:rsidRPr="001B3C5D">
        <w:rPr>
          <w:rFonts w:ascii="Verdana" w:eastAsia="Calibri" w:hAnsi="Verdana" w:cs="Arial"/>
          <w:lang w:val="es-ES" w:eastAsia="es-ES"/>
        </w:rPr>
        <w:t>señor</w:t>
      </w:r>
      <w:r>
        <w:rPr>
          <w:rFonts w:ascii="Verdana" w:eastAsia="Calibri" w:hAnsi="Verdana" w:cs="Arial"/>
          <w:lang w:val="es-ES" w:eastAsia="es-ES"/>
        </w:rPr>
        <w:t>(a)</w:t>
      </w:r>
      <w:r w:rsidRPr="001B3C5D">
        <w:rPr>
          <w:rFonts w:ascii="Verdana" w:eastAsia="Calibri" w:hAnsi="Verdana" w:cs="Arial"/>
          <w:kern w:val="2"/>
          <w:lang w:eastAsia="es-ES_tradnl"/>
          <w14:ligatures w14:val="standardContextual"/>
        </w:rPr>
        <w:t>:</w:t>
      </w:r>
      <w:r w:rsidRPr="001B3C5D">
        <w:rPr>
          <w:rFonts w:ascii="Verdana" w:eastAsia="Calibri" w:hAnsi="Verdana" w:cs="Arial"/>
          <w:lang w:val="es-ES" w:eastAsia="es-ES"/>
        </w:rPr>
        <w:t xml:space="preserve"> </w:t>
      </w:r>
    </w:p>
    <w:p w14:paraId="12C317C4" w14:textId="77777777" w:rsidR="00F078F6" w:rsidRPr="001B3C5D" w:rsidRDefault="00F078F6" w:rsidP="00F078F6">
      <w:pPr>
        <w:tabs>
          <w:tab w:val="left" w:pos="3768"/>
        </w:tabs>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 </w:t>
      </w:r>
    </w:p>
    <w:p w14:paraId="61737E76" w14:textId="77777777" w:rsidR="00F078F6" w:rsidRPr="001B3C5D" w:rsidRDefault="00F078F6" w:rsidP="00F078F6">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En ejercicio de la competencia otorgada por los artículos 3, numeral 5º, y 11, numeral 8º, del Decreto Ley 4170 de 2011,</w:t>
      </w:r>
      <w:r w:rsidRPr="001B3C5D">
        <w:rPr>
          <w:rFonts w:ascii="Verdana" w:eastAsia="Arial MT" w:hAnsi="Verdana" w:cs="Arial MT"/>
          <w:lang w:val="es-ES" w:eastAsia="es-ES"/>
        </w:rPr>
        <w:t xml:space="preserve"> </w:t>
      </w:r>
      <w:r w:rsidRPr="001B3C5D">
        <w:rPr>
          <w:rFonts w:ascii="Verdana" w:eastAsia="Calibri" w:hAnsi="Verdana" w:cs="Arial"/>
        </w:rPr>
        <w:t xml:space="preserve">así como lo establecido en la Resolución No. 469 del 2025 expedida por esta Entidad, </w:t>
      </w:r>
      <w:r w:rsidRPr="001B3C5D">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30</w:t>
      </w:r>
      <w:r w:rsidRPr="001B3C5D">
        <w:rPr>
          <w:rFonts w:ascii="Verdana" w:eastAsia="Calibri" w:hAnsi="Verdana" w:cs="Arial"/>
          <w:lang w:val="es-ES" w:eastAsia="es-ES"/>
        </w:rPr>
        <w:t xml:space="preserve"> de </w:t>
      </w:r>
      <w:r>
        <w:rPr>
          <w:rFonts w:ascii="Verdana" w:eastAsia="Calibri" w:hAnsi="Verdana" w:cs="Arial"/>
          <w:lang w:val="es-ES" w:eastAsia="es-ES"/>
        </w:rPr>
        <w:t>abril</w:t>
      </w:r>
      <w:r w:rsidRPr="001B3C5D">
        <w:rPr>
          <w:rFonts w:ascii="Verdana" w:eastAsia="Calibri" w:hAnsi="Verdana" w:cs="Arial"/>
          <w:lang w:val="es-ES" w:eastAsia="es-ES"/>
        </w:rPr>
        <w:t xml:space="preserve"> de 2026, en la cual</w:t>
      </w:r>
      <w:r>
        <w:rPr>
          <w:rFonts w:ascii="Verdana" w:eastAsia="Calibri" w:hAnsi="Verdana" w:cs="Arial"/>
          <w:lang w:val="es-ES" w:eastAsia="es-ES"/>
        </w:rPr>
        <w:t xml:space="preserve"> </w:t>
      </w:r>
      <w:r w:rsidRPr="001B3C5D">
        <w:rPr>
          <w:rFonts w:ascii="Verdana" w:eastAsia="Calibri" w:hAnsi="Verdana" w:cs="Arial"/>
          <w:lang w:val="es-ES" w:eastAsia="es-ES"/>
        </w:rPr>
        <w:t>manifiesta lo siguiente:</w:t>
      </w:r>
    </w:p>
    <w:p w14:paraId="26C760EA" w14:textId="77777777" w:rsidR="00F078F6" w:rsidRPr="001B3C5D" w:rsidRDefault="00F078F6" w:rsidP="00F078F6">
      <w:pPr>
        <w:spacing w:after="0" w:line="276" w:lineRule="auto"/>
        <w:jc w:val="both"/>
        <w:rPr>
          <w:rFonts w:ascii="Verdana" w:eastAsia="Calibri" w:hAnsi="Verdana" w:cs="Arial"/>
          <w:lang w:val="es-ES" w:eastAsia="es-ES"/>
        </w:rPr>
      </w:pPr>
    </w:p>
    <w:p w14:paraId="49DDC800" w14:textId="77777777" w:rsidR="00F078F6" w:rsidRPr="006A3DEF" w:rsidRDefault="00F078F6" w:rsidP="00F078F6">
      <w:pPr>
        <w:shd w:val="clear" w:color="auto" w:fill="FFFFFF"/>
        <w:spacing w:after="0" w:line="276" w:lineRule="auto"/>
        <w:ind w:left="709" w:right="760"/>
        <w:jc w:val="both"/>
        <w:textAlignment w:val="baseline"/>
        <w:rPr>
          <w:rFonts w:ascii="Verdana" w:eastAsia="Times New Roman" w:hAnsi="Verdana" w:cs="Calibri"/>
          <w:color w:val="000000"/>
          <w:sz w:val="20"/>
          <w:szCs w:val="20"/>
          <w:lang w:eastAsia="es-CO"/>
        </w:rPr>
      </w:pPr>
      <w:r w:rsidRPr="00A45046">
        <w:rPr>
          <w:rFonts w:ascii="Verdana" w:eastAsia="Aptos" w:hAnsi="Verdana" w:cs="Helvetica"/>
          <w:color w:val="000000"/>
          <w:sz w:val="20"/>
          <w:szCs w:val="20"/>
          <w14:ligatures w14:val="standardContextual"/>
        </w:rPr>
        <w:t>“</w:t>
      </w:r>
      <w:r>
        <w:rPr>
          <w:rFonts w:ascii="Verdana" w:eastAsia="Aptos" w:hAnsi="Verdana" w:cs="Helvetica"/>
          <w:color w:val="000000"/>
          <w:sz w:val="20"/>
          <w:szCs w:val="20"/>
          <w14:ligatures w14:val="standardContextual"/>
        </w:rPr>
        <w:t xml:space="preserve">(…) </w:t>
      </w:r>
      <w:r w:rsidRPr="005A6CE8">
        <w:rPr>
          <w:rFonts w:ascii="Verdana" w:eastAsia="Aptos" w:hAnsi="Verdana" w:cs="Helvetica"/>
          <w:color w:val="000000"/>
          <w:sz w:val="20"/>
          <w:szCs w:val="20"/>
          <w14:ligatures w14:val="standardContextual"/>
        </w:rPr>
        <w:t>¿Es jurídicamente viable que una entidad estatal, en el marco de un</w:t>
      </w:r>
      <w:r>
        <w:rPr>
          <w:rFonts w:ascii="Verdana" w:eastAsia="Aptos" w:hAnsi="Verdana" w:cs="Helvetica"/>
          <w:color w:val="000000"/>
          <w:sz w:val="20"/>
          <w:szCs w:val="20"/>
          <w14:ligatures w14:val="standardContextual"/>
        </w:rPr>
        <w:t xml:space="preserve"> p</w:t>
      </w:r>
      <w:r w:rsidRPr="006A3DEF">
        <w:rPr>
          <w:rFonts w:ascii="Verdana" w:eastAsia="Times New Roman" w:hAnsi="Verdana" w:cs="Calibri"/>
          <w:color w:val="000000"/>
          <w:sz w:val="20"/>
          <w:szCs w:val="20"/>
          <w:lang w:eastAsia="es-CO"/>
        </w:rPr>
        <w:t>roceso de selección limitado a MIPYME territorial, rechace una</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propuesta cuando evidencie que el cambio de domicilio del proponente</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fue realizado pocos días antes del cierre del proceso, con el propósito de</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 xml:space="preserve">cumplir </w:t>
      </w:r>
      <w:r w:rsidRPr="006A3DEF">
        <w:rPr>
          <w:rFonts w:ascii="Verdana" w:eastAsia="Times New Roman" w:hAnsi="Verdana" w:cs="Calibri"/>
          <w:color w:val="000000"/>
          <w:sz w:val="20"/>
          <w:szCs w:val="20"/>
          <w:lang w:eastAsia="es-CO"/>
        </w:rPr>
        <w:lastRenderedPageBreak/>
        <w:t>formalmente el requisito territorial, sin que exista una presencia</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material real en la jurisdicción?</w:t>
      </w:r>
    </w:p>
    <w:p w14:paraId="5C4E7D6B" w14:textId="77777777" w:rsidR="00F078F6" w:rsidRDefault="00F078F6" w:rsidP="00F078F6">
      <w:pPr>
        <w:shd w:val="clear" w:color="auto" w:fill="FFFFFF"/>
        <w:spacing w:after="0" w:line="276" w:lineRule="auto"/>
        <w:ind w:left="709" w:right="760"/>
        <w:jc w:val="both"/>
        <w:textAlignment w:val="baseline"/>
        <w:rPr>
          <w:rFonts w:ascii="Verdana" w:eastAsia="Times New Roman" w:hAnsi="Verdana" w:cs="Calibri"/>
          <w:color w:val="000000"/>
          <w:sz w:val="20"/>
          <w:szCs w:val="20"/>
          <w:lang w:eastAsia="es-CO"/>
        </w:rPr>
      </w:pPr>
      <w:r w:rsidRPr="006A3DEF">
        <w:rPr>
          <w:rFonts w:ascii="Verdana" w:eastAsia="Times New Roman" w:hAnsi="Verdana" w:cs="Calibri"/>
          <w:color w:val="000000"/>
          <w:sz w:val="20"/>
          <w:szCs w:val="20"/>
          <w:lang w:eastAsia="es-CO"/>
        </w:rPr>
        <w:t>2. ¿Qué criterios objetivos, verificables y jurídicamente soportados</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pueden aplicar las entidades estatales para determinar la existencia de</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una conducta abusiva, simulación o fraude a la norma en estos casos?</w:t>
      </w:r>
      <w:r>
        <w:rPr>
          <w:rFonts w:ascii="Verdana" w:eastAsia="Times New Roman" w:hAnsi="Verdana" w:cs="Calibri"/>
          <w:color w:val="000000"/>
          <w:sz w:val="20"/>
          <w:szCs w:val="20"/>
          <w:lang w:eastAsia="es-CO"/>
        </w:rPr>
        <w:t xml:space="preserve"> </w:t>
      </w:r>
    </w:p>
    <w:p w14:paraId="4A2E4E68" w14:textId="77777777" w:rsidR="00F078F6" w:rsidRDefault="00F078F6" w:rsidP="00F078F6">
      <w:pPr>
        <w:shd w:val="clear" w:color="auto" w:fill="FFFFFF"/>
        <w:spacing w:after="0" w:line="276" w:lineRule="auto"/>
        <w:ind w:left="709" w:right="760"/>
        <w:jc w:val="both"/>
        <w:textAlignment w:val="baseline"/>
        <w:rPr>
          <w:rFonts w:ascii="Verdana" w:eastAsia="Times New Roman" w:hAnsi="Verdana" w:cs="Calibri"/>
          <w:color w:val="000000"/>
          <w:sz w:val="20"/>
          <w:szCs w:val="20"/>
          <w:lang w:eastAsia="es-CO"/>
        </w:rPr>
      </w:pPr>
      <w:r w:rsidRPr="006A3DEF">
        <w:rPr>
          <w:rFonts w:ascii="Verdana" w:eastAsia="Times New Roman" w:hAnsi="Verdana" w:cs="Calibri"/>
          <w:color w:val="000000"/>
          <w:sz w:val="20"/>
          <w:szCs w:val="20"/>
          <w:lang w:eastAsia="es-CO"/>
        </w:rPr>
        <w:t>¿El simple cumplimiento formal del requisito de domicilio (registro</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mercantil) resulta suficiente para acreditar la condición territorial</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exigida, o las entidades pueden, y en qué medida, evaluar la realidad</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material del establecimiento empresarial (capacidad operativa,</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presencia física, ejecución de actividades económicas en el territorio,</w:t>
      </w:r>
      <w:r>
        <w:rPr>
          <w:rFonts w:ascii="Verdana" w:eastAsia="Times New Roman" w:hAnsi="Verdana" w:cs="Calibri"/>
          <w:color w:val="000000"/>
          <w:sz w:val="20"/>
          <w:szCs w:val="20"/>
          <w:lang w:eastAsia="es-CO"/>
        </w:rPr>
        <w:t xml:space="preserve"> </w:t>
      </w:r>
      <w:r w:rsidRPr="006A3DEF">
        <w:rPr>
          <w:rFonts w:ascii="Verdana" w:eastAsia="Times New Roman" w:hAnsi="Verdana" w:cs="Calibri"/>
          <w:color w:val="000000"/>
          <w:sz w:val="20"/>
          <w:szCs w:val="20"/>
          <w:lang w:eastAsia="es-CO"/>
        </w:rPr>
        <w:t>entre otros)?:</w:t>
      </w:r>
      <w:r>
        <w:rPr>
          <w:rFonts w:ascii="Verdana" w:eastAsia="Times New Roman" w:hAnsi="Verdana" w:cs="Calibri"/>
          <w:color w:val="000000"/>
          <w:sz w:val="20"/>
          <w:szCs w:val="20"/>
          <w:lang w:eastAsia="es-CO"/>
        </w:rPr>
        <w:t>”</w:t>
      </w:r>
    </w:p>
    <w:p w14:paraId="6D82D221" w14:textId="77777777" w:rsidR="00F078F6" w:rsidRPr="001B3C5D" w:rsidRDefault="00F078F6" w:rsidP="00F078F6">
      <w:pPr>
        <w:shd w:val="clear" w:color="auto" w:fill="FFFFFF"/>
        <w:spacing w:after="0" w:line="276" w:lineRule="auto"/>
        <w:ind w:left="709" w:right="760"/>
        <w:jc w:val="both"/>
        <w:textAlignment w:val="baseline"/>
        <w:rPr>
          <w:rFonts w:ascii="Verdana" w:eastAsia="Calibri" w:hAnsi="Verdana" w:cs="Arial"/>
          <w:lang w:val="es-ES" w:eastAsia="es-ES"/>
        </w:rPr>
      </w:pPr>
    </w:p>
    <w:p w14:paraId="4EC440D6" w14:textId="77777777" w:rsidR="00F078F6" w:rsidRPr="001B3C5D" w:rsidRDefault="00F078F6" w:rsidP="00F078F6">
      <w:pPr>
        <w:spacing w:after="12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F82D87" w14:textId="77777777" w:rsidR="00F078F6" w:rsidRPr="001B3C5D" w:rsidRDefault="00F078F6" w:rsidP="00F078F6">
      <w:pPr>
        <w:spacing w:after="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problema</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jurídico</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 xml:space="preserve">de su consulta. </w:t>
      </w:r>
    </w:p>
    <w:p w14:paraId="20F78171" w14:textId="77777777" w:rsidR="00F078F6" w:rsidRPr="001B3C5D" w:rsidRDefault="00F078F6" w:rsidP="00F078F6">
      <w:pPr>
        <w:tabs>
          <w:tab w:val="left" w:pos="142"/>
          <w:tab w:val="left" w:pos="284"/>
        </w:tabs>
        <w:spacing w:after="0" w:line="276" w:lineRule="auto"/>
        <w:contextualSpacing/>
        <w:jc w:val="both"/>
        <w:rPr>
          <w:rFonts w:ascii="Verdana" w:eastAsia="Century Gothic" w:hAnsi="Verdana" w:cs="Century Gothic"/>
          <w:b/>
          <w:bCs/>
          <w:lang w:val="es-ES"/>
        </w:rPr>
      </w:pPr>
    </w:p>
    <w:p w14:paraId="522D8705" w14:textId="77777777" w:rsidR="00F078F6" w:rsidRPr="001B3C5D" w:rsidRDefault="00F078F6" w:rsidP="00F078F6">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1. Problema planteado:</w:t>
      </w:r>
    </w:p>
    <w:p w14:paraId="37A1A2C8" w14:textId="77777777" w:rsidR="00F078F6" w:rsidRPr="001B3C5D" w:rsidRDefault="00F078F6" w:rsidP="00F078F6">
      <w:pPr>
        <w:tabs>
          <w:tab w:val="left" w:pos="426"/>
        </w:tabs>
        <w:spacing w:after="0" w:line="276" w:lineRule="auto"/>
        <w:jc w:val="both"/>
        <w:rPr>
          <w:rFonts w:ascii="Verdana" w:eastAsia="Century Gothic" w:hAnsi="Verdana" w:cs="Century Gothic"/>
          <w:lang w:val="es-ES"/>
        </w:rPr>
      </w:pPr>
    </w:p>
    <w:p w14:paraId="4EEEB5F0" w14:textId="77777777" w:rsidR="00F078F6" w:rsidRPr="00F10D09" w:rsidRDefault="00F078F6" w:rsidP="00F078F6">
      <w:pPr>
        <w:spacing w:after="0" w:line="276" w:lineRule="auto"/>
        <w:jc w:val="both"/>
        <w:rPr>
          <w:rFonts w:ascii="Verdana" w:eastAsia="Century Gothic" w:hAnsi="Verdana" w:cs="Century Gothic"/>
        </w:rPr>
      </w:pPr>
      <w:r w:rsidRPr="001B3C5D">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w:t>
      </w:r>
      <w:r w:rsidRPr="00C661E5">
        <w:rPr>
          <w:rFonts w:ascii="Verdana" w:eastAsia="Century Gothic" w:hAnsi="Verdana" w:cs="Century Gothic"/>
        </w:rPr>
        <w:t>¿Cuá</w:t>
      </w:r>
      <w:r>
        <w:rPr>
          <w:rFonts w:ascii="Verdana" w:eastAsia="Century Gothic" w:hAnsi="Verdana" w:cs="Century Gothic"/>
        </w:rPr>
        <w:t>l es el alcance de</w:t>
      </w:r>
      <w:r w:rsidRPr="00C661E5">
        <w:rPr>
          <w:rFonts w:ascii="Verdana" w:eastAsia="Century Gothic" w:hAnsi="Verdana" w:cs="Century Gothic"/>
        </w:rPr>
        <w:t xml:space="preserve"> la limitación</w:t>
      </w:r>
      <w:r>
        <w:rPr>
          <w:rFonts w:ascii="Verdana" w:eastAsia="Century Gothic" w:hAnsi="Verdana" w:cs="Century Gothic"/>
        </w:rPr>
        <w:t xml:space="preserve"> a</w:t>
      </w:r>
      <w:r w:rsidRPr="00C661E5">
        <w:rPr>
          <w:rFonts w:ascii="Verdana" w:eastAsia="Century Gothic" w:hAnsi="Verdana" w:cs="Century Gothic"/>
        </w:rPr>
        <w:t xml:space="preserve"> MiPymes a nivel territorial en un proceso de </w:t>
      </w:r>
      <w:r>
        <w:rPr>
          <w:rFonts w:ascii="Verdana" w:eastAsia="Century Gothic" w:hAnsi="Verdana" w:cs="Century Gothic"/>
        </w:rPr>
        <w:t xml:space="preserve">contratación, de conformidad con lo previsto en el artículo </w:t>
      </w:r>
      <w:r w:rsidRPr="00864A48">
        <w:rPr>
          <w:rFonts w:ascii="Verdana" w:eastAsia="Century Gothic" w:hAnsi="Verdana" w:cs="Century Gothic"/>
        </w:rPr>
        <w:t>2.2.1.2.4.2.3 del Decreto 1082 de 2015, modificado por el Decreto 1860 de 2021</w:t>
      </w:r>
      <w:r w:rsidRPr="00C661E5">
        <w:rPr>
          <w:rFonts w:ascii="Verdana" w:eastAsia="Century Gothic" w:hAnsi="Verdana" w:cs="Century Gothic"/>
        </w:rPr>
        <w:t>?</w:t>
      </w:r>
    </w:p>
    <w:p w14:paraId="36C68584" w14:textId="77777777" w:rsidR="00F078F6" w:rsidRPr="001B3C5D" w:rsidRDefault="00F078F6" w:rsidP="00F078F6">
      <w:pPr>
        <w:spacing w:after="0" w:line="276" w:lineRule="auto"/>
        <w:jc w:val="both"/>
        <w:rPr>
          <w:rFonts w:ascii="Verdana" w:eastAsia="Century Gothic" w:hAnsi="Verdana" w:cs="Century Gothic"/>
          <w:lang w:val="es-ES_tradnl"/>
        </w:rPr>
      </w:pPr>
    </w:p>
    <w:p w14:paraId="78FCDDCF" w14:textId="77777777" w:rsidR="00F078F6" w:rsidRPr="001B3C5D" w:rsidRDefault="00F078F6" w:rsidP="00F078F6">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2. Respuesta:</w:t>
      </w:r>
    </w:p>
    <w:p w14:paraId="17D64BA2" w14:textId="77777777" w:rsidR="00F078F6" w:rsidRPr="001B3C5D" w:rsidRDefault="00F078F6" w:rsidP="00F078F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078F6" w:rsidRPr="001B3C5D" w14:paraId="097A1E88" w14:textId="77777777" w:rsidTr="00BB5CE7">
        <w:trPr>
          <w:trHeight w:val="40"/>
        </w:trPr>
        <w:tc>
          <w:tcPr>
            <w:tcW w:w="8828" w:type="dxa"/>
            <w:tcBorders>
              <w:top w:val="dotted" w:sz="4" w:space="0" w:color="auto"/>
              <w:left w:val="dotted" w:sz="4" w:space="0" w:color="auto"/>
              <w:bottom w:val="dotted" w:sz="4" w:space="0" w:color="auto"/>
              <w:right w:val="dotted" w:sz="4" w:space="0" w:color="auto"/>
            </w:tcBorders>
          </w:tcPr>
          <w:p w14:paraId="13203C07" w14:textId="77777777" w:rsidR="00F078F6" w:rsidRPr="005B1F06" w:rsidRDefault="00F078F6" w:rsidP="00BB5CE7">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L</w:t>
            </w:r>
            <w:r w:rsidRPr="005B1F06">
              <w:rPr>
                <w:rFonts w:ascii="Verdana" w:eastAsia="Calibri" w:hAnsi="Verdana" w:cs="Arial"/>
                <w:color w:val="000000" w:themeColor="text1"/>
              </w:rPr>
              <w:t>a decisión de limitar territorialmente un</w:t>
            </w:r>
            <w:r w:rsidRPr="005B1F06">
              <w:rPr>
                <w:rFonts w:ascii="Verdana" w:hAnsi="Verdana" w:cs="Arial"/>
                <w:color w:val="000000" w:themeColor="text1"/>
              </w:rPr>
              <w:t xml:space="preserve">a convocatoria a MiPymes </w:t>
            </w:r>
            <w:r w:rsidRPr="005B1F06">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5B1F06">
              <w:rPr>
                <w:rFonts w:ascii="Verdana" w:hAnsi="Verdana" w:cs="Arial"/>
                <w:color w:val="000000" w:themeColor="text1"/>
              </w:rPr>
              <w:t>artículo 2.2.1.2.4.2.3. del Decreto 1082 de 2015, indicó que las Mipymes</w:t>
            </w:r>
            <w:r w:rsidRPr="005B1F06">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5B1F06">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56AB9888" w14:textId="77777777" w:rsidR="00F078F6" w:rsidRPr="005B1F06" w:rsidRDefault="00F078F6" w:rsidP="00BB5CE7">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Mipymes colombianas</w:t>
            </w:r>
            <w:r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Pr="005B1F06">
              <w:rPr>
                <w:rFonts w:ascii="Verdana" w:eastAsia="Calibri" w:hAnsi="Verdana" w:cs="Arial"/>
                <w:i/>
                <w:iCs/>
                <w:color w:val="000000" w:themeColor="text1"/>
              </w:rPr>
              <w:t>ibídem</w:t>
            </w:r>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imitada a las Mipymes colombianas</w:t>
            </w:r>
            <w:r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Mipymes las que soliciten la “limitación territorial” a la que se refiere el artículo 2.2.1.2.4.2.3. del Decreto 1082 de 2015. </w:t>
            </w:r>
          </w:p>
          <w:p w14:paraId="100777E5" w14:textId="77777777" w:rsidR="00F078F6" w:rsidRDefault="00F078F6" w:rsidP="00BB5CE7">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Al respecto, </w:t>
            </w:r>
            <w:r w:rsidRPr="005A75AB">
              <w:rPr>
                <w:rFonts w:ascii="Verdana" w:eastAsia="Calibri" w:hAnsi="Verdana" w:cs="Arial"/>
                <w:lang w:val="es-ES"/>
              </w:rPr>
              <w:t xml:space="preserve">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dentro del marco de lo regulado por el artículo 2.2.1.2.4.2.3 </w:t>
            </w:r>
            <w:r w:rsidRPr="005A75AB">
              <w:rPr>
                <w:rFonts w:ascii="Verdana" w:eastAsia="Calibri" w:hAnsi="Verdana" w:cs="Arial"/>
                <w:i/>
                <w:iCs/>
                <w:lang w:val="es-ES"/>
              </w:rPr>
              <w:t>ejusdem</w:t>
            </w:r>
            <w:r w:rsidRPr="005A75AB">
              <w:rPr>
                <w:rFonts w:ascii="Verdana" w:eastAsia="Calibri" w:hAnsi="Verdana" w:cs="Arial"/>
                <w:lang w:val="es-ES"/>
              </w:rPr>
              <w:t xml:space="preserve">, el cual establece como presupuesto que las 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098F418B" w14:textId="77777777" w:rsidR="00F078F6" w:rsidRPr="005A75AB" w:rsidRDefault="00F078F6" w:rsidP="00BB5CE7">
            <w:pPr>
              <w:spacing w:after="120" w:line="276" w:lineRule="auto"/>
              <w:ind w:firstLine="708"/>
              <w:jc w:val="both"/>
              <w:rPr>
                <w:rFonts w:ascii="Verdana" w:eastAsia="Calibri" w:hAnsi="Verdana" w:cs="Arial"/>
                <w:lang w:val="es-ES"/>
              </w:rPr>
            </w:pPr>
            <w:r w:rsidRPr="005A75AB">
              <w:rPr>
                <w:rFonts w:ascii="Verdana" w:eastAsia="Calibri" w:hAnsi="Verdana" w:cs="Arial"/>
                <w:lang w:val="es-ES"/>
              </w:rPr>
              <w:lastRenderedPageBreak/>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57D2318F" w14:textId="77777777" w:rsidR="00F078F6" w:rsidRPr="004147BC" w:rsidRDefault="00F078F6" w:rsidP="00BB5CE7">
            <w:pPr>
              <w:spacing w:after="120" w:line="276" w:lineRule="auto"/>
              <w:ind w:firstLine="708"/>
              <w:jc w:val="both"/>
              <w:rPr>
                <w:rFonts w:ascii="Verdana" w:eastAsia="Calibri" w:hAnsi="Verdana" w:cs="Arial"/>
                <w:lang w:val="es-ES"/>
              </w:rPr>
            </w:pPr>
            <w:r w:rsidRPr="004147BC">
              <w:rPr>
                <w:rFonts w:ascii="Verdana" w:eastAsia="Calibri" w:hAnsi="Verdana" w:cs="Arial"/>
                <w:lang w:val="es-ES"/>
              </w:rPr>
              <w:t xml:space="preserve">En este contexto, y de acuerdo con el objeto de la consulta, si bien la limitación territorial prevista en el artículo 2.2.1.2.4.2.3 del Decreto 1082 de 2015 faculta a las entidades estatales para </w:t>
            </w:r>
            <w:r>
              <w:rPr>
                <w:rFonts w:ascii="Verdana" w:eastAsia="Calibri" w:hAnsi="Verdana" w:cs="Arial"/>
                <w:lang w:val="es-ES"/>
              </w:rPr>
              <w:t>limitar</w:t>
            </w:r>
            <w:r w:rsidRPr="004147BC">
              <w:rPr>
                <w:rFonts w:ascii="Verdana" w:eastAsia="Calibri" w:hAnsi="Verdana" w:cs="Arial"/>
                <w:lang w:val="es-ES"/>
              </w:rPr>
              <w:t xml:space="preserve"> la convocatoria a</w:t>
            </w:r>
            <w:r>
              <w:rPr>
                <w:rFonts w:ascii="Verdana" w:eastAsia="Calibri" w:hAnsi="Verdana" w:cs="Arial"/>
                <w:lang w:val="es-ES"/>
              </w:rPr>
              <w:t xml:space="preserve"> las</w:t>
            </w:r>
            <w:r w:rsidRPr="004147BC">
              <w:rPr>
                <w:rFonts w:ascii="Verdana" w:eastAsia="Calibri" w:hAnsi="Verdana" w:cs="Arial"/>
                <w:lang w:val="es-ES"/>
              </w:rPr>
              <w:t xml:space="preserve"> </w:t>
            </w:r>
            <w:r>
              <w:rPr>
                <w:rFonts w:ascii="Verdana" w:eastAsia="Calibri" w:hAnsi="Verdana" w:cs="Arial"/>
                <w:lang w:val="es-ES"/>
              </w:rPr>
              <w:t>M</w:t>
            </w:r>
            <w:r w:rsidRPr="004147BC">
              <w:rPr>
                <w:rFonts w:ascii="Verdana" w:eastAsia="Calibri" w:hAnsi="Verdana" w:cs="Arial"/>
                <w:lang w:val="es-ES"/>
              </w:rPr>
              <w:t>ipyme</w:t>
            </w:r>
            <w:r>
              <w:rPr>
                <w:rFonts w:ascii="Verdana" w:eastAsia="Calibri" w:hAnsi="Verdana" w:cs="Arial"/>
                <w:lang w:val="es-ES"/>
              </w:rPr>
              <w:t>s</w:t>
            </w:r>
            <w:r w:rsidRPr="004147BC">
              <w:rPr>
                <w:rFonts w:ascii="Verdana" w:eastAsia="Calibri" w:hAnsi="Verdana" w:cs="Arial"/>
                <w:lang w:val="es-ES"/>
              </w:rPr>
              <w:t xml:space="preserve">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35C42067" w14:textId="77777777" w:rsidR="00F078F6" w:rsidRDefault="00F078F6" w:rsidP="00BB5CE7">
            <w:pPr>
              <w:spacing w:after="120" w:line="276" w:lineRule="auto"/>
              <w:ind w:firstLine="708"/>
              <w:jc w:val="both"/>
              <w:rPr>
                <w:rFonts w:ascii="Verdana" w:eastAsia="Calibri" w:hAnsi="Verdana" w:cs="Arial"/>
                <w:lang w:val="es-ES"/>
              </w:rPr>
            </w:pPr>
            <w:r w:rsidRPr="004147BC">
              <w:rPr>
                <w:rFonts w:ascii="Verdana" w:eastAsia="Calibri" w:hAnsi="Verdana" w:cs="Arial"/>
                <w:lang w:val="es-ES"/>
              </w:rPr>
              <w:t xml:space="preserve">En consecuencia, aunque la disposición admite una </w:t>
            </w:r>
            <w:r>
              <w:rPr>
                <w:rFonts w:ascii="Verdana" w:eastAsia="Calibri" w:hAnsi="Verdana" w:cs="Arial"/>
                <w:lang w:val="es-ES"/>
              </w:rPr>
              <w:t>limitación</w:t>
            </w:r>
            <w:r w:rsidRPr="004147BC">
              <w:rPr>
                <w:rFonts w:ascii="Verdana" w:eastAsia="Calibri" w:hAnsi="Verdana" w:cs="Arial"/>
                <w:lang w:val="es-ES"/>
              </w:rPr>
              <w:t xml:space="preserve"> indirecta a la participación</w:t>
            </w:r>
            <w:r>
              <w:rPr>
                <w:rFonts w:ascii="Verdana" w:eastAsia="Calibri" w:hAnsi="Verdana" w:cs="Arial"/>
                <w:lang w:val="es-ES"/>
              </w:rPr>
              <w:t xml:space="preserve">, </w:t>
            </w:r>
            <w:r w:rsidRPr="004147BC">
              <w:rPr>
                <w:rFonts w:ascii="Verdana" w:eastAsia="Calibri" w:hAnsi="Verdana" w:cs="Arial"/>
                <w:lang w:val="es-ES"/>
              </w:rPr>
              <w:t xml:space="preserve">en tanto únicamente podrán concurrir las </w:t>
            </w:r>
            <w:r>
              <w:rPr>
                <w:rFonts w:ascii="Verdana" w:eastAsia="Calibri" w:hAnsi="Verdana" w:cs="Arial"/>
                <w:lang w:val="es-ES"/>
              </w:rPr>
              <w:t>M</w:t>
            </w:r>
            <w:r w:rsidRPr="004147BC">
              <w:rPr>
                <w:rFonts w:ascii="Verdana" w:eastAsia="Calibri" w:hAnsi="Verdana" w:cs="Arial"/>
                <w:lang w:val="es-ES"/>
              </w:rPr>
              <w:t xml:space="preserve">ipymes domiciliadas en </w:t>
            </w:r>
            <w:r>
              <w:rPr>
                <w:rFonts w:ascii="Verdana" w:eastAsia="Calibri" w:hAnsi="Verdana" w:cs="Arial"/>
                <w:lang w:val="es-ES"/>
              </w:rPr>
              <w:t>el</w:t>
            </w:r>
            <w:r w:rsidRPr="004147BC">
              <w:rPr>
                <w:rFonts w:ascii="Verdana" w:eastAsia="Calibri" w:hAnsi="Verdana" w:cs="Arial"/>
                <w:lang w:val="es-ES"/>
              </w:rPr>
              <w:t xml:space="preserve"> respectiv</w:t>
            </w:r>
            <w:r>
              <w:rPr>
                <w:rFonts w:ascii="Verdana" w:eastAsia="Calibri" w:hAnsi="Verdana" w:cs="Arial"/>
                <w:lang w:val="es-ES"/>
              </w:rPr>
              <w:t>o departamento o municipio en donde se ejecutará el contrato</w:t>
            </w:r>
            <w:r w:rsidRPr="004147BC">
              <w:rPr>
                <w:rFonts w:ascii="Verdana" w:eastAsia="Calibri" w:hAnsi="Verdana" w:cs="Arial"/>
                <w:lang w:val="es-ES"/>
              </w:rPr>
              <w:t xml:space="preserve">, ello no significa que la entidad estatal pueda </w:t>
            </w:r>
            <w:r>
              <w:rPr>
                <w:rFonts w:ascii="Verdana" w:eastAsia="Calibri" w:hAnsi="Verdana" w:cs="Arial"/>
                <w:lang w:val="es-ES"/>
              </w:rPr>
              <w:t>establecer</w:t>
            </w:r>
            <w:r w:rsidRPr="004147BC">
              <w:rPr>
                <w:rFonts w:ascii="Verdana" w:eastAsia="Calibri" w:hAnsi="Verdana" w:cs="Arial"/>
                <w:lang w:val="es-ES"/>
              </w:rPr>
              <w:t xml:space="preserve"> limitaciones orientadas a excluir selectivamente determinados municipios o zonas específicas</w:t>
            </w:r>
            <w:r>
              <w:rPr>
                <w:rFonts w:ascii="Verdana" w:eastAsia="Calibri" w:hAnsi="Verdana" w:cs="Arial"/>
                <w:lang w:val="es-ES"/>
              </w:rPr>
              <w:t xml:space="preserve"> si estos hacen parte del respectivo departamento y del lugar ejecución del contrato. L</w:t>
            </w:r>
            <w:r w:rsidRPr="004147BC">
              <w:rPr>
                <w:rFonts w:ascii="Verdana" w:eastAsia="Calibri" w:hAnsi="Verdana" w:cs="Arial"/>
                <w:lang w:val="es-ES"/>
              </w:rPr>
              <w:t xml:space="preserve">a </w:t>
            </w:r>
            <w:r>
              <w:rPr>
                <w:rFonts w:ascii="Verdana" w:eastAsia="Calibri" w:hAnsi="Verdana" w:cs="Arial"/>
                <w:lang w:val="es-ES"/>
              </w:rPr>
              <w:t>norma</w:t>
            </w:r>
            <w:r w:rsidRPr="004147BC">
              <w:rPr>
                <w:rFonts w:ascii="Verdana" w:eastAsia="Calibri" w:hAnsi="Verdana" w:cs="Arial"/>
                <w:lang w:val="es-ES"/>
              </w:rPr>
              <w:t xml:space="preserve"> no contempla la posibilidad de establecer exclusiones territoriales fragmentadas o diferenciadas con fundamento en criterios distintos al lugar de ejecución contractual.</w:t>
            </w:r>
            <w:r>
              <w:rPr>
                <w:rFonts w:ascii="Verdana" w:eastAsia="Calibri" w:hAnsi="Verdana" w:cs="Arial"/>
                <w:lang w:val="es-ES"/>
              </w:rPr>
              <w:t xml:space="preserve"> L</w:t>
            </w:r>
            <w:r w:rsidRPr="004147BC">
              <w:rPr>
                <w:rFonts w:ascii="Verdana" w:eastAsia="Calibri" w:hAnsi="Verdana" w:cs="Arial"/>
                <w:lang w:val="es-ES"/>
              </w:rPr>
              <w:t xml:space="preserve">o contrario implicaría admitir que la entidad contratante puede introducir </w:t>
            </w:r>
            <w:r>
              <w:rPr>
                <w:rFonts w:ascii="Verdana" w:eastAsia="Calibri" w:hAnsi="Verdana" w:cs="Arial"/>
                <w:lang w:val="es-ES"/>
              </w:rPr>
              <w:t xml:space="preserve">limitaciones a convocatorias </w:t>
            </w:r>
            <w:r w:rsidRPr="004147BC">
              <w:rPr>
                <w:rFonts w:ascii="Verdana" w:eastAsia="Calibri" w:hAnsi="Verdana" w:cs="Arial"/>
                <w:lang w:val="es-ES"/>
              </w:rPr>
              <w:t>no previstas por el legislador, afectando los principios de igualdad, libre concurrencia y selección objetiva.</w:t>
            </w:r>
            <w:r>
              <w:rPr>
                <w:rFonts w:ascii="Verdana" w:eastAsia="Calibri" w:hAnsi="Verdana" w:cs="Arial"/>
                <w:lang w:val="es-ES"/>
              </w:rPr>
              <w:t xml:space="preserve"> </w:t>
            </w:r>
          </w:p>
          <w:p w14:paraId="401BE702" w14:textId="77777777" w:rsidR="00F078F6" w:rsidRPr="009F34DC" w:rsidRDefault="00F078F6" w:rsidP="00BB5CE7">
            <w:pPr>
              <w:spacing w:after="120" w:line="276" w:lineRule="auto"/>
              <w:ind w:firstLine="708"/>
              <w:jc w:val="both"/>
              <w:rPr>
                <w:rFonts w:ascii="Verdana" w:eastAsia="Calibri" w:hAnsi="Verdana" w:cs="Arial"/>
              </w:rPr>
            </w:pPr>
            <w:r w:rsidRPr="004147BC">
              <w:rPr>
                <w:rFonts w:ascii="Verdana" w:eastAsia="Calibri" w:hAnsi="Verdana" w:cs="Arial"/>
                <w:lang w:val="es-ES"/>
              </w:rPr>
              <w:t xml:space="preserve">Así las cosas, una decisión orientada a excluir un municipio en particular, pese a encontrarse comprendido dentro del ámbito territorial relacionado con la ejecución del objeto contractual, desbordaría </w:t>
            </w:r>
            <w:r>
              <w:rPr>
                <w:rFonts w:ascii="Verdana" w:eastAsia="Calibri" w:hAnsi="Verdana" w:cs="Arial"/>
                <w:lang w:val="es-ES"/>
              </w:rPr>
              <w:t>la finalidad</w:t>
            </w:r>
            <w:r w:rsidRPr="004147BC">
              <w:rPr>
                <w:rFonts w:ascii="Verdana" w:eastAsia="Calibri" w:hAnsi="Verdana" w:cs="Arial"/>
                <w:lang w:val="es-ES"/>
              </w:rPr>
              <w:t xml:space="preserve"> </w:t>
            </w:r>
            <w:r w:rsidRPr="004147BC">
              <w:rPr>
                <w:rFonts w:ascii="Verdana" w:eastAsia="Calibri" w:hAnsi="Verdana" w:cs="Arial"/>
                <w:lang w:val="es-ES"/>
              </w:rPr>
              <w:lastRenderedPageBreak/>
              <w:t>establecid</w:t>
            </w:r>
            <w:r>
              <w:rPr>
                <w:rFonts w:ascii="Verdana" w:eastAsia="Calibri" w:hAnsi="Verdana" w:cs="Arial"/>
                <w:lang w:val="es-ES"/>
              </w:rPr>
              <w:t>a</w:t>
            </w:r>
            <w:r w:rsidRPr="004147BC">
              <w:rPr>
                <w:rFonts w:ascii="Verdana" w:eastAsia="Calibri" w:hAnsi="Verdana" w:cs="Arial"/>
                <w:lang w:val="es-ES"/>
              </w:rPr>
              <w:t xml:space="preserve"> en el </w:t>
            </w:r>
            <w:r>
              <w:rPr>
                <w:rFonts w:ascii="Verdana" w:eastAsia="Calibri" w:hAnsi="Verdana" w:cs="Arial"/>
                <w:lang w:val="es-ES"/>
              </w:rPr>
              <w:t xml:space="preserve">artículo </w:t>
            </w:r>
            <w:r w:rsidRPr="004147BC">
              <w:rPr>
                <w:rFonts w:ascii="Verdana" w:eastAsia="Calibri" w:hAnsi="Verdana" w:cs="Arial"/>
                <w:lang w:val="es-ES"/>
              </w:rPr>
              <w:t>2.2.1.2.4.2.3 del Decreto 1082 de 2015. Ello, por cuanto la determinación dejaría de sustentarse en el criterio principal previsto por la norma</w:t>
            </w:r>
            <w:r>
              <w:rPr>
                <w:rFonts w:ascii="Verdana" w:eastAsia="Calibri" w:hAnsi="Verdana" w:cs="Arial"/>
                <w:lang w:val="es-ES"/>
              </w:rPr>
              <w:t xml:space="preserve">, </w:t>
            </w:r>
            <w:r w:rsidRPr="004147BC">
              <w:rPr>
                <w:rFonts w:ascii="Verdana" w:eastAsia="Calibri" w:hAnsi="Verdana" w:cs="Arial"/>
                <w:lang w:val="es-ES"/>
              </w:rPr>
              <w:t>esto es, el lugar de ejecución del contrato</w:t>
            </w:r>
            <w:r>
              <w:rPr>
                <w:rFonts w:ascii="Verdana" w:eastAsia="Calibri" w:hAnsi="Verdana" w:cs="Arial"/>
                <w:lang w:val="es-ES"/>
              </w:rPr>
              <w:t>,</w:t>
            </w:r>
            <w:r w:rsidRPr="004147BC">
              <w:rPr>
                <w:rFonts w:ascii="Verdana" w:eastAsia="Calibri" w:hAnsi="Verdana" w:cs="Arial"/>
                <w:lang w:val="es-ES"/>
              </w:rPr>
              <w:t xml:space="preserve"> para apoyarse en consideraciones ajenas a la finalidad de la medida, lo que podría comprometer la legalidad de la actuación administrativa y la validez de las reglas del proceso de selección.</w:t>
            </w:r>
            <w:r>
              <w:rPr>
                <w:rFonts w:ascii="Verdana" w:eastAsia="Calibri" w:hAnsi="Verdana" w:cs="Arial"/>
                <w:lang w:val="es-ES"/>
              </w:rPr>
              <w:t xml:space="preserve"> </w:t>
            </w:r>
            <w:r>
              <w:rPr>
                <w:rFonts w:ascii="Verdana" w:eastAsia="Calibri" w:hAnsi="Verdana" w:cs="Arial"/>
              </w:rPr>
              <w:t>Por tanto</w:t>
            </w:r>
            <w:r w:rsidRPr="000D7AB3">
              <w:rPr>
                <w:rFonts w:ascii="Verdana" w:eastAsia="Calibri" w:hAnsi="Verdana" w:cs="Arial"/>
              </w:rPr>
              <w:t xml:space="preserve">, la decisión de aplicar una limitación territorial debe basarse en criterios técnicos que demuestren que tal medida contribuye efectivamente a los fines de promoción empresarial y desarrollo regional previstos en </w:t>
            </w:r>
            <w:r>
              <w:rPr>
                <w:rFonts w:ascii="Verdana" w:eastAsia="Calibri" w:hAnsi="Verdana" w:cs="Arial"/>
              </w:rPr>
              <w:t>el ordenamiento jurídico</w:t>
            </w:r>
            <w:r w:rsidRPr="000D7AB3">
              <w:rPr>
                <w:rFonts w:ascii="Verdana" w:eastAsia="Calibri" w:hAnsi="Verdana" w:cs="Arial"/>
              </w:rPr>
              <w:t>s.</w:t>
            </w:r>
          </w:p>
        </w:tc>
      </w:tr>
    </w:tbl>
    <w:p w14:paraId="2CF202FA" w14:textId="77777777" w:rsidR="00F078F6" w:rsidRPr="001B3C5D" w:rsidRDefault="00F078F6" w:rsidP="00F078F6">
      <w:pPr>
        <w:tabs>
          <w:tab w:val="left" w:pos="142"/>
          <w:tab w:val="left" w:pos="284"/>
        </w:tabs>
        <w:spacing w:after="0" w:line="276" w:lineRule="auto"/>
        <w:jc w:val="both"/>
        <w:rPr>
          <w:rFonts w:ascii="Verdana" w:eastAsia="Century Gothic" w:hAnsi="Verdana" w:cs="Century Gothic"/>
          <w:b/>
          <w:bCs/>
          <w:lang w:val="es-ES"/>
        </w:rPr>
      </w:pPr>
    </w:p>
    <w:p w14:paraId="5B68F3CE" w14:textId="77777777" w:rsidR="00F078F6" w:rsidRPr="001B3C5D" w:rsidRDefault="00F078F6" w:rsidP="00F078F6">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entury Gothic" w:hAnsi="Verdana" w:cs="Century Gothic"/>
          <w:b/>
          <w:bCs/>
          <w:lang w:val="es-ES"/>
        </w:rPr>
        <w:t>3. Razones de la respuesta:</w:t>
      </w:r>
    </w:p>
    <w:p w14:paraId="645E0E82" w14:textId="77777777" w:rsidR="00F078F6" w:rsidRPr="001B3C5D" w:rsidRDefault="00F078F6" w:rsidP="00F078F6">
      <w:pPr>
        <w:spacing w:after="0" w:line="276" w:lineRule="auto"/>
        <w:jc w:val="both"/>
        <w:rPr>
          <w:rFonts w:ascii="Verdana" w:eastAsia="Calibri" w:hAnsi="Verdana" w:cs="Arial"/>
          <w:lang w:val="es-ES"/>
        </w:rPr>
      </w:pPr>
    </w:p>
    <w:p w14:paraId="075F87EB" w14:textId="77777777" w:rsidR="00F078F6" w:rsidRPr="001B3C5D" w:rsidRDefault="00F078F6" w:rsidP="00F078F6">
      <w:pPr>
        <w:spacing w:after="0" w:line="276" w:lineRule="auto"/>
        <w:jc w:val="both"/>
        <w:rPr>
          <w:rFonts w:ascii="Verdana" w:eastAsia="Calibri" w:hAnsi="Verdana" w:cs="Arial"/>
          <w:lang w:val="es-ES"/>
        </w:rPr>
      </w:pPr>
      <w:r w:rsidRPr="001B3C5D">
        <w:rPr>
          <w:rFonts w:ascii="Verdana" w:eastAsia="Calibri" w:hAnsi="Verdana" w:cs="Arial"/>
          <w:lang w:val="es-ES"/>
        </w:rPr>
        <w:t xml:space="preserve">Lo anterior se sustenta en las siguientes consideraciones: </w:t>
      </w:r>
    </w:p>
    <w:p w14:paraId="76EDEB0E" w14:textId="77777777" w:rsidR="00F078F6" w:rsidRPr="001B3C5D" w:rsidRDefault="00F078F6" w:rsidP="00F078F6">
      <w:pPr>
        <w:widowControl w:val="0"/>
        <w:autoSpaceDE w:val="0"/>
        <w:autoSpaceDN w:val="0"/>
        <w:spacing w:after="0" w:line="276" w:lineRule="auto"/>
        <w:jc w:val="both"/>
        <w:rPr>
          <w:rFonts w:ascii="Verdana" w:eastAsia="Aptos" w:hAnsi="Verdana" w:cs="Times New Roman"/>
          <w:kern w:val="2"/>
          <w:sz w:val="24"/>
          <w:szCs w:val="24"/>
          <w14:ligatures w14:val="standardContextual"/>
        </w:rPr>
      </w:pPr>
      <w:bookmarkStart w:id="1" w:name="_Hlk113022941"/>
    </w:p>
    <w:bookmarkEnd w:id="1"/>
    <w:p w14:paraId="205F6A21" w14:textId="77777777" w:rsidR="00F078F6" w:rsidRPr="00C940A9" w:rsidRDefault="00F078F6" w:rsidP="00F078F6">
      <w:pPr>
        <w:spacing w:after="120" w:line="276" w:lineRule="auto"/>
        <w:jc w:val="both"/>
        <w:rPr>
          <w:rFonts w:ascii="Verdana" w:hAnsi="Verdana" w:cs="Arial"/>
          <w:bCs/>
          <w:lang w:eastAsia="es-ES"/>
        </w:rPr>
      </w:pPr>
      <w:r>
        <w:rPr>
          <w:rFonts w:ascii="Verdana" w:hAnsi="Verdana" w:cs="Arial"/>
          <w:bCs/>
          <w:lang w:val="es-ES_tradnl" w:eastAsia="es-ES"/>
        </w:rPr>
        <w:t>E</w:t>
      </w:r>
      <w:r w:rsidRPr="00C940A9">
        <w:rPr>
          <w:rFonts w:ascii="Verdana" w:hAnsi="Verdana" w:cs="Arial"/>
          <w:bCs/>
          <w:lang w:val="es-ES_tradnl" w:eastAsia="es-ES"/>
        </w:rPr>
        <w:t xml:space="preserve">l artículo 5 del Decreto 1860 de 2021 modificó </w:t>
      </w:r>
      <w:r w:rsidRPr="00C940A9">
        <w:rPr>
          <w:rFonts w:ascii="Verdana" w:hAnsi="Verdana" w:cs="Arial"/>
          <w:bCs/>
          <w:lang w:eastAsia="es-ES"/>
        </w:rPr>
        <w:t xml:space="preserve">los artículos </w:t>
      </w:r>
      <w:bookmarkStart w:id="2" w:name="_Hlk194041112"/>
      <w:r w:rsidRPr="00C940A9">
        <w:rPr>
          <w:rFonts w:ascii="Verdana" w:hAnsi="Verdana" w:cs="Arial"/>
          <w:bCs/>
          <w:lang w:eastAsia="es-ES"/>
        </w:rPr>
        <w:t>2.2.1.2.4.2.2., 2.2.1.2.4.2.3. y 2.2.1.2.4.2.4</w:t>
      </w:r>
      <w:bookmarkEnd w:id="2"/>
      <w:r w:rsidRPr="00C940A9">
        <w:rPr>
          <w:rFonts w:ascii="Verdana" w:hAnsi="Verdana" w:cs="Arial"/>
          <w:bCs/>
          <w:lang w:eastAsia="es-ES"/>
        </w:rPr>
        <w:t>. de la Subsección 2 de la Sección 4 del Capítulo 2 del Título 1 de la Parte 2 del Libro 2 del Decreto 1082 de 2015, reglamentando</w:t>
      </w:r>
      <w:r w:rsidRPr="00C940A9">
        <w:rPr>
          <w:rFonts w:ascii="Verdana" w:hAnsi="Verdana" w:cs="Arial"/>
          <w:bCs/>
          <w:lang w:val="es-ES_tradnl" w:eastAsia="es-ES"/>
        </w:rPr>
        <w:t xml:space="preserve"> las convocatorias limitadas a Mipyme, con fundamento en lo establecido en el artículo 34 de la Ley 2069 de 2020. Esta nueva </w:t>
      </w:r>
      <w:r>
        <w:rPr>
          <w:rFonts w:ascii="Verdana" w:hAnsi="Verdana" w:cs="Arial"/>
          <w:bCs/>
          <w:lang w:val="es-ES_tradnl" w:eastAsia="es-ES"/>
        </w:rPr>
        <w:t>reglamentación</w:t>
      </w:r>
      <w:r w:rsidRPr="00C940A9">
        <w:rPr>
          <w:rFonts w:ascii="Verdana" w:hAnsi="Verdana" w:cs="Arial"/>
          <w:bCs/>
          <w:lang w:val="es-ES_tradnl" w:eastAsia="es-ES"/>
        </w:rPr>
        <w:t xml:space="preserve"> </w:t>
      </w:r>
      <w:r>
        <w:rPr>
          <w:rFonts w:ascii="Verdana" w:hAnsi="Verdana" w:cs="Arial"/>
          <w:bCs/>
          <w:lang w:val="es-ES_tradnl" w:eastAsia="es-ES"/>
        </w:rPr>
        <w:t>desarrolla</w:t>
      </w:r>
      <w:r w:rsidRPr="00C940A9">
        <w:rPr>
          <w:rFonts w:ascii="Verdana" w:hAnsi="Verdana" w:cs="Arial"/>
          <w:bCs/>
          <w:lang w:val="es-ES_tradnl" w:eastAsia="es-ES"/>
        </w:rPr>
        <w:t xml:space="preserve"> </w:t>
      </w:r>
      <w:r>
        <w:rPr>
          <w:rFonts w:ascii="Verdana" w:hAnsi="Verdana" w:cs="Arial"/>
          <w:bCs/>
          <w:lang w:val="es-ES_tradnl" w:eastAsia="es-ES"/>
        </w:rPr>
        <w:t xml:space="preserve">tres </w:t>
      </w:r>
      <w:r w:rsidRPr="00C940A9">
        <w:rPr>
          <w:rFonts w:ascii="Verdana" w:hAnsi="Verdana" w:cs="Arial"/>
          <w:bCs/>
          <w:lang w:val="es-ES_tradnl" w:eastAsia="es-ES"/>
        </w:rPr>
        <w:t xml:space="preserve">aspectos: i) requisitos para limitar la convocatoria de los </w:t>
      </w:r>
      <w:r w:rsidRPr="00C940A9">
        <w:rPr>
          <w:rFonts w:ascii="Verdana" w:hAnsi="Verdana" w:cs="Arial"/>
          <w:bCs/>
          <w:lang w:eastAsia="es-ES"/>
        </w:rPr>
        <w:t>procesos de contratación con pluralidad de oferentes</w:t>
      </w:r>
      <w:r w:rsidRPr="00C940A9">
        <w:rPr>
          <w:rFonts w:ascii="Verdana" w:hAnsi="Verdana" w:cs="Arial"/>
          <w:bCs/>
          <w:lang w:val="es-ES_tradnl" w:eastAsia="es-ES"/>
        </w:rPr>
        <w:t xml:space="preserve"> a las Mipyme colombianas con mínimo un (1) año de existencia – artículo </w:t>
      </w:r>
      <w:r w:rsidRPr="00C940A9">
        <w:rPr>
          <w:rFonts w:ascii="Verdana" w:hAnsi="Verdana" w:cs="Arial"/>
          <w:bCs/>
          <w:lang w:eastAsia="es-ES"/>
        </w:rPr>
        <w:t>2.2.1.2.4.2.2-</w:t>
      </w:r>
      <w:r w:rsidRPr="00C940A9">
        <w:rPr>
          <w:rFonts w:ascii="Verdana" w:hAnsi="Verdana" w:cs="Arial"/>
          <w:bCs/>
          <w:lang w:val="es-ES_tradnl" w:eastAsia="es-ES"/>
        </w:rPr>
        <w:t xml:space="preserve"> , ii) desarrolla las </w:t>
      </w:r>
      <w:r w:rsidRPr="00C940A9">
        <w:rPr>
          <w:rFonts w:ascii="Verdana" w:hAnsi="Verdana" w:cs="Arial"/>
          <w:bCs/>
          <w:lang w:eastAsia="es-ES"/>
        </w:rPr>
        <w:t>convocatorias limitadas a Mipyme colombianas que tengan domicilio en los departamentos o municipios en donde se va a ejecutar el contrato – artículo 2.2.1.2.4.2.3.,</w:t>
      </w:r>
      <w:r w:rsidRPr="00C940A9">
        <w:rPr>
          <w:rFonts w:ascii="Verdana" w:hAnsi="Verdana" w:cs="Arial"/>
          <w:bCs/>
          <w:lang w:val="es-ES_tradnl" w:eastAsia="es-ES"/>
        </w:rPr>
        <w:t xml:space="preserve"> y iii) </w:t>
      </w:r>
      <w:r w:rsidRPr="00C940A9">
        <w:rPr>
          <w:rFonts w:ascii="Verdana" w:hAnsi="Verdana" w:cs="Arial"/>
          <w:bCs/>
          <w:lang w:eastAsia="es-ES"/>
        </w:rPr>
        <w:t>regula la acreditación de requisitos para participar en convocatorias limitadas – artículo 2.2.1.2.4.2.4-</w:t>
      </w:r>
      <w:r>
        <w:rPr>
          <w:rFonts w:ascii="Verdana" w:hAnsi="Verdana" w:cs="Arial"/>
          <w:bCs/>
          <w:lang w:eastAsia="es-ES"/>
        </w:rPr>
        <w:t>.</w:t>
      </w:r>
    </w:p>
    <w:p w14:paraId="07773927" w14:textId="77777777" w:rsidR="00F078F6" w:rsidRPr="00C940A9" w:rsidRDefault="00F078F6" w:rsidP="00F078F6">
      <w:pPr>
        <w:spacing w:after="120" w:line="276" w:lineRule="auto"/>
        <w:ind w:firstLine="709"/>
        <w:jc w:val="both"/>
        <w:rPr>
          <w:rFonts w:ascii="Verdana" w:hAnsi="Verdana" w:cs="Arial"/>
          <w:lang w:val="es-ES" w:eastAsia="es-ES"/>
        </w:rPr>
      </w:pPr>
      <w:r w:rsidRPr="00C940A9">
        <w:rPr>
          <w:rFonts w:ascii="Verdana" w:hAnsi="Verdana" w:cs="Arial"/>
          <w:lang w:val="es-ES" w:eastAsia="es-ES"/>
        </w:rPr>
        <w:t>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Mipyme,</w:t>
      </w:r>
      <w:r w:rsidRPr="00C940A9">
        <w:rPr>
          <w:rFonts w:ascii="Verdana" w:eastAsia="Calibri" w:hAnsi="Verdana" w:cs="Arial"/>
          <w:lang w:val="es-ES"/>
        </w:rPr>
        <w:t xml:space="preserve"> </w:t>
      </w:r>
      <w:r w:rsidRPr="00C940A9">
        <w:rPr>
          <w:rFonts w:ascii="Verdana" w:hAnsi="Verdana" w:cs="Arial"/>
          <w:lang w:val="es-ES" w:eastAsia="es-ES"/>
        </w:rPr>
        <w:t xml:space="preserve">disposición que entró a regir desde el 24 de marzo de 2022, pues, como se indicó, </w:t>
      </w:r>
      <w:r w:rsidRPr="00C940A9">
        <w:rPr>
          <w:rFonts w:ascii="Verdana" w:eastAsia="Calibri" w:hAnsi="Verdana" w:cs="Arial"/>
          <w:lang w:val="es-ES"/>
        </w:rPr>
        <w:t>el artículo 8 de dicho decreto sometió su vigencia al transcurso del periodo de 3 meses siguientes a su expedición.</w:t>
      </w:r>
    </w:p>
    <w:p w14:paraId="03D83363" w14:textId="77777777" w:rsidR="00F078F6" w:rsidRPr="00C940A9" w:rsidRDefault="00F078F6" w:rsidP="00F078F6">
      <w:pPr>
        <w:spacing w:after="0" w:line="276" w:lineRule="auto"/>
        <w:ind w:firstLine="709"/>
        <w:jc w:val="both"/>
        <w:rPr>
          <w:rFonts w:ascii="Verdana" w:eastAsia="Arial" w:hAnsi="Verdana" w:cs="Arial"/>
          <w:color w:val="000000"/>
        </w:rPr>
      </w:pPr>
      <w:r w:rsidRPr="00C940A9">
        <w:rPr>
          <w:rFonts w:ascii="Verdana" w:eastAsia="Arial" w:hAnsi="Verdana" w:cs="Arial"/>
          <w:color w:val="000000"/>
        </w:rPr>
        <w:t xml:space="preserve">En este contexto, el artículo 2.2.1.2.4.2.2. del Decreto 1082 de 2015 –modificado por el Decreto 1860 de 2021– establece los requisitos que se deben </w:t>
      </w:r>
      <w:r w:rsidRPr="00C940A9">
        <w:rPr>
          <w:rFonts w:ascii="Verdana" w:eastAsia="Arial" w:hAnsi="Verdana" w:cs="Arial"/>
          <w:color w:val="000000"/>
        </w:rPr>
        <w:lastRenderedPageBreak/>
        <w:t xml:space="preserve">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18380282" w14:textId="77777777" w:rsidR="00F078F6" w:rsidRDefault="00F078F6" w:rsidP="00F078F6">
      <w:pPr>
        <w:spacing w:after="0"/>
        <w:ind w:left="709" w:right="709"/>
        <w:jc w:val="both"/>
        <w:rPr>
          <w:rFonts w:ascii="Verdana" w:eastAsia="Calibri" w:hAnsi="Verdana" w:cs="Arial"/>
          <w:sz w:val="20"/>
          <w:szCs w:val="20"/>
          <w:lang w:val="es-ES"/>
        </w:rPr>
      </w:pPr>
    </w:p>
    <w:p w14:paraId="37C4E8C7" w14:textId="77777777" w:rsidR="00F078F6" w:rsidRPr="00C940A9" w:rsidRDefault="00F078F6" w:rsidP="00F078F6">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Pr="00C940A9">
        <w:rPr>
          <w:rFonts w:ascii="Verdana" w:eastAsia="Calibri" w:hAnsi="Verdana" w:cs="Arial"/>
          <w:sz w:val="20"/>
          <w:szCs w:val="20"/>
          <w:lang w:val="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1822F2F0" w14:textId="77777777" w:rsidR="00F078F6" w:rsidRPr="00C940A9" w:rsidRDefault="00F078F6" w:rsidP="00F078F6">
      <w:pPr>
        <w:spacing w:after="0" w:line="240" w:lineRule="auto"/>
        <w:ind w:left="709" w:right="709"/>
        <w:jc w:val="both"/>
        <w:rPr>
          <w:rFonts w:ascii="Verdana" w:eastAsia="Calibri" w:hAnsi="Verdana" w:cs="Arial"/>
          <w:sz w:val="20"/>
          <w:szCs w:val="20"/>
          <w:lang w:val="es-ES"/>
        </w:rPr>
      </w:pPr>
    </w:p>
    <w:p w14:paraId="0FCE9019" w14:textId="77777777" w:rsidR="00F078F6" w:rsidRPr="00C940A9" w:rsidRDefault="00F078F6" w:rsidP="00F078F6">
      <w:pPr>
        <w:spacing w:after="0" w:line="240" w:lineRule="auto"/>
        <w:ind w:left="709" w:right="709"/>
        <w:jc w:val="both"/>
        <w:rPr>
          <w:rFonts w:ascii="Verdana" w:eastAsia="Calibri" w:hAnsi="Verdana" w:cs="Arial"/>
          <w:sz w:val="20"/>
          <w:szCs w:val="20"/>
          <w:lang w:val="es-ES_tradnl"/>
        </w:rPr>
      </w:pPr>
      <w:r w:rsidRPr="00C940A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027AB753" w14:textId="77777777" w:rsidR="00F078F6" w:rsidRDefault="00F078F6" w:rsidP="00F078F6">
      <w:pPr>
        <w:spacing w:after="0" w:line="240" w:lineRule="auto"/>
        <w:ind w:left="709" w:right="709"/>
        <w:jc w:val="both"/>
        <w:rPr>
          <w:rFonts w:ascii="Verdana" w:eastAsia="Calibri" w:hAnsi="Verdana" w:cs="Arial"/>
          <w:sz w:val="20"/>
          <w:szCs w:val="20"/>
          <w:lang w:val="es-ES"/>
        </w:rPr>
      </w:pPr>
    </w:p>
    <w:p w14:paraId="38D78D05" w14:textId="77777777" w:rsidR="00F078F6" w:rsidRPr="00C940A9" w:rsidRDefault="00F078F6" w:rsidP="00F078F6">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4049D68E" w14:textId="77777777" w:rsidR="00F078F6" w:rsidRPr="00C940A9" w:rsidRDefault="00F078F6" w:rsidP="00F078F6">
      <w:pPr>
        <w:spacing w:after="0" w:line="240" w:lineRule="auto"/>
        <w:ind w:left="709" w:right="709"/>
        <w:jc w:val="both"/>
        <w:rPr>
          <w:rFonts w:ascii="Verdana" w:eastAsia="Calibri" w:hAnsi="Verdana" w:cs="Arial"/>
          <w:sz w:val="20"/>
          <w:szCs w:val="20"/>
          <w:lang w:val="es-ES"/>
        </w:rPr>
      </w:pPr>
    </w:p>
    <w:p w14:paraId="6BB8D8FB" w14:textId="77777777" w:rsidR="00F078F6" w:rsidRPr="00C940A9" w:rsidRDefault="00F078F6" w:rsidP="00F078F6">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Parágrafo. Las cooperativas y demás entidades de economía solidaria, siempre que tengan la calidad de Mipyme, podrán solicitar y participar en las convocatorias limitadas en las mismas condiciones dispuestas en el presente artículo</w:t>
      </w:r>
      <w:r>
        <w:rPr>
          <w:rFonts w:ascii="Verdana" w:eastAsia="Calibri" w:hAnsi="Verdana" w:cs="Arial"/>
          <w:sz w:val="20"/>
          <w:szCs w:val="20"/>
          <w:lang w:val="es-ES"/>
        </w:rPr>
        <w:t>”</w:t>
      </w:r>
      <w:r w:rsidRPr="00C940A9">
        <w:rPr>
          <w:rFonts w:ascii="Verdana" w:eastAsia="Calibri" w:hAnsi="Verdana" w:cs="Arial"/>
          <w:sz w:val="20"/>
          <w:szCs w:val="20"/>
          <w:lang w:val="es-ES"/>
        </w:rPr>
        <w:t>.</w:t>
      </w:r>
    </w:p>
    <w:p w14:paraId="2D68F565" w14:textId="77777777" w:rsidR="00F078F6" w:rsidRPr="001D4AC1" w:rsidRDefault="00F078F6" w:rsidP="00F078F6">
      <w:pPr>
        <w:spacing w:after="0"/>
        <w:ind w:left="709" w:right="709"/>
        <w:jc w:val="both"/>
        <w:rPr>
          <w:rFonts w:ascii="Century Gothic" w:eastAsia="Arial" w:hAnsi="Century Gothic" w:cs="Arial"/>
          <w:color w:val="000000"/>
        </w:rPr>
      </w:pPr>
    </w:p>
    <w:p w14:paraId="2E9ADFDC" w14:textId="77777777" w:rsidR="00F078F6" w:rsidRPr="00C940A9" w:rsidRDefault="00F078F6" w:rsidP="00F078F6">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w:t>
      </w:r>
      <w:r w:rsidRPr="00C940A9">
        <w:rPr>
          <w:rFonts w:ascii="Verdana" w:eastAsia="Arial" w:hAnsi="Verdana" w:cs="Arial"/>
          <w:color w:val="000000"/>
        </w:rPr>
        <w:lastRenderedPageBreak/>
        <w:t xml:space="preserve">para el efecto, determine cada dos años el Ministerio de Comercio, Industria y Turismo. </w:t>
      </w:r>
    </w:p>
    <w:p w14:paraId="068ACF4C" w14:textId="77777777" w:rsidR="00F078F6" w:rsidRPr="005B1F06" w:rsidRDefault="00F078F6" w:rsidP="00F078F6">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14:paraId="163F37F5" w14:textId="77777777" w:rsidR="00F078F6" w:rsidRPr="005B1F06" w:rsidRDefault="00F078F6" w:rsidP="00F078F6">
      <w:pPr>
        <w:spacing w:after="120" w:line="276" w:lineRule="auto"/>
        <w:ind w:firstLine="709"/>
        <w:jc w:val="both"/>
        <w:rPr>
          <w:rFonts w:ascii="Verdana" w:hAnsi="Verdana" w:cs="Arial"/>
          <w:lang w:val="es-ES" w:eastAsia="es-MX"/>
        </w:rPr>
      </w:pPr>
      <w:r w:rsidRPr="005B1F06">
        <w:rPr>
          <w:rFonts w:ascii="Verdana" w:eastAsia="Arial" w:hAnsi="Verdana" w:cs="Arial"/>
          <w:color w:val="000000"/>
          <w:lang w:val="es-ES_tradnl"/>
        </w:rPr>
        <w:t>Así las cosas,</w:t>
      </w:r>
      <w:r w:rsidRPr="005B1F06">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w:t>
      </w:r>
    </w:p>
    <w:p w14:paraId="12525EF7" w14:textId="77777777" w:rsidR="00F078F6" w:rsidRPr="005B1F06" w:rsidRDefault="00F078F6" w:rsidP="00F078F6">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de las convocatorias a Mipymes</w:t>
      </w:r>
      <w:r w:rsidRPr="706726C8">
        <w:rPr>
          <w:rFonts w:ascii="Verdana" w:eastAsia="Calibri" w:hAnsi="Verdana" w:cs="Arial"/>
          <w:lang w:val="es-ES"/>
        </w:rPr>
        <w:t xml:space="preserve"> el texto del actual </w:t>
      </w:r>
      <w:r>
        <w:rPr>
          <w:rFonts w:ascii="Verdana" w:eastAsia="Calibri" w:hAnsi="Verdana" w:cs="Arial"/>
          <w:lang w:val="es-ES"/>
        </w:rPr>
        <w:t xml:space="preserve">del </w:t>
      </w:r>
      <w:r w:rsidRPr="706726C8">
        <w:rPr>
          <w:rFonts w:ascii="Verdana" w:eastAsia="Calibri" w:hAnsi="Verdana" w:cs="Arial"/>
          <w:lang w:val="es-ES"/>
        </w:rPr>
        <w:t xml:space="preserve">artículo 2.2.1.2.4.2.3, modificado por el artículo 5 del Decreto 1860 de 2021, determina que toda empresa constituida bajo las leyes colombianas o que tenga su domicilio principal en el territorio colombiano y, además, cumpla los criterios previstos por la </w:t>
      </w:r>
      <w:bookmarkStart w:id="3" w:name="_Hlk194041590"/>
      <w:r w:rsidRPr="706726C8">
        <w:rPr>
          <w:rFonts w:ascii="Verdana" w:eastAsia="Calibri" w:hAnsi="Verdana" w:cs="Arial"/>
          <w:lang w:val="es-ES"/>
        </w:rPr>
        <w:t>Ley 590 de 2000 y el Decreto 957 de 2019</w:t>
      </w:r>
      <w:bookmarkEnd w:id="3"/>
      <w:r w:rsidRPr="706726C8">
        <w:rPr>
          <w:rFonts w:ascii="Verdana" w:eastAsia="Calibri" w:hAnsi="Verdana" w:cs="Arial"/>
          <w:lang w:val="es-ES"/>
        </w:rPr>
        <w:t xml:space="preserve">,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 </w:t>
      </w:r>
    </w:p>
    <w:p w14:paraId="7D11DC9A" w14:textId="77777777" w:rsidR="00F078F6" w:rsidRPr="005B1F06" w:rsidRDefault="00F078F6" w:rsidP="00F078F6">
      <w:pPr>
        <w:spacing w:after="0" w:line="276" w:lineRule="auto"/>
        <w:ind w:firstLine="708"/>
        <w:jc w:val="both"/>
        <w:rPr>
          <w:rFonts w:ascii="Verdana" w:eastAsia="Calibri" w:hAnsi="Verdana" w:cs="Arial"/>
          <w:lang w:val="es-ES_tradnl"/>
        </w:rPr>
      </w:pPr>
      <w:r w:rsidRPr="005B1F06">
        <w:rPr>
          <w:rFonts w:ascii="Verdana" w:eastAsia="Calibri" w:hAnsi="Verdana" w:cs="Arial"/>
          <w:lang w:val="es-ES_tradnl"/>
        </w:rPr>
        <w:t xml:space="preserve">El texto normativo dispone lo siguiente:  </w:t>
      </w:r>
    </w:p>
    <w:p w14:paraId="31490CF6" w14:textId="77777777" w:rsidR="00F078F6" w:rsidRDefault="00F078F6" w:rsidP="00F078F6">
      <w:pPr>
        <w:spacing w:after="0" w:line="276" w:lineRule="auto"/>
        <w:ind w:left="709" w:right="758" w:hanging="1"/>
        <w:jc w:val="both"/>
        <w:rPr>
          <w:rFonts w:ascii="Verdana" w:hAnsi="Verdana" w:cs="Arial"/>
          <w:sz w:val="20"/>
          <w:szCs w:val="20"/>
          <w:lang w:val="es-ES_tradnl"/>
        </w:rPr>
      </w:pPr>
    </w:p>
    <w:p w14:paraId="5A830D83" w14:textId="77777777" w:rsidR="00F078F6" w:rsidRPr="005B1F06" w:rsidRDefault="00F078F6" w:rsidP="00F078F6">
      <w:pPr>
        <w:spacing w:after="0" w:line="240" w:lineRule="auto"/>
        <w:ind w:left="709" w:right="758" w:hanging="1"/>
        <w:jc w:val="both"/>
        <w:rPr>
          <w:rFonts w:ascii="Verdana" w:hAnsi="Verdana" w:cs="Arial"/>
          <w:sz w:val="20"/>
          <w:szCs w:val="20"/>
          <w:lang w:val="es-ES_tradnl"/>
        </w:rPr>
      </w:pPr>
      <w:r>
        <w:rPr>
          <w:rFonts w:ascii="Verdana" w:hAnsi="Verdana" w:cs="Arial"/>
          <w:sz w:val="20"/>
          <w:szCs w:val="20"/>
          <w:lang w:val="es-ES_tradnl"/>
        </w:rPr>
        <w:t>“</w:t>
      </w:r>
      <w:r w:rsidRPr="005B1F06">
        <w:rPr>
          <w:rFonts w:ascii="Verdana" w:hAnsi="Verdana" w:cs="Arial"/>
          <w:sz w:val="20"/>
          <w:szCs w:val="20"/>
          <w:lang w:val="es-ES_tradnl"/>
        </w:rPr>
        <w:t>ARTÍCULO  5. Modificaci</w:t>
      </w:r>
      <w:r w:rsidRPr="005B1F06">
        <w:rPr>
          <w:rFonts w:ascii="Verdana" w:hAnsi="Verdana" w:cs="Century Gothic"/>
          <w:sz w:val="20"/>
          <w:szCs w:val="20"/>
          <w:lang w:val="es-ES_tradnl"/>
        </w:rPr>
        <w:t>ó</w:t>
      </w:r>
      <w:r w:rsidRPr="005B1F06">
        <w:rPr>
          <w:rFonts w:ascii="Verdana" w:hAnsi="Verdana" w:cs="Arial"/>
          <w:sz w:val="20"/>
          <w:szCs w:val="20"/>
          <w:lang w:val="es-ES_tradnl"/>
        </w:rPr>
        <w:t>n de la Subsecci</w:t>
      </w:r>
      <w:r w:rsidRPr="005B1F06">
        <w:rPr>
          <w:rFonts w:ascii="Verdana" w:hAnsi="Verdana" w:cs="Century Gothic"/>
          <w:sz w:val="20"/>
          <w:szCs w:val="20"/>
          <w:lang w:val="es-ES_tradnl"/>
        </w:rPr>
        <w:t>ó</w:t>
      </w:r>
      <w:r w:rsidRPr="005B1F06">
        <w:rPr>
          <w:rFonts w:ascii="Verdana" w:hAnsi="Verdana" w:cs="Arial"/>
          <w:sz w:val="20"/>
          <w:szCs w:val="20"/>
          <w:lang w:val="es-ES_tradnl"/>
        </w:rPr>
        <w:t>n 2 de la Secci</w:t>
      </w:r>
      <w:r w:rsidRPr="005B1F06">
        <w:rPr>
          <w:rFonts w:ascii="Verdana" w:hAnsi="Verdana" w:cs="Century Gothic"/>
          <w:sz w:val="20"/>
          <w:szCs w:val="20"/>
          <w:lang w:val="es-ES_tradnl"/>
        </w:rPr>
        <w:t>ó</w:t>
      </w:r>
      <w:r w:rsidRPr="005B1F06">
        <w:rPr>
          <w:rFonts w:ascii="Verdana" w:hAnsi="Verdana" w:cs="Arial"/>
          <w:sz w:val="20"/>
          <w:szCs w:val="20"/>
          <w:lang w:val="es-ES_tradnl"/>
        </w:rPr>
        <w:t>n 4 del Cap</w:t>
      </w:r>
      <w:r w:rsidRPr="005B1F06">
        <w:rPr>
          <w:rFonts w:ascii="Verdana" w:hAnsi="Verdana" w:cs="Century Gothic"/>
          <w:sz w:val="20"/>
          <w:szCs w:val="20"/>
          <w:lang w:val="es-ES_tradnl"/>
        </w:rPr>
        <w:t>í</w:t>
      </w:r>
      <w:r w:rsidRPr="005B1F06">
        <w:rPr>
          <w:rFonts w:ascii="Verdana" w:hAnsi="Verdana" w:cs="Arial"/>
          <w:sz w:val="20"/>
          <w:szCs w:val="20"/>
          <w:lang w:val="es-ES_tradnl"/>
        </w:rPr>
        <w:t>tulo 2 del T</w:t>
      </w:r>
      <w:r w:rsidRPr="005B1F06">
        <w:rPr>
          <w:rFonts w:ascii="Verdana" w:hAnsi="Verdana" w:cs="Century Gothic"/>
          <w:sz w:val="20"/>
          <w:szCs w:val="20"/>
          <w:lang w:val="es-ES_tradnl"/>
        </w:rPr>
        <w:t>í</w:t>
      </w:r>
      <w:r w:rsidRPr="005B1F06">
        <w:rPr>
          <w:rFonts w:ascii="Verdana" w:hAnsi="Verdana" w:cs="Arial"/>
          <w:sz w:val="20"/>
          <w:szCs w:val="20"/>
          <w:lang w:val="es-ES_tradnl"/>
        </w:rPr>
        <w:t>tulo 1 de la Parte 2 del Libro 2 del Decreto 1082 de 2015. Modif</w:t>
      </w:r>
      <w:r w:rsidRPr="005B1F06">
        <w:rPr>
          <w:rFonts w:ascii="Verdana" w:hAnsi="Verdana" w:cs="Century Gothic"/>
          <w:sz w:val="20"/>
          <w:szCs w:val="20"/>
          <w:lang w:val="es-ES_tradnl"/>
        </w:rPr>
        <w:t>í</w:t>
      </w:r>
      <w:r w:rsidRPr="005B1F06">
        <w:rPr>
          <w:rFonts w:ascii="Verdana" w:hAnsi="Verdana" w:cs="Arial"/>
          <w:sz w:val="20"/>
          <w:szCs w:val="20"/>
          <w:lang w:val="es-ES_tradnl"/>
        </w:rPr>
        <w:t>quense los art</w:t>
      </w:r>
      <w:r w:rsidRPr="005B1F06">
        <w:rPr>
          <w:rFonts w:ascii="Verdana" w:hAnsi="Verdana" w:cs="Century Gothic"/>
          <w:sz w:val="20"/>
          <w:szCs w:val="20"/>
          <w:lang w:val="es-ES_tradnl"/>
        </w:rPr>
        <w:t>í</w:t>
      </w:r>
      <w:r w:rsidRPr="005B1F06">
        <w:rPr>
          <w:rFonts w:ascii="Verdana" w:hAnsi="Verdana" w:cs="Arial"/>
          <w:sz w:val="20"/>
          <w:szCs w:val="20"/>
          <w:lang w:val="es-ES_tradnl"/>
        </w:rPr>
        <w:t>culos 2.2.1.2.4.2.2., 2.2.1.2.4.2.3. y 2.2.1.2.4.2.4. de la Subsecci</w:t>
      </w:r>
      <w:r w:rsidRPr="005B1F06">
        <w:rPr>
          <w:rFonts w:ascii="Verdana" w:hAnsi="Verdana" w:cs="Century Gothic"/>
          <w:sz w:val="20"/>
          <w:szCs w:val="20"/>
          <w:lang w:val="es-ES_tradnl"/>
        </w:rPr>
        <w:t>ó</w:t>
      </w:r>
      <w:r w:rsidRPr="005B1F06">
        <w:rPr>
          <w:rFonts w:ascii="Verdana" w:hAnsi="Verdana" w:cs="Arial"/>
          <w:sz w:val="20"/>
          <w:szCs w:val="20"/>
          <w:lang w:val="es-ES_tradnl"/>
        </w:rPr>
        <w:t>n 2 de la Secci</w:t>
      </w:r>
      <w:r w:rsidRPr="005B1F06">
        <w:rPr>
          <w:rFonts w:ascii="Verdana" w:hAnsi="Verdana" w:cs="Century Gothic"/>
          <w:sz w:val="20"/>
          <w:szCs w:val="20"/>
          <w:lang w:val="es-ES_tradnl"/>
        </w:rPr>
        <w:t>ó</w:t>
      </w:r>
      <w:r w:rsidRPr="005B1F06">
        <w:rPr>
          <w:rFonts w:ascii="Verdana" w:hAnsi="Verdana" w:cs="Arial"/>
          <w:sz w:val="20"/>
          <w:szCs w:val="20"/>
          <w:lang w:val="es-ES_tradnl"/>
        </w:rPr>
        <w:t>n 4 del Cap</w:t>
      </w:r>
      <w:r w:rsidRPr="005B1F06">
        <w:rPr>
          <w:rFonts w:ascii="Verdana" w:hAnsi="Verdana" w:cs="Century Gothic"/>
          <w:sz w:val="20"/>
          <w:szCs w:val="20"/>
          <w:lang w:val="es-ES_tradnl"/>
        </w:rPr>
        <w:t>í</w:t>
      </w:r>
      <w:r w:rsidRPr="005B1F06">
        <w:rPr>
          <w:rFonts w:ascii="Verdana" w:hAnsi="Verdana" w:cs="Arial"/>
          <w:sz w:val="20"/>
          <w:szCs w:val="20"/>
          <w:lang w:val="es-ES_tradnl"/>
        </w:rPr>
        <w:t>tulo 2 del T</w:t>
      </w:r>
      <w:r w:rsidRPr="005B1F06">
        <w:rPr>
          <w:rFonts w:ascii="Verdana" w:hAnsi="Verdana" w:cs="Century Gothic"/>
          <w:sz w:val="20"/>
          <w:szCs w:val="20"/>
          <w:lang w:val="es-ES_tradnl"/>
        </w:rPr>
        <w:t>í</w:t>
      </w:r>
      <w:r w:rsidRPr="005B1F06">
        <w:rPr>
          <w:rFonts w:ascii="Verdana" w:hAnsi="Verdana" w:cs="Arial"/>
          <w:sz w:val="20"/>
          <w:szCs w:val="20"/>
          <w:lang w:val="es-ES_tradnl"/>
        </w:rPr>
        <w:t>tulo 1 de la Parte 2 del Libro 2 del Decreto 1082 de 2015, los cuales quedar</w:t>
      </w:r>
      <w:r w:rsidRPr="005B1F06">
        <w:rPr>
          <w:rFonts w:ascii="Verdana" w:hAnsi="Verdana" w:cs="Century Gothic"/>
          <w:sz w:val="20"/>
          <w:szCs w:val="20"/>
          <w:lang w:val="es-ES_tradnl"/>
        </w:rPr>
        <w:t>á</w:t>
      </w:r>
      <w:r w:rsidRPr="005B1F06">
        <w:rPr>
          <w:rFonts w:ascii="Verdana" w:hAnsi="Verdana" w:cs="Arial"/>
          <w:sz w:val="20"/>
          <w:szCs w:val="20"/>
          <w:lang w:val="es-ES_tradnl"/>
        </w:rPr>
        <w:t>n as</w:t>
      </w:r>
      <w:r w:rsidRPr="005B1F06">
        <w:rPr>
          <w:rFonts w:ascii="Verdana" w:hAnsi="Verdana" w:cs="Century Gothic"/>
          <w:sz w:val="20"/>
          <w:szCs w:val="20"/>
          <w:lang w:val="es-ES_tradnl"/>
        </w:rPr>
        <w:t>í</w:t>
      </w:r>
      <w:r w:rsidRPr="005B1F06">
        <w:rPr>
          <w:rFonts w:ascii="Verdana" w:hAnsi="Verdana" w:cs="Arial"/>
          <w:sz w:val="20"/>
          <w:szCs w:val="20"/>
          <w:lang w:val="es-ES_tradnl"/>
        </w:rPr>
        <w:t>:</w:t>
      </w:r>
    </w:p>
    <w:p w14:paraId="70AA33C0" w14:textId="77777777" w:rsidR="00F078F6" w:rsidRPr="005B1F06" w:rsidRDefault="00F078F6" w:rsidP="00F078F6">
      <w:pPr>
        <w:spacing w:after="0" w:line="240" w:lineRule="auto"/>
        <w:ind w:left="709" w:right="758" w:hanging="1"/>
        <w:jc w:val="both"/>
        <w:rPr>
          <w:rFonts w:ascii="Verdana" w:hAnsi="Verdana" w:cs="Arial"/>
          <w:sz w:val="20"/>
          <w:szCs w:val="20"/>
          <w:lang w:val="es-ES_tradnl"/>
        </w:rPr>
      </w:pPr>
      <w:r w:rsidRPr="005B1F06">
        <w:rPr>
          <w:rFonts w:ascii="Verdana" w:hAnsi="Verdana" w:cs="Arial"/>
          <w:sz w:val="20"/>
          <w:szCs w:val="20"/>
          <w:lang w:val="es-ES_tradnl"/>
        </w:rPr>
        <w:t>[…]</w:t>
      </w:r>
    </w:p>
    <w:p w14:paraId="4C9052CC" w14:textId="77777777" w:rsidR="00F078F6" w:rsidRDefault="00F078F6" w:rsidP="00F078F6">
      <w:pPr>
        <w:spacing w:after="0" w:line="240" w:lineRule="auto"/>
        <w:ind w:left="709" w:right="709"/>
        <w:jc w:val="both"/>
        <w:rPr>
          <w:rFonts w:ascii="Verdana" w:hAnsi="Verdana" w:cs="Arial"/>
          <w:sz w:val="20"/>
          <w:szCs w:val="20"/>
          <w:lang w:val="es-ES_tradnl"/>
        </w:rPr>
      </w:pPr>
      <w:r w:rsidRPr="005B1F06">
        <w:rPr>
          <w:rFonts w:ascii="Verdana" w:hAnsi="Verdana" w:cs="Arial"/>
          <w:sz w:val="20"/>
          <w:szCs w:val="20"/>
          <w:lang w:val="es-ES_tradnl"/>
        </w:rPr>
        <w:t>ARTÍCULO 2.2.1.2.4.2.3. Limitaciones territoriales. De conformidad con el par</w:t>
      </w:r>
      <w:r w:rsidRPr="005B1F06">
        <w:rPr>
          <w:rFonts w:ascii="Verdana" w:hAnsi="Verdana" w:cs="Century Gothic"/>
          <w:sz w:val="20"/>
          <w:szCs w:val="20"/>
          <w:lang w:val="es-ES_tradnl"/>
        </w:rPr>
        <w:t>á</w:t>
      </w:r>
      <w:r w:rsidRPr="005B1F06">
        <w:rPr>
          <w:rFonts w:ascii="Verdana" w:hAnsi="Verdana" w:cs="Arial"/>
          <w:sz w:val="20"/>
          <w:szCs w:val="20"/>
          <w:lang w:val="es-ES_tradnl"/>
        </w:rPr>
        <w:t>grafo 1 del art</w:t>
      </w:r>
      <w:r w:rsidRPr="005B1F06">
        <w:rPr>
          <w:rFonts w:ascii="Verdana" w:hAnsi="Verdana" w:cs="Century Gothic"/>
          <w:sz w:val="20"/>
          <w:szCs w:val="20"/>
          <w:lang w:val="es-ES_tradnl"/>
        </w:rPr>
        <w:t>í</w:t>
      </w:r>
      <w:r w:rsidRPr="005B1F06">
        <w:rPr>
          <w:rFonts w:ascii="Verdana" w:hAnsi="Verdana" w:cs="Arial"/>
          <w:sz w:val="20"/>
          <w:szCs w:val="20"/>
          <w:lang w:val="es-ES_tradnl"/>
        </w:rPr>
        <w:t>culo 12 de la Ley 1150 de 2007, las Entidades Estatales, independientemente de su r</w:t>
      </w:r>
      <w:r w:rsidRPr="005B1F06">
        <w:rPr>
          <w:rFonts w:ascii="Verdana" w:hAnsi="Verdana" w:cs="Century Gothic"/>
          <w:sz w:val="20"/>
          <w:szCs w:val="20"/>
          <w:lang w:val="es-ES_tradnl"/>
        </w:rPr>
        <w:t>é</w:t>
      </w:r>
      <w:r w:rsidRPr="005B1F06">
        <w:rPr>
          <w:rFonts w:ascii="Verdana" w:hAnsi="Verdana" w:cs="Arial"/>
          <w:sz w:val="20"/>
          <w:szCs w:val="20"/>
          <w:lang w:val="es-ES_tradnl"/>
        </w:rPr>
        <w:t>gimen de contrataci</w:t>
      </w:r>
      <w:r w:rsidRPr="005B1F06">
        <w:rPr>
          <w:rFonts w:ascii="Verdana" w:hAnsi="Verdana" w:cs="Century Gothic"/>
          <w:sz w:val="20"/>
          <w:szCs w:val="20"/>
          <w:lang w:val="es-ES_tradnl"/>
        </w:rPr>
        <w:t>ó</w:t>
      </w:r>
      <w:r w:rsidRPr="005B1F06">
        <w:rPr>
          <w:rFonts w:ascii="Verdana" w:hAnsi="Verdana" w:cs="Arial"/>
          <w:sz w:val="20"/>
          <w:szCs w:val="20"/>
          <w:lang w:val="es-ES_tradnl"/>
        </w:rPr>
        <w:t>n, los patrimonios aut</w:t>
      </w:r>
      <w:r w:rsidRPr="005B1F06">
        <w:rPr>
          <w:rFonts w:ascii="Verdana" w:hAnsi="Verdana" w:cs="Century Gothic"/>
          <w:sz w:val="20"/>
          <w:szCs w:val="20"/>
          <w:lang w:val="es-ES_tradnl"/>
        </w:rPr>
        <w:t>ó</w:t>
      </w:r>
      <w:r w:rsidRPr="005B1F06">
        <w:rPr>
          <w:rFonts w:ascii="Verdana" w:hAnsi="Verdana" w:cs="Arial"/>
          <w:sz w:val="20"/>
          <w:szCs w:val="20"/>
          <w:lang w:val="es-ES_tradnl"/>
        </w:rPr>
        <w:t>nomos constituidos por Entidades Estatales y los particulares que ejecuten recursos p</w:t>
      </w:r>
      <w:r w:rsidRPr="005B1F06">
        <w:rPr>
          <w:rFonts w:ascii="Verdana" w:hAnsi="Verdana" w:cs="Century Gothic"/>
          <w:sz w:val="20"/>
          <w:szCs w:val="20"/>
          <w:lang w:val="es-ES_tradnl"/>
        </w:rPr>
        <w:t>ú</w:t>
      </w:r>
      <w:r w:rsidRPr="005B1F06">
        <w:rPr>
          <w:rFonts w:ascii="Verdana" w:hAnsi="Verdana" w:cs="Arial"/>
          <w:sz w:val="20"/>
          <w:szCs w:val="20"/>
          <w:lang w:val="es-ES_tradnl"/>
        </w:rPr>
        <w:t>blicos, pueden realizar convocatorias limitadas a MiPymes colombianas que tengan domicilio en los departamentos o municipios en donde se va a ejecutar el contrato. Cada MiPymes deber</w:t>
      </w:r>
      <w:r w:rsidRPr="005B1F06">
        <w:rPr>
          <w:rFonts w:ascii="Verdana" w:hAnsi="Verdana" w:cs="Century Gothic"/>
          <w:sz w:val="20"/>
          <w:szCs w:val="20"/>
          <w:lang w:val="es-ES_tradnl"/>
        </w:rPr>
        <w:t>á</w:t>
      </w:r>
      <w:r w:rsidRPr="005B1F06">
        <w:rPr>
          <w:rFonts w:ascii="Verdana" w:hAnsi="Verdana" w:cs="Arial"/>
          <w:sz w:val="20"/>
          <w:szCs w:val="20"/>
          <w:lang w:val="es-ES_tradnl"/>
        </w:rPr>
        <w:t xml:space="preserve"> acreditar su domicilio con los documentos a los que se refiere el siguiente artículo</w:t>
      </w:r>
      <w:r>
        <w:rPr>
          <w:rFonts w:ascii="Verdana" w:hAnsi="Verdana" w:cs="Arial"/>
          <w:sz w:val="20"/>
          <w:szCs w:val="20"/>
          <w:lang w:val="es-ES_tradnl"/>
        </w:rPr>
        <w:t>”</w:t>
      </w:r>
      <w:r w:rsidRPr="005B1F06">
        <w:rPr>
          <w:rFonts w:ascii="Verdana" w:hAnsi="Verdana" w:cs="Arial"/>
          <w:sz w:val="20"/>
          <w:szCs w:val="20"/>
          <w:lang w:val="es-ES_tradnl"/>
        </w:rPr>
        <w:t xml:space="preserve">. </w:t>
      </w:r>
    </w:p>
    <w:p w14:paraId="57C5344D" w14:textId="77777777" w:rsidR="00F078F6" w:rsidRPr="005A75AB" w:rsidRDefault="00F078F6" w:rsidP="00F078F6">
      <w:pPr>
        <w:spacing w:after="0" w:line="276" w:lineRule="auto"/>
        <w:ind w:left="709" w:right="709"/>
        <w:jc w:val="both"/>
        <w:rPr>
          <w:rFonts w:ascii="Verdana" w:eastAsia="Calibri" w:hAnsi="Verdana" w:cs="Arial"/>
          <w:lang w:val="es-ES_tradnl"/>
        </w:rPr>
      </w:pPr>
    </w:p>
    <w:p w14:paraId="43743FCB" w14:textId="77777777" w:rsidR="00F078F6" w:rsidRPr="005B1F06" w:rsidRDefault="00F078F6" w:rsidP="00F078F6">
      <w:pPr>
        <w:spacing w:after="120" w:line="276" w:lineRule="auto"/>
        <w:ind w:firstLine="709"/>
        <w:jc w:val="both"/>
        <w:rPr>
          <w:rFonts w:ascii="Verdana" w:eastAsia="Calibri" w:hAnsi="Verdana" w:cs="Arial"/>
          <w:lang w:val="es-ES"/>
        </w:rPr>
      </w:pPr>
      <w:r w:rsidRPr="706726C8">
        <w:rPr>
          <w:rFonts w:ascii="Verdana" w:eastAsia="Calibri" w:hAnsi="Verdana" w:cs="Arial"/>
          <w:lang w:val="es-ES"/>
        </w:rPr>
        <w:t xml:space="preserve">La norma reglamentaria coincide con la redacción del parágrafo 1 del artículo 34 de la Ley 2069 de 2020, según el cual, solo es posible limitar convocatorias a la participación de Mipymes “[…] del ámbito municipal o departamental correspondiente al de la ejecución del contrato”. En tales términos, la norma citada solo contempla la posibilidad de limitar convocatorias a Mipymes con domicilio en esos dos tipos de entidades territoriales. </w:t>
      </w:r>
    </w:p>
    <w:p w14:paraId="5DC03612" w14:textId="77777777" w:rsidR="00F078F6" w:rsidRPr="005B1F06" w:rsidRDefault="00F078F6" w:rsidP="00F078F6">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la ejecución de un contrato dentro de la entidad territorial en la que tienen su “domicilio”. </w:t>
      </w:r>
    </w:p>
    <w:p w14:paraId="31E73CE3" w14:textId="77777777" w:rsidR="00F078F6" w:rsidRPr="005B1F06" w:rsidRDefault="00F078F6" w:rsidP="00F078F6">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themeColor="text1"/>
          <w:lang w:val="es-ES"/>
        </w:rPr>
        <w:t>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w:t>
      </w:r>
      <w:r>
        <w:rPr>
          <w:rFonts w:ascii="Verdana" w:eastAsia="Arial" w:hAnsi="Verdana" w:cs="Arial"/>
          <w:color w:val="000000" w:themeColor="text1"/>
          <w:lang w:val="es-ES"/>
        </w:rPr>
        <w:t>o</w:t>
      </w:r>
      <w:r w:rsidRPr="706726C8">
        <w:rPr>
          <w:rFonts w:ascii="Verdana" w:eastAsia="Arial" w:hAnsi="Verdana" w:cs="Arial"/>
          <w:color w:val="000000" w:themeColor="text1"/>
          <w:lang w:val="es-ES"/>
        </w:rPr>
        <w:t xml:space="preserve"> en el que la Mipymes tiene su “domicilio”, y no en donde tiene sucursales. </w:t>
      </w:r>
    </w:p>
    <w:p w14:paraId="0F179CF8" w14:textId="77777777" w:rsidR="00F078F6" w:rsidRPr="005B1F06" w:rsidRDefault="00F078F6" w:rsidP="00F078F6">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 xml:space="preserve">El artículo 263 del Código de Comercio define las sucursales como “los establecimientos de comercio abiertos por una sociedad, dentro o fuera de su domicilio, para el desarrollo de los negocios sociales o parte de ellos, </w:t>
      </w:r>
      <w:r w:rsidRPr="005B1F06">
        <w:rPr>
          <w:rFonts w:ascii="Verdana" w:eastAsia="Arial" w:hAnsi="Verdana" w:cs="Arial"/>
          <w:color w:val="000000" w:themeColor="text1"/>
          <w:lang w:val="es-ES"/>
        </w:rPr>
        <w:lastRenderedPageBreak/>
        <w:t>administrados por mandatarios con facultades para representar la sociedad”. Nótese que la norma se refiere a los conceptos de “sucursal” y “domicilio” de forma diferente, de lo que se deriva que las sociedades comerciales tienen un domicilio y pueden tener</w:t>
      </w:r>
      <w:r w:rsidRPr="7F14F77F">
        <w:rPr>
          <w:rFonts w:ascii="Century Gothic" w:eastAsia="Arial" w:hAnsi="Century Gothic" w:cs="Arial"/>
          <w:color w:val="000000" w:themeColor="text1"/>
          <w:lang w:val="es-ES"/>
        </w:rPr>
        <w:t xml:space="preserve"> </w:t>
      </w:r>
      <w:r w:rsidRPr="005B1F06">
        <w:rPr>
          <w:rFonts w:ascii="Verdana" w:eastAsia="Arial" w:hAnsi="Verdana" w:cs="Arial"/>
          <w:color w:val="000000" w:themeColor="text1"/>
          <w:lang w:val="es-ES"/>
        </w:rPr>
        <w:t xml:space="preserve">una o varias sucursales que son establecimientos de comercio, esto es, bienes mercantiles pertenecientes a la sociedad. En ese mismo sentido, los artículos 110 y 111 </w:t>
      </w:r>
      <w:r w:rsidRPr="005B1F06">
        <w:rPr>
          <w:rFonts w:ascii="Verdana" w:eastAsia="Arial" w:hAnsi="Verdana" w:cs="Arial"/>
          <w:i/>
          <w:color w:val="000000" w:themeColor="text1"/>
          <w:lang w:val="es-ES"/>
        </w:rPr>
        <w:t>ibídem</w:t>
      </w:r>
      <w:r w:rsidRPr="005B1F06">
        <w:rPr>
          <w:rFonts w:ascii="Verdana" w:eastAsia="Arial" w:hAnsi="Verdana"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acuerdo con lo anterior, si el legislador distinguió entre uno y otro y si el reglamento se refiere al “domicilio”, se entiende que no es procedente extender el beneficio contenido en el artículo 2.2.1.2.4.2.3. </w:t>
      </w:r>
      <w:r w:rsidRPr="005B1F06">
        <w:rPr>
          <w:rFonts w:ascii="Verdana" w:eastAsia="Arial" w:hAnsi="Verdana" w:cs="Arial"/>
          <w:i/>
          <w:color w:val="000000" w:themeColor="text1"/>
          <w:lang w:val="es-ES"/>
        </w:rPr>
        <w:t xml:space="preserve">ibídem </w:t>
      </w:r>
      <w:r w:rsidRPr="005B1F06">
        <w:rPr>
          <w:rFonts w:ascii="Verdana" w:eastAsia="Arial" w:hAnsi="Verdana" w:cs="Arial"/>
          <w:color w:val="000000" w:themeColor="text1"/>
          <w:lang w:val="es-ES"/>
        </w:rPr>
        <w:t>a las entidades que tienen “sucursales” en el municipio o departamento en donde se va a ejecutar el contrato estatal.</w:t>
      </w:r>
    </w:p>
    <w:p w14:paraId="17ED9B08" w14:textId="77777777" w:rsidR="00F078F6" w:rsidRPr="005B1F06" w:rsidRDefault="00F078F6" w:rsidP="00F078F6">
      <w:pPr>
        <w:spacing w:after="120" w:line="276" w:lineRule="auto"/>
        <w:ind w:firstLine="709"/>
        <w:jc w:val="both"/>
        <w:rPr>
          <w:rFonts w:ascii="Verdana" w:eastAsia="Arial" w:hAnsi="Verdana" w:cs="Arial"/>
          <w:color w:val="000000"/>
          <w:lang w:val="es-ES"/>
        </w:rPr>
      </w:pPr>
      <w:bookmarkStart w:id="4" w:name="_Hlk213767865"/>
      <w:r w:rsidRPr="706726C8">
        <w:rPr>
          <w:rFonts w:ascii="Verdana" w:eastAsia="Arial" w:hAnsi="Verdana" w:cs="Arial"/>
          <w:color w:val="000000"/>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706726C8">
        <w:rPr>
          <w:rFonts w:ascii="Verdana" w:eastAsia="Arial" w:hAnsi="Verdana" w:cs="Arial"/>
          <w:i/>
          <w:color w:val="000000"/>
          <w:lang w:val="es-ES"/>
        </w:rPr>
        <w:t xml:space="preserve">motu proprio </w:t>
      </w:r>
      <w:r w:rsidRPr="706726C8">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11613995" w14:textId="77777777" w:rsidR="00F078F6" w:rsidRPr="005B1F06" w:rsidRDefault="00F078F6" w:rsidP="00F078F6">
      <w:pPr>
        <w:spacing w:after="120" w:line="276" w:lineRule="auto"/>
        <w:ind w:firstLine="708"/>
        <w:jc w:val="both"/>
        <w:rPr>
          <w:rFonts w:ascii="Verdana" w:hAnsi="Verdana" w:cs="Arial"/>
          <w:color w:val="000000" w:themeColor="text1"/>
        </w:rPr>
      </w:pPr>
      <w:r w:rsidRPr="005B1F06">
        <w:rPr>
          <w:rFonts w:ascii="Verdana" w:hAnsi="Verdana" w:cs="Arial"/>
          <w:color w:val="000000" w:themeColor="text1"/>
        </w:rPr>
        <w:t xml:space="preserve">Cumplidos los dos requisitos del artículo 2.2.1.2.4.2.2. </w:t>
      </w:r>
      <w:r w:rsidRPr="005B1F06">
        <w:rPr>
          <w:rFonts w:ascii="Verdana" w:hAnsi="Verdana" w:cs="Arial"/>
          <w:i/>
          <w:iCs/>
          <w:color w:val="000000" w:themeColor="text1"/>
        </w:rPr>
        <w:t>ibídem</w:t>
      </w:r>
      <w:r w:rsidRPr="005B1F06">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BF61EA">
        <w:rPr>
          <w:rFonts w:ascii="Verdana" w:hAnsi="Verdana" w:cs="Arial"/>
          <w:i/>
          <w:iCs/>
          <w:color w:val="000000" w:themeColor="text1"/>
        </w:rPr>
        <w:t>pueden</w:t>
      </w:r>
      <w:r w:rsidRPr="005B1F06">
        <w:rPr>
          <w:rFonts w:ascii="Verdana" w:hAnsi="Verdana" w:cs="Arial"/>
          <w:color w:val="000000" w:themeColor="text1"/>
        </w:rPr>
        <w:t xml:space="preserve"> ─no tienen que─ decidir si limitan la convocatoria a las Mipymes colombianas domiciliadas en el municipio o departamento en el que se</w:t>
      </w:r>
      <w:r w:rsidRPr="001D4AC1">
        <w:rPr>
          <w:rFonts w:ascii="Century Gothic" w:hAnsi="Century Gothic" w:cs="Arial"/>
          <w:color w:val="000000" w:themeColor="text1"/>
        </w:rPr>
        <w:t xml:space="preserve"> </w:t>
      </w:r>
      <w:r w:rsidRPr="005B1F06">
        <w:rPr>
          <w:rFonts w:ascii="Verdana" w:hAnsi="Verdana" w:cs="Arial"/>
          <w:color w:val="000000" w:themeColor="text1"/>
        </w:rPr>
        <w:t>ejecutará el contrato</w:t>
      </w:r>
      <w:r w:rsidRPr="005B1F06">
        <w:rPr>
          <w:rFonts w:ascii="Verdana" w:hAnsi="Verdana" w:cs="Arial"/>
          <w:color w:val="000000" w:themeColor="text1"/>
          <w:vertAlign w:val="superscript"/>
        </w:rPr>
        <w:footnoteReference w:id="1"/>
      </w:r>
      <w:r w:rsidRPr="005B1F06">
        <w:rPr>
          <w:rFonts w:ascii="Verdana" w:hAnsi="Verdana" w:cs="Arial"/>
          <w:color w:val="000000" w:themeColor="text1"/>
        </w:rPr>
        <w:t xml:space="preserve">. Esto de acuerdo con lo establecido en artículo 2.2.1.2.4.2.3. del Decreto 1082 de 2015 </w:t>
      </w:r>
      <w:r w:rsidRPr="005B1F06">
        <w:rPr>
          <w:rFonts w:ascii="Verdana" w:eastAsia="Arial" w:hAnsi="Verdana" w:cs="Arial"/>
          <w:color w:val="000000"/>
          <w:lang w:val="es-ES_tradnl"/>
        </w:rPr>
        <w:t xml:space="preserve">modificado por el Decreto 1860 de </w:t>
      </w:r>
      <w:r w:rsidRPr="005B1F06">
        <w:rPr>
          <w:rFonts w:ascii="Verdana" w:eastAsia="Arial" w:hAnsi="Verdana" w:cs="Arial"/>
          <w:color w:val="000000"/>
          <w:lang w:val="es-ES_tradnl"/>
        </w:rPr>
        <w:lastRenderedPageBreak/>
        <w:t>2021</w:t>
      </w:r>
      <w:r w:rsidRPr="005B1F06">
        <w:rPr>
          <w:rFonts w:ascii="Verdana" w:hAnsi="Verdana" w:cs="Arial"/>
          <w:color w:val="000000" w:themeColor="text1"/>
        </w:rPr>
        <w:t xml:space="preserve">, norma que se refiere a la facultad de la administración con el verbo infinitivo “poder”, no “deber”. </w:t>
      </w:r>
    </w:p>
    <w:p w14:paraId="59EABB08" w14:textId="77777777" w:rsidR="00F078F6" w:rsidRPr="005B1F06" w:rsidRDefault="00F078F6" w:rsidP="00F078F6">
      <w:pPr>
        <w:spacing w:after="120" w:line="276" w:lineRule="auto"/>
        <w:ind w:firstLine="709"/>
        <w:jc w:val="both"/>
        <w:rPr>
          <w:rFonts w:ascii="Verdana" w:eastAsia="Calibri" w:hAnsi="Verdana" w:cs="Arial"/>
          <w:color w:val="000000" w:themeColor="text1"/>
        </w:rPr>
      </w:pPr>
      <w:r w:rsidRPr="00C661E5">
        <w:rPr>
          <w:rFonts w:ascii="Verdana" w:eastAsia="Times New Roman" w:hAnsi="Verdana" w:cs="Arial"/>
          <w:lang w:eastAsia="es-CO"/>
        </w:rPr>
        <w:t>La Agencia Nacional de Contratación Pública – Colombia Compra Eficiente</w:t>
      </w:r>
      <w:r w:rsidRPr="00C661E5">
        <w:rPr>
          <w:rFonts w:ascii="Verdana" w:eastAsia="Calibri" w:hAnsi="Verdana" w:cs="Arial"/>
          <w:color w:val="000000" w:themeColor="text1"/>
        </w:rPr>
        <w:t xml:space="preserve"> </w:t>
      </w:r>
      <w:r w:rsidRPr="005B1F06">
        <w:rPr>
          <w:rFonts w:ascii="Verdana" w:eastAsia="Calibri" w:hAnsi="Verdana" w:cs="Arial"/>
          <w:color w:val="000000" w:themeColor="text1"/>
        </w:rPr>
        <w:t>ha sostenido que la decisión de limitar territorialmente un</w:t>
      </w:r>
      <w:r w:rsidRPr="005B1F06">
        <w:rPr>
          <w:rFonts w:ascii="Verdana" w:hAnsi="Verdana" w:cs="Arial"/>
          <w:color w:val="000000" w:themeColor="text1"/>
        </w:rPr>
        <w:t xml:space="preserve">a convocatoria a MiPymes </w:t>
      </w:r>
      <w:r w:rsidRPr="005B1F06">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5B1F06">
        <w:rPr>
          <w:rFonts w:ascii="Verdana" w:hAnsi="Verdana" w:cs="Arial"/>
          <w:color w:val="000000" w:themeColor="text1"/>
        </w:rPr>
        <w:t>artículo 2.2.1.2.4.2.3. del Decreto 1082 de 2015, indicó que las Mipymes</w:t>
      </w:r>
      <w:r w:rsidRPr="005B1F06">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5B1F06">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1D15FAB3" w14:textId="77777777" w:rsidR="00F078F6" w:rsidRPr="005B1F06" w:rsidRDefault="00F078F6" w:rsidP="00F078F6">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Mipymes colombianas</w:t>
      </w:r>
      <w:r w:rsidRPr="005B1F06">
        <w:rPr>
          <w:rFonts w:ascii="Verdana" w:eastAsia="Calibri" w:hAnsi="Verdana" w:cs="Arial"/>
          <w:color w:val="000000" w:themeColor="text1"/>
        </w:rPr>
        <w:t xml:space="preserve"> a la que se refiere el artículo 2.2.1.2.4.2.2. del Decreto 1082 de 2015, pero no la “limitación territorial” referida en el artículo 2.2.1.2.4.2.3. </w:t>
      </w:r>
      <w:r w:rsidRPr="005B1F06">
        <w:rPr>
          <w:rFonts w:ascii="Verdana" w:eastAsia="Calibri" w:hAnsi="Verdana" w:cs="Arial"/>
          <w:i/>
          <w:iCs/>
          <w:color w:val="000000" w:themeColor="text1"/>
        </w:rPr>
        <w:t>ibídem</w:t>
      </w:r>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imitada a las Mipymes colombianas</w:t>
      </w:r>
      <w:r w:rsidRPr="005B1F06">
        <w:rPr>
          <w:rFonts w:ascii="Verdana" w:eastAsia="Calibri" w:hAnsi="Verdana" w:cs="Arial"/>
          <w:color w:val="000000" w:themeColor="text1"/>
        </w:rPr>
        <w:t xml:space="preserve"> “domiciliadas en los departamentos o municipios en donde se va a ejecutar el contrato” y ii) que la entidad justifique su decisión en los “estudios del sector”. No es procedente, entonces, que sean las Mipymes las que soliciten la “limitación territorial” a la que se refiere el artículo 2.2.1.2.4.2.3. del Decreto 1082 de 2015. </w:t>
      </w:r>
    </w:p>
    <w:bookmarkEnd w:id="4"/>
    <w:p w14:paraId="6F3F61DE" w14:textId="77777777" w:rsidR="00F078F6" w:rsidRPr="00F12F94" w:rsidRDefault="00F078F6" w:rsidP="00F078F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esta forma</w:t>
      </w:r>
      <w:r w:rsidRPr="005B1F06">
        <w:rPr>
          <w:rFonts w:ascii="Verdana" w:eastAsia="Calibri" w:hAnsi="Verdana" w:cs="Arial"/>
          <w:color w:val="000000" w:themeColor="text1"/>
        </w:rPr>
        <w:t>, se debe reite</w:t>
      </w:r>
      <w:r w:rsidRPr="005B1F06">
        <w:rPr>
          <w:rFonts w:ascii="Verdana" w:hAnsi="Verdana" w:cs="Arial"/>
          <w:color w:val="000000" w:themeColor="text1"/>
        </w:rPr>
        <w:t>rar que el origen de las Mipymes</w:t>
      </w:r>
      <w:r w:rsidRPr="005B1F06">
        <w:rPr>
          <w:rFonts w:ascii="Verdana" w:eastAsia="Calibri" w:hAnsi="Verdana" w:cs="Arial"/>
          <w:color w:val="000000" w:themeColor="text1"/>
        </w:rPr>
        <w:t xml:space="preserve"> que solicitan la “limitación territorial” no es relevante frente a dicha decisión, por dos razo</w:t>
      </w:r>
      <w:r w:rsidRPr="005B1F06">
        <w:rPr>
          <w:rFonts w:ascii="Verdana" w:hAnsi="Verdana" w:cs="Arial"/>
          <w:color w:val="000000" w:themeColor="text1"/>
        </w:rPr>
        <w:t>nes: primero, porque las MiPymes</w:t>
      </w:r>
      <w:r w:rsidRPr="005B1F06">
        <w:rPr>
          <w:rFonts w:ascii="Verdana" w:eastAsia="Calibri" w:hAnsi="Verdana" w:cs="Arial"/>
          <w:color w:val="000000" w:themeColor="text1"/>
        </w:rPr>
        <w:t xml:space="preserve"> no están habilitadas para pedir la “limitación territorial”, lo están para pedir la “convocatoria limitada a MiPymes”, y, segundo, porque el </w:t>
      </w:r>
      <w:r w:rsidRPr="004147BC">
        <w:rPr>
          <w:rFonts w:ascii="Verdana" w:eastAsia="Calibri" w:hAnsi="Verdana" w:cs="Arial"/>
          <w:i/>
          <w:iCs/>
          <w:color w:val="000000" w:themeColor="text1"/>
        </w:rPr>
        <w:t>único criterio</w:t>
      </w:r>
      <w:r w:rsidRPr="005B1F06">
        <w:rPr>
          <w:rFonts w:ascii="Verdana" w:eastAsia="Calibri" w:hAnsi="Verdana" w:cs="Arial"/>
          <w:color w:val="000000" w:themeColor="text1"/>
        </w:rPr>
        <w:t xml:space="preserve"> a tener en cuenta, una vez se ha decidido</w:t>
      </w:r>
      <w:r>
        <w:rPr>
          <w:rFonts w:ascii="Verdana" w:eastAsia="Calibri" w:hAnsi="Verdana" w:cs="Arial"/>
          <w:color w:val="000000" w:themeColor="text1"/>
        </w:rPr>
        <w:t xml:space="preserve"> de manera justificada</w:t>
      </w:r>
      <w:r w:rsidRPr="001D4AC1">
        <w:rPr>
          <w:rFonts w:ascii="Century Gothic" w:eastAsia="Calibri" w:hAnsi="Century Gothic" w:cs="Arial"/>
          <w:color w:val="000000" w:themeColor="text1"/>
        </w:rPr>
        <w:t xml:space="preserve"> </w:t>
      </w:r>
      <w:r w:rsidRPr="00A4749D">
        <w:rPr>
          <w:rFonts w:ascii="Verdana" w:eastAsia="Calibri" w:hAnsi="Verdana" w:cs="Arial"/>
          <w:color w:val="000000" w:themeColor="text1"/>
        </w:rPr>
        <w:t>limitar territorialmente la convocatori</w:t>
      </w:r>
      <w:r w:rsidRPr="00A4749D">
        <w:rPr>
          <w:rFonts w:ascii="Verdana" w:hAnsi="Verdana" w:cs="Arial"/>
          <w:color w:val="000000" w:themeColor="text1"/>
        </w:rPr>
        <w:t>a previamente limitada a Mipymes</w:t>
      </w:r>
      <w:r w:rsidRPr="00A4749D">
        <w:rPr>
          <w:rFonts w:ascii="Verdana" w:eastAsia="Calibri" w:hAnsi="Verdana" w:cs="Arial"/>
          <w:color w:val="000000" w:themeColor="text1"/>
        </w:rPr>
        <w:t xml:space="preserve">, </w:t>
      </w:r>
      <w:r w:rsidRPr="004147BC">
        <w:rPr>
          <w:rFonts w:ascii="Verdana" w:eastAsia="Calibri" w:hAnsi="Verdana" w:cs="Arial"/>
          <w:i/>
          <w:iCs/>
          <w:color w:val="000000" w:themeColor="text1"/>
        </w:rPr>
        <w:t>es el lugar donde se va a ejecutar el contrato.</w:t>
      </w:r>
    </w:p>
    <w:p w14:paraId="6D9A6E5E" w14:textId="77777777" w:rsidR="00F078F6" w:rsidRPr="005A75AB" w:rsidRDefault="00F078F6" w:rsidP="00F078F6">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Al respecto, </w:t>
      </w:r>
      <w:r w:rsidRPr="005A75AB">
        <w:rPr>
          <w:rFonts w:ascii="Verdana" w:eastAsia="Calibri" w:hAnsi="Verdana" w:cs="Arial"/>
          <w:lang w:val="es-ES"/>
        </w:rPr>
        <w:t xml:space="preserve">es preciso advertir que, el ejercicio de la facultad discrecional en orden de aplicar la limitación territorial en favor de las Mipymes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dentro del marco de lo regulado por el artículo 2.2.1.2.4.2.3 </w:t>
      </w:r>
      <w:r w:rsidRPr="005A75AB">
        <w:rPr>
          <w:rFonts w:ascii="Verdana" w:eastAsia="Calibri" w:hAnsi="Verdana" w:cs="Arial"/>
          <w:i/>
          <w:iCs/>
          <w:lang w:val="es-ES"/>
        </w:rPr>
        <w:t>ejusdem</w:t>
      </w:r>
      <w:r w:rsidRPr="005A75AB">
        <w:rPr>
          <w:rFonts w:ascii="Verdana" w:eastAsia="Calibri" w:hAnsi="Verdana" w:cs="Arial"/>
          <w:lang w:val="es-ES"/>
        </w:rPr>
        <w:t xml:space="preserve">, el cual establece como </w:t>
      </w:r>
      <w:r w:rsidRPr="005A75AB">
        <w:rPr>
          <w:rFonts w:ascii="Verdana" w:eastAsia="Calibri" w:hAnsi="Verdana" w:cs="Arial"/>
          <w:lang w:val="es-ES"/>
        </w:rPr>
        <w:lastRenderedPageBreak/>
        <w:t xml:space="preserve">presupuesto que las Mipymes tengan su domicilio en el lugar en donde se va a ejecutar el contrato. Esto significa que, en el marco de estas convocatorias, la exigibilidad de que el domicilio de las Mipymes se ubique en un único municipio en particular o en alguno de los municipios que conforman un departamento en concreto, está ligada al ámbito territorial en el que se va a desarrollar el objeto contractual. </w:t>
      </w:r>
    </w:p>
    <w:p w14:paraId="5888FB91" w14:textId="77777777" w:rsidR="00F078F6" w:rsidRDefault="00F078F6" w:rsidP="00F078F6">
      <w:pPr>
        <w:spacing w:after="120" w:line="276" w:lineRule="auto"/>
        <w:ind w:firstLine="708"/>
        <w:jc w:val="both"/>
        <w:rPr>
          <w:rFonts w:ascii="Verdana" w:eastAsia="Calibri" w:hAnsi="Verdana" w:cs="Arial"/>
          <w:lang w:val="es-ES"/>
        </w:rPr>
      </w:pPr>
      <w:r w:rsidRPr="005A75AB">
        <w:rPr>
          <w:rFonts w:ascii="Verdana" w:eastAsia="Calibri" w:hAnsi="Verdana" w:cs="Arial"/>
          <w:lang w:val="es-ES"/>
        </w:rPr>
        <w:t xml:space="preserve">De este modo, en el caso de un contrato que se va a ejecutar en su totalidad dentro del territorio de un municipio, la limitación territorial debe aplicarse en favor de las Mipyme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1A27C76A" w14:textId="77777777" w:rsidR="00F078F6" w:rsidRDefault="00F078F6" w:rsidP="00F078F6">
      <w:pPr>
        <w:spacing w:after="120" w:line="276" w:lineRule="auto"/>
        <w:ind w:firstLine="708"/>
        <w:jc w:val="both"/>
        <w:rPr>
          <w:rFonts w:ascii="Verdana" w:eastAsia="Calibri" w:hAnsi="Verdana" w:cs="Arial"/>
          <w:lang w:val="es-ES"/>
        </w:rPr>
      </w:pPr>
      <w:r>
        <w:rPr>
          <w:rFonts w:ascii="Verdana" w:eastAsia="Calibri" w:hAnsi="Verdana" w:cs="Arial"/>
          <w:lang w:val="es-MX"/>
        </w:rPr>
        <w:t>Así las cosas, esta</w:t>
      </w:r>
      <w:r>
        <w:rPr>
          <w:rFonts w:ascii="Verdana" w:eastAsia="Calibri" w:hAnsi="Verdana" w:cs="Arial"/>
        </w:rPr>
        <w:t xml:space="preserve"> Agencia considera que lo recomendable es que las entidades establezcan </w:t>
      </w:r>
      <w:r>
        <w:rPr>
          <w:rFonts w:ascii="Verdana" w:eastAsia="Calibri" w:hAnsi="Verdana" w:cs="Arial"/>
          <w:i/>
          <w:iCs/>
        </w:rPr>
        <w:t>ex ante</w:t>
      </w:r>
      <w:r>
        <w:rPr>
          <w:rFonts w:ascii="Verdana" w:eastAsia="Calibri" w:hAnsi="Verdana" w:cs="Arial"/>
        </w:rPr>
        <w:t xml:space="preserve"> las condiciones en las que, eventualmente, harían la “limitación territorial”. Para tales fines, en los documentos del proceso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por ejemplo, en relación con cuál o cuáles municipios o departamentos harían la limitación territorial de que trata el artículo 2.2.1.2.4.2.3. del Decreto 1082 de 2015.</w:t>
      </w:r>
    </w:p>
    <w:p w14:paraId="0319E9E7" w14:textId="77777777" w:rsidR="00F078F6" w:rsidRPr="004147BC" w:rsidRDefault="00F078F6" w:rsidP="00F078F6">
      <w:pPr>
        <w:spacing w:after="120" w:line="276" w:lineRule="auto"/>
        <w:ind w:firstLine="708"/>
        <w:jc w:val="both"/>
        <w:rPr>
          <w:rFonts w:ascii="Verdana" w:eastAsia="Calibri" w:hAnsi="Verdana" w:cs="Arial"/>
          <w:lang w:val="es-ES"/>
        </w:rPr>
      </w:pPr>
      <w:r w:rsidRPr="004147BC">
        <w:rPr>
          <w:rFonts w:ascii="Verdana" w:eastAsia="Calibri" w:hAnsi="Verdana" w:cs="Arial"/>
          <w:lang w:val="es-ES"/>
        </w:rPr>
        <w:t xml:space="preserve">En este contexto, y de acuerdo con el objeto de la consulta, si bien la limitación territorial prevista en el artículo 2.2.1.2.4.2.3 del Decreto 1082 de 2015 faculta a las entidades estatales para </w:t>
      </w:r>
      <w:r>
        <w:rPr>
          <w:rFonts w:ascii="Verdana" w:eastAsia="Calibri" w:hAnsi="Verdana" w:cs="Arial"/>
          <w:lang w:val="es-ES"/>
        </w:rPr>
        <w:t>limitar</w:t>
      </w:r>
      <w:r w:rsidRPr="004147BC">
        <w:rPr>
          <w:rFonts w:ascii="Verdana" w:eastAsia="Calibri" w:hAnsi="Verdana" w:cs="Arial"/>
          <w:lang w:val="es-ES"/>
        </w:rPr>
        <w:t xml:space="preserve"> la convocatoria a</w:t>
      </w:r>
      <w:r>
        <w:rPr>
          <w:rFonts w:ascii="Verdana" w:eastAsia="Calibri" w:hAnsi="Verdana" w:cs="Arial"/>
          <w:lang w:val="es-ES"/>
        </w:rPr>
        <w:t xml:space="preserve"> las</w:t>
      </w:r>
      <w:r w:rsidRPr="004147BC">
        <w:rPr>
          <w:rFonts w:ascii="Verdana" w:eastAsia="Calibri" w:hAnsi="Verdana" w:cs="Arial"/>
          <w:lang w:val="es-ES"/>
        </w:rPr>
        <w:t xml:space="preserve"> </w:t>
      </w:r>
      <w:r>
        <w:rPr>
          <w:rFonts w:ascii="Verdana" w:eastAsia="Calibri" w:hAnsi="Verdana" w:cs="Arial"/>
          <w:lang w:val="es-ES"/>
        </w:rPr>
        <w:t>M</w:t>
      </w:r>
      <w:r w:rsidRPr="004147BC">
        <w:rPr>
          <w:rFonts w:ascii="Verdana" w:eastAsia="Calibri" w:hAnsi="Verdana" w:cs="Arial"/>
          <w:lang w:val="es-ES"/>
        </w:rPr>
        <w:t>ipyme</w:t>
      </w:r>
      <w:r>
        <w:rPr>
          <w:rFonts w:ascii="Verdana" w:eastAsia="Calibri" w:hAnsi="Verdana" w:cs="Arial"/>
          <w:lang w:val="es-ES"/>
        </w:rPr>
        <w:t>s</w:t>
      </w:r>
      <w:r w:rsidRPr="004147BC">
        <w:rPr>
          <w:rFonts w:ascii="Verdana" w:eastAsia="Calibri" w:hAnsi="Verdana" w:cs="Arial"/>
          <w:lang w:val="es-ES"/>
        </w:rPr>
        <w:t xml:space="preserve">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142F05D5" w14:textId="77777777" w:rsidR="00F078F6" w:rsidRDefault="00F078F6" w:rsidP="00F078F6">
      <w:pPr>
        <w:spacing w:after="120" w:line="276" w:lineRule="auto"/>
        <w:ind w:firstLine="708"/>
        <w:jc w:val="both"/>
        <w:rPr>
          <w:rFonts w:ascii="Verdana" w:eastAsia="Calibri" w:hAnsi="Verdana" w:cs="Arial"/>
          <w:lang w:val="es-ES"/>
        </w:rPr>
      </w:pPr>
      <w:r w:rsidRPr="004147BC">
        <w:rPr>
          <w:rFonts w:ascii="Verdana" w:eastAsia="Calibri" w:hAnsi="Verdana" w:cs="Arial"/>
          <w:lang w:val="es-ES"/>
        </w:rPr>
        <w:lastRenderedPageBreak/>
        <w:t xml:space="preserve">En consecuencia, aunque la disposición admite una </w:t>
      </w:r>
      <w:r>
        <w:rPr>
          <w:rFonts w:ascii="Verdana" w:eastAsia="Calibri" w:hAnsi="Verdana" w:cs="Arial"/>
          <w:lang w:val="es-ES"/>
        </w:rPr>
        <w:t>limitación</w:t>
      </w:r>
      <w:r w:rsidRPr="004147BC">
        <w:rPr>
          <w:rFonts w:ascii="Verdana" w:eastAsia="Calibri" w:hAnsi="Verdana" w:cs="Arial"/>
          <w:lang w:val="es-ES"/>
        </w:rPr>
        <w:t xml:space="preserve"> indirecta a la participación</w:t>
      </w:r>
      <w:r>
        <w:rPr>
          <w:rFonts w:ascii="Verdana" w:eastAsia="Calibri" w:hAnsi="Verdana" w:cs="Arial"/>
          <w:lang w:val="es-ES"/>
        </w:rPr>
        <w:t xml:space="preserve">, </w:t>
      </w:r>
      <w:r w:rsidRPr="004147BC">
        <w:rPr>
          <w:rFonts w:ascii="Verdana" w:eastAsia="Calibri" w:hAnsi="Verdana" w:cs="Arial"/>
          <w:lang w:val="es-ES"/>
        </w:rPr>
        <w:t xml:space="preserve">en tanto únicamente podrán concurrir las </w:t>
      </w:r>
      <w:r>
        <w:rPr>
          <w:rFonts w:ascii="Verdana" w:eastAsia="Calibri" w:hAnsi="Verdana" w:cs="Arial"/>
          <w:lang w:val="es-ES"/>
        </w:rPr>
        <w:t>M</w:t>
      </w:r>
      <w:r w:rsidRPr="004147BC">
        <w:rPr>
          <w:rFonts w:ascii="Verdana" w:eastAsia="Calibri" w:hAnsi="Verdana" w:cs="Arial"/>
          <w:lang w:val="es-ES"/>
        </w:rPr>
        <w:t xml:space="preserve">ipymes domiciliadas en </w:t>
      </w:r>
      <w:r>
        <w:rPr>
          <w:rFonts w:ascii="Verdana" w:eastAsia="Calibri" w:hAnsi="Verdana" w:cs="Arial"/>
          <w:lang w:val="es-ES"/>
        </w:rPr>
        <w:t>el</w:t>
      </w:r>
      <w:r w:rsidRPr="004147BC">
        <w:rPr>
          <w:rFonts w:ascii="Verdana" w:eastAsia="Calibri" w:hAnsi="Verdana" w:cs="Arial"/>
          <w:lang w:val="es-ES"/>
        </w:rPr>
        <w:t xml:space="preserve"> respectiv</w:t>
      </w:r>
      <w:r>
        <w:rPr>
          <w:rFonts w:ascii="Verdana" w:eastAsia="Calibri" w:hAnsi="Verdana" w:cs="Arial"/>
          <w:lang w:val="es-ES"/>
        </w:rPr>
        <w:t>o departamento o municipio en donde se ejecutará el contrato</w:t>
      </w:r>
      <w:r w:rsidRPr="004147BC">
        <w:rPr>
          <w:rFonts w:ascii="Verdana" w:eastAsia="Calibri" w:hAnsi="Verdana" w:cs="Arial"/>
          <w:lang w:val="es-ES"/>
        </w:rPr>
        <w:t xml:space="preserve">, ello no significa que la entidad estatal pueda </w:t>
      </w:r>
      <w:r>
        <w:rPr>
          <w:rFonts w:ascii="Verdana" w:eastAsia="Calibri" w:hAnsi="Verdana" w:cs="Arial"/>
          <w:lang w:val="es-ES"/>
        </w:rPr>
        <w:t>establecer</w:t>
      </w:r>
      <w:r w:rsidRPr="004147BC">
        <w:rPr>
          <w:rFonts w:ascii="Verdana" w:eastAsia="Calibri" w:hAnsi="Verdana" w:cs="Arial"/>
          <w:lang w:val="es-ES"/>
        </w:rPr>
        <w:t xml:space="preserve"> limitaciones orientadas a excluir selectivamente determinados municipios o zonas específicas</w:t>
      </w:r>
      <w:r>
        <w:rPr>
          <w:rFonts w:ascii="Verdana" w:eastAsia="Calibri" w:hAnsi="Verdana" w:cs="Arial"/>
          <w:lang w:val="es-ES"/>
        </w:rPr>
        <w:t xml:space="preserve"> si estos hacen parte del respectivo departamento y del lugar ejecución del contrato. L</w:t>
      </w:r>
      <w:r w:rsidRPr="004147BC">
        <w:rPr>
          <w:rFonts w:ascii="Verdana" w:eastAsia="Calibri" w:hAnsi="Verdana" w:cs="Arial"/>
          <w:lang w:val="es-ES"/>
        </w:rPr>
        <w:t xml:space="preserve">a </w:t>
      </w:r>
      <w:r>
        <w:rPr>
          <w:rFonts w:ascii="Verdana" w:eastAsia="Calibri" w:hAnsi="Verdana" w:cs="Arial"/>
          <w:lang w:val="es-ES"/>
        </w:rPr>
        <w:t>norma</w:t>
      </w:r>
      <w:r w:rsidRPr="004147BC">
        <w:rPr>
          <w:rFonts w:ascii="Verdana" w:eastAsia="Calibri" w:hAnsi="Verdana" w:cs="Arial"/>
          <w:lang w:val="es-ES"/>
        </w:rPr>
        <w:t xml:space="preserve"> no contempla la posibilidad de establecer exclusiones territoriales fragmentadas o diferenciadas con fundamento en criterios distintos al lugar de ejecución contractual.</w:t>
      </w:r>
      <w:r>
        <w:rPr>
          <w:rFonts w:ascii="Verdana" w:eastAsia="Calibri" w:hAnsi="Verdana" w:cs="Arial"/>
          <w:lang w:val="es-ES"/>
        </w:rPr>
        <w:t xml:space="preserve"> L</w:t>
      </w:r>
      <w:r w:rsidRPr="004147BC">
        <w:rPr>
          <w:rFonts w:ascii="Verdana" w:eastAsia="Calibri" w:hAnsi="Verdana" w:cs="Arial"/>
          <w:lang w:val="es-ES"/>
        </w:rPr>
        <w:t xml:space="preserve">o contrario implicaría admitir que la entidad contratante puede introducir </w:t>
      </w:r>
      <w:r>
        <w:rPr>
          <w:rFonts w:ascii="Verdana" w:eastAsia="Calibri" w:hAnsi="Verdana" w:cs="Arial"/>
          <w:lang w:val="es-ES"/>
        </w:rPr>
        <w:t xml:space="preserve">limitaciones a convocatorias </w:t>
      </w:r>
      <w:r w:rsidRPr="004147BC">
        <w:rPr>
          <w:rFonts w:ascii="Verdana" w:eastAsia="Calibri" w:hAnsi="Verdana" w:cs="Arial"/>
          <w:lang w:val="es-ES"/>
        </w:rPr>
        <w:t>no previstas por el legislador, afectando los principios de igualdad, libre concurrencia y selección objetiva.</w:t>
      </w:r>
      <w:r>
        <w:rPr>
          <w:rFonts w:ascii="Verdana" w:eastAsia="Calibri" w:hAnsi="Verdana" w:cs="Arial"/>
          <w:lang w:val="es-ES"/>
        </w:rPr>
        <w:t xml:space="preserve"> </w:t>
      </w:r>
    </w:p>
    <w:p w14:paraId="6AFF77B9" w14:textId="77777777" w:rsidR="00F078F6" w:rsidRPr="00935A34" w:rsidRDefault="00F078F6" w:rsidP="00F078F6">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Al respecto, debe resaltarse que </w:t>
      </w:r>
      <w:r>
        <w:rPr>
          <w:rFonts w:ascii="Verdana" w:eastAsia="Calibri" w:hAnsi="Verdana" w:cs="Arial"/>
        </w:rPr>
        <w:t>e</w:t>
      </w:r>
      <w:r w:rsidRPr="000D7AB3">
        <w:rPr>
          <w:rFonts w:ascii="Verdana" w:eastAsia="Calibri" w:hAnsi="Verdana" w:cs="Arial"/>
        </w:rPr>
        <w:t>l enfoque actual del marco normativo busca que las Entidades Estatales incorporen prácticas activas de planeación participativa e inclusiva que fortalezcan la participación de las Mipymes y de otras unidades económicas de menor escala</w:t>
      </w:r>
      <w:r>
        <w:rPr>
          <w:rFonts w:ascii="Verdana" w:eastAsia="Calibri" w:hAnsi="Verdana" w:cs="Arial"/>
        </w:rPr>
        <w:t xml:space="preserve"> y, </w:t>
      </w:r>
      <w:r w:rsidRPr="000D7AB3">
        <w:rPr>
          <w:rFonts w:ascii="Verdana" w:eastAsia="Calibri" w:hAnsi="Verdana" w:cs="Arial"/>
        </w:rPr>
        <w:t>orienten sus estrategias de contratación hacia el fortalecimiento de la economía local y regional, procurando que las oportunidades de contratación pública promuevan el desarrollo territorial.</w:t>
      </w:r>
      <w:r w:rsidRPr="00B023E5">
        <w:rPr>
          <w:rFonts w:ascii="Verdana" w:eastAsia="Calibri" w:hAnsi="Verdana" w:cs="Arial"/>
        </w:rPr>
        <w:t xml:space="preserve"> </w:t>
      </w:r>
      <w:r>
        <w:rPr>
          <w:rFonts w:ascii="Verdana" w:eastAsia="Calibri" w:hAnsi="Verdana" w:cs="Arial"/>
        </w:rPr>
        <w:t xml:space="preserve">De esta manera, </w:t>
      </w:r>
      <w:r w:rsidRPr="000D7AB3">
        <w:rPr>
          <w:rFonts w:ascii="Verdana" w:eastAsia="Calibri" w:hAnsi="Verdana" w:cs="Arial"/>
        </w:rPr>
        <w:t>la limitación territorial se erige como una herramienta complementaria dentro de este ecosistema normativo, destinada a fomentar la vinculación de Mipymes domiciliadas en los territorios donde se ejecutan los contratos, generando encadenamientos productivos y fortalecimiento regional.</w:t>
      </w:r>
      <w:r>
        <w:rPr>
          <w:rFonts w:ascii="Verdana" w:eastAsia="Calibri" w:hAnsi="Verdana" w:cs="Arial"/>
        </w:rPr>
        <w:t xml:space="preserve"> </w:t>
      </w:r>
    </w:p>
    <w:p w14:paraId="65A0DFA7" w14:textId="77777777" w:rsidR="00F078F6" w:rsidRDefault="00F078F6" w:rsidP="00F078F6">
      <w:pPr>
        <w:spacing w:after="120" w:line="276" w:lineRule="auto"/>
        <w:ind w:firstLine="708"/>
        <w:jc w:val="both"/>
        <w:rPr>
          <w:rFonts w:ascii="Verdana" w:eastAsia="Calibri" w:hAnsi="Verdana" w:cs="Arial"/>
        </w:rPr>
      </w:pPr>
      <w:r w:rsidRPr="004147BC">
        <w:rPr>
          <w:rFonts w:ascii="Verdana" w:eastAsia="Calibri" w:hAnsi="Verdana" w:cs="Arial"/>
          <w:lang w:val="es-ES"/>
        </w:rPr>
        <w:t xml:space="preserve">Así las cosas, una decisión orientada a excluir un municipio en particular, pese a encontrarse comprendido dentro del ámbito territorial relacionado con la ejecución del objeto contractual, desbordaría </w:t>
      </w:r>
      <w:r>
        <w:rPr>
          <w:rFonts w:ascii="Verdana" w:eastAsia="Calibri" w:hAnsi="Verdana" w:cs="Arial"/>
          <w:lang w:val="es-ES"/>
        </w:rPr>
        <w:t>la finalidad</w:t>
      </w:r>
      <w:r w:rsidRPr="004147BC">
        <w:rPr>
          <w:rFonts w:ascii="Verdana" w:eastAsia="Calibri" w:hAnsi="Verdana" w:cs="Arial"/>
          <w:lang w:val="es-ES"/>
        </w:rPr>
        <w:t xml:space="preserve"> establecid</w:t>
      </w:r>
      <w:r>
        <w:rPr>
          <w:rFonts w:ascii="Verdana" w:eastAsia="Calibri" w:hAnsi="Verdana" w:cs="Arial"/>
          <w:lang w:val="es-ES"/>
        </w:rPr>
        <w:t>a</w:t>
      </w:r>
      <w:r w:rsidRPr="004147BC">
        <w:rPr>
          <w:rFonts w:ascii="Verdana" w:eastAsia="Calibri" w:hAnsi="Verdana" w:cs="Arial"/>
          <w:lang w:val="es-ES"/>
        </w:rPr>
        <w:t xml:space="preserve"> en el </w:t>
      </w:r>
      <w:r>
        <w:rPr>
          <w:rFonts w:ascii="Verdana" w:eastAsia="Calibri" w:hAnsi="Verdana" w:cs="Arial"/>
          <w:lang w:val="es-ES"/>
        </w:rPr>
        <w:t xml:space="preserve">artículo </w:t>
      </w:r>
      <w:r w:rsidRPr="004147BC">
        <w:rPr>
          <w:rFonts w:ascii="Verdana" w:eastAsia="Calibri" w:hAnsi="Verdana" w:cs="Arial"/>
          <w:lang w:val="es-ES"/>
        </w:rPr>
        <w:t>2.2.1.2.4.2.3 del Decreto 1082 de 2015. Ello, por cuanto la determinación dejaría de sustentarse en el criterio principal previsto por la norma</w:t>
      </w:r>
      <w:r>
        <w:rPr>
          <w:rFonts w:ascii="Verdana" w:eastAsia="Calibri" w:hAnsi="Verdana" w:cs="Arial"/>
          <w:lang w:val="es-ES"/>
        </w:rPr>
        <w:t xml:space="preserve">, </w:t>
      </w:r>
      <w:r w:rsidRPr="004147BC">
        <w:rPr>
          <w:rFonts w:ascii="Verdana" w:eastAsia="Calibri" w:hAnsi="Verdana" w:cs="Arial"/>
          <w:lang w:val="es-ES"/>
        </w:rPr>
        <w:t>esto es, el lugar de ejecución del contrato</w:t>
      </w:r>
      <w:r>
        <w:rPr>
          <w:rFonts w:ascii="Verdana" w:eastAsia="Calibri" w:hAnsi="Verdana" w:cs="Arial"/>
          <w:lang w:val="es-ES"/>
        </w:rPr>
        <w:t>,</w:t>
      </w:r>
      <w:r w:rsidRPr="004147BC">
        <w:rPr>
          <w:rFonts w:ascii="Verdana" w:eastAsia="Calibri" w:hAnsi="Verdana" w:cs="Arial"/>
          <w:lang w:val="es-ES"/>
        </w:rPr>
        <w:t xml:space="preserve"> para apoyarse en consideraciones ajenas a la finalidad de la medida, lo que podría comprometer la legalidad de la actuación administrativa y la validez de las reglas del proceso de selección.</w:t>
      </w:r>
      <w:r>
        <w:rPr>
          <w:rFonts w:ascii="Verdana" w:eastAsia="Calibri" w:hAnsi="Verdana" w:cs="Arial"/>
          <w:lang w:val="es-ES"/>
        </w:rPr>
        <w:t xml:space="preserve"> </w:t>
      </w:r>
      <w:r>
        <w:rPr>
          <w:rFonts w:ascii="Verdana" w:eastAsia="Calibri" w:hAnsi="Verdana" w:cs="Arial"/>
        </w:rPr>
        <w:t>Por tanto</w:t>
      </w:r>
      <w:r w:rsidRPr="000D7AB3">
        <w:rPr>
          <w:rFonts w:ascii="Verdana" w:eastAsia="Calibri" w:hAnsi="Verdana" w:cs="Arial"/>
        </w:rPr>
        <w:t xml:space="preserve">, la decisión de aplicar una limitación territorial debe basarse en criterios técnicos que demuestren que tal medida contribuye efectivamente a los fines de promoción empresarial y desarrollo regional previstos en </w:t>
      </w:r>
      <w:r>
        <w:rPr>
          <w:rFonts w:ascii="Verdana" w:eastAsia="Calibri" w:hAnsi="Verdana" w:cs="Arial"/>
        </w:rPr>
        <w:t>el ordenamiento jurídico</w:t>
      </w:r>
      <w:r w:rsidRPr="000D7AB3">
        <w:rPr>
          <w:rFonts w:ascii="Verdana" w:eastAsia="Calibri" w:hAnsi="Verdana" w:cs="Arial"/>
        </w:rPr>
        <w:t>s.</w:t>
      </w:r>
    </w:p>
    <w:p w14:paraId="67B0F5CA" w14:textId="77777777" w:rsidR="00F078F6" w:rsidRDefault="00F078F6" w:rsidP="00F078F6">
      <w:pPr>
        <w:spacing w:after="120" w:line="276" w:lineRule="auto"/>
        <w:ind w:firstLine="708"/>
        <w:jc w:val="both"/>
        <w:rPr>
          <w:rFonts w:ascii="Verdana" w:eastAsia="Calibri" w:hAnsi="Verdana" w:cs="Arial"/>
        </w:rPr>
      </w:pPr>
      <w:r w:rsidRPr="00317680">
        <w:rPr>
          <w:rFonts w:ascii="Verdana" w:eastAsia="Calibri" w:hAnsi="Verdana" w:cs="Arial"/>
        </w:rPr>
        <w:lastRenderedPageBreak/>
        <w:t>En síntesis, la limitación territorial prevista en el artículo 2.2.1.2.4.2.3 del Decreto 1082 de 2015, modificado por el Decreto 1860 de 2021, constituye una facultad discrecional de la Entidad Estatal, cuyo ejercicio debe estar precedido por la verificación de los requisitos que habilitan la limitación general a Mipymes y sustentarse en una justificación técnica contenida en los estudios del sector. Esta medida no opera de pleno derecho, ni depende del número de solicitudes presentadas por Mipymes de distintos ámbitos, sino de la conveniencia y coherencia que guarde con el lugar o lugares de ejecución del contrato. En ese sentido, cuando la ejecución contractual se circunscribe a un único municipio, la limitación podrá aplicarse respecto de las Mipymes con domicilio principal en es</w:t>
      </w:r>
      <w:r>
        <w:rPr>
          <w:rFonts w:ascii="Verdana" w:eastAsia="Calibri" w:hAnsi="Verdana" w:cs="Arial"/>
        </w:rPr>
        <w:t>e territorio</w:t>
      </w:r>
      <w:r w:rsidRPr="00317680">
        <w:rPr>
          <w:rFonts w:ascii="Verdana" w:eastAsia="Calibri" w:hAnsi="Verdana" w:cs="Arial"/>
        </w:rPr>
        <w:t>, mientras que, si la ejecución abarca varios municipios pertenecientes a un mismo departamento, la entidad podrá extender la limitación a las Mipymes con domicilio en cualquiera de ellos, dentro del ámbito departamental correspondiente</w:t>
      </w:r>
      <w:r>
        <w:rPr>
          <w:rFonts w:ascii="Verdana" w:eastAsia="Calibri" w:hAnsi="Verdana" w:cs="Arial"/>
        </w:rPr>
        <w:t>, pero no la exclusión expresa de alguno de ellos</w:t>
      </w:r>
      <w:r w:rsidRPr="00317680">
        <w:rPr>
          <w:rFonts w:ascii="Verdana" w:eastAsia="Calibri" w:hAnsi="Verdana" w:cs="Arial"/>
        </w:rPr>
        <w:t xml:space="preserve">. </w:t>
      </w:r>
    </w:p>
    <w:p w14:paraId="0AD22459" w14:textId="77777777" w:rsidR="00F078F6" w:rsidRDefault="00F078F6" w:rsidP="00F078F6">
      <w:pPr>
        <w:spacing w:line="276" w:lineRule="auto"/>
        <w:ind w:firstLine="709"/>
        <w:jc w:val="both"/>
        <w:rPr>
          <w:rFonts w:ascii="Verdana" w:eastAsia="Calibri" w:hAnsi="Verdana" w:cs="Arial"/>
        </w:rPr>
      </w:pPr>
      <w:r>
        <w:rPr>
          <w:rFonts w:ascii="Verdana" w:eastAsia="Calibri" w:hAnsi="Verdana" w:cs="Arial"/>
        </w:rPr>
        <w:t>Por consiguiente, n</w:t>
      </w:r>
      <w:r w:rsidRPr="00317680">
        <w:rPr>
          <w:rFonts w:ascii="Verdana" w:eastAsia="Calibri" w:hAnsi="Verdana" w:cs="Arial"/>
        </w:rPr>
        <w:t>o es jurídicamente procedente configurar circunscripciones diferentes a las expresamente contempladas por la norma</w:t>
      </w:r>
      <w:r>
        <w:rPr>
          <w:rFonts w:ascii="Verdana" w:eastAsia="Calibri" w:hAnsi="Verdana" w:cs="Arial"/>
        </w:rPr>
        <w:t xml:space="preserve">, </w:t>
      </w:r>
      <w:r w:rsidRPr="00317680">
        <w:rPr>
          <w:rFonts w:ascii="Verdana" w:eastAsia="Calibri" w:hAnsi="Verdana" w:cs="Arial"/>
        </w:rPr>
        <w:t>esto es, municipal o departamental, pues el reglamento delimita con precisión el alcance territorial de la medida. En todo caso, la decisión debe obedecer a criterios de razonabilidad y proporcionalidad, orientados a garantizar que la medida contribuya efectivamente al propósito de la Ley 2069 de 2020 y del conjunto normativo de fomento empresarial y desarrollo regional que buscan promover la participación de las Mipymes y unidades económicas de menor escala en el mercado de compras públicas, fortaleciendo el tejido productivo y el desarrollo económico local.</w:t>
      </w:r>
      <w:r>
        <w:rPr>
          <w:rFonts w:ascii="Verdana" w:eastAsia="Calibri" w:hAnsi="Verdana" w:cs="Arial"/>
        </w:rPr>
        <w:t xml:space="preserve"> Asimismo, l</w:t>
      </w:r>
      <w:r w:rsidRPr="001D4581">
        <w:rPr>
          <w:rFonts w:ascii="Verdana" w:eastAsia="Calibri" w:hAnsi="Verdana" w:cs="Arial"/>
        </w:rPr>
        <w:t xml:space="preserve">a entidad deberá verificar que la adopción de dicha medida no vulnere </w:t>
      </w:r>
      <w:r>
        <w:rPr>
          <w:rFonts w:ascii="Verdana" w:eastAsia="Calibri" w:hAnsi="Verdana" w:cs="Arial"/>
        </w:rPr>
        <w:t xml:space="preserve">la </w:t>
      </w:r>
      <w:r w:rsidRPr="001D4581">
        <w:rPr>
          <w:rFonts w:ascii="Verdana" w:eastAsia="Calibri" w:hAnsi="Verdana" w:cs="Arial"/>
        </w:rPr>
        <w:t>pluralidad de oferentes dentro del proceso de contratación</w:t>
      </w:r>
      <w:r>
        <w:rPr>
          <w:rFonts w:ascii="Verdana" w:eastAsia="Calibri" w:hAnsi="Verdana" w:cs="Arial"/>
        </w:rPr>
        <w:t>, para lo cual resulta indispensable</w:t>
      </w:r>
      <w:r w:rsidRPr="001D4581">
        <w:rPr>
          <w:rFonts w:ascii="Verdana" w:eastAsia="Calibri" w:hAnsi="Verdana" w:cs="Arial"/>
        </w:rPr>
        <w:t xml:space="preserve"> realizar el correspondiente análisis del sector, con el fin de identificar los potenciales participantes del mercado y determinar si la exigencia o condición prevista podría generar restricciones injustificadas a la participación o limitar de manera desproporcionada la concurrencia de oferentes.</w:t>
      </w:r>
    </w:p>
    <w:p w14:paraId="3AC91544" w14:textId="77777777" w:rsidR="00F078F6" w:rsidRDefault="00F078F6" w:rsidP="00F078F6">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Al </w:t>
      </w:r>
      <w:r>
        <w:rPr>
          <w:rFonts w:ascii="Verdana" w:hAnsi="Verdana" w:cs="Arial"/>
          <w:lang w:val="es-ES_tradnl" w:eastAsia="es-ES"/>
        </w:rPr>
        <w:t xml:space="preserve">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w:t>
      </w:r>
      <w:r>
        <w:rPr>
          <w:rFonts w:ascii="Verdana" w:hAnsi="Verdana" w:cs="Arial"/>
          <w:lang w:val="es-ES_tradnl" w:eastAsia="es-ES"/>
        </w:rPr>
        <w:lastRenderedPageBreak/>
        <w:t>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F41AE9D" w14:textId="77777777" w:rsidR="00F078F6" w:rsidRPr="008C35F0" w:rsidRDefault="00F078F6" w:rsidP="00F078F6">
      <w:pPr>
        <w:spacing w:after="0" w:line="276" w:lineRule="auto"/>
        <w:ind w:firstLine="709"/>
        <w:jc w:val="both"/>
        <w:rPr>
          <w:rFonts w:ascii="Verdana" w:hAnsi="Verdana" w:cs="Arial"/>
          <w:lang w:val="es-ES" w:eastAsia="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5D49FDE" w14:textId="77777777" w:rsidR="00F078F6" w:rsidRPr="001B3C5D" w:rsidRDefault="00F078F6" w:rsidP="00F078F6">
      <w:pPr>
        <w:widowControl w:val="0"/>
        <w:autoSpaceDE w:val="0"/>
        <w:autoSpaceDN w:val="0"/>
        <w:spacing w:after="0" w:line="276" w:lineRule="auto"/>
        <w:ind w:firstLine="709"/>
        <w:jc w:val="both"/>
        <w:rPr>
          <w:rFonts w:ascii="Verdana" w:eastAsia="Century Gothic" w:hAnsi="Verdana" w:cs="Century Gothic"/>
          <w:lang w:val="es-ES_tradnl"/>
        </w:rPr>
      </w:pPr>
    </w:p>
    <w:p w14:paraId="6905D187" w14:textId="77777777" w:rsidR="00F078F6" w:rsidRPr="001B3C5D" w:rsidRDefault="00F078F6" w:rsidP="00F078F6">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1F4405A1" w14:textId="77777777" w:rsidR="00F078F6" w:rsidRPr="001B3C5D" w:rsidRDefault="00F078F6" w:rsidP="00F078F6">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078F6" w:rsidRPr="001B3C5D" w14:paraId="740332D1" w14:textId="77777777" w:rsidTr="00BB5CE7">
        <w:trPr>
          <w:trHeight w:val="870"/>
        </w:trPr>
        <w:tc>
          <w:tcPr>
            <w:tcW w:w="8647" w:type="dxa"/>
            <w:tcBorders>
              <w:top w:val="dotted" w:sz="4" w:space="0" w:color="auto"/>
              <w:left w:val="dotted" w:sz="4" w:space="0" w:color="auto"/>
              <w:bottom w:val="dotted" w:sz="4" w:space="0" w:color="auto"/>
              <w:right w:val="dotted" w:sz="4" w:space="0" w:color="auto"/>
            </w:tcBorders>
          </w:tcPr>
          <w:p w14:paraId="0F98C64F" w14:textId="77777777" w:rsidR="00F078F6" w:rsidRPr="006F1154" w:rsidRDefault="00F078F6" w:rsidP="00F078F6">
            <w:pPr>
              <w:pStyle w:val="Prrafodelista"/>
              <w:numPr>
                <w:ilvl w:val="0"/>
                <w:numId w:val="1"/>
              </w:numPr>
              <w:spacing w:line="240" w:lineRule="auto"/>
              <w:jc w:val="both"/>
              <w:rPr>
                <w:rFonts w:ascii="Verdana" w:eastAsia="Calibri" w:hAnsi="Verdana" w:cs="Arial"/>
              </w:rPr>
            </w:pPr>
            <w:r w:rsidRPr="006F1154">
              <w:rPr>
                <w:rFonts w:ascii="Verdana" w:eastAsia="Calibri" w:hAnsi="Verdana" w:cs="Arial"/>
              </w:rPr>
              <w:t>Ley 2069 de 2020, artículo 33 y 34</w:t>
            </w:r>
          </w:p>
          <w:p w14:paraId="72FC8FD9" w14:textId="77777777" w:rsidR="00F078F6" w:rsidRPr="006F1154" w:rsidRDefault="00F078F6" w:rsidP="00F078F6">
            <w:pPr>
              <w:pStyle w:val="Prrafodelista"/>
              <w:numPr>
                <w:ilvl w:val="0"/>
                <w:numId w:val="1"/>
              </w:numPr>
              <w:spacing w:line="240" w:lineRule="auto"/>
              <w:jc w:val="both"/>
              <w:rPr>
                <w:rFonts w:ascii="Verdana" w:eastAsia="Calibri" w:hAnsi="Verdana" w:cs="Arial"/>
              </w:rPr>
            </w:pPr>
            <w:r w:rsidRPr="006F1154">
              <w:rPr>
                <w:rFonts w:ascii="Verdana" w:eastAsia="Calibri" w:hAnsi="Verdana" w:cs="Arial"/>
              </w:rPr>
              <w:t>Decreto 1860 de 2021</w:t>
            </w:r>
          </w:p>
          <w:p w14:paraId="5E277F27" w14:textId="77777777" w:rsidR="00F078F6" w:rsidRPr="006F1154" w:rsidRDefault="00F078F6" w:rsidP="00F078F6">
            <w:pPr>
              <w:pStyle w:val="Prrafodelista"/>
              <w:numPr>
                <w:ilvl w:val="0"/>
                <w:numId w:val="1"/>
              </w:numPr>
              <w:spacing w:line="240" w:lineRule="auto"/>
              <w:jc w:val="both"/>
              <w:rPr>
                <w:rFonts w:ascii="Verdana" w:eastAsia="Calibri" w:hAnsi="Verdana" w:cs="Arial"/>
              </w:rPr>
            </w:pPr>
            <w:r w:rsidRPr="006F1154">
              <w:rPr>
                <w:rFonts w:ascii="Verdana" w:eastAsia="Calibri" w:hAnsi="Verdana" w:cs="Arial"/>
              </w:rPr>
              <w:t xml:space="preserve">Decreto 1082 de 2015, artículos 2.2.1.2.4.2.2., 2.2.1.2.4.2.3. y 2.2.1.2.4.2.4. </w:t>
            </w:r>
          </w:p>
          <w:p w14:paraId="2C45D6CF" w14:textId="77777777" w:rsidR="00F078F6" w:rsidRPr="006F1154" w:rsidRDefault="00F078F6" w:rsidP="00F078F6">
            <w:pPr>
              <w:pStyle w:val="Prrafodelista"/>
              <w:numPr>
                <w:ilvl w:val="0"/>
                <w:numId w:val="1"/>
              </w:numPr>
              <w:spacing w:line="240" w:lineRule="auto"/>
              <w:jc w:val="both"/>
              <w:rPr>
                <w:rFonts w:ascii="Verdana" w:eastAsia="Calibri" w:hAnsi="Verdana" w:cs="Arial"/>
              </w:rPr>
            </w:pPr>
            <w:r w:rsidRPr="006F1154">
              <w:rPr>
                <w:rFonts w:ascii="Verdana" w:eastAsia="Calibri" w:hAnsi="Verdana" w:cs="Arial"/>
              </w:rPr>
              <w:t>Código de Comercio, artículo</w:t>
            </w:r>
            <w:r>
              <w:rPr>
                <w:rFonts w:ascii="Verdana" w:eastAsia="Calibri" w:hAnsi="Verdana" w:cs="Arial"/>
              </w:rPr>
              <w:t xml:space="preserve"> </w:t>
            </w:r>
            <w:r w:rsidRPr="006F1154">
              <w:rPr>
                <w:rFonts w:ascii="Verdana" w:eastAsia="Calibri" w:hAnsi="Verdana" w:cs="Arial"/>
              </w:rPr>
              <w:t xml:space="preserve">263 </w:t>
            </w:r>
          </w:p>
          <w:p w14:paraId="0E4E7C4C" w14:textId="77777777" w:rsidR="00F078F6" w:rsidRPr="00C334F6" w:rsidRDefault="00F078F6" w:rsidP="00F078F6">
            <w:pPr>
              <w:pStyle w:val="Prrafodelista"/>
              <w:numPr>
                <w:ilvl w:val="0"/>
                <w:numId w:val="1"/>
              </w:numPr>
              <w:spacing w:line="240" w:lineRule="auto"/>
              <w:jc w:val="both"/>
              <w:rPr>
                <w:rFonts w:ascii="Verdana" w:eastAsia="Calibri" w:hAnsi="Verdana" w:cs="Arial"/>
              </w:rPr>
            </w:pPr>
            <w:r w:rsidRPr="006F1154">
              <w:rPr>
                <w:rFonts w:ascii="Verdana" w:eastAsia="Calibri" w:hAnsi="Verdana" w:cs="Arial"/>
              </w:rPr>
              <w:t>Ley 1150 de 2007. Artículo 6 y 12</w:t>
            </w:r>
          </w:p>
        </w:tc>
      </w:tr>
    </w:tbl>
    <w:p w14:paraId="39C17982" w14:textId="77777777" w:rsidR="00F078F6" w:rsidRPr="001B3C5D" w:rsidRDefault="00F078F6" w:rsidP="00F078F6">
      <w:pPr>
        <w:tabs>
          <w:tab w:val="left" w:pos="142"/>
          <w:tab w:val="left" w:pos="284"/>
        </w:tabs>
        <w:spacing w:after="0" w:line="276" w:lineRule="auto"/>
        <w:jc w:val="both"/>
        <w:rPr>
          <w:rFonts w:ascii="Verdana" w:eastAsia="Calibri" w:hAnsi="Verdana" w:cs="Arial"/>
        </w:rPr>
      </w:pPr>
    </w:p>
    <w:p w14:paraId="4E5F3430" w14:textId="77777777" w:rsidR="00F078F6" w:rsidRPr="001B3C5D" w:rsidRDefault="00F078F6" w:rsidP="00F078F6">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3561E59D" w14:textId="77777777" w:rsidR="00F078F6" w:rsidRPr="001B3C5D" w:rsidRDefault="00F078F6" w:rsidP="00F078F6">
      <w:pPr>
        <w:widowControl w:val="0"/>
        <w:autoSpaceDE w:val="0"/>
        <w:autoSpaceDN w:val="0"/>
        <w:spacing w:after="0" w:line="276" w:lineRule="auto"/>
        <w:jc w:val="both"/>
        <w:rPr>
          <w:rFonts w:ascii="Verdana" w:eastAsia="Calibri" w:hAnsi="Verdana" w:cs="Arial"/>
        </w:rPr>
      </w:pPr>
    </w:p>
    <w:p w14:paraId="07B27927" w14:textId="77777777" w:rsidR="00F078F6" w:rsidRPr="001B3C5D" w:rsidRDefault="00F078F6" w:rsidP="00F078F6">
      <w:pPr>
        <w:widowControl w:val="0"/>
        <w:autoSpaceDE w:val="0"/>
        <w:autoSpaceDN w:val="0"/>
        <w:spacing w:after="0" w:line="276" w:lineRule="auto"/>
        <w:jc w:val="both"/>
        <w:rPr>
          <w:rFonts w:ascii="Verdana" w:eastAsia="Times New Roman" w:hAnsi="Verdana" w:cs="Arial"/>
          <w:shd w:val="clear" w:color="auto" w:fill="FFFFFF"/>
          <w:lang w:val="es-ES"/>
        </w:rPr>
      </w:pPr>
      <w:r w:rsidRPr="00606FF7">
        <w:rPr>
          <w:rFonts w:ascii="Verdana" w:hAnsi="Verdana"/>
        </w:rPr>
        <w:t xml:space="preserve">En lo relacionado con el ámbito de la consulta, esta Subdirección se ha pronunciado </w:t>
      </w:r>
      <w:r w:rsidRPr="00606FF7">
        <w:rPr>
          <w:rFonts w:ascii="Verdana" w:hAnsi="Verdana" w:cs="Arial"/>
        </w:rPr>
        <w:t>sobre las convocatorias limitadas a MiPymes, sus requisitos y características, en los Conceptos Nro. C − 366 del 8 de</w:t>
      </w:r>
      <w:r w:rsidRPr="00606FF7">
        <w:rPr>
          <w:rFonts w:ascii="Verdana" w:hAnsi="Verdana"/>
        </w:rPr>
        <w:t xml:space="preserv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C-100 del 25 de febrero de 2025, C -263 del 7 de abril de 2025 y el C -542 del 16 de junio 2025, C-559 del 18 de junio de 2025, C-590 del 25 de junio de 2025, </w:t>
      </w:r>
      <w:r>
        <w:rPr>
          <w:rFonts w:ascii="Verdana" w:hAnsi="Verdana"/>
        </w:rPr>
        <w:t xml:space="preserve">C-715 del 14 de julio de 2025, C-1434 del 12 de noviembre de 2025, </w:t>
      </w:r>
      <w:r w:rsidRPr="00606FF7">
        <w:rPr>
          <w:rFonts w:ascii="Verdana" w:hAnsi="Verdana"/>
        </w:rPr>
        <w:t>entre otros</w:t>
      </w:r>
      <w:r>
        <w:rPr>
          <w:rFonts w:ascii="Verdana" w:hAnsi="Verdana" w:cs="Arial"/>
          <w:shd w:val="clear" w:color="auto" w:fill="FFFFFF"/>
          <w:lang w:val="es-ES"/>
        </w:rPr>
        <w:t xml:space="preserve">. </w:t>
      </w:r>
      <w:r>
        <w:rPr>
          <w:rFonts w:ascii="Verdana" w:eastAsia="Calibri" w:hAnsi="Verdana" w:cs="Arial"/>
          <w:color w:val="000000"/>
          <w:shd w:val="clear" w:color="auto" w:fill="FFFFFF"/>
        </w:rPr>
        <w:t xml:space="preserve">Los </w:t>
      </w:r>
      <w:r w:rsidRPr="001B3C5D">
        <w:rPr>
          <w:rFonts w:ascii="Verdana" w:eastAsia="Calibri" w:hAnsi="Verdana" w:cs="Arial"/>
          <w:color w:val="000000"/>
          <w:shd w:val="clear" w:color="auto" w:fill="FFFFFF"/>
        </w:rPr>
        <w:t xml:space="preserve">conceptos se encuentran disponibles para consulta en el Sistema de Relatoría de la Agencia, </w:t>
      </w:r>
      <w:r w:rsidRPr="001B3C5D">
        <w:rPr>
          <w:rFonts w:ascii="Verdana" w:eastAsia="Calibri" w:hAnsi="Verdana" w:cs="Arial"/>
          <w:color w:val="000000"/>
          <w:shd w:val="clear" w:color="auto" w:fill="FFFFFF"/>
        </w:rPr>
        <w:lastRenderedPageBreak/>
        <w:t xml:space="preserve">en el cual también podrás encontrar jurisprudencia del Consejo de Estado, laudos arbitrales y la normativa de la contratación concordada con la doctrina de la Subdirección de Gestión Contractual. Accede a través del siguiente enlace: </w:t>
      </w:r>
      <w:hyperlink r:id="rId9" w:history="1">
        <w:r w:rsidRPr="001B3C5D">
          <w:rPr>
            <w:rFonts w:ascii="Verdana" w:eastAsia="Aptos" w:hAnsi="Verdana" w:cs="Arial"/>
            <w:color w:val="0000FF"/>
            <w:kern w:val="2"/>
            <w:u w:val="single"/>
            <w:shd w:val="clear" w:color="auto" w:fill="FFFFFF"/>
            <w14:ligatures w14:val="standardContextual"/>
          </w:rPr>
          <w:t>https://relatoria.colombiacompra.gov.co/busqueda/conceptos</w:t>
        </w:r>
      </w:hyperlink>
      <w:r w:rsidRPr="001B3C5D">
        <w:rPr>
          <w:rFonts w:ascii="Verdana" w:eastAsia="Aptos" w:hAnsi="Verdana" w:cs="Arial"/>
          <w:kern w:val="2"/>
          <w:shd w:val="clear" w:color="auto" w:fill="FFFFFF"/>
          <w14:ligatures w14:val="standardContextual"/>
        </w:rPr>
        <w:t xml:space="preserve">. </w:t>
      </w:r>
      <w:r w:rsidRPr="001B3C5D">
        <w:rPr>
          <w:rFonts w:ascii="Verdana" w:eastAsia="Aptos" w:hAnsi="Verdana" w:cs="Arial"/>
          <w:color w:val="FF0000"/>
          <w:kern w:val="2"/>
          <w:shd w:val="clear" w:color="auto" w:fill="FFFFFF"/>
          <w:lang w:val="es-ES"/>
          <w14:ligatures w14:val="standardContextual"/>
        </w:rPr>
        <w:t xml:space="preserve">  </w:t>
      </w:r>
    </w:p>
    <w:p w14:paraId="64DE7AB9" w14:textId="77777777" w:rsidR="00F078F6" w:rsidRPr="001B3C5D" w:rsidRDefault="00F078F6" w:rsidP="00F078F6">
      <w:pPr>
        <w:spacing w:after="0" w:line="240" w:lineRule="auto"/>
        <w:jc w:val="both"/>
        <w:rPr>
          <w:rFonts w:ascii="Verdana" w:eastAsia="Calibri" w:hAnsi="Verdana" w:cs="Arial"/>
          <w:color w:val="000000"/>
          <w:shd w:val="clear" w:color="auto" w:fill="FFFFFF"/>
        </w:rPr>
      </w:pPr>
    </w:p>
    <w:p w14:paraId="4616F5D4" w14:textId="77777777" w:rsidR="00F078F6" w:rsidRPr="001B3C5D" w:rsidRDefault="00F078F6" w:rsidP="00F078F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Curso de Contratación Pública Sostenible y Socialmente 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0" w:tgtFrame="_new" w:history="1">
        <w:r w:rsidRPr="001B3C5D">
          <w:rPr>
            <w:rFonts w:ascii="Verdana" w:eastAsia="Times New Roman" w:hAnsi="Verdana" w:cs="Arial"/>
            <w:color w:val="0000FF"/>
            <w:u w:val="single"/>
            <w:lang w:eastAsia="es-MX"/>
          </w:rPr>
          <w:t>https://formacionvirtual.colombiacompra.gov.co/mod/page/view.php?id=3718</w:t>
        </w:r>
      </w:hyperlink>
    </w:p>
    <w:p w14:paraId="79E1B20F" w14:textId="77777777" w:rsidR="00F078F6" w:rsidRDefault="00F078F6" w:rsidP="00F078F6">
      <w:pPr>
        <w:spacing w:after="0" w:line="276" w:lineRule="auto"/>
        <w:jc w:val="both"/>
        <w:rPr>
          <w:rFonts w:ascii="Verdana" w:eastAsia="Times New Roman" w:hAnsi="Verdana" w:cs="Arial"/>
          <w:lang w:eastAsia="es-MX"/>
        </w:rPr>
      </w:pPr>
    </w:p>
    <w:p w14:paraId="6278E6CD" w14:textId="77777777" w:rsidR="00F078F6" w:rsidRPr="001B3C5D" w:rsidRDefault="00F078F6" w:rsidP="00F078F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1" w:tgtFrame="_new" w:history="1">
        <w:r w:rsidRPr="001B3C5D">
          <w:rPr>
            <w:rFonts w:ascii="Verdana" w:eastAsia="Times New Roman" w:hAnsi="Verdana" w:cs="Arial"/>
            <w:color w:val="0000FF"/>
            <w:u w:val="single"/>
            <w:lang w:eastAsia="es-MX"/>
          </w:rPr>
          <w:t>https://www.colombiacompra.gov.co/normativa-y-relatoria/documentos-tipo</w:t>
        </w:r>
      </w:hyperlink>
    </w:p>
    <w:p w14:paraId="533B4254" w14:textId="77777777" w:rsidR="00F078F6" w:rsidRPr="001B3C5D" w:rsidRDefault="00F078F6" w:rsidP="00F078F6">
      <w:pPr>
        <w:spacing w:after="0" w:line="276" w:lineRule="auto"/>
        <w:jc w:val="both"/>
        <w:rPr>
          <w:rFonts w:ascii="Verdana" w:eastAsia="Times New Roman" w:hAnsi="Verdana" w:cs="Arial"/>
          <w:lang w:eastAsia="es-MX"/>
        </w:rPr>
      </w:pPr>
    </w:p>
    <w:p w14:paraId="236C7406" w14:textId="77777777" w:rsidR="00F078F6" w:rsidRPr="001B3C5D" w:rsidRDefault="00F078F6" w:rsidP="00F078F6">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2"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w:t>
        </w:r>
        <w:r w:rsidRPr="001B3C5D">
          <w:rPr>
            <w:rFonts w:ascii="Verdana" w:eastAsia="Times New Roman" w:hAnsi="Verdana" w:cs="Arial"/>
            <w:color w:val="0000FF"/>
            <w:u w:val="single"/>
            <w:lang w:eastAsia="es-MX"/>
          </w:rPr>
          <w:lastRenderedPageBreak/>
          <w:t>infraestructura-de-transporte-bajo-las-diferentes-modalidades-de-contratacion-vigentes</w:t>
        </w:r>
      </w:hyperlink>
    </w:p>
    <w:p w14:paraId="12ABC60D" w14:textId="77777777" w:rsidR="00F078F6" w:rsidRPr="001B3C5D" w:rsidRDefault="00F078F6" w:rsidP="00F078F6">
      <w:pPr>
        <w:spacing w:after="0"/>
        <w:jc w:val="both"/>
        <w:rPr>
          <w:rFonts w:ascii="Verdana" w:eastAsia="Aptos" w:hAnsi="Verdana" w:cs="Times New Roman"/>
          <w:color w:val="212121"/>
          <w:lang w:eastAsia="es-MX"/>
        </w:rPr>
      </w:pPr>
    </w:p>
    <w:p w14:paraId="62D99937" w14:textId="77777777" w:rsidR="00F078F6" w:rsidRPr="001B3C5D" w:rsidRDefault="00F078F6" w:rsidP="00F078F6">
      <w:pPr>
        <w:spacing w:after="0" w:line="240" w:lineRule="auto"/>
        <w:jc w:val="both"/>
        <w:rPr>
          <w:rFonts w:ascii="Verdana" w:eastAsia="Calibri" w:hAnsi="Verdana" w:cs="Times New Roman"/>
          <w:lang w:eastAsia="es-MX"/>
        </w:rPr>
      </w:pPr>
      <w:r w:rsidRPr="001B3C5D">
        <w:rPr>
          <w:rFonts w:ascii="Verdana" w:eastAsia="Aptos" w:hAnsi="Verdana" w:cs="Times New Roman"/>
          <w:lang w:eastAsia="es-MX"/>
        </w:rPr>
        <w:t xml:space="preserve">Por último, lo invitamos a seguirnos en las redes sociales en las cuales se difunde información institucional: </w:t>
      </w:r>
    </w:p>
    <w:p w14:paraId="50D7D189" w14:textId="77777777" w:rsidR="00F078F6" w:rsidRPr="001B3C5D" w:rsidRDefault="00F078F6" w:rsidP="00F078F6">
      <w:pPr>
        <w:spacing w:after="0" w:line="240" w:lineRule="auto"/>
        <w:jc w:val="both"/>
        <w:rPr>
          <w:rFonts w:ascii="Verdana" w:eastAsia="Aptos" w:hAnsi="Verdana" w:cs="Times New Roman"/>
          <w:lang w:eastAsia="es-MX"/>
        </w:rPr>
      </w:pPr>
    </w:p>
    <w:p w14:paraId="028E4698" w14:textId="77777777" w:rsidR="00F078F6" w:rsidRPr="001B3C5D" w:rsidRDefault="00F078F6" w:rsidP="00F078F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Twitter: </w:t>
      </w:r>
      <w:r w:rsidRPr="001B3C5D">
        <w:rPr>
          <w:rFonts w:ascii="Verdana" w:eastAsia="Calibri" w:hAnsi="Verdana" w:cs="Times New Roman"/>
          <w:color w:val="156082"/>
          <w:u w:val="single"/>
          <w:lang w:eastAsia="es-MX"/>
        </w:rPr>
        <w:t>@colombiacompra</w:t>
      </w:r>
      <w:r w:rsidRPr="001B3C5D">
        <w:rPr>
          <w:rFonts w:ascii="Verdana" w:eastAsia="Calibri" w:hAnsi="Verdana" w:cs="Times New Roman"/>
          <w:color w:val="156082"/>
          <w:lang w:eastAsia="es-MX"/>
        </w:rPr>
        <w:t xml:space="preserve"> </w:t>
      </w:r>
    </w:p>
    <w:p w14:paraId="2736F62F" w14:textId="77777777" w:rsidR="00F078F6" w:rsidRPr="001B3C5D" w:rsidRDefault="00F078F6" w:rsidP="00F078F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Facebook: </w:t>
      </w:r>
      <w:r w:rsidRPr="001B3C5D">
        <w:rPr>
          <w:rFonts w:ascii="Verdana" w:eastAsia="Calibri" w:hAnsi="Verdana" w:cs="Times New Roman"/>
          <w:color w:val="156082"/>
          <w:u w:val="single"/>
          <w:lang w:eastAsia="es-MX"/>
        </w:rPr>
        <w:t>ColombiaCompraEficiente</w:t>
      </w:r>
    </w:p>
    <w:p w14:paraId="028F2F10" w14:textId="77777777" w:rsidR="00F078F6" w:rsidRPr="001B3C5D" w:rsidRDefault="00F078F6" w:rsidP="00F078F6">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LinkedIn: </w:t>
      </w:r>
      <w:r w:rsidRPr="001B3C5D">
        <w:rPr>
          <w:rFonts w:ascii="Verdana" w:eastAsia="Calibri" w:hAnsi="Verdana" w:cs="Times New Roman"/>
          <w:color w:val="156082"/>
          <w:u w:val="single"/>
          <w:lang w:eastAsia="es-MX"/>
        </w:rPr>
        <w:t>Agencia Nacional de Contratación Pública - Colombia Compra Eficiente</w:t>
      </w:r>
      <w:r w:rsidRPr="001B3C5D">
        <w:rPr>
          <w:rFonts w:ascii="Verdana" w:eastAsia="Calibri" w:hAnsi="Verdana" w:cs="Times New Roman"/>
          <w:color w:val="156082"/>
          <w:lang w:eastAsia="es-MX"/>
        </w:rPr>
        <w:t xml:space="preserve"> </w:t>
      </w:r>
      <w:r w:rsidRPr="001B3C5D">
        <w:rPr>
          <w:rFonts w:ascii="Verdana" w:eastAsia="Aptos" w:hAnsi="Verdana" w:cs="Times New Roman"/>
          <w:lang w:eastAsia="es-MX"/>
        </w:rPr>
        <w:t xml:space="preserve">Instagram: </w:t>
      </w:r>
      <w:r w:rsidRPr="001B3C5D">
        <w:rPr>
          <w:rFonts w:ascii="Verdana" w:eastAsia="Calibri" w:hAnsi="Verdana" w:cs="Times New Roman"/>
          <w:color w:val="156082"/>
          <w:u w:val="single"/>
          <w:lang w:eastAsia="es-MX"/>
        </w:rPr>
        <w:t>@colombiacompraeficiente_cce</w:t>
      </w:r>
    </w:p>
    <w:p w14:paraId="4A0D35F4" w14:textId="77777777" w:rsidR="00F078F6" w:rsidRPr="001B3C5D" w:rsidRDefault="00F078F6" w:rsidP="00F078F6">
      <w:pPr>
        <w:spacing w:after="0" w:line="276" w:lineRule="auto"/>
        <w:jc w:val="both"/>
        <w:rPr>
          <w:rFonts w:ascii="Verdana" w:eastAsia="Aptos" w:hAnsi="Verdana" w:cs="Times New Roman"/>
          <w:lang w:eastAsia="es-MX"/>
        </w:rPr>
      </w:pPr>
    </w:p>
    <w:p w14:paraId="77DBB3DF" w14:textId="77777777" w:rsidR="00F078F6" w:rsidRPr="001B3C5D" w:rsidRDefault="00F078F6" w:rsidP="00F078F6">
      <w:pPr>
        <w:spacing w:after="0" w:line="276" w:lineRule="auto"/>
        <w:jc w:val="both"/>
        <w:rPr>
          <w:rFonts w:ascii="Verdana" w:eastAsia="Calibri" w:hAnsi="Verdana" w:cs="Times New Roman"/>
          <w:bCs/>
          <w:lang w:val="es-ES_tradnl" w:eastAsia="es-MX"/>
        </w:rPr>
      </w:pPr>
      <w:r w:rsidRPr="001B3C5D">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29067E0" w14:textId="77777777" w:rsidR="00F078F6" w:rsidRPr="001B3C5D" w:rsidRDefault="00F078F6" w:rsidP="00F078F6">
      <w:pPr>
        <w:spacing w:after="0" w:line="276" w:lineRule="auto"/>
        <w:jc w:val="both"/>
        <w:rPr>
          <w:rFonts w:ascii="Verdana" w:eastAsia="Calibri" w:hAnsi="Verdana" w:cs="Times New Roman"/>
          <w:lang w:eastAsia="es-MX"/>
        </w:rPr>
      </w:pPr>
    </w:p>
    <w:p w14:paraId="38EDCB93" w14:textId="77777777" w:rsidR="00F078F6" w:rsidRPr="001B3C5D" w:rsidRDefault="00F078F6" w:rsidP="00F078F6">
      <w:pPr>
        <w:spacing w:after="0" w:line="276" w:lineRule="auto"/>
        <w:jc w:val="both"/>
        <w:rPr>
          <w:rFonts w:ascii="Verdana" w:eastAsia="Calibri" w:hAnsi="Verdana" w:cs="Times New Roman"/>
          <w:lang w:eastAsia="es-MX"/>
        </w:rPr>
      </w:pPr>
      <w:r w:rsidRPr="001B3C5D">
        <w:rPr>
          <w:rFonts w:ascii="Verdana" w:eastAsia="Calibri" w:hAnsi="Verdana" w:cs="Times New Roman"/>
          <w:lang w:eastAsia="es-MX"/>
        </w:rPr>
        <w:t>Atentamente,</w:t>
      </w:r>
    </w:p>
    <w:p w14:paraId="15A7A005" w14:textId="77777777" w:rsidR="00F078F6" w:rsidRPr="001B3C5D" w:rsidRDefault="00F078F6" w:rsidP="00F078F6">
      <w:pPr>
        <w:tabs>
          <w:tab w:val="left" w:pos="1320"/>
        </w:tabs>
        <w:spacing w:after="0"/>
        <w:jc w:val="center"/>
        <w:rPr>
          <w:rFonts w:ascii="Verdana" w:eastAsia="Calibri" w:hAnsi="Verdana" w:cs="Times New Roman"/>
          <w:lang w:eastAsia="es-MX"/>
        </w:rPr>
      </w:pPr>
    </w:p>
    <w:p w14:paraId="71A06210" w14:textId="26FBAE79" w:rsidR="00C873E9" w:rsidRPr="00C873E9" w:rsidRDefault="00C873E9" w:rsidP="00C873E9">
      <w:pPr>
        <w:spacing w:line="276" w:lineRule="auto"/>
        <w:jc w:val="center"/>
        <w:rPr>
          <w:rFonts w:ascii="Verdana" w:hAnsi="Verdana" w:cs="Arial"/>
          <w:color w:val="000000"/>
          <w:lang w:eastAsia="es-CO"/>
        </w:rPr>
      </w:pPr>
      <w:r w:rsidRPr="00C873E9">
        <w:rPr>
          <w:rFonts w:ascii="Verdana" w:hAnsi="Verdana" w:cs="Arial"/>
          <w:color w:val="000000"/>
          <w:lang w:eastAsia="es-CO"/>
        </w:rPr>
        <w:drawing>
          <wp:inline distT="0" distB="0" distL="0" distR="0" wp14:anchorId="5CCAF831" wp14:editId="35AC1DB0">
            <wp:extent cx="3771900" cy="1400175"/>
            <wp:effectExtent l="0" t="0" r="0" b="9525"/>
            <wp:docPr id="14758004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078F6" w:rsidRPr="00A27102" w14:paraId="325BCDD7" w14:textId="77777777" w:rsidTr="00BB5CE7">
        <w:trPr>
          <w:trHeight w:val="315"/>
        </w:trPr>
        <w:tc>
          <w:tcPr>
            <w:tcW w:w="893" w:type="dxa"/>
            <w:vAlign w:val="center"/>
            <w:hideMark/>
          </w:tcPr>
          <w:p w14:paraId="28D8DC34" w14:textId="77777777" w:rsidR="00F078F6" w:rsidRPr="00A27102" w:rsidRDefault="00F078F6" w:rsidP="00BB5CE7">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848D36" w14:textId="77777777" w:rsidR="00F078F6" w:rsidRPr="00A27102" w:rsidRDefault="00F078F6" w:rsidP="00BB5CE7">
            <w:pPr>
              <w:contextualSpacing/>
              <w:rPr>
                <w:rFonts w:ascii="Verdana" w:hAnsi="Verdana"/>
                <w:sz w:val="16"/>
                <w:szCs w:val="16"/>
              </w:rPr>
            </w:pPr>
            <w:r>
              <w:rPr>
                <w:rFonts w:ascii="Verdana" w:hAnsi="Verdana"/>
                <w:sz w:val="16"/>
                <w:szCs w:val="16"/>
              </w:rPr>
              <w:t>Natalia Montoya Jiménez</w:t>
            </w:r>
          </w:p>
          <w:p w14:paraId="522A0DAF" w14:textId="77777777" w:rsidR="00F078F6" w:rsidRPr="00A27102" w:rsidRDefault="00F078F6" w:rsidP="00BB5CE7">
            <w:pPr>
              <w:contextualSpacing/>
              <w:rPr>
                <w:rFonts w:ascii="Verdana" w:eastAsia="Arial" w:hAnsi="Verdana" w:cs="Arial"/>
                <w:sz w:val="16"/>
                <w:szCs w:val="16"/>
              </w:rPr>
            </w:pPr>
            <w:r w:rsidRPr="00A27102">
              <w:rPr>
                <w:rFonts w:ascii="Verdana" w:eastAsia="Times New Roman" w:hAnsi="Verdana" w:cs="Arial"/>
                <w:sz w:val="16"/>
                <w:szCs w:val="16"/>
                <w:lang w:val="es-ES" w:eastAsia="es-ES_tradnl"/>
              </w:rPr>
              <w:t xml:space="preserve">Gestor T1 ‒ 15 </w:t>
            </w:r>
            <w:r>
              <w:rPr>
                <w:rFonts w:ascii="Verdana" w:eastAsia="Times New Roman" w:hAnsi="Verdana" w:cs="Arial"/>
                <w:sz w:val="16"/>
                <w:szCs w:val="16"/>
                <w:lang w:val="es-ES" w:eastAsia="es-ES_tradnl"/>
              </w:rPr>
              <w:t>de</w:t>
            </w:r>
            <w:r w:rsidRPr="00A27102">
              <w:rPr>
                <w:rFonts w:ascii="Verdana" w:hAnsi="Verdana"/>
                <w:sz w:val="16"/>
                <w:szCs w:val="16"/>
              </w:rPr>
              <w:t xml:space="preserve"> la Subdirección de Gestión Contractual</w:t>
            </w:r>
          </w:p>
        </w:tc>
      </w:tr>
      <w:tr w:rsidR="00F078F6" w:rsidRPr="00A27102" w14:paraId="5CB4D33F" w14:textId="77777777" w:rsidTr="00BB5CE7">
        <w:trPr>
          <w:trHeight w:val="330"/>
        </w:trPr>
        <w:tc>
          <w:tcPr>
            <w:tcW w:w="893" w:type="dxa"/>
            <w:vAlign w:val="center"/>
            <w:hideMark/>
          </w:tcPr>
          <w:p w14:paraId="06F46DBA" w14:textId="77777777" w:rsidR="00F078F6" w:rsidRPr="00A27102" w:rsidRDefault="00F078F6" w:rsidP="00BB5CE7">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A222A05" w14:textId="77777777" w:rsidR="00F078F6" w:rsidRPr="00A27102" w:rsidRDefault="00F078F6" w:rsidP="00BB5CE7">
            <w:pPr>
              <w:spacing w:before="100" w:beforeAutospacing="1" w:afterAutospacing="1"/>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Juan David Cardenas Cabeza</w:t>
            </w:r>
          </w:p>
          <w:p w14:paraId="3BB2FD86" w14:textId="77777777" w:rsidR="00F078F6" w:rsidRPr="00A27102" w:rsidRDefault="00F078F6" w:rsidP="00BB5CE7">
            <w:pPr>
              <w:contextualSpacing/>
              <w:textAlignment w:val="baseline"/>
              <w:rPr>
                <w:rFonts w:ascii="Verdana" w:eastAsia="Times New Roman" w:hAnsi="Verdana" w:cs="Segoe UI"/>
                <w:sz w:val="16"/>
                <w:szCs w:val="16"/>
                <w:lang w:eastAsia="es-ES_tradnl"/>
              </w:rPr>
            </w:pPr>
            <w:r w:rsidRPr="00A27102">
              <w:rPr>
                <w:rFonts w:ascii="Verdana" w:hAnsi="Verdana"/>
                <w:sz w:val="16"/>
                <w:szCs w:val="16"/>
              </w:rPr>
              <w:t>Contratista</w:t>
            </w:r>
            <w:r w:rsidRPr="00A27102">
              <w:rPr>
                <w:rFonts w:ascii="Verdana" w:eastAsia="Times New Roman" w:hAnsi="Verdana" w:cs="Arial"/>
                <w:sz w:val="16"/>
                <w:szCs w:val="16"/>
                <w:lang w:val="es-ES" w:eastAsia="es-ES_tradnl"/>
              </w:rPr>
              <w:t xml:space="preserve"> de la Subdirección de Gestión Contractual</w:t>
            </w:r>
            <w:r w:rsidRPr="00A27102">
              <w:rPr>
                <w:rFonts w:ascii="Verdana" w:eastAsia="Times New Roman" w:hAnsi="Verdana" w:cs="Arial"/>
                <w:sz w:val="16"/>
                <w:szCs w:val="16"/>
                <w:lang w:eastAsia="es-ES_tradnl"/>
              </w:rPr>
              <w:t> </w:t>
            </w:r>
          </w:p>
        </w:tc>
      </w:tr>
      <w:tr w:rsidR="00F078F6" w:rsidRPr="00A27102" w14:paraId="43FED152" w14:textId="77777777" w:rsidTr="00BB5CE7">
        <w:trPr>
          <w:trHeight w:val="300"/>
        </w:trPr>
        <w:tc>
          <w:tcPr>
            <w:tcW w:w="893" w:type="dxa"/>
            <w:vAlign w:val="center"/>
          </w:tcPr>
          <w:p w14:paraId="2019025D" w14:textId="77777777" w:rsidR="00F078F6" w:rsidRPr="00A27102" w:rsidRDefault="00F078F6" w:rsidP="00BB5CE7">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A7C6187" w14:textId="77777777" w:rsidR="00F078F6" w:rsidRPr="00A27102" w:rsidRDefault="00F078F6" w:rsidP="00BB5CE7">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10B67DA5" w14:textId="77777777" w:rsidR="00F078F6" w:rsidRPr="00A27102" w:rsidRDefault="00F078F6" w:rsidP="00BB5CE7">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21B12157" w14:textId="77777777" w:rsidR="00F078F6" w:rsidRPr="005D41B8" w:rsidRDefault="00F078F6" w:rsidP="00F078F6">
      <w:pPr>
        <w:spacing w:after="0" w:line="240" w:lineRule="auto"/>
        <w:textAlignment w:val="baseline"/>
        <w:rPr>
          <w:rFonts w:ascii="Verdana" w:eastAsia="Verdana" w:hAnsi="Verdana" w:cs="Verdana"/>
          <w:lang w:eastAsia="es-CO"/>
        </w:rPr>
      </w:pPr>
    </w:p>
    <w:p w14:paraId="2358C553" w14:textId="77777777" w:rsidR="00F078F6" w:rsidRPr="000E2B93" w:rsidRDefault="00F078F6" w:rsidP="00F078F6">
      <w:pPr>
        <w:spacing w:after="0" w:line="240" w:lineRule="auto"/>
        <w:jc w:val="both"/>
        <w:textAlignment w:val="baseline"/>
        <w:rPr>
          <w:rFonts w:ascii="Verdana" w:eastAsia="Verdana" w:hAnsi="Verdana" w:cs="Verdana"/>
          <w:lang w:eastAsia="es-CO"/>
        </w:rPr>
      </w:pPr>
    </w:p>
    <w:p w14:paraId="1F96B5E7" w14:textId="5FEF4E9A" w:rsidR="00F078F6" w:rsidRPr="008634EC" w:rsidRDefault="00F078F6" w:rsidP="00F078F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3CD33F5" w14:textId="77777777" w:rsidR="00F078F6" w:rsidRPr="00F01BC9" w:rsidRDefault="00F078F6" w:rsidP="00F078F6"/>
    <w:p w14:paraId="76A99064" w14:textId="77777777" w:rsidR="002D6822" w:rsidRDefault="002D6822"/>
    <w:sectPr w:rsidR="002D6822" w:rsidSect="00F078F6">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66A8E" w14:textId="77777777" w:rsidR="007A7D5C" w:rsidRDefault="007A7D5C" w:rsidP="00F078F6">
      <w:pPr>
        <w:spacing w:after="0" w:line="240" w:lineRule="auto"/>
      </w:pPr>
      <w:r>
        <w:separator/>
      </w:r>
    </w:p>
  </w:endnote>
  <w:endnote w:type="continuationSeparator" w:id="0">
    <w:p w14:paraId="76D5F8C3" w14:textId="77777777" w:rsidR="007A7D5C" w:rsidRDefault="007A7D5C" w:rsidP="00F07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21BA" w14:textId="77777777" w:rsidR="00F078F6" w:rsidRDefault="00F078F6">
    <w:pPr>
      <w:pStyle w:val="Piedepgina"/>
    </w:pPr>
  </w:p>
  <w:p w14:paraId="0D4ACC38" w14:textId="77777777" w:rsidR="00F078F6" w:rsidRPr="00174B77" w:rsidRDefault="00F078F6"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9892656" w14:textId="77777777" w:rsidR="00F078F6" w:rsidRDefault="00F078F6"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D90683D" w14:textId="77777777" w:rsidR="00F078F6" w:rsidRPr="00E41027" w:rsidRDefault="00F078F6"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7FBD270" w14:textId="77777777" w:rsidR="00F078F6" w:rsidRDefault="00F078F6"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EC125" w14:textId="77777777" w:rsidR="007A7D5C" w:rsidRDefault="007A7D5C" w:rsidP="00F078F6">
      <w:pPr>
        <w:spacing w:after="0" w:line="240" w:lineRule="auto"/>
      </w:pPr>
      <w:r>
        <w:separator/>
      </w:r>
    </w:p>
  </w:footnote>
  <w:footnote w:type="continuationSeparator" w:id="0">
    <w:p w14:paraId="5B23884E" w14:textId="77777777" w:rsidR="007A7D5C" w:rsidRDefault="007A7D5C" w:rsidP="00F078F6">
      <w:pPr>
        <w:spacing w:after="0" w:line="240" w:lineRule="auto"/>
      </w:pPr>
      <w:r>
        <w:continuationSeparator/>
      </w:r>
    </w:p>
  </w:footnote>
  <w:footnote w:id="1">
    <w:p w14:paraId="0AEBDF14" w14:textId="77777777" w:rsidR="00F078F6" w:rsidRPr="00415B3A" w:rsidRDefault="00F078F6" w:rsidP="00F078F6">
      <w:pPr>
        <w:pStyle w:val="Textonotapie"/>
        <w:jc w:val="both"/>
        <w:rPr>
          <w:rFonts w:ascii="Verdana" w:hAnsi="Verdana" w:cs="Arial"/>
          <w:color w:val="000000" w:themeColor="text1"/>
          <w:sz w:val="14"/>
          <w:szCs w:val="14"/>
        </w:rPr>
      </w:pPr>
    </w:p>
    <w:p w14:paraId="15D9B7EB" w14:textId="77777777" w:rsidR="00F078F6" w:rsidRPr="00415B3A" w:rsidRDefault="00F078F6" w:rsidP="00F078F6">
      <w:pPr>
        <w:pStyle w:val="Textonotapie"/>
        <w:ind w:firstLine="708"/>
        <w:jc w:val="both"/>
        <w:rPr>
          <w:rFonts w:ascii="Verdana" w:hAnsi="Verdana" w:cs="Arial"/>
          <w:color w:val="000000" w:themeColor="text1"/>
          <w:sz w:val="14"/>
          <w:szCs w:val="14"/>
        </w:rPr>
      </w:pPr>
      <w:r w:rsidRPr="00415B3A">
        <w:rPr>
          <w:rStyle w:val="Refdenotaalpie"/>
          <w:rFonts w:ascii="Verdana" w:hAnsi="Verdana" w:cs="Arial"/>
          <w:color w:val="000000" w:themeColor="text1"/>
          <w:sz w:val="14"/>
          <w:szCs w:val="14"/>
        </w:rPr>
        <w:footnoteRef/>
      </w:r>
      <w:r w:rsidRPr="00415B3A">
        <w:rPr>
          <w:rFonts w:ascii="Verdana" w:hAnsi="Verdana" w:cs="Arial"/>
          <w:color w:val="000000" w:themeColor="text1"/>
          <w:sz w:val="14"/>
          <w:szCs w:val="14"/>
        </w:rPr>
        <w:t>Ley 1150 de 2007. Artículo 12 modificado por el artículo 34 de la Ley 2069 de 2020.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5C7167F2" w14:textId="77777777" w:rsidR="00F078F6" w:rsidRPr="00415B3A" w:rsidRDefault="00F078F6" w:rsidP="00F078F6">
      <w:pPr>
        <w:pStyle w:val="Textonotapie"/>
        <w:ind w:firstLine="708"/>
        <w:jc w:val="both"/>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83E3" w14:textId="77777777" w:rsidR="00F078F6" w:rsidRDefault="00F078F6"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574BFE3" wp14:editId="1AF24F3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CD6C707" wp14:editId="369E38A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CA94E30" w14:textId="77777777" w:rsidR="00F078F6" w:rsidRDefault="00F078F6">
    <w:pPr>
      <w:pStyle w:val="Encabezado"/>
    </w:pPr>
  </w:p>
  <w:p w14:paraId="36298684" w14:textId="77777777" w:rsidR="00F078F6" w:rsidRPr="004A305D" w:rsidRDefault="00F078F6" w:rsidP="00B01B1A">
    <w:pPr>
      <w:spacing w:after="0" w:line="120" w:lineRule="auto"/>
      <w:rPr>
        <w:rFonts w:ascii="Century Gothic" w:eastAsia="Geo" w:hAnsi="Century Gothic" w:cs="Geo"/>
        <w:sz w:val="16"/>
        <w:szCs w:val="16"/>
        <w:lang w:eastAsia="es-CO"/>
      </w:rPr>
    </w:pPr>
  </w:p>
  <w:p w14:paraId="721A5230" w14:textId="77777777" w:rsidR="00F078F6" w:rsidRDefault="00F078F6" w:rsidP="00844AE9">
    <w:pPr>
      <w:spacing w:after="0" w:line="240" w:lineRule="auto"/>
      <w:rPr>
        <w:rFonts w:ascii="Verdana" w:hAnsi="Verdana"/>
        <w:sz w:val="24"/>
        <w:szCs w:val="24"/>
      </w:rPr>
    </w:pPr>
  </w:p>
  <w:p w14:paraId="76CFEC47" w14:textId="77777777" w:rsidR="00F078F6" w:rsidRPr="00C925AC" w:rsidRDefault="00F078F6" w:rsidP="00844AE9">
    <w:pPr>
      <w:spacing w:after="0" w:line="240" w:lineRule="auto"/>
      <w:rPr>
        <w:rFonts w:ascii="Verdana" w:hAnsi="Verdana"/>
        <w:sz w:val="24"/>
        <w:szCs w:val="24"/>
      </w:rPr>
    </w:pPr>
  </w:p>
  <w:p w14:paraId="21A84EEA" w14:textId="77777777" w:rsidR="00F078F6" w:rsidRPr="00C925AC" w:rsidRDefault="00F078F6"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F6"/>
    <w:rsid w:val="002D6822"/>
    <w:rsid w:val="005613F3"/>
    <w:rsid w:val="005835BC"/>
    <w:rsid w:val="007A436C"/>
    <w:rsid w:val="007A7D5C"/>
    <w:rsid w:val="009B42EA"/>
    <w:rsid w:val="009B4EF6"/>
    <w:rsid w:val="00C873E9"/>
    <w:rsid w:val="00E30FC8"/>
    <w:rsid w:val="00F078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0328"/>
  <w15:chartTrackingRefBased/>
  <w15:docId w15:val="{FBBDD11D-E3BD-4131-B2BD-0412FA5C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8F6"/>
    <w:pPr>
      <w:spacing w:line="259" w:lineRule="auto"/>
    </w:pPr>
    <w:rPr>
      <w:kern w:val="0"/>
      <w:sz w:val="22"/>
      <w:szCs w:val="22"/>
      <w14:ligatures w14:val="none"/>
    </w:rPr>
  </w:style>
  <w:style w:type="paragraph" w:styleId="Ttulo1">
    <w:name w:val="heading 1"/>
    <w:basedOn w:val="Normal"/>
    <w:next w:val="Normal"/>
    <w:link w:val="Ttulo1Car"/>
    <w:uiPriority w:val="9"/>
    <w:qFormat/>
    <w:rsid w:val="00F07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7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78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78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78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78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78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78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78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78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78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78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78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78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78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78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78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78F6"/>
    <w:rPr>
      <w:rFonts w:eastAsiaTheme="majorEastAsia" w:cstheme="majorBidi"/>
      <w:color w:val="272727" w:themeColor="text1" w:themeTint="D8"/>
    </w:rPr>
  </w:style>
  <w:style w:type="paragraph" w:styleId="Ttulo">
    <w:name w:val="Title"/>
    <w:basedOn w:val="Normal"/>
    <w:next w:val="Normal"/>
    <w:link w:val="TtuloCar"/>
    <w:uiPriority w:val="10"/>
    <w:qFormat/>
    <w:rsid w:val="00F07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78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78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78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78F6"/>
    <w:pPr>
      <w:spacing w:before="160"/>
      <w:jc w:val="center"/>
    </w:pPr>
    <w:rPr>
      <w:i/>
      <w:iCs/>
      <w:color w:val="404040" w:themeColor="text1" w:themeTint="BF"/>
    </w:rPr>
  </w:style>
  <w:style w:type="character" w:customStyle="1" w:styleId="CitaCar">
    <w:name w:val="Cita Car"/>
    <w:basedOn w:val="Fuentedeprrafopredeter"/>
    <w:link w:val="Cita"/>
    <w:uiPriority w:val="29"/>
    <w:rsid w:val="00F078F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F078F6"/>
    <w:pPr>
      <w:ind w:left="720"/>
      <w:contextualSpacing/>
    </w:pPr>
  </w:style>
  <w:style w:type="character" w:styleId="nfasisintenso">
    <w:name w:val="Intense Emphasis"/>
    <w:basedOn w:val="Fuentedeprrafopredeter"/>
    <w:uiPriority w:val="21"/>
    <w:qFormat/>
    <w:rsid w:val="00F078F6"/>
    <w:rPr>
      <w:i/>
      <w:iCs/>
      <w:color w:val="0F4761" w:themeColor="accent1" w:themeShade="BF"/>
    </w:rPr>
  </w:style>
  <w:style w:type="paragraph" w:styleId="Citadestacada">
    <w:name w:val="Intense Quote"/>
    <w:basedOn w:val="Normal"/>
    <w:next w:val="Normal"/>
    <w:link w:val="CitadestacadaCar"/>
    <w:uiPriority w:val="30"/>
    <w:qFormat/>
    <w:rsid w:val="00F07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78F6"/>
    <w:rPr>
      <w:i/>
      <w:iCs/>
      <w:color w:val="0F4761" w:themeColor="accent1" w:themeShade="BF"/>
    </w:rPr>
  </w:style>
  <w:style w:type="character" w:styleId="Referenciaintensa">
    <w:name w:val="Intense Reference"/>
    <w:basedOn w:val="Fuentedeprrafopredeter"/>
    <w:uiPriority w:val="32"/>
    <w:qFormat/>
    <w:rsid w:val="00F078F6"/>
    <w:rPr>
      <w:b/>
      <w:bCs/>
      <w:smallCaps/>
      <w:color w:val="0F4761" w:themeColor="accent1" w:themeShade="BF"/>
      <w:spacing w:val="5"/>
    </w:rPr>
  </w:style>
  <w:style w:type="paragraph" w:styleId="Encabezado">
    <w:name w:val="header"/>
    <w:basedOn w:val="Normal"/>
    <w:link w:val="EncabezadoCar"/>
    <w:uiPriority w:val="99"/>
    <w:unhideWhenUsed/>
    <w:rsid w:val="00F078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78F6"/>
    <w:rPr>
      <w:kern w:val="0"/>
      <w:sz w:val="22"/>
      <w:szCs w:val="22"/>
      <w14:ligatures w14:val="none"/>
    </w:rPr>
  </w:style>
  <w:style w:type="paragraph" w:styleId="Piedepgina">
    <w:name w:val="footer"/>
    <w:basedOn w:val="Normal"/>
    <w:link w:val="PiedepginaCar"/>
    <w:uiPriority w:val="99"/>
    <w:unhideWhenUsed/>
    <w:rsid w:val="00F078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78F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078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078F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078F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078F6"/>
    <w:rPr>
      <w:vertAlign w:val="superscript"/>
    </w:rPr>
  </w:style>
  <w:style w:type="table" w:styleId="Tablaconcuadrcula">
    <w:name w:val="Table Grid"/>
    <w:basedOn w:val="Tablanormal"/>
    <w:uiPriority w:val="39"/>
    <w:qFormat/>
    <w:rsid w:val="00F078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078F6"/>
    <w:rPr>
      <w:color w:val="0000FF"/>
      <w:u w:val="single"/>
    </w:rPr>
  </w:style>
  <w:style w:type="table" w:customStyle="1" w:styleId="Tablaconcuadrcula1">
    <w:name w:val="Tabla con cuadrícula1"/>
    <w:basedOn w:val="Tablanormal"/>
    <w:next w:val="Tablaconcuadrcula"/>
    <w:uiPriority w:val="39"/>
    <w:qFormat/>
    <w:rsid w:val="00F078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078F6"/>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0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oozo@g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normativa-y-relatoria/documentos-tip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formacionvirtual.colombiacompra.gov.co/mod/page/view.php?id=3718"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60906B-C378-4AB3-8895-EE72D1AD7AF4}"/>
</file>

<file path=customXml/itemProps2.xml><?xml version="1.0" encoding="utf-8"?>
<ds:datastoreItem xmlns:ds="http://schemas.openxmlformats.org/officeDocument/2006/customXml" ds:itemID="{04B0FA9B-BA55-48A9-A4B6-B03AB480D148}"/>
</file>

<file path=customXml/itemProps3.xml><?xml version="1.0" encoding="utf-8"?>
<ds:datastoreItem xmlns:ds="http://schemas.openxmlformats.org/officeDocument/2006/customXml" ds:itemID="{8CE02396-438D-4CDC-B604-BBF2EB3D716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6797</Words>
  <Characters>37386</Characters>
  <Application>Microsoft Office Word</Application>
  <DocSecurity>0</DocSecurity>
  <Lines>311</Lines>
  <Paragraphs>88</Paragraphs>
  <ScaleCrop>false</ScaleCrop>
  <Company/>
  <LinksUpToDate>false</LinksUpToDate>
  <CharactersWithSpaces>44095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3</cp:revision>
  <dcterms:created xsi:type="dcterms:W3CDTF">2026-06-09T16:12:00Z</dcterms:created>
  <dcterms:modified xsi:type="dcterms:W3CDTF">2026-06-10T14:52:00Z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