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8FDDD" w14:textId="77777777" w:rsidR="009B3A66" w:rsidRDefault="00C01898">
      <w:pPr>
        <w:spacing w:line="276" w:lineRule="auto"/>
        <w:jc w:val="both"/>
        <w:rPr>
          <w:rFonts w:ascii="Arial" w:eastAsia="Arial" w:hAnsi="Arial" w:cs="Arial"/>
          <w:b/>
          <w:color w:val="000000"/>
          <w:sz w:val="16"/>
          <w:szCs w:val="16"/>
        </w:rPr>
      </w:pPr>
      <w:bookmarkStart w:id="0" w:name="_gjdgxs" w:colFirst="0" w:colLast="0"/>
      <w:bookmarkEnd w:id="0"/>
      <w:r>
        <w:rPr>
          <w:rFonts w:ascii="Arial" w:eastAsia="Arial" w:hAnsi="Arial" w:cs="Arial"/>
          <w:b/>
          <w:color w:val="000000"/>
          <w:sz w:val="16"/>
          <w:szCs w:val="16"/>
        </w:rPr>
        <w:tab/>
      </w:r>
    </w:p>
    <w:p w14:paraId="17EFD6A3" w14:textId="77777777" w:rsidR="009B3A66" w:rsidRDefault="009B3A66">
      <w:pPr>
        <w:spacing w:line="276" w:lineRule="auto"/>
        <w:jc w:val="both"/>
        <w:rPr>
          <w:rFonts w:ascii="Arial" w:eastAsia="Arial" w:hAnsi="Arial" w:cs="Arial"/>
          <w:b/>
          <w:color w:val="000000"/>
          <w:sz w:val="16"/>
          <w:szCs w:val="16"/>
        </w:rPr>
      </w:pPr>
    </w:p>
    <w:p w14:paraId="6709EC67" w14:textId="77777777" w:rsidR="009B3A66" w:rsidRPr="008E5CEA" w:rsidRDefault="00C01898" w:rsidP="00A96608">
      <w:pPr>
        <w:jc w:val="both"/>
        <w:rPr>
          <w:sz w:val="22"/>
          <w:szCs w:val="22"/>
        </w:rPr>
      </w:pPr>
      <w:bookmarkStart w:id="1" w:name="_30j0zll" w:colFirst="0" w:colLast="0"/>
      <w:bookmarkEnd w:id="1"/>
      <w:r w:rsidRPr="008E5CEA">
        <w:rPr>
          <w:rFonts w:ascii="Arial" w:eastAsia="Arial" w:hAnsi="Arial" w:cs="Arial"/>
          <w:b/>
          <w:sz w:val="22"/>
          <w:szCs w:val="22"/>
        </w:rPr>
        <w:t>LEY DE GARANTÍAS ELECTORALES – Finalidad</w:t>
      </w:r>
    </w:p>
    <w:p w14:paraId="02BF064F" w14:textId="77777777" w:rsidR="009B3A66" w:rsidRPr="00A96608" w:rsidRDefault="009B3A66" w:rsidP="00A96608">
      <w:pPr>
        <w:jc w:val="both"/>
      </w:pPr>
    </w:p>
    <w:p w14:paraId="7561C4D6" w14:textId="77777777" w:rsidR="009B3A66" w:rsidRPr="00A96608" w:rsidRDefault="00C01898" w:rsidP="00A96608">
      <w:pPr>
        <w:tabs>
          <w:tab w:val="left" w:pos="426"/>
        </w:tabs>
        <w:jc w:val="both"/>
      </w:pPr>
      <w:r>
        <w:rPr>
          <w:rFonts w:ascii="Arial" w:eastAsia="Arial" w:hAnsi="Arial" w:cs="Arial"/>
          <w:sz w:val="20"/>
          <w:szCs w:val="20"/>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 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42C9322A" w14:textId="77777777" w:rsidR="009B3A66" w:rsidRPr="00A96608" w:rsidRDefault="009B3A66" w:rsidP="00A96608">
      <w:pPr>
        <w:tabs>
          <w:tab w:val="left" w:pos="426"/>
        </w:tabs>
        <w:jc w:val="both"/>
      </w:pPr>
      <w:bookmarkStart w:id="2" w:name="_1fob9te" w:colFirst="0" w:colLast="0"/>
      <w:bookmarkEnd w:id="2"/>
    </w:p>
    <w:p w14:paraId="3B965FBB" w14:textId="77777777" w:rsidR="009B3A66" w:rsidRPr="008E5CEA" w:rsidRDefault="00C01898" w:rsidP="00A96608">
      <w:pPr>
        <w:tabs>
          <w:tab w:val="left" w:pos="426"/>
        </w:tabs>
        <w:jc w:val="both"/>
        <w:rPr>
          <w:sz w:val="22"/>
          <w:szCs w:val="22"/>
        </w:rPr>
      </w:pPr>
      <w:bookmarkStart w:id="3" w:name="_3znysh7" w:colFirst="0" w:colLast="0"/>
      <w:bookmarkEnd w:id="3"/>
      <w:r w:rsidRPr="008E5CEA">
        <w:rPr>
          <w:rFonts w:ascii="Arial" w:eastAsia="Arial" w:hAnsi="Arial" w:cs="Arial"/>
          <w:b/>
          <w:sz w:val="22"/>
          <w:szCs w:val="22"/>
        </w:rPr>
        <w:t xml:space="preserve">LEY DE GARANTÍAS ELECTORALES ‒ Tipos de restricciones ‒ Ámbito temporal </w:t>
      </w:r>
    </w:p>
    <w:p w14:paraId="12E3670C" w14:textId="77777777" w:rsidR="009B3A66" w:rsidRPr="00A96608" w:rsidRDefault="009B3A66" w:rsidP="00A96608">
      <w:pPr>
        <w:tabs>
          <w:tab w:val="left" w:pos="426"/>
        </w:tabs>
        <w:jc w:val="both"/>
      </w:pPr>
    </w:p>
    <w:p w14:paraId="38F4F03B" w14:textId="142D4D9F" w:rsidR="009B3A66" w:rsidRPr="00A96608" w:rsidRDefault="00C01898" w:rsidP="00A96608">
      <w:pPr>
        <w:tabs>
          <w:tab w:val="left" w:pos="426"/>
        </w:tabs>
        <w:jc w:val="both"/>
      </w:pPr>
      <w:r>
        <w:rPr>
          <w:rFonts w:ascii="Arial" w:eastAsia="Arial" w:hAnsi="Arial" w:cs="Arial"/>
          <w:sz w:val="20"/>
          <w:szCs w:val="20"/>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7B0DC1B" w14:textId="77777777" w:rsidR="009B3A66" w:rsidRPr="00A96608" w:rsidRDefault="009B3A66" w:rsidP="00A96608">
      <w:pPr>
        <w:tabs>
          <w:tab w:val="left" w:pos="426"/>
        </w:tabs>
        <w:jc w:val="both"/>
      </w:pPr>
    </w:p>
    <w:p w14:paraId="46F8B506" w14:textId="77777777" w:rsidR="009B3A66" w:rsidRPr="008E5CEA" w:rsidRDefault="00C01898" w:rsidP="00A96608">
      <w:pPr>
        <w:tabs>
          <w:tab w:val="left" w:pos="426"/>
        </w:tabs>
        <w:jc w:val="both"/>
        <w:rPr>
          <w:sz w:val="22"/>
          <w:szCs w:val="22"/>
        </w:rPr>
      </w:pPr>
      <w:bookmarkStart w:id="4" w:name="_2et92p0" w:colFirst="0" w:colLast="0"/>
      <w:bookmarkEnd w:id="4"/>
      <w:r w:rsidRPr="008E5CEA">
        <w:rPr>
          <w:rFonts w:ascii="Arial" w:eastAsia="Arial" w:hAnsi="Arial" w:cs="Arial"/>
          <w:b/>
          <w:sz w:val="22"/>
          <w:szCs w:val="22"/>
        </w:rPr>
        <w:t xml:space="preserve">LEY DE GARANTÍAS ELECTORALES ─ Prohibición ‒ Contratación directa ‒ Alcance </w:t>
      </w:r>
    </w:p>
    <w:p w14:paraId="4E459061" w14:textId="77777777" w:rsidR="009B3A66" w:rsidRPr="00A96608" w:rsidRDefault="009B3A66" w:rsidP="00A96608">
      <w:pPr>
        <w:tabs>
          <w:tab w:val="left" w:pos="426"/>
        </w:tabs>
        <w:jc w:val="both"/>
      </w:pPr>
    </w:p>
    <w:p w14:paraId="5DC0B3FA" w14:textId="77777777" w:rsidR="009B3A66" w:rsidRPr="00A96608" w:rsidRDefault="00C01898" w:rsidP="00A96608">
      <w:pPr>
        <w:tabs>
          <w:tab w:val="left" w:pos="426"/>
        </w:tabs>
        <w:jc w:val="both"/>
      </w:pPr>
      <w:r>
        <w:rPr>
          <w:rFonts w:ascii="Arial" w:eastAsia="Arial" w:hAnsi="Arial" w:cs="Arial"/>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44C55663" w14:textId="29078449" w:rsidR="009B3A66" w:rsidRPr="00A96608" w:rsidRDefault="00C01898" w:rsidP="00A96608">
      <w:pPr>
        <w:tabs>
          <w:tab w:val="left" w:pos="426"/>
        </w:tabs>
        <w:jc w:val="both"/>
      </w:pPr>
      <w:r>
        <w:rPr>
          <w:rFonts w:ascii="Arial" w:eastAsia="Arial" w:hAnsi="Arial" w:cs="Arial"/>
          <w:sz w:val="20"/>
          <w:szCs w:val="20"/>
        </w:rPr>
        <w:t xml:space="preserve"> </w:t>
      </w:r>
    </w:p>
    <w:p w14:paraId="618FE243" w14:textId="77777777" w:rsidR="009B3A66" w:rsidRPr="008E5CEA" w:rsidRDefault="00C01898" w:rsidP="00A96608">
      <w:pPr>
        <w:shd w:val="clear" w:color="auto" w:fill="FFFFFF"/>
        <w:jc w:val="both"/>
        <w:rPr>
          <w:sz w:val="22"/>
          <w:szCs w:val="22"/>
        </w:rPr>
      </w:pPr>
      <w:bookmarkStart w:id="5" w:name="_tyjcwt" w:colFirst="0" w:colLast="0"/>
      <w:bookmarkEnd w:id="5"/>
      <w:r w:rsidRPr="008E5CEA">
        <w:rPr>
          <w:rFonts w:ascii="Arial" w:eastAsia="Arial" w:hAnsi="Arial" w:cs="Arial"/>
          <w:b/>
          <w:sz w:val="22"/>
          <w:szCs w:val="22"/>
        </w:rPr>
        <w:t>LEY DE GARANTÍAS ELECTORALES ‒ Excepciones</w:t>
      </w:r>
      <w:r w:rsidRPr="008E5CEA">
        <w:rPr>
          <w:rFonts w:ascii="Arial" w:eastAsia="Arial" w:hAnsi="Arial" w:cs="Arial"/>
          <w:sz w:val="22"/>
          <w:szCs w:val="22"/>
        </w:rPr>
        <w:t xml:space="preserve"> </w:t>
      </w:r>
    </w:p>
    <w:p w14:paraId="67E81D6C" w14:textId="77777777" w:rsidR="009B3A66" w:rsidRPr="00A96608" w:rsidRDefault="009B3A66" w:rsidP="00A96608">
      <w:pPr>
        <w:shd w:val="clear" w:color="auto" w:fill="FFFFFF"/>
        <w:jc w:val="both"/>
      </w:pPr>
    </w:p>
    <w:p w14:paraId="4EBDA674" w14:textId="77777777" w:rsidR="009B3A66" w:rsidRPr="00A96608" w:rsidRDefault="00C01898" w:rsidP="00A96608">
      <w:pPr>
        <w:tabs>
          <w:tab w:val="left" w:pos="426"/>
        </w:tabs>
        <w:jc w:val="both"/>
      </w:pPr>
      <w:r>
        <w:rPr>
          <w:rFonts w:ascii="Arial" w:eastAsia="Arial" w:hAnsi="Arial" w:cs="Arial"/>
          <w:sz w:val="20"/>
          <w:szCs w:val="20"/>
        </w:rPr>
        <w:t>[…]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5CA79165" w14:textId="77777777" w:rsidR="009B3A66" w:rsidRPr="008E5CEA" w:rsidRDefault="009B3A66" w:rsidP="00A96608">
      <w:pPr>
        <w:tabs>
          <w:tab w:val="left" w:pos="426"/>
        </w:tabs>
        <w:jc w:val="both"/>
        <w:rPr>
          <w:sz w:val="22"/>
          <w:szCs w:val="22"/>
        </w:rPr>
      </w:pPr>
    </w:p>
    <w:p w14:paraId="2381C70E" w14:textId="77777777" w:rsidR="009B3A66" w:rsidRPr="008E5CEA" w:rsidRDefault="00C01898" w:rsidP="00A96608">
      <w:pPr>
        <w:jc w:val="both"/>
        <w:rPr>
          <w:sz w:val="22"/>
          <w:szCs w:val="22"/>
        </w:rPr>
      </w:pPr>
      <w:bookmarkStart w:id="6" w:name="_3dy6vkm" w:colFirst="0" w:colLast="0"/>
      <w:bookmarkEnd w:id="6"/>
      <w:r w:rsidRPr="008E5CEA">
        <w:rPr>
          <w:rFonts w:ascii="Arial" w:eastAsia="Arial" w:hAnsi="Arial" w:cs="Arial"/>
          <w:b/>
          <w:sz w:val="22"/>
          <w:szCs w:val="22"/>
        </w:rPr>
        <w:t>LEY DE GARANTÍAS ELECTORALES ‒ Prohibición del artículo 33 de la Ley de garantías ‒ Destinatarios</w:t>
      </w:r>
    </w:p>
    <w:p w14:paraId="44BE2520" w14:textId="77777777" w:rsidR="009B3A66" w:rsidRPr="00A96608" w:rsidRDefault="009B3A66" w:rsidP="00A96608">
      <w:pPr>
        <w:tabs>
          <w:tab w:val="left" w:pos="426"/>
        </w:tabs>
        <w:jc w:val="both"/>
      </w:pPr>
    </w:p>
    <w:p w14:paraId="4DA30993" w14:textId="77777777" w:rsidR="009B3A66" w:rsidRPr="00A96608" w:rsidRDefault="00C01898" w:rsidP="00A96608">
      <w:pPr>
        <w:tabs>
          <w:tab w:val="left" w:pos="426"/>
        </w:tabs>
        <w:jc w:val="both"/>
      </w:pPr>
      <w:r>
        <w:rPr>
          <w:rFonts w:ascii="Arial" w:eastAsia="Arial" w:hAnsi="Arial" w:cs="Arial"/>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2B33B27" w14:textId="77777777" w:rsidR="009B3A66" w:rsidRPr="00A96608" w:rsidRDefault="009B3A66" w:rsidP="00A96608">
      <w:pPr>
        <w:tabs>
          <w:tab w:val="left" w:pos="426"/>
        </w:tabs>
        <w:jc w:val="both"/>
      </w:pPr>
    </w:p>
    <w:p w14:paraId="30F0E61D" w14:textId="77777777" w:rsidR="009B3A66" w:rsidRPr="008E5CEA" w:rsidRDefault="00C01898" w:rsidP="00A96608">
      <w:pPr>
        <w:tabs>
          <w:tab w:val="left" w:pos="426"/>
        </w:tabs>
        <w:jc w:val="both"/>
        <w:rPr>
          <w:sz w:val="22"/>
          <w:szCs w:val="22"/>
        </w:rPr>
      </w:pPr>
      <w:r w:rsidRPr="008E5CEA">
        <w:rPr>
          <w:rFonts w:ascii="Arial" w:eastAsia="Arial" w:hAnsi="Arial" w:cs="Arial"/>
          <w:b/>
          <w:sz w:val="22"/>
          <w:szCs w:val="22"/>
        </w:rPr>
        <w:t>LEY DE GARANTÍAS ELECTORALES ‒ Prohibición comicios cargos de elección popular – Convenios y contratos interadministrativos</w:t>
      </w:r>
    </w:p>
    <w:p w14:paraId="24B8C10E" w14:textId="77777777" w:rsidR="009B3A66" w:rsidRPr="00A96608" w:rsidRDefault="009B3A66" w:rsidP="00A96608">
      <w:pPr>
        <w:tabs>
          <w:tab w:val="left" w:pos="426"/>
        </w:tabs>
        <w:jc w:val="both"/>
      </w:pPr>
    </w:p>
    <w:p w14:paraId="5ED2EA62" w14:textId="77777777" w:rsidR="009B3A66" w:rsidRPr="00A96608" w:rsidRDefault="00C01898" w:rsidP="00A96608">
      <w:pPr>
        <w:tabs>
          <w:tab w:val="left" w:pos="426"/>
        </w:tabs>
        <w:jc w:val="both"/>
      </w:pPr>
      <w:r>
        <w:rPr>
          <w:rFonts w:ascii="Arial" w:eastAsia="Arial" w:hAnsi="Arial" w:cs="Arial"/>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5C76A98F" w14:textId="77777777" w:rsidR="009B3A66" w:rsidRPr="008E5CEA" w:rsidRDefault="009B3A66" w:rsidP="00A96608">
      <w:pPr>
        <w:jc w:val="both"/>
        <w:rPr>
          <w:sz w:val="22"/>
          <w:szCs w:val="22"/>
        </w:rPr>
      </w:pPr>
    </w:p>
    <w:p w14:paraId="4F53CBBC" w14:textId="77777777" w:rsidR="009B3A66" w:rsidRPr="008E5CEA" w:rsidRDefault="00C01898" w:rsidP="00A96608">
      <w:pPr>
        <w:jc w:val="both"/>
        <w:rPr>
          <w:sz w:val="22"/>
          <w:szCs w:val="22"/>
        </w:rPr>
      </w:pPr>
      <w:r w:rsidRPr="008E5CEA">
        <w:rPr>
          <w:rFonts w:ascii="Arial" w:eastAsia="Arial" w:hAnsi="Arial" w:cs="Arial"/>
          <w:b/>
          <w:color w:val="000000"/>
          <w:sz w:val="22"/>
          <w:szCs w:val="22"/>
        </w:rPr>
        <w:t xml:space="preserve">CONTRATOS Y CONVENIOS INTERADMINISTRATIVOS – Definición – Criterio orgánico </w:t>
      </w:r>
    </w:p>
    <w:p w14:paraId="5CBBBDA4" w14:textId="77777777" w:rsidR="009B3A66" w:rsidRPr="00A96608" w:rsidRDefault="009B3A66" w:rsidP="00A96608">
      <w:pPr>
        <w:jc w:val="both"/>
      </w:pPr>
    </w:p>
    <w:p w14:paraId="29672E52" w14:textId="77777777" w:rsidR="009B3A66" w:rsidRPr="00A96608" w:rsidRDefault="00C01898" w:rsidP="00A96608">
      <w:pPr>
        <w:jc w:val="both"/>
      </w:pPr>
      <w:r>
        <w:rPr>
          <w:rFonts w:ascii="Arial" w:eastAsia="Arial" w:hAnsi="Arial" w:cs="Arial"/>
          <w:color w:val="000000"/>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7668CF49" w14:textId="77777777" w:rsidR="009B3A66" w:rsidRPr="00A96608" w:rsidRDefault="009B3A66" w:rsidP="00A96608">
      <w:pPr>
        <w:jc w:val="both"/>
      </w:pPr>
    </w:p>
    <w:p w14:paraId="2DE51902" w14:textId="77777777" w:rsidR="009B3A66" w:rsidRPr="008E5CEA" w:rsidRDefault="00C01898" w:rsidP="00A96608">
      <w:pPr>
        <w:jc w:val="both"/>
        <w:rPr>
          <w:sz w:val="22"/>
          <w:szCs w:val="22"/>
        </w:rPr>
      </w:pPr>
      <w:bookmarkStart w:id="7" w:name="_1t3h5sf" w:colFirst="0" w:colLast="0"/>
      <w:bookmarkEnd w:id="7"/>
      <w:r w:rsidRPr="008E5CEA">
        <w:rPr>
          <w:rFonts w:ascii="Arial" w:eastAsia="Arial" w:hAnsi="Arial" w:cs="Arial"/>
          <w:b/>
          <w:color w:val="000000"/>
          <w:sz w:val="22"/>
          <w:szCs w:val="22"/>
        </w:rPr>
        <w:t>CONTRATOS Y CONVENIOS INTERADMINISTRATIVOS – Entidades con régimen especial de contratación – Procedencia</w:t>
      </w:r>
    </w:p>
    <w:p w14:paraId="48FD345F" w14:textId="77777777" w:rsidR="009B3A66" w:rsidRPr="008E5CEA" w:rsidRDefault="009B3A66" w:rsidP="00A96608">
      <w:pPr>
        <w:jc w:val="both"/>
        <w:rPr>
          <w:sz w:val="22"/>
          <w:szCs w:val="22"/>
        </w:rPr>
      </w:pPr>
    </w:p>
    <w:p w14:paraId="34CF07C4" w14:textId="77777777" w:rsidR="009B3A66" w:rsidRPr="00A96608" w:rsidRDefault="00C01898" w:rsidP="00A96608">
      <w:pPr>
        <w:tabs>
          <w:tab w:val="left" w:pos="426"/>
        </w:tabs>
        <w:jc w:val="both"/>
      </w:pPr>
      <w:r>
        <w:rPr>
          <w:rFonts w:ascii="Arial" w:eastAsia="Arial" w:hAnsi="Arial" w:cs="Arial"/>
          <w:color w:val="000000"/>
          <w:sz w:val="20"/>
          <w:szCs w:val="20"/>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0569A939" w14:textId="77777777" w:rsidR="009B3A66" w:rsidRPr="00A96608" w:rsidRDefault="009B3A66" w:rsidP="00A96608">
      <w:pPr>
        <w:jc w:val="both"/>
      </w:pPr>
    </w:p>
    <w:p w14:paraId="418D99F8" w14:textId="77777777" w:rsidR="009B3A66" w:rsidRPr="008E5CEA" w:rsidRDefault="00C01898" w:rsidP="00A96608">
      <w:pPr>
        <w:jc w:val="both"/>
        <w:rPr>
          <w:sz w:val="22"/>
          <w:szCs w:val="22"/>
        </w:rPr>
      </w:pPr>
      <w:r w:rsidRPr="008E5CEA">
        <w:rPr>
          <w:rFonts w:ascii="Arial" w:eastAsia="Arial" w:hAnsi="Arial" w:cs="Arial"/>
          <w:b/>
          <w:color w:val="000000"/>
          <w:sz w:val="22"/>
          <w:szCs w:val="22"/>
        </w:rPr>
        <w:t>CONTRATOS Y CONVENIOS INTERADMINISTRATIVOS – Modalidad de selección</w:t>
      </w:r>
    </w:p>
    <w:p w14:paraId="705883A7" w14:textId="77777777" w:rsidR="009B3A66" w:rsidRPr="00A96608" w:rsidRDefault="009B3A66" w:rsidP="00A96608">
      <w:pPr>
        <w:jc w:val="both"/>
      </w:pPr>
    </w:p>
    <w:p w14:paraId="0EBF7F3A" w14:textId="77777777" w:rsidR="009B3A66" w:rsidRPr="00A96608" w:rsidRDefault="00C01898" w:rsidP="00A96608">
      <w:pPr>
        <w:jc w:val="both"/>
      </w:pPr>
      <w:r>
        <w:rPr>
          <w:rFonts w:ascii="Arial" w:eastAsia="Arial" w:hAnsi="Arial" w:cs="Arial"/>
          <w:color w:val="000000"/>
          <w:sz w:val="20"/>
          <w:szCs w:val="20"/>
        </w:rPr>
        <w:t xml:space="preserve">Un contrato o convenio interadministrativo no está determinado por la modalidad de selección utilizada para celebrarlo. La Ley 1150 de 2007 establece que pueden celebrarse directamente, </w:t>
      </w:r>
      <w:r>
        <w:rPr>
          <w:rFonts w:ascii="Arial" w:eastAsia="Arial" w:hAnsi="Arial" w:cs="Arial"/>
          <w:color w:val="000000"/>
          <w:sz w:val="20"/>
          <w:szCs w:val="20"/>
        </w:rPr>
        <w:lastRenderedPageBreak/>
        <w:t>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63809ABA" w14:textId="77777777" w:rsidR="009B3A66" w:rsidRPr="008E5CEA" w:rsidRDefault="009B3A66" w:rsidP="00A96608">
      <w:pPr>
        <w:jc w:val="both"/>
        <w:rPr>
          <w:sz w:val="22"/>
          <w:szCs w:val="22"/>
        </w:rPr>
      </w:pPr>
    </w:p>
    <w:p w14:paraId="57BCB66C" w14:textId="77777777" w:rsidR="009B3A66" w:rsidRPr="008E5CEA" w:rsidRDefault="00C01898" w:rsidP="00A96608">
      <w:pPr>
        <w:tabs>
          <w:tab w:val="left" w:pos="426"/>
        </w:tabs>
        <w:jc w:val="both"/>
        <w:rPr>
          <w:sz w:val="22"/>
          <w:szCs w:val="22"/>
        </w:rPr>
      </w:pPr>
      <w:bookmarkStart w:id="8" w:name="_4d34og8" w:colFirst="0" w:colLast="0"/>
      <w:bookmarkEnd w:id="8"/>
      <w:r w:rsidRPr="008E5CEA">
        <w:rPr>
          <w:rFonts w:ascii="Arial" w:eastAsia="Arial" w:hAnsi="Arial" w:cs="Arial"/>
          <w:b/>
          <w:sz w:val="22"/>
          <w:szCs w:val="22"/>
        </w:rPr>
        <w:t xml:space="preserve">LEY DE GARANTÍAS ELECTORALES – Prohibición – Celebración convenios o contratos interadministrativos – Orden judicial </w:t>
      </w:r>
    </w:p>
    <w:p w14:paraId="7DAF39CD" w14:textId="77777777" w:rsidR="009B3A66" w:rsidRPr="00A96608" w:rsidRDefault="009B3A66" w:rsidP="00A96608">
      <w:pPr>
        <w:jc w:val="both"/>
      </w:pPr>
    </w:p>
    <w:p w14:paraId="4649753E" w14:textId="77777777" w:rsidR="009B3A66" w:rsidRPr="00A96608" w:rsidRDefault="00C01898" w:rsidP="00A96608">
      <w:pPr>
        <w:jc w:val="both"/>
      </w:pPr>
      <w:r>
        <w:rPr>
          <w:rFonts w:ascii="Arial" w:eastAsia="Arial" w:hAnsi="Arial" w:cs="Arial"/>
          <w:sz w:val="20"/>
          <w:szCs w:val="20"/>
        </w:rPr>
        <w:t xml:space="preserve">[…] 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 </w:t>
      </w:r>
    </w:p>
    <w:p w14:paraId="0B23AA76" w14:textId="77777777" w:rsidR="009B3A66" w:rsidRPr="008E5CEA" w:rsidRDefault="009B3A66" w:rsidP="00A96608">
      <w:pPr>
        <w:jc w:val="both"/>
        <w:rPr>
          <w:sz w:val="22"/>
          <w:szCs w:val="22"/>
        </w:rPr>
      </w:pPr>
    </w:p>
    <w:p w14:paraId="067287A2" w14:textId="77777777" w:rsidR="009B3A66" w:rsidRPr="008E5CEA" w:rsidRDefault="00C01898" w:rsidP="00A96608">
      <w:pPr>
        <w:jc w:val="both"/>
        <w:rPr>
          <w:sz w:val="22"/>
          <w:szCs w:val="22"/>
        </w:rPr>
      </w:pPr>
      <w:r w:rsidRPr="008E5CEA">
        <w:rPr>
          <w:rFonts w:ascii="Arial" w:eastAsia="Arial" w:hAnsi="Arial" w:cs="Arial"/>
          <w:b/>
          <w:sz w:val="22"/>
          <w:szCs w:val="22"/>
        </w:rPr>
        <w:t>MODIFICACIÓN DE LA LEY 2159 DE 2021 – Ley Anual de Presupuesto - parágrafo del artículo 38 de la Ley de Garantías – transitoriedad</w:t>
      </w:r>
    </w:p>
    <w:p w14:paraId="72CA1908" w14:textId="77777777" w:rsidR="009B3A66" w:rsidRPr="00A96608" w:rsidRDefault="009B3A66" w:rsidP="00A96608">
      <w:pPr>
        <w:jc w:val="both"/>
      </w:pPr>
    </w:p>
    <w:p w14:paraId="4E2F372D" w14:textId="2BC35C06" w:rsidR="009B3A66" w:rsidRPr="00A96608" w:rsidRDefault="00C01898" w:rsidP="00A96608">
      <w:pPr>
        <w:shd w:val="clear" w:color="auto" w:fill="FFFFFF"/>
        <w:jc w:val="both"/>
      </w:pPr>
      <w:r>
        <w:rPr>
          <w:rFonts w:ascii="Arial" w:eastAsia="Arial" w:hAnsi="Arial" w:cs="Arial"/>
          <w:sz w:val="20"/>
          <w:szCs w:val="20"/>
        </w:rPr>
        <w:t>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 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04648926" w14:textId="77777777" w:rsidR="009B3A66" w:rsidRPr="00A96608" w:rsidRDefault="009B3A66" w:rsidP="00A96608">
      <w:pPr>
        <w:shd w:val="clear" w:color="auto" w:fill="FFFFFF"/>
        <w:jc w:val="both"/>
      </w:pPr>
    </w:p>
    <w:p w14:paraId="1FEE3B71" w14:textId="77777777" w:rsidR="009B3A66" w:rsidRPr="008E5CEA" w:rsidRDefault="00C01898" w:rsidP="00A96608">
      <w:pPr>
        <w:jc w:val="both"/>
        <w:rPr>
          <w:sz w:val="22"/>
          <w:szCs w:val="22"/>
        </w:rPr>
      </w:pPr>
      <w:r w:rsidRPr="008E5CEA">
        <w:rPr>
          <w:rFonts w:ascii="Arial" w:eastAsia="Arial" w:hAnsi="Arial" w:cs="Arial"/>
          <w:b/>
          <w:sz w:val="22"/>
          <w:szCs w:val="22"/>
        </w:rPr>
        <w:t>MODIFICACIÓN DE LA LEY 2159 DE 2021 – Ley Anual de Presupuesto - parágrafo del artículo 38 de la Ley de Garantías</w:t>
      </w:r>
    </w:p>
    <w:p w14:paraId="116B2037" w14:textId="77777777" w:rsidR="009B3A66" w:rsidRPr="00A96608" w:rsidRDefault="009B3A66" w:rsidP="00A96608">
      <w:pPr>
        <w:jc w:val="both"/>
      </w:pPr>
    </w:p>
    <w:p w14:paraId="55BFA05E" w14:textId="77777777" w:rsidR="009B3A66" w:rsidRPr="00A96608" w:rsidRDefault="00C01898" w:rsidP="00A96608">
      <w:pPr>
        <w:shd w:val="clear" w:color="auto" w:fill="FFFFFF"/>
        <w:jc w:val="both"/>
      </w:pPr>
      <w:r>
        <w:rPr>
          <w:rFonts w:ascii="Arial" w:eastAsia="Arial" w:hAnsi="Arial" w:cs="Arial"/>
          <w:sz w:val="20"/>
          <w:szCs w:val="20"/>
        </w:rPr>
        <w:t>[…] la Ley 2159 de 2021 -Ley del Presupuesto- modificó parcial y transitoriamente al parágrafo del artículo 38 de la Ley 996 de 2005, en aspectos temporales, subjetivos, materiales o teleológicos y procedimentales o de control, suspendiendo, en dichos aspectos, la prohibición de celebración de convenios y contratos interadministrativos contenida en el parágrafo del artículo 38, siempre y cuando tales acuerdos se suscriban entre entes del orden nacional y entidades territoriales, dentro de la vigencia fiscal del año 2022 y para la ejecución de programas o proyectos correspondientes al Presupuesto General de la Nación. Es de anotar […] que la modificación de la ley del Presupuesto se genera, únicamente, frente al parágrafo del artículo 38, y no frente a las prohibiciones del artículo 33 que, como se dijo, resultan ser distintas, aunque concurrentes, a las del parágrafo, por lo cual, las restricciones a la contratación directa dentro del periodo preelectoral presidencial y vicepresidencial, se mantiene invariado a partir de la publicación de la Ley del Presupuesto.</w:t>
      </w:r>
    </w:p>
    <w:p w14:paraId="33780D71" w14:textId="77777777" w:rsidR="009B3A66" w:rsidRPr="00A96608" w:rsidRDefault="009B3A66" w:rsidP="00A96608">
      <w:pPr>
        <w:shd w:val="clear" w:color="auto" w:fill="FFFFFF"/>
        <w:jc w:val="both"/>
      </w:pPr>
    </w:p>
    <w:p w14:paraId="1FA872FB" w14:textId="77777777" w:rsidR="009B3A66" w:rsidRPr="008E5CEA" w:rsidRDefault="00C01898" w:rsidP="00A96608">
      <w:pPr>
        <w:jc w:val="both"/>
        <w:rPr>
          <w:sz w:val="22"/>
          <w:szCs w:val="22"/>
        </w:rPr>
      </w:pPr>
      <w:r w:rsidRPr="008E5CEA">
        <w:rPr>
          <w:rFonts w:ascii="Arial" w:eastAsia="Arial" w:hAnsi="Arial" w:cs="Arial"/>
          <w:b/>
          <w:sz w:val="22"/>
          <w:szCs w:val="22"/>
        </w:rPr>
        <w:lastRenderedPageBreak/>
        <w:t>MODIFICACIÓN DE LA LEY 2159 DE 2021 – Ley Anual de Presupuesto - parágrafo del artículo 38 de la Ley de Garantías – Nación – entidades descentralizadas</w:t>
      </w:r>
    </w:p>
    <w:p w14:paraId="1C4FD33D" w14:textId="77777777" w:rsidR="009B3A66" w:rsidRPr="00A96608" w:rsidRDefault="009B3A66" w:rsidP="00A96608">
      <w:pPr>
        <w:jc w:val="both"/>
      </w:pPr>
    </w:p>
    <w:p w14:paraId="3D678CA6" w14:textId="77777777" w:rsidR="009B3A66" w:rsidRPr="00A96608" w:rsidRDefault="00C01898" w:rsidP="00A96608">
      <w:pPr>
        <w:jc w:val="both"/>
      </w:pPr>
      <w:r>
        <w:rPr>
          <w:rFonts w:ascii="Arial" w:eastAsia="Arial" w:hAnsi="Arial" w:cs="Arial"/>
          <w:sz w:val="20"/>
          <w:szCs w:val="20"/>
        </w:rPr>
        <w:t>[…]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 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488B8CB4" w14:textId="77777777" w:rsidR="009B3A66" w:rsidRPr="00A96608" w:rsidRDefault="009B3A66" w:rsidP="00A96608">
      <w:pPr>
        <w:jc w:val="both"/>
      </w:pPr>
    </w:p>
    <w:p w14:paraId="2CA1AB69" w14:textId="77777777" w:rsidR="009B3A66" w:rsidRPr="008E5CEA" w:rsidRDefault="00C01898" w:rsidP="00A96608">
      <w:pPr>
        <w:jc w:val="both"/>
        <w:rPr>
          <w:sz w:val="22"/>
          <w:szCs w:val="22"/>
        </w:rPr>
      </w:pPr>
      <w:r w:rsidRPr="008E5CEA">
        <w:rPr>
          <w:rFonts w:ascii="Arial" w:eastAsia="Arial" w:hAnsi="Arial" w:cs="Arial"/>
          <w:b/>
          <w:sz w:val="22"/>
          <w:szCs w:val="22"/>
        </w:rPr>
        <w:t>MODIFICACIÓN DE LA LEY 2159 DE 2021 – Ley Anual de Presupuesto - parágrafo del artículo 38 de la Ley de Garantías – gastos de inversión - proyectos y programas de inversión – Plan Nacional de Desarrollo</w:t>
      </w:r>
    </w:p>
    <w:p w14:paraId="5139A2B3" w14:textId="77777777" w:rsidR="009B3A66" w:rsidRPr="00A96608" w:rsidRDefault="009B3A66" w:rsidP="00A96608">
      <w:pPr>
        <w:jc w:val="both"/>
      </w:pPr>
    </w:p>
    <w:p w14:paraId="2B2398C7" w14:textId="00AE0BE1" w:rsidR="009B3A66" w:rsidRPr="00A96608" w:rsidRDefault="00C01898" w:rsidP="00A96608">
      <w:pPr>
        <w:shd w:val="clear" w:color="auto" w:fill="FFFFFF"/>
        <w:jc w:val="both"/>
      </w:pPr>
      <w:r>
        <w:rPr>
          <w:rFonts w:ascii="Arial" w:eastAsia="Arial" w:hAnsi="Arial" w:cs="Arial"/>
          <w:sz w:val="20"/>
          <w:szCs w:val="20"/>
        </w:rPr>
        <w:t>En lo que respecta al elemento teleológico o material de la reforma incluida en el artículo 124 de la 2159 de 2021, consistente en que los convenios sean celebrados con el fin de ejecutar programas o proyectos que correspondan al Presupuesto General de la Nación, […] partiendo de las consideraciones contenidas en el acápite 2.5. del presente concepto y dados en relación con la estructura y contenido de la ley anual del presupuesto general de la Nación, […]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0FA8C56A" w14:textId="77777777" w:rsidR="009B3A66" w:rsidRPr="00A96608" w:rsidRDefault="009B3A66" w:rsidP="00A96608">
      <w:pPr>
        <w:jc w:val="both"/>
      </w:pPr>
    </w:p>
    <w:p w14:paraId="58AA330C" w14:textId="77777777" w:rsidR="009B3A66" w:rsidRPr="008E5CEA" w:rsidRDefault="00C01898" w:rsidP="00A96608">
      <w:pPr>
        <w:jc w:val="both"/>
        <w:rPr>
          <w:sz w:val="22"/>
          <w:szCs w:val="22"/>
        </w:rPr>
      </w:pPr>
      <w:r w:rsidRPr="008E5CEA">
        <w:rPr>
          <w:rFonts w:ascii="Arial" w:eastAsia="Arial" w:hAnsi="Arial" w:cs="Arial"/>
          <w:b/>
          <w:sz w:val="22"/>
          <w:szCs w:val="22"/>
        </w:rPr>
        <w:t>EMERGENCIA SANITARIA – COVID 19</w:t>
      </w:r>
    </w:p>
    <w:p w14:paraId="14752E66" w14:textId="77777777" w:rsidR="009B3A66" w:rsidRPr="00A96608" w:rsidRDefault="009B3A66" w:rsidP="00A96608">
      <w:pPr>
        <w:jc w:val="both"/>
      </w:pPr>
    </w:p>
    <w:p w14:paraId="6E81CD21" w14:textId="77777777" w:rsidR="009B3A66" w:rsidRPr="00A96608" w:rsidRDefault="00C01898" w:rsidP="00A96608">
      <w:pPr>
        <w:jc w:val="both"/>
      </w:pPr>
      <w:r>
        <w:rPr>
          <w:rFonts w:ascii="Arial" w:eastAsia="Arial" w:hAnsi="Arial" w:cs="Arial"/>
          <w:sz w:val="20"/>
          <w:szCs w:val="20"/>
        </w:rPr>
        <w:t xml:space="preserve">Debido a la aparición de la ya conocida pandemia ocasionada por el COVID-19, el Gobierno Nacional, en cabeza del Ministerio de Salud y Protección Social, declaró el estado de emergencia sanitaria en todo el territorio colombiano mediante la Resolución 385 del 12 de marzo de 2020 […] dicha circunstancia se ha mantenido en el tiempo, por lo que las medidas adoptadas fueron prorrogadas mediante la expedición de los siguientes actos administrativos: i) la Resolución 844 del 26 de mayo de 2020 prorrogó la vigencia hasta el 31 de agosto de 2020; ii) la Resolución 1462 del 25 de agosto de 2020 prorrogó vigencia hasta el 30 de noviembre de 2020; iii) la Resolución 2230 del 27 de noviembre de 2020 prrorrogó vigencia hasta el 28 de febrero de 2021; y iv) la Resolución 222 del 25 de febrero de 2021 la prorrogó hasta el 31 de mayo de 2021. En consecuencia, actualmente el estado de emergencia sanitaria se mantiene vigente, sin perjuicio de que se prorrogue nuevamente por disposición del Gobierno Nacional. </w:t>
      </w:r>
    </w:p>
    <w:p w14:paraId="04A74F2C" w14:textId="77777777" w:rsidR="009B3A66" w:rsidRPr="00A96608" w:rsidRDefault="009B3A66" w:rsidP="00A96608">
      <w:pPr>
        <w:jc w:val="both"/>
      </w:pPr>
    </w:p>
    <w:p w14:paraId="2194F8EB" w14:textId="77777777" w:rsidR="009B3A66" w:rsidRPr="00A96608" w:rsidRDefault="00C01898" w:rsidP="00A96608">
      <w:pPr>
        <w:jc w:val="both"/>
      </w:pPr>
      <w:r>
        <w:rPr>
          <w:rFonts w:ascii="Arial" w:eastAsia="Arial" w:hAnsi="Arial" w:cs="Arial"/>
          <w:b/>
          <w:sz w:val="22"/>
          <w:szCs w:val="22"/>
        </w:rPr>
        <w:t xml:space="preserve">DISPOSICIONES EXPEDIDAS EN MATERIA DE CONTRATACIÓN ESTATAL – Emergencia sanitaria </w:t>
      </w:r>
    </w:p>
    <w:p w14:paraId="6B1E101B" w14:textId="77777777" w:rsidR="009B3A66" w:rsidRPr="00A96608" w:rsidRDefault="009B3A66" w:rsidP="00A96608">
      <w:pPr>
        <w:jc w:val="both"/>
      </w:pPr>
    </w:p>
    <w:p w14:paraId="7B5CD99C" w14:textId="77777777" w:rsidR="009B3A66" w:rsidRPr="00A96608" w:rsidRDefault="00C01898" w:rsidP="00A96608">
      <w:pPr>
        <w:pBdr>
          <w:top w:val="nil"/>
          <w:left w:val="nil"/>
          <w:bottom w:val="nil"/>
          <w:right w:val="nil"/>
          <w:between w:val="nil"/>
        </w:pBdr>
        <w:jc w:val="both"/>
      </w:pPr>
      <w:r>
        <w:rPr>
          <w:rFonts w:ascii="Arial" w:eastAsia="Arial" w:hAnsi="Arial" w:cs="Arial"/>
          <w:color w:val="000000"/>
          <w:sz w:val="20"/>
          <w:szCs w:val="20"/>
        </w:rPr>
        <w:t xml:space="preserve">El Gobierno Nacional ha emitido normas de importante relevancia en materia contractual, con la finalidad de prevenir la propagación de la pandemia y procurar la continuidad en el cumplimiento de los fines del estado a través de la actividad contractual. El Decreto Legislativo 440 de 2020, produjo sus efectos durante el estado de emergencia económica, hasta la expedición del Decreto 537 de 2020 y reguló lo concerniente al distanciamiento social, permitiendo la realización de audiencias públicas electrónicas o virtuales, adicionalmente, facultó a las entidades estatales y a la Agencia </w:t>
      </w:r>
      <w:r>
        <w:rPr>
          <w:rFonts w:ascii="Arial" w:eastAsia="Arial" w:hAnsi="Arial" w:cs="Arial"/>
          <w:color w:val="000000"/>
          <w:sz w:val="20"/>
          <w:szCs w:val="20"/>
        </w:rPr>
        <w:lastRenderedPageBreak/>
        <w:t xml:space="preserve">Nacional de Contratación Pública – Colombia Compra Eficiente, para que adelantaran procedimientos de contratación de forma ágil y expedita, encaminados a conjurar la crisis por el coronavirus COVID-19. Inclusive, se autorizó adicionar, en principio, de forma ilimitada los contratos que contribuyan a atender la pandemia, entre otras medidas. En su lugar, el gobierno nacional profirió el Decreto Legislativo 537 del 12 de abril de 2020, el cual conserva el espíritu y las disposiciones normativas del Decreto 440 de 2020, consagrando una vigencia más extensa, que no quedó supeditada al estado de excepción regulado en el artículo 215 de la Constitución Política, sino a la emergencia sanitaria. </w:t>
      </w:r>
    </w:p>
    <w:p w14:paraId="341534FA" w14:textId="77777777" w:rsidR="009B3A66" w:rsidRDefault="009B3A66">
      <w:pPr>
        <w:spacing w:line="276" w:lineRule="auto"/>
        <w:jc w:val="both"/>
        <w:rPr>
          <w:rFonts w:ascii="Arial" w:eastAsia="Arial" w:hAnsi="Arial" w:cs="Arial"/>
          <w:color w:val="000000"/>
          <w:sz w:val="20"/>
          <w:szCs w:val="20"/>
        </w:rPr>
      </w:pPr>
    </w:p>
    <w:p w14:paraId="2C9E25AD" w14:textId="77777777" w:rsidR="009B3A66" w:rsidRDefault="00C01898">
      <w:pPr>
        <w:rPr>
          <w:rFonts w:ascii="Arial" w:eastAsia="Arial" w:hAnsi="Arial" w:cs="Arial"/>
          <w:color w:val="000000"/>
          <w:sz w:val="20"/>
          <w:szCs w:val="20"/>
        </w:rPr>
      </w:pPr>
      <w:r>
        <w:br w:type="page"/>
      </w:r>
    </w:p>
    <w:p w14:paraId="4A1822EE" w14:textId="77777777" w:rsidR="009B3A66" w:rsidRDefault="009B3A66">
      <w:pPr>
        <w:spacing w:line="276" w:lineRule="auto"/>
        <w:jc w:val="both"/>
        <w:rPr>
          <w:rFonts w:ascii="Arial" w:eastAsia="Arial" w:hAnsi="Arial" w:cs="Arial"/>
          <w:color w:val="000000"/>
          <w:sz w:val="20"/>
          <w:szCs w:val="20"/>
        </w:rPr>
      </w:pPr>
    </w:p>
    <w:p w14:paraId="150793AA" w14:textId="50A4736F" w:rsidR="008733DF" w:rsidRDefault="008733DF" w:rsidP="008733DF">
      <w:pPr>
        <w:tabs>
          <w:tab w:val="left" w:pos="3374"/>
        </w:tabs>
        <w:spacing w:line="276" w:lineRule="auto"/>
        <w:jc w:val="right"/>
        <w:rPr>
          <w:rFonts w:ascii="Arial" w:eastAsia="Arial" w:hAnsi="Arial" w:cs="Arial"/>
          <w:color w:val="000000"/>
          <w:sz w:val="22"/>
          <w:szCs w:val="22"/>
        </w:rPr>
      </w:pPr>
      <w:r>
        <w:rPr>
          <w:noProof/>
        </w:rPr>
        <w:drawing>
          <wp:inline distT="0" distB="0" distL="0" distR="0" wp14:anchorId="4FED3B5F" wp14:editId="5B0B8161">
            <wp:extent cx="2505075" cy="1123950"/>
            <wp:effectExtent l="0" t="0" r="9525" b="0"/>
            <wp:docPr id="6" name="Imagen 6"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Texto&#10;&#10;Descripción generada automáticamente"/>
                    <pic:cNvPicPr/>
                  </pic:nvPicPr>
                  <pic:blipFill>
                    <a:blip r:embed="rId9"/>
                    <a:stretch>
                      <a:fillRect/>
                    </a:stretch>
                  </pic:blipFill>
                  <pic:spPr>
                    <a:xfrm>
                      <a:off x="0" y="0"/>
                      <a:ext cx="2505075" cy="1123950"/>
                    </a:xfrm>
                    <a:prstGeom prst="rect">
                      <a:avLst/>
                    </a:prstGeom>
                  </pic:spPr>
                </pic:pic>
              </a:graphicData>
            </a:graphic>
          </wp:inline>
        </w:drawing>
      </w:r>
    </w:p>
    <w:p w14:paraId="68BA0360" w14:textId="77777777" w:rsidR="008733DF" w:rsidRDefault="008733DF">
      <w:pPr>
        <w:tabs>
          <w:tab w:val="left" w:pos="3374"/>
        </w:tabs>
        <w:spacing w:line="276" w:lineRule="auto"/>
        <w:jc w:val="both"/>
        <w:rPr>
          <w:rFonts w:ascii="Arial" w:eastAsia="Arial" w:hAnsi="Arial" w:cs="Arial"/>
          <w:color w:val="000000"/>
          <w:sz w:val="22"/>
          <w:szCs w:val="22"/>
        </w:rPr>
      </w:pPr>
    </w:p>
    <w:p w14:paraId="4B6077D5" w14:textId="77777777" w:rsidR="008733DF" w:rsidRDefault="008733DF">
      <w:pPr>
        <w:tabs>
          <w:tab w:val="left" w:pos="3374"/>
        </w:tabs>
        <w:spacing w:line="276" w:lineRule="auto"/>
        <w:jc w:val="both"/>
        <w:rPr>
          <w:rFonts w:ascii="Arial" w:eastAsia="Arial" w:hAnsi="Arial" w:cs="Arial"/>
          <w:color w:val="000000"/>
          <w:sz w:val="22"/>
          <w:szCs w:val="22"/>
        </w:rPr>
      </w:pPr>
    </w:p>
    <w:p w14:paraId="0E14A25A" w14:textId="0056CC9F" w:rsidR="009B3A66" w:rsidRDefault="008733DF">
      <w:pPr>
        <w:spacing w:line="276" w:lineRule="auto"/>
        <w:jc w:val="both"/>
        <w:rPr>
          <w:rFonts w:ascii="Arial" w:eastAsia="Arial" w:hAnsi="Arial" w:cs="Arial"/>
          <w:color w:val="000000"/>
        </w:rPr>
      </w:pPr>
      <w:r>
        <w:rPr>
          <w:rFonts w:ascii="Arial" w:hAnsi="Arial" w:cs="Arial"/>
          <w:color w:val="4E4D4D"/>
          <w:sz w:val="22"/>
          <w:szCs w:val="22"/>
          <w:lang w:val="es-CO"/>
        </w:rPr>
        <w:t xml:space="preserve">Bogotá, 26 </w:t>
      </w:r>
      <w:proofErr w:type="gramStart"/>
      <w:r>
        <w:rPr>
          <w:rFonts w:ascii="Arial" w:hAnsi="Arial" w:cs="Arial"/>
          <w:color w:val="4E4D4D"/>
          <w:sz w:val="22"/>
          <w:szCs w:val="22"/>
          <w:lang w:val="es-CO"/>
        </w:rPr>
        <w:t>Enero</w:t>
      </w:r>
      <w:proofErr w:type="gramEnd"/>
      <w:r>
        <w:rPr>
          <w:rFonts w:ascii="Arial" w:hAnsi="Arial" w:cs="Arial"/>
          <w:color w:val="4E4D4D"/>
          <w:sz w:val="22"/>
          <w:szCs w:val="22"/>
          <w:lang w:val="es-CO"/>
        </w:rPr>
        <w:t xml:space="preserve"> 2022</w:t>
      </w:r>
    </w:p>
    <w:p w14:paraId="48A509DF" w14:textId="77777777" w:rsidR="009B3A66" w:rsidRDefault="009B3A66">
      <w:pPr>
        <w:spacing w:line="276" w:lineRule="auto"/>
        <w:jc w:val="both"/>
        <w:rPr>
          <w:rFonts w:ascii="Arial" w:eastAsia="Arial" w:hAnsi="Arial" w:cs="Arial"/>
          <w:color w:val="000000"/>
          <w:sz w:val="22"/>
          <w:szCs w:val="22"/>
        </w:rPr>
      </w:pPr>
    </w:p>
    <w:p w14:paraId="7E788C2C" w14:textId="77777777" w:rsidR="009B3A66" w:rsidRDefault="00C01898">
      <w:pPr>
        <w:spacing w:line="276" w:lineRule="auto"/>
        <w:jc w:val="both"/>
        <w:rPr>
          <w:rFonts w:ascii="Arial" w:eastAsia="Arial" w:hAnsi="Arial" w:cs="Arial"/>
          <w:color w:val="000000"/>
          <w:sz w:val="22"/>
          <w:szCs w:val="22"/>
        </w:rPr>
      </w:pPr>
      <w:r>
        <w:rPr>
          <w:rFonts w:ascii="Arial" w:eastAsia="Arial" w:hAnsi="Arial" w:cs="Arial"/>
          <w:color w:val="000000"/>
          <w:sz w:val="22"/>
          <w:szCs w:val="22"/>
        </w:rPr>
        <w:t>Señor</w:t>
      </w:r>
    </w:p>
    <w:p w14:paraId="71A65DDB" w14:textId="77777777" w:rsidR="009B3A66" w:rsidRDefault="00C01898">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 xml:space="preserve">Nacy Judith Munevar Sepúlveda </w:t>
      </w:r>
    </w:p>
    <w:p w14:paraId="166B8DBA" w14:textId="77777777" w:rsidR="009B3A66" w:rsidRDefault="00C01898">
      <w:pPr>
        <w:pBdr>
          <w:top w:val="nil"/>
          <w:left w:val="nil"/>
          <w:bottom w:val="nil"/>
          <w:right w:val="nil"/>
          <w:between w:val="nil"/>
        </w:pBd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nancyjudithmun@gmail.com </w:t>
      </w:r>
    </w:p>
    <w:p w14:paraId="3728D317" w14:textId="77777777" w:rsidR="009B3A66" w:rsidRDefault="009B3A66">
      <w:pPr>
        <w:spacing w:line="276" w:lineRule="auto"/>
        <w:jc w:val="both"/>
        <w:rPr>
          <w:rFonts w:ascii="Arial" w:eastAsia="Arial" w:hAnsi="Arial" w:cs="Arial"/>
          <w:color w:val="000000"/>
          <w:sz w:val="22"/>
          <w:szCs w:val="22"/>
        </w:rPr>
      </w:pPr>
    </w:p>
    <w:p w14:paraId="3436EDE0" w14:textId="77777777" w:rsidR="009B3A66" w:rsidRDefault="009B3A66">
      <w:pPr>
        <w:spacing w:line="276" w:lineRule="auto"/>
        <w:jc w:val="both"/>
        <w:rPr>
          <w:rFonts w:ascii="Arial" w:eastAsia="Arial" w:hAnsi="Arial" w:cs="Arial"/>
          <w:color w:val="000000"/>
          <w:sz w:val="22"/>
          <w:szCs w:val="22"/>
        </w:rPr>
      </w:pPr>
    </w:p>
    <w:p w14:paraId="3A508005" w14:textId="2D99383E" w:rsidR="009B3A66" w:rsidRDefault="00C01898">
      <w:pPr>
        <w:spacing w:line="276" w:lineRule="auto"/>
        <w:jc w:val="both"/>
        <w:rPr>
          <w:rFonts w:ascii="Arial" w:eastAsia="Arial" w:hAnsi="Arial" w:cs="Arial"/>
          <w:color w:val="000000"/>
        </w:rPr>
      </w:pPr>
      <w:r>
        <w:rPr>
          <w:rFonts w:ascii="Arial" w:eastAsia="Arial" w:hAnsi="Arial" w:cs="Arial"/>
          <w:color w:val="000000"/>
          <w:sz w:val="22"/>
          <w:szCs w:val="22"/>
        </w:rPr>
        <w:t xml:space="preserve">                     </w:t>
      </w:r>
      <w:r>
        <w:rPr>
          <w:rFonts w:ascii="Arial" w:eastAsia="Arial" w:hAnsi="Arial" w:cs="Arial"/>
          <w:b/>
          <w:color w:val="000000"/>
          <w:sz w:val="22"/>
          <w:szCs w:val="22"/>
        </w:rPr>
        <w:t>Concepto C – 724 de 2022</w:t>
      </w:r>
      <w:r>
        <w:rPr>
          <w:rFonts w:ascii="Arial" w:eastAsia="Arial" w:hAnsi="Arial" w:cs="Arial"/>
          <w:color w:val="000000"/>
          <w:sz w:val="22"/>
          <w:szCs w:val="22"/>
        </w:rPr>
        <w:t xml:space="preserve"> </w:t>
      </w:r>
    </w:p>
    <w:p w14:paraId="3D4C0AE5" w14:textId="77777777" w:rsidR="009B3A66" w:rsidRDefault="009B3A66">
      <w:pPr>
        <w:spacing w:line="276" w:lineRule="auto"/>
        <w:jc w:val="both"/>
        <w:rPr>
          <w:rFonts w:ascii="Arial" w:eastAsia="Arial" w:hAnsi="Arial" w:cs="Arial"/>
          <w:color w:val="000000"/>
          <w:sz w:val="22"/>
          <w:szCs w:val="22"/>
        </w:rPr>
      </w:pPr>
    </w:p>
    <w:tbl>
      <w:tblPr>
        <w:tblStyle w:val="a"/>
        <w:tblW w:w="0" w:type="auto"/>
        <w:tblInd w:w="-142" w:type="dxa"/>
        <w:tblBorders>
          <w:top w:val="nil"/>
          <w:left w:val="nil"/>
          <w:bottom w:val="nil"/>
          <w:right w:val="nil"/>
          <w:insideH w:val="nil"/>
          <w:insideV w:val="nil"/>
        </w:tblBorders>
        <w:tblLayout w:type="fixed"/>
        <w:tblLook w:val="0400" w:firstRow="0" w:lastRow="0" w:firstColumn="0" w:lastColumn="0" w:noHBand="0" w:noVBand="1"/>
      </w:tblPr>
      <w:tblGrid>
        <w:gridCol w:w="4419"/>
        <w:gridCol w:w="4419"/>
      </w:tblGrid>
      <w:tr w:rsidR="009B3A66" w14:paraId="787343EF" w14:textId="77777777">
        <w:trPr>
          <w:trHeight w:val="485"/>
        </w:trPr>
        <w:tc>
          <w:tcPr>
            <w:tcW w:w="4419" w:type="dxa"/>
          </w:tcPr>
          <w:p w14:paraId="294ACD2F" w14:textId="23E35727" w:rsidR="009B3A66" w:rsidRDefault="00C01898">
            <w:pPr>
              <w:spacing w:line="276" w:lineRule="auto"/>
              <w:jc w:val="both"/>
              <w:rPr>
                <w:rFonts w:ascii="Arial" w:eastAsia="Arial" w:hAnsi="Arial" w:cs="Arial"/>
                <w:color w:val="000000"/>
              </w:rPr>
            </w:pPr>
            <w:r>
              <w:rPr>
                <w:rFonts w:ascii="Arial" w:eastAsia="Arial" w:hAnsi="Arial" w:cs="Arial"/>
                <w:b/>
                <w:color w:val="000000"/>
                <w:sz w:val="22"/>
                <w:szCs w:val="22"/>
              </w:rPr>
              <w:t>Temas:</w:t>
            </w:r>
            <w:r>
              <w:rPr>
                <w:rFonts w:ascii="Arial" w:eastAsia="Arial" w:hAnsi="Arial" w:cs="Arial"/>
                <w:color w:val="000000"/>
                <w:sz w:val="22"/>
                <w:szCs w:val="22"/>
              </w:rPr>
              <w:t xml:space="preserve">    </w:t>
            </w:r>
          </w:p>
        </w:tc>
        <w:tc>
          <w:tcPr>
            <w:tcW w:w="4419" w:type="dxa"/>
          </w:tcPr>
          <w:p w14:paraId="2DEC7C58" w14:textId="77777777" w:rsidR="00A96608" w:rsidRPr="00A96608" w:rsidRDefault="00C01898" w:rsidP="00A96608">
            <w:pPr>
              <w:jc w:val="both"/>
              <w:rPr>
                <w:rFonts w:ascii="Arial" w:hAnsi="Arial" w:cs="Arial"/>
                <w:sz w:val="22"/>
                <w:szCs w:val="22"/>
              </w:rPr>
            </w:pPr>
            <w:r w:rsidRPr="00A96608">
              <w:rPr>
                <w:rFonts w:ascii="Arial" w:eastAsia="Arial" w:hAnsi="Arial" w:cs="Arial"/>
                <w:sz w:val="22"/>
                <w:szCs w:val="22"/>
              </w:rPr>
              <w:t xml:space="preserve">LEY DE GARANTÍAS ELECTORALES – Finalidad / LEY DE GARANTÍAS ELECTORALES ‒ Tipos de restricciones ‒ Ámbito temporal / LEY DE GARANTÍAS ELECTORALES ─ Prohibición ‒ Contratación directa ‒ Alcance / LEY DE GARANTÍAS ELECTORALES ‒ Excepciones / LEY DE GARANTÍAS ELECTORALES ‒ Prohibición del artículo 33 de la Ley de garantías ‒ Destinatarios / LEY DE GARANTÍAS ELECTORALES ‒ Prohibición comicios cargos de elección popular – Convenios y contratos interadministrativos / CONTRATOS Y CONVENIOS INTERADMINISTRATIVOS – Definición – Criterio orgánico / CONTRATOS Y CONVENIOS INTERADMINISTRATIVOS – Entidades con régimen especial de contratación – Procedencia / CONTRATOS Y CONVENIOS INTERADMINISTRATIVOS – Modalidad de selección / LEY DE GARANTÍAS ELECTORALES – Prohibición – Celebración convenios o contratos interadministrativos – Orden </w:t>
            </w:r>
            <w:r w:rsidRPr="00A96608">
              <w:rPr>
                <w:rFonts w:ascii="Arial" w:eastAsia="Arial" w:hAnsi="Arial" w:cs="Arial"/>
                <w:sz w:val="22"/>
                <w:szCs w:val="22"/>
              </w:rPr>
              <w:lastRenderedPageBreak/>
              <w:t xml:space="preserve">judicial – / MODIFICACIÓN DE LA LEY 2159 DE 2021 – Ley Anual de Presupuesto - parágrafo del artículo 38 de la Ley de Garantías </w:t>
            </w:r>
            <w:r w:rsidR="00A96608" w:rsidRPr="00A96608">
              <w:rPr>
                <w:rFonts w:ascii="Arial" w:eastAsia="Arial" w:hAnsi="Arial" w:cs="Arial"/>
                <w:sz w:val="22"/>
                <w:szCs w:val="22"/>
              </w:rPr>
              <w:t>/ MODIFICACIÓN DE LA LEY 2159 DE 2021 – Ley Anual de Presupuesto - parágrafo del artículo 38 de la Ley de Garantías</w:t>
            </w:r>
          </w:p>
          <w:p w14:paraId="7BFC27CF" w14:textId="77777777" w:rsidR="00A96608" w:rsidRPr="00A96608" w:rsidRDefault="00C01898" w:rsidP="00A96608">
            <w:pPr>
              <w:jc w:val="both"/>
              <w:rPr>
                <w:rFonts w:ascii="Arial" w:hAnsi="Arial" w:cs="Arial"/>
                <w:sz w:val="22"/>
                <w:szCs w:val="22"/>
              </w:rPr>
            </w:pPr>
            <w:r w:rsidRPr="00A96608">
              <w:rPr>
                <w:rFonts w:ascii="Arial" w:eastAsia="Arial" w:hAnsi="Arial" w:cs="Arial"/>
                <w:sz w:val="22"/>
                <w:szCs w:val="22"/>
              </w:rPr>
              <w:t xml:space="preserve">EMERGENCIA SANITARIA – COVID-19 – Reglamentación / </w:t>
            </w:r>
            <w:r w:rsidR="00A96608" w:rsidRPr="00A96608">
              <w:rPr>
                <w:rFonts w:ascii="Arial" w:eastAsia="Arial" w:hAnsi="Arial" w:cs="Arial"/>
                <w:sz w:val="22"/>
                <w:szCs w:val="22"/>
              </w:rPr>
              <w:t>MODIFICACIÓN DE LA LEY 2159 DE 2021 – Ley Anual de Presupuesto - parágrafo del artículo 38 de la Ley de Garantías – Nación – entidades descentralizadas</w:t>
            </w:r>
            <w:r w:rsidR="00A96608" w:rsidRPr="00A96608">
              <w:rPr>
                <w:rFonts w:ascii="Arial" w:hAnsi="Arial" w:cs="Arial"/>
                <w:sz w:val="22"/>
                <w:szCs w:val="22"/>
              </w:rPr>
              <w:t xml:space="preserve"> / </w:t>
            </w:r>
            <w:r w:rsidR="00A96608" w:rsidRPr="00A96608">
              <w:rPr>
                <w:rFonts w:ascii="Arial" w:eastAsia="Arial" w:hAnsi="Arial" w:cs="Arial"/>
                <w:sz w:val="22"/>
                <w:szCs w:val="22"/>
              </w:rPr>
              <w:t>MODIFICACIÓN DE LA LEY 2159 DE 2021 – Ley Anual de Presupuesto - parágrafo del artículo 38 de la Ley de Garantías – gastos de inversión - proyectos y programas de inversión – Plan Nacional de Desarrollo</w:t>
            </w:r>
            <w:r w:rsidR="00A96608" w:rsidRPr="00A96608">
              <w:rPr>
                <w:rFonts w:ascii="Arial" w:hAnsi="Arial" w:cs="Arial"/>
                <w:sz w:val="22"/>
                <w:szCs w:val="22"/>
              </w:rPr>
              <w:t xml:space="preserve"> / </w:t>
            </w:r>
            <w:r w:rsidR="00A96608" w:rsidRPr="00A96608">
              <w:rPr>
                <w:rFonts w:ascii="Arial" w:eastAsia="Arial" w:hAnsi="Arial" w:cs="Arial"/>
                <w:sz w:val="22"/>
                <w:szCs w:val="22"/>
              </w:rPr>
              <w:t xml:space="preserve">EMERGENCIA SANITARIA – COVID 19 / DISPOSICIONES EXPEDIDAS EN MATERIA DE CONTRATACIÓN ESTATAL – Emergencia sanitaria </w:t>
            </w:r>
          </w:p>
          <w:p w14:paraId="63C3302E" w14:textId="13903C65" w:rsidR="00A96608" w:rsidRPr="00A96608" w:rsidRDefault="00A96608" w:rsidP="00A96608">
            <w:pPr>
              <w:jc w:val="both"/>
              <w:rPr>
                <w:rFonts w:ascii="Arial" w:hAnsi="Arial" w:cs="Arial"/>
                <w:sz w:val="22"/>
                <w:szCs w:val="22"/>
              </w:rPr>
            </w:pPr>
          </w:p>
          <w:p w14:paraId="35AE3D52" w14:textId="1F699C7A" w:rsidR="009B3A66" w:rsidRPr="00A96608" w:rsidRDefault="009B3A66" w:rsidP="00A96608">
            <w:pPr>
              <w:jc w:val="both"/>
              <w:rPr>
                <w:rFonts w:ascii="Arial" w:hAnsi="Arial" w:cs="Arial"/>
                <w:sz w:val="22"/>
                <w:szCs w:val="22"/>
              </w:rPr>
            </w:pPr>
          </w:p>
        </w:tc>
      </w:tr>
      <w:tr w:rsidR="009B3A66" w14:paraId="7A6FEB09" w14:textId="77777777">
        <w:tc>
          <w:tcPr>
            <w:tcW w:w="4419" w:type="dxa"/>
          </w:tcPr>
          <w:p w14:paraId="79021D29" w14:textId="2F52717D" w:rsidR="009B3A66" w:rsidRDefault="00C01898">
            <w:pPr>
              <w:spacing w:line="276" w:lineRule="auto"/>
              <w:jc w:val="both"/>
              <w:rPr>
                <w:rFonts w:ascii="Arial" w:eastAsia="Arial" w:hAnsi="Arial" w:cs="Arial"/>
                <w:color w:val="000000"/>
              </w:rPr>
            </w:pPr>
            <w:r>
              <w:rPr>
                <w:rFonts w:ascii="Arial" w:eastAsia="Arial" w:hAnsi="Arial" w:cs="Arial"/>
                <w:b/>
                <w:color w:val="000000"/>
                <w:sz w:val="22"/>
                <w:szCs w:val="22"/>
              </w:rPr>
              <w:lastRenderedPageBreak/>
              <w:t>Radicación:</w:t>
            </w:r>
            <w:r>
              <w:rPr>
                <w:rFonts w:ascii="Arial" w:eastAsia="Arial" w:hAnsi="Arial" w:cs="Arial"/>
                <w:color w:val="000000"/>
                <w:sz w:val="22"/>
                <w:szCs w:val="22"/>
              </w:rPr>
              <w:t xml:space="preserve">               </w:t>
            </w:r>
          </w:p>
        </w:tc>
        <w:tc>
          <w:tcPr>
            <w:tcW w:w="4419" w:type="dxa"/>
          </w:tcPr>
          <w:p w14:paraId="6125991D" w14:textId="77777777" w:rsidR="009B3A66" w:rsidRDefault="00C01898">
            <w:pPr>
              <w:spacing w:line="276" w:lineRule="auto"/>
              <w:jc w:val="both"/>
              <w:rPr>
                <w:rFonts w:ascii="Arial" w:eastAsia="Arial" w:hAnsi="Arial" w:cs="Arial"/>
                <w:color w:val="000000"/>
              </w:rPr>
            </w:pPr>
            <w:r>
              <w:rPr>
                <w:rFonts w:ascii="Arial" w:eastAsia="Arial" w:hAnsi="Arial" w:cs="Arial"/>
                <w:color w:val="000000"/>
                <w:sz w:val="22"/>
                <w:szCs w:val="22"/>
              </w:rPr>
              <w:t>Respuesta a consulta P20211214011470</w:t>
            </w:r>
          </w:p>
        </w:tc>
      </w:tr>
    </w:tbl>
    <w:p w14:paraId="3298C1FD" w14:textId="77777777" w:rsidR="009B3A66" w:rsidRDefault="009B3A66">
      <w:pPr>
        <w:spacing w:line="276" w:lineRule="auto"/>
        <w:jc w:val="both"/>
        <w:rPr>
          <w:rFonts w:ascii="Arial" w:eastAsia="Arial" w:hAnsi="Arial" w:cs="Arial"/>
          <w:color w:val="000000"/>
          <w:sz w:val="22"/>
          <w:szCs w:val="22"/>
        </w:rPr>
      </w:pPr>
    </w:p>
    <w:p w14:paraId="2956DB5B" w14:textId="77777777" w:rsidR="009B3A66" w:rsidRDefault="009B3A66">
      <w:pPr>
        <w:spacing w:line="276" w:lineRule="auto"/>
        <w:jc w:val="both"/>
        <w:rPr>
          <w:rFonts w:ascii="Arial" w:eastAsia="Arial" w:hAnsi="Arial" w:cs="Arial"/>
          <w:color w:val="000000"/>
          <w:sz w:val="22"/>
          <w:szCs w:val="22"/>
        </w:rPr>
      </w:pPr>
    </w:p>
    <w:p w14:paraId="042A00BD" w14:textId="08D88901" w:rsidR="009B3A66" w:rsidRDefault="00C01898">
      <w:pPr>
        <w:spacing w:line="276" w:lineRule="auto"/>
        <w:jc w:val="both"/>
        <w:rPr>
          <w:color w:val="000000"/>
          <w:sz w:val="22"/>
          <w:szCs w:val="22"/>
        </w:rPr>
      </w:pPr>
      <w:r>
        <w:rPr>
          <w:rFonts w:ascii="Arial" w:eastAsia="Arial" w:hAnsi="Arial" w:cs="Arial"/>
          <w:color w:val="000000"/>
          <w:sz w:val="22"/>
          <w:szCs w:val="22"/>
        </w:rPr>
        <w:t xml:space="preserve">Estimada señora Munevar: </w:t>
      </w:r>
    </w:p>
    <w:p w14:paraId="5A6AFB7F" w14:textId="77777777" w:rsidR="009B3A66" w:rsidRDefault="009B3A66">
      <w:pPr>
        <w:spacing w:line="276" w:lineRule="auto"/>
        <w:jc w:val="both"/>
        <w:rPr>
          <w:rFonts w:ascii="Arial" w:eastAsia="Arial" w:hAnsi="Arial" w:cs="Arial"/>
          <w:color w:val="000000"/>
          <w:sz w:val="22"/>
          <w:szCs w:val="22"/>
        </w:rPr>
      </w:pPr>
    </w:p>
    <w:p w14:paraId="553F10C0" w14:textId="77777777" w:rsidR="009B3A66" w:rsidRDefault="009B3A66">
      <w:pPr>
        <w:spacing w:line="276" w:lineRule="auto"/>
        <w:jc w:val="both"/>
        <w:rPr>
          <w:rFonts w:ascii="Arial" w:eastAsia="Arial" w:hAnsi="Arial" w:cs="Arial"/>
          <w:color w:val="000000"/>
          <w:sz w:val="22"/>
          <w:szCs w:val="22"/>
        </w:rPr>
      </w:pPr>
    </w:p>
    <w:p w14:paraId="6F7278E1" w14:textId="77777777" w:rsidR="009B3A66" w:rsidRDefault="00C01898">
      <w:pPr>
        <w:spacing w:line="276" w:lineRule="auto"/>
        <w:ind w:right="51"/>
        <w:jc w:val="both"/>
        <w:rPr>
          <w:rFonts w:ascii="Arial" w:eastAsia="Arial" w:hAnsi="Arial" w:cs="Arial"/>
          <w:color w:val="000000"/>
          <w:sz w:val="22"/>
          <w:szCs w:val="22"/>
        </w:rPr>
      </w:pPr>
      <w:r>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la consulta radicada el 13 de diciembre de 2021. </w:t>
      </w:r>
    </w:p>
    <w:p w14:paraId="1594357E" w14:textId="77777777" w:rsidR="009B3A66" w:rsidRDefault="009B3A66">
      <w:pPr>
        <w:spacing w:line="276" w:lineRule="auto"/>
        <w:jc w:val="both"/>
        <w:rPr>
          <w:rFonts w:ascii="Arial" w:eastAsia="Arial" w:hAnsi="Arial" w:cs="Arial"/>
          <w:color w:val="000000"/>
          <w:sz w:val="22"/>
          <w:szCs w:val="22"/>
        </w:rPr>
      </w:pPr>
    </w:p>
    <w:p w14:paraId="71D4F006" w14:textId="77777777" w:rsidR="009B3A66" w:rsidRDefault="00C01898">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1. Problemas planteados</w:t>
      </w:r>
    </w:p>
    <w:p w14:paraId="1108FA70" w14:textId="77777777" w:rsidR="009B3A66" w:rsidRDefault="009B3A66">
      <w:pPr>
        <w:spacing w:line="276" w:lineRule="auto"/>
        <w:jc w:val="both"/>
        <w:rPr>
          <w:rFonts w:ascii="Arial" w:eastAsia="Arial" w:hAnsi="Arial" w:cs="Arial"/>
          <w:color w:val="000000"/>
          <w:sz w:val="22"/>
          <w:szCs w:val="22"/>
        </w:rPr>
      </w:pPr>
    </w:p>
    <w:p w14:paraId="207C4FAA" w14:textId="77777777" w:rsidR="009B3A66" w:rsidRDefault="00C01898">
      <w:pPr>
        <w:spacing w:before="120" w:after="120" w:line="276" w:lineRule="auto"/>
        <w:jc w:val="both"/>
        <w:rPr>
          <w:rFonts w:ascii="Arial" w:eastAsia="Arial" w:hAnsi="Arial" w:cs="Arial"/>
          <w:color w:val="000000"/>
          <w:sz w:val="22"/>
          <w:szCs w:val="22"/>
        </w:rPr>
      </w:pPr>
      <w:r>
        <w:rPr>
          <w:rFonts w:ascii="Arial" w:eastAsia="Arial" w:hAnsi="Arial" w:cs="Arial"/>
          <w:color w:val="000000"/>
          <w:sz w:val="22"/>
          <w:szCs w:val="22"/>
        </w:rPr>
        <w:t>En su consulta, usted plantea el siguiente interrogante:</w:t>
      </w:r>
    </w:p>
    <w:p w14:paraId="5C08F057" w14:textId="7826311C" w:rsidR="009B3A66" w:rsidRDefault="00C01898" w:rsidP="00A96608">
      <w:pPr>
        <w:pBdr>
          <w:top w:val="nil"/>
          <w:left w:val="nil"/>
          <w:bottom w:val="nil"/>
          <w:right w:val="nil"/>
          <w:between w:val="nil"/>
        </w:pBdr>
        <w:ind w:left="709" w:right="709"/>
        <w:jc w:val="both"/>
        <w:rPr>
          <w:rFonts w:ascii="ArialMT" w:eastAsia="ArialMT" w:hAnsi="ArialMT" w:cs="ArialMT"/>
          <w:color w:val="000000"/>
          <w:sz w:val="22"/>
          <w:szCs w:val="22"/>
        </w:rPr>
      </w:pPr>
      <w:r>
        <w:rPr>
          <w:rFonts w:ascii="ArialMT" w:eastAsia="ArialMT" w:hAnsi="ArialMT" w:cs="ArialMT"/>
          <w:color w:val="000000"/>
          <w:sz w:val="22"/>
          <w:szCs w:val="22"/>
        </w:rPr>
        <w:t xml:space="preserve">«Puede [sic] celebrase contratos interadministrativos para el desarrollo de las actividades obligatorias de vigilancia en salud publica [sic] entre los departamentos y las empresas sociales del estado [sic] estando vigente la emergencia sanitaria en salud, como excepción a lo previsto en el inciso primero del parágrafo del articulo 38 de la ley [sic] 996 de 2005». </w:t>
      </w:r>
    </w:p>
    <w:p w14:paraId="6C36E931" w14:textId="77777777" w:rsidR="00A96608" w:rsidRPr="00A96608" w:rsidRDefault="00A96608" w:rsidP="00A96608">
      <w:pPr>
        <w:pBdr>
          <w:top w:val="nil"/>
          <w:left w:val="nil"/>
          <w:bottom w:val="nil"/>
          <w:right w:val="nil"/>
          <w:between w:val="nil"/>
        </w:pBdr>
        <w:ind w:left="709" w:right="709"/>
        <w:jc w:val="both"/>
      </w:pPr>
    </w:p>
    <w:p w14:paraId="5DF933AA" w14:textId="77777777" w:rsidR="009B3A66" w:rsidRDefault="00C01898">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lastRenderedPageBreak/>
        <w:t>2. Consideraciones</w:t>
      </w:r>
    </w:p>
    <w:p w14:paraId="3C3FD67A" w14:textId="77777777" w:rsidR="009B3A66" w:rsidRDefault="009B3A66">
      <w:pPr>
        <w:spacing w:line="276" w:lineRule="auto"/>
        <w:jc w:val="both"/>
        <w:rPr>
          <w:rFonts w:ascii="Arial" w:eastAsia="Arial" w:hAnsi="Arial" w:cs="Arial"/>
          <w:b/>
          <w:color w:val="000000"/>
          <w:sz w:val="22"/>
          <w:szCs w:val="22"/>
        </w:rPr>
      </w:pPr>
    </w:p>
    <w:p w14:paraId="7813D85D" w14:textId="5D244CCE" w:rsidR="009B3A66" w:rsidRDefault="00C01898">
      <w:pPr>
        <w:spacing w:after="120" w:line="276" w:lineRule="auto"/>
        <w:jc w:val="both"/>
        <w:rPr>
          <w:rFonts w:ascii="Arial" w:eastAsia="Arial" w:hAnsi="Arial" w:cs="Arial"/>
          <w:sz w:val="22"/>
          <w:szCs w:val="22"/>
        </w:rPr>
      </w:pPr>
      <w:r>
        <w:rPr>
          <w:rFonts w:ascii="Arial" w:eastAsia="Arial" w:hAnsi="Arial" w:cs="Arial"/>
          <w:color w:val="000000"/>
          <w:sz w:val="22"/>
          <w:szCs w:val="22"/>
        </w:rPr>
        <w:t xml:space="preserve">Para desarrollar los problemas planteados, a continuación, se analizarán los siguientes temas: </w:t>
      </w:r>
      <w:r>
        <w:rPr>
          <w:rFonts w:ascii="Arial" w:eastAsia="Arial" w:hAnsi="Arial" w:cs="Arial"/>
          <w:sz w:val="22"/>
          <w:szCs w:val="22"/>
        </w:rPr>
        <w:t>i) definición y finalidad de la Ley de Garantías Electorales, donde se expondrán las restricciones en materia contractual establecidas en dicha Ley; ii) las restricciones en las elecciones presidenciales; iii) los destinatarios de la restricción del artículo 33 de la Ley 996 de 2005; iv) restricciones para la celebración de contratos y convenios interadministrativos en los comicios para cargos de elección popular; v) las modificaciones realizadas por la Ley 2159 de 2021; vi) la declaratoria de la emergencia sanitaria para atender los efectos de la pandemia generada por el COVID-19, vii) la vigencia y alcance del Decreto Legislativo 537 de 2020, viii) la contratación en el contexto de la emergencia sanitaria ocasionada por el COVID -19, y ix) las conclusiones respecto a la aplicación de la Ley de Garantías Electorales.</w:t>
      </w:r>
    </w:p>
    <w:p w14:paraId="2C606405" w14:textId="0A953EAB" w:rsidR="009B3A66" w:rsidRDefault="00C01898">
      <w:pPr>
        <w:spacing w:after="120" w:line="276" w:lineRule="auto"/>
        <w:ind w:firstLine="720"/>
        <w:jc w:val="both"/>
        <w:rPr>
          <w:rFonts w:ascii="Arial" w:eastAsia="Arial" w:hAnsi="Arial" w:cs="Arial"/>
          <w:sz w:val="22"/>
          <w:szCs w:val="22"/>
        </w:rPr>
      </w:pPr>
      <w:r>
        <w:rPr>
          <w:rFonts w:ascii="Arial" w:eastAsia="Arial" w:hAnsi="Arial" w:cs="Arial"/>
          <w:sz w:val="22"/>
          <w:szCs w:val="22"/>
        </w:rPr>
        <w:t>En desarrollo de dichos contenidos se abordarán las problemáticas expuestas por la peticionaria, aclarando que de conformidad con la competencia consultiva otorgada por el numeral 5 del artículo 3 y el numeral 8 del artículo 11 del Decreto 4170 de 2011, la Agencia Nacional de Contratación Pública – Colombia Compra Eficiente está facultada para atender solicitudes relacionadas con temas contractuales, pero solo para «absolver consultas sobre la aplicación de normas de carácter general»</w:t>
      </w:r>
      <w:r>
        <w:rPr>
          <w:rFonts w:ascii="Arial" w:eastAsia="Arial" w:hAnsi="Arial" w:cs="Arial"/>
          <w:sz w:val="22"/>
          <w:szCs w:val="22"/>
          <w:vertAlign w:val="superscript"/>
        </w:rPr>
        <w:footnoteReference w:id="1"/>
      </w:r>
      <w:r>
        <w:rPr>
          <w:rFonts w:ascii="Arial" w:eastAsia="Arial" w:hAnsi="Arial" w:cs="Arial"/>
          <w:sz w:val="22"/>
          <w:szCs w:val="22"/>
        </w:rPr>
        <w:t xml:space="preserve">. Por ello, la Agencia no tiene atribuciones para resolver casos particulares y concretos, ni para validar las actuaciones de las entidades estatales. </w:t>
      </w:r>
    </w:p>
    <w:p w14:paraId="08E9CD97" w14:textId="1A91CB37" w:rsidR="009B3A66" w:rsidRDefault="00C01898">
      <w:pPr>
        <w:tabs>
          <w:tab w:val="left" w:pos="426"/>
        </w:tabs>
        <w:spacing w:after="120" w:line="276" w:lineRule="auto"/>
        <w:jc w:val="both"/>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 xml:space="preserve">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consultiva a </w:t>
      </w:r>
      <w:r>
        <w:rPr>
          <w:rFonts w:ascii="Arial" w:eastAsia="Arial" w:hAnsi="Arial" w:cs="Arial"/>
          <w:sz w:val="22"/>
          <w:szCs w:val="22"/>
        </w:rPr>
        <w:lastRenderedPageBreak/>
        <w:t>esta Subdirección. Además, no son vinculantes o de obligatorio cumplimiento para el destinatario, sino que expresan la posición interpretativa del ente que elabora el concepto.</w:t>
      </w:r>
    </w:p>
    <w:p w14:paraId="0C80CF0F" w14:textId="58E4DCA8" w:rsidR="009B3A66" w:rsidRPr="00A96608" w:rsidRDefault="00C01898" w:rsidP="00A96608">
      <w:pPr>
        <w:tabs>
          <w:tab w:val="left" w:pos="426"/>
        </w:tabs>
        <w:spacing w:after="120" w:line="276" w:lineRule="auto"/>
        <w:jc w:val="both"/>
      </w:pPr>
      <w:r>
        <w:rPr>
          <w:rFonts w:ascii="Arial" w:eastAsia="Arial" w:hAnsi="Arial" w:cs="Arial"/>
          <w:sz w:val="22"/>
          <w:szCs w:val="22"/>
        </w:rPr>
        <w:tab/>
      </w:r>
      <w:r>
        <w:rPr>
          <w:rFonts w:ascii="Arial" w:eastAsia="Arial" w:hAnsi="Arial" w:cs="Arial"/>
          <w:sz w:val="22"/>
          <w:szCs w:val="22"/>
        </w:rPr>
        <w:tab/>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y C-636 del 16 de noviembre de 2021. En el mismo sentido, </w:t>
      </w:r>
      <w:r>
        <w:rPr>
          <w:rFonts w:ascii="Arial" w:eastAsia="Arial" w:hAnsi="Arial" w:cs="Arial"/>
          <w:color w:val="000000"/>
          <w:sz w:val="22"/>
          <w:szCs w:val="22"/>
        </w:rPr>
        <w:t xml:space="preserve">en el concepto con C-677 de 2021 se refirió a los alcances de la modificación realizada por la Ley 2159 de 2021 sobre la Ley de Garantías Electorales </w:t>
      </w:r>
    </w:p>
    <w:p w14:paraId="024C091A" w14:textId="047AA115" w:rsidR="009B3A66" w:rsidRDefault="00C01898">
      <w:pPr>
        <w:tabs>
          <w:tab w:val="left" w:pos="426"/>
        </w:tabs>
        <w:spacing w:line="276" w:lineRule="auto"/>
        <w:jc w:val="both"/>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t xml:space="preserve">Por su parte, en los </w:t>
      </w:r>
      <w:r>
        <w:rPr>
          <w:rFonts w:ascii="Arial" w:eastAsia="Arial" w:hAnsi="Arial" w:cs="Arial"/>
          <w:sz w:val="22"/>
          <w:szCs w:val="22"/>
        </w:rPr>
        <w:t>conceptos C-305, C-308 y C-318, del 28 de mayo de 2020, C-452 del 28 de julio de 2020, C–063 del 10 de marzo de 2021 y C-281 de 2021 se pronunció sobre las medidas relacionadas con la contratación estatal tomadas por la pandemia por Covid-19 y el alcance y vigencia del Decreto legislativo 537 de 2020.</w:t>
      </w:r>
      <w:r>
        <w:rPr>
          <w:rFonts w:ascii="Arial" w:eastAsia="Arial" w:hAnsi="Arial" w:cs="Arial"/>
          <w:color w:val="000000"/>
          <w:sz w:val="22"/>
          <w:szCs w:val="22"/>
        </w:rPr>
        <w:t xml:space="preserve"> </w:t>
      </w:r>
      <w:r>
        <w:rPr>
          <w:rFonts w:ascii="Arial" w:eastAsia="Arial" w:hAnsi="Arial" w:cs="Arial"/>
          <w:sz w:val="22"/>
          <w:szCs w:val="22"/>
        </w:rPr>
        <w:t>Las tesis desarrolladas en estos conceptos se reiteran y complementan a continuación.</w:t>
      </w:r>
    </w:p>
    <w:p w14:paraId="3A05DAED" w14:textId="77777777" w:rsidR="009B3A66" w:rsidRDefault="009B3A66">
      <w:pPr>
        <w:spacing w:line="276" w:lineRule="auto"/>
        <w:jc w:val="both"/>
        <w:rPr>
          <w:rFonts w:ascii="Arial" w:eastAsia="Arial" w:hAnsi="Arial" w:cs="Arial"/>
          <w:color w:val="000000"/>
          <w:sz w:val="22"/>
          <w:szCs w:val="22"/>
        </w:rPr>
      </w:pPr>
    </w:p>
    <w:p w14:paraId="0DAC7D96" w14:textId="77777777" w:rsidR="009B3A66" w:rsidRDefault="00C01898">
      <w:pPr>
        <w:tabs>
          <w:tab w:val="left" w:pos="426"/>
        </w:tabs>
        <w:spacing w:line="276" w:lineRule="auto"/>
        <w:jc w:val="both"/>
        <w:rPr>
          <w:rFonts w:ascii="Arial" w:eastAsia="Arial" w:hAnsi="Arial" w:cs="Arial"/>
          <w:b/>
          <w:sz w:val="22"/>
          <w:szCs w:val="22"/>
        </w:rPr>
      </w:pPr>
      <w:r>
        <w:rPr>
          <w:rFonts w:ascii="Arial" w:eastAsia="Arial" w:hAnsi="Arial" w:cs="Arial"/>
          <w:b/>
          <w:sz w:val="22"/>
          <w:szCs w:val="22"/>
        </w:rPr>
        <w:t>2.1. Definición y finalidad de la Ley de Garantías Electorales: alcance de las restricciones</w:t>
      </w:r>
    </w:p>
    <w:p w14:paraId="2D5A928C" w14:textId="77777777" w:rsidR="009B3A66" w:rsidRDefault="009B3A66">
      <w:pPr>
        <w:tabs>
          <w:tab w:val="left" w:pos="426"/>
        </w:tabs>
        <w:spacing w:line="276" w:lineRule="auto"/>
        <w:ind w:firstLine="709"/>
        <w:jc w:val="both"/>
        <w:rPr>
          <w:rFonts w:ascii="Arial" w:eastAsia="Arial" w:hAnsi="Arial" w:cs="Arial"/>
          <w:sz w:val="22"/>
          <w:szCs w:val="22"/>
        </w:rPr>
      </w:pPr>
    </w:p>
    <w:p w14:paraId="06B4E166" w14:textId="77777777" w:rsidR="009B3A66" w:rsidRDefault="00C01898">
      <w:pPr>
        <w:tabs>
          <w:tab w:val="left" w:pos="426"/>
        </w:tabs>
        <w:spacing w:after="120" w:line="276" w:lineRule="auto"/>
        <w:jc w:val="both"/>
        <w:rPr>
          <w:rFonts w:ascii="Arial" w:eastAsia="Arial" w:hAnsi="Arial" w:cs="Arial"/>
          <w:sz w:val="22"/>
          <w:szCs w:val="22"/>
        </w:rPr>
      </w:pPr>
      <w:r>
        <w:rPr>
          <w:rFonts w:ascii="Arial" w:eastAsia="Arial" w:hAnsi="Arial" w:cs="Arial"/>
          <w:sz w:val="22"/>
          <w:szCs w:val="22"/>
        </w:rPr>
        <w:t>El ordenamiento jurídico colombiano contempla previsiones claras para evitar la obtención de beneficios personales en asuntos propios de la administración pública</w:t>
      </w:r>
      <w:r>
        <w:rPr>
          <w:rFonts w:ascii="Arial" w:eastAsia="Arial" w:hAnsi="Arial" w:cs="Arial"/>
          <w:i/>
          <w:sz w:val="22"/>
          <w:szCs w:val="22"/>
        </w:rPr>
        <w:t xml:space="preserve">. </w:t>
      </w:r>
      <w:r>
        <w:rPr>
          <w:rFonts w:ascii="Arial" w:eastAsia="Arial" w:hAnsi="Arial" w:cs="Arial"/>
          <w:sz w:val="22"/>
          <w:szCs w:val="22"/>
        </w:rPr>
        <w:t xml:space="preserve">Por ejemplo, el artículo 127 de la Constitución Política establece una prohibición contractual a los </w:t>
      </w:r>
      <w:r>
        <w:rPr>
          <w:rFonts w:ascii="Arial" w:eastAsia="Arial" w:hAnsi="Arial" w:cs="Arial"/>
          <w:sz w:val="22"/>
          <w:szCs w:val="22"/>
        </w:rPr>
        <w:lastRenderedPageBreak/>
        <w:t>servidores públicos y en cuanto a aspectos políticos establece restricciones a ciertos empleados del Estado, incluso en época no electoral</w:t>
      </w:r>
      <w:r>
        <w:rPr>
          <w:rFonts w:ascii="Arial" w:eastAsia="Arial" w:hAnsi="Arial" w:cs="Arial"/>
          <w:sz w:val="22"/>
          <w:szCs w:val="22"/>
          <w:vertAlign w:val="superscript"/>
        </w:rPr>
        <w:footnoteReference w:id="2"/>
      </w:r>
      <w:r>
        <w:rPr>
          <w:rFonts w:ascii="Arial" w:eastAsia="Arial" w:hAnsi="Arial" w:cs="Arial"/>
          <w:sz w:val="22"/>
          <w:szCs w:val="22"/>
        </w:rPr>
        <w:t xml:space="preserve">. </w:t>
      </w:r>
    </w:p>
    <w:p w14:paraId="6437C60B" w14:textId="77777777" w:rsidR="009B3A66" w:rsidRDefault="00C01898">
      <w:pPr>
        <w:tabs>
          <w:tab w:val="left" w:pos="426"/>
        </w:tabs>
        <w:spacing w:line="276" w:lineRule="auto"/>
        <w:ind w:firstLine="709"/>
        <w:jc w:val="both"/>
        <w:rPr>
          <w:rFonts w:ascii="Arial" w:eastAsia="Arial" w:hAnsi="Arial" w:cs="Arial"/>
          <w:sz w:val="22"/>
          <w:szCs w:val="22"/>
        </w:rPr>
      </w:pPr>
      <w:r>
        <w:rPr>
          <w:rFonts w:ascii="Arial" w:eastAsia="Arial" w:hAnsi="Arial" w:cs="Arial"/>
          <w:sz w:val="22"/>
          <w:szCs w:val="22"/>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Pr>
          <w:rFonts w:ascii="Arial" w:eastAsia="Arial" w:hAnsi="Arial" w:cs="Arial"/>
          <w:sz w:val="22"/>
          <w:szCs w:val="22"/>
          <w:vertAlign w:val="superscript"/>
        </w:rPr>
        <w:footnoteReference w:id="3"/>
      </w:r>
      <w:r>
        <w:rPr>
          <w:rFonts w:ascii="Arial" w:eastAsia="Arial" w:hAnsi="Arial" w:cs="Arial"/>
          <w:sz w:val="22"/>
          <w:szCs w:val="22"/>
        </w:rPr>
        <w:t>.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 De esta manera, explica que tiene como propósito:</w:t>
      </w:r>
    </w:p>
    <w:p w14:paraId="4AB5727B" w14:textId="77777777" w:rsidR="009B3A66" w:rsidRDefault="009B3A66">
      <w:pPr>
        <w:spacing w:line="276" w:lineRule="auto"/>
        <w:ind w:right="709"/>
        <w:jc w:val="both"/>
        <w:rPr>
          <w:rFonts w:ascii="Arial" w:eastAsia="Arial" w:hAnsi="Arial" w:cs="Arial"/>
          <w:sz w:val="21"/>
          <w:szCs w:val="21"/>
        </w:rPr>
      </w:pPr>
    </w:p>
    <w:p w14:paraId="2DF5B466" w14:textId="77777777" w:rsidR="009B3A66" w:rsidRPr="00A96608" w:rsidRDefault="00C01898" w:rsidP="00A96608">
      <w:pPr>
        <w:ind w:left="709" w:right="709"/>
        <w:jc w:val="both"/>
      </w:pPr>
      <w:r>
        <w:rPr>
          <w:rFonts w:ascii="Arial" w:eastAsia="Arial" w:hAnsi="Arial" w:cs="Arial"/>
          <w:sz w:val="21"/>
          <w:szCs w:val="21"/>
        </w:rPr>
        <w:t>[…] la definición de reglas claras que permitan acceder a los canales de expresión democrática de manera efectiva e igualitaria. El objetivo de una ley de garantías es definir esas reglas.</w:t>
      </w:r>
    </w:p>
    <w:p w14:paraId="46166D1E" w14:textId="77777777" w:rsidR="009B3A66" w:rsidRPr="00A96608" w:rsidRDefault="00C01898" w:rsidP="00A96608">
      <w:pPr>
        <w:spacing w:after="120"/>
        <w:ind w:left="709" w:right="709"/>
        <w:jc w:val="both"/>
      </w:pPr>
      <w:r>
        <w:rPr>
          <w:rFonts w:ascii="Arial" w:eastAsia="Arial" w:hAnsi="Arial" w:cs="Arial"/>
          <w:sz w:val="21"/>
          <w:szCs w:val="21"/>
        </w:rPr>
        <w:t xml:space="preserve">[…] </w:t>
      </w:r>
    </w:p>
    <w:p w14:paraId="6564FD59" w14:textId="6F8246BE" w:rsidR="009B3A66" w:rsidRPr="00A96608" w:rsidRDefault="00C01898" w:rsidP="00A96608">
      <w:pPr>
        <w:ind w:left="709" w:right="709"/>
        <w:jc w:val="both"/>
      </w:pPr>
      <w:r>
        <w:rPr>
          <w:rFonts w:ascii="Arial" w:eastAsia="Arial" w:hAnsi="Arial" w:cs="Arial"/>
          <w:sz w:val="21"/>
          <w:szCs w:val="21"/>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Arial" w:eastAsia="Arial" w:hAnsi="Arial" w:cs="Arial"/>
          <w:sz w:val="20"/>
          <w:szCs w:val="20"/>
          <w:vertAlign w:val="superscript"/>
        </w:rPr>
        <w:footnoteReference w:id="4"/>
      </w:r>
      <w:r>
        <w:rPr>
          <w:rFonts w:ascii="Arial" w:eastAsia="Arial" w:hAnsi="Arial" w:cs="Arial"/>
          <w:sz w:val="21"/>
          <w:szCs w:val="21"/>
        </w:rPr>
        <w:t>.</w:t>
      </w:r>
    </w:p>
    <w:p w14:paraId="6E583D49" w14:textId="77777777" w:rsidR="009B3A66" w:rsidRDefault="009B3A66">
      <w:pPr>
        <w:spacing w:line="276" w:lineRule="auto"/>
        <w:ind w:left="709" w:right="709"/>
        <w:jc w:val="both"/>
        <w:rPr>
          <w:rFonts w:ascii="Arial" w:eastAsia="Arial" w:hAnsi="Arial" w:cs="Arial"/>
          <w:sz w:val="21"/>
          <w:szCs w:val="21"/>
        </w:rPr>
      </w:pPr>
    </w:p>
    <w:p w14:paraId="4A340052" w14:textId="77777777" w:rsidR="009B3A66" w:rsidRDefault="00C01898">
      <w:pPr>
        <w:spacing w:line="276" w:lineRule="auto"/>
        <w:ind w:firstLine="709"/>
        <w:jc w:val="both"/>
        <w:rPr>
          <w:rFonts w:ascii="Arial" w:eastAsia="Arial" w:hAnsi="Arial" w:cs="Arial"/>
          <w:sz w:val="22"/>
          <w:szCs w:val="22"/>
        </w:rPr>
      </w:pPr>
      <w:r>
        <w:rPr>
          <w:rFonts w:ascii="Arial" w:eastAsia="Arial" w:hAnsi="Arial" w:cs="Arial"/>
          <w:sz w:val="22"/>
          <w:szCs w:val="22"/>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w:t>
      </w:r>
      <w:r>
        <w:rPr>
          <w:rFonts w:ascii="Arial" w:eastAsia="Arial" w:hAnsi="Arial" w:cs="Arial"/>
          <w:sz w:val="22"/>
          <w:szCs w:val="22"/>
        </w:rPr>
        <w:lastRenderedPageBreak/>
        <w:t>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47FD2BB8" w14:textId="77777777" w:rsidR="009B3A66" w:rsidRDefault="009B3A66">
      <w:pPr>
        <w:spacing w:line="276" w:lineRule="auto"/>
        <w:ind w:firstLine="709"/>
        <w:jc w:val="both"/>
        <w:rPr>
          <w:rFonts w:ascii="Arial" w:eastAsia="Arial" w:hAnsi="Arial" w:cs="Arial"/>
          <w:sz w:val="22"/>
          <w:szCs w:val="22"/>
        </w:rPr>
      </w:pPr>
    </w:p>
    <w:p w14:paraId="56831B31" w14:textId="77777777" w:rsidR="009B3A66" w:rsidRPr="00A96608" w:rsidRDefault="00C01898" w:rsidP="00A96608">
      <w:pPr>
        <w:spacing w:after="120"/>
        <w:ind w:left="709" w:right="709"/>
        <w:jc w:val="both"/>
      </w:pPr>
      <w:r>
        <w:rPr>
          <w:rFonts w:ascii="Arial" w:eastAsia="Arial" w:hAnsi="Arial" w:cs="Arial"/>
          <w:sz w:val="21"/>
          <w:szCs w:val="21"/>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EB70F79" w14:textId="77777777" w:rsidR="009B3A66" w:rsidRPr="00A96608" w:rsidRDefault="00C01898" w:rsidP="00A96608">
      <w:pPr>
        <w:ind w:left="709" w:right="709"/>
        <w:jc w:val="both"/>
      </w:pPr>
      <w:r>
        <w:rPr>
          <w:rFonts w:ascii="Arial" w:eastAsia="Arial" w:hAnsi="Arial" w:cs="Arial"/>
          <w:sz w:val="21"/>
          <w:szCs w:val="21"/>
        </w:rPr>
        <w:t>La jurisprudencia de la Corte Constitucional</w:t>
      </w:r>
      <w:r>
        <w:rPr>
          <w:rFonts w:ascii="Arial" w:eastAsia="Arial" w:hAnsi="Arial" w:cs="Arial"/>
          <w:sz w:val="21"/>
          <w:szCs w:val="21"/>
          <w:vertAlign w:val="superscript"/>
        </w:rPr>
        <w:footnoteReference w:id="5"/>
      </w:r>
      <w:r>
        <w:rPr>
          <w:rFonts w:ascii="Arial" w:eastAsia="Arial" w:hAnsi="Arial" w:cs="Arial"/>
          <w:sz w:val="21"/>
          <w:szCs w:val="21"/>
        </w:rPr>
        <w:t> y del Consejo de Estado</w:t>
      </w:r>
      <w:r>
        <w:rPr>
          <w:rFonts w:ascii="Arial" w:eastAsia="Arial" w:hAnsi="Arial" w:cs="Arial"/>
          <w:sz w:val="21"/>
          <w:szCs w:val="21"/>
          <w:vertAlign w:val="superscript"/>
        </w:rPr>
        <w:footnoteReference w:id="6"/>
      </w:r>
      <w:r>
        <w:rPr>
          <w:rFonts w:ascii="Arial" w:eastAsia="Arial" w:hAnsi="Arial" w:cs="Arial"/>
          <w:sz w:val="21"/>
          <w:szCs w:val="21"/>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Arial" w:eastAsia="Arial" w:hAnsi="Arial" w:cs="Arial"/>
          <w:sz w:val="22"/>
          <w:szCs w:val="22"/>
          <w:vertAlign w:val="superscript"/>
        </w:rPr>
        <w:footnoteReference w:id="7"/>
      </w:r>
      <w:r>
        <w:rPr>
          <w:rFonts w:ascii="Arial" w:eastAsia="Arial" w:hAnsi="Arial" w:cs="Arial"/>
          <w:sz w:val="21"/>
          <w:szCs w:val="21"/>
        </w:rPr>
        <w:t>.</w:t>
      </w:r>
    </w:p>
    <w:p w14:paraId="4FD98BA5" w14:textId="77777777" w:rsidR="009B3A66" w:rsidRDefault="009B3A66">
      <w:pPr>
        <w:spacing w:line="276" w:lineRule="auto"/>
        <w:ind w:right="709"/>
        <w:jc w:val="both"/>
        <w:rPr>
          <w:rFonts w:ascii="Arial" w:eastAsia="Arial" w:hAnsi="Arial" w:cs="Arial"/>
          <w:sz w:val="22"/>
          <w:szCs w:val="22"/>
        </w:rPr>
      </w:pPr>
    </w:p>
    <w:p w14:paraId="67CF07FD" w14:textId="77777777" w:rsidR="009B3A66" w:rsidRDefault="00C01898">
      <w:pPr>
        <w:spacing w:after="120" w:line="276" w:lineRule="auto"/>
        <w:jc w:val="both"/>
        <w:rPr>
          <w:rFonts w:ascii="Arial" w:eastAsia="Arial" w:hAnsi="Arial" w:cs="Arial"/>
          <w:sz w:val="22"/>
          <w:szCs w:val="22"/>
        </w:rPr>
      </w:pPr>
      <w:r>
        <w:rPr>
          <w:rFonts w:ascii="Arial" w:eastAsia="Arial" w:hAnsi="Arial" w:cs="Arial"/>
          <w:sz w:val="22"/>
          <w:szCs w:val="22"/>
        </w:rPr>
        <w:tab/>
        <w:t xml:space="preserve">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w:t>
      </w:r>
      <w:r>
        <w:rPr>
          <w:rFonts w:ascii="Arial" w:eastAsia="Arial" w:hAnsi="Arial" w:cs="Arial"/>
          <w:sz w:val="22"/>
          <w:szCs w:val="22"/>
        </w:rPr>
        <w:lastRenderedPageBreak/>
        <w:t>demás que se adelanten para la elección de los demás cargos de elección popular, tanto a nivel nacional como a nivel territorial.</w:t>
      </w:r>
    </w:p>
    <w:p w14:paraId="0C7266F4" w14:textId="77777777" w:rsidR="009B3A66" w:rsidRDefault="00C01898">
      <w:pPr>
        <w:spacing w:after="120" w:line="276" w:lineRule="auto"/>
        <w:ind w:firstLine="708"/>
        <w:jc w:val="both"/>
        <w:rPr>
          <w:rFonts w:ascii="Arial" w:eastAsia="Arial" w:hAnsi="Arial" w:cs="Arial"/>
          <w:sz w:val="22"/>
          <w:szCs w:val="22"/>
        </w:rPr>
      </w:pPr>
      <w:r>
        <w:rPr>
          <w:rFonts w:ascii="Arial" w:eastAsia="Arial" w:hAnsi="Arial" w:cs="Arial"/>
          <w:sz w:val="22"/>
          <w:szCs w:val="22"/>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Arial" w:hAnsi="Arial" w:cs="Arial"/>
          <w:sz w:val="22"/>
          <w:szCs w:val="22"/>
          <w:vertAlign w:val="superscript"/>
        </w:rPr>
        <w:footnoteReference w:id="8"/>
      </w:r>
      <w:r>
        <w:rPr>
          <w:rFonts w:ascii="Arial" w:eastAsia="Arial" w:hAnsi="Arial" w:cs="Arial"/>
          <w:sz w:val="22"/>
          <w:szCs w:val="22"/>
        </w:rPr>
        <w:t>.</w:t>
      </w:r>
    </w:p>
    <w:p w14:paraId="1BE463A7" w14:textId="77777777" w:rsidR="009B3A66" w:rsidRDefault="00C01898">
      <w:pPr>
        <w:widowControl w:val="0"/>
        <w:spacing w:line="276" w:lineRule="auto"/>
        <w:ind w:right="113" w:firstLine="708"/>
        <w:jc w:val="both"/>
        <w:rPr>
          <w:rFonts w:ascii="Arial" w:eastAsia="Arial" w:hAnsi="Arial" w:cs="Arial"/>
          <w:sz w:val="22"/>
          <w:szCs w:val="22"/>
        </w:rPr>
      </w:pPr>
      <w:r>
        <w:rPr>
          <w:rFonts w:ascii="Arial" w:eastAsia="Arial" w:hAnsi="Arial" w:cs="Arial"/>
          <w:sz w:val="22"/>
          <w:szCs w:val="22"/>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Arial" w:eastAsia="Arial" w:hAnsi="Arial" w:cs="Arial"/>
          <w:sz w:val="19"/>
          <w:szCs w:val="19"/>
        </w:rPr>
        <w:t>»</w:t>
      </w:r>
      <w:r>
        <w:rPr>
          <w:rFonts w:ascii="Arial" w:eastAsia="Arial" w:hAnsi="Arial" w:cs="Arial"/>
          <w:sz w:val="19"/>
          <w:szCs w:val="19"/>
          <w:vertAlign w:val="superscript"/>
        </w:rPr>
        <w:footnoteReference w:id="9"/>
      </w:r>
      <w:r>
        <w:rPr>
          <w:rFonts w:ascii="Arial" w:eastAsia="Arial" w:hAnsi="Arial" w:cs="Arial"/>
          <w:sz w:val="22"/>
          <w:szCs w:val="22"/>
        </w:rPr>
        <w:t>. La Sala de Consulta y Servicio Civil del Consejo de Estado ha aclarado la distinción en la aplicación de las prohibiciones de la Ley 996 de 2005, dependiendo del tipo de elección que se trate. Al respecto, considera que:</w:t>
      </w:r>
    </w:p>
    <w:p w14:paraId="23CFBC4F" w14:textId="77777777" w:rsidR="009B3A66" w:rsidRDefault="009B3A66">
      <w:pPr>
        <w:widowControl w:val="0"/>
        <w:spacing w:line="276" w:lineRule="auto"/>
        <w:ind w:left="805" w:right="812"/>
        <w:jc w:val="both"/>
        <w:rPr>
          <w:rFonts w:ascii="Arial" w:eastAsia="Arial" w:hAnsi="Arial" w:cs="Arial"/>
          <w:sz w:val="22"/>
          <w:szCs w:val="22"/>
        </w:rPr>
      </w:pPr>
    </w:p>
    <w:p w14:paraId="7377F6D7" w14:textId="73E0D5FD" w:rsidR="009B3A66" w:rsidRPr="00A96608" w:rsidRDefault="00C01898" w:rsidP="00A96608">
      <w:pPr>
        <w:widowControl w:val="0"/>
        <w:ind w:left="709" w:right="709"/>
        <w:jc w:val="both"/>
      </w:pPr>
      <w:r>
        <w:rPr>
          <w:rFonts w:ascii="Arial" w:eastAsia="Arial" w:hAnsi="Arial" w:cs="Arial"/>
          <w:sz w:val="21"/>
          <w:szCs w:val="21"/>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w:t>
      </w:r>
      <w:r>
        <w:rPr>
          <w:rFonts w:ascii="Arial" w:eastAsia="Arial" w:hAnsi="Arial" w:cs="Arial"/>
          <w:sz w:val="21"/>
          <w:szCs w:val="21"/>
        </w:rPr>
        <w:lastRenderedPageBreak/>
        <w:t>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Pr>
          <w:rFonts w:ascii="Arial" w:eastAsia="Arial" w:hAnsi="Arial" w:cs="Arial"/>
          <w:sz w:val="21"/>
          <w:szCs w:val="21"/>
          <w:vertAlign w:val="superscript"/>
        </w:rPr>
        <w:footnoteReference w:id="10"/>
      </w:r>
      <w:r>
        <w:rPr>
          <w:rFonts w:ascii="Arial" w:eastAsia="Arial" w:hAnsi="Arial" w:cs="Arial"/>
          <w:sz w:val="21"/>
          <w:szCs w:val="21"/>
        </w:rPr>
        <w:t>.</w:t>
      </w:r>
    </w:p>
    <w:p w14:paraId="5C4595A2" w14:textId="77777777" w:rsidR="009B3A66" w:rsidRDefault="009B3A66">
      <w:pPr>
        <w:widowControl w:val="0"/>
        <w:spacing w:before="8" w:line="276" w:lineRule="auto"/>
        <w:rPr>
          <w:rFonts w:ascii="Arial" w:eastAsia="Arial" w:hAnsi="Arial" w:cs="Arial"/>
          <w:sz w:val="26"/>
          <w:szCs w:val="26"/>
        </w:rPr>
      </w:pPr>
    </w:p>
    <w:p w14:paraId="748A47AF" w14:textId="77777777" w:rsidR="009B3A66" w:rsidRDefault="00C01898">
      <w:pPr>
        <w:spacing w:after="120" w:line="276" w:lineRule="auto"/>
        <w:ind w:firstLine="709"/>
        <w:jc w:val="both"/>
        <w:rPr>
          <w:rFonts w:ascii="Arial" w:eastAsia="Arial" w:hAnsi="Arial" w:cs="Arial"/>
          <w:sz w:val="22"/>
          <w:szCs w:val="22"/>
        </w:rPr>
      </w:pPr>
      <w:r>
        <w:rPr>
          <w:rFonts w:ascii="Arial" w:eastAsia="Arial" w:hAnsi="Arial" w:cs="Arial"/>
          <w:sz w:val="22"/>
          <w:szCs w:val="22"/>
        </w:rPr>
        <w:t xml:space="preserve">De conformidad con lo anterior, la Ley 996 de 2005 establece dos (2) tipos de restricciones en materia de contratación, las cuales coinciden parcialmente. </w:t>
      </w:r>
      <w:r>
        <w:rPr>
          <w:rFonts w:ascii="Arial" w:eastAsia="Arial" w:hAnsi="Arial" w:cs="Arial"/>
          <w:i/>
          <w:sz w:val="22"/>
          <w:szCs w:val="22"/>
        </w:rPr>
        <w:t>En primer lugar</w:t>
      </w:r>
      <w:r>
        <w:rPr>
          <w:rFonts w:ascii="Arial" w:eastAsia="Arial" w:hAnsi="Arial" w:cs="Arial"/>
          <w:sz w:val="22"/>
          <w:szCs w:val="22"/>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Pr>
          <w:rFonts w:ascii="Arial" w:eastAsia="Arial" w:hAnsi="Arial" w:cs="Arial"/>
          <w:i/>
          <w:sz w:val="22"/>
          <w:szCs w:val="22"/>
        </w:rPr>
        <w:t>En segundo lugar</w:t>
      </w:r>
      <w:r>
        <w:rPr>
          <w:rFonts w:ascii="Arial" w:eastAsia="Arial" w:hAnsi="Arial" w:cs="Arial"/>
          <w:sz w:val="22"/>
          <w:szCs w:val="22"/>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7ECEAA0" w14:textId="77777777" w:rsidR="009B3A66" w:rsidRDefault="00C01898">
      <w:pPr>
        <w:spacing w:after="120" w:line="276" w:lineRule="auto"/>
        <w:ind w:firstLine="709"/>
        <w:jc w:val="both"/>
        <w:rPr>
          <w:rFonts w:ascii="Arial" w:eastAsia="Arial" w:hAnsi="Arial" w:cs="Arial"/>
          <w:sz w:val="22"/>
          <w:szCs w:val="22"/>
        </w:rPr>
      </w:pPr>
      <w:r>
        <w:rPr>
          <w:rFonts w:ascii="Arial" w:eastAsia="Arial" w:hAnsi="Arial" w:cs="Arial"/>
          <w:sz w:val="22"/>
          <w:szCs w:val="22"/>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56F1E540" w14:textId="137E4B91" w:rsidR="009B3A66" w:rsidRDefault="00C01898">
      <w:pPr>
        <w:spacing w:line="276" w:lineRule="auto"/>
        <w:ind w:firstLine="708"/>
        <w:jc w:val="both"/>
        <w:rPr>
          <w:rFonts w:ascii="Arial" w:eastAsia="Arial" w:hAnsi="Arial" w:cs="Arial"/>
          <w:sz w:val="22"/>
          <w:szCs w:val="22"/>
        </w:rPr>
      </w:pPr>
      <w:r>
        <w:rPr>
          <w:rFonts w:ascii="Arial" w:eastAsia="Arial" w:hAnsi="Arial" w:cs="Arial"/>
          <w:sz w:val="22"/>
          <w:szCs w:val="22"/>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w:t>
      </w:r>
      <w:r>
        <w:rPr>
          <w:rFonts w:ascii="Arial" w:eastAsia="Arial" w:hAnsi="Arial" w:cs="Arial"/>
          <w:sz w:val="22"/>
          <w:szCs w:val="22"/>
        </w:rPr>
        <w:lastRenderedPageBreak/>
        <w:t xml:space="preserve">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18F49C19" w14:textId="77777777" w:rsidR="009B3A66" w:rsidRDefault="009B3A66">
      <w:pPr>
        <w:spacing w:line="276" w:lineRule="auto"/>
        <w:jc w:val="both"/>
        <w:rPr>
          <w:rFonts w:ascii="Arial" w:eastAsia="Arial" w:hAnsi="Arial" w:cs="Arial"/>
          <w:sz w:val="22"/>
          <w:szCs w:val="22"/>
        </w:rPr>
      </w:pPr>
    </w:p>
    <w:p w14:paraId="7B15285F" w14:textId="6F25A881" w:rsidR="009B3A66" w:rsidRDefault="00C01898">
      <w:pPr>
        <w:spacing w:line="276" w:lineRule="auto"/>
        <w:jc w:val="both"/>
        <w:rPr>
          <w:rFonts w:ascii="Arial" w:eastAsia="Arial" w:hAnsi="Arial" w:cs="Arial"/>
          <w:b/>
          <w:sz w:val="22"/>
          <w:szCs w:val="22"/>
        </w:rPr>
      </w:pPr>
      <w:r>
        <w:rPr>
          <w:rFonts w:ascii="Arial" w:eastAsia="Arial" w:hAnsi="Arial" w:cs="Arial"/>
          <w:b/>
          <w:sz w:val="22"/>
          <w:szCs w:val="22"/>
        </w:rPr>
        <w:t>2.2. Restricciones en elecciones presidenciales: prohibición del artículo 33 de la Ley 996 de 2005</w:t>
      </w:r>
    </w:p>
    <w:p w14:paraId="75BAB4AD" w14:textId="77777777" w:rsidR="009B3A66" w:rsidRDefault="009B3A66">
      <w:pPr>
        <w:spacing w:line="276" w:lineRule="auto"/>
        <w:jc w:val="both"/>
        <w:rPr>
          <w:rFonts w:ascii="Arial" w:eastAsia="Arial" w:hAnsi="Arial" w:cs="Arial"/>
          <w:sz w:val="22"/>
          <w:szCs w:val="22"/>
        </w:rPr>
      </w:pPr>
    </w:p>
    <w:p w14:paraId="16B24DE8" w14:textId="12BE4ADC" w:rsidR="009B3A66" w:rsidRDefault="00C01898">
      <w:pPr>
        <w:spacing w:line="276" w:lineRule="auto"/>
        <w:jc w:val="both"/>
        <w:rPr>
          <w:rFonts w:ascii="Arial" w:eastAsia="Arial" w:hAnsi="Arial" w:cs="Arial"/>
          <w:sz w:val="22"/>
          <w:szCs w:val="22"/>
        </w:rPr>
      </w:pPr>
      <w:r>
        <w:rPr>
          <w:rFonts w:ascii="Arial" w:eastAsia="Arial" w:hAnsi="Arial" w:cs="Arial"/>
          <w:sz w:val="22"/>
          <w:szCs w:val="22"/>
        </w:rPr>
        <w:t xml:space="preserve">El ámbito material de la prohibición contenida en el artículo 33 de la ley 996 de 2005 está delimitado por la expresión </w:t>
      </w:r>
      <w:r>
        <w:rPr>
          <w:rFonts w:ascii="Arial" w:eastAsia="Arial" w:hAnsi="Arial" w:cs="Arial"/>
          <w:sz w:val="20"/>
          <w:szCs w:val="20"/>
        </w:rPr>
        <w:t>«</w:t>
      </w:r>
      <w:r>
        <w:rPr>
          <w:rFonts w:ascii="Arial" w:eastAsia="Arial" w:hAnsi="Arial" w:cs="Arial"/>
          <w:sz w:val="22"/>
          <w:szCs w:val="22"/>
        </w:rPr>
        <w:t>queda prohibida la contratación directa</w:t>
      </w:r>
      <w:r>
        <w:rPr>
          <w:rFonts w:ascii="Arial" w:eastAsia="Arial" w:hAnsi="Arial" w:cs="Arial"/>
          <w:sz w:val="20"/>
          <w:szCs w:val="20"/>
        </w:rPr>
        <w:t>»</w:t>
      </w:r>
      <w:r>
        <w:rPr>
          <w:rFonts w:ascii="Arial" w:eastAsia="Arial" w:hAnsi="Arial" w:cs="Arial"/>
          <w:sz w:val="22"/>
          <w:szCs w:val="22"/>
        </w:rPr>
        <w:t>. A propósito de esta restricción de la Ley de Garantías Electorales, la Sala de Consulta y Servicio Civil del Consejo de Estado ha considerado que:</w:t>
      </w:r>
    </w:p>
    <w:p w14:paraId="516376E6" w14:textId="77777777" w:rsidR="009B3A66" w:rsidRDefault="009B3A66">
      <w:pPr>
        <w:spacing w:line="276" w:lineRule="auto"/>
        <w:ind w:left="708" w:right="709"/>
        <w:jc w:val="both"/>
        <w:rPr>
          <w:rFonts w:ascii="Arial" w:eastAsia="Arial" w:hAnsi="Arial" w:cs="Arial"/>
          <w:sz w:val="21"/>
          <w:szCs w:val="21"/>
        </w:rPr>
      </w:pPr>
    </w:p>
    <w:p w14:paraId="6FD5498B" w14:textId="77777777" w:rsidR="009B3A66" w:rsidRPr="00A96608" w:rsidRDefault="00C01898" w:rsidP="00A96608">
      <w:pPr>
        <w:spacing w:after="120"/>
        <w:ind w:left="709" w:right="709"/>
        <w:jc w:val="both"/>
      </w:pPr>
      <w:r>
        <w:rPr>
          <w:rFonts w:ascii="Arial" w:eastAsia="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Pr>
          <w:rFonts w:ascii="Arial" w:eastAsia="Arial" w:hAnsi="Arial" w:cs="Arial"/>
          <w:sz w:val="22"/>
          <w:szCs w:val="22"/>
          <w:vertAlign w:val="superscript"/>
        </w:rPr>
        <w:footnoteReference w:id="11"/>
      </w:r>
      <w:r>
        <w:rPr>
          <w:rFonts w:ascii="Arial" w:eastAsia="Arial" w:hAnsi="Arial" w:cs="Arial"/>
          <w:sz w:val="21"/>
          <w:szCs w:val="21"/>
        </w:rPr>
        <w:t>.</w:t>
      </w:r>
    </w:p>
    <w:p w14:paraId="64733A3A" w14:textId="77777777" w:rsidR="009B3A66" w:rsidRPr="00A96608" w:rsidRDefault="00C01898" w:rsidP="00A96608">
      <w:pPr>
        <w:ind w:left="708" w:right="709"/>
        <w:jc w:val="both"/>
      </w:pPr>
      <w:r>
        <w:rPr>
          <w:rFonts w:ascii="Arial" w:eastAsia="Arial" w:hAnsi="Arial" w:cs="Arial"/>
          <w:sz w:val="21"/>
          <w:szCs w:val="21"/>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Pr>
          <w:rFonts w:ascii="Arial" w:eastAsia="Arial" w:hAnsi="Arial" w:cs="Arial"/>
          <w:sz w:val="21"/>
          <w:szCs w:val="21"/>
          <w:vertAlign w:val="superscript"/>
        </w:rPr>
        <w:footnoteReference w:id="12"/>
      </w:r>
      <w:r>
        <w:rPr>
          <w:rFonts w:ascii="Arial" w:eastAsia="Arial" w:hAnsi="Arial" w:cs="Arial"/>
          <w:sz w:val="21"/>
          <w:szCs w:val="21"/>
          <w:vertAlign w:val="superscript"/>
        </w:rPr>
        <w:t>.</w:t>
      </w:r>
      <w:r>
        <w:rPr>
          <w:rFonts w:ascii="Arial" w:eastAsia="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Arial" w:eastAsia="Arial" w:hAnsi="Arial" w:cs="Arial"/>
          <w:sz w:val="22"/>
          <w:szCs w:val="22"/>
          <w:vertAlign w:val="superscript"/>
        </w:rPr>
        <w:footnoteReference w:id="13"/>
      </w:r>
      <w:r>
        <w:rPr>
          <w:rFonts w:ascii="Arial" w:eastAsia="Arial" w:hAnsi="Arial" w:cs="Arial"/>
          <w:sz w:val="21"/>
          <w:szCs w:val="21"/>
        </w:rPr>
        <w:t xml:space="preserve"> .</w:t>
      </w:r>
    </w:p>
    <w:p w14:paraId="338DB018" w14:textId="77777777" w:rsidR="009B3A66" w:rsidRDefault="009B3A66">
      <w:pPr>
        <w:shd w:val="clear" w:color="auto" w:fill="FFFFFF"/>
        <w:spacing w:line="276" w:lineRule="auto"/>
        <w:ind w:firstLine="709"/>
        <w:jc w:val="both"/>
        <w:rPr>
          <w:rFonts w:ascii="Arial" w:eastAsia="Arial" w:hAnsi="Arial" w:cs="Arial"/>
          <w:sz w:val="22"/>
          <w:szCs w:val="22"/>
        </w:rPr>
      </w:pPr>
    </w:p>
    <w:p w14:paraId="5DA94735" w14:textId="294AA647" w:rsidR="009B3A66" w:rsidRDefault="00C01898">
      <w:pPr>
        <w:spacing w:after="120" w:line="276" w:lineRule="auto"/>
        <w:ind w:firstLine="708"/>
        <w:jc w:val="both"/>
        <w:rPr>
          <w:rFonts w:ascii="Arial" w:eastAsia="Arial" w:hAnsi="Arial" w:cs="Arial"/>
          <w:sz w:val="22"/>
          <w:szCs w:val="22"/>
        </w:rPr>
      </w:pPr>
      <w:r>
        <w:rPr>
          <w:rFonts w:ascii="Arial" w:eastAsia="Arial" w:hAnsi="Arial" w:cs="Arial"/>
          <w:sz w:val="22"/>
          <w:szCs w:val="22"/>
        </w:rPr>
        <w:t xml:space="preserve">De conformidad con el citado concepto, la prohibición del artículo 33 de la Ley de Garantías Electorales se refiere a </w:t>
      </w:r>
      <w:r>
        <w:rPr>
          <w:rFonts w:ascii="Arial" w:eastAsia="Arial" w:hAnsi="Arial" w:cs="Arial"/>
          <w:sz w:val="19"/>
          <w:szCs w:val="19"/>
        </w:rPr>
        <w:t>«</w:t>
      </w:r>
      <w:r>
        <w:rPr>
          <w:rFonts w:ascii="Arial" w:eastAsia="Arial" w:hAnsi="Arial" w:cs="Arial"/>
          <w:sz w:val="22"/>
          <w:szCs w:val="22"/>
        </w:rPr>
        <w:t xml:space="preserve">cualquier sistema que no implique convocatoria pública </w:t>
      </w:r>
      <w:r>
        <w:rPr>
          <w:rFonts w:ascii="Arial" w:eastAsia="Arial" w:hAnsi="Arial" w:cs="Arial"/>
          <w:sz w:val="22"/>
          <w:szCs w:val="22"/>
        </w:rPr>
        <w:lastRenderedPageBreak/>
        <w:t>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Pr>
          <w:rFonts w:ascii="Arial" w:eastAsia="Arial" w:hAnsi="Arial" w:cs="Arial"/>
          <w:sz w:val="22"/>
          <w:szCs w:val="22"/>
          <w:vertAlign w:val="superscript"/>
        </w:rPr>
        <w:footnoteReference w:id="14"/>
      </w:r>
      <w:r>
        <w:rPr>
          <w:rFonts w:ascii="Arial" w:eastAsia="Arial" w:hAnsi="Arial" w:cs="Arial"/>
          <w:sz w:val="22"/>
          <w:szCs w:val="22"/>
        </w:rPr>
        <w:t xml:space="preserve"> y sistematizó las causales de contratación directa</w:t>
      </w:r>
      <w:r>
        <w:rPr>
          <w:rFonts w:ascii="Arial" w:eastAsia="Arial" w:hAnsi="Arial" w:cs="Arial"/>
          <w:sz w:val="22"/>
          <w:szCs w:val="22"/>
          <w:vertAlign w:val="superscript"/>
        </w:rPr>
        <w:footnoteReference w:id="15"/>
      </w:r>
      <w:r>
        <w:rPr>
          <w:rFonts w:ascii="Arial" w:eastAsia="Arial" w:hAnsi="Arial" w:cs="Arial"/>
          <w:sz w:val="22"/>
          <w:szCs w:val="22"/>
        </w:rPr>
        <w:t>, además lo es con la posterior creación de la modalidad de mínima cuantía establecida actualmente en el numeral 5 del artículo 2 de la Ley 1150 de 2007, de acuerdo con las modificaciones realizadas por leyes posteriores.</w:t>
      </w:r>
    </w:p>
    <w:p w14:paraId="421DA8D3" w14:textId="4C2D33A9" w:rsidR="009B3A66" w:rsidRDefault="00C01898">
      <w:pPr>
        <w:spacing w:after="120" w:line="276" w:lineRule="auto"/>
        <w:ind w:firstLine="708"/>
        <w:jc w:val="both"/>
        <w:rPr>
          <w:rFonts w:ascii="Arial" w:eastAsia="Arial" w:hAnsi="Arial" w:cs="Arial"/>
          <w:sz w:val="22"/>
          <w:szCs w:val="22"/>
        </w:rPr>
      </w:pPr>
      <w:r>
        <w:rPr>
          <w:rFonts w:ascii="Arial" w:eastAsia="Arial" w:hAnsi="Arial" w:cs="Arial"/>
          <w:sz w:val="22"/>
          <w:szCs w:val="22"/>
        </w:rPr>
        <w:t xml:space="preserve">De esta forma, con fundamento en la evolución normativa de la contratación pública, se ha depurado la noción de </w:t>
      </w:r>
      <w:r>
        <w:rPr>
          <w:rFonts w:ascii="Arial" w:eastAsia="Arial" w:hAnsi="Arial" w:cs="Arial"/>
          <w:sz w:val="19"/>
          <w:szCs w:val="19"/>
        </w:rPr>
        <w:t>«</w:t>
      </w:r>
      <w:r>
        <w:rPr>
          <w:rFonts w:ascii="Arial" w:eastAsia="Arial" w:hAnsi="Arial" w:cs="Arial"/>
          <w:sz w:val="22"/>
          <w:szCs w:val="22"/>
        </w:rPr>
        <w:t>contratación directa»,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Pr>
          <w:rFonts w:ascii="Arial" w:eastAsia="Arial" w:hAnsi="Arial" w:cs="Arial"/>
          <w:sz w:val="22"/>
          <w:szCs w:val="22"/>
          <w:vertAlign w:val="superscript"/>
        </w:rPr>
        <w:footnoteReference w:id="16"/>
      </w:r>
      <w:r>
        <w:rPr>
          <w:rFonts w:ascii="Arial" w:eastAsia="Arial" w:hAnsi="Arial" w:cs="Arial"/>
          <w:sz w:val="22"/>
          <w:szCs w:val="22"/>
        </w:rPr>
        <w:t xml:space="preserve">, han establecido sistemas de contratación que implican convocatoria pública y participación de varios oferentes». </w:t>
      </w:r>
    </w:p>
    <w:p w14:paraId="06E28810" w14:textId="77777777" w:rsidR="009B3A66" w:rsidRDefault="00C01898">
      <w:pPr>
        <w:spacing w:after="120" w:line="276" w:lineRule="auto"/>
        <w:ind w:firstLine="708"/>
        <w:jc w:val="both"/>
        <w:rPr>
          <w:rFonts w:ascii="Arial" w:eastAsia="Arial" w:hAnsi="Arial" w:cs="Arial"/>
          <w:sz w:val="22"/>
          <w:szCs w:val="22"/>
        </w:rPr>
      </w:pPr>
      <w:r>
        <w:rPr>
          <w:rFonts w:ascii="Arial" w:eastAsia="Arial" w:hAnsi="Arial" w:cs="Arial"/>
          <w:sz w:val="22"/>
          <w:szCs w:val="22"/>
        </w:rPr>
        <w:t>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Pr>
          <w:rFonts w:ascii="Arial" w:eastAsia="Arial" w:hAnsi="Arial" w:cs="Arial"/>
          <w:sz w:val="22"/>
          <w:szCs w:val="22"/>
          <w:vertAlign w:val="superscript"/>
        </w:rPr>
        <w:footnoteReference w:id="17"/>
      </w:r>
      <w:r>
        <w:rPr>
          <w:rFonts w:ascii="Arial" w:eastAsia="Arial" w:hAnsi="Arial" w:cs="Arial"/>
          <w:sz w:val="22"/>
          <w:szCs w:val="22"/>
        </w:rPr>
        <w:t xml:space="preserve">. </w:t>
      </w:r>
    </w:p>
    <w:p w14:paraId="3B8A8662" w14:textId="7D23B1E8" w:rsidR="009B3A66" w:rsidRDefault="00C01898">
      <w:pPr>
        <w:spacing w:after="120" w:line="276" w:lineRule="auto"/>
        <w:ind w:firstLine="708"/>
        <w:jc w:val="both"/>
        <w:rPr>
          <w:rFonts w:ascii="Arial" w:eastAsia="Arial" w:hAnsi="Arial" w:cs="Arial"/>
          <w:sz w:val="22"/>
          <w:szCs w:val="22"/>
        </w:rPr>
      </w:pPr>
      <w:r>
        <w:rPr>
          <w:rFonts w:ascii="Arial" w:eastAsia="Arial" w:hAnsi="Arial" w:cs="Arial"/>
          <w:sz w:val="22"/>
          <w:szCs w:val="22"/>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w:t>
      </w:r>
      <w:r>
        <w:rPr>
          <w:rFonts w:ascii="Arial" w:eastAsia="Arial" w:hAnsi="Arial" w:cs="Arial"/>
          <w:sz w:val="22"/>
          <w:szCs w:val="22"/>
        </w:rPr>
        <w:lastRenderedPageBreak/>
        <w:t>observa que luego de la expedición de Ley 1150 de 2007, el Consejo de Estado comenzó a delimitar con mayor precisión el término «contratación directa».</w:t>
      </w:r>
    </w:p>
    <w:p w14:paraId="4C523CC3" w14:textId="5D6D177A" w:rsidR="009B3A66" w:rsidRDefault="00C01898">
      <w:pPr>
        <w:spacing w:after="120" w:line="276" w:lineRule="auto"/>
        <w:ind w:firstLine="708"/>
        <w:jc w:val="both"/>
        <w:rPr>
          <w:rFonts w:ascii="Arial" w:eastAsia="Arial" w:hAnsi="Arial" w:cs="Arial"/>
          <w:sz w:val="22"/>
          <w:szCs w:val="22"/>
        </w:rPr>
      </w:pPr>
      <w:r>
        <w:rPr>
          <w:rFonts w:ascii="Arial" w:eastAsia="Arial" w:hAnsi="Arial" w:cs="Arial"/>
          <w:sz w:val="22"/>
          <w:szCs w:val="22"/>
        </w:rPr>
        <w:t xml:space="preserve"> Así las cosas, ha de entenderse que, para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Arial" w:eastAsia="Arial" w:hAnsi="Arial" w:cs="Arial"/>
          <w:sz w:val="22"/>
          <w:szCs w:val="22"/>
          <w:vertAlign w:val="superscript"/>
        </w:rPr>
        <w:footnoteReference w:id="18"/>
      </w:r>
      <w:r>
        <w:rPr>
          <w:rFonts w:ascii="Arial" w:eastAsia="Arial" w:hAnsi="Arial" w:cs="Arial"/>
          <w:sz w:val="22"/>
          <w:szCs w:val="22"/>
        </w:rPr>
        <w:t>.</w:t>
      </w:r>
      <w:r>
        <w:rPr>
          <w:rFonts w:ascii="Arial" w:eastAsia="Arial" w:hAnsi="Arial" w:cs="Arial"/>
          <w:sz w:val="22"/>
          <w:szCs w:val="22"/>
          <w:vertAlign w:val="superscript"/>
        </w:rPr>
        <w:t xml:space="preserve"> </w:t>
      </w:r>
    </w:p>
    <w:p w14:paraId="09F1D28B" w14:textId="23E7CA5C" w:rsidR="009B3A66" w:rsidRDefault="00C01898">
      <w:pPr>
        <w:spacing w:after="120" w:line="276" w:lineRule="auto"/>
        <w:ind w:firstLine="708"/>
        <w:jc w:val="both"/>
        <w:rPr>
          <w:rFonts w:ascii="Arial" w:eastAsia="Arial" w:hAnsi="Arial" w:cs="Arial"/>
          <w:sz w:val="22"/>
          <w:szCs w:val="22"/>
        </w:rPr>
      </w:pPr>
      <w:r>
        <w:rPr>
          <w:rFonts w:ascii="Arial" w:eastAsia="Arial" w:hAnsi="Arial" w:cs="Arial"/>
          <w:sz w:val="22"/>
          <w:szCs w:val="22"/>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estas modalidades.</w:t>
      </w:r>
    </w:p>
    <w:p w14:paraId="1D26DFD6" w14:textId="77777777" w:rsidR="009B3A66" w:rsidRDefault="00C01898">
      <w:pPr>
        <w:spacing w:after="120" w:line="276" w:lineRule="auto"/>
        <w:ind w:firstLine="708"/>
        <w:jc w:val="both"/>
        <w:rPr>
          <w:rFonts w:ascii="Arial" w:eastAsia="Arial" w:hAnsi="Arial" w:cs="Arial"/>
          <w:sz w:val="22"/>
          <w:szCs w:val="22"/>
        </w:rPr>
      </w:pPr>
      <w:bookmarkStart w:id="9" w:name="_2s8eyo1" w:colFirst="0" w:colLast="0"/>
      <w:bookmarkEnd w:id="9"/>
      <w:r>
        <w:rPr>
          <w:rFonts w:ascii="Arial" w:eastAsia="Arial" w:hAnsi="Arial" w:cs="Arial"/>
          <w:sz w:val="22"/>
          <w:szCs w:val="22"/>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7765D733" w14:textId="0E4AED23" w:rsidR="009B3A66" w:rsidRDefault="00C01898">
      <w:pPr>
        <w:spacing w:after="120" w:line="276" w:lineRule="auto"/>
        <w:ind w:firstLine="708"/>
        <w:jc w:val="both"/>
        <w:rPr>
          <w:rFonts w:ascii="Arial" w:eastAsia="Arial" w:hAnsi="Arial" w:cs="Arial"/>
          <w:sz w:val="22"/>
          <w:szCs w:val="22"/>
        </w:rPr>
      </w:pPr>
      <w:r>
        <w:rPr>
          <w:rFonts w:ascii="Arial" w:eastAsia="Arial" w:hAnsi="Arial" w:cs="Arial"/>
          <w:sz w:val="22"/>
          <w:szCs w:val="22"/>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w:t>
      </w:r>
      <w:r>
        <w:rPr>
          <w:rFonts w:ascii="Arial" w:eastAsia="Arial" w:hAnsi="Arial" w:cs="Arial"/>
          <w:sz w:val="22"/>
          <w:szCs w:val="22"/>
          <w:u w:val="single"/>
        </w:rPr>
        <w:t>los requeridos para cubrir las emergencias</w:t>
      </w:r>
      <w:r>
        <w:rPr>
          <w:rFonts w:ascii="Arial" w:eastAsia="Arial" w:hAnsi="Arial" w:cs="Arial"/>
          <w:sz w:val="22"/>
          <w:szCs w:val="22"/>
        </w:rPr>
        <w:t xml:space="preserve"> educativas, </w:t>
      </w:r>
      <w:r>
        <w:rPr>
          <w:rFonts w:ascii="Arial" w:eastAsia="Arial" w:hAnsi="Arial" w:cs="Arial"/>
          <w:sz w:val="22"/>
          <w:szCs w:val="22"/>
          <w:u w:val="single"/>
        </w:rPr>
        <w:t>sanitarias</w:t>
      </w:r>
      <w:r>
        <w:rPr>
          <w:rFonts w:ascii="Arial" w:eastAsia="Arial" w:hAnsi="Arial" w:cs="Arial"/>
          <w:sz w:val="22"/>
          <w:szCs w:val="22"/>
        </w:rPr>
        <w:t xml:space="preserve">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8FDC427" w14:textId="77777777" w:rsidR="009B3A66" w:rsidRPr="00A96608" w:rsidRDefault="00C01898" w:rsidP="00A96608">
      <w:pPr>
        <w:spacing w:after="120" w:line="276" w:lineRule="auto"/>
        <w:ind w:firstLine="709"/>
        <w:jc w:val="both"/>
      </w:pPr>
      <w:bookmarkStart w:id="10" w:name="_17dp8vu" w:colFirst="0" w:colLast="0"/>
      <w:bookmarkEnd w:id="10"/>
      <w:r>
        <w:rPr>
          <w:rFonts w:ascii="Arial" w:eastAsia="Arial" w:hAnsi="Arial" w:cs="Arial"/>
          <w:sz w:val="22"/>
          <w:szCs w:val="22"/>
        </w:rPr>
        <w:t>En esta labor es importante tener en cuenta, como lo anotó la Corte Constitucional, en Sentencia C-1153 de noviembre 11 de 2005</w:t>
      </w:r>
      <w:r>
        <w:rPr>
          <w:vertAlign w:val="superscript"/>
        </w:rPr>
        <w:t>,</w:t>
      </w:r>
      <w:r>
        <w:rPr>
          <w:rFonts w:ascii="Arial" w:eastAsia="Arial" w:hAnsi="Arial" w:cs="Arial"/>
          <w:sz w:val="22"/>
          <w:szCs w:val="22"/>
        </w:rPr>
        <w:t xml:space="preserve"> que «si bien la limitación garantiza la </w:t>
      </w:r>
      <w:r>
        <w:rPr>
          <w:rFonts w:ascii="Arial" w:eastAsia="Arial" w:hAnsi="Arial" w:cs="Arial"/>
          <w:sz w:val="22"/>
          <w:szCs w:val="22"/>
        </w:rPr>
        <w:lastRenderedPageBreak/>
        <w:t>igualdad de condiciones, también es necesario que tal limitación que pretende la igualdad no termine yendo en detrimento de intereses públicos, cuya garantía está en cabeza del ejecutivo, como son los inmersos en las excepciones para la prohibición de contratación»</w:t>
      </w:r>
      <w:r>
        <w:rPr>
          <w:rFonts w:ascii="Arial" w:eastAsia="Arial" w:hAnsi="Arial" w:cs="Arial"/>
          <w:sz w:val="22"/>
          <w:szCs w:val="22"/>
          <w:vertAlign w:val="superscript"/>
        </w:rPr>
        <w:footnoteReference w:id="19"/>
      </w:r>
      <w:r>
        <w:rPr>
          <w:rFonts w:ascii="Arial" w:eastAsia="Arial" w:hAnsi="Arial" w:cs="Arial"/>
          <w:sz w:val="22"/>
          <w:szCs w:val="22"/>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5A5AD320" w14:textId="77777777" w:rsidR="009B3A66" w:rsidRPr="00A96608" w:rsidRDefault="00C01898" w:rsidP="00A96608">
      <w:pPr>
        <w:spacing w:after="120" w:line="276" w:lineRule="auto"/>
        <w:ind w:firstLine="709"/>
        <w:jc w:val="both"/>
      </w:pPr>
      <w:r>
        <w:rPr>
          <w:rFonts w:ascii="Arial" w:eastAsia="Arial" w:hAnsi="Arial" w:cs="Arial"/>
          <w:sz w:val="22"/>
          <w:szCs w:val="22"/>
        </w:rPr>
        <w:t>De conformidad con lo expuesto, se concluye que durante los cuatro (4) meses anteriores a la elección presidencial y hasta la realización de la elección en la segunda vuelta, queda prohibida la contratación directa por parte de todos los entes del Estado, entendido el término contratación directa como cualquier sistema de selección o procedimiento de contratación utilizado por las entidades estatales que no incluya la convocatoria pública en alguna de sus etapas, ni permita la participación de una pluralidad de oferentes. Lo anterior, sin perjuicio de las excepciones contempladas en el ordenamiento jurídico.</w:t>
      </w:r>
    </w:p>
    <w:p w14:paraId="7B3061FE" w14:textId="6B7816A7" w:rsidR="009B3A66" w:rsidRDefault="00C01898">
      <w:pPr>
        <w:spacing w:line="276" w:lineRule="auto"/>
        <w:ind w:firstLine="708"/>
        <w:jc w:val="both"/>
        <w:rPr>
          <w:rFonts w:ascii="Arial" w:eastAsia="Arial" w:hAnsi="Arial" w:cs="Arial"/>
          <w:sz w:val="22"/>
          <w:szCs w:val="22"/>
        </w:rPr>
      </w:pPr>
      <w:r>
        <w:rPr>
          <w:rFonts w:ascii="Arial" w:eastAsia="Arial" w:hAnsi="Arial" w:cs="Arial"/>
          <w:sz w:val="22"/>
          <w:szCs w:val="22"/>
        </w:rPr>
        <w:t>De acuerdo con lo expuesto, y por ser relevante para absolver la consulta que ahora conoce la Agencia, se resalta que entre las excepciones a la aplicación de la prohibición del artículo 33 de la Ley de Garantías se encuentran aquellos contratos que resulten necesarios para atender situaciones de emergencias sanitarias. En este evento, si la entidad respectiva necesita contratar directamente actividades relacionados con una emergencia sanitaria durante el periodo preelectoral al que hace referencia la norma, deberá justificarlo con la exposición de los motivos y razones por las cuales estima que se configura la excepción a la prohibición descrita. En ese sentido, se deberá constatar la relación existente entre el objeto del contrato a celebrar y las circunstancias que constituyen la considerada como emergencia sanitaria, así como la necesidad de aquel para la atención, mitigación o enervación de los efectos de esta.</w:t>
      </w:r>
    </w:p>
    <w:p w14:paraId="0A2C568C" w14:textId="77777777" w:rsidR="009B3A66" w:rsidRDefault="009B3A66">
      <w:pPr>
        <w:spacing w:line="276" w:lineRule="auto"/>
        <w:ind w:firstLine="708"/>
        <w:jc w:val="both"/>
        <w:rPr>
          <w:rFonts w:ascii="Arial" w:eastAsia="Arial" w:hAnsi="Arial" w:cs="Arial"/>
          <w:sz w:val="22"/>
          <w:szCs w:val="22"/>
        </w:rPr>
      </w:pPr>
    </w:p>
    <w:p w14:paraId="6200E358" w14:textId="7909F4AF" w:rsidR="009B3A66" w:rsidRDefault="00C01898">
      <w:pPr>
        <w:spacing w:line="276" w:lineRule="auto"/>
        <w:jc w:val="both"/>
        <w:rPr>
          <w:rFonts w:ascii="Arial" w:eastAsia="Arial" w:hAnsi="Arial" w:cs="Arial"/>
          <w:b/>
          <w:sz w:val="22"/>
          <w:szCs w:val="22"/>
        </w:rPr>
      </w:pPr>
      <w:r>
        <w:rPr>
          <w:rFonts w:ascii="Arial" w:eastAsia="Arial" w:hAnsi="Arial" w:cs="Arial"/>
          <w:b/>
          <w:sz w:val="22"/>
          <w:szCs w:val="22"/>
        </w:rPr>
        <w:t>2.3. Destinatarios de la restricción del artículo 33 de la Ley 996 de 2005</w:t>
      </w:r>
    </w:p>
    <w:p w14:paraId="571E806F" w14:textId="77777777" w:rsidR="009B3A66" w:rsidRDefault="009B3A66">
      <w:pPr>
        <w:spacing w:line="276" w:lineRule="auto"/>
        <w:jc w:val="both"/>
        <w:rPr>
          <w:rFonts w:ascii="Arial" w:eastAsia="Arial" w:hAnsi="Arial" w:cs="Arial"/>
          <w:sz w:val="22"/>
          <w:szCs w:val="22"/>
        </w:rPr>
      </w:pPr>
    </w:p>
    <w:p w14:paraId="4831F784" w14:textId="77777777" w:rsidR="009B3A66" w:rsidRDefault="00C01898">
      <w:pPr>
        <w:spacing w:line="276" w:lineRule="auto"/>
        <w:jc w:val="both"/>
        <w:rPr>
          <w:rFonts w:ascii="Arial" w:eastAsia="Arial" w:hAnsi="Arial" w:cs="Arial"/>
          <w:sz w:val="22"/>
          <w:szCs w:val="22"/>
        </w:rPr>
      </w:pPr>
      <w:r>
        <w:rPr>
          <w:rFonts w:ascii="Arial" w:eastAsia="Arial" w:hAnsi="Arial" w:cs="Arial"/>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t xml:space="preserve"> </w:t>
      </w:r>
      <w:r>
        <w:rPr>
          <w:rFonts w:ascii="Arial" w:eastAsia="Arial" w:hAnsi="Arial" w:cs="Arial"/>
          <w:sz w:val="22"/>
          <w:szCs w:val="22"/>
        </w:rPr>
        <w:t>En efecto, tal como lo ha sostenido el Consejo de Estado, el vocablo «todos» utilizado por el legislador comprende</w:t>
      </w:r>
      <w:r>
        <w:t xml:space="preserve"> </w:t>
      </w:r>
      <w:r>
        <w:rPr>
          <w:rFonts w:ascii="Arial" w:eastAsia="Arial" w:hAnsi="Arial" w:cs="Arial"/>
          <w:sz w:val="22"/>
          <w:szCs w:val="22"/>
        </w:rPr>
        <w:t xml:space="preserve">a la totalidad de los entes del Estado, sin distinción del régimen </w:t>
      </w:r>
      <w:r>
        <w:rPr>
          <w:rFonts w:ascii="Arial" w:eastAsia="Arial" w:hAnsi="Arial" w:cs="Arial"/>
          <w:sz w:val="22"/>
          <w:szCs w:val="22"/>
        </w:rPr>
        <w:lastRenderedPageBreak/>
        <w:t xml:space="preserve">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3FF170F3" w14:textId="77777777" w:rsidR="009B3A66" w:rsidRDefault="009B3A66">
      <w:pPr>
        <w:spacing w:line="276" w:lineRule="auto"/>
        <w:ind w:firstLine="708"/>
        <w:jc w:val="both"/>
        <w:rPr>
          <w:rFonts w:ascii="Arial" w:eastAsia="Arial" w:hAnsi="Arial" w:cs="Arial"/>
          <w:sz w:val="22"/>
          <w:szCs w:val="22"/>
        </w:rPr>
      </w:pPr>
    </w:p>
    <w:p w14:paraId="2C86E6A1" w14:textId="77777777" w:rsidR="009B3A66" w:rsidRPr="00A96608" w:rsidRDefault="00C01898" w:rsidP="00A96608">
      <w:pPr>
        <w:ind w:left="708" w:right="709"/>
        <w:jc w:val="both"/>
      </w:pPr>
      <w:bookmarkStart w:id="11" w:name="_3rdcrjn" w:colFirst="0" w:colLast="0"/>
      <w:bookmarkEnd w:id="11"/>
      <w:r>
        <w:rPr>
          <w:rFonts w:ascii="Arial" w:eastAsia="Arial" w:hAnsi="Arial" w:cs="Arial"/>
          <w:sz w:val="21"/>
          <w:szCs w:val="21"/>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Pr>
          <w:rFonts w:ascii="Arial" w:eastAsia="Arial" w:hAnsi="Arial" w:cs="Arial"/>
          <w:sz w:val="21"/>
          <w:szCs w:val="21"/>
          <w:vertAlign w:val="superscript"/>
        </w:rPr>
        <w:footnoteReference w:id="20"/>
      </w:r>
      <w:r>
        <w:rPr>
          <w:rFonts w:ascii="Arial" w:eastAsia="Arial" w:hAnsi="Arial" w:cs="Arial"/>
          <w:sz w:val="21"/>
          <w:szCs w:val="21"/>
        </w:rPr>
        <w:t xml:space="preserve">. </w:t>
      </w:r>
    </w:p>
    <w:p w14:paraId="4E4A8BD9" w14:textId="77777777" w:rsidR="009B3A66" w:rsidRDefault="009B3A66">
      <w:pPr>
        <w:spacing w:line="276" w:lineRule="auto"/>
        <w:ind w:firstLine="708"/>
        <w:jc w:val="both"/>
        <w:rPr>
          <w:rFonts w:ascii="Arial" w:eastAsia="Arial" w:hAnsi="Arial" w:cs="Arial"/>
          <w:sz w:val="22"/>
          <w:szCs w:val="22"/>
        </w:rPr>
      </w:pPr>
    </w:p>
    <w:p w14:paraId="1CE3EA1D" w14:textId="77777777" w:rsidR="009B3A66" w:rsidRDefault="00C01898">
      <w:pPr>
        <w:spacing w:line="276" w:lineRule="auto"/>
        <w:ind w:firstLine="708"/>
        <w:jc w:val="both"/>
        <w:rPr>
          <w:rFonts w:ascii="Arial" w:eastAsia="Arial" w:hAnsi="Arial" w:cs="Arial"/>
          <w:sz w:val="22"/>
          <w:szCs w:val="22"/>
        </w:rPr>
      </w:pPr>
      <w:bookmarkStart w:id="13" w:name="_26in1rg" w:colFirst="0" w:colLast="0"/>
      <w:bookmarkEnd w:id="13"/>
      <w:r>
        <w:rPr>
          <w:rFonts w:ascii="Arial" w:eastAsia="Arial" w:hAnsi="Arial" w:cs="Arial"/>
          <w:sz w:val="22"/>
          <w:szCs w:val="22"/>
        </w:rPr>
        <w:t>De igual forma, 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Pr>
          <w:rFonts w:ascii="Arial" w:eastAsia="Arial" w:hAnsi="Arial" w:cs="Arial"/>
          <w:vertAlign w:val="superscript"/>
        </w:rPr>
        <w:footnoteReference w:id="21"/>
      </w:r>
      <w:r>
        <w:rPr>
          <w:rFonts w:ascii="Arial" w:eastAsia="Arial" w:hAnsi="Arial" w:cs="Arial"/>
          <w:sz w:val="22"/>
          <w:szCs w:val="22"/>
        </w:rPr>
        <w:t>. Sin embargo, debe precisarse el siguiente aspecto que distinguió la Sala de Consulta y Servicio Civil:</w:t>
      </w:r>
    </w:p>
    <w:p w14:paraId="6E990BB0" w14:textId="77777777" w:rsidR="009B3A66" w:rsidRDefault="009B3A66">
      <w:pPr>
        <w:spacing w:line="276" w:lineRule="auto"/>
        <w:jc w:val="both"/>
        <w:rPr>
          <w:rFonts w:ascii="Arial" w:eastAsia="Arial" w:hAnsi="Arial" w:cs="Arial"/>
          <w:sz w:val="22"/>
          <w:szCs w:val="22"/>
        </w:rPr>
      </w:pPr>
    </w:p>
    <w:p w14:paraId="00623EC6" w14:textId="77777777" w:rsidR="009B3A66" w:rsidRPr="00A96608" w:rsidRDefault="00C01898" w:rsidP="00A96608">
      <w:pPr>
        <w:ind w:left="708" w:right="709"/>
        <w:jc w:val="both"/>
      </w:pPr>
      <w:bookmarkStart w:id="15" w:name="_lnxbz9" w:colFirst="0" w:colLast="0"/>
      <w:bookmarkEnd w:id="15"/>
      <w:r>
        <w:rPr>
          <w:rFonts w:ascii="Arial" w:eastAsia="Arial" w:hAnsi="Arial" w:cs="Arial"/>
          <w:sz w:val="21"/>
          <w:szCs w:val="21"/>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w:t>
      </w:r>
      <w:r>
        <w:rPr>
          <w:rFonts w:ascii="Arial" w:eastAsia="Arial" w:hAnsi="Arial" w:cs="Arial"/>
          <w:sz w:val="21"/>
          <w:szCs w:val="21"/>
        </w:rPr>
        <w:lastRenderedPageBreak/>
        <w:t>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Arial" w:eastAsia="Arial" w:hAnsi="Arial" w:cs="Arial"/>
          <w:vertAlign w:val="superscript"/>
        </w:rPr>
        <w:footnoteReference w:id="22"/>
      </w:r>
      <w:r>
        <w:rPr>
          <w:rFonts w:ascii="Arial" w:eastAsia="Arial" w:hAnsi="Arial" w:cs="Arial"/>
          <w:sz w:val="22"/>
          <w:szCs w:val="22"/>
        </w:rPr>
        <w:t>.</w:t>
      </w:r>
    </w:p>
    <w:p w14:paraId="540EF1B1" w14:textId="77777777" w:rsidR="009B3A66" w:rsidRDefault="009B3A66">
      <w:pPr>
        <w:spacing w:line="276" w:lineRule="auto"/>
        <w:jc w:val="both"/>
        <w:rPr>
          <w:rFonts w:ascii="Arial" w:eastAsia="Arial" w:hAnsi="Arial" w:cs="Arial"/>
          <w:sz w:val="22"/>
          <w:szCs w:val="22"/>
        </w:rPr>
      </w:pPr>
    </w:p>
    <w:p w14:paraId="5C5B033E" w14:textId="0DFCCCB2" w:rsidR="009B3A66" w:rsidRDefault="00C01898">
      <w:pPr>
        <w:spacing w:after="120" w:line="276" w:lineRule="auto"/>
        <w:ind w:firstLine="709"/>
        <w:jc w:val="both"/>
        <w:rPr>
          <w:rFonts w:ascii="Arial" w:eastAsia="Arial" w:hAnsi="Arial" w:cs="Arial"/>
          <w:sz w:val="22"/>
          <w:szCs w:val="22"/>
        </w:rPr>
      </w:pPr>
      <w:bookmarkStart w:id="16" w:name="_35nkun2" w:colFirst="0" w:colLast="0"/>
      <w:bookmarkEnd w:id="16"/>
      <w:r>
        <w:rPr>
          <w:rFonts w:ascii="Arial" w:eastAsia="Arial" w:hAnsi="Arial" w:cs="Arial"/>
          <w:sz w:val="22"/>
          <w:szCs w:val="22"/>
        </w:rPr>
        <w:t>Aplicando este razonamiento,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Pr>
          <w:rFonts w:ascii="Arial" w:eastAsia="Arial" w:hAnsi="Arial" w:cs="Arial"/>
          <w:vertAlign w:val="superscript"/>
        </w:rPr>
        <w:t xml:space="preserve"> </w:t>
      </w:r>
      <w:r>
        <w:rPr>
          <w:rFonts w:ascii="Arial" w:eastAsia="Arial" w:hAnsi="Arial" w:cs="Arial"/>
          <w:sz w:val="22"/>
          <w:szCs w:val="22"/>
          <w:vertAlign w:val="superscript"/>
        </w:rPr>
        <w:footnoteReference w:id="23"/>
      </w:r>
      <w:r>
        <w:rPr>
          <w:rFonts w:ascii="Arial" w:eastAsia="Arial" w:hAnsi="Arial" w:cs="Arial"/>
          <w:sz w:val="22"/>
          <w:szCs w:val="22"/>
        </w:rPr>
        <w:t>.</w:t>
      </w:r>
    </w:p>
    <w:p w14:paraId="2A9857FD" w14:textId="77777777" w:rsidR="009B3A66" w:rsidRDefault="00C01898">
      <w:pPr>
        <w:spacing w:line="276" w:lineRule="auto"/>
        <w:ind w:firstLine="708"/>
        <w:jc w:val="both"/>
        <w:rPr>
          <w:rFonts w:ascii="Arial" w:eastAsia="Arial" w:hAnsi="Arial" w:cs="Arial"/>
          <w:sz w:val="22"/>
          <w:szCs w:val="22"/>
        </w:rPr>
      </w:pPr>
      <w:bookmarkStart w:id="17" w:name="_1ksv4uv" w:colFirst="0" w:colLast="0"/>
      <w:bookmarkEnd w:id="17"/>
      <w:r>
        <w:rPr>
          <w:rFonts w:ascii="Arial" w:eastAsia="Arial" w:hAnsi="Arial" w:cs="Arial"/>
          <w:sz w:val="22"/>
          <w:szCs w:val="22"/>
        </w:rPr>
        <w:t>Por lo tanto, la restricción prevista en la Ley 996 de 2005, 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31743F0E" w14:textId="77777777" w:rsidR="009B3A66" w:rsidRDefault="009B3A66">
      <w:pPr>
        <w:spacing w:line="276" w:lineRule="auto"/>
        <w:jc w:val="both"/>
        <w:rPr>
          <w:rFonts w:ascii="Arial" w:eastAsia="Arial" w:hAnsi="Arial" w:cs="Arial"/>
          <w:sz w:val="22"/>
          <w:szCs w:val="22"/>
        </w:rPr>
      </w:pPr>
    </w:p>
    <w:p w14:paraId="53A3D420" w14:textId="36458A87" w:rsidR="009B3A66" w:rsidRDefault="00C01898">
      <w:pPr>
        <w:spacing w:after="200" w:line="276" w:lineRule="auto"/>
        <w:jc w:val="both"/>
        <w:rPr>
          <w:rFonts w:ascii="Arial" w:eastAsia="Arial" w:hAnsi="Arial" w:cs="Arial"/>
          <w:b/>
          <w:sz w:val="22"/>
          <w:szCs w:val="22"/>
        </w:rPr>
      </w:pPr>
      <w:bookmarkStart w:id="18" w:name="_44sinio" w:colFirst="0" w:colLast="0"/>
      <w:bookmarkEnd w:id="18"/>
      <w:r>
        <w:rPr>
          <w:rFonts w:ascii="Arial" w:eastAsia="Arial" w:hAnsi="Arial" w:cs="Arial"/>
          <w:b/>
          <w:sz w:val="22"/>
          <w:szCs w:val="22"/>
        </w:rPr>
        <w:t>2.4. Restricciones para la celebración de contratos y convenios interadministrativos en los comicios de cargos de elección popular: prohibición del parágrafo del artículo 38 de la Ley 996 de 2005</w:t>
      </w:r>
    </w:p>
    <w:p w14:paraId="4F0DB9DF" w14:textId="77777777" w:rsidR="009B3A66" w:rsidRDefault="00C01898">
      <w:pPr>
        <w:tabs>
          <w:tab w:val="left" w:pos="426"/>
        </w:tabs>
        <w:spacing w:after="120" w:line="276" w:lineRule="auto"/>
        <w:jc w:val="both"/>
        <w:rPr>
          <w:rFonts w:ascii="Arial" w:eastAsia="Arial" w:hAnsi="Arial" w:cs="Arial"/>
          <w:sz w:val="22"/>
          <w:szCs w:val="22"/>
        </w:rPr>
      </w:pPr>
      <w:r>
        <w:rPr>
          <w:rFonts w:ascii="Arial" w:eastAsia="Arial" w:hAnsi="Arial" w:cs="Arial"/>
          <w:sz w:val="22"/>
          <w:szCs w:val="22"/>
        </w:rPr>
        <w:t xml:space="preserve">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Los convenios o contratos interadministrativos que se restringen en el parágrafo del artículo 38 de la Ley 996 de 2005, son únicamente aquellos </w:t>
      </w:r>
      <w:r>
        <w:rPr>
          <w:rFonts w:ascii="Arial" w:eastAsia="Arial" w:hAnsi="Arial" w:cs="Arial"/>
          <w:sz w:val="22"/>
          <w:szCs w:val="22"/>
        </w:rPr>
        <w:lastRenderedPageBreak/>
        <w:t>en que se dispone la ejecución de recursos públicos, para evitar que mediante la suscripción de estos se comprometa el erario con fines políticos o partidistas</w:t>
      </w:r>
      <w:r>
        <w:rPr>
          <w:rFonts w:ascii="Arial" w:eastAsia="Arial" w:hAnsi="Arial" w:cs="Arial"/>
          <w:sz w:val="22"/>
          <w:szCs w:val="22"/>
          <w:vertAlign w:val="superscript"/>
        </w:rPr>
        <w:footnoteReference w:id="24"/>
      </w:r>
      <w:r>
        <w:rPr>
          <w:rFonts w:ascii="Arial" w:eastAsia="Arial" w:hAnsi="Arial" w:cs="Arial"/>
          <w:sz w:val="22"/>
          <w:szCs w:val="22"/>
        </w:rPr>
        <w:t>.</w:t>
      </w:r>
      <w:r>
        <w:rPr>
          <w:rFonts w:ascii="Arial" w:eastAsia="Arial" w:hAnsi="Arial" w:cs="Arial"/>
        </w:rPr>
        <w:t xml:space="preserve"> </w:t>
      </w:r>
    </w:p>
    <w:p w14:paraId="5CA08F94" w14:textId="77777777" w:rsidR="009B3A66" w:rsidRDefault="00C01898">
      <w:pPr>
        <w:widowControl w:val="0"/>
        <w:spacing w:after="120" w:line="276" w:lineRule="auto"/>
        <w:ind w:firstLine="707"/>
        <w:jc w:val="both"/>
        <w:rPr>
          <w:rFonts w:ascii="Arial" w:eastAsia="Arial" w:hAnsi="Arial" w:cs="Arial"/>
          <w:sz w:val="22"/>
          <w:szCs w:val="22"/>
        </w:rPr>
      </w:pPr>
      <w:bookmarkStart w:id="19" w:name="_2jxsxqh" w:colFirst="0" w:colLast="0"/>
      <w:bookmarkEnd w:id="19"/>
      <w:r>
        <w:rPr>
          <w:rFonts w:ascii="Arial" w:eastAsia="Arial" w:hAnsi="Arial" w:cs="Arial"/>
          <w:sz w:val="22"/>
          <w:szCs w:val="22"/>
        </w:rPr>
        <w:t>Ahora bien,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w:t>
      </w:r>
      <w:r>
        <w:rPr>
          <w:rFonts w:ascii="Arial" w:eastAsia="Arial" w:hAnsi="Arial" w:cs="Arial"/>
          <w:sz w:val="22"/>
          <w:szCs w:val="22"/>
          <w:vertAlign w:val="superscript"/>
        </w:rPr>
        <w:footnoteReference w:id="25"/>
      </w:r>
      <w:r>
        <w:rPr>
          <w:rFonts w:ascii="Arial" w:eastAsia="Arial" w:hAnsi="Arial" w:cs="Arial"/>
          <w:sz w:val="22"/>
          <w:szCs w:val="22"/>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16B10C5E" w14:textId="77777777" w:rsidR="009B3A66" w:rsidRDefault="00C01898">
      <w:pPr>
        <w:widowControl w:val="0"/>
        <w:spacing w:before="117" w:after="120" w:line="276" w:lineRule="auto"/>
        <w:ind w:firstLine="707"/>
        <w:jc w:val="both"/>
        <w:rPr>
          <w:rFonts w:ascii="Arial" w:eastAsia="Arial" w:hAnsi="Arial" w:cs="Arial"/>
          <w:sz w:val="22"/>
          <w:szCs w:val="22"/>
        </w:rPr>
      </w:pPr>
      <w:bookmarkStart w:id="20" w:name="_z337ya" w:colFirst="0" w:colLast="0"/>
      <w:bookmarkEnd w:id="20"/>
      <w:r>
        <w:rPr>
          <w:rFonts w:ascii="Arial" w:eastAsia="Arial" w:hAnsi="Arial" w:cs="Arial"/>
          <w:sz w:val="22"/>
          <w:szCs w:val="22"/>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21341F55" w14:textId="77777777" w:rsidR="009B3A66" w:rsidRDefault="00C01898">
      <w:pPr>
        <w:widowControl w:val="0"/>
        <w:spacing w:before="121" w:after="120" w:line="276" w:lineRule="auto"/>
        <w:ind w:firstLine="707"/>
        <w:jc w:val="both"/>
        <w:rPr>
          <w:rFonts w:ascii="Arial" w:eastAsia="Arial" w:hAnsi="Arial" w:cs="Arial"/>
          <w:sz w:val="22"/>
          <w:szCs w:val="22"/>
        </w:rPr>
      </w:pPr>
      <w:r>
        <w:rPr>
          <w:rFonts w:ascii="Arial" w:eastAsia="Arial" w:hAnsi="Arial" w:cs="Arial"/>
          <w:sz w:val="22"/>
          <w:szCs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Pr>
          <w:rFonts w:ascii="Arial" w:eastAsia="Arial" w:hAnsi="Arial" w:cs="Arial"/>
          <w:sz w:val="22"/>
          <w:szCs w:val="22"/>
          <w:vertAlign w:val="superscript"/>
        </w:rPr>
        <w:footnoteReference w:id="26"/>
      </w:r>
      <w:r>
        <w:rPr>
          <w:rFonts w:ascii="Arial" w:eastAsia="Arial" w:hAnsi="Arial" w:cs="Arial"/>
          <w:sz w:val="22"/>
          <w:szCs w:val="22"/>
        </w:rPr>
        <w:t xml:space="preserve">. Nótese que, en este caso, lo que cambia es la modalidad de </w:t>
      </w:r>
      <w:r>
        <w:rPr>
          <w:rFonts w:ascii="Arial" w:eastAsia="Arial" w:hAnsi="Arial" w:cs="Arial"/>
          <w:sz w:val="22"/>
          <w:szCs w:val="22"/>
        </w:rPr>
        <w:lastRenderedPageBreak/>
        <w:t>selección y no la naturaleza de contrato interadministrativo.</w:t>
      </w:r>
    </w:p>
    <w:p w14:paraId="67A2C7A8" w14:textId="77777777" w:rsidR="009B3A66" w:rsidRDefault="00C01898">
      <w:pPr>
        <w:widowControl w:val="0"/>
        <w:spacing w:before="114" w:line="276" w:lineRule="auto"/>
        <w:ind w:firstLine="707"/>
        <w:jc w:val="both"/>
        <w:rPr>
          <w:rFonts w:ascii="Arial" w:eastAsia="Arial" w:hAnsi="Arial" w:cs="Arial"/>
          <w:sz w:val="22"/>
          <w:szCs w:val="22"/>
        </w:rPr>
      </w:pPr>
      <w:r>
        <w:rPr>
          <w:rFonts w:ascii="Arial" w:eastAsia="Arial" w:hAnsi="Arial" w:cs="Arial"/>
          <w:sz w:val="22"/>
          <w:szCs w:val="22"/>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6AD278AE" w14:textId="77777777" w:rsidR="009B3A66" w:rsidRDefault="009B3A66">
      <w:pPr>
        <w:widowControl w:val="0"/>
        <w:spacing w:line="276" w:lineRule="auto"/>
        <w:ind w:firstLine="707"/>
        <w:jc w:val="both"/>
        <w:rPr>
          <w:rFonts w:ascii="Arial" w:eastAsia="Arial" w:hAnsi="Arial" w:cs="Arial"/>
          <w:sz w:val="22"/>
          <w:szCs w:val="22"/>
        </w:rPr>
      </w:pPr>
    </w:p>
    <w:p w14:paraId="276CA6B2" w14:textId="24E029EC" w:rsidR="009B3A66" w:rsidRPr="00A96608" w:rsidRDefault="00C01898" w:rsidP="00A96608">
      <w:pPr>
        <w:ind w:left="709" w:right="709"/>
        <w:jc w:val="both"/>
      </w:pPr>
      <w:r>
        <w:rPr>
          <w:rFonts w:ascii="Arial" w:eastAsia="Arial" w:hAnsi="Arial" w:cs="Arial"/>
          <w:sz w:val="21"/>
          <w:szCs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Pr>
          <w:rFonts w:ascii="Arial" w:eastAsia="Arial" w:hAnsi="Arial" w:cs="Arial"/>
          <w:sz w:val="21"/>
          <w:szCs w:val="21"/>
          <w:vertAlign w:val="superscript"/>
        </w:rPr>
        <w:footnoteReference w:id="27"/>
      </w:r>
      <w:r>
        <w:rPr>
          <w:rFonts w:ascii="Arial" w:eastAsia="Arial" w:hAnsi="Arial" w:cs="Arial"/>
          <w:sz w:val="21"/>
          <w:szCs w:val="21"/>
        </w:rPr>
        <w:t>.</w:t>
      </w:r>
    </w:p>
    <w:p w14:paraId="0E43BB55" w14:textId="77777777" w:rsidR="009B3A66" w:rsidRDefault="009B3A66">
      <w:pPr>
        <w:spacing w:line="276" w:lineRule="auto"/>
        <w:ind w:left="709" w:right="709"/>
        <w:jc w:val="both"/>
        <w:rPr>
          <w:sz w:val="22"/>
          <w:szCs w:val="22"/>
        </w:rPr>
      </w:pPr>
    </w:p>
    <w:p w14:paraId="577655FD" w14:textId="77777777" w:rsidR="009B3A66" w:rsidRDefault="00C01898">
      <w:pPr>
        <w:widowControl w:val="0"/>
        <w:spacing w:after="120" w:line="276" w:lineRule="auto"/>
        <w:ind w:firstLine="707"/>
        <w:jc w:val="both"/>
        <w:rPr>
          <w:rFonts w:ascii="Arial" w:eastAsia="Arial" w:hAnsi="Arial" w:cs="Arial"/>
          <w:sz w:val="22"/>
          <w:szCs w:val="22"/>
        </w:rPr>
      </w:pPr>
      <w:r>
        <w:rPr>
          <w:rFonts w:ascii="Arial" w:eastAsia="Arial" w:hAnsi="Arial" w:cs="Arial"/>
          <w:sz w:val="22"/>
          <w:szCs w:val="22"/>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71CDA7E5" w14:textId="77777777" w:rsidR="009B3A66" w:rsidRDefault="00C01898">
      <w:pPr>
        <w:widowControl w:val="0"/>
        <w:spacing w:before="119" w:after="120" w:line="276" w:lineRule="auto"/>
        <w:ind w:firstLine="707"/>
        <w:jc w:val="both"/>
        <w:rPr>
          <w:rFonts w:ascii="Arial" w:eastAsia="Arial" w:hAnsi="Arial" w:cs="Arial"/>
          <w:sz w:val="22"/>
          <w:szCs w:val="22"/>
        </w:rPr>
      </w:pPr>
      <w:r>
        <w:rPr>
          <w:rFonts w:ascii="Arial" w:eastAsia="Arial" w:hAnsi="Arial" w:cs="Arial"/>
          <w:sz w:val="22"/>
          <w:szCs w:val="22"/>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w:t>
      </w:r>
      <w:r>
        <w:rPr>
          <w:rFonts w:ascii="Arial" w:eastAsia="Arial" w:hAnsi="Arial" w:cs="Arial"/>
          <w:sz w:val="22"/>
          <w:szCs w:val="22"/>
        </w:rPr>
        <w:lastRenderedPageBreak/>
        <w:t>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79AEE5FD" w14:textId="77777777" w:rsidR="009B3A66" w:rsidRDefault="00C01898">
      <w:pPr>
        <w:widowControl w:val="0"/>
        <w:spacing w:before="120" w:after="200" w:line="276" w:lineRule="auto"/>
        <w:ind w:firstLine="709"/>
        <w:jc w:val="both"/>
        <w:rPr>
          <w:rFonts w:ascii="Arial" w:eastAsia="Arial" w:hAnsi="Arial" w:cs="Arial"/>
          <w:sz w:val="22"/>
          <w:szCs w:val="22"/>
        </w:rPr>
      </w:pPr>
      <w:r>
        <w:rPr>
          <w:rFonts w:ascii="Arial" w:eastAsia="Arial" w:hAnsi="Arial" w:cs="Arial"/>
          <w:sz w:val="22"/>
          <w:szCs w:val="22"/>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45BA0708" w14:textId="77777777" w:rsidR="009B3A66" w:rsidRDefault="00C01898">
      <w:pPr>
        <w:widowControl w:val="0"/>
        <w:spacing w:before="122" w:after="120" w:line="276" w:lineRule="auto"/>
        <w:ind w:firstLine="708"/>
        <w:jc w:val="both"/>
        <w:rPr>
          <w:rFonts w:ascii="Arial" w:eastAsia="Arial" w:hAnsi="Arial" w:cs="Arial"/>
          <w:sz w:val="22"/>
          <w:szCs w:val="22"/>
        </w:rPr>
      </w:pPr>
      <w:r>
        <w:rPr>
          <w:rFonts w:ascii="Arial" w:eastAsia="Arial" w:hAnsi="Arial" w:cs="Arial"/>
          <w:sz w:val="22"/>
          <w:szCs w:val="22"/>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0CAC9BF2" w14:textId="77777777" w:rsidR="009B3A66" w:rsidRDefault="00C01898">
      <w:pPr>
        <w:widowControl w:val="0"/>
        <w:spacing w:line="276" w:lineRule="auto"/>
        <w:ind w:firstLine="708"/>
        <w:jc w:val="both"/>
        <w:rPr>
          <w:rFonts w:ascii="Arial" w:eastAsia="Arial" w:hAnsi="Arial" w:cs="Arial"/>
          <w:sz w:val="22"/>
          <w:szCs w:val="22"/>
        </w:rPr>
      </w:pPr>
      <w:bookmarkStart w:id="21" w:name="_3j2qqm3" w:colFirst="0" w:colLast="0"/>
      <w:bookmarkEnd w:id="21"/>
      <w:r>
        <w:rPr>
          <w:rFonts w:ascii="Arial" w:eastAsia="Arial" w:hAnsi="Arial" w:cs="Arial"/>
          <w:sz w:val="22"/>
          <w:szCs w:val="22"/>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w:t>
      </w:r>
      <w:r>
        <w:rPr>
          <w:rFonts w:ascii="Arial" w:eastAsia="Arial" w:hAnsi="Arial" w:cs="Arial"/>
          <w:sz w:val="22"/>
          <w:szCs w:val="22"/>
        </w:rPr>
        <w:lastRenderedPageBreak/>
        <w:t>a la normativa contractual pública, como a las normas del derecho civil […]»</w:t>
      </w:r>
      <w:r>
        <w:rPr>
          <w:rFonts w:ascii="Arial" w:eastAsia="Arial" w:hAnsi="Arial" w:cs="Arial"/>
          <w:sz w:val="22"/>
          <w:szCs w:val="22"/>
          <w:vertAlign w:val="superscript"/>
        </w:rPr>
        <w:footnoteReference w:id="28"/>
      </w:r>
      <w:r>
        <w:rPr>
          <w:rFonts w:ascii="Arial" w:eastAsia="Arial" w:hAnsi="Arial" w:cs="Arial"/>
          <w:sz w:val="22"/>
          <w:szCs w:val="22"/>
        </w:rPr>
        <w:t>.</w:t>
      </w:r>
    </w:p>
    <w:p w14:paraId="54E744D1" w14:textId="46B50426" w:rsidR="009B3A66" w:rsidRPr="00A96608" w:rsidRDefault="00C01898" w:rsidP="00A96608">
      <w:pPr>
        <w:widowControl w:val="0"/>
        <w:spacing w:before="122" w:line="276" w:lineRule="auto"/>
        <w:ind w:firstLine="709"/>
        <w:jc w:val="both"/>
      </w:pPr>
      <w:r>
        <w:rPr>
          <w:rFonts w:ascii="Arial" w:eastAsia="Arial" w:hAnsi="Arial" w:cs="Arial"/>
          <w:sz w:val="22"/>
          <w:szCs w:val="22"/>
        </w:rPr>
        <w:t>Sin perjuicio de lo anterior, vale la pena tener en cuenta que un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4747DEB7" w14:textId="77777777" w:rsidR="009B3A66" w:rsidRPr="00A96608" w:rsidRDefault="009B3A66" w:rsidP="00A96608">
      <w:pPr>
        <w:widowControl w:val="0"/>
        <w:ind w:firstLine="709"/>
        <w:jc w:val="both"/>
      </w:pPr>
    </w:p>
    <w:p w14:paraId="2B37F5B0" w14:textId="77777777" w:rsidR="009B3A66" w:rsidRPr="00A96608" w:rsidRDefault="00C01898" w:rsidP="00A96608">
      <w:pPr>
        <w:spacing w:after="120"/>
        <w:ind w:left="709" w:right="709"/>
        <w:jc w:val="both"/>
      </w:pPr>
      <w:r>
        <w:rPr>
          <w:rFonts w:ascii="Arial" w:eastAsia="Arial" w:hAnsi="Arial" w:cs="Arial"/>
          <w:sz w:val="21"/>
          <w:szCs w:val="21"/>
        </w:rPr>
        <w:t>La Sala de Consulta y Servicio Civil</w:t>
      </w:r>
      <w:r>
        <w:rPr>
          <w:rFonts w:ascii="Arial" w:eastAsia="Arial" w:hAnsi="Arial" w:cs="Arial"/>
          <w:sz w:val="21"/>
          <w:szCs w:val="21"/>
          <w:vertAlign w:val="superscript"/>
        </w:rPr>
        <w:footnoteReference w:id="29"/>
      </w:r>
      <w:r>
        <w:rPr>
          <w:rFonts w:ascii="Arial" w:eastAsia="Arial" w:hAnsi="Arial" w:cs="Arial"/>
          <w:sz w:val="21"/>
          <w:szCs w:val="21"/>
        </w:rPr>
        <w:t xml:space="preserve"> de esta Corporación se ha referido a los </w:t>
      </w:r>
      <w:r>
        <w:rPr>
          <w:rFonts w:ascii="Arial" w:eastAsia="Arial" w:hAnsi="Arial" w:cs="Arial"/>
          <w:i/>
          <w:sz w:val="21"/>
          <w:szCs w:val="21"/>
        </w:rPr>
        <w:t>“convenios interadministrativos”</w:t>
      </w:r>
      <w:r>
        <w:rPr>
          <w:rFonts w:ascii="Arial" w:eastAsia="Arial" w:hAnsi="Arial" w:cs="Arial"/>
          <w:sz w:val="21"/>
          <w:szCs w:val="21"/>
        </w:rPr>
        <w:t xml:space="preserve"> a los cuales alude el artículo 95 de la Ley 489 de 1998, calificándolos de </w:t>
      </w:r>
      <w:r>
        <w:rPr>
          <w:rFonts w:ascii="Arial" w:eastAsia="Arial" w:hAnsi="Arial" w:cs="Arial"/>
          <w:i/>
          <w:sz w:val="21"/>
          <w:szCs w:val="21"/>
        </w:rPr>
        <w:t xml:space="preserve">“puros” </w:t>
      </w:r>
      <w:r>
        <w:rPr>
          <w:rFonts w:ascii="Arial" w:eastAsia="Arial" w:hAnsi="Arial" w:cs="Arial"/>
          <w:sz w:val="21"/>
          <w:szCs w:val="21"/>
        </w:rPr>
        <w:t xml:space="preserve">y entendiendo que estos, además de perseguir la finalidad de cooperación antes indicada, no implican intereses contrapuestos ni tampoco se circunscriben a un </w:t>
      </w:r>
      <w:r>
        <w:rPr>
          <w:rFonts w:ascii="Arial" w:eastAsia="Arial" w:hAnsi="Arial" w:cs="Arial"/>
          <w:i/>
          <w:sz w:val="21"/>
          <w:szCs w:val="21"/>
        </w:rPr>
        <w:t>“intercambio patrimonial”</w:t>
      </w:r>
      <w:r>
        <w:rPr>
          <w:rFonts w:ascii="Arial" w:eastAsia="Arial" w:hAnsi="Arial" w:cs="Arial"/>
          <w:sz w:val="21"/>
          <w:szCs w:val="21"/>
        </w:rPr>
        <w:t>. Sin perjuicio de lo anterior, en otra oportunidad, la misma Sala</w:t>
      </w:r>
      <w:r>
        <w:rPr>
          <w:rFonts w:ascii="Arial" w:eastAsia="Arial" w:hAnsi="Arial" w:cs="Arial"/>
          <w:sz w:val="21"/>
          <w:szCs w:val="21"/>
          <w:vertAlign w:val="superscript"/>
        </w:rPr>
        <w:footnoteReference w:id="30"/>
      </w:r>
      <w:r>
        <w:rPr>
          <w:rFonts w:ascii="Arial" w:eastAsia="Arial" w:hAnsi="Arial" w:cs="Arial"/>
          <w:sz w:val="21"/>
          <w:szCs w:val="21"/>
        </w:rPr>
        <w:t xml:space="preserve"> había indicado que, si bien en dichos convenios no se daba un </w:t>
      </w:r>
      <w:r>
        <w:rPr>
          <w:rFonts w:ascii="Arial" w:eastAsia="Arial" w:hAnsi="Arial" w:cs="Arial"/>
          <w:i/>
          <w:sz w:val="21"/>
          <w:szCs w:val="21"/>
        </w:rPr>
        <w:t>“verdadero intercambio de bienes o servicios (contrato conmutativo)”</w:t>
      </w:r>
      <w:r>
        <w:rPr>
          <w:rFonts w:ascii="Arial" w:eastAsia="Arial" w:hAnsi="Arial" w:cs="Arial"/>
          <w:sz w:val="21"/>
          <w:szCs w:val="21"/>
        </w:rPr>
        <w:t>, ello no impedía que se conviniera una remuneración a cargo de alguna(s) entidad(es).</w:t>
      </w:r>
    </w:p>
    <w:p w14:paraId="1CD9274C" w14:textId="77777777" w:rsidR="009B3A66" w:rsidRPr="00A96608" w:rsidRDefault="00C01898" w:rsidP="00A96608">
      <w:pPr>
        <w:widowControl w:val="0"/>
        <w:ind w:left="709" w:right="709"/>
        <w:jc w:val="both"/>
      </w:pPr>
      <w:r>
        <w:rPr>
          <w:rFonts w:ascii="Arial" w:eastAsia="Arial" w:hAnsi="Arial" w:cs="Arial"/>
          <w:sz w:val="21"/>
          <w:szCs w:val="21"/>
        </w:rPr>
        <w:t xml:space="preserve">Lo expuesto evidencia que, en general, las interpretaciones en torno a los </w:t>
      </w:r>
      <w:r>
        <w:rPr>
          <w:rFonts w:ascii="Arial" w:eastAsia="Arial" w:hAnsi="Arial" w:cs="Arial"/>
          <w:i/>
          <w:sz w:val="21"/>
          <w:szCs w:val="21"/>
        </w:rPr>
        <w:t>“convenios interadministrativos”</w:t>
      </w:r>
      <w:r>
        <w:rPr>
          <w:rFonts w:ascii="Arial" w:eastAsia="Arial" w:hAnsi="Arial" w:cs="Arial"/>
          <w:sz w:val="21"/>
          <w:szCs w:val="21"/>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Pr>
          <w:rFonts w:ascii="Arial" w:eastAsia="Arial" w:hAnsi="Arial" w:cs="Arial"/>
          <w:sz w:val="21"/>
          <w:szCs w:val="21"/>
          <w:vertAlign w:val="superscript"/>
        </w:rPr>
        <w:footnoteReference w:id="31"/>
      </w:r>
      <w:r>
        <w:rPr>
          <w:rFonts w:ascii="Arial" w:eastAsia="Arial" w:hAnsi="Arial" w:cs="Arial"/>
          <w:sz w:val="21"/>
          <w:szCs w:val="21"/>
          <w:vertAlign w:val="superscript"/>
        </w:rPr>
        <w:footnoteReference w:id="32"/>
      </w:r>
      <w:r>
        <w:rPr>
          <w:rFonts w:ascii="Arial" w:eastAsia="Arial" w:hAnsi="Arial" w:cs="Arial"/>
          <w:sz w:val="21"/>
          <w:szCs w:val="21"/>
        </w:rPr>
        <w:t>.</w:t>
      </w:r>
    </w:p>
    <w:p w14:paraId="51C55797" w14:textId="77777777" w:rsidR="009B3A66" w:rsidRDefault="009B3A66">
      <w:pPr>
        <w:widowControl w:val="0"/>
        <w:spacing w:line="276" w:lineRule="auto"/>
        <w:jc w:val="both"/>
        <w:rPr>
          <w:rFonts w:ascii="Arial" w:eastAsia="Arial" w:hAnsi="Arial" w:cs="Arial"/>
          <w:sz w:val="22"/>
          <w:szCs w:val="22"/>
        </w:rPr>
      </w:pPr>
    </w:p>
    <w:p w14:paraId="1ABE128D" w14:textId="77777777" w:rsidR="009B3A66" w:rsidRDefault="00C01898">
      <w:pPr>
        <w:widowControl w:val="0"/>
        <w:spacing w:after="120" w:line="276" w:lineRule="auto"/>
        <w:jc w:val="both"/>
        <w:rPr>
          <w:rFonts w:ascii="Arial" w:eastAsia="Arial" w:hAnsi="Arial" w:cs="Arial"/>
          <w:sz w:val="22"/>
          <w:szCs w:val="22"/>
        </w:rPr>
      </w:pPr>
      <w:r>
        <w:rPr>
          <w:rFonts w:ascii="Arial" w:eastAsia="Arial" w:hAnsi="Arial" w:cs="Arial"/>
          <w:sz w:val="22"/>
          <w:szCs w:val="22"/>
        </w:rPr>
        <w:tab/>
        <w:t>Sin perjuicio de lo indicado, debe reiterarse que en el ordenamiento jurídico, en distintas ocasiones, se utiliza de forma indistinta los conceptos de contrato o convenio para referirse a la misma institución jurídica</w:t>
      </w:r>
      <w:r>
        <w:rPr>
          <w:rFonts w:ascii="Arial" w:eastAsia="Arial" w:hAnsi="Arial" w:cs="Arial"/>
          <w:sz w:val="22"/>
          <w:szCs w:val="22"/>
          <w:vertAlign w:val="superscript"/>
        </w:rPr>
        <w:footnoteReference w:id="33"/>
      </w:r>
      <w:r>
        <w:rPr>
          <w:rFonts w:ascii="Arial" w:eastAsia="Arial" w:hAnsi="Arial" w:cs="Arial"/>
          <w:sz w:val="22"/>
          <w:szCs w:val="22"/>
        </w:rPr>
        <w:t>. Incluso la Corte Constitucional explica la posibilidad de celebrar convenios interadministrativos de forma directa, con fundamento en la causal establecida en la Ley 1150 de 2007 respecto a los contratos interadministrativos</w:t>
      </w:r>
      <w:r>
        <w:rPr>
          <w:rFonts w:ascii="Arial" w:eastAsia="Arial" w:hAnsi="Arial" w:cs="Arial"/>
          <w:sz w:val="22"/>
          <w:szCs w:val="22"/>
          <w:vertAlign w:val="superscript"/>
        </w:rPr>
        <w:footnoteReference w:id="34"/>
      </w:r>
      <w:r>
        <w:rPr>
          <w:rFonts w:ascii="Arial" w:eastAsia="Arial" w:hAnsi="Arial" w:cs="Arial"/>
          <w:sz w:val="22"/>
          <w:szCs w:val="22"/>
        </w:rPr>
        <w:t>.</w:t>
      </w:r>
    </w:p>
    <w:p w14:paraId="08DA64C5" w14:textId="77777777" w:rsidR="009B3A66" w:rsidRDefault="00C01898">
      <w:pPr>
        <w:widowControl w:val="0"/>
        <w:spacing w:line="276" w:lineRule="auto"/>
        <w:jc w:val="both"/>
        <w:rPr>
          <w:rFonts w:ascii="Arial" w:eastAsia="Arial" w:hAnsi="Arial" w:cs="Arial"/>
          <w:sz w:val="22"/>
          <w:szCs w:val="22"/>
        </w:rPr>
      </w:pPr>
      <w:r>
        <w:rPr>
          <w:rFonts w:ascii="Arial" w:eastAsia="Arial" w:hAnsi="Arial" w:cs="Arial"/>
          <w:sz w:val="22"/>
          <w:szCs w:val="22"/>
        </w:rPr>
        <w:tab/>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3D58A039" w14:textId="77777777" w:rsidR="009B3A66" w:rsidRDefault="009B3A66">
      <w:pPr>
        <w:widowControl w:val="0"/>
        <w:spacing w:line="276" w:lineRule="auto"/>
        <w:jc w:val="both"/>
        <w:rPr>
          <w:rFonts w:ascii="Arial" w:eastAsia="Arial" w:hAnsi="Arial" w:cs="Arial"/>
          <w:sz w:val="22"/>
          <w:szCs w:val="22"/>
        </w:rPr>
      </w:pPr>
    </w:p>
    <w:p w14:paraId="0C078F90" w14:textId="77777777" w:rsidR="009B3A66" w:rsidRPr="00A96608" w:rsidRDefault="00C01898" w:rsidP="00A96608">
      <w:pPr>
        <w:spacing w:after="120"/>
        <w:ind w:left="709" w:right="709"/>
        <w:jc w:val="both"/>
      </w:pPr>
      <w:r>
        <w:rPr>
          <w:rFonts w:ascii="Arial" w:eastAsia="Arial" w:hAnsi="Arial" w:cs="Arial"/>
          <w:sz w:val="21"/>
          <w:szCs w:val="21"/>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191B4D86" w14:textId="77777777" w:rsidR="009B3A66" w:rsidRPr="00A96608" w:rsidRDefault="00C01898" w:rsidP="00A96608">
      <w:pPr>
        <w:spacing w:after="120"/>
        <w:ind w:left="709" w:right="709"/>
        <w:jc w:val="both"/>
      </w:pPr>
      <w:r>
        <w:rPr>
          <w:rFonts w:ascii="Arial" w:eastAsia="Arial" w:hAnsi="Arial" w:cs="Arial"/>
          <w:sz w:val="21"/>
          <w:szCs w:val="21"/>
        </w:rPr>
        <w:t xml:space="preserve">No obstante, por vía jurisprudencial se ha establecido que en los contratos interadministrativos existe una contraprestación directa a favor de la entidad que </w:t>
      </w:r>
      <w:r>
        <w:rPr>
          <w:rFonts w:ascii="Arial" w:eastAsia="Arial" w:hAnsi="Arial" w:cs="Arial"/>
          <w:sz w:val="21"/>
          <w:szCs w:val="21"/>
        </w:rPr>
        <w:lastRenderedPageBreak/>
        <w:t>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4779C8B9" w14:textId="77777777" w:rsidR="009B3A66" w:rsidRDefault="00C01898" w:rsidP="00A96608">
      <w:pPr>
        <w:ind w:left="709" w:right="709"/>
        <w:jc w:val="both"/>
      </w:pPr>
      <w:r>
        <w:rPr>
          <w:rFonts w:ascii="Arial" w:eastAsia="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26164025" w14:textId="77777777" w:rsidR="009B3A66" w:rsidRPr="00A96608" w:rsidRDefault="009B3A66" w:rsidP="00A96608">
      <w:pPr>
        <w:widowControl w:val="0"/>
        <w:spacing w:before="3"/>
        <w:jc w:val="both"/>
      </w:pPr>
    </w:p>
    <w:p w14:paraId="3EA7843D" w14:textId="77777777" w:rsidR="009B3A66" w:rsidRDefault="00C01898">
      <w:pPr>
        <w:widowControl w:val="0"/>
        <w:spacing w:after="120" w:line="276" w:lineRule="auto"/>
        <w:jc w:val="both"/>
        <w:rPr>
          <w:rFonts w:ascii="Arial" w:eastAsia="Arial" w:hAnsi="Arial" w:cs="Arial"/>
          <w:sz w:val="22"/>
          <w:szCs w:val="22"/>
        </w:rPr>
      </w:pPr>
      <w:r>
        <w:rPr>
          <w:rFonts w:ascii="Arial" w:eastAsia="Arial" w:hAnsi="Arial" w:cs="Arial"/>
          <w:sz w:val="25"/>
          <w:szCs w:val="25"/>
        </w:rPr>
        <w:tab/>
      </w:r>
      <w:r>
        <w:rPr>
          <w:rFonts w:ascii="Arial" w:eastAsia="Arial" w:hAnsi="Arial" w:cs="Arial"/>
          <w:sz w:val="22"/>
          <w:szCs w:val="22"/>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asimilaron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p>
    <w:p w14:paraId="3B88E5DD" w14:textId="77777777" w:rsidR="009B3A66" w:rsidRDefault="00C01898">
      <w:pPr>
        <w:tabs>
          <w:tab w:val="left" w:pos="426"/>
        </w:tabs>
        <w:spacing w:after="120" w:line="276" w:lineRule="auto"/>
        <w:ind w:firstLine="709"/>
        <w:jc w:val="both"/>
        <w:rPr>
          <w:rFonts w:ascii="Arial" w:eastAsia="Arial" w:hAnsi="Arial" w:cs="Arial"/>
          <w:sz w:val="22"/>
          <w:szCs w:val="22"/>
        </w:rPr>
      </w:pPr>
      <w:r>
        <w:rPr>
          <w:rFonts w:ascii="Arial" w:eastAsia="Arial" w:hAnsi="Arial" w:cs="Arial"/>
          <w:sz w:val="22"/>
          <w:szCs w:val="22"/>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Pr>
          <w:rFonts w:ascii="Arial" w:eastAsia="Arial" w:hAnsi="Arial" w:cs="Arial"/>
          <w:i/>
          <w:sz w:val="22"/>
          <w:szCs w:val="22"/>
        </w:rPr>
        <w:t>ibidem</w:t>
      </w:r>
      <w:r>
        <w:rPr>
          <w:rFonts w:ascii="Arial" w:eastAsia="Arial" w:hAnsi="Arial" w:cs="Arial"/>
          <w:sz w:val="22"/>
          <w:szCs w:val="22"/>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Pr>
          <w:rFonts w:ascii="Arial" w:eastAsia="Arial" w:hAnsi="Arial" w:cs="Arial"/>
          <w:sz w:val="22"/>
          <w:szCs w:val="22"/>
          <w:vertAlign w:val="superscript"/>
        </w:rPr>
        <w:footnoteReference w:id="35"/>
      </w:r>
      <w:r>
        <w:rPr>
          <w:rFonts w:ascii="Arial" w:eastAsia="Arial" w:hAnsi="Arial" w:cs="Arial"/>
          <w:sz w:val="22"/>
          <w:szCs w:val="22"/>
        </w:rPr>
        <w:t xml:space="preserve">. </w:t>
      </w:r>
    </w:p>
    <w:p w14:paraId="0DE710A0" w14:textId="77777777" w:rsidR="009B3A66" w:rsidRDefault="00C01898">
      <w:pPr>
        <w:spacing w:line="276" w:lineRule="auto"/>
        <w:ind w:firstLine="708"/>
        <w:jc w:val="both"/>
        <w:rPr>
          <w:rFonts w:ascii="Arial" w:eastAsia="Arial" w:hAnsi="Arial" w:cs="Arial"/>
          <w:color w:val="000000"/>
          <w:sz w:val="22"/>
          <w:szCs w:val="22"/>
        </w:rPr>
      </w:pPr>
      <w:bookmarkStart w:id="22" w:name="_1y810tw" w:colFirst="0" w:colLast="0"/>
      <w:bookmarkEnd w:id="22"/>
      <w:r>
        <w:rPr>
          <w:rFonts w:ascii="Arial" w:eastAsia="Arial" w:hAnsi="Arial" w:cs="Arial"/>
          <w:sz w:val="22"/>
          <w:szCs w:val="22"/>
        </w:rPr>
        <w:lastRenderedPageBreak/>
        <w:t>En todo caso, es importante resaltar que la Sala de Consulta y Servicio Civil del Consejo de Estado se ha pronunciado en el sentido de que 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Pr>
          <w:rFonts w:ascii="Arial" w:eastAsia="Arial" w:hAnsi="Arial" w:cs="Arial"/>
          <w:sz w:val="22"/>
          <w:szCs w:val="22"/>
          <w:vertAlign w:val="superscript"/>
        </w:rPr>
        <w:footnoteReference w:id="36"/>
      </w:r>
      <w:r>
        <w:rPr>
          <w:rFonts w:ascii="Arial" w:eastAsia="Arial" w:hAnsi="Arial" w:cs="Arial"/>
          <w:sz w:val="22"/>
          <w:szCs w:val="22"/>
        </w:rPr>
        <w:t>.</w:t>
      </w:r>
    </w:p>
    <w:p w14:paraId="74758C95" w14:textId="77777777" w:rsidR="009B3A66" w:rsidRDefault="009B3A66">
      <w:pPr>
        <w:spacing w:line="276" w:lineRule="auto"/>
        <w:jc w:val="both"/>
        <w:rPr>
          <w:rFonts w:ascii="Arial" w:eastAsia="Arial" w:hAnsi="Arial" w:cs="Arial"/>
          <w:color w:val="000000"/>
          <w:sz w:val="22"/>
          <w:szCs w:val="22"/>
        </w:rPr>
      </w:pPr>
    </w:p>
    <w:p w14:paraId="5C23585F" w14:textId="1F85BE25" w:rsidR="009B3A66" w:rsidRDefault="00C01898">
      <w:pPr>
        <w:shd w:val="clear" w:color="auto" w:fill="FFFFFF"/>
        <w:spacing w:line="276" w:lineRule="auto"/>
        <w:jc w:val="both"/>
        <w:rPr>
          <w:rFonts w:ascii="Arial" w:eastAsia="Arial" w:hAnsi="Arial" w:cs="Arial"/>
          <w:sz w:val="22"/>
          <w:szCs w:val="22"/>
        </w:rPr>
      </w:pPr>
      <w:r>
        <w:rPr>
          <w:rFonts w:ascii="Arial" w:eastAsia="Arial" w:hAnsi="Arial" w:cs="Arial"/>
          <w:b/>
          <w:color w:val="000000"/>
          <w:sz w:val="22"/>
          <w:szCs w:val="22"/>
        </w:rPr>
        <w:t>2.5.</w:t>
      </w:r>
      <w:r>
        <w:rPr>
          <w:rFonts w:ascii="Arial" w:eastAsia="Arial" w:hAnsi="Arial" w:cs="Arial"/>
          <w:color w:val="000000"/>
          <w:sz w:val="22"/>
          <w:szCs w:val="22"/>
        </w:rPr>
        <w:t xml:space="preserve"> </w:t>
      </w:r>
      <w:r>
        <w:rPr>
          <w:rFonts w:ascii="Arial" w:eastAsia="Arial" w:hAnsi="Arial" w:cs="Arial"/>
          <w:b/>
          <w:sz w:val="22"/>
          <w:szCs w:val="22"/>
        </w:rPr>
        <w:t>Modificaciones realizadas por la Ley Anual del Presupuesto para la vigencia fiscal de 2022 a la Ley de Garantías Electorales</w:t>
      </w:r>
      <w:r>
        <w:rPr>
          <w:rFonts w:ascii="Arial" w:eastAsia="Arial" w:hAnsi="Arial" w:cs="Arial"/>
          <w:sz w:val="22"/>
          <w:szCs w:val="22"/>
        </w:rPr>
        <w:t xml:space="preserve"> </w:t>
      </w:r>
    </w:p>
    <w:p w14:paraId="5302208F" w14:textId="77777777" w:rsidR="009B3A66" w:rsidRDefault="009B3A66">
      <w:pPr>
        <w:shd w:val="clear" w:color="auto" w:fill="FFFFFF"/>
        <w:spacing w:line="276" w:lineRule="auto"/>
        <w:jc w:val="both"/>
        <w:rPr>
          <w:rFonts w:ascii="Arial" w:eastAsia="Arial" w:hAnsi="Arial" w:cs="Arial"/>
          <w:sz w:val="22"/>
          <w:szCs w:val="22"/>
        </w:rPr>
      </w:pPr>
    </w:p>
    <w:p w14:paraId="13A7E4F2" w14:textId="77777777" w:rsidR="009B3A66" w:rsidRDefault="00C01898">
      <w:pPr>
        <w:shd w:val="clear" w:color="auto" w:fill="FFFFFF"/>
        <w:spacing w:line="276" w:lineRule="auto"/>
        <w:jc w:val="both"/>
      </w:pPr>
      <w:bookmarkStart w:id="23" w:name="_4i7ojhp" w:colFirst="0" w:colLast="0"/>
      <w:bookmarkEnd w:id="23"/>
      <w:r>
        <w:rPr>
          <w:rFonts w:ascii="Arial" w:eastAsia="Arial" w:hAnsi="Arial" w:cs="Arial"/>
          <w:sz w:val="22"/>
          <w:szCs w:val="22"/>
        </w:rPr>
        <w:t>El análisis que a continuación se realizará, fue efectuado por esta Agencia en el concepto C-674 del 6 de diciembre de 2021 y en el C-699 del 6 de enero de 2021, por lo que se reiterará dicha postura. Partiendo de lo anterior, el 12 de noviembre de 2021 el Presidente de la República sancionó la Ley 2159</w:t>
      </w:r>
      <w:r>
        <w:rPr>
          <w:rFonts w:ascii="Arial" w:eastAsia="Arial" w:hAnsi="Arial" w:cs="Arial"/>
          <w:sz w:val="22"/>
          <w:szCs w:val="22"/>
          <w:vertAlign w:val="superscript"/>
        </w:rPr>
        <w:footnoteReference w:id="37"/>
      </w:r>
      <w:r>
        <w:rPr>
          <w:rFonts w:ascii="Arial" w:eastAsia="Arial" w:hAnsi="Arial" w:cs="Arial"/>
          <w:sz w:val="22"/>
          <w:szCs w:val="22"/>
        </w:rPr>
        <w:t>, por la cual se decreta el presupuesto de rentas y recursos de capital y ley de apropiaciones para la vigencia fiscal del 1 de enero al 31 de diciembre de 2022 –Ley Anual del Presupuesto–</w:t>
      </w:r>
      <w:r>
        <w:rPr>
          <w:rFonts w:ascii="Arial" w:eastAsia="Arial" w:hAnsi="Arial" w:cs="Arial"/>
          <w:sz w:val="22"/>
          <w:szCs w:val="22"/>
          <w:vertAlign w:val="superscript"/>
        </w:rPr>
        <w:footnoteReference w:id="38"/>
      </w:r>
      <w:r>
        <w:rPr>
          <w:rFonts w:ascii="Arial" w:eastAsia="Arial" w:hAnsi="Arial" w:cs="Arial"/>
          <w:sz w:val="22"/>
          <w:szCs w:val="22"/>
        </w:rPr>
        <w:t xml:space="preserve">. Dentro del Capítulo V sobre «disposiciones varias» contenido en la Tercera Parte, «Disposiciones Generales», se destaca la inclusión del artículo 124, a cuyo tenor: </w:t>
      </w:r>
    </w:p>
    <w:p w14:paraId="2B06C6F8" w14:textId="77777777" w:rsidR="009B3A66" w:rsidRDefault="009B3A66">
      <w:pPr>
        <w:shd w:val="clear" w:color="auto" w:fill="FFFFFF"/>
        <w:spacing w:line="276" w:lineRule="auto"/>
        <w:jc w:val="both"/>
        <w:rPr>
          <w:rFonts w:ascii="Arial" w:eastAsia="Arial" w:hAnsi="Arial" w:cs="Arial"/>
        </w:rPr>
      </w:pPr>
    </w:p>
    <w:p w14:paraId="3E0BF4A1" w14:textId="77777777" w:rsidR="009B3A66" w:rsidRDefault="00C01898" w:rsidP="00A96608">
      <w:pPr>
        <w:shd w:val="clear" w:color="auto" w:fill="FFFFFF"/>
        <w:spacing w:after="120"/>
        <w:ind w:left="709" w:right="709"/>
        <w:jc w:val="both"/>
      </w:pPr>
      <w:bookmarkStart w:id="24" w:name="_2xcytpi" w:colFirst="0" w:colLast="0"/>
      <w:bookmarkEnd w:id="24"/>
      <w:r>
        <w:rPr>
          <w:rFonts w:ascii="Arial" w:eastAsia="Arial" w:hAnsi="Arial" w:cs="Arial"/>
          <w:sz w:val="21"/>
          <w:szCs w:val="21"/>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6BB4AAD7" w14:textId="77777777" w:rsidR="009B3A66" w:rsidRDefault="00C01898" w:rsidP="00A96608">
      <w:pPr>
        <w:shd w:val="clear" w:color="auto" w:fill="FFFFFF"/>
        <w:spacing w:after="120"/>
        <w:ind w:left="709" w:right="709"/>
        <w:jc w:val="both"/>
      </w:pPr>
      <w:r>
        <w:rPr>
          <w:rFonts w:ascii="Arial" w:eastAsia="Arial" w:hAnsi="Arial" w:cs="Arial"/>
          <w:sz w:val="21"/>
          <w:szCs w:val="21"/>
        </w:rPr>
        <w:t xml:space="preserve">La presente disposición modifica únicamente en la parte pertinente el inciso primero del parágrafo del artículo 38 de la Ley 996 de 2005. </w:t>
      </w:r>
    </w:p>
    <w:p w14:paraId="0D0AD898" w14:textId="77777777" w:rsidR="009B3A66" w:rsidRDefault="00C01898" w:rsidP="00A96608">
      <w:pPr>
        <w:shd w:val="clear" w:color="auto" w:fill="FFFFFF"/>
        <w:ind w:left="709" w:right="709"/>
        <w:jc w:val="both"/>
      </w:pPr>
      <w:r>
        <w:rPr>
          <w:rFonts w:ascii="Arial" w:eastAsia="Arial" w:hAnsi="Arial" w:cs="Arial"/>
          <w:sz w:val="21"/>
          <w:szCs w:val="21"/>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7423F4A4" w14:textId="77777777" w:rsidR="009B3A66" w:rsidRDefault="009B3A66">
      <w:pPr>
        <w:shd w:val="clear" w:color="auto" w:fill="FFFFFF"/>
        <w:spacing w:line="276" w:lineRule="auto"/>
        <w:jc w:val="both"/>
        <w:rPr>
          <w:rFonts w:ascii="Arial" w:eastAsia="Arial" w:hAnsi="Arial" w:cs="Arial"/>
          <w:sz w:val="22"/>
          <w:szCs w:val="22"/>
        </w:rPr>
      </w:pPr>
    </w:p>
    <w:p w14:paraId="226D24FA" w14:textId="77777777" w:rsidR="009B3A66" w:rsidRDefault="00C01898">
      <w:pPr>
        <w:spacing w:after="120" w:line="276" w:lineRule="auto"/>
        <w:ind w:firstLine="709"/>
        <w:jc w:val="both"/>
      </w:pPr>
      <w:r>
        <w:rPr>
          <w:rFonts w:ascii="Arial" w:eastAsia="Arial" w:hAnsi="Arial" w:cs="Arial"/>
          <w:sz w:val="22"/>
          <w:szCs w:val="22"/>
        </w:rPr>
        <w:lastRenderedPageBreak/>
        <w:t>Al respecto, es importante señalar que los artículos 345 a 355 de la Constitución Política de 1991 desarrollan los asuntos del presupuesto general</w:t>
      </w:r>
      <w:r>
        <w:rPr>
          <w:rFonts w:ascii="Arial" w:eastAsia="Arial" w:hAnsi="Arial" w:cs="Arial"/>
          <w:sz w:val="22"/>
          <w:szCs w:val="22"/>
          <w:vertAlign w:val="superscript"/>
        </w:rPr>
        <w:footnoteReference w:id="39"/>
      </w:r>
      <w:r>
        <w:rPr>
          <w:rFonts w:ascii="Arial" w:eastAsia="Arial" w:hAnsi="Arial" w:cs="Arial"/>
          <w:sz w:val="22"/>
          <w:szCs w:val="22"/>
        </w:rPr>
        <w:t>. En estas normas se regula lo concerniente a la Ley Anual de presupuesto o Presupuesto de Rentas y Ley de Apropiaciones a expedir por el Congreso de la República, la cual debe contener la estimación de las rentas nacionales y la autorización de los gastos del Estado para la respectiva vigencia fiscal anual, comprendida entre el 1° de enero y el 31 de diciembre y guardar correspondencia con el Plan Nacional de Desarrollo.</w:t>
      </w:r>
    </w:p>
    <w:p w14:paraId="503045CA" w14:textId="77777777" w:rsidR="009B3A66" w:rsidRDefault="00C01898">
      <w:pPr>
        <w:spacing w:after="120" w:line="276" w:lineRule="auto"/>
        <w:ind w:firstLine="709"/>
        <w:jc w:val="both"/>
      </w:pPr>
      <w:r>
        <w:rPr>
          <w:rFonts w:ascii="Arial" w:eastAsia="Arial" w:hAnsi="Arial" w:cs="Arial"/>
          <w:sz w:val="22"/>
          <w:szCs w:val="22"/>
        </w:rPr>
        <w:t>La Ley Anual de presupuesto o Presupuesto de Rentas y Ley de Apropiaciones, no solo responde a un análisis contable de rubros y gastos, sino que también es el resultado de un debate democrático connatural a la discusión, elaboración y aprobación de las leyes por el Congreso de la República, por cuanto con ella se pretende responder a la realidad económica y a las necesidades sociales de los colombianos y materializar las acciones de política pública</w:t>
      </w:r>
      <w:r>
        <w:rPr>
          <w:rFonts w:ascii="Arial" w:eastAsia="Arial" w:hAnsi="Arial" w:cs="Arial"/>
          <w:vertAlign w:val="superscript"/>
        </w:rPr>
        <w:footnoteReference w:id="40"/>
      </w:r>
      <w:r>
        <w:rPr>
          <w:rFonts w:ascii="Arial" w:eastAsia="Arial" w:hAnsi="Arial" w:cs="Arial"/>
          <w:sz w:val="22"/>
          <w:szCs w:val="22"/>
        </w:rPr>
        <w:t>.</w:t>
      </w:r>
    </w:p>
    <w:p w14:paraId="66F22E59" w14:textId="77777777" w:rsidR="009B3A66" w:rsidRDefault="00C01898">
      <w:pPr>
        <w:spacing w:after="120" w:line="276" w:lineRule="auto"/>
        <w:ind w:firstLine="709"/>
        <w:jc w:val="both"/>
      </w:pPr>
      <w:r>
        <w:rPr>
          <w:rFonts w:ascii="Arial" w:eastAsia="Arial" w:hAnsi="Arial" w:cs="Arial"/>
          <w:sz w:val="22"/>
          <w:szCs w:val="22"/>
        </w:rPr>
        <w:lastRenderedPageBreak/>
        <w:t>En este sentido, es diferente analizar la ley desde la posición que concibe el presupuesto como un mero requisito para la ejecución de las partidas que contempla, a examinarla bajo la concepción de que, con base en las razones expuestas, al presupuesto le corresponde un contenido material propio y una indiscutible fuerza normativa ligada al logro de importantes objetivos económicos y sociales</w:t>
      </w:r>
      <w:r>
        <w:rPr>
          <w:rFonts w:ascii="Arial" w:eastAsia="Arial" w:hAnsi="Arial" w:cs="Arial"/>
          <w:sz w:val="22"/>
          <w:szCs w:val="22"/>
          <w:vertAlign w:val="superscript"/>
        </w:rPr>
        <w:footnoteReference w:id="41"/>
      </w:r>
      <w:r>
        <w:rPr>
          <w:rFonts w:ascii="Arial" w:eastAsia="Arial" w:hAnsi="Arial" w:cs="Arial"/>
          <w:sz w:val="22"/>
          <w:szCs w:val="22"/>
        </w:rPr>
        <w:t>, que exige atender su trámite en términos de participación democrática directa y representativa. Vista de esta manera, la ley de presupuesto además de su carácter de herramienta macroeconómica, tiene una vocación democrática para el manejo de los recursos, la orientación de su gasto y la ejecución de las políticas públicas</w:t>
      </w:r>
      <w:r>
        <w:rPr>
          <w:rFonts w:ascii="Arial" w:eastAsia="Arial" w:hAnsi="Arial" w:cs="Arial"/>
          <w:sz w:val="22"/>
          <w:szCs w:val="22"/>
          <w:vertAlign w:val="superscript"/>
        </w:rPr>
        <w:footnoteReference w:id="42"/>
      </w:r>
      <w:r>
        <w:rPr>
          <w:rFonts w:ascii="Arial" w:eastAsia="Arial" w:hAnsi="Arial" w:cs="Arial"/>
          <w:sz w:val="22"/>
          <w:szCs w:val="22"/>
        </w:rPr>
        <w:t>.</w:t>
      </w:r>
    </w:p>
    <w:p w14:paraId="73E8EF9C" w14:textId="77777777" w:rsidR="009B3A66" w:rsidRDefault="00C01898">
      <w:pPr>
        <w:spacing w:after="120" w:line="276" w:lineRule="auto"/>
        <w:ind w:firstLine="709"/>
        <w:jc w:val="both"/>
      </w:pPr>
      <w:r>
        <w:rPr>
          <w:rFonts w:ascii="Arial" w:eastAsia="Arial" w:hAnsi="Arial" w:cs="Arial"/>
          <w:sz w:val="22"/>
          <w:szCs w:val="22"/>
        </w:rPr>
        <w:t xml:space="preserve">Desde la perspectiva más amplia, el Presupuesto General de la Nación está conformado por dos grandes rubros: i) el de los ingresos o rentas y ii) el de los gastos o apropiaciones, denominados, respectivamente, como presupuesto de rentas y presupuesto de gastos o ley de apropiaciones. </w:t>
      </w:r>
    </w:p>
    <w:p w14:paraId="4A3D275C" w14:textId="77777777" w:rsidR="009B3A66" w:rsidRDefault="00C01898">
      <w:pPr>
        <w:spacing w:after="120" w:line="276" w:lineRule="auto"/>
        <w:ind w:firstLine="709"/>
        <w:jc w:val="both"/>
      </w:pPr>
      <w:r>
        <w:rPr>
          <w:rFonts w:ascii="Arial" w:eastAsia="Arial" w:hAnsi="Arial" w:cs="Arial"/>
          <w:sz w:val="22"/>
          <w:szCs w:val="22"/>
        </w:rPr>
        <w:t>En lo que refiere al presupuesto de rentas, de conformidad con el artículo 11 del Decreto 111 de 1996</w:t>
      </w:r>
      <w:r>
        <w:rPr>
          <w:rFonts w:ascii="Arial" w:eastAsia="Arial" w:hAnsi="Arial" w:cs="Arial"/>
          <w:sz w:val="22"/>
          <w:szCs w:val="22"/>
          <w:vertAlign w:val="superscript"/>
        </w:rPr>
        <w:footnoteReference w:id="43"/>
      </w:r>
      <w:r>
        <w:rPr>
          <w:rFonts w:ascii="Arial" w:eastAsia="Arial" w:hAnsi="Arial" w:cs="Arial"/>
          <w:sz w:val="22"/>
          <w:szCs w:val="22"/>
        </w:rPr>
        <w:t xml:space="preserve"> –estatuto orgánico del presupuesto–, aquel está instituido por:</w:t>
      </w:r>
    </w:p>
    <w:p w14:paraId="271BDFA5" w14:textId="77777777" w:rsidR="009B3A66" w:rsidRDefault="00C01898">
      <w:pPr>
        <w:spacing w:after="120" w:line="276" w:lineRule="auto"/>
        <w:ind w:firstLine="709"/>
        <w:jc w:val="both"/>
      </w:pPr>
      <w:r>
        <w:rPr>
          <w:rFonts w:ascii="Arial" w:eastAsia="Arial" w:hAnsi="Arial" w:cs="Arial"/>
          <w:sz w:val="22"/>
          <w:szCs w:val="22"/>
        </w:rPr>
        <w:t xml:space="preserve">i) Los ingresos corrientes que, a su turno, se clasifican en tributarios, directos o indirectos, y no tributarios, estos últimos, subclasificados en tasas y multas (art.27); </w:t>
      </w:r>
    </w:p>
    <w:p w14:paraId="735F9401" w14:textId="77777777" w:rsidR="009B3A66" w:rsidRDefault="00C01898">
      <w:pPr>
        <w:spacing w:after="120" w:line="276" w:lineRule="auto"/>
        <w:ind w:firstLine="709"/>
        <w:jc w:val="both"/>
      </w:pPr>
      <w:r>
        <w:rPr>
          <w:rFonts w:ascii="Arial" w:eastAsia="Arial" w:hAnsi="Arial" w:cs="Arial"/>
          <w:sz w:val="22"/>
          <w:szCs w:val="22"/>
        </w:rPr>
        <w:t>ii) Las contribuciones parafiscales cuando sean administradas por un órgano que haga parte del presupuesto;</w:t>
      </w:r>
    </w:p>
    <w:p w14:paraId="34BDED1D" w14:textId="77777777" w:rsidR="009B3A66" w:rsidRDefault="00C01898">
      <w:pPr>
        <w:spacing w:after="120" w:line="276" w:lineRule="auto"/>
        <w:ind w:firstLine="709"/>
        <w:jc w:val="both"/>
      </w:pPr>
      <w:r>
        <w:rPr>
          <w:rFonts w:ascii="Arial" w:eastAsia="Arial" w:hAnsi="Arial" w:cs="Arial"/>
          <w:sz w:val="22"/>
          <w:szCs w:val="22"/>
        </w:rPr>
        <w:t>iii) Los fondos especiales;</w:t>
      </w:r>
    </w:p>
    <w:p w14:paraId="753E4A06" w14:textId="68DC5925" w:rsidR="009B3A66" w:rsidRDefault="00C01898">
      <w:pPr>
        <w:spacing w:after="120" w:line="276" w:lineRule="auto"/>
        <w:ind w:firstLine="709"/>
        <w:jc w:val="both"/>
      </w:pPr>
      <w:r>
        <w:rPr>
          <w:rFonts w:ascii="Arial" w:eastAsia="Arial" w:hAnsi="Arial" w:cs="Arial"/>
          <w:sz w:val="22"/>
          <w:szCs w:val="22"/>
        </w:rPr>
        <w:t>iv) Los recursos de capital, tales como los recursos del «balance del tesoro nacional, los recursos del crédito externo e interno con vencimiento mayor a un año de acuerdo con los cupos autorizados por el Congreso de la República, los rendimientos financieros, el diferencial cambiario, las donaciones (art. 33), el excedente financiero de los establecimientos públicos del orden nacional y de las empresas industriales y comerciales del Estado del mismo orden, las utilidades del Banco de la República, entre otros (art. 31), y;</w:t>
      </w:r>
    </w:p>
    <w:p w14:paraId="71AAB5DF" w14:textId="77777777" w:rsidR="009B3A66" w:rsidRDefault="00C01898">
      <w:pPr>
        <w:spacing w:after="120" w:line="276" w:lineRule="auto"/>
        <w:ind w:firstLine="709"/>
        <w:jc w:val="both"/>
      </w:pPr>
      <w:r>
        <w:rPr>
          <w:rFonts w:ascii="Arial" w:eastAsia="Arial" w:hAnsi="Arial" w:cs="Arial"/>
          <w:sz w:val="22"/>
          <w:szCs w:val="22"/>
        </w:rPr>
        <w:t xml:space="preserve">v) Los ingresos de los establecimientos públicos de origen nacional. </w:t>
      </w:r>
    </w:p>
    <w:p w14:paraId="3D102938" w14:textId="77777777" w:rsidR="009B3A66" w:rsidRDefault="00C01898">
      <w:pPr>
        <w:spacing w:after="120" w:line="276" w:lineRule="auto"/>
        <w:ind w:firstLine="709"/>
        <w:jc w:val="both"/>
      </w:pPr>
      <w:r>
        <w:rPr>
          <w:rFonts w:ascii="Arial" w:eastAsia="Arial" w:hAnsi="Arial" w:cs="Arial"/>
          <w:sz w:val="22"/>
          <w:szCs w:val="22"/>
        </w:rPr>
        <w:lastRenderedPageBreak/>
        <w:t xml:space="preserve">En lo que respecta al presupuesto de gastos o ley de apropiaciones, el mismo Decreto 111 de 1996, en el artículo 23, determina que aquel está configurado por tres grandes rubros: </w:t>
      </w:r>
    </w:p>
    <w:p w14:paraId="300A10E7" w14:textId="77777777" w:rsidR="009B3A66" w:rsidRDefault="00C01898">
      <w:pPr>
        <w:spacing w:after="120" w:line="276" w:lineRule="auto"/>
        <w:ind w:firstLine="709"/>
        <w:jc w:val="both"/>
      </w:pPr>
      <w:r>
        <w:rPr>
          <w:rFonts w:ascii="Arial" w:eastAsia="Arial" w:hAnsi="Arial" w:cs="Arial"/>
          <w:sz w:val="22"/>
          <w:szCs w:val="22"/>
        </w:rPr>
        <w:t>i) Los gastos de funcionamiento que, a su vez, estarán subdivididos en servicios personales, gastos generales y transferencias y gastos de operación;</w:t>
      </w:r>
    </w:p>
    <w:p w14:paraId="0D37334E" w14:textId="77777777" w:rsidR="009B3A66" w:rsidRDefault="00C01898">
      <w:pPr>
        <w:spacing w:after="120" w:line="276" w:lineRule="auto"/>
        <w:ind w:firstLine="709"/>
        <w:jc w:val="both"/>
      </w:pPr>
      <w:r>
        <w:rPr>
          <w:rFonts w:ascii="Arial" w:eastAsia="Arial" w:hAnsi="Arial" w:cs="Arial"/>
          <w:sz w:val="22"/>
          <w:szCs w:val="22"/>
        </w:rPr>
        <w:t xml:space="preserve"> ii) El servicio a la deuda, conformado por la deuda interna y externa y; </w:t>
      </w:r>
    </w:p>
    <w:p w14:paraId="19B7F275" w14:textId="77777777" w:rsidR="009B3A66" w:rsidRDefault="00C01898">
      <w:pPr>
        <w:spacing w:after="120" w:line="276" w:lineRule="auto"/>
        <w:ind w:firstLine="709"/>
        <w:jc w:val="both"/>
      </w:pPr>
      <w:r>
        <w:rPr>
          <w:rFonts w:ascii="Arial" w:eastAsia="Arial" w:hAnsi="Arial" w:cs="Arial"/>
          <w:sz w:val="22"/>
          <w:szCs w:val="22"/>
        </w:rPr>
        <w:t>iii) Los gastos de inversión, dentro de los cuales se incluirá, según el artículo 36 del Estatuto Orgánico, los proyectos establecidos en el «Plan Operativo Anual de Inversión». Este «Plan Operativo Anual de Inversión» al que hace referencia el artículo 36 mencionado, es, junto al presupuesto anual de la Nación, y al Plan Financiero, uno de los componentes del «Sistema Presupuestal» (art. 6)</w:t>
      </w:r>
      <w:r>
        <w:rPr>
          <w:rFonts w:ascii="Arial" w:eastAsia="Arial" w:hAnsi="Arial" w:cs="Arial"/>
          <w:sz w:val="22"/>
          <w:szCs w:val="22"/>
          <w:vertAlign w:val="superscript"/>
        </w:rPr>
        <w:footnoteReference w:id="44"/>
      </w:r>
      <w:r>
        <w:rPr>
          <w:rFonts w:ascii="Arial" w:eastAsia="Arial" w:hAnsi="Arial" w:cs="Arial"/>
          <w:sz w:val="22"/>
          <w:szCs w:val="22"/>
        </w:rPr>
        <w:t>, y dentro de él se señalarán los proyectos de inversión clasificados por sectores, órganos y programas, siempre en concordancia con el Plan Nacional de Inversiones contenido en el Plan Nacional de Desarrollo</w:t>
      </w:r>
      <w:r>
        <w:rPr>
          <w:rFonts w:ascii="Arial" w:eastAsia="Arial" w:hAnsi="Arial" w:cs="Arial"/>
          <w:sz w:val="22"/>
          <w:szCs w:val="22"/>
          <w:vertAlign w:val="superscript"/>
        </w:rPr>
        <w:footnoteReference w:id="45"/>
      </w:r>
      <w:r>
        <w:rPr>
          <w:rFonts w:ascii="Arial" w:eastAsia="Arial" w:hAnsi="Arial" w:cs="Arial"/>
          <w:sz w:val="22"/>
          <w:szCs w:val="22"/>
        </w:rPr>
        <w:t xml:space="preserve">. </w:t>
      </w:r>
    </w:p>
    <w:p w14:paraId="40DD320B" w14:textId="77777777" w:rsidR="009B3A66" w:rsidRDefault="00C01898">
      <w:pPr>
        <w:spacing w:after="120" w:line="276" w:lineRule="auto"/>
        <w:ind w:firstLine="709"/>
        <w:jc w:val="both"/>
      </w:pPr>
      <w:r>
        <w:rPr>
          <w:rFonts w:ascii="Arial" w:eastAsia="Arial" w:hAnsi="Arial" w:cs="Arial"/>
          <w:color w:val="4B4949"/>
          <w:sz w:val="18"/>
          <w:szCs w:val="18"/>
        </w:rPr>
        <w:t xml:space="preserve"> </w:t>
      </w:r>
      <w:r>
        <w:rPr>
          <w:rFonts w:ascii="Arial" w:eastAsia="Arial" w:hAnsi="Arial" w:cs="Arial"/>
          <w:color w:val="000000"/>
          <w:sz w:val="22"/>
          <w:szCs w:val="22"/>
        </w:rPr>
        <w:t>De acuerdo con el</w:t>
      </w:r>
      <w:r>
        <w:rPr>
          <w:rFonts w:ascii="Arial" w:eastAsia="Arial" w:hAnsi="Arial" w:cs="Arial"/>
          <w:color w:val="4B4949"/>
          <w:sz w:val="22"/>
          <w:szCs w:val="22"/>
        </w:rPr>
        <w:t xml:space="preserve"> </w:t>
      </w:r>
      <w:r>
        <w:rPr>
          <w:rFonts w:ascii="Arial" w:eastAsia="Arial" w:hAnsi="Arial" w:cs="Arial"/>
          <w:sz w:val="22"/>
          <w:szCs w:val="22"/>
        </w:rPr>
        <w:t>artículo 38 del Estatuto Orgánico del Presupuesto, la ley de gastos o apropiaciones «solo» estará conformada por las apropiaciones que correspondan a los siguientes aspectos:</w:t>
      </w:r>
    </w:p>
    <w:p w14:paraId="00D5AB0A" w14:textId="77777777" w:rsidR="009B3A66" w:rsidRDefault="00C01898">
      <w:pPr>
        <w:spacing w:after="120" w:line="276" w:lineRule="auto"/>
        <w:ind w:firstLine="709"/>
        <w:jc w:val="both"/>
      </w:pPr>
      <w:r>
        <w:rPr>
          <w:rFonts w:ascii="Arial" w:eastAsia="Arial" w:hAnsi="Arial" w:cs="Arial"/>
          <w:sz w:val="22"/>
          <w:szCs w:val="22"/>
        </w:rPr>
        <w:t>1. Los créditos judicialmente reconocidos;</w:t>
      </w:r>
    </w:p>
    <w:p w14:paraId="200F4659" w14:textId="77777777" w:rsidR="009B3A66" w:rsidRDefault="00C01898">
      <w:pPr>
        <w:spacing w:after="120" w:line="276" w:lineRule="auto"/>
        <w:ind w:firstLine="709"/>
        <w:jc w:val="both"/>
      </w:pPr>
      <w:r>
        <w:rPr>
          <w:rFonts w:ascii="Arial" w:eastAsia="Arial" w:hAnsi="Arial" w:cs="Arial"/>
          <w:sz w:val="22"/>
          <w:szCs w:val="22"/>
        </w:rPr>
        <w:t>2. Los gastos decretados conforme a la ley;</w:t>
      </w:r>
    </w:p>
    <w:p w14:paraId="050A8227" w14:textId="77777777" w:rsidR="009B3A66" w:rsidRDefault="00C01898">
      <w:pPr>
        <w:spacing w:after="120" w:line="276" w:lineRule="auto"/>
        <w:ind w:firstLine="709"/>
        <w:jc w:val="both"/>
      </w:pPr>
      <w:r>
        <w:rPr>
          <w:rFonts w:ascii="Arial" w:eastAsia="Arial" w:hAnsi="Arial" w:cs="Arial"/>
          <w:i/>
          <w:sz w:val="22"/>
          <w:szCs w:val="22"/>
        </w:rPr>
        <w:t>3. Las destinadas a dar cumplimiento a los planes y programas de desarrollo económico y social y a las obras públicas tratados en los artículos 339 y 341 de la Constitución Política, siempre que hayan sido aprobadas por el Congreso Nacional,</w:t>
      </w:r>
      <w:r>
        <w:rPr>
          <w:rFonts w:ascii="Arial" w:eastAsia="Arial" w:hAnsi="Arial" w:cs="Arial"/>
          <w:sz w:val="22"/>
          <w:szCs w:val="22"/>
        </w:rPr>
        <w:t xml:space="preserve"> y;</w:t>
      </w:r>
    </w:p>
    <w:p w14:paraId="7F2FCB86" w14:textId="77777777" w:rsidR="009B3A66" w:rsidRDefault="00C01898">
      <w:pPr>
        <w:spacing w:after="120" w:line="276" w:lineRule="auto"/>
        <w:ind w:firstLine="709"/>
        <w:jc w:val="both"/>
      </w:pPr>
      <w:r>
        <w:rPr>
          <w:rFonts w:ascii="Arial" w:eastAsia="Arial" w:hAnsi="Arial" w:cs="Arial"/>
          <w:sz w:val="22"/>
          <w:szCs w:val="22"/>
        </w:rPr>
        <w:t xml:space="preserve">4. </w:t>
      </w:r>
      <w:r>
        <w:rPr>
          <w:rFonts w:ascii="Arial" w:eastAsia="Arial" w:hAnsi="Arial" w:cs="Arial"/>
          <w:color w:val="333333"/>
          <w:sz w:val="22"/>
          <w:szCs w:val="22"/>
        </w:rPr>
        <w:t xml:space="preserve">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w:t>
      </w:r>
      <w:r>
        <w:rPr>
          <w:rFonts w:ascii="Arial" w:eastAsia="Arial" w:hAnsi="Arial" w:cs="Arial"/>
          <w:color w:val="333333"/>
          <w:sz w:val="22"/>
          <w:szCs w:val="22"/>
        </w:rPr>
        <w:lastRenderedPageBreak/>
        <w:t>públicos y la Policía Nacional, que constituyen título para incluir en el presupuesto partidas para gastos de funcionamiento, inversión y servicio de la deuda pública.</w:t>
      </w:r>
    </w:p>
    <w:p w14:paraId="679FC276" w14:textId="77777777" w:rsidR="009B3A66" w:rsidRDefault="00C01898">
      <w:pPr>
        <w:spacing w:after="120" w:line="276" w:lineRule="auto"/>
        <w:ind w:firstLine="709"/>
        <w:jc w:val="both"/>
      </w:pPr>
      <w:r>
        <w:rPr>
          <w:rFonts w:ascii="Arial" w:eastAsia="Arial" w:hAnsi="Arial" w:cs="Arial"/>
          <w:sz w:val="22"/>
          <w:szCs w:val="22"/>
        </w:rPr>
        <w:t xml:space="preserve">Como se nota, uno de los aspectos que deberán figurar dentro de la ley de apropiaciones o gastos, serán las partidas destinadas a dar cumplimiento a los planes y programas de desarrollo económico y social y a las obras públicas regulados en los artículos 339 y 341 de la Constitución. En ese sentido, recuérdese que el Plan Nacional de Desarrollo, de acuerdo con el artículo 339 de la Constitución Política, cuenta con dos grandes apartados: </w:t>
      </w:r>
      <w:r>
        <w:rPr>
          <w:rFonts w:ascii="Arial" w:eastAsia="Arial" w:hAnsi="Arial" w:cs="Arial"/>
          <w:i/>
          <w:sz w:val="22"/>
          <w:szCs w:val="22"/>
        </w:rPr>
        <w:t>i)</w:t>
      </w:r>
      <w:r>
        <w:rPr>
          <w:rFonts w:ascii="Arial" w:eastAsia="Arial" w:hAnsi="Arial" w:cs="Arial"/>
          <w:sz w:val="22"/>
          <w:szCs w:val="22"/>
        </w:rPr>
        <w:t xml:space="preserve"> una parte general o estratégica y </w:t>
      </w:r>
      <w:r>
        <w:rPr>
          <w:rFonts w:ascii="Arial" w:eastAsia="Arial" w:hAnsi="Arial" w:cs="Arial"/>
          <w:i/>
          <w:sz w:val="22"/>
          <w:szCs w:val="22"/>
        </w:rPr>
        <w:t>ii)</w:t>
      </w:r>
      <w:r>
        <w:rPr>
          <w:rFonts w:ascii="Arial" w:eastAsia="Arial" w:hAnsi="Arial" w:cs="Arial"/>
          <w:sz w:val="22"/>
          <w:szCs w:val="22"/>
        </w:rPr>
        <w:t xml:space="preserve"> un Plan Nacional de Inversiones de las entidades públicas del orden nacional. </w:t>
      </w:r>
    </w:p>
    <w:p w14:paraId="76F404F3" w14:textId="77777777" w:rsidR="009B3A66" w:rsidRDefault="00C01898">
      <w:pPr>
        <w:spacing w:after="120" w:line="276" w:lineRule="auto"/>
        <w:ind w:firstLine="709"/>
        <w:jc w:val="both"/>
      </w:pPr>
      <w:r>
        <w:rPr>
          <w:rFonts w:ascii="Arial" w:eastAsia="Arial" w:hAnsi="Arial" w:cs="Arial"/>
          <w:sz w:val="22"/>
          <w:szCs w:val="22"/>
        </w:rPr>
        <w:t xml:space="preserve">En la primera parte, se señalarán los propósitos y objetivos nacionales de largo plazo, así como las metas y prioridades estatales a mediano plazo y las estrategias generales de la política social, económica y ambiental que adoptará el Gobierno Nacional. Por su parte, el Plan de Inversiones Públicas, contendrá «los presupuestos plurianuales de </w:t>
      </w:r>
      <w:r>
        <w:rPr>
          <w:rFonts w:ascii="Arial" w:eastAsia="Arial" w:hAnsi="Arial" w:cs="Arial"/>
          <w:i/>
          <w:sz w:val="22"/>
          <w:szCs w:val="22"/>
        </w:rPr>
        <w:t>los principales programas y proyectos de inversión pública nacional</w:t>
      </w:r>
      <w:r>
        <w:rPr>
          <w:rFonts w:ascii="Arial" w:eastAsia="Arial" w:hAnsi="Arial" w:cs="Arial"/>
          <w:sz w:val="22"/>
          <w:szCs w:val="22"/>
        </w:rPr>
        <w:t xml:space="preserve"> y la especificación de los recursos financieros requeridos para su ejecución» (énfasis añadido)</w:t>
      </w:r>
      <w:r>
        <w:rPr>
          <w:rFonts w:ascii="Arial" w:eastAsia="Arial" w:hAnsi="Arial" w:cs="Arial"/>
          <w:color w:val="4B4949"/>
          <w:sz w:val="18"/>
          <w:szCs w:val="18"/>
        </w:rPr>
        <w:t>.</w:t>
      </w:r>
    </w:p>
    <w:p w14:paraId="0A6EE78D" w14:textId="77777777" w:rsidR="009B3A66" w:rsidRDefault="00C01898">
      <w:pPr>
        <w:spacing w:line="276" w:lineRule="auto"/>
        <w:jc w:val="both"/>
        <w:rPr>
          <w:rFonts w:ascii="Arial" w:eastAsia="Arial" w:hAnsi="Arial" w:cs="Arial"/>
          <w:sz w:val="22"/>
          <w:szCs w:val="22"/>
        </w:rPr>
      </w:pPr>
      <w:r>
        <w:rPr>
          <w:rFonts w:ascii="Arial" w:eastAsia="Arial" w:hAnsi="Arial" w:cs="Arial"/>
          <w:sz w:val="22"/>
          <w:szCs w:val="22"/>
        </w:rPr>
        <w:tab/>
        <w:t>Por otra parte, como producto natural de la descentralización territorial y la autonomía de las entidades territoriales que rigen la estructura del Estado colombiano, el inciso 2 del artículo 339 de la Constitución Política, autoriza a las autoridades territoriales para que elaboren y adopten, de manera concertada entre ellas y el Gobierno Nacional, sus propios planes de desarrollo. Al igual que el Plan Nacional de Desarrollo, los planes de desarrollo territoriales estarán constituidos por una primera parte estratégica y una segunda contentiva del plan de inversiones a mediano y corto plazo, en los términos y condiciones que, de manera general, establezcan las respectivas asambleas departamentales y concejos municipales o distritales, según el caso</w:t>
      </w:r>
      <w:r>
        <w:rPr>
          <w:rFonts w:ascii="Arial" w:eastAsia="Arial" w:hAnsi="Arial" w:cs="Arial"/>
          <w:sz w:val="22"/>
          <w:szCs w:val="22"/>
          <w:vertAlign w:val="superscript"/>
        </w:rPr>
        <w:footnoteReference w:id="46"/>
      </w:r>
      <w:r>
        <w:rPr>
          <w:rFonts w:ascii="Arial" w:eastAsia="Arial" w:hAnsi="Arial" w:cs="Arial"/>
          <w:sz w:val="22"/>
          <w:szCs w:val="22"/>
        </w:rPr>
        <w:t xml:space="preserve">. </w:t>
      </w:r>
    </w:p>
    <w:p w14:paraId="5BB5B6B5" w14:textId="77777777" w:rsidR="009B3A66" w:rsidRDefault="009B3A66">
      <w:pPr>
        <w:spacing w:line="276" w:lineRule="auto"/>
        <w:jc w:val="both"/>
        <w:rPr>
          <w:rFonts w:ascii="Arial" w:eastAsia="Arial" w:hAnsi="Arial" w:cs="Arial"/>
          <w:sz w:val="22"/>
          <w:szCs w:val="22"/>
        </w:rPr>
      </w:pPr>
    </w:p>
    <w:p w14:paraId="652F1737" w14:textId="6854DA1F" w:rsidR="009B3A66" w:rsidRDefault="00C01898">
      <w:pPr>
        <w:spacing w:line="276" w:lineRule="auto"/>
        <w:jc w:val="both"/>
        <w:rPr>
          <w:rFonts w:ascii="Arial" w:eastAsia="Arial" w:hAnsi="Arial" w:cs="Arial"/>
          <w:b/>
          <w:sz w:val="22"/>
          <w:szCs w:val="22"/>
        </w:rPr>
      </w:pPr>
      <w:r>
        <w:rPr>
          <w:rFonts w:ascii="Arial" w:eastAsia="Arial" w:hAnsi="Arial" w:cs="Arial"/>
          <w:b/>
          <w:sz w:val="22"/>
          <w:szCs w:val="22"/>
        </w:rPr>
        <w:t>2.5.1.</w:t>
      </w:r>
      <w:r>
        <w:rPr>
          <w:rFonts w:ascii="Arial" w:eastAsia="Arial" w:hAnsi="Arial" w:cs="Arial"/>
          <w:sz w:val="22"/>
          <w:szCs w:val="22"/>
        </w:rPr>
        <w:t xml:space="preserve"> </w:t>
      </w:r>
      <w:r>
        <w:rPr>
          <w:rFonts w:ascii="Arial" w:eastAsia="Arial" w:hAnsi="Arial" w:cs="Arial"/>
          <w:b/>
          <w:sz w:val="22"/>
          <w:szCs w:val="22"/>
        </w:rPr>
        <w:t>Alcances y elementos de la reforma a la Ley de Garantías Electorales</w:t>
      </w:r>
    </w:p>
    <w:p w14:paraId="5A9A9489" w14:textId="77777777" w:rsidR="009B3A66" w:rsidRDefault="009B3A66">
      <w:pPr>
        <w:shd w:val="clear" w:color="auto" w:fill="FFFFFF"/>
        <w:spacing w:line="276" w:lineRule="auto"/>
        <w:jc w:val="both"/>
        <w:rPr>
          <w:rFonts w:ascii="Arial" w:eastAsia="Arial" w:hAnsi="Arial" w:cs="Arial"/>
          <w:sz w:val="22"/>
          <w:szCs w:val="22"/>
        </w:rPr>
      </w:pPr>
    </w:p>
    <w:p w14:paraId="774139C3" w14:textId="77777777" w:rsidR="009B3A66" w:rsidRDefault="00C01898">
      <w:pPr>
        <w:shd w:val="clear" w:color="auto" w:fill="FFFFFF"/>
        <w:spacing w:after="120" w:line="276" w:lineRule="auto"/>
        <w:jc w:val="both"/>
      </w:pPr>
      <w:r>
        <w:rPr>
          <w:rFonts w:ascii="Arial" w:eastAsia="Arial" w:hAnsi="Arial" w:cs="Arial"/>
          <w:sz w:val="22"/>
          <w:szCs w:val="22"/>
        </w:rPr>
        <w:t>En este contexto, como se puede apreciar, el artículo 124 de la Ley del Presupuesto para la vigencia fiscal del 2022 que arriba se citó,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1C51E08F" w14:textId="77777777" w:rsidR="009B3A66" w:rsidRDefault="00C01898">
      <w:pPr>
        <w:shd w:val="clear" w:color="auto" w:fill="FFFFFF"/>
        <w:spacing w:line="276" w:lineRule="auto"/>
        <w:ind w:firstLine="708"/>
        <w:jc w:val="both"/>
        <w:rPr>
          <w:rFonts w:ascii="Arial" w:eastAsia="Arial" w:hAnsi="Arial" w:cs="Arial"/>
        </w:rPr>
      </w:pPr>
      <w:r>
        <w:rPr>
          <w:rFonts w:ascii="Arial" w:eastAsia="Arial" w:hAnsi="Arial" w:cs="Arial"/>
          <w:sz w:val="22"/>
          <w:szCs w:val="22"/>
        </w:rPr>
        <w:t xml:space="preserve">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ii) que </w:t>
      </w:r>
      <w:r>
        <w:rPr>
          <w:rFonts w:ascii="Arial" w:eastAsia="Arial" w:hAnsi="Arial" w:cs="Arial"/>
          <w:sz w:val="22"/>
          <w:szCs w:val="22"/>
        </w:rPr>
        <w:lastRenderedPageBreak/>
        <w:t xml:space="preserve">sean celebrados entre la Nación, por una parte, y las entidades territoriales, por otra, y iii) que los convenios sean celebrados con el fin de ejecutar programas o proyectos que correspondan al Presupuesto General de la Nación. A continuación, la Agencia se referirá a cada uno de los aspectos o elementos insertos en la mencionada disposición. </w:t>
      </w:r>
    </w:p>
    <w:p w14:paraId="0C208506" w14:textId="77777777" w:rsidR="009B3A66" w:rsidRDefault="009B3A66">
      <w:pPr>
        <w:shd w:val="clear" w:color="auto" w:fill="FFFFFF"/>
        <w:spacing w:line="276" w:lineRule="auto"/>
        <w:jc w:val="both"/>
        <w:rPr>
          <w:rFonts w:ascii="Arial" w:eastAsia="Arial" w:hAnsi="Arial" w:cs="Arial"/>
          <w:sz w:val="22"/>
          <w:szCs w:val="22"/>
        </w:rPr>
      </w:pPr>
    </w:p>
    <w:p w14:paraId="569BFE10" w14:textId="1A40D6DE" w:rsidR="009B3A66" w:rsidRDefault="00C01898">
      <w:pPr>
        <w:shd w:val="clear" w:color="auto" w:fill="FFFFFF"/>
        <w:spacing w:line="276" w:lineRule="auto"/>
        <w:jc w:val="both"/>
        <w:rPr>
          <w:rFonts w:ascii="Arial" w:eastAsia="Arial" w:hAnsi="Arial" w:cs="Arial"/>
          <w:b/>
          <w:sz w:val="22"/>
          <w:szCs w:val="22"/>
        </w:rPr>
      </w:pPr>
      <w:r>
        <w:rPr>
          <w:rFonts w:ascii="Arial" w:eastAsia="Arial" w:hAnsi="Arial" w:cs="Arial"/>
          <w:b/>
          <w:sz w:val="22"/>
          <w:szCs w:val="22"/>
        </w:rPr>
        <w:t>2.5.1.1. Aspecto temporal</w:t>
      </w:r>
    </w:p>
    <w:p w14:paraId="396E7F35" w14:textId="77777777" w:rsidR="009B3A66" w:rsidRDefault="009B3A66">
      <w:pPr>
        <w:shd w:val="clear" w:color="auto" w:fill="FFFFFF"/>
        <w:spacing w:line="276" w:lineRule="auto"/>
        <w:jc w:val="both"/>
        <w:rPr>
          <w:rFonts w:ascii="Arial" w:eastAsia="Arial" w:hAnsi="Arial" w:cs="Arial"/>
          <w:sz w:val="22"/>
          <w:szCs w:val="22"/>
        </w:rPr>
      </w:pPr>
    </w:p>
    <w:p w14:paraId="5F12F476" w14:textId="77777777" w:rsidR="009B3A66" w:rsidRDefault="00C01898">
      <w:pPr>
        <w:shd w:val="clear" w:color="auto" w:fill="FFFFFF"/>
        <w:spacing w:after="120" w:line="276" w:lineRule="auto"/>
        <w:jc w:val="both"/>
      </w:pPr>
      <w:r>
        <w:rPr>
          <w:rFonts w:ascii="Arial" w:eastAsia="Arial" w:hAnsi="Arial" w:cs="Arial"/>
          <w:sz w:val="22"/>
          <w:szCs w:val="22"/>
        </w:rPr>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75393565" w14:textId="77777777" w:rsidR="009B3A66" w:rsidRDefault="00C01898">
      <w:pPr>
        <w:shd w:val="clear" w:color="auto" w:fill="FFFFFF"/>
        <w:spacing w:line="276" w:lineRule="auto"/>
        <w:ind w:firstLine="709"/>
        <w:jc w:val="both"/>
        <w:rPr>
          <w:rFonts w:ascii="Arial" w:eastAsia="Arial" w:hAnsi="Arial" w:cs="Arial"/>
          <w:sz w:val="22"/>
          <w:szCs w:val="22"/>
        </w:rPr>
      </w:pPr>
      <w:r>
        <w:rPr>
          <w:rFonts w:ascii="Arial" w:eastAsia="Arial" w:hAnsi="Arial" w:cs="Arial"/>
          <w:sz w:val="22"/>
          <w:szCs w:val="22"/>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y parcial de la prohibición,</w:t>
      </w:r>
      <w:r>
        <w:rPr>
          <w:rFonts w:ascii="Arial" w:eastAsia="Arial" w:hAnsi="Arial" w:cs="Arial"/>
        </w:rPr>
        <w:t xml:space="preserve"> </w:t>
      </w:r>
      <w:r>
        <w:rPr>
          <w:rFonts w:ascii="Arial" w:eastAsia="Arial" w:hAnsi="Arial" w:cs="Arial"/>
          <w:sz w:val="22"/>
          <w:szCs w:val="22"/>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2EC25E6D" w14:textId="77777777" w:rsidR="009B3A66" w:rsidRDefault="009B3A66">
      <w:pPr>
        <w:shd w:val="clear" w:color="auto" w:fill="FFFFFF"/>
        <w:spacing w:line="276" w:lineRule="auto"/>
        <w:jc w:val="both"/>
        <w:rPr>
          <w:rFonts w:ascii="Arial" w:eastAsia="Arial" w:hAnsi="Arial" w:cs="Arial"/>
          <w:sz w:val="22"/>
          <w:szCs w:val="22"/>
        </w:rPr>
      </w:pPr>
    </w:p>
    <w:p w14:paraId="71AD4374" w14:textId="447FC2F0" w:rsidR="009B3A66" w:rsidRDefault="00C01898">
      <w:pPr>
        <w:shd w:val="clear" w:color="auto" w:fill="FFFFFF"/>
        <w:spacing w:line="276" w:lineRule="auto"/>
        <w:jc w:val="both"/>
        <w:rPr>
          <w:rFonts w:ascii="Arial" w:eastAsia="Arial" w:hAnsi="Arial" w:cs="Arial"/>
          <w:b/>
          <w:sz w:val="22"/>
          <w:szCs w:val="22"/>
        </w:rPr>
      </w:pPr>
      <w:r>
        <w:rPr>
          <w:rFonts w:ascii="Arial" w:eastAsia="Arial" w:hAnsi="Arial" w:cs="Arial"/>
          <w:b/>
          <w:sz w:val="22"/>
          <w:szCs w:val="22"/>
        </w:rPr>
        <w:t>2.5.1.2. Aspecto subjetivo</w:t>
      </w:r>
    </w:p>
    <w:p w14:paraId="1F019A66" w14:textId="77777777" w:rsidR="009B3A66" w:rsidRDefault="009B3A66">
      <w:pPr>
        <w:shd w:val="clear" w:color="auto" w:fill="FFFFFF"/>
        <w:spacing w:line="276" w:lineRule="auto"/>
        <w:jc w:val="both"/>
        <w:rPr>
          <w:rFonts w:ascii="Arial" w:eastAsia="Arial" w:hAnsi="Arial" w:cs="Arial"/>
          <w:sz w:val="22"/>
          <w:szCs w:val="22"/>
        </w:rPr>
      </w:pPr>
    </w:p>
    <w:p w14:paraId="1B8D0C34" w14:textId="77777777" w:rsidR="009B3A66" w:rsidRDefault="00C01898">
      <w:pPr>
        <w:shd w:val="clear" w:color="auto" w:fill="FFFFFF"/>
        <w:spacing w:after="120" w:line="276" w:lineRule="auto"/>
        <w:jc w:val="both"/>
      </w:pPr>
      <w:r>
        <w:rPr>
          <w:rFonts w:ascii="Arial" w:eastAsia="Arial" w:hAnsi="Arial" w:cs="Arial"/>
          <w:sz w:val="22"/>
          <w:szCs w:val="22"/>
        </w:rPr>
        <w:t xml:space="preserve">Ahora bien, según se señaló atrás, el parágrafo del artículo 38 de la Ley 996 de 2005, en su texto original, establece una prohibición dirigida a los alcaldes, gobernadores, secretarios, gerentes y directores de las entidades del orden municipal, departamental o distrital, quienes no podrán celebrar convenios y contratos interadministrativos para la ejecución de recursos públicos durante el periodo establecido en ese mismo parágrafo, sin hacer diferencia alguna con respecto a la modalidad de selección que se utilice, ante lo cual, es factible que los contratos o convenios interadministrativos sean celebrados entre entidades territoriales, exclusivamente, o entre ellas y entes nacionales. </w:t>
      </w:r>
    </w:p>
    <w:p w14:paraId="0D19F5DE" w14:textId="77777777" w:rsidR="009B3A66" w:rsidRDefault="00C01898">
      <w:pPr>
        <w:shd w:val="clear" w:color="auto" w:fill="FFFFFF"/>
        <w:spacing w:after="120" w:line="276" w:lineRule="auto"/>
        <w:ind w:firstLine="708"/>
        <w:jc w:val="both"/>
      </w:pPr>
      <w:bookmarkStart w:id="25" w:name="_1ci93xb" w:colFirst="0" w:colLast="0"/>
      <w:bookmarkEnd w:id="25"/>
      <w:r>
        <w:rPr>
          <w:rFonts w:ascii="Arial" w:eastAsia="Arial" w:hAnsi="Arial" w:cs="Arial"/>
          <w:sz w:val="22"/>
          <w:szCs w:val="22"/>
        </w:rPr>
        <w:t>Como se observa, el artículo 124 de la Ley 2159 de 2021 hace referencia a que la «Nación» podrá celebrar convenios interadministrativos con «las entidades territoriales», razón por la cual en su aplicación resulta relevante el concepto que se tenga de los dos sujetos de derecho autorizados para celebrarlos.</w:t>
      </w:r>
    </w:p>
    <w:p w14:paraId="37FA0A5C" w14:textId="77777777" w:rsidR="009B3A66" w:rsidRDefault="00C01898">
      <w:pPr>
        <w:shd w:val="clear" w:color="auto" w:fill="FFFFFF"/>
        <w:spacing w:after="120" w:line="276" w:lineRule="auto"/>
        <w:ind w:firstLine="708"/>
        <w:jc w:val="both"/>
      </w:pPr>
      <w:r>
        <w:rPr>
          <w:rFonts w:ascii="Arial" w:eastAsia="Arial" w:hAnsi="Arial" w:cs="Arial"/>
          <w:sz w:val="22"/>
          <w:szCs w:val="22"/>
        </w:rPr>
        <w:lastRenderedPageBreak/>
        <w:t>En cuanto a las entidades territoriales, el artículo 286 de la Constitución Política establece claramente que son «los departamentos, los distritos, los municipios y los territorios indígenas» y la «ley podrá darles el carácter de entidades territoriales a las regiones y provincias que se constituyan en los términos de la Constitución y de la ley».</w:t>
      </w:r>
    </w:p>
    <w:p w14:paraId="0E6C348E" w14:textId="77777777" w:rsidR="009B3A66" w:rsidRDefault="00C01898">
      <w:pPr>
        <w:shd w:val="clear" w:color="auto" w:fill="FFFFFF"/>
        <w:spacing w:after="120" w:line="276" w:lineRule="auto"/>
        <w:ind w:firstLine="708"/>
        <w:jc w:val="both"/>
      </w:pPr>
      <w:r>
        <w:rPr>
          <w:rFonts w:ascii="Arial" w:eastAsia="Arial" w:hAnsi="Arial" w:cs="Arial"/>
          <w:sz w:val="22"/>
          <w:szCs w:val="22"/>
        </w:rPr>
        <w:t>Sin embargo, en el derecho constitucional el concepto Nación ha sido de difícil determinación y amplia discusión. La Nación se ha definido de distintas maneras, no obstante, uno de sus sentidos es el que lo identifica con el término de Estado y comprendida en él, es decir, como una estructura política y administrativa</w:t>
      </w:r>
      <w:r>
        <w:rPr>
          <w:rFonts w:ascii="Arial" w:eastAsia="Arial" w:hAnsi="Arial" w:cs="Arial"/>
          <w:sz w:val="22"/>
          <w:szCs w:val="22"/>
          <w:vertAlign w:val="superscript"/>
        </w:rPr>
        <w:footnoteReference w:id="47"/>
      </w:r>
      <w:r>
        <w:rPr>
          <w:rFonts w:ascii="Arial" w:eastAsia="Arial" w:hAnsi="Arial" w:cs="Arial"/>
          <w:sz w:val="22"/>
          <w:szCs w:val="22"/>
        </w:rPr>
        <w:t xml:space="preserve">. </w:t>
      </w:r>
    </w:p>
    <w:p w14:paraId="6828E9D9" w14:textId="77777777" w:rsidR="009B3A66" w:rsidRDefault="00C01898">
      <w:pPr>
        <w:shd w:val="clear" w:color="auto" w:fill="FFFFFF"/>
        <w:spacing w:line="276" w:lineRule="auto"/>
        <w:ind w:firstLine="708"/>
        <w:jc w:val="both"/>
        <w:rPr>
          <w:rFonts w:ascii="Arial" w:eastAsia="Arial" w:hAnsi="Arial" w:cs="Arial"/>
          <w:sz w:val="22"/>
          <w:szCs w:val="22"/>
        </w:rPr>
      </w:pPr>
      <w:r>
        <w:rPr>
          <w:rFonts w:ascii="Arial" w:eastAsia="Arial" w:hAnsi="Arial" w:cs="Arial"/>
          <w:sz w:val="22"/>
          <w:szCs w:val="22"/>
        </w:rPr>
        <w:t>Bajo esta óptica, es menester recordar que, conforme al artículo 1 de la Constitución Política, Colombia es un Estado social derecho, organizado en forma de República unitaria pero descentralizada y con autonomía de sus entidades territoriales</w:t>
      </w:r>
      <w:r>
        <w:rPr>
          <w:rFonts w:ascii="Arial" w:eastAsia="Arial" w:hAnsi="Arial" w:cs="Arial"/>
          <w:sz w:val="22"/>
          <w:szCs w:val="22"/>
          <w:vertAlign w:val="superscript"/>
        </w:rPr>
        <w:footnoteReference w:id="48"/>
      </w:r>
      <w:r>
        <w:rPr>
          <w:rFonts w:ascii="Arial" w:eastAsia="Arial" w:hAnsi="Arial" w:cs="Arial"/>
          <w:sz w:val="22"/>
          <w:szCs w:val="22"/>
        </w:rPr>
        <w:t>; y que, precisamente, en nuestro ordenamiento jurídico se utiliza la expresión «Nación», en vez de la expresión «Estado», para hacer alusión a las autoridades centrales y diferenciarlas de las autoridades descentralizadas territorialmente y por servicios.</w:t>
      </w:r>
      <w:r>
        <w:rPr>
          <w:rFonts w:ascii="Arial" w:eastAsia="Arial" w:hAnsi="Arial" w:cs="Arial"/>
          <w:sz w:val="22"/>
          <w:szCs w:val="22"/>
          <w:vertAlign w:val="superscript"/>
        </w:rPr>
        <w:footnoteReference w:id="49"/>
      </w:r>
      <w:r>
        <w:rPr>
          <w:rFonts w:ascii="Arial" w:eastAsia="Arial" w:hAnsi="Arial" w:cs="Arial"/>
          <w:sz w:val="22"/>
          <w:szCs w:val="22"/>
        </w:rPr>
        <w:t xml:space="preserve"> Así lo ha manifestado la Corte Constitucional:</w:t>
      </w:r>
    </w:p>
    <w:p w14:paraId="04A027DE" w14:textId="77777777" w:rsidR="009B3A66" w:rsidRDefault="009B3A66">
      <w:pPr>
        <w:shd w:val="clear" w:color="auto" w:fill="FFFFFF"/>
        <w:spacing w:line="276" w:lineRule="auto"/>
        <w:ind w:firstLine="708"/>
        <w:jc w:val="both"/>
        <w:rPr>
          <w:rFonts w:ascii="Arial" w:eastAsia="Arial" w:hAnsi="Arial" w:cs="Arial"/>
          <w:sz w:val="22"/>
          <w:szCs w:val="22"/>
        </w:rPr>
      </w:pPr>
    </w:p>
    <w:p w14:paraId="0F2610B2" w14:textId="77777777" w:rsidR="009B3A66" w:rsidRDefault="00C01898" w:rsidP="00A96608">
      <w:pPr>
        <w:shd w:val="clear" w:color="auto" w:fill="FFFFFF"/>
        <w:ind w:left="709" w:right="567"/>
        <w:jc w:val="both"/>
      </w:pPr>
      <w:r>
        <w:rPr>
          <w:rFonts w:ascii="Arial" w:eastAsia="Arial" w:hAnsi="Arial" w:cs="Arial"/>
          <w:sz w:val="21"/>
          <w:szCs w:val="21"/>
        </w:rPr>
        <w:t xml:space="preserve">[E]n general nuestra normatividad </w:t>
      </w:r>
      <w:r>
        <w:rPr>
          <w:rFonts w:ascii="Arial" w:eastAsia="Arial" w:hAnsi="Arial" w:cs="Arial"/>
          <w:i/>
          <w:sz w:val="21"/>
          <w:szCs w:val="21"/>
        </w:rPr>
        <w:t>ha reservado la palabra “Nación”</w:t>
      </w:r>
      <w:r>
        <w:rPr>
          <w:rFonts w:ascii="Arial" w:eastAsia="Arial" w:hAnsi="Arial" w:cs="Arial"/>
          <w:sz w:val="21"/>
          <w:szCs w:val="21"/>
        </w:rPr>
        <w:t xml:space="preserve">, en vez de la palabra “Estado”, </w:t>
      </w:r>
      <w:r>
        <w:rPr>
          <w:rFonts w:ascii="Arial" w:eastAsia="Arial" w:hAnsi="Arial" w:cs="Arial"/>
          <w:i/>
          <w:sz w:val="21"/>
          <w:szCs w:val="21"/>
        </w:rPr>
        <w:t>para hacer referencia a las autoridades centrales y distinguirlas de las autoridades descentralizadas</w:t>
      </w:r>
      <w:r>
        <w:rPr>
          <w:rFonts w:ascii="Arial" w:eastAsia="Arial" w:hAnsi="Arial" w:cs="Arial"/>
          <w:sz w:val="21"/>
          <w:szCs w:val="21"/>
        </w:rPr>
        <w:t xml:space="preserve">. Así, el artículo 182 de la Constitución derogada ordenaba a la ley determinar “los servicios a cargo de la Nación y de las entidades descentralizadas”. Ese lenguaje se ha mantenido en la Constitución de 1991, pues </w:t>
      </w:r>
      <w:r>
        <w:rPr>
          <w:rFonts w:ascii="Arial" w:eastAsia="Arial" w:hAnsi="Arial" w:cs="Arial"/>
          <w:i/>
          <w:sz w:val="21"/>
          <w:szCs w:val="21"/>
        </w:rPr>
        <w:t>la Carta utiliza la palabra Nación cuando se refiere a las competencias propias de las autoridades centrales, mientras que la palabra Estado denota en general el conjunto de todas las autoridades públicas</w:t>
      </w:r>
      <w:r>
        <w:rPr>
          <w:rFonts w:ascii="Arial" w:eastAsia="Arial" w:hAnsi="Arial" w:cs="Arial"/>
          <w:sz w:val="21"/>
          <w:szCs w:val="21"/>
        </w:rPr>
        <w:t>. (Cursiva fuera del texto).</w:t>
      </w:r>
    </w:p>
    <w:p w14:paraId="425B341C" w14:textId="77777777" w:rsidR="009B3A66" w:rsidRDefault="009B3A66">
      <w:pPr>
        <w:shd w:val="clear" w:color="auto" w:fill="FFFFFF"/>
        <w:spacing w:line="276" w:lineRule="auto"/>
        <w:ind w:firstLine="708"/>
        <w:jc w:val="both"/>
        <w:rPr>
          <w:rFonts w:ascii="Arial" w:eastAsia="Arial" w:hAnsi="Arial" w:cs="Arial"/>
          <w:sz w:val="22"/>
          <w:szCs w:val="22"/>
        </w:rPr>
      </w:pPr>
    </w:p>
    <w:p w14:paraId="3FEAFFE5" w14:textId="77777777" w:rsidR="009B3A66" w:rsidRDefault="00C01898">
      <w:pPr>
        <w:shd w:val="clear" w:color="auto" w:fill="FFFFFF"/>
        <w:spacing w:after="120" w:line="276" w:lineRule="auto"/>
        <w:ind w:firstLine="708"/>
        <w:jc w:val="both"/>
      </w:pPr>
      <w:r>
        <w:rPr>
          <w:rFonts w:ascii="Arial" w:eastAsia="Arial" w:hAnsi="Arial" w:cs="Arial"/>
          <w:sz w:val="22"/>
          <w:szCs w:val="22"/>
        </w:rPr>
        <w:t>De otro lado, el Estado en su conjunto, esto es, la Nación y otros órganos que realizan las diversas funciones y servicios, actúa en el mundo del Derecho dotado de personalidad jurídica como</w:t>
      </w:r>
      <w:r>
        <w:rPr>
          <w:rFonts w:ascii="Arial" w:eastAsia="Arial" w:hAnsi="Arial" w:cs="Arial"/>
        </w:rPr>
        <w:t xml:space="preserve"> </w:t>
      </w:r>
      <w:r>
        <w:rPr>
          <w:rFonts w:ascii="Arial" w:eastAsia="Arial" w:hAnsi="Arial" w:cs="Arial"/>
          <w:sz w:val="22"/>
          <w:szCs w:val="22"/>
        </w:rPr>
        <w:t xml:space="preserve">sujeto de derechos y obligaciones. En efecto, el artículo 80 de la Ley 153 de 1887 establece que </w:t>
      </w:r>
      <w:r>
        <w:rPr>
          <w:rFonts w:ascii="Arial" w:eastAsia="Arial" w:hAnsi="Arial" w:cs="Arial"/>
          <w:sz w:val="21"/>
          <w:szCs w:val="21"/>
        </w:rPr>
        <w:t>«</w:t>
      </w:r>
      <w:r>
        <w:rPr>
          <w:rFonts w:ascii="Arial" w:eastAsia="Arial" w:hAnsi="Arial" w:cs="Arial"/>
          <w:sz w:val="22"/>
          <w:szCs w:val="22"/>
        </w:rPr>
        <w:t xml:space="preserve">[l]a Nación, los Departamentos, los Municipios, los </w:t>
      </w:r>
      <w:r>
        <w:rPr>
          <w:rFonts w:ascii="Arial" w:eastAsia="Arial" w:hAnsi="Arial" w:cs="Arial"/>
          <w:sz w:val="22"/>
          <w:szCs w:val="22"/>
        </w:rPr>
        <w:lastRenderedPageBreak/>
        <w:t>establecimientos de beneficencia y los de instrucción pública, y las corporaciones creadas o reconocidas por la ley, son personas jurídicas</w:t>
      </w:r>
      <w:r>
        <w:rPr>
          <w:rFonts w:ascii="Arial" w:eastAsia="Arial" w:hAnsi="Arial" w:cs="Arial"/>
          <w:sz w:val="21"/>
          <w:szCs w:val="21"/>
        </w:rPr>
        <w:t>»</w:t>
      </w:r>
      <w:r>
        <w:rPr>
          <w:rFonts w:ascii="Arial" w:eastAsia="Arial" w:hAnsi="Arial" w:cs="Arial"/>
          <w:sz w:val="22"/>
          <w:szCs w:val="22"/>
        </w:rPr>
        <w:t xml:space="preserve">. </w:t>
      </w:r>
    </w:p>
    <w:p w14:paraId="3567D958" w14:textId="7466452E" w:rsidR="009B3A66" w:rsidRDefault="00C01898">
      <w:pPr>
        <w:shd w:val="clear" w:color="auto" w:fill="FFFFFF"/>
        <w:spacing w:after="120" w:line="276" w:lineRule="auto"/>
        <w:ind w:firstLine="708"/>
        <w:jc w:val="both"/>
      </w:pPr>
      <w:r>
        <w:rPr>
          <w:rFonts w:ascii="Arial" w:eastAsia="Arial" w:hAnsi="Arial" w:cs="Arial"/>
          <w:sz w:val="22"/>
          <w:szCs w:val="22"/>
        </w:rPr>
        <w:t>Bajo este esquema constitucional y legal se ha entendido que «las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Pr>
          <w:rFonts w:ascii="Arial" w:eastAsia="Arial" w:hAnsi="Arial" w:cs="Arial"/>
          <w:sz w:val="21"/>
          <w:szCs w:val="21"/>
        </w:rPr>
        <w:t>».</w:t>
      </w:r>
      <w:r>
        <w:rPr>
          <w:rFonts w:ascii="Arial" w:eastAsia="Arial" w:hAnsi="Arial" w:cs="Arial"/>
          <w:sz w:val="21"/>
          <w:szCs w:val="21"/>
          <w:vertAlign w:val="superscript"/>
        </w:rPr>
        <w:footnoteReference w:id="50"/>
      </w:r>
      <w:r>
        <w:rPr>
          <w:rFonts w:ascii="Arial" w:eastAsia="Arial" w:hAnsi="Arial" w:cs="Arial"/>
          <w:sz w:val="22"/>
          <w:szCs w:val="22"/>
        </w:rPr>
        <w:t xml:space="preserve"> </w:t>
      </w:r>
    </w:p>
    <w:p w14:paraId="6C09E70C" w14:textId="77777777" w:rsidR="009B3A66" w:rsidRDefault="00C01898">
      <w:pPr>
        <w:shd w:val="clear" w:color="auto" w:fill="FFFFFF"/>
        <w:spacing w:line="276" w:lineRule="auto"/>
        <w:ind w:firstLine="709"/>
        <w:jc w:val="both"/>
        <w:rPr>
          <w:rFonts w:ascii="Arial" w:eastAsia="Arial" w:hAnsi="Arial" w:cs="Arial"/>
          <w:sz w:val="22"/>
          <w:szCs w:val="22"/>
        </w:rPr>
      </w:pPr>
      <w:r>
        <w:rPr>
          <w:rFonts w:ascii="Arial" w:eastAsia="Arial" w:hAnsi="Arial" w:cs="Arial"/>
          <w:sz w:val="22"/>
          <w:szCs w:val="22"/>
        </w:rPr>
        <w:t xml:space="preserve">En particular, la Rama Ejecutiva del Poder público se manifiesta en dos órdenes o niveles, por un lado, el nivel nacional, o «administración nacional» que a su turno puede contar con entidades descentralizadas por servicios, y por el otro, el nivel descentralizado por virtud del territorio, o «administración territorial». En efecto, el artículo 38 de la Ley 489 de 1998, por medio de la cual se dictan normas sobre la organización y funcionamiento de las entidades del orden nacional, se expiden las disposiciones, principios y reglas para el ejercicio de las atribuciones previstas en los numerales 15 y 16 del artículo 189 de la Constitución, al respecto dispone: </w:t>
      </w:r>
    </w:p>
    <w:p w14:paraId="52F1AEA5" w14:textId="77777777" w:rsidR="009B3A66" w:rsidRDefault="009B3A66">
      <w:pPr>
        <w:shd w:val="clear" w:color="auto" w:fill="FFFFFF"/>
        <w:spacing w:line="276" w:lineRule="auto"/>
        <w:ind w:firstLine="709"/>
        <w:jc w:val="both"/>
      </w:pPr>
    </w:p>
    <w:p w14:paraId="1CC5D060" w14:textId="77777777" w:rsidR="009B3A66" w:rsidRDefault="00C01898">
      <w:pPr>
        <w:shd w:val="clear" w:color="auto" w:fill="FFFFFF"/>
        <w:spacing w:after="120" w:line="276" w:lineRule="auto"/>
        <w:ind w:left="709" w:right="709"/>
        <w:jc w:val="both"/>
      </w:pPr>
      <w:r>
        <w:rPr>
          <w:rFonts w:ascii="Arial" w:eastAsia="Arial" w:hAnsi="Arial" w:cs="Arial"/>
          <w:sz w:val="21"/>
          <w:szCs w:val="21"/>
        </w:rPr>
        <w:t>La Rama Ejecutiva del Poder Público del orden nacional, está integrada por los siguientes organismos y entidades:</w:t>
      </w:r>
    </w:p>
    <w:p w14:paraId="6BD7C3F2" w14:textId="77777777" w:rsidR="009B3A66" w:rsidRDefault="00C01898">
      <w:pPr>
        <w:shd w:val="clear" w:color="auto" w:fill="FFFFFF"/>
        <w:spacing w:after="120" w:line="276" w:lineRule="auto"/>
        <w:ind w:left="709" w:right="709"/>
        <w:jc w:val="both"/>
      </w:pPr>
      <w:r>
        <w:rPr>
          <w:rFonts w:ascii="Arial" w:eastAsia="Arial" w:hAnsi="Arial" w:cs="Arial"/>
          <w:sz w:val="21"/>
          <w:szCs w:val="21"/>
        </w:rPr>
        <w:t>1. Del Sector Central:</w:t>
      </w:r>
    </w:p>
    <w:p w14:paraId="4F850948" w14:textId="77777777" w:rsidR="009B3A66" w:rsidRDefault="00C01898">
      <w:pPr>
        <w:shd w:val="clear" w:color="auto" w:fill="FFFFFF"/>
        <w:spacing w:after="120" w:line="276" w:lineRule="auto"/>
        <w:ind w:left="709" w:right="709"/>
        <w:jc w:val="both"/>
      </w:pPr>
      <w:r>
        <w:rPr>
          <w:rFonts w:ascii="Arial" w:eastAsia="Arial" w:hAnsi="Arial" w:cs="Arial"/>
          <w:sz w:val="21"/>
          <w:szCs w:val="21"/>
        </w:rPr>
        <w:t>a) La Presidencia de la República;</w:t>
      </w:r>
    </w:p>
    <w:p w14:paraId="3DC1FE6D" w14:textId="77777777" w:rsidR="009B3A66" w:rsidRDefault="00C01898">
      <w:pPr>
        <w:shd w:val="clear" w:color="auto" w:fill="FFFFFF"/>
        <w:spacing w:after="120" w:line="276" w:lineRule="auto"/>
        <w:ind w:left="709" w:right="709"/>
        <w:jc w:val="both"/>
      </w:pPr>
      <w:r>
        <w:rPr>
          <w:rFonts w:ascii="Arial" w:eastAsia="Arial" w:hAnsi="Arial" w:cs="Arial"/>
          <w:sz w:val="21"/>
          <w:szCs w:val="21"/>
        </w:rPr>
        <w:t>b) La Vicepresidencia de la República;</w:t>
      </w:r>
    </w:p>
    <w:p w14:paraId="564A6B52" w14:textId="77777777" w:rsidR="009B3A66" w:rsidRDefault="00C01898">
      <w:pPr>
        <w:shd w:val="clear" w:color="auto" w:fill="FFFFFF"/>
        <w:spacing w:after="120" w:line="276" w:lineRule="auto"/>
        <w:ind w:left="709" w:right="709"/>
        <w:jc w:val="both"/>
      </w:pPr>
      <w:r>
        <w:rPr>
          <w:rFonts w:ascii="Arial" w:eastAsia="Arial" w:hAnsi="Arial" w:cs="Arial"/>
          <w:sz w:val="21"/>
          <w:szCs w:val="21"/>
        </w:rPr>
        <w:t>c) Los Consejos Superiores de la administración;</w:t>
      </w:r>
    </w:p>
    <w:p w14:paraId="00040CD3" w14:textId="77777777" w:rsidR="009B3A66" w:rsidRDefault="00C01898">
      <w:pPr>
        <w:shd w:val="clear" w:color="auto" w:fill="FFFFFF"/>
        <w:spacing w:after="120" w:line="276" w:lineRule="auto"/>
        <w:ind w:left="709" w:right="709"/>
        <w:jc w:val="both"/>
      </w:pPr>
      <w:r>
        <w:rPr>
          <w:rFonts w:ascii="Arial" w:eastAsia="Arial" w:hAnsi="Arial" w:cs="Arial"/>
          <w:sz w:val="21"/>
          <w:szCs w:val="21"/>
        </w:rPr>
        <w:t>d) Los ministerios y departamentos administrativos;</w:t>
      </w:r>
    </w:p>
    <w:p w14:paraId="366C9A93" w14:textId="77777777" w:rsidR="009B3A66" w:rsidRDefault="00C01898">
      <w:pPr>
        <w:shd w:val="clear" w:color="auto" w:fill="FFFFFF"/>
        <w:spacing w:after="120" w:line="276" w:lineRule="auto"/>
        <w:ind w:left="709" w:right="709"/>
        <w:jc w:val="both"/>
      </w:pPr>
      <w:r>
        <w:rPr>
          <w:rFonts w:ascii="Arial" w:eastAsia="Arial" w:hAnsi="Arial" w:cs="Arial"/>
          <w:sz w:val="21"/>
          <w:szCs w:val="21"/>
        </w:rPr>
        <w:t>e) Las superintendencias y unidades administrativas especiales sin personería jurídica;</w:t>
      </w:r>
    </w:p>
    <w:p w14:paraId="7F72BB69" w14:textId="77777777" w:rsidR="009B3A66" w:rsidRDefault="00C01898">
      <w:pPr>
        <w:shd w:val="clear" w:color="auto" w:fill="FFFFFF"/>
        <w:spacing w:after="120" w:line="276" w:lineRule="auto"/>
        <w:ind w:left="709" w:right="709"/>
        <w:jc w:val="both"/>
      </w:pPr>
      <w:r>
        <w:rPr>
          <w:rFonts w:ascii="Arial" w:eastAsia="Arial" w:hAnsi="Arial" w:cs="Arial"/>
          <w:sz w:val="21"/>
          <w:szCs w:val="21"/>
        </w:rPr>
        <w:t>2. Del Sector Descentralizado por Servicios:</w:t>
      </w:r>
    </w:p>
    <w:p w14:paraId="6F8CBA2E" w14:textId="77777777" w:rsidR="009B3A66" w:rsidRDefault="00C01898">
      <w:pPr>
        <w:shd w:val="clear" w:color="auto" w:fill="FFFFFF"/>
        <w:spacing w:after="120" w:line="276" w:lineRule="auto"/>
        <w:ind w:left="709" w:right="709"/>
        <w:jc w:val="both"/>
      </w:pPr>
      <w:r>
        <w:rPr>
          <w:rFonts w:ascii="Arial" w:eastAsia="Arial" w:hAnsi="Arial" w:cs="Arial"/>
          <w:sz w:val="21"/>
          <w:szCs w:val="21"/>
        </w:rPr>
        <w:t>a) Los establecimientos públicos;</w:t>
      </w:r>
    </w:p>
    <w:p w14:paraId="04CF6D7A" w14:textId="77777777" w:rsidR="009B3A66" w:rsidRDefault="00C01898">
      <w:pPr>
        <w:shd w:val="clear" w:color="auto" w:fill="FFFFFF"/>
        <w:spacing w:after="120" w:line="276" w:lineRule="auto"/>
        <w:ind w:left="709" w:right="709"/>
        <w:jc w:val="both"/>
      </w:pPr>
      <w:r>
        <w:rPr>
          <w:rFonts w:ascii="Arial" w:eastAsia="Arial" w:hAnsi="Arial" w:cs="Arial"/>
          <w:sz w:val="21"/>
          <w:szCs w:val="21"/>
        </w:rPr>
        <w:t>b) Las empresas industriales y comerciales del Estado;</w:t>
      </w:r>
    </w:p>
    <w:p w14:paraId="24A7910D" w14:textId="77777777" w:rsidR="009B3A66" w:rsidRDefault="00C01898">
      <w:pPr>
        <w:shd w:val="clear" w:color="auto" w:fill="FFFFFF"/>
        <w:spacing w:after="120" w:line="276" w:lineRule="auto"/>
        <w:ind w:left="709" w:right="709"/>
        <w:jc w:val="both"/>
      </w:pPr>
      <w:r>
        <w:rPr>
          <w:rFonts w:ascii="Arial" w:eastAsia="Arial" w:hAnsi="Arial" w:cs="Arial"/>
          <w:sz w:val="21"/>
          <w:szCs w:val="21"/>
        </w:rPr>
        <w:t>c) Las superintendencias y unidades administrativas especiales con personería jurídica;</w:t>
      </w:r>
    </w:p>
    <w:p w14:paraId="4B746E3F" w14:textId="77777777" w:rsidR="009B3A66" w:rsidRDefault="00C01898">
      <w:pPr>
        <w:shd w:val="clear" w:color="auto" w:fill="FFFFFF"/>
        <w:spacing w:after="120" w:line="276" w:lineRule="auto"/>
        <w:ind w:left="709" w:right="709"/>
        <w:jc w:val="both"/>
      </w:pPr>
      <w:r>
        <w:rPr>
          <w:rFonts w:ascii="Arial" w:eastAsia="Arial" w:hAnsi="Arial" w:cs="Arial"/>
          <w:sz w:val="21"/>
          <w:szCs w:val="21"/>
        </w:rPr>
        <w:t>d) Las empresas sociales del Estado y las empresas oficiales de servicios públicos domiciliarios;</w:t>
      </w:r>
    </w:p>
    <w:p w14:paraId="4CB64E83" w14:textId="77777777" w:rsidR="009B3A66" w:rsidRDefault="00C01898">
      <w:pPr>
        <w:shd w:val="clear" w:color="auto" w:fill="FFFFFF"/>
        <w:spacing w:after="120" w:line="276" w:lineRule="auto"/>
        <w:ind w:left="709" w:right="709"/>
        <w:jc w:val="both"/>
      </w:pPr>
      <w:r>
        <w:rPr>
          <w:rFonts w:ascii="Arial" w:eastAsia="Arial" w:hAnsi="Arial" w:cs="Arial"/>
          <w:sz w:val="21"/>
          <w:szCs w:val="21"/>
        </w:rPr>
        <w:lastRenderedPageBreak/>
        <w:t>e) Los institutos científicos y tecnológicos;</w:t>
      </w:r>
    </w:p>
    <w:p w14:paraId="08EED973" w14:textId="77777777" w:rsidR="009B3A66" w:rsidRDefault="00C01898">
      <w:pPr>
        <w:shd w:val="clear" w:color="auto" w:fill="FFFFFF"/>
        <w:spacing w:after="120" w:line="276" w:lineRule="auto"/>
        <w:ind w:left="709" w:right="709"/>
        <w:jc w:val="both"/>
      </w:pPr>
      <w:r>
        <w:rPr>
          <w:rFonts w:ascii="Arial" w:eastAsia="Arial" w:hAnsi="Arial" w:cs="Arial"/>
          <w:sz w:val="21"/>
          <w:szCs w:val="21"/>
        </w:rPr>
        <w:t>f) Las sociedades públicas y las sociedades de economía mixta;</w:t>
      </w:r>
    </w:p>
    <w:p w14:paraId="4E18CCCB" w14:textId="77777777" w:rsidR="009B3A66" w:rsidRDefault="00C01898">
      <w:pPr>
        <w:shd w:val="clear" w:color="auto" w:fill="FFFFFF"/>
        <w:spacing w:line="276" w:lineRule="auto"/>
        <w:ind w:left="709" w:right="709"/>
        <w:jc w:val="both"/>
        <w:rPr>
          <w:rFonts w:ascii="Arial" w:eastAsia="Arial" w:hAnsi="Arial" w:cs="Arial"/>
          <w:sz w:val="21"/>
          <w:szCs w:val="21"/>
        </w:rPr>
      </w:pPr>
      <w:r>
        <w:rPr>
          <w:rFonts w:ascii="Arial" w:eastAsia="Arial" w:hAnsi="Arial" w:cs="Arial"/>
          <w:sz w:val="21"/>
          <w:szCs w:val="21"/>
        </w:rPr>
        <w:t xml:space="preserve">g) Las demás entidades administrativas nacionales con personería jurídica que cree, organice o autorice la ley para que formen parte de la Rama Ejecutiva del Poder Público. </w:t>
      </w:r>
    </w:p>
    <w:p w14:paraId="2875748B" w14:textId="77777777" w:rsidR="009B3A66" w:rsidRDefault="009B3A66">
      <w:pPr>
        <w:shd w:val="clear" w:color="auto" w:fill="FFFFFF"/>
        <w:spacing w:line="276" w:lineRule="auto"/>
        <w:ind w:left="709" w:right="709"/>
        <w:jc w:val="both"/>
        <w:rPr>
          <w:rFonts w:ascii="Arial" w:eastAsia="Arial" w:hAnsi="Arial" w:cs="Arial"/>
        </w:rPr>
      </w:pPr>
    </w:p>
    <w:p w14:paraId="3D04C872" w14:textId="77777777" w:rsidR="009B3A66" w:rsidRDefault="00C01898">
      <w:pPr>
        <w:shd w:val="clear" w:color="auto" w:fill="FFFFFF"/>
        <w:spacing w:after="120" w:line="276" w:lineRule="auto"/>
        <w:ind w:firstLine="708"/>
        <w:jc w:val="both"/>
      </w:pPr>
      <w:r>
        <w:rPr>
          <w:rFonts w:ascii="Arial" w:eastAsia="Arial" w:hAnsi="Arial" w:cs="Arial"/>
          <w:sz w:val="22"/>
          <w:szCs w:val="22"/>
        </w:rPr>
        <w:t>Según la norma transcrita, la organización de la Rama Ejecutiva del Poder Público, en su nivel nacional, cuenta con dos sectores: uno central conformado por la Presidencia de la República, la Vicepresidencia, los ministerios, departamentos administrativos, consejos superiores de la administración y las superintendencias y unidades administrativas especiales sin personería jurídica; y otro descentralizado, en el cual se encuentran los establecimientos públicos, las empresas industriales y comerciales del Estado, las sociedades de economía mixta y, en general, las entidades administrativas nacionales que cuenten con personería jurídica diferente a la Nación</w:t>
      </w:r>
      <w:r>
        <w:rPr>
          <w:rFonts w:ascii="Arial" w:eastAsia="Arial" w:hAnsi="Arial" w:cs="Arial"/>
          <w:sz w:val="22"/>
          <w:szCs w:val="22"/>
          <w:vertAlign w:val="superscript"/>
        </w:rPr>
        <w:footnoteReference w:id="51"/>
      </w:r>
      <w:r>
        <w:rPr>
          <w:rFonts w:ascii="Arial" w:eastAsia="Arial" w:hAnsi="Arial" w:cs="Arial"/>
          <w:sz w:val="22"/>
          <w:szCs w:val="22"/>
        </w:rPr>
        <w:t>.</w:t>
      </w:r>
    </w:p>
    <w:p w14:paraId="7B8A8FFB" w14:textId="77777777" w:rsidR="009B3A66" w:rsidRDefault="00C01898">
      <w:pPr>
        <w:shd w:val="clear" w:color="auto" w:fill="FFFFFF"/>
        <w:spacing w:after="120" w:line="276" w:lineRule="auto"/>
        <w:ind w:firstLine="708"/>
        <w:jc w:val="both"/>
      </w:pPr>
      <w:r>
        <w:rPr>
          <w:rFonts w:ascii="Arial" w:eastAsia="Arial" w:hAnsi="Arial" w:cs="Arial"/>
          <w:sz w:val="22"/>
          <w:szCs w:val="22"/>
        </w:rPr>
        <w:t xml:space="preserve">A este respecto debe recordarse que la descentralización, como forma de organización administrativa que implica el traslado de competencias a favor de autoridades o personas distintas a la Nación, y a la que hace referencia, entre otros, el artículo 1 de la Constitución arriba aludido, se manifiesta en tres formas o modalidades, a saber: descentralización por territorio, por servicios y por colaboración. </w:t>
      </w:r>
    </w:p>
    <w:p w14:paraId="0DC296D5" w14:textId="77777777" w:rsidR="009B3A66" w:rsidRDefault="00C01898">
      <w:pPr>
        <w:shd w:val="clear" w:color="auto" w:fill="FFFFFF"/>
        <w:spacing w:after="120" w:line="276" w:lineRule="auto"/>
        <w:ind w:firstLine="708"/>
        <w:jc w:val="both"/>
      </w:pPr>
      <w:r>
        <w:rPr>
          <w:rFonts w:ascii="Arial" w:eastAsia="Arial" w:hAnsi="Arial" w:cs="Arial"/>
          <w:sz w:val="22"/>
          <w:szCs w:val="22"/>
        </w:rPr>
        <w:t xml:space="preserve">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7D212C96" w14:textId="77777777" w:rsidR="009B3A66" w:rsidRDefault="00C01898">
      <w:pPr>
        <w:shd w:val="clear" w:color="auto" w:fill="FFFFFF"/>
        <w:spacing w:after="120" w:line="276" w:lineRule="auto"/>
        <w:ind w:firstLine="708"/>
        <w:jc w:val="both"/>
      </w:pPr>
      <w:r>
        <w:rPr>
          <w:rFonts w:ascii="Arial" w:eastAsia="Arial" w:hAnsi="Arial" w:cs="Arial"/>
          <w:sz w:val="22"/>
          <w:szCs w:val="22"/>
        </w:rPr>
        <w:t xml:space="preserve">En ese sentido, y de acuerdo a lo ya dicho, en el nivel nacional de la Rama Ejecutiva existe la posibilidad de que existan entidades que pertenezcan o bien al sector central, precisamente, por no encontrarse descentralizadas y hacer parte, por ende, a la Nación como persona jurídica y, por otro lado, un sector nacional descentralizado conformado por personas jurídicas distintas a la Nación a quienes se les han transferido o descentralizado </w:t>
      </w:r>
      <w:r>
        <w:rPr>
          <w:rFonts w:ascii="Arial" w:eastAsia="Arial" w:hAnsi="Arial" w:cs="Arial"/>
          <w:sz w:val="22"/>
          <w:szCs w:val="22"/>
        </w:rPr>
        <w:lastRenderedPageBreak/>
        <w:t>competencias en razón a la especialidad o el servicio para cuya prestación han sido creadas.</w:t>
      </w:r>
    </w:p>
    <w:p w14:paraId="7CB87412" w14:textId="77777777" w:rsidR="009B3A66" w:rsidRDefault="00C01898">
      <w:pPr>
        <w:shd w:val="clear" w:color="auto" w:fill="FFFFFF"/>
        <w:spacing w:after="120" w:line="276" w:lineRule="auto"/>
        <w:ind w:firstLine="708"/>
        <w:jc w:val="both"/>
      </w:pPr>
      <w:r>
        <w:rPr>
          <w:rFonts w:ascii="Arial" w:eastAsia="Arial" w:hAnsi="Arial" w:cs="Arial"/>
          <w:sz w:val="22"/>
          <w:szCs w:val="22"/>
        </w:rPr>
        <w:t xml:space="preserve">A su turno, dentro del sector descentralizado por servicios del nivel nacional existen dos modalidades de descentralización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4B49C0DD" w14:textId="77777777" w:rsidR="009B3A66" w:rsidRDefault="00C01898">
      <w:pPr>
        <w:shd w:val="clear" w:color="auto" w:fill="FFFFFF"/>
        <w:spacing w:after="120" w:line="276" w:lineRule="auto"/>
        <w:ind w:firstLine="708"/>
        <w:jc w:val="both"/>
      </w:pPr>
      <w:r>
        <w:rPr>
          <w:rFonts w:ascii="Arial" w:eastAsia="Arial" w:hAnsi="Arial" w:cs="Arial"/>
          <w:sz w:val="22"/>
          <w:szCs w:val="22"/>
        </w:rPr>
        <w:t>Sin embargo, dichas entidades descentralizadas directamente, por ser personas jurídicas, pueden, a su turno, participar con otras personas en la creación de nuevas entidades, correspondiendo estas, entonces, a las denominadas entidades descentralizadas indirectamente o de segundo grado</w:t>
      </w:r>
      <w:r>
        <w:rPr>
          <w:rFonts w:ascii="Arial" w:eastAsia="Arial" w:hAnsi="Arial" w:cs="Arial"/>
          <w:sz w:val="22"/>
          <w:szCs w:val="22"/>
          <w:vertAlign w:val="superscript"/>
        </w:rPr>
        <w:footnoteReference w:id="52"/>
      </w:r>
      <w:r>
        <w:rPr>
          <w:rFonts w:ascii="Arial" w:eastAsia="Arial" w:hAnsi="Arial" w:cs="Arial"/>
          <w:sz w:val="22"/>
          <w:szCs w:val="22"/>
        </w:rPr>
        <w:t>. En otras palabras, los entes descentralizados indirectamente son aquellos creados, no por la ley, sino a partir de «la voluntad asociativa de los entes públicos, en unión entre sí o con particulares»</w:t>
      </w:r>
      <w:r>
        <w:rPr>
          <w:rFonts w:ascii="Arial" w:eastAsia="Arial" w:hAnsi="Arial" w:cs="Arial"/>
          <w:sz w:val="22"/>
          <w:szCs w:val="22"/>
          <w:vertAlign w:val="superscript"/>
        </w:rPr>
        <w:footnoteReference w:id="53"/>
      </w:r>
      <w:r>
        <w:rPr>
          <w:rFonts w:ascii="Arial" w:eastAsia="Arial" w:hAnsi="Arial" w:cs="Arial"/>
          <w:sz w:val="22"/>
          <w:szCs w:val="22"/>
        </w:rPr>
        <w:t xml:space="preserve">. </w:t>
      </w:r>
    </w:p>
    <w:p w14:paraId="6778AE88" w14:textId="434E5CE6" w:rsidR="009B3A66" w:rsidRDefault="00C01898">
      <w:pPr>
        <w:shd w:val="clear" w:color="auto" w:fill="FFFFFF"/>
        <w:spacing w:after="120" w:line="276" w:lineRule="auto"/>
        <w:ind w:firstLine="708"/>
        <w:jc w:val="both"/>
      </w:pPr>
      <w:r>
        <w:rPr>
          <w:rFonts w:ascii="Arial" w:eastAsia="Arial" w:hAnsi="Arial" w:cs="Arial"/>
          <w:sz w:val="22"/>
          <w:szCs w:val="22"/>
        </w:rPr>
        <w:t>Por ello, la descentralización indirecta puede tornar en distintas modalidades, según cual sea la calidad de las entidades participantes. Así, habrán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 etc.</w:t>
      </w:r>
      <w:r>
        <w:rPr>
          <w:rFonts w:ascii="Arial" w:eastAsia="Arial" w:hAnsi="Arial" w:cs="Arial"/>
          <w:sz w:val="22"/>
          <w:szCs w:val="22"/>
          <w:vertAlign w:val="superscript"/>
        </w:rPr>
        <w:footnoteReference w:id="54"/>
      </w:r>
      <w:r>
        <w:rPr>
          <w:rFonts w:ascii="Arial" w:eastAsia="Arial" w:hAnsi="Arial" w:cs="Arial"/>
          <w:sz w:val="22"/>
          <w:szCs w:val="22"/>
        </w:rPr>
        <w:t xml:space="preserve"> </w:t>
      </w:r>
    </w:p>
    <w:p w14:paraId="1BCC85DA" w14:textId="77777777" w:rsidR="009B3A66" w:rsidRDefault="00C01898">
      <w:pPr>
        <w:shd w:val="clear" w:color="auto" w:fill="FFFFFF"/>
        <w:spacing w:after="120" w:line="276" w:lineRule="auto"/>
        <w:ind w:firstLine="708"/>
        <w:jc w:val="both"/>
      </w:pPr>
      <w:r>
        <w:rPr>
          <w:rFonts w:ascii="Arial" w:eastAsia="Arial" w:hAnsi="Arial" w:cs="Arial"/>
          <w:sz w:val="22"/>
          <w:szCs w:val="22"/>
        </w:rPr>
        <w:t xml:space="preserve">De conformidad con lo anterior, la Ley 489 de 1998 regula lo concerniente a tres tipos de entidades descentralizadas indirectamente en sus artículos 94, 95 y 96, referidos, respectivamente, a las asociaciones entre empresas industriales y comerciales del Estado, o entre estas y entidades territoriales o descentralizadas, a la conformación de personas jurídicas sin ánimo de lucro entre entidades estatales y a la constitución de asociaciones y fundaciones a través de los convenios de asociación suscritos entre entidades estatales y personas jurídicas particulares. </w:t>
      </w:r>
    </w:p>
    <w:p w14:paraId="1037CBFF" w14:textId="77777777" w:rsidR="009B3A66" w:rsidRPr="00A96608" w:rsidRDefault="00C01898">
      <w:pPr>
        <w:spacing w:after="120" w:line="276" w:lineRule="auto"/>
        <w:ind w:firstLine="708"/>
        <w:jc w:val="both"/>
        <w:rPr>
          <w:color w:val="000000"/>
        </w:rPr>
      </w:pPr>
      <w:r>
        <w:rPr>
          <w:rFonts w:ascii="Arial" w:eastAsia="Arial" w:hAnsi="Arial" w:cs="Arial"/>
          <w:sz w:val="22"/>
          <w:szCs w:val="22"/>
        </w:rPr>
        <w:t xml:space="preserve">Dicho lo anterior, es importante destacar, tal </w:t>
      </w:r>
      <w:r w:rsidRPr="00A96608">
        <w:rPr>
          <w:rFonts w:ascii="Arial" w:eastAsia="Arial" w:hAnsi="Arial" w:cs="Arial"/>
          <w:color w:val="000000"/>
          <w:sz w:val="22"/>
          <w:szCs w:val="22"/>
        </w:rPr>
        <w:t xml:space="preserve">y como lo ha expresado el Consejo de Estado, que las entidades descentralizadas indirectamente, son una especie del género </w:t>
      </w:r>
      <w:r w:rsidRPr="00A96608">
        <w:rPr>
          <w:rFonts w:ascii="Arial" w:eastAsia="Arial" w:hAnsi="Arial" w:cs="Arial"/>
          <w:color w:val="000000"/>
          <w:sz w:val="22"/>
          <w:szCs w:val="22"/>
        </w:rPr>
        <w:lastRenderedPageBreak/>
        <w:t>que corresponde a las entidades descentralizadas, y «[…] por ello y porque gozan de personería jurídica, autonomía administrativa y patrimonio propio o capital independiente, es decir, reúnen los requisitos establecidos para las entidades descentralizadas por el artículo 68 de la ley 489 de 1998, forman parte del sector descentralizado de la administración pública»</w:t>
      </w:r>
      <w:r>
        <w:rPr>
          <w:rFonts w:ascii="Arial" w:eastAsia="Arial" w:hAnsi="Arial" w:cs="Arial"/>
          <w:color w:val="333333"/>
          <w:sz w:val="22"/>
          <w:szCs w:val="22"/>
          <w:vertAlign w:val="superscript"/>
        </w:rPr>
        <w:footnoteReference w:id="55"/>
      </w:r>
      <w:r w:rsidRPr="00A96608">
        <w:rPr>
          <w:rFonts w:ascii="Arial" w:eastAsia="Arial" w:hAnsi="Arial" w:cs="Arial"/>
          <w:color w:val="000000"/>
          <w:sz w:val="22"/>
          <w:szCs w:val="22"/>
        </w:rPr>
        <w:t xml:space="preserve">. </w:t>
      </w:r>
    </w:p>
    <w:p w14:paraId="4799BA45" w14:textId="77777777" w:rsidR="009B3A66" w:rsidRDefault="00C01898">
      <w:pPr>
        <w:shd w:val="clear" w:color="auto" w:fill="FFFFFF"/>
        <w:spacing w:after="120" w:line="276" w:lineRule="auto"/>
        <w:ind w:firstLine="708"/>
        <w:jc w:val="both"/>
      </w:pPr>
      <w:r w:rsidRPr="00A96608">
        <w:rPr>
          <w:rFonts w:ascii="Arial" w:eastAsia="Arial" w:hAnsi="Arial" w:cs="Arial"/>
          <w:color w:val="000000"/>
          <w:sz w:val="22"/>
          <w:szCs w:val="22"/>
        </w:rPr>
        <w:t xml:space="preserve">Ahora bien, la Ley 80 de 1993, Estatuto General de Contratación </w:t>
      </w:r>
      <w:r>
        <w:rPr>
          <w:rFonts w:ascii="Arial" w:eastAsia="Arial" w:hAnsi="Arial" w:cs="Arial"/>
          <w:sz w:val="22"/>
          <w:szCs w:val="22"/>
        </w:rPr>
        <w:t xml:space="preserve">de Administración Pública –EGCAP–, rompió con la noción ortodoxa que venía del régimen anterior respecto a lo que se entendería como «entidad estatal», para efectos de la contratación del Estado, y que se fundaba bajo la égida de la personalidad jurídica como elemento determinante para la capacidad o competencia para contratar. Con el EGCAP se separan tales nociones y se admite la posibilidad de que entidades que no cuenten con personería jurídica, puedan, sin embargo, ostentar capacidad jurídica para celebrar contratos. </w:t>
      </w:r>
    </w:p>
    <w:p w14:paraId="6F8BD197" w14:textId="77777777" w:rsidR="009B3A66" w:rsidRDefault="00C01898">
      <w:pPr>
        <w:shd w:val="clear" w:color="auto" w:fill="FFFFFF"/>
        <w:spacing w:after="120" w:line="276" w:lineRule="auto"/>
        <w:ind w:firstLine="708"/>
        <w:jc w:val="both"/>
      </w:pPr>
      <w:r>
        <w:rPr>
          <w:rFonts w:ascii="Arial" w:eastAsia="Arial" w:hAnsi="Arial" w:cs="Arial"/>
          <w:sz w:val="22"/>
          <w:szCs w:val="22"/>
        </w:rPr>
        <w:t xml:space="preserve">Así, el artículo 2 de la Ley 80 determinó que ciertas entidades que no tienen personalidad jurídica diferente a la Nación, como por ejemplo, los ministerios, departamentos administrativos, las superintendencias y las unidades administrativas especiales sin personería jurídica pueden celebrar contratos y, en su artículo 11, señaló que los funcionarios con competencia para hacerlo en la entidad respectiva son: los ministros, los directores de los departamentos administrativos, los superintendentes y los presidentes de las unidades administrativas especiales, respectivamente. </w:t>
      </w:r>
    </w:p>
    <w:p w14:paraId="61F4769A" w14:textId="304EBAEC" w:rsidR="009B3A66" w:rsidRDefault="00C01898">
      <w:pPr>
        <w:shd w:val="clear" w:color="auto" w:fill="FFFFFF"/>
        <w:spacing w:after="120" w:line="276" w:lineRule="auto"/>
        <w:ind w:firstLine="708"/>
        <w:jc w:val="both"/>
      </w:pPr>
      <w:bookmarkStart w:id="26" w:name="_3whwml4" w:colFirst="0" w:colLast="0"/>
      <w:bookmarkEnd w:id="26"/>
      <w:r>
        <w:rPr>
          <w:rFonts w:ascii="Arial" w:eastAsia="Arial" w:hAnsi="Arial" w:cs="Arial"/>
          <w:sz w:val="22"/>
          <w:szCs w:val="22"/>
        </w:rPr>
        <w:t>En este punto, como lo ha dicho la Corte Constitucional, «[e]s claro que si la Nación, los departamentos, municipios y distritos, son personas jurídicas, y las entidades estatales a que se refiere la ley 80, no lo son, por fuerza los contratos que estas últimas celebren corresponden a la Nación, a los departamentos o a los municipios»</w:t>
      </w:r>
      <w:r>
        <w:rPr>
          <w:rFonts w:ascii="Arial" w:eastAsia="Arial" w:hAnsi="Arial" w:cs="Arial"/>
          <w:sz w:val="22"/>
          <w:szCs w:val="22"/>
          <w:vertAlign w:val="superscript"/>
        </w:rPr>
        <w:footnoteReference w:id="56"/>
      </w:r>
      <w:r>
        <w:rPr>
          <w:rFonts w:ascii="Arial" w:eastAsia="Arial" w:hAnsi="Arial" w:cs="Arial"/>
          <w:sz w:val="22"/>
          <w:szCs w:val="22"/>
        </w:rPr>
        <w:t>, lo que implica que la «actuación del funcionario competente, a nombre de la correspondiente entidad estatal, vincula a la Nación, al departamento o al municipio como persona jurídica»</w:t>
      </w:r>
      <w:r>
        <w:rPr>
          <w:rFonts w:ascii="Arial" w:eastAsia="Arial" w:hAnsi="Arial" w:cs="Arial"/>
          <w:sz w:val="22"/>
          <w:szCs w:val="22"/>
          <w:vertAlign w:val="superscript"/>
        </w:rPr>
        <w:footnoteReference w:id="57"/>
      </w:r>
      <w:r>
        <w:rPr>
          <w:rFonts w:ascii="Arial" w:eastAsia="Arial" w:hAnsi="Arial" w:cs="Arial"/>
          <w:sz w:val="22"/>
          <w:szCs w:val="22"/>
        </w:rPr>
        <w:t xml:space="preserve">, respectivamente. </w:t>
      </w:r>
    </w:p>
    <w:p w14:paraId="7A76EFBF" w14:textId="77777777" w:rsidR="009B3A66" w:rsidRDefault="00C01898">
      <w:pPr>
        <w:shd w:val="clear" w:color="auto" w:fill="FFFFFF"/>
        <w:spacing w:after="120" w:line="276" w:lineRule="auto"/>
        <w:ind w:firstLine="708"/>
        <w:jc w:val="both"/>
      </w:pPr>
      <w:r>
        <w:rPr>
          <w:rFonts w:ascii="Arial" w:eastAsia="Arial" w:hAnsi="Arial" w:cs="Arial"/>
          <w:sz w:val="22"/>
          <w:szCs w:val="22"/>
        </w:rPr>
        <w:t>Por ejemplo, cuando la presidencia de la república, o un ministerio o departamento administrativo celebren contratos públicos, lo harán en nombre de la Nación, precisamente, por hacer parte de esta. No sucederá lo mismo cuando el ente respectivo sea una persona jurídica distinta a la Nación, como ocurre con los departamentos, los distritos, los municipios, las entidades descentralizadas por servicios de cualquier orden y demás entes que, por virtud de la norma que los regulan, ostenten este atributo.</w:t>
      </w:r>
    </w:p>
    <w:p w14:paraId="3FD8719E" w14:textId="5765C1A1" w:rsidR="009B3A66" w:rsidRDefault="00C01898">
      <w:pPr>
        <w:shd w:val="clear" w:color="auto" w:fill="FFFFFF"/>
        <w:spacing w:after="120" w:line="276" w:lineRule="auto"/>
        <w:ind w:firstLine="708"/>
        <w:jc w:val="both"/>
      </w:pPr>
      <w:r>
        <w:rPr>
          <w:rFonts w:ascii="Arial" w:eastAsia="Arial" w:hAnsi="Arial" w:cs="Arial"/>
          <w:sz w:val="22"/>
          <w:szCs w:val="22"/>
        </w:rPr>
        <w:t xml:space="preserve">Igualmente, en la estructura del Estado colombiano existen órganos que no pertenecen a la rama ejecutiva sino a las otras ramas del poder público (legislativa y </w:t>
      </w:r>
      <w:r>
        <w:rPr>
          <w:rFonts w:ascii="Arial" w:eastAsia="Arial" w:hAnsi="Arial" w:cs="Arial"/>
          <w:sz w:val="22"/>
          <w:szCs w:val="22"/>
        </w:rPr>
        <w:lastRenderedPageBreak/>
        <w:t>judicial), así como organismos autónomos e independientes para el cumplimiento de las demás funciones del Estado</w:t>
      </w:r>
      <w:r>
        <w:rPr>
          <w:rFonts w:ascii="Arial" w:eastAsia="Arial" w:hAnsi="Arial" w:cs="Arial"/>
          <w:sz w:val="22"/>
          <w:szCs w:val="22"/>
          <w:vertAlign w:val="superscript"/>
        </w:rPr>
        <w:footnoteReference w:id="58"/>
      </w:r>
      <w:r>
        <w:rPr>
          <w:rFonts w:ascii="Arial" w:eastAsia="Arial" w:hAnsi="Arial" w:cs="Arial"/>
          <w:sz w:val="22"/>
          <w:szCs w:val="22"/>
        </w:rPr>
        <w:t>, los cuales también hacen parte de la Nación y cuentan con capacidad jurídica para contratar, según las normas del EGCAP, por ejemplo, el Senado de la República, el Consejo Superior de la Judicatura, la Fiscalía General de la Nación, la Contraloría General de la República, la Procuraduría General de la Nación, la Registraduría Nacional del Estado Civil y la Auditoría General de la República, entre otros.</w:t>
      </w:r>
    </w:p>
    <w:p w14:paraId="6D8B7E5B" w14:textId="77777777" w:rsidR="009B3A66" w:rsidRDefault="00C01898">
      <w:pPr>
        <w:shd w:val="clear" w:color="auto" w:fill="FFFFFF"/>
        <w:spacing w:after="120" w:line="276" w:lineRule="auto"/>
        <w:ind w:firstLine="708"/>
        <w:jc w:val="both"/>
      </w:pPr>
      <w:r>
        <w:rPr>
          <w:rFonts w:ascii="Arial" w:eastAsia="Arial" w:hAnsi="Arial" w:cs="Arial"/>
          <w:sz w:val="22"/>
          <w:szCs w:val="22"/>
        </w:rPr>
        <w:t>Con fundamento en todo lo dicho, la Agencia considera que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1B7B5F99" w14:textId="77777777" w:rsidR="009B3A66" w:rsidRDefault="009B3A66">
      <w:pPr>
        <w:shd w:val="clear" w:color="auto" w:fill="FFFFFF"/>
        <w:spacing w:line="276" w:lineRule="auto"/>
        <w:jc w:val="both"/>
        <w:rPr>
          <w:rFonts w:ascii="Arial" w:eastAsia="Arial" w:hAnsi="Arial" w:cs="Arial"/>
          <w:sz w:val="22"/>
          <w:szCs w:val="22"/>
        </w:rPr>
      </w:pPr>
    </w:p>
    <w:p w14:paraId="670F31D8" w14:textId="75C22BC8" w:rsidR="009B3A66" w:rsidRDefault="00C01898">
      <w:pPr>
        <w:shd w:val="clear" w:color="auto" w:fill="FFFFFF"/>
        <w:spacing w:line="276" w:lineRule="auto"/>
        <w:jc w:val="both"/>
        <w:rPr>
          <w:rFonts w:ascii="Arial" w:eastAsia="Arial" w:hAnsi="Arial" w:cs="Arial"/>
          <w:b/>
          <w:sz w:val="22"/>
          <w:szCs w:val="22"/>
        </w:rPr>
      </w:pPr>
      <w:r>
        <w:rPr>
          <w:rFonts w:ascii="Arial" w:eastAsia="Arial" w:hAnsi="Arial" w:cs="Arial"/>
          <w:b/>
          <w:sz w:val="22"/>
          <w:szCs w:val="22"/>
        </w:rPr>
        <w:t>2.5.1.3. Aspecto teleológico</w:t>
      </w:r>
    </w:p>
    <w:p w14:paraId="4CF80D53" w14:textId="77777777" w:rsidR="009B3A66" w:rsidRDefault="009B3A66">
      <w:pPr>
        <w:shd w:val="clear" w:color="auto" w:fill="FFFFFF"/>
        <w:spacing w:line="276" w:lineRule="auto"/>
        <w:jc w:val="both"/>
        <w:rPr>
          <w:rFonts w:ascii="Arial" w:eastAsia="Arial" w:hAnsi="Arial" w:cs="Arial"/>
          <w:sz w:val="22"/>
          <w:szCs w:val="22"/>
        </w:rPr>
      </w:pPr>
    </w:p>
    <w:p w14:paraId="63240B88" w14:textId="77777777" w:rsidR="009B3A66" w:rsidRDefault="00C01898">
      <w:pPr>
        <w:shd w:val="clear" w:color="auto" w:fill="FFFFFF"/>
        <w:spacing w:after="120" w:line="276" w:lineRule="auto"/>
        <w:jc w:val="both"/>
      </w:pPr>
      <w:r>
        <w:rPr>
          <w:rFonts w:ascii="Arial" w:eastAsia="Arial" w:hAnsi="Arial" w:cs="Arial"/>
          <w:sz w:val="22"/>
          <w:szCs w:val="22"/>
        </w:rPr>
        <w:t>En lo que respecta al elemento teleológico o material de la reforma incluida en el artículo 124 de la Ley 2159 de 2021, consistente en que los convenios sean celebrados con el fin de ejecutar programas o proyectos que correspondan al Presupuesto General de la Nación, esta Agencia estima, partiendo de las consideraciones contenidas en el acápite 2.5. del presente concepto y dados en relación con la estructura y contenido de la ley anual del presupuesto general de la Nación, que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78DB4D33" w14:textId="3B34CE0E" w:rsidR="009B3A66" w:rsidRDefault="00C01898">
      <w:pPr>
        <w:shd w:val="clear" w:color="auto" w:fill="FFFFFF"/>
        <w:spacing w:after="120" w:line="276" w:lineRule="auto"/>
        <w:ind w:firstLine="708"/>
        <w:jc w:val="both"/>
      </w:pPr>
      <w:bookmarkStart w:id="27" w:name="_2bn6wsx" w:colFirst="0" w:colLast="0"/>
      <w:bookmarkEnd w:id="27"/>
      <w:r>
        <w:rPr>
          <w:rFonts w:ascii="Arial" w:eastAsia="Arial" w:hAnsi="Arial" w:cs="Arial"/>
          <w:sz w:val="22"/>
          <w:szCs w:val="22"/>
        </w:rPr>
        <w:t xml:space="preserve">Como corolario de todo lo anterior, se concluye que la Ley 2159 de 2021 –Ley del Presupuesto– modificó parcial y transitoriamente el parágrafo del artículo 38 de la Ley 996 de 2005, en aspectos temporales, subjetivos, materiales o teleológicos y procedimentales o de control. En particular, suspende la prohibición de celebración de convenios y contratos interadministrativos contenida en el parágrafo del artículo 38, siempre y cuando tales acuerdos se suscriban entre la Nación y las entidades territoriales, dentro de la vigencia </w:t>
      </w:r>
      <w:r>
        <w:rPr>
          <w:rFonts w:ascii="Arial" w:eastAsia="Arial" w:hAnsi="Arial" w:cs="Arial"/>
          <w:sz w:val="22"/>
          <w:szCs w:val="22"/>
        </w:rPr>
        <w:lastRenderedPageBreak/>
        <w:t xml:space="preserve">fiscal del año 2022 y para la ejecución de programas o proyectos de inversión incluidos en el Presupuesto General de la Nación. </w:t>
      </w:r>
    </w:p>
    <w:p w14:paraId="102D93D8" w14:textId="77777777" w:rsidR="009B3A66" w:rsidRDefault="00C01898">
      <w:pPr>
        <w:shd w:val="clear" w:color="auto" w:fill="FFFFFF"/>
        <w:spacing w:after="120" w:line="276" w:lineRule="auto"/>
        <w:ind w:firstLine="708"/>
        <w:jc w:val="both"/>
      </w:pPr>
      <w:r>
        <w:rPr>
          <w:rFonts w:ascii="Arial" w:eastAsia="Arial" w:hAnsi="Arial" w:cs="Arial"/>
          <w:sz w:val="22"/>
          <w:szCs w:val="22"/>
        </w:rPr>
        <w:t>Es de anotar, por ser relevante para la consulta que se resuelve, que la modificación de la ley del Presupuesto opera, únicamente, frente al parágrafo del artículo 38, y no en relación con las prohibiciones del artículo 33 que, como se dijo, resultan ser distintas, aunque concurrentes, a las del parágrafo, por lo cual, las restricciones a la contratación directa dentro del período preelectoral presidencial y vicepresidencial se mantienen invariables a partir de la publicación de la Ley del Presupuesto.</w:t>
      </w:r>
    </w:p>
    <w:p w14:paraId="3F8D71C0" w14:textId="77777777" w:rsidR="009B3A66" w:rsidRDefault="00C01898">
      <w:pPr>
        <w:shd w:val="clear" w:color="auto" w:fill="FFFFFF"/>
        <w:spacing w:after="120" w:line="276" w:lineRule="auto"/>
        <w:ind w:firstLine="708"/>
        <w:jc w:val="both"/>
      </w:pPr>
      <w:r>
        <w:rPr>
          <w:rFonts w:ascii="Arial" w:eastAsia="Arial" w:hAnsi="Arial" w:cs="Arial"/>
          <w:sz w:val="22"/>
          <w:szCs w:val="22"/>
        </w:rPr>
        <w:t>En efecto, la Agencia advierte que para el año 2022 están programadas las elecciones para elegir miembros del Congreso de la República, así como las jornadas para la elección del Presidente y Vicepresidente de la República. Las primeras para el domingo 13 de marzo de 2022</w:t>
      </w:r>
      <w:r>
        <w:rPr>
          <w:rFonts w:ascii="Arial" w:eastAsia="Arial" w:hAnsi="Arial" w:cs="Arial"/>
          <w:sz w:val="22"/>
          <w:szCs w:val="22"/>
          <w:vertAlign w:val="superscript"/>
        </w:rPr>
        <w:footnoteReference w:id="59"/>
      </w:r>
      <w:r>
        <w:rPr>
          <w:rFonts w:ascii="Arial" w:eastAsia="Arial" w:hAnsi="Arial" w:cs="Arial"/>
          <w:sz w:val="22"/>
          <w:szCs w:val="22"/>
        </w:rPr>
        <w:t xml:space="preserve"> y las segundas para el 29 de mayo del mismo año</w:t>
      </w:r>
      <w:r>
        <w:rPr>
          <w:rFonts w:ascii="Arial" w:eastAsia="Arial" w:hAnsi="Arial" w:cs="Arial"/>
          <w:sz w:val="22"/>
          <w:szCs w:val="22"/>
          <w:vertAlign w:val="superscript"/>
        </w:rPr>
        <w:footnoteReference w:id="60"/>
      </w:r>
      <w:r>
        <w:rPr>
          <w:rFonts w:ascii="Arial" w:eastAsia="Arial" w:hAnsi="Arial" w:cs="Arial"/>
          <w:sz w:val="22"/>
          <w:szCs w:val="22"/>
        </w:rPr>
        <w:t xml:space="preserve">, respectivamente, de manera que resulta palmario que el periodo preelectoral de restricción de cuatro meses anteriores a la correspondiente elección de que tratan los artículos 33 y 38 de la Ley 996, coincidirán parcialmente. En este sentido, las prohibiciones para la contratación directa y para la celebración de convenios y contratos interadministrativos concurren durante la coincidencia de periodos preelectorales. </w:t>
      </w:r>
    </w:p>
    <w:p w14:paraId="3051BA01" w14:textId="73D1B777" w:rsidR="009B3A66" w:rsidRDefault="00C01898">
      <w:pPr>
        <w:shd w:val="clear" w:color="auto" w:fill="FFFFFF"/>
        <w:spacing w:after="120" w:line="276" w:lineRule="auto"/>
        <w:ind w:firstLine="708"/>
        <w:jc w:val="both"/>
      </w:pPr>
      <w:r>
        <w:rPr>
          <w:rFonts w:ascii="Arial" w:eastAsia="Arial" w:hAnsi="Arial" w:cs="Arial"/>
          <w:sz w:val="22"/>
          <w:szCs w:val="22"/>
        </w:rPr>
        <w:t xml:space="preserve">Así, durante el periodo preelectoral de elección al Congreso de la República aplicará, únicamente, la prohibición del parágrafo 38; sin embargo, una vez inicie el periodo preelectoral para la elección de Presidente y Vicepresidente, deberán ser aplicadas ambas restricciones, es decir, la del parágrafo del artículo 38 y la del artículo 33 de la Ley de Garantías. En este punto, atendiendo a la modificación parcial del parágrafo del artículo 38 realizada por la Ley del Presupuesto, cabría preguntarse cómo se aplicarían las mencionadas prohibiciones. </w:t>
      </w:r>
    </w:p>
    <w:p w14:paraId="4A597761" w14:textId="77777777" w:rsidR="009B3A66" w:rsidRDefault="00C01898">
      <w:pPr>
        <w:shd w:val="clear" w:color="auto" w:fill="FFFFFF"/>
        <w:spacing w:after="120" w:line="276" w:lineRule="auto"/>
        <w:ind w:firstLine="708"/>
        <w:jc w:val="both"/>
      </w:pPr>
      <w:r>
        <w:rPr>
          <w:rFonts w:ascii="Arial" w:eastAsia="Arial" w:hAnsi="Arial" w:cs="Arial"/>
          <w:sz w:val="22"/>
          <w:szCs w:val="22"/>
        </w:rPr>
        <w:t xml:space="preserve">En opinión de esta Agencia, con el fin de armonizar los textos de los artículos comentados, luego de la modificación realizada por la Ley del Presupuesto, en el evento mencionado en el párrafo anterior se podrán celebrar convenios y contratos interadministrativos, de acuerdo con el parágrafo del artículo 38, siempre y cuando estos se lleven a cabo a través de modalidades de selección que impliquen convocatoria pública y, además, por virtud del artículo 124 de la Ley del Presupuesto cuando dichos contratos y convenios sean suscritos entre entidades del orden nacional y territorial. No sucederá lo mismo cuando sean celebrados entre entidades del orden territorial, en cuyo caso aplicará la prohibición plena sin la modificación en mención. Esto por cuanto, se insiste, la </w:t>
      </w:r>
      <w:r>
        <w:rPr>
          <w:rFonts w:ascii="Arial" w:eastAsia="Arial" w:hAnsi="Arial" w:cs="Arial"/>
          <w:sz w:val="22"/>
          <w:szCs w:val="22"/>
        </w:rPr>
        <w:lastRenderedPageBreak/>
        <w:t xml:space="preserve">prohibición del artículo 33 de la Ley de Garantías permanece incólume ante la expedición de la Ley del Presupuesto. </w:t>
      </w:r>
    </w:p>
    <w:p w14:paraId="654594DC" w14:textId="77777777" w:rsidR="009B3A66" w:rsidRDefault="00C01898">
      <w:pPr>
        <w:shd w:val="clear" w:color="auto" w:fill="FFFFFF"/>
        <w:spacing w:after="120" w:line="276" w:lineRule="auto"/>
        <w:ind w:firstLine="708"/>
        <w:jc w:val="both"/>
        <w:rPr>
          <w:rFonts w:ascii="Arial" w:eastAsia="Arial" w:hAnsi="Arial" w:cs="Arial"/>
          <w:sz w:val="22"/>
          <w:szCs w:val="22"/>
        </w:rPr>
      </w:pPr>
      <w:r>
        <w:rPr>
          <w:rFonts w:ascii="Arial" w:eastAsia="Arial" w:hAnsi="Arial" w:cs="Arial"/>
          <w:sz w:val="22"/>
          <w:szCs w:val="22"/>
        </w:rPr>
        <w:t xml:space="preserve">Por ende, cuando empiece el periodo preelectoral de las elecciones presidenciales, se deberá dar aplicación a la prohibición para la contratación directa contenida en el artículo 33 de la Ley de Garantías, así como a la prohibición del parágrafo del artículo 38 que, como se dijo, resulta aplicable a todo tipo de elección popular. </w:t>
      </w:r>
    </w:p>
    <w:p w14:paraId="396CA6D8" w14:textId="77777777" w:rsidR="009B3A66" w:rsidRDefault="00C01898">
      <w:pPr>
        <w:tabs>
          <w:tab w:val="left" w:pos="426"/>
        </w:tabs>
        <w:spacing w:line="276" w:lineRule="auto"/>
        <w:jc w:val="both"/>
        <w:rPr>
          <w:rFonts w:ascii="Arial" w:eastAsia="Arial" w:hAnsi="Arial" w:cs="Arial"/>
          <w:b/>
          <w:sz w:val="22"/>
          <w:szCs w:val="22"/>
        </w:rPr>
      </w:pPr>
      <w:r>
        <w:rPr>
          <w:rFonts w:ascii="Arial" w:eastAsia="Arial" w:hAnsi="Arial" w:cs="Arial"/>
          <w:sz w:val="22"/>
          <w:szCs w:val="22"/>
        </w:rPr>
        <w:tab/>
        <w:t>En tal sentido, dentro de los cuatro meses anteriores a las elecciones de presidente y vicepresidente de la república no se podrán celebrar convenios y contratos interadministrativos a través de contratación directa, y solo podrán ser suscritos a través de mecanismos de selección que impliquen convocatoria pública y, además, siempre que se cumplan con los requisitos establecidos en el artículo 124 de la Ley 2159 de 2021.</w:t>
      </w:r>
    </w:p>
    <w:p w14:paraId="18498E07" w14:textId="77777777" w:rsidR="009B3A66" w:rsidRDefault="009B3A66">
      <w:pPr>
        <w:tabs>
          <w:tab w:val="left" w:pos="426"/>
        </w:tabs>
        <w:spacing w:line="276" w:lineRule="auto"/>
        <w:jc w:val="both"/>
        <w:rPr>
          <w:rFonts w:ascii="Arial" w:eastAsia="Arial" w:hAnsi="Arial" w:cs="Arial"/>
          <w:b/>
          <w:sz w:val="22"/>
          <w:szCs w:val="22"/>
        </w:rPr>
      </w:pPr>
    </w:p>
    <w:p w14:paraId="58DA690D" w14:textId="4F783BE7" w:rsidR="009B3A66" w:rsidRDefault="00C01898">
      <w:pPr>
        <w:tabs>
          <w:tab w:val="left" w:pos="426"/>
        </w:tabs>
        <w:spacing w:line="276" w:lineRule="auto"/>
        <w:jc w:val="both"/>
        <w:rPr>
          <w:rFonts w:ascii="Arial" w:eastAsia="Arial" w:hAnsi="Arial" w:cs="Arial"/>
          <w:b/>
          <w:sz w:val="22"/>
          <w:szCs w:val="22"/>
        </w:rPr>
      </w:pPr>
      <w:r>
        <w:rPr>
          <w:rFonts w:ascii="Arial" w:eastAsia="Arial" w:hAnsi="Arial" w:cs="Arial"/>
          <w:b/>
          <w:sz w:val="22"/>
          <w:szCs w:val="22"/>
        </w:rPr>
        <w:t>2.6. Declaratoria de la emergencia sanitaria para atender los efectos de la pandemia generada por el COVID-19</w:t>
      </w:r>
    </w:p>
    <w:p w14:paraId="4DFCEEA4" w14:textId="77777777" w:rsidR="009B3A66" w:rsidRDefault="009B3A66">
      <w:pPr>
        <w:tabs>
          <w:tab w:val="left" w:pos="426"/>
        </w:tabs>
        <w:spacing w:line="276" w:lineRule="auto"/>
        <w:jc w:val="both"/>
        <w:rPr>
          <w:rFonts w:ascii="Arial" w:eastAsia="Arial" w:hAnsi="Arial" w:cs="Arial"/>
          <w:b/>
          <w:sz w:val="22"/>
          <w:szCs w:val="22"/>
        </w:rPr>
      </w:pPr>
    </w:p>
    <w:p w14:paraId="7B5BD806" w14:textId="77777777" w:rsidR="009B3A66" w:rsidRDefault="00C01898">
      <w:pPr>
        <w:tabs>
          <w:tab w:val="left" w:pos="426"/>
        </w:tabs>
        <w:spacing w:line="276" w:lineRule="auto"/>
        <w:jc w:val="both"/>
        <w:rPr>
          <w:rFonts w:ascii="Arial" w:eastAsia="Arial" w:hAnsi="Arial" w:cs="Arial"/>
          <w:color w:val="000000"/>
          <w:sz w:val="22"/>
          <w:szCs w:val="22"/>
        </w:rPr>
      </w:pPr>
      <w:r>
        <w:rPr>
          <w:rFonts w:ascii="Arial" w:eastAsia="Arial" w:hAnsi="Arial" w:cs="Arial"/>
          <w:sz w:val="22"/>
          <w:szCs w:val="22"/>
        </w:rPr>
        <w:t xml:space="preserve">Colombia al igual que numerosos países del mundo, afronta actualmente la compleja situación de salud pública presentada por causa de la pandemia del COVID -19, declarada así por la Organización Mundial de la Salud el 11 de marzo de 2020 principalmente por la rápida velocidad de propagación del virus. Dicho organismo señaló que esta es una emergencia sanitaria y social mundial que requiere una acción efectiva e inmediata de los gobiernos, las personas y las empresas, e instó a los Estados a tomar acciones urgentes, frente a la identificación, confirmación, aislamiento, monitoreo de los posibles casos y el tratamiento de los casos confirmados, así como la divulgación de las medidas preventivas, con el </w:t>
      </w:r>
      <w:r>
        <w:rPr>
          <w:rFonts w:ascii="Arial" w:eastAsia="Arial" w:hAnsi="Arial" w:cs="Arial"/>
          <w:color w:val="000000"/>
          <w:sz w:val="22"/>
          <w:szCs w:val="22"/>
        </w:rPr>
        <w:t xml:space="preserve">objetivo de mitigar el contagio. </w:t>
      </w:r>
    </w:p>
    <w:p w14:paraId="0D7B6534" w14:textId="4873181A" w:rsidR="009B3A66" w:rsidRDefault="00C01898">
      <w:pPr>
        <w:tabs>
          <w:tab w:val="left" w:pos="426"/>
        </w:tabs>
        <w:spacing w:before="120" w:after="120" w:line="276" w:lineRule="auto"/>
        <w:jc w:val="both"/>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t>En consecuencia, las autoridades gubernamentales han expedido un importante número de actos administrativos estableciendo directrices orientadas a la prevención del virus y a la disminucion de la velocidad de su contagio</w:t>
      </w:r>
      <w:r>
        <w:rPr>
          <w:rFonts w:ascii="Arial" w:eastAsia="Arial" w:hAnsi="Arial" w:cs="Arial"/>
          <w:sz w:val="22"/>
          <w:szCs w:val="22"/>
        </w:rPr>
        <w:t>.</w:t>
      </w:r>
    </w:p>
    <w:p w14:paraId="51E63BA7" w14:textId="02706F6C" w:rsidR="009B3A66" w:rsidRDefault="00C01898">
      <w:pPr>
        <w:spacing w:before="120" w:after="120" w:line="276" w:lineRule="auto"/>
        <w:ind w:firstLine="709"/>
        <w:jc w:val="both"/>
        <w:rPr>
          <w:rFonts w:ascii="Arial" w:eastAsia="Arial" w:hAnsi="Arial" w:cs="Arial"/>
          <w:sz w:val="22"/>
          <w:szCs w:val="22"/>
        </w:rPr>
      </w:pPr>
      <w:r>
        <w:rPr>
          <w:rFonts w:ascii="Arial" w:eastAsia="Arial" w:hAnsi="Arial" w:cs="Arial"/>
          <w:color w:val="000000"/>
          <w:sz w:val="22"/>
          <w:szCs w:val="22"/>
        </w:rPr>
        <w:t>Fue así como</w:t>
      </w:r>
      <w:r>
        <w:rPr>
          <w:rFonts w:ascii="Arial" w:eastAsia="Arial" w:hAnsi="Arial" w:cs="Arial"/>
          <w:sz w:val="22"/>
          <w:szCs w:val="22"/>
        </w:rPr>
        <w:t xml:space="preserve"> el Gobierno Nacional, en cabeza del Ministerio de Salud y Protección Social, declaró la emergencia sanitaria en todo el territorio colombiano mediante la Resolución 385 del 12 de marzo de 2020 y estableció varias disposiciones destinadas a la prevención y contención del riesgo epidemiológico asociado </w:t>
      </w:r>
      <w:r>
        <w:rPr>
          <w:rFonts w:ascii="Arial" w:eastAsia="Arial" w:hAnsi="Arial" w:cs="Arial"/>
          <w:color w:val="000000"/>
          <w:sz w:val="22"/>
          <w:szCs w:val="22"/>
        </w:rPr>
        <w:t>con el COVID-19</w:t>
      </w:r>
      <w:r>
        <w:rPr>
          <w:rFonts w:ascii="Arial" w:eastAsia="Arial" w:hAnsi="Arial" w:cs="Arial"/>
          <w:sz w:val="22"/>
          <w:szCs w:val="22"/>
        </w:rPr>
        <w:t>. Esta medida, en principio, tendría lugar hasta hasta el 30 de mayo de 2020, pero podía ser prorrogada de ser necesario.</w:t>
      </w:r>
    </w:p>
    <w:p w14:paraId="088B659D" w14:textId="79C8ABAB" w:rsidR="009B3A66" w:rsidRDefault="00C01898">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 xml:space="preserve">Teniendo en cuenta que las circunstancias causadas por la pandemia se han mantenido en el tiempo, la emergencia sanitaria se ha venido prorrogando ininterrumpidamente mediante la expedición de los siguientes actos administrativos: i) la Resolución 844 del 26 de mayo de 2020 prorrogó la vigencia hasta el 31 de agosto de 2020; ii) la Resolución 1462 del 25 de agosto de 2020 prorrogó vigencia hasta el 30 de noviembre </w:t>
      </w:r>
      <w:r>
        <w:rPr>
          <w:rFonts w:ascii="Arial" w:eastAsia="Arial" w:hAnsi="Arial" w:cs="Arial"/>
          <w:sz w:val="22"/>
          <w:szCs w:val="22"/>
        </w:rPr>
        <w:lastRenderedPageBreak/>
        <w:t xml:space="preserve">de 2020; iii) la Resolución 2230 del 27 de noviembre de 2020 prrorrogó vigencia hasta el 28 de febrero de 2021; iv) la Resolución 222 del 25 de febrero de 2021 la prorrogó hasta el 31 de mayo de 2021; v) la Resolución 738 del 26 de mayo de 2021; vi) la Resolución 1315 del 27 de agosto de 2021 y vii) la Resolución 1913 del 25 de noviebre de 2021, </w:t>
      </w:r>
      <w:r>
        <w:rPr>
          <w:rFonts w:ascii="Arial" w:eastAsia="Arial" w:hAnsi="Arial" w:cs="Arial"/>
          <w:color w:val="000000"/>
          <w:sz w:val="22"/>
          <w:szCs w:val="22"/>
        </w:rPr>
        <w:t>mediante la cual se extendió la emergencia sanitaria hasta el 28 de febrero de 2022.</w:t>
      </w:r>
      <w:r>
        <w:rPr>
          <w:rFonts w:ascii="Arial" w:eastAsia="Arial" w:hAnsi="Arial" w:cs="Arial"/>
          <w:sz w:val="22"/>
          <w:szCs w:val="22"/>
        </w:rPr>
        <w:t xml:space="preserve"> En consecuencia, actualmente el estado de emergencia sanitaria se mantiene vigente, sin perjuicio de que se prorrogue nuevamente por disposición del Gobierno Nacional.</w:t>
      </w:r>
    </w:p>
    <w:p w14:paraId="66C5F9BF" w14:textId="77777777" w:rsidR="009B3A66" w:rsidRDefault="00C01898">
      <w:pPr>
        <w:spacing w:before="120" w:after="120" w:line="276" w:lineRule="auto"/>
        <w:ind w:firstLine="709"/>
        <w:jc w:val="both"/>
        <w:rPr>
          <w:rFonts w:ascii="Arial" w:eastAsia="Arial" w:hAnsi="Arial" w:cs="Arial"/>
          <w:sz w:val="22"/>
          <w:szCs w:val="22"/>
        </w:rPr>
      </w:pPr>
      <w:r>
        <w:rPr>
          <w:rFonts w:ascii="Arial" w:eastAsia="Arial" w:hAnsi="Arial" w:cs="Arial"/>
          <w:color w:val="000000"/>
          <w:sz w:val="22"/>
          <w:szCs w:val="22"/>
        </w:rPr>
        <w:t>De manera posterior a la expedición de la Resolución 385 del 12 de marzo de 2020</w:t>
      </w:r>
      <w:r>
        <w:rPr>
          <w:rFonts w:ascii="Arial" w:eastAsia="Arial" w:hAnsi="Arial" w:cs="Arial"/>
          <w:sz w:val="22"/>
          <w:szCs w:val="22"/>
        </w:rPr>
        <w:t>, mediante el Decreto 417 del 17 de marzo de 2020, se declaró por el término de treinta (30) días el Estado de Emergencia Económica, Social y Ecológica en todo el territorio Nacional, con lo cual, el presidente de la República con la firma de todos los ministros quedó autorizado para dictar decretos con fuerza de ley destinados exclusivamente a conjurar la crisis y a impedir la extensión de sus efectos</w:t>
      </w:r>
      <w:r>
        <w:rPr>
          <w:rFonts w:ascii="Arial" w:eastAsia="Arial" w:hAnsi="Arial" w:cs="Arial"/>
          <w:sz w:val="22"/>
          <w:szCs w:val="22"/>
          <w:vertAlign w:val="superscript"/>
        </w:rPr>
        <w:footnoteReference w:id="61"/>
      </w:r>
      <w:r>
        <w:rPr>
          <w:rFonts w:ascii="Arial" w:eastAsia="Arial" w:hAnsi="Arial" w:cs="Arial"/>
          <w:sz w:val="22"/>
          <w:szCs w:val="22"/>
        </w:rPr>
        <w:t>. Este primer estado de excepción estuvo vigente por treinta (30) días calendario. Posteriormente se ordenó un segundo estado de emergencia económica, social y ecológica, a través del Decreto Legislativo 637 del 6 de mayo de 2020, el cual rigió por otros treinta (30) días calendario. Por lo tanto, el estado de excepción mencionado tuvo vigencia hasta el 4 de junio de 2020.</w:t>
      </w:r>
    </w:p>
    <w:p w14:paraId="540AF9B0" w14:textId="77777777" w:rsidR="009B3A66" w:rsidRDefault="00C01898">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Adicionalmente, de las disposiciones que se han expedido durante la pandemia, y que han incidido en la contratación pública, hay que destacar las contenidas en los Decretos 440 del 20 de marzo de 2020 y 537 del 12 de abril de 2020, que adoptaron medidas excepcionales para evitar el aumento de los contagios y permitir que se continúen cumpliendo los fines del Estado social de derecho a través de la actividad contractual. El gobierno nacional también expidió el Decreto 499 del 31 de marzo de 2020, reiterado en el Decreto 544 del 13 de abril de 2020, por los cuales se adoptan medidas en materia de contratación estatal para la adquisición en el mercado internacional de dispositivos médicos y elementos de protección personal. Finalmente, en este recuento normativo conviene hacer referencia al Decreto 491 del 28 de marzo de 2020, que incluyó algunas disposiciones adicionales relevantes para la contratación estatal. </w:t>
      </w:r>
    </w:p>
    <w:p w14:paraId="4419C4F5" w14:textId="77777777" w:rsidR="009B3A66" w:rsidRDefault="009B3A66">
      <w:pPr>
        <w:spacing w:line="276" w:lineRule="auto"/>
        <w:jc w:val="both"/>
        <w:rPr>
          <w:rFonts w:ascii="Arial" w:eastAsia="Arial" w:hAnsi="Arial" w:cs="Arial"/>
          <w:b/>
          <w:sz w:val="22"/>
          <w:szCs w:val="22"/>
        </w:rPr>
      </w:pPr>
    </w:p>
    <w:p w14:paraId="2BA5B3B0" w14:textId="226EC9BE" w:rsidR="009B3A66" w:rsidRDefault="00C01898">
      <w:pPr>
        <w:spacing w:line="276" w:lineRule="auto"/>
        <w:jc w:val="both"/>
        <w:rPr>
          <w:rFonts w:ascii="Arial" w:eastAsia="Arial" w:hAnsi="Arial" w:cs="Arial"/>
          <w:b/>
          <w:color w:val="000000"/>
          <w:sz w:val="22"/>
          <w:szCs w:val="22"/>
        </w:rPr>
      </w:pPr>
      <w:r>
        <w:rPr>
          <w:rFonts w:ascii="Arial" w:eastAsia="Arial" w:hAnsi="Arial" w:cs="Arial"/>
          <w:b/>
          <w:sz w:val="22"/>
          <w:szCs w:val="22"/>
        </w:rPr>
        <w:t xml:space="preserve">2.7. </w:t>
      </w:r>
      <w:r>
        <w:rPr>
          <w:rFonts w:ascii="Arial" w:eastAsia="Arial" w:hAnsi="Arial" w:cs="Arial"/>
          <w:b/>
          <w:color w:val="000000"/>
          <w:sz w:val="22"/>
          <w:szCs w:val="22"/>
        </w:rPr>
        <w:t>Vigencia y alcance del Decreto Legislativo 537 de 2020</w:t>
      </w:r>
    </w:p>
    <w:p w14:paraId="0EEB21C2" w14:textId="77777777" w:rsidR="009B3A66" w:rsidRDefault="009B3A66">
      <w:pPr>
        <w:spacing w:line="276" w:lineRule="auto"/>
        <w:jc w:val="both"/>
        <w:rPr>
          <w:rFonts w:ascii="Arial" w:eastAsia="Arial" w:hAnsi="Arial" w:cs="Arial"/>
          <w:color w:val="000000"/>
          <w:sz w:val="22"/>
          <w:szCs w:val="22"/>
        </w:rPr>
      </w:pPr>
    </w:p>
    <w:p w14:paraId="6D7AD981" w14:textId="77777777" w:rsidR="009B3A66" w:rsidRDefault="00C01898">
      <w:pPr>
        <w:spacing w:after="120" w:line="276" w:lineRule="auto"/>
        <w:jc w:val="both"/>
        <w:rPr>
          <w:rFonts w:ascii="Arial" w:eastAsia="Arial" w:hAnsi="Arial" w:cs="Arial"/>
          <w:color w:val="000000"/>
          <w:sz w:val="22"/>
          <w:szCs w:val="22"/>
        </w:rPr>
      </w:pPr>
      <w:r>
        <w:rPr>
          <w:rFonts w:ascii="Arial" w:eastAsia="Arial" w:hAnsi="Arial" w:cs="Arial"/>
          <w:color w:val="000000"/>
          <w:sz w:val="22"/>
          <w:szCs w:val="22"/>
        </w:rPr>
        <w:lastRenderedPageBreak/>
        <w:t xml:space="preserve">Como se indicó con anterioridad, uno de los Decretos Legislativos expedidos en el marco del estado de emergencia económica, social y ecológica derivada de la pandemia ocasionada por el COVID-19 fue el 440 del 20 de marzo de 2020. Mediante este </w:t>
      </w:r>
      <w:r>
        <w:rPr>
          <w:rFonts w:ascii="Arial" w:eastAsia="Arial" w:hAnsi="Arial" w:cs="Arial"/>
          <w:sz w:val="22"/>
          <w:szCs w:val="22"/>
        </w:rPr>
        <w:t xml:space="preserve">Decreto se adoptaron medidas en materia de contratación estatal, con la finalidad de prevenir la propagación de la pandemia. En tal sentido, dicho cuerpo normativo propició el distanciamiento social, permitiendo la realización de audiencias públicas electrónicas o virtuales. La finalidad del gobierno, con esta directriz, fue prevenir el contacto entre los participantes en los procesos de contratación, así como en las actuaciones contractuales sancionatorias, siempre y cuando se respetara el derecho fundamental al debido proceso. Adicionalmente, facultó a las entidades estatales y a la Agencia Nacional de Contratación Pública – Colombia Compra Eficiente, para que adelantaran procedimientos de contratación de forma ágil y expedita, encaminados a conjurar la crisis por el coronavirus COVID-19. Inclusive, se autorizó adicionar, en principio, de forma ilimitada los contratos que </w:t>
      </w:r>
      <w:r>
        <w:rPr>
          <w:rFonts w:ascii="Arial" w:eastAsia="Arial" w:hAnsi="Arial" w:cs="Arial"/>
          <w:color w:val="000000"/>
          <w:sz w:val="22"/>
          <w:szCs w:val="22"/>
        </w:rPr>
        <w:t>contribuyan a atender la pandemia, entre otras medidas.</w:t>
      </w:r>
    </w:p>
    <w:p w14:paraId="1CF71563" w14:textId="77777777" w:rsidR="009B3A66" w:rsidRDefault="00C01898">
      <w:pPr>
        <w:spacing w:before="120" w:after="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El Decreto Legislativo 440 de 2020, según lo indicaba su artículo 11, rigió «[…] a partir de la fecha de su publicación» y produjo efectos «[…] durante el estado de emergencia económica, social y ecológica derivada de la Pandemia COVID-19». En consecuencia, dicho Decreto Legislativo perdió vigencia, ya que el estado de excepción no continuó. En su lugar, el gobierno nacional profirió el Decreto Legislativo 537 del 12 de abril de 2020, que, en esencia, conserva el espíritu y las disposiciones normativas del Decreto 440 de 2020, pero consagra en el artículo 11 una vigencia más extensa, que no quedó supeditada al estado de excepción regulado en el artículo 215 de la Constitución Política, sino a la emergencia sanitaria. En efecto, el mencionado artículo estableció que el Decreto 537 de 2020 «</w:t>
      </w:r>
      <w:r>
        <w:rPr>
          <w:rFonts w:ascii="Arial" w:eastAsia="Arial" w:hAnsi="Arial" w:cs="Arial"/>
          <w:sz w:val="22"/>
          <w:szCs w:val="22"/>
        </w:rPr>
        <w:t xml:space="preserve">[…] </w:t>
      </w:r>
      <w:r>
        <w:rPr>
          <w:rFonts w:ascii="Arial" w:eastAsia="Arial" w:hAnsi="Arial" w:cs="Arial"/>
          <w:color w:val="000000"/>
          <w:sz w:val="22"/>
          <w:szCs w:val="22"/>
        </w:rPr>
        <w:t xml:space="preserve">rige a partir del 16 de abril de 2020 y estará vigente mientras se mantenga la Emergencia Sanitaria declarada por el Ministerio de Salud y Protección Social, con ocasión de la pandemia derivada del Coronavirus COVID-19». </w:t>
      </w:r>
    </w:p>
    <w:p w14:paraId="4DFC439E" w14:textId="77777777" w:rsidR="009B3A66" w:rsidRPr="00A96608" w:rsidRDefault="00C01898" w:rsidP="00A96608">
      <w:pPr>
        <w:spacing w:line="276" w:lineRule="auto"/>
        <w:ind w:firstLine="709"/>
        <w:jc w:val="both"/>
      </w:pPr>
      <w:r>
        <w:rPr>
          <w:rFonts w:ascii="Arial" w:eastAsia="Arial" w:hAnsi="Arial" w:cs="Arial"/>
          <w:color w:val="000000"/>
          <w:sz w:val="22"/>
          <w:szCs w:val="22"/>
        </w:rPr>
        <w:t xml:space="preserve">Teniendo en cuenta que, como se explicó en el numeral anterior de este concepto, actualmente rige la </w:t>
      </w:r>
      <w:r>
        <w:rPr>
          <w:rFonts w:ascii="Arial" w:eastAsia="Arial" w:hAnsi="Arial" w:cs="Arial"/>
          <w:sz w:val="22"/>
          <w:szCs w:val="22"/>
        </w:rPr>
        <w:t xml:space="preserve">Resolución 1913 del 25 de noviembre de 2021, </w:t>
      </w:r>
      <w:r>
        <w:rPr>
          <w:rFonts w:ascii="Arial" w:eastAsia="Arial" w:hAnsi="Arial" w:cs="Arial"/>
          <w:color w:val="000000"/>
          <w:sz w:val="22"/>
          <w:szCs w:val="22"/>
        </w:rPr>
        <w:t xml:space="preserve">mediante la cual se extendió la emergencia sanitaria hasta el 28 de febrero de 2022, por lo que se concluye que el Decreto 537 de 2020 se encuentra vigente, pues su aplicación está supeditada a que se mantenga la emergencia sanitaria. </w:t>
      </w:r>
    </w:p>
    <w:p w14:paraId="4F000C42" w14:textId="77777777" w:rsidR="009B3A66" w:rsidRDefault="009B3A66">
      <w:pPr>
        <w:spacing w:line="276" w:lineRule="auto"/>
        <w:jc w:val="both"/>
        <w:rPr>
          <w:rFonts w:ascii="Arial" w:eastAsia="Arial" w:hAnsi="Arial" w:cs="Arial"/>
          <w:b/>
          <w:sz w:val="22"/>
          <w:szCs w:val="22"/>
        </w:rPr>
      </w:pPr>
    </w:p>
    <w:p w14:paraId="4FE3110C" w14:textId="08D2E394" w:rsidR="009B3A66" w:rsidRDefault="00C01898">
      <w:pPr>
        <w:spacing w:line="276" w:lineRule="auto"/>
        <w:jc w:val="both"/>
        <w:rPr>
          <w:rFonts w:ascii="Arial" w:eastAsia="Arial" w:hAnsi="Arial" w:cs="Arial"/>
          <w:b/>
          <w:sz w:val="22"/>
          <w:szCs w:val="22"/>
        </w:rPr>
      </w:pPr>
      <w:r>
        <w:rPr>
          <w:rFonts w:ascii="Arial" w:eastAsia="Arial" w:hAnsi="Arial" w:cs="Arial"/>
          <w:b/>
          <w:sz w:val="22"/>
          <w:szCs w:val="22"/>
        </w:rPr>
        <w:t xml:space="preserve">2.8. Contratación en el contexto de la </w:t>
      </w:r>
      <w:r>
        <w:rPr>
          <w:rFonts w:ascii="Arial" w:eastAsia="Arial" w:hAnsi="Arial" w:cs="Arial"/>
          <w:b/>
          <w:color w:val="000000"/>
          <w:sz w:val="22"/>
          <w:szCs w:val="22"/>
        </w:rPr>
        <w:t>«emergencia sanitaria» ocasionada por el COVID-19</w:t>
      </w:r>
      <w:r>
        <w:rPr>
          <w:rFonts w:ascii="Arial" w:eastAsia="Arial" w:hAnsi="Arial" w:cs="Arial"/>
          <w:b/>
          <w:sz w:val="22"/>
          <w:szCs w:val="22"/>
        </w:rPr>
        <w:t xml:space="preserve">: </w:t>
      </w:r>
      <w:r>
        <w:rPr>
          <w:rFonts w:ascii="Arial" w:eastAsia="Arial" w:hAnsi="Arial" w:cs="Arial"/>
          <w:b/>
          <w:color w:val="000000"/>
          <w:sz w:val="22"/>
          <w:szCs w:val="22"/>
        </w:rPr>
        <w:t>la urgencia manifiesta no faculta la contratación ilimitada</w:t>
      </w:r>
    </w:p>
    <w:p w14:paraId="5511E7BA" w14:textId="77777777" w:rsidR="009B3A66" w:rsidRDefault="009B3A66">
      <w:pPr>
        <w:spacing w:line="276" w:lineRule="auto"/>
        <w:jc w:val="both"/>
        <w:rPr>
          <w:rFonts w:ascii="Arial" w:eastAsia="Arial" w:hAnsi="Arial" w:cs="Arial"/>
          <w:b/>
          <w:color w:val="000000"/>
          <w:sz w:val="22"/>
          <w:szCs w:val="22"/>
        </w:rPr>
      </w:pPr>
    </w:p>
    <w:p w14:paraId="2AF3B9C4" w14:textId="1D715CAA" w:rsidR="009B3A66" w:rsidRDefault="00C01898">
      <w:pPr>
        <w:spacing w:after="120" w:line="276" w:lineRule="auto"/>
        <w:jc w:val="both"/>
        <w:rPr>
          <w:rFonts w:ascii="Arial" w:eastAsia="Arial" w:hAnsi="Arial" w:cs="Arial"/>
          <w:color w:val="000000"/>
          <w:sz w:val="22"/>
          <w:szCs w:val="22"/>
        </w:rPr>
      </w:pPr>
      <w:r>
        <w:rPr>
          <w:rFonts w:ascii="Arial" w:eastAsia="Arial" w:hAnsi="Arial" w:cs="Arial"/>
          <w:color w:val="000000"/>
          <w:sz w:val="22"/>
          <w:szCs w:val="22"/>
        </w:rPr>
        <w:t>Como se mencionó anteriormente, el artículo 11 del Decreto 537 de 2020 supedita su vigencia a la existencia de la emergencia sanitaria, así: «</w:t>
      </w:r>
      <w:r>
        <w:rPr>
          <w:rFonts w:ascii="Arial" w:eastAsia="Arial" w:hAnsi="Arial" w:cs="Arial"/>
          <w:sz w:val="22"/>
          <w:szCs w:val="22"/>
        </w:rPr>
        <w:t xml:space="preserve">[…] </w:t>
      </w:r>
      <w:r>
        <w:rPr>
          <w:rFonts w:ascii="Arial" w:eastAsia="Arial" w:hAnsi="Arial" w:cs="Arial"/>
          <w:color w:val="000000"/>
          <w:sz w:val="22"/>
          <w:szCs w:val="22"/>
        </w:rPr>
        <w:t xml:space="preserve">rige a partir del 16 de abril de 2020 y estará vigente mientras se mantenga la Emergencia Sanitaria declarada por el Ministerio de Salud y Protección Social, con ocasión de la pandemia derivada del </w:t>
      </w:r>
      <w:r>
        <w:rPr>
          <w:rFonts w:ascii="Arial" w:eastAsia="Arial" w:hAnsi="Arial" w:cs="Arial"/>
          <w:color w:val="000000"/>
          <w:sz w:val="22"/>
          <w:szCs w:val="22"/>
        </w:rPr>
        <w:lastRenderedPageBreak/>
        <w:t>Coronavirus COVID-19», y junto con la Resolución 738 de 2021, expedida por el Ministerio de Salud y Protección Social, que prorrogó hasta el 31 de agosto de 2021 la emergencia sanitaria, son disposiciones actualmente vigentes y fundamentales dentro de la emergencia actual.</w:t>
      </w:r>
    </w:p>
    <w:p w14:paraId="632A5CF5" w14:textId="5C04E0C6" w:rsidR="009B3A66" w:rsidRDefault="00C01898">
      <w:pPr>
        <w:spacing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Como se mencionó con anterioridad, la urgencia manifiesta es una de las causales que permiten acudir a la modalidad de selección de contratación directa, de conformidad con el literal a), numeral 4 del artículo 2 de la Ley 1150 de 2007, en armonía con el artículo 42 y siguientes de la Ley 80 de 1993. Por su parte, el artículo 7 del Decreto 537 de 2020 alude a la contratación motivada en urgencia manifiesta y faculta a las entidades para contratar de manera directa los bienes y servicios para prevenir, contener y mitigar los efectos de la Pandemia del coronavirus COVID-19, así:</w:t>
      </w:r>
    </w:p>
    <w:p w14:paraId="6B3D0B27" w14:textId="77777777" w:rsidR="009B3A66" w:rsidRDefault="009B3A66">
      <w:pPr>
        <w:spacing w:line="276" w:lineRule="auto"/>
        <w:jc w:val="both"/>
        <w:rPr>
          <w:rFonts w:ascii="Arial" w:eastAsia="Arial" w:hAnsi="Arial" w:cs="Arial"/>
          <w:color w:val="000000"/>
          <w:sz w:val="22"/>
          <w:szCs w:val="22"/>
        </w:rPr>
      </w:pPr>
    </w:p>
    <w:p w14:paraId="1FE1C371" w14:textId="77777777" w:rsidR="009B3A66" w:rsidRPr="00A96608" w:rsidRDefault="00C01898" w:rsidP="00A96608">
      <w:pPr>
        <w:ind w:left="709" w:right="709"/>
        <w:jc w:val="both"/>
      </w:pPr>
      <w:r>
        <w:rPr>
          <w:rFonts w:ascii="Arial" w:eastAsia="Arial" w:hAnsi="Arial" w:cs="Arial"/>
          <w:sz w:val="21"/>
          <w:szCs w:val="21"/>
        </w:rPr>
        <w:t>Con ocasión de la declaratoria de estado de Emergencia Sanitaria declarada por el Ministerio de Salud y de Protección Social y en los términos del artículo 42 de la Ley 80 de 1993, se entiende comprobado el hecho que da lugar a declarar la urgencia manifiesta por parte de las entidades estatales, para la contratación directa del suministro de bienes, la prestación de servicios o la ejecución de obras en el inmediato futuro, con el objetivo de prevenir, contener y mitigar los efectos de la Pandemia del coronavirus COVID-19, así como para realizar las labores necesarias para optimizar el flujo de los recursos al interior del sistema de salud. Las actuaciones contractuales adelantadas con fundamento en la urgencia manifiesta se regirán por la normatividad vigente.</w:t>
      </w:r>
    </w:p>
    <w:p w14:paraId="33138BA9" w14:textId="77777777" w:rsidR="009B3A66" w:rsidRPr="00A96608" w:rsidRDefault="009B3A66" w:rsidP="00A96608">
      <w:pPr>
        <w:ind w:left="709" w:right="709"/>
        <w:jc w:val="both"/>
      </w:pPr>
    </w:p>
    <w:p w14:paraId="0FE1A26C" w14:textId="77777777" w:rsidR="009B3A66" w:rsidRPr="00A96608" w:rsidRDefault="00C01898" w:rsidP="00A96608">
      <w:pPr>
        <w:ind w:left="709" w:right="709"/>
        <w:jc w:val="both"/>
      </w:pPr>
      <w:r>
        <w:rPr>
          <w:rFonts w:ascii="Arial" w:eastAsia="Arial" w:hAnsi="Arial" w:cs="Arial"/>
          <w:sz w:val="21"/>
          <w:szCs w:val="21"/>
        </w:rPr>
        <w:t>Las entidades excluidas de la Ley 80 de 1993 podrán contratar de manera directa los bienes y servicios enunciados en el inciso anterior.</w:t>
      </w:r>
    </w:p>
    <w:p w14:paraId="5E20BC69" w14:textId="77777777" w:rsidR="009B3A66" w:rsidRDefault="009B3A66">
      <w:pPr>
        <w:spacing w:line="276" w:lineRule="auto"/>
        <w:jc w:val="both"/>
        <w:rPr>
          <w:rFonts w:ascii="Arial" w:eastAsia="Arial" w:hAnsi="Arial" w:cs="Arial"/>
          <w:color w:val="000000"/>
          <w:sz w:val="22"/>
          <w:szCs w:val="22"/>
        </w:rPr>
      </w:pPr>
    </w:p>
    <w:p w14:paraId="28E8E44F" w14:textId="77777777" w:rsidR="009B3A66" w:rsidRDefault="00C01898">
      <w:pPr>
        <w:spacing w:line="276" w:lineRule="auto"/>
        <w:ind w:firstLine="709"/>
        <w:jc w:val="both"/>
        <w:rPr>
          <w:rFonts w:ascii="Arial" w:eastAsia="Arial" w:hAnsi="Arial" w:cs="Arial"/>
          <w:sz w:val="22"/>
          <w:szCs w:val="22"/>
        </w:rPr>
      </w:pPr>
      <w:r>
        <w:rPr>
          <w:rFonts w:ascii="Arial" w:eastAsia="Arial" w:hAnsi="Arial" w:cs="Arial"/>
          <w:color w:val="000000"/>
          <w:sz w:val="22"/>
          <w:szCs w:val="22"/>
        </w:rPr>
        <w:t xml:space="preserve">No obstante, la norma transcrita no faculta </w:t>
      </w:r>
      <w:r>
        <w:rPr>
          <w:rFonts w:ascii="Arial" w:eastAsia="Arial" w:hAnsi="Arial" w:cs="Arial"/>
          <w:sz w:val="22"/>
          <w:szCs w:val="22"/>
        </w:rPr>
        <w:t xml:space="preserve">la contratación por la causal de urgencia manifiesta para la adquisición de </w:t>
      </w:r>
      <w:r>
        <w:rPr>
          <w:rFonts w:ascii="Arial" w:eastAsia="Arial" w:hAnsi="Arial" w:cs="Arial"/>
          <w:i/>
          <w:sz w:val="22"/>
          <w:szCs w:val="22"/>
        </w:rPr>
        <w:t>cualquier</w:t>
      </w:r>
      <w:r>
        <w:rPr>
          <w:rFonts w:ascii="Arial" w:eastAsia="Arial" w:hAnsi="Arial" w:cs="Arial"/>
          <w:sz w:val="22"/>
          <w:szCs w:val="22"/>
        </w:rPr>
        <w:t xml:space="preserve"> bien o servicio, sino que circunscribe el ejercicio de tal competencia al «[…] suministro de bienes, la prestación de servicios o la ejecución de obras en el inmediato futuro, con el objetivo de prevenir, contener y mitigar los efectos de la Pandemia del coronavirus COVID-19, así como para realizar las labores necesarias para optimizar el flujo de los recursos al interior del sistema de salud». Esta aclaración reviste importancia, porque mal podría considerarse que el artículo 7 del Decreto 537 de 2020 autoriza para que cualquier circunstancia acaecida durante la pandemia pueda ser entendida como una urgencia manifiesta que habilite la contratación de cualquier bien o servicio.</w:t>
      </w:r>
    </w:p>
    <w:p w14:paraId="098B6E37" w14:textId="77777777" w:rsidR="009B3A66" w:rsidRDefault="00C01898">
      <w:pPr>
        <w:spacing w:before="120" w:line="276" w:lineRule="auto"/>
        <w:ind w:firstLine="709"/>
        <w:jc w:val="both"/>
        <w:rPr>
          <w:rFonts w:ascii="Arial" w:eastAsia="Arial" w:hAnsi="Arial" w:cs="Arial"/>
          <w:sz w:val="22"/>
          <w:szCs w:val="22"/>
        </w:rPr>
      </w:pPr>
      <w:r>
        <w:rPr>
          <w:rFonts w:ascii="Arial" w:eastAsia="Arial" w:hAnsi="Arial" w:cs="Arial"/>
          <w:sz w:val="22"/>
          <w:szCs w:val="22"/>
        </w:rPr>
        <w:t xml:space="preserve">Tampoco puede entenderse que dicho Decreto Legislativo haya modificado la regulación de la urgencia manifiesta contemplada en los artículos 42 y 43 de la Ley 80 de 1993. Esta se mantiene incólume, y el mismo artículo 7 del Decreto 537 de 2020 precisa que la contratación se debe efectuar según la normativa sobre urgencia manifiesta que se </w:t>
      </w:r>
      <w:r>
        <w:rPr>
          <w:rFonts w:ascii="Arial" w:eastAsia="Arial" w:hAnsi="Arial" w:cs="Arial"/>
          <w:sz w:val="22"/>
          <w:szCs w:val="22"/>
        </w:rPr>
        <w:lastRenderedPageBreak/>
        <w:t>encuentra vigente. Al respecto, la Corte Constitucional, en la Sentencia C-181 de 2020</w:t>
      </w:r>
      <w:r>
        <w:rPr>
          <w:rFonts w:ascii="Arial" w:eastAsia="Arial" w:hAnsi="Arial" w:cs="Arial"/>
          <w:sz w:val="22"/>
          <w:szCs w:val="22"/>
          <w:vertAlign w:val="superscript"/>
        </w:rPr>
        <w:footnoteReference w:id="62"/>
      </w:r>
      <w:r>
        <w:rPr>
          <w:rFonts w:ascii="Arial" w:eastAsia="Arial" w:hAnsi="Arial" w:cs="Arial"/>
          <w:sz w:val="22"/>
          <w:szCs w:val="22"/>
        </w:rPr>
        <w:t>, que declaró exequible el Decreto Legislativo 537 de 2020, indicó lo siguiente:</w:t>
      </w:r>
    </w:p>
    <w:p w14:paraId="450FDA58" w14:textId="77777777" w:rsidR="009B3A66" w:rsidRDefault="009B3A66">
      <w:pPr>
        <w:spacing w:line="276" w:lineRule="auto"/>
        <w:ind w:left="709" w:right="709"/>
        <w:jc w:val="both"/>
        <w:rPr>
          <w:rFonts w:ascii="Arial" w:eastAsia="Arial" w:hAnsi="Arial" w:cs="Arial"/>
          <w:sz w:val="21"/>
          <w:szCs w:val="21"/>
        </w:rPr>
      </w:pPr>
    </w:p>
    <w:p w14:paraId="0C383BD0" w14:textId="422FEE16" w:rsidR="009B3A66" w:rsidRPr="00A96608" w:rsidRDefault="00C01898" w:rsidP="00A96608">
      <w:pPr>
        <w:ind w:left="709" w:right="709"/>
        <w:jc w:val="both"/>
      </w:pPr>
      <w:r>
        <w:rPr>
          <w:rFonts w:ascii="Arial" w:eastAsia="Arial" w:hAnsi="Arial" w:cs="Arial"/>
          <w:sz w:val="21"/>
          <w:szCs w:val="21"/>
        </w:rPr>
        <w:t>En particular, en lo que respecta al art. 7, que tiene por comprobado el hecho que da lugar a declarar la urgencia manifiesta por parte de las entidades estatales, para la contratación directa del suministro de bienes, la prestación de servicios o la ejecución de obras en el inmediato futuro, con el objetivo de prevenir, contener y mitigar los efectos de la pandemia del Covid-19, debe resaltarse que los órganos correspondientes conservan todas las competencias dispuestas en el ordenamiento jurídico para controlar las contrataciones realizadas en virtud de esta medida. En otros términos, la disposición bajo estudio no implica, de ninguna manera, una facultad ilimitada y arbitraria.</w:t>
      </w:r>
    </w:p>
    <w:p w14:paraId="645B45DF" w14:textId="77777777" w:rsidR="009B3A66" w:rsidRPr="00A96608" w:rsidRDefault="00C01898" w:rsidP="00A96608">
      <w:pPr>
        <w:ind w:left="709" w:right="709"/>
        <w:jc w:val="both"/>
      </w:pPr>
      <w:r>
        <w:rPr>
          <w:rFonts w:ascii="Arial" w:eastAsia="Arial" w:hAnsi="Arial" w:cs="Arial"/>
          <w:sz w:val="21"/>
          <w:szCs w:val="21"/>
        </w:rPr>
        <w:t>[…]</w:t>
      </w:r>
    </w:p>
    <w:p w14:paraId="1C945567" w14:textId="77777777" w:rsidR="009B3A66" w:rsidRPr="00A96608" w:rsidRDefault="00C01898" w:rsidP="00A96608">
      <w:pPr>
        <w:ind w:left="709" w:right="709"/>
        <w:jc w:val="both"/>
      </w:pPr>
      <w:r>
        <w:rPr>
          <w:rFonts w:ascii="Arial" w:eastAsia="Arial" w:hAnsi="Arial" w:cs="Arial"/>
          <w:sz w:val="21"/>
          <w:szCs w:val="21"/>
        </w:rPr>
        <w:t>La Sala estima necesario precisar que esta medida no exime a las entidades estatales de dar cumplimiento a las demás motivaciones y actuaciones requeridas a fin de cumplir con los deberes de selección objetiva y planeación; los principios de legalidad, transparencia, responsabilidad, entre otros. Por su parte, es claro que los órganos de control conservan plenamente sus competencias para investigar y sancionar las conductas de los servidores públicos que utilicen indebidamente o atenten contra el patrimonio público en el uso de las facultades de contratación de urgencia.</w:t>
      </w:r>
    </w:p>
    <w:p w14:paraId="019D1EA6" w14:textId="77777777" w:rsidR="009B3A66" w:rsidRDefault="009B3A66">
      <w:pPr>
        <w:spacing w:line="276" w:lineRule="auto"/>
        <w:jc w:val="both"/>
        <w:rPr>
          <w:rFonts w:ascii="Arial" w:eastAsia="Arial" w:hAnsi="Arial" w:cs="Arial"/>
          <w:sz w:val="22"/>
          <w:szCs w:val="22"/>
        </w:rPr>
      </w:pPr>
    </w:p>
    <w:p w14:paraId="03AD6BB3" w14:textId="77777777" w:rsidR="009B3A66" w:rsidRDefault="00C01898">
      <w:pPr>
        <w:spacing w:line="276" w:lineRule="auto"/>
        <w:ind w:firstLine="709"/>
        <w:jc w:val="both"/>
        <w:rPr>
          <w:rFonts w:ascii="Arial" w:eastAsia="Arial" w:hAnsi="Arial" w:cs="Arial"/>
          <w:sz w:val="22"/>
          <w:szCs w:val="22"/>
        </w:rPr>
      </w:pPr>
      <w:r>
        <w:rPr>
          <w:rFonts w:ascii="Arial" w:eastAsia="Arial" w:hAnsi="Arial" w:cs="Arial"/>
          <w:sz w:val="22"/>
          <w:szCs w:val="22"/>
        </w:rPr>
        <w:t>Sobre las reglas que deben cumplirse para la declaratoria de urgencia manifiesta y su interpretación restrictiva, conviene recordar lo indicado por la Agencia Nacional de Contratación Pública – Colombia Compra Eficiente en el concepto C-333 del 19 de mayo de 2020. En dicha oportunidad se indicó que el elemento común en los eventos de urgencia manifiesta previstos en el artículo 42 de la Ley 80 de 1993 –y esto también puede predicarse de los señalados en el artículo 7 del Decreto 537 de 2020–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Pr>
          <w:rFonts w:ascii="Arial" w:eastAsia="Arial" w:hAnsi="Arial" w:cs="Arial"/>
          <w:sz w:val="21"/>
          <w:szCs w:val="21"/>
          <w:vertAlign w:val="superscript"/>
        </w:rPr>
        <w:footnoteReference w:id="63"/>
      </w:r>
      <w:r>
        <w:rPr>
          <w:rFonts w:ascii="Arial" w:eastAsia="Arial" w:hAnsi="Arial" w:cs="Arial"/>
          <w:sz w:val="21"/>
          <w:szCs w:val="21"/>
        </w:rPr>
        <w:t>.</w:t>
      </w:r>
    </w:p>
    <w:p w14:paraId="2F0957A5" w14:textId="77777777" w:rsidR="009B3A66" w:rsidRDefault="00C01898">
      <w:pPr>
        <w:spacing w:before="120" w:line="276" w:lineRule="auto"/>
        <w:ind w:firstLine="708"/>
        <w:jc w:val="both"/>
        <w:rPr>
          <w:rFonts w:ascii="Arial" w:eastAsia="Arial" w:hAnsi="Arial" w:cs="Arial"/>
          <w:sz w:val="22"/>
          <w:szCs w:val="22"/>
        </w:rPr>
      </w:pPr>
      <w:r>
        <w:rPr>
          <w:rFonts w:ascii="Arial" w:eastAsia="Arial" w:hAnsi="Arial" w:cs="Arial"/>
          <w:sz w:val="22"/>
          <w:szCs w:val="22"/>
        </w:rPr>
        <w:lastRenderedPageBreak/>
        <w:t xml:space="preserve">Cuando se configure alguna de dichas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de la misma Ley. </w:t>
      </w:r>
    </w:p>
    <w:p w14:paraId="14741AF6" w14:textId="77777777" w:rsidR="009B3A66" w:rsidRDefault="00C01898">
      <w:pPr>
        <w:spacing w:before="120" w:line="276" w:lineRule="auto"/>
        <w:ind w:firstLine="708"/>
        <w:jc w:val="both"/>
        <w:rPr>
          <w:rFonts w:ascii="Arial" w:eastAsia="Arial" w:hAnsi="Arial" w:cs="Arial"/>
          <w:sz w:val="22"/>
          <w:szCs w:val="22"/>
        </w:rPr>
      </w:pPr>
      <w:r>
        <w:rPr>
          <w:rFonts w:ascii="Arial" w:eastAsia="Arial" w:hAnsi="Arial" w:cs="Arial"/>
          <w:sz w:val="22"/>
          <w:szCs w:val="22"/>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453B0487" w14:textId="77777777" w:rsidR="009B3A66" w:rsidRDefault="00C01898">
      <w:pPr>
        <w:spacing w:before="120" w:line="276" w:lineRule="auto"/>
        <w:ind w:firstLine="708"/>
        <w:jc w:val="both"/>
        <w:rPr>
          <w:rFonts w:ascii="Arial" w:eastAsia="Arial" w:hAnsi="Arial" w:cs="Arial"/>
          <w:sz w:val="22"/>
          <w:szCs w:val="22"/>
        </w:rPr>
      </w:pPr>
      <w:r>
        <w:rPr>
          <w:rFonts w:ascii="Arial" w:eastAsia="Arial" w:hAnsi="Arial" w:cs="Arial"/>
          <w:sz w:val="22"/>
          <w:szCs w:val="22"/>
        </w:rPr>
        <w:t>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norma, se efectúen afectando exclusivamente el anexo del decreto de liquidación del Presupuesto»</w:t>
      </w:r>
      <w:r>
        <w:rPr>
          <w:rFonts w:ascii="Arial" w:eastAsia="Arial" w:hAnsi="Arial" w:cs="Arial"/>
          <w:sz w:val="22"/>
          <w:szCs w:val="22"/>
          <w:vertAlign w:val="superscript"/>
        </w:rPr>
        <w:footnoteReference w:id="64"/>
      </w:r>
      <w:r>
        <w:rPr>
          <w:rFonts w:ascii="Arial" w:eastAsia="Arial" w:hAnsi="Arial" w:cs="Arial"/>
          <w:sz w:val="22"/>
          <w:szCs w:val="22"/>
        </w:rPr>
        <w:t xml:space="preserve">. </w:t>
      </w:r>
    </w:p>
    <w:p w14:paraId="0429973C" w14:textId="43CD99E2" w:rsidR="009B3A66" w:rsidRPr="00A96608" w:rsidRDefault="00C01898" w:rsidP="00A96608">
      <w:pPr>
        <w:spacing w:before="120" w:line="276" w:lineRule="auto"/>
        <w:ind w:firstLine="709"/>
        <w:jc w:val="both"/>
      </w:pPr>
      <w:r>
        <w:rPr>
          <w:rFonts w:ascii="Arial" w:eastAsia="Arial" w:hAnsi="Arial" w:cs="Arial"/>
          <w:sz w:val="22"/>
          <w:szCs w:val="22"/>
        </w:rPr>
        <w:t>Declarada la urgencia manifiesta, mediante acto administrativo, y celebrado el contrato correspondiente, se debe cumplir la exigencia del artículo 43 de la Ley 80 de 1993. La finalidad de este procedimiento es que la autoridad que ejerce el control fiscal –la Contraloría General de la República, las contralorías departamentales, distritales y municipales, o la Auditoría General de la República, según el caso– revise si son ciertas las razones aducidas por el representante legal de la entidad para declarar la urgencia manifiesta, si tales motivos son constitutivos de urgencia y si la gestión presupuestal adoptada fue la indicada, conforme al marco jurídico que regula la urgencia manifiesta y que se mantiene durante la emergencia sanitaria actual.</w:t>
      </w:r>
    </w:p>
    <w:p w14:paraId="4A9B8F0B" w14:textId="77777777" w:rsidR="009B3A66" w:rsidRPr="00A96608" w:rsidRDefault="009B3A66" w:rsidP="00A96608">
      <w:pPr>
        <w:spacing w:line="276" w:lineRule="auto"/>
        <w:jc w:val="both"/>
      </w:pPr>
    </w:p>
    <w:p w14:paraId="4CCB8651" w14:textId="77777777" w:rsidR="009B3A66" w:rsidRPr="00A96608" w:rsidRDefault="00C01898" w:rsidP="00A96608">
      <w:pPr>
        <w:spacing w:line="276" w:lineRule="auto"/>
        <w:jc w:val="both"/>
        <w:rPr>
          <w:b/>
        </w:rPr>
      </w:pPr>
      <w:r>
        <w:rPr>
          <w:rFonts w:ascii="Arial" w:eastAsia="Arial" w:hAnsi="Arial" w:cs="Arial"/>
          <w:b/>
          <w:sz w:val="22"/>
          <w:szCs w:val="22"/>
        </w:rPr>
        <w:t>2.9. Conclusiones respecto a la aplicación de la Ley de Garantías Electorales</w:t>
      </w:r>
    </w:p>
    <w:p w14:paraId="36ECABCA" w14:textId="77777777" w:rsidR="009B3A66" w:rsidRPr="00A96608" w:rsidRDefault="009B3A66" w:rsidP="00A96608">
      <w:pPr>
        <w:spacing w:line="276" w:lineRule="auto"/>
        <w:jc w:val="both"/>
      </w:pPr>
    </w:p>
    <w:p w14:paraId="4FC11E80" w14:textId="65AD5AFF" w:rsidR="009B3A66" w:rsidRPr="00A96608" w:rsidRDefault="00C01898" w:rsidP="00A96608">
      <w:pPr>
        <w:spacing w:after="120" w:line="276" w:lineRule="auto"/>
        <w:jc w:val="both"/>
      </w:pPr>
      <w:r>
        <w:rPr>
          <w:rFonts w:ascii="Arial" w:eastAsia="Arial" w:hAnsi="Arial" w:cs="Arial"/>
          <w:color w:val="000000"/>
          <w:sz w:val="22"/>
          <w:szCs w:val="22"/>
        </w:rPr>
        <w:t xml:space="preserve">De lo expuesto, esta Agencia concluye que, dado que para el año 2022 resultarían aplicables, en principio, las prohibiciones a la contratación directa y a la celebración de </w:t>
      </w:r>
      <w:r>
        <w:rPr>
          <w:rFonts w:ascii="Arial" w:eastAsia="Arial" w:hAnsi="Arial" w:cs="Arial"/>
          <w:color w:val="000000"/>
          <w:sz w:val="22"/>
          <w:szCs w:val="22"/>
        </w:rPr>
        <w:lastRenderedPageBreak/>
        <w:t xml:space="preserve">convenios y contratos interadministrativos establecidas en los artículos 33 y 38 de la Ley de Garantías, respectivamente, dichas prohibiciones se aplican de manera independiente y atendiendo a cada uno de los elementos y requisitos exigidos, así como a las excepciones dispuestas por las normas mencionadas, de acuerdo con lo expuesto en este concepto. </w:t>
      </w:r>
    </w:p>
    <w:p w14:paraId="495A60CC" w14:textId="77777777" w:rsidR="009B3A66" w:rsidRPr="00A96608" w:rsidRDefault="00C01898" w:rsidP="00A96608">
      <w:pPr>
        <w:spacing w:after="120" w:line="276" w:lineRule="auto"/>
        <w:ind w:firstLine="708"/>
        <w:jc w:val="both"/>
      </w:pPr>
      <w:r>
        <w:rPr>
          <w:rFonts w:ascii="Arial" w:eastAsia="Arial" w:hAnsi="Arial" w:cs="Arial"/>
          <w:color w:val="000000"/>
          <w:sz w:val="22"/>
          <w:szCs w:val="22"/>
        </w:rPr>
        <w:t xml:space="preserve">Así las cosas, la celebración de convenios y contratos interadministrativos, siempre que, según el artículo 2 de la Ley 1150 de 2007, constituya causal de contratación directa, queda cobijada, de manera concomitante, por ambas prohibiciones durante la coincidencia de los periodos preelectorales para elecciones presidenciales y al Congreso de la República. </w:t>
      </w:r>
    </w:p>
    <w:p w14:paraId="5BFC42F7" w14:textId="77777777" w:rsidR="009B3A66" w:rsidRPr="00A96608" w:rsidRDefault="00C01898" w:rsidP="00A96608">
      <w:pPr>
        <w:spacing w:after="120" w:line="276" w:lineRule="auto"/>
        <w:ind w:firstLine="708"/>
        <w:jc w:val="both"/>
      </w:pPr>
      <w:r>
        <w:rPr>
          <w:rFonts w:ascii="Arial" w:eastAsia="Arial" w:hAnsi="Arial" w:cs="Arial"/>
          <w:color w:val="000000"/>
          <w:sz w:val="22"/>
          <w:szCs w:val="22"/>
        </w:rPr>
        <w:t xml:space="preserve">Ahora bien, de acuerdo con lo expuesto en este concepto, se debe tener en cuenta que tanto la modificación transitoria introducida por la Ley del Presupuesto como las medidas normativas contenidas en el Decreto 537 de 2020 con ocasión a la Pandemia por COVID-19, han flexibilizado la contratación de distintas entidades públicas y, consecuentemente, introducido algunas excepciones a la aplicación plena de la Ley de Garantías Electorales. </w:t>
      </w:r>
    </w:p>
    <w:p w14:paraId="1A9222C7" w14:textId="77777777" w:rsidR="009B3A66" w:rsidRPr="00A96608" w:rsidRDefault="00C01898" w:rsidP="00A96608">
      <w:pPr>
        <w:spacing w:after="120" w:line="276" w:lineRule="auto"/>
        <w:ind w:firstLine="708"/>
        <w:jc w:val="both"/>
      </w:pPr>
      <w:r>
        <w:rPr>
          <w:rFonts w:ascii="Arial" w:eastAsia="Arial" w:hAnsi="Arial" w:cs="Arial"/>
          <w:color w:val="000000"/>
          <w:sz w:val="22"/>
          <w:szCs w:val="22"/>
        </w:rPr>
        <w:t>Así, mientras que la Ley 2159 de 2021 permite la celebración de convenios y contratos interadministrativos entre la Nación y las entidades territoriales, siempre y cuando se cumplan los requisitos exigidos por su artículo 134 arriba descritos, el Decreto 537 de 2020 supone y da por comprobado el hecho que permite la contratación directa por urgencia manifiesta mientras perdure la declaratoria de emergencia sanitaria decretada por el Ministerio de Salud.</w:t>
      </w:r>
    </w:p>
    <w:p w14:paraId="69144482" w14:textId="77777777" w:rsidR="009B3A66" w:rsidRDefault="00C01898">
      <w:pPr>
        <w:spacing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En este punto, la Agencia reitera la respuesta brindada en concepto previo y relacionada con la aplicación de la prohibición a la contratación directa traída por el artículo 33 de la Ley de Garantías durante la declaratoria de emergencia sanitaria debido a la Pandemia por COVID-19. Así, en Concepto C- 259 de 2021, se dijo: </w:t>
      </w:r>
    </w:p>
    <w:p w14:paraId="49952D55" w14:textId="77777777" w:rsidR="009B3A66" w:rsidRDefault="009B3A66">
      <w:pPr>
        <w:spacing w:line="276" w:lineRule="auto"/>
        <w:ind w:firstLine="708"/>
        <w:jc w:val="both"/>
        <w:rPr>
          <w:rFonts w:ascii="Arial" w:eastAsia="Arial" w:hAnsi="Arial" w:cs="Arial"/>
          <w:color w:val="000000"/>
          <w:sz w:val="22"/>
          <w:szCs w:val="22"/>
        </w:rPr>
      </w:pPr>
    </w:p>
    <w:p w14:paraId="7AF8E440" w14:textId="0B11CC09" w:rsidR="009B3A66" w:rsidRPr="00A96608" w:rsidRDefault="00C01898" w:rsidP="00A96608">
      <w:pPr>
        <w:spacing w:after="120"/>
        <w:ind w:left="708" w:right="616"/>
        <w:jc w:val="both"/>
      </w:pPr>
      <w:r>
        <w:rPr>
          <w:rFonts w:ascii="Arial" w:eastAsia="Arial" w:hAnsi="Arial" w:cs="Arial"/>
          <w:color w:val="000000"/>
          <w:sz w:val="21"/>
          <w:szCs w:val="21"/>
        </w:rPr>
        <w:t xml:space="preserve">De </w:t>
      </w:r>
      <w:r>
        <w:rPr>
          <w:rFonts w:ascii="Arial" w:eastAsia="Arial" w:hAnsi="Arial" w:cs="Arial"/>
          <w:sz w:val="21"/>
          <w:szCs w:val="21"/>
        </w:rPr>
        <w:t xml:space="preserve">acuerdo con las consideraciones del presente concepto, y concretamente acudiendo a lo señalado en el artículo 33 de la Ley 996 de 2005, que prohíbe la contratación directa por parte de todos los entes del Estado, cuatro (4) meses anteriores a la elección presidencial y hasta la realización de la elección en la segunda vuelta, si fuere el caso, y a la vez contempla excepciones a esta limitación cuando el objeto a contratar se refiera a: «la defensa y seguridad del Estado, los contratos de crédito público, </w:t>
      </w:r>
      <w:r>
        <w:rPr>
          <w:rFonts w:ascii="Arial" w:eastAsia="Arial" w:hAnsi="Arial" w:cs="Arial"/>
          <w:i/>
          <w:sz w:val="21"/>
          <w:szCs w:val="21"/>
        </w:rPr>
        <w:t>los requeridos para cubrir las emergencias</w:t>
      </w:r>
      <w:r>
        <w:rPr>
          <w:rFonts w:ascii="Arial" w:eastAsia="Arial" w:hAnsi="Arial" w:cs="Arial"/>
          <w:sz w:val="21"/>
          <w:szCs w:val="21"/>
        </w:rPr>
        <w:t xml:space="preserve"> educativas, </w:t>
      </w:r>
      <w:r>
        <w:rPr>
          <w:rFonts w:ascii="Arial" w:eastAsia="Arial" w:hAnsi="Arial" w:cs="Arial"/>
          <w:i/>
          <w:sz w:val="21"/>
          <w:szCs w:val="21"/>
        </w:rPr>
        <w:t>sanitarias</w:t>
      </w:r>
      <w:r>
        <w:rPr>
          <w:rFonts w:ascii="Arial" w:eastAsia="Arial" w:hAnsi="Arial" w:cs="Arial"/>
          <w:sz w:val="21"/>
          <w:szCs w:val="21"/>
        </w:rPr>
        <w:t xml:space="preserve"> y desastres, los utilizados para la reconstrucción de vías, puentes, carreteras, infraestructura energética y de comunicaciones, en caso de que hayan sido objeto de atentados, acciones terroristas, desastres naturales o casos de fuerza mayor, </w:t>
      </w:r>
      <w:r>
        <w:rPr>
          <w:rFonts w:ascii="Arial" w:eastAsia="Arial" w:hAnsi="Arial" w:cs="Arial"/>
          <w:i/>
          <w:sz w:val="21"/>
          <w:szCs w:val="21"/>
        </w:rPr>
        <w:t>y los que deban realizar las entidades sanitarias y hospitalarias</w:t>
      </w:r>
      <w:r>
        <w:rPr>
          <w:rFonts w:ascii="Arial" w:eastAsia="Arial" w:hAnsi="Arial" w:cs="Arial"/>
          <w:sz w:val="21"/>
          <w:szCs w:val="21"/>
        </w:rPr>
        <w:t xml:space="preserve">». </w:t>
      </w:r>
    </w:p>
    <w:p w14:paraId="39596B4E" w14:textId="77777777" w:rsidR="009B3A66" w:rsidRPr="00A96608" w:rsidRDefault="00C01898" w:rsidP="00A96608">
      <w:pPr>
        <w:spacing w:after="120"/>
        <w:ind w:left="708" w:right="616"/>
        <w:jc w:val="both"/>
      </w:pPr>
      <w:r>
        <w:rPr>
          <w:rFonts w:ascii="Arial" w:eastAsia="Arial" w:hAnsi="Arial" w:cs="Arial"/>
          <w:color w:val="000000"/>
          <w:sz w:val="21"/>
          <w:szCs w:val="21"/>
        </w:rPr>
        <w:t xml:space="preserve">Lo anterior, aunado a la difícil situación mundial por causa de la pandemia actual, frente a la cual los objetivos estratégicos del gobierno nacional están </w:t>
      </w:r>
      <w:r>
        <w:rPr>
          <w:rFonts w:ascii="Arial" w:eastAsia="Arial" w:hAnsi="Arial" w:cs="Arial"/>
          <w:color w:val="000000"/>
          <w:sz w:val="21"/>
          <w:szCs w:val="21"/>
        </w:rPr>
        <w:lastRenderedPageBreak/>
        <w:t>encaminados a salvar vidas y proteger la salud de la población, a través de diferentes mecanismos, dentro de los que se encuentran la expedición de un ordenamiento jurídico que habilita y facilita la adquisición de bienes y servicios tendientes a atender y combatir la emergencia sanitaria por parte de las entidades públicas, no sería aplicable la restricción del artículo 33 de la Ley de Garantías en los casos y a las entidades particularmente referidas, dentro de las que se encuentran las hospitalarias.</w:t>
      </w:r>
    </w:p>
    <w:p w14:paraId="36765326" w14:textId="77777777" w:rsidR="009B3A66" w:rsidRPr="00A96608" w:rsidRDefault="00C01898" w:rsidP="00A96608">
      <w:pPr>
        <w:ind w:left="708" w:right="616"/>
        <w:jc w:val="both"/>
      </w:pPr>
      <w:r>
        <w:rPr>
          <w:rFonts w:ascii="Arial" w:eastAsia="Arial" w:hAnsi="Arial" w:cs="Arial"/>
          <w:color w:val="000000"/>
          <w:sz w:val="21"/>
          <w:szCs w:val="21"/>
          <w:u w:val="single"/>
        </w:rPr>
        <w:t xml:space="preserve">Lo anterior, sin perjuicio de la aplicación de la restricción desarrollada en relación con el parágrafo del artículo 38 de la Ley 996 de 2005, en los términos desarrollados anteriormente </w:t>
      </w:r>
      <w:r>
        <w:rPr>
          <w:rFonts w:ascii="Arial" w:eastAsia="Arial" w:hAnsi="Arial" w:cs="Arial"/>
          <w:color w:val="000000"/>
          <w:sz w:val="21"/>
          <w:szCs w:val="21"/>
        </w:rPr>
        <w:t>[Subraya añadida]</w:t>
      </w:r>
      <w:r>
        <w:rPr>
          <w:rFonts w:ascii="Arial" w:eastAsia="Arial" w:hAnsi="Arial" w:cs="Arial"/>
          <w:color w:val="000000"/>
          <w:sz w:val="21"/>
          <w:szCs w:val="21"/>
          <w:vertAlign w:val="superscript"/>
        </w:rPr>
        <w:footnoteReference w:id="65"/>
      </w:r>
      <w:r>
        <w:rPr>
          <w:rFonts w:ascii="Arial" w:eastAsia="Arial" w:hAnsi="Arial" w:cs="Arial"/>
          <w:color w:val="000000"/>
          <w:sz w:val="21"/>
          <w:szCs w:val="21"/>
        </w:rPr>
        <w:t>.</w:t>
      </w:r>
      <w:r>
        <w:rPr>
          <w:rFonts w:ascii="Arial" w:eastAsia="Arial" w:hAnsi="Arial" w:cs="Arial"/>
          <w:color w:val="000000"/>
          <w:sz w:val="21"/>
          <w:szCs w:val="21"/>
          <w:u w:val="single"/>
        </w:rPr>
        <w:t xml:space="preserve"> </w:t>
      </w:r>
    </w:p>
    <w:p w14:paraId="74609B0A" w14:textId="77777777" w:rsidR="009B3A66" w:rsidRDefault="009B3A66">
      <w:pPr>
        <w:spacing w:line="276" w:lineRule="auto"/>
        <w:ind w:firstLine="708"/>
        <w:jc w:val="both"/>
        <w:rPr>
          <w:rFonts w:ascii="Arial" w:eastAsia="Arial" w:hAnsi="Arial" w:cs="Arial"/>
          <w:color w:val="000000"/>
          <w:sz w:val="22"/>
          <w:szCs w:val="22"/>
        </w:rPr>
      </w:pPr>
    </w:p>
    <w:p w14:paraId="3928BE5A" w14:textId="77777777" w:rsidR="009B3A66" w:rsidRPr="00A96608" w:rsidRDefault="00C01898" w:rsidP="00A96608">
      <w:pPr>
        <w:spacing w:after="120" w:line="276" w:lineRule="auto"/>
        <w:ind w:firstLine="708"/>
        <w:jc w:val="both"/>
      </w:pPr>
      <w:r>
        <w:rPr>
          <w:rFonts w:ascii="Arial" w:eastAsia="Arial" w:hAnsi="Arial" w:cs="Arial"/>
          <w:color w:val="000000"/>
          <w:sz w:val="22"/>
          <w:szCs w:val="22"/>
        </w:rPr>
        <w:t xml:space="preserve">Como se colige del concepto transcrito, las consideraciones sobre la aplicación o no de la prohibición del artículo 33 de la Ley de Garantías deben ser entendidas sin perjuicio de la restricción del parágrafo del artículo 38 de la misma ley, lo cual resulta relevante para la consulta que ahora conoce la Agencia, toda vez que ella se refiere, específicamente, a la celebración de convenios interadministrativos y a la restricción de que trata el parágrafo citado. </w:t>
      </w:r>
    </w:p>
    <w:p w14:paraId="12BCD0D3" w14:textId="0C7326A4" w:rsidR="009B3A66" w:rsidRPr="00A96608" w:rsidRDefault="00C01898" w:rsidP="00A96608">
      <w:pPr>
        <w:spacing w:after="120" w:line="276" w:lineRule="auto"/>
        <w:ind w:firstLine="708"/>
        <w:jc w:val="both"/>
      </w:pPr>
      <w:r>
        <w:rPr>
          <w:rFonts w:ascii="Arial" w:eastAsia="Arial" w:hAnsi="Arial" w:cs="Arial"/>
          <w:color w:val="000000"/>
          <w:sz w:val="22"/>
          <w:szCs w:val="22"/>
        </w:rPr>
        <w:t xml:space="preserve">A este respecto, la Agencia estima que la prohibición para celebrar convenios y contratos interadministrativos establecida en el parágrafo del artículo 38 de la Ley de Garantías, debe ser aplicada, inclusive, durante la declaratoria de emergencia sanitaria y hasta el término del periodo preelectoral establecido en el precepto citado. Lo anterior por cuanto, como se dijo, la excepción relativa a los contratos </w:t>
      </w:r>
      <w:r w:rsidRPr="00A96608">
        <w:rPr>
          <w:rFonts w:ascii="Arial" w:eastAsia="Arial" w:hAnsi="Arial" w:cs="Arial"/>
          <w:color w:val="000000"/>
          <w:sz w:val="22"/>
          <w:szCs w:val="22"/>
        </w:rPr>
        <w:t>requeridos para cubrir las emergencias sanitarias</w:t>
      </w:r>
      <w:r>
        <w:rPr>
          <w:rFonts w:ascii="Arial" w:eastAsia="Arial" w:hAnsi="Arial" w:cs="Arial"/>
          <w:color w:val="000000"/>
          <w:sz w:val="22"/>
          <w:szCs w:val="22"/>
        </w:rPr>
        <w:t xml:space="preserve"> aplica, exclusivamente, en relación con la prohibición a la contratación directa establecida en el artículo 33; pero no sobre la restricción de la tipología de los contratos o convenios interadministrativos que establece el artículo 38 </w:t>
      </w:r>
      <w:r>
        <w:rPr>
          <w:rFonts w:ascii="Arial" w:eastAsia="Arial" w:hAnsi="Arial" w:cs="Arial"/>
          <w:i/>
          <w:color w:val="000000"/>
          <w:sz w:val="22"/>
          <w:szCs w:val="22"/>
        </w:rPr>
        <w:t>ibidem</w:t>
      </w:r>
      <w:r>
        <w:rPr>
          <w:rFonts w:ascii="Arial" w:eastAsia="Arial" w:hAnsi="Arial" w:cs="Arial"/>
          <w:color w:val="000000"/>
          <w:sz w:val="22"/>
          <w:szCs w:val="22"/>
        </w:rPr>
        <w:t>.</w:t>
      </w:r>
    </w:p>
    <w:p w14:paraId="5CB6402C" w14:textId="25245A0B" w:rsidR="009B3A66" w:rsidRPr="00A96608" w:rsidRDefault="00C01898" w:rsidP="00A96608">
      <w:pPr>
        <w:spacing w:after="120" w:line="276" w:lineRule="auto"/>
        <w:ind w:firstLine="708"/>
        <w:jc w:val="both"/>
      </w:pPr>
      <w:r>
        <w:rPr>
          <w:rFonts w:ascii="Arial" w:eastAsia="Arial" w:hAnsi="Arial" w:cs="Arial"/>
          <w:color w:val="000000"/>
          <w:sz w:val="22"/>
          <w:szCs w:val="22"/>
        </w:rPr>
        <w:t xml:space="preserve">Además, si bien con ocasión de la Pandemia por COVID-19 se han expedido una serie de normas encaminadas a flexibilizar la contratación de las entidades estatales, lo cierto es que no existe disposición expresa que permita exceptuar la aplicación de la prohibición del parágrafo del artículo 38 de la Ley de Garantías que gira, únicamente, en torno a la celebración de contratos y convenios interadministrativos en los que sean parte las entidades del orden territorial enlistadas en dicho parágrafo. </w:t>
      </w:r>
    </w:p>
    <w:p w14:paraId="6F3A9C37" w14:textId="381780A7" w:rsidR="009B3A66" w:rsidRPr="00A96608" w:rsidRDefault="00C01898" w:rsidP="00A96608">
      <w:pPr>
        <w:spacing w:after="120" w:line="276" w:lineRule="auto"/>
        <w:ind w:firstLine="708"/>
        <w:jc w:val="both"/>
      </w:pPr>
      <w:r>
        <w:rPr>
          <w:rFonts w:ascii="Arial" w:eastAsia="Arial" w:hAnsi="Arial" w:cs="Arial"/>
          <w:color w:val="000000"/>
          <w:sz w:val="22"/>
          <w:szCs w:val="22"/>
        </w:rPr>
        <w:t xml:space="preserve">Distinto es que, una vez superado el periodo preelectoral del parágrafo del artículo 38, y durante la vigencia exclusiva del periodo preelectoral del artículo 33, se puedan celebrar directamente contratos y convenios interadministrativos, justificados en la excepción que el propio artículo 33 consagra, así como en las disposiciones del Decreto 537 de 2020 que dan como comprobado al hecho constitutivo de la urgencia manifiesta mientras perdure la declaratoria del estado de emergencia sanitaria y siempre y cuando la celebración de dichos contratos esté encaminada </w:t>
      </w:r>
      <w:r>
        <w:rPr>
          <w:rFonts w:ascii="Arial" w:eastAsia="Arial" w:hAnsi="Arial" w:cs="Arial"/>
          <w:sz w:val="22"/>
          <w:szCs w:val="22"/>
        </w:rPr>
        <w:t xml:space="preserve">al suministro de bienes, la prestación de </w:t>
      </w:r>
      <w:r>
        <w:rPr>
          <w:rFonts w:ascii="Arial" w:eastAsia="Arial" w:hAnsi="Arial" w:cs="Arial"/>
          <w:sz w:val="22"/>
          <w:szCs w:val="22"/>
        </w:rPr>
        <w:lastRenderedPageBreak/>
        <w:t>servicios o la ejecución de obras en el inmediato futuro, con el objetivo de prevenir, contener y mitigar los efectos de la pandemia del Covid-19, tal y como lo establece el Decreto 537 mencionado</w:t>
      </w:r>
      <w:r>
        <w:rPr>
          <w:rFonts w:ascii="Arial" w:eastAsia="Arial" w:hAnsi="Arial" w:cs="Arial"/>
          <w:sz w:val="21"/>
          <w:szCs w:val="21"/>
        </w:rPr>
        <w:t xml:space="preserve">, </w:t>
      </w:r>
      <w:r>
        <w:rPr>
          <w:rFonts w:ascii="Arial" w:eastAsia="Arial" w:hAnsi="Arial" w:cs="Arial"/>
          <w:sz w:val="22"/>
          <w:szCs w:val="22"/>
        </w:rPr>
        <w:t>todo lo cual deberá quedar plena y claramente justificado por cada entidad. Lo anterior, bajo el entendido de que en dicho periodo únicamente regiría la prohibición del artículo 33, cuyo inciso segundo exceptúa de la prohibición, como se explicó en el numeral 2.2. de este concepto, a los contratos requeridos para cubrir las emergencias sanitarias.</w:t>
      </w:r>
    </w:p>
    <w:p w14:paraId="143EC0B5" w14:textId="77777777" w:rsidR="009B3A66" w:rsidRPr="00A96608" w:rsidRDefault="00C01898" w:rsidP="00A96608">
      <w:pPr>
        <w:spacing w:after="120" w:line="276" w:lineRule="auto"/>
        <w:ind w:firstLine="708"/>
        <w:jc w:val="both"/>
      </w:pPr>
      <w:r>
        <w:rPr>
          <w:rFonts w:ascii="Arial" w:eastAsia="Arial" w:hAnsi="Arial" w:cs="Arial"/>
          <w:sz w:val="22"/>
          <w:szCs w:val="22"/>
        </w:rPr>
        <w:t>Lo anterior, además, sin perjuicio de la modificación transitoria introducida a la Ley de Garantías Electorales por el artículo 124 de la Ley 2159, que permite, bajo ciertos supuestos, la celebración de convenios y contratos interadministrativos entre la Nación y las entidades territoriales, según se expuso en este concepto.</w:t>
      </w:r>
    </w:p>
    <w:p w14:paraId="54934D98" w14:textId="77777777" w:rsidR="009B3A66" w:rsidRDefault="009B3A66">
      <w:pPr>
        <w:spacing w:line="276" w:lineRule="auto"/>
        <w:jc w:val="both"/>
        <w:rPr>
          <w:rFonts w:ascii="Arial" w:eastAsia="Arial" w:hAnsi="Arial" w:cs="Arial"/>
          <w:b/>
          <w:color w:val="000000"/>
          <w:sz w:val="22"/>
          <w:szCs w:val="22"/>
        </w:rPr>
      </w:pPr>
    </w:p>
    <w:p w14:paraId="3214A466" w14:textId="77777777" w:rsidR="009B3A66" w:rsidRDefault="00C01898">
      <w:pPr>
        <w:spacing w:line="276" w:lineRule="auto"/>
        <w:jc w:val="both"/>
        <w:rPr>
          <w:rFonts w:ascii="Arial" w:eastAsia="Arial" w:hAnsi="Arial" w:cs="Arial"/>
          <w:b/>
          <w:color w:val="000000"/>
          <w:sz w:val="22"/>
          <w:szCs w:val="22"/>
        </w:rPr>
      </w:pPr>
      <w:r>
        <w:rPr>
          <w:rFonts w:ascii="Arial" w:eastAsia="Arial" w:hAnsi="Arial" w:cs="Arial"/>
          <w:b/>
          <w:color w:val="000000"/>
          <w:sz w:val="22"/>
          <w:szCs w:val="22"/>
        </w:rPr>
        <w:t>3. Respuestas</w:t>
      </w:r>
    </w:p>
    <w:p w14:paraId="5CF3B146" w14:textId="77777777" w:rsidR="009B3A66" w:rsidRDefault="00C01898">
      <w:pPr>
        <w:pBdr>
          <w:top w:val="nil"/>
          <w:left w:val="nil"/>
          <w:bottom w:val="nil"/>
          <w:right w:val="nil"/>
          <w:between w:val="nil"/>
        </w:pBdr>
        <w:spacing w:before="280" w:after="280" w:line="276" w:lineRule="auto"/>
        <w:ind w:left="720" w:right="616"/>
        <w:jc w:val="both"/>
        <w:rPr>
          <w:rFonts w:ascii="Times New Roman" w:eastAsia="Times New Roman" w:hAnsi="Times New Roman" w:cs="Times New Roman"/>
          <w:color w:val="000000"/>
          <w:sz w:val="21"/>
          <w:szCs w:val="21"/>
        </w:rPr>
      </w:pPr>
      <w:r>
        <w:rPr>
          <w:rFonts w:ascii="ArialMT" w:eastAsia="ArialMT" w:hAnsi="ArialMT" w:cs="ArialMT"/>
          <w:color w:val="000000"/>
          <w:sz w:val="21"/>
          <w:szCs w:val="21"/>
        </w:rPr>
        <w:t xml:space="preserve">Puede [sic] celebrase contratos interadministrativos para el desarrollo de las actividades obligatorias de vigilancia en salud publica [sic] entre los departamentos y las empresas sociales del estado [sic] estando vigente la emergencia sanitaria en salud, como excepción a lo previsto en el inciso primero del parágrafo del articulo 38 de la ley [sic] 996 de 2005. </w:t>
      </w:r>
    </w:p>
    <w:p w14:paraId="0BE4AA91" w14:textId="77777777" w:rsidR="009B3A66" w:rsidRPr="00A96608" w:rsidRDefault="00C01898" w:rsidP="00A96608">
      <w:pPr>
        <w:spacing w:after="120" w:line="276" w:lineRule="auto"/>
        <w:jc w:val="both"/>
      </w:pPr>
      <w:r>
        <w:rPr>
          <w:rFonts w:ascii="Arial" w:eastAsia="Arial" w:hAnsi="Arial" w:cs="Arial"/>
          <w:color w:val="000000"/>
          <w:sz w:val="22"/>
          <w:szCs w:val="22"/>
        </w:rPr>
        <w:t>En el año 2022, teniendo en cuenta las elecciones que se realizarán para el Congreso, Presidente y Vicepresidente de la República, rigen las prohibiciones a la contratación directa y a la celebración de convenios y contratos interadministrativos establecidas, respectivamente, en el artículo 33 y en el parágrafo del artículo 38 de la Ley de Garantías Electorales, cuyo alcance se analizó en las consideraciones de este concepto.</w:t>
      </w:r>
    </w:p>
    <w:p w14:paraId="113636DE" w14:textId="77777777" w:rsidR="009B3A66" w:rsidRPr="00A96608" w:rsidRDefault="00C01898" w:rsidP="00A96608">
      <w:pPr>
        <w:spacing w:after="120" w:line="276" w:lineRule="auto"/>
        <w:ind w:firstLine="720"/>
        <w:jc w:val="both"/>
      </w:pPr>
      <w:r>
        <w:rPr>
          <w:rFonts w:ascii="Arial" w:eastAsia="Arial" w:hAnsi="Arial" w:cs="Arial"/>
          <w:color w:val="000000"/>
          <w:sz w:val="22"/>
          <w:szCs w:val="22"/>
        </w:rPr>
        <w:t xml:space="preserve">En ese sentido, durante el tiempo en que coincidan los periodos preelectorales determinados en las prohibiciones consagradas en las normas citadas, se aplicarán de manera concomitante dichas restricciones, en relación con la celebración de convenios y contratos interadministrativos, en los casos en que de acuerdo con la Ley 1150 de 2007 tal celebración sea causal de contratación directa. </w:t>
      </w:r>
    </w:p>
    <w:p w14:paraId="23FCD907" w14:textId="77777777" w:rsidR="009B3A66" w:rsidRPr="00A96608" w:rsidRDefault="00C01898" w:rsidP="00A96608">
      <w:pPr>
        <w:spacing w:after="120" w:line="276" w:lineRule="auto"/>
        <w:ind w:firstLine="708"/>
        <w:jc w:val="both"/>
      </w:pPr>
      <w:r>
        <w:rPr>
          <w:rFonts w:ascii="Arial" w:eastAsia="Arial" w:hAnsi="Arial" w:cs="Arial"/>
          <w:color w:val="000000"/>
          <w:sz w:val="22"/>
          <w:szCs w:val="22"/>
        </w:rPr>
        <w:t>Lo anterior,</w:t>
      </w:r>
      <w:r>
        <w:rPr>
          <w:rFonts w:ascii="Arial" w:eastAsia="Arial" w:hAnsi="Arial" w:cs="Arial"/>
          <w:sz w:val="22"/>
          <w:szCs w:val="22"/>
        </w:rPr>
        <w:t xml:space="preserve"> sin perjuicio de la modificación transitoria introducida a la Ley de Garantías Electorales por el artículo 124 de la Ley 2159 de 2021 que permite, bajo ciertos supuestos y condiciones, la celebración de convenios y contratos interadministrativos entre la Nación y las entidades territoriales, según se expuso en este concepto.</w:t>
      </w:r>
    </w:p>
    <w:p w14:paraId="51472FF5" w14:textId="44953101" w:rsidR="009B3A66" w:rsidRDefault="00C01898">
      <w:pPr>
        <w:spacing w:after="120" w:line="276" w:lineRule="auto"/>
        <w:ind w:firstLine="720"/>
        <w:jc w:val="both"/>
        <w:rPr>
          <w:rFonts w:ascii="Arial" w:eastAsia="Arial" w:hAnsi="Arial" w:cs="Arial"/>
          <w:color w:val="000000"/>
          <w:sz w:val="22"/>
          <w:szCs w:val="22"/>
        </w:rPr>
      </w:pPr>
      <w:r>
        <w:rPr>
          <w:rFonts w:ascii="Arial" w:eastAsia="Arial" w:hAnsi="Arial" w:cs="Arial"/>
          <w:color w:val="000000"/>
          <w:sz w:val="22"/>
          <w:szCs w:val="22"/>
        </w:rPr>
        <w:t xml:space="preserve">Por otro lado, debe tenerse en cuenta que el artículo 33 de la Ley 996 de 2005 contempla una serie de excepciones a la prohibición de la contratación directa, entre las cuales se destaca la relativa a los contratos necesarios para atender una emergencia sanitaria. Teniendo en cuenta lo anterior, esta Agencia se remite, en lo pertinente, a lo </w:t>
      </w:r>
      <w:r>
        <w:rPr>
          <w:rFonts w:ascii="Arial" w:eastAsia="Arial" w:hAnsi="Arial" w:cs="Arial"/>
          <w:color w:val="000000"/>
          <w:sz w:val="22"/>
          <w:szCs w:val="22"/>
        </w:rPr>
        <w:lastRenderedPageBreak/>
        <w:t xml:space="preserve">expuesto en el Concepto C-259 del 2 de junio de 2021 en cuanto a la correcta aplicación del artículo 33 de la Ley de Garantías Electorales durante la Pandemia por el COVID-19. </w:t>
      </w:r>
    </w:p>
    <w:p w14:paraId="3307AF9C" w14:textId="77777777" w:rsidR="009B3A66" w:rsidRDefault="00C01898">
      <w:pPr>
        <w:spacing w:after="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En tal sentido, como se colige de dicho concepto y lo reitera ahora la Agencia, las consideraciones sobre la aplicación o no de la prohibición del artículo 33 de la Ley de Garantías deben ser entendidas sin perjuicio de la restricción del parágrafo del artículo 38 de la misma ley, lo cual resulta relevante para la consulta que ahora conoce la Agencia, toda vez que ella se refiere, específicamente, a la celebración de convenios interadministrativos y a la restricción de que trata el parágrafo citado. </w:t>
      </w:r>
    </w:p>
    <w:p w14:paraId="48E8B2D6" w14:textId="77777777" w:rsidR="009B3A66" w:rsidRDefault="00C01898">
      <w:pPr>
        <w:spacing w:after="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A este respecto, la Agencia estima que la prohibición para celebrar convenios y contratos interadministrativos establecida en el parágrafo del artículo 38 de la Ley de Garantías, debe ser aplicada, inclusive, durante la declaratoria de emergencia sanitaria y hasta el término del periodo preelectoral establecido en el precepto citado. Lo anterior por cuanto, como se dijo, la excepción relativa a los contratos requeridos para cubrir las emergencias sanitarias aplica, exclusivamente, en relación con la prohibición a la contratación directa establecida en el artículo 33; pero no sobre la restricción de la tipología de los contratos o convenios interadministrativos que establece el artículo 38 </w:t>
      </w:r>
      <w:r>
        <w:rPr>
          <w:rFonts w:ascii="Arial" w:eastAsia="Arial" w:hAnsi="Arial" w:cs="Arial"/>
          <w:i/>
          <w:color w:val="000000"/>
          <w:sz w:val="22"/>
          <w:szCs w:val="22"/>
        </w:rPr>
        <w:t>ibidem</w:t>
      </w:r>
      <w:r>
        <w:rPr>
          <w:rFonts w:ascii="Arial" w:eastAsia="Arial" w:hAnsi="Arial" w:cs="Arial"/>
          <w:color w:val="000000"/>
          <w:sz w:val="22"/>
          <w:szCs w:val="22"/>
        </w:rPr>
        <w:t>.</w:t>
      </w:r>
    </w:p>
    <w:p w14:paraId="22219A4E" w14:textId="77777777" w:rsidR="009B3A66" w:rsidRDefault="00C01898">
      <w:pPr>
        <w:spacing w:after="120" w:line="276" w:lineRule="auto"/>
        <w:ind w:firstLine="708"/>
        <w:jc w:val="both"/>
        <w:rPr>
          <w:rFonts w:ascii="Arial" w:eastAsia="Arial" w:hAnsi="Arial" w:cs="Arial"/>
          <w:color w:val="000000"/>
          <w:sz w:val="22"/>
          <w:szCs w:val="22"/>
        </w:rPr>
      </w:pPr>
      <w:r>
        <w:rPr>
          <w:rFonts w:ascii="Arial" w:eastAsia="Arial" w:hAnsi="Arial" w:cs="Arial"/>
          <w:color w:val="000000"/>
          <w:sz w:val="22"/>
          <w:szCs w:val="22"/>
        </w:rPr>
        <w:t xml:space="preserve">Además, si bien con ocasión de la Pandemia por COVID-19 se han expedido una serie de normas encaminadas a flexibilizar la contratación de las entidades estatales, lo cierto es que no existe disposición expresa que permita exceptuar la aplicación de la prohibición del parágrafo del artículo 38 de la Ley de Garantías que gira, únicamente, en torno a la celebración de contratos y convenios interadministrativos en los que sean parte las entidades del orden territorial enlistadas en dicho parágrafo. </w:t>
      </w:r>
    </w:p>
    <w:p w14:paraId="14210EFA" w14:textId="2A85C0EA" w:rsidR="009B3A66" w:rsidRPr="00A96608" w:rsidRDefault="00C01898" w:rsidP="00A96608">
      <w:pPr>
        <w:spacing w:after="120" w:line="276" w:lineRule="auto"/>
        <w:ind w:firstLine="720"/>
        <w:jc w:val="both"/>
      </w:pPr>
      <w:r>
        <w:rPr>
          <w:rFonts w:ascii="Arial" w:eastAsia="Arial" w:hAnsi="Arial" w:cs="Arial"/>
          <w:color w:val="000000"/>
          <w:sz w:val="22"/>
          <w:szCs w:val="22"/>
        </w:rPr>
        <w:t xml:space="preserve">Distinto es que, una vez superado el periodo preelectoral del parágrafo del artículo 38, y durante la vigencia exclusiva del periodo preelectoral del artículo 33, se puedan celebrar directamente contratos y convenios interadministrativos, justificados en la excepción que el propio artículo 33 consagra, así como en las disposiciones del Decreto 537 de 2020 que dan como comprobado al hecho constitutivo de la urgencia manifiesta mientras perdure la declaratoria del estado de emergencia sanitaria y siempre y cuando la celebración de dichos contratos esté encaminada </w:t>
      </w:r>
      <w:r>
        <w:rPr>
          <w:rFonts w:ascii="Arial" w:eastAsia="Arial" w:hAnsi="Arial" w:cs="Arial"/>
          <w:sz w:val="22"/>
          <w:szCs w:val="22"/>
        </w:rPr>
        <w:t>al suministro de bienes, la prestación de servicios o la ejecución de obras en el inmediato futuro, con el objetivo de prevenir, contener y mitigar los efectos de la pandemia del Covid-19, tal y como lo establece el Decreto 537 mencionado</w:t>
      </w:r>
      <w:r>
        <w:rPr>
          <w:rFonts w:ascii="Arial" w:eastAsia="Arial" w:hAnsi="Arial" w:cs="Arial"/>
          <w:sz w:val="21"/>
          <w:szCs w:val="21"/>
        </w:rPr>
        <w:t xml:space="preserve">, </w:t>
      </w:r>
      <w:r>
        <w:rPr>
          <w:rFonts w:ascii="Arial" w:eastAsia="Arial" w:hAnsi="Arial" w:cs="Arial"/>
          <w:sz w:val="22"/>
          <w:szCs w:val="22"/>
        </w:rPr>
        <w:t>todo lo cual deberá quedar plena y claramente justificado por cada entidad. Lo anterior, bajo el entendido de que en dicho periodo únicamente regiría la prohibición del artículo 33, cuyo inciso segundo exceptúa de la prohibición, como se explicó en el numeral 2.2. de este concepto, a los contratos requeridos para cubrir las emergencias sanitarias.</w:t>
      </w:r>
    </w:p>
    <w:p w14:paraId="17A36098" w14:textId="77777777" w:rsidR="009B3A66" w:rsidRDefault="00C01898">
      <w:pPr>
        <w:spacing w:line="276" w:lineRule="auto"/>
        <w:ind w:firstLine="720"/>
        <w:jc w:val="both"/>
        <w:rPr>
          <w:rFonts w:ascii="Arial" w:eastAsia="Arial" w:hAnsi="Arial" w:cs="Arial"/>
          <w:color w:val="000000"/>
          <w:sz w:val="22"/>
          <w:szCs w:val="22"/>
        </w:rPr>
      </w:pPr>
      <w:r>
        <w:rPr>
          <w:rFonts w:ascii="Arial" w:eastAsia="Arial" w:hAnsi="Arial" w:cs="Arial"/>
          <w:color w:val="000000"/>
          <w:sz w:val="22"/>
          <w:szCs w:val="22"/>
        </w:rPr>
        <w:t xml:space="preserve">Finalmente, se estima que la prohibición para celebrar convenios y contratos interadministrativos establecida en el parágrafo del artículo 38 de la Ley de Garantías rige durante el periodo preelectoral establecido en esta disposición, con independencia de la </w:t>
      </w:r>
      <w:r>
        <w:rPr>
          <w:rFonts w:ascii="Arial" w:eastAsia="Arial" w:hAnsi="Arial" w:cs="Arial"/>
          <w:color w:val="000000"/>
          <w:sz w:val="22"/>
          <w:szCs w:val="22"/>
        </w:rPr>
        <w:lastRenderedPageBreak/>
        <w:t>declaratoria de emergencia sanitaria, salvo, se insiste, cuando se celebren contratos y convenios interadministrativos entre la Nación y las entidades territoriales en los términos del artículo 124 de la Ley 2159 de 2021.</w:t>
      </w:r>
    </w:p>
    <w:p w14:paraId="71BD530D" w14:textId="77777777" w:rsidR="009B3A66" w:rsidRDefault="009B3A66">
      <w:pPr>
        <w:spacing w:line="276" w:lineRule="auto"/>
        <w:jc w:val="both"/>
        <w:rPr>
          <w:rFonts w:ascii="Arial" w:eastAsia="Arial" w:hAnsi="Arial" w:cs="Arial"/>
          <w:color w:val="000000"/>
          <w:sz w:val="22"/>
          <w:szCs w:val="22"/>
        </w:rPr>
      </w:pPr>
    </w:p>
    <w:p w14:paraId="0727FD88" w14:textId="77777777" w:rsidR="009B3A66" w:rsidRDefault="00C01898">
      <w:pPr>
        <w:spacing w:line="276" w:lineRule="auto"/>
        <w:jc w:val="both"/>
        <w:rPr>
          <w:rFonts w:ascii="Arial" w:eastAsia="Arial" w:hAnsi="Arial" w:cs="Arial"/>
          <w:color w:val="000000"/>
          <w:sz w:val="22"/>
          <w:szCs w:val="22"/>
        </w:rPr>
      </w:pPr>
      <w:r>
        <w:rPr>
          <w:rFonts w:ascii="Arial" w:eastAsia="Arial" w:hAnsi="Arial" w:cs="Arial"/>
          <w:color w:val="000000"/>
          <w:sz w:val="22"/>
          <w:szCs w:val="22"/>
        </w:rPr>
        <w:t>Este concepto tiene el alcance previsto en el artículo 28 del Código de Procedimiento Administrativo y de lo Contencioso Administrativo.</w:t>
      </w:r>
    </w:p>
    <w:p w14:paraId="2435FBC9" w14:textId="77777777" w:rsidR="009B3A66" w:rsidRDefault="009B3A66">
      <w:pPr>
        <w:spacing w:line="276" w:lineRule="auto"/>
        <w:jc w:val="both"/>
        <w:rPr>
          <w:rFonts w:ascii="Arial" w:eastAsia="Arial" w:hAnsi="Arial" w:cs="Arial"/>
          <w:color w:val="000000"/>
          <w:sz w:val="22"/>
          <w:szCs w:val="22"/>
        </w:rPr>
      </w:pPr>
    </w:p>
    <w:p w14:paraId="46091C65" w14:textId="77777777" w:rsidR="009B3A66" w:rsidRDefault="00C01898">
      <w:pPr>
        <w:spacing w:line="276" w:lineRule="auto"/>
        <w:jc w:val="both"/>
        <w:rPr>
          <w:rFonts w:ascii="Arial" w:eastAsia="Arial" w:hAnsi="Arial" w:cs="Arial"/>
          <w:color w:val="000000"/>
          <w:sz w:val="22"/>
          <w:szCs w:val="22"/>
        </w:rPr>
      </w:pPr>
      <w:r>
        <w:rPr>
          <w:noProof/>
        </w:rPr>
        <mc:AlternateContent>
          <mc:Choice Requires="wps">
            <w:drawing>
              <wp:anchor distT="0" distB="0" distL="114300" distR="114300" simplePos="0" relativeHeight="251658240" behindDoc="0" locked="0" layoutInCell="1" hidden="0" allowOverlap="1" wp14:anchorId="190DA1D5" wp14:editId="3B061D0E">
                <wp:simplePos x="0" y="0"/>
                <wp:positionH relativeFrom="column">
                  <wp:posOffset>434340</wp:posOffset>
                </wp:positionH>
                <wp:positionV relativeFrom="paragraph">
                  <wp:posOffset>10160</wp:posOffset>
                </wp:positionV>
                <wp:extent cx="4686300" cy="0"/>
                <wp:effectExtent l="0" t="0" r="19050" b="1905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434340</wp:posOffset>
                </wp:positionH>
                <wp:positionV relativeFrom="paragraph">
                  <wp:posOffset>10160</wp:posOffset>
                </wp:positionV>
                <wp:extent cx="4705350" cy="19050"/>
                <wp:effectExtent b="0" l="0" r="0" t="0"/>
                <wp:wrapNone/>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705350" cy="19050"/>
                        </a:xfrm>
                        <a:prstGeom prst="rect"/>
                        <a:ln/>
                      </pic:spPr>
                    </pic:pic>
                  </a:graphicData>
                </a:graphic>
              </wp:anchor>
            </w:drawing>
          </mc:Fallback>
        </mc:AlternateContent>
      </w:r>
    </w:p>
    <w:p w14:paraId="66932861" w14:textId="77777777" w:rsidR="009B3A66" w:rsidRDefault="00C01898">
      <w:pPr>
        <w:spacing w:line="276" w:lineRule="auto"/>
        <w:jc w:val="both"/>
        <w:rPr>
          <w:rFonts w:ascii="Arial" w:eastAsia="Arial" w:hAnsi="Arial" w:cs="Arial"/>
          <w:color w:val="000000"/>
          <w:sz w:val="22"/>
          <w:szCs w:val="22"/>
        </w:rPr>
      </w:pPr>
      <w:r>
        <w:rPr>
          <w:rFonts w:ascii="Arial" w:eastAsia="Arial" w:hAnsi="Arial" w:cs="Arial"/>
          <w:color w:val="000000"/>
          <w:sz w:val="22"/>
          <w:szCs w:val="22"/>
        </w:rPr>
        <w:t>Atentamente,</w:t>
      </w:r>
    </w:p>
    <w:p w14:paraId="3680FB56" w14:textId="158F3770" w:rsidR="009B3A66" w:rsidRDefault="008733DF" w:rsidP="00A96608">
      <w:pPr>
        <w:spacing w:line="276" w:lineRule="auto"/>
        <w:jc w:val="center"/>
      </w:pPr>
      <w:r>
        <w:rPr>
          <w:noProof/>
        </w:rPr>
        <w:drawing>
          <wp:inline distT="0" distB="0" distL="0" distR="0" wp14:anchorId="62E11C31" wp14:editId="7103723E">
            <wp:extent cx="2514600" cy="1114425"/>
            <wp:effectExtent l="0" t="0" r="0" b="9525"/>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324E81F4" w14:textId="77777777" w:rsidR="008733DF" w:rsidRPr="00A96608" w:rsidRDefault="008733DF" w:rsidP="00A96608">
      <w:pPr>
        <w:spacing w:line="276" w:lineRule="auto"/>
        <w:jc w:val="cente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9B3A66" w14:paraId="68FFD519" w14:textId="77777777">
        <w:trPr>
          <w:trHeight w:val="315"/>
        </w:trPr>
        <w:tc>
          <w:tcPr>
            <w:tcW w:w="812" w:type="dxa"/>
            <w:vAlign w:val="center"/>
          </w:tcPr>
          <w:p w14:paraId="0D36F3E1" w14:textId="77777777" w:rsidR="009B3A66" w:rsidRDefault="00C01898">
            <w:pPr>
              <w:spacing w:line="276" w:lineRule="auto"/>
              <w:jc w:val="both"/>
              <w:rPr>
                <w:rFonts w:ascii="Arial" w:eastAsia="Arial" w:hAnsi="Arial" w:cs="Arial"/>
                <w:color w:val="000000"/>
                <w:sz w:val="16"/>
                <w:szCs w:val="16"/>
              </w:rPr>
            </w:pPr>
            <w:r>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1036A5DB" w14:textId="77777777" w:rsidR="009B3A66" w:rsidRDefault="00C01898">
            <w:pPr>
              <w:spacing w:line="276" w:lineRule="auto"/>
              <w:jc w:val="both"/>
              <w:rPr>
                <w:rFonts w:ascii="Arial" w:eastAsia="Arial" w:hAnsi="Arial" w:cs="Arial"/>
                <w:color w:val="000000"/>
                <w:sz w:val="16"/>
                <w:szCs w:val="16"/>
              </w:rPr>
            </w:pPr>
            <w:r>
              <w:rPr>
                <w:rFonts w:ascii="Arial" w:eastAsia="Arial" w:hAnsi="Arial" w:cs="Arial"/>
                <w:color w:val="000000"/>
                <w:sz w:val="16"/>
                <w:szCs w:val="16"/>
              </w:rPr>
              <w:t>Álvaro Namén Vargas</w:t>
            </w:r>
          </w:p>
          <w:p w14:paraId="1B856EFE" w14:textId="77777777" w:rsidR="009B3A66" w:rsidRDefault="00C01898">
            <w:pPr>
              <w:spacing w:line="276" w:lineRule="auto"/>
              <w:jc w:val="both"/>
              <w:rPr>
                <w:rFonts w:ascii="Arial" w:eastAsia="Arial" w:hAnsi="Arial" w:cs="Arial"/>
                <w:color w:val="000000"/>
                <w:sz w:val="16"/>
                <w:szCs w:val="16"/>
              </w:rPr>
            </w:pPr>
            <w:r>
              <w:rPr>
                <w:rFonts w:ascii="Arial" w:eastAsia="Arial" w:hAnsi="Arial" w:cs="Arial"/>
                <w:color w:val="000000"/>
                <w:sz w:val="16"/>
                <w:szCs w:val="16"/>
              </w:rPr>
              <w:t>Contratista de la Subdirección de Gestión Contractual</w:t>
            </w:r>
          </w:p>
        </w:tc>
      </w:tr>
      <w:tr w:rsidR="009B3A66" w14:paraId="482A4622" w14:textId="77777777">
        <w:trPr>
          <w:trHeight w:val="330"/>
        </w:trPr>
        <w:tc>
          <w:tcPr>
            <w:tcW w:w="812" w:type="dxa"/>
            <w:vAlign w:val="center"/>
          </w:tcPr>
          <w:p w14:paraId="399EFD38" w14:textId="77777777" w:rsidR="009B3A66" w:rsidRDefault="00C01898">
            <w:pPr>
              <w:spacing w:line="276" w:lineRule="auto"/>
              <w:jc w:val="both"/>
              <w:rPr>
                <w:rFonts w:ascii="Arial" w:eastAsia="Arial" w:hAnsi="Arial" w:cs="Arial"/>
                <w:color w:val="000000"/>
                <w:sz w:val="16"/>
                <w:szCs w:val="16"/>
              </w:rPr>
            </w:pPr>
            <w:r>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23651EB8" w14:textId="6846AAC5" w:rsidR="009B3A66" w:rsidRDefault="00C01898">
            <w:pPr>
              <w:spacing w:line="276" w:lineRule="auto"/>
              <w:jc w:val="both"/>
              <w:rPr>
                <w:rFonts w:ascii="Arial" w:eastAsia="Arial" w:hAnsi="Arial" w:cs="Arial"/>
                <w:color w:val="000000"/>
                <w:sz w:val="16"/>
                <w:szCs w:val="16"/>
              </w:rPr>
            </w:pPr>
            <w:r>
              <w:rPr>
                <w:rFonts w:ascii="Arial" w:eastAsia="Arial" w:hAnsi="Arial" w:cs="Arial"/>
                <w:color w:val="000000"/>
                <w:sz w:val="16"/>
                <w:szCs w:val="16"/>
              </w:rPr>
              <w:t>Sebastián Ramírez Grisales</w:t>
            </w:r>
          </w:p>
          <w:p w14:paraId="7958365B" w14:textId="7A1238A1" w:rsidR="009B3A66" w:rsidRDefault="00C01898">
            <w:pPr>
              <w:spacing w:line="276" w:lineRule="auto"/>
              <w:jc w:val="both"/>
              <w:rPr>
                <w:rFonts w:ascii="Arial" w:eastAsia="Arial" w:hAnsi="Arial" w:cs="Arial"/>
                <w:color w:val="000000"/>
                <w:sz w:val="16"/>
                <w:szCs w:val="16"/>
              </w:rPr>
            </w:pPr>
            <w:r>
              <w:rPr>
                <w:rFonts w:ascii="Arial" w:eastAsia="Arial" w:hAnsi="Arial" w:cs="Arial"/>
                <w:color w:val="000000"/>
                <w:sz w:val="16"/>
                <w:szCs w:val="16"/>
              </w:rPr>
              <w:t>Contratista de la Subdirección de Gestión Contractual</w:t>
            </w:r>
          </w:p>
        </w:tc>
      </w:tr>
      <w:tr w:rsidR="009B3A66" w14:paraId="4BCC3A62" w14:textId="77777777">
        <w:trPr>
          <w:trHeight w:val="300"/>
        </w:trPr>
        <w:tc>
          <w:tcPr>
            <w:tcW w:w="812" w:type="dxa"/>
            <w:vAlign w:val="center"/>
          </w:tcPr>
          <w:p w14:paraId="18D1509C" w14:textId="77777777" w:rsidR="009B3A66" w:rsidRDefault="00C01898">
            <w:pPr>
              <w:spacing w:line="276" w:lineRule="auto"/>
              <w:jc w:val="both"/>
              <w:rPr>
                <w:rFonts w:ascii="Arial" w:eastAsia="Arial" w:hAnsi="Arial" w:cs="Arial"/>
                <w:color w:val="000000"/>
                <w:sz w:val="16"/>
                <w:szCs w:val="16"/>
              </w:rPr>
            </w:pPr>
            <w:r>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310E2460" w14:textId="77777777" w:rsidR="009B3A66" w:rsidRDefault="00C01898">
            <w:pPr>
              <w:spacing w:line="276" w:lineRule="auto"/>
              <w:jc w:val="both"/>
              <w:rPr>
                <w:rFonts w:ascii="Arial" w:eastAsia="Arial" w:hAnsi="Arial" w:cs="Arial"/>
                <w:color w:val="000000"/>
                <w:sz w:val="16"/>
                <w:szCs w:val="16"/>
              </w:rPr>
            </w:pPr>
            <w:r>
              <w:rPr>
                <w:rFonts w:ascii="Arial" w:eastAsia="Arial" w:hAnsi="Arial" w:cs="Arial"/>
                <w:color w:val="000000"/>
                <w:sz w:val="16"/>
                <w:szCs w:val="16"/>
              </w:rPr>
              <w:t>Jorge Augusto Tirado Navarro</w:t>
            </w:r>
          </w:p>
          <w:p w14:paraId="06963718" w14:textId="77777777" w:rsidR="009B3A66" w:rsidRDefault="00C01898">
            <w:pPr>
              <w:spacing w:line="276" w:lineRule="auto"/>
              <w:jc w:val="both"/>
              <w:rPr>
                <w:rFonts w:ascii="Arial" w:eastAsia="Arial" w:hAnsi="Arial" w:cs="Arial"/>
                <w:color w:val="000000"/>
                <w:sz w:val="16"/>
                <w:szCs w:val="16"/>
              </w:rPr>
            </w:pPr>
            <w:r>
              <w:rPr>
                <w:rFonts w:ascii="Arial" w:eastAsia="Arial" w:hAnsi="Arial" w:cs="Arial"/>
                <w:color w:val="000000"/>
                <w:sz w:val="16"/>
                <w:szCs w:val="16"/>
              </w:rPr>
              <w:t>Subdirector de Gestión Contractual ANCP – CCE</w:t>
            </w:r>
          </w:p>
        </w:tc>
      </w:tr>
    </w:tbl>
    <w:p w14:paraId="74E890F3" w14:textId="77777777" w:rsidR="009B3A66" w:rsidRDefault="009B3A66">
      <w:pPr>
        <w:spacing w:line="276" w:lineRule="auto"/>
        <w:jc w:val="both"/>
        <w:rPr>
          <w:rFonts w:ascii="Arial" w:eastAsia="Arial" w:hAnsi="Arial" w:cs="Arial"/>
          <w:color w:val="000000"/>
          <w:sz w:val="16"/>
          <w:szCs w:val="16"/>
        </w:rPr>
      </w:pPr>
    </w:p>
    <w:sectPr w:rsidR="009B3A66">
      <w:headerReference w:type="default" r:id="rId12"/>
      <w:footerReference w:type="default" r:id="rId13"/>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7EF38" w14:textId="77777777" w:rsidR="00B94298" w:rsidRDefault="00B94298">
      <w:r>
        <w:separator/>
      </w:r>
    </w:p>
  </w:endnote>
  <w:endnote w:type="continuationSeparator" w:id="0">
    <w:p w14:paraId="5E8625BC" w14:textId="77777777" w:rsidR="00B94298" w:rsidRDefault="00B94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DDD31" w14:textId="77777777" w:rsidR="009B3A66" w:rsidRDefault="009B3A66">
    <w:pPr>
      <w:pBdr>
        <w:top w:val="nil"/>
        <w:left w:val="nil"/>
        <w:bottom w:val="nil"/>
        <w:right w:val="nil"/>
        <w:between w:val="nil"/>
      </w:pBdr>
      <w:jc w:val="right"/>
      <w:rPr>
        <w:rFonts w:ascii="Arial" w:eastAsia="Arial" w:hAnsi="Arial" w:cs="Arial"/>
        <w:color w:val="000000"/>
        <w:sz w:val="18"/>
        <w:szCs w:val="18"/>
      </w:rPr>
    </w:pPr>
  </w:p>
  <w:p w14:paraId="49DB8AD3" w14:textId="77777777" w:rsidR="009B3A66" w:rsidRDefault="00C01898">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A96608">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A96608">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06699B65" w14:textId="77777777" w:rsidR="009B3A66" w:rsidRDefault="00C01898">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6902D6D1" wp14:editId="2CF8033E">
          <wp:extent cx="3700130" cy="519139"/>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3700130" cy="519139"/>
                  </a:xfrm>
                  <a:prstGeom prst="rect">
                    <a:avLst/>
                  </a:prstGeom>
                  <a:ln/>
                </pic:spPr>
              </pic:pic>
            </a:graphicData>
          </a:graphic>
        </wp:inline>
      </w:drawing>
    </w:r>
  </w:p>
  <w:p w14:paraId="1C7B23E5" w14:textId="77777777" w:rsidR="009B3A66" w:rsidRDefault="009B3A66">
    <w:pPr>
      <w:pBdr>
        <w:top w:val="nil"/>
        <w:left w:val="nil"/>
        <w:bottom w:val="nil"/>
        <w:right w:val="nil"/>
        <w:between w:val="nil"/>
      </w:pBdr>
      <w:tabs>
        <w:tab w:val="center" w:pos="4419"/>
        <w:tab w:val="right" w:pos="8838"/>
      </w:tabs>
      <w:jc w:val="center"/>
      <w:rPr>
        <w:color w:val="000000"/>
      </w:rPr>
    </w:pPr>
  </w:p>
  <w:p w14:paraId="3B1CD67E" w14:textId="77777777" w:rsidR="009B3A66" w:rsidRDefault="009B3A66">
    <w:pPr>
      <w:pBdr>
        <w:top w:val="nil"/>
        <w:left w:val="nil"/>
        <w:bottom w:val="nil"/>
        <w:right w:val="nil"/>
        <w:between w:val="nil"/>
      </w:pBdr>
      <w:tabs>
        <w:tab w:val="center" w:pos="4419"/>
        <w:tab w:val="right" w:pos="8838"/>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834B6" w14:textId="77777777" w:rsidR="00B94298" w:rsidRDefault="00B94298">
      <w:r>
        <w:separator/>
      </w:r>
    </w:p>
  </w:footnote>
  <w:footnote w:type="continuationSeparator" w:id="0">
    <w:p w14:paraId="78B7637F" w14:textId="77777777" w:rsidR="00B94298" w:rsidRDefault="00B94298">
      <w:r>
        <w:continuationSeparator/>
      </w:r>
    </w:p>
  </w:footnote>
  <w:footnote w:id="1">
    <w:p w14:paraId="41A129E8" w14:textId="34034AE1" w:rsidR="009B3A66" w:rsidRPr="00A96608" w:rsidRDefault="00C01898" w:rsidP="00A96608">
      <w:pPr>
        <w:pBdr>
          <w:top w:val="nil"/>
          <w:left w:val="nil"/>
          <w:bottom w:val="nil"/>
          <w:right w:val="nil"/>
          <w:between w:val="nil"/>
        </w:pBdr>
        <w:ind w:firstLine="708"/>
        <w:jc w:val="both"/>
      </w:pPr>
      <w:r>
        <w:rPr>
          <w:vertAlign w:val="superscript"/>
        </w:rPr>
        <w:footnoteRef/>
      </w:r>
      <w:r>
        <w:rPr>
          <w:rFonts w:ascii="Arial" w:eastAsia="Arial" w:hAnsi="Arial" w:cs="Arial"/>
          <w:color w:val="000000"/>
          <w:sz w:val="19"/>
          <w:szCs w:val="19"/>
        </w:rPr>
        <w:t xml:space="preserve"> «Artículo 3°. Funciones. La Agencia Nacional de Contratación Pública –Colombia Compra Eficiente– ejercerá las siguientes funciones: </w:t>
      </w:r>
    </w:p>
    <w:p w14:paraId="5ED16E97"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 </w:t>
      </w:r>
    </w:p>
    <w:p w14:paraId="238C715F"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5. Absolver consultas sobre la aplicación de normas de carácter general y expedir circulares externas en materia de compras y contratación pública».</w:t>
      </w:r>
    </w:p>
    <w:p w14:paraId="5DE60D2C"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p>
    <w:p w14:paraId="5D942BA5"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»Artículo 11. Subdirección de Gestión Contractual. Son funciones de la Subdirección de Gestión Contractual las siguientes: </w:t>
      </w:r>
    </w:p>
    <w:p w14:paraId="185B50E8"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 </w:t>
      </w:r>
    </w:p>
    <w:p w14:paraId="023B8058"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»8. Absolver consultas sobre la aplicación de normas de carácter general». </w:t>
      </w:r>
    </w:p>
  </w:footnote>
  <w:footnote w:id="2">
    <w:p w14:paraId="3FB75BF4"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84F6B05"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19C98552"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3">
    <w:p w14:paraId="630C60D8"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Gaceta del Congreso de la República No. 71 del 2005.</w:t>
      </w:r>
    </w:p>
    <w:p w14:paraId="6CEC384D"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4">
    <w:p w14:paraId="3D38C926"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C- 1153 de 2005, M.P. Marco Gerardo Monroy Cabra.</w:t>
      </w:r>
    </w:p>
  </w:footnote>
  <w:footnote w:id="5">
    <w:p w14:paraId="4689954A"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27311399"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6">
    <w:p w14:paraId="20C994A6"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70586364"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7">
    <w:p w14:paraId="09E9F149" w14:textId="7D5C723A"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de fecha 24 de julio de 2013, radicado 2166, Consejero Ponente: Álvaro Namén Vargas. </w:t>
      </w:r>
    </w:p>
  </w:footnote>
  <w:footnote w:id="8">
    <w:p w14:paraId="6EDA3E08" w14:textId="77777777" w:rsidR="009B3A66" w:rsidRDefault="00C01898">
      <w:pPr>
        <w:ind w:firstLine="709"/>
        <w:jc w:val="both"/>
        <w:rPr>
          <w:rFonts w:ascii="Arial" w:eastAsia="Arial" w:hAnsi="Arial" w:cs="Arial"/>
          <w:sz w:val="19"/>
          <w:szCs w:val="19"/>
        </w:rPr>
      </w:pPr>
      <w:r>
        <w:rPr>
          <w:vertAlign w:val="superscript"/>
        </w:rPr>
        <w:footnoteRef/>
      </w:r>
      <w:r>
        <w:rPr>
          <w:rFonts w:ascii="Arial" w:eastAsia="Arial" w:hAnsi="Arial" w:cs="Arial"/>
          <w:sz w:val="19"/>
          <w:szCs w:val="19"/>
        </w:rPr>
        <w:t xml:space="preserve"> </w:t>
      </w:r>
      <w:r>
        <w:rPr>
          <w:rFonts w:ascii="Arial" w:eastAsia="Arial" w:hAnsi="Arial" w:cs="Arial"/>
          <w:color w:val="000000"/>
          <w:sz w:val="19"/>
          <w:szCs w:val="19"/>
        </w:rPr>
        <w:t>«</w:t>
      </w:r>
      <w:r>
        <w:rPr>
          <w:rFonts w:ascii="Arial" w:eastAsia="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458AA1CE" w14:textId="77777777" w:rsidR="009B3A66" w:rsidRDefault="00C01898">
      <w:pPr>
        <w:ind w:firstLine="709"/>
        <w:jc w:val="both"/>
        <w:rPr>
          <w:rFonts w:ascii="Arial" w:eastAsia="Arial" w:hAnsi="Arial" w:cs="Arial"/>
          <w:sz w:val="19"/>
          <w:szCs w:val="19"/>
        </w:rPr>
      </w:pPr>
      <w:r>
        <w:rPr>
          <w:rFonts w:ascii="Arial" w:eastAsia="Arial" w:hAnsi="Arial" w:cs="Arial"/>
          <w:color w:val="000000"/>
          <w:sz w:val="19"/>
          <w:szCs w:val="19"/>
        </w:rPr>
        <w:t>»</w:t>
      </w:r>
      <w:r>
        <w:rPr>
          <w:rFonts w:ascii="Arial" w:eastAsia="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Arial" w:hAnsi="Arial" w:cs="Arial"/>
          <w:color w:val="000000"/>
          <w:sz w:val="19"/>
          <w:szCs w:val="19"/>
        </w:rPr>
        <w:t>»</w:t>
      </w:r>
      <w:r>
        <w:rPr>
          <w:rFonts w:ascii="Arial" w:eastAsia="Arial" w:hAnsi="Arial" w:cs="Arial"/>
          <w:sz w:val="19"/>
          <w:szCs w:val="19"/>
        </w:rPr>
        <w:t>.</w:t>
      </w:r>
    </w:p>
  </w:footnote>
  <w:footnote w:id="9">
    <w:p w14:paraId="726E4110"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38. Prohibiciones para los servidores públicos. A los empleados del Estado les está prohibido:</w:t>
      </w:r>
    </w:p>
    <w:p w14:paraId="0AC2EBDE"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 […]</w:t>
      </w:r>
    </w:p>
    <w:p w14:paraId="72DF4A3C" w14:textId="77777777" w:rsidR="009B3A66" w:rsidRDefault="00C01898">
      <w:pPr>
        <w:ind w:firstLine="709"/>
        <w:jc w:val="both"/>
        <w:rPr>
          <w:rFonts w:ascii="Arial" w:eastAsia="Arial" w:hAnsi="Arial" w:cs="Arial"/>
          <w:sz w:val="19"/>
          <w:szCs w:val="19"/>
        </w:rPr>
      </w:pPr>
      <w:r>
        <w:rPr>
          <w:rFonts w:ascii="Arial" w:eastAsia="Arial" w:hAnsi="Arial" w:cs="Arial"/>
          <w:color w:val="000000"/>
          <w:sz w:val="19"/>
          <w:szCs w:val="19"/>
        </w:rPr>
        <w:t>»</w:t>
      </w:r>
      <w:r>
        <w:rPr>
          <w:rFonts w:ascii="Arial" w:eastAsia="Arial" w:hAnsi="Arial" w:cs="Arial"/>
          <w:sz w:val="19"/>
          <w:szCs w:val="19"/>
        </w:rPr>
        <w:t xml:space="preserve">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Arial" w:eastAsia="Arial" w:hAnsi="Arial" w:cs="Arial"/>
          <w:color w:val="000000"/>
          <w:sz w:val="19"/>
          <w:szCs w:val="19"/>
        </w:rPr>
        <w:t>»</w:t>
      </w:r>
      <w:r>
        <w:rPr>
          <w:rFonts w:ascii="Arial" w:eastAsia="Arial" w:hAnsi="Arial" w:cs="Arial"/>
          <w:sz w:val="19"/>
          <w:szCs w:val="19"/>
        </w:rPr>
        <w:t>.</w:t>
      </w:r>
    </w:p>
  </w:footnote>
  <w:footnote w:id="10">
    <w:p w14:paraId="7B2FCE8A" w14:textId="77777777" w:rsidR="009B3A66" w:rsidRPr="00A96608" w:rsidRDefault="00C01898" w:rsidP="00A96608">
      <w:pPr>
        <w:ind w:firstLine="709"/>
        <w:jc w:val="both"/>
      </w:pPr>
      <w:r>
        <w:rPr>
          <w:vertAlign w:val="superscript"/>
        </w:rPr>
        <w:footnoteRef/>
      </w:r>
      <w:r>
        <w:rPr>
          <w:rFonts w:ascii="Arial" w:eastAsia="Arial" w:hAnsi="Arial" w:cs="Arial"/>
          <w:sz w:val="19"/>
          <w:szCs w:val="19"/>
        </w:rPr>
        <w:t xml:space="preserve"> Consejo de Estado. Sala de Consulta y Servicio Civil. Concepto del 17 de febrero de 2015. C.P. William Zambrano Cetina. Radicación No. 11001-03-06-000-2015-00164-00(2269).</w:t>
      </w:r>
    </w:p>
  </w:footnote>
  <w:footnote w:id="11">
    <w:p w14:paraId="74136FF4" w14:textId="77777777" w:rsidR="009B3A66" w:rsidRPr="00A96608" w:rsidRDefault="00C01898" w:rsidP="00A96608">
      <w:pPr>
        <w:pBdr>
          <w:top w:val="nil"/>
          <w:left w:val="nil"/>
          <w:bottom w:val="nil"/>
          <w:right w:val="nil"/>
          <w:between w:val="nil"/>
        </w:pBdr>
        <w:ind w:firstLine="709"/>
        <w:jc w:val="both"/>
        <w:rPr>
          <w:sz w:val="20"/>
          <w:szCs w:val="20"/>
        </w:rPr>
      </w:pPr>
      <w:r>
        <w:rPr>
          <w:vertAlign w:val="superscript"/>
        </w:rPr>
        <w:footnoteRef/>
      </w:r>
      <w:r>
        <w:rPr>
          <w:rFonts w:ascii="Arial" w:eastAsia="Arial" w:hAnsi="Arial" w:cs="Arial"/>
          <w:color w:val="000000"/>
          <w:sz w:val="19"/>
          <w:szCs w:val="19"/>
        </w:rPr>
        <w:t xml:space="preserve"> «[25] Cfr. Consejo de Estado. Sección Tercera. Sentencia de 3 de diciembre de 2007. Radicados: 24.715, 25.206, 25.409, 24.524, 27.834, 25.410, 26.105, 28.244, 31.447 -acumulados-».</w:t>
      </w:r>
    </w:p>
    <w:p w14:paraId="28BACC2B" w14:textId="77777777" w:rsidR="009B3A66" w:rsidRPr="00A96608" w:rsidRDefault="009B3A66" w:rsidP="00A96608">
      <w:pPr>
        <w:pBdr>
          <w:top w:val="nil"/>
          <w:left w:val="nil"/>
          <w:bottom w:val="nil"/>
          <w:right w:val="nil"/>
          <w:between w:val="nil"/>
        </w:pBdr>
        <w:ind w:firstLine="709"/>
        <w:jc w:val="both"/>
        <w:rPr>
          <w:sz w:val="20"/>
          <w:szCs w:val="20"/>
        </w:rPr>
      </w:pPr>
    </w:p>
  </w:footnote>
  <w:footnote w:id="12">
    <w:p w14:paraId="21375016" w14:textId="77777777" w:rsidR="009B3A66" w:rsidRPr="00A96608" w:rsidRDefault="00C01898" w:rsidP="00A96608">
      <w:pPr>
        <w:pBdr>
          <w:top w:val="nil"/>
          <w:left w:val="nil"/>
          <w:bottom w:val="nil"/>
          <w:right w:val="nil"/>
          <w:between w:val="nil"/>
        </w:pBdr>
        <w:ind w:firstLine="709"/>
        <w:jc w:val="both"/>
        <w:rPr>
          <w:sz w:val="20"/>
          <w:szCs w:val="20"/>
        </w:rPr>
      </w:pPr>
      <w:r>
        <w:rPr>
          <w:vertAlign w:val="superscript"/>
        </w:rPr>
        <w:footnoteRef/>
      </w:r>
      <w:r>
        <w:rPr>
          <w:rFonts w:ascii="Arial" w:eastAsia="Arial" w:hAnsi="Arial" w:cs="Arial"/>
          <w:color w:val="000000"/>
          <w:sz w:val="19"/>
          <w:szCs w:val="19"/>
        </w:rPr>
        <w:t xml:space="preserve"> «[26] Al respecto ver el concepto 1712 de 2 de febrero de 2006. Consejo de Estado Sala de Consulta y Servicio Civil».</w:t>
      </w:r>
    </w:p>
    <w:p w14:paraId="620813E3" w14:textId="77777777" w:rsidR="009B3A66" w:rsidRPr="00A96608" w:rsidRDefault="009B3A66" w:rsidP="00A96608">
      <w:pPr>
        <w:pBdr>
          <w:top w:val="nil"/>
          <w:left w:val="nil"/>
          <w:bottom w:val="nil"/>
          <w:right w:val="nil"/>
          <w:between w:val="nil"/>
        </w:pBdr>
        <w:ind w:firstLine="709"/>
        <w:jc w:val="both"/>
        <w:rPr>
          <w:sz w:val="20"/>
          <w:szCs w:val="20"/>
        </w:rPr>
      </w:pPr>
    </w:p>
  </w:footnote>
  <w:footnote w:id="13">
    <w:p w14:paraId="6AEFD8A2"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Concepto del 2 de septiembre de 2013. Radicación número: 11001-03-06-000-2013-00412-00 (2168). Consejero Ponente: Álvaro Namén Vargas.</w:t>
      </w:r>
    </w:p>
  </w:footnote>
  <w:footnote w:id="14">
    <w:p w14:paraId="0E56B1A5"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 </w:t>
      </w:r>
    </w:p>
    <w:p w14:paraId="2EE9C4E9"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15">
    <w:p w14:paraId="5933DA70"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i/>
          <w:color w:val="000000"/>
          <w:sz w:val="19"/>
          <w:szCs w:val="19"/>
        </w:rPr>
        <w:t>Ídem</w:t>
      </w:r>
      <w:r>
        <w:rPr>
          <w:rFonts w:ascii="Arial" w:eastAsia="Arial" w:hAnsi="Arial" w:cs="Arial"/>
          <w:color w:val="000000"/>
          <w:sz w:val="19"/>
          <w:szCs w:val="19"/>
        </w:rPr>
        <w:t>.</w:t>
      </w:r>
    </w:p>
    <w:p w14:paraId="354FD294"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16">
    <w:p w14:paraId="524E5414"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vertAlign w:val="superscript"/>
        </w:rPr>
        <w:t xml:space="preserve"> </w:t>
      </w:r>
      <w:r>
        <w:rPr>
          <w:rFonts w:ascii="Arial" w:eastAsia="Arial" w:hAnsi="Arial" w:cs="Arial"/>
          <w:color w:val="000000"/>
          <w:sz w:val="19"/>
          <w:szCs w:val="19"/>
        </w:rPr>
        <w:t xml:space="preserve">«[…] A este respecto, cabe recordar que el artículo 860 del Código de Comercio regula la licitación en el derecho privado». </w:t>
      </w:r>
    </w:p>
    <w:p w14:paraId="21FC54B7"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17">
    <w:p w14:paraId="684AB4F6" w14:textId="77777777" w:rsidR="009B3A66" w:rsidRDefault="00C01898">
      <w:pPr>
        <w:shd w:val="clear" w:color="auto" w:fill="FFFFFF"/>
        <w:ind w:firstLine="709"/>
        <w:jc w:val="both"/>
        <w:rPr>
          <w:rFonts w:ascii="Arial" w:eastAsia="Arial" w:hAnsi="Arial" w:cs="Arial"/>
          <w:sz w:val="19"/>
          <w:szCs w:val="19"/>
        </w:rPr>
      </w:pPr>
      <w:r>
        <w:rPr>
          <w:vertAlign w:val="superscript"/>
        </w:rPr>
        <w:footnoteRef/>
      </w:r>
      <w:r>
        <w:rPr>
          <w:rFonts w:ascii="Arial" w:eastAsia="Arial" w:hAnsi="Arial" w:cs="Arial"/>
          <w:sz w:val="19"/>
          <w:szCs w:val="19"/>
          <w:vertAlign w:val="superscript"/>
        </w:rPr>
        <w:t xml:space="preserve"> </w:t>
      </w:r>
      <w:r>
        <w:rPr>
          <w:rFonts w:ascii="Arial" w:eastAsia="Arial" w:hAnsi="Arial" w:cs="Arial"/>
          <w:sz w:val="19"/>
          <w:szCs w:val="19"/>
        </w:rPr>
        <w:t>Consejo de Estado. Sala de Consulta y Servicio Civil, Concepto de 8 de mayo de 2018. Radicación Número: 11001-03-06-000-2018-00095-00(2382). Consejero Ponente: Álvaro Namén Vargas.</w:t>
      </w:r>
    </w:p>
  </w:footnote>
  <w:footnote w:id="18">
    <w:p w14:paraId="150D4252"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Concepto del 08 de mayo de 2018. Exp. 2.382. C.P. Álvaro Namén Vargas.</w:t>
      </w:r>
    </w:p>
  </w:footnote>
  <w:footnote w:id="19">
    <w:p w14:paraId="38B60E6B"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3B53F56A"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20">
    <w:p w14:paraId="1EFAB57B" w14:textId="77777777" w:rsidR="009B3A66" w:rsidRDefault="00C01898">
      <w:pPr>
        <w:ind w:firstLine="709"/>
        <w:jc w:val="both"/>
        <w:rPr>
          <w:rFonts w:ascii="Arial" w:eastAsia="Arial" w:hAnsi="Arial" w:cs="Arial"/>
          <w:sz w:val="19"/>
          <w:szCs w:val="19"/>
        </w:rPr>
      </w:pPr>
      <w:r>
        <w:rPr>
          <w:vertAlign w:val="superscript"/>
        </w:rPr>
        <w:footnoteRef/>
      </w:r>
      <w:r>
        <w:rPr>
          <w:rFonts w:ascii="Arial" w:eastAsia="Arial" w:hAnsi="Arial" w:cs="Arial"/>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bookmarkStart w:id="12" w:name="_qsh70q" w:colFirst="0" w:colLast="0"/>
    <w:bookmarkEnd w:id="12"/>
  </w:footnote>
  <w:footnote w:id="21">
    <w:p w14:paraId="1310FE96" w14:textId="77777777" w:rsidR="009B3A66" w:rsidRPr="00A96608" w:rsidRDefault="00C01898" w:rsidP="00A96608">
      <w:pPr>
        <w:pBdr>
          <w:top w:val="nil"/>
          <w:left w:val="nil"/>
          <w:bottom w:val="nil"/>
          <w:right w:val="nil"/>
          <w:between w:val="nil"/>
        </w:pBdr>
        <w:ind w:firstLine="709"/>
        <w:jc w:val="both"/>
        <w:rPr>
          <w:sz w:val="20"/>
          <w:szCs w:val="20"/>
        </w:rPr>
      </w:pPr>
      <w:bookmarkStart w:id="14" w:name="_qsh70q" w:colFirst="0" w:colLast="0"/>
      <w:bookmarkEnd w:id="14"/>
      <w:r>
        <w:rPr>
          <w:vertAlign w:val="superscript"/>
        </w:rPr>
        <w:footnoteRef/>
      </w:r>
      <w:r>
        <w:rPr>
          <w:rFonts w:ascii="Arial" w:eastAsia="Arial" w:hAnsi="Arial" w:cs="Arial"/>
          <w:color w:val="000000"/>
          <w:sz w:val="19"/>
          <w:szCs w:val="19"/>
        </w:rPr>
        <w:t xml:space="preserve"> Consejo de Estado. Sala de Consulta y Servicio Civil. Concepto de 6 de abril de 2006. Radicación Número: 11001-03-06-000-2006-00038-00(1738). Consejero Ponente: Enrique José Arboleda Perdomo: «Si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p>
  </w:footnote>
  <w:footnote w:id="22">
    <w:p w14:paraId="0E037E3D" w14:textId="77777777" w:rsidR="009B3A66" w:rsidRPr="00A96608" w:rsidRDefault="00C01898" w:rsidP="00A96608">
      <w:pPr>
        <w:pBdr>
          <w:top w:val="nil"/>
          <w:left w:val="nil"/>
          <w:bottom w:val="nil"/>
          <w:right w:val="nil"/>
          <w:between w:val="nil"/>
        </w:pBdr>
        <w:ind w:firstLine="709"/>
        <w:jc w:val="both"/>
        <w:rPr>
          <w:sz w:val="20"/>
          <w:szCs w:val="20"/>
        </w:rPr>
      </w:pPr>
      <w:r>
        <w:rPr>
          <w:vertAlign w:val="superscript"/>
        </w:rPr>
        <w:footnoteRef/>
      </w:r>
      <w:r>
        <w:rPr>
          <w:rFonts w:ascii="Arial" w:eastAsia="Arial" w:hAnsi="Arial" w:cs="Arial"/>
          <w:color w:val="000000"/>
          <w:sz w:val="19"/>
          <w:szCs w:val="19"/>
        </w:rPr>
        <w:t xml:space="preserve"> Consejo de Estado. Sala de Consulta y Servicio Civil. Concepto de 6 de abril de 2006. Radicación Número: 11001-03-06-000-2006-00038-00(1738). Consejero Ponente: Enrique José Arboleda Perdomo.</w:t>
      </w:r>
    </w:p>
    <w:p w14:paraId="370E910C" w14:textId="77777777" w:rsidR="009B3A66" w:rsidRPr="00A96608" w:rsidRDefault="009B3A66" w:rsidP="00A96608">
      <w:pPr>
        <w:pBdr>
          <w:top w:val="nil"/>
          <w:left w:val="nil"/>
          <w:bottom w:val="nil"/>
          <w:right w:val="nil"/>
          <w:between w:val="nil"/>
        </w:pBdr>
        <w:ind w:firstLine="709"/>
        <w:jc w:val="both"/>
        <w:rPr>
          <w:sz w:val="20"/>
          <w:szCs w:val="20"/>
        </w:rPr>
      </w:pPr>
    </w:p>
  </w:footnote>
  <w:footnote w:id="23">
    <w:p w14:paraId="44DF5D9D" w14:textId="77777777" w:rsidR="009B3A66" w:rsidRPr="00A96608" w:rsidRDefault="00C01898" w:rsidP="00A96608">
      <w:pPr>
        <w:pBdr>
          <w:top w:val="nil"/>
          <w:left w:val="nil"/>
          <w:bottom w:val="nil"/>
          <w:right w:val="nil"/>
          <w:between w:val="nil"/>
        </w:pBdr>
        <w:ind w:firstLine="709"/>
        <w:jc w:val="both"/>
        <w:rPr>
          <w:sz w:val="20"/>
          <w:szCs w:val="20"/>
        </w:rPr>
      </w:pPr>
      <w:r>
        <w:rPr>
          <w:vertAlign w:val="superscript"/>
        </w:rPr>
        <w:footnoteRef/>
      </w:r>
      <w:r>
        <w:rPr>
          <w:rFonts w:ascii="Arial" w:eastAsia="Arial" w:hAnsi="Arial" w:cs="Arial"/>
          <w:color w:val="000000"/>
          <w:sz w:val="19"/>
          <w:szCs w:val="19"/>
        </w:rPr>
        <w:t xml:space="preserve"> Consejo de Estado. Sala de Consulta y Servicio Civil, ídem.</w:t>
      </w:r>
    </w:p>
  </w:footnote>
  <w:footnote w:id="24">
    <w:p w14:paraId="48172B39"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Concepto de 20 de febrero de2006. Radicación 11001-03-06-000-2006-00023-00(1724). Consejero Ponente: Flavio Augusto Rodríguez Arce.</w:t>
      </w:r>
    </w:p>
    <w:p w14:paraId="3BE205B8"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25">
    <w:p w14:paraId="69023FC7" w14:textId="77777777" w:rsidR="009B3A66" w:rsidRPr="00A96608" w:rsidRDefault="00C01898" w:rsidP="00A96608">
      <w:pPr>
        <w:ind w:firstLine="709"/>
        <w:jc w:val="both"/>
      </w:pPr>
      <w:r>
        <w:rPr>
          <w:vertAlign w:val="superscript"/>
        </w:rPr>
        <w:footnoteRef/>
      </w:r>
      <w:r>
        <w:rPr>
          <w:rFonts w:ascii="Arial" w:eastAsia="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1655B0A1" w14:textId="77777777" w:rsidR="009B3A66" w:rsidRDefault="00C01898">
      <w:pPr>
        <w:ind w:firstLine="709"/>
        <w:jc w:val="both"/>
        <w:rPr>
          <w:rFonts w:ascii="Arial" w:eastAsia="Arial" w:hAnsi="Arial" w:cs="Arial"/>
          <w:sz w:val="19"/>
          <w:szCs w:val="19"/>
        </w:rPr>
      </w:pPr>
      <w:r>
        <w:rPr>
          <w:rFonts w:ascii="Arial" w:eastAsia="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26">
    <w:p w14:paraId="7065C336" w14:textId="77777777" w:rsidR="009B3A66" w:rsidRDefault="00C01898">
      <w:pPr>
        <w:ind w:firstLine="709"/>
        <w:jc w:val="both"/>
        <w:rPr>
          <w:rFonts w:ascii="Arial" w:eastAsia="Arial" w:hAnsi="Arial" w:cs="Arial"/>
          <w:sz w:val="19"/>
          <w:szCs w:val="19"/>
        </w:rPr>
      </w:pPr>
      <w:r>
        <w:rPr>
          <w:vertAlign w:val="superscript"/>
        </w:rPr>
        <w:footnoteRef/>
      </w:r>
      <w:r>
        <w:rPr>
          <w:rFonts w:ascii="Arial" w:eastAsia="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7">
    <w:p w14:paraId="0AFEEDB3" w14:textId="77777777" w:rsidR="009B3A66" w:rsidRDefault="00C01898">
      <w:pPr>
        <w:ind w:firstLine="709"/>
        <w:jc w:val="both"/>
        <w:rPr>
          <w:rFonts w:ascii="Arial" w:eastAsia="Arial" w:hAnsi="Arial" w:cs="Arial"/>
          <w:sz w:val="19"/>
          <w:szCs w:val="19"/>
        </w:rPr>
      </w:pPr>
      <w:r>
        <w:rPr>
          <w:vertAlign w:val="superscript"/>
        </w:rPr>
        <w:footnoteRef/>
      </w:r>
      <w:r>
        <w:rPr>
          <w:rFonts w:ascii="Arial" w:eastAsia="Arial" w:hAnsi="Arial" w:cs="Arial"/>
          <w:sz w:val="31"/>
          <w:szCs w:val="31"/>
          <w:vertAlign w:val="superscript"/>
        </w:rPr>
        <w:t xml:space="preserve"> </w:t>
      </w:r>
      <w:r>
        <w:rPr>
          <w:rFonts w:ascii="Arial" w:eastAsia="Arial" w:hAnsi="Arial" w:cs="Arial"/>
          <w:sz w:val="19"/>
          <w:szCs w:val="19"/>
        </w:rPr>
        <w:t>Consejo de Estado. Sección Tercera. Sentencia del 23 de junio de 2010. Radicación No. 66001-23-31-000-1998-00261-01(17.860). Consejero Ponente: Mauricio Fajardo Gómez.</w:t>
      </w:r>
    </w:p>
  </w:footnote>
  <w:footnote w:id="28">
    <w:p w14:paraId="70F1A1E6" w14:textId="77777777" w:rsidR="009B3A66" w:rsidRDefault="00C01898">
      <w:pPr>
        <w:ind w:firstLine="709"/>
        <w:jc w:val="both"/>
        <w:rPr>
          <w:rFonts w:ascii="Arial" w:eastAsia="Arial" w:hAnsi="Arial" w:cs="Arial"/>
          <w:sz w:val="19"/>
          <w:szCs w:val="19"/>
        </w:rPr>
      </w:pPr>
      <w:r>
        <w:rPr>
          <w:vertAlign w:val="superscript"/>
        </w:rPr>
        <w:footnoteRef/>
      </w:r>
      <w:r>
        <w:rPr>
          <w:rFonts w:ascii="Arial" w:eastAsia="Arial" w:hAnsi="Arial" w:cs="Arial"/>
          <w:sz w:val="19"/>
          <w:szCs w:val="19"/>
        </w:rPr>
        <w:t xml:space="preserve"> Consejo de Estado. Sección Tercera. Subsección C. Sentencia del 11 de diciembre de 2019. Exp. 46.986. C.P. Jaime Enrique Rodríguez Navas.</w:t>
      </w:r>
    </w:p>
    <w:p w14:paraId="00DCE567" w14:textId="77777777" w:rsidR="009B3A66" w:rsidRDefault="009B3A66">
      <w:pPr>
        <w:ind w:firstLine="709"/>
        <w:jc w:val="both"/>
        <w:rPr>
          <w:rFonts w:ascii="Arial" w:eastAsia="Arial" w:hAnsi="Arial" w:cs="Arial"/>
          <w:sz w:val="19"/>
          <w:szCs w:val="19"/>
        </w:rPr>
      </w:pPr>
    </w:p>
  </w:footnote>
  <w:footnote w:id="29">
    <w:p w14:paraId="355942D0"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[Referencia propia de la cita] «CE. SCSC. Concepto de 1 de noviembre de 2016 [Rad. 11001-03-06-000-2016-00125-00(2305)]. MP. Germán Alberto Bula Escobar».</w:t>
      </w:r>
    </w:p>
    <w:p w14:paraId="3C64E75A" w14:textId="77777777" w:rsidR="009B3A66" w:rsidRDefault="009B3A66">
      <w:pPr>
        <w:pBdr>
          <w:top w:val="nil"/>
          <w:left w:val="nil"/>
          <w:bottom w:val="nil"/>
          <w:right w:val="nil"/>
          <w:between w:val="nil"/>
        </w:pBdr>
        <w:ind w:firstLine="708"/>
        <w:jc w:val="both"/>
        <w:rPr>
          <w:rFonts w:ascii="Arial" w:eastAsia="Arial" w:hAnsi="Arial" w:cs="Arial"/>
          <w:color w:val="000000"/>
          <w:sz w:val="19"/>
          <w:szCs w:val="19"/>
        </w:rPr>
      </w:pPr>
    </w:p>
  </w:footnote>
  <w:footnote w:id="30">
    <w:p w14:paraId="060C391C"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[Referencia propia de la cita] «CE. SCSC. Concepto de 30 de abril de 2008 [Rad. 11001-03-06-000-2008-00013-00(1881)]. MP. Enrique José Arboleda Perdomo. En esta oportunidad, la Sala indicó que el contenido </w:t>
      </w:r>
      <w:r>
        <w:rPr>
          <w:rFonts w:ascii="Arial" w:eastAsia="Arial" w:hAnsi="Arial" w:cs="Arial"/>
          <w:i/>
          <w:color w:val="000000"/>
          <w:sz w:val="19"/>
          <w:szCs w:val="19"/>
        </w:rPr>
        <w:t>“obligacional”</w:t>
      </w:r>
      <w:r>
        <w:rPr>
          <w:rFonts w:ascii="Arial" w:eastAsia="Arial" w:hAnsi="Arial" w:cs="Arial"/>
          <w:color w:val="000000"/>
          <w:sz w:val="19"/>
          <w:szCs w:val="19"/>
        </w:rPr>
        <w:t xml:space="preserve"> de los convenios se estructura definiendo el resultado querido por las partes y los medios que cada entidad despliega para la obtención del respectivo objeto».</w:t>
      </w:r>
    </w:p>
  </w:footnote>
  <w:footnote w:id="31">
    <w:p w14:paraId="1DF79508"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[Referencia propia de la cita] «La normativa vigente del EGCAP </w:t>
      </w:r>
      <w:r>
        <w:rPr>
          <w:rFonts w:ascii="Arial" w:eastAsia="Arial" w:hAnsi="Arial" w:cs="Arial"/>
          <w:i/>
          <w:color w:val="000000"/>
          <w:sz w:val="19"/>
          <w:szCs w:val="19"/>
        </w:rPr>
        <w:t>[literal c) del numeral 4. del artículo 2 de la Ley 1150/07]</w:t>
      </w:r>
      <w:r>
        <w:rPr>
          <w:rFonts w:ascii="Arial" w:eastAsia="Arial" w:hAnsi="Arial" w:cs="Arial"/>
          <w:color w:val="000000"/>
          <w:sz w:val="19"/>
          <w:szCs w:val="19"/>
        </w:rPr>
        <w:t xml:space="preserve"> se refiere a </w:t>
      </w:r>
      <w:r>
        <w:rPr>
          <w:rFonts w:ascii="Arial" w:eastAsia="Arial" w:hAnsi="Arial" w:cs="Arial"/>
          <w:i/>
          <w:color w:val="000000"/>
          <w:sz w:val="19"/>
          <w:szCs w:val="19"/>
        </w:rPr>
        <w:t>“contratos interadministrativos”</w:t>
      </w:r>
      <w:r>
        <w:rPr>
          <w:rFonts w:ascii="Arial" w:eastAsia="Arial" w:hAnsi="Arial" w:cs="Arial"/>
          <w:color w:val="000000"/>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3E1D0DAD" w14:textId="77777777" w:rsidR="009B3A66" w:rsidRDefault="009B3A66">
      <w:pPr>
        <w:pBdr>
          <w:top w:val="nil"/>
          <w:left w:val="nil"/>
          <w:bottom w:val="nil"/>
          <w:right w:val="nil"/>
          <w:between w:val="nil"/>
        </w:pBdr>
        <w:ind w:firstLine="708"/>
        <w:jc w:val="both"/>
        <w:rPr>
          <w:rFonts w:ascii="Arial" w:eastAsia="Arial" w:hAnsi="Arial" w:cs="Arial"/>
          <w:color w:val="000000"/>
          <w:sz w:val="19"/>
          <w:szCs w:val="19"/>
        </w:rPr>
      </w:pPr>
    </w:p>
  </w:footnote>
  <w:footnote w:id="32">
    <w:p w14:paraId="7BA28168"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244B71A3" w14:textId="77777777" w:rsidR="009B3A66" w:rsidRDefault="009B3A66">
      <w:pPr>
        <w:pBdr>
          <w:top w:val="nil"/>
          <w:left w:val="nil"/>
          <w:bottom w:val="nil"/>
          <w:right w:val="nil"/>
          <w:between w:val="nil"/>
        </w:pBdr>
        <w:ind w:firstLine="708"/>
        <w:jc w:val="both"/>
        <w:rPr>
          <w:rFonts w:ascii="Arial" w:eastAsia="Arial" w:hAnsi="Arial" w:cs="Arial"/>
          <w:color w:val="000000"/>
          <w:sz w:val="19"/>
          <w:szCs w:val="19"/>
        </w:rPr>
      </w:pPr>
    </w:p>
  </w:footnote>
  <w:footnote w:id="33">
    <w:p w14:paraId="7D53419E"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Es lo que sucede, por ejemplo, con el Decreto 092 de 2017, que en su desarrollo hace referencia tanto a los «contratos» como a los «convenios». </w:t>
      </w:r>
    </w:p>
    <w:p w14:paraId="7E094E92" w14:textId="77777777" w:rsidR="009B3A66" w:rsidRDefault="009B3A66">
      <w:pPr>
        <w:pBdr>
          <w:top w:val="nil"/>
          <w:left w:val="nil"/>
          <w:bottom w:val="nil"/>
          <w:right w:val="nil"/>
          <w:between w:val="nil"/>
        </w:pBdr>
        <w:ind w:firstLine="708"/>
        <w:jc w:val="both"/>
        <w:rPr>
          <w:rFonts w:ascii="Arial" w:eastAsia="Arial" w:hAnsi="Arial" w:cs="Arial"/>
          <w:color w:val="000000"/>
          <w:sz w:val="19"/>
          <w:szCs w:val="19"/>
        </w:rPr>
      </w:pPr>
    </w:p>
  </w:footnote>
  <w:footnote w:id="34">
    <w:p w14:paraId="461820C3"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14:paraId="26ADBE12"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p w14:paraId="72617B39" w14:textId="77777777" w:rsidR="009B3A66" w:rsidRDefault="009B3A66">
      <w:pPr>
        <w:pBdr>
          <w:top w:val="nil"/>
          <w:left w:val="nil"/>
          <w:bottom w:val="nil"/>
          <w:right w:val="nil"/>
          <w:between w:val="nil"/>
        </w:pBdr>
        <w:ind w:firstLine="708"/>
        <w:jc w:val="both"/>
        <w:rPr>
          <w:rFonts w:ascii="Arial" w:eastAsia="Arial" w:hAnsi="Arial" w:cs="Arial"/>
          <w:color w:val="000000"/>
          <w:sz w:val="19"/>
          <w:szCs w:val="19"/>
        </w:rPr>
      </w:pPr>
    </w:p>
  </w:footnote>
  <w:footnote w:id="36">
    <w:p w14:paraId="20C12CE0"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Consejo de Estado. Sala de Consulta y Servicio Civil. Concepto del 15 de noviembre de 2007. Expediente número 1863. Consejero Ponente: Luis Fernando Álvarez Jaramillo.</w:t>
      </w:r>
    </w:p>
    <w:p w14:paraId="2DE347E5"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37">
    <w:p w14:paraId="09A960F1"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Que en su artículo 141 establece: «La presente Ley rige a partir de la fecha de su publicación y surte efectos fiscales a partir del 1 de enero de 2022».</w:t>
      </w:r>
    </w:p>
  </w:footnote>
  <w:footnote w:id="38">
    <w:p w14:paraId="41F8C3C2" w14:textId="5E9708C4"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Correspondiente al Proyecto de Ley 158/21 Cámara y 096/2021 Senado, cuyo texto definitivo fue aprobado en plenaria del Senado de la República el día 19 de octubre de 2021, según la Gaceta del Congreso de la República nro. 1496. </w:t>
      </w:r>
    </w:p>
  </w:footnote>
  <w:footnote w:id="39">
    <w:p w14:paraId="7F7ACAE1"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En su contenido y trámite el proyecto de ley se sujeta a las siguientes reglas: i) no es posible incluir partida alguna que no corresponda a un crédito judicialmente reconocido, a un gasto decretado conforme a ley anterior, a uno propuesto por el gobierno para atender el funcionamiento de las ramas del poder público, al servicio de la deuda, o a dar cumplimiento al plan nacional de desarrollo (artículo 346 C.P.); ii) el proyecto de ley de apropiaciones deberá contener la totalidad de los gastos que el Estado pretenda realizar durante la vigencia fiscal respectiva (artículo 347 C.P.; iii) si los ingresos legalmente autorizados no fueren suficientes para atender los gastos proyectados, el Gobierno deberá proponer, en forma separada, ante las comisiones encargadas de estudiar el proyecto de presupuesto, la creación de nuevas rentas o la modificación de las existentes para financiar el monto de gastos contemplados (artículo 347 Ibídem); iv) debe contener un componente denominado gasto público social que agrupará las partidas de esa naturaleza (artículo 350 C.P.), iv) el Congreso no puede “aumentar ninguna de las partidas del presupuesto de gastos propuestas por el gobierno, ni incluir una nueva, sino con la aceptación escrita del ministro del ramo” (artículo 351, inciso 1, C.P.). En cambio, el Congreso “podrá eliminar y reducir partidas de gastos propuestas por el gobierno”, con las excepciones que señala el artículo 351 en su inciso segundo; v) recibido el proyecto respectivo en el Congreso, corresponde a las Comisiones de Asuntos Económicos tanto del Senado como de la Cámara discutirlo y aprobarlo en primer debate, para lo cual la Constitución las autoriza sesionar conjuntamente (artículo 346 inciso 2 C.P.); iv) si el Congreso no expide el presupuesto, regirá el presentado por el gobierno en los términos señalados por el artículo 347 Superior, y si el gobierno no lo presenta dentro del plazo constitucional, regirá el del año anterior. Pero el Gobierno podrá reducir gastos, y, en consecuencia, suprimir o refundir empleos, cuando así lo aconsejen los cálculos de rentas del nuevo ejercicio (artículo 348 C.P.).</w:t>
      </w:r>
    </w:p>
  </w:footnote>
  <w:footnote w:id="40">
    <w:p w14:paraId="24C61F0A" w14:textId="63381E0B"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La Corte Constitucional ha precisado que es una especie de «contrato democrático anual sobre la asignación de recursos escasos y la fijación de prioridades, mediante el cual el Estado concreta no sólo un instrumento medular en la dirección de la economía y la política macroeconómica, sino la herramienta jurídica que expresa cuantitativamente el cumplimiento de fines esenciales del Estado y la política social para alcanzarlos. De este modo, el servicio a la comunidad, la promoción de la prosperidad general, la garantía y efectividad de los principios, derechos y deberes consagrados en la Constitución, y el aseguramiento en condiciones de igualdad y equidad de un orden justo, tienen un correlato real y específico en la ley de presupuesto que explican la necesidad de un proceso de creación y reforma calificado que permita la discusión amplia y la mayor participación posible a través de los representantes legítimos del pueblo reunidos en el Congreso.» (Corte Constitucional. Sentencia C - 1064 de 2001. MPs. Manuel José Cepeda Espinosa y Jaime Córdoba Triviño).</w:t>
      </w:r>
    </w:p>
  </w:footnote>
  <w:footnote w:id="41">
    <w:p w14:paraId="5FA17B80"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C-1124 de 2008 que analizó la constitucionalidad del artículo 61 de la Ley 1169 de 2007.</w:t>
      </w:r>
    </w:p>
  </w:footnote>
  <w:footnote w:id="42">
    <w:p w14:paraId="510BD888"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Existe una relación inescindible entre la función democrática, administrativa y política del presupuesto y su carácter de instrumento o herramienta de dirección de la economía y la política macroeconómica. Corte Constitucional, Sentencia C - 438 de 2019, MP: Cristina Pardo Schlesinger.</w:t>
      </w:r>
    </w:p>
  </w:footnote>
  <w:footnote w:id="43">
    <w:p w14:paraId="4E7EBCFC" w14:textId="77777777" w:rsidR="009B3A66" w:rsidRDefault="00C01898">
      <w:pPr>
        <w:pBdr>
          <w:top w:val="nil"/>
          <w:left w:val="nil"/>
          <w:bottom w:val="nil"/>
          <w:right w:val="nil"/>
          <w:between w:val="nil"/>
        </w:pBdr>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«Por medio del cual se compilan las leyes 38 de 1989, 179 de 1994 y 225 de 1995 que conforman el estatuto orgánico del presupuesto».</w:t>
      </w:r>
    </w:p>
  </w:footnote>
  <w:footnote w:id="44">
    <w:p w14:paraId="6F24F8BE" w14:textId="77777777" w:rsidR="009B3A66" w:rsidRDefault="00C01898">
      <w:pPr>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6º: «</w:t>
      </w:r>
      <w:r>
        <w:rPr>
          <w:rFonts w:ascii="Arial" w:eastAsia="Arial" w:hAnsi="Arial" w:cs="Arial"/>
          <w:color w:val="000000"/>
          <w:sz w:val="19"/>
          <w:szCs w:val="19"/>
          <w:highlight w:val="white"/>
        </w:rPr>
        <w:t>Sistema presupuestal. Está constituido por un plan financiero, por un plan operativo anual de inversiones y por el presupuesto anual de la Nación».</w:t>
      </w:r>
    </w:p>
  </w:footnote>
  <w:footnote w:id="45">
    <w:p w14:paraId="7867921F" w14:textId="77777777" w:rsidR="009B3A66" w:rsidRDefault="00C01898">
      <w:pPr>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8º: «</w:t>
      </w:r>
      <w:r>
        <w:rPr>
          <w:rFonts w:ascii="Arial" w:eastAsia="Arial" w:hAnsi="Arial" w:cs="Arial"/>
          <w:color w:val="000000"/>
          <w:sz w:val="19"/>
          <w:szCs w:val="19"/>
          <w:highlight w:val="white"/>
        </w:rPr>
        <w:t xml:space="preserve">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 </w:t>
      </w:r>
    </w:p>
    <w:p w14:paraId="385DAE44" w14:textId="77777777" w:rsidR="009B3A66" w:rsidRPr="00A96608" w:rsidRDefault="009B3A66">
      <w:pPr>
        <w:jc w:val="both"/>
        <w:rPr>
          <w:rFonts w:ascii="Arial" w:eastAsia="Arial" w:hAnsi="Arial" w:cs="Arial"/>
          <w:sz w:val="19"/>
          <w:szCs w:val="19"/>
        </w:rPr>
      </w:pPr>
    </w:p>
    <w:p w14:paraId="7CF33C0B" w14:textId="77777777" w:rsidR="009B3A66" w:rsidRDefault="009B3A66">
      <w:pPr>
        <w:pBdr>
          <w:top w:val="nil"/>
          <w:left w:val="nil"/>
          <w:bottom w:val="nil"/>
          <w:right w:val="nil"/>
          <w:between w:val="nil"/>
        </w:pBdr>
        <w:jc w:val="both"/>
        <w:rPr>
          <w:rFonts w:ascii="Arial" w:eastAsia="Arial" w:hAnsi="Arial" w:cs="Arial"/>
          <w:color w:val="000000"/>
          <w:sz w:val="19"/>
          <w:szCs w:val="19"/>
        </w:rPr>
      </w:pPr>
    </w:p>
  </w:footnote>
  <w:footnote w:id="46">
    <w:p w14:paraId="1A536DEE"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31 de la Ley 152 de 1994 –por la cual se establece la Ley Orgánica del Presupuesto–. </w:t>
      </w:r>
    </w:p>
  </w:footnote>
  <w:footnote w:id="47">
    <w:p w14:paraId="0DAD07B9"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Aunque el Estado sea un concepto más amplio que comprende al conjunto de órganos que realizan las diversas funciones y servicios estatales, ya sea en el orden nacional, o ya sea en los otros niveles territoriales.</w:t>
      </w:r>
    </w:p>
    <w:p w14:paraId="420E09E4"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48">
    <w:p w14:paraId="2F9E46D2"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287. Las entidades territoriales gozan de autonomía para la gestión de sus intereses, y dentro de los límites de la Constitución y la ley. En tal virtud tendrán los siguientes derechos: </w:t>
      </w:r>
    </w:p>
    <w:p w14:paraId="660FBBB5"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 xml:space="preserve">» 1. Gobernarse por autoridades propias. </w:t>
      </w:r>
    </w:p>
    <w:p w14:paraId="04A0EB4B"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 xml:space="preserve">» 2. Ejercer las competencias que les correspondan. </w:t>
      </w:r>
    </w:p>
    <w:p w14:paraId="2C6F5C3D"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 3. Administrar los recursos y establecer los tributos necesarios para el cumplimiento de sus funciones. </w:t>
      </w:r>
    </w:p>
    <w:p w14:paraId="47324848"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 4. Participar en las rentas nacionales,»</w:t>
      </w:r>
    </w:p>
  </w:footnote>
  <w:footnote w:id="49">
    <w:p w14:paraId="6F0BCDDE"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C-221 del 29 de abril de 1997. M.P. Alejandro Martínez Caballero.</w:t>
      </w:r>
    </w:p>
  </w:footnote>
  <w:footnote w:id="50">
    <w:p w14:paraId="32E5A414" w14:textId="77777777" w:rsidR="009B3A66" w:rsidRDefault="00C01898">
      <w:pPr>
        <w:shd w:val="clear" w:color="auto" w:fill="FFFFFF"/>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T-247 del 10 de abril de 2007. M.P. Rodrigo Escobar Gil.</w:t>
      </w:r>
    </w:p>
  </w:footnote>
  <w:footnote w:id="51">
    <w:p w14:paraId="2ED4526E"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El artículo 68 de la Ley 489 de 1998 sobre este sector preceptúa: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footnote>
  <w:footnote w:id="52">
    <w:p w14:paraId="226B2486"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Rodríguez Libardo, Derecho Administrativo, general y colombiano, Editorial Temis, (2015), Bogotá, Colombia, p. 160.</w:t>
      </w:r>
    </w:p>
  </w:footnote>
  <w:footnote w:id="53">
    <w:p w14:paraId="0364E500" w14:textId="77777777" w:rsidR="009B3A66" w:rsidRDefault="00C01898">
      <w:pP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Pr>
          <w:rFonts w:ascii="Arial" w:eastAsia="Arial" w:hAnsi="Arial" w:cs="Arial"/>
          <w:color w:val="000000"/>
          <w:sz w:val="19"/>
          <w:szCs w:val="19"/>
          <w:highlight w:val="white"/>
        </w:rPr>
        <w:t>las que surgen por la voluntad asociativa de los entes públicos entre sí o con la intervención de particulares, previa autorización legal» (Concepto del 26 de octubre de 2000, Rad. 1291, M.P. Augusto Trejos Jaramillo).</w:t>
      </w:r>
    </w:p>
  </w:footnote>
  <w:footnote w:id="54">
    <w:p w14:paraId="50B1ECF1"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Ver, Tafur Galvis Álvaro, las entidades descentralizadas, Bogotá, Editorial, Montoya y Araujo, (1984), p. 205. </w:t>
      </w:r>
    </w:p>
  </w:footnote>
  <w:footnote w:id="55">
    <w:p w14:paraId="54DBBF61"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Sala de Consulta y Servicio Civil, Concepto Rad 1291, Ob. Cit. </w:t>
      </w:r>
    </w:p>
  </w:footnote>
  <w:footnote w:id="56">
    <w:p w14:paraId="0D49C050"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Corte Constitucional, Sentencia C-374 del 25 de agosto de 1994, M.P. Jorge Arango Mejía. </w:t>
      </w:r>
    </w:p>
  </w:footnote>
  <w:footnote w:id="57">
    <w:p w14:paraId="616368E5"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i/>
          <w:color w:val="000000"/>
          <w:sz w:val="19"/>
          <w:szCs w:val="19"/>
        </w:rPr>
        <w:t>Ibid.</w:t>
      </w:r>
    </w:p>
  </w:footnote>
  <w:footnote w:id="58">
    <w:p w14:paraId="3DBBFCFF"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«ARTICULO 113. Son Ramas del Poder Público, la legislativa, la ejecutiva, y la judicial. Además de los órganos que las integran existen otros, autónomos e independientes, para el cumplimiento de las demás funciones del Estado. Los diferentes órganos del Estado tienen funciones separadas pero colaboran armónicamente para la realización de sus fines.»</w:t>
      </w:r>
    </w:p>
  </w:footnote>
  <w:footnote w:id="59">
    <w:p w14:paraId="6FE59A60"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Registraduría Nacional del Estado Civil, Resolución 2098 del 12 de marzo de 2021, mediante la cual «se fija el calendario electoral del Congreso de la República que se realizarán el 13 de marzo». </w:t>
      </w:r>
    </w:p>
  </w:footnote>
  <w:footnote w:id="60">
    <w:p w14:paraId="5660499D" w14:textId="7AE579D6"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Registraduría Nacional del Estado Civil, Resolución 4371 del 18 de mayo de 2021, «por la cual se fija el calendario electoral para las elecciones de Presidente y Vicepresidente de la República (primera vuelta) para el periodo constitucional 2022-2026.</w:t>
      </w:r>
    </w:p>
  </w:footnote>
  <w:footnote w:id="61">
    <w:p w14:paraId="46F4E5E0"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p>
    <w:p w14:paraId="3C23940C"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3BF369C0"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w:t>
      </w:r>
    </w:p>
    <w:p w14:paraId="042CB8FB" w14:textId="77777777" w:rsidR="009B3A66" w:rsidRDefault="009B3A66">
      <w:pPr>
        <w:pBdr>
          <w:top w:val="nil"/>
          <w:left w:val="nil"/>
          <w:bottom w:val="nil"/>
          <w:right w:val="nil"/>
          <w:between w:val="nil"/>
        </w:pBdr>
        <w:ind w:firstLine="709"/>
        <w:jc w:val="both"/>
        <w:rPr>
          <w:rFonts w:ascii="Arial" w:eastAsia="Arial" w:hAnsi="Arial" w:cs="Arial"/>
          <w:color w:val="000000"/>
          <w:sz w:val="19"/>
          <w:szCs w:val="19"/>
        </w:rPr>
      </w:pPr>
    </w:p>
  </w:footnote>
  <w:footnote w:id="62">
    <w:p w14:paraId="42C11A93" w14:textId="77777777" w:rsidR="009B3A66" w:rsidRDefault="00C0189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Magistrado Ponente: Alejandro Linares Cantillo.</w:t>
      </w:r>
    </w:p>
    <w:p w14:paraId="05254562" w14:textId="77777777" w:rsidR="009B3A66" w:rsidRDefault="009B3A66">
      <w:pPr>
        <w:pBdr>
          <w:top w:val="nil"/>
          <w:left w:val="nil"/>
          <w:bottom w:val="nil"/>
          <w:right w:val="nil"/>
          <w:between w:val="nil"/>
        </w:pBdr>
        <w:ind w:firstLine="708"/>
        <w:jc w:val="both"/>
        <w:rPr>
          <w:rFonts w:ascii="Arial" w:eastAsia="Arial" w:hAnsi="Arial" w:cs="Arial"/>
          <w:color w:val="000000"/>
          <w:sz w:val="19"/>
          <w:szCs w:val="19"/>
        </w:rPr>
      </w:pPr>
    </w:p>
  </w:footnote>
  <w:footnote w:id="63">
    <w:p w14:paraId="01E37B20" w14:textId="77777777" w:rsidR="009B3A66" w:rsidRDefault="00C01898">
      <w:pP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(CONSEJO DE ESTADO. Sección Tercera. Sentencia del 27 de abril de 2006. Rad. 5.229. C.P. Ramiro Saavedra Becerra). </w:t>
      </w:r>
    </w:p>
  </w:footnote>
  <w:footnote w:id="64">
    <w:p w14:paraId="0EF728C9"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vertAlign w:val="superscript"/>
        </w:rPr>
        <w:footnoteRef/>
      </w:r>
    </w:p>
    <w:p w14:paraId="3AE4564D" w14:textId="77777777" w:rsidR="009B3A66" w:rsidRDefault="00C01898">
      <w:pPr>
        <w:pBdr>
          <w:top w:val="nil"/>
          <w:left w:val="nil"/>
          <w:bottom w:val="nil"/>
          <w:right w:val="nil"/>
          <w:between w:val="nil"/>
        </w:pBdr>
        <w:ind w:firstLine="709"/>
        <w:jc w:val="both"/>
        <w:rPr>
          <w:rFonts w:ascii="Arial" w:eastAsia="Arial" w:hAnsi="Arial" w:cs="Arial"/>
          <w:color w:val="000000"/>
          <w:sz w:val="19"/>
          <w:szCs w:val="19"/>
        </w:rPr>
      </w:pPr>
      <w:r>
        <w:rPr>
          <w:rFonts w:ascii="Arial" w:eastAsia="Arial" w:hAnsi="Arial" w:cs="Arial"/>
          <w:color w:val="000000"/>
          <w:sz w:val="19"/>
          <w:szCs w:val="19"/>
        </w:rPr>
        <w:t xml:space="preserve"> CORTE CONSTITUCIONAL. Sentencia C-772 de 1998. M.P. Fabio Morón Díaz.</w:t>
      </w:r>
    </w:p>
  </w:footnote>
  <w:footnote w:id="65">
    <w:p w14:paraId="64CFAA0D" w14:textId="77777777" w:rsidR="009B3A66" w:rsidRDefault="00C01898">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Disponible en: https://relatoria.colombiacompra.gov.co/ficha/C-259%20de%202021</w:t>
      </w:r>
      <w:r>
        <w:rPr>
          <w:rFonts w:ascii="Arial" w:eastAsia="Arial" w:hAnsi="Arial" w:cs="Arial"/>
          <w:color w:val="000000"/>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1A4A3" w14:textId="77777777" w:rsidR="009B3A66" w:rsidRDefault="00C01898">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3F03A688" wp14:editId="0A188068">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66"/>
    <w:rsid w:val="008733DF"/>
    <w:rsid w:val="008E5CEA"/>
    <w:rsid w:val="009B3A66"/>
    <w:rsid w:val="00A8190B"/>
    <w:rsid w:val="00A96608"/>
    <w:rsid w:val="00B94298"/>
    <w:rsid w:val="00C01898"/>
    <w:rsid w:val="00F67D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05AF8"/>
  <w15:docId w15:val="{E6845EB0-BC12-5C44-B6C7-E6EE3F93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5AC2ED8-D887-446A-B269-3DB3BA64D114}">
  <ds:schemaRefs>
    <ds:schemaRef ds:uri="http://schemas.microsoft.com/sharepoint/v3/contenttype/forms"/>
  </ds:schemaRefs>
</ds:datastoreItem>
</file>

<file path=customXml/itemProps2.xml><?xml version="1.0" encoding="utf-8"?>
<ds:datastoreItem xmlns:ds="http://schemas.openxmlformats.org/officeDocument/2006/customXml" ds:itemID="{443F1C9A-099C-4BE5-8A48-42AE389F2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2AF36B-EA64-4384-97BA-8E6DEBE8AF4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49</Pages>
  <Words>18415</Words>
  <Characters>101286</Characters>
  <Application>Microsoft Office Word</Application>
  <DocSecurity>0</DocSecurity>
  <Lines>844</Lines>
  <Paragraphs>238</Paragraphs>
  <ScaleCrop>false</ScaleCrop>
  <Company/>
  <LinksUpToDate>false</LinksUpToDate>
  <CharactersWithSpaces>119463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MORALES</dc:creator>
  <cp:lastModifiedBy>Jorge Eliecer Moran Buitrón</cp:lastModifiedBy>
  <cp:revision>3</cp:revision>
  <dcterms:created xsi:type="dcterms:W3CDTF">2022-02-14T20:32:00Z</dcterms:created>
  <dcterms:modified xsi:type="dcterms:W3CDTF">2022-04-21T15:05:00Z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