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3DF3E" w14:textId="77777777" w:rsidR="004F06D5" w:rsidRPr="00C02598" w:rsidRDefault="004F06D5" w:rsidP="004F06D5">
      <w:pPr>
        <w:jc w:val="both"/>
        <w:rPr>
          <w:rFonts w:ascii="Geomanist Light" w:eastAsia="Calibri" w:hAnsi="Geomanist Light" w:cs="Arial"/>
          <w:b/>
          <w:sz w:val="16"/>
          <w:szCs w:val="16"/>
          <w:lang w:eastAsia="en-US"/>
        </w:rPr>
      </w:pPr>
      <w:bookmarkStart w:id="0" w:name="_Hlk52928496"/>
    </w:p>
    <w:bookmarkEnd w:id="0"/>
    <w:p w14:paraId="34084A6E" w14:textId="77777777" w:rsidR="004F06D5" w:rsidRPr="00C02598" w:rsidRDefault="004F06D5" w:rsidP="004F06D5">
      <w:pPr>
        <w:jc w:val="both"/>
        <w:rPr>
          <w:rFonts w:ascii="Geomanist Light" w:eastAsia="Calibri" w:hAnsi="Geomanist Light" w:cs="Arial"/>
          <w:b/>
          <w:sz w:val="22"/>
          <w:szCs w:val="22"/>
          <w:lang w:eastAsia="en-US"/>
        </w:rPr>
      </w:pPr>
    </w:p>
    <w:p w14:paraId="3D1C3002" w14:textId="77777777" w:rsidR="004F06D5" w:rsidRPr="00C02598" w:rsidRDefault="004F06D5" w:rsidP="004F06D5">
      <w:pPr>
        <w:jc w:val="both"/>
        <w:rPr>
          <w:rFonts w:ascii="Geomanist Light" w:eastAsia="Calibri" w:hAnsi="Geomanist Light" w:cs="Arial"/>
          <w:b/>
          <w:sz w:val="22"/>
          <w:szCs w:val="22"/>
          <w:lang w:eastAsia="en-US"/>
        </w:rPr>
      </w:pPr>
      <w:r w:rsidRPr="00C02598">
        <w:rPr>
          <w:rFonts w:ascii="Geomanist Light" w:eastAsia="Calibri" w:hAnsi="Geomanist Light" w:cs="Arial"/>
          <w:b/>
          <w:bCs/>
          <w:sz w:val="22"/>
          <w:lang w:val="es-ES_tradnl"/>
        </w:rPr>
        <w:t>DOCUMENTOS TIPO – Infraestructura social – Sector educativo</w:t>
      </w:r>
    </w:p>
    <w:p w14:paraId="7D6A9297" w14:textId="77777777" w:rsidR="004F06D5" w:rsidRPr="00C02598" w:rsidRDefault="004F06D5" w:rsidP="004F06D5">
      <w:pPr>
        <w:jc w:val="both"/>
        <w:rPr>
          <w:rFonts w:ascii="Geomanist Light" w:eastAsia="Calibri" w:hAnsi="Geomanist Light" w:cs="Arial"/>
          <w:sz w:val="20"/>
          <w:szCs w:val="20"/>
          <w:lang w:eastAsia="en-US"/>
        </w:rPr>
      </w:pPr>
    </w:p>
    <w:p w14:paraId="7C86B133" w14:textId="441DF27F" w:rsidR="004F06D5" w:rsidRPr="00C02598" w:rsidRDefault="004F06D5" w:rsidP="004F06D5">
      <w:pPr>
        <w:jc w:val="both"/>
        <w:rPr>
          <w:rFonts w:ascii="Geomanist Light" w:eastAsia="Calibri" w:hAnsi="Geomanist Light" w:cs="Arial"/>
          <w:bCs/>
          <w:sz w:val="20"/>
          <w:szCs w:val="20"/>
          <w:lang w:val="es-ES"/>
        </w:rPr>
      </w:pPr>
      <w:bookmarkStart w:id="1" w:name="_Hlk95323774"/>
      <w:bookmarkStart w:id="2" w:name="_Hlk95405798"/>
      <w:r w:rsidRPr="00C02598">
        <w:rPr>
          <w:rFonts w:ascii="Geomanist Light" w:eastAsia="Calibri" w:hAnsi="Geomanist Light" w:cs="Arial"/>
          <w:bCs/>
          <w:sz w:val="20"/>
          <w:szCs w:val="20"/>
          <w:lang w:val="es-ES"/>
        </w:rPr>
        <w:t xml:space="preserve">[…] </w:t>
      </w:r>
      <w:r w:rsidR="005D0A7C" w:rsidRPr="005D0A7C">
        <w:rPr>
          <w:rFonts w:ascii="Geomanist Light" w:hAnsi="Geomanist Light" w:cs="Arial"/>
          <w:sz w:val="20"/>
          <w:szCs w:val="22"/>
          <w:lang w:val="es-ES"/>
        </w:rPr>
        <w:t xml:space="preserve">en materia de infraestructura social debe tenerse en cuenta que existen dos (2) clases de documentos tipo que se integran en cada proceso:  i) los documentos </w:t>
      </w:r>
      <w:r w:rsidR="005D0A7C" w:rsidRPr="005D0A7C">
        <w:rPr>
          <w:rFonts w:ascii="Geomanist Light" w:hAnsi="Geomanist Light" w:cs="Arial"/>
          <w:i/>
          <w:sz w:val="20"/>
          <w:szCs w:val="22"/>
          <w:lang w:val="es-ES"/>
        </w:rPr>
        <w:t>transversales</w:t>
      </w:r>
      <w:r w:rsidR="005D0A7C" w:rsidRPr="005D0A7C">
        <w:rPr>
          <w:rFonts w:ascii="Geomanist Light" w:hAnsi="Geomanist Light" w:cs="Arial"/>
          <w:sz w:val="20"/>
          <w:szCs w:val="22"/>
          <w:lang w:val="es-ES"/>
        </w:rPr>
        <w:t xml:space="preserve"> a todos los sectores de infraestructura social, es decir, el documento base, los anexos, los formatos, los formularios y las matrices adoptados mediante la Resolución No. 219 de 2021; y ii) los documentos tipo </w:t>
      </w:r>
      <w:r w:rsidR="005D0A7C" w:rsidRPr="005D0A7C">
        <w:rPr>
          <w:rFonts w:ascii="Geomanist Light" w:hAnsi="Geomanist Light" w:cs="Arial"/>
          <w:i/>
          <w:sz w:val="20"/>
          <w:szCs w:val="22"/>
          <w:lang w:val="es-ES"/>
        </w:rPr>
        <w:t>complementarios</w:t>
      </w:r>
      <w:r w:rsidR="005D0A7C" w:rsidRPr="005D0A7C">
        <w:rPr>
          <w:rFonts w:ascii="Geomanist Light" w:hAnsi="Geomanist Light" w:cs="Arial"/>
          <w:iCs/>
          <w:sz w:val="20"/>
          <w:szCs w:val="22"/>
          <w:lang w:val="es-ES"/>
        </w:rPr>
        <w:t>,</w:t>
      </w:r>
      <w:r w:rsidR="005D0A7C" w:rsidRPr="005D0A7C">
        <w:rPr>
          <w:rFonts w:ascii="Geomanist Light" w:hAnsi="Geomanist Light" w:cs="Arial"/>
          <w:i/>
          <w:sz w:val="20"/>
          <w:szCs w:val="22"/>
          <w:lang w:val="es-ES"/>
        </w:rPr>
        <w:t xml:space="preserve"> </w:t>
      </w:r>
      <w:r w:rsidR="005D0A7C" w:rsidRPr="005D0A7C">
        <w:rPr>
          <w:rFonts w:ascii="Geomanist Light" w:hAnsi="Geomanist Light" w:cs="Arial"/>
          <w:sz w:val="20"/>
          <w:szCs w:val="22"/>
          <w:lang w:val="es-ES"/>
        </w:rPr>
        <w:t>referentes a la matriz de experiencia y el glosario, los cuales han sido adoptados en la resolución para cada sector específico</w:t>
      </w:r>
      <w:r w:rsidR="005D0A7C" w:rsidRPr="00C02598">
        <w:rPr>
          <w:rFonts w:ascii="Geomanist Light" w:hAnsi="Geomanist Light" w:cs="Arial"/>
          <w:sz w:val="22"/>
          <w:lang w:val="es-ES"/>
        </w:rPr>
        <w:t>.</w:t>
      </w:r>
      <w:r w:rsidRPr="00C02598">
        <w:rPr>
          <w:rFonts w:ascii="Geomanist Light" w:eastAsia="Calibri" w:hAnsi="Geomanist Light" w:cs="Arial"/>
          <w:bCs/>
          <w:sz w:val="20"/>
          <w:szCs w:val="20"/>
          <w:lang w:val="es-ES"/>
        </w:rPr>
        <w:t>.</w:t>
      </w:r>
    </w:p>
    <w:p w14:paraId="5648E597" w14:textId="77777777" w:rsidR="004F06D5" w:rsidRPr="00C02598" w:rsidRDefault="004F06D5" w:rsidP="004F06D5">
      <w:pPr>
        <w:jc w:val="both"/>
        <w:rPr>
          <w:rFonts w:ascii="Geomanist Light" w:eastAsia="Calibri" w:hAnsi="Geomanist Light" w:cs="Arial"/>
          <w:bCs/>
          <w:sz w:val="20"/>
          <w:szCs w:val="20"/>
        </w:rPr>
      </w:pPr>
    </w:p>
    <w:p w14:paraId="288A4548" w14:textId="4ABEF685" w:rsidR="004F06D5" w:rsidRDefault="004F06D5" w:rsidP="004F06D5">
      <w:pPr>
        <w:jc w:val="both"/>
        <w:rPr>
          <w:rFonts w:ascii="Geomanist Light" w:eastAsia="Calibri" w:hAnsi="Geomanist Light" w:cs="Arial"/>
          <w:bCs/>
          <w:sz w:val="20"/>
          <w:szCs w:val="20"/>
          <w:lang w:val="es-ES"/>
        </w:rPr>
      </w:pPr>
      <w:r w:rsidRPr="00C02598">
        <w:rPr>
          <w:rFonts w:ascii="Geomanist Light" w:eastAsia="Calibri" w:hAnsi="Geomanist Light" w:cs="Arial"/>
          <w:bCs/>
          <w:sz w:val="20"/>
          <w:szCs w:val="20"/>
          <w:lang w:val="es-ES"/>
        </w:rPr>
        <w:t xml:space="preserve">[…] </w:t>
      </w:r>
      <w:r w:rsidR="005D0A7C" w:rsidRPr="005D0A7C">
        <w:rPr>
          <w:rFonts w:ascii="Geomanist Light" w:eastAsia="Calibri" w:hAnsi="Geomanist Light" w:cs="Arial"/>
          <w:bCs/>
          <w:sz w:val="20"/>
          <w:szCs w:val="20"/>
          <w:lang w:val="es-ES"/>
        </w:rPr>
        <w:t xml:space="preserve">En tal sentido, el 6 de agosto de 2021, se adoptaron los documentos tipo complementarios para los procesos de licitación de obra pública de infraestructura social relacionados con el </w:t>
      </w:r>
      <w:r w:rsidR="005D0A7C" w:rsidRPr="005D0A7C">
        <w:rPr>
          <w:rFonts w:ascii="Geomanist Light" w:eastAsia="Calibri" w:hAnsi="Geomanist Light" w:cs="Arial"/>
          <w:bCs/>
          <w:i/>
          <w:iCs/>
          <w:sz w:val="20"/>
          <w:szCs w:val="20"/>
          <w:lang w:val="es-ES"/>
        </w:rPr>
        <w:t>sector educ</w:t>
      </w:r>
      <w:r w:rsidR="005D0A7C" w:rsidRPr="005D0A7C">
        <w:rPr>
          <w:rFonts w:ascii="Geomanist Light" w:eastAsia="Calibri" w:hAnsi="Geomanist Light" w:cs="Arial"/>
          <w:bCs/>
          <w:i/>
          <w:sz w:val="20"/>
          <w:szCs w:val="20"/>
          <w:lang w:val="es-ES"/>
        </w:rPr>
        <w:t xml:space="preserve">ativo, </w:t>
      </w:r>
      <w:r w:rsidR="005D0A7C" w:rsidRPr="005D0A7C">
        <w:rPr>
          <w:rFonts w:ascii="Geomanist Light" w:eastAsia="Calibri" w:hAnsi="Geomanist Light" w:cs="Arial"/>
          <w:bCs/>
          <w:sz w:val="20"/>
          <w:szCs w:val="20"/>
          <w:lang w:val="es-ES"/>
        </w:rPr>
        <w:t>mediante la Resolución No. 220 de 2021. Esta Resolución, en el artículo 2, desarrolla el «Anexo -Glosario Sector Educativo» y la «Matriz -Experiencia Sector Educativo», lo que significa que estos documentos definen el alcance para ese sector específicamente</w:t>
      </w:r>
      <w:r w:rsidR="005D0A7C">
        <w:rPr>
          <w:rFonts w:ascii="Geomanist Light" w:eastAsia="Calibri" w:hAnsi="Geomanist Light" w:cs="Arial"/>
          <w:bCs/>
          <w:sz w:val="20"/>
          <w:szCs w:val="20"/>
          <w:lang w:val="es-ES"/>
        </w:rPr>
        <w:t>.</w:t>
      </w:r>
    </w:p>
    <w:p w14:paraId="1B042CE7" w14:textId="77777777" w:rsidR="005D0A7C" w:rsidRPr="00C02598" w:rsidRDefault="005D0A7C" w:rsidP="004F06D5">
      <w:pPr>
        <w:jc w:val="both"/>
        <w:rPr>
          <w:rFonts w:ascii="Geomanist Light" w:eastAsia="Calibri" w:hAnsi="Geomanist Light" w:cs="Arial"/>
          <w:b/>
          <w:sz w:val="22"/>
          <w:highlight w:val="yellow"/>
          <w:lang w:val="es-ES_tradnl"/>
        </w:rPr>
      </w:pPr>
    </w:p>
    <w:p w14:paraId="5B90B54B" w14:textId="77777777" w:rsidR="004F06D5" w:rsidRPr="00C02598" w:rsidRDefault="004F06D5" w:rsidP="004F06D5">
      <w:pPr>
        <w:jc w:val="both"/>
        <w:rPr>
          <w:rFonts w:ascii="Geomanist Light" w:eastAsia="Calibri" w:hAnsi="Geomanist Light" w:cs="Arial"/>
          <w:b/>
          <w:sz w:val="22"/>
          <w:lang w:val="es-ES_tradnl"/>
        </w:rPr>
      </w:pPr>
      <w:r w:rsidRPr="00C02598">
        <w:rPr>
          <w:rFonts w:ascii="Geomanist Light" w:eastAsia="Calibri" w:hAnsi="Geomanist Light" w:cs="Arial"/>
          <w:b/>
          <w:sz w:val="22"/>
          <w:lang w:val="es-ES_tradnl"/>
        </w:rPr>
        <w:t>MATRIZ DE EXPERIENCIA Y GLOSARIO – Infraestructura social – Alcance – Sector educativo</w:t>
      </w:r>
    </w:p>
    <w:p w14:paraId="5987EBCA" w14:textId="77777777" w:rsidR="004F06D5" w:rsidRPr="00C02598" w:rsidRDefault="004F06D5" w:rsidP="004F06D5">
      <w:pPr>
        <w:jc w:val="both"/>
        <w:rPr>
          <w:rFonts w:ascii="Geomanist Light" w:eastAsia="Calibri" w:hAnsi="Geomanist Light" w:cs="Arial"/>
          <w:sz w:val="20"/>
          <w:szCs w:val="20"/>
          <w:lang w:val="es-ES_tradnl"/>
        </w:rPr>
      </w:pPr>
    </w:p>
    <w:bookmarkEnd w:id="1"/>
    <w:bookmarkEnd w:id="2"/>
    <w:p w14:paraId="5EF91E0B" w14:textId="77777777" w:rsidR="005D0A7C" w:rsidRPr="005D0A7C" w:rsidRDefault="005D0A7C" w:rsidP="005D0A7C">
      <w:pPr>
        <w:spacing w:line="276" w:lineRule="auto"/>
        <w:jc w:val="both"/>
        <w:rPr>
          <w:rFonts w:ascii="Geomanist Light" w:eastAsia="Calibri" w:hAnsi="Geomanist Light" w:cs="Arial"/>
          <w:sz w:val="20"/>
          <w:szCs w:val="20"/>
          <w:lang w:val="es-ES" w:eastAsia="es-CO"/>
        </w:rPr>
      </w:pPr>
      <w:r w:rsidRPr="005D0A7C">
        <w:rPr>
          <w:rFonts w:ascii="Geomanist Light" w:eastAsia="Calibri" w:hAnsi="Geomanist Light" w:cs="Arial"/>
          <w:sz w:val="20"/>
          <w:szCs w:val="20"/>
          <w:lang w:val="es-ES" w:eastAsia="es-CO"/>
        </w:rPr>
        <w:t>La «Matriz -Experiencia Sector Educativo», de los documentos tipo complementarios que se adoptaron con la Resolución 220 del 6 de agosto de 2021</w:t>
      </w:r>
      <w:r w:rsidRPr="005D0A7C">
        <w:rPr>
          <w:rFonts w:ascii="Geomanist Light" w:eastAsia="Calibri" w:hAnsi="Geomanist Light" w:cs="Arial"/>
          <w:sz w:val="20"/>
          <w:szCs w:val="20"/>
          <w:lang w:eastAsia="es-CO"/>
        </w:rPr>
        <w:t xml:space="preserve"> y las modificaciones efectuadas por la Resolución 275 de 2022, </w:t>
      </w:r>
      <w:r w:rsidRPr="005D0A7C">
        <w:rPr>
          <w:rFonts w:ascii="Geomanist Light" w:eastAsia="Calibri" w:hAnsi="Geomanist Light" w:cs="Arial"/>
          <w:sz w:val="20"/>
          <w:szCs w:val="20"/>
          <w:lang w:val="es-ES" w:eastAsia="es-CO"/>
        </w:rPr>
        <w:t xml:space="preserve">aplica a cuatro (4) tipos de obras: i) obras en infraestructura vertical en instituciones educativas, ii) obras en infraestructura recreo-deportiva y cultural en instituciones educativas, iii) obras en vías de acceso y/o parqueaderos y/o zonas de circulación –vehicular y/o peatonal– en instituciones educativas y iv) obras en bibliotecas públicas. </w:t>
      </w:r>
    </w:p>
    <w:p w14:paraId="3C2E095C" w14:textId="77777777" w:rsidR="004F06D5" w:rsidRPr="00C02598" w:rsidRDefault="004F06D5" w:rsidP="004F06D5">
      <w:pPr>
        <w:spacing w:line="276" w:lineRule="auto"/>
        <w:jc w:val="both"/>
        <w:rPr>
          <w:rFonts w:ascii="Geomanist Light" w:eastAsia="Calibri" w:hAnsi="Geomanist Light" w:cs="Arial"/>
          <w:b/>
          <w:sz w:val="22"/>
        </w:rPr>
      </w:pPr>
    </w:p>
    <w:p w14:paraId="4D29D4B4" w14:textId="77777777" w:rsidR="004F06D5" w:rsidRPr="00C02598" w:rsidRDefault="004F06D5" w:rsidP="004F06D5">
      <w:pPr>
        <w:jc w:val="both"/>
        <w:rPr>
          <w:rFonts w:ascii="Geomanist Light" w:eastAsia="Calibri" w:hAnsi="Geomanist Light" w:cs="Arial"/>
          <w:color w:val="000000"/>
          <w:sz w:val="20"/>
          <w:szCs w:val="20"/>
        </w:rPr>
      </w:pPr>
      <w:r w:rsidRPr="00C02598">
        <w:rPr>
          <w:rFonts w:ascii="Calibri" w:eastAsia="Calibri" w:hAnsi="Calibri" w:cs="Calibri"/>
          <w:color w:val="000000"/>
          <w:sz w:val="20"/>
          <w:szCs w:val="20"/>
        </w:rPr>
        <w:t> </w:t>
      </w:r>
      <w:r w:rsidRPr="00C02598">
        <w:rPr>
          <w:rFonts w:ascii="Geomanist Light" w:eastAsia="Calibri" w:hAnsi="Geomanist Light" w:cs="Arial"/>
          <w:color w:val="000000"/>
          <w:sz w:val="20"/>
          <w:szCs w:val="20"/>
        </w:rPr>
        <w:t xml:space="preserve"> </w:t>
      </w:r>
      <w:r w:rsidRPr="00C02598">
        <w:rPr>
          <w:rFonts w:ascii="Calibri" w:eastAsia="Calibri" w:hAnsi="Calibri" w:cs="Calibri"/>
          <w:color w:val="000000"/>
          <w:sz w:val="20"/>
          <w:szCs w:val="20"/>
        </w:rPr>
        <w:t> </w:t>
      </w:r>
      <w:r w:rsidRPr="00C02598">
        <w:rPr>
          <w:rFonts w:ascii="Geomanist Light" w:eastAsia="Calibri" w:hAnsi="Geomanist Light" w:cs="Arial"/>
          <w:color w:val="000000"/>
          <w:sz w:val="20"/>
          <w:szCs w:val="20"/>
        </w:rPr>
        <w:t xml:space="preserve"> </w:t>
      </w:r>
      <w:r w:rsidRPr="00C02598">
        <w:rPr>
          <w:rFonts w:ascii="Calibri" w:eastAsia="Calibri" w:hAnsi="Calibri" w:cs="Calibri"/>
          <w:color w:val="000000"/>
          <w:sz w:val="20"/>
          <w:szCs w:val="20"/>
        </w:rPr>
        <w:t> </w:t>
      </w:r>
      <w:r w:rsidRPr="00C02598">
        <w:rPr>
          <w:rFonts w:ascii="Geomanist Light" w:eastAsia="Calibri" w:hAnsi="Geomanist Light" w:cs="Arial"/>
          <w:color w:val="000000"/>
          <w:sz w:val="20"/>
          <w:szCs w:val="20"/>
        </w:rPr>
        <w:t xml:space="preserve"> </w:t>
      </w:r>
      <w:r w:rsidRPr="00C02598">
        <w:rPr>
          <w:rFonts w:ascii="Calibri" w:eastAsia="Calibri" w:hAnsi="Calibri" w:cs="Calibri"/>
          <w:color w:val="000000"/>
          <w:sz w:val="20"/>
          <w:szCs w:val="20"/>
        </w:rPr>
        <w:t> </w:t>
      </w:r>
    </w:p>
    <w:p w14:paraId="58D1E5C4" w14:textId="77777777" w:rsidR="004F06D5" w:rsidRPr="00C02598" w:rsidRDefault="004F06D5" w:rsidP="004F06D5">
      <w:pPr>
        <w:jc w:val="both"/>
        <w:rPr>
          <w:rFonts w:ascii="Geomanist Light" w:eastAsia="Calibri" w:hAnsi="Geomanist Light" w:cs="Arial"/>
          <w:sz w:val="20"/>
          <w:szCs w:val="20"/>
        </w:rPr>
      </w:pPr>
    </w:p>
    <w:p w14:paraId="07686B05" w14:textId="77777777" w:rsidR="004F06D5" w:rsidRPr="00C02598" w:rsidRDefault="004F06D5" w:rsidP="004F06D5">
      <w:pPr>
        <w:jc w:val="both"/>
        <w:rPr>
          <w:rFonts w:ascii="Geomanist Light" w:eastAsia="Calibri" w:hAnsi="Geomanist Light" w:cs="Arial"/>
          <w:sz w:val="20"/>
          <w:szCs w:val="20"/>
        </w:rPr>
      </w:pPr>
    </w:p>
    <w:p w14:paraId="4BDE57FC" w14:textId="77777777" w:rsidR="004F06D5" w:rsidRPr="00C02598" w:rsidRDefault="004F06D5" w:rsidP="004F06D5">
      <w:pPr>
        <w:jc w:val="both"/>
        <w:rPr>
          <w:rFonts w:ascii="Geomanist Light" w:eastAsia="Calibri" w:hAnsi="Geomanist Light" w:cs="Arial"/>
          <w:sz w:val="20"/>
          <w:szCs w:val="20"/>
        </w:rPr>
      </w:pPr>
    </w:p>
    <w:p w14:paraId="2BE24F17" w14:textId="41B7EE14" w:rsidR="004F06D5" w:rsidRPr="00C02598" w:rsidRDefault="004F06D5" w:rsidP="004F06D5">
      <w:pPr>
        <w:jc w:val="right"/>
        <w:rPr>
          <w:rFonts w:ascii="Geomanist Light" w:hAnsi="Geomanist Light"/>
          <w:noProof/>
        </w:rPr>
      </w:pPr>
    </w:p>
    <w:p w14:paraId="48354810" w14:textId="26406C12" w:rsidR="004F06D5" w:rsidRPr="00C02598" w:rsidRDefault="004F06D5" w:rsidP="004F06D5">
      <w:pPr>
        <w:jc w:val="right"/>
        <w:rPr>
          <w:rFonts w:ascii="Geomanist Light" w:hAnsi="Geomanist Light"/>
          <w:noProof/>
        </w:rPr>
      </w:pPr>
    </w:p>
    <w:p w14:paraId="107EAC35" w14:textId="66A13389" w:rsidR="004F06D5" w:rsidRPr="00C02598" w:rsidRDefault="004F06D5" w:rsidP="004F06D5">
      <w:pPr>
        <w:jc w:val="right"/>
        <w:rPr>
          <w:rFonts w:ascii="Geomanist Light" w:hAnsi="Geomanist Light"/>
          <w:noProof/>
        </w:rPr>
      </w:pPr>
    </w:p>
    <w:p w14:paraId="5142F725" w14:textId="11102142" w:rsidR="004F06D5" w:rsidRPr="00C02598" w:rsidRDefault="004F06D5" w:rsidP="004F06D5">
      <w:pPr>
        <w:jc w:val="right"/>
        <w:rPr>
          <w:rFonts w:ascii="Geomanist Light" w:hAnsi="Geomanist Light"/>
          <w:noProof/>
        </w:rPr>
      </w:pPr>
    </w:p>
    <w:p w14:paraId="32D89A26" w14:textId="3A9E6DFC" w:rsidR="004F06D5" w:rsidRPr="00C02598" w:rsidRDefault="004F06D5" w:rsidP="004F06D5">
      <w:pPr>
        <w:jc w:val="right"/>
        <w:rPr>
          <w:rFonts w:ascii="Geomanist Light" w:hAnsi="Geomanist Light"/>
          <w:noProof/>
        </w:rPr>
      </w:pPr>
    </w:p>
    <w:p w14:paraId="6AEE2FA4" w14:textId="4EA69147" w:rsidR="004F06D5" w:rsidRPr="00C02598" w:rsidRDefault="004F06D5" w:rsidP="004F06D5">
      <w:pPr>
        <w:jc w:val="right"/>
        <w:rPr>
          <w:rFonts w:ascii="Geomanist Light" w:hAnsi="Geomanist Light"/>
          <w:noProof/>
        </w:rPr>
      </w:pPr>
    </w:p>
    <w:p w14:paraId="67201D71" w14:textId="56167149" w:rsidR="004F06D5" w:rsidRPr="00C02598" w:rsidRDefault="004F06D5" w:rsidP="004F06D5">
      <w:pPr>
        <w:jc w:val="right"/>
        <w:rPr>
          <w:rFonts w:ascii="Geomanist Light" w:hAnsi="Geomanist Light"/>
          <w:noProof/>
        </w:rPr>
      </w:pPr>
    </w:p>
    <w:p w14:paraId="3604D350" w14:textId="722B7D13" w:rsidR="004F06D5" w:rsidRPr="00C02598" w:rsidRDefault="004F06D5" w:rsidP="004F06D5">
      <w:pPr>
        <w:jc w:val="right"/>
        <w:rPr>
          <w:rFonts w:ascii="Geomanist Light" w:hAnsi="Geomanist Light"/>
          <w:noProof/>
        </w:rPr>
      </w:pPr>
    </w:p>
    <w:p w14:paraId="096A3A04" w14:textId="4B406586" w:rsidR="004F06D5" w:rsidRPr="00C02598" w:rsidRDefault="004F06D5" w:rsidP="004F06D5">
      <w:pPr>
        <w:jc w:val="right"/>
        <w:rPr>
          <w:rFonts w:ascii="Geomanist Light" w:hAnsi="Geomanist Light"/>
          <w:noProof/>
        </w:rPr>
      </w:pPr>
    </w:p>
    <w:p w14:paraId="008396C2" w14:textId="533B321E" w:rsidR="004F06D5" w:rsidRPr="00C02598" w:rsidRDefault="004F06D5" w:rsidP="004F06D5">
      <w:pPr>
        <w:jc w:val="right"/>
        <w:rPr>
          <w:rFonts w:ascii="Geomanist Light" w:hAnsi="Geomanist Light"/>
          <w:noProof/>
        </w:rPr>
      </w:pPr>
    </w:p>
    <w:p w14:paraId="20FE9818" w14:textId="465BCE89" w:rsidR="004F06D5" w:rsidRPr="00C02598" w:rsidRDefault="004F06D5" w:rsidP="004F06D5">
      <w:pPr>
        <w:jc w:val="right"/>
        <w:rPr>
          <w:rFonts w:ascii="Geomanist Light" w:hAnsi="Geomanist Light"/>
          <w:noProof/>
        </w:rPr>
      </w:pPr>
    </w:p>
    <w:p w14:paraId="4B0F4086" w14:textId="232B3DF5" w:rsidR="00483871" w:rsidRPr="00C02598" w:rsidRDefault="00483871" w:rsidP="004F06D5">
      <w:pPr>
        <w:jc w:val="right"/>
        <w:rPr>
          <w:rFonts w:ascii="Geomanist Light" w:hAnsi="Geomanist Light"/>
          <w:noProof/>
        </w:rPr>
      </w:pPr>
    </w:p>
    <w:p w14:paraId="4CF49B59" w14:textId="77777777" w:rsidR="00483871" w:rsidRPr="00C02598" w:rsidRDefault="00483871" w:rsidP="004F06D5">
      <w:pPr>
        <w:jc w:val="right"/>
        <w:rPr>
          <w:rFonts w:ascii="Geomanist Light" w:hAnsi="Geomanist Light"/>
          <w:noProof/>
        </w:rPr>
      </w:pPr>
    </w:p>
    <w:p w14:paraId="264D6B53" w14:textId="77777777" w:rsidR="004F06D5" w:rsidRPr="00C02598" w:rsidRDefault="004F06D5" w:rsidP="004F06D5">
      <w:pPr>
        <w:jc w:val="right"/>
        <w:rPr>
          <w:rFonts w:ascii="Geomanist Light" w:eastAsia="Calibri" w:hAnsi="Geomanist Light" w:cs="Arial"/>
          <w:sz w:val="22"/>
          <w:szCs w:val="22"/>
        </w:rPr>
      </w:pPr>
    </w:p>
    <w:p w14:paraId="3004CCA3" w14:textId="77777777" w:rsidR="00550B57" w:rsidRPr="00550B57" w:rsidRDefault="00550B57" w:rsidP="00550B57">
      <w:pPr>
        <w:jc w:val="both"/>
        <w:rPr>
          <w:rFonts w:ascii="Geomanist Light" w:hAnsi="Geomanist Light" w:cs="Arial"/>
          <w:noProof/>
          <w:color w:val="000000" w:themeColor="text1"/>
          <w:sz w:val="22"/>
          <w:lang w:val="es-ES_tradnl"/>
        </w:rPr>
      </w:pPr>
    </w:p>
    <w:p w14:paraId="69BEFD9B" w14:textId="432B45D5" w:rsidR="00550B57" w:rsidRDefault="00550B57" w:rsidP="00550B57">
      <w:pPr>
        <w:jc w:val="both"/>
        <w:rPr>
          <w:rFonts w:ascii="Geomanist Light" w:hAnsi="Geomanist Light" w:cs="Arial"/>
          <w:noProof/>
          <w:color w:val="000000" w:themeColor="text1"/>
          <w:sz w:val="22"/>
          <w:lang w:val="es-ES_tradnl"/>
        </w:rPr>
      </w:pPr>
      <w:r w:rsidRPr="00550B57">
        <w:rPr>
          <w:rFonts w:ascii="Geomanist Light" w:hAnsi="Geomanist Light" w:cs="Arial"/>
          <w:noProof/>
          <w:color w:val="000000" w:themeColor="text1"/>
          <w:sz w:val="22"/>
          <w:lang w:val="es-ES_tradnl"/>
        </w:rPr>
        <w:t>Bogotá D.C., 3 de Noviembre de 2022</w:t>
      </w:r>
    </w:p>
    <w:p w14:paraId="1FFCC8C9" w14:textId="77777777" w:rsidR="00550B57" w:rsidRDefault="00550B57" w:rsidP="004F06D5">
      <w:pPr>
        <w:jc w:val="both"/>
        <w:rPr>
          <w:rFonts w:ascii="Geomanist Light" w:hAnsi="Geomanist Light" w:cs="Arial"/>
          <w:noProof/>
          <w:color w:val="000000" w:themeColor="text1"/>
          <w:sz w:val="22"/>
          <w:lang w:val="es-ES_tradnl"/>
        </w:rPr>
      </w:pPr>
    </w:p>
    <w:p w14:paraId="4BEF554E" w14:textId="77777777" w:rsidR="00550B57" w:rsidRDefault="00550B57" w:rsidP="004F06D5">
      <w:pPr>
        <w:jc w:val="both"/>
        <w:rPr>
          <w:rFonts w:ascii="Geomanist Light" w:hAnsi="Geomanist Light" w:cs="Arial"/>
          <w:noProof/>
          <w:color w:val="000000" w:themeColor="text1"/>
          <w:sz w:val="22"/>
          <w:lang w:val="es-ES_tradnl"/>
        </w:rPr>
      </w:pPr>
    </w:p>
    <w:p w14:paraId="2400F874" w14:textId="3FAF8788" w:rsidR="004F06D5" w:rsidRPr="00C02598" w:rsidRDefault="008F2456" w:rsidP="004F06D5">
      <w:pPr>
        <w:jc w:val="both"/>
        <w:rPr>
          <w:rFonts w:ascii="Geomanist Light" w:hAnsi="Geomanist Light" w:cs="Arial"/>
          <w:noProof/>
          <w:color w:val="000000" w:themeColor="text1"/>
          <w:sz w:val="22"/>
          <w:lang w:val="es-ES_tradnl"/>
        </w:rPr>
      </w:pPr>
      <w:r>
        <w:rPr>
          <w:noProof/>
        </w:rPr>
        <w:drawing>
          <wp:anchor distT="0" distB="0" distL="0" distR="0" simplePos="0" relativeHeight="251659264" behindDoc="0" locked="0" layoutInCell="1" allowOverlap="1" wp14:anchorId="6BCFDAFF" wp14:editId="53761529">
            <wp:simplePos x="0" y="0"/>
            <wp:positionH relativeFrom="page">
              <wp:posOffset>4421965</wp:posOffset>
            </wp:positionH>
            <wp:positionV relativeFrom="paragraph">
              <wp:posOffset>-102802</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9" cstate="print"/>
                    <a:stretch>
                      <a:fillRect/>
                    </a:stretch>
                  </pic:blipFill>
                  <pic:spPr>
                    <a:xfrm>
                      <a:off x="0" y="0"/>
                      <a:ext cx="2400300" cy="615950"/>
                    </a:xfrm>
                    <a:prstGeom prst="rect">
                      <a:avLst/>
                    </a:prstGeom>
                  </pic:spPr>
                </pic:pic>
              </a:graphicData>
            </a:graphic>
          </wp:anchor>
        </w:drawing>
      </w:r>
    </w:p>
    <w:p w14:paraId="52524570" w14:textId="0EF41316" w:rsidR="008F2456" w:rsidRDefault="008F2456" w:rsidP="004F06D5">
      <w:pPr>
        <w:spacing w:line="276" w:lineRule="auto"/>
        <w:jc w:val="both"/>
        <w:rPr>
          <w:rFonts w:ascii="Geomanist Light" w:eastAsia="Calibri" w:hAnsi="Geomanist Light" w:cs="Arial"/>
          <w:noProof/>
          <w:color w:val="000000" w:themeColor="text1"/>
          <w:sz w:val="22"/>
          <w:szCs w:val="22"/>
          <w:lang w:val="es-ES_tradnl"/>
        </w:rPr>
      </w:pPr>
    </w:p>
    <w:p w14:paraId="448CF647" w14:textId="77777777" w:rsidR="008F2456" w:rsidRDefault="008F2456" w:rsidP="004F06D5">
      <w:pPr>
        <w:spacing w:line="276" w:lineRule="auto"/>
        <w:jc w:val="both"/>
        <w:rPr>
          <w:rFonts w:ascii="Geomanist Light" w:eastAsia="Calibri" w:hAnsi="Geomanist Light" w:cs="Arial"/>
          <w:noProof/>
          <w:color w:val="000000" w:themeColor="text1"/>
          <w:sz w:val="22"/>
          <w:szCs w:val="22"/>
          <w:lang w:val="es-ES_tradnl"/>
        </w:rPr>
      </w:pPr>
    </w:p>
    <w:p w14:paraId="7EAA9EDD" w14:textId="1F5D708C" w:rsidR="00483871" w:rsidRPr="00C02598" w:rsidRDefault="00483871" w:rsidP="004F06D5">
      <w:pPr>
        <w:rPr>
          <w:rFonts w:ascii="Geomanist Light" w:hAnsi="Geomanist Light" w:cs="Arial"/>
          <w:sz w:val="22"/>
        </w:rPr>
      </w:pPr>
      <w:bookmarkStart w:id="3" w:name="_Hlk70510939"/>
    </w:p>
    <w:p w14:paraId="1FBF2875" w14:textId="4C37404D" w:rsidR="004F06D5" w:rsidRPr="00C02598" w:rsidRDefault="004F06D5" w:rsidP="004F06D5">
      <w:pPr>
        <w:rPr>
          <w:rFonts w:ascii="Geomanist Light" w:hAnsi="Geomanist Light" w:cs="Arial"/>
          <w:sz w:val="22"/>
        </w:rPr>
      </w:pPr>
      <w:bookmarkStart w:id="4" w:name="_Hlk118269263"/>
      <w:r w:rsidRPr="00C02598">
        <w:rPr>
          <w:rFonts w:ascii="Geomanist Light" w:hAnsi="Geomanist Light" w:cs="Arial"/>
          <w:sz w:val="22"/>
        </w:rPr>
        <w:t>Señora</w:t>
      </w:r>
    </w:p>
    <w:p w14:paraId="5ADB5FD5" w14:textId="14F858BC" w:rsidR="004F06D5" w:rsidRPr="00C02598" w:rsidRDefault="004F06D5" w:rsidP="004F06D5">
      <w:pPr>
        <w:rPr>
          <w:rFonts w:ascii="Geomanist Light" w:hAnsi="Geomanist Light" w:cs="Arial"/>
          <w:bCs/>
          <w:sz w:val="22"/>
        </w:rPr>
      </w:pPr>
      <w:r w:rsidRPr="00C02598">
        <w:rPr>
          <w:rFonts w:ascii="Geomanist Light" w:hAnsi="Geomanist Light" w:cs="Arial"/>
          <w:b/>
          <w:sz w:val="22"/>
        </w:rPr>
        <w:t>Marysell Barrera</w:t>
      </w:r>
    </w:p>
    <w:p w14:paraId="2CF857CE" w14:textId="11BC1F06" w:rsidR="004F06D5" w:rsidRPr="00C02598" w:rsidRDefault="004F06D5" w:rsidP="004F06D5">
      <w:pPr>
        <w:rPr>
          <w:rFonts w:ascii="Geomanist Light" w:eastAsia="Calibri" w:hAnsi="Geomanist Light" w:cs="Arial"/>
          <w:sz w:val="22"/>
          <w:szCs w:val="22"/>
        </w:rPr>
      </w:pPr>
      <w:r w:rsidRPr="00C02598">
        <w:rPr>
          <w:rFonts w:ascii="Geomanist Light" w:eastAsia="Calibri" w:hAnsi="Geomanist Light" w:cs="Arial"/>
          <w:sz w:val="22"/>
          <w:szCs w:val="22"/>
        </w:rPr>
        <w:t>Neiva, Huila.</w:t>
      </w:r>
    </w:p>
    <w:p w14:paraId="4E4D431E" w14:textId="77777777" w:rsidR="004F06D5" w:rsidRPr="00C02598" w:rsidRDefault="004F06D5" w:rsidP="004F06D5">
      <w:pPr>
        <w:rPr>
          <w:rFonts w:ascii="Geomanist Light" w:eastAsia="Calibri" w:hAnsi="Geomanist Light" w:cs="Arial"/>
          <w:sz w:val="22"/>
          <w:szCs w:val="22"/>
        </w:rPr>
      </w:pPr>
    </w:p>
    <w:p w14:paraId="0514A21B" w14:textId="77777777" w:rsidR="004F06D5" w:rsidRPr="00C02598" w:rsidRDefault="004F06D5" w:rsidP="004F06D5">
      <w:pPr>
        <w:ind w:left="2124" w:firstLine="708"/>
        <w:rPr>
          <w:rFonts w:ascii="Geomanist Light" w:hAnsi="Geomanist Light" w:cs="Arial"/>
          <w:b/>
          <w:bCs/>
          <w:sz w:val="22"/>
        </w:rPr>
      </w:pPr>
    </w:p>
    <w:p w14:paraId="039B8EE0" w14:textId="7F740035" w:rsidR="004F06D5" w:rsidRPr="00C02598" w:rsidRDefault="004F06D5" w:rsidP="004F06D5">
      <w:pPr>
        <w:ind w:left="2124" w:firstLine="708"/>
        <w:rPr>
          <w:rFonts w:ascii="Geomanist Light" w:hAnsi="Geomanist Light" w:cs="Arial"/>
          <w:b/>
          <w:bCs/>
          <w:sz w:val="22"/>
        </w:rPr>
      </w:pPr>
      <w:r w:rsidRPr="00C02598">
        <w:rPr>
          <w:rFonts w:ascii="Geomanist Light" w:hAnsi="Geomanist Light" w:cs="Arial"/>
          <w:b/>
          <w:bCs/>
          <w:sz w:val="22"/>
        </w:rPr>
        <w:t>Concepto C – 725 de 2022</w:t>
      </w:r>
    </w:p>
    <w:p w14:paraId="01C4C92C" w14:textId="77777777" w:rsidR="004F06D5" w:rsidRPr="00C02598" w:rsidRDefault="004F06D5" w:rsidP="004F06D5">
      <w:pPr>
        <w:ind w:left="2824" w:hanging="2818"/>
        <w:jc w:val="both"/>
        <w:rPr>
          <w:rFonts w:ascii="Geomanist Light" w:eastAsia="Calibri" w:hAnsi="Geomanist Light" w:cs="Arial"/>
          <w:b/>
          <w:noProof/>
          <w:sz w:val="22"/>
          <w:szCs w:val="22"/>
          <w:lang w:eastAsia="en-US"/>
        </w:rPr>
      </w:pPr>
    </w:p>
    <w:p w14:paraId="75664D63" w14:textId="2C4B6BFA" w:rsidR="004F06D5" w:rsidRPr="00C02598" w:rsidRDefault="004F06D5" w:rsidP="004F06D5">
      <w:pPr>
        <w:spacing w:after="120"/>
        <w:ind w:left="2824" w:hanging="2818"/>
        <w:jc w:val="both"/>
        <w:rPr>
          <w:rFonts w:ascii="Geomanist Light" w:eastAsia="Calibri" w:hAnsi="Geomanist Light" w:cs="Arial"/>
          <w:bCs/>
          <w:noProof/>
          <w:sz w:val="22"/>
          <w:szCs w:val="22"/>
          <w:lang w:eastAsia="en-US"/>
        </w:rPr>
      </w:pPr>
      <w:r w:rsidRPr="00C02598">
        <w:rPr>
          <w:rFonts w:ascii="Geomanist Light" w:eastAsia="Calibri" w:hAnsi="Geomanist Light" w:cs="Arial"/>
          <w:b/>
          <w:noProof/>
          <w:sz w:val="22"/>
          <w:szCs w:val="22"/>
          <w:lang w:eastAsia="en-US"/>
        </w:rPr>
        <w:t>Temas</w:t>
      </w:r>
      <w:r w:rsidRPr="00C02598">
        <w:rPr>
          <w:rFonts w:ascii="Geomanist Light" w:eastAsia="Calibri" w:hAnsi="Geomanist Light" w:cs="Arial"/>
          <w:bCs/>
          <w:noProof/>
          <w:sz w:val="22"/>
          <w:szCs w:val="22"/>
          <w:lang w:eastAsia="en-US"/>
        </w:rPr>
        <w:t xml:space="preserve">: </w:t>
      </w:r>
      <w:r w:rsidRPr="00C02598">
        <w:rPr>
          <w:rFonts w:ascii="Geomanist Light" w:eastAsia="Calibri" w:hAnsi="Geomanist Light" w:cs="Arial"/>
          <w:bCs/>
          <w:noProof/>
          <w:sz w:val="22"/>
          <w:szCs w:val="22"/>
          <w:lang w:eastAsia="en-US"/>
        </w:rPr>
        <w:tab/>
      </w:r>
      <w:bookmarkStart w:id="5" w:name="_Hlk92205805"/>
      <w:r w:rsidRPr="00C02598">
        <w:rPr>
          <w:rFonts w:ascii="Geomanist Light" w:eastAsia="Calibri" w:hAnsi="Geomanist Light" w:cs="Arial"/>
          <w:bCs/>
          <w:sz w:val="22"/>
          <w:lang w:val="es-ES_tradnl"/>
        </w:rPr>
        <w:t xml:space="preserve">DOCUMENTOS TIPO – Infraestructura social – Sector educativo </w:t>
      </w:r>
      <w:bookmarkEnd w:id="5"/>
      <w:r w:rsidRPr="00C02598">
        <w:rPr>
          <w:rFonts w:ascii="Geomanist Light" w:eastAsia="Calibri" w:hAnsi="Geomanist Light" w:cs="Arial"/>
          <w:bCs/>
          <w:sz w:val="22"/>
          <w:lang w:val="es-ES_tradnl"/>
        </w:rPr>
        <w:t>/ MATRIZ DE EXPERIENCIA Y GLOSARIO – Alcance – Sector educativo</w:t>
      </w:r>
    </w:p>
    <w:p w14:paraId="70B3B5D7" w14:textId="1C62F810" w:rsidR="004F06D5" w:rsidRPr="00C02598" w:rsidRDefault="004F06D5" w:rsidP="004F06D5">
      <w:pPr>
        <w:ind w:left="2835" w:hanging="2835"/>
        <w:rPr>
          <w:rFonts w:ascii="Geomanist Light" w:eastAsia="Calibri" w:hAnsi="Geomanist Light" w:cs="Arial"/>
          <w:bCs/>
          <w:noProof/>
          <w:sz w:val="22"/>
          <w:szCs w:val="22"/>
          <w:lang w:eastAsia="en-US"/>
        </w:rPr>
      </w:pPr>
      <w:r w:rsidRPr="00C02598">
        <w:rPr>
          <w:rFonts w:ascii="Geomanist Light" w:eastAsia="Calibri" w:hAnsi="Geomanist Light" w:cs="Arial"/>
          <w:b/>
          <w:noProof/>
          <w:sz w:val="22"/>
          <w:szCs w:val="22"/>
          <w:lang w:eastAsia="en-US"/>
        </w:rPr>
        <w:t>Radicación</w:t>
      </w:r>
      <w:r w:rsidRPr="00C02598">
        <w:rPr>
          <w:rFonts w:ascii="Geomanist Light" w:eastAsia="Calibri" w:hAnsi="Geomanist Light" w:cs="Arial"/>
          <w:bCs/>
          <w:noProof/>
          <w:sz w:val="22"/>
          <w:szCs w:val="22"/>
          <w:lang w:eastAsia="en-US"/>
        </w:rPr>
        <w:t>:</w:t>
      </w:r>
      <w:r w:rsidRPr="00C02598">
        <w:rPr>
          <w:rFonts w:ascii="Geomanist Light" w:eastAsia="Calibri" w:hAnsi="Geomanist Light" w:cs="Arial"/>
          <w:bCs/>
          <w:noProof/>
          <w:sz w:val="22"/>
          <w:szCs w:val="22"/>
          <w:lang w:eastAsia="en-US"/>
        </w:rPr>
        <w:tab/>
        <w:t>Respuesta a consulta P20220919009423</w:t>
      </w:r>
    </w:p>
    <w:p w14:paraId="3953F902" w14:textId="77777777" w:rsidR="004F06D5" w:rsidRPr="00C02598" w:rsidRDefault="004F06D5" w:rsidP="004F06D5">
      <w:pPr>
        <w:rPr>
          <w:rFonts w:ascii="Geomanist Light" w:hAnsi="Geomanist Light" w:cs="Arial"/>
          <w:sz w:val="22"/>
        </w:rPr>
      </w:pPr>
    </w:p>
    <w:p w14:paraId="65849DF6" w14:textId="77777777" w:rsidR="004F06D5" w:rsidRPr="00C02598" w:rsidRDefault="004F06D5" w:rsidP="004F06D5">
      <w:pPr>
        <w:rPr>
          <w:rFonts w:ascii="Geomanist Light" w:hAnsi="Geomanist Light" w:cs="Arial"/>
          <w:sz w:val="22"/>
        </w:rPr>
      </w:pPr>
    </w:p>
    <w:p w14:paraId="2BACD736" w14:textId="28DFE3A1" w:rsidR="004F06D5" w:rsidRPr="00C02598" w:rsidRDefault="004F06D5" w:rsidP="004F06D5">
      <w:pPr>
        <w:spacing w:line="276" w:lineRule="auto"/>
        <w:rPr>
          <w:rFonts w:ascii="Geomanist Light" w:hAnsi="Geomanist Light" w:cs="Arial"/>
          <w:sz w:val="22"/>
        </w:rPr>
      </w:pPr>
      <w:r w:rsidRPr="00C02598">
        <w:rPr>
          <w:rFonts w:ascii="Geomanist Light" w:hAnsi="Geomanist Light" w:cs="Arial"/>
          <w:sz w:val="22"/>
        </w:rPr>
        <w:t>Estimada señora Barrera</w:t>
      </w:r>
      <w:r w:rsidRPr="00C02598">
        <w:rPr>
          <w:rFonts w:ascii="Geomanist Light" w:hAnsi="Geomanist Light" w:cs="Arial"/>
          <w:bCs/>
          <w:sz w:val="22"/>
        </w:rPr>
        <w:t>:</w:t>
      </w:r>
      <w:r w:rsidRPr="00C02598">
        <w:rPr>
          <w:rFonts w:ascii="Geomanist Light" w:hAnsi="Geomanist Light" w:cs="Arial"/>
          <w:sz w:val="22"/>
        </w:rPr>
        <w:t xml:space="preserve"> </w:t>
      </w:r>
    </w:p>
    <w:p w14:paraId="20C8FB3A" w14:textId="77777777" w:rsidR="004F06D5" w:rsidRPr="00C02598" w:rsidRDefault="004F06D5" w:rsidP="004F06D5">
      <w:pPr>
        <w:spacing w:line="276" w:lineRule="auto"/>
        <w:rPr>
          <w:rFonts w:ascii="Geomanist Light" w:hAnsi="Geomanist Light" w:cs="Arial"/>
          <w:sz w:val="22"/>
        </w:rPr>
      </w:pPr>
    </w:p>
    <w:p w14:paraId="595A93EB" w14:textId="55172A1A" w:rsidR="004F06D5" w:rsidRPr="00C02598" w:rsidRDefault="004F06D5" w:rsidP="004F06D5">
      <w:pPr>
        <w:spacing w:line="276" w:lineRule="auto"/>
        <w:jc w:val="both"/>
        <w:rPr>
          <w:rFonts w:ascii="Geomanist Light" w:hAnsi="Geomanist Light" w:cs="Arial"/>
          <w:sz w:val="22"/>
        </w:rPr>
      </w:pPr>
      <w:r w:rsidRPr="00C02598">
        <w:rPr>
          <w:rFonts w:ascii="Geomanist Light" w:hAnsi="Geomanist Light" w:cs="Arial"/>
          <w:sz w:val="22"/>
        </w:rPr>
        <w:t>En ejercicio de la competencia otorgada por el numeral 8 del artículo 11 y el numeral 5 del artículo 3 del Decreto Ley 4170 de 2011, la Agencia Nacional de Contratación Pública − Colombia Compra Eficiente responde su consulta del 19 de septiembre de 2022.</w:t>
      </w:r>
    </w:p>
    <w:p w14:paraId="02E992E3" w14:textId="77777777" w:rsidR="004F06D5" w:rsidRPr="00C02598" w:rsidRDefault="004F06D5" w:rsidP="004F06D5">
      <w:pPr>
        <w:rPr>
          <w:rFonts w:ascii="Geomanist Light" w:hAnsi="Geomanist Light" w:cs="Arial"/>
          <w:sz w:val="22"/>
        </w:rPr>
      </w:pPr>
    </w:p>
    <w:p w14:paraId="55B4D33F" w14:textId="77777777" w:rsidR="004F06D5" w:rsidRPr="00C02598" w:rsidRDefault="004F06D5" w:rsidP="004F06D5">
      <w:pPr>
        <w:rPr>
          <w:rFonts w:ascii="Geomanist Light" w:hAnsi="Geomanist Light" w:cs="Arial"/>
          <w:b/>
          <w:sz w:val="22"/>
        </w:rPr>
      </w:pPr>
      <w:r w:rsidRPr="00C02598">
        <w:rPr>
          <w:rFonts w:ascii="Geomanist Light" w:hAnsi="Geomanist Light" w:cs="Arial"/>
          <w:b/>
          <w:sz w:val="22"/>
        </w:rPr>
        <w:t xml:space="preserve">1. Problema planteado </w:t>
      </w:r>
    </w:p>
    <w:p w14:paraId="15190E5B" w14:textId="77777777" w:rsidR="004F06D5" w:rsidRPr="00C02598" w:rsidRDefault="004F06D5" w:rsidP="004F06D5">
      <w:pPr>
        <w:rPr>
          <w:rFonts w:ascii="Geomanist Light" w:hAnsi="Geomanist Light" w:cs="Arial"/>
          <w:b/>
          <w:sz w:val="22"/>
        </w:rPr>
      </w:pPr>
    </w:p>
    <w:p w14:paraId="7D4863D7" w14:textId="39A86E35" w:rsidR="004F06D5" w:rsidRPr="00C02598" w:rsidRDefault="004F06D5" w:rsidP="004F06D5">
      <w:pPr>
        <w:spacing w:line="276" w:lineRule="auto"/>
        <w:jc w:val="both"/>
        <w:rPr>
          <w:rFonts w:ascii="Geomanist Light" w:hAnsi="Geomanist Light" w:cs="Arial"/>
          <w:sz w:val="22"/>
          <w:szCs w:val="22"/>
        </w:rPr>
      </w:pPr>
      <w:r w:rsidRPr="00C02598">
        <w:rPr>
          <w:rFonts w:ascii="Geomanist Light" w:hAnsi="Geomanist Light" w:cs="Arial"/>
          <w:sz w:val="22"/>
          <w:szCs w:val="22"/>
        </w:rPr>
        <w:t xml:space="preserve">Usted realiza la siguiente pregunta: «[…] </w:t>
      </w:r>
      <w:bookmarkStart w:id="6" w:name="_Hlk95313578"/>
      <w:r w:rsidR="00C93569" w:rsidRPr="00C02598">
        <w:rPr>
          <w:rFonts w:ascii="Geomanist Light" w:hAnsi="Geomanist Light" w:cs="Arial"/>
          <w:sz w:val="22"/>
          <w:szCs w:val="22"/>
        </w:rPr>
        <w:t>en los pliegos tipo de infraestructura social, sector educación, de acuerdo con la matriz de experiencia, la experiencia general y especifica que se les exige a los proponentes debe ser en Instituciones educativas [</w:t>
      </w:r>
      <w:r w:rsidR="006D23D5" w:rsidRPr="00C02598">
        <w:rPr>
          <w:rFonts w:ascii="Geomanist Light" w:hAnsi="Geomanist Light" w:cs="Arial"/>
          <w:sz w:val="22"/>
          <w:szCs w:val="22"/>
        </w:rPr>
        <w:t>…]</w:t>
      </w:r>
      <w:r w:rsidRPr="00C02598">
        <w:rPr>
          <w:rFonts w:ascii="Geomanist Light" w:hAnsi="Geomanist Light" w:cs="Arial"/>
          <w:sz w:val="22"/>
          <w:szCs w:val="22"/>
        </w:rPr>
        <w:t>»</w:t>
      </w:r>
      <w:bookmarkEnd w:id="6"/>
      <w:r w:rsidRPr="00C02598">
        <w:rPr>
          <w:rFonts w:ascii="Geomanist Light" w:hAnsi="Geomanist Light" w:cs="Arial"/>
          <w:sz w:val="22"/>
          <w:szCs w:val="22"/>
        </w:rPr>
        <w:t>.</w:t>
      </w:r>
    </w:p>
    <w:p w14:paraId="5D2B2471" w14:textId="77777777" w:rsidR="004F06D5" w:rsidRPr="00C02598" w:rsidRDefault="004F06D5" w:rsidP="004F06D5">
      <w:pPr>
        <w:rPr>
          <w:rFonts w:ascii="Geomanist Light" w:hAnsi="Geomanist Light" w:cs="Arial"/>
          <w:sz w:val="22"/>
        </w:rPr>
      </w:pPr>
    </w:p>
    <w:p w14:paraId="5B21EE46" w14:textId="77777777" w:rsidR="004F06D5" w:rsidRPr="00C02598" w:rsidRDefault="004F06D5" w:rsidP="004F06D5">
      <w:pPr>
        <w:rPr>
          <w:rFonts w:ascii="Geomanist Light" w:hAnsi="Geomanist Light" w:cs="Arial"/>
          <w:b/>
          <w:sz w:val="22"/>
        </w:rPr>
      </w:pPr>
      <w:r w:rsidRPr="00C02598">
        <w:rPr>
          <w:rFonts w:ascii="Geomanist Light" w:hAnsi="Geomanist Light" w:cs="Arial"/>
          <w:b/>
          <w:sz w:val="22"/>
        </w:rPr>
        <w:t xml:space="preserve">2. Consideraciones </w:t>
      </w:r>
    </w:p>
    <w:p w14:paraId="69623F8C" w14:textId="0A2BF562" w:rsidR="00C93569" w:rsidRPr="00C02598" w:rsidRDefault="00C93569" w:rsidP="00C93569">
      <w:pPr>
        <w:spacing w:before="120" w:line="276" w:lineRule="auto"/>
        <w:jc w:val="both"/>
        <w:rPr>
          <w:rFonts w:ascii="Geomanist Light" w:eastAsia="Calibri" w:hAnsi="Geomanist Light" w:cs="Arial"/>
          <w:sz w:val="22"/>
        </w:rPr>
      </w:pPr>
      <w:bookmarkStart w:id="7" w:name="_Hlk113876281"/>
      <w:r w:rsidRPr="00C02598">
        <w:rPr>
          <w:rFonts w:ascii="Geomanist Light" w:eastAsia="Calibri" w:hAnsi="Geomanist Light" w:cs="Arial"/>
          <w:sz w:val="22"/>
          <w:lang w:val="es-ES_tradnl"/>
        </w:rPr>
        <w:t xml:space="preserve">La Agencia Nacional de Contratación Pública – Colombia Compra Eficiente se pronunció sobre la definición y el alcance de los documentos tipo en las siguientes consultas </w:t>
      </w:r>
      <w:r w:rsidRPr="00C02598">
        <w:rPr>
          <w:rFonts w:ascii="Geomanist Light" w:eastAsia="Calibri" w:hAnsi="Geomanist Light" w:cs="Arial"/>
          <w:sz w:val="22"/>
          <w:shd w:val="clear" w:color="auto" w:fill="FFFFFF"/>
        </w:rPr>
        <w:t>C-144 del 2 de marzo de 2020, C-143 del 18 de marzo de 2020, C-286 del 26 de mayo de 2020, C-450 del 3 de agosto de 2020, C-643 del 26 de octubre de 2020,</w:t>
      </w:r>
      <w:r w:rsidRPr="00C02598">
        <w:rPr>
          <w:rFonts w:ascii="Geomanist Light" w:eastAsia="Calibri" w:hAnsi="Geomanist Light" w:cs="Arial"/>
          <w:sz w:val="22"/>
        </w:rPr>
        <w:t xml:space="preserve"> C-773 del 14 de enero de 2021, C-789 del 19 de enero de 2021,</w:t>
      </w:r>
      <w:r w:rsidRPr="00C02598">
        <w:rPr>
          <w:rFonts w:ascii="Geomanist Light" w:eastAsia="Calibri" w:hAnsi="Geomanist Light" w:cs="Arial"/>
          <w:sz w:val="22"/>
          <w:shd w:val="clear" w:color="auto" w:fill="FFFFFF"/>
        </w:rPr>
        <w:t xml:space="preserve"> C-064 del 8 de marzo de 2021 y C-157 del 13 de abril del 2021, C-244 del 4 de mayo de 2021, C-224 del 20 de mayo de 2020, C-233 del 24 de mayo de 2021, C-251 del 2 de junio de 2021 y C-273 del 11 de junio de 2021, </w:t>
      </w:r>
      <w:r w:rsidRPr="00C02598">
        <w:rPr>
          <w:rFonts w:ascii="Geomanist Light" w:eastAsia="Calibri" w:hAnsi="Geomanist Light" w:cs="Arial"/>
          <w:sz w:val="22"/>
        </w:rPr>
        <w:t>C-375 de 27 de septiembre de 2021, C-536 de 29 de septiembre de 2021, C-719 de 24 de enero de 2022 y C-090 de 16 de marzo de 2022.</w:t>
      </w:r>
      <w:r w:rsidRPr="00C02598">
        <w:rPr>
          <w:rFonts w:ascii="Geomanist Light" w:eastAsia="Calibri" w:hAnsi="Geomanist Light" w:cs="Arial"/>
          <w:sz w:val="22"/>
          <w:shd w:val="clear" w:color="auto" w:fill="FFFFFF"/>
        </w:rPr>
        <w:t xml:space="preserve"> </w:t>
      </w:r>
      <w:r w:rsidRPr="00C02598">
        <w:rPr>
          <w:rFonts w:ascii="Geomanist Light" w:eastAsia="Calibri" w:hAnsi="Geomanist Light" w:cs="Arial"/>
          <w:color w:val="000000"/>
          <w:sz w:val="22"/>
          <w:lang w:val="es-ES_tradnl"/>
        </w:rPr>
        <w:t xml:space="preserve">Finalmente, en los conceptos C-375 del 27 de septiembre de 2021, C-536 del 29 de septiembre de 2021, </w:t>
      </w:r>
      <w:r w:rsidRPr="00C02598">
        <w:rPr>
          <w:rFonts w:ascii="Geomanist Light" w:eastAsia="Calibri" w:hAnsi="Geomanist Light" w:cs="Arial"/>
          <w:color w:val="000000"/>
          <w:sz w:val="22"/>
        </w:rPr>
        <w:t xml:space="preserve">P20210826007696 del 6 de octubre de 2021, C-729 del 24 de enero de 2022, C-090 del 16 de marzo de 2022, C-287 del 11 de mayo de 2022, C-334 del 25 de mayo de 2022, </w:t>
      </w:r>
      <w:r w:rsidRPr="00C02598">
        <w:rPr>
          <w:rFonts w:ascii="Geomanist Light" w:eastAsia="Calibri" w:hAnsi="Geomanist Light" w:cs="Arial"/>
          <w:sz w:val="22"/>
          <w:lang w:val="es-ES_tradnl"/>
        </w:rPr>
        <w:t>C-344 del 9 de junio de 2022</w:t>
      </w:r>
      <w:r w:rsidR="00545E41" w:rsidRPr="00C02598">
        <w:rPr>
          <w:rFonts w:ascii="Geomanist Light" w:eastAsia="Calibri" w:hAnsi="Geomanist Light" w:cs="Arial"/>
          <w:sz w:val="22"/>
          <w:lang w:val="es-ES_tradnl"/>
        </w:rPr>
        <w:t xml:space="preserve">, </w:t>
      </w:r>
      <w:r w:rsidRPr="00C02598">
        <w:rPr>
          <w:rFonts w:ascii="Geomanist Light" w:eastAsia="Calibri" w:hAnsi="Geomanist Light" w:cs="Arial"/>
          <w:sz w:val="22"/>
          <w:lang w:val="es-ES_tradnl"/>
        </w:rPr>
        <w:t>C-436 del 6 de julio de 2022</w:t>
      </w:r>
      <w:r w:rsidR="00545E41" w:rsidRPr="00C02598">
        <w:rPr>
          <w:rFonts w:ascii="Geomanist Light" w:eastAsia="Calibri" w:hAnsi="Geomanist Light" w:cs="Arial"/>
          <w:sz w:val="22"/>
          <w:lang w:val="es-ES_tradnl"/>
        </w:rPr>
        <w:t xml:space="preserve">, C-598 del 21 de septiembre de 2022, y C-605 del 22 de septiembre de 2022 </w:t>
      </w:r>
      <w:r w:rsidRPr="00C02598">
        <w:rPr>
          <w:rFonts w:ascii="Geomanist Light" w:eastAsia="Calibri" w:hAnsi="Geomanist Light" w:cs="Arial"/>
          <w:color w:val="000000"/>
          <w:sz w:val="22"/>
        </w:rPr>
        <w:t xml:space="preserve">se analizó la aplicación de los documentos tipo </w:t>
      </w:r>
      <w:r w:rsidRPr="00C02598">
        <w:rPr>
          <w:rFonts w:ascii="Geomanist Light" w:eastAsia="Calibri" w:hAnsi="Geomanist Light" w:cs="Arial"/>
          <w:sz w:val="22"/>
        </w:rPr>
        <w:t>complementarios para los procesos de licitación de obra pública de infraestructura social</w:t>
      </w:r>
      <w:bookmarkEnd w:id="7"/>
      <w:r w:rsidRPr="00C02598">
        <w:rPr>
          <w:rFonts w:ascii="Geomanist Light" w:eastAsia="Calibri" w:hAnsi="Geomanist Light" w:cs="Arial"/>
          <w:sz w:val="22"/>
        </w:rPr>
        <w:t>.</w:t>
      </w:r>
      <w:r w:rsidRPr="00C02598">
        <w:rPr>
          <w:rFonts w:ascii="Geomanist Light" w:eastAsia="Calibri" w:hAnsi="Geomanist Light" w:cs="Arial"/>
          <w:color w:val="000000"/>
          <w:sz w:val="22"/>
          <w:lang w:val="es-ES_tradnl"/>
        </w:rPr>
        <w:t xml:space="preserve"> </w:t>
      </w:r>
      <w:r w:rsidRPr="00C02598">
        <w:rPr>
          <w:rFonts w:ascii="Geomanist Light" w:eastAsia="Calibri" w:hAnsi="Geomanist Light" w:cs="Arial"/>
          <w:sz w:val="22"/>
        </w:rPr>
        <w:t xml:space="preserve">Las tesis expuestas en los anteriores conceptos se reiteran a continuación y se complementan en lo pertinente: </w:t>
      </w:r>
    </w:p>
    <w:p w14:paraId="18405C82" w14:textId="387F0D9C" w:rsidR="004F06D5" w:rsidRPr="00C02598" w:rsidRDefault="004F06D5" w:rsidP="004F06D5">
      <w:pPr>
        <w:spacing w:before="240" w:after="240" w:line="276" w:lineRule="auto"/>
        <w:jc w:val="both"/>
        <w:rPr>
          <w:rFonts w:ascii="Geomanist Light" w:eastAsia="Calibri" w:hAnsi="Geomanist Light" w:cs="Arial"/>
          <w:b/>
          <w:sz w:val="22"/>
        </w:rPr>
      </w:pPr>
      <w:r w:rsidRPr="00C02598">
        <w:rPr>
          <w:rFonts w:ascii="Geomanist Light" w:eastAsia="Calibri" w:hAnsi="Geomanist Light" w:cs="Arial"/>
          <w:b/>
          <w:sz w:val="22"/>
        </w:rPr>
        <w:t>2.</w:t>
      </w:r>
      <w:r w:rsidR="00545E41" w:rsidRPr="00C02598">
        <w:rPr>
          <w:rFonts w:ascii="Geomanist Light" w:eastAsia="Calibri" w:hAnsi="Geomanist Light" w:cs="Arial"/>
          <w:b/>
          <w:sz w:val="22"/>
        </w:rPr>
        <w:t>1</w:t>
      </w:r>
      <w:r w:rsidRPr="00C02598">
        <w:rPr>
          <w:rFonts w:ascii="Geomanist Light" w:eastAsia="Calibri" w:hAnsi="Geomanist Light" w:cs="Arial"/>
          <w:b/>
          <w:sz w:val="22"/>
        </w:rPr>
        <w:t xml:space="preserve">. </w:t>
      </w:r>
      <w:r w:rsidRPr="00C02598">
        <w:rPr>
          <w:rFonts w:ascii="Geomanist Light" w:eastAsia="Calibri" w:hAnsi="Geomanist Light" w:cs="Arial"/>
          <w:b/>
          <w:bCs/>
          <w:sz w:val="22"/>
        </w:rPr>
        <w:t>Documentos tipo complementarios para los procesos de licitación de obra pública de infraestructura social relacionados con el sector educativo</w:t>
      </w:r>
      <w:r w:rsidR="00C64587" w:rsidRPr="00C02598">
        <w:rPr>
          <w:rFonts w:ascii="Geomanist Light" w:eastAsia="Calibri" w:hAnsi="Geomanist Light" w:cs="Arial"/>
          <w:b/>
          <w:bCs/>
          <w:sz w:val="22"/>
        </w:rPr>
        <w:t>.</w:t>
      </w:r>
    </w:p>
    <w:p w14:paraId="78299DEC" w14:textId="77777777" w:rsidR="004F06D5" w:rsidRPr="00C02598" w:rsidRDefault="004F06D5" w:rsidP="004F06D5">
      <w:pPr>
        <w:spacing w:before="120" w:line="276" w:lineRule="auto"/>
        <w:jc w:val="both"/>
        <w:rPr>
          <w:rFonts w:ascii="Geomanist Light" w:hAnsi="Geomanist Light" w:cs="Arial"/>
          <w:sz w:val="22"/>
          <w:lang w:val="es-ES"/>
        </w:rPr>
      </w:pPr>
      <w:r w:rsidRPr="00C02598">
        <w:rPr>
          <w:rFonts w:ascii="Geomanist Light" w:eastAsia="Calibri" w:hAnsi="Geomanist Light" w:cs="Arial"/>
          <w:sz w:val="22"/>
        </w:rPr>
        <w:t xml:space="preserve">En desarrollo de la Ley 2022 de 2020, la Agencia Nacional de Contratación Pública – Colombia Compra Eficiente expidió la Resolución 219 </w:t>
      </w:r>
      <w:r w:rsidRPr="00C02598">
        <w:rPr>
          <w:rFonts w:ascii="Geomanist Light" w:hAnsi="Geomanist Light" w:cs="Arial"/>
          <w:bCs/>
          <w:color w:val="000000" w:themeColor="text1"/>
          <w:sz w:val="22"/>
          <w:lang w:eastAsia="es-ES_tradnl"/>
        </w:rPr>
        <w:t xml:space="preserve">del 6 de agosto </w:t>
      </w:r>
      <w:r w:rsidRPr="00C02598">
        <w:rPr>
          <w:rFonts w:ascii="Geomanist Light" w:eastAsia="Calibri" w:hAnsi="Geomanist Light" w:cs="Arial"/>
          <w:sz w:val="22"/>
        </w:rPr>
        <w:t xml:space="preserve">de 2021, </w:t>
      </w:r>
      <w:r w:rsidRPr="00C02598">
        <w:rPr>
          <w:rFonts w:ascii="Geomanist Light" w:eastAsia="Calibri" w:hAnsi="Geomanist Light" w:cs="Arial"/>
          <w:i/>
          <w:iCs/>
          <w:sz w:val="22"/>
        </w:rPr>
        <w:t>«Por la cual se adoptan los documentos tipo para los procesos de licitación de obra pública de infraestructura social»</w:t>
      </w:r>
      <w:r w:rsidRPr="00C02598">
        <w:rPr>
          <w:rFonts w:ascii="Geomanist Light" w:eastAsia="Calibri" w:hAnsi="Geomanist Light" w:cs="Arial"/>
          <w:sz w:val="22"/>
        </w:rPr>
        <w:t>. Dentro de esta categoría fue incluida la infraestructura asociada a los sectores de la salud, el educativo y el de cultura, recreación y deporte,</w:t>
      </w:r>
      <w:r w:rsidRPr="00C02598">
        <w:rPr>
          <w:rFonts w:ascii="Geomanist Light" w:hAnsi="Geomanist Light" w:cs="Arial"/>
          <w:sz w:val="22"/>
          <w:lang w:val="es-ES"/>
        </w:rPr>
        <w:t xml:space="preserve"> tal como lo establece</w:t>
      </w:r>
      <w:r w:rsidRPr="00C02598">
        <w:rPr>
          <w:rFonts w:ascii="Geomanist Light" w:hAnsi="Geomanist Light" w:cs="Arial"/>
          <w:color w:val="000000" w:themeColor="text1"/>
          <w:sz w:val="22"/>
          <w:lang w:val="es-ES"/>
        </w:rPr>
        <w:t xml:space="preserve"> </w:t>
      </w:r>
      <w:r w:rsidRPr="00C02598">
        <w:rPr>
          <w:rFonts w:ascii="Geomanist Light" w:hAnsi="Geomanist Light" w:cs="Arial"/>
          <w:sz w:val="22"/>
          <w:lang w:val="es-ES"/>
        </w:rPr>
        <w:t xml:space="preserve">el parágrafo 2 del artículo 2 de la resolución indicada, de la siguiente manera: </w:t>
      </w:r>
    </w:p>
    <w:p w14:paraId="6F9C5780" w14:textId="77777777" w:rsidR="004F06D5" w:rsidRPr="00C02598" w:rsidRDefault="004F06D5" w:rsidP="004F06D5">
      <w:pPr>
        <w:spacing w:line="276" w:lineRule="auto"/>
        <w:jc w:val="both"/>
        <w:rPr>
          <w:rFonts w:ascii="Geomanist Light" w:hAnsi="Geomanist Light" w:cs="Arial"/>
          <w:sz w:val="22"/>
          <w:lang w:val="es-ES"/>
        </w:rPr>
      </w:pPr>
    </w:p>
    <w:p w14:paraId="5BD5B193" w14:textId="77777777" w:rsidR="004F06D5" w:rsidRPr="00C02598" w:rsidRDefault="004F06D5" w:rsidP="00807F3E">
      <w:pPr>
        <w:ind w:left="709" w:right="709"/>
        <w:jc w:val="both"/>
        <w:rPr>
          <w:rFonts w:ascii="Geomanist Light" w:hAnsi="Geomanist Light" w:cs="Arial"/>
          <w:sz w:val="21"/>
          <w:szCs w:val="21"/>
          <w:lang w:val="es-ES"/>
        </w:rPr>
      </w:pPr>
      <w:r w:rsidRPr="00C02598">
        <w:rPr>
          <w:rFonts w:ascii="Geomanist Light" w:hAnsi="Geomanist Light" w:cs="Arial"/>
          <w:sz w:val="21"/>
          <w:szCs w:val="21"/>
          <w:lang w:val="es-ES"/>
        </w:rPr>
        <w:t xml:space="preserve">Estos documentos tipo aplicarán a los proyectos de infraestructura social, tales como, </w:t>
      </w:r>
      <w:r w:rsidRPr="00C02598">
        <w:rPr>
          <w:rFonts w:ascii="Geomanist Light" w:hAnsi="Geomanist Light" w:cs="Arial"/>
          <w:i/>
          <w:iCs/>
          <w:sz w:val="21"/>
          <w:szCs w:val="21"/>
          <w:lang w:val="es-ES"/>
        </w:rPr>
        <w:t>sector educativo</w:t>
      </w:r>
      <w:r w:rsidRPr="00C02598">
        <w:rPr>
          <w:rFonts w:ascii="Geomanist Light" w:hAnsi="Geomanist Light" w:cs="Arial"/>
          <w:sz w:val="21"/>
          <w:szCs w:val="21"/>
          <w:lang w:val="es-ES"/>
        </w:rPr>
        <w:t xml:space="preserve">, sector salud y sector cultural, recreación y deporte, </w:t>
      </w:r>
      <w:r w:rsidRPr="00C02598">
        <w:rPr>
          <w:rFonts w:ascii="Geomanist Light" w:hAnsi="Geomanist Light" w:cs="Arial"/>
          <w:i/>
          <w:iCs/>
          <w:sz w:val="21"/>
          <w:szCs w:val="21"/>
          <w:lang w:val="es-ES"/>
        </w:rPr>
        <w:t>de conformidad con cada una de las resoluciones que expida la Agencia Nacional de Contratación Pública -Colombia Compra Eficiente-</w:t>
      </w:r>
      <w:r w:rsidRPr="00C02598">
        <w:rPr>
          <w:rFonts w:ascii="Geomanist Light" w:hAnsi="Geomanist Light" w:cs="Arial"/>
          <w:sz w:val="21"/>
          <w:szCs w:val="21"/>
          <w:lang w:val="es-ES"/>
        </w:rPr>
        <w:t>, donde se precisará el alcance concreto de estos documentos tipo; sin perjuicio de que se incluyan otros tipos de infraestructura social. (Énfasis fuera del texto)</w:t>
      </w:r>
    </w:p>
    <w:p w14:paraId="300A39C8" w14:textId="77777777" w:rsidR="004F06D5" w:rsidRPr="00C02598" w:rsidRDefault="004F06D5" w:rsidP="004F06D5">
      <w:pPr>
        <w:spacing w:line="276" w:lineRule="auto"/>
        <w:jc w:val="both"/>
        <w:rPr>
          <w:rFonts w:ascii="Geomanist Light" w:hAnsi="Geomanist Light" w:cs="Arial"/>
          <w:sz w:val="22"/>
          <w:lang w:val="es-ES"/>
        </w:rPr>
      </w:pPr>
      <w:r w:rsidRPr="00C02598">
        <w:rPr>
          <w:rFonts w:ascii="Geomanist Light" w:hAnsi="Geomanist Light" w:cs="Arial"/>
          <w:sz w:val="22"/>
          <w:lang w:val="es-ES"/>
        </w:rPr>
        <w:tab/>
      </w:r>
    </w:p>
    <w:p w14:paraId="13577E48" w14:textId="77777777" w:rsidR="004F06D5" w:rsidRPr="00C02598" w:rsidRDefault="004F06D5" w:rsidP="004F06D5">
      <w:pPr>
        <w:spacing w:before="120" w:after="120" w:line="276" w:lineRule="auto"/>
        <w:ind w:firstLine="708"/>
        <w:jc w:val="both"/>
        <w:rPr>
          <w:rFonts w:ascii="Geomanist Light" w:hAnsi="Geomanist Light" w:cs="Arial"/>
          <w:sz w:val="22"/>
          <w:lang w:val="es-ES"/>
        </w:rPr>
      </w:pPr>
      <w:r w:rsidRPr="00C02598">
        <w:rPr>
          <w:rFonts w:ascii="Geomanist Light" w:hAnsi="Geomanist Light" w:cs="Arial"/>
          <w:sz w:val="22"/>
          <w:lang w:val="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E9454B8" w14:textId="77777777" w:rsidR="004F06D5" w:rsidRPr="00C02598" w:rsidRDefault="004F06D5" w:rsidP="004F06D5">
      <w:pPr>
        <w:spacing w:before="120" w:after="120" w:line="276" w:lineRule="auto"/>
        <w:ind w:firstLine="708"/>
        <w:jc w:val="both"/>
        <w:rPr>
          <w:rFonts w:ascii="Geomanist Light" w:hAnsi="Geomanist Light" w:cs="Arial"/>
          <w:bCs/>
          <w:color w:val="000000" w:themeColor="text1"/>
          <w:sz w:val="22"/>
          <w:lang w:val="es-ES" w:eastAsia="es-ES_tradnl"/>
        </w:rPr>
      </w:pPr>
      <w:r w:rsidRPr="00C02598">
        <w:rPr>
          <w:rFonts w:ascii="Geomanist Light" w:hAnsi="Geomanist Light" w:cs="Arial"/>
          <w:sz w:val="22"/>
          <w:szCs w:val="22"/>
          <w:lang w:val="es-ES"/>
        </w:rPr>
        <w:t>Así lo señala el parágrafo 3 del artículo 2 que dispone lo siguiente:</w:t>
      </w:r>
      <w:r w:rsidRPr="00C02598">
        <w:rPr>
          <w:rFonts w:ascii="Geomanist Light" w:eastAsia="Calibri" w:hAnsi="Geomanist Light" w:cs="Arial"/>
          <w:sz w:val="22"/>
          <w:szCs w:val="22"/>
        </w:rPr>
        <w:t xml:space="preserve"> «</w:t>
      </w:r>
      <w:r w:rsidRPr="00C02598">
        <w:rPr>
          <w:rFonts w:ascii="Geomanist Light" w:hAnsi="Geomanist Light" w:cs="Arial"/>
          <w:sz w:val="22"/>
          <w:szCs w:val="22"/>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C02598">
        <w:rPr>
          <w:rFonts w:ascii="Geomanist Light" w:eastAsia="Calibri" w:hAnsi="Geomanist Light" w:cs="Arial"/>
          <w:sz w:val="22"/>
          <w:szCs w:val="22"/>
        </w:rPr>
        <w:t>».</w:t>
      </w:r>
      <w:r w:rsidRPr="00C02598">
        <w:rPr>
          <w:rFonts w:ascii="Geomanist Light" w:hAnsi="Geomanist Light" w:cs="Arial"/>
          <w:sz w:val="22"/>
          <w:szCs w:val="22"/>
          <w:lang w:val="es-ES"/>
        </w:rPr>
        <w:t xml:space="preserve"> En concordancia, el «Documento Base» de </w:t>
      </w:r>
      <w:r w:rsidRPr="00C02598">
        <w:rPr>
          <w:rFonts w:ascii="Geomanist Light" w:eastAsia="Calibri" w:hAnsi="Geomanist Light" w:cs="Arial"/>
          <w:sz w:val="22"/>
          <w:szCs w:val="22"/>
        </w:rPr>
        <w:t>licitación de obra pública de infraestructura social</w:t>
      </w:r>
      <w:r w:rsidRPr="00C02598">
        <w:rPr>
          <w:rStyle w:val="Refdenotaalpie"/>
          <w:rFonts w:ascii="Geomanist Light" w:hAnsi="Geomanist Light" w:cs="Arial"/>
          <w:sz w:val="22"/>
          <w:szCs w:val="22"/>
          <w:lang w:val="es-ES"/>
        </w:rPr>
        <w:footnoteReference w:id="1"/>
      </w:r>
      <w:r w:rsidRPr="00C02598">
        <w:rPr>
          <w:rFonts w:ascii="Geomanist Light" w:eastAsia="Calibri" w:hAnsi="Geomanist Light" w:cs="Arial"/>
          <w:sz w:val="22"/>
          <w:szCs w:val="22"/>
        </w:rPr>
        <w:t xml:space="preserve"> prescribe en la parte introductoria que «</w:t>
      </w:r>
      <w:r w:rsidRPr="00C02598">
        <w:rPr>
          <w:rFonts w:ascii="Geomanist Light" w:hAnsi="Geomanist Light" w:cs="Arial"/>
          <w:bCs/>
          <w:color w:val="000000"/>
          <w:sz w:val="22"/>
          <w:szCs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C02598">
        <w:rPr>
          <w:rFonts w:ascii="Geomanist Light" w:eastAsia="Calibri" w:hAnsi="Geomanist Light" w:cs="Arial"/>
          <w:sz w:val="22"/>
          <w:szCs w:val="22"/>
        </w:rPr>
        <w:t>».</w:t>
      </w:r>
    </w:p>
    <w:p w14:paraId="3B82D20A" w14:textId="77777777" w:rsidR="004F06D5" w:rsidRPr="00C02598" w:rsidRDefault="004F06D5" w:rsidP="004F06D5">
      <w:pPr>
        <w:spacing w:before="120" w:after="120" w:line="276" w:lineRule="auto"/>
        <w:ind w:firstLine="708"/>
        <w:jc w:val="both"/>
        <w:rPr>
          <w:rFonts w:ascii="Geomanist Light" w:hAnsi="Geomanist Light" w:cs="Arial"/>
          <w:sz w:val="22"/>
          <w:lang w:val="es-ES"/>
        </w:rPr>
      </w:pPr>
      <w:r w:rsidRPr="00C02598">
        <w:rPr>
          <w:rFonts w:ascii="Geomanist Light" w:hAnsi="Geomanist Light" w:cs="Arial"/>
          <w:bCs/>
          <w:color w:val="000000" w:themeColor="text1"/>
          <w:sz w:val="22"/>
          <w:lang w:val="es-ES" w:eastAsia="es-ES_tradnl"/>
        </w:rPr>
        <w:t xml:space="preserve">Cabe anotar que </w:t>
      </w:r>
      <w:r w:rsidRPr="00C02598">
        <w:rPr>
          <w:rFonts w:ascii="Geomanist Light" w:hAnsi="Geomanist Light" w:cs="Arial"/>
          <w:bCs/>
          <w:color w:val="000000" w:themeColor="text1"/>
          <w:sz w:val="22"/>
          <w:lang w:eastAsia="es-ES_tradnl"/>
        </w:rPr>
        <w:t xml:space="preserve">la Resolución 219 del 6 de agosto de 2021 contiene los documentos tipo que aplican </w:t>
      </w:r>
      <w:r w:rsidRPr="00C02598">
        <w:rPr>
          <w:rFonts w:ascii="Geomanist Light" w:hAnsi="Geomanist Light" w:cs="Arial"/>
          <w:sz w:val="22"/>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24C09024" w14:textId="77777777" w:rsidR="004F06D5" w:rsidRPr="00C02598" w:rsidRDefault="004F06D5" w:rsidP="004F06D5">
      <w:pPr>
        <w:spacing w:before="120" w:after="120" w:line="276" w:lineRule="auto"/>
        <w:ind w:firstLine="708"/>
        <w:jc w:val="both"/>
        <w:rPr>
          <w:rFonts w:ascii="Geomanist Light" w:hAnsi="Geomanist Light" w:cs="Arial"/>
          <w:sz w:val="22"/>
          <w:lang w:val="es-ES"/>
        </w:rPr>
      </w:pPr>
      <w:r w:rsidRPr="00C02598">
        <w:rPr>
          <w:rFonts w:ascii="Geomanist Light" w:hAnsi="Geomanist Light" w:cs="Arial"/>
          <w:sz w:val="22"/>
          <w:lang w:val="es-ES"/>
        </w:rPr>
        <w:t>En consecuencia</w:t>
      </w:r>
      <w:bookmarkStart w:id="8" w:name="_Hlk118786466"/>
      <w:r w:rsidRPr="00C02598">
        <w:rPr>
          <w:rFonts w:ascii="Geomanist Light" w:hAnsi="Geomanist Light" w:cs="Arial"/>
          <w:sz w:val="22"/>
          <w:lang w:val="es-ES"/>
        </w:rPr>
        <w:t xml:space="preserve">, en materia de infraestructura social debe tenerse en cuenta que existen dos (2) clases de documentos tipo que se integran en cada proceso:  i) los documentos </w:t>
      </w:r>
      <w:r w:rsidRPr="00C02598">
        <w:rPr>
          <w:rFonts w:ascii="Geomanist Light" w:hAnsi="Geomanist Light" w:cs="Arial"/>
          <w:i/>
          <w:sz w:val="22"/>
          <w:lang w:val="es-ES"/>
        </w:rPr>
        <w:t>transversales</w:t>
      </w:r>
      <w:r w:rsidRPr="00C02598">
        <w:rPr>
          <w:rFonts w:ascii="Geomanist Light" w:hAnsi="Geomanist Light" w:cs="Arial"/>
          <w:sz w:val="22"/>
          <w:lang w:val="es-ES"/>
        </w:rPr>
        <w:t xml:space="preserve"> a todos los sectores de infraestructura social, es decir, el documento base, los anexos, los formatos, los formularios y las matrices adoptados mediante la Resolución No. 219 de 2021; y ii) los documentos tipo </w:t>
      </w:r>
      <w:r w:rsidRPr="00C02598">
        <w:rPr>
          <w:rFonts w:ascii="Geomanist Light" w:hAnsi="Geomanist Light" w:cs="Arial"/>
          <w:i/>
          <w:sz w:val="22"/>
          <w:lang w:val="es-ES"/>
        </w:rPr>
        <w:t>complementarios</w:t>
      </w:r>
      <w:r w:rsidRPr="00C02598">
        <w:rPr>
          <w:rFonts w:ascii="Geomanist Light" w:hAnsi="Geomanist Light" w:cs="Arial"/>
          <w:iCs/>
          <w:sz w:val="22"/>
          <w:lang w:val="es-ES"/>
        </w:rPr>
        <w:t>,</w:t>
      </w:r>
      <w:r w:rsidRPr="00C02598">
        <w:rPr>
          <w:rFonts w:ascii="Geomanist Light" w:hAnsi="Geomanist Light" w:cs="Arial"/>
          <w:i/>
          <w:sz w:val="22"/>
          <w:lang w:val="es-ES"/>
        </w:rPr>
        <w:t xml:space="preserve"> </w:t>
      </w:r>
      <w:r w:rsidRPr="00C02598">
        <w:rPr>
          <w:rFonts w:ascii="Geomanist Light" w:hAnsi="Geomanist Light" w:cs="Arial"/>
          <w:sz w:val="22"/>
          <w:lang w:val="es-ES"/>
        </w:rPr>
        <w:t>referentes a la matriz de experiencia y el glosario, los cuales han sido adoptados en la resolución para cada sector específico.</w:t>
      </w:r>
      <w:bookmarkEnd w:id="8"/>
    </w:p>
    <w:p w14:paraId="0A668C00" w14:textId="0D98C5AB" w:rsidR="004F06D5" w:rsidRPr="00C02598" w:rsidRDefault="004F06D5" w:rsidP="004F06D5">
      <w:pPr>
        <w:spacing w:before="120" w:after="120" w:line="276" w:lineRule="auto"/>
        <w:ind w:firstLine="708"/>
        <w:jc w:val="both"/>
        <w:rPr>
          <w:rFonts w:ascii="Geomanist Light" w:hAnsi="Geomanist Light" w:cs="Arial"/>
          <w:sz w:val="22"/>
          <w:lang w:val="es-ES"/>
        </w:rPr>
      </w:pPr>
      <w:bookmarkStart w:id="9" w:name="_Hlk118786519"/>
      <w:r w:rsidRPr="00C02598">
        <w:rPr>
          <w:rFonts w:ascii="Geomanist Light" w:hAnsi="Geomanist Light" w:cs="Arial"/>
          <w:bCs/>
          <w:color w:val="000000" w:themeColor="text1"/>
          <w:sz w:val="22"/>
          <w:lang w:val="es-ES" w:eastAsia="es-ES_tradnl"/>
        </w:rPr>
        <w:t xml:space="preserve">En tal sentido, </w:t>
      </w:r>
      <w:r w:rsidR="00C64587" w:rsidRPr="00C02598">
        <w:rPr>
          <w:rFonts w:ascii="Geomanist Light" w:hAnsi="Geomanist Light" w:cs="Arial"/>
          <w:bCs/>
          <w:color w:val="000000" w:themeColor="text1"/>
          <w:sz w:val="22"/>
          <w:lang w:val="es-ES" w:eastAsia="es-ES_tradnl"/>
        </w:rPr>
        <w:t>el 6 de agosto de 2021</w:t>
      </w:r>
      <w:r w:rsidRPr="00C02598">
        <w:rPr>
          <w:rFonts w:ascii="Geomanist Light" w:hAnsi="Geomanist Light" w:cs="Arial"/>
          <w:bCs/>
          <w:color w:val="000000" w:themeColor="text1"/>
          <w:sz w:val="22"/>
          <w:lang w:val="es-ES" w:eastAsia="es-ES_tradnl"/>
        </w:rPr>
        <w:t xml:space="preserve">, se </w:t>
      </w:r>
      <w:bookmarkStart w:id="10" w:name="_Hlk83803153"/>
      <w:r w:rsidRPr="00C02598">
        <w:rPr>
          <w:rFonts w:ascii="Geomanist Light" w:hAnsi="Geomanist Light" w:cs="Arial"/>
          <w:bCs/>
          <w:color w:val="000000" w:themeColor="text1"/>
          <w:sz w:val="22"/>
          <w:lang w:val="es-ES" w:eastAsia="es-ES_tradnl"/>
        </w:rPr>
        <w:t xml:space="preserve">adoptaron los documentos tipo complementarios para los procesos de licitación de obra pública de infraestructura social relacionados con el </w:t>
      </w:r>
      <w:r w:rsidRPr="00C02598">
        <w:rPr>
          <w:rFonts w:ascii="Geomanist Light" w:hAnsi="Geomanist Light" w:cs="Arial"/>
          <w:bCs/>
          <w:i/>
          <w:iCs/>
          <w:color w:val="000000" w:themeColor="text1"/>
          <w:sz w:val="22"/>
          <w:lang w:val="es-ES" w:eastAsia="es-ES_tradnl"/>
        </w:rPr>
        <w:t>sector educ</w:t>
      </w:r>
      <w:r w:rsidRPr="00C02598">
        <w:rPr>
          <w:rFonts w:ascii="Geomanist Light" w:hAnsi="Geomanist Light" w:cs="Arial"/>
          <w:bCs/>
          <w:i/>
          <w:color w:val="000000" w:themeColor="text1"/>
          <w:sz w:val="22"/>
          <w:lang w:val="es-ES" w:eastAsia="es-ES_tradnl"/>
        </w:rPr>
        <w:t>ativo</w:t>
      </w:r>
      <w:bookmarkEnd w:id="10"/>
      <w:r w:rsidRPr="00C02598">
        <w:rPr>
          <w:rFonts w:ascii="Geomanist Light" w:hAnsi="Geomanist Light" w:cs="Arial"/>
          <w:bCs/>
          <w:i/>
          <w:color w:val="000000" w:themeColor="text1"/>
          <w:sz w:val="22"/>
          <w:lang w:val="es-ES" w:eastAsia="es-ES_tradnl"/>
        </w:rPr>
        <w:t xml:space="preserve">, </w:t>
      </w:r>
      <w:r w:rsidRPr="00C02598">
        <w:rPr>
          <w:rFonts w:ascii="Geomanist Light" w:hAnsi="Geomanist Light" w:cs="Arial"/>
          <w:bCs/>
          <w:color w:val="000000" w:themeColor="text1"/>
          <w:sz w:val="22"/>
          <w:lang w:val="es-ES" w:eastAsia="es-ES_tradnl"/>
        </w:rPr>
        <w:t xml:space="preserve">mediante la </w:t>
      </w:r>
      <w:r w:rsidRPr="00C02598">
        <w:rPr>
          <w:rFonts w:ascii="Geomanist Light" w:hAnsi="Geomanist Light" w:cs="Arial"/>
          <w:sz w:val="22"/>
          <w:lang w:val="es-ES"/>
        </w:rPr>
        <w:t>Resolución No. 220 de 202</w:t>
      </w:r>
      <w:r w:rsidR="00807F3E" w:rsidRPr="00C02598">
        <w:rPr>
          <w:rFonts w:ascii="Geomanist Light" w:hAnsi="Geomanist Light" w:cs="Arial"/>
          <w:sz w:val="22"/>
          <w:lang w:val="es-ES"/>
        </w:rPr>
        <w:t>1</w:t>
      </w:r>
      <w:r w:rsidRPr="00C02598">
        <w:rPr>
          <w:rFonts w:ascii="Geomanist Light" w:hAnsi="Geomanist Light" w:cs="Arial"/>
          <w:sz w:val="22"/>
          <w:lang w:val="es-ES"/>
        </w:rPr>
        <w:t>. Esta Resolución, en el artículo 2, desarrolla el «Anexo -Glosario Sector Educativo» y la «Matriz -Experiencia Sector Educativo», lo que significa que estos documentos definen el alcance para ese sector específicamente</w:t>
      </w:r>
      <w:bookmarkEnd w:id="9"/>
      <w:r w:rsidRPr="00C02598">
        <w:rPr>
          <w:rFonts w:ascii="Geomanist Light" w:hAnsi="Geomanist Light" w:cs="Arial"/>
          <w:sz w:val="22"/>
          <w:lang w:val="es-ES"/>
        </w:rPr>
        <w:t>. Igualmente, 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w:t>
      </w:r>
    </w:p>
    <w:p w14:paraId="42E98784" w14:textId="0AF13D5C" w:rsidR="00804ADE" w:rsidRPr="00C02598" w:rsidRDefault="00804ADE" w:rsidP="00804ADE">
      <w:pPr>
        <w:spacing w:after="120" w:line="276" w:lineRule="auto"/>
        <w:ind w:firstLine="708"/>
        <w:jc w:val="both"/>
        <w:rPr>
          <w:rFonts w:ascii="Geomanist Light" w:eastAsiaTheme="minorHAnsi" w:hAnsi="Geomanist Light" w:cs="Arial"/>
          <w:sz w:val="22"/>
          <w:szCs w:val="22"/>
          <w:lang w:val="es-ES" w:eastAsia="en-US"/>
        </w:rPr>
      </w:pPr>
      <w:r w:rsidRPr="00C02598">
        <w:rPr>
          <w:rFonts w:ascii="Geomanist Light" w:eastAsiaTheme="minorHAnsi" w:hAnsi="Geomanist Light" w:cs="Arial"/>
          <w:sz w:val="22"/>
          <w:szCs w:val="22"/>
          <w:lang w:val="es-ES" w:eastAsia="en-US"/>
        </w:rPr>
        <w:t>La «Matriz -Experiencia Sector Educativo», de los documentos tipo complementarios que se adoptaron con la Resolución 220 del 6 de agosto de 2021</w:t>
      </w:r>
      <w:r w:rsidRPr="00C02598">
        <w:rPr>
          <w:rFonts w:ascii="Geomanist Light" w:eastAsia="Calibri" w:hAnsi="Geomanist Light" w:cs="Arial"/>
          <w:sz w:val="22"/>
        </w:rPr>
        <w:t xml:space="preserve"> y las modificaciones efectuadas por la Resolución 275 de 2022, </w:t>
      </w:r>
      <w:r w:rsidRPr="00C02598">
        <w:rPr>
          <w:rFonts w:ascii="Geomanist Light" w:eastAsiaTheme="minorHAnsi" w:hAnsi="Geomanist Light" w:cs="Arial"/>
          <w:sz w:val="22"/>
          <w:szCs w:val="22"/>
          <w:lang w:val="es-ES" w:eastAsia="en-US"/>
        </w:rPr>
        <w:t xml:space="preserve">aplica a cuatro (4) tipos de obras: i) obras en infraestructura vertical en instituciones educativas, ii) obras en infraestructura recreo-deportiva y cultural en instituciones educativas, iii) obras en vías de acceso y/o parqueaderos y/o zonas de circulación –vehicular y/o peatonal– en instituciones educativas y iv) obras en bibliotecas públicas. </w:t>
      </w:r>
    </w:p>
    <w:p w14:paraId="75C2C7F8" w14:textId="19021C0D" w:rsidR="00804ADE" w:rsidRPr="00C02598" w:rsidRDefault="004F06D5" w:rsidP="004F06D5">
      <w:pPr>
        <w:spacing w:after="120" w:line="276" w:lineRule="auto"/>
        <w:ind w:firstLine="709"/>
        <w:jc w:val="both"/>
        <w:rPr>
          <w:rFonts w:ascii="Geomanist Light" w:eastAsia="Calibri" w:hAnsi="Geomanist Light" w:cs="Arial"/>
          <w:sz w:val="22"/>
          <w:lang w:val="es-ES_tradnl"/>
        </w:rPr>
      </w:pPr>
      <w:r w:rsidRPr="00C02598">
        <w:rPr>
          <w:rFonts w:ascii="Geomanist Light" w:hAnsi="Geomanist Light" w:cs="Arial"/>
          <w:sz w:val="22"/>
        </w:rPr>
        <w:t xml:space="preserve">De las referidas </w:t>
      </w:r>
      <w:r w:rsidR="00F4449C" w:rsidRPr="00C02598">
        <w:rPr>
          <w:rFonts w:ascii="Geomanist Light" w:hAnsi="Geomanist Light" w:cs="Arial"/>
          <w:sz w:val="22"/>
        </w:rPr>
        <w:t>obras</w:t>
      </w:r>
      <w:r w:rsidRPr="00C02598">
        <w:rPr>
          <w:rFonts w:ascii="Geomanist Light" w:hAnsi="Geomanist Light" w:cs="Arial"/>
          <w:sz w:val="22"/>
        </w:rPr>
        <w:t xml:space="preserve">, </w:t>
      </w:r>
      <w:r w:rsidRPr="00C02598">
        <w:rPr>
          <w:rFonts w:ascii="Geomanist Light" w:eastAsia="Calibri" w:hAnsi="Geomanist Light" w:cs="Arial"/>
          <w:sz w:val="22"/>
          <w:lang w:val="es-ES_tradnl"/>
        </w:rPr>
        <w:t xml:space="preserve">las correspondientes a los numerales 1, 2 y 3 de la matriz de experiencia solo aplican a las obras en </w:t>
      </w:r>
      <w:r w:rsidRPr="00C02598">
        <w:rPr>
          <w:rFonts w:ascii="Geomanist Light" w:eastAsia="Calibri" w:hAnsi="Geomanist Light" w:cs="Arial"/>
          <w:i/>
          <w:iCs/>
          <w:sz w:val="22"/>
          <w:lang w:val="es-ES_tradnl"/>
        </w:rPr>
        <w:t xml:space="preserve">instituciones educativas, </w:t>
      </w:r>
      <w:r w:rsidRPr="00C02598">
        <w:rPr>
          <w:rFonts w:ascii="Geomanist Light" w:eastAsia="Calibri" w:hAnsi="Geomanist Light" w:cs="Arial"/>
          <w:sz w:val="22"/>
          <w:lang w:val="es-ES_tradnl"/>
        </w:rPr>
        <w:t>término definido en el numeral 2.61 del «Anexo – Glosario Sector Educativo» como «Conjunto de personas y bienes promovida por las autoridades públicas o por particulares, cuya finalidad es prestar un año de educación preescolar y nueve (9) grados de educación básica como mínimo y la media. Deben contar con licencia de funcionamiento o reconocimiento de carácter oficial, disponer de la infraestructura administrativa, soportes pedagógicos, planta física y medios educativos adecuados</w:t>
      </w:r>
      <w:r w:rsidR="00F4449C" w:rsidRPr="00C02598">
        <w:rPr>
          <w:rFonts w:ascii="Geomanist Light" w:eastAsia="Calibri" w:hAnsi="Geomanist Light" w:cs="Arial"/>
          <w:sz w:val="22"/>
          <w:lang w:val="es-ES_tradnl"/>
        </w:rPr>
        <w:t xml:space="preserve"> […]». Por tanto, siempre que el objeto esté relacionado con estas instituciones educativas, los documentos tipo adoptados mediante las Resoluciones 219 y 220 del 6 de agosto de 2021 son obligatorios para las entidades sometidas al Estatuto General de Contratación de la Administración Pública que contraten la ejecución de obras públicas de </w:t>
      </w:r>
      <w:r w:rsidR="00350983" w:rsidRPr="00C02598">
        <w:rPr>
          <w:rFonts w:ascii="Geomanist Light" w:eastAsia="Calibri" w:hAnsi="Geomanist Light" w:cs="Arial"/>
          <w:sz w:val="22"/>
          <w:lang w:val="es-ES_tradnl"/>
        </w:rPr>
        <w:t xml:space="preserve">infraestructura social del sector educativo a través de licitación pública. </w:t>
      </w:r>
    </w:p>
    <w:p w14:paraId="5D0BC7B3" w14:textId="08E17894" w:rsidR="000D730B" w:rsidRPr="00C02598" w:rsidRDefault="007E7F71" w:rsidP="007E7F71">
      <w:pPr>
        <w:spacing w:before="120" w:after="120" w:line="276" w:lineRule="auto"/>
        <w:ind w:firstLine="708"/>
        <w:jc w:val="both"/>
        <w:rPr>
          <w:rFonts w:ascii="Geomanist Light" w:eastAsiaTheme="minorHAnsi" w:hAnsi="Geomanist Light" w:cs="Arial"/>
          <w:sz w:val="20"/>
          <w:szCs w:val="20"/>
          <w:lang w:eastAsia="en-US"/>
        </w:rPr>
      </w:pPr>
      <w:r w:rsidRPr="00C02598">
        <w:rPr>
          <w:rFonts w:ascii="Geomanist Light" w:eastAsiaTheme="minorHAnsi" w:hAnsi="Geomanist Light" w:cs="Arial"/>
          <w:sz w:val="22"/>
          <w:szCs w:val="22"/>
          <w:lang w:eastAsia="en-US"/>
        </w:rPr>
        <w:t>Ahora bien,</w:t>
      </w:r>
      <w:r w:rsidR="00350983" w:rsidRPr="00C02598">
        <w:rPr>
          <w:rFonts w:ascii="Geomanist Light" w:eastAsiaTheme="minorHAnsi" w:hAnsi="Geomanist Light" w:cs="Arial"/>
          <w:sz w:val="22"/>
          <w:szCs w:val="22"/>
          <w:lang w:eastAsia="en-US"/>
        </w:rPr>
        <w:t xml:space="preserve"> usted pregunta: ¿si los requisitos de experiencia general o específica solicitada debe adelantarse en instituciones educativas? Al respecto es importante señalar que</w:t>
      </w:r>
      <w:r w:rsidRPr="00C02598">
        <w:rPr>
          <w:rFonts w:ascii="Geomanist Light" w:eastAsiaTheme="minorHAnsi" w:hAnsi="Geomanist Light" w:cs="Arial"/>
          <w:sz w:val="22"/>
          <w:szCs w:val="22"/>
          <w:lang w:eastAsia="en-US"/>
        </w:rPr>
        <w:t xml:space="preserve"> los requisitos de experiencia contemplados </w:t>
      </w:r>
      <w:r w:rsidR="000D730B" w:rsidRPr="00C02598">
        <w:rPr>
          <w:rFonts w:ascii="Geomanist Light" w:eastAsiaTheme="minorHAnsi" w:hAnsi="Geomanist Light" w:cs="Arial"/>
          <w:sz w:val="22"/>
          <w:szCs w:val="22"/>
          <w:lang w:eastAsia="en-US"/>
        </w:rPr>
        <w:t>en</w:t>
      </w:r>
      <w:r w:rsidRPr="00C02598">
        <w:rPr>
          <w:rFonts w:ascii="Geomanist Light" w:eastAsiaTheme="minorHAnsi" w:hAnsi="Geomanist Light" w:cs="Arial"/>
          <w:sz w:val="22"/>
          <w:szCs w:val="22"/>
          <w:lang w:eastAsia="en-US"/>
        </w:rPr>
        <w:t xml:space="preserve"> la </w:t>
      </w:r>
      <w:r w:rsidR="00350983" w:rsidRPr="00C02598">
        <w:rPr>
          <w:rFonts w:ascii="Geomanist Light" w:eastAsiaTheme="minorHAnsi" w:hAnsi="Geomanist Light" w:cs="Arial"/>
          <w:sz w:val="22"/>
          <w:szCs w:val="22"/>
          <w:lang w:eastAsia="en-US"/>
        </w:rPr>
        <w:t>«</w:t>
      </w:r>
      <w:r w:rsidRPr="00C02598">
        <w:rPr>
          <w:rFonts w:ascii="Geomanist Light" w:eastAsiaTheme="minorHAnsi" w:hAnsi="Geomanist Light" w:cs="Arial"/>
          <w:sz w:val="22"/>
          <w:szCs w:val="22"/>
          <w:lang w:eastAsia="en-US"/>
        </w:rPr>
        <w:t xml:space="preserve">Matriz </w:t>
      </w:r>
      <w:r w:rsidR="00350983" w:rsidRPr="00C02598">
        <w:rPr>
          <w:rFonts w:ascii="Geomanist Light" w:eastAsiaTheme="minorHAnsi" w:hAnsi="Geomanist Light" w:cs="Arial"/>
          <w:sz w:val="22"/>
          <w:szCs w:val="22"/>
          <w:lang w:eastAsia="en-US"/>
        </w:rPr>
        <w:t xml:space="preserve"> – Experiencia</w:t>
      </w:r>
      <w:r w:rsidR="000D730B" w:rsidRPr="00C02598">
        <w:rPr>
          <w:rFonts w:ascii="Geomanist Light" w:eastAsiaTheme="minorHAnsi" w:hAnsi="Geomanist Light" w:cs="Arial"/>
          <w:sz w:val="22"/>
          <w:szCs w:val="22"/>
          <w:lang w:eastAsia="en-US"/>
        </w:rPr>
        <w:t xml:space="preserve"> del sector educativo</w:t>
      </w:r>
      <w:r w:rsidR="00350983" w:rsidRPr="00C02598">
        <w:rPr>
          <w:rFonts w:ascii="Geomanist Light" w:eastAsiaTheme="minorHAnsi" w:hAnsi="Geomanist Light" w:cs="Arial"/>
          <w:sz w:val="22"/>
          <w:szCs w:val="22"/>
          <w:lang w:eastAsia="en-US"/>
        </w:rPr>
        <w:t>»</w:t>
      </w:r>
      <w:r w:rsidRPr="00C02598">
        <w:rPr>
          <w:rFonts w:ascii="Geomanist Light" w:eastAsiaTheme="minorHAnsi" w:hAnsi="Geomanist Light" w:cs="Arial"/>
          <w:sz w:val="22"/>
          <w:szCs w:val="22"/>
          <w:lang w:eastAsia="en-US"/>
        </w:rPr>
        <w:t xml:space="preserve"> consisten en exigir al proponente aportar contratos </w:t>
      </w:r>
      <w:r w:rsidR="000D730B" w:rsidRPr="00C02598">
        <w:rPr>
          <w:rFonts w:ascii="Geomanist Light" w:eastAsiaTheme="minorHAnsi" w:hAnsi="Geomanist Light" w:cs="Arial"/>
          <w:sz w:val="22"/>
          <w:szCs w:val="22"/>
          <w:lang w:eastAsia="en-US"/>
        </w:rPr>
        <w:t>relacionados en construcción, ampliación, terminación, remodelación, reforzamiento, adecuación, rehabilitación u otro tipo de actividad de obra pública en edificaciones</w:t>
      </w:r>
      <w:r w:rsidRPr="00C02598">
        <w:rPr>
          <w:rFonts w:ascii="Geomanist Light" w:eastAsiaTheme="minorHAnsi" w:hAnsi="Geomanist Light" w:cs="Arial"/>
          <w:sz w:val="22"/>
          <w:szCs w:val="22"/>
          <w:lang w:eastAsia="en-US"/>
        </w:rPr>
        <w:t>.</w:t>
      </w:r>
      <w:r w:rsidR="001F3DBD" w:rsidRPr="00C02598">
        <w:rPr>
          <w:rFonts w:ascii="Geomanist Light" w:eastAsiaTheme="minorHAnsi" w:hAnsi="Geomanist Light" w:cs="Arial"/>
          <w:sz w:val="22"/>
          <w:szCs w:val="22"/>
          <w:lang w:eastAsia="en-US"/>
        </w:rPr>
        <w:t xml:space="preserve"> Conviene </w:t>
      </w:r>
      <w:r w:rsidR="000D730B" w:rsidRPr="00C02598">
        <w:rPr>
          <w:rFonts w:ascii="Geomanist Light" w:eastAsiaTheme="minorHAnsi" w:hAnsi="Geomanist Light" w:cs="Arial"/>
          <w:sz w:val="22"/>
          <w:szCs w:val="22"/>
          <w:lang w:eastAsia="en-US"/>
        </w:rPr>
        <w:t>precisar que, el Glosario</w:t>
      </w:r>
      <w:r w:rsidR="001F3DBD" w:rsidRPr="00C02598">
        <w:rPr>
          <w:rFonts w:ascii="Geomanist Light" w:eastAsiaTheme="minorHAnsi" w:hAnsi="Geomanist Light" w:cs="Arial"/>
          <w:sz w:val="22"/>
          <w:szCs w:val="22"/>
          <w:lang w:eastAsia="en-US"/>
        </w:rPr>
        <w:t xml:space="preserve"> define</w:t>
      </w:r>
      <w:r w:rsidR="000D730B" w:rsidRPr="00C02598">
        <w:rPr>
          <w:rFonts w:ascii="Geomanist Light" w:eastAsiaTheme="minorHAnsi" w:hAnsi="Geomanist Light" w:cs="Arial"/>
          <w:sz w:val="22"/>
          <w:szCs w:val="22"/>
          <w:lang w:eastAsia="en-US"/>
        </w:rPr>
        <w:t xml:space="preserve"> a las edificaciones como: </w:t>
      </w:r>
      <w:r w:rsidR="000D730B" w:rsidRPr="00C02598">
        <w:rPr>
          <w:rFonts w:ascii="Geomanist Light" w:eastAsiaTheme="minorHAnsi" w:hAnsi="Geomanist Light" w:cs="Arial"/>
          <w:b/>
          <w:bCs/>
          <w:sz w:val="22"/>
          <w:szCs w:val="22"/>
          <w:lang w:eastAsia="en-US"/>
        </w:rPr>
        <w:t xml:space="preserve">«2.39. </w:t>
      </w:r>
      <w:r w:rsidR="000D730B" w:rsidRPr="00C02598">
        <w:rPr>
          <w:rFonts w:ascii="Geomanist Light" w:eastAsiaTheme="minorHAnsi" w:hAnsi="Geomanist Light" w:cs="Arial"/>
          <w:b/>
          <w:bCs/>
          <w:i/>
          <w:iCs/>
          <w:sz w:val="22"/>
          <w:szCs w:val="22"/>
          <w:lang w:eastAsia="en-US"/>
        </w:rPr>
        <w:t xml:space="preserve">Edificación. </w:t>
      </w:r>
      <w:r w:rsidR="000D730B" w:rsidRPr="00C02598">
        <w:rPr>
          <w:rFonts w:ascii="Geomanist Light" w:eastAsiaTheme="minorHAnsi" w:hAnsi="Geomanist Light" w:cs="Arial"/>
          <w:i/>
          <w:iCs/>
          <w:sz w:val="22"/>
          <w:szCs w:val="22"/>
          <w:lang w:eastAsia="en-US"/>
        </w:rPr>
        <w:t>Construcción cuyo uso primordial es la habilitación u ocupación por seres vivos».</w:t>
      </w:r>
      <w:r w:rsidR="001F3DBD" w:rsidRPr="00C02598">
        <w:rPr>
          <w:rFonts w:ascii="Geomanist Light" w:eastAsiaTheme="minorHAnsi" w:hAnsi="Geomanist Light" w:cs="Arial"/>
          <w:sz w:val="22"/>
          <w:szCs w:val="22"/>
          <w:lang w:eastAsia="en-US"/>
        </w:rPr>
        <w:t xml:space="preserve"> En otras palabras, en la matriz de experiencia del sector educativo es válida la experiencia de obra pública realizada a cualquier construcción que esté ocupada por seres vivos, ya sea, colegios, hospitales, oficinas, entre otros. </w:t>
      </w:r>
    </w:p>
    <w:p w14:paraId="7553B8A8" w14:textId="1A4E56A1" w:rsidR="000D730B" w:rsidRPr="00C02598" w:rsidRDefault="007E7F71" w:rsidP="001F3DBD">
      <w:pPr>
        <w:spacing w:before="120" w:after="120" w:line="276" w:lineRule="auto"/>
        <w:ind w:firstLine="708"/>
        <w:jc w:val="both"/>
        <w:rPr>
          <w:rFonts w:ascii="Geomanist Light" w:eastAsiaTheme="minorHAnsi" w:hAnsi="Geomanist Light" w:cs="Arial"/>
          <w:sz w:val="22"/>
          <w:szCs w:val="22"/>
          <w:lang w:eastAsia="en-US"/>
        </w:rPr>
      </w:pPr>
      <w:r w:rsidRPr="00C02598">
        <w:rPr>
          <w:rFonts w:ascii="Geomanist Light" w:eastAsiaTheme="minorHAnsi" w:hAnsi="Geomanist Light" w:cs="Arial"/>
          <w:sz w:val="22"/>
          <w:szCs w:val="22"/>
          <w:lang w:eastAsia="en-US"/>
        </w:rPr>
        <w:t>Así, por ejemplo, en relación con el tipo de «</w:t>
      </w:r>
      <w:r w:rsidR="00365F1F" w:rsidRPr="00C02598">
        <w:rPr>
          <w:rFonts w:ascii="Geomanist Light" w:eastAsiaTheme="minorHAnsi" w:hAnsi="Geomanist Light" w:cs="Arial"/>
          <w:sz w:val="22"/>
          <w:szCs w:val="22"/>
          <w:lang w:eastAsia="en-US"/>
        </w:rPr>
        <w:t>OBRAS EN INFRAESTRUCTURA VERTICAL EN INSTITUCIONES EDUCATIVAS</w:t>
      </w:r>
      <w:r w:rsidRPr="00C02598">
        <w:rPr>
          <w:rFonts w:ascii="Geomanist Light" w:eastAsiaTheme="minorHAnsi" w:hAnsi="Geomanist Light" w:cs="Arial"/>
          <w:sz w:val="22"/>
          <w:szCs w:val="22"/>
          <w:lang w:eastAsia="en-US"/>
        </w:rPr>
        <w:t>» frente a la actividad «</w:t>
      </w:r>
      <w:r w:rsidR="0052648C" w:rsidRPr="00C02598">
        <w:rPr>
          <w:rFonts w:ascii="Geomanist Light" w:eastAsiaTheme="minorHAnsi" w:hAnsi="Geomanist Light" w:cs="Arial"/>
          <w:sz w:val="22"/>
          <w:szCs w:val="22"/>
          <w:lang w:eastAsia="en-US"/>
        </w:rPr>
        <w:t>1.10. PROYECTOS DE MANTENIMIENTO O INTERVENCIÓN DE CUBIERTAS DE INSTITUCIONES EDUCATIVAS</w:t>
      </w:r>
      <w:r w:rsidRPr="00C02598">
        <w:rPr>
          <w:rFonts w:ascii="Geomanist Light" w:eastAsiaTheme="minorHAnsi" w:hAnsi="Geomanist Light" w:cs="Arial"/>
          <w:sz w:val="22"/>
          <w:szCs w:val="22"/>
          <w:lang w:eastAsia="en-US"/>
        </w:rPr>
        <w:t>», establece como requisito de experiencia general la «</w:t>
      </w:r>
      <w:r w:rsidR="0052648C" w:rsidRPr="00C02598">
        <w:rPr>
          <w:rFonts w:ascii="Geomanist Light" w:eastAsiaTheme="minorHAnsi" w:hAnsi="Geomanist Light" w:cs="Arial"/>
          <w:sz w:val="22"/>
          <w:szCs w:val="22"/>
          <w:lang w:eastAsia="en-US"/>
        </w:rPr>
        <w:t>CONSTRUCCIÓN Y/O AMPLIACIÓN Y/O REMODELACIÓN Y/O REFORZAMIENTO Y/O ADECUACIÓN Y/O MANTENIMIENTO Y/O MEJORAMIENTO Y/O MODIFICACIÓN Y/O REPARACIONES DE EDIFICACIONES</w:t>
      </w:r>
      <w:r w:rsidRPr="00C02598">
        <w:rPr>
          <w:rFonts w:ascii="Geomanist Light" w:eastAsiaTheme="minorHAnsi" w:hAnsi="Geomanist Light" w:cs="Arial"/>
          <w:sz w:val="22"/>
          <w:szCs w:val="22"/>
          <w:lang w:eastAsia="en-US"/>
        </w:rPr>
        <w:t>». Aquel será el requisito de experiencia general que deberá consignar</w:t>
      </w:r>
      <w:r w:rsidR="00365F1F" w:rsidRPr="00C02598">
        <w:rPr>
          <w:rFonts w:ascii="Geomanist Light" w:eastAsiaTheme="minorHAnsi" w:hAnsi="Geomanist Light" w:cs="Arial"/>
          <w:sz w:val="22"/>
          <w:szCs w:val="22"/>
          <w:lang w:eastAsia="en-US"/>
        </w:rPr>
        <w:t>.</w:t>
      </w:r>
      <w:r w:rsidR="000D730B" w:rsidRPr="00C02598">
        <w:rPr>
          <w:rFonts w:ascii="Geomanist Light" w:eastAsiaTheme="minorHAnsi" w:hAnsi="Geomanist Light" w:cs="Arial"/>
          <w:sz w:val="22"/>
          <w:szCs w:val="22"/>
          <w:lang w:eastAsia="en-US"/>
        </w:rPr>
        <w:t xml:space="preserve"> Por su parte, la experiencia específica se requiere que por lo menos uno (1) de los contratos válidos aportados como experiencia general debe contemplar actividades de intervención de cubiertas para edificaciones.</w:t>
      </w:r>
      <w:r w:rsidR="001F3DBD" w:rsidRPr="00C02598">
        <w:rPr>
          <w:rFonts w:ascii="Geomanist Light" w:eastAsiaTheme="minorHAnsi" w:hAnsi="Geomanist Light" w:cs="Arial"/>
          <w:sz w:val="22"/>
          <w:szCs w:val="22"/>
          <w:lang w:eastAsia="en-US"/>
        </w:rPr>
        <w:t xml:space="preserve"> </w:t>
      </w:r>
    </w:p>
    <w:p w14:paraId="78E66647" w14:textId="0AE79B2E" w:rsidR="004F06D5" w:rsidRPr="00C02598" w:rsidRDefault="00365F1F" w:rsidP="00886916">
      <w:pPr>
        <w:spacing w:line="276" w:lineRule="auto"/>
        <w:ind w:firstLine="709"/>
        <w:jc w:val="both"/>
        <w:rPr>
          <w:rFonts w:ascii="Geomanist Light" w:eastAsiaTheme="minorHAnsi" w:hAnsi="Geomanist Light" w:cs="Arial"/>
          <w:sz w:val="22"/>
          <w:szCs w:val="22"/>
          <w:lang w:eastAsia="en-US"/>
        </w:rPr>
      </w:pPr>
      <w:r w:rsidRPr="00C02598">
        <w:rPr>
          <w:rFonts w:ascii="Geomanist Light" w:eastAsiaTheme="minorHAnsi" w:hAnsi="Geomanist Light" w:cs="Arial"/>
          <w:sz w:val="22"/>
          <w:szCs w:val="22"/>
          <w:lang w:eastAsia="en-US"/>
        </w:rPr>
        <w:t xml:space="preserve">Nótese que dicho requisito de experiencia general </w:t>
      </w:r>
      <w:r w:rsidR="000D730B" w:rsidRPr="00C02598">
        <w:rPr>
          <w:rFonts w:ascii="Geomanist Light" w:eastAsiaTheme="minorHAnsi" w:hAnsi="Geomanist Light" w:cs="Arial"/>
          <w:sz w:val="22"/>
          <w:szCs w:val="22"/>
          <w:lang w:eastAsia="en-US"/>
        </w:rPr>
        <w:t xml:space="preserve">y específica </w:t>
      </w:r>
      <w:r w:rsidRPr="00C02598">
        <w:rPr>
          <w:rFonts w:ascii="Geomanist Light" w:eastAsiaTheme="minorHAnsi" w:hAnsi="Geomanist Light" w:cs="Arial"/>
          <w:sz w:val="22"/>
          <w:szCs w:val="22"/>
          <w:lang w:eastAsia="en-US"/>
        </w:rPr>
        <w:t xml:space="preserve">no exige </w:t>
      </w:r>
      <w:r w:rsidR="0052648C" w:rsidRPr="00C02598">
        <w:rPr>
          <w:rFonts w:ascii="Geomanist Light" w:eastAsiaTheme="minorHAnsi" w:hAnsi="Geomanist Light" w:cs="Arial"/>
          <w:sz w:val="22"/>
          <w:szCs w:val="22"/>
          <w:lang w:eastAsia="en-US"/>
        </w:rPr>
        <w:t xml:space="preserve">que </w:t>
      </w:r>
      <w:r w:rsidR="000D730B" w:rsidRPr="00C02598">
        <w:rPr>
          <w:rFonts w:ascii="Geomanist Light" w:eastAsiaTheme="minorHAnsi" w:hAnsi="Geomanist Light" w:cs="Arial"/>
          <w:sz w:val="22"/>
          <w:szCs w:val="22"/>
          <w:lang w:eastAsia="en-US"/>
        </w:rPr>
        <w:t xml:space="preserve">la actividad de obra se haya ejecutado </w:t>
      </w:r>
      <w:r w:rsidR="0052648C" w:rsidRPr="00C02598">
        <w:rPr>
          <w:rFonts w:ascii="Geomanist Light" w:eastAsiaTheme="minorHAnsi" w:hAnsi="Geomanist Light" w:cs="Arial"/>
          <w:sz w:val="22"/>
          <w:szCs w:val="22"/>
          <w:lang w:eastAsia="en-US"/>
        </w:rPr>
        <w:t xml:space="preserve">propiamente </w:t>
      </w:r>
      <w:r w:rsidR="000D730B" w:rsidRPr="00C02598">
        <w:rPr>
          <w:rFonts w:ascii="Geomanist Light" w:eastAsiaTheme="minorHAnsi" w:hAnsi="Geomanist Light" w:cs="Arial"/>
          <w:sz w:val="22"/>
          <w:szCs w:val="22"/>
          <w:lang w:eastAsia="en-US"/>
        </w:rPr>
        <w:t xml:space="preserve">en </w:t>
      </w:r>
      <w:r w:rsidR="0052648C" w:rsidRPr="00C02598">
        <w:rPr>
          <w:rFonts w:ascii="Geomanist Light" w:eastAsiaTheme="minorHAnsi" w:hAnsi="Geomanist Light" w:cs="Arial"/>
          <w:sz w:val="22"/>
          <w:szCs w:val="22"/>
          <w:lang w:eastAsia="en-US"/>
        </w:rPr>
        <w:t>una institución educativa</w:t>
      </w:r>
      <w:r w:rsidR="000D730B" w:rsidRPr="00C02598">
        <w:rPr>
          <w:rFonts w:ascii="Geomanist Light" w:eastAsiaTheme="minorHAnsi" w:hAnsi="Geomanist Light" w:cs="Arial"/>
          <w:sz w:val="22"/>
          <w:szCs w:val="22"/>
          <w:lang w:eastAsia="en-US"/>
        </w:rPr>
        <w:t>.</w:t>
      </w:r>
      <w:r w:rsidR="001F3DBD" w:rsidRPr="00C02598">
        <w:rPr>
          <w:rFonts w:ascii="Geomanist Light" w:eastAsiaTheme="minorHAnsi" w:hAnsi="Geomanist Light" w:cs="Arial"/>
          <w:sz w:val="22"/>
          <w:szCs w:val="22"/>
          <w:lang w:eastAsia="en-US"/>
        </w:rPr>
        <w:t xml:space="preserve">, es decir, </w:t>
      </w:r>
      <w:r w:rsidR="000D730B" w:rsidRPr="00C02598">
        <w:rPr>
          <w:rFonts w:ascii="Geomanist Light" w:eastAsiaTheme="minorHAnsi" w:hAnsi="Geomanist Light" w:cs="Arial"/>
          <w:sz w:val="22"/>
          <w:szCs w:val="22"/>
          <w:lang w:eastAsia="en-US"/>
        </w:rPr>
        <w:t xml:space="preserve">será válida la actividad de obra pública en cualquier tipo de edificación, ya sea, un hospital, </w:t>
      </w:r>
      <w:r w:rsidR="001F3DBD" w:rsidRPr="00C02598">
        <w:rPr>
          <w:rFonts w:ascii="Geomanist Light" w:eastAsiaTheme="minorHAnsi" w:hAnsi="Geomanist Light" w:cs="Arial"/>
          <w:sz w:val="22"/>
          <w:szCs w:val="22"/>
          <w:lang w:eastAsia="en-US"/>
        </w:rPr>
        <w:t xml:space="preserve">una oficina, museos, aeropuertos, entre otros. </w:t>
      </w:r>
      <w:r w:rsidR="00886916" w:rsidRPr="00C02598">
        <w:rPr>
          <w:rFonts w:ascii="Geomanist Light" w:eastAsiaTheme="minorHAnsi" w:hAnsi="Geomanist Light" w:cs="Arial"/>
          <w:sz w:val="22"/>
          <w:szCs w:val="22"/>
          <w:lang w:eastAsia="en-US"/>
        </w:rPr>
        <w:t xml:space="preserve">Cabe señalar que, para permitir la pluralidad de oferentes no es posible restringir la acreditación de la experiencia únicamente a proponentes que hayan ejecutado obras en </w:t>
      </w:r>
      <w:r w:rsidR="001F3DBD" w:rsidRPr="00C02598">
        <w:rPr>
          <w:rFonts w:ascii="Geomanist Light" w:eastAsiaTheme="minorHAnsi" w:hAnsi="Geomanist Light" w:cs="Arial"/>
          <w:sz w:val="22"/>
          <w:szCs w:val="22"/>
          <w:lang w:eastAsia="en-US"/>
        </w:rPr>
        <w:t>instituciones educativas. E</w:t>
      </w:r>
      <w:r w:rsidR="00886916" w:rsidRPr="00C02598">
        <w:rPr>
          <w:rFonts w:ascii="Geomanist Light" w:eastAsiaTheme="minorHAnsi" w:hAnsi="Geomanist Light" w:cs="Arial"/>
          <w:sz w:val="22"/>
          <w:szCs w:val="22"/>
          <w:lang w:eastAsia="en-US"/>
        </w:rPr>
        <w:t xml:space="preserve">n ese sentido, el </w:t>
      </w:r>
      <w:r w:rsidR="0052648C" w:rsidRPr="00C02598">
        <w:rPr>
          <w:rFonts w:ascii="Geomanist Light" w:eastAsiaTheme="minorHAnsi" w:hAnsi="Geomanist Light" w:cs="Arial"/>
          <w:sz w:val="22"/>
          <w:szCs w:val="22"/>
          <w:lang w:val="es-MX" w:eastAsia="en-US"/>
        </w:rPr>
        <w:t xml:space="preserve">requisito </w:t>
      </w:r>
      <w:r w:rsidR="001F3DBD" w:rsidRPr="00C02598">
        <w:rPr>
          <w:rFonts w:ascii="Geomanist Light" w:eastAsiaTheme="minorHAnsi" w:hAnsi="Geomanist Light" w:cs="Arial"/>
          <w:sz w:val="22"/>
          <w:szCs w:val="22"/>
          <w:lang w:val="es-MX" w:eastAsia="en-US"/>
        </w:rPr>
        <w:t xml:space="preserve">de experiencia </w:t>
      </w:r>
      <w:r w:rsidR="0052648C" w:rsidRPr="00C02598">
        <w:rPr>
          <w:rFonts w:ascii="Geomanist Light" w:eastAsiaTheme="minorHAnsi" w:hAnsi="Geomanist Light" w:cs="Arial"/>
          <w:sz w:val="22"/>
          <w:szCs w:val="22"/>
          <w:lang w:val="es-MX" w:eastAsia="en-US"/>
        </w:rPr>
        <w:t xml:space="preserve">que corresponde </w:t>
      </w:r>
      <w:r w:rsidR="00886916" w:rsidRPr="00C02598">
        <w:rPr>
          <w:rFonts w:ascii="Geomanist Light" w:eastAsiaTheme="minorHAnsi" w:hAnsi="Geomanist Light" w:cs="Arial"/>
          <w:sz w:val="22"/>
          <w:szCs w:val="22"/>
          <w:lang w:val="es-MX" w:eastAsia="en-US"/>
        </w:rPr>
        <w:t xml:space="preserve">a </w:t>
      </w:r>
      <w:r w:rsidR="0052648C" w:rsidRPr="00C02598">
        <w:rPr>
          <w:rFonts w:ascii="Geomanist Light" w:eastAsiaTheme="minorHAnsi" w:hAnsi="Geomanist Light" w:cs="Arial"/>
          <w:sz w:val="22"/>
          <w:szCs w:val="22"/>
          <w:lang w:val="es-MX" w:eastAsia="en-US"/>
        </w:rPr>
        <w:t xml:space="preserve">acreditar </w:t>
      </w:r>
      <w:r w:rsidR="001F3DBD" w:rsidRPr="00C02598">
        <w:rPr>
          <w:rFonts w:ascii="Geomanist Light" w:eastAsiaTheme="minorHAnsi" w:hAnsi="Geomanist Light" w:cs="Arial"/>
          <w:sz w:val="22"/>
          <w:szCs w:val="22"/>
          <w:lang w:val="es-MX" w:eastAsia="en-US"/>
        </w:rPr>
        <w:t>al oferente en la «</w:t>
      </w:r>
      <w:r w:rsidR="00886916" w:rsidRPr="00C02598">
        <w:rPr>
          <w:rFonts w:ascii="Geomanist Light" w:eastAsiaTheme="minorHAnsi" w:hAnsi="Geomanist Light" w:cs="Arial"/>
          <w:sz w:val="22"/>
          <w:szCs w:val="22"/>
          <w:lang w:val="es-MX" w:eastAsia="en-US"/>
        </w:rPr>
        <w:t>Matriz  – Experiencia del Sector Educativo</w:t>
      </w:r>
      <w:r w:rsidR="001F3DBD" w:rsidRPr="00C02598">
        <w:rPr>
          <w:rFonts w:ascii="Geomanist Light" w:eastAsiaTheme="minorHAnsi" w:hAnsi="Geomanist Light" w:cs="Arial"/>
          <w:sz w:val="22"/>
          <w:szCs w:val="22"/>
          <w:lang w:val="es-MX" w:eastAsia="en-US"/>
        </w:rPr>
        <w:t>»</w:t>
      </w:r>
      <w:r w:rsidR="0052648C" w:rsidRPr="00C02598">
        <w:rPr>
          <w:rFonts w:ascii="Geomanist Light" w:eastAsiaTheme="minorHAnsi" w:hAnsi="Geomanist Light" w:cs="Arial"/>
          <w:sz w:val="22"/>
          <w:szCs w:val="22"/>
          <w:lang w:val="es-MX" w:eastAsia="en-US"/>
        </w:rPr>
        <w:t xml:space="preserve">, </w:t>
      </w:r>
      <w:r w:rsidR="001F3DBD" w:rsidRPr="00C02598">
        <w:rPr>
          <w:rFonts w:ascii="Geomanist Light" w:eastAsiaTheme="minorHAnsi" w:hAnsi="Geomanist Light" w:cs="Arial"/>
          <w:sz w:val="22"/>
          <w:szCs w:val="22"/>
          <w:lang w:val="es-MX" w:eastAsia="en-US"/>
        </w:rPr>
        <w:t xml:space="preserve">es alguna actividad de obra pública en una edificación. </w:t>
      </w:r>
    </w:p>
    <w:p w14:paraId="564033EE" w14:textId="77777777" w:rsidR="000D730B" w:rsidRPr="00C02598" w:rsidRDefault="000D730B" w:rsidP="00C02598">
      <w:pPr>
        <w:spacing w:line="276" w:lineRule="auto"/>
        <w:jc w:val="both"/>
        <w:rPr>
          <w:rFonts w:ascii="Geomanist Light" w:eastAsia="Calibri" w:hAnsi="Geomanist Light" w:cs="Arial"/>
          <w:sz w:val="22"/>
          <w:szCs w:val="22"/>
          <w:lang w:eastAsia="en-US"/>
        </w:rPr>
      </w:pPr>
    </w:p>
    <w:p w14:paraId="1668A737" w14:textId="77777777" w:rsidR="004F06D5" w:rsidRPr="00C02598" w:rsidRDefault="004F06D5" w:rsidP="004F06D5">
      <w:pPr>
        <w:rPr>
          <w:rFonts w:ascii="Geomanist Light" w:eastAsia="Calibri" w:hAnsi="Geomanist Light" w:cs="Arial"/>
          <w:b/>
          <w:noProof/>
          <w:sz w:val="22"/>
        </w:rPr>
      </w:pPr>
      <w:r w:rsidRPr="00C02598">
        <w:rPr>
          <w:rFonts w:ascii="Geomanist Light" w:eastAsia="Calibri" w:hAnsi="Geomanist Light" w:cs="Arial"/>
          <w:b/>
          <w:noProof/>
          <w:sz w:val="22"/>
        </w:rPr>
        <w:t xml:space="preserve">3. Respuesta </w:t>
      </w:r>
    </w:p>
    <w:p w14:paraId="47E3A72C" w14:textId="77777777" w:rsidR="004F06D5" w:rsidRPr="00C02598" w:rsidRDefault="004F06D5" w:rsidP="004F06D5">
      <w:pPr>
        <w:ind w:right="760"/>
        <w:rPr>
          <w:rFonts w:ascii="Geomanist Light" w:hAnsi="Geomanist Light" w:cs="Arial"/>
          <w:color w:val="000000" w:themeColor="text1"/>
          <w:sz w:val="22"/>
        </w:rPr>
      </w:pPr>
    </w:p>
    <w:p w14:paraId="70D02ED1" w14:textId="77777777" w:rsidR="00886916" w:rsidRPr="00C02598" w:rsidRDefault="00886916" w:rsidP="00886916">
      <w:pPr>
        <w:spacing w:line="276" w:lineRule="auto"/>
        <w:ind w:left="709" w:right="757"/>
        <w:jc w:val="both"/>
        <w:rPr>
          <w:rFonts w:ascii="Geomanist Light" w:hAnsi="Geomanist Light" w:cs="Arial"/>
          <w:sz w:val="22"/>
          <w:szCs w:val="22"/>
        </w:rPr>
      </w:pPr>
      <w:r w:rsidRPr="00C02598">
        <w:rPr>
          <w:rFonts w:ascii="Geomanist Light" w:hAnsi="Geomanist Light" w:cs="Arial"/>
          <w:sz w:val="22"/>
          <w:szCs w:val="22"/>
        </w:rPr>
        <w:t>«[…] en los pliegos tipo de infraestructura social, sector educación, de acuerdo con la matriz de experiencia, la experiencia general y especifica que se les exige a los proponentes, debe ser en Instituciones educativas [?]».</w:t>
      </w:r>
    </w:p>
    <w:p w14:paraId="6FACEC19" w14:textId="77777777" w:rsidR="004F06D5" w:rsidRPr="00C02598" w:rsidRDefault="004F06D5" w:rsidP="004F06D5">
      <w:pPr>
        <w:spacing w:line="276" w:lineRule="auto"/>
        <w:jc w:val="both"/>
        <w:rPr>
          <w:rFonts w:ascii="Geomanist Light" w:eastAsia="Calibri" w:hAnsi="Geomanist Light" w:cs="Arial"/>
          <w:sz w:val="22"/>
        </w:rPr>
      </w:pPr>
    </w:p>
    <w:p w14:paraId="57EA7EE1" w14:textId="0BE76FAA" w:rsidR="004F06D5" w:rsidRPr="00C02598" w:rsidRDefault="004F06D5" w:rsidP="00C02598">
      <w:pPr>
        <w:spacing w:after="120" w:line="276" w:lineRule="auto"/>
        <w:jc w:val="both"/>
        <w:rPr>
          <w:rFonts w:ascii="Geomanist Light" w:eastAsiaTheme="minorHAnsi" w:hAnsi="Geomanist Light" w:cs="Arial"/>
          <w:sz w:val="22"/>
          <w:szCs w:val="22"/>
          <w:lang w:val="es-ES" w:eastAsia="en-US"/>
        </w:rPr>
      </w:pPr>
      <w:r w:rsidRPr="00C02598">
        <w:rPr>
          <w:rFonts w:ascii="Geomanist Light" w:eastAsia="Calibri" w:hAnsi="Geomanist Light" w:cs="Arial"/>
          <w:sz w:val="22"/>
          <w:lang w:val="es-ES_tradnl"/>
        </w:rPr>
        <w:t xml:space="preserve">De </w:t>
      </w:r>
      <w:r w:rsidR="00886916" w:rsidRPr="00C02598">
        <w:rPr>
          <w:rFonts w:ascii="Geomanist Light" w:eastAsia="Calibri" w:hAnsi="Geomanist Light" w:cs="Arial"/>
          <w:sz w:val="22"/>
          <w:lang w:val="es-ES_tradnl"/>
        </w:rPr>
        <w:t xml:space="preserve">conformidad con lo expuesto, se puede concluir que </w:t>
      </w:r>
      <w:r w:rsidR="00797695" w:rsidRPr="00C02598">
        <w:rPr>
          <w:rFonts w:ascii="Geomanist Light" w:eastAsiaTheme="minorHAnsi" w:hAnsi="Geomanist Light" w:cs="Arial"/>
          <w:sz w:val="22"/>
          <w:szCs w:val="22"/>
          <w:lang w:val="es-ES" w:eastAsia="en-US"/>
        </w:rPr>
        <w:t>l</w:t>
      </w:r>
      <w:r w:rsidR="00886916" w:rsidRPr="00C02598">
        <w:rPr>
          <w:rFonts w:ascii="Geomanist Light" w:eastAsiaTheme="minorHAnsi" w:hAnsi="Geomanist Light" w:cs="Arial"/>
          <w:sz w:val="22"/>
          <w:szCs w:val="22"/>
          <w:lang w:val="es-ES" w:eastAsia="en-US"/>
        </w:rPr>
        <w:t>a «Matriz -Experiencia Sector Educativo» de los documentos tipo complementarios</w:t>
      </w:r>
      <w:r w:rsidR="00797695" w:rsidRPr="00C02598">
        <w:rPr>
          <w:rFonts w:ascii="Geomanist Light" w:eastAsiaTheme="minorHAnsi" w:hAnsi="Geomanist Light" w:cs="Arial"/>
          <w:sz w:val="22"/>
          <w:szCs w:val="22"/>
          <w:lang w:val="es-ES" w:eastAsia="en-US"/>
        </w:rPr>
        <w:t xml:space="preserve"> de licitación de obra pública de infraestructura social</w:t>
      </w:r>
      <w:r w:rsidR="00886916" w:rsidRPr="00C02598">
        <w:rPr>
          <w:rFonts w:ascii="Geomanist Light" w:eastAsiaTheme="minorHAnsi" w:hAnsi="Geomanist Light" w:cs="Arial"/>
          <w:sz w:val="22"/>
          <w:szCs w:val="22"/>
          <w:lang w:val="es-ES" w:eastAsia="en-US"/>
        </w:rPr>
        <w:t xml:space="preserve"> que se adoptaron con la Resolución 220 del 6 de agosto de 2021</w:t>
      </w:r>
      <w:r w:rsidR="00886916" w:rsidRPr="00C02598">
        <w:rPr>
          <w:rFonts w:ascii="Geomanist Light" w:eastAsia="Calibri" w:hAnsi="Geomanist Light" w:cs="Arial"/>
          <w:sz w:val="22"/>
        </w:rPr>
        <w:t xml:space="preserve"> y las modificaciones efectuadas por la Resolución 275 de 2022, </w:t>
      </w:r>
      <w:r w:rsidR="00886916" w:rsidRPr="00C02598">
        <w:rPr>
          <w:rFonts w:ascii="Geomanist Light" w:eastAsiaTheme="minorHAnsi" w:hAnsi="Geomanist Light" w:cs="Arial"/>
          <w:sz w:val="22"/>
          <w:szCs w:val="22"/>
          <w:lang w:val="es-ES" w:eastAsia="en-US"/>
        </w:rPr>
        <w:t xml:space="preserve">aplica a cuatro (4) tipos de obras: i) obras en infraestructura vertical en instituciones educativas, ii) obras en infraestructura recreo-deportiva y cultural en instituciones educativas, iii) obras en vías de acceso y/o parqueaderos y/o zonas de circulación –vehicular y/o peatonal– en instituciones educativas y iv) obras en bibliotecas públicas. </w:t>
      </w:r>
    </w:p>
    <w:p w14:paraId="7BB9B435" w14:textId="2AE93CD9" w:rsidR="00797695" w:rsidRPr="00C02598" w:rsidRDefault="00797695" w:rsidP="00797695">
      <w:pPr>
        <w:spacing w:before="120" w:after="120" w:line="276" w:lineRule="auto"/>
        <w:ind w:firstLine="708"/>
        <w:jc w:val="both"/>
        <w:rPr>
          <w:rFonts w:ascii="Geomanist Light" w:eastAsiaTheme="minorHAnsi" w:hAnsi="Geomanist Light" w:cs="Arial"/>
          <w:sz w:val="20"/>
          <w:szCs w:val="20"/>
          <w:lang w:eastAsia="en-US"/>
        </w:rPr>
      </w:pPr>
      <w:r w:rsidRPr="00C02598">
        <w:rPr>
          <w:rFonts w:ascii="Geomanist Light" w:eastAsiaTheme="minorHAnsi" w:hAnsi="Geomanist Light" w:cs="Arial"/>
          <w:sz w:val="22"/>
          <w:szCs w:val="22"/>
          <w:lang w:eastAsia="en-US"/>
        </w:rPr>
        <w:t xml:space="preserve">Ahora bien, los requisitos de experiencia contemplados en la «Matriz de Experiencia del sector educativo» consisten en exigir al proponente aportar contratos relacionados en construcción, ampliación, terminación, remodelación, reforzamiento, adecuación, rehabilitación u otro tipo de actividad de obra pública en edificaciones. Conviene precisar que, el Glosario define a las edificaciones como: </w:t>
      </w:r>
      <w:r w:rsidRPr="00C02598">
        <w:rPr>
          <w:rFonts w:ascii="Geomanist Light" w:eastAsiaTheme="minorHAnsi" w:hAnsi="Geomanist Light" w:cs="Arial"/>
          <w:b/>
          <w:bCs/>
          <w:sz w:val="22"/>
          <w:szCs w:val="22"/>
          <w:lang w:eastAsia="en-US"/>
        </w:rPr>
        <w:t xml:space="preserve">«2.39. </w:t>
      </w:r>
      <w:r w:rsidRPr="00C02598">
        <w:rPr>
          <w:rFonts w:ascii="Geomanist Light" w:eastAsiaTheme="minorHAnsi" w:hAnsi="Geomanist Light" w:cs="Arial"/>
          <w:b/>
          <w:bCs/>
          <w:i/>
          <w:iCs/>
          <w:sz w:val="22"/>
          <w:szCs w:val="22"/>
          <w:lang w:eastAsia="en-US"/>
        </w:rPr>
        <w:t xml:space="preserve">Edificación. </w:t>
      </w:r>
      <w:r w:rsidRPr="00C02598">
        <w:rPr>
          <w:rFonts w:ascii="Geomanist Light" w:eastAsiaTheme="minorHAnsi" w:hAnsi="Geomanist Light" w:cs="Arial"/>
          <w:i/>
          <w:iCs/>
          <w:sz w:val="22"/>
          <w:szCs w:val="22"/>
          <w:lang w:eastAsia="en-US"/>
        </w:rPr>
        <w:t>Construcción cuyo uso primordial es la habilitación u ocupación por seres vivos».</w:t>
      </w:r>
      <w:r w:rsidRPr="00C02598">
        <w:rPr>
          <w:rFonts w:ascii="Geomanist Light" w:eastAsiaTheme="minorHAnsi" w:hAnsi="Geomanist Light" w:cs="Arial"/>
          <w:sz w:val="22"/>
          <w:szCs w:val="22"/>
          <w:lang w:eastAsia="en-US"/>
        </w:rPr>
        <w:t xml:space="preserve"> En otras palabras, en la matriz de experiencia del sector educativo es válida la experiencia de obra pública realizada a cualquier construcción que esté ocupada por seres vivos, ya sea, colegios, hospitales, oficinas, entre otros. </w:t>
      </w:r>
    </w:p>
    <w:p w14:paraId="2AA11DA3" w14:textId="395167BE" w:rsidR="00797695" w:rsidRPr="00C02598" w:rsidRDefault="00797695" w:rsidP="00797695">
      <w:pPr>
        <w:spacing w:before="120" w:after="120" w:line="276" w:lineRule="auto"/>
        <w:ind w:firstLine="708"/>
        <w:jc w:val="both"/>
        <w:rPr>
          <w:rFonts w:ascii="Geomanist Light" w:eastAsiaTheme="minorHAnsi" w:hAnsi="Geomanist Light" w:cs="Arial"/>
          <w:sz w:val="22"/>
          <w:szCs w:val="22"/>
          <w:lang w:eastAsia="en-US"/>
        </w:rPr>
      </w:pPr>
      <w:r w:rsidRPr="00C02598">
        <w:rPr>
          <w:rFonts w:ascii="Geomanist Light" w:eastAsiaTheme="minorHAnsi" w:hAnsi="Geomanist Light" w:cs="Arial"/>
          <w:sz w:val="22"/>
          <w:szCs w:val="22"/>
          <w:lang w:eastAsia="en-US"/>
        </w:rPr>
        <w:t>Conforme a lo anterior, los requisitos de experiencia general y específica contemplados en la «Matriz – Experiencia del sector educativo» no exige que la actividad de obra se haya ejecutado propiamente en una institución educativa., es decir, será válida la actividad de obra pública en cualquier tipo de edificación, ya sea, un hospital, una oficina, museos, aeropuertos, entre otros. Cabe señalar que, para permitir la pluralidad de oferentes no es posible restringir la acreditación de la experiencia únicamente a proponentes que hayan ejecutado obras en instituciones educativa.</w:t>
      </w:r>
    </w:p>
    <w:p w14:paraId="53D31FA6" w14:textId="77777777" w:rsidR="004F06D5" w:rsidRPr="00C02598" w:rsidRDefault="004F06D5" w:rsidP="004F06D5">
      <w:pPr>
        <w:spacing w:line="276" w:lineRule="auto"/>
        <w:jc w:val="both"/>
        <w:rPr>
          <w:rFonts w:ascii="Geomanist Light" w:eastAsia="Calibri" w:hAnsi="Geomanist Light" w:cs="Arial"/>
          <w:sz w:val="22"/>
        </w:rPr>
      </w:pPr>
    </w:p>
    <w:p w14:paraId="65720635" w14:textId="77777777" w:rsidR="004F06D5" w:rsidRPr="00C02598" w:rsidRDefault="004F06D5" w:rsidP="004F06D5">
      <w:pPr>
        <w:spacing w:line="276" w:lineRule="auto"/>
        <w:jc w:val="both"/>
        <w:rPr>
          <w:rFonts w:ascii="Geomanist Light" w:eastAsia="Calibri" w:hAnsi="Geomanist Light" w:cs="Arial"/>
          <w:sz w:val="22"/>
        </w:rPr>
      </w:pPr>
      <w:r w:rsidRPr="00C02598">
        <w:rPr>
          <w:rFonts w:ascii="Geomanist Light" w:eastAsia="Calibri" w:hAnsi="Geomanist Light" w:cs="Arial"/>
          <w:sz w:val="22"/>
        </w:rPr>
        <w:t>Este concepto tiene el alcance previsto en el artículo 28 del Código de Procedimiento Administrativo y de lo Contencioso Administrativo.</w:t>
      </w:r>
    </w:p>
    <w:p w14:paraId="62651677" w14:textId="77777777" w:rsidR="004F06D5" w:rsidRPr="00C02598" w:rsidRDefault="004F06D5" w:rsidP="004F06D5">
      <w:pPr>
        <w:spacing w:line="276" w:lineRule="auto"/>
        <w:jc w:val="both"/>
        <w:rPr>
          <w:rFonts w:ascii="Geomanist Light" w:eastAsia="Calibri" w:hAnsi="Geomanist Light" w:cs="Arial"/>
          <w:sz w:val="22"/>
        </w:rPr>
      </w:pPr>
    </w:p>
    <w:p w14:paraId="5B1BACB2" w14:textId="77777777" w:rsidR="004F06D5" w:rsidRPr="00C02598" w:rsidRDefault="004F06D5" w:rsidP="004F06D5">
      <w:pPr>
        <w:rPr>
          <w:rFonts w:ascii="Geomanist Light" w:hAnsi="Geomanist Light" w:cs="Arial"/>
          <w:sz w:val="22"/>
          <w:lang w:eastAsia="es-CO"/>
        </w:rPr>
      </w:pPr>
      <w:r w:rsidRPr="00C02598">
        <w:rPr>
          <w:rFonts w:ascii="Geomanist Light" w:hAnsi="Geomanist Light" w:cs="Arial"/>
          <w:sz w:val="22"/>
          <w:lang w:eastAsia="es-CO"/>
        </w:rPr>
        <w:t>Atentamente,</w:t>
      </w:r>
    </w:p>
    <w:p w14:paraId="4FBCFDDB" w14:textId="77777777" w:rsidR="004F06D5" w:rsidRPr="00C02598" w:rsidRDefault="004F06D5" w:rsidP="004F06D5">
      <w:pPr>
        <w:spacing w:line="276" w:lineRule="auto"/>
        <w:jc w:val="both"/>
        <w:rPr>
          <w:rFonts w:ascii="Geomanist Light" w:eastAsia="Calibri" w:hAnsi="Geomanist Light" w:cs="Arial"/>
          <w:sz w:val="22"/>
        </w:rPr>
      </w:pPr>
    </w:p>
    <w:bookmarkEnd w:id="3"/>
    <w:p w14:paraId="59A9F22A" w14:textId="6A36A2BC" w:rsidR="00483871" w:rsidRPr="00C02598" w:rsidRDefault="00483871" w:rsidP="00483871">
      <w:pPr>
        <w:jc w:val="center"/>
        <w:textAlignment w:val="baseline"/>
        <w:rPr>
          <w:rFonts w:ascii="Geomanist Light" w:hAnsi="Geomanist Light" w:cs="Segoe UI"/>
          <w:sz w:val="18"/>
          <w:szCs w:val="18"/>
          <w:lang w:val="es-ES_tradnl" w:eastAsia="es-CO"/>
        </w:rPr>
      </w:pPr>
      <w:r w:rsidRPr="00C02598">
        <w:rPr>
          <w:rFonts w:ascii="Calibri" w:hAnsi="Calibri" w:cs="Calibri"/>
          <w:sz w:val="18"/>
          <w:szCs w:val="18"/>
          <w:lang w:val="es-ES_tradnl" w:eastAsia="es-CO"/>
        </w:rPr>
        <w:t> </w:t>
      </w:r>
      <w:r w:rsidR="00550B57">
        <w:rPr>
          <w:rFonts w:ascii="Arial" w:hAnsi="Arial" w:cs="Arial"/>
          <w:noProof/>
          <w:color w:val="1A1A1A" w:themeColor="background1" w:themeShade="1A"/>
        </w:rPr>
        <w:drawing>
          <wp:inline distT="0" distB="0" distL="0" distR="0" wp14:anchorId="4D0DFE8E" wp14:editId="2CEB7BE2">
            <wp:extent cx="2533650" cy="981075"/>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67BC2785" w14:textId="77777777" w:rsidR="00483871" w:rsidRPr="00C02598" w:rsidRDefault="00483871" w:rsidP="00483871">
      <w:pPr>
        <w:rPr>
          <w:rFonts w:ascii="Geomanist Light" w:hAnsi="Geomanist Light" w:cs="Arial"/>
          <w:sz w:val="16"/>
          <w:szCs w:val="16"/>
          <w:lang w:val="es-MX"/>
        </w:rPr>
      </w:pPr>
    </w:p>
    <w:p w14:paraId="38451998" w14:textId="77777777" w:rsidR="00483871" w:rsidRPr="00C02598" w:rsidRDefault="00483871" w:rsidP="00483871">
      <w:pPr>
        <w:rPr>
          <w:rFonts w:ascii="Geomanist Light" w:hAnsi="Geomanist Ligh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483871" w:rsidRPr="00D07FF9" w14:paraId="4FC37EA6" w14:textId="77777777" w:rsidTr="004030DD">
        <w:trPr>
          <w:trHeight w:val="315"/>
        </w:trPr>
        <w:tc>
          <w:tcPr>
            <w:tcW w:w="812" w:type="dxa"/>
            <w:vAlign w:val="center"/>
            <w:hideMark/>
          </w:tcPr>
          <w:p w14:paraId="4DF3B4DC"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rPr>
              <w:t>Elabor</w:t>
            </w:r>
            <w:r w:rsidRPr="00C02598">
              <w:rPr>
                <w:rFonts w:ascii="Geomanist Light" w:hAnsi="Geomanist Light" w:cs="Arial" w:hint="eastAsia"/>
                <w:sz w:val="16"/>
                <w:szCs w:val="16"/>
              </w:rPr>
              <w:t>ó</w:t>
            </w:r>
            <w:r w:rsidRPr="00C02598">
              <w:rPr>
                <w:rFonts w:ascii="Geomanist Light" w:hAnsi="Geomanist Light" w:cs="Arial"/>
                <w:sz w:val="16"/>
                <w:szCs w:val="16"/>
              </w:rPr>
              <w:t>:</w:t>
            </w:r>
          </w:p>
        </w:tc>
        <w:tc>
          <w:tcPr>
            <w:tcW w:w="4291" w:type="dxa"/>
            <w:tcBorders>
              <w:top w:val="nil"/>
              <w:left w:val="nil"/>
              <w:bottom w:val="dotted" w:sz="4" w:space="0" w:color="7F7F7F" w:themeColor="text1" w:themeTint="80"/>
              <w:right w:val="nil"/>
            </w:tcBorders>
            <w:vAlign w:val="center"/>
            <w:hideMark/>
          </w:tcPr>
          <w:p w14:paraId="196E3131" w14:textId="77777777" w:rsidR="00483871" w:rsidRPr="00C02598" w:rsidRDefault="00483871" w:rsidP="004030DD">
            <w:pPr>
              <w:rPr>
                <w:rFonts w:ascii="Geomanist Light" w:hAnsi="Geomanist Light" w:cs="Arial"/>
                <w:sz w:val="16"/>
                <w:szCs w:val="16"/>
                <w:lang w:val="es-ES_tradnl"/>
              </w:rPr>
            </w:pPr>
            <w:r w:rsidRPr="00C02598">
              <w:rPr>
                <w:rFonts w:ascii="Geomanist Light" w:hAnsi="Geomanist Light" w:cs="Arial"/>
                <w:sz w:val="16"/>
                <w:szCs w:val="16"/>
                <w:lang w:val="es-ES_tradnl"/>
              </w:rPr>
              <w:t>Melissa Fern</w:t>
            </w:r>
            <w:r w:rsidRPr="00C02598">
              <w:rPr>
                <w:rFonts w:ascii="Geomanist Light" w:hAnsi="Geomanist Light" w:cs="Arial" w:hint="eastAsia"/>
                <w:sz w:val="16"/>
                <w:szCs w:val="16"/>
                <w:lang w:val="es-ES_tradnl"/>
              </w:rPr>
              <w:t>á</w:t>
            </w:r>
            <w:r w:rsidRPr="00C02598">
              <w:rPr>
                <w:rFonts w:ascii="Geomanist Light" w:hAnsi="Geomanist Light" w:cs="Arial"/>
                <w:sz w:val="16"/>
                <w:szCs w:val="16"/>
                <w:lang w:val="es-ES_tradnl"/>
              </w:rPr>
              <w:t>ndez Reinoso</w:t>
            </w:r>
          </w:p>
          <w:p w14:paraId="3361F367"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lang w:val="es-ES_tradnl"/>
              </w:rPr>
              <w:t>Analista T2-2 de la Subdirecci</w:t>
            </w:r>
            <w:r w:rsidRPr="00C02598">
              <w:rPr>
                <w:rFonts w:ascii="Geomanist Light" w:hAnsi="Geomanist Light" w:cs="Arial" w:hint="eastAsia"/>
                <w:sz w:val="16"/>
                <w:szCs w:val="16"/>
                <w:lang w:val="es-ES_tradnl"/>
              </w:rPr>
              <w:t>ó</w:t>
            </w:r>
            <w:r w:rsidRPr="00C02598">
              <w:rPr>
                <w:rFonts w:ascii="Geomanist Light" w:hAnsi="Geomanist Light" w:cs="Arial"/>
                <w:sz w:val="16"/>
                <w:szCs w:val="16"/>
                <w:lang w:val="es-ES_tradnl"/>
              </w:rPr>
              <w:t>n de Gesti</w:t>
            </w:r>
            <w:r w:rsidRPr="00C02598">
              <w:rPr>
                <w:rFonts w:ascii="Geomanist Light" w:hAnsi="Geomanist Light" w:cs="Arial" w:hint="eastAsia"/>
                <w:sz w:val="16"/>
                <w:szCs w:val="16"/>
                <w:lang w:val="es-ES_tradnl"/>
              </w:rPr>
              <w:t>ó</w:t>
            </w:r>
            <w:r w:rsidRPr="00C02598">
              <w:rPr>
                <w:rFonts w:ascii="Geomanist Light" w:hAnsi="Geomanist Light" w:cs="Arial"/>
                <w:sz w:val="16"/>
                <w:szCs w:val="16"/>
                <w:lang w:val="es-ES_tradnl"/>
              </w:rPr>
              <w:t>n Contractual</w:t>
            </w:r>
          </w:p>
        </w:tc>
      </w:tr>
      <w:tr w:rsidR="00483871" w:rsidRPr="00D07FF9" w14:paraId="31A1EEDE" w14:textId="77777777" w:rsidTr="004030DD">
        <w:trPr>
          <w:trHeight w:val="330"/>
        </w:trPr>
        <w:tc>
          <w:tcPr>
            <w:tcW w:w="812" w:type="dxa"/>
            <w:vAlign w:val="center"/>
            <w:hideMark/>
          </w:tcPr>
          <w:p w14:paraId="19DE840B"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rPr>
              <w:t>Revis</w:t>
            </w:r>
            <w:r w:rsidRPr="00C02598">
              <w:rPr>
                <w:rFonts w:ascii="Geomanist Light" w:hAnsi="Geomanist Light" w:cs="Arial" w:hint="eastAsia"/>
                <w:sz w:val="16"/>
                <w:szCs w:val="16"/>
              </w:rPr>
              <w:t>ó</w:t>
            </w:r>
            <w:r w:rsidRPr="00C02598">
              <w:rPr>
                <w:rFonts w:ascii="Geomanist Light"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87C5664" w14:textId="77777777" w:rsidR="00483871" w:rsidRPr="00C02598" w:rsidRDefault="00483871" w:rsidP="004030DD">
            <w:pPr>
              <w:spacing w:line="276" w:lineRule="auto"/>
              <w:rPr>
                <w:rFonts w:ascii="Geomanist Light" w:hAnsi="Geomanist Light" w:cs="Arial"/>
                <w:sz w:val="16"/>
                <w:szCs w:val="16"/>
                <w:lang w:val="es-ES_tradnl" w:eastAsia="es-ES"/>
              </w:rPr>
            </w:pPr>
            <w:r w:rsidRPr="00C02598">
              <w:rPr>
                <w:rFonts w:ascii="Geomanist Light" w:hAnsi="Geomanist Light" w:cs="Arial"/>
                <w:sz w:val="16"/>
                <w:szCs w:val="16"/>
                <w:lang w:val="es-ES_tradnl" w:eastAsia="es-ES"/>
              </w:rPr>
              <w:t>Alejandro Sarmiento Cantillo</w:t>
            </w:r>
          </w:p>
          <w:p w14:paraId="250AFD3E"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lang w:val="es-ES_tradnl" w:eastAsia="es-ES"/>
              </w:rPr>
              <w:t>Gestor T1-15 de la Subdirección de Gestión Contractual</w:t>
            </w:r>
          </w:p>
        </w:tc>
      </w:tr>
      <w:tr w:rsidR="00483871" w:rsidRPr="00D07FF9" w14:paraId="616B3B71" w14:textId="77777777" w:rsidTr="004030DD">
        <w:trPr>
          <w:trHeight w:val="300"/>
        </w:trPr>
        <w:tc>
          <w:tcPr>
            <w:tcW w:w="812" w:type="dxa"/>
            <w:vAlign w:val="center"/>
            <w:hideMark/>
          </w:tcPr>
          <w:p w14:paraId="2C558F18"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rPr>
              <w:t>Aprob</w:t>
            </w:r>
            <w:r w:rsidRPr="00C02598">
              <w:rPr>
                <w:rFonts w:ascii="Geomanist Light" w:hAnsi="Geomanist Light" w:cs="Arial" w:hint="eastAsia"/>
                <w:sz w:val="16"/>
                <w:szCs w:val="16"/>
              </w:rPr>
              <w:t>ó</w:t>
            </w:r>
            <w:r w:rsidRPr="00C02598">
              <w:rPr>
                <w:rFonts w:ascii="Geomanist Light"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695F5A64"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rPr>
              <w:t>Juan David Mar</w:t>
            </w:r>
            <w:r w:rsidRPr="00C02598">
              <w:rPr>
                <w:rFonts w:ascii="Geomanist Light" w:hAnsi="Geomanist Light" w:cs="Arial" w:hint="eastAsia"/>
                <w:sz w:val="16"/>
                <w:szCs w:val="16"/>
              </w:rPr>
              <w:t>í</w:t>
            </w:r>
            <w:r w:rsidRPr="00C02598">
              <w:rPr>
                <w:rFonts w:ascii="Geomanist Light" w:hAnsi="Geomanist Light" w:cs="Arial"/>
                <w:sz w:val="16"/>
                <w:szCs w:val="16"/>
              </w:rPr>
              <w:t>n L</w:t>
            </w:r>
            <w:r w:rsidRPr="00C02598">
              <w:rPr>
                <w:rFonts w:ascii="Geomanist Light" w:hAnsi="Geomanist Light" w:cs="Arial" w:hint="eastAsia"/>
                <w:sz w:val="16"/>
                <w:szCs w:val="16"/>
              </w:rPr>
              <w:t>ó</w:t>
            </w:r>
            <w:r w:rsidRPr="00C02598">
              <w:rPr>
                <w:rFonts w:ascii="Geomanist Light" w:hAnsi="Geomanist Light" w:cs="Arial"/>
                <w:sz w:val="16"/>
                <w:szCs w:val="16"/>
              </w:rPr>
              <w:t>pez</w:t>
            </w:r>
          </w:p>
          <w:p w14:paraId="0A1BA3E5" w14:textId="77777777" w:rsidR="00483871" w:rsidRPr="00C02598" w:rsidRDefault="00483871" w:rsidP="004030DD">
            <w:pPr>
              <w:rPr>
                <w:rFonts w:ascii="Geomanist Light" w:hAnsi="Geomanist Light" w:cs="Arial"/>
                <w:sz w:val="16"/>
                <w:szCs w:val="16"/>
              </w:rPr>
            </w:pPr>
            <w:r w:rsidRPr="00C02598">
              <w:rPr>
                <w:rFonts w:ascii="Geomanist Light" w:hAnsi="Geomanist Light" w:cs="Arial"/>
                <w:sz w:val="16"/>
                <w:szCs w:val="16"/>
              </w:rPr>
              <w:t>Subdirector de Gesti</w:t>
            </w:r>
            <w:r w:rsidRPr="00C02598">
              <w:rPr>
                <w:rFonts w:ascii="Geomanist Light" w:hAnsi="Geomanist Light" w:cs="Arial" w:hint="eastAsia"/>
                <w:sz w:val="16"/>
                <w:szCs w:val="16"/>
              </w:rPr>
              <w:t>ó</w:t>
            </w:r>
            <w:r w:rsidRPr="00C02598">
              <w:rPr>
                <w:rFonts w:ascii="Geomanist Light" w:hAnsi="Geomanist Light" w:cs="Arial"/>
                <w:sz w:val="16"/>
                <w:szCs w:val="16"/>
              </w:rPr>
              <w:t>n Contractual (E)</w:t>
            </w:r>
          </w:p>
        </w:tc>
      </w:tr>
      <w:bookmarkEnd w:id="4"/>
    </w:tbl>
    <w:p w14:paraId="69D4412E" w14:textId="77777777" w:rsidR="00483871" w:rsidRPr="00C02598" w:rsidRDefault="00483871" w:rsidP="00483871">
      <w:pPr>
        <w:rPr>
          <w:rFonts w:ascii="Geomanist Light" w:hAnsi="Geomanist Light"/>
          <w:lang w:val="es-MX"/>
        </w:rPr>
      </w:pPr>
    </w:p>
    <w:p w14:paraId="0ED56778" w14:textId="77777777" w:rsidR="00483871" w:rsidRPr="00C02598" w:rsidRDefault="00483871" w:rsidP="00483871">
      <w:pPr>
        <w:rPr>
          <w:rFonts w:ascii="Geomanist Light" w:hAnsi="Geomanist Light"/>
          <w:lang w:val="es-MX"/>
        </w:rPr>
      </w:pPr>
    </w:p>
    <w:p w14:paraId="4F43D159" w14:textId="77777777" w:rsidR="00C56FD2" w:rsidRPr="00C02598" w:rsidRDefault="00C56FD2" w:rsidP="004F06D5">
      <w:pPr>
        <w:rPr>
          <w:rFonts w:ascii="Geomanist Light" w:hAnsi="Geomanist Light"/>
        </w:rPr>
      </w:pPr>
    </w:p>
    <w:sectPr w:rsidR="00C56FD2" w:rsidRPr="00C02598" w:rsidSect="006C082E">
      <w:headerReference w:type="default" r:id="rId11"/>
      <w:footerReference w:type="default" r:id="rId12"/>
      <w:pgSz w:w="12240" w:h="15840"/>
      <w:pgMar w:top="1381" w:right="1985" w:bottom="1985" w:left="1985"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4C306" w14:textId="77777777" w:rsidR="00A17077" w:rsidRDefault="00A17077" w:rsidP="004F06D5">
      <w:r>
        <w:separator/>
      </w:r>
    </w:p>
  </w:endnote>
  <w:endnote w:type="continuationSeparator" w:id="0">
    <w:p w14:paraId="1F565DE5" w14:textId="77777777" w:rsidR="00A17077" w:rsidRDefault="00A17077" w:rsidP="004F0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2CCA5" w14:textId="77777777" w:rsidR="002A2C6E" w:rsidRDefault="00000000" w:rsidP="006C082E">
    <w:pPr>
      <w:pStyle w:val="Sinespaciado"/>
      <w:rPr>
        <w:rFonts w:ascii="Arial" w:hAnsi="Arial" w:cs="Arial"/>
        <w:sz w:val="18"/>
        <w:szCs w:val="18"/>
      </w:rPr>
    </w:pPr>
  </w:p>
  <w:p w14:paraId="3A21C98E" w14:textId="77777777" w:rsidR="00FE42ED" w:rsidRPr="00413EA0" w:rsidRDefault="00483871" w:rsidP="00FE42ED">
    <w:pPr>
      <w:pStyle w:val="Piedepgina"/>
      <w:jc w:val="right"/>
      <w:rPr>
        <w:rFonts w:ascii="Arial" w:hAnsi="Arial" w:cs="Arial"/>
        <w:color w:val="7F7F7F"/>
        <w:sz w:val="16"/>
        <w:szCs w:val="16"/>
      </w:rPr>
    </w:pPr>
    <w:r w:rsidRPr="00413EA0">
      <w:rPr>
        <w:rFonts w:ascii="Arial" w:hAnsi="Arial" w:cs="Arial"/>
        <w:bCs/>
        <w:color w:val="7F7F7F"/>
        <w:sz w:val="16"/>
        <w:szCs w:val="16"/>
      </w:rPr>
      <w:t xml:space="preserve">Página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PAGE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1</w:t>
    </w:r>
    <w:r w:rsidRPr="00413EA0">
      <w:rPr>
        <w:rFonts w:ascii="Arial" w:hAnsi="Arial" w:cs="Arial"/>
        <w:b/>
        <w:bCs/>
        <w:color w:val="7F7F7F"/>
        <w:sz w:val="16"/>
        <w:szCs w:val="16"/>
      </w:rPr>
      <w:fldChar w:fldCharType="end"/>
    </w:r>
    <w:r w:rsidRPr="00413EA0">
      <w:rPr>
        <w:rFonts w:ascii="Arial" w:hAnsi="Arial" w:cs="Arial"/>
        <w:color w:val="7F7F7F"/>
        <w:sz w:val="16"/>
        <w:szCs w:val="16"/>
      </w:rPr>
      <w:t xml:space="preserve"> de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NUMPAGES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2</w:t>
    </w:r>
    <w:r w:rsidRPr="00413EA0">
      <w:rPr>
        <w:rFonts w:ascii="Arial" w:hAnsi="Arial" w:cs="Arial"/>
        <w:b/>
        <w:bCs/>
        <w:color w:val="7F7F7F"/>
        <w:sz w:val="16"/>
        <w:szCs w:val="16"/>
      </w:rPr>
      <w:fldChar w:fldCharType="end"/>
    </w:r>
  </w:p>
  <w:p w14:paraId="3D3E30D7" w14:textId="77777777" w:rsidR="009047C5" w:rsidRDefault="00483871" w:rsidP="00322937">
    <w:pPr>
      <w:pStyle w:val="Piedepgina"/>
      <w:jc w:val="center"/>
      <w:rPr>
        <w:lang w:val="es-ES"/>
      </w:rPr>
    </w:pPr>
    <w:r>
      <w:rPr>
        <w:noProof/>
        <w:lang w:val="es-ES"/>
      </w:rPr>
      <w:drawing>
        <wp:inline distT="0" distB="0" distL="0" distR="0" wp14:anchorId="7E39EB99" wp14:editId="0F105807">
          <wp:extent cx="5251450" cy="809514"/>
          <wp:effectExtent l="0" t="0" r="0" b="0"/>
          <wp:docPr id="66" name="Imagen 6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0" cy="809514"/>
                  </a:xfrm>
                  <a:prstGeom prst="rect">
                    <a:avLst/>
                  </a:prstGeom>
                  <a:noFill/>
                </pic:spPr>
              </pic:pic>
            </a:graphicData>
          </a:graphic>
        </wp:inline>
      </w:drawing>
    </w:r>
  </w:p>
  <w:p w14:paraId="15E4834C" w14:textId="77777777" w:rsidR="00322937" w:rsidRDefault="00000000" w:rsidP="007B0854">
    <w:pPr>
      <w:pStyle w:val="Piedepgina"/>
      <w:jc w:val="center"/>
      <w:rPr>
        <w:sz w:val="18"/>
        <w:szCs w:val="18"/>
        <w:lang w:val="es-ES"/>
      </w:rPr>
    </w:pPr>
  </w:p>
  <w:p w14:paraId="7A8DB041" w14:textId="77777777" w:rsidR="002A2C6E" w:rsidRPr="00E756AC" w:rsidRDefault="00000000" w:rsidP="007B0854">
    <w:pPr>
      <w:pStyle w:val="Piedepgina"/>
      <w:jc w:val="center"/>
      <w:rPr>
        <w:sz w:val="18"/>
        <w:szCs w:val="18"/>
        <w:lang w:val="es-ES"/>
      </w:rPr>
    </w:pPr>
  </w:p>
  <w:p w14:paraId="28AFAFEA"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9C025" w14:textId="77777777" w:rsidR="00A17077" w:rsidRDefault="00A17077" w:rsidP="004F06D5">
      <w:r>
        <w:separator/>
      </w:r>
    </w:p>
  </w:footnote>
  <w:footnote w:type="continuationSeparator" w:id="0">
    <w:p w14:paraId="53AA301E" w14:textId="77777777" w:rsidR="00A17077" w:rsidRDefault="00A17077" w:rsidP="004F06D5">
      <w:r>
        <w:continuationSeparator/>
      </w:r>
    </w:p>
  </w:footnote>
  <w:footnote w:id="1">
    <w:p w14:paraId="3C89606E" w14:textId="77777777" w:rsidR="004F06D5" w:rsidRPr="00071D56" w:rsidRDefault="004F06D5" w:rsidP="004F06D5">
      <w:pPr>
        <w:pStyle w:val="Textonotapie"/>
        <w:ind w:firstLine="708"/>
        <w:rPr>
          <w:rFonts w:ascii="Arial" w:hAnsi="Arial" w:cs="Arial"/>
          <w:sz w:val="19"/>
          <w:szCs w:val="19"/>
          <w:lang w:val="es-ES"/>
        </w:rPr>
      </w:pPr>
      <w:r w:rsidRPr="00071D56">
        <w:rPr>
          <w:rStyle w:val="Refdenotaalpie"/>
          <w:rFonts w:ascii="Arial" w:hAnsi="Arial" w:cs="Arial"/>
          <w:sz w:val="19"/>
          <w:szCs w:val="19"/>
        </w:rPr>
        <w:footnoteRef/>
      </w:r>
      <w:r w:rsidRPr="00071D56">
        <w:rPr>
          <w:rFonts w:ascii="Arial" w:hAnsi="Arial" w:cs="Arial"/>
          <w:sz w:val="19"/>
          <w:szCs w:val="19"/>
        </w:rPr>
        <w:t xml:space="preserve"> Código: CCE-EICP-GI-14. Versión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E84D" w14:textId="77777777" w:rsidR="006C082E" w:rsidRDefault="00483871" w:rsidP="002A2786">
    <w:pPr>
      <w:pStyle w:val="Encabezado"/>
      <w:jc w:val="right"/>
    </w:pPr>
    <w:r>
      <w:rPr>
        <w:noProof/>
      </w:rPr>
      <w:drawing>
        <wp:inline distT="0" distB="0" distL="0" distR="0" wp14:anchorId="4EBCC7C8" wp14:editId="3B491867">
          <wp:extent cx="1247775" cy="518068"/>
          <wp:effectExtent l="0" t="0" r="0" b="0"/>
          <wp:docPr id="65" name="Imagen 65"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02" cy="533857"/>
                  </a:xfrm>
                  <a:prstGeom prst="rect">
                    <a:avLst/>
                  </a:prstGeom>
                  <a:noFill/>
                </pic:spPr>
              </pic:pic>
            </a:graphicData>
          </a:graphic>
        </wp:inline>
      </w:drawing>
    </w:r>
  </w:p>
  <w:p w14:paraId="5DA47D94" w14:textId="77777777" w:rsidR="00A5037A" w:rsidRDefault="00000000" w:rsidP="002A2786">
    <w:pPr>
      <w:pStyle w:val="Encabezad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6D5"/>
    <w:rsid w:val="000D730B"/>
    <w:rsid w:val="001F3DBD"/>
    <w:rsid w:val="00350983"/>
    <w:rsid w:val="00365F1F"/>
    <w:rsid w:val="00483871"/>
    <w:rsid w:val="004F06D5"/>
    <w:rsid w:val="0052648C"/>
    <w:rsid w:val="00545E41"/>
    <w:rsid w:val="00550B57"/>
    <w:rsid w:val="005D0A7C"/>
    <w:rsid w:val="006D23D5"/>
    <w:rsid w:val="00797695"/>
    <w:rsid w:val="007E7F71"/>
    <w:rsid w:val="00804ADE"/>
    <w:rsid w:val="00807F3E"/>
    <w:rsid w:val="00886916"/>
    <w:rsid w:val="008F2456"/>
    <w:rsid w:val="00A17077"/>
    <w:rsid w:val="00A62C9E"/>
    <w:rsid w:val="00B53761"/>
    <w:rsid w:val="00B565A5"/>
    <w:rsid w:val="00C02598"/>
    <w:rsid w:val="00C56FD2"/>
    <w:rsid w:val="00C64587"/>
    <w:rsid w:val="00C93569"/>
    <w:rsid w:val="00D07FF9"/>
    <w:rsid w:val="00F444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E7224"/>
  <w15:chartTrackingRefBased/>
  <w15:docId w15:val="{3C589B13-BE6E-4938-AA9F-F5CDF53A7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916"/>
    <w:pPr>
      <w:spacing w:after="0" w:line="240" w:lineRule="auto"/>
      <w:ind w:firstLine="0"/>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06D5"/>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F06D5"/>
  </w:style>
  <w:style w:type="paragraph" w:styleId="Piedepgina">
    <w:name w:val="footer"/>
    <w:basedOn w:val="Normal"/>
    <w:link w:val="PiedepginaCar"/>
    <w:uiPriority w:val="99"/>
    <w:unhideWhenUsed/>
    <w:rsid w:val="004F06D5"/>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4F06D5"/>
    <w:rPr>
      <w:sz w:val="24"/>
      <w:lang w:val="es-MX"/>
    </w:rPr>
  </w:style>
  <w:style w:type="paragraph" w:styleId="Sinespaciado">
    <w:name w:val="No Spacing"/>
    <w:uiPriority w:val="1"/>
    <w:qFormat/>
    <w:rsid w:val="004F06D5"/>
    <w:pPr>
      <w:spacing w:after="0" w:line="240" w:lineRule="auto"/>
      <w:ind w:firstLine="0"/>
      <w:jc w:val="left"/>
    </w:pPr>
    <w:rPr>
      <w:sz w:val="24"/>
      <w:lang w:val="es-MX"/>
    </w:rPr>
  </w:style>
  <w:style w:type="table" w:styleId="Tablaconcuadrcula">
    <w:name w:val="Table Grid"/>
    <w:basedOn w:val="Tablanormal"/>
    <w:uiPriority w:val="39"/>
    <w:qFormat/>
    <w:rsid w:val="004F06D5"/>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F06D5"/>
    <w:pPr>
      <w:ind w:firstLine="709"/>
      <w:jc w:val="both"/>
    </w:pPr>
    <w:rPr>
      <w:rFonts w:asciiTheme="minorHAnsi" w:eastAsiaTheme="minorHAnsi" w:hAnsiTheme="minorHAnsi" w:cstheme="minorBidi"/>
      <w:sz w:val="20"/>
      <w:szCs w:val="20"/>
      <w:lang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4F06D5"/>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4F06D5"/>
    <w:rPr>
      <w:vertAlign w:val="superscript"/>
    </w:rPr>
  </w:style>
  <w:style w:type="paragraph" w:customStyle="1" w:styleId="Appelnotedebasde">
    <w:name w:val="Appel note de bas de..."/>
    <w:basedOn w:val="Normal"/>
    <w:link w:val="Refdenotaalpie"/>
    <w:uiPriority w:val="99"/>
    <w:rsid w:val="004F06D5"/>
    <w:pPr>
      <w:spacing w:after="160" w:line="240" w:lineRule="exact"/>
      <w:ind w:firstLine="709"/>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link w:val="NormalWebCar"/>
    <w:uiPriority w:val="99"/>
    <w:unhideWhenUsed/>
    <w:rsid w:val="004F06D5"/>
    <w:pPr>
      <w:spacing w:before="100" w:beforeAutospacing="1" w:after="100" w:afterAutospacing="1" w:line="276" w:lineRule="auto"/>
      <w:jc w:val="both"/>
    </w:pPr>
    <w:rPr>
      <w:lang w:eastAsia="es-CO"/>
    </w:rPr>
  </w:style>
  <w:style w:type="table" w:customStyle="1" w:styleId="Tablaconcuadrcula1">
    <w:name w:val="Tabla con cuadrícula1"/>
    <w:basedOn w:val="Tablanormal"/>
    <w:next w:val="Tablaconcuadrcula"/>
    <w:uiPriority w:val="59"/>
    <w:rsid w:val="004F06D5"/>
    <w:pPr>
      <w:spacing w:before="120"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4F06D5"/>
    <w:rPr>
      <w:rFonts w:ascii="Times New Roman" w:eastAsia="Times New Roman" w:hAnsi="Times New Roman" w:cs="Times New Roman"/>
      <w:sz w:val="24"/>
      <w:szCs w:val="24"/>
      <w:lang w:eastAsia="es-CO"/>
    </w:rPr>
  </w:style>
  <w:style w:type="paragraph" w:styleId="Revisin">
    <w:name w:val="Revision"/>
    <w:hidden/>
    <w:uiPriority w:val="99"/>
    <w:semiHidden/>
    <w:rsid w:val="006D23D5"/>
    <w:pPr>
      <w:spacing w:after="0" w:line="240" w:lineRule="auto"/>
      <w:ind w:firstLine="0"/>
      <w:jc w:val="left"/>
    </w:pPr>
    <w:rPr>
      <w:rFonts w:ascii="Times New Roman" w:eastAsia="Times New Roman" w:hAnsi="Times New Roman" w:cs="Times New Roman"/>
      <w:sz w:val="24"/>
      <w:szCs w:val="24"/>
      <w:lang w:eastAsia="en-GB"/>
    </w:rPr>
  </w:style>
  <w:style w:type="character" w:styleId="Refdecomentario">
    <w:name w:val="annotation reference"/>
    <w:basedOn w:val="Fuentedeprrafopredeter"/>
    <w:uiPriority w:val="99"/>
    <w:semiHidden/>
    <w:unhideWhenUsed/>
    <w:rsid w:val="00797695"/>
    <w:rPr>
      <w:sz w:val="16"/>
      <w:szCs w:val="16"/>
    </w:rPr>
  </w:style>
  <w:style w:type="paragraph" w:styleId="Textocomentario">
    <w:name w:val="annotation text"/>
    <w:basedOn w:val="Normal"/>
    <w:link w:val="TextocomentarioCar"/>
    <w:uiPriority w:val="99"/>
    <w:unhideWhenUsed/>
    <w:rsid w:val="00797695"/>
    <w:rPr>
      <w:sz w:val="20"/>
      <w:szCs w:val="20"/>
    </w:rPr>
  </w:style>
  <w:style w:type="character" w:customStyle="1" w:styleId="TextocomentarioCar">
    <w:name w:val="Texto comentario Car"/>
    <w:basedOn w:val="Fuentedeprrafopredeter"/>
    <w:link w:val="Textocomentario"/>
    <w:uiPriority w:val="99"/>
    <w:rsid w:val="00797695"/>
    <w:rPr>
      <w:rFonts w:ascii="Times New Roman" w:eastAsia="Times New Roman" w:hAnsi="Times New Roman" w:cs="Times New Roman"/>
      <w:sz w:val="20"/>
      <w:szCs w:val="20"/>
      <w:lang w:eastAsia="en-GB"/>
    </w:rPr>
  </w:style>
  <w:style w:type="paragraph" w:styleId="Asuntodelcomentario">
    <w:name w:val="annotation subject"/>
    <w:basedOn w:val="Textocomentario"/>
    <w:next w:val="Textocomentario"/>
    <w:link w:val="AsuntodelcomentarioCar"/>
    <w:uiPriority w:val="99"/>
    <w:semiHidden/>
    <w:unhideWhenUsed/>
    <w:rsid w:val="00797695"/>
    <w:rPr>
      <w:b/>
      <w:bCs/>
    </w:rPr>
  </w:style>
  <w:style w:type="character" w:customStyle="1" w:styleId="AsuntodelcomentarioCar">
    <w:name w:val="Asunto del comentario Car"/>
    <w:basedOn w:val="TextocomentarioCar"/>
    <w:link w:val="Asuntodelcomentario"/>
    <w:uiPriority w:val="99"/>
    <w:semiHidden/>
    <w:rsid w:val="00797695"/>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A3747-D1C3-4427-9924-215717A4A7E3}">
  <ds:schemaRefs>
    <ds:schemaRef ds:uri="http://schemas.microsoft.com/sharepoint/v3/contenttype/forms"/>
  </ds:schemaRefs>
</ds:datastoreItem>
</file>

<file path=customXml/itemProps2.xml><?xml version="1.0" encoding="utf-8"?>
<ds:datastoreItem xmlns:ds="http://schemas.openxmlformats.org/officeDocument/2006/customXml" ds:itemID="{295EBAA6-819C-4D5A-A7F1-263778AFF39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2EB6522-C3B2-41E9-AFA1-BC50FC1B9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2320</Words>
  <Characters>12766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3</cp:revision>
  <dcterms:created xsi:type="dcterms:W3CDTF">2022-11-08T13:15:00Z</dcterms:created>
  <dcterms:modified xsi:type="dcterms:W3CDTF">2022-11-08T21:09:00Z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