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9E8C3B" w14:textId="77777777" w:rsidR="00D77742" w:rsidRDefault="00D77742" w:rsidP="00D77742">
      <w:pPr>
        <w:spacing w:after="0" w:line="276" w:lineRule="auto"/>
        <w:jc w:val="both"/>
        <w:rPr>
          <w:rFonts w:ascii="Verdana" w:eastAsia="Calibri" w:hAnsi="Verdana" w:cs="Arial"/>
          <w:b/>
          <w:bCs/>
          <w:lang w:val="es-ES" w:eastAsia="es-ES"/>
        </w:rPr>
      </w:pPr>
      <w:r w:rsidRPr="0033785F">
        <w:rPr>
          <w:rFonts w:ascii="Verdana" w:eastAsia="Calibri" w:hAnsi="Verdana" w:cs="Arial"/>
          <w:b/>
          <w:bCs/>
          <w:lang w:val="es-ES" w:eastAsia="es-ES"/>
        </w:rPr>
        <w:t>MODALIDADES DE SELECCIÓN – Excepción a la regla – Contratación directa – Urgencia Manifiesta</w:t>
      </w:r>
    </w:p>
    <w:p w14:paraId="797681A8" w14:textId="77777777" w:rsidR="00D77742" w:rsidRDefault="00D77742" w:rsidP="00D77742">
      <w:pPr>
        <w:spacing w:after="0" w:line="276" w:lineRule="auto"/>
        <w:jc w:val="both"/>
        <w:rPr>
          <w:rFonts w:ascii="Verdana" w:eastAsia="Calibri" w:hAnsi="Verdana" w:cs="Arial"/>
          <w:b/>
          <w:bCs/>
          <w:lang w:val="es-ES" w:eastAsia="es-ES"/>
        </w:rPr>
      </w:pPr>
    </w:p>
    <w:p w14:paraId="5258FC25" w14:textId="77777777" w:rsidR="00D77742" w:rsidRDefault="00D77742" w:rsidP="00D77742">
      <w:pPr>
        <w:spacing w:after="0" w:line="240" w:lineRule="auto"/>
        <w:jc w:val="both"/>
        <w:rPr>
          <w:rFonts w:ascii="Verdana" w:eastAsia="Aptos" w:hAnsi="Verdana" w:cs="Times New Roman"/>
          <w:sz w:val="20"/>
          <w:szCs w:val="20"/>
        </w:rPr>
      </w:pPr>
      <w:r w:rsidRPr="00B1529F">
        <w:rPr>
          <w:rFonts w:ascii="Verdana" w:eastAsia="Aptos" w:hAnsi="Verdana" w:cs="Times New Roman"/>
          <w:sz w:val="20"/>
          <w:szCs w:val="20"/>
        </w:rPr>
        <w:t xml:space="preserve">No obstante, el Estatuto General de Contratación de la Administración Pública – EGCAP establece algunas excepciones a la regla general de la licitación pública como modalidad de selección prevalente, con el fin de atender a la necesidad de proteger principios como la eficiencia, la eficacia, la economía, la celeridad o la integridad de las personas. Por lo tanto, en el marco del </w:t>
      </w:r>
      <w:r>
        <w:rPr>
          <w:rFonts w:ascii="Verdana" w:eastAsia="Aptos" w:hAnsi="Verdana" w:cs="Times New Roman"/>
          <w:sz w:val="20"/>
          <w:szCs w:val="20"/>
        </w:rPr>
        <w:t xml:space="preserve">Estado de Conmoción Interior </w:t>
      </w:r>
      <w:r w:rsidRPr="00B1529F">
        <w:rPr>
          <w:rFonts w:ascii="Verdana" w:eastAsia="Aptos" w:hAnsi="Verdana" w:cs="Times New Roman"/>
          <w:sz w:val="20"/>
          <w:szCs w:val="20"/>
        </w:rPr>
        <w:t>que declaró el Decreto en cita, el procedimiento exceptivo establecido por el artículo 2, numeral 4, de la Ley 1150 de 2007 es la contratación directa, la cual puede ser utilizada según el literal a) del mencionado numeral en casos de urgencia manifiesta. Esta causal debe leerse en concordancia con lo dispuesto en los artículos 42 y 43 de la Ley 80 de 1993, que definen el concepto y establecen el procedimiento para la declaratoria de la urgencia manifiesta, así como para la celebración de los contratos que se derivan de esta.</w:t>
      </w:r>
    </w:p>
    <w:p w14:paraId="3ACE09DC" w14:textId="77777777" w:rsidR="00D77742" w:rsidRPr="00B1529F" w:rsidRDefault="00D77742" w:rsidP="00D77742">
      <w:pPr>
        <w:spacing w:after="0" w:line="240" w:lineRule="auto"/>
        <w:jc w:val="both"/>
        <w:rPr>
          <w:rFonts w:ascii="Verdana" w:eastAsia="Aptos" w:hAnsi="Verdana" w:cs="Times New Roman"/>
          <w:sz w:val="20"/>
          <w:szCs w:val="20"/>
        </w:rPr>
      </w:pPr>
    </w:p>
    <w:p w14:paraId="0D5CFE6A" w14:textId="77777777" w:rsidR="00D77742" w:rsidRDefault="00D77742" w:rsidP="00D77742">
      <w:pPr>
        <w:spacing w:after="0" w:line="240" w:lineRule="auto"/>
        <w:jc w:val="both"/>
        <w:rPr>
          <w:rFonts w:ascii="Verdana" w:eastAsia="Aptos" w:hAnsi="Verdana" w:cs="Times New Roman"/>
          <w:sz w:val="20"/>
          <w:szCs w:val="20"/>
        </w:rPr>
      </w:pPr>
      <w:r w:rsidRPr="00B1529F">
        <w:rPr>
          <w:rFonts w:ascii="Verdana" w:eastAsia="Aptos" w:hAnsi="Verdana" w:cs="Times New Roman"/>
          <w:sz w:val="20"/>
          <w:szCs w:val="20"/>
        </w:rPr>
        <w:t>Vale la pena aclarar que, cuando se configure alguna de las cuatro (4) situaciones (que en el caso concreto se trata de la conmoción interior), el artículo 42 de la Ley 80 de 1993 exige declarar formalmente la urgencia manifiesta mediante acto administrativo motivado, es decir, a través de una manifestación unilateral de voluntad razonablemente justificada, proferida por el jefe o representante legal de cada entidad –o quien sea el titular de la competencia–, según lo establecido en los artículos 11 y 12 ibidem. Adicionalmente, no es necesario realizar estudios previos, como lo dispone el artículo 2.2.1.2.1.4.2 del Decreto 1082 de 2015: “Si la causal de contratación directa es la urgencia manifiesta, el acto administrativo que la declare hará las veces del acto administrativo de justificación, y en este caso la Entidad Estatal no está obligada a elaborar estudios y documentos previos”.</w:t>
      </w:r>
    </w:p>
    <w:p w14:paraId="1BCAC2C4" w14:textId="77777777" w:rsidR="00D77742" w:rsidRDefault="00D77742" w:rsidP="002754B5">
      <w:pPr>
        <w:spacing w:after="0" w:line="276" w:lineRule="auto"/>
        <w:jc w:val="both"/>
        <w:rPr>
          <w:rFonts w:ascii="Verdana" w:eastAsia="Calibri" w:hAnsi="Verdana" w:cs="Arial"/>
          <w:b/>
          <w:bCs/>
          <w:lang w:val="es-ES_tradnl" w:eastAsia="es-ES_tradnl"/>
        </w:rPr>
      </w:pPr>
    </w:p>
    <w:p w14:paraId="2999FA84" w14:textId="091F9604" w:rsidR="002754B5" w:rsidRDefault="002754B5" w:rsidP="002754B5">
      <w:pPr>
        <w:spacing w:after="0" w:line="276" w:lineRule="auto"/>
        <w:jc w:val="both"/>
        <w:rPr>
          <w:rFonts w:ascii="Verdana" w:eastAsia="Calibri" w:hAnsi="Verdana" w:cs="Arial"/>
          <w:b/>
          <w:bCs/>
          <w:lang w:val="es-ES_tradnl" w:eastAsia="es-ES_tradnl"/>
        </w:rPr>
      </w:pPr>
      <w:r w:rsidRPr="00F27341">
        <w:rPr>
          <w:rFonts w:ascii="Verdana" w:eastAsia="Calibri" w:hAnsi="Verdana" w:cs="Arial"/>
          <w:b/>
          <w:bCs/>
          <w:lang w:val="es-ES_tradnl" w:eastAsia="es-ES_tradnl"/>
        </w:rPr>
        <w:t>DECRETO 62 DE 2025 – Declaración conmoción interior región Catatumbo – Medidas en contratación estatal – Ámbito temporal suscripción contratos</w:t>
      </w:r>
    </w:p>
    <w:p w14:paraId="132C65C9" w14:textId="77777777" w:rsidR="002754B5" w:rsidRPr="00B615F9" w:rsidRDefault="002754B5" w:rsidP="002754B5">
      <w:pPr>
        <w:spacing w:after="0" w:line="276" w:lineRule="auto"/>
        <w:jc w:val="both"/>
        <w:rPr>
          <w:rFonts w:ascii="Verdana" w:eastAsia="Calibri" w:hAnsi="Verdana" w:cs="Arial"/>
          <w:b/>
          <w:bCs/>
          <w:lang w:val="es-ES_tradnl" w:eastAsia="es-ES_tradnl"/>
        </w:rPr>
      </w:pPr>
    </w:p>
    <w:p w14:paraId="29497C9B" w14:textId="77777777" w:rsidR="002754B5" w:rsidRDefault="002754B5" w:rsidP="002754B5">
      <w:pPr>
        <w:spacing w:after="0" w:line="240" w:lineRule="auto"/>
        <w:jc w:val="both"/>
        <w:rPr>
          <w:rFonts w:ascii="Verdana" w:eastAsia="Aptos" w:hAnsi="Verdana" w:cs="Times New Roman"/>
          <w:sz w:val="20"/>
          <w:szCs w:val="20"/>
        </w:rPr>
      </w:pPr>
      <w:r w:rsidRPr="0033785F">
        <w:rPr>
          <w:rFonts w:ascii="Verdana" w:eastAsia="Aptos" w:hAnsi="Verdana" w:cs="Times New Roman"/>
          <w:sz w:val="20"/>
          <w:szCs w:val="20"/>
        </w:rPr>
        <w:t xml:space="preserve">Recientemente, el Gobierno Nacional expidió el Decreto 62 de 2025 “Por el cual se decreta el </w:t>
      </w:r>
      <w:r>
        <w:rPr>
          <w:rFonts w:ascii="Verdana" w:eastAsia="Aptos" w:hAnsi="Verdana" w:cs="Times New Roman"/>
          <w:sz w:val="20"/>
          <w:szCs w:val="20"/>
        </w:rPr>
        <w:t xml:space="preserve">Estado de Conmoción Interior </w:t>
      </w:r>
      <w:r w:rsidRPr="0033785F">
        <w:rPr>
          <w:rFonts w:ascii="Verdana" w:eastAsia="Aptos" w:hAnsi="Verdana" w:cs="Times New Roman"/>
          <w:sz w:val="20"/>
          <w:szCs w:val="20"/>
        </w:rPr>
        <w:t>en la región del Catatumbo, los municipios del área metropolitana de Cúcuta y los municipios de Río de Oro y González del departamento del Cesar”, a raíz de hechos que perturban de manera extraordinaria el orden público en el territorio, derivada de enfrentamientos armados, amenazas, desplazamientos forzados masivos, afectaciones al ejercicio de los derechos fundamentales de la población civil, alteración de la seguridad y daños a bienes protegidos y al ambiente.</w:t>
      </w:r>
    </w:p>
    <w:p w14:paraId="033DFCB6" w14:textId="77777777" w:rsidR="002754B5" w:rsidRDefault="002754B5" w:rsidP="002754B5">
      <w:pPr>
        <w:spacing w:after="0" w:line="240" w:lineRule="auto"/>
        <w:jc w:val="both"/>
        <w:rPr>
          <w:rFonts w:ascii="Verdana" w:eastAsia="Aptos" w:hAnsi="Verdana" w:cs="Times New Roman"/>
          <w:sz w:val="20"/>
          <w:szCs w:val="20"/>
        </w:rPr>
      </w:pPr>
    </w:p>
    <w:p w14:paraId="7C1480A5" w14:textId="77777777" w:rsidR="002754B5" w:rsidRPr="0033785F" w:rsidRDefault="002754B5" w:rsidP="002754B5">
      <w:pPr>
        <w:spacing w:after="0" w:line="240" w:lineRule="auto"/>
        <w:jc w:val="both"/>
        <w:rPr>
          <w:rFonts w:ascii="Verdana" w:eastAsia="Aptos" w:hAnsi="Verdana" w:cs="Times New Roman"/>
          <w:sz w:val="20"/>
          <w:szCs w:val="20"/>
        </w:rPr>
      </w:pPr>
      <w:r>
        <w:rPr>
          <w:rFonts w:ascii="Verdana" w:eastAsia="Aptos" w:hAnsi="Verdana" w:cs="Times New Roman"/>
          <w:sz w:val="20"/>
          <w:szCs w:val="20"/>
        </w:rPr>
        <w:t>[…]</w:t>
      </w:r>
      <w:r w:rsidRPr="0033785F">
        <w:rPr>
          <w:rFonts w:ascii="Verdana" w:eastAsia="Aptos" w:hAnsi="Verdana" w:cs="Times New Roman"/>
          <w:sz w:val="20"/>
          <w:szCs w:val="20"/>
        </w:rPr>
        <w:t xml:space="preserve"> </w:t>
      </w:r>
    </w:p>
    <w:p w14:paraId="3998326E" w14:textId="77777777" w:rsidR="002754B5" w:rsidRPr="0033785F" w:rsidRDefault="002754B5" w:rsidP="002754B5">
      <w:pPr>
        <w:spacing w:after="0" w:line="240" w:lineRule="auto"/>
        <w:jc w:val="both"/>
        <w:rPr>
          <w:rFonts w:ascii="Verdana" w:eastAsia="Aptos" w:hAnsi="Verdana" w:cs="Times New Roman"/>
          <w:sz w:val="20"/>
          <w:szCs w:val="20"/>
        </w:rPr>
      </w:pPr>
    </w:p>
    <w:p w14:paraId="1ED37384" w14:textId="77777777" w:rsidR="002754B5" w:rsidRDefault="002754B5" w:rsidP="002754B5">
      <w:pPr>
        <w:spacing w:after="0" w:line="240" w:lineRule="auto"/>
        <w:jc w:val="both"/>
        <w:rPr>
          <w:rFonts w:ascii="Verdana" w:eastAsia="Aptos" w:hAnsi="Verdana" w:cs="Times New Roman"/>
          <w:sz w:val="20"/>
          <w:szCs w:val="20"/>
        </w:rPr>
      </w:pPr>
      <w:r w:rsidRPr="0033785F">
        <w:rPr>
          <w:rFonts w:ascii="Verdana" w:eastAsia="Aptos" w:hAnsi="Verdana" w:cs="Times New Roman"/>
          <w:sz w:val="20"/>
          <w:szCs w:val="20"/>
        </w:rPr>
        <w:t xml:space="preserve">En lo que respecta al ámbito de contratación estatal, a partir de la declaratoria del estado de conmoción interior, las entidades estatales que conforman la región del Catatumbo, detallada en el artículo antes citado, se encuentran autorizadas para celebrar contratos </w:t>
      </w:r>
      <w:r w:rsidRPr="0033785F">
        <w:rPr>
          <w:rFonts w:ascii="Verdana" w:eastAsia="Aptos" w:hAnsi="Verdana" w:cs="Times New Roman"/>
          <w:sz w:val="20"/>
          <w:szCs w:val="20"/>
        </w:rPr>
        <w:lastRenderedPageBreak/>
        <w:t>que tengan por objeto el de conjurar la perturbación del orden público e impedir la extensión de sus efectos a través de la adquisición de bienes, obras y servicios. Esto mediante procesos ágiles que garanticen el restablecimiento del orden público, la protección de derechos de las víctimas del conflicto y la protección del medio ambiente.</w:t>
      </w:r>
    </w:p>
    <w:p w14:paraId="3103425B" w14:textId="77777777" w:rsidR="002754B5" w:rsidRDefault="002754B5" w:rsidP="002754B5">
      <w:pPr>
        <w:spacing w:after="0" w:line="240" w:lineRule="auto"/>
        <w:jc w:val="both"/>
        <w:rPr>
          <w:rFonts w:ascii="Verdana" w:eastAsia="Aptos" w:hAnsi="Verdana" w:cs="Times New Roman"/>
          <w:sz w:val="20"/>
          <w:szCs w:val="20"/>
        </w:rPr>
      </w:pPr>
    </w:p>
    <w:p w14:paraId="651567C3" w14:textId="77777777" w:rsidR="002754B5" w:rsidRDefault="002754B5" w:rsidP="002754B5">
      <w:pPr>
        <w:spacing w:after="0" w:line="276" w:lineRule="auto"/>
        <w:jc w:val="both"/>
        <w:rPr>
          <w:rFonts w:ascii="Verdana" w:eastAsia="Calibri" w:hAnsi="Verdana" w:cs="Arial"/>
          <w:b/>
          <w:bCs/>
          <w:lang w:val="es-ES" w:eastAsia="es-ES"/>
        </w:rPr>
      </w:pPr>
      <w:r w:rsidRPr="009D10DB">
        <w:rPr>
          <w:rFonts w:ascii="Verdana" w:eastAsia="Calibri" w:hAnsi="Verdana" w:cs="Arial"/>
          <w:b/>
          <w:bCs/>
          <w:lang w:val="es-ES" w:eastAsia="es-ES"/>
        </w:rPr>
        <w:t>CORTE CONSTITUCIONAL – Declaración constitucionalidad parcial</w:t>
      </w:r>
    </w:p>
    <w:p w14:paraId="013A815B" w14:textId="77777777" w:rsidR="002754B5" w:rsidRDefault="002754B5" w:rsidP="002754B5">
      <w:pPr>
        <w:spacing w:after="0" w:line="276" w:lineRule="auto"/>
        <w:jc w:val="both"/>
        <w:rPr>
          <w:rFonts w:ascii="Verdana" w:eastAsia="Calibri" w:hAnsi="Verdana" w:cs="Arial"/>
          <w:b/>
          <w:bCs/>
          <w:lang w:val="es-ES" w:eastAsia="es-ES"/>
        </w:rPr>
      </w:pPr>
    </w:p>
    <w:p w14:paraId="3C81278C" w14:textId="6DB5F065" w:rsidR="002754B5" w:rsidRDefault="002754B5" w:rsidP="002754B5">
      <w:pPr>
        <w:spacing w:after="0" w:line="240" w:lineRule="auto"/>
        <w:jc w:val="both"/>
        <w:rPr>
          <w:rFonts w:ascii="Verdana" w:eastAsia="Aptos" w:hAnsi="Verdana" w:cs="Times New Roman"/>
          <w:sz w:val="20"/>
          <w:szCs w:val="20"/>
        </w:rPr>
      </w:pPr>
      <w:r w:rsidRPr="009D10DB">
        <w:rPr>
          <w:rFonts w:ascii="Verdana" w:eastAsia="Aptos" w:hAnsi="Verdana" w:cs="Times New Roman"/>
          <w:sz w:val="20"/>
          <w:szCs w:val="20"/>
        </w:rPr>
        <w:t xml:space="preserve">Posteriormente, la Sala Plena de la Corte Constitucional declaró la constitucionalidad parcial de la declaratoria de conmoción interior decretada por el Gobierno Nacional mediante el decreto legislativo en cita, al declarar la </w:t>
      </w:r>
      <w:proofErr w:type="spellStart"/>
      <w:r w:rsidRPr="009D10DB">
        <w:rPr>
          <w:rFonts w:ascii="Verdana" w:eastAsia="Aptos" w:hAnsi="Verdana" w:cs="Times New Roman"/>
          <w:sz w:val="20"/>
          <w:szCs w:val="20"/>
        </w:rPr>
        <w:t>exequibilidad</w:t>
      </w:r>
      <w:proofErr w:type="spellEnd"/>
      <w:r w:rsidRPr="009D10DB">
        <w:rPr>
          <w:rFonts w:ascii="Verdana" w:eastAsia="Aptos" w:hAnsi="Verdana" w:cs="Times New Roman"/>
          <w:sz w:val="20"/>
          <w:szCs w:val="20"/>
        </w:rPr>
        <w:t xml:space="preserve"> únicamente de los respecto de los hechos y consideraciones relacionados con (i) la intensificación de los enfrentamientos entre el ELN y otros </w:t>
      </w:r>
      <w:proofErr w:type="spellStart"/>
      <w:r w:rsidRPr="009D10DB">
        <w:rPr>
          <w:rFonts w:ascii="Verdana" w:eastAsia="Aptos" w:hAnsi="Verdana" w:cs="Times New Roman"/>
          <w:sz w:val="20"/>
          <w:szCs w:val="20"/>
        </w:rPr>
        <w:t>GAOr</w:t>
      </w:r>
      <w:proofErr w:type="spellEnd"/>
      <w:r w:rsidRPr="009D10DB">
        <w:rPr>
          <w:rFonts w:ascii="Verdana" w:eastAsia="Aptos" w:hAnsi="Verdana" w:cs="Times New Roman"/>
          <w:sz w:val="20"/>
          <w:szCs w:val="20"/>
        </w:rPr>
        <w:t>, así como los ataques y hostilidades dirigidos de forma indiscriminada contra la población civil y los firmantes del Acuerdo Final de Paz con las FARC y (</w:t>
      </w:r>
      <w:proofErr w:type="spellStart"/>
      <w:r w:rsidRPr="009D10DB">
        <w:rPr>
          <w:rFonts w:ascii="Verdana" w:eastAsia="Aptos" w:hAnsi="Verdana" w:cs="Times New Roman"/>
          <w:sz w:val="20"/>
          <w:szCs w:val="20"/>
        </w:rPr>
        <w:t>ii</w:t>
      </w:r>
      <w:proofErr w:type="spellEnd"/>
      <w:r w:rsidRPr="009D10DB">
        <w:rPr>
          <w:rFonts w:ascii="Verdana" w:eastAsia="Aptos" w:hAnsi="Verdana" w:cs="Times New Roman"/>
          <w:sz w:val="20"/>
          <w:szCs w:val="20"/>
        </w:rPr>
        <w:t xml:space="preserve">) la crisis humanitaria derivada de desplazamientos forzados -internos y transfronterizos- y confinamientos masivos que ha desbordado la capacidad institucional del Estado para atenderla. La decisión de la Corte Constitucional solo incluye aquellas medidas que sean necesarias para el fortalecimiento de la fuerza pública, la atención humanitaria, los derechos y garantías fundamentales de la población civil, y la financiación para esos propósitos específicos, de conformidad con los términos de dicha providencia. </w:t>
      </w:r>
    </w:p>
    <w:p w14:paraId="41D6F523" w14:textId="77777777" w:rsidR="002754B5" w:rsidRPr="009D10DB" w:rsidRDefault="002754B5" w:rsidP="002754B5">
      <w:pPr>
        <w:spacing w:after="0" w:line="240" w:lineRule="auto"/>
        <w:jc w:val="both"/>
        <w:rPr>
          <w:rFonts w:ascii="Verdana" w:eastAsia="Aptos" w:hAnsi="Verdana" w:cs="Times New Roman"/>
          <w:sz w:val="20"/>
          <w:szCs w:val="20"/>
        </w:rPr>
      </w:pPr>
    </w:p>
    <w:p w14:paraId="6E870565" w14:textId="77777777" w:rsidR="002754B5" w:rsidRPr="009D10DB" w:rsidRDefault="002754B5" w:rsidP="002754B5">
      <w:pPr>
        <w:spacing w:after="0" w:line="240" w:lineRule="auto"/>
        <w:jc w:val="both"/>
        <w:rPr>
          <w:rFonts w:ascii="Verdana" w:eastAsia="Calibri" w:hAnsi="Verdana" w:cs="Arial"/>
          <w:b/>
          <w:bCs/>
          <w:lang w:eastAsia="es-ES"/>
        </w:rPr>
      </w:pPr>
      <w:r w:rsidRPr="009D10DB">
        <w:rPr>
          <w:rFonts w:ascii="Verdana" w:eastAsia="Aptos" w:hAnsi="Verdana" w:cs="Times New Roman"/>
          <w:sz w:val="20"/>
          <w:szCs w:val="20"/>
        </w:rPr>
        <w:t xml:space="preserve">De otro lado, la Corte declaró su </w:t>
      </w:r>
      <w:proofErr w:type="spellStart"/>
      <w:r w:rsidRPr="009D10DB">
        <w:rPr>
          <w:rFonts w:ascii="Verdana" w:eastAsia="Aptos" w:hAnsi="Verdana" w:cs="Times New Roman"/>
          <w:sz w:val="20"/>
          <w:szCs w:val="20"/>
        </w:rPr>
        <w:t>inexequibilidad</w:t>
      </w:r>
      <w:proofErr w:type="spellEnd"/>
      <w:r w:rsidRPr="009D10DB">
        <w:rPr>
          <w:rFonts w:ascii="Verdana" w:eastAsia="Aptos" w:hAnsi="Verdana" w:cs="Times New Roman"/>
          <w:sz w:val="20"/>
          <w:szCs w:val="20"/>
        </w:rPr>
        <w:t xml:space="preserve"> respecto de los hechos y consideraciones relacionados con (i) la presencia histórica del ELN, los </w:t>
      </w:r>
      <w:proofErr w:type="spellStart"/>
      <w:r w:rsidRPr="009D10DB">
        <w:rPr>
          <w:rFonts w:ascii="Verdana" w:eastAsia="Aptos" w:hAnsi="Verdana" w:cs="Times New Roman"/>
          <w:sz w:val="20"/>
          <w:szCs w:val="20"/>
        </w:rPr>
        <w:t>GAOr</w:t>
      </w:r>
      <w:proofErr w:type="spellEnd"/>
      <w:r w:rsidRPr="009D10DB">
        <w:rPr>
          <w:rFonts w:ascii="Verdana" w:eastAsia="Aptos" w:hAnsi="Verdana" w:cs="Times New Roman"/>
          <w:sz w:val="20"/>
          <w:szCs w:val="20"/>
        </w:rPr>
        <w:t xml:space="preserve"> y GDO, (</w:t>
      </w:r>
      <w:proofErr w:type="spellStart"/>
      <w:r w:rsidRPr="009D10DB">
        <w:rPr>
          <w:rFonts w:ascii="Verdana" w:eastAsia="Aptos" w:hAnsi="Verdana" w:cs="Times New Roman"/>
          <w:sz w:val="20"/>
          <w:szCs w:val="20"/>
        </w:rPr>
        <w:t>ii</w:t>
      </w:r>
      <w:proofErr w:type="spellEnd"/>
      <w:r w:rsidRPr="009D10DB">
        <w:rPr>
          <w:rFonts w:ascii="Verdana" w:eastAsia="Aptos" w:hAnsi="Verdana" w:cs="Times New Roman"/>
          <w:sz w:val="20"/>
          <w:szCs w:val="20"/>
        </w:rPr>
        <w:t>) la concentración de cultivos ilícitos, (</w:t>
      </w:r>
      <w:proofErr w:type="spellStart"/>
      <w:r w:rsidRPr="009D10DB">
        <w:rPr>
          <w:rFonts w:ascii="Verdana" w:eastAsia="Aptos" w:hAnsi="Verdana" w:cs="Times New Roman"/>
          <w:sz w:val="20"/>
          <w:szCs w:val="20"/>
        </w:rPr>
        <w:t>iii</w:t>
      </w:r>
      <w:proofErr w:type="spellEnd"/>
      <w:r w:rsidRPr="009D10DB">
        <w:rPr>
          <w:rFonts w:ascii="Verdana" w:eastAsia="Aptos" w:hAnsi="Verdana" w:cs="Times New Roman"/>
          <w:sz w:val="20"/>
          <w:szCs w:val="20"/>
        </w:rPr>
        <w:t>) las deficiencias e incumplimientos en la implementación del PNIS, (</w:t>
      </w:r>
      <w:proofErr w:type="spellStart"/>
      <w:r w:rsidRPr="009D10DB">
        <w:rPr>
          <w:rFonts w:ascii="Verdana" w:eastAsia="Aptos" w:hAnsi="Verdana" w:cs="Times New Roman"/>
          <w:sz w:val="20"/>
          <w:szCs w:val="20"/>
        </w:rPr>
        <w:t>iv</w:t>
      </w:r>
      <w:proofErr w:type="spellEnd"/>
      <w:r w:rsidRPr="009D10DB">
        <w:rPr>
          <w:rFonts w:ascii="Verdana" w:eastAsia="Aptos" w:hAnsi="Verdana" w:cs="Times New Roman"/>
          <w:sz w:val="20"/>
          <w:szCs w:val="20"/>
        </w:rPr>
        <w:t>) las necesidades básicas insatisfechas de la población por insuficiencia en la política social y (v) los daños a la infraestructura energética y vial, así como las afectaciones a las operaciones del sector de hidrocarburos.</w:t>
      </w:r>
    </w:p>
    <w:p w14:paraId="4CE6F10C" w14:textId="77777777" w:rsidR="002754B5" w:rsidRPr="00B615F9" w:rsidRDefault="002754B5" w:rsidP="002754B5">
      <w:pPr>
        <w:spacing w:after="0" w:line="240" w:lineRule="auto"/>
        <w:jc w:val="both"/>
        <w:rPr>
          <w:rFonts w:ascii="Verdana" w:eastAsia="Aptos" w:hAnsi="Verdana" w:cs="Times New Roman"/>
        </w:rPr>
      </w:pPr>
    </w:p>
    <w:p w14:paraId="438EE7D6" w14:textId="77777777" w:rsidR="002754B5" w:rsidRDefault="002754B5" w:rsidP="002754B5">
      <w:pPr>
        <w:spacing w:after="0" w:line="240" w:lineRule="auto"/>
        <w:jc w:val="both"/>
        <w:rPr>
          <w:rFonts w:ascii="Verdana" w:eastAsia="Calibri" w:hAnsi="Verdana" w:cs="Arial"/>
          <w:b/>
          <w:bCs/>
          <w:lang w:val="es-ES" w:eastAsia="es-ES"/>
        </w:rPr>
      </w:pPr>
    </w:p>
    <w:p w14:paraId="39121DAA" w14:textId="77777777" w:rsidR="00D77742" w:rsidRDefault="00D77742" w:rsidP="002754B5">
      <w:pPr>
        <w:spacing w:after="0" w:line="240" w:lineRule="auto"/>
        <w:jc w:val="both"/>
        <w:rPr>
          <w:rFonts w:ascii="Verdana" w:eastAsia="Calibri" w:hAnsi="Verdana" w:cs="Arial"/>
          <w:b/>
          <w:bCs/>
          <w:lang w:val="es-ES" w:eastAsia="es-ES"/>
        </w:rPr>
      </w:pPr>
    </w:p>
    <w:p w14:paraId="78969BAD" w14:textId="77777777" w:rsidR="00D77742" w:rsidRDefault="00D77742" w:rsidP="002754B5">
      <w:pPr>
        <w:spacing w:after="0" w:line="240" w:lineRule="auto"/>
        <w:jc w:val="both"/>
        <w:rPr>
          <w:rFonts w:ascii="Verdana" w:eastAsia="Calibri" w:hAnsi="Verdana" w:cs="Arial"/>
          <w:b/>
          <w:bCs/>
          <w:lang w:val="es-ES" w:eastAsia="es-ES"/>
        </w:rPr>
      </w:pPr>
    </w:p>
    <w:p w14:paraId="40F048FD" w14:textId="77777777" w:rsidR="00D77742" w:rsidRDefault="00D77742" w:rsidP="002754B5">
      <w:pPr>
        <w:spacing w:after="0" w:line="240" w:lineRule="auto"/>
        <w:jc w:val="both"/>
        <w:rPr>
          <w:rFonts w:ascii="Verdana" w:eastAsia="Calibri" w:hAnsi="Verdana" w:cs="Arial"/>
          <w:b/>
          <w:bCs/>
          <w:lang w:val="es-ES" w:eastAsia="es-ES"/>
        </w:rPr>
      </w:pPr>
    </w:p>
    <w:p w14:paraId="1D602D51" w14:textId="77777777" w:rsidR="00D77742" w:rsidRDefault="00D77742" w:rsidP="002754B5">
      <w:pPr>
        <w:spacing w:after="0" w:line="240" w:lineRule="auto"/>
        <w:jc w:val="both"/>
        <w:rPr>
          <w:rFonts w:ascii="Verdana" w:eastAsia="Calibri" w:hAnsi="Verdana" w:cs="Arial"/>
          <w:b/>
          <w:bCs/>
          <w:lang w:val="es-ES" w:eastAsia="es-ES"/>
        </w:rPr>
      </w:pPr>
    </w:p>
    <w:p w14:paraId="47B86276" w14:textId="77777777" w:rsidR="00D77742" w:rsidRDefault="00D77742" w:rsidP="002754B5">
      <w:pPr>
        <w:spacing w:after="0" w:line="240" w:lineRule="auto"/>
        <w:jc w:val="both"/>
        <w:rPr>
          <w:rFonts w:ascii="Verdana" w:eastAsia="Calibri" w:hAnsi="Verdana" w:cs="Arial"/>
          <w:b/>
          <w:bCs/>
          <w:lang w:val="es-ES" w:eastAsia="es-ES"/>
        </w:rPr>
      </w:pPr>
    </w:p>
    <w:p w14:paraId="0ADEF351" w14:textId="77777777" w:rsidR="00D77742" w:rsidRDefault="00D77742" w:rsidP="002754B5">
      <w:pPr>
        <w:spacing w:after="0" w:line="240" w:lineRule="auto"/>
        <w:jc w:val="both"/>
        <w:rPr>
          <w:rFonts w:ascii="Verdana" w:eastAsia="Calibri" w:hAnsi="Verdana" w:cs="Arial"/>
          <w:b/>
          <w:bCs/>
          <w:lang w:val="es-ES" w:eastAsia="es-ES"/>
        </w:rPr>
      </w:pPr>
    </w:p>
    <w:p w14:paraId="158934C5" w14:textId="77777777" w:rsidR="00D77742" w:rsidRDefault="00D77742" w:rsidP="002754B5">
      <w:pPr>
        <w:spacing w:after="0" w:line="240" w:lineRule="auto"/>
        <w:jc w:val="both"/>
        <w:rPr>
          <w:rFonts w:ascii="Verdana" w:eastAsia="Calibri" w:hAnsi="Verdana" w:cs="Arial"/>
          <w:b/>
          <w:bCs/>
          <w:lang w:val="es-ES" w:eastAsia="es-ES"/>
        </w:rPr>
      </w:pPr>
    </w:p>
    <w:p w14:paraId="3F4F1147" w14:textId="77777777" w:rsidR="00D77742" w:rsidRDefault="00D77742" w:rsidP="002754B5">
      <w:pPr>
        <w:spacing w:after="0" w:line="240" w:lineRule="auto"/>
        <w:jc w:val="both"/>
        <w:rPr>
          <w:rFonts w:ascii="Verdana" w:eastAsia="Calibri" w:hAnsi="Verdana" w:cs="Arial"/>
          <w:b/>
          <w:bCs/>
          <w:lang w:val="es-ES" w:eastAsia="es-ES"/>
        </w:rPr>
      </w:pPr>
    </w:p>
    <w:p w14:paraId="340AACF2" w14:textId="77777777" w:rsidR="00D77742" w:rsidRDefault="00D77742" w:rsidP="002754B5">
      <w:pPr>
        <w:spacing w:after="0" w:line="240" w:lineRule="auto"/>
        <w:jc w:val="both"/>
        <w:rPr>
          <w:rFonts w:ascii="Verdana" w:eastAsia="Calibri" w:hAnsi="Verdana" w:cs="Arial"/>
          <w:b/>
          <w:bCs/>
          <w:lang w:val="es-ES" w:eastAsia="es-ES"/>
        </w:rPr>
      </w:pPr>
    </w:p>
    <w:p w14:paraId="5600060E" w14:textId="77777777" w:rsidR="00D77742" w:rsidRDefault="00D77742" w:rsidP="002754B5">
      <w:pPr>
        <w:spacing w:after="0" w:line="240" w:lineRule="auto"/>
        <w:jc w:val="both"/>
        <w:rPr>
          <w:rFonts w:ascii="Verdana" w:eastAsia="Calibri" w:hAnsi="Verdana" w:cs="Arial"/>
          <w:b/>
          <w:bCs/>
          <w:lang w:val="es-ES" w:eastAsia="es-ES"/>
        </w:rPr>
      </w:pPr>
    </w:p>
    <w:p w14:paraId="2BF45629" w14:textId="77777777" w:rsidR="00D77742" w:rsidRDefault="00D77742" w:rsidP="002754B5">
      <w:pPr>
        <w:spacing w:after="0" w:line="240" w:lineRule="auto"/>
        <w:jc w:val="both"/>
        <w:rPr>
          <w:rFonts w:ascii="Verdana" w:eastAsia="Calibri" w:hAnsi="Verdana" w:cs="Arial"/>
          <w:b/>
          <w:bCs/>
          <w:lang w:val="es-ES" w:eastAsia="es-ES"/>
        </w:rPr>
      </w:pPr>
    </w:p>
    <w:p w14:paraId="4F22179F" w14:textId="77777777" w:rsidR="00D77742" w:rsidRDefault="00D77742" w:rsidP="002754B5">
      <w:pPr>
        <w:spacing w:after="0" w:line="240" w:lineRule="auto"/>
        <w:jc w:val="both"/>
        <w:rPr>
          <w:rFonts w:ascii="Verdana" w:eastAsia="Calibri" w:hAnsi="Verdana" w:cs="Arial"/>
          <w:b/>
          <w:bCs/>
          <w:lang w:val="es-ES" w:eastAsia="es-ES"/>
        </w:rPr>
      </w:pPr>
    </w:p>
    <w:p w14:paraId="35D57C70" w14:textId="77777777" w:rsidR="00431F82" w:rsidRDefault="00431F82" w:rsidP="0005258F">
      <w:pPr>
        <w:spacing w:after="0" w:line="240" w:lineRule="auto"/>
        <w:rPr>
          <w:rFonts w:ascii="Verdana" w:eastAsia="Geomanist Light" w:hAnsi="Verdana" w:cs="Arial"/>
          <w:color w:val="000000" w:themeColor="text1"/>
        </w:rPr>
      </w:pPr>
    </w:p>
    <w:p w14:paraId="59D282A3" w14:textId="77777777" w:rsidR="00486481" w:rsidRDefault="00486481" w:rsidP="0005258F">
      <w:pPr>
        <w:spacing w:after="0" w:line="240" w:lineRule="auto"/>
        <w:rPr>
          <w:rFonts w:ascii="Verdana" w:eastAsia="Geomanist Light" w:hAnsi="Verdana" w:cs="Arial"/>
          <w:color w:val="000000" w:themeColor="text1"/>
        </w:rPr>
      </w:pPr>
    </w:p>
    <w:p w14:paraId="70992E68" w14:textId="77777777" w:rsidR="00486481" w:rsidRDefault="00486481" w:rsidP="0005258F">
      <w:pPr>
        <w:spacing w:after="0" w:line="240" w:lineRule="auto"/>
        <w:rPr>
          <w:rFonts w:ascii="Verdana" w:eastAsia="Geomanist Light" w:hAnsi="Verdana" w:cs="Arial"/>
          <w:color w:val="000000" w:themeColor="text1"/>
        </w:rPr>
      </w:pPr>
    </w:p>
    <w:p w14:paraId="0391D870" w14:textId="77777777" w:rsidR="00486481" w:rsidRDefault="00486481" w:rsidP="0005258F">
      <w:pPr>
        <w:spacing w:after="0" w:line="240" w:lineRule="auto"/>
        <w:rPr>
          <w:rFonts w:ascii="Verdana" w:eastAsia="Geomanist Light" w:hAnsi="Verdana" w:cs="Arial"/>
          <w:color w:val="000000" w:themeColor="text1"/>
        </w:rPr>
      </w:pPr>
    </w:p>
    <w:p w14:paraId="25581458" w14:textId="04BD7EAC" w:rsidR="0005258F" w:rsidRPr="00AD4F6A" w:rsidRDefault="0005258F" w:rsidP="0005258F">
      <w:pPr>
        <w:spacing w:after="0" w:line="240" w:lineRule="auto"/>
        <w:rPr>
          <w:rFonts w:ascii="Verdana" w:eastAsia="Geomanist Light" w:hAnsi="Verdana" w:cs="Arial"/>
          <w:color w:val="201F1E"/>
        </w:rPr>
      </w:pPr>
      <w:r w:rsidRPr="00AD4F6A">
        <w:rPr>
          <w:rFonts w:ascii="Verdana" w:eastAsia="Geomanist Light" w:hAnsi="Verdana" w:cs="Arial"/>
          <w:color w:val="000000" w:themeColor="text1"/>
        </w:rPr>
        <w:lastRenderedPageBreak/>
        <w:t>Bogotá D.C., </w:t>
      </w:r>
      <w:r w:rsidR="000F129A">
        <w:rPr>
          <w:rFonts w:ascii="Verdana" w:eastAsia="Geomanist Light" w:hAnsi="Verdana" w:cs="Arial"/>
          <w:color w:val="201F1E"/>
        </w:rPr>
        <w:t>15 de julio de 2024</w:t>
      </w:r>
    </w:p>
    <w:p w14:paraId="3F11486A" w14:textId="5ACE2F2D" w:rsidR="0005258F" w:rsidRDefault="008A422C" w:rsidP="0005258F">
      <w:pPr>
        <w:spacing w:after="0" w:line="240" w:lineRule="auto"/>
        <w:jc w:val="right"/>
        <w:rPr>
          <w:rFonts w:ascii="Verdana" w:eastAsia="Calibri" w:hAnsi="Verdana" w:cs="Arial"/>
          <w:color w:val="000000"/>
          <w:lang w:val="es-ES"/>
        </w:rPr>
      </w:pPr>
      <w:r w:rsidRPr="00486481">
        <w:rPr>
          <w:rFonts w:ascii="Verdana" w:eastAsia="Calibri" w:hAnsi="Verdana" w:cs="Arial"/>
          <w:noProof/>
          <w:color w:val="000000"/>
          <w:lang w:val="es-ES"/>
        </w:rPr>
        <w:drawing>
          <wp:anchor distT="0" distB="0" distL="114300" distR="114300" simplePos="0" relativeHeight="251657216" behindDoc="0" locked="0" layoutInCell="1" allowOverlap="1" wp14:anchorId="366DD7AA" wp14:editId="32F4B36E">
            <wp:simplePos x="0" y="0"/>
            <wp:positionH relativeFrom="margin">
              <wp:align>right</wp:align>
            </wp:positionH>
            <wp:positionV relativeFrom="paragraph">
              <wp:posOffset>170815</wp:posOffset>
            </wp:positionV>
            <wp:extent cx="2877820" cy="922020"/>
            <wp:effectExtent l="0" t="0" r="0" b="0"/>
            <wp:wrapSquare wrapText="bothSides"/>
            <wp:docPr id="120271687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77820" cy="922020"/>
                    </a:xfrm>
                    <a:prstGeom prst="rect">
                      <a:avLst/>
                    </a:prstGeom>
                    <a:noFill/>
                    <a:ln>
                      <a:noFill/>
                    </a:ln>
                  </pic:spPr>
                </pic:pic>
              </a:graphicData>
            </a:graphic>
            <wp14:sizeRelH relativeFrom="margin">
              <wp14:pctWidth>0</wp14:pctWidth>
            </wp14:sizeRelH>
          </wp:anchor>
        </w:drawing>
      </w:r>
    </w:p>
    <w:p w14:paraId="1513D92F" w14:textId="622905BE" w:rsidR="0005258F" w:rsidRPr="00593A5F" w:rsidRDefault="0005258F" w:rsidP="000F129A">
      <w:pPr>
        <w:spacing w:after="0" w:line="240" w:lineRule="auto"/>
        <w:jc w:val="right"/>
        <w:rPr>
          <w:rFonts w:ascii="Verdana" w:eastAsia="Calibri" w:hAnsi="Verdana" w:cs="Arial"/>
          <w:color w:val="000000"/>
          <w:lang w:val="es-ES"/>
        </w:rPr>
      </w:pPr>
    </w:p>
    <w:p w14:paraId="6C72EDE1" w14:textId="77777777" w:rsidR="000F129A" w:rsidRDefault="000F129A" w:rsidP="0005258F">
      <w:pPr>
        <w:spacing w:after="0" w:line="240" w:lineRule="auto"/>
        <w:jc w:val="both"/>
        <w:rPr>
          <w:rFonts w:ascii="Verdana" w:eastAsia="Calibri" w:hAnsi="Verdana" w:cs="Arial"/>
          <w:lang w:val="es-ES" w:eastAsia="es-ES"/>
        </w:rPr>
      </w:pPr>
    </w:p>
    <w:p w14:paraId="357FAF46" w14:textId="5819AF9D" w:rsidR="0005258F" w:rsidRPr="000C555D" w:rsidRDefault="0005258F" w:rsidP="0005258F">
      <w:pPr>
        <w:spacing w:after="0" w:line="240" w:lineRule="auto"/>
        <w:jc w:val="both"/>
        <w:rPr>
          <w:rFonts w:ascii="Verdana" w:eastAsia="Calibri" w:hAnsi="Verdana" w:cs="Arial"/>
          <w:lang w:val="es-ES" w:eastAsia="es-ES"/>
        </w:rPr>
      </w:pPr>
      <w:r>
        <w:rPr>
          <w:rFonts w:ascii="Verdana" w:eastAsia="Calibri" w:hAnsi="Verdana" w:cs="Arial"/>
          <w:lang w:val="es-ES" w:eastAsia="es-ES"/>
        </w:rPr>
        <w:t>Señor (a)</w:t>
      </w:r>
    </w:p>
    <w:p w14:paraId="7E73EA0A" w14:textId="77777777" w:rsidR="0005258F" w:rsidRDefault="0005258F" w:rsidP="0005258F">
      <w:pPr>
        <w:spacing w:after="0" w:line="240" w:lineRule="auto"/>
        <w:rPr>
          <w:rFonts w:ascii="Verdana" w:eastAsia="Calibri" w:hAnsi="Verdana" w:cs="Arial"/>
          <w:b/>
          <w:lang w:val="es-ES" w:eastAsia="es-ES"/>
        </w:rPr>
      </w:pPr>
      <w:r>
        <w:rPr>
          <w:rFonts w:ascii="Verdana" w:eastAsia="Calibri" w:hAnsi="Verdana" w:cs="Arial"/>
          <w:b/>
          <w:lang w:val="es-ES" w:eastAsia="es-ES"/>
        </w:rPr>
        <w:t xml:space="preserve">Anónimo </w:t>
      </w:r>
    </w:p>
    <w:p w14:paraId="3FE68B20" w14:textId="77777777" w:rsidR="0005258F" w:rsidRPr="00745944" w:rsidRDefault="0005258F" w:rsidP="0005258F">
      <w:pPr>
        <w:spacing w:after="0" w:line="240" w:lineRule="auto"/>
        <w:rPr>
          <w:rFonts w:ascii="Verdana" w:eastAsia="Calibri" w:hAnsi="Verdana" w:cs="Arial"/>
          <w:bCs/>
          <w:lang w:val="es-ES" w:eastAsia="es-ES"/>
        </w:rPr>
      </w:pPr>
      <w:hyperlink r:id="rId11" w:history="1">
        <w:r w:rsidRPr="002040CA">
          <w:rPr>
            <w:rStyle w:val="Hipervnculo"/>
            <w:rFonts w:ascii="Verdana" w:eastAsia="Calibri" w:hAnsi="Verdana" w:cs="Arial"/>
            <w:bCs/>
            <w:lang w:val="es-ES" w:eastAsia="es-ES"/>
          </w:rPr>
          <w:t>jperezlo@cendoj.ramajudicial.gov.co</w:t>
        </w:r>
      </w:hyperlink>
      <w:r>
        <w:rPr>
          <w:rFonts w:ascii="Verdana" w:eastAsia="Calibri" w:hAnsi="Verdana" w:cs="Arial"/>
          <w:bCs/>
          <w:lang w:val="es-ES" w:eastAsia="es-ES"/>
        </w:rPr>
        <w:t xml:space="preserve"> </w:t>
      </w:r>
    </w:p>
    <w:p w14:paraId="0A743075" w14:textId="77777777" w:rsidR="0005258F" w:rsidRDefault="0005258F" w:rsidP="0005258F">
      <w:pPr>
        <w:spacing w:after="0" w:line="240" w:lineRule="auto"/>
        <w:rPr>
          <w:rFonts w:ascii="Verdana" w:eastAsia="Calibri" w:hAnsi="Verdana" w:cs="Arial"/>
          <w:lang w:val="es-ES" w:eastAsia="es-ES"/>
        </w:rPr>
      </w:pPr>
      <w:r>
        <w:rPr>
          <w:rFonts w:ascii="Verdana" w:eastAsia="Calibri" w:hAnsi="Verdana" w:cs="Arial"/>
          <w:lang w:val="es-ES" w:eastAsia="es-ES"/>
        </w:rPr>
        <w:t>Bogotá</w:t>
      </w:r>
    </w:p>
    <w:p w14:paraId="2673A636" w14:textId="77777777" w:rsidR="0005258F" w:rsidRPr="00593A5F" w:rsidRDefault="0005258F" w:rsidP="0005258F">
      <w:pPr>
        <w:spacing w:after="0" w:line="240" w:lineRule="auto"/>
        <w:rPr>
          <w:rFonts w:ascii="Verdana" w:eastAsia="Calibri" w:hAnsi="Verdana" w:cs="Arial"/>
          <w:b/>
          <w:bCs/>
          <w:color w:val="000000"/>
          <w:lang w:val="es-ES_tradnl" w:eastAsia="es-ES_tradnl"/>
        </w:rPr>
      </w:pPr>
    </w:p>
    <w:p w14:paraId="3DBC37D0" w14:textId="77777777" w:rsidR="0005258F" w:rsidRPr="00593A5F" w:rsidRDefault="0005258F" w:rsidP="0005258F">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05258F" w:rsidRPr="00593A5F" w14:paraId="1574EC48" w14:textId="77777777" w:rsidTr="00C368B4">
        <w:trPr>
          <w:trHeight w:val="884"/>
        </w:trPr>
        <w:tc>
          <w:tcPr>
            <w:tcW w:w="2689" w:type="dxa"/>
          </w:tcPr>
          <w:p w14:paraId="78B60A5D" w14:textId="77777777" w:rsidR="0005258F" w:rsidRPr="00C00976" w:rsidRDefault="0005258F" w:rsidP="00C368B4">
            <w:pPr>
              <w:jc w:val="both"/>
              <w:rPr>
                <w:rFonts w:ascii="Verdana" w:eastAsia="Calibri" w:hAnsi="Verdana" w:cs="Arial"/>
                <w:b/>
                <w:bCs/>
                <w:color w:val="7030A0"/>
                <w:lang w:val="es-ES_tradnl" w:eastAsia="es-ES_tradnl"/>
              </w:rPr>
            </w:pPr>
          </w:p>
        </w:tc>
        <w:tc>
          <w:tcPr>
            <w:tcW w:w="6100" w:type="dxa"/>
          </w:tcPr>
          <w:p w14:paraId="7AB88FE3" w14:textId="77777777" w:rsidR="0005258F" w:rsidRPr="00C00976" w:rsidRDefault="0005258F" w:rsidP="00C368B4">
            <w:pPr>
              <w:jc w:val="both"/>
              <w:rPr>
                <w:rFonts w:ascii="Verdana" w:eastAsia="Calibri" w:hAnsi="Verdana" w:cs="Arial"/>
                <w:b/>
                <w:bCs/>
                <w:color w:val="7030A0"/>
                <w:lang w:val="es-ES" w:eastAsia="es-ES"/>
              </w:rPr>
            </w:pPr>
            <w:r w:rsidRPr="008E6AD9">
              <w:rPr>
                <w:rFonts w:ascii="Verdana" w:eastAsia="Calibri" w:hAnsi="Verdana" w:cs="Arial"/>
                <w:b/>
                <w:bCs/>
                <w:lang w:val="es-ES" w:eastAsia="es-ES"/>
              </w:rPr>
              <w:t xml:space="preserve">Concepto C – </w:t>
            </w:r>
            <w:r>
              <w:rPr>
                <w:rFonts w:ascii="Verdana" w:eastAsia="Calibri" w:hAnsi="Verdana" w:cs="Arial"/>
                <w:b/>
                <w:bCs/>
                <w:lang w:val="es-ES" w:eastAsia="es-ES"/>
              </w:rPr>
              <w:t xml:space="preserve">727 </w:t>
            </w:r>
            <w:r w:rsidRPr="008E6AD9">
              <w:rPr>
                <w:rFonts w:ascii="Verdana" w:eastAsia="Calibri" w:hAnsi="Verdana" w:cs="Arial"/>
                <w:b/>
                <w:bCs/>
                <w:lang w:val="es-ES" w:eastAsia="es-ES"/>
              </w:rPr>
              <w:t>de 202</w:t>
            </w:r>
            <w:r>
              <w:rPr>
                <w:rFonts w:ascii="Verdana" w:eastAsia="Calibri" w:hAnsi="Verdana" w:cs="Arial"/>
                <w:b/>
                <w:bCs/>
                <w:lang w:val="es-ES" w:eastAsia="es-ES"/>
              </w:rPr>
              <w:t>5</w:t>
            </w:r>
          </w:p>
        </w:tc>
      </w:tr>
      <w:tr w:rsidR="0005258F" w:rsidRPr="00593A5F" w14:paraId="1B24BE6C" w14:textId="77777777" w:rsidTr="00C368B4">
        <w:trPr>
          <w:trHeight w:val="884"/>
        </w:trPr>
        <w:tc>
          <w:tcPr>
            <w:tcW w:w="2689" w:type="dxa"/>
          </w:tcPr>
          <w:p w14:paraId="41994087" w14:textId="77777777" w:rsidR="0005258F" w:rsidRPr="00593A5F" w:rsidRDefault="0005258F" w:rsidP="00C368B4">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2F4D41A0" w14:textId="77777777" w:rsidR="0005258F" w:rsidRDefault="0005258F" w:rsidP="00C368B4">
            <w:pPr>
              <w:spacing w:line="276" w:lineRule="auto"/>
              <w:jc w:val="both"/>
              <w:rPr>
                <w:rFonts w:ascii="Verdana" w:eastAsia="Calibri" w:hAnsi="Verdana" w:cs="Arial"/>
                <w:lang w:val="es-ES" w:eastAsia="es-ES"/>
              </w:rPr>
            </w:pPr>
            <w:r w:rsidRPr="00C60D6E">
              <w:rPr>
                <w:rFonts w:ascii="Verdana" w:eastAsia="Calibri" w:hAnsi="Verdana" w:cs="Arial"/>
                <w:lang w:val="es-ES" w:eastAsia="es-ES"/>
              </w:rPr>
              <w:t xml:space="preserve">MODALIDADES DE SELECCIÓN – Excepción a la regla – Contratación directa – Urgencia Manifiesta </w:t>
            </w:r>
            <w:r w:rsidRPr="00940024">
              <w:rPr>
                <w:rFonts w:ascii="Verdana" w:eastAsia="Calibri" w:hAnsi="Verdana" w:cs="Arial"/>
                <w:lang w:val="es-ES" w:eastAsia="es-ES"/>
              </w:rPr>
              <w:t>/</w:t>
            </w:r>
            <w:r>
              <w:rPr>
                <w:rFonts w:ascii="Verdana" w:eastAsia="Calibri" w:hAnsi="Verdana" w:cs="Arial"/>
                <w:lang w:val="es-ES" w:eastAsia="es-ES"/>
              </w:rPr>
              <w:t xml:space="preserve"> </w:t>
            </w:r>
            <w:r w:rsidRPr="00C60D6E">
              <w:rPr>
                <w:rFonts w:ascii="Verdana" w:eastAsia="Calibri" w:hAnsi="Verdana" w:cs="Arial"/>
                <w:lang w:val="es-ES" w:eastAsia="es-ES"/>
              </w:rPr>
              <w:t>DECRETO 62 DE 2025 – Declaración conmoción interior región Catatumbo – Medidas en contratación estatal – Ámbito temporal</w:t>
            </w:r>
            <w:r>
              <w:rPr>
                <w:rFonts w:ascii="Verdana" w:eastAsia="Calibri" w:hAnsi="Verdana" w:cs="Arial"/>
                <w:lang w:val="es-ES" w:eastAsia="es-ES"/>
              </w:rPr>
              <w:t xml:space="preserve"> </w:t>
            </w:r>
            <w:r w:rsidRPr="00C60D6E">
              <w:rPr>
                <w:rFonts w:ascii="Verdana" w:eastAsia="Calibri" w:hAnsi="Verdana" w:cs="Arial"/>
                <w:lang w:val="es-ES" w:eastAsia="es-ES"/>
              </w:rPr>
              <w:t>– suscripción contratos /</w:t>
            </w:r>
            <w:r>
              <w:rPr>
                <w:rFonts w:ascii="Verdana" w:eastAsia="Calibri" w:hAnsi="Verdana" w:cs="Arial"/>
                <w:lang w:val="es-ES" w:eastAsia="es-ES"/>
              </w:rPr>
              <w:t xml:space="preserve"> </w:t>
            </w:r>
            <w:r w:rsidRPr="00C60D6E">
              <w:rPr>
                <w:rFonts w:ascii="Verdana" w:eastAsia="Calibri" w:hAnsi="Verdana" w:cs="Arial"/>
                <w:lang w:val="es-ES" w:eastAsia="es-ES"/>
              </w:rPr>
              <w:t xml:space="preserve">CORTE CONSTITUCIONAL – Declaración constitucionalidad parcial </w:t>
            </w:r>
          </w:p>
          <w:p w14:paraId="41DB7503" w14:textId="77777777" w:rsidR="0005258F" w:rsidRPr="00593A5F" w:rsidRDefault="0005258F" w:rsidP="00C368B4">
            <w:pPr>
              <w:spacing w:line="276" w:lineRule="auto"/>
              <w:jc w:val="both"/>
              <w:rPr>
                <w:rFonts w:ascii="Verdana" w:eastAsia="Calibri" w:hAnsi="Verdana" w:cs="Arial"/>
                <w:lang w:val="es-ES" w:eastAsia="es-ES"/>
              </w:rPr>
            </w:pPr>
            <w:r w:rsidRPr="00A11406">
              <w:rPr>
                <w:rFonts w:ascii="Verdana" w:eastAsia="Calibri" w:hAnsi="Verdana" w:cs="Arial"/>
                <w:lang w:val="es-ES" w:eastAsia="es-ES"/>
              </w:rPr>
              <w:t xml:space="preserve"> </w:t>
            </w:r>
            <w:r w:rsidRPr="00D1484F">
              <w:rPr>
                <w:rFonts w:ascii="Verdana" w:eastAsia="Calibri" w:hAnsi="Verdana" w:cs="Arial"/>
                <w:lang w:val="es-ES" w:eastAsia="es-ES"/>
              </w:rPr>
              <w:t xml:space="preserve"> </w:t>
            </w:r>
          </w:p>
        </w:tc>
      </w:tr>
      <w:tr w:rsidR="0005258F" w:rsidRPr="008E6AD9" w14:paraId="573C576D" w14:textId="77777777" w:rsidTr="00C368B4">
        <w:tc>
          <w:tcPr>
            <w:tcW w:w="2689" w:type="dxa"/>
          </w:tcPr>
          <w:p w14:paraId="6BA9EFE7" w14:textId="77777777" w:rsidR="0005258F" w:rsidRPr="008E6AD9" w:rsidRDefault="0005258F" w:rsidP="00C368B4">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7165535F" w14:textId="77777777" w:rsidR="0005258F" w:rsidRPr="00B92340" w:rsidRDefault="0005258F" w:rsidP="00C368B4">
            <w:pPr>
              <w:spacing w:line="276" w:lineRule="auto"/>
              <w:jc w:val="both"/>
              <w:rPr>
                <w:rFonts w:ascii="Verdana" w:eastAsia="Calibri" w:hAnsi="Verdana" w:cs="Arial"/>
                <w:lang w:val="es-ES_tradnl" w:eastAsia="es-ES_tradnl"/>
              </w:rPr>
            </w:pPr>
            <w:r w:rsidRPr="008E6AD9">
              <w:rPr>
                <w:rFonts w:ascii="Verdana" w:eastAsia="Calibri" w:hAnsi="Verdana" w:cs="Arial"/>
                <w:lang w:val="es-ES_tradnl" w:eastAsia="es-ES_tradnl"/>
              </w:rPr>
              <w:t xml:space="preserve">Respuesta a </w:t>
            </w:r>
            <w:r>
              <w:rPr>
                <w:rFonts w:ascii="Verdana" w:eastAsia="Calibri" w:hAnsi="Verdana" w:cs="Arial"/>
                <w:lang w:val="es-ES_tradnl" w:eastAsia="es-ES_tradnl"/>
              </w:rPr>
              <w:t xml:space="preserve">la </w:t>
            </w:r>
            <w:r w:rsidRPr="008E6AD9">
              <w:rPr>
                <w:rFonts w:ascii="Verdana" w:eastAsia="Calibri" w:hAnsi="Verdana" w:cs="Arial"/>
                <w:lang w:val="es-ES_tradnl" w:eastAsia="es-ES_tradnl"/>
              </w:rPr>
              <w:t>consulta con radicado</w:t>
            </w:r>
            <w:r>
              <w:rPr>
                <w:rFonts w:ascii="Verdana" w:eastAsia="Calibri" w:hAnsi="Verdana" w:cs="Arial"/>
                <w:lang w:val="es-ES_tradnl" w:eastAsia="es-ES_tradnl"/>
              </w:rPr>
              <w:t xml:space="preserve"> </w:t>
            </w:r>
            <w:r w:rsidRPr="008E6AD9">
              <w:rPr>
                <w:rFonts w:ascii="Verdana" w:eastAsia="Calibri" w:hAnsi="Verdana" w:cs="Arial"/>
                <w:lang w:val="es-ES_tradnl" w:eastAsia="es-ES_tradnl"/>
              </w:rPr>
              <w:t>No</w:t>
            </w:r>
            <w:r>
              <w:rPr>
                <w:rFonts w:ascii="Verdana" w:eastAsia="Calibri" w:hAnsi="Verdana" w:cs="Arial"/>
                <w:lang w:val="es-ES_tradnl" w:eastAsia="es-ES_tradnl"/>
              </w:rPr>
              <w:t xml:space="preserve">. </w:t>
            </w:r>
            <w:r w:rsidRPr="00E031A4">
              <w:rPr>
                <w:rFonts w:ascii="Verdana" w:eastAsia="Calibri" w:hAnsi="Verdana" w:cs="Arial"/>
                <w:lang w:val="es-ES_tradnl" w:eastAsia="es-ES_tradnl"/>
              </w:rPr>
              <w:t>1-2025-06-06-005557</w:t>
            </w:r>
          </w:p>
        </w:tc>
      </w:tr>
    </w:tbl>
    <w:p w14:paraId="40F2CA70" w14:textId="77777777" w:rsidR="0005258F" w:rsidRPr="00593A5F" w:rsidRDefault="0005258F" w:rsidP="0005258F">
      <w:pPr>
        <w:spacing w:after="0" w:line="240" w:lineRule="auto"/>
        <w:jc w:val="both"/>
        <w:rPr>
          <w:rFonts w:ascii="Verdana" w:eastAsia="Calibri" w:hAnsi="Verdana" w:cs="Arial"/>
          <w:color w:val="000000"/>
          <w:lang w:val="es-ES_tradnl" w:eastAsia="es-ES_tradnl"/>
        </w:rPr>
      </w:pPr>
    </w:p>
    <w:p w14:paraId="3D4CFC5C" w14:textId="77777777" w:rsidR="0005258F" w:rsidRPr="00593A5F" w:rsidRDefault="0005258F" w:rsidP="0005258F">
      <w:pPr>
        <w:spacing w:after="0" w:line="240" w:lineRule="auto"/>
        <w:jc w:val="both"/>
        <w:rPr>
          <w:rFonts w:ascii="Verdana" w:eastAsia="Calibri" w:hAnsi="Verdana" w:cs="Arial"/>
          <w:color w:val="000000"/>
          <w:lang w:val="es-ES_tradnl" w:eastAsia="es-ES_tradnl"/>
        </w:rPr>
      </w:pPr>
    </w:p>
    <w:p w14:paraId="4D7A2ED0" w14:textId="77777777" w:rsidR="0005258F" w:rsidRPr="008E6AD9" w:rsidRDefault="0005258F" w:rsidP="0005258F">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o</w:t>
      </w:r>
      <w:r w:rsidRPr="008E6AD9">
        <w:rPr>
          <w:rFonts w:ascii="Verdana" w:eastAsia="Calibri" w:hAnsi="Verdana" w:cs="Arial"/>
          <w:lang w:val="es-ES" w:eastAsia="es-ES"/>
        </w:rPr>
        <w:t xml:space="preserve"> </w:t>
      </w:r>
      <w:r>
        <w:rPr>
          <w:rFonts w:ascii="Verdana" w:eastAsia="Calibri" w:hAnsi="Verdana" w:cs="Arial"/>
          <w:lang w:val="es-ES" w:eastAsia="es-ES"/>
        </w:rPr>
        <w:t>señor (a)</w:t>
      </w:r>
      <w:r w:rsidRPr="008E6AD9">
        <w:rPr>
          <w:rFonts w:ascii="Verdana" w:eastAsia="Calibri" w:hAnsi="Verdana" w:cs="Arial"/>
          <w:lang w:val="es-ES" w:eastAsia="es-ES"/>
        </w:rPr>
        <w:t xml:space="preserve">: </w:t>
      </w:r>
    </w:p>
    <w:p w14:paraId="6362AFC9" w14:textId="77777777" w:rsidR="0005258F" w:rsidRDefault="0005258F" w:rsidP="0005258F">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5BFEA422" w14:textId="77777777" w:rsidR="0005258F" w:rsidRPr="00B26BAB" w:rsidRDefault="0005258F" w:rsidP="0005258F">
      <w:pPr>
        <w:spacing w:after="0" w:line="276" w:lineRule="auto"/>
        <w:jc w:val="both"/>
        <w:rPr>
          <w:rFonts w:ascii="Verdana" w:eastAsia="Calibri" w:hAnsi="Verdana" w:cs="Arial"/>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la Agencia Nacional de Contratación Pública – Colombia Compra Eficiente responde su solicitud de</w:t>
      </w:r>
      <w:r>
        <w:rPr>
          <w:rFonts w:ascii="Verdana" w:eastAsia="Calibri" w:hAnsi="Verdana" w:cs="Arial"/>
          <w:color w:val="000000" w:themeColor="text1"/>
          <w:lang w:val="es-ES" w:eastAsia="es-ES"/>
        </w:rPr>
        <w:t xml:space="preserve"> consulta de </w:t>
      </w:r>
      <w:r w:rsidRPr="008E6AD9">
        <w:rPr>
          <w:rFonts w:ascii="Verdana" w:eastAsia="Calibri" w:hAnsi="Verdana" w:cs="Arial"/>
          <w:lang w:val="es-ES" w:eastAsia="es-ES"/>
        </w:rPr>
        <w:t>fecha</w:t>
      </w:r>
      <w:r>
        <w:rPr>
          <w:rFonts w:ascii="Verdana" w:eastAsia="Calibri" w:hAnsi="Verdana" w:cs="Arial"/>
          <w:lang w:val="es-ES" w:eastAsia="es-ES"/>
        </w:rPr>
        <w:t xml:space="preserve"> 06 de junio de 2025, en la cual respecto l</w:t>
      </w:r>
      <w:r w:rsidRPr="007E0776">
        <w:rPr>
          <w:rFonts w:ascii="Verdana" w:eastAsia="Calibri" w:hAnsi="Verdana" w:cs="Arial"/>
          <w:lang w:eastAsia="es-ES"/>
        </w:rPr>
        <w:t>os efectos temporales del Decreto 0062 de 2025 y su levantamiento mediante Decreto 0467 de 2025, en el marco de la declaratoria y cesación del estado de conmoción interior en la región del Catatumbo</w:t>
      </w:r>
      <w:r>
        <w:rPr>
          <w:rFonts w:ascii="Verdana" w:eastAsia="Calibri" w:hAnsi="Verdana" w:cs="Arial"/>
          <w:lang w:val="es-ES" w:eastAsia="es-ES"/>
        </w:rPr>
        <w:t>, pregunta lo siguiente</w:t>
      </w:r>
      <w:r w:rsidRPr="008E6AD9">
        <w:rPr>
          <w:rFonts w:ascii="Verdana" w:eastAsia="Calibri" w:hAnsi="Verdana" w:cs="Arial"/>
          <w:lang w:val="es-ES" w:eastAsia="es-ES"/>
        </w:rPr>
        <w:t xml:space="preserve">: </w:t>
      </w:r>
    </w:p>
    <w:p w14:paraId="52EB9EB1" w14:textId="77777777" w:rsidR="0005258F" w:rsidRPr="00272A7B" w:rsidRDefault="0005258F" w:rsidP="0005258F">
      <w:pPr>
        <w:pStyle w:val="Prrafodelista"/>
        <w:tabs>
          <w:tab w:val="left" w:pos="142"/>
          <w:tab w:val="left" w:pos="284"/>
        </w:tabs>
        <w:spacing w:after="0" w:line="276" w:lineRule="auto"/>
        <w:ind w:left="0"/>
        <w:jc w:val="both"/>
        <w:rPr>
          <w:rFonts w:ascii="Verdana" w:eastAsia="Century Gothic" w:hAnsi="Verdana" w:cs="Century Gothic"/>
          <w:b/>
          <w:bCs/>
        </w:rPr>
      </w:pPr>
    </w:p>
    <w:p w14:paraId="3433CD2F" w14:textId="77777777" w:rsidR="0005258F" w:rsidRDefault="0005258F" w:rsidP="0005258F">
      <w:pPr>
        <w:spacing w:after="120" w:line="240" w:lineRule="auto"/>
        <w:ind w:left="709" w:right="709"/>
        <w:jc w:val="both"/>
        <w:rPr>
          <w:rFonts w:ascii="Verdana" w:eastAsia="Century Gothic" w:hAnsi="Verdana" w:cs="Century Gothic"/>
          <w:sz w:val="20"/>
          <w:szCs w:val="20"/>
        </w:rPr>
      </w:pPr>
      <w:bookmarkStart w:id="0" w:name="_Hlk95313578"/>
      <w:r w:rsidRPr="009715C6">
        <w:rPr>
          <w:rFonts w:ascii="Verdana" w:eastAsia="Century Gothic" w:hAnsi="Verdana" w:cs="Century Gothic"/>
          <w:sz w:val="20"/>
          <w:szCs w:val="20"/>
          <w:lang w:val="es-ES"/>
        </w:rPr>
        <w:t>“</w:t>
      </w:r>
      <w:bookmarkEnd w:id="0"/>
      <w:r w:rsidRPr="000D7E1C">
        <w:rPr>
          <w:rFonts w:ascii="Verdana" w:eastAsia="Century Gothic" w:hAnsi="Verdana" w:cs="Century Gothic"/>
          <w:sz w:val="20"/>
          <w:szCs w:val="20"/>
        </w:rPr>
        <w:t xml:space="preserve">a) ¿Resulta jurídicamente viable suscribir un contrato estatal cuya necesidad y CDP fueron definidos durante la vigencia del Decreto 62 de 2025, pero cuya firma no se perfeccionó dentro de los 90 días de duración de dicho estado de excepción, ni durante su eventual prórroga? </w:t>
      </w:r>
    </w:p>
    <w:p w14:paraId="42535898" w14:textId="77777777" w:rsidR="0005258F" w:rsidRDefault="0005258F" w:rsidP="0005258F">
      <w:pPr>
        <w:spacing w:after="120" w:line="240" w:lineRule="auto"/>
        <w:ind w:left="709" w:right="709"/>
        <w:jc w:val="both"/>
        <w:rPr>
          <w:rFonts w:ascii="Verdana" w:eastAsia="Century Gothic" w:hAnsi="Verdana" w:cs="Century Gothic"/>
          <w:sz w:val="20"/>
          <w:szCs w:val="20"/>
        </w:rPr>
      </w:pPr>
      <w:r w:rsidRPr="000D7E1C">
        <w:rPr>
          <w:rFonts w:ascii="Verdana" w:eastAsia="Century Gothic" w:hAnsi="Verdana" w:cs="Century Gothic"/>
          <w:sz w:val="20"/>
          <w:szCs w:val="20"/>
        </w:rPr>
        <w:lastRenderedPageBreak/>
        <w:t>b) ¿Una vez expirado el estado de excepción, puede una en</w:t>
      </w:r>
      <w:r>
        <w:rPr>
          <w:rFonts w:ascii="Verdana" w:eastAsia="Century Gothic" w:hAnsi="Verdana" w:cs="Century Gothic"/>
          <w:sz w:val="20"/>
          <w:szCs w:val="20"/>
        </w:rPr>
        <w:t>ti</w:t>
      </w:r>
      <w:r w:rsidRPr="000D7E1C">
        <w:rPr>
          <w:rFonts w:ascii="Verdana" w:eastAsia="Century Gothic" w:hAnsi="Verdana" w:cs="Century Gothic"/>
          <w:sz w:val="20"/>
          <w:szCs w:val="20"/>
        </w:rPr>
        <w:t>dad estatal con</w:t>
      </w:r>
      <w:r>
        <w:rPr>
          <w:rFonts w:ascii="Verdana" w:eastAsia="Century Gothic" w:hAnsi="Verdana" w:cs="Century Gothic"/>
          <w:sz w:val="20"/>
          <w:szCs w:val="20"/>
        </w:rPr>
        <w:t>tinuar</w:t>
      </w:r>
      <w:r w:rsidRPr="000D7E1C">
        <w:rPr>
          <w:rFonts w:ascii="Verdana" w:eastAsia="Century Gothic" w:hAnsi="Verdana" w:cs="Century Gothic"/>
          <w:sz w:val="20"/>
          <w:szCs w:val="20"/>
        </w:rPr>
        <w:t xml:space="preserve"> invocando la causal de urgencia manifiesta derivada del Decreto 62 para jus</w:t>
      </w:r>
      <w:r>
        <w:rPr>
          <w:rFonts w:ascii="Verdana" w:eastAsia="Century Gothic" w:hAnsi="Verdana" w:cs="Century Gothic"/>
          <w:sz w:val="20"/>
          <w:szCs w:val="20"/>
        </w:rPr>
        <w:t>ti</w:t>
      </w:r>
      <w:r w:rsidRPr="000D7E1C">
        <w:rPr>
          <w:rFonts w:ascii="Verdana" w:eastAsia="Century Gothic" w:hAnsi="Verdana" w:cs="Century Gothic"/>
          <w:sz w:val="20"/>
          <w:szCs w:val="20"/>
        </w:rPr>
        <w:t xml:space="preserve">ficar la contratación directa de aquellos procesos que no alcanzaron a perfeccionarse en su momento? </w:t>
      </w:r>
    </w:p>
    <w:p w14:paraId="127A94DD" w14:textId="77777777" w:rsidR="0005258F" w:rsidRPr="000D7E1C" w:rsidRDefault="0005258F" w:rsidP="0005258F">
      <w:pPr>
        <w:spacing w:after="120" w:line="240" w:lineRule="auto"/>
        <w:ind w:left="709" w:right="709"/>
        <w:jc w:val="both"/>
        <w:rPr>
          <w:rFonts w:ascii="Verdana" w:eastAsia="Century Gothic" w:hAnsi="Verdana" w:cs="Century Gothic"/>
          <w:sz w:val="20"/>
          <w:szCs w:val="20"/>
        </w:rPr>
      </w:pPr>
      <w:r w:rsidRPr="000D7E1C">
        <w:rPr>
          <w:rFonts w:ascii="Verdana" w:eastAsia="Century Gothic" w:hAnsi="Verdana" w:cs="Century Gothic"/>
          <w:sz w:val="20"/>
          <w:szCs w:val="20"/>
        </w:rPr>
        <w:t>c) En caso de ser nega</w:t>
      </w:r>
      <w:r>
        <w:rPr>
          <w:rFonts w:ascii="Verdana" w:eastAsia="Century Gothic" w:hAnsi="Verdana" w:cs="Century Gothic"/>
          <w:sz w:val="20"/>
          <w:szCs w:val="20"/>
        </w:rPr>
        <w:t>ti</w:t>
      </w:r>
      <w:r w:rsidRPr="000D7E1C">
        <w:rPr>
          <w:rFonts w:ascii="Verdana" w:eastAsia="Century Gothic" w:hAnsi="Verdana" w:cs="Century Gothic"/>
          <w:sz w:val="20"/>
          <w:szCs w:val="20"/>
        </w:rPr>
        <w:t>va la respuesta anterior, ¿es procedente con</w:t>
      </w:r>
      <w:r>
        <w:rPr>
          <w:rFonts w:ascii="Verdana" w:eastAsia="Century Gothic" w:hAnsi="Verdana" w:cs="Century Gothic"/>
          <w:sz w:val="20"/>
          <w:szCs w:val="20"/>
        </w:rPr>
        <w:t>tin</w:t>
      </w:r>
      <w:r w:rsidRPr="000D7E1C">
        <w:rPr>
          <w:rFonts w:ascii="Verdana" w:eastAsia="Century Gothic" w:hAnsi="Verdana" w:cs="Century Gothic"/>
          <w:sz w:val="20"/>
          <w:szCs w:val="20"/>
        </w:rPr>
        <w:t>uar el trámite contractual con base en el CDP ya expedido, pero acudiendo a las modalidades ordinarias del Estatuto General de Contratación Pública</w:t>
      </w:r>
      <w:r w:rsidRPr="009715C6">
        <w:rPr>
          <w:rFonts w:ascii="Verdana" w:hAnsi="Verdana"/>
          <w:sz w:val="20"/>
          <w:szCs w:val="20"/>
        </w:rPr>
        <w:t>?</w:t>
      </w:r>
      <w:r w:rsidRPr="009715C6">
        <w:rPr>
          <w:rFonts w:ascii="Verdana" w:eastAsia="Century Gothic" w:hAnsi="Verdana" w:cs="Century Gothic"/>
          <w:sz w:val="20"/>
          <w:szCs w:val="20"/>
          <w:lang w:val="es-ES"/>
        </w:rPr>
        <w:t>”.</w:t>
      </w:r>
    </w:p>
    <w:p w14:paraId="03ADAD5E" w14:textId="77777777" w:rsidR="0005258F" w:rsidRPr="008E6AD9" w:rsidRDefault="0005258F" w:rsidP="0005258F">
      <w:pPr>
        <w:pStyle w:val="Prrafodelista"/>
        <w:tabs>
          <w:tab w:val="left" w:pos="142"/>
          <w:tab w:val="left" w:pos="284"/>
        </w:tabs>
        <w:spacing w:after="0" w:line="276" w:lineRule="auto"/>
        <w:ind w:left="0"/>
        <w:jc w:val="both"/>
        <w:rPr>
          <w:rFonts w:ascii="Verdana" w:eastAsia="Century Gothic" w:hAnsi="Verdana" w:cs="Century Gothic"/>
          <w:b/>
          <w:bCs/>
        </w:rPr>
      </w:pPr>
    </w:p>
    <w:p w14:paraId="38E0A2C6" w14:textId="77777777" w:rsidR="0005258F" w:rsidRPr="00A652FF" w:rsidRDefault="0005258F" w:rsidP="0005258F">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De manera preliminar</w:t>
      </w:r>
      <w:r w:rsidRPr="00593A5F">
        <w:rPr>
          <w:rFonts w:ascii="Verdana" w:eastAsia="Calibri" w:hAnsi="Verdana" w:cs="Arial"/>
          <w:color w:val="000000"/>
          <w:lang w:val="es-ES" w:eastAsia="es-ES"/>
        </w:rPr>
        <w:t>, resulta necesario acotar que esta entidad s</w:t>
      </w:r>
      <w:r>
        <w:rPr>
          <w:rFonts w:ascii="Verdana" w:eastAsia="Calibri" w:hAnsi="Verdana" w:cs="Arial"/>
          <w:color w:val="000000"/>
          <w:lang w:val="es-ES" w:eastAsia="es-ES"/>
        </w:rPr>
        <w:t>ó</w:t>
      </w:r>
      <w:r w:rsidRPr="00593A5F">
        <w:rPr>
          <w:rFonts w:ascii="Verdana" w:eastAsia="Calibri" w:hAnsi="Verdana" w:cs="Arial"/>
          <w:color w:val="000000"/>
          <w:lang w:val="es-ES" w:eastAsia="es-ES"/>
        </w:rPr>
        <w:t xml:space="preserve">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w:t>
      </w:r>
      <w:r>
        <w:rPr>
          <w:rFonts w:ascii="Verdana" w:eastAsia="Calibri" w:hAnsi="Verdana" w:cs="Arial"/>
          <w:color w:val="000000"/>
          <w:lang w:val="es-ES" w:eastAsia="es-ES"/>
        </w:rPr>
        <w:t>concretos</w:t>
      </w:r>
      <w:r w:rsidRPr="00593A5F">
        <w:rPr>
          <w:rFonts w:ascii="Verdana" w:eastAsia="Calibri" w:hAnsi="Verdana" w:cs="Arial"/>
          <w:color w:val="000000"/>
          <w:lang w:val="es-ES" w:eastAsia="es-ES"/>
        </w:rPr>
        <w:t xml:space="preserve">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1CD1658A" w14:textId="77777777" w:rsidR="0005258F" w:rsidRDefault="0005258F" w:rsidP="0005258F">
      <w:pPr>
        <w:spacing w:after="0" w:line="276" w:lineRule="auto"/>
        <w:ind w:firstLine="709"/>
        <w:jc w:val="both"/>
        <w:rPr>
          <w:rFonts w:ascii="Verdana" w:eastAsia="Calibri" w:hAnsi="Verdana" w:cs="Arial"/>
          <w:color w:val="000000"/>
          <w:lang w:val="es-ES" w:eastAsia="es-ES"/>
        </w:rPr>
      </w:pPr>
      <w:r w:rsidRPr="01A889F5">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específicas que la hayan motivado, pero haciendo unas consideraciones sobre las normas generales relacionadas con el problema jurídico de su consulta. </w:t>
      </w:r>
    </w:p>
    <w:p w14:paraId="28313048" w14:textId="77777777" w:rsidR="0005258F" w:rsidRPr="00593A5F" w:rsidRDefault="0005258F" w:rsidP="0005258F">
      <w:pPr>
        <w:spacing w:after="0" w:line="276" w:lineRule="auto"/>
        <w:ind w:firstLine="709"/>
        <w:jc w:val="both"/>
        <w:rPr>
          <w:rFonts w:ascii="Verdana" w:eastAsia="Calibri" w:hAnsi="Verdana" w:cs="Arial"/>
          <w:color w:val="000000"/>
          <w:lang w:val="es-ES" w:eastAsia="es-ES"/>
        </w:rPr>
      </w:pPr>
    </w:p>
    <w:p w14:paraId="02160923" w14:textId="77777777" w:rsidR="0005258F" w:rsidRPr="00593A5F" w:rsidRDefault="0005258F" w:rsidP="0005258F">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22692210" w14:textId="77777777" w:rsidR="0005258F" w:rsidRPr="00593A5F" w:rsidRDefault="0005258F" w:rsidP="0005258F">
      <w:pPr>
        <w:tabs>
          <w:tab w:val="left" w:pos="426"/>
        </w:tabs>
        <w:spacing w:after="0" w:line="276" w:lineRule="auto"/>
        <w:jc w:val="both"/>
        <w:rPr>
          <w:rFonts w:ascii="Verdana" w:eastAsia="Century Gothic" w:hAnsi="Verdana" w:cs="Century Gothic"/>
          <w:lang w:val="es-ES"/>
        </w:rPr>
      </w:pPr>
    </w:p>
    <w:p w14:paraId="364C88F2" w14:textId="77777777" w:rsidR="0005258F" w:rsidRPr="00593A5F" w:rsidRDefault="0005258F" w:rsidP="0005258F">
      <w:pPr>
        <w:spacing w:after="0" w:line="276" w:lineRule="auto"/>
        <w:jc w:val="both"/>
        <w:rPr>
          <w:rFonts w:ascii="Verdana" w:eastAsia="Century Gothic" w:hAnsi="Verdana" w:cs="Century Gothic"/>
        </w:rPr>
      </w:pPr>
      <w:r w:rsidRPr="00906BE9">
        <w:rPr>
          <w:rFonts w:ascii="Verdana" w:eastAsia="Century Gothic" w:hAnsi="Verdana" w:cs="Century Gothic"/>
        </w:rPr>
        <w:t xml:space="preserve">De acuerdo con el contenido de su solicitud, esta Agencia resolverá </w:t>
      </w:r>
      <w:r>
        <w:rPr>
          <w:rFonts w:ascii="Verdana" w:eastAsia="Century Gothic" w:hAnsi="Verdana" w:cs="Century Gothic"/>
        </w:rPr>
        <w:t>el</w:t>
      </w:r>
      <w:r w:rsidRPr="00906BE9">
        <w:rPr>
          <w:rFonts w:ascii="Verdana" w:eastAsia="Century Gothic" w:hAnsi="Verdana" w:cs="Century Gothic"/>
        </w:rPr>
        <w:t xml:space="preserve"> siguiente</w:t>
      </w:r>
      <w:r>
        <w:rPr>
          <w:rFonts w:ascii="Verdana" w:eastAsia="Century Gothic" w:hAnsi="Verdana" w:cs="Century Gothic"/>
        </w:rPr>
        <w:t xml:space="preserve"> </w:t>
      </w:r>
      <w:r w:rsidRPr="00906BE9">
        <w:rPr>
          <w:rFonts w:ascii="Verdana" w:eastAsia="Century Gothic" w:hAnsi="Verdana" w:cs="Century Gothic"/>
        </w:rPr>
        <w:t xml:space="preserve">problema jurídico: </w:t>
      </w:r>
      <w:r>
        <w:rPr>
          <w:rFonts w:ascii="Verdana" w:eastAsia="Century Gothic" w:hAnsi="Verdana" w:cs="Century Gothic"/>
          <w:color w:val="7030A0"/>
        </w:rPr>
        <w:t>¿</w:t>
      </w:r>
      <w:r w:rsidRPr="005F51EB">
        <w:rPr>
          <w:rFonts w:ascii="Verdana" w:hAnsi="Verdana"/>
        </w:rPr>
        <w:t>Cuál es</w:t>
      </w:r>
      <w:r>
        <w:rPr>
          <w:rFonts w:ascii="Verdana" w:hAnsi="Verdana"/>
        </w:rPr>
        <w:t xml:space="preserve"> el límite</w:t>
      </w:r>
      <w:r w:rsidRPr="005F51EB">
        <w:rPr>
          <w:rFonts w:ascii="Verdana" w:hAnsi="Verdana"/>
        </w:rPr>
        <w:t xml:space="preserve"> temporal para la suscripción de los contratos que tengan por objeto conjurar la perturbación del orden público que originó la declaración del </w:t>
      </w:r>
      <w:r>
        <w:rPr>
          <w:rFonts w:ascii="Verdana" w:hAnsi="Verdana"/>
        </w:rPr>
        <w:t xml:space="preserve">Estado de Conmoción Interior </w:t>
      </w:r>
      <w:r w:rsidRPr="005F51EB">
        <w:rPr>
          <w:rFonts w:ascii="Verdana" w:hAnsi="Verdana"/>
        </w:rPr>
        <w:t>mediante el Decreto 62 de 2025</w:t>
      </w:r>
      <w:r>
        <w:rPr>
          <w:rFonts w:ascii="Verdana" w:hAnsi="Verdana"/>
        </w:rPr>
        <w:t>?</w:t>
      </w:r>
    </w:p>
    <w:p w14:paraId="312E812F" w14:textId="77777777" w:rsidR="0005258F" w:rsidRPr="004B140F" w:rsidRDefault="0005258F" w:rsidP="0005258F">
      <w:pPr>
        <w:spacing w:after="0" w:line="276" w:lineRule="auto"/>
        <w:jc w:val="both"/>
        <w:rPr>
          <w:rFonts w:ascii="Verdana" w:eastAsia="Calibri" w:hAnsi="Verdana" w:cs="Arial"/>
          <w:color w:val="7030A0"/>
        </w:rPr>
      </w:pPr>
    </w:p>
    <w:p w14:paraId="601EB6AC" w14:textId="77777777" w:rsidR="0005258F" w:rsidRPr="00593A5F" w:rsidRDefault="0005258F" w:rsidP="0005258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1552D315" w14:textId="77777777" w:rsidR="0005258F" w:rsidRPr="00593A5F" w:rsidRDefault="0005258F" w:rsidP="0005258F">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05258F" w:rsidRPr="00593A5F" w14:paraId="3B5E1EAC" w14:textId="77777777" w:rsidTr="00C368B4">
        <w:trPr>
          <w:jc w:val="center"/>
        </w:trPr>
        <w:tc>
          <w:tcPr>
            <w:tcW w:w="8828" w:type="dxa"/>
          </w:tcPr>
          <w:p w14:paraId="25788401" w14:textId="77777777" w:rsidR="0005258F" w:rsidRDefault="0005258F" w:rsidP="00C368B4">
            <w:pPr>
              <w:spacing w:after="120" w:line="276" w:lineRule="auto"/>
              <w:jc w:val="both"/>
              <w:rPr>
                <w:rFonts w:ascii="Verdana" w:hAnsi="Verdana"/>
              </w:rPr>
            </w:pPr>
            <w:bookmarkStart w:id="1" w:name="_Hlk171694685"/>
            <w:r>
              <w:rPr>
                <w:rFonts w:ascii="Verdana" w:eastAsia="Arial MT" w:hAnsi="Verdana" w:cs="Arial"/>
                <w:lang w:eastAsia="es-ES" w:bidi="es-ES"/>
              </w:rPr>
              <w:t xml:space="preserve">En virtud del artículo 1 del Decreto 62 de 2025, el estado de conmoción interior en el Catatumbo fue declarado por el término de noventa (90) días contados </w:t>
            </w:r>
            <w:r>
              <w:rPr>
                <w:rFonts w:ascii="Verdana" w:eastAsia="Arial MT" w:hAnsi="Verdana" w:cs="Arial"/>
                <w:lang w:eastAsia="es-ES" w:bidi="es-ES"/>
              </w:rPr>
              <w:lastRenderedPageBreak/>
              <w:t xml:space="preserve">a partir de la </w:t>
            </w:r>
            <w:proofErr w:type="gramStart"/>
            <w:r>
              <w:rPr>
                <w:rFonts w:ascii="Verdana" w:eastAsia="Arial MT" w:hAnsi="Verdana" w:cs="Arial"/>
                <w:lang w:eastAsia="es-ES" w:bidi="es-ES"/>
              </w:rPr>
              <w:t>entrada en vigencia</w:t>
            </w:r>
            <w:proofErr w:type="gramEnd"/>
            <w:r>
              <w:rPr>
                <w:rFonts w:ascii="Verdana" w:eastAsia="Arial MT" w:hAnsi="Verdana" w:cs="Arial"/>
                <w:lang w:eastAsia="es-ES" w:bidi="es-ES"/>
              </w:rPr>
              <w:t xml:space="preserve"> (24 de enero de 2025). Lo anterior implica que los contratos derivados de la declaratoria, que tienen el objeto de</w:t>
            </w:r>
            <w:r>
              <w:rPr>
                <w:rFonts w:ascii="Verdana" w:hAnsi="Verdana"/>
              </w:rPr>
              <w:t xml:space="preserve"> conjurar la perturbación del orden público e impedir la extensión de sus efectos, solo podían </w:t>
            </w:r>
            <w:r>
              <w:rPr>
                <w:rFonts w:ascii="Verdana" w:hAnsi="Verdana"/>
                <w:i/>
                <w:iCs/>
              </w:rPr>
              <w:t>celebrarse</w:t>
            </w:r>
            <w:r>
              <w:rPr>
                <w:rFonts w:ascii="Verdana" w:hAnsi="Verdana"/>
              </w:rPr>
              <w:t xml:space="preserve"> durante el término de los noventa (90) días por los cuales se extendió el estado de conmoción. Esto sin perjuicio de aquellos que se entiendan enmarcados en la prórroga de noventa (90) días calendario que el artículo segundo del Decreto 0467 dispuso frente a la vigencia de los decretos legislativos 106, 107, 108, 117, 118, 120, 121, 134, 137, 180 y 433 de 2025.</w:t>
            </w:r>
          </w:p>
          <w:p w14:paraId="1B6CD6C2" w14:textId="77777777" w:rsidR="0005258F" w:rsidRDefault="0005258F" w:rsidP="00C368B4">
            <w:pPr>
              <w:spacing w:after="120" w:line="276" w:lineRule="auto"/>
              <w:ind w:firstLine="708"/>
              <w:jc w:val="both"/>
              <w:rPr>
                <w:rFonts w:ascii="Verdana" w:hAnsi="Verdana"/>
              </w:rPr>
            </w:pPr>
            <w:r>
              <w:rPr>
                <w:rFonts w:ascii="Verdana" w:hAnsi="Verdana"/>
              </w:rPr>
              <w:t xml:space="preserve">No </w:t>
            </w:r>
            <w:proofErr w:type="gramStart"/>
            <w:r>
              <w:rPr>
                <w:rFonts w:ascii="Verdana" w:hAnsi="Verdana"/>
              </w:rPr>
              <w:t>obstante</w:t>
            </w:r>
            <w:proofErr w:type="gramEnd"/>
            <w:r>
              <w:rPr>
                <w:rFonts w:ascii="Verdana" w:hAnsi="Verdana"/>
              </w:rPr>
              <w:t xml:space="preserve"> lo anterior, es</w:t>
            </w:r>
            <w:r>
              <w:rPr>
                <w:rFonts w:ascii="Verdana" w:eastAsia="Arial MT" w:hAnsi="Verdana" w:cs="Arial"/>
                <w:sz w:val="21"/>
                <w:szCs w:val="21"/>
                <w:lang w:eastAsia="es-ES" w:bidi="es-ES"/>
              </w:rPr>
              <w:t xml:space="preserve"> </w:t>
            </w:r>
            <w:r>
              <w:rPr>
                <w:rFonts w:ascii="Verdana" w:hAnsi="Verdana"/>
              </w:rPr>
              <w:t xml:space="preserve">posible que la </w:t>
            </w:r>
            <w:r>
              <w:rPr>
                <w:rFonts w:ascii="Verdana" w:hAnsi="Verdana"/>
                <w:i/>
                <w:iCs/>
              </w:rPr>
              <w:t>ejecución y liquidación</w:t>
            </w:r>
            <w:r>
              <w:rPr>
                <w:rFonts w:ascii="Verdana" w:hAnsi="Verdana"/>
              </w:rPr>
              <w:t xml:space="preserve"> de los contratos celebrados dentro de la vigencia del estado de conmoción se extiendan fuera del término para este señalado. Esto puede ocurrir porque las actividades pactadas en el contrato impliquen que su ejecución se prolongue más allá del término de los noventa (90) días, o porque el corte de cuentas entre las partes contratantes, que se efectúa a través de la liquidación, necesariamente debe ocurrir una vez se hayan cumplido o ejecutado las obligaciones del contrato, lo que puede ser posterior al término de la declaratoria. </w:t>
            </w:r>
          </w:p>
          <w:p w14:paraId="39779363" w14:textId="77777777" w:rsidR="0005258F" w:rsidRPr="002B5851" w:rsidRDefault="0005258F" w:rsidP="00C368B4">
            <w:pPr>
              <w:spacing w:after="120" w:line="276" w:lineRule="auto"/>
              <w:ind w:firstLine="708"/>
              <w:jc w:val="both"/>
              <w:rPr>
                <w:rFonts w:ascii="Verdana" w:eastAsia="Arial MT" w:hAnsi="Verdana" w:cs="Arial"/>
                <w:lang w:eastAsia="es-ES" w:bidi="es-ES"/>
              </w:rPr>
            </w:pPr>
            <w:r>
              <w:rPr>
                <w:rFonts w:ascii="Verdana" w:hAnsi="Verdana"/>
              </w:rPr>
              <w:t xml:space="preserve">En conclusión, el límite para que las entidades </w:t>
            </w:r>
            <w:r>
              <w:rPr>
                <w:rFonts w:ascii="Verdana" w:hAnsi="Verdana"/>
                <w:i/>
                <w:iCs/>
              </w:rPr>
              <w:t>suscriban</w:t>
            </w:r>
            <w:r>
              <w:rPr>
                <w:rFonts w:ascii="Verdana" w:hAnsi="Verdana"/>
              </w:rPr>
              <w:t xml:space="preserve"> estos contratos será el término que fije la declaratoria del estado de conmoción interior, que en este caso fue de</w:t>
            </w:r>
            <w:r>
              <w:rPr>
                <w:rFonts w:ascii="Verdana" w:eastAsia="Arial MT" w:hAnsi="Verdana" w:cs="Arial"/>
                <w:lang w:eastAsia="es-ES" w:bidi="es-ES"/>
              </w:rPr>
              <w:t xml:space="preserve"> noventa (90) días </w:t>
            </w:r>
            <w:r>
              <w:rPr>
                <w:rFonts w:ascii="Verdana" w:hAnsi="Verdana"/>
              </w:rPr>
              <w:t xml:space="preserve">según el </w:t>
            </w:r>
            <w:r>
              <w:rPr>
                <w:rFonts w:ascii="Verdana" w:eastAsia="Arial MT" w:hAnsi="Verdana" w:cs="Arial"/>
                <w:lang w:eastAsia="es-ES" w:bidi="es-ES"/>
              </w:rPr>
              <w:t xml:space="preserve">Decreto 62 de 2025, esto es, hasta el 24 de abril de 2025. Esto no significa que las fases de </w:t>
            </w:r>
            <w:r>
              <w:rPr>
                <w:rFonts w:ascii="Verdana" w:eastAsia="Arial MT" w:hAnsi="Verdana" w:cs="Arial"/>
                <w:i/>
                <w:iCs/>
                <w:lang w:eastAsia="es-ES" w:bidi="es-ES"/>
              </w:rPr>
              <w:t>ejecución y liquidación</w:t>
            </w:r>
            <w:r>
              <w:rPr>
                <w:rFonts w:ascii="Verdana" w:eastAsia="Arial MT" w:hAnsi="Verdana" w:cs="Arial"/>
                <w:lang w:eastAsia="es-ES" w:bidi="es-ES"/>
              </w:rPr>
              <w:t xml:space="preserve"> de los contratos suscritos </w:t>
            </w:r>
            <w:r>
              <w:rPr>
                <w:rFonts w:ascii="Verdana" w:hAnsi="Verdana"/>
              </w:rPr>
              <w:t>no puedan superar este término, pues esto puede ocurrir cuando sea necesario para cumplir con el objeto contractual, y en atención a la necesidad de morigerar los efectos que dieron lugar a la declaratoria.</w:t>
            </w:r>
            <w:r w:rsidRPr="0076120F">
              <w:rPr>
                <w:rFonts w:ascii="Verdana" w:eastAsia="Arial MT" w:hAnsi="Verdana" w:cs="Arial"/>
                <w:lang w:eastAsia="es-ES" w:bidi="es-ES"/>
              </w:rPr>
              <w:t xml:space="preserve"> </w:t>
            </w:r>
            <w:r w:rsidRPr="00762E8F">
              <w:rPr>
                <w:rFonts w:ascii="Verdana" w:eastAsia="Arial MT" w:hAnsi="Verdana" w:cs="Arial"/>
                <w:lang w:eastAsia="es-ES" w:bidi="es-ES"/>
              </w:rPr>
              <w:t xml:space="preserve">Una vez finalizado el estado de </w:t>
            </w:r>
            <w:r>
              <w:rPr>
                <w:rFonts w:ascii="Verdana" w:eastAsia="Arial MT" w:hAnsi="Verdana" w:cs="Arial"/>
                <w:lang w:eastAsia="es-ES" w:bidi="es-ES"/>
              </w:rPr>
              <w:t>conmoción interior</w:t>
            </w:r>
            <w:r w:rsidRPr="00762E8F">
              <w:rPr>
                <w:rFonts w:ascii="Verdana" w:eastAsia="Arial MT" w:hAnsi="Verdana" w:cs="Arial"/>
                <w:lang w:eastAsia="es-ES" w:bidi="es-ES"/>
              </w:rPr>
              <w:t xml:space="preserve">, </w:t>
            </w:r>
            <w:r>
              <w:rPr>
                <w:rFonts w:ascii="Verdana" w:eastAsia="Arial MT" w:hAnsi="Verdana" w:cs="Arial"/>
                <w:lang w:eastAsia="es-ES" w:bidi="es-ES"/>
              </w:rPr>
              <w:t xml:space="preserve">cesa la facultad de celebrar contratos bajo esta causal por lo que </w:t>
            </w:r>
            <w:r w:rsidRPr="00C04C47">
              <w:rPr>
                <w:rFonts w:ascii="Verdana" w:eastAsia="Arial MT" w:hAnsi="Verdana" w:cs="Arial"/>
                <w:lang w:eastAsia="es-ES" w:bidi="es-ES"/>
              </w:rPr>
              <w:t>corresponde a la entidad evaluar la necesidad de su celebración y, de mantenerse vigente dicha necesidad, adelantar el proceso de contratación conforme a las modalidades previstas en el Estatuto General de Contratación de la Administración Pública (EGCAP)</w:t>
            </w:r>
            <w:r>
              <w:rPr>
                <w:rFonts w:ascii="Verdana" w:eastAsia="Arial MT" w:hAnsi="Verdana" w:cs="Arial"/>
                <w:lang w:eastAsia="es-ES" w:bidi="es-ES"/>
              </w:rPr>
              <w:t>, y determinar los aspectos presupuestales respectivos en relación con las partidas ya apropiadas.</w:t>
            </w:r>
          </w:p>
        </w:tc>
      </w:tr>
    </w:tbl>
    <w:p w14:paraId="24CB80EE" w14:textId="77777777" w:rsidR="0005258F" w:rsidRPr="00593A5F" w:rsidRDefault="0005258F" w:rsidP="0005258F">
      <w:pPr>
        <w:tabs>
          <w:tab w:val="left" w:pos="142"/>
          <w:tab w:val="left" w:pos="284"/>
        </w:tabs>
        <w:spacing w:after="0" w:line="276" w:lineRule="auto"/>
        <w:jc w:val="both"/>
        <w:rPr>
          <w:rFonts w:ascii="Verdana" w:eastAsia="Century Gothic" w:hAnsi="Verdana" w:cs="Century Gothic"/>
          <w:b/>
          <w:bCs/>
          <w:lang w:val="es-ES"/>
        </w:rPr>
      </w:pPr>
    </w:p>
    <w:bookmarkEnd w:id="1"/>
    <w:p w14:paraId="2E1DF923" w14:textId="77777777" w:rsidR="0005258F" w:rsidRPr="00593A5F" w:rsidRDefault="0005258F" w:rsidP="0005258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4EEB82EA" w14:textId="77777777" w:rsidR="0005258F" w:rsidRPr="00593A5F" w:rsidRDefault="0005258F" w:rsidP="0005258F">
      <w:pPr>
        <w:spacing w:after="0" w:line="276" w:lineRule="auto"/>
        <w:jc w:val="both"/>
        <w:rPr>
          <w:rFonts w:ascii="Verdana" w:eastAsia="Calibri" w:hAnsi="Verdana" w:cs="Arial"/>
          <w:color w:val="7030A0"/>
          <w:lang w:val="es-ES"/>
        </w:rPr>
      </w:pPr>
    </w:p>
    <w:p w14:paraId="3C0A249F" w14:textId="77777777" w:rsidR="0005258F" w:rsidRDefault="0005258F" w:rsidP="0005258F">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6C2BCAE4" w14:textId="77777777" w:rsidR="0005258F" w:rsidRDefault="0005258F" w:rsidP="0005258F">
      <w:pPr>
        <w:spacing w:after="0" w:line="276" w:lineRule="auto"/>
        <w:jc w:val="both"/>
        <w:rPr>
          <w:rFonts w:ascii="Verdana" w:eastAsia="Arial MT" w:hAnsi="Verdana" w:cs="Arial"/>
          <w:lang w:val="es-ES" w:eastAsia="es-ES" w:bidi="es-ES"/>
        </w:rPr>
      </w:pPr>
    </w:p>
    <w:p w14:paraId="67137294" w14:textId="77777777" w:rsidR="0005258F" w:rsidRPr="00997A28" w:rsidRDefault="0005258F" w:rsidP="0005258F">
      <w:pPr>
        <w:spacing w:after="0" w:line="276" w:lineRule="auto"/>
        <w:jc w:val="both"/>
        <w:rPr>
          <w:rFonts w:ascii="Verdana" w:eastAsia="Arial MT" w:hAnsi="Verdana" w:cs="Arial"/>
          <w:lang w:val="es-ES" w:eastAsia="es-ES" w:bidi="es-ES"/>
        </w:rPr>
      </w:pPr>
      <w:r w:rsidRPr="00997A28">
        <w:rPr>
          <w:rFonts w:ascii="Verdana" w:eastAsia="Arial MT" w:hAnsi="Verdana" w:cs="Arial"/>
          <w:lang w:eastAsia="es-ES" w:bidi="es-ES"/>
        </w:rPr>
        <w:lastRenderedPageBreak/>
        <w:t>i.</w:t>
      </w:r>
      <w:r>
        <w:rPr>
          <w:rFonts w:ascii="Verdana" w:eastAsia="Arial MT" w:hAnsi="Verdana" w:cs="Arial"/>
          <w:lang w:eastAsia="es-ES" w:bidi="es-ES"/>
        </w:rPr>
        <w:t xml:space="preserve"> </w:t>
      </w:r>
      <w:r w:rsidRPr="00997A28">
        <w:rPr>
          <w:rFonts w:ascii="Verdana" w:eastAsia="Arial MT" w:hAnsi="Verdana" w:cs="Arial"/>
          <w:lang w:eastAsia="es-ES" w:bidi="es-ES"/>
        </w:rPr>
        <w:t xml:space="preserve">En relación con las modalidades de selección idóneas para la contratación, las entidades estatales también deberán escoger el procedimiento que mejor se ajuste a la necesidad identificada, de acuerdo con la normativa vigente. Al respecto, debe señalarse que, si bien la licitación pública es la modalidad de selección que constituye la regla general para las entidades regidas por el Estatuto General de Contratación de la Administración Pública – en adelante EGCAP – el artículo 2.4 de la Ley 1150 de 2007 consagra algunas excepciones, que atienden a la necesidad de proteger principios como la eficiencia, la eficacia, la economía, la celeridad o la integridad de las personas. Una de las excepciones es la causal de contratación directa prevista en el literal a) del mencionado numeral, denominada por la ley como “urgencia manifiesta”. Esta causal debe leerse en concordancia con el artículo 42 de la Ley 80 de 1993, que define el concepto y establece el procedimiento para su declaratoria, así como para la celebración de los contratos que se derivan de aquella. </w:t>
      </w:r>
      <w:r w:rsidRPr="00997A28">
        <w:rPr>
          <w:rFonts w:ascii="Verdana" w:eastAsia="Calibri" w:hAnsi="Verdana" w:cs="Arial"/>
          <w:lang w:val="es-ES_tradnl"/>
        </w:rPr>
        <w:t>Esta norma dispone lo siguiente:</w:t>
      </w:r>
    </w:p>
    <w:p w14:paraId="701F8B61" w14:textId="77777777" w:rsidR="0005258F" w:rsidRPr="00BE5FE3" w:rsidRDefault="0005258F" w:rsidP="0005258F">
      <w:pPr>
        <w:spacing w:after="0" w:line="276" w:lineRule="auto"/>
        <w:jc w:val="both"/>
        <w:rPr>
          <w:rFonts w:ascii="Verdana" w:eastAsia="Calibri" w:hAnsi="Verdana" w:cs="Arial"/>
          <w:lang w:val="es-ES_tradnl"/>
        </w:rPr>
      </w:pPr>
    </w:p>
    <w:p w14:paraId="0532EC7F" w14:textId="77777777" w:rsidR="0005258F" w:rsidRDefault="0005258F" w:rsidP="0005258F">
      <w:pPr>
        <w:spacing w:after="0" w:line="240" w:lineRule="auto"/>
        <w:ind w:left="709" w:right="709"/>
        <w:jc w:val="both"/>
        <w:rPr>
          <w:rFonts w:ascii="Verdana" w:eastAsia="Calibri" w:hAnsi="Verdana" w:cs="Arial"/>
          <w:sz w:val="20"/>
          <w:szCs w:val="20"/>
          <w:lang w:val="es-ES_tradnl"/>
        </w:rPr>
      </w:pPr>
      <w:r w:rsidRPr="009F143A">
        <w:rPr>
          <w:rFonts w:ascii="Verdana" w:eastAsia="Calibri" w:hAnsi="Verdana" w:cs="Arial"/>
          <w:sz w:val="20"/>
          <w:szCs w:val="20"/>
          <w:lang w:val="es-ES_tradnl"/>
        </w:rPr>
        <w:t xml:space="preserve">“Artículo 42. De la urgencia manifiesta. Existe urgencia manifiesta </w:t>
      </w:r>
      <w:bookmarkStart w:id="2" w:name="_Hlk35851184"/>
      <w:r w:rsidRPr="009F143A">
        <w:rPr>
          <w:rFonts w:ascii="Verdana" w:eastAsia="Calibri" w:hAnsi="Verdana" w:cs="Arial"/>
          <w:sz w:val="20"/>
          <w:szCs w:val="20"/>
          <w:lang w:val="es-ES_tradnl"/>
        </w:rPr>
        <w:t>cuando la continuidad del servicio exige el suministro de bienes, o la prestación de servicios, o la ejecución de obras en el inmediato futuro</w:t>
      </w:r>
      <w:bookmarkEnd w:id="2"/>
      <w:r w:rsidRPr="009F143A">
        <w:rPr>
          <w:rFonts w:ascii="Verdana" w:eastAsia="Calibri" w:hAnsi="Verdana" w:cs="Arial"/>
          <w:sz w:val="20"/>
          <w:szCs w:val="20"/>
          <w:lang w:val="es-ES_tradnl"/>
        </w:rPr>
        <w:t xml:space="preserve">; </w:t>
      </w:r>
      <w:bookmarkStart w:id="3" w:name="_Hlk35857288"/>
      <w:r w:rsidRPr="009F143A">
        <w:rPr>
          <w:rFonts w:ascii="Verdana" w:eastAsia="Calibri" w:hAnsi="Verdana" w:cs="Arial"/>
          <w:sz w:val="20"/>
          <w:szCs w:val="20"/>
          <w:lang w:val="es-ES_tradnl"/>
        </w:rPr>
        <w:t xml:space="preserve">cuando se presenten </w:t>
      </w:r>
      <w:bookmarkStart w:id="4" w:name="_Hlk35857424"/>
      <w:r w:rsidRPr="009F143A">
        <w:rPr>
          <w:rFonts w:ascii="Verdana" w:eastAsia="Calibri" w:hAnsi="Verdana" w:cs="Arial"/>
          <w:sz w:val="20"/>
          <w:szCs w:val="20"/>
          <w:lang w:val="es-ES_tradnl"/>
        </w:rPr>
        <w:t>situaciones relacionadas con los estados de excepción</w:t>
      </w:r>
      <w:bookmarkEnd w:id="3"/>
      <w:bookmarkEnd w:id="4"/>
      <w:r w:rsidRPr="009F143A">
        <w:rPr>
          <w:rFonts w:ascii="Verdana" w:eastAsia="Calibri" w:hAnsi="Verdana" w:cs="Arial"/>
          <w:sz w:val="20"/>
          <w:szCs w:val="20"/>
          <w:lang w:val="es-ES_tradnl"/>
        </w:rPr>
        <w:t xml:space="preserve">; </w:t>
      </w:r>
      <w:bookmarkStart w:id="5" w:name="_Hlk35865550"/>
      <w:r w:rsidRPr="009F143A">
        <w:rPr>
          <w:rFonts w:ascii="Verdana" w:eastAsia="Calibri" w:hAnsi="Verdana" w:cs="Arial"/>
          <w:sz w:val="20"/>
          <w:szCs w:val="20"/>
          <w:lang w:val="es-ES_tradnl"/>
        </w:rPr>
        <w:t xml:space="preserve">cuando se trate de conjurar situaciones excepcionales relacionadas con hechos de calamidad o constitutivos de fuerza mayor o desastre que demanden actuaciones inmediatas </w:t>
      </w:r>
      <w:bookmarkEnd w:id="5"/>
      <w:r w:rsidRPr="009F143A">
        <w:rPr>
          <w:rFonts w:ascii="Verdana" w:eastAsia="Calibri" w:hAnsi="Verdana" w:cs="Arial"/>
          <w:sz w:val="20"/>
          <w:szCs w:val="20"/>
          <w:lang w:val="es-ES_tradnl"/>
        </w:rPr>
        <w:t>y, en general, cuando se trate de situaciones similares que imposibiliten acudir a los procedimientos de selección o concurso públicos.</w:t>
      </w:r>
    </w:p>
    <w:p w14:paraId="0DA7791D" w14:textId="77777777" w:rsidR="0005258F" w:rsidRPr="009F143A" w:rsidRDefault="0005258F" w:rsidP="0005258F">
      <w:pPr>
        <w:spacing w:after="0" w:line="240" w:lineRule="auto"/>
        <w:ind w:left="709" w:right="709"/>
        <w:jc w:val="both"/>
        <w:rPr>
          <w:rFonts w:ascii="Verdana" w:eastAsia="Calibri" w:hAnsi="Verdana" w:cs="Arial"/>
          <w:sz w:val="20"/>
          <w:szCs w:val="20"/>
          <w:lang w:val="es-ES_tradnl"/>
        </w:rPr>
      </w:pPr>
    </w:p>
    <w:p w14:paraId="6CDE111E" w14:textId="77777777" w:rsidR="0005258F" w:rsidRPr="009F143A" w:rsidRDefault="0005258F" w:rsidP="0005258F">
      <w:pPr>
        <w:spacing w:after="0" w:line="240" w:lineRule="auto"/>
        <w:ind w:left="709" w:right="709"/>
        <w:jc w:val="both"/>
        <w:rPr>
          <w:rFonts w:ascii="Verdana" w:eastAsia="Calibri" w:hAnsi="Verdana" w:cs="Arial"/>
          <w:sz w:val="20"/>
          <w:szCs w:val="20"/>
          <w:lang w:val="es-ES_tradnl"/>
        </w:rPr>
      </w:pPr>
      <w:r w:rsidRPr="009F143A">
        <w:rPr>
          <w:rFonts w:ascii="Verdana" w:eastAsia="Calibri" w:hAnsi="Verdana" w:cs="Arial"/>
          <w:sz w:val="20"/>
          <w:szCs w:val="20"/>
          <w:lang w:val="es-ES_tradnl"/>
        </w:rPr>
        <w:t>La urgencia manifiesta se declarará mediante acto administrativo motivado.</w:t>
      </w:r>
    </w:p>
    <w:p w14:paraId="1E43A5F6" w14:textId="77777777" w:rsidR="0005258F" w:rsidRDefault="0005258F" w:rsidP="0005258F">
      <w:pPr>
        <w:spacing w:after="0" w:line="240" w:lineRule="auto"/>
        <w:ind w:left="709" w:right="709"/>
        <w:jc w:val="both"/>
        <w:rPr>
          <w:rFonts w:ascii="Verdana" w:eastAsia="Calibri" w:hAnsi="Verdana" w:cs="Arial"/>
          <w:sz w:val="20"/>
          <w:szCs w:val="20"/>
          <w:lang w:val="es-ES"/>
        </w:rPr>
      </w:pPr>
    </w:p>
    <w:p w14:paraId="24427DCC" w14:textId="77777777" w:rsidR="0005258F" w:rsidRPr="009F143A" w:rsidRDefault="0005258F" w:rsidP="0005258F">
      <w:pPr>
        <w:spacing w:after="0" w:line="240" w:lineRule="auto"/>
        <w:ind w:left="709" w:right="709"/>
        <w:jc w:val="both"/>
        <w:rPr>
          <w:rFonts w:ascii="Verdana" w:eastAsia="Calibri" w:hAnsi="Verdana" w:cs="Arial"/>
          <w:sz w:val="20"/>
          <w:szCs w:val="20"/>
          <w:lang w:val="es-ES"/>
        </w:rPr>
      </w:pPr>
      <w:r w:rsidRPr="009F143A">
        <w:rPr>
          <w:rFonts w:ascii="Verdana" w:eastAsia="Calibri" w:hAnsi="Verdana" w:cs="Arial"/>
          <w:sz w:val="20"/>
          <w:szCs w:val="20"/>
          <w:lang w:val="es-ES"/>
        </w:rPr>
        <w:t>Parágrafo. Con el fin de atender las necesidades y los gastos propios de la urgencia manifiesta, se podrán hacer los traslados presupuestales internos que se requieran dentro del presupuesto del organismo o entidad estatal correspondiente”.</w:t>
      </w:r>
    </w:p>
    <w:p w14:paraId="25E0D420" w14:textId="77777777" w:rsidR="0005258F" w:rsidRPr="00BE5FE3" w:rsidRDefault="0005258F" w:rsidP="0005258F">
      <w:pPr>
        <w:spacing w:after="0" w:line="276" w:lineRule="auto"/>
        <w:ind w:left="709" w:right="709"/>
        <w:jc w:val="both"/>
        <w:rPr>
          <w:rFonts w:ascii="Verdana" w:eastAsia="Calibri" w:hAnsi="Verdana" w:cs="Arial"/>
          <w:lang w:val="es-ES_tradnl"/>
        </w:rPr>
      </w:pPr>
    </w:p>
    <w:p w14:paraId="3D36A15F" w14:textId="77777777" w:rsidR="0005258F" w:rsidRPr="00BE5FE3" w:rsidRDefault="0005258F" w:rsidP="0005258F">
      <w:pPr>
        <w:spacing w:after="120" w:line="276" w:lineRule="auto"/>
        <w:ind w:firstLine="708"/>
        <w:jc w:val="both"/>
        <w:rPr>
          <w:rFonts w:ascii="Verdana" w:eastAsia="Calibri" w:hAnsi="Verdana" w:cs="Arial"/>
          <w:sz w:val="21"/>
          <w:szCs w:val="21"/>
          <w:lang w:val="es-ES_tradnl"/>
        </w:rPr>
      </w:pPr>
      <w:r w:rsidRPr="00BE5FE3">
        <w:rPr>
          <w:rFonts w:ascii="Verdana" w:eastAsia="Calibri" w:hAnsi="Verdana" w:cs="Arial"/>
          <w:lang w:val="es-ES_tradnl"/>
        </w:rPr>
        <w:t>Esta causal tiene como antecedente el derogado artículo 43.16 del Decreto-Ley 222 de 1983, que autorizaba la contratación directa “Cuando hubiere urgencia evidente calificada por el Consejo de Ministros, que no permita el tiempo necesario para la licitación o concurso”, entendiendo por tal “[…]</w:t>
      </w:r>
      <w:r w:rsidRPr="00BE5FE3">
        <w:rPr>
          <w:rFonts w:ascii="Verdana" w:hAnsi="Verdana"/>
        </w:rPr>
        <w:t xml:space="preserve"> </w:t>
      </w:r>
      <w:r w:rsidRPr="00BE5FE3">
        <w:rPr>
          <w:rFonts w:ascii="Verdana" w:eastAsia="Calibri" w:hAnsi="Verdana" w:cs="Arial"/>
          <w:lang w:val="es-ES_tradnl"/>
        </w:rPr>
        <w:t xml:space="preserve">necesidades actuales o previsibles de orden público, seguridad nacional o calamidad pública”; razón por la cual, los controles para su utilización eran tan evidentes que al declarase por un órgano distinto, el juez debía declarar la </w:t>
      </w:r>
      <w:r w:rsidRPr="00BE5FE3">
        <w:rPr>
          <w:rFonts w:ascii="Verdana" w:eastAsia="Calibri" w:hAnsi="Verdana" w:cs="Arial"/>
          <w:lang w:val="es-ES_tradnl"/>
        </w:rPr>
        <w:lastRenderedPageBreak/>
        <w:t>nulidad absoluta del contrato, por la falta de competencia</w:t>
      </w:r>
      <w:r w:rsidRPr="00BE5FE3">
        <w:rPr>
          <w:rStyle w:val="Refdenotaalpie"/>
          <w:rFonts w:ascii="Verdana" w:eastAsia="Calibri" w:hAnsi="Verdana" w:cs="Arial"/>
          <w:lang w:val="es-ES_tradnl"/>
        </w:rPr>
        <w:footnoteReference w:id="2"/>
      </w:r>
      <w:r w:rsidRPr="00BE5FE3">
        <w:rPr>
          <w:rFonts w:ascii="Verdana" w:eastAsia="Calibri" w:hAnsi="Verdana" w:cs="Arial"/>
          <w:lang w:val="es-ES_tradnl"/>
        </w:rPr>
        <w:t xml:space="preserve">. En contraste, el </w:t>
      </w:r>
      <w:r>
        <w:rPr>
          <w:rFonts w:ascii="Verdana" w:eastAsia="Calibri" w:hAnsi="Verdana" w:cs="Arial"/>
        </w:rPr>
        <w:t>EGCAP</w:t>
      </w:r>
      <w:r w:rsidRPr="00BE5FE3">
        <w:rPr>
          <w:rFonts w:ascii="Verdana" w:eastAsia="Calibri" w:hAnsi="Verdana" w:cs="Arial"/>
          <w:lang w:val="es-ES_tradnl"/>
        </w:rPr>
        <w:t xml:space="preserve">, interpretando de manera más realista las necesidades de la Administración, autoriza al jefe o representante legal de la entidad estatal para declarar la urgencia, siempre que tenga el carácter de </w:t>
      </w:r>
      <w:r w:rsidRPr="00BE5FE3">
        <w:rPr>
          <w:rFonts w:ascii="Verdana" w:eastAsia="Calibri" w:hAnsi="Verdana" w:cs="Arial"/>
          <w:i/>
          <w:iCs/>
          <w:lang w:val="es-ES_tradnl"/>
        </w:rPr>
        <w:t>manifiesta</w:t>
      </w:r>
      <w:r w:rsidRPr="00BE5FE3">
        <w:rPr>
          <w:rStyle w:val="Refdenotaalpie"/>
          <w:rFonts w:ascii="Verdana" w:eastAsia="Calibri" w:hAnsi="Verdana" w:cs="Arial"/>
          <w:sz w:val="21"/>
          <w:szCs w:val="21"/>
          <w:lang w:val="es-ES_tradnl"/>
        </w:rPr>
        <w:footnoteReference w:id="3"/>
      </w:r>
      <w:r w:rsidRPr="00BE5FE3">
        <w:rPr>
          <w:rFonts w:ascii="Verdana" w:eastAsia="Calibri" w:hAnsi="Verdana" w:cs="Arial"/>
          <w:sz w:val="21"/>
          <w:szCs w:val="21"/>
          <w:lang w:val="es-ES_tradnl"/>
        </w:rPr>
        <w:t>.</w:t>
      </w:r>
    </w:p>
    <w:p w14:paraId="73D999DE" w14:textId="77777777" w:rsidR="0005258F" w:rsidRPr="00BE5FE3" w:rsidRDefault="0005258F" w:rsidP="0005258F">
      <w:pPr>
        <w:spacing w:after="120" w:line="276" w:lineRule="auto"/>
        <w:ind w:firstLine="708"/>
        <w:jc w:val="both"/>
        <w:rPr>
          <w:rFonts w:ascii="Verdana" w:eastAsia="Calibri" w:hAnsi="Verdana" w:cs="Arial"/>
          <w:lang w:val="es-ES"/>
        </w:rPr>
      </w:pPr>
      <w:bookmarkStart w:id="6" w:name="_Hlk35959309"/>
      <w:r w:rsidRPr="736CB040">
        <w:rPr>
          <w:rFonts w:ascii="Verdana" w:eastAsia="Calibri" w:hAnsi="Verdana" w:cs="Arial"/>
          <w:lang w:val="es-ES"/>
        </w:rPr>
        <w:t>De esta manera, el artículo 42 de la Ley 80 define la urgencia manifiesta como una circunstancia que exige, con carácter apremiante, preservar la continuidad del servicio, cuando se afecta por situaciones de fuerza mayor, desastres, calamidades o hechos relacionados con los estados de excepción. No en vano, para la doctrina, las situaciones de urgencia manifiesta deben ser concretas, inmediatas, objetivas y probadas, pues se trata de circunstancias de hecho actuales, debidamente acreditadas y fundadas por estudios técnicos, verificadas por la autoridad competente</w:t>
      </w:r>
      <w:r w:rsidRPr="736CB040">
        <w:rPr>
          <w:rStyle w:val="Refdenotaalpie"/>
          <w:rFonts w:ascii="Verdana" w:eastAsia="Calibri" w:hAnsi="Verdana" w:cs="Arial"/>
          <w:lang w:val="es-ES"/>
        </w:rPr>
        <w:footnoteReference w:id="4"/>
      </w:r>
      <w:r w:rsidRPr="736CB040">
        <w:rPr>
          <w:rFonts w:ascii="Verdana" w:eastAsia="Calibri" w:hAnsi="Verdana" w:cs="Arial"/>
          <w:lang w:val="es-ES"/>
        </w:rPr>
        <w:t xml:space="preserve">. </w:t>
      </w:r>
    </w:p>
    <w:p w14:paraId="7DF0CA1D" w14:textId="77777777" w:rsidR="0005258F" w:rsidRPr="00BE5FE3" w:rsidRDefault="0005258F" w:rsidP="0005258F">
      <w:pPr>
        <w:spacing w:after="120" w:line="276" w:lineRule="auto"/>
        <w:ind w:firstLine="709"/>
        <w:jc w:val="both"/>
        <w:rPr>
          <w:rFonts w:ascii="Verdana" w:eastAsia="Calibri" w:hAnsi="Verdana" w:cs="Arial"/>
          <w:lang w:val="es-ES_tradnl"/>
        </w:rPr>
      </w:pPr>
      <w:r w:rsidRPr="00BE5FE3">
        <w:rPr>
          <w:rFonts w:ascii="Verdana" w:eastAsia="Calibri" w:hAnsi="Verdana" w:cs="Arial"/>
          <w:lang w:val="es-ES_tradnl"/>
        </w:rPr>
        <w:t>En esos casos excepcionales, que comprometen fines superiores de interés colectivo, con mayor razón son de obligatoria aplicación los objetivos de la contratación administrativa, previstos en el artículo 3 de la Ley 80 de 1993. Esto en la medida que el cumplimiento de los fines estatales, la continua y eficiente prestación de los servicios públicos, y la efectividad de los derechos e intereses de los administrados que colaboran con entidades y organismos del Estado en la consecución de dichos propósitos confieren un fundamento adicional a esta causal de contratación directa</w:t>
      </w:r>
      <w:r w:rsidRPr="00BE5FE3">
        <w:rPr>
          <w:rStyle w:val="Refdenotaalpie"/>
          <w:rFonts w:ascii="Verdana" w:eastAsia="Calibri" w:hAnsi="Verdana" w:cs="Arial"/>
          <w:lang w:val="es-ES_tradnl"/>
        </w:rPr>
        <w:footnoteReference w:id="5"/>
      </w:r>
      <w:r w:rsidRPr="00BE5FE3">
        <w:rPr>
          <w:rFonts w:ascii="Verdana" w:eastAsia="Calibri" w:hAnsi="Verdana" w:cs="Arial"/>
          <w:lang w:val="es-ES_tradnl"/>
        </w:rPr>
        <w:t xml:space="preserve">. </w:t>
      </w:r>
    </w:p>
    <w:bookmarkEnd w:id="6"/>
    <w:p w14:paraId="1986AD1A" w14:textId="77777777" w:rsidR="0005258F" w:rsidRPr="00BE5FE3" w:rsidRDefault="0005258F" w:rsidP="0005258F">
      <w:pPr>
        <w:spacing w:after="120" w:line="276" w:lineRule="auto"/>
        <w:ind w:firstLine="709"/>
        <w:jc w:val="both"/>
        <w:rPr>
          <w:rFonts w:ascii="Verdana" w:eastAsia="Calibri" w:hAnsi="Verdana" w:cs="Arial"/>
          <w:lang w:val="es-ES_tradnl"/>
        </w:rPr>
      </w:pPr>
      <w:r w:rsidRPr="00BE5FE3">
        <w:rPr>
          <w:rFonts w:ascii="Verdana" w:eastAsia="Calibri" w:hAnsi="Verdana" w:cs="Arial"/>
          <w:lang w:val="es-ES_tradnl"/>
        </w:rPr>
        <w:t xml:space="preserve">En esta medida, el precitado artículo 42 del </w:t>
      </w:r>
      <w:r>
        <w:rPr>
          <w:rFonts w:ascii="Verdana" w:eastAsia="Calibri" w:hAnsi="Verdana" w:cs="Arial"/>
        </w:rPr>
        <w:t>EGCAP</w:t>
      </w:r>
      <w:r w:rsidRPr="00BE5FE3">
        <w:rPr>
          <w:rFonts w:ascii="Verdana" w:eastAsia="Calibri" w:hAnsi="Verdana" w:cs="Arial"/>
          <w:lang w:val="es-ES_tradnl"/>
        </w:rPr>
        <w:t xml:space="preserve"> contempla cuatro (4) circunstancias o hechos que configuran la urgencia manifiesta, si así lo declara la entidad: i) cuando la continuidad del servicio exige el suministro de bienes, o la prestación de servicios, o la ejecución de obras en el inmediato futuro; </w:t>
      </w:r>
      <w:proofErr w:type="spellStart"/>
      <w:r w:rsidRPr="00BE5FE3">
        <w:rPr>
          <w:rFonts w:ascii="Verdana" w:eastAsia="Calibri" w:hAnsi="Verdana" w:cs="Arial"/>
          <w:lang w:val="es-ES_tradnl"/>
        </w:rPr>
        <w:t>ii</w:t>
      </w:r>
      <w:proofErr w:type="spellEnd"/>
      <w:r w:rsidRPr="00BE5FE3">
        <w:rPr>
          <w:rFonts w:ascii="Verdana" w:eastAsia="Calibri" w:hAnsi="Verdana" w:cs="Arial"/>
          <w:lang w:val="es-ES_tradnl"/>
        </w:rPr>
        <w:t xml:space="preserve">) </w:t>
      </w:r>
      <w:r w:rsidRPr="009F143A">
        <w:rPr>
          <w:rFonts w:ascii="Verdana" w:eastAsia="Calibri" w:hAnsi="Verdana" w:cs="Arial"/>
          <w:i/>
          <w:iCs/>
          <w:lang w:val="es-ES_tradnl"/>
        </w:rPr>
        <w:t>cuando se presenten situaciones relacionadas con los estados de excepción</w:t>
      </w:r>
      <w:r w:rsidRPr="00BE5FE3">
        <w:rPr>
          <w:rFonts w:ascii="Verdana" w:eastAsia="Calibri" w:hAnsi="Verdana" w:cs="Arial"/>
          <w:lang w:val="es-ES_tradnl"/>
        </w:rPr>
        <w:t xml:space="preserve">; </w:t>
      </w:r>
      <w:proofErr w:type="spellStart"/>
      <w:r w:rsidRPr="00BE5FE3">
        <w:rPr>
          <w:rFonts w:ascii="Verdana" w:eastAsia="Calibri" w:hAnsi="Verdana" w:cs="Arial"/>
          <w:lang w:val="es-ES_tradnl"/>
        </w:rPr>
        <w:t>iii</w:t>
      </w:r>
      <w:proofErr w:type="spellEnd"/>
      <w:r w:rsidRPr="00BE5FE3">
        <w:rPr>
          <w:rFonts w:ascii="Verdana" w:eastAsia="Calibri" w:hAnsi="Verdana" w:cs="Arial"/>
          <w:lang w:val="es-ES_tradnl"/>
        </w:rPr>
        <w:t xml:space="preserve">) cuando se trate de conjurar situaciones excepcionales relacionadas con hechos </w:t>
      </w:r>
      <w:r w:rsidRPr="00BE5FE3">
        <w:rPr>
          <w:rFonts w:ascii="Verdana" w:eastAsia="Calibri" w:hAnsi="Verdana" w:cs="Arial"/>
          <w:lang w:val="es-ES_tradnl"/>
        </w:rPr>
        <w:lastRenderedPageBreak/>
        <w:t xml:space="preserve">de calamidad o constitutivos de fuerza mayor o desastre que demanden actuaciones inmediatas; y </w:t>
      </w:r>
      <w:proofErr w:type="spellStart"/>
      <w:r w:rsidRPr="00BE5FE3">
        <w:rPr>
          <w:rFonts w:ascii="Verdana" w:eastAsia="Calibri" w:hAnsi="Verdana" w:cs="Arial"/>
          <w:lang w:val="es-ES_tradnl"/>
        </w:rPr>
        <w:t>iv</w:t>
      </w:r>
      <w:proofErr w:type="spellEnd"/>
      <w:r w:rsidRPr="00BE5FE3">
        <w:rPr>
          <w:rFonts w:ascii="Verdana" w:eastAsia="Calibri" w:hAnsi="Verdana" w:cs="Arial"/>
          <w:lang w:val="es-ES_tradnl"/>
        </w:rPr>
        <w:t>) en general, cuando se trate de situaciones similares que imposibiliten acudir a los procedimientos de selección o concurso públicos.</w:t>
      </w:r>
    </w:p>
    <w:p w14:paraId="5EAB8DF1" w14:textId="77777777" w:rsidR="0005258F" w:rsidRPr="00BE5FE3" w:rsidRDefault="0005258F" w:rsidP="0005258F">
      <w:pPr>
        <w:spacing w:after="120" w:line="276" w:lineRule="auto"/>
        <w:ind w:firstLine="708"/>
        <w:jc w:val="both"/>
        <w:rPr>
          <w:rFonts w:ascii="Verdana" w:eastAsia="Calibri" w:hAnsi="Verdana" w:cs="Arial"/>
          <w:lang w:val="es-ES"/>
        </w:rPr>
      </w:pPr>
      <w:r w:rsidRPr="736CB040">
        <w:rPr>
          <w:rFonts w:ascii="Verdana" w:eastAsia="Calibri" w:hAnsi="Verdana" w:cs="Arial"/>
          <w:lang w:val="es-ES"/>
        </w:rPr>
        <w:t xml:space="preserve">La </w:t>
      </w:r>
      <w:r w:rsidRPr="736CB040">
        <w:rPr>
          <w:rFonts w:ascii="Verdana" w:eastAsia="Calibri" w:hAnsi="Verdana" w:cs="Arial"/>
          <w:i/>
          <w:iCs/>
          <w:lang w:val="es-ES"/>
        </w:rPr>
        <w:t>primera circunstancia</w:t>
      </w:r>
      <w:r w:rsidRPr="736CB040">
        <w:rPr>
          <w:rFonts w:ascii="Verdana" w:eastAsia="Calibri" w:hAnsi="Verdana" w:cs="Arial"/>
          <w:lang w:val="es-ES"/>
        </w:rPr>
        <w:t xml:space="preserve"> se configura cuando la continuidad del servicio exige el suministro de bienes, la prestación de servicios, o la ejecución de obras en el inmediato futuro. En este caso, se busca evitar la paralización de un servicio, pues están destinados a satisfacer necesidades colectivas en forma general, permanente y continua. En este contexto, no puede olvidarse que el servicio público responde, por definición, a una necesidad de interés general, razón por la cual no podría ser discontinuo, pues la interrupción ocasiona problemas graves para la vida colectiva. </w:t>
      </w:r>
    </w:p>
    <w:p w14:paraId="76714C09" w14:textId="77777777" w:rsidR="0005258F" w:rsidRPr="00BE5FE3" w:rsidRDefault="0005258F" w:rsidP="0005258F">
      <w:pPr>
        <w:spacing w:after="120" w:line="276" w:lineRule="auto"/>
        <w:ind w:firstLine="708"/>
        <w:jc w:val="both"/>
        <w:rPr>
          <w:rFonts w:ascii="Verdana" w:eastAsia="Calibri" w:hAnsi="Verdana" w:cs="Arial"/>
          <w:lang w:val="es-ES_tradnl"/>
        </w:rPr>
      </w:pPr>
      <w:r w:rsidRPr="00BE5FE3">
        <w:rPr>
          <w:rFonts w:ascii="Verdana" w:eastAsia="Calibri" w:hAnsi="Verdana" w:cs="Arial"/>
          <w:lang w:val="es-ES_tradnl"/>
        </w:rPr>
        <w:t>En esta causal es secundaria la previsibilidad de la situación, porque –si así fuera– se llegaría al absurdo de permitir que efectivamente se paralizara el servicio, sacrificando el interés general por causa de la inactividad de los servidores</w:t>
      </w:r>
      <w:r w:rsidRPr="00BE5FE3">
        <w:rPr>
          <w:rStyle w:val="Refdenotaalpie"/>
          <w:rFonts w:ascii="Verdana" w:eastAsia="Calibri" w:hAnsi="Verdana" w:cs="Arial"/>
          <w:lang w:val="es-ES_tradnl"/>
        </w:rPr>
        <w:footnoteReference w:id="6"/>
      </w:r>
      <w:r w:rsidRPr="00BE5FE3">
        <w:rPr>
          <w:rFonts w:ascii="Verdana" w:eastAsia="Calibri" w:hAnsi="Verdana" w:cs="Arial"/>
          <w:lang w:val="es-ES_tradnl"/>
        </w:rPr>
        <w:t>. En consecuencia, “[…] uno de los elementos esenciales de la urgencia manifiesta lo constituye la obligación de verificar que el objeto del contrato necesita su permanencia, es decir, que se requiere garantizar por parte de la Administración la continuidad de un servicio que exige suministro de bienes, ejecución de obras o la propia prestación de servicios”</w:t>
      </w:r>
      <w:r w:rsidRPr="00BE5FE3">
        <w:rPr>
          <w:rStyle w:val="Refdenotaalpie"/>
          <w:rFonts w:ascii="Verdana" w:eastAsia="Calibri" w:hAnsi="Verdana" w:cs="Arial"/>
          <w:lang w:val="es-ES_tradnl"/>
        </w:rPr>
        <w:footnoteReference w:id="7"/>
      </w:r>
      <w:r w:rsidRPr="00BE5FE3">
        <w:rPr>
          <w:rFonts w:ascii="Verdana" w:eastAsia="Calibri" w:hAnsi="Verdana" w:cs="Arial"/>
          <w:lang w:val="es-ES_tradnl"/>
        </w:rPr>
        <w:t xml:space="preserve">. </w:t>
      </w:r>
    </w:p>
    <w:p w14:paraId="737EEE47" w14:textId="77777777" w:rsidR="0005258F" w:rsidRPr="00BE5FE3" w:rsidRDefault="0005258F" w:rsidP="0005258F">
      <w:pPr>
        <w:spacing w:after="120" w:line="276" w:lineRule="auto"/>
        <w:ind w:firstLine="708"/>
        <w:jc w:val="both"/>
        <w:rPr>
          <w:rFonts w:ascii="Verdana" w:eastAsia="Calibri" w:hAnsi="Verdana" w:cs="Arial"/>
          <w:lang w:val="es-ES"/>
        </w:rPr>
      </w:pPr>
      <w:r w:rsidRPr="54A21AD3">
        <w:rPr>
          <w:rFonts w:ascii="Verdana" w:eastAsia="Calibri" w:hAnsi="Verdana" w:cs="Arial"/>
          <w:lang w:val="es-ES"/>
        </w:rPr>
        <w:t xml:space="preserve">La </w:t>
      </w:r>
      <w:r w:rsidRPr="54A21AD3">
        <w:rPr>
          <w:rFonts w:ascii="Verdana" w:eastAsia="Calibri" w:hAnsi="Verdana" w:cs="Arial"/>
          <w:i/>
          <w:iCs/>
          <w:lang w:val="es-ES"/>
        </w:rPr>
        <w:t>segunda circunstancia</w:t>
      </w:r>
      <w:r w:rsidRPr="54A21AD3">
        <w:rPr>
          <w:rFonts w:ascii="Verdana" w:eastAsia="Calibri" w:hAnsi="Verdana" w:cs="Arial"/>
          <w:lang w:val="es-ES"/>
        </w:rPr>
        <w:t xml:space="preserve">, la cual es aplicable al caso que se estudia en el presente concepto, en virtud de la expedición del Decreto 62 de 2025, se presenta en las situaciones relacionadas con los estados de excepción, siendo necesaria la remisión a los artículos 212, 213 y 215 superiores. Estas normas se refieren a la declaración de los estados de guerra exterior, </w:t>
      </w:r>
      <w:r w:rsidRPr="54A21AD3">
        <w:rPr>
          <w:rFonts w:ascii="Verdana" w:eastAsia="Calibri" w:hAnsi="Verdana" w:cs="Arial"/>
          <w:i/>
          <w:iCs/>
          <w:lang w:val="es-ES"/>
        </w:rPr>
        <w:t>conmoción interior</w:t>
      </w:r>
      <w:r w:rsidRPr="54A21AD3">
        <w:rPr>
          <w:rFonts w:ascii="Verdana" w:eastAsia="Calibri" w:hAnsi="Verdana" w:cs="Arial"/>
          <w:lang w:val="es-ES"/>
        </w:rPr>
        <w:t xml:space="preserve"> y emergencia económica, social y ecológica. De hecho, el uso indiscriminado, excesivo e incontrolado del estado de sitio, durante la vigencia de la Constitución Nacional de 1886, llevó a que los supuestos fácticos, las facultades y los </w:t>
      </w:r>
      <w:r w:rsidRPr="54A21AD3">
        <w:rPr>
          <w:rFonts w:ascii="Verdana" w:eastAsia="Calibri" w:hAnsi="Verdana" w:cs="Arial"/>
          <w:lang w:val="es-ES"/>
        </w:rPr>
        <w:lastRenderedPageBreak/>
        <w:t>controles adscritos a cada uno de ellos fueran específicamente regulados tanto en la Constitución Política como en la Ley Estatutaria 137 de 1994</w:t>
      </w:r>
      <w:r w:rsidRPr="54A21AD3">
        <w:rPr>
          <w:rStyle w:val="Refdenotaalpie"/>
          <w:rFonts w:ascii="Verdana" w:eastAsia="Calibri" w:hAnsi="Verdana" w:cs="Arial"/>
          <w:lang w:val="es-ES"/>
        </w:rPr>
        <w:footnoteReference w:id="8"/>
      </w:r>
      <w:r w:rsidRPr="54A21AD3">
        <w:rPr>
          <w:rFonts w:ascii="Verdana" w:eastAsia="Calibri" w:hAnsi="Verdana" w:cs="Arial"/>
          <w:lang w:val="es-ES"/>
        </w:rPr>
        <w:t xml:space="preserve">. </w:t>
      </w:r>
    </w:p>
    <w:p w14:paraId="6788011E" w14:textId="77777777" w:rsidR="0005258F" w:rsidRPr="00BE5FE3" w:rsidRDefault="0005258F" w:rsidP="0005258F">
      <w:pPr>
        <w:spacing w:after="120" w:line="276" w:lineRule="auto"/>
        <w:ind w:firstLine="708"/>
        <w:jc w:val="both"/>
        <w:rPr>
          <w:rFonts w:ascii="Verdana" w:eastAsia="Calibri" w:hAnsi="Verdana" w:cs="Arial"/>
          <w:lang w:val="es-ES"/>
        </w:rPr>
      </w:pPr>
      <w:r w:rsidRPr="736CB040">
        <w:rPr>
          <w:rFonts w:ascii="Verdana" w:eastAsia="Calibri" w:hAnsi="Verdana" w:cs="Arial"/>
          <w:lang w:val="es-ES"/>
        </w:rPr>
        <w:t xml:space="preserve">De conformidad con las normas citadas, los estados de excepción se declaran en caso de situación de anormalidad, y están acompañados de facultades y limitaciones que permiten el retorno a la regularidad. Por eso, mientras subsista la situación que la origina, y sólo en lo relacionado con la declaración previa del presidente de la república, con la firma de todos los ministros, </w:t>
      </w:r>
      <w:r w:rsidRPr="009B52FD">
        <w:rPr>
          <w:rFonts w:ascii="Verdana" w:eastAsia="Calibri" w:hAnsi="Verdana" w:cs="Arial"/>
          <w:u w:val="single"/>
          <w:lang w:val="es-ES"/>
        </w:rPr>
        <w:t xml:space="preserve">las entidades pueden contratar directamente, por urgencia manifiesta, como medida </w:t>
      </w:r>
      <w:r w:rsidRPr="009B52FD">
        <w:rPr>
          <w:rFonts w:ascii="Verdana" w:eastAsia="Calibri" w:hAnsi="Verdana" w:cs="Arial"/>
          <w:i/>
          <w:iCs/>
          <w:u w:val="single"/>
          <w:lang w:val="es-ES"/>
        </w:rPr>
        <w:t>pro tempore</w:t>
      </w:r>
      <w:r w:rsidRPr="009B52FD">
        <w:rPr>
          <w:rFonts w:ascii="Verdana" w:eastAsia="Calibri" w:hAnsi="Verdana" w:cs="Arial"/>
          <w:u w:val="single"/>
          <w:lang w:val="es-ES"/>
        </w:rPr>
        <w:t xml:space="preserve"> para adquirir bienes y servicios que permitan superar la crisis</w:t>
      </w:r>
      <w:r w:rsidRPr="736CB040">
        <w:rPr>
          <w:rFonts w:ascii="Verdana" w:eastAsia="Calibri" w:hAnsi="Verdana" w:cs="Arial"/>
          <w:lang w:val="es-ES"/>
        </w:rPr>
        <w:t xml:space="preserve">. En contraste, cuando cesen las causas, las entidades deben contratar de conformidad con las reglas generales del </w:t>
      </w:r>
      <w:r>
        <w:rPr>
          <w:rFonts w:ascii="Verdana" w:eastAsia="Calibri" w:hAnsi="Verdana" w:cs="Arial"/>
          <w:lang w:val="es-ES"/>
        </w:rPr>
        <w:t>EGCAP</w:t>
      </w:r>
      <w:r w:rsidRPr="736CB040">
        <w:rPr>
          <w:rFonts w:ascii="Verdana" w:eastAsia="Calibri" w:hAnsi="Verdana" w:cs="Arial"/>
          <w:lang w:val="es-ES"/>
        </w:rPr>
        <w:t>.</w:t>
      </w:r>
    </w:p>
    <w:p w14:paraId="679FC851" w14:textId="77777777" w:rsidR="0005258F" w:rsidRPr="00BE5FE3" w:rsidRDefault="0005258F" w:rsidP="0005258F">
      <w:pPr>
        <w:spacing w:after="120" w:line="276" w:lineRule="auto"/>
        <w:ind w:firstLine="708"/>
        <w:jc w:val="both"/>
        <w:rPr>
          <w:rFonts w:ascii="Verdana" w:eastAsia="Calibri" w:hAnsi="Verdana" w:cs="Arial"/>
          <w:lang w:val="es-ES_tradnl"/>
        </w:rPr>
      </w:pPr>
      <w:r w:rsidRPr="00BE5FE3">
        <w:rPr>
          <w:rFonts w:ascii="Verdana" w:eastAsia="Calibri" w:hAnsi="Verdana" w:cs="Arial"/>
          <w:lang w:val="es-ES_tradnl"/>
        </w:rPr>
        <w:t xml:space="preserve">En este supuesto, cuando se declara un estado de excepción se configura el supuesto para declarar a continuación la “urgencia manifiesta”, por parte de cualquier entidad estatal regida por la Ley 80 de 1993, por configurarse uno de los cuatro (4) supuestos </w:t>
      </w:r>
      <w:r>
        <w:rPr>
          <w:rFonts w:ascii="Verdana" w:eastAsia="Calibri" w:hAnsi="Verdana" w:cs="Arial"/>
          <w:lang w:val="es-ES_tradnl"/>
        </w:rPr>
        <w:t xml:space="preserve">establecidos en </w:t>
      </w:r>
      <w:r w:rsidRPr="00BE5FE3">
        <w:rPr>
          <w:rFonts w:ascii="Verdana" w:eastAsia="Calibri" w:hAnsi="Verdana" w:cs="Arial"/>
          <w:lang w:val="es-ES_tradnl"/>
        </w:rPr>
        <w:t>el art</w:t>
      </w:r>
      <w:r>
        <w:rPr>
          <w:rFonts w:ascii="Verdana" w:eastAsia="Calibri" w:hAnsi="Verdana" w:cs="Arial"/>
          <w:lang w:val="es-ES_tradnl"/>
        </w:rPr>
        <w:t>ículo</w:t>
      </w:r>
      <w:r w:rsidRPr="00BE5FE3">
        <w:rPr>
          <w:rFonts w:ascii="Verdana" w:eastAsia="Calibri" w:hAnsi="Verdana" w:cs="Arial"/>
          <w:lang w:val="es-ES_tradnl"/>
        </w:rPr>
        <w:t xml:space="preserve"> 42 de la Ley 80 de 1993. En este evento no es suficiente la declaración del estado de excepción, por parte del presidente y sus ministros, sino que es necesario expedir, luego, el acto que declare la urgencia manifiesta, con fundamento en la declaración previa de alguno de los tres estados de excepción.</w:t>
      </w:r>
    </w:p>
    <w:p w14:paraId="77D4C542" w14:textId="77777777" w:rsidR="0005258F" w:rsidRPr="00BE5FE3" w:rsidRDefault="0005258F" w:rsidP="0005258F">
      <w:pPr>
        <w:spacing w:after="120" w:line="276" w:lineRule="auto"/>
        <w:ind w:firstLine="708"/>
        <w:jc w:val="both"/>
        <w:rPr>
          <w:rFonts w:ascii="Verdana" w:eastAsia="Calibri" w:hAnsi="Verdana" w:cs="Arial"/>
          <w:sz w:val="21"/>
          <w:szCs w:val="21"/>
          <w:lang w:val="es-ES_tradnl"/>
        </w:rPr>
      </w:pPr>
      <w:r w:rsidRPr="00BE5FE3">
        <w:rPr>
          <w:rFonts w:ascii="Verdana" w:eastAsia="Calibri" w:hAnsi="Verdana" w:cs="Arial"/>
          <w:lang w:val="es-ES_tradnl"/>
        </w:rPr>
        <w:t xml:space="preserve">La </w:t>
      </w:r>
      <w:r w:rsidRPr="00BE5FE3">
        <w:rPr>
          <w:rFonts w:ascii="Verdana" w:eastAsia="Calibri" w:hAnsi="Verdana" w:cs="Arial"/>
          <w:i/>
          <w:iCs/>
          <w:lang w:val="es-ES_tradnl"/>
        </w:rPr>
        <w:t>tercera circunstancia</w:t>
      </w:r>
      <w:r w:rsidRPr="00BE5FE3">
        <w:rPr>
          <w:rFonts w:ascii="Verdana" w:eastAsia="Calibri" w:hAnsi="Verdana" w:cs="Arial"/>
          <w:lang w:val="es-ES_tradnl"/>
        </w:rPr>
        <w:t xml:space="preserve"> surge de la necesidad de conjurar situaciones excepcionales relacionadas con </w:t>
      </w:r>
      <w:r w:rsidRPr="00BE5FE3">
        <w:rPr>
          <w:rFonts w:ascii="Verdana" w:eastAsia="Calibri" w:hAnsi="Verdana" w:cs="Arial"/>
          <w:i/>
          <w:iCs/>
          <w:lang w:val="es-ES_tradnl"/>
        </w:rPr>
        <w:t>hechos de calamidad o constitutivos de fuerza mayor o desastre</w:t>
      </w:r>
      <w:r w:rsidRPr="00BE5FE3">
        <w:rPr>
          <w:rFonts w:ascii="Verdana" w:eastAsia="Calibri" w:hAnsi="Verdana" w:cs="Arial"/>
          <w:lang w:val="es-ES_tradnl"/>
        </w:rPr>
        <w:t xml:space="preserve"> que demanden actuaciones inmediatas, causa que –conforme se analiza en el siguiente acápite– exige tener en cuenta lo previsto en la Ley 1523 de 2012. Lo anterior sin perjuicio de que, conforme a la cuarta circunstancia, surjan situaciones similares que imposibiliten acudir a los procedimientos de selección o concurso públicos. </w:t>
      </w:r>
    </w:p>
    <w:p w14:paraId="38A05C27" w14:textId="77777777" w:rsidR="0005258F" w:rsidRPr="00BE5FE3" w:rsidRDefault="0005258F" w:rsidP="0005258F">
      <w:pPr>
        <w:spacing w:after="120" w:line="276" w:lineRule="auto"/>
        <w:ind w:firstLine="708"/>
        <w:jc w:val="both"/>
        <w:rPr>
          <w:rFonts w:ascii="Verdana" w:eastAsia="Calibri" w:hAnsi="Verdana" w:cs="Arial"/>
          <w:lang w:val="es-ES_tradnl"/>
        </w:rPr>
      </w:pPr>
      <w:bookmarkStart w:id="7" w:name="_Hlk132729706"/>
      <w:r w:rsidRPr="00BE5FE3">
        <w:rPr>
          <w:rFonts w:ascii="Verdana" w:eastAsia="Calibri" w:hAnsi="Verdana" w:cs="Arial"/>
          <w:lang w:val="es-ES_tradnl"/>
        </w:rPr>
        <w:t xml:space="preserve">El elemento común en los cuatro (4) eventos es que exigen atender la contingencia de manera pronta, mediante la ejecución de obras, la prestación de servicios o el suministro de bienes. Por tanto, lo que permite catalogar un supuesto fáctico como urgente, en forma manifiesta, es que demanda actuaciones del Estado que no dan espera para mantener la regularidad del servicio, e impiden acudir a los procedimientos de selección ordinarios, es decir, </w:t>
      </w:r>
      <w:r w:rsidRPr="00BE5FE3">
        <w:rPr>
          <w:rFonts w:ascii="Verdana" w:eastAsia="Calibri" w:hAnsi="Verdana" w:cs="Arial"/>
          <w:lang w:val="es-ES_tradnl"/>
        </w:rPr>
        <w:lastRenderedPageBreak/>
        <w:t>a la licitación pública, la selección abreviada, el concurso de méritos y la contratación de mínima cuantía</w:t>
      </w:r>
      <w:r w:rsidRPr="00BE5FE3">
        <w:rPr>
          <w:rStyle w:val="Refdenotaalpie"/>
          <w:rFonts w:ascii="Verdana" w:eastAsia="Calibri" w:hAnsi="Verdana" w:cs="Arial"/>
          <w:sz w:val="21"/>
          <w:szCs w:val="21"/>
          <w:lang w:val="es-ES_tradnl"/>
        </w:rPr>
        <w:footnoteReference w:id="9"/>
      </w:r>
      <w:r w:rsidRPr="00BE5FE3">
        <w:rPr>
          <w:rFonts w:ascii="Verdana" w:eastAsia="Calibri" w:hAnsi="Verdana" w:cs="Arial"/>
          <w:sz w:val="21"/>
          <w:szCs w:val="21"/>
          <w:lang w:val="es-ES_tradnl"/>
        </w:rPr>
        <w:t>.</w:t>
      </w:r>
    </w:p>
    <w:bookmarkEnd w:id="7"/>
    <w:p w14:paraId="7AFC22A6" w14:textId="77777777" w:rsidR="0005258F" w:rsidRPr="00BE5FE3" w:rsidRDefault="0005258F" w:rsidP="0005258F">
      <w:pPr>
        <w:spacing w:after="120" w:line="276" w:lineRule="auto"/>
        <w:ind w:firstLine="708"/>
        <w:jc w:val="both"/>
        <w:rPr>
          <w:rFonts w:ascii="Verdana" w:eastAsia="Calibri" w:hAnsi="Verdana" w:cs="Arial"/>
          <w:lang w:val="es-ES_tradnl"/>
        </w:rPr>
      </w:pPr>
      <w:r w:rsidRPr="00BE5FE3">
        <w:rPr>
          <w:rFonts w:ascii="Verdana" w:eastAsia="Calibri" w:hAnsi="Verdana" w:cs="Arial"/>
          <w:lang w:val="es-ES_tradnl"/>
        </w:rPr>
        <w:t xml:space="preserve">Se insiste en que cuando se configure alguna de las cuatro (4) situaciones, el artículo 42 de la Ley 80 de 1993 exige declarar formalmente la urgencia manifiesta mediante acto administrativo motivado, es decir, a través de una manifestación unilateral de voluntad razonablemente justificada, proferida por el jefe o representante legal de cada entidad –o quien sea el titular de la competencia–, según lo establecido en los artículos 11 y 12 </w:t>
      </w:r>
      <w:r w:rsidRPr="00BE5FE3">
        <w:rPr>
          <w:rFonts w:ascii="Verdana" w:eastAsia="Calibri" w:hAnsi="Verdana" w:cs="Arial"/>
          <w:i/>
          <w:iCs/>
          <w:lang w:val="es-ES_tradnl"/>
        </w:rPr>
        <w:t>ibidem</w:t>
      </w:r>
      <w:r w:rsidRPr="00BE5FE3">
        <w:rPr>
          <w:rFonts w:ascii="Verdana" w:eastAsia="Calibri" w:hAnsi="Verdana" w:cs="Arial"/>
          <w:lang w:val="es-ES_tradnl"/>
        </w:rPr>
        <w:t>. Adicionalmente, no es necesario realizar estudios previos, como lo dispone el artículo 2.2.1.2.1.4.2 del Decreto 1082 de 2015: “Si la causal de contratación directa es la urgencia manifiesta, el acto administrativo que la declare hará las veces del acto administrativo de justificación, y en este caso la Entidad Estatal no está obligada a elaborar estudios y documentos previos”.</w:t>
      </w:r>
    </w:p>
    <w:p w14:paraId="35CA3C62" w14:textId="77777777" w:rsidR="0005258F" w:rsidRPr="00F524E3" w:rsidRDefault="0005258F" w:rsidP="0005258F">
      <w:pPr>
        <w:spacing w:after="120" w:line="276" w:lineRule="auto"/>
        <w:ind w:firstLine="708"/>
        <w:jc w:val="both"/>
        <w:rPr>
          <w:rFonts w:ascii="Verdana" w:eastAsia="Calibri" w:hAnsi="Verdana" w:cs="Arial"/>
          <w:lang w:val="es-ES"/>
        </w:rPr>
      </w:pPr>
      <w:r w:rsidRPr="736CB040">
        <w:rPr>
          <w:rFonts w:ascii="Verdana" w:eastAsia="Calibri" w:hAnsi="Verdana" w:cs="Arial"/>
          <w:lang w:val="es-ES"/>
        </w:rPr>
        <w:t xml:space="preserve">Expedido el acto administrativo, la entidad estatal debe realizar todos los trámites internos necesarios para contratar, entre ellos la disposición de los recursos. En tal sentido, el parágrafo del artículo 42 de la Ley 80 señala que “Con el fin de atender las necesidades y los gastos propios de la urgencia manifiesta, se podrán hacer los traslados presupuestales internos que se requieran dentro del presupuesto del organismo o entidad estatal correspondiente”. Este apartado fue declarado condicionalmente exequible por la Corte Constitucional en la Sentencia C-772 de 1998, “[…] bajo el entendimiento de que los traslados presupuestales internos a que se refiere dicha </w:t>
      </w:r>
      <w:proofErr w:type="gramStart"/>
      <w:r w:rsidRPr="736CB040">
        <w:rPr>
          <w:rFonts w:ascii="Verdana" w:eastAsia="Calibri" w:hAnsi="Verdana" w:cs="Arial"/>
          <w:lang w:val="es-ES"/>
        </w:rPr>
        <w:t>norma,</w:t>
      </w:r>
      <w:proofErr w:type="gramEnd"/>
      <w:r w:rsidRPr="736CB040">
        <w:rPr>
          <w:rFonts w:ascii="Verdana" w:eastAsia="Calibri" w:hAnsi="Verdana" w:cs="Arial"/>
          <w:lang w:val="es-ES"/>
        </w:rPr>
        <w:t xml:space="preserve"> se efectúen afectando exclusivamente el anexo del decreto de liquidación del Presupuesto”</w:t>
      </w:r>
      <w:r w:rsidRPr="736CB040">
        <w:rPr>
          <w:rFonts w:ascii="Verdana" w:eastAsia="Calibri" w:hAnsi="Verdana" w:cs="Arial"/>
          <w:vertAlign w:val="superscript"/>
          <w:lang w:val="es-ES"/>
        </w:rPr>
        <w:footnoteReference w:id="10"/>
      </w:r>
      <w:r w:rsidRPr="736CB040">
        <w:rPr>
          <w:rFonts w:ascii="Verdana" w:eastAsia="Calibri" w:hAnsi="Verdana" w:cs="Arial"/>
          <w:lang w:val="es-ES"/>
        </w:rPr>
        <w:t>.</w:t>
      </w:r>
    </w:p>
    <w:p w14:paraId="2A7B3BAB" w14:textId="77777777" w:rsidR="0005258F" w:rsidRDefault="0005258F" w:rsidP="0005258F">
      <w:pPr>
        <w:widowControl w:val="0"/>
        <w:autoSpaceDE w:val="0"/>
        <w:autoSpaceDN w:val="0"/>
        <w:spacing w:after="120" w:line="276" w:lineRule="auto"/>
        <w:jc w:val="both"/>
        <w:rPr>
          <w:rFonts w:ascii="Verdana" w:eastAsia="Arial MT" w:hAnsi="Verdana" w:cs="Arial"/>
          <w:lang w:eastAsia="es-ES" w:bidi="es-ES"/>
        </w:rPr>
      </w:pPr>
      <w:proofErr w:type="spellStart"/>
      <w:r>
        <w:rPr>
          <w:rFonts w:ascii="Verdana" w:eastAsia="Arial MT" w:hAnsi="Verdana" w:cs="Arial"/>
          <w:lang w:eastAsia="es-ES" w:bidi="es-ES"/>
        </w:rPr>
        <w:t>ii</w:t>
      </w:r>
      <w:proofErr w:type="spellEnd"/>
      <w:r>
        <w:rPr>
          <w:rFonts w:ascii="Verdana" w:eastAsia="Arial MT" w:hAnsi="Verdana" w:cs="Arial"/>
          <w:lang w:eastAsia="es-ES" w:bidi="es-ES"/>
        </w:rPr>
        <w:t>. Recientemente, el Gobierno Nacional expidió el Decreto 62 de 2025 “</w:t>
      </w:r>
      <w:r w:rsidRPr="00533FBF">
        <w:rPr>
          <w:rFonts w:ascii="Verdana" w:eastAsia="Arial MT" w:hAnsi="Verdana" w:cs="Arial"/>
          <w:i/>
          <w:iCs/>
          <w:lang w:eastAsia="es-ES" w:bidi="es-ES"/>
        </w:rPr>
        <w:t xml:space="preserve">Por el cual se decreta el </w:t>
      </w:r>
      <w:r>
        <w:rPr>
          <w:rFonts w:ascii="Verdana" w:eastAsia="Arial MT" w:hAnsi="Verdana" w:cs="Arial"/>
          <w:i/>
          <w:iCs/>
          <w:lang w:eastAsia="es-ES" w:bidi="es-ES"/>
        </w:rPr>
        <w:t xml:space="preserve">Estado de Conmoción Interior </w:t>
      </w:r>
      <w:r w:rsidRPr="00533FBF">
        <w:rPr>
          <w:rFonts w:ascii="Verdana" w:eastAsia="Arial MT" w:hAnsi="Verdana" w:cs="Arial"/>
          <w:i/>
          <w:iCs/>
          <w:lang w:eastAsia="es-ES" w:bidi="es-ES"/>
        </w:rPr>
        <w:t>en la región del Catatumbo, los municipios del área metropolitana de Cúcuta y los municipios de Río de Oro y González del departamento del Cesar</w:t>
      </w:r>
      <w:r>
        <w:rPr>
          <w:rFonts w:ascii="Verdana" w:eastAsia="Arial MT" w:hAnsi="Verdana" w:cs="Arial"/>
          <w:i/>
          <w:iCs/>
          <w:lang w:eastAsia="es-ES" w:bidi="es-ES"/>
        </w:rPr>
        <w:t>”</w:t>
      </w:r>
      <w:r w:rsidRPr="00394A1B">
        <w:rPr>
          <w:rFonts w:ascii="Verdana" w:eastAsia="Arial MT" w:hAnsi="Verdana" w:cs="Arial"/>
          <w:lang w:eastAsia="es-ES" w:bidi="es-ES"/>
        </w:rPr>
        <w:t xml:space="preserve">, </w:t>
      </w:r>
      <w:r>
        <w:rPr>
          <w:rFonts w:ascii="Verdana" w:eastAsia="Arial MT" w:hAnsi="Verdana" w:cs="Arial"/>
          <w:lang w:eastAsia="es-ES" w:bidi="es-ES"/>
        </w:rPr>
        <w:t>a raíz de hechos que perturban de manera extraordinaria el orden público en el territorio</w:t>
      </w:r>
      <w:r w:rsidRPr="00460E9D">
        <w:rPr>
          <w:rFonts w:ascii="Verdana" w:eastAsia="Arial MT" w:hAnsi="Verdana" w:cs="Arial"/>
          <w:lang w:eastAsia="es-ES" w:bidi="es-ES"/>
        </w:rPr>
        <w:t xml:space="preserve">, derivada de </w:t>
      </w:r>
      <w:r w:rsidRPr="00460E9D">
        <w:rPr>
          <w:rFonts w:ascii="Verdana" w:eastAsia="Arial MT" w:hAnsi="Verdana" w:cs="Arial"/>
          <w:lang w:eastAsia="es-ES" w:bidi="es-ES"/>
        </w:rPr>
        <w:lastRenderedPageBreak/>
        <w:t>enfrentamientos armados, amenazas, desplazamientos forzados masivos, afectaciones al ejercicio de los derechos fundamentales de la población civil, alteración de la seguridad y daños a bienes protegidos y al ambiente.</w:t>
      </w:r>
    </w:p>
    <w:p w14:paraId="54ACCE36" w14:textId="77777777" w:rsidR="0005258F" w:rsidRDefault="0005258F" w:rsidP="0005258F">
      <w:pPr>
        <w:widowControl w:val="0"/>
        <w:autoSpaceDE w:val="0"/>
        <w:autoSpaceDN w:val="0"/>
        <w:spacing w:after="0" w:line="276" w:lineRule="auto"/>
        <w:jc w:val="both"/>
        <w:rPr>
          <w:rFonts w:ascii="Verdana" w:eastAsia="Arial MT" w:hAnsi="Verdana" w:cs="Arial"/>
          <w:lang w:eastAsia="es-ES" w:bidi="es-ES"/>
        </w:rPr>
      </w:pPr>
      <w:r>
        <w:rPr>
          <w:rFonts w:ascii="Verdana" w:eastAsia="Arial MT" w:hAnsi="Verdana" w:cs="Arial"/>
          <w:lang w:eastAsia="es-ES" w:bidi="es-ES"/>
        </w:rPr>
        <w:tab/>
        <w:t>Puntualmente, el artículo 1 señala lo siguiente:</w:t>
      </w:r>
    </w:p>
    <w:p w14:paraId="046FC536" w14:textId="77777777" w:rsidR="0005258F" w:rsidRPr="004B4752" w:rsidRDefault="0005258F" w:rsidP="0005258F">
      <w:pPr>
        <w:widowControl w:val="0"/>
        <w:autoSpaceDE w:val="0"/>
        <w:autoSpaceDN w:val="0"/>
        <w:spacing w:after="0" w:line="276" w:lineRule="auto"/>
        <w:jc w:val="both"/>
        <w:rPr>
          <w:rFonts w:ascii="Verdana" w:eastAsia="Arial MT" w:hAnsi="Verdana" w:cs="Arial"/>
          <w:sz w:val="20"/>
          <w:szCs w:val="20"/>
          <w:lang w:eastAsia="es-ES" w:bidi="es-ES"/>
        </w:rPr>
      </w:pPr>
    </w:p>
    <w:p w14:paraId="4EED690E" w14:textId="77777777" w:rsidR="0005258F" w:rsidRPr="004B4752" w:rsidRDefault="0005258F" w:rsidP="0005258F">
      <w:pPr>
        <w:widowControl w:val="0"/>
        <w:autoSpaceDE w:val="0"/>
        <w:autoSpaceDN w:val="0"/>
        <w:spacing w:after="0" w:line="240" w:lineRule="auto"/>
        <w:ind w:left="709" w:right="709"/>
        <w:jc w:val="both"/>
        <w:rPr>
          <w:rFonts w:ascii="Verdana" w:eastAsia="Arial MT" w:hAnsi="Verdana" w:cs="Arial"/>
          <w:sz w:val="20"/>
          <w:szCs w:val="20"/>
          <w:lang w:eastAsia="es-ES" w:bidi="es-ES"/>
        </w:rPr>
      </w:pPr>
      <w:r w:rsidRPr="004B4752">
        <w:rPr>
          <w:rFonts w:ascii="Verdana" w:eastAsia="Arial MT" w:hAnsi="Verdana" w:cs="Arial"/>
          <w:sz w:val="20"/>
          <w:szCs w:val="20"/>
          <w:lang w:eastAsia="es-ES" w:bidi="es-ES"/>
        </w:rPr>
        <w:t>“</w:t>
      </w:r>
      <w:r w:rsidRPr="004B4752">
        <w:rPr>
          <w:rFonts w:ascii="Verdana" w:eastAsia="Arial MT" w:hAnsi="Verdana" w:cs="Arial"/>
          <w:b/>
          <w:bCs/>
          <w:sz w:val="20"/>
          <w:szCs w:val="20"/>
          <w:lang w:eastAsia="es-ES" w:bidi="es-ES"/>
        </w:rPr>
        <w:t xml:space="preserve">Declarar el estado de conmoción interior, por el término de noventa (90) días contados a partir de la </w:t>
      </w:r>
      <w:proofErr w:type="gramStart"/>
      <w:r w:rsidRPr="004B4752">
        <w:rPr>
          <w:rFonts w:ascii="Verdana" w:eastAsia="Arial MT" w:hAnsi="Verdana" w:cs="Arial"/>
          <w:b/>
          <w:bCs/>
          <w:sz w:val="20"/>
          <w:szCs w:val="20"/>
          <w:lang w:eastAsia="es-ES" w:bidi="es-ES"/>
        </w:rPr>
        <w:t>entrada en vigencia</w:t>
      </w:r>
      <w:proofErr w:type="gramEnd"/>
      <w:r w:rsidRPr="004B4752">
        <w:rPr>
          <w:rFonts w:ascii="Verdana" w:eastAsia="Arial MT" w:hAnsi="Verdana" w:cs="Arial"/>
          <w:b/>
          <w:bCs/>
          <w:sz w:val="20"/>
          <w:szCs w:val="20"/>
          <w:lang w:eastAsia="es-ES" w:bidi="es-ES"/>
        </w:rPr>
        <w:t xml:space="preserve"> del presente decreto, en la región del Catatumbo</w:t>
      </w:r>
      <w:r w:rsidRPr="004B4752">
        <w:rPr>
          <w:rFonts w:ascii="Verdana" w:eastAsia="Arial MT" w:hAnsi="Verdana" w:cs="Arial"/>
          <w:sz w:val="20"/>
          <w:szCs w:val="20"/>
          <w:lang w:eastAsia="es-ES" w:bidi="es-ES"/>
        </w:rPr>
        <w:t xml:space="preserve">, ubicada en el nororiente del departamento de Norte de Santander, la cual está conformada por los municipios de Ocaña, Abrego, El Carmen, Convención, Teorama, San. Calixto, Hacarí, La Playa, El Tarra, Tibú y Sardinata, y los territorios indígenas de los resguardos Motilón Barí y </w:t>
      </w:r>
      <w:proofErr w:type="spellStart"/>
      <w:r w:rsidRPr="004B4752">
        <w:rPr>
          <w:rFonts w:ascii="Verdana" w:eastAsia="Arial MT" w:hAnsi="Verdana" w:cs="Arial"/>
          <w:sz w:val="20"/>
          <w:szCs w:val="20"/>
          <w:lang w:eastAsia="es-ES" w:bidi="es-ES"/>
        </w:rPr>
        <w:t>Catalaura</w:t>
      </w:r>
      <w:proofErr w:type="spellEnd"/>
      <w:r w:rsidRPr="004B4752">
        <w:rPr>
          <w:rFonts w:ascii="Verdana" w:eastAsia="Arial MT" w:hAnsi="Verdana" w:cs="Arial"/>
          <w:sz w:val="20"/>
          <w:szCs w:val="20"/>
          <w:lang w:eastAsia="es-ES" w:bidi="es-ES"/>
        </w:rPr>
        <w:t xml:space="preserve"> La Gabarra, así como en el área metropolitana de Cúcuta, que incluye al municipio de Cúcuta, capital departamental y núcleo del área, y a los municipios de Villa del Rosario, Los Patios, El Zulia, San Cayetano y Puerto Santander y los municipios de Río de Oro y González del departamento del Cesar”.  </w:t>
      </w:r>
    </w:p>
    <w:p w14:paraId="04E42005" w14:textId="77777777" w:rsidR="0005258F" w:rsidRDefault="0005258F" w:rsidP="0005258F">
      <w:pPr>
        <w:widowControl w:val="0"/>
        <w:autoSpaceDE w:val="0"/>
        <w:autoSpaceDN w:val="0"/>
        <w:spacing w:after="0" w:line="240" w:lineRule="auto"/>
        <w:ind w:left="709" w:right="709"/>
        <w:jc w:val="both"/>
        <w:rPr>
          <w:rFonts w:ascii="Verdana" w:eastAsia="Arial MT" w:hAnsi="Verdana" w:cs="Arial"/>
          <w:sz w:val="21"/>
          <w:szCs w:val="21"/>
          <w:lang w:eastAsia="es-ES" w:bidi="es-ES"/>
        </w:rPr>
      </w:pPr>
    </w:p>
    <w:p w14:paraId="3EAD22CD" w14:textId="77777777" w:rsidR="0005258F" w:rsidRDefault="0005258F" w:rsidP="0005258F">
      <w:pPr>
        <w:spacing w:after="120" w:line="276" w:lineRule="auto"/>
        <w:ind w:firstLine="708"/>
        <w:jc w:val="both"/>
        <w:rPr>
          <w:rFonts w:ascii="Verdana" w:eastAsia="Arial MT" w:hAnsi="Verdana" w:cs="Arial"/>
          <w:lang w:eastAsia="es-ES" w:bidi="es-ES"/>
        </w:rPr>
      </w:pPr>
      <w:r w:rsidRPr="00C24E7C">
        <w:rPr>
          <w:rFonts w:ascii="Verdana" w:eastAsia="Arial MT" w:hAnsi="Verdana" w:cs="Arial"/>
          <w:lang w:eastAsia="es-ES" w:bidi="es-ES"/>
        </w:rPr>
        <w:t>Posteriormente, la Sala Plena de la Corte Constitucional</w:t>
      </w:r>
      <w:r>
        <w:rPr>
          <w:rStyle w:val="Refdenotaalpie"/>
          <w:rFonts w:ascii="Verdana" w:eastAsia="Arial MT" w:hAnsi="Verdana" w:cs="Arial"/>
          <w:lang w:eastAsia="es-ES" w:bidi="es-ES"/>
        </w:rPr>
        <w:footnoteReference w:id="11"/>
      </w:r>
      <w:r w:rsidRPr="00C24E7C">
        <w:rPr>
          <w:rFonts w:ascii="Verdana" w:eastAsia="Arial MT" w:hAnsi="Verdana" w:cs="Arial"/>
          <w:lang w:eastAsia="es-ES" w:bidi="es-ES"/>
        </w:rPr>
        <w:t xml:space="preserve"> declaró la constitucionalidad parcial</w:t>
      </w:r>
      <w:r>
        <w:rPr>
          <w:rFonts w:ascii="Verdana" w:eastAsia="Arial MT" w:hAnsi="Verdana" w:cs="Arial"/>
          <w:lang w:eastAsia="es-ES" w:bidi="es-ES"/>
        </w:rPr>
        <w:t xml:space="preserve"> de la declaratoria de conmoción interior decretada por el Gobierno Nacional mediante el decreto legislativo en cita, al declarar la </w:t>
      </w:r>
      <w:proofErr w:type="spellStart"/>
      <w:r>
        <w:rPr>
          <w:rFonts w:ascii="Verdana" w:eastAsia="Arial MT" w:hAnsi="Verdana" w:cs="Arial"/>
          <w:lang w:eastAsia="es-ES" w:bidi="es-ES"/>
        </w:rPr>
        <w:t>exequibilidad</w:t>
      </w:r>
      <w:proofErr w:type="spellEnd"/>
      <w:r>
        <w:rPr>
          <w:rFonts w:ascii="Verdana" w:eastAsia="Arial MT" w:hAnsi="Verdana" w:cs="Arial"/>
          <w:lang w:eastAsia="es-ES" w:bidi="es-ES"/>
        </w:rPr>
        <w:t xml:space="preserve"> únicamente de los </w:t>
      </w:r>
      <w:r w:rsidRPr="000F04B1">
        <w:rPr>
          <w:rFonts w:ascii="Verdana" w:eastAsia="Arial MT" w:hAnsi="Verdana" w:cs="Arial"/>
          <w:lang w:eastAsia="es-ES" w:bidi="es-ES"/>
        </w:rPr>
        <w:t xml:space="preserve">respecto de los hechos y consideraciones relacionados con (i) la intensificación de los enfrentamientos entre el ELN y otros </w:t>
      </w:r>
      <w:proofErr w:type="spellStart"/>
      <w:r w:rsidRPr="000F04B1">
        <w:rPr>
          <w:rFonts w:ascii="Verdana" w:eastAsia="Arial MT" w:hAnsi="Verdana" w:cs="Arial"/>
          <w:lang w:eastAsia="es-ES" w:bidi="es-ES"/>
        </w:rPr>
        <w:t>GAOr</w:t>
      </w:r>
      <w:proofErr w:type="spellEnd"/>
      <w:r w:rsidRPr="000F04B1">
        <w:rPr>
          <w:rFonts w:ascii="Verdana" w:eastAsia="Arial MT" w:hAnsi="Verdana" w:cs="Arial"/>
          <w:lang w:eastAsia="es-ES" w:bidi="es-ES"/>
        </w:rPr>
        <w:t>, así como los ataques y hostilidades dirigidos de forma indiscriminada contra la población civil y los firmantes del Acuerdo Final de Paz con las FARC y (</w:t>
      </w:r>
      <w:proofErr w:type="spellStart"/>
      <w:r w:rsidRPr="000F04B1">
        <w:rPr>
          <w:rFonts w:ascii="Verdana" w:eastAsia="Arial MT" w:hAnsi="Verdana" w:cs="Arial"/>
          <w:lang w:eastAsia="es-ES" w:bidi="es-ES"/>
        </w:rPr>
        <w:t>ii</w:t>
      </w:r>
      <w:proofErr w:type="spellEnd"/>
      <w:r w:rsidRPr="000F04B1">
        <w:rPr>
          <w:rFonts w:ascii="Verdana" w:eastAsia="Arial MT" w:hAnsi="Verdana" w:cs="Arial"/>
          <w:lang w:eastAsia="es-ES" w:bidi="es-ES"/>
        </w:rPr>
        <w:t xml:space="preserve">) la crisis humanitaria derivada de desplazamientos forzados -internos y transfronterizos- y confinamientos masivos que ha desbordado la capacidad institucional del Estado para atenderla. </w:t>
      </w:r>
      <w:r>
        <w:rPr>
          <w:rFonts w:ascii="Verdana" w:eastAsia="Arial MT" w:hAnsi="Verdana" w:cs="Arial"/>
          <w:lang w:eastAsia="es-ES" w:bidi="es-ES"/>
        </w:rPr>
        <w:t xml:space="preserve">La </w:t>
      </w:r>
      <w:r w:rsidRPr="000F04B1">
        <w:rPr>
          <w:rFonts w:ascii="Verdana" w:eastAsia="Arial MT" w:hAnsi="Verdana" w:cs="Arial"/>
          <w:lang w:eastAsia="es-ES" w:bidi="es-ES"/>
        </w:rPr>
        <w:t>decisión</w:t>
      </w:r>
      <w:r>
        <w:rPr>
          <w:rFonts w:ascii="Verdana" w:eastAsia="Arial MT" w:hAnsi="Verdana" w:cs="Arial"/>
          <w:lang w:eastAsia="es-ES" w:bidi="es-ES"/>
        </w:rPr>
        <w:t xml:space="preserve"> de la Corte Constitucional</w:t>
      </w:r>
      <w:r w:rsidRPr="000F04B1">
        <w:rPr>
          <w:rFonts w:ascii="Verdana" w:eastAsia="Arial MT" w:hAnsi="Verdana" w:cs="Arial"/>
          <w:lang w:eastAsia="es-ES" w:bidi="es-ES"/>
        </w:rPr>
        <w:t xml:space="preserve"> solo incluye aquellas medidas que sean necesarias para el fortalecimiento de la fuerza pública, la atención humanitaria, los derechos y garantías fundamentales de la población civil, y la financiación para esos propósitos específicos, de conformidad con los términos de </w:t>
      </w:r>
      <w:r>
        <w:rPr>
          <w:rFonts w:ascii="Verdana" w:eastAsia="Arial MT" w:hAnsi="Verdana" w:cs="Arial"/>
          <w:lang w:eastAsia="es-ES" w:bidi="es-ES"/>
        </w:rPr>
        <w:t>dicha</w:t>
      </w:r>
      <w:r w:rsidRPr="000F04B1">
        <w:rPr>
          <w:rFonts w:ascii="Verdana" w:eastAsia="Arial MT" w:hAnsi="Verdana" w:cs="Arial"/>
          <w:lang w:eastAsia="es-ES" w:bidi="es-ES"/>
        </w:rPr>
        <w:t xml:space="preserve"> providencia.</w:t>
      </w:r>
      <w:r>
        <w:rPr>
          <w:rFonts w:ascii="Verdana" w:eastAsia="Arial MT" w:hAnsi="Verdana" w:cs="Arial"/>
          <w:lang w:eastAsia="es-ES" w:bidi="es-ES"/>
        </w:rPr>
        <w:t xml:space="preserve"> </w:t>
      </w:r>
    </w:p>
    <w:p w14:paraId="131CFB27" w14:textId="77777777" w:rsidR="0005258F" w:rsidRPr="005063FE" w:rsidRDefault="0005258F" w:rsidP="0005258F">
      <w:pPr>
        <w:spacing w:after="120" w:line="276" w:lineRule="auto"/>
        <w:ind w:firstLine="708"/>
        <w:jc w:val="both"/>
        <w:rPr>
          <w:rFonts w:ascii="Verdana" w:eastAsia="Arial MT" w:hAnsi="Verdana" w:cs="Arial"/>
          <w:sz w:val="21"/>
          <w:szCs w:val="21"/>
          <w:lang w:eastAsia="es-ES" w:bidi="es-ES"/>
        </w:rPr>
      </w:pPr>
      <w:r>
        <w:rPr>
          <w:rFonts w:ascii="Verdana" w:eastAsia="Arial MT" w:hAnsi="Verdana" w:cs="Arial"/>
          <w:lang w:eastAsia="es-ES" w:bidi="es-ES"/>
        </w:rPr>
        <w:t xml:space="preserve">De otro lado, la Corte declaró su </w:t>
      </w:r>
      <w:proofErr w:type="spellStart"/>
      <w:r>
        <w:rPr>
          <w:rFonts w:ascii="Verdana" w:eastAsia="Arial MT" w:hAnsi="Verdana" w:cs="Arial"/>
          <w:lang w:eastAsia="es-ES" w:bidi="es-ES"/>
        </w:rPr>
        <w:t>inexequibilidad</w:t>
      </w:r>
      <w:proofErr w:type="spellEnd"/>
      <w:r>
        <w:rPr>
          <w:rFonts w:ascii="Verdana" w:eastAsia="Arial MT" w:hAnsi="Verdana" w:cs="Arial"/>
          <w:lang w:eastAsia="es-ES" w:bidi="es-ES"/>
        </w:rPr>
        <w:t xml:space="preserve"> </w:t>
      </w:r>
      <w:r w:rsidRPr="00131FA0">
        <w:rPr>
          <w:rFonts w:ascii="Verdana" w:eastAsia="Arial MT" w:hAnsi="Verdana" w:cs="Arial"/>
          <w:lang w:eastAsia="es-ES" w:bidi="es-ES"/>
        </w:rPr>
        <w:t xml:space="preserve">respecto de los hechos y consideraciones relacionados con (i) la presencia histórica del ELN, los </w:t>
      </w:r>
      <w:proofErr w:type="spellStart"/>
      <w:r w:rsidRPr="00131FA0">
        <w:rPr>
          <w:rFonts w:ascii="Verdana" w:eastAsia="Arial MT" w:hAnsi="Verdana" w:cs="Arial"/>
          <w:lang w:eastAsia="es-ES" w:bidi="es-ES"/>
        </w:rPr>
        <w:t>GAOr</w:t>
      </w:r>
      <w:proofErr w:type="spellEnd"/>
      <w:r w:rsidRPr="00131FA0">
        <w:rPr>
          <w:rFonts w:ascii="Verdana" w:eastAsia="Arial MT" w:hAnsi="Verdana" w:cs="Arial"/>
          <w:lang w:eastAsia="es-ES" w:bidi="es-ES"/>
        </w:rPr>
        <w:t xml:space="preserve"> y GDO, (</w:t>
      </w:r>
      <w:proofErr w:type="spellStart"/>
      <w:r w:rsidRPr="00131FA0">
        <w:rPr>
          <w:rFonts w:ascii="Verdana" w:eastAsia="Arial MT" w:hAnsi="Verdana" w:cs="Arial"/>
          <w:lang w:eastAsia="es-ES" w:bidi="es-ES"/>
        </w:rPr>
        <w:t>ii</w:t>
      </w:r>
      <w:proofErr w:type="spellEnd"/>
      <w:r w:rsidRPr="00131FA0">
        <w:rPr>
          <w:rFonts w:ascii="Verdana" w:eastAsia="Arial MT" w:hAnsi="Verdana" w:cs="Arial"/>
          <w:lang w:eastAsia="es-ES" w:bidi="es-ES"/>
        </w:rPr>
        <w:t>) la concentración de cultivos ilícitos, (</w:t>
      </w:r>
      <w:proofErr w:type="spellStart"/>
      <w:r w:rsidRPr="00131FA0">
        <w:rPr>
          <w:rFonts w:ascii="Verdana" w:eastAsia="Arial MT" w:hAnsi="Verdana" w:cs="Arial"/>
          <w:lang w:eastAsia="es-ES" w:bidi="es-ES"/>
        </w:rPr>
        <w:t>iii</w:t>
      </w:r>
      <w:proofErr w:type="spellEnd"/>
      <w:r w:rsidRPr="00131FA0">
        <w:rPr>
          <w:rFonts w:ascii="Verdana" w:eastAsia="Arial MT" w:hAnsi="Verdana" w:cs="Arial"/>
          <w:lang w:eastAsia="es-ES" w:bidi="es-ES"/>
        </w:rPr>
        <w:t>) las deficiencias e incumplimientos en la implementación del PNIS, (</w:t>
      </w:r>
      <w:proofErr w:type="spellStart"/>
      <w:r w:rsidRPr="00131FA0">
        <w:rPr>
          <w:rFonts w:ascii="Verdana" w:eastAsia="Arial MT" w:hAnsi="Verdana" w:cs="Arial"/>
          <w:lang w:eastAsia="es-ES" w:bidi="es-ES"/>
        </w:rPr>
        <w:t>iv</w:t>
      </w:r>
      <w:proofErr w:type="spellEnd"/>
      <w:r w:rsidRPr="00131FA0">
        <w:rPr>
          <w:rFonts w:ascii="Verdana" w:eastAsia="Arial MT" w:hAnsi="Verdana" w:cs="Arial"/>
          <w:lang w:eastAsia="es-ES" w:bidi="es-ES"/>
        </w:rPr>
        <w:t xml:space="preserve">) las necesidades básicas insatisfechas de la población por insuficiencia en la política social y (v) los daños </w:t>
      </w:r>
      <w:r w:rsidRPr="00131FA0">
        <w:rPr>
          <w:rFonts w:ascii="Verdana" w:eastAsia="Arial MT" w:hAnsi="Verdana" w:cs="Arial"/>
          <w:lang w:eastAsia="es-ES" w:bidi="es-ES"/>
        </w:rPr>
        <w:lastRenderedPageBreak/>
        <w:t>a la infraestructura energética y vial, así como las afectaciones a las operaciones del sector de hidrocarburos.</w:t>
      </w:r>
    </w:p>
    <w:p w14:paraId="59DBB120" w14:textId="77777777" w:rsidR="0005258F" w:rsidRDefault="0005258F" w:rsidP="0005258F">
      <w:pPr>
        <w:widowControl w:val="0"/>
        <w:autoSpaceDE w:val="0"/>
        <w:autoSpaceDN w:val="0"/>
        <w:spacing w:after="0" w:line="276" w:lineRule="auto"/>
        <w:ind w:firstLine="709"/>
        <w:jc w:val="both"/>
        <w:rPr>
          <w:rFonts w:ascii="Verdana" w:eastAsia="Arial MT" w:hAnsi="Verdana" w:cs="Arial"/>
          <w:lang w:eastAsia="es-ES" w:bidi="es-ES"/>
        </w:rPr>
      </w:pPr>
      <w:r>
        <w:rPr>
          <w:rFonts w:ascii="Verdana" w:eastAsia="Arial MT" w:hAnsi="Verdana" w:cs="Arial"/>
          <w:lang w:eastAsia="es-ES" w:bidi="es-ES"/>
        </w:rPr>
        <w:t>En lo que respecta al ámbito de contratación estatal, a partir de la declaratoria del estado de conmoción interior, las entidades estatales que conforman la región del Catatumbo, detallada en el artículo antes citado, se encuentran autorizadas para celebrar contratos que tengan por</w:t>
      </w:r>
      <w:r>
        <w:rPr>
          <w:rFonts w:ascii="Verdana" w:eastAsia="Arial MT" w:hAnsi="Verdana" w:cs="Arial"/>
          <w:lang w:val="es-ES" w:eastAsia="es-ES" w:bidi="es-ES"/>
        </w:rPr>
        <w:t xml:space="preserve"> objeto el de </w:t>
      </w:r>
      <w:r>
        <w:rPr>
          <w:rFonts w:ascii="Verdana" w:hAnsi="Verdana"/>
        </w:rPr>
        <w:t xml:space="preserve">conjurar la perturbación del orden público e impedir la extensión de sus efectos a través de la adquisición de bienes, obras y servicios. Esto mediante procesos ágiles que garanticen el restablecimiento del orden público, la protección de derechos de las víctimas del conflicto y la protección del medio ambiente. </w:t>
      </w:r>
      <w:r>
        <w:rPr>
          <w:rFonts w:ascii="Verdana" w:eastAsia="Arial MT" w:hAnsi="Verdana" w:cs="Arial"/>
          <w:lang w:eastAsia="es-ES" w:bidi="es-ES"/>
        </w:rPr>
        <w:t>En los términos del Decreto se señala:</w:t>
      </w:r>
    </w:p>
    <w:p w14:paraId="5C270E09" w14:textId="77777777" w:rsidR="0005258F" w:rsidRDefault="0005258F" w:rsidP="0005258F">
      <w:pPr>
        <w:widowControl w:val="0"/>
        <w:autoSpaceDE w:val="0"/>
        <w:autoSpaceDN w:val="0"/>
        <w:spacing w:after="0" w:line="276" w:lineRule="auto"/>
        <w:ind w:firstLine="709"/>
        <w:jc w:val="both"/>
        <w:rPr>
          <w:rFonts w:ascii="Verdana" w:eastAsia="Arial MT" w:hAnsi="Verdana" w:cs="Arial"/>
          <w:lang w:eastAsia="es-ES" w:bidi="es-ES"/>
        </w:rPr>
      </w:pPr>
    </w:p>
    <w:p w14:paraId="6152614F" w14:textId="77777777" w:rsidR="0005258F" w:rsidRPr="00A20920" w:rsidRDefault="0005258F" w:rsidP="0005258F">
      <w:pPr>
        <w:widowControl w:val="0"/>
        <w:autoSpaceDE w:val="0"/>
        <w:autoSpaceDN w:val="0"/>
        <w:spacing w:after="0" w:line="240" w:lineRule="auto"/>
        <w:ind w:left="709" w:right="709"/>
        <w:jc w:val="both"/>
        <w:rPr>
          <w:rFonts w:ascii="Verdana" w:eastAsia="Arial MT" w:hAnsi="Verdana" w:cs="Arial"/>
          <w:sz w:val="20"/>
          <w:szCs w:val="20"/>
          <w:lang w:eastAsia="es-ES" w:bidi="es-ES"/>
        </w:rPr>
      </w:pPr>
      <w:r w:rsidRPr="00A20920">
        <w:rPr>
          <w:rFonts w:ascii="Verdana" w:eastAsia="Arial MT" w:hAnsi="Verdana" w:cs="Arial"/>
          <w:sz w:val="20"/>
          <w:szCs w:val="20"/>
          <w:lang w:eastAsia="es-ES" w:bidi="es-ES"/>
        </w:rPr>
        <w:t>“[…] es necesario adoptar medidas extraordinarias en materia contractual con el objeto de agilizar la ejecución de los recursos requeridos para garantizar la estabilidad institucional, la seguridad del Estado y la convivencia ciudadana en la región del Catatumbo y en el área metropolitana de Cúcuta. </w:t>
      </w:r>
    </w:p>
    <w:p w14:paraId="306BFF13" w14:textId="77777777" w:rsidR="0005258F" w:rsidRPr="00A20920" w:rsidRDefault="0005258F" w:rsidP="0005258F">
      <w:pPr>
        <w:widowControl w:val="0"/>
        <w:autoSpaceDE w:val="0"/>
        <w:autoSpaceDN w:val="0"/>
        <w:spacing w:after="0" w:line="240" w:lineRule="auto"/>
        <w:ind w:left="709" w:right="709"/>
        <w:jc w:val="both"/>
        <w:rPr>
          <w:rFonts w:ascii="Verdana" w:eastAsia="Arial MT" w:hAnsi="Verdana" w:cs="Arial"/>
          <w:sz w:val="20"/>
          <w:szCs w:val="20"/>
          <w:lang w:eastAsia="es-ES" w:bidi="es-ES"/>
        </w:rPr>
      </w:pPr>
      <w:r w:rsidRPr="00A20920">
        <w:rPr>
          <w:rFonts w:ascii="Verdana" w:eastAsia="Arial MT" w:hAnsi="Verdana" w:cs="Arial"/>
          <w:sz w:val="20"/>
          <w:szCs w:val="20"/>
          <w:lang w:eastAsia="es-ES" w:bidi="es-ES"/>
        </w:rPr>
        <w:t>  </w:t>
      </w:r>
    </w:p>
    <w:p w14:paraId="3A253A8B" w14:textId="77777777" w:rsidR="0005258F" w:rsidRPr="00A20920" w:rsidRDefault="0005258F" w:rsidP="0005258F">
      <w:pPr>
        <w:widowControl w:val="0"/>
        <w:autoSpaceDE w:val="0"/>
        <w:autoSpaceDN w:val="0"/>
        <w:spacing w:after="0" w:line="240" w:lineRule="auto"/>
        <w:ind w:left="709" w:right="709"/>
        <w:jc w:val="both"/>
        <w:rPr>
          <w:rFonts w:ascii="Verdana" w:eastAsia="Arial MT" w:hAnsi="Verdana" w:cs="Arial"/>
          <w:sz w:val="20"/>
          <w:szCs w:val="20"/>
          <w:lang w:eastAsia="es-ES" w:bidi="es-ES"/>
        </w:rPr>
      </w:pPr>
      <w:r w:rsidRPr="00A20920">
        <w:rPr>
          <w:rFonts w:ascii="Verdana" w:eastAsia="Arial MT" w:hAnsi="Verdana" w:cs="Arial"/>
          <w:sz w:val="20"/>
          <w:szCs w:val="20"/>
          <w:lang w:eastAsia="es-ES" w:bidi="es-ES"/>
        </w:rPr>
        <w:t>Que, para garantizar que las contrataciones se realicen de acuerdo con los más altos estándares de transparencia y eficiencia, el Gobierno nacional deberá implementar mecanismos de control especiales que aseguren la correcta ejecución de los contratos y el uso adecuado de los recursos asignados”</w:t>
      </w:r>
      <w:r w:rsidRPr="00A20920">
        <w:rPr>
          <w:rStyle w:val="Refdenotaalpie"/>
          <w:rFonts w:ascii="Verdana" w:eastAsia="Arial MT" w:hAnsi="Verdana" w:cs="Arial"/>
          <w:sz w:val="20"/>
          <w:szCs w:val="20"/>
          <w:lang w:eastAsia="es-ES" w:bidi="es-ES"/>
        </w:rPr>
        <w:footnoteReference w:id="12"/>
      </w:r>
      <w:r w:rsidRPr="00A20920">
        <w:rPr>
          <w:rFonts w:ascii="Verdana" w:eastAsia="Arial MT" w:hAnsi="Verdana" w:cs="Arial"/>
          <w:sz w:val="20"/>
          <w:szCs w:val="20"/>
          <w:lang w:eastAsia="es-ES" w:bidi="es-ES"/>
        </w:rPr>
        <w:t>.</w:t>
      </w:r>
    </w:p>
    <w:p w14:paraId="4143BAA4" w14:textId="77777777" w:rsidR="0005258F" w:rsidRDefault="0005258F" w:rsidP="0005258F">
      <w:pPr>
        <w:widowControl w:val="0"/>
        <w:autoSpaceDE w:val="0"/>
        <w:autoSpaceDN w:val="0"/>
        <w:spacing w:after="0" w:line="276" w:lineRule="auto"/>
        <w:ind w:firstLine="709"/>
        <w:jc w:val="both"/>
        <w:rPr>
          <w:rFonts w:ascii="Verdana" w:eastAsia="Arial MT" w:hAnsi="Verdana" w:cs="Arial"/>
          <w:lang w:eastAsia="es-ES" w:bidi="es-ES"/>
        </w:rPr>
      </w:pPr>
    </w:p>
    <w:p w14:paraId="5E5BFEBE" w14:textId="77777777" w:rsidR="0005258F" w:rsidRDefault="0005258F" w:rsidP="0005258F">
      <w:pPr>
        <w:spacing w:after="120" w:line="276" w:lineRule="auto"/>
        <w:ind w:firstLine="708"/>
        <w:jc w:val="both"/>
        <w:rPr>
          <w:rFonts w:ascii="Verdana" w:hAnsi="Verdana"/>
        </w:rPr>
      </w:pPr>
      <w:r>
        <w:rPr>
          <w:rFonts w:ascii="Verdana" w:eastAsia="Arial MT" w:hAnsi="Verdana" w:cs="Arial"/>
          <w:lang w:eastAsia="es-ES" w:bidi="es-ES"/>
        </w:rPr>
        <w:t xml:space="preserve">En este contexto, para afectos de dar respuesta al problema </w:t>
      </w:r>
      <w:proofErr w:type="spellStart"/>
      <w:r>
        <w:rPr>
          <w:rFonts w:ascii="Verdana" w:eastAsia="Arial MT" w:hAnsi="Verdana" w:cs="Arial"/>
          <w:lang w:eastAsia="es-ES" w:bidi="es-ES"/>
        </w:rPr>
        <w:t>juridico</w:t>
      </w:r>
      <w:proofErr w:type="spellEnd"/>
      <w:r>
        <w:rPr>
          <w:rFonts w:ascii="Verdana" w:eastAsia="Arial MT" w:hAnsi="Verdana" w:cs="Arial"/>
          <w:lang w:eastAsia="es-ES" w:bidi="es-ES"/>
        </w:rPr>
        <w:t xml:space="preserve"> planteado y determinar el límite temporal para suscribir contratos en el marco de una declaratoria de conmoción interior, se </w:t>
      </w:r>
      <w:r>
        <w:rPr>
          <w:rFonts w:ascii="Verdana" w:hAnsi="Verdana"/>
        </w:rPr>
        <w:t>deben tener en cuenta los</w:t>
      </w:r>
      <w:r>
        <w:rPr>
          <w:rFonts w:ascii="Verdana" w:eastAsia="Arial MT" w:hAnsi="Verdana" w:cs="Arial"/>
          <w:lang w:eastAsia="es-ES" w:bidi="es-ES"/>
        </w:rPr>
        <w:t xml:space="preserve"> parámetros temporales que rigen la suscripción, ejecución y/o liquidación de los contratos en el marco de los estados de excepción. </w:t>
      </w:r>
    </w:p>
    <w:p w14:paraId="0A489EB6" w14:textId="77777777" w:rsidR="0005258F" w:rsidRDefault="0005258F" w:rsidP="0005258F">
      <w:pPr>
        <w:spacing w:after="120" w:line="276" w:lineRule="auto"/>
        <w:ind w:firstLine="708"/>
        <w:jc w:val="both"/>
        <w:rPr>
          <w:rFonts w:ascii="Verdana" w:hAnsi="Verdana"/>
        </w:rPr>
      </w:pPr>
      <w:r>
        <w:rPr>
          <w:rFonts w:ascii="Verdana" w:hAnsi="Verdana"/>
        </w:rPr>
        <w:t>En primer lugar, la Corte Constitucional ha determinado</w:t>
      </w:r>
      <w:r>
        <w:rPr>
          <w:rFonts w:ascii="Verdana" w:eastAsia="Arial MT" w:hAnsi="Verdana" w:cs="Arial"/>
          <w:lang w:eastAsia="es-ES" w:bidi="es-ES"/>
        </w:rPr>
        <w:t xml:space="preserve"> que uno de los requisitos formales necesarios para la declaratoria de los estados de conmoción interior</w:t>
      </w:r>
      <w:r>
        <w:rPr>
          <w:rFonts w:ascii="Verdana" w:hAnsi="Verdana"/>
        </w:rPr>
        <w:t xml:space="preserve"> es que el gobierno nacional fije de manera expresa y clara el ámbito temporal o término de duración. Este parámetro responde a lo señalado en los artículos 213 </w:t>
      </w:r>
      <w:r>
        <w:rPr>
          <w:rFonts w:ascii="Verdana" w:eastAsia="Arial MT" w:hAnsi="Verdana" w:cs="Arial"/>
          <w:lang w:eastAsia="es-ES" w:bidi="es-ES"/>
        </w:rPr>
        <w:t>y 214 de la Constitución Política de 1991</w:t>
      </w:r>
      <w:r>
        <w:rPr>
          <w:rStyle w:val="Refdenotaalpie"/>
          <w:rFonts w:ascii="Verdana" w:eastAsia="Arial MT" w:hAnsi="Verdana" w:cs="Arial"/>
          <w:lang w:eastAsia="es-ES" w:bidi="es-ES"/>
        </w:rPr>
        <w:footnoteReference w:id="13"/>
      </w:r>
      <w:r>
        <w:rPr>
          <w:rFonts w:ascii="Verdana" w:eastAsia="Arial MT" w:hAnsi="Verdana" w:cs="Arial"/>
          <w:lang w:eastAsia="es-ES" w:bidi="es-ES"/>
        </w:rPr>
        <w:t>,</w:t>
      </w:r>
      <w:r>
        <w:rPr>
          <w:rFonts w:ascii="Arial" w:hAnsi="Arial" w:cs="Arial"/>
          <w:color w:val="000000"/>
          <w:sz w:val="21"/>
          <w:szCs w:val="21"/>
        </w:rPr>
        <w:t xml:space="preserve"> </w:t>
      </w:r>
      <w:r>
        <w:rPr>
          <w:rFonts w:ascii="Verdana" w:hAnsi="Verdana"/>
        </w:rPr>
        <w:t xml:space="preserve">a lo dispuesto en la Ley </w:t>
      </w:r>
      <w:r>
        <w:rPr>
          <w:rFonts w:ascii="Verdana" w:hAnsi="Verdana"/>
        </w:rPr>
        <w:lastRenderedPageBreak/>
        <w:t xml:space="preserve">137 de 1994 -Estatutaria de los Estados de Excepción-, así como por los tratados internacionales en materia de derechos humanos que prohíben su limitación en los estados de excepción. </w:t>
      </w:r>
    </w:p>
    <w:p w14:paraId="1EFD5DDF" w14:textId="77777777" w:rsidR="0005258F" w:rsidRDefault="0005258F" w:rsidP="0005258F">
      <w:pPr>
        <w:spacing w:after="120" w:line="276" w:lineRule="auto"/>
        <w:ind w:firstLine="708"/>
        <w:jc w:val="both"/>
        <w:rPr>
          <w:rFonts w:ascii="Verdana" w:eastAsia="Arial MT" w:hAnsi="Verdana" w:cs="Arial"/>
          <w:lang w:eastAsia="es-ES" w:bidi="es-ES"/>
        </w:rPr>
      </w:pPr>
      <w:r>
        <w:rPr>
          <w:rFonts w:ascii="Verdana" w:eastAsia="Arial MT" w:hAnsi="Verdana" w:cs="Arial"/>
          <w:lang w:eastAsia="es-ES" w:bidi="es-ES"/>
        </w:rPr>
        <w:t xml:space="preserve">En efecto, en virtud del artículo 1 del Decreto 62 de 2025, el gobierno nacional declaró el estado de conmoción interior en la región del Catatumbo por el término de noventa (90) días contados a partir de la </w:t>
      </w:r>
      <w:proofErr w:type="gramStart"/>
      <w:r>
        <w:rPr>
          <w:rFonts w:ascii="Verdana" w:eastAsia="Arial MT" w:hAnsi="Verdana" w:cs="Arial"/>
          <w:lang w:eastAsia="es-ES" w:bidi="es-ES"/>
        </w:rPr>
        <w:t>entrada en vigencia</w:t>
      </w:r>
      <w:proofErr w:type="gramEnd"/>
      <w:r>
        <w:rPr>
          <w:rFonts w:ascii="Verdana" w:eastAsia="Arial MT" w:hAnsi="Verdana" w:cs="Arial"/>
          <w:lang w:eastAsia="es-ES" w:bidi="es-ES"/>
        </w:rPr>
        <w:t>, esto es, a partir del 24 de enero de 2025. Cumplido este término, expidió el Decreto 0467 del 23 de abril del 2025 “</w:t>
      </w:r>
      <w:r>
        <w:rPr>
          <w:rFonts w:ascii="Verdana" w:eastAsia="Arial MT" w:hAnsi="Verdana" w:cs="Arial"/>
          <w:i/>
          <w:iCs/>
          <w:lang w:eastAsia="es-ES" w:bidi="es-ES"/>
        </w:rPr>
        <w:t>P</w:t>
      </w:r>
      <w:r>
        <w:rPr>
          <w:rFonts w:ascii="Verdana" w:eastAsia="Arial MT" w:hAnsi="Verdana" w:cs="Arial"/>
          <w:i/>
          <w:lang w:eastAsia="es-ES" w:bidi="es-ES"/>
        </w:rPr>
        <w:t xml:space="preserve">or el cual se levanta el Estado de </w:t>
      </w:r>
      <w:proofErr w:type="spellStart"/>
      <w:r>
        <w:rPr>
          <w:rFonts w:ascii="Verdana" w:eastAsia="Arial MT" w:hAnsi="Verdana" w:cs="Arial"/>
          <w:i/>
          <w:lang w:eastAsia="es-ES" w:bidi="es-ES"/>
        </w:rPr>
        <w:t>Conmoción</w:t>
      </w:r>
      <w:proofErr w:type="spellEnd"/>
      <w:r>
        <w:rPr>
          <w:rFonts w:ascii="Verdana" w:eastAsia="Arial MT" w:hAnsi="Verdana" w:cs="Arial"/>
          <w:i/>
          <w:lang w:eastAsia="es-ES" w:bidi="es-ES"/>
        </w:rPr>
        <w:t xml:space="preserve"> Interior declarado en la </w:t>
      </w:r>
      <w:proofErr w:type="spellStart"/>
      <w:r>
        <w:rPr>
          <w:rFonts w:ascii="Verdana" w:eastAsia="Arial MT" w:hAnsi="Verdana" w:cs="Arial"/>
          <w:i/>
          <w:lang w:eastAsia="es-ES" w:bidi="es-ES"/>
        </w:rPr>
        <w:t>región</w:t>
      </w:r>
      <w:proofErr w:type="spellEnd"/>
      <w:r>
        <w:rPr>
          <w:rFonts w:ascii="Verdana" w:eastAsia="Arial MT" w:hAnsi="Verdana" w:cs="Arial"/>
          <w:i/>
          <w:lang w:eastAsia="es-ES" w:bidi="es-ES"/>
        </w:rPr>
        <w:t xml:space="preserve"> del Catatumbo, los municipios del </w:t>
      </w:r>
      <w:proofErr w:type="spellStart"/>
      <w:r>
        <w:rPr>
          <w:rFonts w:ascii="Verdana" w:eastAsia="Arial MT" w:hAnsi="Verdana" w:cs="Arial"/>
          <w:i/>
          <w:lang w:eastAsia="es-ES" w:bidi="es-ES"/>
        </w:rPr>
        <w:t>área</w:t>
      </w:r>
      <w:proofErr w:type="spellEnd"/>
      <w:r>
        <w:rPr>
          <w:rFonts w:ascii="Verdana" w:eastAsia="Arial MT" w:hAnsi="Verdana" w:cs="Arial"/>
          <w:i/>
          <w:lang w:eastAsia="es-ES" w:bidi="es-ES"/>
        </w:rPr>
        <w:t xml:space="preserve"> metropolitana de </w:t>
      </w:r>
      <w:proofErr w:type="spellStart"/>
      <w:r>
        <w:rPr>
          <w:rFonts w:ascii="Verdana" w:eastAsia="Arial MT" w:hAnsi="Verdana" w:cs="Arial"/>
          <w:i/>
          <w:lang w:eastAsia="es-ES" w:bidi="es-ES"/>
        </w:rPr>
        <w:t>Cúcuta</w:t>
      </w:r>
      <w:proofErr w:type="spellEnd"/>
      <w:r>
        <w:rPr>
          <w:rFonts w:ascii="Verdana" w:eastAsia="Arial MT" w:hAnsi="Verdana" w:cs="Arial"/>
          <w:i/>
          <w:lang w:eastAsia="es-ES" w:bidi="es-ES"/>
        </w:rPr>
        <w:t xml:space="preserve"> y los municipios de </w:t>
      </w:r>
      <w:proofErr w:type="spellStart"/>
      <w:r>
        <w:rPr>
          <w:rFonts w:ascii="Verdana" w:eastAsia="Arial MT" w:hAnsi="Verdana" w:cs="Arial"/>
          <w:i/>
          <w:lang w:eastAsia="es-ES" w:bidi="es-ES"/>
        </w:rPr>
        <w:t>Río</w:t>
      </w:r>
      <w:proofErr w:type="spellEnd"/>
      <w:r>
        <w:rPr>
          <w:rFonts w:ascii="Verdana" w:eastAsia="Arial MT" w:hAnsi="Verdana" w:cs="Arial"/>
          <w:i/>
          <w:lang w:eastAsia="es-ES" w:bidi="es-ES"/>
        </w:rPr>
        <w:t xml:space="preserve"> de Oro y </w:t>
      </w:r>
      <w:proofErr w:type="spellStart"/>
      <w:r>
        <w:rPr>
          <w:rFonts w:ascii="Verdana" w:eastAsia="Arial MT" w:hAnsi="Verdana" w:cs="Arial"/>
          <w:i/>
          <w:lang w:eastAsia="es-ES" w:bidi="es-ES"/>
        </w:rPr>
        <w:t>González</w:t>
      </w:r>
      <w:proofErr w:type="spellEnd"/>
      <w:r>
        <w:rPr>
          <w:rFonts w:ascii="Verdana" w:eastAsia="Arial MT" w:hAnsi="Verdana" w:cs="Arial"/>
          <w:i/>
          <w:lang w:eastAsia="es-ES" w:bidi="es-ES"/>
        </w:rPr>
        <w:t xml:space="preserve"> del departamento del Cesar y se prorroga la vigencia de unas disposiciones</w:t>
      </w:r>
      <w:r>
        <w:rPr>
          <w:rFonts w:ascii="Verdana" w:eastAsia="Arial MT" w:hAnsi="Verdana" w:cs="Arial"/>
          <w:lang w:eastAsia="es-ES" w:bidi="es-ES"/>
        </w:rPr>
        <w:t>”, cuyo artículo 1 levantó el estado de conmoción interior a partir del 24 de abril de 2025.</w:t>
      </w:r>
    </w:p>
    <w:p w14:paraId="7906FEDD" w14:textId="77777777" w:rsidR="0005258F" w:rsidRDefault="0005258F" w:rsidP="0005258F">
      <w:pPr>
        <w:spacing w:after="120" w:line="276" w:lineRule="auto"/>
        <w:ind w:firstLine="708"/>
        <w:jc w:val="both"/>
        <w:rPr>
          <w:rFonts w:ascii="Verdana" w:hAnsi="Verdana"/>
        </w:rPr>
      </w:pPr>
      <w:r>
        <w:rPr>
          <w:rFonts w:ascii="Verdana" w:eastAsia="Arial MT" w:hAnsi="Verdana" w:cs="Arial"/>
          <w:lang w:eastAsia="es-ES" w:bidi="es-ES"/>
        </w:rPr>
        <w:t>Lo anterior implica que los contratos derivados de la declaratoria, que tienen el objeto de</w:t>
      </w:r>
      <w:r>
        <w:rPr>
          <w:rFonts w:ascii="Verdana" w:hAnsi="Verdana"/>
        </w:rPr>
        <w:t xml:space="preserve"> conjurar la perturbación del orden público e impedir la extensión de sus efectos, solo podían </w:t>
      </w:r>
      <w:r>
        <w:rPr>
          <w:rFonts w:ascii="Verdana" w:hAnsi="Verdana"/>
          <w:i/>
          <w:iCs/>
        </w:rPr>
        <w:t>celebrarse</w:t>
      </w:r>
      <w:r>
        <w:rPr>
          <w:rFonts w:ascii="Verdana" w:hAnsi="Verdana"/>
        </w:rPr>
        <w:t xml:space="preserve"> durante el término de los noventa (90) días por los cuales se extendió el estado de conmoción. Esto sin perjuicio de aquellos que se entiendan enmarcados en la prórroga de noventa (90) días calendario que el artículo segundo del Decreto 0467 dispuso frente a la vigencia de los decretos legislativos 106, 107, 108, 117, 118, 120, 121, 134, 137, 180 y 433 de 2025.</w:t>
      </w:r>
    </w:p>
    <w:p w14:paraId="1C6C4FBC" w14:textId="77777777" w:rsidR="0005258F" w:rsidRDefault="0005258F" w:rsidP="0005258F">
      <w:pPr>
        <w:spacing w:after="120" w:line="276" w:lineRule="auto"/>
        <w:ind w:firstLine="708"/>
        <w:jc w:val="both"/>
        <w:rPr>
          <w:rFonts w:ascii="Verdana" w:hAnsi="Verdana"/>
        </w:rPr>
      </w:pPr>
      <w:r>
        <w:rPr>
          <w:rFonts w:ascii="Verdana" w:hAnsi="Verdana"/>
        </w:rPr>
        <w:t xml:space="preserve">En consecuencia, las entidades estatales llamadas a hacerle frente a la situación de conmoción solo pueden </w:t>
      </w:r>
      <w:r>
        <w:rPr>
          <w:rFonts w:ascii="Verdana" w:hAnsi="Verdana"/>
          <w:i/>
          <w:iCs/>
        </w:rPr>
        <w:t>adjudicar y suscribir</w:t>
      </w:r>
      <w:r>
        <w:rPr>
          <w:rFonts w:ascii="Verdana" w:hAnsi="Verdana"/>
        </w:rPr>
        <w:t xml:space="preserve"> contratos estatales </w:t>
      </w:r>
      <w:r>
        <w:rPr>
          <w:rFonts w:ascii="Verdana" w:eastAsia="Arial MT" w:hAnsi="Verdana" w:cs="Arial"/>
          <w:lang w:val="es-ES" w:eastAsia="es-ES" w:bidi="es-ES"/>
        </w:rPr>
        <w:t xml:space="preserve">que tengan por objeto </w:t>
      </w:r>
      <w:r>
        <w:rPr>
          <w:rFonts w:ascii="Verdana" w:hAnsi="Verdana"/>
        </w:rPr>
        <w:t>conjurar la perturbación del orden público e impedir la extensión de sus efectos dentro del término de los noventa (90) días en los cuales estuvo vigente la declaratoria aludida, según lo dispuesto en los artículos 1 y 2 del Decreto 62 del 2025. Lo anterior, sin perjuicio de que se trate de algún aspecto particular al cual sea aplicable la prórroga de vigencia dispuesta en el artículo 2 del Decreto 0467 de 2025, caso en el cual los contratos deberán ser adjudicados o suscritos en este término adicional. Esto es concordante con lo señalado en el Decreto 62 de 2025, pues demanda de las entidades estatales presentes en la región que adopten medidas extraordinarias en la ejecución presupuestal a través de la gestión de contratos que permitan la garantía de la estabilidad institucional, refuercen la seguridad del Estado, y promuevan la convivencia ciudadana, de manera ágil, eficaz y transparente.</w:t>
      </w:r>
    </w:p>
    <w:p w14:paraId="023BA50F" w14:textId="77777777" w:rsidR="0005258F" w:rsidRDefault="0005258F" w:rsidP="0005258F">
      <w:pPr>
        <w:spacing w:after="120" w:line="276" w:lineRule="auto"/>
        <w:ind w:firstLine="708"/>
        <w:jc w:val="both"/>
        <w:rPr>
          <w:rFonts w:ascii="Verdana" w:hAnsi="Verdana"/>
        </w:rPr>
      </w:pPr>
      <w:r>
        <w:rPr>
          <w:rFonts w:ascii="Verdana" w:hAnsi="Verdana"/>
        </w:rPr>
        <w:lastRenderedPageBreak/>
        <w:t xml:space="preserve">En segundo lugar, en aras de atender la situación de orden público, las entidades estatales deben observar todas aquellas reglas y requisitos, condiciones y procedimientos legales aplicables en los tramites de convocatoria, aprobación y distribución de recursos que impidan su uso inmediato y que hagan parte del Sistema General de Participaciones y del Sistema General de Regalías asignados para la presente vigencia fiscal. No </w:t>
      </w:r>
      <w:proofErr w:type="gramStart"/>
      <w:r>
        <w:rPr>
          <w:rFonts w:ascii="Verdana" w:hAnsi="Verdana"/>
        </w:rPr>
        <w:t>obstante</w:t>
      </w:r>
      <w:proofErr w:type="gramEnd"/>
      <w:r>
        <w:rPr>
          <w:rFonts w:ascii="Verdana" w:hAnsi="Verdana"/>
        </w:rPr>
        <w:t xml:space="preserve"> lo anterior, es importante aclarar que esta Agencia no tiene competencia para abordar inquietudes que puedan surgir en materia presupuestal, y será necesario que sean presentadas ante las autoridades competentes en la materia, como las contralorías regionales, la Contraloría General de la República, el Ministerio de Hacienda y Crédito Público, y cualquier otra que tenga facultad para pronunciarse en ese ámbito complementario de la gestión contractual.</w:t>
      </w:r>
    </w:p>
    <w:p w14:paraId="4537E80C" w14:textId="77777777" w:rsidR="0005258F" w:rsidRDefault="0005258F" w:rsidP="0005258F">
      <w:pPr>
        <w:spacing w:after="120" w:line="276" w:lineRule="auto"/>
        <w:ind w:firstLine="708"/>
        <w:jc w:val="both"/>
        <w:rPr>
          <w:rFonts w:ascii="Verdana" w:hAnsi="Verdana"/>
        </w:rPr>
      </w:pPr>
      <w:r>
        <w:rPr>
          <w:rFonts w:ascii="Verdana" w:hAnsi="Verdana"/>
        </w:rPr>
        <w:t>En tercer lugar, es</w:t>
      </w:r>
      <w:r>
        <w:rPr>
          <w:rFonts w:ascii="Verdana" w:eastAsia="Arial MT" w:hAnsi="Verdana" w:cs="Arial"/>
          <w:sz w:val="21"/>
          <w:szCs w:val="21"/>
          <w:lang w:eastAsia="es-ES" w:bidi="es-ES"/>
        </w:rPr>
        <w:t xml:space="preserve"> </w:t>
      </w:r>
      <w:r>
        <w:rPr>
          <w:rFonts w:ascii="Verdana" w:hAnsi="Verdana"/>
        </w:rPr>
        <w:t xml:space="preserve">posible que la ejecución y liquidación de los contratos celebrados dentro de la vigencia del estado de conmoción se extiendan fuera del término para este señalado. Esto puede ocurrir porque las actividades pactadas en el contrato impliquen que su ejecución se prolongue más allá del término de los noventa (90) días, o porque el corte de cuentas entre las partes contratantes, que se efectúa a través de la liquidación, necesariamente debe ocurrir una vez se hayan cumplido o ejecutado las obligaciones del contrato, lo que puede ser posterior al término de la declaratoria. </w:t>
      </w:r>
    </w:p>
    <w:p w14:paraId="0CCDE5AA" w14:textId="77777777" w:rsidR="0005258F" w:rsidRDefault="0005258F" w:rsidP="0005258F">
      <w:pPr>
        <w:spacing w:after="120" w:line="276" w:lineRule="auto"/>
        <w:ind w:firstLine="708"/>
        <w:jc w:val="both"/>
        <w:rPr>
          <w:rFonts w:ascii="Verdana" w:eastAsia="Arial MT" w:hAnsi="Verdana" w:cs="Arial"/>
          <w:lang w:eastAsia="es-ES" w:bidi="es-ES"/>
        </w:rPr>
      </w:pPr>
      <w:r>
        <w:rPr>
          <w:rFonts w:ascii="Verdana" w:hAnsi="Verdana"/>
        </w:rPr>
        <w:t xml:space="preserve">En consecuencia, se concluye que el límite para que las entidades </w:t>
      </w:r>
      <w:r>
        <w:rPr>
          <w:rFonts w:ascii="Verdana" w:hAnsi="Verdana"/>
          <w:i/>
          <w:iCs/>
        </w:rPr>
        <w:t>suscriban</w:t>
      </w:r>
      <w:r>
        <w:rPr>
          <w:rFonts w:ascii="Verdana" w:hAnsi="Verdana"/>
        </w:rPr>
        <w:t xml:space="preserve"> estos contratos será el término que fije la declaratoria del estado de conmoción interior, que en este caso fue de</w:t>
      </w:r>
      <w:r>
        <w:rPr>
          <w:rFonts w:ascii="Verdana" w:eastAsia="Arial MT" w:hAnsi="Verdana" w:cs="Arial"/>
          <w:lang w:eastAsia="es-ES" w:bidi="es-ES"/>
        </w:rPr>
        <w:t xml:space="preserve"> noventa (90) días </w:t>
      </w:r>
      <w:r>
        <w:rPr>
          <w:rFonts w:ascii="Verdana" w:hAnsi="Verdana"/>
        </w:rPr>
        <w:t xml:space="preserve">según el </w:t>
      </w:r>
      <w:r>
        <w:rPr>
          <w:rFonts w:ascii="Verdana" w:eastAsia="Arial MT" w:hAnsi="Verdana" w:cs="Arial"/>
          <w:lang w:eastAsia="es-ES" w:bidi="es-ES"/>
        </w:rPr>
        <w:t xml:space="preserve">Decreto 62 de 2025, esto es, hasta el 24 de abril de 2025. Esto no significa que las fases de </w:t>
      </w:r>
      <w:r>
        <w:rPr>
          <w:rFonts w:ascii="Verdana" w:eastAsia="Arial MT" w:hAnsi="Verdana" w:cs="Arial"/>
          <w:i/>
          <w:iCs/>
          <w:lang w:eastAsia="es-ES" w:bidi="es-ES"/>
        </w:rPr>
        <w:t>ejecución y liquidación</w:t>
      </w:r>
      <w:r>
        <w:rPr>
          <w:rFonts w:ascii="Verdana" w:eastAsia="Arial MT" w:hAnsi="Verdana" w:cs="Arial"/>
          <w:lang w:eastAsia="es-ES" w:bidi="es-ES"/>
        </w:rPr>
        <w:t xml:space="preserve"> de los contratos suscritos </w:t>
      </w:r>
      <w:r>
        <w:rPr>
          <w:rFonts w:ascii="Verdana" w:hAnsi="Verdana"/>
        </w:rPr>
        <w:t>no puedan superar este término, pues esto puede ocurrir cuando sea necesario para cumplir con el objeto contractual, y en atención a la necesidad de morigerar los efectos que dieron lugar a la declaratoria.</w:t>
      </w:r>
      <w:r w:rsidRPr="0076120F">
        <w:rPr>
          <w:rFonts w:ascii="Verdana" w:eastAsia="Arial MT" w:hAnsi="Verdana" w:cs="Arial"/>
          <w:lang w:eastAsia="es-ES" w:bidi="es-ES"/>
        </w:rPr>
        <w:t xml:space="preserve"> </w:t>
      </w:r>
      <w:r w:rsidRPr="00762E8F">
        <w:rPr>
          <w:rFonts w:ascii="Verdana" w:eastAsia="Arial MT" w:hAnsi="Verdana" w:cs="Arial"/>
          <w:lang w:eastAsia="es-ES" w:bidi="es-ES"/>
        </w:rPr>
        <w:t xml:space="preserve">Una vez finalizado el estado de </w:t>
      </w:r>
      <w:r>
        <w:rPr>
          <w:rFonts w:ascii="Verdana" w:eastAsia="Arial MT" w:hAnsi="Verdana" w:cs="Arial"/>
          <w:lang w:eastAsia="es-ES" w:bidi="es-ES"/>
        </w:rPr>
        <w:t>conmoción interior</w:t>
      </w:r>
      <w:r w:rsidRPr="00762E8F">
        <w:rPr>
          <w:rFonts w:ascii="Verdana" w:eastAsia="Arial MT" w:hAnsi="Verdana" w:cs="Arial"/>
          <w:lang w:eastAsia="es-ES" w:bidi="es-ES"/>
        </w:rPr>
        <w:t xml:space="preserve">, </w:t>
      </w:r>
      <w:r>
        <w:rPr>
          <w:rFonts w:ascii="Verdana" w:eastAsia="Arial MT" w:hAnsi="Verdana" w:cs="Arial"/>
          <w:lang w:eastAsia="es-ES" w:bidi="es-ES"/>
        </w:rPr>
        <w:t xml:space="preserve">cesa la facultad de celebrar contratos bajo esta causal por lo que </w:t>
      </w:r>
      <w:r w:rsidRPr="00C04C47">
        <w:rPr>
          <w:rFonts w:ascii="Verdana" w:eastAsia="Arial MT" w:hAnsi="Verdana" w:cs="Arial"/>
          <w:lang w:eastAsia="es-ES" w:bidi="es-ES"/>
        </w:rPr>
        <w:t>corresponde a la entidad evaluar la necesidad de su celebración y, de mantenerse vigente dicha necesidad, adelantar el proceso de contratación conforme a las modalidades previstas en el Estatuto General de Contratación de la Administración Pública (EGCAP)</w:t>
      </w:r>
      <w:r>
        <w:rPr>
          <w:rFonts w:ascii="Verdana" w:eastAsia="Arial MT" w:hAnsi="Verdana" w:cs="Arial"/>
          <w:lang w:eastAsia="es-ES" w:bidi="es-ES"/>
        </w:rPr>
        <w:t>, y determinar los aspectos presupuestales respectivos en relación con las partidas ya apropiadas.</w:t>
      </w:r>
    </w:p>
    <w:p w14:paraId="51F051F2" w14:textId="77777777" w:rsidR="0005258F" w:rsidRDefault="0005258F" w:rsidP="0005258F">
      <w:pPr>
        <w:spacing w:after="120" w:line="276" w:lineRule="auto"/>
        <w:ind w:firstLine="709"/>
        <w:jc w:val="both"/>
        <w:rPr>
          <w:rFonts w:ascii="Verdana" w:hAnsi="Verdana"/>
        </w:rPr>
      </w:pPr>
    </w:p>
    <w:p w14:paraId="0B848AAF" w14:textId="77777777" w:rsidR="0005258F" w:rsidRPr="00593A5F" w:rsidRDefault="0005258F" w:rsidP="0005258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p>
    <w:p w14:paraId="76C8FFE9" w14:textId="77777777" w:rsidR="0005258F" w:rsidRPr="00593A5F" w:rsidRDefault="0005258F" w:rsidP="0005258F">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05258F" w:rsidRPr="002407CE" w14:paraId="0BC1A2A0" w14:textId="77777777" w:rsidTr="00C368B4">
        <w:trPr>
          <w:trHeight w:val="870"/>
          <w:jc w:val="center"/>
        </w:trPr>
        <w:tc>
          <w:tcPr>
            <w:tcW w:w="8647" w:type="dxa"/>
          </w:tcPr>
          <w:p w14:paraId="180E9185" w14:textId="77777777" w:rsidR="0005258F" w:rsidRPr="00F82E29" w:rsidRDefault="0005258F" w:rsidP="0005258F">
            <w:pPr>
              <w:pStyle w:val="Prrafodelista"/>
              <w:numPr>
                <w:ilvl w:val="0"/>
                <w:numId w:val="20"/>
              </w:numPr>
              <w:spacing w:line="259" w:lineRule="auto"/>
              <w:ind w:left="318" w:hanging="284"/>
              <w:contextualSpacing w:val="0"/>
              <w:jc w:val="both"/>
              <w:rPr>
                <w:rFonts w:ascii="Verdana" w:eastAsia="Calibri" w:hAnsi="Verdana" w:cs="Arial"/>
                <w:color w:val="000000"/>
                <w:lang w:eastAsia="es-ES"/>
              </w:rPr>
            </w:pPr>
            <w:r w:rsidRPr="00F82E29">
              <w:rPr>
                <w:rFonts w:ascii="Verdana" w:eastAsia="Arial MT" w:hAnsi="Verdana" w:cs="Arial"/>
                <w:lang w:eastAsia="es-ES" w:bidi="es-ES"/>
              </w:rPr>
              <w:t>Constitución Política de 1991</w:t>
            </w:r>
            <w:r>
              <w:rPr>
                <w:rFonts w:ascii="Verdana" w:eastAsia="Arial MT" w:hAnsi="Verdana" w:cs="Arial"/>
                <w:lang w:eastAsia="es-ES" w:bidi="es-ES"/>
              </w:rPr>
              <w:t>, artículos 213, 214 y 215</w:t>
            </w:r>
          </w:p>
          <w:p w14:paraId="01F1692C" w14:textId="77777777" w:rsidR="0005258F" w:rsidRDefault="0005258F" w:rsidP="0005258F">
            <w:pPr>
              <w:pStyle w:val="Prrafodelista"/>
              <w:numPr>
                <w:ilvl w:val="0"/>
                <w:numId w:val="20"/>
              </w:numPr>
              <w:spacing w:line="259" w:lineRule="auto"/>
              <w:ind w:left="318" w:hanging="284"/>
              <w:contextualSpacing w:val="0"/>
              <w:jc w:val="both"/>
              <w:rPr>
                <w:rFonts w:ascii="Verdana" w:eastAsia="Calibri" w:hAnsi="Verdana" w:cs="Arial"/>
                <w:color w:val="000000"/>
                <w:lang w:eastAsia="es-ES"/>
              </w:rPr>
            </w:pPr>
            <w:r w:rsidRPr="00C97020">
              <w:rPr>
                <w:rFonts w:ascii="Verdana" w:eastAsia="Calibri" w:hAnsi="Verdana" w:cs="Arial"/>
                <w:color w:val="000000"/>
                <w:lang w:eastAsia="es-ES"/>
              </w:rPr>
              <w:t>Ley 137 de 1994 -Estatutaria de los Estados de Excepción-</w:t>
            </w:r>
          </w:p>
          <w:p w14:paraId="255C65E6" w14:textId="156E7BC9" w:rsidR="0005258F" w:rsidRDefault="0005258F" w:rsidP="0005258F">
            <w:pPr>
              <w:pStyle w:val="Prrafodelista"/>
              <w:numPr>
                <w:ilvl w:val="0"/>
                <w:numId w:val="20"/>
              </w:numPr>
              <w:ind w:left="318" w:hanging="284"/>
              <w:contextualSpacing w:val="0"/>
              <w:jc w:val="both"/>
              <w:rPr>
                <w:rFonts w:ascii="Verdana" w:eastAsia="Calibri" w:hAnsi="Verdana" w:cs="Arial"/>
                <w:lang w:val="es-ES_tradnl"/>
              </w:rPr>
            </w:pPr>
            <w:r w:rsidRPr="00BE5FE3">
              <w:rPr>
                <w:rFonts w:ascii="Verdana" w:eastAsia="Calibri" w:hAnsi="Verdana" w:cs="Arial"/>
                <w:lang w:val="es-ES_tradnl"/>
              </w:rPr>
              <w:t>Decreto</w:t>
            </w:r>
            <w:r w:rsidR="008A422C">
              <w:rPr>
                <w:rFonts w:ascii="Verdana" w:eastAsia="Calibri" w:hAnsi="Verdana" w:cs="Arial"/>
                <w:lang w:val="es-ES_tradnl"/>
              </w:rPr>
              <w:t xml:space="preserve"> </w:t>
            </w:r>
            <w:r w:rsidRPr="00BE5FE3">
              <w:rPr>
                <w:rFonts w:ascii="Verdana" w:eastAsia="Calibri" w:hAnsi="Verdana" w:cs="Arial"/>
                <w:lang w:val="es-ES_tradnl"/>
              </w:rPr>
              <w:t>-</w:t>
            </w:r>
            <w:r w:rsidR="008A422C">
              <w:rPr>
                <w:rFonts w:ascii="Verdana" w:eastAsia="Calibri" w:hAnsi="Verdana" w:cs="Arial"/>
                <w:lang w:val="es-ES_tradnl"/>
              </w:rPr>
              <w:t xml:space="preserve"> </w:t>
            </w:r>
            <w:r w:rsidRPr="00BE5FE3">
              <w:rPr>
                <w:rFonts w:ascii="Verdana" w:eastAsia="Calibri" w:hAnsi="Verdana" w:cs="Arial"/>
                <w:lang w:val="es-ES_tradnl"/>
              </w:rPr>
              <w:t>Ley 222 de 1983</w:t>
            </w:r>
            <w:r>
              <w:rPr>
                <w:rFonts w:ascii="Verdana" w:eastAsia="Calibri" w:hAnsi="Verdana" w:cs="Arial"/>
                <w:lang w:val="es-ES_tradnl"/>
              </w:rPr>
              <w:t xml:space="preserve">, </w:t>
            </w:r>
            <w:r w:rsidRPr="00882A41">
              <w:rPr>
                <w:rFonts w:ascii="Verdana" w:eastAsia="Calibri" w:hAnsi="Verdana" w:cs="Arial"/>
                <w:lang w:val="es-ES_tradnl"/>
              </w:rPr>
              <w:t>artículo 43.16</w:t>
            </w:r>
          </w:p>
          <w:p w14:paraId="64BDE2C6" w14:textId="77777777" w:rsidR="0005258F" w:rsidRPr="0043496E" w:rsidRDefault="0005258F" w:rsidP="0005258F">
            <w:pPr>
              <w:pStyle w:val="Prrafodelista"/>
              <w:numPr>
                <w:ilvl w:val="0"/>
                <w:numId w:val="20"/>
              </w:numPr>
              <w:spacing w:line="259" w:lineRule="auto"/>
              <w:ind w:left="318" w:hanging="284"/>
              <w:contextualSpacing w:val="0"/>
              <w:jc w:val="both"/>
              <w:rPr>
                <w:rFonts w:ascii="Verdana" w:eastAsia="Calibri" w:hAnsi="Verdana" w:cs="Arial"/>
                <w:color w:val="000000"/>
                <w:lang w:eastAsia="es-ES"/>
              </w:rPr>
            </w:pPr>
            <w:r w:rsidRPr="00BE5FE3">
              <w:rPr>
                <w:rFonts w:ascii="Verdana" w:eastAsia="Calibri" w:hAnsi="Verdana" w:cs="Arial"/>
                <w:lang w:val="es-ES_tradnl"/>
              </w:rPr>
              <w:t>Ley 80 de 1993</w:t>
            </w:r>
            <w:r>
              <w:rPr>
                <w:rFonts w:ascii="Verdana" w:eastAsia="Calibri" w:hAnsi="Verdana" w:cs="Arial"/>
                <w:lang w:val="es-ES_tradnl"/>
              </w:rPr>
              <w:t xml:space="preserve">, </w:t>
            </w:r>
            <w:r w:rsidRPr="00BE5FE3">
              <w:rPr>
                <w:rFonts w:ascii="Verdana" w:eastAsia="Calibri" w:hAnsi="Verdana" w:cs="Arial"/>
                <w:lang w:val="es-ES_tradnl"/>
              </w:rPr>
              <w:t>artículos</w:t>
            </w:r>
            <w:r>
              <w:rPr>
                <w:rFonts w:ascii="Verdana" w:eastAsia="Calibri" w:hAnsi="Verdana" w:cs="Arial"/>
                <w:lang w:val="es-ES_tradnl"/>
              </w:rPr>
              <w:t xml:space="preserve"> 3, </w:t>
            </w:r>
            <w:r w:rsidRPr="00BE5FE3">
              <w:rPr>
                <w:rFonts w:ascii="Verdana" w:eastAsia="Calibri" w:hAnsi="Verdana" w:cs="Arial"/>
                <w:lang w:val="es-ES_tradnl"/>
              </w:rPr>
              <w:t>11</w:t>
            </w:r>
            <w:r>
              <w:rPr>
                <w:rFonts w:ascii="Verdana" w:eastAsia="Calibri" w:hAnsi="Verdana" w:cs="Arial"/>
                <w:lang w:val="es-ES_tradnl"/>
              </w:rPr>
              <w:t>,</w:t>
            </w:r>
            <w:r w:rsidRPr="00BE5FE3">
              <w:rPr>
                <w:rFonts w:ascii="Verdana" w:eastAsia="Calibri" w:hAnsi="Verdana" w:cs="Arial"/>
                <w:lang w:val="es-ES_tradnl"/>
              </w:rPr>
              <w:t xml:space="preserve"> 12</w:t>
            </w:r>
            <w:r>
              <w:rPr>
                <w:rFonts w:ascii="Verdana" w:eastAsia="Calibri" w:hAnsi="Verdana" w:cs="Arial"/>
                <w:lang w:val="es-ES_tradnl"/>
              </w:rPr>
              <w:t>, 40 y 42</w:t>
            </w:r>
          </w:p>
          <w:p w14:paraId="63B1BBF1" w14:textId="77777777" w:rsidR="0005258F" w:rsidRDefault="0005258F" w:rsidP="0005258F">
            <w:pPr>
              <w:pStyle w:val="Prrafodelista"/>
              <w:numPr>
                <w:ilvl w:val="0"/>
                <w:numId w:val="20"/>
              </w:numPr>
              <w:spacing w:line="259" w:lineRule="auto"/>
              <w:ind w:left="318" w:hanging="284"/>
              <w:contextualSpacing w:val="0"/>
              <w:jc w:val="both"/>
              <w:rPr>
                <w:rFonts w:ascii="Verdana" w:eastAsia="Calibri" w:hAnsi="Verdana" w:cs="Arial"/>
                <w:color w:val="000000"/>
                <w:lang w:eastAsia="es-ES"/>
              </w:rPr>
            </w:pPr>
            <w:r w:rsidRPr="008879EF">
              <w:rPr>
                <w:rFonts w:ascii="Verdana" w:eastAsia="Calibri" w:hAnsi="Verdana" w:cs="Arial"/>
                <w:color w:val="000000"/>
                <w:lang w:eastAsia="es-ES"/>
              </w:rPr>
              <w:t>Ley 1150 de 2007 artículo 2.4</w:t>
            </w:r>
            <w:r>
              <w:rPr>
                <w:rFonts w:ascii="Verdana" w:eastAsia="Calibri" w:hAnsi="Verdana" w:cs="Arial"/>
                <w:color w:val="000000"/>
                <w:lang w:eastAsia="es-ES"/>
              </w:rPr>
              <w:t xml:space="preserve">, </w:t>
            </w:r>
            <w:r w:rsidRPr="008879EF">
              <w:rPr>
                <w:rFonts w:ascii="Verdana" w:eastAsia="Calibri" w:hAnsi="Verdana" w:cs="Arial"/>
                <w:color w:val="000000"/>
                <w:lang w:eastAsia="es-ES"/>
              </w:rPr>
              <w:t>literal a)</w:t>
            </w:r>
          </w:p>
          <w:p w14:paraId="3483E99D" w14:textId="77777777" w:rsidR="0005258F" w:rsidRDefault="0005258F" w:rsidP="0005258F">
            <w:pPr>
              <w:pStyle w:val="Prrafodelista"/>
              <w:numPr>
                <w:ilvl w:val="0"/>
                <w:numId w:val="20"/>
              </w:numPr>
              <w:spacing w:line="259" w:lineRule="auto"/>
              <w:ind w:left="318" w:hanging="284"/>
              <w:contextualSpacing w:val="0"/>
              <w:jc w:val="both"/>
              <w:rPr>
                <w:rFonts w:ascii="Verdana" w:eastAsia="Calibri" w:hAnsi="Verdana" w:cs="Arial"/>
                <w:color w:val="000000"/>
                <w:lang w:eastAsia="es-ES"/>
              </w:rPr>
            </w:pPr>
            <w:r w:rsidRPr="00DF176F">
              <w:rPr>
                <w:rFonts w:ascii="Verdana" w:eastAsia="Calibri" w:hAnsi="Verdana" w:cs="Arial"/>
                <w:color w:val="000000"/>
                <w:lang w:eastAsia="es-ES"/>
              </w:rPr>
              <w:t>Ley 1474 de 2011</w:t>
            </w:r>
          </w:p>
          <w:p w14:paraId="43A5F670" w14:textId="77777777" w:rsidR="0005258F" w:rsidRDefault="0005258F" w:rsidP="0005258F">
            <w:pPr>
              <w:pStyle w:val="Prrafodelista"/>
              <w:numPr>
                <w:ilvl w:val="0"/>
                <w:numId w:val="20"/>
              </w:numPr>
              <w:spacing w:line="259" w:lineRule="auto"/>
              <w:ind w:left="318" w:hanging="284"/>
              <w:contextualSpacing w:val="0"/>
              <w:jc w:val="both"/>
              <w:rPr>
                <w:rFonts w:ascii="Verdana" w:eastAsia="Calibri" w:hAnsi="Verdana" w:cs="Arial"/>
                <w:color w:val="000000"/>
                <w:lang w:eastAsia="es-ES"/>
              </w:rPr>
            </w:pPr>
            <w:r w:rsidRPr="00BE5FE3">
              <w:rPr>
                <w:rFonts w:ascii="Verdana" w:eastAsia="Calibri" w:hAnsi="Verdana" w:cs="Arial"/>
                <w:lang w:val="es-ES_tradnl"/>
              </w:rPr>
              <w:t>Decreto 1082 de 2015</w:t>
            </w:r>
            <w:r>
              <w:rPr>
                <w:rFonts w:ascii="Verdana" w:eastAsia="Calibri" w:hAnsi="Verdana" w:cs="Arial"/>
                <w:lang w:val="es-ES_tradnl"/>
              </w:rPr>
              <w:t xml:space="preserve">, artículo </w:t>
            </w:r>
            <w:r w:rsidRPr="00BE5FE3">
              <w:rPr>
                <w:rFonts w:ascii="Verdana" w:eastAsia="Calibri" w:hAnsi="Verdana" w:cs="Arial"/>
                <w:lang w:val="es-ES_tradnl"/>
              </w:rPr>
              <w:t>2.2.1.2.1.4.2</w:t>
            </w:r>
          </w:p>
          <w:p w14:paraId="50EC0EB0" w14:textId="77777777" w:rsidR="0005258F" w:rsidRDefault="0005258F" w:rsidP="0005258F">
            <w:pPr>
              <w:pStyle w:val="Prrafodelista"/>
              <w:numPr>
                <w:ilvl w:val="0"/>
                <w:numId w:val="20"/>
              </w:numPr>
              <w:spacing w:line="259" w:lineRule="auto"/>
              <w:ind w:left="318" w:hanging="284"/>
              <w:contextualSpacing w:val="0"/>
              <w:jc w:val="both"/>
              <w:rPr>
                <w:rFonts w:ascii="Verdana" w:eastAsia="Calibri" w:hAnsi="Verdana" w:cs="Arial"/>
                <w:color w:val="000000"/>
                <w:lang w:eastAsia="es-ES"/>
              </w:rPr>
            </w:pPr>
            <w:r w:rsidRPr="009F680A">
              <w:rPr>
                <w:rFonts w:ascii="Verdana" w:eastAsia="Calibri" w:hAnsi="Verdana" w:cs="Arial"/>
                <w:color w:val="000000"/>
                <w:lang w:eastAsia="es-ES"/>
              </w:rPr>
              <w:t>Decreto 62 de 2025</w:t>
            </w:r>
          </w:p>
          <w:p w14:paraId="0AFC5447" w14:textId="77777777" w:rsidR="0005258F" w:rsidRDefault="0005258F" w:rsidP="0005258F">
            <w:pPr>
              <w:pStyle w:val="Prrafodelista"/>
              <w:numPr>
                <w:ilvl w:val="0"/>
                <w:numId w:val="20"/>
              </w:numPr>
              <w:spacing w:line="259" w:lineRule="auto"/>
              <w:ind w:left="318" w:hanging="284"/>
              <w:contextualSpacing w:val="0"/>
              <w:jc w:val="both"/>
              <w:rPr>
                <w:rFonts w:ascii="Verdana" w:eastAsia="Calibri" w:hAnsi="Verdana" w:cs="Arial"/>
                <w:color w:val="000000"/>
                <w:lang w:eastAsia="es-ES"/>
              </w:rPr>
            </w:pPr>
            <w:r w:rsidRPr="00C049F3">
              <w:rPr>
                <w:rFonts w:ascii="Verdana" w:eastAsia="Calibri" w:hAnsi="Verdana" w:cs="Arial"/>
                <w:color w:val="000000"/>
                <w:lang w:eastAsia="es-ES"/>
              </w:rPr>
              <w:t>Decreto 107 de 2025</w:t>
            </w:r>
            <w:r>
              <w:rPr>
                <w:rFonts w:ascii="Verdana" w:eastAsia="Calibri" w:hAnsi="Verdana" w:cs="Arial"/>
                <w:color w:val="000000"/>
                <w:lang w:eastAsia="es-ES"/>
              </w:rPr>
              <w:t>,</w:t>
            </w:r>
            <w:r w:rsidRPr="00C049F3">
              <w:rPr>
                <w:rFonts w:ascii="Verdana" w:eastAsia="Calibri" w:hAnsi="Verdana" w:cs="Arial"/>
                <w:color w:val="000000"/>
                <w:lang w:eastAsia="es-ES"/>
              </w:rPr>
              <w:t xml:space="preserve"> artículo 2</w:t>
            </w:r>
          </w:p>
          <w:p w14:paraId="0D39CF35" w14:textId="77777777" w:rsidR="0005258F" w:rsidRPr="007777AB" w:rsidRDefault="0005258F" w:rsidP="0005258F">
            <w:pPr>
              <w:pStyle w:val="Prrafodelista"/>
              <w:numPr>
                <w:ilvl w:val="0"/>
                <w:numId w:val="20"/>
              </w:numPr>
              <w:ind w:left="318" w:hanging="284"/>
              <w:jc w:val="both"/>
              <w:rPr>
                <w:rFonts w:ascii="Verdana" w:eastAsia="Calibri" w:hAnsi="Verdana" w:cs="Arial"/>
              </w:rPr>
            </w:pPr>
            <w:r w:rsidRPr="7495EBE8">
              <w:rPr>
                <w:rFonts w:ascii="Verdana" w:eastAsia="Calibri" w:hAnsi="Verdana" w:cs="Arial"/>
              </w:rPr>
              <w:t xml:space="preserve">CONSEJO DE ESTADO. Sala de Consulta y de Servicio Civil. Concepto del 28 de enero de 1998. Rad. 1.073. C.P. Javier Henao </w:t>
            </w:r>
            <w:proofErr w:type="spellStart"/>
            <w:r w:rsidRPr="7495EBE8">
              <w:rPr>
                <w:rFonts w:ascii="Verdana" w:eastAsia="Calibri" w:hAnsi="Verdana" w:cs="Arial"/>
              </w:rPr>
              <w:t>Hidrón</w:t>
            </w:r>
            <w:proofErr w:type="spellEnd"/>
          </w:p>
          <w:p w14:paraId="7DCEEC8E" w14:textId="77777777" w:rsidR="0005258F" w:rsidRPr="007777AB" w:rsidRDefault="0005258F" w:rsidP="0005258F">
            <w:pPr>
              <w:pStyle w:val="Prrafodelista"/>
              <w:numPr>
                <w:ilvl w:val="0"/>
                <w:numId w:val="20"/>
              </w:numPr>
              <w:ind w:left="318" w:hanging="284"/>
              <w:contextualSpacing w:val="0"/>
              <w:jc w:val="both"/>
              <w:rPr>
                <w:rFonts w:ascii="Verdana" w:eastAsia="Calibri" w:hAnsi="Verdana" w:cs="Arial"/>
                <w:lang w:val="es-ES_tradnl"/>
              </w:rPr>
            </w:pPr>
            <w:r w:rsidRPr="007777AB">
              <w:rPr>
                <w:rFonts w:ascii="Verdana" w:eastAsia="Calibri" w:hAnsi="Verdana" w:cs="Arial"/>
                <w:lang w:val="es-ES_tradnl"/>
              </w:rPr>
              <w:t>CONSEJO DE ESTADO. Sección Tercera. Subsección C. Sentencia del 7 de febrero de 2011. Rad. 34.425. C.P. Jaime Orlando Santofimio Gamboa</w:t>
            </w:r>
          </w:p>
          <w:p w14:paraId="06560EA8" w14:textId="77777777" w:rsidR="0005258F" w:rsidRPr="007777AB" w:rsidRDefault="0005258F" w:rsidP="0005258F">
            <w:pPr>
              <w:pStyle w:val="Prrafodelista"/>
              <w:numPr>
                <w:ilvl w:val="0"/>
                <w:numId w:val="20"/>
              </w:numPr>
              <w:ind w:left="318" w:hanging="284"/>
              <w:contextualSpacing w:val="0"/>
              <w:jc w:val="both"/>
              <w:rPr>
                <w:rFonts w:ascii="Verdana" w:eastAsia="Calibri" w:hAnsi="Verdana" w:cs="Arial"/>
                <w:lang w:val="es-ES_tradnl"/>
              </w:rPr>
            </w:pPr>
            <w:r w:rsidRPr="009F143A">
              <w:rPr>
                <w:rFonts w:ascii="Verdana" w:eastAsia="Calibri" w:hAnsi="Verdana" w:cs="Arial"/>
                <w:lang w:val="pt-BR"/>
              </w:rPr>
              <w:t xml:space="preserve">CORTE CONSTITUCIONAL. Sentencia C-772 de 1998. </w:t>
            </w:r>
            <w:r w:rsidRPr="007777AB">
              <w:rPr>
                <w:rFonts w:ascii="Verdana" w:eastAsia="Calibri" w:hAnsi="Verdana" w:cs="Arial"/>
                <w:lang w:val="es-ES_tradnl"/>
              </w:rPr>
              <w:t>M.P. Fabio Morón Díaz.</w:t>
            </w:r>
          </w:p>
          <w:p w14:paraId="2E7CFB4E" w14:textId="77777777" w:rsidR="0005258F" w:rsidRPr="00990018" w:rsidRDefault="0005258F" w:rsidP="00C368B4">
            <w:pPr>
              <w:pStyle w:val="Prrafodelista"/>
              <w:widowControl w:val="0"/>
              <w:numPr>
                <w:ilvl w:val="0"/>
                <w:numId w:val="17"/>
              </w:numPr>
              <w:autoSpaceDE w:val="0"/>
              <w:autoSpaceDN w:val="0"/>
              <w:spacing w:line="276" w:lineRule="auto"/>
              <w:ind w:left="318" w:hanging="284"/>
              <w:contextualSpacing w:val="0"/>
              <w:jc w:val="both"/>
              <w:rPr>
                <w:rFonts w:ascii="Verdana" w:hAnsi="Verdana" w:cs="Arial"/>
              </w:rPr>
            </w:pPr>
            <w:r w:rsidRPr="007777AB">
              <w:rPr>
                <w:rFonts w:ascii="Verdana" w:eastAsia="Calibri" w:hAnsi="Verdana" w:cs="Arial"/>
                <w:lang w:val="es-ES_tradnl"/>
              </w:rPr>
              <w:t>CONSEJO DE ESTADO. Sección Tercera. Sentencia del 27 de abril de 2006. Rad. 5.229. C.P. Ramiro Saavedra Becerra</w:t>
            </w:r>
          </w:p>
        </w:tc>
      </w:tr>
    </w:tbl>
    <w:p w14:paraId="1E888BF3" w14:textId="77777777" w:rsidR="0005258F" w:rsidRPr="002407CE" w:rsidRDefault="0005258F" w:rsidP="0005258F">
      <w:pPr>
        <w:widowControl w:val="0"/>
        <w:autoSpaceDE w:val="0"/>
        <w:autoSpaceDN w:val="0"/>
        <w:spacing w:after="0" w:line="276" w:lineRule="auto"/>
        <w:jc w:val="both"/>
        <w:rPr>
          <w:rFonts w:ascii="Verdana" w:hAnsi="Verdana" w:cs="Arial"/>
        </w:rPr>
      </w:pPr>
    </w:p>
    <w:p w14:paraId="776DA91D" w14:textId="77777777" w:rsidR="0005258F" w:rsidRPr="00593A5F" w:rsidRDefault="0005258F" w:rsidP="0005258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44FDB472" w14:textId="77777777" w:rsidR="0005258F" w:rsidRPr="00593A5F" w:rsidRDefault="0005258F" w:rsidP="0005258F">
      <w:pPr>
        <w:widowControl w:val="0"/>
        <w:autoSpaceDE w:val="0"/>
        <w:autoSpaceDN w:val="0"/>
        <w:spacing w:after="0" w:line="276" w:lineRule="auto"/>
        <w:jc w:val="both"/>
        <w:rPr>
          <w:rFonts w:ascii="Verdana" w:hAnsi="Verdana" w:cs="Arial"/>
        </w:rPr>
      </w:pPr>
    </w:p>
    <w:p w14:paraId="54005D71" w14:textId="77777777" w:rsidR="0005258F" w:rsidRPr="00ED0098" w:rsidRDefault="0005258F" w:rsidP="0005258F">
      <w:pPr>
        <w:widowControl w:val="0"/>
        <w:autoSpaceDE w:val="0"/>
        <w:autoSpaceDN w:val="0"/>
        <w:spacing w:after="0" w:line="276" w:lineRule="auto"/>
        <w:jc w:val="both"/>
        <w:rPr>
          <w:rStyle w:val="normaltextrun"/>
          <w:rFonts w:ascii="Verdana" w:hAnsi="Verdana" w:cs="Arial"/>
          <w:shd w:val="clear" w:color="auto" w:fill="FFFFFF"/>
        </w:rPr>
      </w:pPr>
      <w:r>
        <w:rPr>
          <w:rStyle w:val="normaltextrun"/>
          <w:rFonts w:ascii="Verdana" w:hAnsi="Verdana"/>
          <w:color w:val="000000"/>
          <w:shd w:val="clear" w:color="auto" w:fill="FFFFFF"/>
        </w:rPr>
        <w:t>Esta Subdirección se ha pronunciado sobre la contratación por urgencia manifiesta en los Conceptos C-003 del 23 de abril de 2020, C-004 25 de abril de 2020, C-135 del 10 de abril de 2020, C-241 del 10 de abril de 2020, C-257 del 10 de abril de 2020, C-266 del 21 de mayo de 2020, C-269 del 10 de abril de 2020, C-275 del del 10 de abril de 2020, C-284 del 27 de mayo de 2020, C-300 del 25 de abril de 2020, C-301 del 25 de abril de 2020, C-333 del 19 de mayo de 2020, C-357 del 7 de julio de 2020, C-390 del 23 de junio de 2020, C-403 del 24 de junio de 2020, C-887 del 22 de diciembre de 2022, C-131 del 25 de mayo de 2023, C-691 del 14 de noviembre de 2024</w:t>
      </w:r>
      <w:r>
        <w:rPr>
          <w:rStyle w:val="normaltextrun"/>
          <w:rFonts w:ascii="Verdana" w:hAnsi="Verdana" w:cs="Arial"/>
          <w:shd w:val="clear" w:color="auto" w:fill="FFFFFF"/>
        </w:rPr>
        <w:t>, C-369 del 7 de mayo de 2025 y C-455 del 13 de mayo de 2025</w:t>
      </w:r>
      <w:r w:rsidRPr="00F6599C">
        <w:rPr>
          <w:rFonts w:ascii="Verdana" w:hAnsi="Verdana" w:cs="Arial"/>
          <w:shd w:val="clear" w:color="auto" w:fill="FFFFFF"/>
        </w:rPr>
        <w:t>. Estos y otros se encuentran disponibles para consulta en el Sistema de relatoría de la Agencia, al cual puede accederse a través del siguiente enlace:</w:t>
      </w:r>
      <w:r>
        <w:rPr>
          <w:rStyle w:val="normaltextrun"/>
          <w:rFonts w:ascii="Verdana" w:hAnsi="Verdana" w:cs="Arial"/>
          <w:shd w:val="clear" w:color="auto" w:fill="FFFFFF"/>
        </w:rPr>
        <w:t xml:space="preserve"> </w:t>
      </w:r>
      <w:hyperlink r:id="rId12" w:history="1">
        <w:r w:rsidRPr="001F47FD">
          <w:rPr>
            <w:rStyle w:val="Hipervnculo"/>
            <w:rFonts w:ascii="Verdana" w:hAnsi="Verdana" w:cs="Arial"/>
            <w:shd w:val="clear" w:color="auto" w:fill="FFFFFF"/>
          </w:rPr>
          <w:t>https://relatoria.colombiacompra.gov.co/busqueda/conceptos</w:t>
        </w:r>
      </w:hyperlink>
      <w:r>
        <w:rPr>
          <w:rStyle w:val="normaltextrun"/>
          <w:rFonts w:ascii="Verdana" w:hAnsi="Verdana" w:cs="Arial"/>
          <w:shd w:val="clear" w:color="auto" w:fill="FFFFFF"/>
        </w:rPr>
        <w:t>.</w:t>
      </w:r>
      <w:r w:rsidRPr="008D0AB0">
        <w:rPr>
          <w:rStyle w:val="normaltextrun"/>
          <w:rFonts w:ascii="Verdana" w:hAnsi="Verdana" w:cs="Arial"/>
          <w:shd w:val="clear" w:color="auto" w:fill="FFFFFF"/>
        </w:rPr>
        <w:t xml:space="preserve"> </w:t>
      </w:r>
      <w:r>
        <w:rPr>
          <w:rStyle w:val="normaltextrun"/>
          <w:rFonts w:ascii="Verdana" w:hAnsi="Verdana" w:cs="Arial"/>
          <w:color w:val="FF0000"/>
          <w:shd w:val="clear" w:color="auto" w:fill="FFFFFF"/>
          <w:lang w:val="es-ES"/>
        </w:rPr>
        <w:t xml:space="preserve"> </w:t>
      </w:r>
    </w:p>
    <w:p w14:paraId="2D0DA4B3" w14:textId="77777777" w:rsidR="0005258F" w:rsidRPr="00096788" w:rsidRDefault="0005258F" w:rsidP="0005258F">
      <w:pPr>
        <w:widowControl w:val="0"/>
        <w:autoSpaceDE w:val="0"/>
        <w:autoSpaceDN w:val="0"/>
        <w:spacing w:after="0" w:line="276" w:lineRule="auto"/>
        <w:jc w:val="both"/>
        <w:rPr>
          <w:rFonts w:ascii="Verdana" w:hAnsi="Verdana" w:cs="Arial"/>
          <w:color w:val="000000" w:themeColor="text1"/>
          <w:shd w:val="clear" w:color="auto" w:fill="FFFFFF"/>
        </w:rPr>
      </w:pPr>
    </w:p>
    <w:p w14:paraId="7F742909" w14:textId="77777777" w:rsidR="0005258F" w:rsidRPr="001205D1" w:rsidRDefault="0005258F" w:rsidP="0005258F">
      <w:pPr>
        <w:shd w:val="clear" w:color="auto" w:fill="FFFFFF"/>
        <w:spacing w:after="0" w:line="276" w:lineRule="auto"/>
        <w:jc w:val="both"/>
        <w:rPr>
          <w:rFonts w:ascii="Verdana" w:hAnsi="Verdana"/>
          <w:color w:val="467886"/>
          <w:u w:val="single"/>
        </w:rPr>
      </w:pPr>
      <w:r w:rsidRPr="00B83C56">
        <w:rPr>
          <w:rFonts w:ascii="Verdana" w:hAnsi="Verdana"/>
          <w:color w:val="000000"/>
        </w:rPr>
        <w:t xml:space="preserve">Te informamos </w:t>
      </w:r>
      <w:r w:rsidRPr="00032009">
        <w:rPr>
          <w:rFonts w:ascii="Verdana" w:hAnsi="Verdana"/>
          <w:color w:val="000000"/>
        </w:rPr>
        <w:t>que ya se encuentra disponible la </w:t>
      </w:r>
      <w:r w:rsidRPr="00032009">
        <w:rPr>
          <w:rFonts w:ascii="Verdana" w:hAnsi="Verdana"/>
          <w:b/>
          <w:bCs/>
          <w:color w:val="000000"/>
        </w:rPr>
        <w:t>Guía de lineamientos de transparencia y selección objetiva para el departamento de La Guajira – Objetivo sexto constitucional de la Sentencia T-302 del 2017. </w:t>
      </w:r>
      <w:r w:rsidRPr="00032009">
        <w:rPr>
          <w:rFonts w:ascii="Verdana" w:hAnsi="Verdana"/>
          <w:color w:val="000000"/>
        </w:rPr>
        <w:t xml:space="preserve">Esta Guía se expedide en el marco del cumplimiento de la orden proferida por la Honorable </w:t>
      </w:r>
      <w:r w:rsidRPr="00032009">
        <w:rPr>
          <w:rFonts w:ascii="Verdana" w:hAnsi="Verdana"/>
          <w:color w:val="000000"/>
        </w:rPr>
        <w:lastRenderedPageBreak/>
        <w:t xml:space="preserve">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032009">
        <w:rPr>
          <w:rFonts w:ascii="Verdana" w:hAnsi="Verdana"/>
          <w:color w:val="000000"/>
        </w:rPr>
        <w:t>Wayúu</w:t>
      </w:r>
      <w:proofErr w:type="spellEnd"/>
      <w:r w:rsidRPr="00032009">
        <w:rPr>
          <w:rFonts w:ascii="Verdana" w:hAnsi="Verdana"/>
          <w:color w:val="000000"/>
        </w:rPr>
        <w:t>. Puede consultar la guía en el siguiente enlace: </w:t>
      </w:r>
      <w:hyperlink r:id="rId13" w:tgtFrame="_blank" w:tooltip="Dirección URL original: https://www.colombiacompra.gov.co/wp-content/uploads/2025/05/GUIA-DE-LINEAMIENTOS-DE-TRANSPARENCIA-Y-SELECCION-OBJETIVA-1.0.pdf. Haga clic o pulse si confía en este vínculo." w:history="1">
        <w:r w:rsidRPr="00032009">
          <w:rPr>
            <w:rStyle w:val="Hipervnculo"/>
            <w:rFonts w:ascii="Verdana" w:hAnsi="Verdana"/>
          </w:rPr>
          <w:t>Guía de lineamientos de transparencia y selección objetiva para el departamento de La Guajira – Objetivo sexto constitucional de la Sentencia T-302 del 2017</w:t>
        </w:r>
      </w:hyperlink>
      <w:r w:rsidRPr="00032009">
        <w:rPr>
          <w:rFonts w:ascii="Verdana" w:hAnsi="Verdana"/>
          <w:color w:val="000000"/>
          <w:u w:val="single"/>
        </w:rPr>
        <w:t>"</w:t>
      </w:r>
      <w:r>
        <w:rPr>
          <w:rFonts w:ascii="Verdana" w:hAnsi="Verdana"/>
          <w:color w:val="000000"/>
          <w:u w:val="single"/>
        </w:rPr>
        <w:t>.</w:t>
      </w:r>
    </w:p>
    <w:p w14:paraId="26573F73" w14:textId="77777777" w:rsidR="0005258F" w:rsidRPr="009C4035" w:rsidRDefault="0005258F" w:rsidP="0005258F">
      <w:pPr>
        <w:shd w:val="clear" w:color="auto" w:fill="FFFFFF"/>
        <w:spacing w:after="0" w:line="276" w:lineRule="auto"/>
        <w:jc w:val="both"/>
        <w:rPr>
          <w:rFonts w:ascii="Verdana" w:hAnsi="Verdana" w:cs="Arial"/>
          <w:color w:val="FF0000"/>
          <w:shd w:val="clear" w:color="auto" w:fill="FFFFFF"/>
          <w:lang w:val="es-ES_tradnl"/>
        </w:rPr>
      </w:pPr>
      <w:r w:rsidRPr="004A73EC">
        <w:rPr>
          <w:rFonts w:ascii="Verdana" w:hAnsi="Verdana" w:cs="Arial"/>
          <w:color w:val="000000" w:themeColor="text1"/>
          <w:shd w:val="clear" w:color="auto" w:fill="FFFFFF"/>
          <w:lang w:val="es-ES_tradnl"/>
        </w:rPr>
        <w:t xml:space="preserve"> </w:t>
      </w:r>
      <w:r w:rsidRPr="004A73EC">
        <w:rPr>
          <w:rStyle w:val="normaltextrun"/>
          <w:rFonts w:ascii="Verdana" w:hAnsi="Verdana" w:cs="Arial"/>
          <w:color w:val="FF0000"/>
          <w:shd w:val="clear" w:color="auto" w:fill="FFFFFF"/>
          <w:lang w:val="es-ES_tradnl"/>
        </w:rPr>
        <w:t xml:space="preserve">        </w:t>
      </w:r>
    </w:p>
    <w:p w14:paraId="7C29D7F2" w14:textId="77777777" w:rsidR="0005258F" w:rsidRPr="00593A5F" w:rsidRDefault="0005258F" w:rsidP="0005258F">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6C4E4F74" w14:textId="77777777" w:rsidR="0005258F" w:rsidRPr="00593A5F" w:rsidRDefault="0005258F" w:rsidP="0005258F">
      <w:pPr>
        <w:widowControl w:val="0"/>
        <w:autoSpaceDE w:val="0"/>
        <w:autoSpaceDN w:val="0"/>
        <w:spacing w:after="0" w:line="276" w:lineRule="auto"/>
        <w:jc w:val="both"/>
        <w:rPr>
          <w:rFonts w:ascii="Verdana" w:hAnsi="Verdana" w:cs="Arial"/>
        </w:rPr>
      </w:pPr>
    </w:p>
    <w:p w14:paraId="134B0EC1" w14:textId="77777777" w:rsidR="0005258F" w:rsidRPr="00593A5F" w:rsidRDefault="0005258F" w:rsidP="0005258F">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4181AE19" w14:textId="77777777" w:rsidR="0005258F" w:rsidRDefault="0005258F" w:rsidP="0005258F">
      <w:pPr>
        <w:rPr>
          <w:rFonts w:ascii="Verdana" w:hAnsi="Verdana" w:cs="Arial"/>
          <w:sz w:val="16"/>
          <w:szCs w:val="16"/>
          <w:lang w:val="es-ES" w:eastAsia="es-ES"/>
        </w:rPr>
      </w:pPr>
    </w:p>
    <w:p w14:paraId="2700C076" w14:textId="6D835A07" w:rsidR="0005258F" w:rsidRPr="00AD4F6A" w:rsidRDefault="00D00E18" w:rsidP="0005258F">
      <w:pPr>
        <w:spacing w:line="276" w:lineRule="auto"/>
        <w:jc w:val="center"/>
        <w:rPr>
          <w:rFonts w:ascii="Verdana" w:hAnsi="Verdana" w:cs="Arial"/>
          <w:color w:val="000000"/>
          <w:lang w:eastAsia="es-CO"/>
        </w:rPr>
      </w:pPr>
      <w:r w:rsidRPr="002C3AD6">
        <w:rPr>
          <w:rFonts w:ascii="Century Gothic" w:hAnsi="Century Gothic"/>
          <w:noProof/>
        </w:rPr>
        <w:drawing>
          <wp:inline distT="0" distB="0" distL="0" distR="0" wp14:anchorId="6321A618" wp14:editId="1CEDC1C2">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4"/>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05258F" w:rsidRPr="00AD4F6A" w14:paraId="3F7BD327" w14:textId="77777777" w:rsidTr="00C368B4">
        <w:trPr>
          <w:trHeight w:val="315"/>
        </w:trPr>
        <w:tc>
          <w:tcPr>
            <w:tcW w:w="893" w:type="dxa"/>
            <w:vAlign w:val="center"/>
            <w:hideMark/>
          </w:tcPr>
          <w:p w14:paraId="62E43E5D" w14:textId="77777777" w:rsidR="0005258F" w:rsidRPr="00AD4F6A" w:rsidRDefault="0005258F" w:rsidP="00C368B4">
            <w:pPr>
              <w:contextualSpacing/>
              <w:rPr>
                <w:rFonts w:ascii="Verdana" w:hAnsi="Verdana" w:cs="Arial"/>
                <w:sz w:val="16"/>
                <w:szCs w:val="16"/>
                <w:lang w:eastAsia="es-ES"/>
              </w:rPr>
            </w:pPr>
            <w:r w:rsidRPr="00AD4F6A">
              <w:rPr>
                <w:rFonts w:ascii="Verdana" w:hAnsi="Verdana" w:cs="Arial"/>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69396B45" w14:textId="77777777" w:rsidR="0005258F" w:rsidRPr="00AD4F6A" w:rsidRDefault="0005258F" w:rsidP="00C368B4">
            <w:pPr>
              <w:contextualSpacing/>
              <w:rPr>
                <w:rFonts w:ascii="Verdana" w:hAnsi="Verdana"/>
                <w:sz w:val="16"/>
                <w:szCs w:val="16"/>
              </w:rPr>
            </w:pPr>
            <w:r w:rsidRPr="00AD4F6A">
              <w:rPr>
                <w:rFonts w:ascii="Verdana" w:hAnsi="Verdana"/>
                <w:sz w:val="16"/>
                <w:szCs w:val="16"/>
              </w:rPr>
              <w:t>Tatiana Baquero Iguarán</w:t>
            </w:r>
          </w:p>
          <w:p w14:paraId="5AD52F13" w14:textId="77777777" w:rsidR="0005258F" w:rsidRPr="00AD4F6A" w:rsidRDefault="0005258F" w:rsidP="00C368B4">
            <w:pPr>
              <w:contextualSpacing/>
              <w:rPr>
                <w:rFonts w:ascii="Verdana" w:eastAsia="Arial" w:hAnsi="Verdana" w:cs="Arial"/>
                <w:sz w:val="16"/>
                <w:szCs w:val="16"/>
              </w:rPr>
            </w:pPr>
            <w:r w:rsidRPr="00AD4F6A">
              <w:rPr>
                <w:rFonts w:ascii="Verdana" w:hAnsi="Verdana"/>
                <w:sz w:val="16"/>
                <w:szCs w:val="16"/>
              </w:rPr>
              <w:t>Contratista de la Subdirección de Gestión Contractual</w:t>
            </w:r>
          </w:p>
        </w:tc>
      </w:tr>
      <w:tr w:rsidR="0005258F" w:rsidRPr="00AD4F6A" w14:paraId="4A26C7DD" w14:textId="77777777" w:rsidTr="00C368B4">
        <w:trPr>
          <w:trHeight w:val="330"/>
        </w:trPr>
        <w:tc>
          <w:tcPr>
            <w:tcW w:w="893" w:type="dxa"/>
            <w:vAlign w:val="center"/>
            <w:hideMark/>
          </w:tcPr>
          <w:p w14:paraId="0C60648D" w14:textId="77777777" w:rsidR="0005258F" w:rsidRPr="00AD4F6A" w:rsidRDefault="0005258F" w:rsidP="00C368B4">
            <w:pPr>
              <w:contextualSpacing/>
              <w:rPr>
                <w:rFonts w:ascii="Verdana" w:hAnsi="Verdana" w:cs="Arial"/>
                <w:sz w:val="16"/>
                <w:szCs w:val="16"/>
                <w:lang w:eastAsia="es-ES"/>
              </w:rPr>
            </w:pPr>
            <w:r w:rsidRPr="00AD4F6A">
              <w:rPr>
                <w:rFonts w:ascii="Verdana" w:hAnsi="Verdana" w:cs="Arial"/>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8FE1F7B" w14:textId="77777777" w:rsidR="0005258F" w:rsidRPr="00AD4F6A" w:rsidRDefault="0005258F" w:rsidP="00C368B4">
            <w:pPr>
              <w:textAlignment w:val="baseline"/>
              <w:rPr>
                <w:rFonts w:ascii="Verdana" w:eastAsia="Times New Roman" w:hAnsi="Verdana" w:cs="Arial"/>
                <w:sz w:val="16"/>
                <w:szCs w:val="16"/>
                <w:lang w:val="es-MX" w:eastAsia="es-CO"/>
              </w:rPr>
            </w:pPr>
            <w:r w:rsidRPr="00AD4F6A">
              <w:rPr>
                <w:rFonts w:ascii="Verdana" w:eastAsia="Times New Roman" w:hAnsi="Verdana" w:cs="Arial"/>
                <w:sz w:val="16"/>
                <w:szCs w:val="16"/>
                <w:lang w:val="es-MX" w:eastAsia="es-CO"/>
              </w:rPr>
              <w:t>Alejandro Raúl Sarmiento Cantillo</w:t>
            </w:r>
          </w:p>
          <w:p w14:paraId="780A9C9A" w14:textId="77777777" w:rsidR="0005258F" w:rsidRPr="00AD4F6A" w:rsidRDefault="0005258F" w:rsidP="00C368B4">
            <w:pPr>
              <w:spacing w:before="100" w:beforeAutospacing="1" w:after="100" w:afterAutospacing="1"/>
              <w:contextualSpacing/>
              <w:textAlignment w:val="baseline"/>
              <w:rPr>
                <w:rFonts w:ascii="Verdana" w:eastAsia="Times New Roman" w:hAnsi="Verdana" w:cs="Segoe UI"/>
                <w:sz w:val="16"/>
                <w:szCs w:val="16"/>
                <w:lang w:eastAsia="es-ES_tradnl"/>
              </w:rPr>
            </w:pPr>
            <w:r w:rsidRPr="00AD4F6A">
              <w:rPr>
                <w:rFonts w:ascii="Verdana" w:eastAsia="Times New Roman" w:hAnsi="Verdana" w:cs="Arial"/>
                <w:sz w:val="16"/>
                <w:szCs w:val="16"/>
                <w:lang w:val="es-MX" w:eastAsia="es-CO"/>
              </w:rPr>
              <w:t>Gestor T1-15 de la Subdirección de Gestión Contractual</w:t>
            </w:r>
          </w:p>
        </w:tc>
      </w:tr>
      <w:tr w:rsidR="0005258F" w:rsidRPr="00AD4F6A" w14:paraId="1A55BF23" w14:textId="77777777" w:rsidTr="00C368B4">
        <w:trPr>
          <w:trHeight w:val="300"/>
        </w:trPr>
        <w:tc>
          <w:tcPr>
            <w:tcW w:w="893" w:type="dxa"/>
            <w:vAlign w:val="center"/>
          </w:tcPr>
          <w:p w14:paraId="4CCE564E" w14:textId="77777777" w:rsidR="0005258F" w:rsidRPr="00AD4F6A" w:rsidRDefault="0005258F" w:rsidP="00C368B4">
            <w:pPr>
              <w:contextualSpacing/>
              <w:rPr>
                <w:rFonts w:ascii="Verdana" w:hAnsi="Verdana" w:cs="Arial"/>
                <w:sz w:val="16"/>
                <w:szCs w:val="16"/>
                <w:lang w:eastAsia="es-ES"/>
              </w:rPr>
            </w:pPr>
            <w:r w:rsidRPr="00AD4F6A">
              <w:rPr>
                <w:rFonts w:ascii="Verdana" w:hAnsi="Verdana" w:cs="Arial"/>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22D1D331" w14:textId="77777777" w:rsidR="0005258F" w:rsidRPr="00AD4F6A" w:rsidRDefault="0005258F" w:rsidP="00C368B4">
            <w:pPr>
              <w:contextualSpacing/>
              <w:rPr>
                <w:rFonts w:ascii="Verdana" w:eastAsia="Calibri" w:hAnsi="Verdana" w:cs="Arial"/>
                <w:sz w:val="16"/>
                <w:szCs w:val="16"/>
                <w:lang w:eastAsia="es-ES"/>
              </w:rPr>
            </w:pPr>
            <w:r w:rsidRPr="00AD4F6A">
              <w:rPr>
                <w:rFonts w:ascii="Verdana" w:eastAsia="Calibri" w:hAnsi="Verdana" w:cs="Arial"/>
                <w:sz w:val="16"/>
                <w:szCs w:val="16"/>
                <w:lang w:eastAsia="es-ES"/>
              </w:rPr>
              <w:t xml:space="preserve">Carolina Quintero </w:t>
            </w:r>
            <w:proofErr w:type="spellStart"/>
            <w:r w:rsidRPr="00AD4F6A">
              <w:rPr>
                <w:rFonts w:ascii="Verdana" w:eastAsia="Calibri" w:hAnsi="Verdana" w:cs="Arial"/>
                <w:sz w:val="16"/>
                <w:szCs w:val="16"/>
                <w:lang w:eastAsia="es-ES"/>
              </w:rPr>
              <w:t>Gacharná</w:t>
            </w:r>
            <w:proofErr w:type="spellEnd"/>
          </w:p>
          <w:p w14:paraId="669FC502" w14:textId="77777777" w:rsidR="0005258F" w:rsidRPr="00AD4F6A" w:rsidRDefault="0005258F" w:rsidP="00C368B4">
            <w:pPr>
              <w:contextualSpacing/>
              <w:rPr>
                <w:rFonts w:ascii="Verdana" w:eastAsia="Calibri" w:hAnsi="Verdana" w:cs="Arial"/>
                <w:sz w:val="16"/>
                <w:szCs w:val="16"/>
                <w:lang w:eastAsia="es-ES"/>
              </w:rPr>
            </w:pPr>
            <w:r w:rsidRPr="00AD4F6A">
              <w:rPr>
                <w:rFonts w:ascii="Verdana" w:eastAsia="Calibri" w:hAnsi="Verdana" w:cs="Arial"/>
                <w:sz w:val="16"/>
                <w:szCs w:val="16"/>
                <w:lang w:eastAsia="es-ES"/>
              </w:rPr>
              <w:t>Subdirectora de Gestión Contractual ANCP – CCE</w:t>
            </w:r>
          </w:p>
        </w:tc>
      </w:tr>
    </w:tbl>
    <w:p w14:paraId="66925A49" w14:textId="77777777" w:rsidR="0005258F" w:rsidRPr="00AD4F6A" w:rsidRDefault="0005258F" w:rsidP="0005258F"/>
    <w:p w14:paraId="179E81AE" w14:textId="77777777" w:rsidR="0005258F" w:rsidRDefault="0005258F" w:rsidP="0005258F">
      <w:pPr>
        <w:spacing w:after="0" w:line="240" w:lineRule="auto"/>
        <w:rPr>
          <w:rFonts w:ascii="Verdana" w:eastAsia="Aptos" w:hAnsi="Verdana" w:cs="Times New Roman"/>
          <w:sz w:val="20"/>
          <w:szCs w:val="20"/>
        </w:rPr>
      </w:pPr>
    </w:p>
    <w:p w14:paraId="36E1BDEA" w14:textId="77777777" w:rsidR="0005258F" w:rsidRDefault="0005258F" w:rsidP="0005258F">
      <w:pPr>
        <w:spacing w:after="0" w:line="240" w:lineRule="auto"/>
        <w:rPr>
          <w:rFonts w:ascii="Verdana" w:eastAsia="Aptos" w:hAnsi="Verdana" w:cs="Times New Roman"/>
          <w:sz w:val="20"/>
          <w:szCs w:val="20"/>
        </w:rPr>
      </w:pPr>
    </w:p>
    <w:p w14:paraId="0D3F7B59" w14:textId="77777777" w:rsidR="0005258F" w:rsidRPr="00DD40BD" w:rsidRDefault="0005258F" w:rsidP="0005258F"/>
    <w:p w14:paraId="576BC7CB" w14:textId="77777777" w:rsidR="0005258F" w:rsidRPr="008664A4" w:rsidRDefault="0005258F" w:rsidP="0005258F"/>
    <w:p w14:paraId="5CDC9501" w14:textId="77777777" w:rsidR="0005258F" w:rsidRPr="008664A4" w:rsidRDefault="0005258F" w:rsidP="0005258F"/>
    <w:p w14:paraId="154D3489" w14:textId="77777777" w:rsidR="0005258F" w:rsidRDefault="0005258F" w:rsidP="0005258F">
      <w:pPr>
        <w:spacing w:after="0" w:line="240" w:lineRule="auto"/>
        <w:rPr>
          <w:rFonts w:ascii="Verdana" w:eastAsia="Geomanist Light" w:hAnsi="Verdana" w:cs="Arial"/>
          <w:color w:val="000000" w:themeColor="text1"/>
        </w:rPr>
      </w:pPr>
    </w:p>
    <w:p w14:paraId="4DE53832" w14:textId="77777777" w:rsidR="0005258F" w:rsidRPr="006A4290" w:rsidRDefault="0005258F" w:rsidP="0005258F"/>
    <w:p w14:paraId="6A85FD13" w14:textId="77777777" w:rsidR="00D77742" w:rsidRDefault="00D77742" w:rsidP="002754B5">
      <w:pPr>
        <w:spacing w:after="0" w:line="240" w:lineRule="auto"/>
        <w:jc w:val="both"/>
        <w:rPr>
          <w:rFonts w:ascii="Verdana" w:eastAsia="Aptos" w:hAnsi="Verdana" w:cs="Times New Roman"/>
          <w:sz w:val="20"/>
          <w:szCs w:val="20"/>
        </w:rPr>
      </w:pPr>
    </w:p>
    <w:sectPr w:rsidR="00D77742"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2F3465" w14:textId="77777777" w:rsidR="004B1B93" w:rsidRDefault="004B1B93" w:rsidP="004A1847">
      <w:pPr>
        <w:spacing w:after="0" w:line="240" w:lineRule="auto"/>
      </w:pPr>
      <w:r>
        <w:separator/>
      </w:r>
    </w:p>
  </w:endnote>
  <w:endnote w:type="continuationSeparator" w:id="0">
    <w:p w14:paraId="448EB77A" w14:textId="77777777" w:rsidR="004B1B93" w:rsidRDefault="004B1B93" w:rsidP="004A1847">
      <w:pPr>
        <w:spacing w:after="0" w:line="240" w:lineRule="auto"/>
      </w:pPr>
      <w:r>
        <w:continuationSeparator/>
      </w:r>
    </w:p>
  </w:endnote>
  <w:endnote w:type="continuationNotice" w:id="1">
    <w:p w14:paraId="4FA2538A" w14:textId="77777777" w:rsidR="004B1B93" w:rsidRDefault="004B1B9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A99FD6" w14:textId="77777777" w:rsidR="004B1B93" w:rsidRDefault="004B1B93" w:rsidP="004A1847">
      <w:pPr>
        <w:spacing w:after="0" w:line="240" w:lineRule="auto"/>
      </w:pPr>
      <w:r>
        <w:separator/>
      </w:r>
    </w:p>
  </w:footnote>
  <w:footnote w:type="continuationSeparator" w:id="0">
    <w:p w14:paraId="6A72DD2E" w14:textId="77777777" w:rsidR="004B1B93" w:rsidRDefault="004B1B93" w:rsidP="004A1847">
      <w:pPr>
        <w:spacing w:after="0" w:line="240" w:lineRule="auto"/>
      </w:pPr>
      <w:r>
        <w:continuationSeparator/>
      </w:r>
    </w:p>
  </w:footnote>
  <w:footnote w:type="continuationNotice" w:id="1">
    <w:p w14:paraId="28E523D4" w14:textId="77777777" w:rsidR="004B1B93" w:rsidRDefault="004B1B93">
      <w:pPr>
        <w:spacing w:after="0" w:line="240" w:lineRule="auto"/>
      </w:pPr>
    </w:p>
  </w:footnote>
  <w:footnote w:id="2">
    <w:p w14:paraId="5B416380" w14:textId="77777777" w:rsidR="0005258F" w:rsidRDefault="0005258F" w:rsidP="0005258F">
      <w:pPr>
        <w:pStyle w:val="Textonotapie"/>
        <w:ind w:firstLine="709"/>
        <w:jc w:val="both"/>
        <w:rPr>
          <w:rFonts w:ascii="Verdana" w:hAnsi="Verdana" w:cs="Arial"/>
          <w:sz w:val="14"/>
          <w:szCs w:val="14"/>
        </w:rPr>
      </w:pPr>
      <w:r w:rsidRPr="00CA7CC6">
        <w:rPr>
          <w:rStyle w:val="Refdenotaalpie"/>
          <w:rFonts w:ascii="Verdana" w:hAnsi="Verdana" w:cs="Arial"/>
          <w:sz w:val="14"/>
          <w:szCs w:val="14"/>
        </w:rPr>
        <w:footnoteRef/>
      </w:r>
      <w:r w:rsidRPr="00CA7CC6">
        <w:rPr>
          <w:rFonts w:ascii="Verdana" w:hAnsi="Verdana" w:cs="Arial"/>
          <w:sz w:val="14"/>
          <w:szCs w:val="14"/>
        </w:rPr>
        <w:t xml:space="preserve"> MATALLANA CAMACHO, Ernesto. Manual de contratación de la administración pública. Segunda Edición. Bogotá: Universidad Externado de Colombia, 2009. p. 705.</w:t>
      </w:r>
    </w:p>
    <w:p w14:paraId="76930FBF" w14:textId="77777777" w:rsidR="0005258F" w:rsidRPr="00CA7CC6" w:rsidRDefault="0005258F" w:rsidP="0005258F">
      <w:pPr>
        <w:pStyle w:val="Textonotapie"/>
        <w:ind w:firstLine="709"/>
        <w:jc w:val="both"/>
        <w:rPr>
          <w:rFonts w:ascii="Verdana" w:hAnsi="Verdana" w:cs="Arial"/>
          <w:sz w:val="14"/>
          <w:szCs w:val="14"/>
        </w:rPr>
      </w:pPr>
    </w:p>
  </w:footnote>
  <w:footnote w:id="3">
    <w:p w14:paraId="02D001F6" w14:textId="77777777" w:rsidR="0005258F" w:rsidRDefault="0005258F" w:rsidP="0005258F">
      <w:pPr>
        <w:spacing w:after="0" w:line="240" w:lineRule="auto"/>
        <w:ind w:firstLine="709"/>
        <w:jc w:val="both"/>
        <w:rPr>
          <w:rFonts w:ascii="Verdana" w:hAnsi="Verdana" w:cs="Arial"/>
          <w:sz w:val="14"/>
          <w:szCs w:val="14"/>
        </w:rPr>
      </w:pPr>
      <w:r w:rsidRPr="00CA7CC6">
        <w:rPr>
          <w:rStyle w:val="Refdenotaalpie"/>
          <w:rFonts w:ascii="Verdana" w:hAnsi="Verdana" w:cs="Arial"/>
          <w:sz w:val="14"/>
          <w:szCs w:val="14"/>
        </w:rPr>
        <w:footnoteRef/>
      </w:r>
      <w:r w:rsidRPr="00CA7CC6">
        <w:rPr>
          <w:rFonts w:ascii="Verdana" w:hAnsi="Verdana" w:cs="Arial"/>
          <w:sz w:val="14"/>
          <w:szCs w:val="14"/>
        </w:rPr>
        <w:t xml:space="preserve"> </w:t>
      </w:r>
      <w:r w:rsidRPr="00CA7CC6">
        <w:rPr>
          <w:rFonts w:ascii="Verdana" w:eastAsia="Calibri" w:hAnsi="Verdana" w:cs="Arial"/>
          <w:sz w:val="14"/>
          <w:szCs w:val="14"/>
          <w:lang w:val="es-ES_tradnl"/>
        </w:rPr>
        <w:t>De conformidad con la exposición de motivos: “Si bien […] la utilización de procedimientos reglados de selección objetiva se constituye en la regla general, entre los casos de excepción se destaca el relativo a la urgencia manifiesta que el artículo 36 regula de una manera más precisa en orden a facilitar su legítima utilización. Con tal fin se elimina el requisito de la calificación del Consejo de Ministros y se incluye un detalle enunciativo de los posibles factores configurativos de dicha situación de excepción, los cuales se vinculan esencialmente con situaciones evidentes de calamidad pública o que afecten de manera inminente la prestación del servicio, circunstancias que, por su propia naturaleza, determinan la imposibilidad de acudir a procedimientos de escogencia reglada. Se pretende de esa forma, facilitar al máximo la actuación de la administración frente a eventos excepcionales que reclaman su pronta intervención” (</w:t>
      </w:r>
      <w:r w:rsidRPr="00CA7CC6">
        <w:rPr>
          <w:rFonts w:ascii="Verdana" w:hAnsi="Verdana" w:cs="Arial"/>
          <w:sz w:val="14"/>
          <w:szCs w:val="14"/>
        </w:rPr>
        <w:t>CONGRESO DE LA REPÚBLICA. Exposición de motivos de la Ley 80 de 1993. Gaceta del Congreso No. 75 del 23 de septiembre de 1992).</w:t>
      </w:r>
    </w:p>
    <w:p w14:paraId="00E7D951" w14:textId="77777777" w:rsidR="0005258F" w:rsidRPr="00CA7CC6" w:rsidRDefault="0005258F" w:rsidP="0005258F">
      <w:pPr>
        <w:spacing w:after="0" w:line="240" w:lineRule="auto"/>
        <w:ind w:firstLine="709"/>
        <w:jc w:val="both"/>
        <w:rPr>
          <w:rFonts w:ascii="Verdana" w:hAnsi="Verdana" w:cs="Arial"/>
          <w:sz w:val="14"/>
          <w:szCs w:val="14"/>
        </w:rPr>
      </w:pPr>
    </w:p>
  </w:footnote>
  <w:footnote w:id="4">
    <w:p w14:paraId="5988AC94" w14:textId="77777777" w:rsidR="0005258F" w:rsidRDefault="0005258F" w:rsidP="0005258F">
      <w:pPr>
        <w:pStyle w:val="Textonotapie"/>
        <w:ind w:firstLine="708"/>
        <w:jc w:val="both"/>
        <w:rPr>
          <w:rFonts w:ascii="Verdana" w:hAnsi="Verdana" w:cs="Arial"/>
          <w:sz w:val="14"/>
          <w:szCs w:val="14"/>
        </w:rPr>
      </w:pPr>
      <w:r w:rsidRPr="00CA7CC6">
        <w:rPr>
          <w:rStyle w:val="Refdenotaalpie"/>
          <w:rFonts w:ascii="Verdana" w:hAnsi="Verdana" w:cs="Arial"/>
          <w:sz w:val="14"/>
          <w:szCs w:val="14"/>
        </w:rPr>
        <w:footnoteRef/>
      </w:r>
      <w:r w:rsidRPr="00CA7CC6">
        <w:rPr>
          <w:rFonts w:ascii="Verdana" w:hAnsi="Verdana" w:cs="Arial"/>
          <w:sz w:val="14"/>
          <w:szCs w:val="14"/>
        </w:rPr>
        <w:t xml:space="preserve"> DROMI, José Roberto. La licitación pública. Buenos Aires: Ciudad Argentina, 1980. p. 166-168.</w:t>
      </w:r>
    </w:p>
    <w:p w14:paraId="6B51846C" w14:textId="77777777" w:rsidR="0005258F" w:rsidRPr="00CA7CC6" w:rsidRDefault="0005258F" w:rsidP="0005258F">
      <w:pPr>
        <w:pStyle w:val="Textonotapie"/>
        <w:ind w:firstLine="708"/>
        <w:jc w:val="both"/>
        <w:rPr>
          <w:rFonts w:ascii="Verdana" w:hAnsi="Verdana" w:cs="Arial"/>
          <w:sz w:val="14"/>
          <w:szCs w:val="14"/>
        </w:rPr>
      </w:pPr>
    </w:p>
  </w:footnote>
  <w:footnote w:id="5">
    <w:p w14:paraId="31520817" w14:textId="77777777" w:rsidR="0005258F" w:rsidRPr="00CA7CC6" w:rsidRDefault="0005258F" w:rsidP="0005258F">
      <w:pPr>
        <w:pStyle w:val="Textonotapie"/>
        <w:ind w:firstLine="708"/>
        <w:jc w:val="both"/>
        <w:rPr>
          <w:rFonts w:ascii="Verdana" w:hAnsi="Verdana" w:cs="Arial"/>
          <w:sz w:val="14"/>
          <w:szCs w:val="14"/>
        </w:rPr>
      </w:pPr>
      <w:r w:rsidRPr="00CA7CC6">
        <w:rPr>
          <w:rStyle w:val="Refdenotaalpie"/>
          <w:rFonts w:ascii="Verdana" w:hAnsi="Verdana" w:cs="Arial"/>
          <w:sz w:val="14"/>
          <w:szCs w:val="14"/>
        </w:rPr>
        <w:footnoteRef/>
      </w:r>
      <w:r w:rsidRPr="00CA7CC6">
        <w:rPr>
          <w:rFonts w:ascii="Verdana" w:hAnsi="Verdana" w:cs="Arial"/>
          <w:sz w:val="14"/>
          <w:szCs w:val="14"/>
        </w:rPr>
        <w:t xml:space="preserve"> CONSEJO DE ESTADO. Sala de Consulta y de Servicio Civil. Concepto del 28 de enero de 1998. Rad. 1.073. C.P. Javier Henao Hidrón.</w:t>
      </w:r>
    </w:p>
  </w:footnote>
  <w:footnote w:id="6">
    <w:p w14:paraId="330D20B7" w14:textId="77777777" w:rsidR="0005258F" w:rsidRPr="00CA7CC6" w:rsidRDefault="0005258F" w:rsidP="0005258F">
      <w:pPr>
        <w:pStyle w:val="Textonotapie"/>
        <w:ind w:firstLine="708"/>
        <w:jc w:val="both"/>
        <w:rPr>
          <w:rFonts w:ascii="Verdana" w:hAnsi="Verdana" w:cs="Arial"/>
          <w:sz w:val="14"/>
          <w:szCs w:val="14"/>
        </w:rPr>
      </w:pPr>
      <w:r w:rsidRPr="00CA7CC6">
        <w:rPr>
          <w:rStyle w:val="Refdenotaalpie"/>
          <w:rFonts w:ascii="Verdana" w:hAnsi="Verdana" w:cs="Arial"/>
          <w:sz w:val="14"/>
          <w:szCs w:val="14"/>
        </w:rPr>
        <w:footnoteRef/>
      </w:r>
      <w:r w:rsidRPr="00CA7CC6">
        <w:rPr>
          <w:rFonts w:ascii="Verdana" w:hAnsi="Verdana" w:cs="Arial"/>
          <w:sz w:val="14"/>
          <w:szCs w:val="14"/>
        </w:rPr>
        <w:t xml:space="preserve"> Al respecto, “[…] si los funcionarios han sido negligentes en la realización de determinadas obras, y éstas se tornan gravemente imperiosas por el transcurso del tiempo, no podrá por tal causa la Administración la posibilidad de satisfacer la necesidad pública con la verdadera urgencia que la misma requiere. Lo que corresponde es hacer responsables, administrativa y civilmente, a los funcionarios en cuestión, sin perjuicio de solucionar el problema de la urgencia que el mismo objetivamente requiera” (GORDILLO, Agustín. Tratado de derecho administrativo y obras selectas. Tomo IX. Buenos Aires: FDA, 2014. p. XVI-16).</w:t>
      </w:r>
    </w:p>
  </w:footnote>
  <w:footnote w:id="7">
    <w:p w14:paraId="19ACD577" w14:textId="77777777" w:rsidR="0005258F" w:rsidRDefault="0005258F" w:rsidP="0005258F">
      <w:pPr>
        <w:spacing w:after="0" w:line="240" w:lineRule="auto"/>
        <w:ind w:firstLine="708"/>
        <w:jc w:val="both"/>
        <w:rPr>
          <w:rFonts w:ascii="Verdana" w:hAnsi="Verdana" w:cs="Arial"/>
          <w:sz w:val="14"/>
          <w:szCs w:val="14"/>
        </w:rPr>
      </w:pPr>
      <w:r w:rsidRPr="00CA7CC6">
        <w:rPr>
          <w:rStyle w:val="Refdenotaalpie"/>
          <w:rFonts w:ascii="Verdana" w:hAnsi="Verdana" w:cs="Arial"/>
          <w:sz w:val="14"/>
          <w:szCs w:val="14"/>
        </w:rPr>
        <w:footnoteRef/>
      </w:r>
      <w:r w:rsidRPr="00CA7CC6">
        <w:rPr>
          <w:rStyle w:val="Refdenotaalpie"/>
          <w:rFonts w:ascii="Verdana" w:hAnsi="Verdana" w:cs="Arial"/>
          <w:sz w:val="14"/>
          <w:szCs w:val="14"/>
        </w:rPr>
        <w:t xml:space="preserve">  </w:t>
      </w:r>
      <w:r w:rsidRPr="00CA7CC6">
        <w:rPr>
          <w:rFonts w:ascii="Verdana" w:hAnsi="Verdana" w:cs="Arial"/>
          <w:sz w:val="14"/>
          <w:szCs w:val="14"/>
        </w:rPr>
        <w:t>CONSEJO DE ESTADO. Sección Tercera. Subsección C. Sentencia del 7 de febrero de 2011. Rad. 34.425. C.P. Jaime Orlando Santofimio Gamboa.</w:t>
      </w:r>
    </w:p>
    <w:p w14:paraId="1685E690" w14:textId="77777777" w:rsidR="0005258F" w:rsidRPr="00CA7CC6" w:rsidRDefault="0005258F" w:rsidP="0005258F">
      <w:pPr>
        <w:spacing w:after="0" w:line="240" w:lineRule="auto"/>
        <w:ind w:firstLine="708"/>
        <w:jc w:val="both"/>
        <w:rPr>
          <w:rFonts w:ascii="Verdana" w:hAnsi="Verdana" w:cs="Arial"/>
          <w:sz w:val="14"/>
          <w:szCs w:val="14"/>
        </w:rPr>
      </w:pPr>
    </w:p>
  </w:footnote>
  <w:footnote w:id="8">
    <w:p w14:paraId="29EADBDC" w14:textId="77777777" w:rsidR="0005258F" w:rsidRPr="00CA7CC6" w:rsidRDefault="0005258F" w:rsidP="0005258F">
      <w:pPr>
        <w:pStyle w:val="Textonotapie"/>
        <w:ind w:firstLine="708"/>
        <w:jc w:val="both"/>
        <w:rPr>
          <w:rFonts w:ascii="Verdana" w:hAnsi="Verdana" w:cs="Arial"/>
          <w:sz w:val="14"/>
          <w:szCs w:val="14"/>
        </w:rPr>
      </w:pPr>
      <w:r w:rsidRPr="00CA7CC6">
        <w:rPr>
          <w:rStyle w:val="Refdenotaalpie"/>
          <w:rFonts w:ascii="Verdana" w:hAnsi="Verdana" w:cs="Arial"/>
          <w:sz w:val="14"/>
          <w:szCs w:val="14"/>
        </w:rPr>
        <w:footnoteRef/>
      </w:r>
      <w:r w:rsidRPr="00CA7CC6">
        <w:rPr>
          <w:rFonts w:ascii="Verdana" w:hAnsi="Verdana" w:cs="Arial"/>
          <w:sz w:val="14"/>
          <w:szCs w:val="14"/>
        </w:rPr>
        <w:t xml:space="preserve"> Cfr. ASAMBLEA NACIONAL CONSTITUYENTE. Gaceta Constitucional Nº 76 de mayo 18 de 1991. pp. 12-13.</w:t>
      </w:r>
    </w:p>
  </w:footnote>
  <w:footnote w:id="9">
    <w:p w14:paraId="32014D95" w14:textId="77777777" w:rsidR="0005258F" w:rsidRPr="00CA7CC6" w:rsidRDefault="0005258F" w:rsidP="0005258F">
      <w:pPr>
        <w:spacing w:after="0" w:line="240" w:lineRule="auto"/>
        <w:ind w:firstLine="708"/>
        <w:jc w:val="both"/>
        <w:rPr>
          <w:rFonts w:ascii="Verdana" w:eastAsia="Calibri" w:hAnsi="Verdana" w:cs="Arial"/>
          <w:sz w:val="14"/>
          <w:szCs w:val="14"/>
          <w:lang w:val="es-ES_tradnl"/>
        </w:rPr>
      </w:pPr>
      <w:r w:rsidRPr="00CA7CC6">
        <w:rPr>
          <w:rStyle w:val="Refdenotaalpie"/>
          <w:rFonts w:ascii="Verdana" w:hAnsi="Verdana" w:cs="Arial"/>
          <w:sz w:val="14"/>
          <w:szCs w:val="14"/>
        </w:rPr>
        <w:footnoteRef/>
      </w:r>
      <w:r w:rsidRPr="00CA7CC6">
        <w:rPr>
          <w:rFonts w:ascii="Verdana" w:hAnsi="Verdana" w:cs="Arial"/>
          <w:sz w:val="14"/>
          <w:szCs w:val="14"/>
        </w:rPr>
        <w:t xml:space="preserve"> </w:t>
      </w:r>
      <w:r w:rsidRPr="00CA7CC6">
        <w:rPr>
          <w:rFonts w:ascii="Verdana" w:eastAsia="Calibri" w:hAnsi="Verdana" w:cs="Arial"/>
          <w:sz w:val="14"/>
          <w:szCs w:val="14"/>
          <w:lang w:val="es-ES_tradnl"/>
        </w:rPr>
        <w:t>En resumen, la jurisprudencia explica que la urgencia manifiesta procede: “[...] en aquellos eventos en los cuales puede suscitarse la necesidad de remediar o evitar males presentes o futuros pero inminentes, provocados bien sea en virtud de los estados de excepción, o por la paralización de los servicios públicos, o provenientes de situaciones de calamidad o hechos constitutivos de fuerza mayor o desastres, o cualquier otra circunstancia similar que tampoco dé espera en su solución, de tal manera que resulte inconveniente el trámite del proceso licitatorio de selección de contratistas reglado en el estatuto contractual, por cuanto implica el agotamiento de una serie de etapas que se toman su tiempo y hacen más o menos largo el lapso para adjudicar el respectivo contrato, circunstancia que, frente a una situación de urgencia obviamente resulta entorpecedora, porque la solución en estas condiciones, puede llegar tardíamente, cuando ya se haya producido o agravado el daño” (</w:t>
      </w:r>
      <w:r w:rsidRPr="00CA7CC6">
        <w:rPr>
          <w:rFonts w:ascii="Verdana" w:hAnsi="Verdana" w:cs="Arial"/>
          <w:sz w:val="14"/>
          <w:szCs w:val="14"/>
        </w:rPr>
        <w:t xml:space="preserve">CONSEJO DE ESTADO. Sección Tercera. Sentencia del 27 de abril de 2006. Rad. 5.229. C.P. Ramiro Saavedra Becerra). </w:t>
      </w:r>
    </w:p>
  </w:footnote>
  <w:footnote w:id="10">
    <w:p w14:paraId="770A0B9E" w14:textId="77777777" w:rsidR="0005258F" w:rsidRPr="00CA7CC6" w:rsidRDefault="0005258F" w:rsidP="0005258F">
      <w:pPr>
        <w:pStyle w:val="Textonotapie"/>
        <w:ind w:firstLine="709"/>
        <w:jc w:val="both"/>
        <w:rPr>
          <w:rFonts w:ascii="Verdana" w:hAnsi="Verdana" w:cs="Arial"/>
          <w:sz w:val="14"/>
          <w:szCs w:val="14"/>
          <w:lang w:val="es-ES"/>
        </w:rPr>
      </w:pPr>
      <w:r w:rsidRPr="00CA7CC6">
        <w:rPr>
          <w:rStyle w:val="Refdenotaalpie"/>
          <w:rFonts w:ascii="Verdana" w:hAnsi="Verdana" w:cs="Arial"/>
          <w:sz w:val="14"/>
          <w:szCs w:val="14"/>
        </w:rPr>
        <w:footnoteRef/>
      </w:r>
      <w:r w:rsidRPr="00CA7CC6">
        <w:rPr>
          <w:rFonts w:ascii="Verdana" w:hAnsi="Verdana" w:cs="Arial"/>
          <w:sz w:val="14"/>
          <w:szCs w:val="14"/>
          <w:lang w:val="pt-BR"/>
        </w:rPr>
        <w:t xml:space="preserve"> CORTE CONSTITUCIONAL. Sentencia C-772 de 1998. </w:t>
      </w:r>
      <w:r w:rsidRPr="00CA7CC6">
        <w:rPr>
          <w:rFonts w:ascii="Verdana" w:hAnsi="Verdana" w:cs="Arial"/>
          <w:sz w:val="14"/>
          <w:szCs w:val="14"/>
          <w:lang w:val="es-ES"/>
        </w:rPr>
        <w:t>M.P. Fabio Morón Díaz.</w:t>
      </w:r>
    </w:p>
  </w:footnote>
  <w:footnote w:id="11">
    <w:p w14:paraId="576C98F8" w14:textId="77777777" w:rsidR="0005258F" w:rsidRPr="00A907B1" w:rsidRDefault="0005258F" w:rsidP="0005258F">
      <w:pPr>
        <w:pStyle w:val="Textonotapie"/>
        <w:ind w:firstLine="708"/>
        <w:jc w:val="both"/>
        <w:rPr>
          <w:rFonts w:ascii="Verdana" w:hAnsi="Verdana"/>
          <w:sz w:val="14"/>
          <w:szCs w:val="14"/>
          <w:lang w:val="es-CO"/>
        </w:rPr>
      </w:pPr>
      <w:r w:rsidRPr="00A907B1">
        <w:rPr>
          <w:rFonts w:ascii="Verdana" w:hAnsi="Verdana"/>
          <w:sz w:val="14"/>
          <w:szCs w:val="14"/>
          <w:vertAlign w:val="superscript"/>
          <w:lang w:val="es-CO"/>
        </w:rPr>
        <w:footnoteRef/>
      </w:r>
      <w:r w:rsidRPr="00A907B1">
        <w:rPr>
          <w:rFonts w:ascii="Verdana" w:hAnsi="Verdana"/>
          <w:sz w:val="14"/>
          <w:szCs w:val="14"/>
          <w:vertAlign w:val="superscript"/>
          <w:lang w:val="es-CO"/>
        </w:rPr>
        <w:t xml:space="preserve"> </w:t>
      </w:r>
      <w:r w:rsidRPr="00A907B1">
        <w:rPr>
          <w:rFonts w:ascii="Verdana" w:hAnsi="Verdana"/>
          <w:sz w:val="14"/>
          <w:szCs w:val="14"/>
          <w:lang w:val="es-CO"/>
        </w:rPr>
        <w:t>CORTE CONSTITUCIONAL. Sala Plena. Sentencia C-148 del 29 de abril de 2025. Expediente RE- 361</w:t>
      </w:r>
      <w:r>
        <w:rPr>
          <w:rFonts w:ascii="Verdana" w:hAnsi="Verdana"/>
          <w:sz w:val="14"/>
          <w:szCs w:val="14"/>
          <w:lang w:val="es-CO"/>
        </w:rPr>
        <w:t xml:space="preserve">. </w:t>
      </w:r>
      <w:r w:rsidRPr="00A907B1">
        <w:rPr>
          <w:rFonts w:ascii="Verdana" w:hAnsi="Verdana"/>
          <w:sz w:val="14"/>
          <w:szCs w:val="14"/>
          <w:lang w:val="es-CO"/>
        </w:rPr>
        <w:t>M.P. Natalia Ángel Cabo y Cristina Pardo Schlesinger</w:t>
      </w:r>
      <w:r>
        <w:rPr>
          <w:rFonts w:ascii="Verdana" w:hAnsi="Verdana"/>
          <w:sz w:val="14"/>
          <w:szCs w:val="14"/>
          <w:lang w:val="es-CO"/>
        </w:rPr>
        <w:t>.</w:t>
      </w:r>
      <w:r w:rsidRPr="00A907B1">
        <w:rPr>
          <w:rFonts w:ascii="Verdana" w:hAnsi="Verdana"/>
          <w:sz w:val="14"/>
          <w:szCs w:val="14"/>
          <w:lang w:val="es-CO"/>
        </w:rPr>
        <w:t xml:space="preserve"> </w:t>
      </w:r>
    </w:p>
  </w:footnote>
  <w:footnote w:id="12">
    <w:p w14:paraId="7C354392" w14:textId="77777777" w:rsidR="0005258F" w:rsidRPr="00CA7CC6" w:rsidRDefault="0005258F" w:rsidP="0005258F">
      <w:pPr>
        <w:pStyle w:val="Textonotapie"/>
        <w:ind w:firstLine="708"/>
        <w:jc w:val="both"/>
        <w:rPr>
          <w:rFonts w:ascii="Verdana" w:hAnsi="Verdana"/>
          <w:sz w:val="14"/>
          <w:szCs w:val="14"/>
          <w:lang w:val="es-CO"/>
        </w:rPr>
      </w:pPr>
      <w:r w:rsidRPr="00CA7CC6">
        <w:rPr>
          <w:rStyle w:val="Refdenotaalpie"/>
          <w:rFonts w:ascii="Verdana" w:hAnsi="Verdana"/>
          <w:sz w:val="14"/>
          <w:szCs w:val="14"/>
        </w:rPr>
        <w:footnoteRef/>
      </w:r>
      <w:r w:rsidRPr="00547FAE">
        <w:rPr>
          <w:rFonts w:ascii="Verdana" w:hAnsi="Verdana"/>
          <w:sz w:val="14"/>
          <w:szCs w:val="14"/>
          <w:lang w:val="es-CO"/>
        </w:rPr>
        <w:t xml:space="preserve"> Decreto 62 de 2025. </w:t>
      </w:r>
      <w:r w:rsidRPr="00CA7CC6">
        <w:rPr>
          <w:rFonts w:ascii="Verdana" w:hAnsi="Verdana"/>
          <w:sz w:val="14"/>
          <w:szCs w:val="14"/>
          <w:lang w:val="es-CO"/>
        </w:rPr>
        <w:t>III. Presupuesto de necesidad e insuficiencia de las medidas ordinarias. </w:t>
      </w:r>
    </w:p>
  </w:footnote>
  <w:footnote w:id="13">
    <w:p w14:paraId="226E444F" w14:textId="77777777" w:rsidR="0005258F" w:rsidRDefault="0005258F" w:rsidP="0005258F">
      <w:pPr>
        <w:pStyle w:val="Textonotapie"/>
        <w:ind w:firstLine="708"/>
        <w:jc w:val="both"/>
        <w:rPr>
          <w:rFonts w:ascii="Verdana" w:hAnsi="Verdana"/>
          <w:sz w:val="15"/>
          <w:szCs w:val="15"/>
          <w:lang w:val="es-ES"/>
        </w:rPr>
      </w:pPr>
      <w:r>
        <w:rPr>
          <w:rStyle w:val="Refdenotaalpie"/>
          <w:rFonts w:ascii="Verdana" w:hAnsi="Verdana"/>
          <w:sz w:val="15"/>
          <w:szCs w:val="15"/>
        </w:rPr>
        <w:footnoteRef/>
      </w:r>
      <w:r>
        <w:rPr>
          <w:rFonts w:ascii="Verdana" w:hAnsi="Verdana"/>
          <w:sz w:val="15"/>
          <w:szCs w:val="15"/>
        </w:rPr>
        <w:t xml:space="preserve"> Constitución Política de 1991. </w:t>
      </w:r>
      <w:r>
        <w:rPr>
          <w:rFonts w:ascii="Verdana" w:hAnsi="Verdana"/>
          <w:sz w:val="15"/>
          <w:szCs w:val="15"/>
          <w:lang w:val="es-CO"/>
        </w:rPr>
        <w:t>Artículo 213:</w:t>
      </w:r>
      <w:r>
        <w:rPr>
          <w:rFonts w:ascii="Verdana" w:hAnsi="Verdana"/>
          <w:b/>
          <w:bCs/>
          <w:sz w:val="15"/>
          <w:szCs w:val="15"/>
          <w:lang w:val="es-CO"/>
        </w:rPr>
        <w:t xml:space="preserve"> “</w:t>
      </w:r>
      <w:r>
        <w:rPr>
          <w:rFonts w:ascii="Verdana" w:hAnsi="Verdana"/>
          <w:sz w:val="15"/>
          <w:szCs w:val="15"/>
          <w:lang w:val="es-CO"/>
        </w:rPr>
        <w:t>En caso de grave perturbación del orden público que atente de manera inminente contra la estabilidad institucional, la seguridad del Estado, o la convivencia ciudadana, y que no pueda ser conjurada mediante el uso de las atribuciones ordinarias de las autoridades de Policía, el Presidente de la República, con la firma de todos los ministros, podrá declarar el Estado de Conmoción Interior, en toda la República o parte de ella, por término no mayor de noventa días, prorrogable hasta por dos períodos iguales, el segundo de los cuales requiere concepto previo y favorable del Senado de la República […]”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visibility:visible;mso-wrap-style:square" o:bullet="t">
        <v:imagedata r:id="rId1" o:title=""/>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8D4202D"/>
    <w:multiLevelType w:val="hybridMultilevel"/>
    <w:tmpl w:val="557A8FE0"/>
    <w:lvl w:ilvl="0" w:tplc="77D2444A">
      <w:start w:val="1"/>
      <w:numFmt w:val="lowerRoman"/>
      <w:lvlText w:val="%1."/>
      <w:lvlJc w:val="left"/>
      <w:pPr>
        <w:ind w:left="1080" w:hanging="720"/>
      </w:pPr>
      <w:rPr>
        <w:rFonts w:hint="default"/>
        <w:color w:val="000000" w:themeColor="text1"/>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22AD1188"/>
    <w:multiLevelType w:val="hybridMultilevel"/>
    <w:tmpl w:val="F35E0D28"/>
    <w:lvl w:ilvl="0" w:tplc="B91CD640">
      <w:start w:val="1"/>
      <w:numFmt w:val="lowerRoman"/>
      <w:lvlText w:val="%1."/>
      <w:lvlJc w:val="left"/>
      <w:pPr>
        <w:ind w:left="1080" w:hanging="720"/>
      </w:pPr>
      <w:rPr>
        <w:rFonts w:hint="default"/>
        <w:color w:val="000000" w:themeColor="text1"/>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FBB62E6"/>
    <w:multiLevelType w:val="hybridMultilevel"/>
    <w:tmpl w:val="2C507DCA"/>
    <w:lvl w:ilvl="0" w:tplc="B4FA6AE4">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15:restartNumberingAfterBreak="0">
    <w:nsid w:val="418679D0"/>
    <w:multiLevelType w:val="hybridMultilevel"/>
    <w:tmpl w:val="F2F430A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5"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E857FA7"/>
    <w:multiLevelType w:val="hybridMultilevel"/>
    <w:tmpl w:val="55089AC8"/>
    <w:lvl w:ilvl="0" w:tplc="2C342CFE">
      <w:start w:val="1"/>
      <w:numFmt w:val="lowerRoman"/>
      <w:lvlText w:val="%1."/>
      <w:lvlJc w:val="left"/>
      <w:pPr>
        <w:ind w:left="1080" w:hanging="720"/>
      </w:pPr>
      <w:rPr>
        <w:rFonts w:eastAsia="Arial MT"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948779781">
    <w:abstractNumId w:val="9"/>
  </w:num>
  <w:num w:numId="2" w16cid:durableId="19822139">
    <w:abstractNumId w:val="2"/>
  </w:num>
  <w:num w:numId="3" w16cid:durableId="876742304">
    <w:abstractNumId w:val="7"/>
  </w:num>
  <w:num w:numId="4" w16cid:durableId="24518640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7"/>
  </w:num>
  <w:num w:numId="7" w16cid:durableId="1946422806">
    <w:abstractNumId w:val="8"/>
  </w:num>
  <w:num w:numId="8" w16cid:durableId="152644682">
    <w:abstractNumId w:val="16"/>
  </w:num>
  <w:num w:numId="9" w16cid:durableId="1317221377">
    <w:abstractNumId w:val="10"/>
  </w:num>
  <w:num w:numId="10" w16cid:durableId="1471245386">
    <w:abstractNumId w:val="15"/>
  </w:num>
  <w:num w:numId="11" w16cid:durableId="289172385">
    <w:abstractNumId w:val="11"/>
  </w:num>
  <w:num w:numId="12" w16cid:durableId="1470781324">
    <w:abstractNumId w:val="1"/>
  </w:num>
  <w:num w:numId="13" w16cid:durableId="1512908409">
    <w:abstractNumId w:val="5"/>
  </w:num>
  <w:num w:numId="14" w16cid:durableId="895897244">
    <w:abstractNumId w:val="18"/>
  </w:num>
  <w:num w:numId="15" w16cid:durableId="390349800">
    <w:abstractNumId w:val="14"/>
  </w:num>
  <w:num w:numId="16" w16cid:durableId="1330140246">
    <w:abstractNumId w:val="0"/>
  </w:num>
  <w:num w:numId="17" w16cid:durableId="679089576">
    <w:abstractNumId w:val="12"/>
  </w:num>
  <w:num w:numId="18" w16cid:durableId="257060930">
    <w:abstractNumId w:val="4"/>
  </w:num>
  <w:num w:numId="19" w16cid:durableId="1941595604">
    <w:abstractNumId w:val="3"/>
  </w:num>
  <w:num w:numId="20" w16cid:durableId="153255849">
    <w:abstractNumId w:val="13"/>
  </w:num>
  <w:num w:numId="21" w16cid:durableId="1814255945">
    <w:abstractNumId w:val="19"/>
  </w:num>
  <w:num w:numId="22" w16cid:durableId="131814608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512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0D85"/>
    <w:rsid w:val="000078BA"/>
    <w:rsid w:val="00011349"/>
    <w:rsid w:val="00016F78"/>
    <w:rsid w:val="00037C5B"/>
    <w:rsid w:val="00043DDF"/>
    <w:rsid w:val="00046945"/>
    <w:rsid w:val="0005258F"/>
    <w:rsid w:val="00055CB6"/>
    <w:rsid w:val="00056398"/>
    <w:rsid w:val="00061B2A"/>
    <w:rsid w:val="0006320D"/>
    <w:rsid w:val="00073D7F"/>
    <w:rsid w:val="0007571D"/>
    <w:rsid w:val="00082362"/>
    <w:rsid w:val="00091CA1"/>
    <w:rsid w:val="00091F63"/>
    <w:rsid w:val="00093EC2"/>
    <w:rsid w:val="000942FA"/>
    <w:rsid w:val="000946A9"/>
    <w:rsid w:val="000966E4"/>
    <w:rsid w:val="000A5826"/>
    <w:rsid w:val="000A683E"/>
    <w:rsid w:val="000B19B9"/>
    <w:rsid w:val="000B47D5"/>
    <w:rsid w:val="000B6022"/>
    <w:rsid w:val="000B71D8"/>
    <w:rsid w:val="000D0334"/>
    <w:rsid w:val="000D7CCA"/>
    <w:rsid w:val="000D7E1C"/>
    <w:rsid w:val="000F129A"/>
    <w:rsid w:val="000F1A30"/>
    <w:rsid w:val="000F3711"/>
    <w:rsid w:val="000F6486"/>
    <w:rsid w:val="00100DDA"/>
    <w:rsid w:val="00125105"/>
    <w:rsid w:val="00125524"/>
    <w:rsid w:val="00127233"/>
    <w:rsid w:val="00134FBE"/>
    <w:rsid w:val="0013550B"/>
    <w:rsid w:val="00135CAF"/>
    <w:rsid w:val="00141271"/>
    <w:rsid w:val="001511A0"/>
    <w:rsid w:val="00160943"/>
    <w:rsid w:val="001673BE"/>
    <w:rsid w:val="00172D92"/>
    <w:rsid w:val="00180ACE"/>
    <w:rsid w:val="0019179A"/>
    <w:rsid w:val="00196C57"/>
    <w:rsid w:val="001A24D3"/>
    <w:rsid w:val="001A42E6"/>
    <w:rsid w:val="001B1CD2"/>
    <w:rsid w:val="001B21B1"/>
    <w:rsid w:val="001B67A4"/>
    <w:rsid w:val="001C2DE1"/>
    <w:rsid w:val="001C37E1"/>
    <w:rsid w:val="001C3A39"/>
    <w:rsid w:val="001E172F"/>
    <w:rsid w:val="001E3213"/>
    <w:rsid w:val="001E4177"/>
    <w:rsid w:val="001E5252"/>
    <w:rsid w:val="001E53EB"/>
    <w:rsid w:val="001F0AB4"/>
    <w:rsid w:val="001F0F8B"/>
    <w:rsid w:val="001F44FE"/>
    <w:rsid w:val="001F5886"/>
    <w:rsid w:val="001F6D75"/>
    <w:rsid w:val="001F7DC6"/>
    <w:rsid w:val="002011C2"/>
    <w:rsid w:val="002018FB"/>
    <w:rsid w:val="00202317"/>
    <w:rsid w:val="00210DD8"/>
    <w:rsid w:val="00225440"/>
    <w:rsid w:val="002421BB"/>
    <w:rsid w:val="00246D00"/>
    <w:rsid w:val="00250450"/>
    <w:rsid w:val="0025796E"/>
    <w:rsid w:val="00267989"/>
    <w:rsid w:val="00270213"/>
    <w:rsid w:val="002707A2"/>
    <w:rsid w:val="002754B5"/>
    <w:rsid w:val="0028021C"/>
    <w:rsid w:val="00284000"/>
    <w:rsid w:val="0028780E"/>
    <w:rsid w:val="002951A0"/>
    <w:rsid w:val="002953E3"/>
    <w:rsid w:val="002962BC"/>
    <w:rsid w:val="002A093D"/>
    <w:rsid w:val="002A0DD0"/>
    <w:rsid w:val="002A49AC"/>
    <w:rsid w:val="002A57AD"/>
    <w:rsid w:val="002A64FD"/>
    <w:rsid w:val="002B26AE"/>
    <w:rsid w:val="002B2900"/>
    <w:rsid w:val="002B5851"/>
    <w:rsid w:val="002B5EEB"/>
    <w:rsid w:val="002C106B"/>
    <w:rsid w:val="002C59FD"/>
    <w:rsid w:val="002C7A84"/>
    <w:rsid w:val="002D6778"/>
    <w:rsid w:val="002E4E18"/>
    <w:rsid w:val="002E4FD9"/>
    <w:rsid w:val="002F113E"/>
    <w:rsid w:val="002F5E07"/>
    <w:rsid w:val="003060C8"/>
    <w:rsid w:val="00307FCA"/>
    <w:rsid w:val="003123DF"/>
    <w:rsid w:val="003143EE"/>
    <w:rsid w:val="00322A85"/>
    <w:rsid w:val="00324168"/>
    <w:rsid w:val="00331A29"/>
    <w:rsid w:val="00332394"/>
    <w:rsid w:val="00333282"/>
    <w:rsid w:val="00340B6A"/>
    <w:rsid w:val="003415A5"/>
    <w:rsid w:val="003440FC"/>
    <w:rsid w:val="003448F4"/>
    <w:rsid w:val="00354584"/>
    <w:rsid w:val="0036719B"/>
    <w:rsid w:val="003716D1"/>
    <w:rsid w:val="003743E5"/>
    <w:rsid w:val="00374F5E"/>
    <w:rsid w:val="00377E3E"/>
    <w:rsid w:val="0038031B"/>
    <w:rsid w:val="003803D3"/>
    <w:rsid w:val="00382F8A"/>
    <w:rsid w:val="00383D27"/>
    <w:rsid w:val="00387FF1"/>
    <w:rsid w:val="003A1985"/>
    <w:rsid w:val="003A50CC"/>
    <w:rsid w:val="003A779E"/>
    <w:rsid w:val="003B27DD"/>
    <w:rsid w:val="003C1E58"/>
    <w:rsid w:val="003C36C3"/>
    <w:rsid w:val="003C4AAA"/>
    <w:rsid w:val="003D0F4D"/>
    <w:rsid w:val="003D5B0D"/>
    <w:rsid w:val="003D6F14"/>
    <w:rsid w:val="003E0499"/>
    <w:rsid w:val="003E1A3B"/>
    <w:rsid w:val="003E260D"/>
    <w:rsid w:val="003E63A3"/>
    <w:rsid w:val="003F3941"/>
    <w:rsid w:val="0040431C"/>
    <w:rsid w:val="00406575"/>
    <w:rsid w:val="00407D8F"/>
    <w:rsid w:val="004115E1"/>
    <w:rsid w:val="00414604"/>
    <w:rsid w:val="00414C74"/>
    <w:rsid w:val="00422F5F"/>
    <w:rsid w:val="0042722E"/>
    <w:rsid w:val="004309DC"/>
    <w:rsid w:val="00431F82"/>
    <w:rsid w:val="0043229F"/>
    <w:rsid w:val="004415F1"/>
    <w:rsid w:val="00442788"/>
    <w:rsid w:val="0044528D"/>
    <w:rsid w:val="00453070"/>
    <w:rsid w:val="00456D1B"/>
    <w:rsid w:val="004630AE"/>
    <w:rsid w:val="00463596"/>
    <w:rsid w:val="00472F0E"/>
    <w:rsid w:val="00476AF9"/>
    <w:rsid w:val="00486481"/>
    <w:rsid w:val="00492A6D"/>
    <w:rsid w:val="00496C6A"/>
    <w:rsid w:val="00497DF3"/>
    <w:rsid w:val="004A06AA"/>
    <w:rsid w:val="004A1847"/>
    <w:rsid w:val="004A274C"/>
    <w:rsid w:val="004A305D"/>
    <w:rsid w:val="004A781E"/>
    <w:rsid w:val="004B0A34"/>
    <w:rsid w:val="004B1B93"/>
    <w:rsid w:val="004B4752"/>
    <w:rsid w:val="004C0D70"/>
    <w:rsid w:val="004C3FD5"/>
    <w:rsid w:val="004C5E8A"/>
    <w:rsid w:val="004D074C"/>
    <w:rsid w:val="004D0E73"/>
    <w:rsid w:val="004D1D87"/>
    <w:rsid w:val="004E4200"/>
    <w:rsid w:val="004F21C4"/>
    <w:rsid w:val="004F685F"/>
    <w:rsid w:val="004F73C2"/>
    <w:rsid w:val="00501D4D"/>
    <w:rsid w:val="0051328F"/>
    <w:rsid w:val="0051716D"/>
    <w:rsid w:val="005207AF"/>
    <w:rsid w:val="00525886"/>
    <w:rsid w:val="0053303E"/>
    <w:rsid w:val="00542559"/>
    <w:rsid w:val="00543064"/>
    <w:rsid w:val="00546EB3"/>
    <w:rsid w:val="005566E8"/>
    <w:rsid w:val="00561E28"/>
    <w:rsid w:val="00562CCD"/>
    <w:rsid w:val="005635DE"/>
    <w:rsid w:val="00574867"/>
    <w:rsid w:val="005775AB"/>
    <w:rsid w:val="0058263C"/>
    <w:rsid w:val="005831CD"/>
    <w:rsid w:val="00583EC1"/>
    <w:rsid w:val="00584F28"/>
    <w:rsid w:val="00586289"/>
    <w:rsid w:val="00586625"/>
    <w:rsid w:val="00591460"/>
    <w:rsid w:val="00594D0B"/>
    <w:rsid w:val="005979F3"/>
    <w:rsid w:val="005A1A89"/>
    <w:rsid w:val="005A6F04"/>
    <w:rsid w:val="005B3816"/>
    <w:rsid w:val="005B6471"/>
    <w:rsid w:val="005B7AE7"/>
    <w:rsid w:val="005C1B82"/>
    <w:rsid w:val="005C3777"/>
    <w:rsid w:val="005C5CDC"/>
    <w:rsid w:val="005D476C"/>
    <w:rsid w:val="005D56AE"/>
    <w:rsid w:val="005F019E"/>
    <w:rsid w:val="005F05CA"/>
    <w:rsid w:val="005F1597"/>
    <w:rsid w:val="00602226"/>
    <w:rsid w:val="006219F8"/>
    <w:rsid w:val="00626F9C"/>
    <w:rsid w:val="006328BE"/>
    <w:rsid w:val="00633647"/>
    <w:rsid w:val="00652E20"/>
    <w:rsid w:val="00654086"/>
    <w:rsid w:val="00657820"/>
    <w:rsid w:val="00665D70"/>
    <w:rsid w:val="00667048"/>
    <w:rsid w:val="00673F88"/>
    <w:rsid w:val="0067427A"/>
    <w:rsid w:val="00681227"/>
    <w:rsid w:val="00684FA5"/>
    <w:rsid w:val="00685AB4"/>
    <w:rsid w:val="006900D9"/>
    <w:rsid w:val="00690765"/>
    <w:rsid w:val="00690772"/>
    <w:rsid w:val="00691A81"/>
    <w:rsid w:val="006A5C8C"/>
    <w:rsid w:val="006B2B39"/>
    <w:rsid w:val="006B596D"/>
    <w:rsid w:val="006B7F36"/>
    <w:rsid w:val="006C345D"/>
    <w:rsid w:val="006C6022"/>
    <w:rsid w:val="006C6599"/>
    <w:rsid w:val="006C6D86"/>
    <w:rsid w:val="006D616C"/>
    <w:rsid w:val="006D72B8"/>
    <w:rsid w:val="006E03EB"/>
    <w:rsid w:val="006E79D3"/>
    <w:rsid w:val="006F503B"/>
    <w:rsid w:val="006F6FD1"/>
    <w:rsid w:val="00706C16"/>
    <w:rsid w:val="00712AA4"/>
    <w:rsid w:val="0071760D"/>
    <w:rsid w:val="007236CC"/>
    <w:rsid w:val="00726727"/>
    <w:rsid w:val="00731A11"/>
    <w:rsid w:val="00741F35"/>
    <w:rsid w:val="00743139"/>
    <w:rsid w:val="00745944"/>
    <w:rsid w:val="00756841"/>
    <w:rsid w:val="0076120F"/>
    <w:rsid w:val="00761357"/>
    <w:rsid w:val="00762E8F"/>
    <w:rsid w:val="007649AB"/>
    <w:rsid w:val="00771D0C"/>
    <w:rsid w:val="007833AC"/>
    <w:rsid w:val="00787EC3"/>
    <w:rsid w:val="00793755"/>
    <w:rsid w:val="007B0DB8"/>
    <w:rsid w:val="007B268C"/>
    <w:rsid w:val="007B527A"/>
    <w:rsid w:val="007B7171"/>
    <w:rsid w:val="007C0C0F"/>
    <w:rsid w:val="007C3DC2"/>
    <w:rsid w:val="007C3F96"/>
    <w:rsid w:val="007D140A"/>
    <w:rsid w:val="007D2584"/>
    <w:rsid w:val="007D6FF5"/>
    <w:rsid w:val="007D7739"/>
    <w:rsid w:val="007E0776"/>
    <w:rsid w:val="007E3FCB"/>
    <w:rsid w:val="007E46FF"/>
    <w:rsid w:val="007E5497"/>
    <w:rsid w:val="007F4B16"/>
    <w:rsid w:val="007F7216"/>
    <w:rsid w:val="00802F73"/>
    <w:rsid w:val="00806F5F"/>
    <w:rsid w:val="00820278"/>
    <w:rsid w:val="008307B6"/>
    <w:rsid w:val="0083509D"/>
    <w:rsid w:val="0086755E"/>
    <w:rsid w:val="00867F95"/>
    <w:rsid w:val="0087723F"/>
    <w:rsid w:val="0088209A"/>
    <w:rsid w:val="008843B6"/>
    <w:rsid w:val="00890CCA"/>
    <w:rsid w:val="00891928"/>
    <w:rsid w:val="008960F7"/>
    <w:rsid w:val="008965AC"/>
    <w:rsid w:val="008A39C3"/>
    <w:rsid w:val="008A4229"/>
    <w:rsid w:val="008A422C"/>
    <w:rsid w:val="008A446D"/>
    <w:rsid w:val="008A5B5E"/>
    <w:rsid w:val="008B31D9"/>
    <w:rsid w:val="008C6BFF"/>
    <w:rsid w:val="008D180B"/>
    <w:rsid w:val="008D2724"/>
    <w:rsid w:val="008D7FD9"/>
    <w:rsid w:val="008E0522"/>
    <w:rsid w:val="008E0FC9"/>
    <w:rsid w:val="008F0EA7"/>
    <w:rsid w:val="009005E0"/>
    <w:rsid w:val="00906E6A"/>
    <w:rsid w:val="00912ED1"/>
    <w:rsid w:val="00913A6C"/>
    <w:rsid w:val="00917FE8"/>
    <w:rsid w:val="00923EEF"/>
    <w:rsid w:val="009265FA"/>
    <w:rsid w:val="00933A33"/>
    <w:rsid w:val="009419F9"/>
    <w:rsid w:val="00941C3E"/>
    <w:rsid w:val="0095685E"/>
    <w:rsid w:val="009579E6"/>
    <w:rsid w:val="00961B09"/>
    <w:rsid w:val="00965334"/>
    <w:rsid w:val="0097093E"/>
    <w:rsid w:val="009715C6"/>
    <w:rsid w:val="009743D0"/>
    <w:rsid w:val="00974406"/>
    <w:rsid w:val="009802F3"/>
    <w:rsid w:val="009864AC"/>
    <w:rsid w:val="00986AC5"/>
    <w:rsid w:val="00990018"/>
    <w:rsid w:val="00997A28"/>
    <w:rsid w:val="009A09AB"/>
    <w:rsid w:val="009A0A10"/>
    <w:rsid w:val="009A0DFA"/>
    <w:rsid w:val="009A5559"/>
    <w:rsid w:val="009A6512"/>
    <w:rsid w:val="009B2D26"/>
    <w:rsid w:val="009C23B4"/>
    <w:rsid w:val="009C6E09"/>
    <w:rsid w:val="009C71FA"/>
    <w:rsid w:val="009C72E7"/>
    <w:rsid w:val="009D3058"/>
    <w:rsid w:val="009E291B"/>
    <w:rsid w:val="009E3024"/>
    <w:rsid w:val="009E67FE"/>
    <w:rsid w:val="009F1166"/>
    <w:rsid w:val="009F3A13"/>
    <w:rsid w:val="00A00E21"/>
    <w:rsid w:val="00A063E0"/>
    <w:rsid w:val="00A06E64"/>
    <w:rsid w:val="00A10C8A"/>
    <w:rsid w:val="00A1226C"/>
    <w:rsid w:val="00A122D3"/>
    <w:rsid w:val="00A14A60"/>
    <w:rsid w:val="00A17F13"/>
    <w:rsid w:val="00A20739"/>
    <w:rsid w:val="00A20920"/>
    <w:rsid w:val="00A27CF0"/>
    <w:rsid w:val="00A3149A"/>
    <w:rsid w:val="00A31D52"/>
    <w:rsid w:val="00A33C78"/>
    <w:rsid w:val="00A54B54"/>
    <w:rsid w:val="00A55830"/>
    <w:rsid w:val="00A576FC"/>
    <w:rsid w:val="00A61153"/>
    <w:rsid w:val="00A61D48"/>
    <w:rsid w:val="00A65AAC"/>
    <w:rsid w:val="00A72CF6"/>
    <w:rsid w:val="00A8370F"/>
    <w:rsid w:val="00A93985"/>
    <w:rsid w:val="00AA27FE"/>
    <w:rsid w:val="00AA3264"/>
    <w:rsid w:val="00AA6BFB"/>
    <w:rsid w:val="00AA732D"/>
    <w:rsid w:val="00AB0ADB"/>
    <w:rsid w:val="00AB3F48"/>
    <w:rsid w:val="00AB456A"/>
    <w:rsid w:val="00AB7109"/>
    <w:rsid w:val="00AC32B9"/>
    <w:rsid w:val="00AC53CD"/>
    <w:rsid w:val="00AC6195"/>
    <w:rsid w:val="00AE2C9E"/>
    <w:rsid w:val="00AF2378"/>
    <w:rsid w:val="00B01B1A"/>
    <w:rsid w:val="00B10FF1"/>
    <w:rsid w:val="00B15F8B"/>
    <w:rsid w:val="00B17883"/>
    <w:rsid w:val="00B21875"/>
    <w:rsid w:val="00B26BAB"/>
    <w:rsid w:val="00B305EA"/>
    <w:rsid w:val="00B336DE"/>
    <w:rsid w:val="00B367EE"/>
    <w:rsid w:val="00B47D83"/>
    <w:rsid w:val="00B52702"/>
    <w:rsid w:val="00B602CA"/>
    <w:rsid w:val="00B6347E"/>
    <w:rsid w:val="00B66319"/>
    <w:rsid w:val="00B66EB6"/>
    <w:rsid w:val="00B72CD3"/>
    <w:rsid w:val="00B72FFF"/>
    <w:rsid w:val="00B765B7"/>
    <w:rsid w:val="00B900A2"/>
    <w:rsid w:val="00B95940"/>
    <w:rsid w:val="00B9755A"/>
    <w:rsid w:val="00B97680"/>
    <w:rsid w:val="00BA200C"/>
    <w:rsid w:val="00BA69C6"/>
    <w:rsid w:val="00BB4C30"/>
    <w:rsid w:val="00BB5BC7"/>
    <w:rsid w:val="00BC1BFA"/>
    <w:rsid w:val="00BC3D36"/>
    <w:rsid w:val="00BD06E4"/>
    <w:rsid w:val="00BD60ED"/>
    <w:rsid w:val="00BD7F72"/>
    <w:rsid w:val="00BF4CE8"/>
    <w:rsid w:val="00BF7E8D"/>
    <w:rsid w:val="00C02552"/>
    <w:rsid w:val="00C02B73"/>
    <w:rsid w:val="00C04C47"/>
    <w:rsid w:val="00C04FB3"/>
    <w:rsid w:val="00C06BB3"/>
    <w:rsid w:val="00C20404"/>
    <w:rsid w:val="00C330EB"/>
    <w:rsid w:val="00C3464F"/>
    <w:rsid w:val="00C36B83"/>
    <w:rsid w:val="00C41061"/>
    <w:rsid w:val="00C501C0"/>
    <w:rsid w:val="00C515CA"/>
    <w:rsid w:val="00C51992"/>
    <w:rsid w:val="00C54756"/>
    <w:rsid w:val="00C60D6E"/>
    <w:rsid w:val="00C73E69"/>
    <w:rsid w:val="00C754BE"/>
    <w:rsid w:val="00C76B1C"/>
    <w:rsid w:val="00C90917"/>
    <w:rsid w:val="00C93C99"/>
    <w:rsid w:val="00C96FD8"/>
    <w:rsid w:val="00CA3D18"/>
    <w:rsid w:val="00CB01D1"/>
    <w:rsid w:val="00CB5C2D"/>
    <w:rsid w:val="00CB6357"/>
    <w:rsid w:val="00CC11DE"/>
    <w:rsid w:val="00CC1B26"/>
    <w:rsid w:val="00CC269B"/>
    <w:rsid w:val="00CD064A"/>
    <w:rsid w:val="00CD266F"/>
    <w:rsid w:val="00CE7ED0"/>
    <w:rsid w:val="00CF1337"/>
    <w:rsid w:val="00D00E18"/>
    <w:rsid w:val="00D04370"/>
    <w:rsid w:val="00D2052E"/>
    <w:rsid w:val="00D2219F"/>
    <w:rsid w:val="00D35971"/>
    <w:rsid w:val="00D40316"/>
    <w:rsid w:val="00D423A2"/>
    <w:rsid w:val="00D42B83"/>
    <w:rsid w:val="00D45DA8"/>
    <w:rsid w:val="00D47DD5"/>
    <w:rsid w:val="00D520D8"/>
    <w:rsid w:val="00D55BAB"/>
    <w:rsid w:val="00D55D1D"/>
    <w:rsid w:val="00D63AC2"/>
    <w:rsid w:val="00D66AAF"/>
    <w:rsid w:val="00D7383B"/>
    <w:rsid w:val="00D75427"/>
    <w:rsid w:val="00D76D51"/>
    <w:rsid w:val="00D77742"/>
    <w:rsid w:val="00D9096B"/>
    <w:rsid w:val="00DA0074"/>
    <w:rsid w:val="00DA09DC"/>
    <w:rsid w:val="00DA231B"/>
    <w:rsid w:val="00DB62FA"/>
    <w:rsid w:val="00DC39FC"/>
    <w:rsid w:val="00DC523B"/>
    <w:rsid w:val="00DC72C6"/>
    <w:rsid w:val="00DD39EC"/>
    <w:rsid w:val="00DD40BD"/>
    <w:rsid w:val="00DE2F2B"/>
    <w:rsid w:val="00DF434A"/>
    <w:rsid w:val="00DF5254"/>
    <w:rsid w:val="00DF69CD"/>
    <w:rsid w:val="00DF7E23"/>
    <w:rsid w:val="00E031A4"/>
    <w:rsid w:val="00E04BA6"/>
    <w:rsid w:val="00E108E9"/>
    <w:rsid w:val="00E11045"/>
    <w:rsid w:val="00E11B2A"/>
    <w:rsid w:val="00E16408"/>
    <w:rsid w:val="00E20894"/>
    <w:rsid w:val="00E23E59"/>
    <w:rsid w:val="00E245AB"/>
    <w:rsid w:val="00E26FB4"/>
    <w:rsid w:val="00E2764C"/>
    <w:rsid w:val="00E27F2E"/>
    <w:rsid w:val="00E32F01"/>
    <w:rsid w:val="00E36426"/>
    <w:rsid w:val="00E409D0"/>
    <w:rsid w:val="00E50AFE"/>
    <w:rsid w:val="00E5171C"/>
    <w:rsid w:val="00E520C1"/>
    <w:rsid w:val="00E66020"/>
    <w:rsid w:val="00E75C92"/>
    <w:rsid w:val="00E771DC"/>
    <w:rsid w:val="00E8019E"/>
    <w:rsid w:val="00E86A32"/>
    <w:rsid w:val="00E8772A"/>
    <w:rsid w:val="00E90F6B"/>
    <w:rsid w:val="00E92C27"/>
    <w:rsid w:val="00E95A1B"/>
    <w:rsid w:val="00E96089"/>
    <w:rsid w:val="00E97991"/>
    <w:rsid w:val="00EA0087"/>
    <w:rsid w:val="00EA0E3D"/>
    <w:rsid w:val="00EA456C"/>
    <w:rsid w:val="00EA534F"/>
    <w:rsid w:val="00EA6AE1"/>
    <w:rsid w:val="00EB18F4"/>
    <w:rsid w:val="00EB4F2C"/>
    <w:rsid w:val="00EC38A7"/>
    <w:rsid w:val="00EC3BA0"/>
    <w:rsid w:val="00EC55A9"/>
    <w:rsid w:val="00ED5382"/>
    <w:rsid w:val="00ED7384"/>
    <w:rsid w:val="00EE1AA8"/>
    <w:rsid w:val="00EE7FC7"/>
    <w:rsid w:val="00EF261D"/>
    <w:rsid w:val="00EF6811"/>
    <w:rsid w:val="00F05337"/>
    <w:rsid w:val="00F25FC1"/>
    <w:rsid w:val="00F31EDC"/>
    <w:rsid w:val="00F36F1D"/>
    <w:rsid w:val="00F379A9"/>
    <w:rsid w:val="00F401BC"/>
    <w:rsid w:val="00F41A8C"/>
    <w:rsid w:val="00F4550A"/>
    <w:rsid w:val="00F462B3"/>
    <w:rsid w:val="00F47012"/>
    <w:rsid w:val="00F51D13"/>
    <w:rsid w:val="00F524E3"/>
    <w:rsid w:val="00F52F4E"/>
    <w:rsid w:val="00F55D00"/>
    <w:rsid w:val="00F5664F"/>
    <w:rsid w:val="00F61E10"/>
    <w:rsid w:val="00F621CD"/>
    <w:rsid w:val="00F666C4"/>
    <w:rsid w:val="00F76AFC"/>
    <w:rsid w:val="00F77A25"/>
    <w:rsid w:val="00FA2937"/>
    <w:rsid w:val="00FA47C0"/>
    <w:rsid w:val="00FB01E9"/>
    <w:rsid w:val="00FB0E5E"/>
    <w:rsid w:val="00FB2940"/>
    <w:rsid w:val="00FB3F2B"/>
    <w:rsid w:val="00FB5DD1"/>
    <w:rsid w:val="00FC16E7"/>
    <w:rsid w:val="00FC2B5D"/>
    <w:rsid w:val="00FC3BD8"/>
    <w:rsid w:val="00FC4A2E"/>
    <w:rsid w:val="00FD7ED5"/>
    <w:rsid w:val="00FE67E5"/>
    <w:rsid w:val="00FF06D4"/>
    <w:rsid w:val="00FF125E"/>
    <w:rsid w:val="00FF1449"/>
    <w:rsid w:val="00FF4667"/>
    <w:rsid w:val="165E9519"/>
    <w:rsid w:val="382536D9"/>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1C3A39"/>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1C3A39"/>
    <w:rPr>
      <w:rFonts w:ascii="Geomanist Light" w:hAnsi="Geomanist Light"/>
      <w:lang w:val="es-ES"/>
    </w:rPr>
  </w:style>
  <w:style w:type="character" w:customStyle="1" w:styleId="s15">
    <w:name w:val="s15"/>
    <w:basedOn w:val="Fuentedeprrafopredeter"/>
    <w:rsid w:val="001C3A39"/>
  </w:style>
  <w:style w:type="character" w:customStyle="1" w:styleId="apple-converted-space">
    <w:name w:val="apple-converted-space"/>
    <w:basedOn w:val="Fuentedeprrafopredeter"/>
    <w:rsid w:val="001C3A39"/>
  </w:style>
  <w:style w:type="paragraph" w:customStyle="1" w:styleId="s16">
    <w:name w:val="s16"/>
    <w:basedOn w:val="Normal"/>
    <w:rsid w:val="001C3A39"/>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s17">
    <w:name w:val="s17"/>
    <w:basedOn w:val="Normal"/>
    <w:rsid w:val="001C3A39"/>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s18">
    <w:name w:val="s18"/>
    <w:basedOn w:val="Fuentedeprrafopredeter"/>
    <w:rsid w:val="001C3A39"/>
  </w:style>
  <w:style w:type="paragraph" w:styleId="Textoindependiente">
    <w:name w:val="Body Text"/>
    <w:basedOn w:val="Normal"/>
    <w:link w:val="TextoindependienteCar"/>
    <w:uiPriority w:val="1"/>
    <w:qFormat/>
    <w:rsid w:val="001C3A39"/>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1C3A39"/>
    <w:rPr>
      <w:rFonts w:ascii="Verdana" w:eastAsia="Verdana" w:hAnsi="Verdana" w:cs="Verdana"/>
      <w:lang w:val="es-ES"/>
    </w:rPr>
  </w:style>
  <w:style w:type="paragraph" w:styleId="Subttulo">
    <w:name w:val="Subtitle"/>
    <w:basedOn w:val="Normal"/>
    <w:next w:val="Normal"/>
    <w:link w:val="SubttuloCar"/>
    <w:uiPriority w:val="11"/>
    <w:qFormat/>
    <w:rsid w:val="0028021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8021C"/>
    <w:rPr>
      <w:rFonts w:eastAsiaTheme="majorEastAsia" w:cstheme="majorBidi"/>
      <w:color w:val="595959" w:themeColor="text1" w:themeTint="A6"/>
      <w:spacing w:val="15"/>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938126">
      <w:bodyDiv w:val="1"/>
      <w:marLeft w:val="0"/>
      <w:marRight w:val="0"/>
      <w:marTop w:val="0"/>
      <w:marBottom w:val="0"/>
      <w:divBdr>
        <w:top w:val="none" w:sz="0" w:space="0" w:color="auto"/>
        <w:left w:val="none" w:sz="0" w:space="0" w:color="auto"/>
        <w:bottom w:val="none" w:sz="0" w:space="0" w:color="auto"/>
        <w:right w:val="none" w:sz="0" w:space="0" w:color="auto"/>
      </w:divBdr>
    </w:div>
    <w:div w:id="353578686">
      <w:bodyDiv w:val="1"/>
      <w:marLeft w:val="0"/>
      <w:marRight w:val="0"/>
      <w:marTop w:val="0"/>
      <w:marBottom w:val="0"/>
      <w:divBdr>
        <w:top w:val="none" w:sz="0" w:space="0" w:color="auto"/>
        <w:left w:val="none" w:sz="0" w:space="0" w:color="auto"/>
        <w:bottom w:val="none" w:sz="0" w:space="0" w:color="auto"/>
        <w:right w:val="none" w:sz="0" w:space="0" w:color="auto"/>
      </w:divBdr>
    </w:div>
    <w:div w:id="356853343">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668556765">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782849329">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294336393">
      <w:bodyDiv w:val="1"/>
      <w:marLeft w:val="0"/>
      <w:marRight w:val="0"/>
      <w:marTop w:val="0"/>
      <w:marBottom w:val="0"/>
      <w:divBdr>
        <w:top w:val="none" w:sz="0" w:space="0" w:color="auto"/>
        <w:left w:val="none" w:sz="0" w:space="0" w:color="auto"/>
        <w:bottom w:val="none" w:sz="0" w:space="0" w:color="auto"/>
        <w:right w:val="none" w:sz="0" w:space="0" w:color="auto"/>
      </w:divBdr>
    </w:div>
    <w:div w:id="1457021816">
      <w:bodyDiv w:val="1"/>
      <w:marLeft w:val="0"/>
      <w:marRight w:val="0"/>
      <w:marTop w:val="0"/>
      <w:marBottom w:val="0"/>
      <w:divBdr>
        <w:top w:val="none" w:sz="0" w:space="0" w:color="auto"/>
        <w:left w:val="none" w:sz="0" w:space="0" w:color="auto"/>
        <w:bottom w:val="none" w:sz="0" w:space="0" w:color="auto"/>
        <w:right w:val="none" w:sz="0" w:space="0" w:color="auto"/>
      </w:divBdr>
    </w:div>
    <w:div w:id="1538859171">
      <w:bodyDiv w:val="1"/>
      <w:marLeft w:val="0"/>
      <w:marRight w:val="0"/>
      <w:marTop w:val="0"/>
      <w:marBottom w:val="0"/>
      <w:divBdr>
        <w:top w:val="none" w:sz="0" w:space="0" w:color="auto"/>
        <w:left w:val="none" w:sz="0" w:space="0" w:color="auto"/>
        <w:bottom w:val="none" w:sz="0" w:space="0" w:color="auto"/>
        <w:right w:val="none" w:sz="0" w:space="0" w:color="auto"/>
      </w:divBdr>
    </w:div>
    <w:div w:id="1719276472">
      <w:bodyDiv w:val="1"/>
      <w:marLeft w:val="0"/>
      <w:marRight w:val="0"/>
      <w:marTop w:val="0"/>
      <w:marBottom w:val="0"/>
      <w:divBdr>
        <w:top w:val="none" w:sz="0" w:space="0" w:color="auto"/>
        <w:left w:val="none" w:sz="0" w:space="0" w:color="auto"/>
        <w:bottom w:val="none" w:sz="0" w:space="0" w:color="auto"/>
        <w:right w:val="none" w:sz="0" w:space="0" w:color="auto"/>
      </w:divBdr>
    </w:div>
    <w:div w:id="1783259049">
      <w:bodyDiv w:val="1"/>
      <w:marLeft w:val="0"/>
      <w:marRight w:val="0"/>
      <w:marTop w:val="0"/>
      <w:marBottom w:val="0"/>
      <w:divBdr>
        <w:top w:val="none" w:sz="0" w:space="0" w:color="auto"/>
        <w:left w:val="none" w:sz="0" w:space="0" w:color="auto"/>
        <w:bottom w:val="none" w:sz="0" w:space="0" w:color="auto"/>
        <w:right w:val="none" w:sz="0" w:space="0" w:color="auto"/>
      </w:divBdr>
    </w:div>
    <w:div w:id="1839729930">
      <w:bodyDiv w:val="1"/>
      <w:marLeft w:val="0"/>
      <w:marRight w:val="0"/>
      <w:marTop w:val="0"/>
      <w:marBottom w:val="0"/>
      <w:divBdr>
        <w:top w:val="none" w:sz="0" w:space="0" w:color="auto"/>
        <w:left w:val="none" w:sz="0" w:space="0" w:color="auto"/>
        <w:bottom w:val="none" w:sz="0" w:space="0" w:color="auto"/>
        <w:right w:val="none" w:sz="0" w:space="0" w:color="auto"/>
      </w:divBdr>
    </w:div>
    <w:div w:id="1959411374">
      <w:bodyDiv w:val="1"/>
      <w:marLeft w:val="0"/>
      <w:marRight w:val="0"/>
      <w:marTop w:val="0"/>
      <w:marBottom w:val="0"/>
      <w:divBdr>
        <w:top w:val="none" w:sz="0" w:space="0" w:color="auto"/>
        <w:left w:val="none" w:sz="0" w:space="0" w:color="auto"/>
        <w:bottom w:val="none" w:sz="0" w:space="0" w:color="auto"/>
        <w:right w:val="none" w:sz="0" w:space="0" w:color="auto"/>
      </w:divBdr>
    </w:div>
    <w:div w:id="2039116365">
      <w:bodyDiv w:val="1"/>
      <w:marLeft w:val="0"/>
      <w:marRight w:val="0"/>
      <w:marTop w:val="0"/>
      <w:marBottom w:val="0"/>
      <w:divBdr>
        <w:top w:val="none" w:sz="0" w:space="0" w:color="auto"/>
        <w:left w:val="none" w:sz="0" w:space="0" w:color="auto"/>
        <w:bottom w:val="none" w:sz="0" w:space="0" w:color="auto"/>
        <w:right w:val="none" w:sz="0" w:space="0" w:color="auto"/>
      </w:divBdr>
      <w:divsChild>
        <w:div w:id="1457604271">
          <w:marLeft w:val="0"/>
          <w:marRight w:val="0"/>
          <w:marTop w:val="0"/>
          <w:marBottom w:val="0"/>
          <w:divBdr>
            <w:top w:val="none" w:sz="0" w:space="0" w:color="auto"/>
            <w:left w:val="none" w:sz="0" w:space="0" w:color="auto"/>
            <w:bottom w:val="none" w:sz="0" w:space="0" w:color="auto"/>
            <w:right w:val="none" w:sz="0" w:space="0" w:color="auto"/>
          </w:divBdr>
          <w:divsChild>
            <w:div w:id="2145079554">
              <w:marLeft w:val="0"/>
              <w:marRight w:val="0"/>
              <w:marTop w:val="0"/>
              <w:marBottom w:val="0"/>
              <w:divBdr>
                <w:top w:val="none" w:sz="0" w:space="0" w:color="auto"/>
                <w:left w:val="none" w:sz="0" w:space="0" w:color="auto"/>
                <w:bottom w:val="none" w:sz="0" w:space="0" w:color="auto"/>
                <w:right w:val="none" w:sz="0" w:space="0" w:color="auto"/>
              </w:divBdr>
              <w:divsChild>
                <w:div w:id="833954738">
                  <w:marLeft w:val="0"/>
                  <w:marRight w:val="0"/>
                  <w:marTop w:val="0"/>
                  <w:marBottom w:val="0"/>
                  <w:divBdr>
                    <w:top w:val="none" w:sz="0" w:space="0" w:color="auto"/>
                    <w:left w:val="none" w:sz="0" w:space="0" w:color="auto"/>
                    <w:bottom w:val="none" w:sz="0" w:space="0" w:color="auto"/>
                    <w:right w:val="none" w:sz="0" w:space="0" w:color="auto"/>
                  </w:divBdr>
                  <w:divsChild>
                    <w:div w:id="1473256124">
                      <w:marLeft w:val="0"/>
                      <w:marRight w:val="0"/>
                      <w:marTop w:val="0"/>
                      <w:marBottom w:val="0"/>
                      <w:divBdr>
                        <w:top w:val="none" w:sz="0" w:space="0" w:color="auto"/>
                        <w:left w:val="none" w:sz="0" w:space="0" w:color="auto"/>
                        <w:bottom w:val="none" w:sz="0" w:space="0" w:color="auto"/>
                        <w:right w:val="none" w:sz="0" w:space="0" w:color="auto"/>
                      </w:divBdr>
                      <w:divsChild>
                        <w:div w:id="633172552">
                          <w:marLeft w:val="0"/>
                          <w:marRight w:val="0"/>
                          <w:marTop w:val="0"/>
                          <w:marBottom w:val="0"/>
                          <w:divBdr>
                            <w:top w:val="none" w:sz="0" w:space="0" w:color="auto"/>
                            <w:left w:val="none" w:sz="0" w:space="0" w:color="auto"/>
                            <w:bottom w:val="none" w:sz="0" w:space="0" w:color="auto"/>
                            <w:right w:val="none" w:sz="0" w:space="0" w:color="auto"/>
                          </w:divBdr>
                          <w:divsChild>
                            <w:div w:id="1385442475">
                              <w:marLeft w:val="0"/>
                              <w:marRight w:val="0"/>
                              <w:marTop w:val="0"/>
                              <w:marBottom w:val="0"/>
                              <w:divBdr>
                                <w:top w:val="none" w:sz="0" w:space="0" w:color="auto"/>
                                <w:left w:val="none" w:sz="0" w:space="0" w:color="auto"/>
                                <w:bottom w:val="none" w:sz="0" w:space="0" w:color="auto"/>
                                <w:right w:val="none" w:sz="0" w:space="0" w:color="auto"/>
                              </w:divBdr>
                              <w:divsChild>
                                <w:div w:id="1150830155">
                                  <w:marLeft w:val="0"/>
                                  <w:marRight w:val="0"/>
                                  <w:marTop w:val="0"/>
                                  <w:marBottom w:val="0"/>
                                  <w:divBdr>
                                    <w:top w:val="none" w:sz="0" w:space="0" w:color="auto"/>
                                    <w:left w:val="none" w:sz="0" w:space="0" w:color="auto"/>
                                    <w:bottom w:val="none" w:sz="0" w:space="0" w:color="auto"/>
                                    <w:right w:val="none" w:sz="0" w:space="0" w:color="auto"/>
                                  </w:divBdr>
                                  <w:divsChild>
                                    <w:div w:id="660082529">
                                      <w:marLeft w:val="0"/>
                                      <w:marRight w:val="0"/>
                                      <w:marTop w:val="0"/>
                                      <w:marBottom w:val="0"/>
                                      <w:divBdr>
                                        <w:top w:val="none" w:sz="0" w:space="0" w:color="auto"/>
                                        <w:left w:val="none" w:sz="0" w:space="0" w:color="auto"/>
                                        <w:bottom w:val="none" w:sz="0" w:space="0" w:color="auto"/>
                                        <w:right w:val="none" w:sz="0" w:space="0" w:color="auto"/>
                                      </w:divBdr>
                                      <w:divsChild>
                                        <w:div w:id="14310894">
                                          <w:marLeft w:val="0"/>
                                          <w:marRight w:val="0"/>
                                          <w:marTop w:val="0"/>
                                          <w:marBottom w:val="0"/>
                                          <w:divBdr>
                                            <w:top w:val="none" w:sz="0" w:space="0" w:color="auto"/>
                                            <w:left w:val="none" w:sz="0" w:space="0" w:color="auto"/>
                                            <w:bottom w:val="none" w:sz="0" w:space="0" w:color="auto"/>
                                            <w:right w:val="none" w:sz="0" w:space="0" w:color="auto"/>
                                          </w:divBdr>
                                          <w:divsChild>
                                            <w:div w:id="1497308529">
                                              <w:marLeft w:val="0"/>
                                              <w:marRight w:val="0"/>
                                              <w:marTop w:val="0"/>
                                              <w:marBottom w:val="0"/>
                                              <w:divBdr>
                                                <w:top w:val="none" w:sz="0" w:space="0" w:color="auto"/>
                                                <w:left w:val="none" w:sz="0" w:space="0" w:color="auto"/>
                                                <w:bottom w:val="none" w:sz="0" w:space="0" w:color="auto"/>
                                                <w:right w:val="none" w:sz="0" w:space="0" w:color="auto"/>
                                              </w:divBdr>
                                              <w:divsChild>
                                                <w:div w:id="1981500670">
                                                  <w:marLeft w:val="0"/>
                                                  <w:marRight w:val="0"/>
                                                  <w:marTop w:val="0"/>
                                                  <w:marBottom w:val="0"/>
                                                  <w:divBdr>
                                                    <w:top w:val="none" w:sz="0" w:space="0" w:color="auto"/>
                                                    <w:left w:val="none" w:sz="0" w:space="0" w:color="auto"/>
                                                    <w:bottom w:val="none" w:sz="0" w:space="0" w:color="auto"/>
                                                    <w:right w:val="none" w:sz="0" w:space="0" w:color="auto"/>
                                                  </w:divBdr>
                                                  <w:divsChild>
                                                    <w:div w:id="1715735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6975284">
                                      <w:marLeft w:val="0"/>
                                      <w:marRight w:val="0"/>
                                      <w:marTop w:val="0"/>
                                      <w:marBottom w:val="0"/>
                                      <w:divBdr>
                                        <w:top w:val="none" w:sz="0" w:space="0" w:color="auto"/>
                                        <w:left w:val="none" w:sz="0" w:space="0" w:color="auto"/>
                                        <w:bottom w:val="none" w:sz="0" w:space="0" w:color="auto"/>
                                        <w:right w:val="none" w:sz="0" w:space="0" w:color="auto"/>
                                      </w:divBdr>
                                      <w:divsChild>
                                        <w:div w:id="2129228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96534112">
          <w:marLeft w:val="0"/>
          <w:marRight w:val="0"/>
          <w:marTop w:val="0"/>
          <w:marBottom w:val="0"/>
          <w:divBdr>
            <w:top w:val="none" w:sz="0" w:space="0" w:color="auto"/>
            <w:left w:val="none" w:sz="0" w:space="0" w:color="auto"/>
            <w:bottom w:val="none" w:sz="0" w:space="0" w:color="auto"/>
            <w:right w:val="none" w:sz="0" w:space="0" w:color="auto"/>
          </w:divBdr>
          <w:divsChild>
            <w:div w:id="151262671">
              <w:marLeft w:val="0"/>
              <w:marRight w:val="0"/>
              <w:marTop w:val="0"/>
              <w:marBottom w:val="0"/>
              <w:divBdr>
                <w:top w:val="none" w:sz="0" w:space="0" w:color="auto"/>
                <w:left w:val="none" w:sz="0" w:space="0" w:color="auto"/>
                <w:bottom w:val="none" w:sz="0" w:space="0" w:color="auto"/>
                <w:right w:val="none" w:sz="0" w:space="0" w:color="auto"/>
              </w:divBdr>
              <w:divsChild>
                <w:div w:id="213008102">
                  <w:marLeft w:val="0"/>
                  <w:marRight w:val="0"/>
                  <w:marTop w:val="0"/>
                  <w:marBottom w:val="0"/>
                  <w:divBdr>
                    <w:top w:val="none" w:sz="0" w:space="0" w:color="auto"/>
                    <w:left w:val="none" w:sz="0" w:space="0" w:color="auto"/>
                    <w:bottom w:val="none" w:sz="0" w:space="0" w:color="auto"/>
                    <w:right w:val="none" w:sz="0" w:space="0" w:color="auto"/>
                  </w:divBdr>
                  <w:divsChild>
                    <w:div w:id="453254106">
                      <w:marLeft w:val="0"/>
                      <w:marRight w:val="0"/>
                      <w:marTop w:val="0"/>
                      <w:marBottom w:val="0"/>
                      <w:divBdr>
                        <w:top w:val="none" w:sz="0" w:space="0" w:color="auto"/>
                        <w:left w:val="none" w:sz="0" w:space="0" w:color="auto"/>
                        <w:bottom w:val="none" w:sz="0" w:space="0" w:color="auto"/>
                        <w:right w:val="none" w:sz="0" w:space="0" w:color="auto"/>
                      </w:divBdr>
                      <w:divsChild>
                        <w:div w:id="259261221">
                          <w:marLeft w:val="0"/>
                          <w:marRight w:val="0"/>
                          <w:marTop w:val="0"/>
                          <w:marBottom w:val="0"/>
                          <w:divBdr>
                            <w:top w:val="none" w:sz="0" w:space="0" w:color="auto"/>
                            <w:left w:val="none" w:sz="0" w:space="0" w:color="auto"/>
                            <w:bottom w:val="none" w:sz="0" w:space="0" w:color="auto"/>
                            <w:right w:val="none" w:sz="0" w:space="0" w:color="auto"/>
                          </w:divBdr>
                          <w:divsChild>
                            <w:div w:id="84763282">
                              <w:marLeft w:val="0"/>
                              <w:marRight w:val="0"/>
                              <w:marTop w:val="0"/>
                              <w:marBottom w:val="0"/>
                              <w:divBdr>
                                <w:top w:val="none" w:sz="0" w:space="0" w:color="auto"/>
                                <w:left w:val="none" w:sz="0" w:space="0" w:color="auto"/>
                                <w:bottom w:val="none" w:sz="0" w:space="0" w:color="auto"/>
                                <w:right w:val="none" w:sz="0" w:space="0" w:color="auto"/>
                              </w:divBdr>
                              <w:divsChild>
                                <w:div w:id="899973112">
                                  <w:marLeft w:val="0"/>
                                  <w:marRight w:val="0"/>
                                  <w:marTop w:val="0"/>
                                  <w:marBottom w:val="0"/>
                                  <w:divBdr>
                                    <w:top w:val="none" w:sz="0" w:space="0" w:color="auto"/>
                                    <w:left w:val="none" w:sz="0" w:space="0" w:color="auto"/>
                                    <w:bottom w:val="none" w:sz="0" w:space="0" w:color="auto"/>
                                    <w:right w:val="none" w:sz="0" w:space="0" w:color="auto"/>
                                  </w:divBdr>
                                  <w:divsChild>
                                    <w:div w:id="1856117550">
                                      <w:marLeft w:val="0"/>
                                      <w:marRight w:val="0"/>
                                      <w:marTop w:val="0"/>
                                      <w:marBottom w:val="0"/>
                                      <w:divBdr>
                                        <w:top w:val="none" w:sz="0" w:space="0" w:color="auto"/>
                                        <w:left w:val="none" w:sz="0" w:space="0" w:color="auto"/>
                                        <w:bottom w:val="none" w:sz="0" w:space="0" w:color="auto"/>
                                        <w:right w:val="none" w:sz="0" w:space="0" w:color="auto"/>
                                      </w:divBdr>
                                      <w:divsChild>
                                        <w:div w:id="2051570362">
                                          <w:marLeft w:val="0"/>
                                          <w:marRight w:val="0"/>
                                          <w:marTop w:val="0"/>
                                          <w:marBottom w:val="0"/>
                                          <w:divBdr>
                                            <w:top w:val="none" w:sz="0" w:space="0" w:color="auto"/>
                                            <w:left w:val="none" w:sz="0" w:space="0" w:color="auto"/>
                                            <w:bottom w:val="none" w:sz="0" w:space="0" w:color="auto"/>
                                            <w:right w:val="none" w:sz="0" w:space="0" w:color="auto"/>
                                          </w:divBdr>
                                          <w:divsChild>
                                            <w:div w:id="1191188778">
                                              <w:marLeft w:val="0"/>
                                              <w:marRight w:val="0"/>
                                              <w:marTop w:val="0"/>
                                              <w:marBottom w:val="0"/>
                                              <w:divBdr>
                                                <w:top w:val="none" w:sz="0" w:space="0" w:color="auto"/>
                                                <w:left w:val="none" w:sz="0" w:space="0" w:color="auto"/>
                                                <w:bottom w:val="none" w:sz="0" w:space="0" w:color="auto"/>
                                                <w:right w:val="none" w:sz="0" w:space="0" w:color="auto"/>
                                              </w:divBdr>
                                              <w:divsChild>
                                                <w:div w:id="62412744">
                                                  <w:marLeft w:val="0"/>
                                                  <w:marRight w:val="0"/>
                                                  <w:marTop w:val="0"/>
                                                  <w:marBottom w:val="0"/>
                                                  <w:divBdr>
                                                    <w:top w:val="none" w:sz="0" w:space="0" w:color="auto"/>
                                                    <w:left w:val="none" w:sz="0" w:space="0" w:color="auto"/>
                                                    <w:bottom w:val="none" w:sz="0" w:space="0" w:color="auto"/>
                                                    <w:right w:val="none" w:sz="0" w:space="0" w:color="auto"/>
                                                  </w:divBdr>
                                                  <w:divsChild>
                                                    <w:div w:id="1640839532">
                                                      <w:marLeft w:val="0"/>
                                                      <w:marRight w:val="0"/>
                                                      <w:marTop w:val="0"/>
                                                      <w:marBottom w:val="0"/>
                                                      <w:divBdr>
                                                        <w:top w:val="none" w:sz="0" w:space="0" w:color="auto"/>
                                                        <w:left w:val="none" w:sz="0" w:space="0" w:color="auto"/>
                                                        <w:bottom w:val="none" w:sz="0" w:space="0" w:color="auto"/>
                                                        <w:right w:val="none" w:sz="0" w:space="0" w:color="auto"/>
                                                      </w:divBdr>
                                                      <w:divsChild>
                                                        <w:div w:id="79447074">
                                                          <w:marLeft w:val="0"/>
                                                          <w:marRight w:val="0"/>
                                                          <w:marTop w:val="0"/>
                                                          <w:marBottom w:val="0"/>
                                                          <w:divBdr>
                                                            <w:top w:val="none" w:sz="0" w:space="0" w:color="auto"/>
                                                            <w:left w:val="none" w:sz="0" w:space="0" w:color="auto"/>
                                                            <w:bottom w:val="none" w:sz="0" w:space="0" w:color="auto"/>
                                                            <w:right w:val="none" w:sz="0" w:space="0" w:color="auto"/>
                                                          </w:divBdr>
                                                          <w:divsChild>
                                                            <w:div w:id="112984621">
                                                              <w:marLeft w:val="0"/>
                                                              <w:marRight w:val="0"/>
                                                              <w:marTop w:val="0"/>
                                                              <w:marBottom w:val="0"/>
                                                              <w:divBdr>
                                                                <w:top w:val="none" w:sz="0" w:space="0" w:color="auto"/>
                                                                <w:left w:val="none" w:sz="0" w:space="0" w:color="auto"/>
                                                                <w:bottom w:val="none" w:sz="0" w:space="0" w:color="auto"/>
                                                                <w:right w:val="none" w:sz="0" w:space="0" w:color="auto"/>
                                                              </w:divBdr>
                                                              <w:divsChild>
                                                                <w:div w:id="862019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alejandro.sarmiento%40colombiacompra.gov.co%7Ca6218c48ccc04b19a61108dd97aecc6f%7C7b09041e245149d08cb179d5e3d8c1be%7C0%7C0%7C638833499204031869%7CUnknown%7CTWFpbGZsb3d8eyJFbXB0eU1hcGkiOnRydWUsIlYiOiIwLjAuMDAwMCIsIlAiOiJXaW4zMiIsIkFOIjoiTWFpbCIsIldUIjoyfQ%3D%3D%7C0%7C%7C%7C&amp;sdata=BNPGPGRZZPHN9b0zJi5VJtxyBM8%2Fb8kWxn04BiZ%2ByF4%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perezlo@cendoj.ramajudicial.gov.co"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documentManagement/types"/>
    <ds:schemaRef ds:uri="http://purl.org/dc/elements/1.1/"/>
    <ds:schemaRef ds:uri="http://schemas.microsoft.com/office/2006/metadata/properties"/>
    <ds:schemaRef ds:uri="http://purl.org/dc/terms/"/>
    <ds:schemaRef ds:uri="http://schemas.openxmlformats.org/package/2006/metadata/core-properties"/>
    <ds:schemaRef ds:uri="http://purl.org/dc/dcmitype/"/>
    <ds:schemaRef ds:uri="http://schemas.microsoft.com/office/infopath/2007/PartnerControls"/>
    <ds:schemaRef ds:uri="a6cb9e4b-f1d1-4245-83ec-6cad768d538a"/>
    <ds:schemaRef ds:uri="9d85dbaf-23eb-4e57-a637-93dcacc8b1a1"/>
    <ds:schemaRef ds:uri="http://www.w3.org/XML/1998/namespace"/>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100F3E9-B3CD-482B-B127-3E55FA8B54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5499</Words>
  <Characters>30248</Characters>
  <Application>Microsoft Office Word</Application>
  <DocSecurity>0</DocSecurity>
  <Lines>252</Lines>
  <Paragraphs>71</Paragraphs>
  <ScaleCrop>false</ScaleCrop>
  <Company/>
  <LinksUpToDate>false</LinksUpToDate>
  <CharactersWithSpaces>35676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2023-01-10T21:18:00Z</cp:lastPrinted>
  <dcterms:created xsi:type="dcterms:W3CDTF">2025-07-17T14:06:00Z</dcterms:created>
  <dcterms:modified xsi:type="dcterms:W3CDTF">2025-07-17T14:06:00Z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