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CF242" w14:textId="481C46B0" w:rsidR="00771742" w:rsidRPr="007B183D" w:rsidRDefault="00771742" w:rsidP="00C4318E">
      <w:pPr>
        <w:spacing w:before="120" w:after="120"/>
        <w:jc w:val="both"/>
        <w:rPr>
          <w:rFonts w:ascii="Arial" w:eastAsia="Calibri" w:hAnsi="Arial" w:cs="Arial"/>
          <w:color w:val="000000" w:themeColor="text1"/>
          <w:sz w:val="22"/>
          <w:szCs w:val="22"/>
          <w:lang w:val="es-MX" w:eastAsia="en-US"/>
        </w:rPr>
      </w:pPr>
    </w:p>
    <w:p w14:paraId="2F821771" w14:textId="77777777" w:rsidR="00D63A05" w:rsidRPr="00D63A05" w:rsidRDefault="00D63A05" w:rsidP="00D63A05">
      <w:pPr>
        <w:jc w:val="both"/>
        <w:rPr>
          <w:rFonts w:ascii="Arial" w:eastAsia="Calibri" w:hAnsi="Arial" w:cs="Arial"/>
          <w:sz w:val="22"/>
          <w:szCs w:val="22"/>
          <w:lang w:val="es-ES_tradnl" w:eastAsia="en-US"/>
        </w:rPr>
      </w:pPr>
      <w:r w:rsidRPr="00D63A05">
        <w:rPr>
          <w:rFonts w:ascii="Arial" w:eastAsia="Calibri" w:hAnsi="Arial" w:cs="Arial"/>
          <w:b/>
          <w:sz w:val="22"/>
          <w:szCs w:val="22"/>
          <w:lang w:val="es-ES_tradnl" w:eastAsia="en-US"/>
        </w:rPr>
        <w:t xml:space="preserve">PRINCIPIO DE SELECCIÓN OBJETIVA </w:t>
      </w:r>
      <w:bookmarkStart w:id="0" w:name="_Hlk39676694"/>
      <w:r w:rsidRPr="00D63A05">
        <w:rPr>
          <w:rFonts w:ascii="Arial" w:eastAsia="Calibri" w:hAnsi="Arial" w:cs="Arial"/>
          <w:b/>
          <w:sz w:val="22"/>
          <w:szCs w:val="22"/>
          <w:lang w:val="es-MX" w:eastAsia="en-US"/>
        </w:rPr>
        <w:t>–</w:t>
      </w:r>
      <w:bookmarkEnd w:id="0"/>
      <w:r w:rsidRPr="00D63A05">
        <w:rPr>
          <w:rFonts w:ascii="Arial" w:eastAsia="Calibri" w:hAnsi="Arial" w:cs="Arial"/>
          <w:b/>
          <w:sz w:val="22"/>
          <w:szCs w:val="22"/>
          <w:lang w:val="es-ES_tradnl" w:eastAsia="en-US"/>
        </w:rPr>
        <w:t xml:space="preserve"> Rechazo de ofertas </w:t>
      </w:r>
      <w:r w:rsidRPr="00D63A05">
        <w:rPr>
          <w:rFonts w:ascii="Arial" w:eastAsia="Calibri" w:hAnsi="Arial" w:cs="Arial"/>
          <w:b/>
          <w:sz w:val="22"/>
          <w:szCs w:val="22"/>
          <w:lang w:val="es-MX" w:eastAsia="en-US"/>
        </w:rPr>
        <w:t>–</w:t>
      </w:r>
      <w:r w:rsidRPr="00D63A05">
        <w:rPr>
          <w:rFonts w:ascii="Arial" w:eastAsia="Calibri" w:hAnsi="Arial" w:cs="Arial"/>
          <w:b/>
          <w:sz w:val="22"/>
          <w:szCs w:val="22"/>
          <w:lang w:val="es-ES_tradnl" w:eastAsia="en-US"/>
        </w:rPr>
        <w:t xml:space="preserve"> </w:t>
      </w:r>
      <w:proofErr w:type="spellStart"/>
      <w:r w:rsidRPr="00D63A05">
        <w:rPr>
          <w:rFonts w:ascii="Arial" w:eastAsia="Calibri" w:hAnsi="Arial" w:cs="Arial"/>
          <w:b/>
          <w:sz w:val="22"/>
          <w:szCs w:val="22"/>
          <w:lang w:val="es-ES_tradnl" w:eastAsia="en-US"/>
        </w:rPr>
        <w:t>Subsanabilidad</w:t>
      </w:r>
      <w:proofErr w:type="spellEnd"/>
    </w:p>
    <w:p w14:paraId="2CCA1F8C" w14:textId="77777777" w:rsidR="00D63A05" w:rsidRPr="00D63A05" w:rsidRDefault="00D63A05" w:rsidP="00D63A05">
      <w:pPr>
        <w:jc w:val="both"/>
        <w:rPr>
          <w:rFonts w:ascii="Arial" w:eastAsia="Calibri" w:hAnsi="Arial" w:cs="Arial"/>
          <w:sz w:val="20"/>
          <w:szCs w:val="20"/>
          <w:lang w:val="es-ES_tradnl" w:eastAsia="en-US"/>
        </w:rPr>
      </w:pPr>
    </w:p>
    <w:p w14:paraId="6128FB00" w14:textId="77777777" w:rsidR="00D63A05" w:rsidRPr="00D63A05" w:rsidRDefault="00D63A05" w:rsidP="00D63A05">
      <w:pPr>
        <w:jc w:val="both"/>
        <w:rPr>
          <w:rFonts w:ascii="Arial" w:eastAsia="Calibri" w:hAnsi="Arial" w:cs="Arial"/>
          <w:sz w:val="20"/>
          <w:szCs w:val="20"/>
          <w:lang w:val="es-ES" w:eastAsia="en-US"/>
        </w:rPr>
      </w:pPr>
      <w:r w:rsidRPr="00D63A05">
        <w:rPr>
          <w:rFonts w:ascii="Arial" w:eastAsia="Calibri" w:hAnsi="Arial" w:cs="Arial"/>
          <w:sz w:val="20"/>
          <w:szCs w:val="20"/>
          <w:lang w:val="es-ES" w:eastAsia="en-US"/>
        </w:rPr>
        <w:t>[…]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 decisión que,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7C32113A" w14:textId="77777777" w:rsidR="00D63A05" w:rsidRPr="00D63A05" w:rsidRDefault="00D63A05" w:rsidP="00D63A05">
      <w:pPr>
        <w:jc w:val="both"/>
        <w:rPr>
          <w:rFonts w:ascii="Arial" w:eastAsia="Calibri" w:hAnsi="Arial" w:cs="Arial"/>
          <w:sz w:val="20"/>
          <w:szCs w:val="20"/>
          <w:lang w:val="es-ES_tradnl" w:eastAsia="en-US"/>
        </w:rPr>
      </w:pPr>
    </w:p>
    <w:p w14:paraId="5D0B359F" w14:textId="2A93A6BB" w:rsidR="00BB0E2F" w:rsidRDefault="001022AE" w:rsidP="00DA7C99">
      <w:pPr>
        <w:jc w:val="both"/>
        <w:rPr>
          <w:rFonts w:ascii="Arial" w:eastAsia="Calibri" w:hAnsi="Arial" w:cs="Arial"/>
          <w:b/>
          <w:sz w:val="22"/>
          <w:szCs w:val="22"/>
          <w:lang w:val="es-MX" w:eastAsia="en-US"/>
        </w:rPr>
      </w:pPr>
      <w:r>
        <w:rPr>
          <w:rFonts w:ascii="Arial" w:eastAsia="Calibri" w:hAnsi="Arial" w:cs="Arial"/>
          <w:b/>
          <w:color w:val="000000" w:themeColor="text1"/>
          <w:sz w:val="22"/>
          <w:szCs w:val="22"/>
          <w:lang w:val="es-ES_tradnl" w:eastAsia="en-US"/>
        </w:rPr>
        <w:t xml:space="preserve">SUBSANABILIDAD DE LAS OFERTAS </w:t>
      </w:r>
      <w:r w:rsidRPr="00D63A05">
        <w:rPr>
          <w:rFonts w:ascii="Arial" w:eastAsia="Calibri" w:hAnsi="Arial" w:cs="Arial"/>
          <w:b/>
          <w:sz w:val="22"/>
          <w:szCs w:val="22"/>
          <w:lang w:val="es-MX" w:eastAsia="en-US"/>
        </w:rPr>
        <w:t>–</w:t>
      </w:r>
      <w:r>
        <w:rPr>
          <w:rFonts w:ascii="Arial" w:eastAsia="Calibri" w:hAnsi="Arial" w:cs="Arial"/>
          <w:b/>
          <w:sz w:val="22"/>
          <w:szCs w:val="22"/>
          <w:lang w:val="es-MX" w:eastAsia="en-US"/>
        </w:rPr>
        <w:t xml:space="preserve"> Alcance de la regla </w:t>
      </w:r>
      <w:r w:rsidRPr="00D63A05">
        <w:rPr>
          <w:rFonts w:ascii="Arial" w:eastAsia="Calibri" w:hAnsi="Arial" w:cs="Arial"/>
          <w:b/>
          <w:sz w:val="22"/>
          <w:szCs w:val="22"/>
          <w:lang w:val="es-MX" w:eastAsia="en-US"/>
        </w:rPr>
        <w:t>–</w:t>
      </w:r>
      <w:r>
        <w:rPr>
          <w:rFonts w:ascii="Arial" w:eastAsia="Calibri" w:hAnsi="Arial" w:cs="Arial"/>
          <w:b/>
          <w:sz w:val="22"/>
          <w:szCs w:val="22"/>
          <w:lang w:val="es-MX" w:eastAsia="en-US"/>
        </w:rPr>
        <w:t xml:space="preserve"> Ley 1882 de 2018</w:t>
      </w:r>
      <w:r w:rsidR="000E73E1">
        <w:rPr>
          <w:rFonts w:ascii="Arial" w:eastAsia="Calibri" w:hAnsi="Arial" w:cs="Arial"/>
          <w:b/>
          <w:sz w:val="22"/>
          <w:szCs w:val="22"/>
          <w:lang w:val="es-MX" w:eastAsia="en-US"/>
        </w:rPr>
        <w:t xml:space="preserve"> – </w:t>
      </w:r>
      <w:r w:rsidR="002C615C">
        <w:rPr>
          <w:rFonts w:ascii="Arial" w:eastAsia="Calibri" w:hAnsi="Arial" w:cs="Arial"/>
          <w:b/>
          <w:sz w:val="22"/>
          <w:szCs w:val="22"/>
          <w:lang w:val="es-MX" w:eastAsia="en-US"/>
        </w:rPr>
        <w:t>Á</w:t>
      </w:r>
      <w:r w:rsidR="000E73E1">
        <w:rPr>
          <w:rFonts w:ascii="Arial" w:eastAsia="Calibri" w:hAnsi="Arial" w:cs="Arial"/>
          <w:b/>
          <w:sz w:val="22"/>
          <w:szCs w:val="22"/>
          <w:lang w:val="es-MX" w:eastAsia="en-US"/>
        </w:rPr>
        <w:t>mbito temporal –</w:t>
      </w:r>
      <w:r w:rsidR="002C615C">
        <w:rPr>
          <w:rFonts w:ascii="Arial" w:eastAsia="Calibri" w:hAnsi="Arial" w:cs="Arial"/>
          <w:b/>
          <w:sz w:val="22"/>
          <w:szCs w:val="22"/>
          <w:lang w:val="es-MX" w:eastAsia="en-US"/>
        </w:rPr>
        <w:t xml:space="preserve"> C</w:t>
      </w:r>
      <w:r w:rsidR="000E73E1">
        <w:rPr>
          <w:rFonts w:ascii="Arial" w:eastAsia="Calibri" w:hAnsi="Arial" w:cs="Arial"/>
          <w:b/>
          <w:sz w:val="22"/>
          <w:szCs w:val="22"/>
          <w:lang w:val="es-MX" w:eastAsia="en-US"/>
        </w:rPr>
        <w:t>riterio material</w:t>
      </w:r>
    </w:p>
    <w:p w14:paraId="4433999E" w14:textId="55613909" w:rsidR="001022AE" w:rsidRDefault="001022AE" w:rsidP="00DA7C99">
      <w:pPr>
        <w:jc w:val="both"/>
        <w:rPr>
          <w:rFonts w:ascii="Arial" w:eastAsia="Calibri" w:hAnsi="Arial" w:cs="Arial"/>
          <w:b/>
          <w:sz w:val="22"/>
          <w:szCs w:val="22"/>
          <w:lang w:val="es-MX" w:eastAsia="en-US"/>
        </w:rPr>
      </w:pPr>
    </w:p>
    <w:p w14:paraId="54865863" w14:textId="4182CFA7" w:rsidR="00F74ECA" w:rsidRDefault="00F74ECA" w:rsidP="002C615C">
      <w:pPr>
        <w:jc w:val="both"/>
        <w:rPr>
          <w:rFonts w:ascii="Arial" w:eastAsiaTheme="minorHAnsi" w:hAnsi="Arial" w:cs="Arial"/>
          <w:sz w:val="20"/>
          <w:szCs w:val="20"/>
          <w:lang w:val="es-ES_tradnl" w:eastAsia="en-US"/>
        </w:rPr>
      </w:pPr>
      <w:r w:rsidRPr="002C615C">
        <w:rPr>
          <w:rFonts w:ascii="Arial" w:eastAsiaTheme="minorHAnsi" w:hAnsi="Arial" w:cs="Arial"/>
          <w:sz w:val="20"/>
          <w:szCs w:val="20"/>
          <w:lang w:val="es-ES_tradnl" w:eastAsia="en-US"/>
        </w:rPr>
        <w:t xml:space="preserve">Como puede observarse, la Ley 1882 de 2018: i) mantiene el criterio de la Ley 80 de 1993, relativo a que todo lo que no sea necesario para la comparación de propuestas no es título suficiente para su rechazo; </w:t>
      </w:r>
      <w:proofErr w:type="spellStart"/>
      <w:r w:rsidRPr="002C615C">
        <w:rPr>
          <w:rFonts w:ascii="Arial" w:eastAsiaTheme="minorHAnsi" w:hAnsi="Arial" w:cs="Arial"/>
          <w:sz w:val="20"/>
          <w:szCs w:val="20"/>
          <w:lang w:val="es-ES_tradnl" w:eastAsia="en-US"/>
        </w:rPr>
        <w:t>ii</w:t>
      </w:r>
      <w:proofErr w:type="spellEnd"/>
      <w:r w:rsidRPr="002C615C">
        <w:rPr>
          <w:rFonts w:ascii="Arial" w:eastAsiaTheme="minorHAnsi" w:hAnsi="Arial" w:cs="Arial"/>
          <w:sz w:val="20"/>
          <w:szCs w:val="20"/>
          <w:lang w:val="es-ES_tradnl" w:eastAsia="en-US"/>
        </w:rPr>
        <w:t xml:space="preserve">) mantiene el criterio aclaratorio de la Ley 1150 de 2007, según el cual todo lo que no afecte la asignación de puntaje puede subsanarse y, </w:t>
      </w:r>
      <w:proofErr w:type="spellStart"/>
      <w:r w:rsidRPr="002C615C">
        <w:rPr>
          <w:rFonts w:ascii="Arial" w:eastAsiaTheme="minorHAnsi" w:hAnsi="Arial" w:cs="Arial"/>
          <w:sz w:val="20"/>
          <w:szCs w:val="20"/>
          <w:lang w:val="es-ES_tradnl" w:eastAsia="en-US"/>
        </w:rPr>
        <w:t>iii</w:t>
      </w:r>
      <w:proofErr w:type="spellEnd"/>
      <w:r w:rsidRPr="002C615C">
        <w:rPr>
          <w:rFonts w:ascii="Arial" w:eastAsiaTheme="minorHAnsi" w:hAnsi="Arial" w:cs="Arial"/>
          <w:sz w:val="20"/>
          <w:szCs w:val="20"/>
          <w:lang w:val="es-ES_tradnl" w:eastAsia="en-US"/>
        </w:rPr>
        <w:t xml:space="preserve">) introduce modificaciones en relación con algunos aspectos que se analizarán a continuación. </w:t>
      </w:r>
    </w:p>
    <w:p w14:paraId="0473A2E3" w14:textId="77777777" w:rsidR="000E73E1" w:rsidRPr="002C615C" w:rsidRDefault="000E73E1" w:rsidP="002C615C">
      <w:pPr>
        <w:jc w:val="both"/>
        <w:rPr>
          <w:rFonts w:ascii="Arial" w:eastAsiaTheme="minorHAnsi" w:hAnsi="Arial" w:cs="Arial"/>
          <w:sz w:val="20"/>
          <w:szCs w:val="20"/>
          <w:lang w:val="es-ES_tradnl" w:eastAsia="en-US"/>
        </w:rPr>
      </w:pPr>
    </w:p>
    <w:p w14:paraId="40F9AABA" w14:textId="6B33CF8E" w:rsidR="00F74ECA" w:rsidRDefault="00F74ECA" w:rsidP="002C615C">
      <w:pPr>
        <w:jc w:val="both"/>
        <w:rPr>
          <w:rFonts w:ascii="Arial" w:eastAsia="Calibri" w:hAnsi="Arial" w:cs="Arial"/>
          <w:sz w:val="20"/>
          <w:szCs w:val="20"/>
          <w:lang w:val="es-ES_tradnl" w:eastAsia="en-US"/>
        </w:rPr>
      </w:pPr>
      <w:r w:rsidRPr="002C615C">
        <w:rPr>
          <w:rFonts w:ascii="Arial" w:eastAsiaTheme="minorHAnsi" w:hAnsi="Arial" w:cs="Arial"/>
          <w:i/>
          <w:iCs/>
          <w:sz w:val="20"/>
          <w:szCs w:val="20"/>
          <w:lang w:val="es-ES_tradnl" w:eastAsia="en-US"/>
        </w:rPr>
        <w:t>El primero</w:t>
      </w:r>
      <w:r w:rsidRPr="002C615C">
        <w:rPr>
          <w:rFonts w:ascii="Arial" w:eastAsiaTheme="minorHAnsi" w:hAnsi="Arial" w:cs="Arial"/>
          <w:sz w:val="20"/>
          <w:szCs w:val="20"/>
          <w:lang w:val="es-ES_tradnl" w:eastAsia="en-US"/>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2C615C">
        <w:rPr>
          <w:rFonts w:ascii="Arial" w:eastAsia="Calibri" w:hAnsi="Arial" w:cs="Arial"/>
          <w:sz w:val="20"/>
          <w:szCs w:val="20"/>
          <w:lang w:val="es-ES_tradnl" w:eastAsia="en-US"/>
        </w:rPr>
        <w:t xml:space="preserve">de selección a través del sistema de subasta; en el último los documentos o requisitos subsanables pueden y deben solicitarse hasta el momento previo a su realización.  </w:t>
      </w:r>
    </w:p>
    <w:p w14:paraId="3DAE7039" w14:textId="77777777" w:rsidR="000E73E1" w:rsidRPr="002C615C" w:rsidRDefault="000E73E1" w:rsidP="002C615C">
      <w:pPr>
        <w:jc w:val="both"/>
        <w:rPr>
          <w:rFonts w:ascii="Arial" w:eastAsiaTheme="minorHAnsi" w:hAnsi="Arial" w:cs="Arial"/>
          <w:sz w:val="20"/>
          <w:szCs w:val="20"/>
          <w:lang w:val="es-ES_tradnl" w:eastAsia="en-US"/>
        </w:rPr>
      </w:pPr>
    </w:p>
    <w:p w14:paraId="22E990CB" w14:textId="2783D3AA" w:rsidR="000E73E1" w:rsidRDefault="000E73E1" w:rsidP="002C615C">
      <w:pPr>
        <w:jc w:val="both"/>
        <w:rPr>
          <w:rFonts w:ascii="Arial" w:eastAsiaTheme="minorHAnsi" w:hAnsi="Arial" w:cs="Arial"/>
          <w:sz w:val="20"/>
          <w:szCs w:val="20"/>
          <w:lang w:val="es-ES_tradnl" w:eastAsia="en-US"/>
        </w:rPr>
      </w:pPr>
      <w:r w:rsidRPr="002C615C">
        <w:rPr>
          <w:rFonts w:ascii="Arial" w:eastAsia="Calibri" w:hAnsi="Arial" w:cs="Arial"/>
          <w:sz w:val="20"/>
          <w:szCs w:val="20"/>
          <w:lang w:val="es-ES_tradnl" w:eastAsia="en-US"/>
        </w:rPr>
        <w:t xml:space="preserve">De otro lado, </w:t>
      </w:r>
      <w:r w:rsidRPr="002C615C">
        <w:rPr>
          <w:rFonts w:ascii="Arial" w:eastAsia="Calibri" w:hAnsi="Arial" w:cs="Arial"/>
          <w:i/>
          <w:iCs/>
          <w:sz w:val="20"/>
          <w:szCs w:val="20"/>
          <w:lang w:val="es-ES_tradnl" w:eastAsia="en-US"/>
        </w:rPr>
        <w:t>el segundo</w:t>
      </w:r>
      <w:r w:rsidRPr="002C615C">
        <w:rPr>
          <w:rFonts w:ascii="Arial" w:eastAsia="Calibri" w:hAnsi="Arial" w:cs="Arial"/>
          <w:sz w:val="20"/>
          <w:szCs w:val="20"/>
          <w:lang w:val="es-ES_tradnl" w:eastAsia="en-US"/>
        </w:rPr>
        <w:t xml:space="preserve"> cambio importante de la Ley 1882 de 2018 fue la introducción de un criterio material, directamente relacionado con los aspectos subsanables: «</w:t>
      </w:r>
      <w:r w:rsidRPr="002C615C">
        <w:rPr>
          <w:rFonts w:ascii="Arial" w:eastAsiaTheme="minorHAnsi" w:hAnsi="Arial" w:cs="Arial"/>
          <w:sz w:val="20"/>
          <w:szCs w:val="20"/>
          <w:lang w:val="es-ES_tradnl" w:eastAsia="en-US"/>
        </w:rPr>
        <w:t xml:space="preserve">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075BF7D5" w14:textId="77777777" w:rsidR="000E73E1" w:rsidRPr="002C615C" w:rsidRDefault="000E73E1" w:rsidP="002C615C">
      <w:pPr>
        <w:jc w:val="both"/>
        <w:rPr>
          <w:rFonts w:ascii="Arial" w:eastAsiaTheme="minorHAnsi" w:hAnsi="Arial" w:cs="Arial"/>
          <w:sz w:val="20"/>
          <w:szCs w:val="20"/>
          <w:lang w:val="es-ES_tradnl" w:eastAsia="en-US"/>
        </w:rPr>
      </w:pPr>
    </w:p>
    <w:p w14:paraId="4BC91721" w14:textId="77777777" w:rsidR="000E73E1" w:rsidRDefault="000E73E1" w:rsidP="002C615C">
      <w:pPr>
        <w:jc w:val="both"/>
        <w:rPr>
          <w:rFonts w:ascii="Arial" w:eastAsiaTheme="minorHAnsi" w:hAnsi="Arial" w:cs="Arial"/>
          <w:sz w:val="20"/>
          <w:szCs w:val="20"/>
          <w:lang w:val="es-ES_tradnl" w:eastAsia="en-US"/>
        </w:rPr>
      </w:pPr>
      <w:r w:rsidRPr="002C615C">
        <w:rPr>
          <w:rFonts w:ascii="Arial" w:eastAsiaTheme="minorHAnsi" w:hAnsi="Arial" w:cs="Arial"/>
          <w:sz w:val="20"/>
          <w:szCs w:val="20"/>
          <w:lang w:val="es-ES_tradnl" w:eastAsia="en-US"/>
        </w:rPr>
        <w:t xml:space="preserve">[…] </w:t>
      </w:r>
    </w:p>
    <w:p w14:paraId="23DD50E1" w14:textId="77777777" w:rsidR="000E73E1" w:rsidRDefault="000E73E1" w:rsidP="002C615C">
      <w:pPr>
        <w:jc w:val="both"/>
        <w:rPr>
          <w:rFonts w:ascii="Arial" w:eastAsiaTheme="minorHAnsi" w:hAnsi="Arial" w:cs="Arial"/>
          <w:sz w:val="20"/>
          <w:szCs w:val="20"/>
          <w:lang w:val="es-ES_tradnl" w:eastAsia="en-US"/>
        </w:rPr>
      </w:pPr>
    </w:p>
    <w:p w14:paraId="2AB23C5F" w14:textId="6BBF4595" w:rsidR="000E73E1" w:rsidRPr="002C615C" w:rsidRDefault="000E73E1" w:rsidP="002C615C">
      <w:pPr>
        <w:jc w:val="both"/>
        <w:rPr>
          <w:rFonts w:ascii="Arial" w:eastAsia="Calibri" w:hAnsi="Arial" w:cs="Arial"/>
          <w:sz w:val="20"/>
          <w:szCs w:val="20"/>
          <w:lang w:val="es-ES_tradnl" w:eastAsia="en-US"/>
        </w:rPr>
      </w:pPr>
      <w:r w:rsidRPr="002C615C">
        <w:rPr>
          <w:rFonts w:ascii="Arial" w:eastAsia="Calibri" w:hAnsi="Arial" w:cs="Arial"/>
          <w:sz w:val="20"/>
          <w:szCs w:val="20"/>
          <w:lang w:val="es-ES_tradnl" w:eastAsia="en-US"/>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15534E8" w14:textId="77777777" w:rsidR="001022AE" w:rsidRDefault="001022AE" w:rsidP="002C615C">
      <w:pPr>
        <w:spacing w:before="120" w:after="120" w:line="276" w:lineRule="auto"/>
        <w:jc w:val="both"/>
        <w:rPr>
          <w:rFonts w:ascii="Arial" w:eastAsia="Calibri" w:hAnsi="Arial" w:cs="Arial"/>
          <w:sz w:val="22"/>
          <w:szCs w:val="22"/>
          <w:lang w:val="es-ES_tradnl" w:eastAsia="en-US"/>
        </w:rPr>
      </w:pPr>
    </w:p>
    <w:p w14:paraId="0DD6033C" w14:textId="77777777" w:rsidR="001022AE" w:rsidRPr="002C615C" w:rsidRDefault="001022AE" w:rsidP="00DA7C99">
      <w:pPr>
        <w:jc w:val="both"/>
        <w:rPr>
          <w:rFonts w:ascii="Arial" w:eastAsiaTheme="minorHAnsi" w:hAnsi="Arial" w:cs="Arial"/>
          <w:sz w:val="22"/>
          <w:szCs w:val="22"/>
          <w:lang w:val="es-ES_tradnl" w:eastAsia="en-US"/>
        </w:rPr>
      </w:pPr>
    </w:p>
    <w:p w14:paraId="58601FCB" w14:textId="0BB21DB3" w:rsidR="00BB0E2F" w:rsidRPr="005A7019" w:rsidRDefault="00BB0E2F" w:rsidP="005A7019">
      <w:pPr>
        <w:tabs>
          <w:tab w:val="left" w:pos="3374"/>
        </w:tabs>
        <w:jc w:val="right"/>
        <w:rPr>
          <w:rFonts w:ascii="Arial" w:eastAsiaTheme="minorHAnsi" w:hAnsi="Arial" w:cs="Arial"/>
          <w:sz w:val="22"/>
          <w:szCs w:val="22"/>
          <w:lang w:eastAsia="en-US"/>
        </w:rPr>
      </w:pPr>
    </w:p>
    <w:p w14:paraId="74E46A9D" w14:textId="77777777" w:rsidR="00CB28CA" w:rsidRPr="00CB28CA" w:rsidRDefault="00CB28CA" w:rsidP="00CB28CA">
      <w:pPr>
        <w:widowControl w:val="0"/>
        <w:autoSpaceDE w:val="0"/>
        <w:autoSpaceDN w:val="0"/>
        <w:ind w:left="4825"/>
        <w:rPr>
          <w:rFonts w:eastAsia="Arial MT" w:hAnsi="Arial MT" w:cs="Arial MT"/>
          <w:sz w:val="20"/>
          <w:szCs w:val="22"/>
          <w:lang w:val="es-ES" w:eastAsia="en-US"/>
        </w:rPr>
      </w:pPr>
      <w:r w:rsidRPr="00CB28CA">
        <w:rPr>
          <w:rFonts w:eastAsia="Arial MT" w:hAnsi="Arial MT" w:cs="Arial MT"/>
          <w:noProof/>
          <w:sz w:val="20"/>
          <w:szCs w:val="22"/>
          <w:lang w:val="en-US" w:eastAsia="en-US"/>
        </w:rPr>
        <w:drawing>
          <wp:inline distT="0" distB="0" distL="0" distR="0" wp14:anchorId="34B66A6D" wp14:editId="551D98DC">
            <wp:extent cx="2379945" cy="608838"/>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79DB08EF" w14:textId="77777777" w:rsidR="00CB28CA" w:rsidRPr="00CB28CA" w:rsidRDefault="00CB28CA" w:rsidP="00CB28CA">
      <w:pPr>
        <w:widowControl w:val="0"/>
        <w:autoSpaceDE w:val="0"/>
        <w:autoSpaceDN w:val="0"/>
        <w:spacing w:before="10"/>
        <w:rPr>
          <w:rFonts w:eastAsia="Arial MT" w:hAnsi="Arial MT" w:cs="Arial MT"/>
          <w:sz w:val="21"/>
          <w:szCs w:val="22"/>
          <w:lang w:val="es-ES" w:eastAsia="en-US"/>
        </w:rPr>
      </w:pPr>
    </w:p>
    <w:p w14:paraId="62F2BB6C" w14:textId="77777777" w:rsidR="00CB28CA" w:rsidRPr="00CB28CA" w:rsidRDefault="00CB28CA" w:rsidP="00CB28CA">
      <w:pPr>
        <w:widowControl w:val="0"/>
        <w:autoSpaceDE w:val="0"/>
        <w:autoSpaceDN w:val="0"/>
        <w:spacing w:before="94"/>
        <w:ind w:right="533"/>
        <w:jc w:val="right"/>
        <w:rPr>
          <w:rFonts w:ascii="Arial" w:eastAsia="Arial MT" w:hAnsi="Arial MT" w:cs="Arial MT"/>
          <w:b/>
          <w:sz w:val="18"/>
          <w:szCs w:val="22"/>
          <w:lang w:val="es-ES" w:eastAsia="en-US"/>
        </w:rPr>
      </w:pPr>
      <w:r w:rsidRPr="00CB28CA">
        <w:rPr>
          <w:rFonts w:ascii="Arial" w:eastAsia="Arial MT" w:hAnsi="Arial MT" w:cs="Arial MT"/>
          <w:b/>
          <w:color w:val="585858"/>
          <w:sz w:val="18"/>
          <w:szCs w:val="22"/>
          <w:lang w:val="es-ES" w:eastAsia="en-US"/>
        </w:rPr>
        <w:t>CCE-DES-FM-17</w:t>
      </w:r>
    </w:p>
    <w:p w14:paraId="150D0F27" w14:textId="77777777" w:rsidR="00CB28CA" w:rsidRPr="00CB28CA" w:rsidRDefault="00CB28CA" w:rsidP="00CB28CA">
      <w:pPr>
        <w:widowControl w:val="0"/>
        <w:autoSpaceDE w:val="0"/>
        <w:autoSpaceDN w:val="0"/>
        <w:rPr>
          <w:rFonts w:ascii="Arial" w:eastAsia="Arial MT" w:hAnsi="Arial MT" w:cs="Arial MT"/>
          <w:b/>
          <w:sz w:val="20"/>
          <w:szCs w:val="22"/>
          <w:lang w:val="es-ES" w:eastAsia="en-US"/>
        </w:rPr>
      </w:pPr>
    </w:p>
    <w:p w14:paraId="310B1ABE" w14:textId="77777777" w:rsidR="00CB28CA" w:rsidRPr="00CB28CA" w:rsidRDefault="00CB28CA" w:rsidP="00CB28CA">
      <w:pPr>
        <w:widowControl w:val="0"/>
        <w:autoSpaceDE w:val="0"/>
        <w:autoSpaceDN w:val="0"/>
        <w:ind w:left="100"/>
        <w:rPr>
          <w:rFonts w:ascii="Arial MT" w:eastAsia="Arial MT" w:hAnsi="Arial MT" w:cs="Arial MT"/>
          <w:sz w:val="22"/>
          <w:szCs w:val="22"/>
          <w:lang w:val="es-ES" w:eastAsia="en-US"/>
        </w:rPr>
      </w:pPr>
      <w:r w:rsidRPr="00CB28CA">
        <w:rPr>
          <w:rFonts w:ascii="Arial MT" w:eastAsia="Arial MT" w:hAnsi="Arial MT" w:cs="Arial MT"/>
          <w:color w:val="4E4D4D"/>
          <w:sz w:val="22"/>
          <w:szCs w:val="22"/>
          <w:lang w:val="es-ES" w:eastAsia="en-US"/>
        </w:rPr>
        <w:t>Bogotá,</w:t>
      </w:r>
      <w:r w:rsidRPr="00CB28CA">
        <w:rPr>
          <w:rFonts w:ascii="Arial MT" w:eastAsia="Arial MT" w:hAnsi="Arial MT" w:cs="Arial MT"/>
          <w:color w:val="4E4D4D"/>
          <w:spacing w:val="-2"/>
          <w:sz w:val="22"/>
          <w:szCs w:val="22"/>
          <w:lang w:val="es-ES" w:eastAsia="en-US"/>
        </w:rPr>
        <w:t xml:space="preserve"> </w:t>
      </w:r>
      <w:r w:rsidRPr="00CB28CA">
        <w:rPr>
          <w:rFonts w:ascii="Arial MT" w:eastAsia="Arial MT" w:hAnsi="Arial MT" w:cs="Arial MT"/>
          <w:color w:val="4E4D4D"/>
          <w:sz w:val="22"/>
          <w:szCs w:val="22"/>
          <w:lang w:val="es-ES" w:eastAsia="en-US"/>
        </w:rPr>
        <w:t>26</w:t>
      </w:r>
      <w:r w:rsidRPr="00CB28CA">
        <w:rPr>
          <w:rFonts w:ascii="Arial MT" w:eastAsia="Arial MT" w:hAnsi="Arial MT" w:cs="Arial MT"/>
          <w:color w:val="4E4D4D"/>
          <w:spacing w:val="-5"/>
          <w:sz w:val="22"/>
          <w:szCs w:val="22"/>
          <w:lang w:val="es-ES" w:eastAsia="en-US"/>
        </w:rPr>
        <w:t xml:space="preserve"> </w:t>
      </w:r>
      <w:proofErr w:type="gramStart"/>
      <w:r w:rsidRPr="00CB28CA">
        <w:rPr>
          <w:rFonts w:ascii="Arial MT" w:eastAsia="Arial MT" w:hAnsi="Arial MT" w:cs="Arial MT"/>
          <w:color w:val="4E4D4D"/>
          <w:sz w:val="22"/>
          <w:szCs w:val="22"/>
          <w:lang w:val="es-ES" w:eastAsia="en-US"/>
        </w:rPr>
        <w:t>Enero</w:t>
      </w:r>
      <w:proofErr w:type="gramEnd"/>
      <w:r w:rsidRPr="00CB28CA">
        <w:rPr>
          <w:rFonts w:ascii="Arial MT" w:eastAsia="Arial MT" w:hAnsi="Arial MT" w:cs="Arial MT"/>
          <w:color w:val="4E4D4D"/>
          <w:spacing w:val="-4"/>
          <w:sz w:val="22"/>
          <w:szCs w:val="22"/>
          <w:lang w:val="es-ES" w:eastAsia="en-US"/>
        </w:rPr>
        <w:t xml:space="preserve"> </w:t>
      </w:r>
      <w:r w:rsidRPr="00CB28CA">
        <w:rPr>
          <w:rFonts w:ascii="Arial MT" w:eastAsia="Arial MT" w:hAnsi="Arial MT" w:cs="Arial MT"/>
          <w:color w:val="4E4D4D"/>
          <w:sz w:val="22"/>
          <w:szCs w:val="22"/>
          <w:lang w:val="es-ES" w:eastAsia="en-US"/>
        </w:rPr>
        <w:t>2022</w:t>
      </w:r>
    </w:p>
    <w:p w14:paraId="07797183" w14:textId="54AE4596" w:rsidR="00C62A26" w:rsidRPr="005A7019" w:rsidRDefault="00C62A26" w:rsidP="00C62A26">
      <w:pPr>
        <w:widowControl w:val="0"/>
        <w:autoSpaceDE w:val="0"/>
        <w:autoSpaceDN w:val="0"/>
        <w:rPr>
          <w:rFonts w:ascii="Arial" w:eastAsia="Arial MT" w:hAnsi="Arial" w:cs="Arial"/>
          <w:sz w:val="22"/>
          <w:szCs w:val="22"/>
          <w:lang w:val="es-ES" w:eastAsia="en-US"/>
        </w:rPr>
      </w:pPr>
    </w:p>
    <w:p w14:paraId="59045F84" w14:textId="77777777" w:rsidR="00C62A26" w:rsidRPr="005A7019" w:rsidRDefault="00C62A26" w:rsidP="00C62A26">
      <w:pPr>
        <w:widowControl w:val="0"/>
        <w:autoSpaceDE w:val="0"/>
        <w:autoSpaceDN w:val="0"/>
        <w:rPr>
          <w:rFonts w:ascii="Arial" w:eastAsia="Arial MT" w:hAnsi="Arial" w:cs="Arial"/>
          <w:sz w:val="22"/>
          <w:szCs w:val="22"/>
          <w:lang w:val="es-ES" w:eastAsia="en-US"/>
        </w:rPr>
      </w:pPr>
    </w:p>
    <w:p w14:paraId="62FF0970" w14:textId="26049D2E" w:rsidR="00480662" w:rsidRDefault="00C62A26" w:rsidP="00C62A26">
      <w:pPr>
        <w:widowControl w:val="0"/>
        <w:autoSpaceDE w:val="0"/>
        <w:autoSpaceDN w:val="0"/>
        <w:rPr>
          <w:rFonts w:ascii="Arial" w:eastAsia="Arial MT" w:hAnsi="Arial" w:cs="Arial"/>
          <w:sz w:val="22"/>
          <w:szCs w:val="22"/>
          <w:lang w:val="es-ES" w:eastAsia="en-US"/>
        </w:rPr>
      </w:pPr>
      <w:r w:rsidRPr="005A7019">
        <w:rPr>
          <w:rFonts w:ascii="Arial" w:eastAsia="Arial MT" w:hAnsi="Arial" w:cs="Arial"/>
          <w:sz w:val="22"/>
          <w:szCs w:val="22"/>
          <w:lang w:val="es-ES" w:eastAsia="en-US"/>
        </w:rPr>
        <w:t>Señor</w:t>
      </w:r>
      <w:r w:rsidR="00585E9D">
        <w:rPr>
          <w:rFonts w:ascii="Arial" w:eastAsia="Arial MT" w:hAnsi="Arial" w:cs="Arial"/>
          <w:sz w:val="22"/>
          <w:szCs w:val="22"/>
          <w:lang w:val="es-ES" w:eastAsia="en-US"/>
        </w:rPr>
        <w:t>a</w:t>
      </w:r>
    </w:p>
    <w:p w14:paraId="3B29538C" w14:textId="52651262" w:rsidR="00480662" w:rsidRPr="00480662" w:rsidRDefault="00585E9D" w:rsidP="00C62A26">
      <w:pPr>
        <w:widowControl w:val="0"/>
        <w:autoSpaceDE w:val="0"/>
        <w:autoSpaceDN w:val="0"/>
        <w:rPr>
          <w:rFonts w:ascii="Arial" w:eastAsia="Arial MT" w:hAnsi="Arial" w:cs="Arial"/>
          <w:b/>
          <w:sz w:val="22"/>
          <w:szCs w:val="22"/>
          <w:lang w:val="es-ES" w:eastAsia="en-US"/>
        </w:rPr>
      </w:pPr>
      <w:r w:rsidRPr="00480662">
        <w:rPr>
          <w:rFonts w:ascii="Arial" w:eastAsia="Arial MT" w:hAnsi="Arial" w:cs="Arial"/>
          <w:b/>
          <w:sz w:val="22"/>
          <w:szCs w:val="22"/>
          <w:lang w:val="es-ES" w:eastAsia="en-US"/>
        </w:rPr>
        <w:t>María</w:t>
      </w:r>
      <w:r w:rsidR="00480662" w:rsidRPr="00480662">
        <w:rPr>
          <w:rFonts w:ascii="Arial" w:eastAsia="Arial MT" w:hAnsi="Arial" w:cs="Arial"/>
          <w:b/>
          <w:sz w:val="22"/>
          <w:szCs w:val="22"/>
          <w:lang w:val="es-ES" w:eastAsia="en-US"/>
        </w:rPr>
        <w:t xml:space="preserve"> Carolina González Fonseca</w:t>
      </w:r>
    </w:p>
    <w:p w14:paraId="20AA5DAB" w14:textId="17949BCA" w:rsidR="00C64E90" w:rsidRPr="005A7019" w:rsidRDefault="00C64E90" w:rsidP="00C62A26">
      <w:pPr>
        <w:widowControl w:val="0"/>
        <w:autoSpaceDE w:val="0"/>
        <w:autoSpaceDN w:val="0"/>
        <w:rPr>
          <w:rFonts w:ascii="Arial" w:eastAsia="Arial MT" w:hAnsi="Arial" w:cs="Arial"/>
          <w:sz w:val="22"/>
          <w:szCs w:val="22"/>
          <w:lang w:val="es-ES" w:eastAsia="en-US"/>
        </w:rPr>
      </w:pPr>
      <w:r w:rsidRPr="005A7019">
        <w:rPr>
          <w:rFonts w:ascii="Arial" w:eastAsia="Arial MT" w:hAnsi="Arial" w:cs="Arial"/>
          <w:sz w:val="22"/>
          <w:szCs w:val="22"/>
          <w:lang w:val="es-ES" w:eastAsia="en-US"/>
        </w:rPr>
        <w:t>Bogotá</w:t>
      </w:r>
      <w:r w:rsidR="00A052E9" w:rsidRPr="005A7019">
        <w:rPr>
          <w:rFonts w:ascii="Arial" w:eastAsia="Arial MT" w:hAnsi="Arial" w:cs="Arial"/>
          <w:sz w:val="22"/>
          <w:szCs w:val="22"/>
          <w:lang w:val="es-ES" w:eastAsia="en-US"/>
        </w:rPr>
        <w:t xml:space="preserve"> D.C.</w:t>
      </w:r>
    </w:p>
    <w:p w14:paraId="596857EC" w14:textId="07C6C77A" w:rsidR="00C62A26" w:rsidRPr="005A7019" w:rsidRDefault="00C62A26" w:rsidP="00C62A26">
      <w:pPr>
        <w:widowControl w:val="0"/>
        <w:autoSpaceDE w:val="0"/>
        <w:autoSpaceDN w:val="0"/>
        <w:spacing w:before="11"/>
        <w:rPr>
          <w:rFonts w:ascii="Arial" w:eastAsia="Arial MT" w:hAnsi="Arial" w:cs="Arial"/>
          <w:sz w:val="22"/>
          <w:szCs w:val="22"/>
          <w:lang w:val="es-ES" w:eastAsia="en-US"/>
        </w:rPr>
      </w:pPr>
    </w:p>
    <w:p w14:paraId="6FDF364F" w14:textId="77777777" w:rsidR="009F00BF" w:rsidRPr="005A7019" w:rsidRDefault="009F00BF" w:rsidP="00C62A26">
      <w:pPr>
        <w:widowControl w:val="0"/>
        <w:autoSpaceDE w:val="0"/>
        <w:autoSpaceDN w:val="0"/>
        <w:spacing w:before="11"/>
        <w:rPr>
          <w:rFonts w:ascii="Arial" w:eastAsia="Arial MT" w:hAnsi="Arial" w:cs="Arial"/>
          <w:sz w:val="22"/>
          <w:szCs w:val="22"/>
          <w:lang w:val="es-ES" w:eastAsia="en-US"/>
        </w:rPr>
      </w:pPr>
    </w:p>
    <w:p w14:paraId="1301E6A8" w14:textId="3A86BD60" w:rsidR="00C62A26" w:rsidRPr="005A7019" w:rsidRDefault="00A052E9" w:rsidP="00E26446">
      <w:pPr>
        <w:widowControl w:val="0"/>
        <w:autoSpaceDE w:val="0"/>
        <w:autoSpaceDN w:val="0"/>
        <w:outlineLvl w:val="0"/>
        <w:rPr>
          <w:rFonts w:ascii="Arial" w:eastAsia="Arial" w:hAnsi="Arial" w:cs="Arial"/>
          <w:b/>
          <w:bCs/>
          <w:sz w:val="22"/>
          <w:szCs w:val="22"/>
          <w:lang w:val="es-ES" w:eastAsia="en-US"/>
        </w:rPr>
      </w:pPr>
      <w:r w:rsidRPr="005A7019">
        <w:rPr>
          <w:rFonts w:ascii="Arial" w:eastAsia="Arial" w:hAnsi="Arial" w:cs="Arial"/>
          <w:b/>
          <w:bCs/>
          <w:sz w:val="22"/>
          <w:szCs w:val="22"/>
          <w:lang w:val="es-ES" w:eastAsia="en-US"/>
        </w:rPr>
        <w:t xml:space="preserve">                                            </w:t>
      </w:r>
      <w:r w:rsidR="00C62A26" w:rsidRPr="005A7019">
        <w:rPr>
          <w:rFonts w:ascii="Arial" w:eastAsia="Arial" w:hAnsi="Arial" w:cs="Arial"/>
          <w:b/>
          <w:bCs/>
          <w:sz w:val="22"/>
          <w:szCs w:val="22"/>
          <w:lang w:val="es-ES" w:eastAsia="en-US"/>
        </w:rPr>
        <w:t>Concepto</w:t>
      </w:r>
      <w:r w:rsidR="00C62A26" w:rsidRPr="005A7019">
        <w:rPr>
          <w:rFonts w:ascii="Arial" w:eastAsia="Arial" w:hAnsi="Arial" w:cs="Arial"/>
          <w:b/>
          <w:bCs/>
          <w:spacing w:val="-4"/>
          <w:sz w:val="22"/>
          <w:szCs w:val="22"/>
          <w:lang w:val="es-ES" w:eastAsia="en-US"/>
        </w:rPr>
        <w:t xml:space="preserve"> </w:t>
      </w:r>
      <w:r w:rsidR="00C62A26" w:rsidRPr="005A7019">
        <w:rPr>
          <w:rFonts w:ascii="Arial" w:eastAsia="Arial" w:hAnsi="Arial" w:cs="Arial"/>
          <w:b/>
          <w:bCs/>
          <w:sz w:val="22"/>
          <w:szCs w:val="22"/>
          <w:lang w:val="es-ES" w:eastAsia="en-US"/>
        </w:rPr>
        <w:t>C</w:t>
      </w:r>
      <w:r w:rsidR="00C62A26" w:rsidRPr="005A7019">
        <w:rPr>
          <w:rFonts w:ascii="Arial" w:eastAsia="Arial" w:hAnsi="Arial" w:cs="Arial"/>
          <w:b/>
          <w:bCs/>
          <w:spacing w:val="-2"/>
          <w:sz w:val="22"/>
          <w:szCs w:val="22"/>
          <w:lang w:val="es-ES" w:eastAsia="en-US"/>
        </w:rPr>
        <w:t xml:space="preserve"> </w:t>
      </w:r>
      <w:r w:rsidR="00C62A26" w:rsidRPr="005A7019">
        <w:rPr>
          <w:rFonts w:ascii="Arial" w:eastAsia="Arial" w:hAnsi="Arial" w:cs="Arial"/>
          <w:b/>
          <w:bCs/>
          <w:sz w:val="22"/>
          <w:szCs w:val="22"/>
          <w:lang w:val="es-ES" w:eastAsia="en-US"/>
        </w:rPr>
        <w:t>–</w:t>
      </w:r>
      <w:r w:rsidR="00C62A26" w:rsidRPr="005A7019">
        <w:rPr>
          <w:rFonts w:ascii="Arial" w:eastAsia="Arial" w:hAnsi="Arial" w:cs="Arial"/>
          <w:b/>
          <w:bCs/>
          <w:spacing w:val="-3"/>
          <w:sz w:val="22"/>
          <w:szCs w:val="22"/>
          <w:lang w:val="es-ES" w:eastAsia="en-US"/>
        </w:rPr>
        <w:t xml:space="preserve"> </w:t>
      </w:r>
      <w:r w:rsidR="00957649">
        <w:rPr>
          <w:rFonts w:ascii="Arial" w:eastAsia="Arial" w:hAnsi="Arial" w:cs="Arial"/>
          <w:b/>
          <w:bCs/>
          <w:spacing w:val="-4"/>
          <w:sz w:val="22"/>
          <w:szCs w:val="22"/>
          <w:lang w:val="es-ES" w:eastAsia="en-US"/>
        </w:rPr>
        <w:t>7</w:t>
      </w:r>
      <w:r w:rsidR="00B06888">
        <w:rPr>
          <w:rFonts w:ascii="Arial" w:eastAsia="Arial" w:hAnsi="Arial" w:cs="Arial"/>
          <w:b/>
          <w:bCs/>
          <w:spacing w:val="-4"/>
          <w:sz w:val="22"/>
          <w:szCs w:val="22"/>
          <w:lang w:val="es-ES" w:eastAsia="en-US"/>
        </w:rPr>
        <w:t>28</w:t>
      </w:r>
      <w:r w:rsidR="00957649">
        <w:rPr>
          <w:rFonts w:ascii="Arial" w:eastAsia="Arial" w:hAnsi="Arial" w:cs="Arial"/>
          <w:b/>
          <w:bCs/>
          <w:spacing w:val="-4"/>
          <w:sz w:val="22"/>
          <w:szCs w:val="22"/>
          <w:lang w:val="es-ES" w:eastAsia="en-US"/>
        </w:rPr>
        <w:t xml:space="preserve"> </w:t>
      </w:r>
      <w:r w:rsidR="00C62A26" w:rsidRPr="005A7019">
        <w:rPr>
          <w:rFonts w:ascii="Arial" w:eastAsia="Arial" w:hAnsi="Arial" w:cs="Arial"/>
          <w:b/>
          <w:bCs/>
          <w:sz w:val="22"/>
          <w:szCs w:val="22"/>
          <w:lang w:val="es-ES" w:eastAsia="en-US"/>
        </w:rPr>
        <w:t>de</w:t>
      </w:r>
      <w:r w:rsidR="00C62A26" w:rsidRPr="005A7019">
        <w:rPr>
          <w:rFonts w:ascii="Arial" w:eastAsia="Arial" w:hAnsi="Arial" w:cs="Arial"/>
          <w:b/>
          <w:bCs/>
          <w:spacing w:val="-3"/>
          <w:sz w:val="22"/>
          <w:szCs w:val="22"/>
          <w:lang w:val="es-ES" w:eastAsia="en-US"/>
        </w:rPr>
        <w:t xml:space="preserve"> </w:t>
      </w:r>
      <w:r w:rsidR="00C62A26" w:rsidRPr="005A7019">
        <w:rPr>
          <w:rFonts w:ascii="Arial" w:eastAsia="Arial" w:hAnsi="Arial" w:cs="Arial"/>
          <w:b/>
          <w:bCs/>
          <w:sz w:val="22"/>
          <w:szCs w:val="22"/>
          <w:lang w:val="es-ES" w:eastAsia="en-US"/>
        </w:rPr>
        <w:t>202</w:t>
      </w:r>
      <w:r w:rsidR="00957649">
        <w:rPr>
          <w:rFonts w:ascii="Arial" w:eastAsia="Arial" w:hAnsi="Arial" w:cs="Arial"/>
          <w:b/>
          <w:bCs/>
          <w:sz w:val="22"/>
          <w:szCs w:val="22"/>
          <w:lang w:val="es-ES" w:eastAsia="en-US"/>
        </w:rPr>
        <w:t>1</w:t>
      </w:r>
    </w:p>
    <w:p w14:paraId="7EAEE81D" w14:textId="52441CD3" w:rsidR="00BD12C1" w:rsidRPr="005A7019" w:rsidRDefault="00BD12C1" w:rsidP="00BB0E2F">
      <w:pPr>
        <w:widowControl w:val="0"/>
        <w:tabs>
          <w:tab w:val="left" w:pos="2794"/>
        </w:tabs>
        <w:autoSpaceDE w:val="0"/>
        <w:autoSpaceDN w:val="0"/>
        <w:spacing w:before="92"/>
        <w:ind w:right="111"/>
        <w:jc w:val="both"/>
        <w:rPr>
          <w:rFonts w:ascii="Arial" w:eastAsia="Arial MT" w:hAnsi="Arial" w:cs="Arial"/>
          <w:b/>
          <w:sz w:val="22"/>
          <w:szCs w:val="22"/>
          <w:lang w:val="es-ES" w:eastAsia="en-US"/>
        </w:rPr>
      </w:pPr>
    </w:p>
    <w:tbl>
      <w:tblPr>
        <w:tblStyle w:val="Tablaconcuadrcula2"/>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80662" w:rsidRPr="00480662" w14:paraId="30F9422E" w14:textId="77777777" w:rsidTr="006001C0">
        <w:tc>
          <w:tcPr>
            <w:tcW w:w="2689" w:type="dxa"/>
          </w:tcPr>
          <w:p w14:paraId="170B9B32" w14:textId="77777777" w:rsidR="00BD12C1" w:rsidRPr="00480662" w:rsidRDefault="00BD12C1" w:rsidP="009F00BF">
            <w:pPr>
              <w:jc w:val="both"/>
              <w:rPr>
                <w:rFonts w:ascii="Arial" w:eastAsia="Calibri" w:hAnsi="Arial" w:cs="Arial"/>
                <w:b/>
                <w:sz w:val="22"/>
                <w:lang w:val="es-ES_tradnl"/>
              </w:rPr>
            </w:pPr>
            <w:r w:rsidRPr="00480662">
              <w:rPr>
                <w:rFonts w:ascii="Arial" w:eastAsia="Calibri" w:hAnsi="Arial" w:cs="Arial"/>
                <w:b/>
                <w:sz w:val="22"/>
                <w:lang w:val="es-ES_tradnl"/>
              </w:rPr>
              <w:t xml:space="preserve">Temas:                                      </w:t>
            </w:r>
          </w:p>
        </w:tc>
        <w:tc>
          <w:tcPr>
            <w:tcW w:w="6237" w:type="dxa"/>
          </w:tcPr>
          <w:p w14:paraId="414C8E3B" w14:textId="4875A396" w:rsidR="00BD12C1" w:rsidRPr="00480662" w:rsidRDefault="000E73E1" w:rsidP="004D69C3">
            <w:pPr>
              <w:spacing w:after="120"/>
              <w:jc w:val="both"/>
              <w:rPr>
                <w:rFonts w:ascii="Arial" w:eastAsia="Calibri" w:hAnsi="Arial" w:cs="Arial"/>
                <w:sz w:val="22"/>
                <w:lang w:val="es-ES_tradnl"/>
              </w:rPr>
            </w:pPr>
            <w:r>
              <w:rPr>
                <w:rFonts w:ascii="Arial" w:eastAsia="Calibri" w:hAnsi="Arial" w:cs="Arial"/>
                <w:bCs/>
                <w:sz w:val="22"/>
                <w:szCs w:val="22"/>
                <w:lang w:val="es-MX" w:eastAsia="en-US"/>
              </w:rPr>
              <w:t>PRINCIPIO DE SELECCIÓN OBJETIVA</w:t>
            </w:r>
            <w:r w:rsidR="00BD12C1" w:rsidRPr="00480662">
              <w:rPr>
                <w:rFonts w:ascii="Arial" w:eastAsia="Calibri" w:hAnsi="Arial" w:cs="Arial"/>
                <w:bCs/>
                <w:sz w:val="22"/>
                <w:szCs w:val="22"/>
                <w:lang w:val="es-MX" w:eastAsia="en-US"/>
              </w:rPr>
              <w:t xml:space="preserve">– </w:t>
            </w:r>
            <w:r>
              <w:rPr>
                <w:rFonts w:ascii="Arial" w:eastAsia="Calibri" w:hAnsi="Arial" w:cs="Arial"/>
                <w:bCs/>
                <w:sz w:val="22"/>
                <w:szCs w:val="22"/>
                <w:lang w:val="es-MX" w:eastAsia="en-US"/>
              </w:rPr>
              <w:t xml:space="preserve">Rechazo de las ofertas </w:t>
            </w:r>
            <w:r w:rsidR="00BD12C1" w:rsidRPr="00480662">
              <w:rPr>
                <w:rFonts w:ascii="Arial" w:eastAsia="Calibri" w:hAnsi="Arial" w:cs="Arial"/>
                <w:bCs/>
                <w:sz w:val="22"/>
                <w:szCs w:val="22"/>
                <w:lang w:val="es-MX" w:eastAsia="en-US"/>
              </w:rPr>
              <w:t>–</w:t>
            </w:r>
            <w:r>
              <w:rPr>
                <w:rFonts w:ascii="Arial" w:eastAsia="Calibri" w:hAnsi="Arial" w:cs="Arial"/>
                <w:bCs/>
                <w:sz w:val="22"/>
                <w:szCs w:val="22"/>
                <w:lang w:val="es-MX" w:eastAsia="en-US"/>
              </w:rPr>
              <w:t xml:space="preserve"> </w:t>
            </w:r>
            <w:proofErr w:type="spellStart"/>
            <w:r>
              <w:rPr>
                <w:rFonts w:ascii="Arial" w:eastAsia="Calibri" w:hAnsi="Arial" w:cs="Arial"/>
                <w:bCs/>
                <w:sz w:val="22"/>
                <w:szCs w:val="22"/>
                <w:lang w:val="es-MX" w:eastAsia="en-US"/>
              </w:rPr>
              <w:t>Subsanabilidad</w:t>
            </w:r>
            <w:proofErr w:type="spellEnd"/>
            <w:r>
              <w:rPr>
                <w:rFonts w:ascii="Arial" w:eastAsia="Calibri" w:hAnsi="Arial" w:cs="Arial"/>
                <w:bCs/>
                <w:sz w:val="22"/>
                <w:szCs w:val="22"/>
                <w:lang w:val="es-MX" w:eastAsia="en-US"/>
              </w:rPr>
              <w:t xml:space="preserve"> </w:t>
            </w:r>
            <w:r w:rsidR="00BD12C1" w:rsidRPr="00480662">
              <w:rPr>
                <w:rFonts w:ascii="Arial" w:eastAsia="Calibri" w:hAnsi="Arial" w:cs="Arial"/>
                <w:bCs/>
                <w:sz w:val="22"/>
                <w:szCs w:val="22"/>
                <w:lang w:val="es-MX" w:eastAsia="en-US"/>
              </w:rPr>
              <w:t>/ S</w:t>
            </w:r>
            <w:r>
              <w:rPr>
                <w:rFonts w:ascii="Arial" w:eastAsia="Calibri" w:hAnsi="Arial" w:cs="Arial"/>
                <w:bCs/>
                <w:sz w:val="22"/>
                <w:szCs w:val="22"/>
                <w:lang w:val="es-MX" w:eastAsia="en-US"/>
              </w:rPr>
              <w:t xml:space="preserve">UBSANABILIDAD DE LAS OFERTAS </w:t>
            </w:r>
            <w:r w:rsidR="00BD12C1" w:rsidRPr="00480662">
              <w:rPr>
                <w:rFonts w:ascii="Arial" w:eastAsia="Calibri" w:hAnsi="Arial" w:cs="Arial"/>
                <w:sz w:val="22"/>
                <w:szCs w:val="22"/>
                <w:lang w:val="es-MX" w:eastAsia="en-US"/>
              </w:rPr>
              <w:t xml:space="preserve">– </w:t>
            </w:r>
            <w:r>
              <w:rPr>
                <w:rFonts w:ascii="Arial" w:eastAsia="Calibri" w:hAnsi="Arial" w:cs="Arial"/>
                <w:sz w:val="22"/>
                <w:szCs w:val="22"/>
                <w:lang w:val="es-MX" w:eastAsia="en-US"/>
              </w:rPr>
              <w:t xml:space="preserve">Alcance de la regla </w:t>
            </w:r>
            <w:r w:rsidR="00BD12C1" w:rsidRPr="00480662">
              <w:rPr>
                <w:rFonts w:ascii="Arial" w:eastAsia="Calibri" w:hAnsi="Arial" w:cs="Arial"/>
                <w:sz w:val="22"/>
                <w:szCs w:val="22"/>
                <w:lang w:val="es-MX" w:eastAsia="en-US"/>
              </w:rPr>
              <w:t xml:space="preserve">– </w:t>
            </w:r>
            <w:r w:rsidR="002C615C">
              <w:rPr>
                <w:rFonts w:ascii="Arial" w:eastAsia="Calibri" w:hAnsi="Arial" w:cs="Arial"/>
                <w:sz w:val="22"/>
                <w:szCs w:val="22"/>
                <w:lang w:val="es-MX" w:eastAsia="en-US"/>
              </w:rPr>
              <w:t>Ley 1882 de 2018</w:t>
            </w:r>
            <w:r w:rsidR="00BD12C1" w:rsidRPr="00480662">
              <w:rPr>
                <w:rFonts w:ascii="Arial" w:eastAsia="Calibri" w:hAnsi="Arial" w:cs="Arial"/>
                <w:bCs/>
                <w:sz w:val="22"/>
                <w:szCs w:val="22"/>
                <w:lang w:val="es-MX" w:eastAsia="en-US"/>
              </w:rPr>
              <w:t>–</w:t>
            </w:r>
            <w:r w:rsidR="00BD12C1" w:rsidRPr="00480662">
              <w:rPr>
                <w:rFonts w:ascii="Arial" w:eastAsia="Calibri" w:hAnsi="Arial" w:cs="Arial"/>
                <w:bCs/>
                <w:sz w:val="22"/>
                <w:szCs w:val="22"/>
                <w:lang w:val="es-ES" w:eastAsia="en-US"/>
              </w:rPr>
              <w:t xml:space="preserve"> </w:t>
            </w:r>
            <w:r w:rsidR="002C615C">
              <w:rPr>
                <w:rFonts w:ascii="Arial" w:eastAsia="Calibri" w:hAnsi="Arial" w:cs="Arial"/>
                <w:bCs/>
                <w:sz w:val="22"/>
                <w:szCs w:val="22"/>
                <w:lang w:val="es-ES" w:eastAsia="en-US"/>
              </w:rPr>
              <w:t xml:space="preserve">Ámbito temporal </w:t>
            </w:r>
            <w:r w:rsidR="00BD12C1" w:rsidRPr="00480662">
              <w:rPr>
                <w:rFonts w:ascii="Arial" w:eastAsia="Calibri" w:hAnsi="Arial" w:cs="Arial"/>
                <w:bCs/>
                <w:sz w:val="22"/>
                <w:szCs w:val="22"/>
                <w:lang w:val="es-MX" w:eastAsia="en-US"/>
              </w:rPr>
              <w:t>– C</w:t>
            </w:r>
            <w:r w:rsidR="002C615C">
              <w:rPr>
                <w:rFonts w:ascii="Arial" w:eastAsia="Calibri" w:hAnsi="Arial" w:cs="Arial"/>
                <w:bCs/>
                <w:sz w:val="22"/>
                <w:szCs w:val="22"/>
                <w:lang w:val="es-MX" w:eastAsia="en-US"/>
              </w:rPr>
              <w:t>riterio material</w:t>
            </w:r>
            <w:r w:rsidR="00BD12C1" w:rsidRPr="00480662">
              <w:rPr>
                <w:rFonts w:ascii="Arial" w:eastAsia="Calibri" w:hAnsi="Arial" w:cs="Arial"/>
                <w:bCs/>
                <w:sz w:val="22"/>
                <w:szCs w:val="22"/>
                <w:lang w:val="es-MX" w:eastAsia="en-US"/>
              </w:rPr>
              <w:t xml:space="preserve"> </w:t>
            </w:r>
          </w:p>
        </w:tc>
      </w:tr>
    </w:tbl>
    <w:p w14:paraId="6F37CCB0" w14:textId="2BEDD836" w:rsidR="00C62A26" w:rsidRPr="00480662" w:rsidRDefault="000D753A" w:rsidP="00E26446">
      <w:pPr>
        <w:widowControl w:val="0"/>
        <w:tabs>
          <w:tab w:val="left" w:pos="2694"/>
        </w:tabs>
        <w:autoSpaceDE w:val="0"/>
        <w:autoSpaceDN w:val="0"/>
        <w:jc w:val="both"/>
        <w:rPr>
          <w:rFonts w:ascii="Arial" w:eastAsia="Arial MT" w:hAnsi="Arial" w:cs="Arial"/>
          <w:sz w:val="22"/>
          <w:szCs w:val="22"/>
          <w:lang w:val="es-ES" w:eastAsia="en-US"/>
        </w:rPr>
      </w:pPr>
      <w:r w:rsidRPr="00480662">
        <w:rPr>
          <w:rFonts w:ascii="Arial" w:eastAsia="Arial MT" w:hAnsi="Arial" w:cs="Arial"/>
          <w:b/>
          <w:sz w:val="22"/>
          <w:szCs w:val="22"/>
          <w:lang w:val="es-ES" w:eastAsia="en-US"/>
        </w:rPr>
        <w:t xml:space="preserve">Radicación:                  </w:t>
      </w:r>
      <w:r w:rsidR="00A052E9" w:rsidRPr="00480662">
        <w:rPr>
          <w:rFonts w:ascii="Arial" w:eastAsia="Arial MT" w:hAnsi="Arial" w:cs="Arial"/>
          <w:b/>
          <w:sz w:val="22"/>
          <w:szCs w:val="22"/>
          <w:lang w:val="es-ES" w:eastAsia="en-US"/>
        </w:rPr>
        <w:tab/>
      </w:r>
      <w:r w:rsidR="00C62A26" w:rsidRPr="00480662">
        <w:rPr>
          <w:rFonts w:ascii="Arial" w:eastAsia="Arial MT" w:hAnsi="Arial" w:cs="Arial"/>
          <w:sz w:val="22"/>
          <w:szCs w:val="22"/>
          <w:lang w:val="es-ES" w:eastAsia="en-US"/>
        </w:rPr>
        <w:t>Respuesta</w:t>
      </w:r>
      <w:r w:rsidR="00C62A26" w:rsidRPr="00480662">
        <w:rPr>
          <w:rFonts w:ascii="Arial" w:eastAsia="Arial MT" w:hAnsi="Arial" w:cs="Arial"/>
          <w:spacing w:val="-7"/>
          <w:sz w:val="22"/>
          <w:szCs w:val="22"/>
          <w:lang w:val="es-ES" w:eastAsia="en-US"/>
        </w:rPr>
        <w:t xml:space="preserve"> </w:t>
      </w:r>
      <w:r w:rsidR="00C62A26" w:rsidRPr="00480662">
        <w:rPr>
          <w:rFonts w:ascii="Arial" w:eastAsia="Arial MT" w:hAnsi="Arial" w:cs="Arial"/>
          <w:sz w:val="22"/>
          <w:szCs w:val="22"/>
          <w:lang w:val="es-ES" w:eastAsia="en-US"/>
        </w:rPr>
        <w:t>a</w:t>
      </w:r>
      <w:r w:rsidR="00C62A26" w:rsidRPr="00480662">
        <w:rPr>
          <w:rFonts w:ascii="Arial" w:eastAsia="Arial MT" w:hAnsi="Arial" w:cs="Arial"/>
          <w:spacing w:val="-6"/>
          <w:sz w:val="22"/>
          <w:szCs w:val="22"/>
          <w:lang w:val="es-ES" w:eastAsia="en-US"/>
        </w:rPr>
        <w:t xml:space="preserve"> </w:t>
      </w:r>
      <w:r w:rsidR="00C62A26" w:rsidRPr="00480662">
        <w:rPr>
          <w:rFonts w:ascii="Arial" w:eastAsia="Arial MT" w:hAnsi="Arial" w:cs="Arial"/>
          <w:sz w:val="22"/>
          <w:szCs w:val="22"/>
          <w:lang w:val="es-ES" w:eastAsia="en-US"/>
        </w:rPr>
        <w:t>consulta</w:t>
      </w:r>
      <w:r w:rsidR="00C62A26" w:rsidRPr="00480662">
        <w:rPr>
          <w:rFonts w:ascii="Arial" w:eastAsia="Arial MT" w:hAnsi="Arial" w:cs="Arial"/>
          <w:spacing w:val="-5"/>
          <w:sz w:val="22"/>
          <w:szCs w:val="22"/>
          <w:lang w:val="es-ES" w:eastAsia="en-US"/>
        </w:rPr>
        <w:t xml:space="preserve"> </w:t>
      </w:r>
      <w:r w:rsidR="00480662" w:rsidRPr="00480662">
        <w:rPr>
          <w:rFonts w:ascii="Arial" w:hAnsi="Arial" w:cs="Arial"/>
          <w:bCs/>
          <w:sz w:val="22"/>
          <w:szCs w:val="22"/>
          <w:shd w:val="clear" w:color="auto" w:fill="FFFFFF"/>
        </w:rPr>
        <w:t>P20211215011510 y P20211215011511</w:t>
      </w:r>
    </w:p>
    <w:p w14:paraId="4AB47DDD" w14:textId="77777777" w:rsidR="00C62A26" w:rsidRPr="005A7019" w:rsidRDefault="00C62A26" w:rsidP="00C62A26">
      <w:pPr>
        <w:widowControl w:val="0"/>
        <w:autoSpaceDE w:val="0"/>
        <w:autoSpaceDN w:val="0"/>
        <w:rPr>
          <w:rFonts w:ascii="Arial" w:eastAsia="Arial MT" w:hAnsi="Arial" w:cs="Arial"/>
          <w:sz w:val="22"/>
          <w:szCs w:val="22"/>
          <w:lang w:val="es-ES" w:eastAsia="en-US"/>
        </w:rPr>
      </w:pPr>
    </w:p>
    <w:p w14:paraId="094D5FEE" w14:textId="77777777" w:rsidR="00C62A26" w:rsidRPr="005A7019" w:rsidRDefault="00C62A26" w:rsidP="00C62A26">
      <w:pPr>
        <w:widowControl w:val="0"/>
        <w:autoSpaceDE w:val="0"/>
        <w:autoSpaceDN w:val="0"/>
        <w:spacing w:before="10"/>
        <w:rPr>
          <w:rFonts w:ascii="Arial" w:eastAsia="Arial MT" w:hAnsi="Arial" w:cs="Arial"/>
          <w:sz w:val="22"/>
          <w:szCs w:val="22"/>
          <w:lang w:val="es-ES" w:eastAsia="en-US"/>
        </w:rPr>
      </w:pPr>
    </w:p>
    <w:p w14:paraId="7865DC5D" w14:textId="64117A19" w:rsidR="00C62A26" w:rsidRPr="005A7019" w:rsidRDefault="00C62A26" w:rsidP="00E26446">
      <w:pPr>
        <w:widowControl w:val="0"/>
        <w:autoSpaceDE w:val="0"/>
        <w:autoSpaceDN w:val="0"/>
        <w:rPr>
          <w:rFonts w:ascii="Arial MT" w:eastAsia="Arial MT" w:hAnsi="Arial MT" w:cs="Arial MT"/>
          <w:sz w:val="22"/>
          <w:szCs w:val="22"/>
          <w:lang w:val="es-ES" w:eastAsia="en-US"/>
        </w:rPr>
      </w:pPr>
      <w:r w:rsidRPr="005A7019">
        <w:rPr>
          <w:rFonts w:ascii="Arial MT" w:eastAsia="Arial MT" w:hAnsi="Arial MT" w:cs="Arial MT"/>
          <w:sz w:val="22"/>
          <w:szCs w:val="22"/>
          <w:lang w:val="es-ES" w:eastAsia="en-US"/>
        </w:rPr>
        <w:t>Estimad</w:t>
      </w:r>
      <w:r w:rsidR="00480662">
        <w:rPr>
          <w:rFonts w:ascii="Arial MT" w:eastAsia="Arial MT" w:hAnsi="Arial MT" w:cs="Arial MT"/>
          <w:spacing w:val="-7"/>
          <w:sz w:val="22"/>
          <w:szCs w:val="22"/>
          <w:lang w:val="es-ES" w:eastAsia="en-US"/>
        </w:rPr>
        <w:t>o Señor</w:t>
      </w:r>
      <w:r w:rsidR="004D69C3">
        <w:rPr>
          <w:rFonts w:ascii="Arial MT" w:eastAsia="Arial MT" w:hAnsi="Arial MT" w:cs="Arial MT"/>
          <w:spacing w:val="-7"/>
          <w:sz w:val="22"/>
          <w:szCs w:val="22"/>
          <w:lang w:val="es-ES" w:eastAsia="en-US"/>
        </w:rPr>
        <w:t>a</w:t>
      </w:r>
      <w:r w:rsidR="00480662">
        <w:rPr>
          <w:rFonts w:ascii="Arial MT" w:eastAsia="Arial MT" w:hAnsi="Arial MT" w:cs="Arial MT"/>
          <w:spacing w:val="-7"/>
          <w:sz w:val="22"/>
          <w:szCs w:val="22"/>
          <w:lang w:val="es-ES" w:eastAsia="en-US"/>
        </w:rPr>
        <w:t xml:space="preserve"> </w:t>
      </w:r>
      <w:r w:rsidR="004D69C3" w:rsidRPr="007C4DB5">
        <w:rPr>
          <w:rFonts w:ascii="Arial" w:eastAsia="Arial MT" w:hAnsi="Arial" w:cs="Arial"/>
          <w:bCs/>
          <w:sz w:val="22"/>
          <w:szCs w:val="22"/>
          <w:lang w:val="es-ES" w:eastAsia="en-US"/>
        </w:rPr>
        <w:t>González</w:t>
      </w:r>
      <w:r w:rsidR="00480662">
        <w:rPr>
          <w:rFonts w:ascii="Arial MT" w:eastAsia="Arial MT" w:hAnsi="Arial MT" w:cs="Arial MT"/>
          <w:spacing w:val="-7"/>
          <w:sz w:val="22"/>
          <w:szCs w:val="22"/>
          <w:lang w:val="es-ES" w:eastAsia="en-US"/>
        </w:rPr>
        <w:t>:</w:t>
      </w:r>
    </w:p>
    <w:p w14:paraId="76C3D0BF" w14:textId="77777777" w:rsidR="00C62A26" w:rsidRPr="005A7019" w:rsidRDefault="00C62A26" w:rsidP="00C62A26">
      <w:pPr>
        <w:widowControl w:val="0"/>
        <w:autoSpaceDE w:val="0"/>
        <w:autoSpaceDN w:val="0"/>
        <w:spacing w:before="7"/>
        <w:rPr>
          <w:rFonts w:ascii="Arial" w:eastAsia="Arial MT" w:hAnsi="Arial" w:cs="Arial"/>
          <w:sz w:val="22"/>
          <w:szCs w:val="22"/>
          <w:lang w:val="es-ES" w:eastAsia="en-US"/>
        </w:rPr>
      </w:pPr>
    </w:p>
    <w:p w14:paraId="512C1E0E" w14:textId="64FFADBB" w:rsidR="00C62A26" w:rsidRPr="005A7019" w:rsidRDefault="00C62A26" w:rsidP="00E26446">
      <w:pPr>
        <w:widowControl w:val="0"/>
        <w:autoSpaceDE w:val="0"/>
        <w:autoSpaceDN w:val="0"/>
        <w:spacing w:line="276" w:lineRule="auto"/>
        <w:jc w:val="both"/>
        <w:rPr>
          <w:rFonts w:ascii="Arial MT" w:eastAsia="Arial MT" w:hAnsi="Arial MT" w:cs="Arial MT"/>
          <w:sz w:val="22"/>
          <w:szCs w:val="22"/>
          <w:lang w:val="es-ES" w:eastAsia="en-US"/>
        </w:rPr>
      </w:pPr>
      <w:r w:rsidRPr="005A7019">
        <w:rPr>
          <w:rFonts w:ascii="Arial MT" w:eastAsia="Arial MT" w:hAnsi="Arial MT" w:cs="Arial MT"/>
          <w:sz w:val="22"/>
          <w:szCs w:val="22"/>
          <w:lang w:val="es-ES" w:eastAsia="en-US"/>
        </w:rPr>
        <w:t xml:space="preserve">En ejercicio de la competencia otorgada por el numeral 8 del artículo 11 y el numeral </w:t>
      </w:r>
      <w:r w:rsidR="00E26446" w:rsidRPr="005A7019">
        <w:rPr>
          <w:rFonts w:ascii="Arial MT" w:eastAsia="Arial MT" w:hAnsi="Arial MT" w:cs="Arial MT"/>
          <w:sz w:val="22"/>
          <w:szCs w:val="22"/>
          <w:lang w:val="es-ES" w:eastAsia="en-US"/>
        </w:rPr>
        <w:t xml:space="preserve">5 del </w:t>
      </w:r>
      <w:r w:rsidRPr="005A7019">
        <w:rPr>
          <w:rFonts w:ascii="Arial MT" w:eastAsia="Arial MT" w:hAnsi="Arial MT" w:cs="Arial MT"/>
          <w:sz w:val="22"/>
          <w:szCs w:val="22"/>
          <w:lang w:val="es-ES" w:eastAsia="en-US"/>
        </w:rPr>
        <w:t>artículo</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3</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del</w:t>
      </w:r>
      <w:r w:rsidRPr="005A7019">
        <w:rPr>
          <w:rFonts w:ascii="Arial MT" w:eastAsia="Arial MT" w:hAnsi="Arial MT" w:cs="Arial MT"/>
          <w:spacing w:val="-8"/>
          <w:sz w:val="22"/>
          <w:szCs w:val="22"/>
          <w:lang w:val="es-ES" w:eastAsia="en-US"/>
        </w:rPr>
        <w:t xml:space="preserve"> </w:t>
      </w:r>
      <w:r w:rsidRPr="005A7019">
        <w:rPr>
          <w:rFonts w:ascii="Arial MT" w:eastAsia="Arial MT" w:hAnsi="Arial MT" w:cs="Arial MT"/>
          <w:sz w:val="22"/>
          <w:szCs w:val="22"/>
          <w:lang w:val="es-ES" w:eastAsia="en-US"/>
        </w:rPr>
        <w:t>Decreto</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Ley</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4170</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de</w:t>
      </w:r>
      <w:r w:rsidRPr="005A7019">
        <w:rPr>
          <w:rFonts w:ascii="Arial MT" w:eastAsia="Arial MT" w:hAnsi="Arial MT" w:cs="Arial MT"/>
          <w:spacing w:val="-8"/>
          <w:sz w:val="22"/>
          <w:szCs w:val="22"/>
          <w:lang w:val="es-ES" w:eastAsia="en-US"/>
        </w:rPr>
        <w:t xml:space="preserve"> </w:t>
      </w:r>
      <w:r w:rsidRPr="005A7019">
        <w:rPr>
          <w:rFonts w:ascii="Arial MT" w:eastAsia="Arial MT" w:hAnsi="Arial MT" w:cs="Arial MT"/>
          <w:sz w:val="22"/>
          <w:szCs w:val="22"/>
          <w:lang w:val="es-ES" w:eastAsia="en-US"/>
        </w:rPr>
        <w:t>2011,</w:t>
      </w:r>
      <w:r w:rsidR="004F57D5" w:rsidRPr="005A7019" w:rsidDel="004F57D5">
        <w:rPr>
          <w:rFonts w:ascii="Arial MT" w:eastAsia="Arial MT" w:hAnsi="Arial MT" w:cs="Arial MT"/>
          <w:spacing w:val="-6"/>
          <w:sz w:val="22"/>
          <w:szCs w:val="22"/>
          <w:lang w:val="es-ES" w:eastAsia="en-US"/>
        </w:rPr>
        <w:t xml:space="preserve"> </w:t>
      </w:r>
      <w:r w:rsidRPr="005A7019">
        <w:rPr>
          <w:rFonts w:ascii="Arial MT" w:eastAsia="Arial MT" w:hAnsi="Arial MT" w:cs="Arial MT"/>
          <w:sz w:val="22"/>
          <w:szCs w:val="22"/>
          <w:lang w:val="es-ES" w:eastAsia="en-US"/>
        </w:rPr>
        <w:t>la Agencia Nacional de Contratación Pública –</w:t>
      </w:r>
      <w:r w:rsidR="007B183D" w:rsidRPr="005A7019">
        <w:rPr>
          <w:rFonts w:ascii="Arial MT" w:eastAsia="Arial MT" w:hAnsi="Arial MT" w:cs="Arial MT"/>
          <w:sz w:val="22"/>
          <w:szCs w:val="22"/>
          <w:lang w:val="es-ES" w:eastAsia="en-US"/>
        </w:rPr>
        <w:t xml:space="preserve"> Colombia Compra Eficiente </w:t>
      </w:r>
      <w:r w:rsidRPr="005A7019">
        <w:rPr>
          <w:rFonts w:ascii="Arial MT" w:eastAsia="Arial MT" w:hAnsi="Arial MT" w:cs="Arial MT"/>
          <w:sz w:val="22"/>
          <w:szCs w:val="22"/>
          <w:lang w:val="es-ES" w:eastAsia="en-US"/>
        </w:rPr>
        <w:t>responde</w:t>
      </w:r>
      <w:r w:rsidRPr="005A7019">
        <w:rPr>
          <w:rFonts w:ascii="Arial MT" w:eastAsia="Arial MT" w:hAnsi="Arial MT" w:cs="Arial MT"/>
          <w:spacing w:val="-1"/>
          <w:sz w:val="22"/>
          <w:szCs w:val="22"/>
          <w:lang w:val="es-ES" w:eastAsia="en-US"/>
        </w:rPr>
        <w:t xml:space="preserve"> </w:t>
      </w:r>
      <w:r w:rsidRPr="005A7019">
        <w:rPr>
          <w:rFonts w:ascii="Arial MT" w:eastAsia="Arial MT" w:hAnsi="Arial MT" w:cs="Arial MT"/>
          <w:sz w:val="22"/>
          <w:szCs w:val="22"/>
          <w:lang w:val="es-ES" w:eastAsia="en-US"/>
        </w:rPr>
        <w:t>su</w:t>
      </w:r>
      <w:r w:rsidRPr="005A7019">
        <w:rPr>
          <w:rFonts w:ascii="Arial MT" w:eastAsia="Arial MT" w:hAnsi="Arial MT" w:cs="Arial MT"/>
          <w:spacing w:val="-2"/>
          <w:sz w:val="22"/>
          <w:szCs w:val="22"/>
          <w:lang w:val="es-ES" w:eastAsia="en-US"/>
        </w:rPr>
        <w:t xml:space="preserve"> </w:t>
      </w:r>
      <w:r w:rsidRPr="005A7019">
        <w:rPr>
          <w:rFonts w:ascii="Arial MT" w:eastAsia="Arial MT" w:hAnsi="Arial MT" w:cs="Arial MT"/>
          <w:sz w:val="22"/>
          <w:szCs w:val="22"/>
          <w:lang w:val="es-ES" w:eastAsia="en-US"/>
        </w:rPr>
        <w:t>consulta</w:t>
      </w:r>
      <w:r w:rsidRPr="005A7019">
        <w:rPr>
          <w:rFonts w:ascii="Arial MT" w:eastAsia="Arial MT" w:hAnsi="Arial MT" w:cs="Arial MT"/>
          <w:spacing w:val="-2"/>
          <w:sz w:val="22"/>
          <w:szCs w:val="22"/>
          <w:lang w:val="es-ES" w:eastAsia="en-US"/>
        </w:rPr>
        <w:t xml:space="preserve"> </w:t>
      </w:r>
      <w:r w:rsidRPr="005A7019">
        <w:rPr>
          <w:rFonts w:ascii="Arial MT" w:eastAsia="Arial MT" w:hAnsi="Arial MT" w:cs="Arial MT"/>
          <w:sz w:val="22"/>
          <w:szCs w:val="22"/>
          <w:lang w:val="es-ES" w:eastAsia="en-US"/>
        </w:rPr>
        <w:t>del</w:t>
      </w:r>
      <w:r w:rsidR="007B183D" w:rsidRPr="005A7019">
        <w:rPr>
          <w:rFonts w:ascii="Arial MT" w:eastAsia="Arial MT" w:hAnsi="Arial MT" w:cs="Arial MT"/>
          <w:sz w:val="22"/>
          <w:szCs w:val="22"/>
          <w:lang w:val="es-ES" w:eastAsia="en-US"/>
        </w:rPr>
        <w:t xml:space="preserve"> 1</w:t>
      </w:r>
      <w:r w:rsidR="00034EA8">
        <w:rPr>
          <w:rFonts w:ascii="Arial MT" w:eastAsia="Arial MT" w:hAnsi="Arial MT" w:cs="Arial MT"/>
          <w:sz w:val="22"/>
          <w:szCs w:val="22"/>
          <w:lang w:val="es-ES" w:eastAsia="en-US"/>
        </w:rPr>
        <w:t>5</w:t>
      </w:r>
      <w:r w:rsidR="007B183D" w:rsidRPr="005A7019">
        <w:rPr>
          <w:rFonts w:ascii="Arial MT" w:eastAsia="Arial MT" w:hAnsi="Arial MT" w:cs="Arial MT"/>
          <w:sz w:val="22"/>
          <w:szCs w:val="22"/>
          <w:lang w:val="es-ES" w:eastAsia="en-US"/>
        </w:rPr>
        <w:t xml:space="preserve"> de diciembre de 2021</w:t>
      </w:r>
      <w:r w:rsidRPr="005A7019">
        <w:rPr>
          <w:rFonts w:ascii="Arial MT" w:eastAsia="Arial MT" w:hAnsi="Arial MT" w:cs="Arial MT"/>
          <w:sz w:val="22"/>
          <w:szCs w:val="22"/>
          <w:lang w:val="es-ES" w:eastAsia="en-US"/>
        </w:rPr>
        <w:t>.</w:t>
      </w:r>
    </w:p>
    <w:p w14:paraId="232D4640" w14:textId="162589F3" w:rsidR="001D1DFF" w:rsidRPr="005A7019" w:rsidRDefault="001D1DFF" w:rsidP="00EB6848">
      <w:pPr>
        <w:spacing w:line="276" w:lineRule="auto"/>
        <w:jc w:val="both"/>
        <w:rPr>
          <w:rFonts w:ascii="Arial" w:eastAsia="Calibri" w:hAnsi="Arial" w:cs="Arial"/>
          <w:b/>
          <w:color w:val="000000" w:themeColor="text1"/>
          <w:sz w:val="22"/>
          <w:szCs w:val="22"/>
          <w:lang w:val="es-ES"/>
        </w:rPr>
      </w:pPr>
    </w:p>
    <w:p w14:paraId="7701FCC7" w14:textId="3A57CE0A" w:rsidR="00DD5B04" w:rsidRPr="005A7019"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A7019">
        <w:rPr>
          <w:rFonts w:ascii="Arial" w:eastAsia="Calibri" w:hAnsi="Arial" w:cs="Arial"/>
          <w:b/>
          <w:color w:val="000000" w:themeColor="text1"/>
          <w:sz w:val="22"/>
          <w:lang w:val="es-ES_tradnl"/>
        </w:rPr>
        <w:t xml:space="preserve">Problema planteado </w:t>
      </w:r>
    </w:p>
    <w:p w14:paraId="5690C2FE" w14:textId="77777777" w:rsidR="00C6212A" w:rsidRPr="005A7019" w:rsidRDefault="00C6212A" w:rsidP="00B836BB">
      <w:pPr>
        <w:tabs>
          <w:tab w:val="left" w:pos="0"/>
          <w:tab w:val="left" w:pos="142"/>
          <w:tab w:val="left" w:pos="284"/>
        </w:tabs>
        <w:spacing w:line="276" w:lineRule="auto"/>
        <w:jc w:val="both"/>
        <w:rPr>
          <w:rFonts w:ascii="Arial" w:eastAsia="Calibri" w:hAnsi="Arial" w:cs="Arial"/>
          <w:b/>
          <w:color w:val="000000" w:themeColor="text1"/>
          <w:sz w:val="22"/>
          <w:szCs w:val="22"/>
          <w:lang w:val="es-ES_tradnl"/>
        </w:rPr>
      </w:pPr>
    </w:p>
    <w:p w14:paraId="54728487" w14:textId="77777777" w:rsidR="00034EA8" w:rsidRDefault="005F1C09" w:rsidP="00B836BB">
      <w:pPr>
        <w:pStyle w:val="Default"/>
        <w:spacing w:line="276" w:lineRule="auto"/>
        <w:jc w:val="both"/>
        <w:rPr>
          <w:rFonts w:eastAsia="Calibri"/>
          <w:bCs/>
          <w:color w:val="000000" w:themeColor="text1"/>
          <w:sz w:val="22"/>
          <w:szCs w:val="22"/>
          <w:lang w:val="es-ES_tradnl"/>
        </w:rPr>
      </w:pPr>
      <w:r w:rsidRPr="005A7019">
        <w:rPr>
          <w:rFonts w:eastAsia="Calibri"/>
          <w:bCs/>
          <w:color w:val="000000" w:themeColor="text1"/>
          <w:sz w:val="22"/>
          <w:szCs w:val="22"/>
          <w:lang w:val="es-ES_tradnl"/>
        </w:rPr>
        <w:t>Usted realiza las siguientes preguntas:</w:t>
      </w:r>
      <w:r w:rsidR="009B497E" w:rsidRPr="005A7019">
        <w:rPr>
          <w:rFonts w:eastAsia="Calibri"/>
          <w:bCs/>
          <w:color w:val="000000" w:themeColor="text1"/>
          <w:sz w:val="22"/>
          <w:szCs w:val="22"/>
          <w:lang w:val="es-ES_tradnl"/>
        </w:rPr>
        <w:t xml:space="preserve"> </w:t>
      </w:r>
    </w:p>
    <w:p w14:paraId="6C4FADB0" w14:textId="77777777" w:rsidR="00034EA8" w:rsidRDefault="00034EA8" w:rsidP="00B836BB">
      <w:pPr>
        <w:pStyle w:val="Default"/>
        <w:spacing w:line="276" w:lineRule="auto"/>
        <w:jc w:val="both"/>
        <w:rPr>
          <w:rFonts w:eastAsia="Calibri"/>
          <w:bCs/>
          <w:color w:val="000000" w:themeColor="text1"/>
          <w:sz w:val="22"/>
          <w:szCs w:val="22"/>
          <w:lang w:val="es-ES_tradnl"/>
        </w:rPr>
      </w:pPr>
    </w:p>
    <w:p w14:paraId="0499783B" w14:textId="0D85EB4D" w:rsidR="00034EA8" w:rsidRPr="00034EA8" w:rsidRDefault="00034EA8" w:rsidP="00034EA8">
      <w:pPr>
        <w:pStyle w:val="Default"/>
        <w:ind w:left="709" w:right="709"/>
        <w:jc w:val="both"/>
        <w:rPr>
          <w:sz w:val="21"/>
          <w:szCs w:val="21"/>
        </w:rPr>
      </w:pPr>
      <w:r w:rsidRPr="00034EA8">
        <w:rPr>
          <w:b/>
          <w:bCs/>
          <w:sz w:val="21"/>
          <w:szCs w:val="21"/>
        </w:rPr>
        <w:t xml:space="preserve">PRIMERO: </w:t>
      </w:r>
      <w:r w:rsidRPr="00034EA8">
        <w:rPr>
          <w:sz w:val="21"/>
          <w:szCs w:val="21"/>
        </w:rPr>
        <w:t xml:space="preserve">Se me indique de forma CLARA Y PRECISA, frente a cada modalidad de selección, en materia de contratación pública, que aspectos son subsanables en las ofertas y que aspectos por el contrario no pueden ser objeto de subsanación </w:t>
      </w:r>
    </w:p>
    <w:p w14:paraId="0EA62636" w14:textId="77777777" w:rsidR="00034EA8" w:rsidRPr="00034EA8" w:rsidRDefault="00034EA8" w:rsidP="00034EA8">
      <w:pPr>
        <w:pStyle w:val="Default"/>
        <w:ind w:left="709" w:right="709"/>
        <w:jc w:val="both"/>
        <w:rPr>
          <w:sz w:val="21"/>
          <w:szCs w:val="21"/>
        </w:rPr>
      </w:pPr>
      <w:r w:rsidRPr="00034EA8">
        <w:rPr>
          <w:b/>
          <w:bCs/>
          <w:sz w:val="21"/>
          <w:szCs w:val="21"/>
        </w:rPr>
        <w:t xml:space="preserve">SEGUNDO: </w:t>
      </w:r>
      <w:r w:rsidRPr="00034EA8">
        <w:rPr>
          <w:sz w:val="21"/>
          <w:szCs w:val="21"/>
        </w:rPr>
        <w:t xml:space="preserve">Se me indique, en el marco de procesos de licitación pública, Selección abreviada de menor cuantía y concurso de méritos, si puede ser subsanadas las ofertas presentadas. </w:t>
      </w:r>
    </w:p>
    <w:p w14:paraId="171490A1" w14:textId="77777777" w:rsidR="00034EA8" w:rsidRPr="00034EA8" w:rsidRDefault="00034EA8" w:rsidP="00034EA8">
      <w:pPr>
        <w:pStyle w:val="Default"/>
        <w:ind w:left="709" w:right="709"/>
        <w:jc w:val="both"/>
        <w:rPr>
          <w:sz w:val="21"/>
          <w:szCs w:val="21"/>
        </w:rPr>
      </w:pPr>
      <w:r w:rsidRPr="00034EA8">
        <w:rPr>
          <w:b/>
          <w:bCs/>
          <w:sz w:val="21"/>
          <w:szCs w:val="21"/>
        </w:rPr>
        <w:lastRenderedPageBreak/>
        <w:t xml:space="preserve">TERCERO: </w:t>
      </w:r>
      <w:r w:rsidRPr="00034EA8">
        <w:rPr>
          <w:sz w:val="21"/>
          <w:szCs w:val="21"/>
        </w:rPr>
        <w:t xml:space="preserve">Conforme a lo anterior, se me indique, </w:t>
      </w:r>
      <w:proofErr w:type="spellStart"/>
      <w:r w:rsidRPr="00034EA8">
        <w:rPr>
          <w:sz w:val="21"/>
          <w:szCs w:val="21"/>
        </w:rPr>
        <w:t>cuales</w:t>
      </w:r>
      <w:proofErr w:type="spellEnd"/>
      <w:r w:rsidRPr="00034EA8">
        <w:rPr>
          <w:sz w:val="21"/>
          <w:szCs w:val="21"/>
        </w:rPr>
        <w:t xml:space="preserve"> son los momentos procesales para poderse presentar la </w:t>
      </w:r>
      <w:proofErr w:type="spellStart"/>
      <w:r w:rsidRPr="00034EA8">
        <w:rPr>
          <w:sz w:val="21"/>
          <w:szCs w:val="21"/>
        </w:rPr>
        <w:t>subsanabilidad</w:t>
      </w:r>
      <w:proofErr w:type="spellEnd"/>
      <w:r w:rsidRPr="00034EA8">
        <w:rPr>
          <w:sz w:val="21"/>
          <w:szCs w:val="21"/>
        </w:rPr>
        <w:t xml:space="preserve"> de las ofertas frente a cada modalidad de selección. </w:t>
      </w:r>
    </w:p>
    <w:p w14:paraId="7902DA33" w14:textId="3F4F418A" w:rsidR="009B497E" w:rsidRPr="00034EA8" w:rsidRDefault="00034EA8" w:rsidP="00034EA8">
      <w:pPr>
        <w:pStyle w:val="Default"/>
        <w:ind w:left="709" w:right="709"/>
        <w:jc w:val="both"/>
        <w:rPr>
          <w:sz w:val="21"/>
          <w:szCs w:val="21"/>
        </w:rPr>
      </w:pPr>
      <w:r w:rsidRPr="00034EA8">
        <w:rPr>
          <w:b/>
          <w:bCs/>
          <w:sz w:val="21"/>
          <w:szCs w:val="21"/>
        </w:rPr>
        <w:t xml:space="preserve">CUARTO: </w:t>
      </w:r>
      <w:r w:rsidRPr="00034EA8">
        <w:rPr>
          <w:sz w:val="21"/>
          <w:szCs w:val="21"/>
        </w:rPr>
        <w:t xml:space="preserve">Se me alleguen los últimos conceptos proferidos por ustedes frente al tema de </w:t>
      </w:r>
      <w:proofErr w:type="spellStart"/>
      <w:r w:rsidRPr="00034EA8">
        <w:rPr>
          <w:sz w:val="21"/>
          <w:szCs w:val="21"/>
        </w:rPr>
        <w:t>subsanabilidad</w:t>
      </w:r>
      <w:proofErr w:type="spellEnd"/>
      <w:r w:rsidRPr="00034EA8">
        <w:rPr>
          <w:sz w:val="21"/>
          <w:szCs w:val="21"/>
        </w:rPr>
        <w:t xml:space="preserve"> de las ofertas en los procesos de selección.</w:t>
      </w:r>
    </w:p>
    <w:p w14:paraId="5E9223D9" w14:textId="740800D5" w:rsidR="00034EA8" w:rsidRPr="00034EA8" w:rsidRDefault="00034EA8" w:rsidP="00034EA8">
      <w:pPr>
        <w:pStyle w:val="Default"/>
        <w:ind w:left="709" w:right="709"/>
        <w:jc w:val="both"/>
        <w:rPr>
          <w:rFonts w:eastAsia="Calibri"/>
          <w:bCs/>
          <w:color w:val="000000" w:themeColor="text1"/>
          <w:sz w:val="21"/>
          <w:szCs w:val="21"/>
          <w:lang w:val="es-ES_tradnl"/>
        </w:rPr>
      </w:pPr>
      <w:r w:rsidRPr="00034EA8">
        <w:rPr>
          <w:b/>
          <w:bCs/>
          <w:sz w:val="21"/>
          <w:szCs w:val="21"/>
        </w:rPr>
        <w:t xml:space="preserve">QUINTO: </w:t>
      </w:r>
      <w:r w:rsidRPr="00034EA8">
        <w:rPr>
          <w:sz w:val="21"/>
          <w:szCs w:val="21"/>
        </w:rPr>
        <w:t xml:space="preserve">Se me alleguen los últimos conceptos proferidos por ustedes frente al tema de </w:t>
      </w:r>
      <w:proofErr w:type="spellStart"/>
      <w:r w:rsidRPr="00034EA8">
        <w:rPr>
          <w:sz w:val="21"/>
          <w:szCs w:val="21"/>
        </w:rPr>
        <w:t>subsanabilidad</w:t>
      </w:r>
      <w:proofErr w:type="spellEnd"/>
      <w:r w:rsidRPr="00034EA8">
        <w:rPr>
          <w:sz w:val="21"/>
          <w:szCs w:val="21"/>
        </w:rPr>
        <w:t xml:space="preserve"> de la ficha técnica en el proceso de selección abreviada con subasta inversa.</w:t>
      </w:r>
    </w:p>
    <w:p w14:paraId="6AB4FBB2" w14:textId="0CFB2570" w:rsidR="009744A9" w:rsidRPr="00034EA8" w:rsidRDefault="009744A9" w:rsidP="009744A9">
      <w:pPr>
        <w:spacing w:line="276" w:lineRule="auto"/>
        <w:jc w:val="both"/>
        <w:rPr>
          <w:rFonts w:ascii="Arial" w:hAnsi="Arial" w:cs="Arial"/>
          <w:sz w:val="22"/>
          <w:szCs w:val="22"/>
          <w:lang w:val="es-ES_tradnl"/>
        </w:rPr>
      </w:pPr>
    </w:p>
    <w:p w14:paraId="3170FEE1" w14:textId="77777777" w:rsidR="00F15DC4" w:rsidRPr="00F15DC4" w:rsidRDefault="00F15DC4" w:rsidP="00F15DC4">
      <w:pPr>
        <w:numPr>
          <w:ilvl w:val="0"/>
          <w:numId w:val="43"/>
        </w:numPr>
        <w:tabs>
          <w:tab w:val="left" w:pos="284"/>
        </w:tabs>
        <w:spacing w:line="276" w:lineRule="auto"/>
        <w:ind w:left="0" w:firstLine="0"/>
        <w:contextualSpacing/>
        <w:rPr>
          <w:rFonts w:ascii="Arial" w:eastAsia="Calibri" w:hAnsi="Arial" w:cs="Arial"/>
          <w:b/>
          <w:sz w:val="22"/>
          <w:szCs w:val="22"/>
          <w:lang w:val="es-MX" w:eastAsia="en-US"/>
        </w:rPr>
      </w:pPr>
      <w:r w:rsidRPr="00F15DC4">
        <w:rPr>
          <w:rFonts w:ascii="Arial" w:eastAsia="Calibri" w:hAnsi="Arial" w:cs="Arial"/>
          <w:b/>
          <w:sz w:val="22"/>
          <w:szCs w:val="22"/>
          <w:lang w:val="es-MX" w:eastAsia="en-US"/>
        </w:rPr>
        <w:t>Consideraciones</w:t>
      </w:r>
    </w:p>
    <w:p w14:paraId="56EEDB53" w14:textId="77777777" w:rsidR="00F15DC4" w:rsidRPr="00F15DC4" w:rsidRDefault="00F15DC4" w:rsidP="00F15DC4">
      <w:pPr>
        <w:spacing w:line="276" w:lineRule="auto"/>
        <w:jc w:val="both"/>
        <w:rPr>
          <w:rFonts w:ascii="Arial" w:eastAsia="Calibri" w:hAnsi="Arial" w:cs="Arial"/>
          <w:sz w:val="22"/>
          <w:szCs w:val="22"/>
          <w:lang w:val="es-MX" w:eastAsia="en-US"/>
        </w:rPr>
      </w:pPr>
    </w:p>
    <w:p w14:paraId="1F6C7AF0" w14:textId="5BDE4D9F" w:rsidR="00537E3C" w:rsidRDefault="00F15DC4" w:rsidP="007C4DB5">
      <w:pPr>
        <w:spacing w:after="120" w:line="276" w:lineRule="auto"/>
        <w:jc w:val="both"/>
        <w:rPr>
          <w:rFonts w:ascii="Arial" w:eastAsia="Calibri" w:hAnsi="Arial" w:cs="Arial"/>
          <w:sz w:val="22"/>
          <w:szCs w:val="22"/>
          <w:lang w:val="es-ES_tradnl" w:eastAsia="en-US"/>
        </w:rPr>
      </w:pPr>
      <w:r w:rsidRPr="00F15DC4">
        <w:rPr>
          <w:rFonts w:ascii="Arial" w:eastAsiaTheme="minorHAnsi" w:hAnsi="Arial" w:cs="Arial"/>
          <w:sz w:val="22"/>
          <w:szCs w:val="22"/>
          <w:lang w:val="es-MX" w:eastAsia="en-US"/>
        </w:rPr>
        <w:t>Para responder los interrogantes se realizarán algunas consideraciones en torno a</w:t>
      </w:r>
      <w:r w:rsidR="00537E3C">
        <w:rPr>
          <w:rFonts w:ascii="Arial" w:eastAsiaTheme="minorHAnsi" w:hAnsi="Arial" w:cs="Arial"/>
          <w:sz w:val="22"/>
          <w:szCs w:val="22"/>
          <w:lang w:val="es-MX" w:eastAsia="en-US"/>
        </w:rPr>
        <w:t xml:space="preserve"> los siguientes temas</w:t>
      </w:r>
      <w:r w:rsidRPr="00F15DC4">
        <w:rPr>
          <w:rFonts w:ascii="Arial" w:eastAsiaTheme="minorHAnsi" w:hAnsi="Arial" w:cs="Arial"/>
          <w:sz w:val="22"/>
          <w:szCs w:val="22"/>
          <w:lang w:val="es-MX" w:eastAsia="en-US"/>
        </w:rPr>
        <w:t xml:space="preserve">: i) principio de selección objetiva en la contratación estatal </w:t>
      </w:r>
      <w:r w:rsidR="00D63A05">
        <w:rPr>
          <w:rFonts w:ascii="Arial" w:eastAsiaTheme="minorHAnsi" w:hAnsi="Arial" w:cs="Arial"/>
          <w:sz w:val="22"/>
          <w:szCs w:val="22"/>
          <w:lang w:val="es-MX" w:eastAsia="en-US"/>
        </w:rPr>
        <w:t xml:space="preserve">y </w:t>
      </w:r>
      <w:proofErr w:type="spellStart"/>
      <w:r w:rsidRPr="00F15DC4">
        <w:rPr>
          <w:rFonts w:ascii="Arial" w:eastAsiaTheme="minorHAnsi" w:hAnsi="Arial" w:cs="Arial"/>
          <w:sz w:val="22"/>
          <w:szCs w:val="22"/>
          <w:lang w:val="es-MX" w:eastAsia="en-US"/>
        </w:rPr>
        <w:t>ii</w:t>
      </w:r>
      <w:proofErr w:type="spellEnd"/>
      <w:r w:rsidRPr="00F15DC4">
        <w:rPr>
          <w:rFonts w:ascii="Arial" w:eastAsiaTheme="minorHAnsi" w:hAnsi="Arial" w:cs="Arial"/>
          <w:sz w:val="22"/>
          <w:szCs w:val="22"/>
          <w:lang w:val="es-MX" w:eastAsia="en-US"/>
        </w:rPr>
        <w:t xml:space="preserve">) </w:t>
      </w:r>
      <w:r w:rsidRPr="00F15DC4">
        <w:rPr>
          <w:rFonts w:ascii="Arial" w:eastAsia="Calibri" w:hAnsi="Arial" w:cs="Arial"/>
          <w:sz w:val="22"/>
          <w:szCs w:val="22"/>
          <w:lang w:val="es-ES_tradnl" w:eastAsia="en-US"/>
        </w:rPr>
        <w:t xml:space="preserve">el alcance de la regla de la </w:t>
      </w:r>
      <w:proofErr w:type="spellStart"/>
      <w:r w:rsidRPr="00F15DC4">
        <w:rPr>
          <w:rFonts w:ascii="Arial" w:eastAsia="Calibri" w:hAnsi="Arial" w:cs="Arial"/>
          <w:sz w:val="22"/>
          <w:szCs w:val="22"/>
          <w:lang w:val="es-ES_tradnl" w:eastAsia="en-US"/>
        </w:rPr>
        <w:t>subsanabilidad</w:t>
      </w:r>
      <w:proofErr w:type="spellEnd"/>
      <w:r w:rsidR="00D63A05">
        <w:rPr>
          <w:rFonts w:ascii="Arial" w:eastAsia="Calibri" w:hAnsi="Arial" w:cs="Arial"/>
          <w:sz w:val="22"/>
          <w:szCs w:val="22"/>
          <w:lang w:val="es-ES_tradnl" w:eastAsia="en-US"/>
        </w:rPr>
        <w:t xml:space="preserve"> de las ofertas</w:t>
      </w:r>
      <w:r w:rsidR="00537E3C">
        <w:rPr>
          <w:rFonts w:ascii="Arial" w:eastAsia="Calibri" w:hAnsi="Arial" w:cs="Arial"/>
          <w:sz w:val="22"/>
          <w:szCs w:val="22"/>
          <w:lang w:val="es-ES_tradnl" w:eastAsia="en-US"/>
        </w:rPr>
        <w:t>.</w:t>
      </w:r>
    </w:p>
    <w:p w14:paraId="45C6DA47" w14:textId="02B9A763" w:rsidR="00537E3C" w:rsidRPr="00F15DC4" w:rsidRDefault="00537E3C" w:rsidP="007C4DB5">
      <w:pPr>
        <w:spacing w:line="276" w:lineRule="auto"/>
        <w:ind w:firstLine="708"/>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Para responder los interrogantes </w:t>
      </w:r>
      <w:r w:rsidR="00F15F15">
        <w:rPr>
          <w:rFonts w:ascii="Arial" w:eastAsia="Calibri" w:hAnsi="Arial" w:cs="Arial"/>
          <w:sz w:val="22"/>
          <w:szCs w:val="22"/>
          <w:lang w:val="es-ES_tradnl" w:eastAsia="en-US"/>
        </w:rPr>
        <w:t>planteados</w:t>
      </w:r>
      <w:r w:rsidRPr="00F15DC4">
        <w:rPr>
          <w:rFonts w:ascii="Arial" w:eastAsia="Calibri" w:hAnsi="Arial" w:cs="Arial"/>
          <w:sz w:val="22"/>
          <w:szCs w:val="22"/>
          <w:lang w:val="es-ES_tradnl" w:eastAsia="en-US"/>
        </w:rPr>
        <w:t>, se r</w:t>
      </w:r>
      <w:r w:rsidR="00F15F15">
        <w:rPr>
          <w:rFonts w:ascii="Arial" w:eastAsia="Calibri" w:hAnsi="Arial" w:cs="Arial"/>
          <w:sz w:val="22"/>
          <w:szCs w:val="22"/>
          <w:lang w:val="es-ES_tradnl" w:eastAsia="en-US"/>
        </w:rPr>
        <w:t>eitera</w:t>
      </w:r>
      <w:r w:rsidRPr="00F15DC4">
        <w:rPr>
          <w:rFonts w:ascii="Arial" w:eastAsia="Calibri" w:hAnsi="Arial" w:cs="Arial"/>
          <w:sz w:val="22"/>
          <w:szCs w:val="22"/>
          <w:lang w:val="es-ES_tradnl" w:eastAsia="en-US"/>
        </w:rPr>
        <w:t xml:space="preserve"> la tesis expuesta en los conceptos con radicado No. 4201913000006471 del 28 de octubre de 2019, 4201912000006711 del 12 de noviembre de 2019, 4201912000006496 del 15 de noviembre de 2019, CU–060 de 16 de enero de 2020, C–082 de 27 de enero de 2020, </w:t>
      </w:r>
      <w:r>
        <w:rPr>
          <w:rFonts w:ascii="Arial" w:eastAsia="Calibri" w:hAnsi="Arial" w:cs="Arial"/>
          <w:sz w:val="22"/>
          <w:szCs w:val="22"/>
          <w:lang w:val="es-ES_tradnl" w:eastAsia="en-US"/>
        </w:rPr>
        <w:t>C</w:t>
      </w:r>
      <w:r w:rsidRPr="00F15DC4">
        <w:rPr>
          <w:rFonts w:ascii="Arial" w:eastAsia="Calibri" w:hAnsi="Arial" w:cs="Arial"/>
          <w:sz w:val="22"/>
          <w:szCs w:val="22"/>
          <w:lang w:val="es-ES_tradnl" w:eastAsia="en-US"/>
        </w:rPr>
        <w:t>–127 de 12 de febrero de 2020</w:t>
      </w:r>
      <w:r>
        <w:rPr>
          <w:rFonts w:ascii="Arial" w:eastAsia="Calibri" w:hAnsi="Arial" w:cs="Arial"/>
          <w:sz w:val="22"/>
          <w:szCs w:val="22"/>
          <w:lang w:val="es-ES_tradnl" w:eastAsia="en-US"/>
        </w:rPr>
        <w:t xml:space="preserve"> y C-568 del 11 de octubre de 2021</w:t>
      </w:r>
      <w:r w:rsidR="00587547">
        <w:rPr>
          <w:rFonts w:ascii="Arial" w:eastAsia="Calibri" w:hAnsi="Arial" w:cs="Arial"/>
          <w:sz w:val="22"/>
          <w:szCs w:val="22"/>
          <w:lang w:val="es-ES_tradnl" w:eastAsia="en-US"/>
        </w:rPr>
        <w:t xml:space="preserve">, los cuales analizaron </w:t>
      </w:r>
      <w:r w:rsidR="002B7B65">
        <w:rPr>
          <w:rFonts w:ascii="Arial" w:eastAsia="Calibri" w:hAnsi="Arial" w:cs="Arial"/>
          <w:sz w:val="22"/>
          <w:szCs w:val="22"/>
          <w:lang w:val="es-ES_tradnl" w:eastAsia="en-US"/>
        </w:rPr>
        <w:t xml:space="preserve">la regla de </w:t>
      </w:r>
      <w:proofErr w:type="spellStart"/>
      <w:r w:rsidR="002B7B65">
        <w:rPr>
          <w:rFonts w:ascii="Arial" w:eastAsia="Calibri" w:hAnsi="Arial" w:cs="Arial"/>
          <w:sz w:val="22"/>
          <w:szCs w:val="22"/>
          <w:lang w:val="es-ES_tradnl" w:eastAsia="en-US"/>
        </w:rPr>
        <w:t>subsanabilidad</w:t>
      </w:r>
      <w:proofErr w:type="spellEnd"/>
      <w:r w:rsidR="002B7B65">
        <w:rPr>
          <w:rFonts w:ascii="Arial" w:eastAsia="Calibri" w:hAnsi="Arial" w:cs="Arial"/>
          <w:sz w:val="22"/>
          <w:szCs w:val="22"/>
          <w:lang w:val="es-ES_tradnl" w:eastAsia="en-US"/>
        </w:rPr>
        <w:t xml:space="preserve"> de las ofertas en los contratos sometidos al Estatuto General de Contratación de la Administración Pública</w:t>
      </w:r>
      <w:r w:rsidRPr="00F15DC4">
        <w:rPr>
          <w:rFonts w:ascii="Arial" w:eastAsia="Calibri" w:hAnsi="Arial" w:cs="Arial"/>
          <w:sz w:val="22"/>
          <w:szCs w:val="22"/>
          <w:lang w:val="es-ES_tradnl" w:eastAsia="en-US"/>
        </w:rPr>
        <w:t xml:space="preserve">. </w:t>
      </w:r>
    </w:p>
    <w:p w14:paraId="31B0C29C" w14:textId="27571FD6" w:rsidR="00F15DC4" w:rsidRPr="00F15DC4" w:rsidRDefault="00D63A05" w:rsidP="00537E3C">
      <w:pPr>
        <w:spacing w:line="276" w:lineRule="auto"/>
        <w:jc w:val="both"/>
        <w:rPr>
          <w:rFonts w:ascii="Arial" w:eastAsia="Calibri" w:hAnsi="Arial" w:cs="Arial"/>
          <w:sz w:val="22"/>
          <w:szCs w:val="22"/>
          <w:lang w:val="es-ES_tradnl" w:eastAsia="en-US"/>
        </w:rPr>
      </w:pPr>
      <w:r>
        <w:rPr>
          <w:rFonts w:ascii="Arial" w:eastAsia="Calibri" w:hAnsi="Arial" w:cs="Arial"/>
          <w:sz w:val="22"/>
          <w:szCs w:val="22"/>
          <w:lang w:val="es-ES_tradnl" w:eastAsia="en-US"/>
        </w:rPr>
        <w:t xml:space="preserve"> </w:t>
      </w:r>
    </w:p>
    <w:p w14:paraId="6526BBA1" w14:textId="77777777" w:rsidR="00F15DC4" w:rsidRPr="00F15DC4" w:rsidRDefault="00F15DC4" w:rsidP="00F15DC4">
      <w:pPr>
        <w:spacing w:line="276" w:lineRule="auto"/>
        <w:jc w:val="both"/>
        <w:rPr>
          <w:rFonts w:ascii="Arial" w:eastAsia="Calibri" w:hAnsi="Arial" w:cs="Arial"/>
          <w:b/>
          <w:bCs/>
          <w:sz w:val="22"/>
          <w:szCs w:val="22"/>
          <w:lang w:val="es-ES_tradnl" w:eastAsia="en-US"/>
        </w:rPr>
      </w:pPr>
      <w:r w:rsidRPr="00F15DC4">
        <w:rPr>
          <w:rFonts w:ascii="Arial" w:eastAsia="Calibri" w:hAnsi="Arial" w:cs="Arial"/>
          <w:b/>
          <w:bCs/>
          <w:sz w:val="22"/>
          <w:szCs w:val="22"/>
          <w:lang w:val="es-ES_tradnl" w:eastAsia="en-US"/>
        </w:rPr>
        <w:t xml:space="preserve">2.1. </w:t>
      </w:r>
      <w:bookmarkStart w:id="1" w:name="_Hlk41921892"/>
      <w:r w:rsidRPr="00F15DC4">
        <w:rPr>
          <w:rFonts w:ascii="Arial" w:eastAsia="Calibri" w:hAnsi="Arial" w:cs="Arial"/>
          <w:b/>
          <w:bCs/>
          <w:sz w:val="22"/>
          <w:szCs w:val="22"/>
          <w:lang w:val="es-ES_tradnl" w:eastAsia="en-US"/>
        </w:rPr>
        <w:t>Principio de selección objetiva en la contratación estatal</w:t>
      </w:r>
      <w:bookmarkEnd w:id="1"/>
    </w:p>
    <w:p w14:paraId="19F8EAFA" w14:textId="77777777" w:rsidR="00F15DC4" w:rsidRPr="00F15DC4" w:rsidRDefault="00F15DC4" w:rsidP="00F15DC4">
      <w:pPr>
        <w:spacing w:line="276" w:lineRule="auto"/>
        <w:jc w:val="both"/>
        <w:rPr>
          <w:rFonts w:ascii="Arial" w:eastAsia="Calibri" w:hAnsi="Arial" w:cs="Arial"/>
          <w:b/>
          <w:bCs/>
          <w:sz w:val="22"/>
          <w:szCs w:val="22"/>
          <w:lang w:val="es-ES_tradnl" w:eastAsia="en-US"/>
        </w:rPr>
      </w:pPr>
    </w:p>
    <w:p w14:paraId="571E4EC7" w14:textId="57EA8E25" w:rsidR="00F15DC4" w:rsidRPr="00F15DC4" w:rsidRDefault="00F15DC4" w:rsidP="007C4DB5">
      <w:pPr>
        <w:spacing w:line="276" w:lineRule="auto"/>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Uno de los principios transversales de los procedimientos de selección es el de </w:t>
      </w:r>
      <w:r w:rsidRPr="00F15DC4">
        <w:rPr>
          <w:rFonts w:ascii="Arial" w:eastAsia="Calibri" w:hAnsi="Arial" w:cs="Arial"/>
          <w:i/>
          <w:iCs/>
          <w:sz w:val="22"/>
          <w:szCs w:val="22"/>
          <w:lang w:val="es-ES_tradnl" w:eastAsia="en-US"/>
        </w:rPr>
        <w:t>selección objetiva</w:t>
      </w:r>
      <w:r w:rsidRPr="00F15DC4">
        <w:rPr>
          <w:rFonts w:ascii="Arial" w:eastAsia="Calibri" w:hAnsi="Arial" w:cs="Arial"/>
          <w:sz w:val="22"/>
          <w:szCs w:val="22"/>
          <w:lang w:val="es-ES_tradnl" w:eastAsia="en-US"/>
        </w:rPr>
        <w:t>. Se trata del postulado que exige que la escogencia de la oferta ganadora se debe fundamentar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F15DC4">
        <w:rPr>
          <w:rFonts w:ascii="Arial" w:eastAsia="Calibri" w:hAnsi="Arial" w:cs="Arial"/>
          <w:sz w:val="22"/>
          <w:szCs w:val="22"/>
          <w:vertAlign w:val="superscript"/>
          <w:lang w:val="es-ES_tradnl" w:eastAsia="en-US"/>
        </w:rPr>
        <w:footnoteReference w:id="2"/>
      </w:r>
      <w:r w:rsidRPr="00F15DC4">
        <w:rPr>
          <w:rFonts w:ascii="Arial" w:eastAsia="Calibri" w:hAnsi="Arial" w:cs="Arial"/>
          <w:sz w:val="22"/>
          <w:szCs w:val="22"/>
          <w:lang w:val="es-ES_tradnl" w:eastAsia="en-US"/>
        </w:rPr>
        <w:t xml:space="preserve">, en la actualidad la disposición legal que lo </w:t>
      </w:r>
      <w:r w:rsidRPr="00F15DC4">
        <w:rPr>
          <w:rFonts w:ascii="Arial" w:eastAsia="Calibri" w:hAnsi="Arial" w:cs="Arial"/>
          <w:sz w:val="22"/>
          <w:szCs w:val="22"/>
          <w:lang w:val="es-ES_tradnl" w:eastAsia="en-US"/>
        </w:rPr>
        <w:lastRenderedPageBreak/>
        <w:t>prevé de manera más clara y contundente es el artículo 5 de la Ley 1150 de 2007, modificado por el artículo 88 de la Ley 1474 de 2011 y por el artículo 5 de la Ley 1882 de 2018</w:t>
      </w:r>
      <w:r w:rsidR="00D84921">
        <w:rPr>
          <w:rFonts w:ascii="Arial" w:eastAsia="Calibri" w:hAnsi="Arial" w:cs="Arial"/>
          <w:sz w:val="22"/>
          <w:szCs w:val="22"/>
          <w:lang w:val="es-ES_tradnl" w:eastAsia="en-US"/>
        </w:rPr>
        <w:t>. Esta norma dispone lo siguiente</w:t>
      </w:r>
      <w:r w:rsidRPr="00F15DC4">
        <w:rPr>
          <w:rFonts w:ascii="Arial" w:eastAsia="Calibri" w:hAnsi="Arial" w:cs="Arial"/>
          <w:sz w:val="22"/>
          <w:szCs w:val="22"/>
          <w:lang w:val="es-ES_tradnl" w:eastAsia="en-US"/>
        </w:rPr>
        <w:t>:</w:t>
      </w:r>
    </w:p>
    <w:p w14:paraId="40C0FA44" w14:textId="77777777" w:rsidR="00F15DC4" w:rsidRPr="00F15DC4" w:rsidRDefault="00F15DC4" w:rsidP="00F15DC4">
      <w:pPr>
        <w:spacing w:line="276" w:lineRule="auto"/>
        <w:jc w:val="both"/>
        <w:rPr>
          <w:rFonts w:ascii="Arial" w:eastAsia="Calibri" w:hAnsi="Arial" w:cs="Arial"/>
          <w:sz w:val="22"/>
          <w:szCs w:val="22"/>
          <w:lang w:val="es-ES_tradnl" w:eastAsia="en-US"/>
        </w:rPr>
      </w:pPr>
    </w:p>
    <w:p w14:paraId="464DD19A"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F15DC4">
        <w:rPr>
          <w:rFonts w:ascii="Arial" w:eastAsia="Calibri" w:hAnsi="Arial" w:cs="Arial"/>
          <w:sz w:val="21"/>
          <w:szCs w:val="21"/>
          <w:lang w:val="es-ES_tradnl" w:eastAsia="en-US"/>
        </w:rPr>
        <w:t>equivalentes,</w:t>
      </w:r>
      <w:proofErr w:type="gramEnd"/>
      <w:r w:rsidRPr="00F15DC4">
        <w:rPr>
          <w:rFonts w:ascii="Arial" w:eastAsia="Calibri" w:hAnsi="Arial" w:cs="Arial"/>
          <w:sz w:val="21"/>
          <w:szCs w:val="21"/>
          <w:lang w:val="es-ES_tradnl" w:eastAsia="en-US"/>
        </w:rPr>
        <w:t xml:space="preserve"> tendrán en cuenta los siguientes criterios:</w:t>
      </w:r>
    </w:p>
    <w:p w14:paraId="326EE50D" w14:textId="77777777" w:rsidR="00F15DC4" w:rsidRPr="00F15DC4" w:rsidRDefault="00F15DC4" w:rsidP="00F15DC4">
      <w:pPr>
        <w:ind w:left="709" w:right="709"/>
        <w:jc w:val="both"/>
        <w:rPr>
          <w:rFonts w:ascii="Arial" w:eastAsia="Calibri" w:hAnsi="Arial" w:cs="Arial"/>
          <w:sz w:val="21"/>
          <w:szCs w:val="21"/>
          <w:lang w:val="es-ES_tradnl" w:eastAsia="en-US"/>
        </w:rPr>
      </w:pPr>
    </w:p>
    <w:p w14:paraId="6355F0F9"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30A64B5" w14:textId="77777777" w:rsidR="00F15DC4" w:rsidRPr="00F15DC4" w:rsidRDefault="00F15DC4" w:rsidP="00F15DC4">
      <w:pPr>
        <w:ind w:left="709" w:right="709"/>
        <w:jc w:val="both"/>
        <w:rPr>
          <w:rFonts w:ascii="Arial" w:eastAsia="Calibri" w:hAnsi="Arial" w:cs="Arial"/>
          <w:sz w:val="21"/>
          <w:szCs w:val="21"/>
          <w:lang w:val="es-ES_tradnl" w:eastAsia="en-US"/>
        </w:rPr>
      </w:pPr>
    </w:p>
    <w:p w14:paraId="70C6754D"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088F0D6D" w14:textId="77777777" w:rsidR="00F15DC4" w:rsidRPr="00F15DC4" w:rsidRDefault="00F15DC4" w:rsidP="00F15DC4">
      <w:pPr>
        <w:ind w:left="709" w:right="709"/>
        <w:jc w:val="both"/>
        <w:rPr>
          <w:rFonts w:ascii="Arial" w:eastAsia="Calibri" w:hAnsi="Arial" w:cs="Arial"/>
          <w:sz w:val="21"/>
          <w:szCs w:val="21"/>
          <w:lang w:val="es-ES_tradnl" w:eastAsia="en-US"/>
        </w:rPr>
      </w:pPr>
    </w:p>
    <w:p w14:paraId="7302CB36"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En los procesos de selección en los que se tenga en cuenta los factores técnicos y económicos, la oferta más ventajosa será la que resulte de aplicar alguna de las siguientes alternativas:</w:t>
      </w:r>
    </w:p>
    <w:p w14:paraId="4D3AD4CC" w14:textId="77777777" w:rsidR="00F15DC4" w:rsidRPr="00F15DC4" w:rsidRDefault="00F15DC4" w:rsidP="00F15DC4">
      <w:pPr>
        <w:ind w:left="709" w:right="709"/>
        <w:jc w:val="both"/>
        <w:rPr>
          <w:rFonts w:ascii="Arial" w:eastAsia="Calibri" w:hAnsi="Arial" w:cs="Arial"/>
          <w:sz w:val="21"/>
          <w:szCs w:val="21"/>
          <w:lang w:val="es-ES_tradnl" w:eastAsia="en-US"/>
        </w:rPr>
      </w:pPr>
    </w:p>
    <w:p w14:paraId="65026B73"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a) La ponderación de los elementos de calidad y precio soportados en puntajes o fórmulas señaladas en el pliego de condiciones; o</w:t>
      </w:r>
    </w:p>
    <w:p w14:paraId="28E116B6" w14:textId="77777777" w:rsidR="00F15DC4" w:rsidRPr="00F15DC4" w:rsidRDefault="00F15DC4" w:rsidP="00F15DC4">
      <w:pPr>
        <w:ind w:left="709" w:right="709"/>
        <w:jc w:val="both"/>
        <w:rPr>
          <w:rFonts w:ascii="Arial" w:eastAsia="Calibri" w:hAnsi="Arial" w:cs="Arial"/>
          <w:sz w:val="21"/>
          <w:szCs w:val="21"/>
          <w:lang w:val="es-ES_tradnl" w:eastAsia="en-US"/>
        </w:rPr>
      </w:pPr>
    </w:p>
    <w:p w14:paraId="5E31083A"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b) La ponderación de los elementos de calidad y precio que representen la mejor relación de costo-beneficio para la entidad.</w:t>
      </w:r>
    </w:p>
    <w:p w14:paraId="1A15772F" w14:textId="77777777" w:rsidR="00F15DC4" w:rsidRPr="00F15DC4" w:rsidRDefault="00F15DC4" w:rsidP="00F15DC4">
      <w:pPr>
        <w:ind w:left="709" w:right="709"/>
        <w:jc w:val="both"/>
        <w:rPr>
          <w:rFonts w:ascii="Arial" w:eastAsia="Calibri" w:hAnsi="Arial" w:cs="Arial"/>
          <w:sz w:val="21"/>
          <w:szCs w:val="21"/>
          <w:lang w:val="es-ES_tradnl" w:eastAsia="en-US"/>
        </w:rPr>
      </w:pPr>
    </w:p>
    <w:p w14:paraId="4489FEF2"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7D065E94" w14:textId="77777777" w:rsidR="00F15DC4" w:rsidRPr="00F15DC4" w:rsidRDefault="00F15DC4" w:rsidP="00F15DC4">
      <w:pPr>
        <w:ind w:left="709" w:right="709"/>
        <w:jc w:val="both"/>
        <w:rPr>
          <w:rFonts w:ascii="Arial" w:eastAsia="Calibri" w:hAnsi="Arial" w:cs="Arial"/>
          <w:sz w:val="21"/>
          <w:szCs w:val="21"/>
          <w:lang w:val="es-ES_tradnl" w:eastAsia="en-US"/>
        </w:rPr>
      </w:pPr>
    </w:p>
    <w:p w14:paraId="78675DB5"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3082D208" w14:textId="77777777" w:rsidR="00F15DC4" w:rsidRPr="00F15DC4" w:rsidRDefault="00F15DC4" w:rsidP="00F15DC4">
      <w:pPr>
        <w:ind w:left="709" w:right="709"/>
        <w:jc w:val="both"/>
        <w:rPr>
          <w:rFonts w:ascii="Arial" w:eastAsia="Calibri" w:hAnsi="Arial" w:cs="Arial"/>
          <w:sz w:val="21"/>
          <w:szCs w:val="21"/>
          <w:lang w:val="es-ES_tradnl" w:eastAsia="en-US"/>
        </w:rPr>
      </w:pPr>
    </w:p>
    <w:p w14:paraId="25C03854"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En ningún caso se podrá incluir el precio, como factor de escogencia para la selección de consultores.</w:t>
      </w:r>
    </w:p>
    <w:p w14:paraId="5A3DA390" w14:textId="77777777" w:rsidR="00F15DC4" w:rsidRPr="00F15DC4" w:rsidRDefault="00F15DC4" w:rsidP="00F15DC4">
      <w:pPr>
        <w:ind w:left="709" w:right="709"/>
        <w:jc w:val="both"/>
        <w:rPr>
          <w:rFonts w:ascii="Arial" w:eastAsia="Calibri" w:hAnsi="Arial" w:cs="Arial"/>
          <w:sz w:val="21"/>
          <w:szCs w:val="21"/>
          <w:lang w:val="es-ES_tradnl" w:eastAsia="en-US"/>
        </w:rPr>
      </w:pPr>
    </w:p>
    <w:p w14:paraId="09B8BC3C"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F15DC4">
        <w:rPr>
          <w:rFonts w:ascii="Arial" w:eastAsia="Calibri" w:hAnsi="Arial" w:cs="Arial"/>
          <w:sz w:val="21"/>
          <w:szCs w:val="21"/>
          <w:lang w:val="es-ES_tradnl" w:eastAsia="en-US"/>
        </w:rPr>
        <w:t>puntaje,</w:t>
      </w:r>
      <w:proofErr w:type="gramEnd"/>
      <w:r w:rsidRPr="00F15DC4">
        <w:rPr>
          <w:rFonts w:ascii="Arial" w:eastAsia="Calibri" w:hAnsi="Arial" w:cs="Arial"/>
          <w:sz w:val="21"/>
          <w:szCs w:val="21"/>
          <w:lang w:val="es-ES_tradnl" w:eastAsia="en-U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0F19F303" w14:textId="77777777" w:rsidR="00F15DC4" w:rsidRPr="00F15DC4" w:rsidRDefault="00F15DC4" w:rsidP="00F15DC4">
      <w:pPr>
        <w:ind w:left="709" w:right="709"/>
        <w:jc w:val="both"/>
        <w:rPr>
          <w:rFonts w:ascii="Arial" w:eastAsia="Calibri" w:hAnsi="Arial" w:cs="Arial"/>
          <w:sz w:val="21"/>
          <w:szCs w:val="21"/>
          <w:lang w:val="es-ES_tradnl" w:eastAsia="en-US"/>
        </w:rPr>
      </w:pPr>
    </w:p>
    <w:p w14:paraId="718C69D1"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Durante el término otorgado para subsanar las ofertas, los proponentes no podrán acreditar circunstancias ocurridas con posterioridad al cierre del proceso.</w:t>
      </w:r>
    </w:p>
    <w:p w14:paraId="32C46BD1" w14:textId="77777777" w:rsidR="00F15DC4" w:rsidRPr="00F15DC4" w:rsidRDefault="00F15DC4" w:rsidP="00F15DC4">
      <w:pPr>
        <w:ind w:left="709" w:right="709"/>
        <w:jc w:val="both"/>
        <w:rPr>
          <w:rFonts w:ascii="Arial" w:eastAsia="Calibri" w:hAnsi="Arial" w:cs="Arial"/>
          <w:sz w:val="21"/>
          <w:szCs w:val="21"/>
          <w:lang w:val="es-ES_tradnl" w:eastAsia="en-US"/>
        </w:rPr>
      </w:pPr>
    </w:p>
    <w:p w14:paraId="3468F230"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PARÁGRAFO 2o. Las certificaciones de sistemas de gestión de calidad no serán objeto de calificación, ni podrán establecerse como documento habilitante para participar en licitaciones o concursos.</w:t>
      </w:r>
    </w:p>
    <w:p w14:paraId="391FFD4B" w14:textId="77777777" w:rsidR="00F15DC4" w:rsidRPr="00F15DC4" w:rsidRDefault="00F15DC4" w:rsidP="00F15DC4">
      <w:pPr>
        <w:ind w:left="709" w:right="709"/>
        <w:jc w:val="both"/>
        <w:rPr>
          <w:rFonts w:ascii="Arial" w:eastAsia="Calibri" w:hAnsi="Arial" w:cs="Arial"/>
          <w:sz w:val="21"/>
          <w:szCs w:val="21"/>
          <w:lang w:val="es-ES_tradnl" w:eastAsia="en-US"/>
        </w:rPr>
      </w:pPr>
    </w:p>
    <w:p w14:paraId="1B4508A1"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F15DC4">
        <w:rPr>
          <w:rFonts w:ascii="Arial" w:eastAsia="Calibri" w:hAnsi="Arial" w:cs="Arial"/>
          <w:sz w:val="21"/>
          <w:szCs w:val="21"/>
          <w:lang w:val="es-ES_tradnl" w:eastAsia="en-US"/>
        </w:rPr>
        <w:t>la misma</w:t>
      </w:r>
      <w:proofErr w:type="gramEnd"/>
      <w:r w:rsidRPr="00F15DC4">
        <w:rPr>
          <w:rFonts w:ascii="Arial" w:eastAsia="Calibri" w:hAnsi="Arial" w:cs="Arial"/>
          <w:sz w:val="21"/>
          <w:szCs w:val="21"/>
          <w:lang w:val="es-ES_tradnl" w:eastAsia="en-US"/>
        </w:rPr>
        <w:t>.</w:t>
      </w:r>
    </w:p>
    <w:p w14:paraId="4268CEEC" w14:textId="77777777" w:rsidR="00F15DC4" w:rsidRPr="00F15DC4" w:rsidRDefault="00F15DC4" w:rsidP="00F15DC4">
      <w:pPr>
        <w:ind w:left="709" w:right="709"/>
        <w:jc w:val="both"/>
        <w:rPr>
          <w:rFonts w:ascii="Arial" w:eastAsia="Calibri" w:hAnsi="Arial" w:cs="Arial"/>
          <w:sz w:val="21"/>
          <w:szCs w:val="21"/>
          <w:lang w:val="es-ES_tradnl" w:eastAsia="en-US"/>
        </w:rPr>
      </w:pPr>
    </w:p>
    <w:p w14:paraId="49D703AF" w14:textId="77777777" w:rsidR="00F15DC4" w:rsidRPr="00F15DC4" w:rsidRDefault="00F15DC4" w:rsidP="00F15DC4">
      <w:pPr>
        <w:ind w:left="709" w:right="709"/>
        <w:jc w:val="both"/>
        <w:rPr>
          <w:rFonts w:ascii="Arial" w:eastAsia="Calibri" w:hAnsi="Arial" w:cs="Arial"/>
          <w:sz w:val="21"/>
          <w:szCs w:val="21"/>
          <w:lang w:val="es-ES_tradnl" w:eastAsia="en-US"/>
        </w:rPr>
      </w:pPr>
      <w:r w:rsidRPr="00F15DC4">
        <w:rPr>
          <w:rFonts w:ascii="Arial" w:eastAsia="Calibri" w:hAnsi="Arial" w:cs="Arial"/>
          <w:sz w:val="21"/>
          <w:szCs w:val="21"/>
          <w:lang w:val="es-ES_tradnl" w:eastAsia="en-US"/>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58B52325" w14:textId="77777777" w:rsidR="00F15DC4" w:rsidRPr="00F15DC4" w:rsidRDefault="00F15DC4" w:rsidP="00F15DC4">
      <w:pPr>
        <w:ind w:left="709" w:right="709"/>
        <w:jc w:val="both"/>
        <w:rPr>
          <w:rFonts w:ascii="Arial" w:eastAsia="Calibri" w:hAnsi="Arial" w:cs="Arial"/>
          <w:sz w:val="21"/>
          <w:szCs w:val="21"/>
          <w:lang w:val="es-ES_tradnl" w:eastAsia="en-US"/>
        </w:rPr>
      </w:pPr>
    </w:p>
    <w:p w14:paraId="381222BA" w14:textId="77777777" w:rsidR="00F15DC4" w:rsidRPr="00F15DC4" w:rsidRDefault="00F15DC4" w:rsidP="00F15DC4">
      <w:pPr>
        <w:ind w:left="709" w:right="709"/>
        <w:jc w:val="both"/>
        <w:rPr>
          <w:rFonts w:ascii="Arial" w:eastAsia="Calibri" w:hAnsi="Arial" w:cs="Arial"/>
          <w:sz w:val="22"/>
          <w:szCs w:val="22"/>
          <w:lang w:val="es-ES_tradnl" w:eastAsia="en-US"/>
        </w:rPr>
      </w:pPr>
      <w:r w:rsidRPr="00F15DC4">
        <w:rPr>
          <w:rFonts w:ascii="Arial" w:eastAsia="Calibri" w:hAnsi="Arial" w:cs="Arial"/>
          <w:sz w:val="21"/>
          <w:szCs w:val="21"/>
          <w:lang w:val="es-ES_tradnl" w:eastAsia="en-US"/>
        </w:rPr>
        <w:lastRenderedPageBreak/>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sidRPr="00F15DC4">
        <w:rPr>
          <w:rFonts w:ascii="Arial" w:eastAsia="Calibri" w:hAnsi="Arial" w:cs="Arial"/>
          <w:sz w:val="22"/>
          <w:szCs w:val="22"/>
          <w:lang w:val="es-ES_tradnl" w:eastAsia="en-US"/>
        </w:rPr>
        <w:t xml:space="preserve"> </w:t>
      </w:r>
    </w:p>
    <w:p w14:paraId="2ACAFCB5" w14:textId="77777777" w:rsidR="00F15DC4" w:rsidRPr="00F15DC4" w:rsidRDefault="00F15DC4" w:rsidP="00F15DC4">
      <w:pPr>
        <w:spacing w:line="276" w:lineRule="auto"/>
        <w:jc w:val="both"/>
        <w:rPr>
          <w:rFonts w:ascii="Arial" w:eastAsia="Calibri" w:hAnsi="Arial" w:cs="Arial"/>
          <w:sz w:val="22"/>
          <w:szCs w:val="22"/>
          <w:lang w:val="es-ES_tradnl" w:eastAsia="en-US"/>
        </w:rPr>
      </w:pPr>
    </w:p>
    <w:p w14:paraId="49327AFD" w14:textId="77777777" w:rsidR="002A40A0" w:rsidRDefault="00F15DC4" w:rsidP="00F15DC4">
      <w:pPr>
        <w:spacing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Así mismo, la Ley 80 de 1993 se refiere a la </w:t>
      </w:r>
      <w:r w:rsidRPr="00F15DC4">
        <w:rPr>
          <w:rFonts w:ascii="Arial" w:eastAsia="Calibri" w:hAnsi="Arial" w:cs="Arial"/>
          <w:i/>
          <w:iCs/>
          <w:sz w:val="22"/>
          <w:szCs w:val="22"/>
          <w:lang w:val="es-ES_tradnl" w:eastAsia="en-US"/>
        </w:rPr>
        <w:t>selección objetiva</w:t>
      </w:r>
      <w:r w:rsidRPr="00F15DC4">
        <w:rPr>
          <w:rFonts w:ascii="Arial" w:eastAsia="Calibri" w:hAnsi="Arial" w:cs="Arial"/>
          <w:sz w:val="22"/>
          <w:szCs w:val="22"/>
          <w:lang w:val="es-ES_tradnl" w:eastAsia="en-US"/>
        </w:rPr>
        <w:t xml:space="preserve"> en varios apartados, como: i) el primer inciso del artículo 21, que obliga a las entidades estatales a tener en cuenta la selección objetiva, al garantizar la participación de los oferentes de bienes y servicios de origen nacional, </w:t>
      </w:r>
      <w:proofErr w:type="spellStart"/>
      <w:r w:rsidRPr="00F15DC4">
        <w:rPr>
          <w:rFonts w:ascii="Arial" w:eastAsia="Calibri" w:hAnsi="Arial" w:cs="Arial"/>
          <w:sz w:val="22"/>
          <w:szCs w:val="22"/>
          <w:lang w:val="es-ES_tradnl" w:eastAsia="en-US"/>
        </w:rPr>
        <w:t>ii</w:t>
      </w:r>
      <w:proofErr w:type="spellEnd"/>
      <w:r w:rsidRPr="00F15DC4">
        <w:rPr>
          <w:rFonts w:ascii="Arial" w:eastAsia="Calibri" w:hAnsi="Arial" w:cs="Arial"/>
          <w:sz w:val="22"/>
          <w:szCs w:val="22"/>
          <w:lang w:val="es-ES_tradnl" w:eastAsia="en-US"/>
        </w:rPr>
        <w:t xml:space="preserve">) el artículo 24, numeral 5º, literal a), que manda que en los pliegos de condiciones se indiquen «[…] los requisitos objetivos necesarios para participar en el correspondiente proceso de selección», </w:t>
      </w:r>
      <w:proofErr w:type="spellStart"/>
      <w:r w:rsidRPr="00F15DC4">
        <w:rPr>
          <w:rFonts w:ascii="Arial" w:eastAsia="Calibri" w:hAnsi="Arial" w:cs="Arial"/>
          <w:sz w:val="22"/>
          <w:szCs w:val="22"/>
          <w:lang w:val="es-ES_tradnl" w:eastAsia="en-US"/>
        </w:rPr>
        <w:t>iii</w:t>
      </w:r>
      <w:proofErr w:type="spellEnd"/>
      <w:r w:rsidRPr="00F15DC4">
        <w:rPr>
          <w:rFonts w:ascii="Arial" w:eastAsia="Calibri" w:hAnsi="Arial" w:cs="Arial"/>
          <w:sz w:val="22"/>
          <w:szCs w:val="22"/>
          <w:lang w:val="es-ES_tradnl" w:eastAsia="en-US"/>
        </w:rPr>
        <w:t xml:space="preserve">) el artículo 24, numeral 5º, literal b), que establece que en los pliegos de condiciones se deben definir «[…] reglas objetivas, justas, claras y completas que permitan la confección de ofrecimientos de la misma índole, aseguren una escogencia objetiva y eviten la declaratoria de desierta de la licitación», </w:t>
      </w:r>
      <w:proofErr w:type="spellStart"/>
      <w:r w:rsidRPr="00F15DC4">
        <w:rPr>
          <w:rFonts w:ascii="Arial" w:eastAsia="Calibri" w:hAnsi="Arial" w:cs="Arial"/>
          <w:sz w:val="22"/>
          <w:szCs w:val="22"/>
          <w:lang w:val="es-ES_tradnl" w:eastAsia="en-US"/>
        </w:rPr>
        <w:t>iv</w:t>
      </w:r>
      <w:proofErr w:type="spellEnd"/>
      <w:r w:rsidRPr="00F15DC4">
        <w:rPr>
          <w:rFonts w:ascii="Arial" w:eastAsia="Calibri" w:hAnsi="Arial" w:cs="Arial"/>
          <w:sz w:val="22"/>
          <w:szCs w:val="22"/>
          <w:lang w:val="es-ES_tradnl" w:eastAsia="en-US"/>
        </w:rPr>
        <w:t xml:space="preserve">) el artículo 24, numeral 8º, según el cual «Las autoridades no actuarán con desviación o abuso de poder y ejercerán sus competencias exclusivamente para los fines previstos en la ley. </w:t>
      </w:r>
    </w:p>
    <w:p w14:paraId="2EC731CD" w14:textId="77777777" w:rsidR="002A40A0" w:rsidRDefault="002A40A0" w:rsidP="00F15DC4">
      <w:pPr>
        <w:spacing w:line="276" w:lineRule="auto"/>
        <w:ind w:firstLine="709"/>
        <w:jc w:val="both"/>
        <w:rPr>
          <w:rFonts w:ascii="Arial" w:eastAsia="Calibri" w:hAnsi="Arial" w:cs="Arial"/>
          <w:sz w:val="22"/>
          <w:szCs w:val="22"/>
          <w:lang w:val="es-ES_tradnl" w:eastAsia="en-US"/>
        </w:rPr>
      </w:pPr>
    </w:p>
    <w:p w14:paraId="484D7C00" w14:textId="0E961598" w:rsidR="00F15DC4" w:rsidRPr="00F15DC4" w:rsidRDefault="00F15DC4" w:rsidP="00F15DC4">
      <w:pPr>
        <w:spacing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Igualmente, les será prohibido eludir los procedimientos de selección objetiva y los demás requisitos previstos en el presente estatuto», v) el segundo inciso del parágrafo 3º del artículo 24, que exige tener en cuenta la selección objetiva de la entidad veedora para el procedimiento de venta de bienes de las entidades estatales por el sistema de martillo; vi) el numeral 18 del artículo 25, el cual señala que «La declaratoria de desierta de la licitación únicamente procederá por motivos o causas que impidan la escogencia objetiva», </w:t>
      </w:r>
      <w:proofErr w:type="spellStart"/>
      <w:r w:rsidRPr="00F15DC4">
        <w:rPr>
          <w:rFonts w:ascii="Arial" w:eastAsia="Calibri" w:hAnsi="Arial" w:cs="Arial"/>
          <w:sz w:val="22"/>
          <w:szCs w:val="22"/>
          <w:lang w:val="es-ES_tradnl" w:eastAsia="en-US"/>
        </w:rPr>
        <w:t>vii</w:t>
      </w:r>
      <w:proofErr w:type="spellEnd"/>
      <w:r w:rsidRPr="00F15DC4">
        <w:rPr>
          <w:rFonts w:ascii="Arial" w:eastAsia="Calibri" w:hAnsi="Arial" w:cs="Arial"/>
          <w:sz w:val="22"/>
          <w:szCs w:val="22"/>
          <w:lang w:val="es-ES_tradnl" w:eastAsia="en-US"/>
        </w:rPr>
        <w:t xml:space="preserve">) el numeral 2 del artículo 30, que dispone que «La entidad interesada elaborará los correspondientes pliegos de condiciones, […], en los cuales se detallarán especialmente los aspectos relativos al objeto del contrato, su regulación jurídica, los derechos y obligaciones de las partes, la determinación y ponderación de los factores objetivos de selección y todas las demás circunstancias de tiempo, modo y lugar que se consideren necesarias para garantizar reglas objetivas, claras y completas», </w:t>
      </w:r>
      <w:proofErr w:type="spellStart"/>
      <w:r w:rsidRPr="00F15DC4">
        <w:rPr>
          <w:rFonts w:ascii="Arial" w:eastAsia="Calibri" w:hAnsi="Arial" w:cs="Arial"/>
          <w:sz w:val="22"/>
          <w:szCs w:val="22"/>
          <w:lang w:val="es-ES_tradnl" w:eastAsia="en-US"/>
        </w:rPr>
        <w:t>viii</w:t>
      </w:r>
      <w:proofErr w:type="spellEnd"/>
      <w:r w:rsidRPr="00F15DC4">
        <w:rPr>
          <w:rFonts w:ascii="Arial" w:eastAsia="Calibri" w:hAnsi="Arial" w:cs="Arial"/>
          <w:sz w:val="22"/>
          <w:szCs w:val="22"/>
          <w:lang w:val="es-ES_tradnl" w:eastAsia="en-US"/>
        </w:rPr>
        <w:t xml:space="preserve">) el inciso final del artículo 38, que obliga a las entidades estatales que tengan como objeto la prestación de servicios y actividades de telecomunicaciones a respetar el principio de selección objetiva, y </w:t>
      </w:r>
      <w:proofErr w:type="spellStart"/>
      <w:r w:rsidRPr="00F15DC4">
        <w:rPr>
          <w:rFonts w:ascii="Arial" w:eastAsia="Calibri" w:hAnsi="Arial" w:cs="Arial"/>
          <w:sz w:val="22"/>
          <w:szCs w:val="22"/>
          <w:lang w:val="es-ES_tradnl" w:eastAsia="en-US"/>
        </w:rPr>
        <w:t>ix</w:t>
      </w:r>
      <w:proofErr w:type="spellEnd"/>
      <w:r w:rsidRPr="00F15DC4">
        <w:rPr>
          <w:rFonts w:ascii="Arial" w:eastAsia="Calibri" w:hAnsi="Arial" w:cs="Arial"/>
          <w:sz w:val="22"/>
          <w:szCs w:val="22"/>
          <w:lang w:val="es-ES_tradnl" w:eastAsia="en-US"/>
        </w:rPr>
        <w:t xml:space="preserve">) el segundo inciso del artículo 76, que ordena cumplir también con dicho principio a las entidades que tengan por objeto la exploración, explotación y comercialización de recursos naturales renovables y no renovables. </w:t>
      </w:r>
    </w:p>
    <w:p w14:paraId="5F9AFA71" w14:textId="4284302C" w:rsidR="00F15DC4" w:rsidRPr="00F15DC4" w:rsidRDefault="00F15DC4" w:rsidP="00F15DC4">
      <w:pPr>
        <w:spacing w:before="120" w:after="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Por su parte, a nivel reglamentario, el Decreto 1082 de 2015 también hace referencia a la selección objetiva como postulado esencial al interior de los procedimientos de selección. Así se infiere de enunciados como: i) el numeral 4º del artículo 2.2.1.1.2.1.3., que indica que dentro de la información del pliego de condiciones se deben definir «Las condiciones de costo y/o calidad que la Entidad Estatal debe tener en cuenta para la selección objetiva, de acuerdo con la modalidad de selección del contratista»</w:t>
      </w:r>
      <w:r w:rsidR="004948A9">
        <w:rPr>
          <w:rFonts w:ascii="Arial" w:eastAsia="Calibri" w:hAnsi="Arial" w:cs="Arial"/>
          <w:sz w:val="22"/>
          <w:szCs w:val="22"/>
          <w:lang w:val="es-ES_tradnl" w:eastAsia="en-US"/>
        </w:rPr>
        <w:t xml:space="preserve"> y</w:t>
      </w:r>
      <w:r w:rsidRPr="00F15DC4">
        <w:rPr>
          <w:rFonts w:ascii="Arial" w:eastAsia="Calibri" w:hAnsi="Arial" w:cs="Arial"/>
          <w:sz w:val="22"/>
          <w:szCs w:val="22"/>
          <w:lang w:val="es-ES_tradnl" w:eastAsia="en-US"/>
        </w:rPr>
        <w:t xml:space="preserve"> </w:t>
      </w:r>
      <w:proofErr w:type="spellStart"/>
      <w:r w:rsidRPr="00F15DC4">
        <w:rPr>
          <w:rFonts w:ascii="Arial" w:eastAsia="Calibri" w:hAnsi="Arial" w:cs="Arial"/>
          <w:sz w:val="22"/>
          <w:szCs w:val="22"/>
          <w:lang w:val="es-ES_tradnl" w:eastAsia="en-US"/>
        </w:rPr>
        <w:t>ii</w:t>
      </w:r>
      <w:proofErr w:type="spellEnd"/>
      <w:r w:rsidRPr="00F15DC4">
        <w:rPr>
          <w:rFonts w:ascii="Arial" w:eastAsia="Calibri" w:hAnsi="Arial" w:cs="Arial"/>
          <w:sz w:val="22"/>
          <w:szCs w:val="22"/>
          <w:lang w:val="es-ES_tradnl" w:eastAsia="en-US"/>
        </w:rPr>
        <w:t xml:space="preserve">) el numeral </w:t>
      </w:r>
      <w:r w:rsidRPr="00F15DC4">
        <w:rPr>
          <w:rFonts w:ascii="Arial" w:eastAsia="Calibri" w:hAnsi="Arial" w:cs="Arial"/>
          <w:sz w:val="22"/>
          <w:szCs w:val="22"/>
          <w:lang w:val="es-ES_tradnl" w:eastAsia="en-US"/>
        </w:rPr>
        <w:lastRenderedPageBreak/>
        <w:t>8º del artículo 2.2.1.2.1.3.13., que establece como obligación del jurado calificador en los concurso</w:t>
      </w:r>
      <w:r w:rsidR="002D2B4E">
        <w:rPr>
          <w:rFonts w:ascii="Arial" w:eastAsia="Calibri" w:hAnsi="Arial" w:cs="Arial"/>
          <w:sz w:val="22"/>
          <w:szCs w:val="22"/>
          <w:lang w:val="es-ES_tradnl" w:eastAsia="en-US"/>
        </w:rPr>
        <w:t>s</w:t>
      </w:r>
      <w:r w:rsidRPr="00F15DC4">
        <w:rPr>
          <w:rFonts w:ascii="Arial" w:eastAsia="Calibri" w:hAnsi="Arial" w:cs="Arial"/>
          <w:sz w:val="22"/>
          <w:szCs w:val="22"/>
          <w:lang w:val="es-ES_tradnl" w:eastAsia="en-US"/>
        </w:rPr>
        <w:t xml:space="preserve"> de méritos para la selección de consultores de diseño, planos, anteproyectos y proyectos arquitectónicos, «Manifestar a la Entidad Estatal promotora la declaratoria de desierto el concurso de arquitectura, en caso que se presente el impedimento de la escogencia objetiva de que trata el numeral 18 del artículo 25 de la Ley 80 de 1993».</w:t>
      </w:r>
    </w:p>
    <w:p w14:paraId="79347DF7" w14:textId="77777777" w:rsidR="00643751" w:rsidRDefault="00F15DC4" w:rsidP="006E7CBA">
      <w:pPr>
        <w:spacing w:before="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La jurisprudencia también ha reconocido la preponderancia de este deber en la etapa precontractual, indicando que su garantía es imprescindible para satisfacer adecuadamente las necesidades de la sociedad a través del contrato. A este respecto, la Sección Tercera del Consejo de Estado ha dicho que «la selección de contratistas, para cumplir con el requisito de objetividad, debe caracterizarse por: 1. Ausencia total de subjetividad; 2. Estar determinada por la comparación de distintos factores, establecidos con anterioridad por la Administración en el pliego de condiciones; 3. Estar determinada la forma como los factores de selección serán evaluados y el valor que corresponde a cada uno de ellos en el pliego de condiciones y 4. Estar determinada la adjudicación y celebración del negocio jurídico por un análisis, comparación y evaluación objetiva de las propuestas presentadas»</w:t>
      </w:r>
      <w:r w:rsidRPr="00F15DC4">
        <w:rPr>
          <w:rFonts w:ascii="Arial" w:eastAsia="Calibri" w:hAnsi="Arial" w:cs="Arial"/>
          <w:sz w:val="22"/>
          <w:szCs w:val="22"/>
          <w:vertAlign w:val="superscript"/>
          <w:lang w:val="es-ES_tradnl" w:eastAsia="en-US"/>
        </w:rPr>
        <w:footnoteReference w:id="3"/>
      </w:r>
      <w:r w:rsidRPr="00F15DC4">
        <w:rPr>
          <w:rFonts w:ascii="Arial" w:eastAsia="Calibri" w:hAnsi="Arial" w:cs="Arial"/>
          <w:sz w:val="22"/>
          <w:szCs w:val="22"/>
          <w:lang w:val="es-ES_tradnl" w:eastAsia="en-US"/>
        </w:rPr>
        <w:t xml:space="preserve">. </w:t>
      </w:r>
    </w:p>
    <w:p w14:paraId="060B4A00" w14:textId="13B389C7" w:rsidR="00EB1059" w:rsidRPr="007C4DB5" w:rsidRDefault="00F15DC4" w:rsidP="006E7CBA">
      <w:pPr>
        <w:spacing w:before="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Igualmente, ha señalado que «el principio de escogencia o selección objetiva de los contratistas fundamenta uno de los principales deberes de todos los responsables de la contratación estatal en el derecho colombiano, </w:t>
      </w:r>
      <w:r w:rsidR="007238D1">
        <w:rPr>
          <w:rFonts w:ascii="Arial" w:eastAsia="Calibri" w:hAnsi="Arial" w:cs="Arial"/>
          <w:sz w:val="22"/>
          <w:szCs w:val="22"/>
          <w:lang w:val="es-ES_tradnl" w:eastAsia="en-US"/>
        </w:rPr>
        <w:t>que consiste</w:t>
      </w:r>
      <w:r w:rsidRPr="00F15DC4">
        <w:rPr>
          <w:rFonts w:ascii="Arial" w:eastAsia="Calibri" w:hAnsi="Arial" w:cs="Arial"/>
          <w:sz w:val="22"/>
          <w:szCs w:val="22"/>
          <w:lang w:val="es-ES_tradnl" w:eastAsia="en-US"/>
        </w:rPr>
        <w:t xml:space="preserve"> e</w:t>
      </w:r>
      <w:r w:rsidR="007238D1">
        <w:rPr>
          <w:rFonts w:ascii="Arial" w:eastAsia="Calibri" w:hAnsi="Arial" w:cs="Arial"/>
          <w:sz w:val="22"/>
          <w:szCs w:val="22"/>
          <w:lang w:val="es-ES_tradnl" w:eastAsia="en-US"/>
        </w:rPr>
        <w:t>n</w:t>
      </w:r>
      <w:r w:rsidRPr="00F15DC4">
        <w:rPr>
          <w:rFonts w:ascii="Arial" w:eastAsia="Calibri" w:hAnsi="Arial" w:cs="Arial"/>
          <w:sz w:val="22"/>
          <w:szCs w:val="22"/>
          <w:lang w:val="es-ES_tradnl" w:eastAsia="en-US"/>
        </w:rPr>
        <w:t xml:space="preserve"> mantener intacta la institucionalidad por encima de los intereses personales, individuales o subjetivos cuando se trate de escoger al contratista, al margen del procedimiento utilizado, con miras a evitar el actuar arbitrario, abusivo o violatorio de norma superior (numeral 8, art. 24, ley 80) por parte de los servidores públicos»</w:t>
      </w:r>
      <w:r w:rsidRPr="00F15DC4">
        <w:rPr>
          <w:rFonts w:ascii="Arial" w:eastAsia="Calibri" w:hAnsi="Arial" w:cs="Arial"/>
          <w:sz w:val="22"/>
          <w:szCs w:val="22"/>
          <w:vertAlign w:val="superscript"/>
          <w:lang w:val="es-ES_tradnl" w:eastAsia="en-US"/>
        </w:rPr>
        <w:footnoteReference w:id="4"/>
      </w:r>
      <w:r w:rsidRPr="00F15DC4">
        <w:rPr>
          <w:rFonts w:ascii="Arial" w:eastAsia="Calibri" w:hAnsi="Arial" w:cs="Arial"/>
          <w:sz w:val="22"/>
          <w:szCs w:val="22"/>
          <w:lang w:val="es-ES_tradnl" w:eastAsia="en-US"/>
        </w:rPr>
        <w:t>.</w:t>
      </w:r>
      <w:r w:rsidR="00D508EC">
        <w:rPr>
          <w:rFonts w:ascii="Arial" w:eastAsia="Calibri" w:hAnsi="Arial" w:cs="Arial"/>
          <w:sz w:val="22"/>
          <w:szCs w:val="22"/>
          <w:lang w:val="es-ES_tradnl" w:eastAsia="en-US"/>
        </w:rPr>
        <w:t xml:space="preserve"> </w:t>
      </w:r>
      <w:r w:rsidR="00D508EC" w:rsidRPr="006E7CBA">
        <w:rPr>
          <w:rFonts w:ascii="Arial" w:eastAsia="Calibri" w:hAnsi="Arial" w:cs="Arial"/>
          <w:sz w:val="22"/>
          <w:szCs w:val="22"/>
          <w:lang w:val="es-ES_tradnl" w:eastAsia="en-US"/>
        </w:rPr>
        <w:t>E</w:t>
      </w:r>
      <w:r w:rsidR="00D508EC" w:rsidRPr="007C4DB5">
        <w:rPr>
          <w:rFonts w:ascii="Arial" w:eastAsia="Calibri" w:hAnsi="Arial" w:cs="Arial"/>
          <w:sz w:val="22"/>
          <w:szCs w:val="22"/>
          <w:lang w:val="es-ES_tradnl" w:eastAsia="en-US"/>
        </w:rPr>
        <w:t>n igual sentido,</w:t>
      </w:r>
      <w:r w:rsidR="00AC7204">
        <w:rPr>
          <w:rFonts w:ascii="Arial" w:eastAsia="Calibri" w:hAnsi="Arial" w:cs="Arial"/>
          <w:sz w:val="22"/>
          <w:szCs w:val="22"/>
          <w:lang w:val="es-ES_tradnl" w:eastAsia="en-US"/>
        </w:rPr>
        <w:t xml:space="preserve"> la doctrina ha manifestado lo siguiente</w:t>
      </w:r>
      <w:r w:rsidR="00D508EC" w:rsidRPr="007C4DB5">
        <w:rPr>
          <w:rFonts w:ascii="Arial" w:eastAsia="Calibri" w:hAnsi="Arial" w:cs="Arial"/>
          <w:sz w:val="22"/>
          <w:szCs w:val="22"/>
          <w:lang w:val="es-ES_tradnl" w:eastAsia="en-US"/>
        </w:rPr>
        <w:t xml:space="preserve">: </w:t>
      </w:r>
    </w:p>
    <w:p w14:paraId="43C92071" w14:textId="77777777" w:rsidR="006E7CBA" w:rsidRPr="007C4DB5" w:rsidRDefault="006E7CBA" w:rsidP="007C4DB5">
      <w:pPr>
        <w:spacing w:line="276" w:lineRule="auto"/>
        <w:ind w:firstLine="709"/>
        <w:jc w:val="both"/>
        <w:rPr>
          <w:rFonts w:ascii="Arial" w:eastAsia="Calibri" w:hAnsi="Arial" w:cs="Arial"/>
          <w:sz w:val="22"/>
          <w:szCs w:val="22"/>
          <w:lang w:val="es-ES_tradnl" w:eastAsia="en-US"/>
        </w:rPr>
      </w:pPr>
    </w:p>
    <w:p w14:paraId="43D0F471" w14:textId="1FF6F0A3" w:rsidR="00EB1059" w:rsidRPr="007C4DB5" w:rsidRDefault="00EB1059" w:rsidP="007C4DB5">
      <w:pPr>
        <w:spacing w:line="276" w:lineRule="auto"/>
        <w:ind w:left="709" w:right="709"/>
        <w:jc w:val="both"/>
        <w:rPr>
          <w:rFonts w:ascii="Arial" w:eastAsia="Calibri" w:hAnsi="Arial" w:cs="Arial"/>
          <w:sz w:val="21"/>
          <w:szCs w:val="21"/>
          <w:lang w:val="es-ES_tradnl" w:eastAsia="en-US"/>
        </w:rPr>
      </w:pPr>
      <w:r w:rsidRPr="007C4DB5">
        <w:rPr>
          <w:rFonts w:ascii="Arial" w:eastAsia="Calibri" w:hAnsi="Arial" w:cs="Arial"/>
          <w:sz w:val="21"/>
          <w:szCs w:val="21"/>
          <w:lang w:val="es-ES_tradnl" w:eastAsia="en-US"/>
        </w:rPr>
        <w:t>[…] la obediencia y cumplimiento de todos su aristas se hace imperativa ante la presencia de una necesidad de continua y eficiente prestación de un servicio público por medio de un colaborador, el cual no puede ser elegido a la luz de consideraciones subjetivas e internas del Estado-contratante, sino que ha de serlo en obedecimiento de mandatos superiores que se imponen en virtud de la aplicación irrestricta del principio de legalidad en toda la actuación administrativa, y principalmente de aquella de carácter contractual</w:t>
      </w:r>
      <w:r w:rsidR="007A1D74" w:rsidRPr="007C4DB5">
        <w:rPr>
          <w:rStyle w:val="Refdenotaalpie"/>
          <w:rFonts w:ascii="Arial" w:eastAsia="Calibri" w:hAnsi="Arial" w:cs="Arial"/>
          <w:sz w:val="21"/>
          <w:szCs w:val="21"/>
          <w:lang w:val="es-ES_tradnl" w:eastAsia="en-US"/>
        </w:rPr>
        <w:footnoteReference w:id="5"/>
      </w:r>
      <w:r w:rsidRPr="007C4DB5">
        <w:rPr>
          <w:rFonts w:ascii="Arial" w:eastAsia="Calibri" w:hAnsi="Arial" w:cs="Arial"/>
          <w:sz w:val="21"/>
          <w:szCs w:val="21"/>
          <w:lang w:val="es-ES_tradnl" w:eastAsia="en-US"/>
        </w:rPr>
        <w:t xml:space="preserve">. </w:t>
      </w:r>
    </w:p>
    <w:p w14:paraId="134B7B16" w14:textId="4BAE2F8C" w:rsidR="00D508EC" w:rsidRPr="00F15DC4" w:rsidRDefault="00D508EC" w:rsidP="007C4DB5">
      <w:pPr>
        <w:spacing w:line="276" w:lineRule="auto"/>
        <w:ind w:firstLine="709"/>
        <w:jc w:val="both"/>
        <w:rPr>
          <w:rFonts w:ascii="Arial" w:eastAsia="Calibri" w:hAnsi="Arial" w:cs="Arial"/>
          <w:sz w:val="22"/>
          <w:szCs w:val="22"/>
          <w:lang w:val="es-ES_tradnl" w:eastAsia="en-US"/>
        </w:rPr>
      </w:pPr>
    </w:p>
    <w:p w14:paraId="662F7D9D" w14:textId="041D1D40" w:rsidR="00F15DC4" w:rsidRPr="00F15DC4" w:rsidRDefault="00F15DC4" w:rsidP="00F15DC4">
      <w:pPr>
        <w:spacing w:before="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lastRenderedPageBreak/>
        <w:t>Ahora bien, para garantizar el principio de selección objetiva, también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posibilitar la subsanación de los requisitos de participación, bajo las condiciones indicadas en la ley, antes de tomar la decisión de rechazar las propuestas que hayan omitido la observancia de los requisitos habilitantes</w:t>
      </w:r>
      <w:r w:rsidR="007724FE">
        <w:rPr>
          <w:rFonts w:ascii="Arial" w:eastAsia="Calibri" w:hAnsi="Arial" w:cs="Arial"/>
          <w:sz w:val="22"/>
          <w:szCs w:val="22"/>
          <w:lang w:val="es-ES_tradnl" w:eastAsia="en-US"/>
        </w:rPr>
        <w:t>. Dicha</w:t>
      </w:r>
      <w:r w:rsidRPr="00F15DC4">
        <w:rPr>
          <w:rFonts w:ascii="Arial" w:eastAsia="Calibri" w:hAnsi="Arial" w:cs="Arial"/>
          <w:sz w:val="22"/>
          <w:szCs w:val="22"/>
          <w:lang w:val="es-ES_tradnl" w:eastAsia="en-US"/>
        </w:rPr>
        <w:t xml:space="preserve"> decisión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46F2D88F" w14:textId="77777777" w:rsidR="00F15DC4" w:rsidRPr="00F15DC4" w:rsidRDefault="00F15DC4" w:rsidP="00F15DC4">
      <w:pPr>
        <w:spacing w:line="276" w:lineRule="auto"/>
        <w:ind w:firstLine="709"/>
        <w:jc w:val="both"/>
        <w:rPr>
          <w:rFonts w:ascii="Arial" w:eastAsia="Calibri" w:hAnsi="Arial" w:cs="Arial"/>
          <w:sz w:val="22"/>
          <w:szCs w:val="22"/>
          <w:lang w:val="es-ES_tradnl" w:eastAsia="en-US"/>
        </w:rPr>
      </w:pPr>
    </w:p>
    <w:p w14:paraId="6D6ACEB2" w14:textId="77777777" w:rsidR="00F15DC4" w:rsidRPr="00F15DC4" w:rsidRDefault="00F15DC4" w:rsidP="00F15DC4">
      <w:pPr>
        <w:spacing w:line="276" w:lineRule="auto"/>
        <w:jc w:val="both"/>
        <w:rPr>
          <w:rFonts w:ascii="Arial" w:eastAsia="Calibri" w:hAnsi="Arial" w:cs="Arial"/>
          <w:b/>
          <w:bCs/>
          <w:sz w:val="22"/>
          <w:szCs w:val="22"/>
          <w:lang w:val="es-ES_tradnl" w:eastAsia="en-US"/>
        </w:rPr>
      </w:pPr>
      <w:r w:rsidRPr="00F15DC4">
        <w:rPr>
          <w:rFonts w:ascii="Arial" w:eastAsia="Calibri" w:hAnsi="Arial" w:cs="Arial"/>
          <w:b/>
          <w:bCs/>
          <w:sz w:val="22"/>
          <w:szCs w:val="22"/>
          <w:lang w:val="es-ES_tradnl" w:eastAsia="en-US"/>
        </w:rPr>
        <w:t xml:space="preserve">2.2. Alcance de la regla de la </w:t>
      </w:r>
      <w:proofErr w:type="spellStart"/>
      <w:r w:rsidRPr="00F15DC4">
        <w:rPr>
          <w:rFonts w:ascii="Arial" w:eastAsia="Calibri" w:hAnsi="Arial" w:cs="Arial"/>
          <w:b/>
          <w:bCs/>
          <w:sz w:val="22"/>
          <w:szCs w:val="22"/>
          <w:lang w:val="es-ES_tradnl" w:eastAsia="en-US"/>
        </w:rPr>
        <w:t>subsanabilidad</w:t>
      </w:r>
      <w:proofErr w:type="spellEnd"/>
      <w:r w:rsidRPr="00F15DC4">
        <w:rPr>
          <w:rFonts w:ascii="Arial" w:eastAsia="Calibri" w:hAnsi="Arial" w:cs="Arial"/>
          <w:b/>
          <w:bCs/>
          <w:sz w:val="22"/>
          <w:szCs w:val="22"/>
          <w:lang w:val="es-ES_tradnl" w:eastAsia="en-US"/>
        </w:rPr>
        <w:t xml:space="preserve"> de las ofertas </w:t>
      </w:r>
    </w:p>
    <w:p w14:paraId="35888052" w14:textId="77777777" w:rsidR="00F15DC4" w:rsidRPr="00F15DC4" w:rsidRDefault="00F15DC4" w:rsidP="00F15DC4">
      <w:pPr>
        <w:spacing w:line="276" w:lineRule="auto"/>
        <w:jc w:val="both"/>
        <w:rPr>
          <w:rFonts w:ascii="Arial" w:eastAsia="Calibri" w:hAnsi="Arial" w:cs="Arial"/>
          <w:sz w:val="22"/>
          <w:szCs w:val="22"/>
          <w:lang w:val="es-ES_tradnl" w:eastAsia="en-US"/>
        </w:rPr>
      </w:pPr>
    </w:p>
    <w:p w14:paraId="50AF94CB" w14:textId="77777777" w:rsidR="00F15DC4" w:rsidRPr="00F15DC4" w:rsidRDefault="00F15DC4" w:rsidP="00F15DC4">
      <w:pPr>
        <w:spacing w:after="120" w:line="276" w:lineRule="auto"/>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Esta Subdirección se ha pronunciado en diversas oportunidades acerca del alcance de la regla de la </w:t>
      </w:r>
      <w:proofErr w:type="spellStart"/>
      <w:r w:rsidRPr="00F15DC4">
        <w:rPr>
          <w:rFonts w:ascii="Arial" w:eastAsiaTheme="minorHAnsi" w:hAnsi="Arial" w:cs="Arial"/>
          <w:sz w:val="22"/>
          <w:szCs w:val="22"/>
          <w:lang w:val="es-ES_tradnl" w:eastAsia="en-US"/>
        </w:rPr>
        <w:t>subsanabilidad</w:t>
      </w:r>
      <w:proofErr w:type="spellEnd"/>
      <w:r w:rsidRPr="00F15DC4">
        <w:rPr>
          <w:rFonts w:ascii="Arial" w:eastAsiaTheme="minorHAnsi" w:hAnsi="Arial" w:cs="Arial"/>
          <w:sz w:val="22"/>
          <w:szCs w:val="22"/>
          <w:lang w:val="es-ES_tradnl" w:eastAsia="en-US"/>
        </w:rPr>
        <w:t xml:space="preserve">, contenida actualmente en el artículo 5 de la Ley 1150 de 2007. Al respecto, la postura que se reitera en el presente concepto es la siguiente: por regla general, i) la falta de entrega o </w:t>
      </w:r>
      <w:proofErr w:type="spellStart"/>
      <w:r w:rsidRPr="00F15DC4">
        <w:rPr>
          <w:rFonts w:ascii="Arial" w:eastAsiaTheme="minorHAnsi" w:hAnsi="Arial" w:cs="Arial"/>
          <w:sz w:val="22"/>
          <w:szCs w:val="22"/>
          <w:lang w:val="es-ES_tradnl" w:eastAsia="en-US"/>
        </w:rPr>
        <w:t>ii</w:t>
      </w:r>
      <w:proofErr w:type="spellEnd"/>
      <w:r w:rsidRPr="00F15DC4">
        <w:rPr>
          <w:rFonts w:ascii="Arial" w:eastAsiaTheme="minorHAnsi" w:hAnsi="Arial" w:cs="Arial"/>
          <w:sz w:val="22"/>
          <w:szCs w:val="22"/>
          <w:lang w:val="es-ES_tradnl" w:eastAsia="en-US"/>
        </w:rPr>
        <w:t xml:space="preserve">) los defectos, de los requisitos habilitantes, son subsanables. La excepción se encuentra en los casos, previstos en la ley, que limitan la </w:t>
      </w:r>
      <w:proofErr w:type="spellStart"/>
      <w:r w:rsidRPr="00F15DC4">
        <w:rPr>
          <w:rFonts w:ascii="Arial" w:eastAsiaTheme="minorHAnsi" w:hAnsi="Arial" w:cs="Arial"/>
          <w:sz w:val="22"/>
          <w:szCs w:val="22"/>
          <w:lang w:val="es-ES_tradnl" w:eastAsia="en-US"/>
        </w:rPr>
        <w:t>subsanabilidad</w:t>
      </w:r>
      <w:proofErr w:type="spellEnd"/>
      <w:r w:rsidRPr="00F15DC4">
        <w:rPr>
          <w:rFonts w:ascii="Arial" w:eastAsiaTheme="minorHAnsi" w:hAnsi="Arial" w:cs="Arial"/>
          <w:sz w:val="22"/>
          <w:szCs w:val="22"/>
          <w:lang w:val="es-ES_tradnl" w:eastAsia="en-US"/>
        </w:rPr>
        <w:t xml:space="preserve">, es decir, en la prohibición de permitir la entrega de la garantía de seriedad de la oferta que no fue aportada con la propuesta y de valer la acreditación de circunstancias ocurridas con posterioridad al cierre del proceso. </w:t>
      </w:r>
    </w:p>
    <w:p w14:paraId="7AEC02C3" w14:textId="1F56E32A" w:rsidR="00F15DC4" w:rsidRPr="007C4DB5" w:rsidRDefault="00F15DC4" w:rsidP="00F15DC4">
      <w:pPr>
        <w:spacing w:before="120" w:after="120" w:line="276" w:lineRule="auto"/>
        <w:ind w:firstLine="708"/>
        <w:jc w:val="both"/>
        <w:rPr>
          <w:rFonts w:ascii="Arial" w:eastAsiaTheme="minorHAnsi" w:hAnsi="Arial" w:cs="Arial"/>
          <w:sz w:val="22"/>
          <w:szCs w:val="22"/>
          <w:lang w:val="es-ES_tradnl" w:eastAsia="en-US"/>
        </w:rPr>
      </w:pPr>
      <w:r w:rsidRPr="007C4DB5">
        <w:rPr>
          <w:rFonts w:ascii="Arial" w:eastAsiaTheme="minorHAnsi" w:hAnsi="Arial" w:cs="Arial"/>
          <w:sz w:val="22"/>
          <w:szCs w:val="22"/>
          <w:lang w:val="es-ES_tradnl" w:eastAsia="en-US"/>
        </w:rPr>
        <w:t xml:space="preserve">En efecto, la Agencia Nacional de Contratación Pública – Colombia Compra Eficiente, en el concepto CU </w:t>
      </w:r>
      <w:r w:rsidR="00AC22DC" w:rsidRPr="007C4DB5">
        <w:rPr>
          <w:rFonts w:ascii="Arial" w:eastAsiaTheme="minorHAnsi" w:hAnsi="Arial" w:cs="Arial"/>
          <w:sz w:val="22"/>
          <w:szCs w:val="22"/>
          <w:lang w:val="es-ES_tradnl" w:eastAsia="en-US"/>
        </w:rPr>
        <w:t>-</w:t>
      </w:r>
      <w:r w:rsidRPr="007C4DB5">
        <w:rPr>
          <w:rFonts w:ascii="Arial" w:eastAsiaTheme="minorHAnsi" w:hAnsi="Arial" w:cs="Arial"/>
          <w:sz w:val="22"/>
          <w:szCs w:val="22"/>
          <w:lang w:val="es-ES_tradnl" w:eastAsia="en-US"/>
        </w:rPr>
        <w:t xml:space="preserve"> 060 de 16 de enero de 2020, unificó el concepto en torno al alcance de la regla de la </w:t>
      </w:r>
      <w:proofErr w:type="spellStart"/>
      <w:r w:rsidRPr="007C4DB5">
        <w:rPr>
          <w:rFonts w:ascii="Arial" w:eastAsiaTheme="minorHAnsi" w:hAnsi="Arial" w:cs="Arial"/>
          <w:sz w:val="22"/>
          <w:szCs w:val="22"/>
          <w:lang w:val="es-ES_tradnl" w:eastAsia="en-US"/>
        </w:rPr>
        <w:t>subsanabilidad</w:t>
      </w:r>
      <w:proofErr w:type="spellEnd"/>
      <w:r w:rsidRPr="007C4DB5">
        <w:rPr>
          <w:rFonts w:ascii="Arial" w:eastAsiaTheme="minorHAnsi" w:hAnsi="Arial" w:cs="Arial"/>
          <w:sz w:val="22"/>
          <w:szCs w:val="22"/>
          <w:lang w:val="es-ES_tradnl" w:eastAsia="en-US"/>
        </w:rPr>
        <w:t xml:space="preserve">, contenida actualmente en el artículo 5 de la Ley 1150 de 2007. En dicho concepto se unificó la </w:t>
      </w:r>
      <w:r w:rsidRPr="007C4DB5">
        <w:rPr>
          <w:rFonts w:ascii="Arial" w:eastAsia="Calibri" w:hAnsi="Arial" w:cs="Arial"/>
          <w:sz w:val="22"/>
          <w:szCs w:val="22"/>
          <w:lang w:val="es-ES_tradnl" w:eastAsia="en-US"/>
        </w:rPr>
        <w:t xml:space="preserve">tesis expuesta en los conceptos con radicado No. 4201913000006471 del 28 de octubre de 2019, 4201912000006711 del 12 de noviembre de 2019 y 4201912000006496 del 15 de noviembre de 2019, la cual fue reiterada en los conceptos </w:t>
      </w:r>
      <w:r w:rsidRPr="007C4DB5">
        <w:rPr>
          <w:rFonts w:ascii="Arial" w:eastAsia="Calibri" w:hAnsi="Arial" w:cs="Arial"/>
          <w:sz w:val="22"/>
          <w:szCs w:val="22"/>
          <w:lang w:val="es-MX" w:eastAsia="en-US"/>
        </w:rPr>
        <w:t>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y C-250 del 2 de junio de 2021</w:t>
      </w:r>
      <w:r w:rsidR="00EB1059" w:rsidRPr="007C4DB5">
        <w:rPr>
          <w:rFonts w:ascii="Arial" w:eastAsia="Calibri" w:hAnsi="Arial" w:cs="Arial"/>
          <w:sz w:val="22"/>
          <w:szCs w:val="22"/>
          <w:lang w:val="es-MX" w:eastAsia="en-US"/>
        </w:rPr>
        <w:t>, C-568</w:t>
      </w:r>
      <w:r w:rsidR="00B871B8" w:rsidRPr="007C4DB5">
        <w:rPr>
          <w:rFonts w:ascii="Arial" w:eastAsia="Calibri" w:hAnsi="Arial" w:cs="Arial"/>
          <w:sz w:val="22"/>
          <w:szCs w:val="22"/>
          <w:lang w:val="es-MX" w:eastAsia="en-US"/>
        </w:rPr>
        <w:t xml:space="preserve"> del 11 de octubre de 2021</w:t>
      </w:r>
      <w:r w:rsidRPr="007C4DB5">
        <w:rPr>
          <w:rFonts w:ascii="Arial" w:eastAsia="Calibri" w:hAnsi="Arial" w:cs="Arial"/>
          <w:sz w:val="22"/>
          <w:szCs w:val="22"/>
          <w:lang w:val="es-MX" w:eastAsia="en-US"/>
        </w:rPr>
        <w:t xml:space="preserve">. </w:t>
      </w:r>
      <w:r w:rsidRPr="007C4DB5">
        <w:rPr>
          <w:rFonts w:ascii="Arial" w:eastAsiaTheme="minorHAnsi" w:hAnsi="Arial" w:cs="Arial"/>
          <w:sz w:val="22"/>
          <w:szCs w:val="22"/>
          <w:lang w:val="es-ES_tradnl" w:eastAsia="en-US"/>
        </w:rPr>
        <w:t xml:space="preserve"> De la tesis desarrollada se tomarán algunas consideraciones para ilustrar el alcance de la regla de </w:t>
      </w:r>
      <w:proofErr w:type="spellStart"/>
      <w:r w:rsidRPr="007C4DB5">
        <w:rPr>
          <w:rFonts w:ascii="Arial" w:eastAsiaTheme="minorHAnsi" w:hAnsi="Arial" w:cs="Arial"/>
          <w:sz w:val="22"/>
          <w:szCs w:val="22"/>
          <w:lang w:val="es-ES_tradnl" w:eastAsia="en-US"/>
        </w:rPr>
        <w:t>subsanabilidad</w:t>
      </w:r>
      <w:proofErr w:type="spellEnd"/>
      <w:r w:rsidRPr="007C4DB5">
        <w:rPr>
          <w:rFonts w:ascii="Arial" w:eastAsiaTheme="minorHAnsi" w:hAnsi="Arial" w:cs="Arial"/>
          <w:sz w:val="22"/>
          <w:szCs w:val="22"/>
          <w:lang w:val="es-ES_tradnl" w:eastAsia="en-US"/>
        </w:rPr>
        <w:t xml:space="preserve"> en procesos de selección</w:t>
      </w:r>
      <w:r w:rsidR="00EB1059" w:rsidRPr="007C4DB5">
        <w:rPr>
          <w:rFonts w:ascii="Arial" w:eastAsiaTheme="minorHAnsi" w:hAnsi="Arial" w:cs="Arial"/>
          <w:sz w:val="22"/>
          <w:szCs w:val="22"/>
          <w:lang w:val="es-ES_tradnl" w:eastAsia="en-US"/>
        </w:rPr>
        <w:t xml:space="preserve">. </w:t>
      </w:r>
    </w:p>
    <w:p w14:paraId="4B32FCEF" w14:textId="77777777" w:rsidR="00F15DC4" w:rsidRPr="007C4DB5"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7C4DB5">
        <w:rPr>
          <w:rFonts w:ascii="Arial" w:eastAsiaTheme="minorHAnsi" w:hAnsi="Arial" w:cs="Arial"/>
          <w:sz w:val="22"/>
          <w:szCs w:val="22"/>
          <w:lang w:val="es-ES_tradnl" w:eastAsia="en-US"/>
        </w:rPr>
        <w:lastRenderedPageBreak/>
        <w:t xml:space="preserve">La posibilidad de enmendar, corregir o subsanar los errores en los que se incurre en los documentos contentivos de la oferta es un tema que ha tenido diferentes momentos o etapas en el ordenamiento jurídico colombiano. </w:t>
      </w:r>
    </w:p>
    <w:p w14:paraId="7E1E2DAB"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En un </w:t>
      </w:r>
      <w:r w:rsidRPr="00F15DC4">
        <w:rPr>
          <w:rFonts w:ascii="Arial" w:eastAsiaTheme="minorHAnsi" w:hAnsi="Arial" w:cs="Arial"/>
          <w:i/>
          <w:sz w:val="22"/>
          <w:szCs w:val="22"/>
          <w:lang w:val="es-ES_tradnl" w:eastAsia="en-US"/>
        </w:rPr>
        <w:t>primer momento</w:t>
      </w:r>
      <w:r w:rsidRPr="00F15DC4">
        <w:rPr>
          <w:rFonts w:ascii="Arial" w:eastAsiaTheme="minorHAnsi" w:hAnsi="Arial" w:cs="Arial"/>
          <w:sz w:val="22"/>
          <w:szCs w:val="22"/>
          <w:lang w:val="es-ES_tradnl" w:eastAsia="en-US"/>
        </w:rPr>
        <w:t xml:space="preserve">, antes de la </w:t>
      </w:r>
      <w:proofErr w:type="gramStart"/>
      <w:r w:rsidRPr="00F15DC4">
        <w:rPr>
          <w:rFonts w:ascii="Arial" w:eastAsiaTheme="minorHAnsi" w:hAnsi="Arial" w:cs="Arial"/>
          <w:sz w:val="22"/>
          <w:szCs w:val="22"/>
          <w:lang w:val="es-ES_tradnl" w:eastAsia="en-US"/>
        </w:rPr>
        <w:t>entrada en vigencia</w:t>
      </w:r>
      <w:proofErr w:type="gramEnd"/>
      <w:r w:rsidRPr="00F15DC4">
        <w:rPr>
          <w:rFonts w:ascii="Arial" w:eastAsiaTheme="minorHAnsi" w:hAnsi="Arial" w:cs="Arial"/>
          <w:sz w:val="22"/>
          <w:szCs w:val="22"/>
          <w:lang w:val="es-ES_tradnl" w:eastAsia="en-US"/>
        </w:rPr>
        <w:t xml:space="preserve"> de la Constitución Política de 1991, el régimen jurídico de la </w:t>
      </w:r>
      <w:proofErr w:type="spellStart"/>
      <w:r w:rsidRPr="00F15DC4">
        <w:rPr>
          <w:rFonts w:ascii="Arial" w:eastAsiaTheme="minorHAnsi" w:hAnsi="Arial" w:cs="Arial"/>
          <w:sz w:val="22"/>
          <w:szCs w:val="22"/>
          <w:lang w:val="es-ES_tradnl" w:eastAsia="en-US"/>
        </w:rPr>
        <w:t>subsanabilidad</w:t>
      </w:r>
      <w:proofErr w:type="spellEnd"/>
      <w:r w:rsidRPr="00F15DC4">
        <w:rPr>
          <w:rFonts w:ascii="Arial" w:eastAsiaTheme="minorHAnsi" w:hAnsi="Arial" w:cs="Arial"/>
          <w:sz w:val="22"/>
          <w:szCs w:val="22"/>
          <w:lang w:val="es-ES_tradnl" w:eastAsia="en-US"/>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66CAF8F2" w14:textId="1F0999C8" w:rsidR="00F15DC4" w:rsidRDefault="00F15DC4" w:rsidP="00871755">
      <w:pPr>
        <w:spacing w:before="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En un </w:t>
      </w:r>
      <w:r w:rsidRPr="00F15DC4">
        <w:rPr>
          <w:rFonts w:ascii="Arial" w:eastAsiaTheme="minorHAnsi" w:hAnsi="Arial" w:cs="Arial"/>
          <w:i/>
          <w:sz w:val="22"/>
          <w:szCs w:val="22"/>
          <w:lang w:val="es-ES_tradnl" w:eastAsia="en-US"/>
        </w:rPr>
        <w:t>segundo momento</w:t>
      </w:r>
      <w:r w:rsidRPr="00F15DC4">
        <w:rPr>
          <w:rFonts w:ascii="Arial" w:eastAsiaTheme="minorHAnsi" w:hAnsi="Arial" w:cs="Arial"/>
          <w:sz w:val="22"/>
          <w:szCs w:val="22"/>
          <w:lang w:val="es-ES_tradnl" w:eastAsia="en-US"/>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 En este nuevo escenario constitucional, el numeral 15 del artículo 25 de la Ley 80 de 1993 dispuso lo siguiente: </w:t>
      </w:r>
    </w:p>
    <w:p w14:paraId="4E5D5690" w14:textId="77777777" w:rsidR="00871755" w:rsidRPr="00F15DC4" w:rsidRDefault="00871755" w:rsidP="007C4DB5">
      <w:pPr>
        <w:spacing w:line="276" w:lineRule="auto"/>
        <w:ind w:firstLine="709"/>
        <w:jc w:val="both"/>
        <w:rPr>
          <w:rFonts w:ascii="Arial" w:eastAsiaTheme="minorHAnsi" w:hAnsi="Arial" w:cs="Arial"/>
          <w:sz w:val="22"/>
          <w:szCs w:val="22"/>
          <w:lang w:val="es-ES_tradnl" w:eastAsia="en-US"/>
        </w:rPr>
      </w:pPr>
    </w:p>
    <w:p w14:paraId="13BD57A0" w14:textId="77777777" w:rsidR="00F15DC4" w:rsidRPr="00F15DC4" w:rsidRDefault="00F15DC4" w:rsidP="007C4DB5">
      <w:pPr>
        <w:spacing w:after="120"/>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61D74454" w14:textId="77777777" w:rsidR="00F15DC4" w:rsidRPr="00F15DC4" w:rsidRDefault="00F15DC4" w:rsidP="00F15DC4">
      <w:pPr>
        <w:spacing w:before="120"/>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 xml:space="preserve">La ausencia de requisitos o la falta de documentos referentes a la futura contratación o al proponente, no necesarios para la comparación de propuestas, no servirá de título suficiente para el rechazo de los ofrecimientos hechos. </w:t>
      </w:r>
    </w:p>
    <w:p w14:paraId="1A6534FE" w14:textId="77777777" w:rsidR="00F15DC4" w:rsidRPr="00F15DC4" w:rsidRDefault="00F15DC4" w:rsidP="00F15DC4">
      <w:pPr>
        <w:spacing w:line="276" w:lineRule="auto"/>
        <w:ind w:firstLine="709"/>
        <w:jc w:val="both"/>
        <w:rPr>
          <w:rFonts w:ascii="Arial" w:eastAsiaTheme="minorHAnsi" w:hAnsi="Arial" w:cs="Arial"/>
          <w:sz w:val="22"/>
          <w:szCs w:val="22"/>
          <w:lang w:val="es-ES_tradnl" w:eastAsia="en-US"/>
        </w:rPr>
      </w:pPr>
    </w:p>
    <w:p w14:paraId="37AEAC05" w14:textId="77777777" w:rsidR="00F15DC4" w:rsidRPr="00F15DC4" w:rsidRDefault="00F15DC4" w:rsidP="00F15DC4">
      <w:pPr>
        <w:spacing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Bajo el amparo de esta norma, el régimen jurídico de </w:t>
      </w:r>
      <w:proofErr w:type="spellStart"/>
      <w:r w:rsidRPr="00F15DC4">
        <w:rPr>
          <w:rFonts w:ascii="Arial" w:eastAsiaTheme="minorHAnsi" w:hAnsi="Arial" w:cs="Arial"/>
          <w:sz w:val="22"/>
          <w:szCs w:val="22"/>
          <w:lang w:val="es-ES_tradnl" w:eastAsia="en-US"/>
        </w:rPr>
        <w:t>subsanabilidad</w:t>
      </w:r>
      <w:proofErr w:type="spellEnd"/>
      <w:r w:rsidRPr="00F15DC4">
        <w:rPr>
          <w:rFonts w:ascii="Arial" w:eastAsiaTheme="minorHAnsi" w:hAnsi="Arial" w:cs="Arial"/>
          <w:sz w:val="22"/>
          <w:szCs w:val="22"/>
          <w:lang w:val="es-ES_tradnl" w:eastAsia="en-US"/>
        </w:rPr>
        <w:t xml:space="preserve">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430A1B0D"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Esta norma debía leerse en conjunto con otras de la Ley 80 de 1993, particularmente con el artículo 30.7</w:t>
      </w:r>
      <w:r w:rsidRPr="00F15DC4">
        <w:rPr>
          <w:rFonts w:ascii="Arial" w:eastAsiaTheme="minorHAnsi" w:hAnsi="Arial" w:cs="Arial"/>
          <w:sz w:val="22"/>
          <w:szCs w:val="22"/>
          <w:vertAlign w:val="superscript"/>
          <w:lang w:val="es-ES_tradnl" w:eastAsia="en-US"/>
        </w:rPr>
        <w:footnoteReference w:id="6"/>
      </w:r>
      <w:r w:rsidRPr="00F15DC4">
        <w:rPr>
          <w:rFonts w:ascii="Arial" w:eastAsiaTheme="minorHAnsi" w:hAnsi="Arial" w:cs="Arial"/>
          <w:sz w:val="22"/>
          <w:szCs w:val="22"/>
          <w:lang w:val="es-ES_tradnl" w:eastAsia="en-US"/>
        </w:rPr>
        <w:t xml:space="preserve">, que ordena a la entidad señalar un plazo razonable para evaluar las </w:t>
      </w:r>
      <w:r w:rsidRPr="00F15DC4">
        <w:rPr>
          <w:rFonts w:ascii="Arial" w:eastAsiaTheme="minorHAnsi" w:hAnsi="Arial" w:cs="Arial"/>
          <w:sz w:val="22"/>
          <w:szCs w:val="22"/>
          <w:lang w:val="es-ES_tradnl" w:eastAsia="en-US"/>
        </w:rPr>
        <w:lastRenderedPageBreak/>
        <w:t>propuestas y para pedir a los proponentes, de ser necesario, que aclaren o expliquen aspectos que ofrezcan dudas y resulten indispensables para llevar a cabo la evaluación; y con el artículo 30.8</w:t>
      </w:r>
      <w:r w:rsidRPr="00F15DC4">
        <w:rPr>
          <w:rFonts w:ascii="Arial" w:eastAsiaTheme="minorHAnsi" w:hAnsi="Arial" w:cs="Arial"/>
          <w:sz w:val="22"/>
          <w:szCs w:val="22"/>
          <w:vertAlign w:val="superscript"/>
          <w:lang w:val="es-ES_tradnl" w:eastAsia="en-US"/>
        </w:rPr>
        <w:footnoteReference w:id="7"/>
      </w:r>
      <w:r w:rsidRPr="00F15DC4">
        <w:rPr>
          <w:rFonts w:ascii="Arial" w:eastAsiaTheme="minorHAnsi" w:hAnsi="Arial" w:cs="Arial"/>
          <w:sz w:val="22"/>
          <w:szCs w:val="22"/>
          <w:lang w:val="es-ES_tradnl" w:eastAsia="en-US"/>
        </w:rPr>
        <w:t xml:space="preserve">, que consagró el término de 5 días hábiles para que los oferentes presenten observaciones al informe de evaluación de las propuestas, sin que sea posible completar, adicionar, modificar o mejorar su oferta.  </w:t>
      </w:r>
    </w:p>
    <w:p w14:paraId="75BC9664"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A partir de la lectura integrada de estas tres normas debía concluirse que con la Ley 80 de 1993 era posible subsanar las propuestas, y la omisión o el error en algún aspecto de </w:t>
      </w:r>
      <w:proofErr w:type="gramStart"/>
      <w:r w:rsidRPr="00F15DC4">
        <w:rPr>
          <w:rFonts w:ascii="Arial" w:eastAsiaTheme="minorHAnsi" w:hAnsi="Arial" w:cs="Arial"/>
          <w:sz w:val="22"/>
          <w:szCs w:val="22"/>
          <w:lang w:val="es-ES_tradnl" w:eastAsia="en-US"/>
        </w:rPr>
        <w:t>la misma</w:t>
      </w:r>
      <w:proofErr w:type="gramEnd"/>
      <w:r w:rsidRPr="00F15DC4">
        <w:rPr>
          <w:rFonts w:ascii="Arial" w:eastAsiaTheme="minorHAnsi" w:hAnsi="Arial" w:cs="Arial"/>
          <w:sz w:val="22"/>
          <w:szCs w:val="22"/>
          <w:lang w:val="es-ES_tradnl" w:eastAsia="en-US"/>
        </w:rPr>
        <w:t xml:space="preserve"> no podía llevar a su rechazo, sin antes verificar que lo omitido fuera un aspecto necesario para la comparación. </w:t>
      </w:r>
    </w:p>
    <w:p w14:paraId="5EE25DE8" w14:textId="6355882A" w:rsidR="00F15DC4" w:rsidRPr="00F15DC4" w:rsidRDefault="00F15DC4" w:rsidP="00F15DC4">
      <w:pPr>
        <w:spacing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En un </w:t>
      </w:r>
      <w:r w:rsidRPr="00F15DC4">
        <w:rPr>
          <w:rFonts w:ascii="Arial" w:eastAsiaTheme="minorHAnsi" w:hAnsi="Arial" w:cs="Arial"/>
          <w:i/>
          <w:sz w:val="22"/>
          <w:szCs w:val="22"/>
          <w:lang w:val="es-ES_tradnl" w:eastAsia="en-US"/>
        </w:rPr>
        <w:t>tercer momento</w:t>
      </w:r>
      <w:r w:rsidRPr="00F15DC4">
        <w:rPr>
          <w:rFonts w:ascii="Arial" w:eastAsiaTheme="minorHAnsi" w:hAnsi="Arial" w:cs="Arial"/>
          <w:sz w:val="22"/>
          <w:szCs w:val="22"/>
          <w:lang w:val="es-ES_tradnl" w:eastAsia="en-US"/>
        </w:rPr>
        <w:t xml:space="preserve">, siguiendo la línea trazada por la Ley 80 de 1993, el legislador expidió la Ley 1150 de 2007, que, en el parágrafo 1º del artículo 5, determinó lo siguiente: </w:t>
      </w:r>
    </w:p>
    <w:p w14:paraId="2D39768F" w14:textId="77777777" w:rsidR="00F15DC4" w:rsidRPr="00F15DC4" w:rsidRDefault="00F15DC4" w:rsidP="00F15DC4">
      <w:pPr>
        <w:spacing w:line="276" w:lineRule="auto"/>
        <w:jc w:val="both"/>
        <w:rPr>
          <w:rFonts w:ascii="Arial" w:eastAsiaTheme="minorHAnsi" w:hAnsi="Arial" w:cs="Arial"/>
          <w:sz w:val="22"/>
          <w:szCs w:val="22"/>
          <w:lang w:val="es-ES_tradnl" w:eastAsia="en-US"/>
        </w:rPr>
      </w:pPr>
    </w:p>
    <w:p w14:paraId="1086074C" w14:textId="77777777" w:rsidR="00F15DC4" w:rsidRPr="00F15DC4" w:rsidRDefault="00F15DC4" w:rsidP="00F15DC4">
      <w:pPr>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F15DC4">
        <w:rPr>
          <w:rFonts w:ascii="Arial" w:eastAsiaTheme="minorHAnsi" w:hAnsi="Arial" w:cs="Arial"/>
          <w:b/>
          <w:sz w:val="21"/>
          <w:szCs w:val="21"/>
          <w:lang w:val="es-ES_tradnl" w:eastAsia="en-US"/>
        </w:rPr>
        <w:t xml:space="preserve">, </w:t>
      </w:r>
      <w:r w:rsidRPr="00F15DC4">
        <w:rPr>
          <w:rFonts w:ascii="Arial" w:eastAsiaTheme="minorHAnsi" w:hAnsi="Arial" w:cs="Arial"/>
          <w:sz w:val="21"/>
          <w:szCs w:val="21"/>
          <w:lang w:val="es-ES_tradnl" w:eastAsia="en-US"/>
        </w:rPr>
        <w:t xml:space="preserve">todos aquellos requisitos de la propuesta que no afecten la asignación de </w:t>
      </w:r>
      <w:proofErr w:type="gramStart"/>
      <w:r w:rsidRPr="00F15DC4">
        <w:rPr>
          <w:rFonts w:ascii="Arial" w:eastAsiaTheme="minorHAnsi" w:hAnsi="Arial" w:cs="Arial"/>
          <w:sz w:val="21"/>
          <w:szCs w:val="21"/>
          <w:lang w:val="es-ES_tradnl" w:eastAsia="en-US"/>
        </w:rPr>
        <w:t>puntaje,</w:t>
      </w:r>
      <w:proofErr w:type="gramEnd"/>
      <w:r w:rsidRPr="00F15DC4">
        <w:rPr>
          <w:rFonts w:ascii="Arial" w:eastAsiaTheme="minorHAnsi" w:hAnsi="Arial" w:cs="Arial"/>
          <w:sz w:val="21"/>
          <w:szCs w:val="21"/>
          <w:lang w:val="es-ES_tradnl" w:eastAsia="en-US"/>
        </w:rPr>
        <w:t xml:space="preserve"> podrán ser solicitados por las entidades en cualquier momento, hasta la adjudicación. No </w:t>
      </w:r>
      <w:proofErr w:type="gramStart"/>
      <w:r w:rsidRPr="00F15DC4">
        <w:rPr>
          <w:rFonts w:ascii="Arial" w:eastAsiaTheme="minorHAnsi" w:hAnsi="Arial" w:cs="Arial"/>
          <w:sz w:val="21"/>
          <w:szCs w:val="21"/>
          <w:lang w:val="es-ES_tradnl" w:eastAsia="en-US"/>
        </w:rPr>
        <w:t>obstante</w:t>
      </w:r>
      <w:proofErr w:type="gramEnd"/>
      <w:r w:rsidRPr="00F15DC4">
        <w:rPr>
          <w:rFonts w:ascii="Arial" w:eastAsiaTheme="minorHAnsi" w:hAnsi="Arial" w:cs="Arial"/>
          <w:sz w:val="21"/>
          <w:szCs w:val="21"/>
          <w:lang w:val="es-ES_tradnl" w:eastAsia="en-US"/>
        </w:rPr>
        <w:t xml:space="preserve"> lo anterior, en aquellos procesos de selección en los que se utilice el mecanismo de subasta, deberán ser solicitados hasta el momento previo a su realización. </w:t>
      </w:r>
    </w:p>
    <w:p w14:paraId="00D29CB2" w14:textId="77777777" w:rsidR="00F15DC4" w:rsidRPr="00F15DC4" w:rsidRDefault="00F15DC4" w:rsidP="00F15DC4">
      <w:pPr>
        <w:spacing w:line="276" w:lineRule="auto"/>
        <w:jc w:val="both"/>
        <w:rPr>
          <w:rFonts w:ascii="Arial" w:eastAsiaTheme="minorHAnsi" w:hAnsi="Arial" w:cs="Arial"/>
          <w:b/>
          <w:sz w:val="22"/>
          <w:szCs w:val="22"/>
          <w:lang w:val="es-ES_tradnl" w:eastAsia="en-US"/>
        </w:rPr>
      </w:pPr>
    </w:p>
    <w:p w14:paraId="2AD200FA" w14:textId="77777777" w:rsidR="00F15DC4" w:rsidRPr="00F15DC4" w:rsidRDefault="00F15DC4" w:rsidP="00F15DC4">
      <w:pPr>
        <w:spacing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1B9712EF" w14:textId="66C78A96" w:rsidR="00F15DC4" w:rsidRPr="00F15DC4" w:rsidRDefault="00F15DC4" w:rsidP="00E85DDE">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0DBE2635" w14:textId="77777777" w:rsidR="00F15DC4" w:rsidRPr="00F15DC4" w:rsidRDefault="00F15DC4" w:rsidP="00F15DC4">
      <w:pPr>
        <w:spacing w:before="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El artículo 5 de la Ley 1150 de 2007, además de consagrar un criterio más claro, y, de paso, reducir la discrecionalidad de la Administración, fijó un ámbito temporal para la </w:t>
      </w:r>
      <w:r w:rsidRPr="00F15DC4">
        <w:rPr>
          <w:rFonts w:ascii="Arial" w:eastAsiaTheme="minorHAnsi" w:hAnsi="Arial" w:cs="Arial"/>
          <w:sz w:val="22"/>
          <w:szCs w:val="22"/>
          <w:lang w:val="es-ES_tradnl" w:eastAsia="en-US"/>
        </w:rPr>
        <w:lastRenderedPageBreak/>
        <w:t xml:space="preserve">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52CC6864" w14:textId="77777777" w:rsidR="00F15DC4" w:rsidRPr="00F15DC4" w:rsidRDefault="00F15DC4" w:rsidP="00F15DC4">
      <w:pPr>
        <w:spacing w:line="276" w:lineRule="auto"/>
        <w:jc w:val="both"/>
        <w:rPr>
          <w:rFonts w:ascii="Arial" w:eastAsiaTheme="minorHAnsi" w:hAnsi="Arial" w:cs="Arial"/>
          <w:sz w:val="22"/>
          <w:szCs w:val="22"/>
          <w:lang w:val="es-ES_tradnl" w:eastAsia="en-US"/>
        </w:rPr>
      </w:pPr>
    </w:p>
    <w:p w14:paraId="06CD9375" w14:textId="77777777" w:rsidR="00F15DC4" w:rsidRPr="00F15DC4" w:rsidRDefault="00F15DC4" w:rsidP="00F15DC4">
      <w:pPr>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F15DC4">
        <w:rPr>
          <w:rFonts w:ascii="Arial" w:eastAsiaTheme="minorHAnsi" w:hAnsi="Arial" w:cs="Arial"/>
          <w:sz w:val="21"/>
          <w:szCs w:val="21"/>
          <w:vertAlign w:val="superscript"/>
          <w:lang w:val="es-ES_tradnl" w:eastAsia="en-US"/>
        </w:rPr>
        <w:footnoteReference w:id="8"/>
      </w:r>
      <w:r w:rsidRPr="00F15DC4">
        <w:rPr>
          <w:rFonts w:ascii="Arial" w:eastAsiaTheme="minorHAnsi" w:hAnsi="Arial" w:cs="Arial"/>
          <w:sz w:val="21"/>
          <w:szCs w:val="21"/>
          <w:lang w:val="es-ES_tradnl" w:eastAsia="en-US"/>
        </w:rPr>
        <w:t>.</w:t>
      </w:r>
    </w:p>
    <w:p w14:paraId="179E9BCA" w14:textId="77777777" w:rsidR="00F15DC4" w:rsidRPr="00F15DC4" w:rsidRDefault="00F15DC4" w:rsidP="00F15DC4">
      <w:pPr>
        <w:tabs>
          <w:tab w:val="left" w:pos="284"/>
        </w:tabs>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Esa interpretación fue compartida por la </w:t>
      </w:r>
      <w:r w:rsidRPr="00F15DC4">
        <w:rPr>
          <w:rFonts w:ascii="Arial" w:hAnsi="Arial" w:cs="Arial"/>
          <w:sz w:val="22"/>
          <w:szCs w:val="22"/>
          <w:lang w:val="es-ES_tradnl" w:eastAsia="es-CO"/>
        </w:rPr>
        <w:t>Agencia Nacional de Contratación Pública – Colombia Compra Eficiente</w:t>
      </w:r>
      <w:r w:rsidRPr="00F15DC4">
        <w:rPr>
          <w:rFonts w:ascii="Arial" w:eastAsiaTheme="minorHAnsi" w:hAnsi="Arial" w:cs="Arial"/>
          <w:sz w:val="22"/>
          <w:szCs w:val="22"/>
          <w:lang w:val="es-ES_tradnl" w:eastAsia="en-US"/>
        </w:rPr>
        <w:t xml:space="preserve">, pues en la Circular Externa Única se precisó </w:t>
      </w:r>
      <w:proofErr w:type="gramStart"/>
      <w:r w:rsidRPr="00F15DC4">
        <w:rPr>
          <w:rFonts w:ascii="Arial" w:eastAsiaTheme="minorHAnsi" w:hAnsi="Arial" w:cs="Arial"/>
          <w:sz w:val="22"/>
          <w:szCs w:val="22"/>
          <w:lang w:val="es-ES_tradnl" w:eastAsia="en-US"/>
        </w:rPr>
        <w:t>que</w:t>
      </w:r>
      <w:proofErr w:type="gramEnd"/>
      <w:r w:rsidRPr="00F15DC4">
        <w:rPr>
          <w:rFonts w:ascii="Arial" w:eastAsiaTheme="minorHAnsi" w:hAnsi="Arial" w:cs="Arial"/>
          <w:sz w:val="22"/>
          <w:szCs w:val="22"/>
          <w:lang w:val="es-ES_tradnl" w:eastAsia="en-U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no será evaluada hasta que se subsane.</w:t>
      </w:r>
    </w:p>
    <w:p w14:paraId="3ACB5545" w14:textId="2CE0B5FF" w:rsidR="00F15DC4" w:rsidRDefault="00F15DC4" w:rsidP="007C4DB5">
      <w:pPr>
        <w:tabs>
          <w:tab w:val="left" w:pos="284"/>
        </w:tabs>
        <w:spacing w:line="276" w:lineRule="auto"/>
        <w:ind w:firstLine="709"/>
        <w:jc w:val="both"/>
        <w:rPr>
          <w:rFonts w:ascii="Arial" w:hAnsi="Arial" w:cs="Arial"/>
          <w:sz w:val="22"/>
          <w:szCs w:val="22"/>
          <w:lang w:val="es-ES_tradnl" w:eastAsia="es-CO"/>
        </w:rPr>
      </w:pPr>
      <w:r w:rsidRPr="00F15DC4">
        <w:rPr>
          <w:rFonts w:ascii="Arial" w:hAnsi="Arial" w:cs="Arial"/>
          <w:sz w:val="22"/>
          <w:szCs w:val="22"/>
          <w:lang w:val="es-ES_tradnl" w:eastAsia="es-CO"/>
        </w:rPr>
        <w:t xml:space="preserve">Finalmente, en un </w:t>
      </w:r>
      <w:r w:rsidRPr="00F15DC4">
        <w:rPr>
          <w:rFonts w:ascii="Arial" w:hAnsi="Arial" w:cs="Arial"/>
          <w:i/>
          <w:sz w:val="22"/>
          <w:szCs w:val="22"/>
          <w:lang w:val="es-ES_tradnl" w:eastAsia="es-CO"/>
        </w:rPr>
        <w:t>cuarto momento</w:t>
      </w:r>
      <w:r w:rsidRPr="00F15DC4">
        <w:rPr>
          <w:rFonts w:ascii="Arial" w:hAnsi="Arial" w:cs="Arial"/>
          <w:sz w:val="22"/>
          <w:szCs w:val="22"/>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43B2B514" w14:textId="77777777" w:rsidR="00590D3A" w:rsidRPr="00F15DC4" w:rsidRDefault="00590D3A" w:rsidP="007C4DB5">
      <w:pPr>
        <w:tabs>
          <w:tab w:val="left" w:pos="284"/>
        </w:tabs>
        <w:spacing w:line="276" w:lineRule="auto"/>
        <w:ind w:firstLine="709"/>
        <w:jc w:val="both"/>
        <w:rPr>
          <w:rFonts w:ascii="Arial" w:eastAsiaTheme="minorHAnsi" w:hAnsi="Arial" w:cs="Arial"/>
          <w:sz w:val="22"/>
          <w:szCs w:val="22"/>
          <w:lang w:val="es-ES_tradnl" w:eastAsia="en-US"/>
        </w:rPr>
      </w:pPr>
    </w:p>
    <w:p w14:paraId="25931D72" w14:textId="77777777" w:rsidR="00F15DC4" w:rsidRPr="00F15DC4" w:rsidRDefault="00F15DC4" w:rsidP="007C4DB5">
      <w:pPr>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 xml:space="preserve">Artículo 5°. De la selección objetiva. </w:t>
      </w:r>
    </w:p>
    <w:p w14:paraId="17DD6F0A" w14:textId="77777777" w:rsidR="00F15DC4" w:rsidRPr="00F15DC4" w:rsidRDefault="00F15DC4" w:rsidP="00F15DC4">
      <w:pPr>
        <w:spacing w:before="120" w:after="120"/>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 ]</w:t>
      </w:r>
    </w:p>
    <w:p w14:paraId="24F99732" w14:textId="77777777" w:rsidR="00F15DC4" w:rsidRPr="00F15DC4" w:rsidRDefault="00F15DC4" w:rsidP="00F15DC4">
      <w:pPr>
        <w:ind w:left="709" w:right="709"/>
        <w:jc w:val="both"/>
        <w:rPr>
          <w:rFonts w:ascii="Arial" w:eastAsiaTheme="minorHAnsi" w:hAnsi="Arial" w:cs="Arial"/>
          <w:sz w:val="21"/>
          <w:szCs w:val="21"/>
          <w:lang w:val="es-ES_tradnl" w:eastAsia="en-US"/>
        </w:rPr>
      </w:pPr>
      <w:r w:rsidRPr="00F15DC4">
        <w:rPr>
          <w:rFonts w:ascii="Arial" w:eastAsiaTheme="minorHAnsi" w:hAnsi="Arial" w:cs="Arial"/>
          <w:sz w:val="21"/>
          <w:szCs w:val="21"/>
          <w:lang w:val="es-ES_tradnl" w:eastAsia="en-US"/>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F15DC4">
        <w:rPr>
          <w:rFonts w:ascii="Arial" w:eastAsiaTheme="minorHAnsi" w:hAnsi="Arial" w:cs="Arial"/>
          <w:sz w:val="21"/>
          <w:szCs w:val="21"/>
          <w:lang w:val="es-ES_tradnl" w:eastAsia="en-US"/>
        </w:rPr>
        <w:t>puntaje,</w:t>
      </w:r>
      <w:proofErr w:type="gramEnd"/>
      <w:r w:rsidRPr="00F15DC4">
        <w:rPr>
          <w:rFonts w:ascii="Arial" w:eastAsiaTheme="minorHAnsi" w:hAnsi="Arial" w:cs="Arial"/>
          <w:sz w:val="21"/>
          <w:szCs w:val="21"/>
          <w:lang w:val="es-ES_tradnl" w:eastAsia="en-US"/>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w:t>
      </w:r>
      <w:r w:rsidRPr="00F15DC4">
        <w:rPr>
          <w:rFonts w:ascii="Arial" w:eastAsiaTheme="minorHAnsi" w:hAnsi="Arial" w:cs="Arial"/>
          <w:sz w:val="21"/>
          <w:szCs w:val="21"/>
          <w:lang w:val="es-ES_tradnl" w:eastAsia="en-US"/>
        </w:rPr>
        <w:lastRenderedPageBreak/>
        <w:t xml:space="preserve">señalado. Durante el término otorgado para subsanar las ofertas, los proponentes no podrán acreditar circunstancias ocurridas con posterioridad al cierre del proceso. </w:t>
      </w:r>
    </w:p>
    <w:p w14:paraId="162A145C" w14:textId="087644F4"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Como puede observarse,</w:t>
      </w:r>
      <w:r w:rsidR="00F74ECA">
        <w:rPr>
          <w:rFonts w:ascii="Arial" w:eastAsiaTheme="minorHAnsi" w:hAnsi="Arial" w:cs="Arial"/>
          <w:sz w:val="22"/>
          <w:szCs w:val="22"/>
          <w:lang w:val="es-ES_tradnl" w:eastAsia="en-US"/>
        </w:rPr>
        <w:t xml:space="preserve"> la Ley 1882 de 2018</w:t>
      </w:r>
      <w:r w:rsidRPr="00F15DC4">
        <w:rPr>
          <w:rFonts w:ascii="Arial" w:eastAsiaTheme="minorHAnsi" w:hAnsi="Arial" w:cs="Arial"/>
          <w:sz w:val="22"/>
          <w:szCs w:val="22"/>
          <w:lang w:val="es-ES_tradnl" w:eastAsia="en-US"/>
        </w:rPr>
        <w:t xml:space="preserve">: i) mantiene el criterio de la Ley 80 de 1993, relativo a que todo lo que no sea necesario para la comparación de propuestas no es título suficiente para su rechazo; </w:t>
      </w:r>
      <w:proofErr w:type="spellStart"/>
      <w:r w:rsidRPr="00F15DC4">
        <w:rPr>
          <w:rFonts w:ascii="Arial" w:eastAsiaTheme="minorHAnsi" w:hAnsi="Arial" w:cs="Arial"/>
          <w:sz w:val="22"/>
          <w:szCs w:val="22"/>
          <w:lang w:val="es-ES_tradnl" w:eastAsia="en-US"/>
        </w:rPr>
        <w:t>ii</w:t>
      </w:r>
      <w:proofErr w:type="spellEnd"/>
      <w:r w:rsidRPr="00F15DC4">
        <w:rPr>
          <w:rFonts w:ascii="Arial" w:eastAsiaTheme="minorHAnsi" w:hAnsi="Arial" w:cs="Arial"/>
          <w:sz w:val="22"/>
          <w:szCs w:val="22"/>
          <w:lang w:val="es-ES_tradnl" w:eastAsia="en-US"/>
        </w:rPr>
        <w:t xml:space="preserve">) mantiene el criterio aclaratorio de la Ley 1150 de 2007, según el cual todo lo que no afecte la asignación de puntaje puede subsanarse y, </w:t>
      </w:r>
      <w:proofErr w:type="spellStart"/>
      <w:r w:rsidRPr="00F15DC4">
        <w:rPr>
          <w:rFonts w:ascii="Arial" w:eastAsiaTheme="minorHAnsi" w:hAnsi="Arial" w:cs="Arial"/>
          <w:sz w:val="22"/>
          <w:szCs w:val="22"/>
          <w:lang w:val="es-ES_tradnl" w:eastAsia="en-US"/>
        </w:rPr>
        <w:t>iii</w:t>
      </w:r>
      <w:proofErr w:type="spellEnd"/>
      <w:r w:rsidRPr="00F15DC4">
        <w:rPr>
          <w:rFonts w:ascii="Arial" w:eastAsiaTheme="minorHAnsi" w:hAnsi="Arial" w:cs="Arial"/>
          <w:sz w:val="22"/>
          <w:szCs w:val="22"/>
          <w:lang w:val="es-ES_tradnl" w:eastAsia="en-US"/>
        </w:rPr>
        <w:t xml:space="preserve">) introduce modificaciones en relación con algunos aspectos que se analizarán a continuación. </w:t>
      </w:r>
    </w:p>
    <w:p w14:paraId="75DD6647" w14:textId="52730C10" w:rsidR="0057420C" w:rsidRDefault="00F15DC4" w:rsidP="0057420C">
      <w:pPr>
        <w:spacing w:after="120" w:line="276" w:lineRule="auto"/>
        <w:ind w:right="51" w:firstLine="709"/>
        <w:jc w:val="both"/>
        <w:rPr>
          <w:rFonts w:ascii="Arial" w:eastAsia="Calibri" w:hAnsi="Arial" w:cs="Arial"/>
          <w:sz w:val="22"/>
          <w:szCs w:val="22"/>
          <w:lang w:val="es-ES_tradnl" w:eastAsia="en-US"/>
        </w:rPr>
      </w:pPr>
      <w:r w:rsidRPr="00A0782F">
        <w:rPr>
          <w:rFonts w:ascii="Arial" w:eastAsiaTheme="minorHAnsi" w:hAnsi="Arial" w:cs="Arial"/>
          <w:i/>
          <w:iCs/>
          <w:sz w:val="22"/>
          <w:szCs w:val="22"/>
          <w:lang w:val="es-ES_tradnl" w:eastAsia="en-US"/>
        </w:rPr>
        <w:t>El primero</w:t>
      </w:r>
      <w:r w:rsidRPr="00A0782F">
        <w:rPr>
          <w:rFonts w:ascii="Arial" w:eastAsiaTheme="minorHAnsi" w:hAnsi="Arial" w:cs="Arial"/>
          <w:sz w:val="22"/>
          <w:szCs w:val="22"/>
          <w:lang w:val="es-ES_tradnl" w:eastAsia="en-US"/>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w:t>
      </w:r>
      <w:r w:rsidR="000F30E1">
        <w:rPr>
          <w:rFonts w:ascii="Arial" w:eastAsiaTheme="minorHAnsi" w:hAnsi="Arial" w:cs="Arial"/>
          <w:sz w:val="22"/>
          <w:szCs w:val="22"/>
          <w:lang w:val="es-ES_tradnl" w:eastAsia="en-US"/>
        </w:rPr>
        <w:t xml:space="preserve"> anterior</w:t>
      </w:r>
      <w:r w:rsidRPr="00A0782F">
        <w:rPr>
          <w:rFonts w:ascii="Arial" w:eastAsiaTheme="minorHAnsi" w:hAnsi="Arial" w:cs="Arial"/>
          <w:sz w:val="22"/>
          <w:szCs w:val="22"/>
          <w:lang w:val="es-ES_tradnl" w:eastAsia="en-US"/>
        </w:rPr>
        <w:t xml:space="preserve"> no aplica para los procesos de mínima cuantía y para el proceso </w:t>
      </w:r>
      <w:r w:rsidRPr="00A0782F">
        <w:rPr>
          <w:rFonts w:ascii="Arial" w:eastAsia="Calibri" w:hAnsi="Arial" w:cs="Arial"/>
          <w:sz w:val="22"/>
          <w:szCs w:val="22"/>
          <w:lang w:val="es-ES_tradnl" w:eastAsia="en-US"/>
        </w:rPr>
        <w:t>de selección a través del sistema de subasta</w:t>
      </w:r>
      <w:r w:rsidRPr="00A0782F">
        <w:rPr>
          <w:rFonts w:ascii="Arial" w:eastAsia="Calibri" w:hAnsi="Arial" w:cs="Arial"/>
          <w:sz w:val="22"/>
          <w:szCs w:val="22"/>
          <w:vertAlign w:val="superscript"/>
          <w:lang w:val="es-ES_tradnl" w:eastAsia="en-US"/>
        </w:rPr>
        <w:footnoteReference w:id="9"/>
      </w:r>
      <w:r w:rsidRPr="00A0782F">
        <w:rPr>
          <w:rFonts w:ascii="Arial" w:eastAsia="Calibri" w:hAnsi="Arial" w:cs="Arial"/>
          <w:sz w:val="22"/>
          <w:szCs w:val="22"/>
          <w:lang w:val="es-ES_tradnl" w:eastAsia="en-US"/>
        </w:rPr>
        <w:t>; en el último los documentos o requisitos subsanables pueden y deben solicitarse hasta el momento previo</w:t>
      </w:r>
      <w:r w:rsidR="007D540D">
        <w:rPr>
          <w:rFonts w:ascii="Arial" w:eastAsia="Calibri" w:hAnsi="Arial" w:cs="Arial"/>
          <w:sz w:val="22"/>
          <w:szCs w:val="22"/>
          <w:lang w:val="es-ES_tradnl" w:eastAsia="en-US"/>
        </w:rPr>
        <w:t xml:space="preserve"> </w:t>
      </w:r>
      <w:r w:rsidR="00544AF9">
        <w:rPr>
          <w:rFonts w:ascii="Arial" w:eastAsia="Calibri" w:hAnsi="Arial" w:cs="Arial"/>
          <w:sz w:val="22"/>
          <w:szCs w:val="22"/>
          <w:lang w:val="es-ES_tradnl" w:eastAsia="en-US"/>
        </w:rPr>
        <w:t xml:space="preserve">a </w:t>
      </w:r>
      <w:r w:rsidR="00763E3A">
        <w:rPr>
          <w:rFonts w:ascii="Arial" w:eastAsia="Calibri" w:hAnsi="Arial" w:cs="Arial"/>
          <w:sz w:val="22"/>
          <w:szCs w:val="22"/>
          <w:lang w:val="es-ES_tradnl" w:eastAsia="en-US"/>
        </w:rPr>
        <w:t xml:space="preserve">la celebración de la audiencia. En cuanto al proceso de mínima cuantía, el Decreto 1860 de 2021, en su artículo </w:t>
      </w:r>
      <w:r w:rsidR="0057420C">
        <w:rPr>
          <w:rFonts w:ascii="Arial" w:eastAsia="Calibri" w:hAnsi="Arial" w:cs="Arial"/>
          <w:sz w:val="22"/>
          <w:szCs w:val="22"/>
          <w:lang w:val="es-ES_tradnl" w:eastAsia="en-US"/>
        </w:rPr>
        <w:t>2.2.1.2.1.5.2., numeral 5° dispone que los proponentes podrán subsanar sus ofertas hasta antes que finalice el traslado del informe de evaluación</w:t>
      </w:r>
      <w:r w:rsidR="0057420C">
        <w:rPr>
          <w:rStyle w:val="Refdenotaalpie"/>
          <w:rFonts w:ascii="Arial" w:eastAsia="Calibri" w:hAnsi="Arial" w:cs="Arial"/>
          <w:sz w:val="22"/>
          <w:szCs w:val="22"/>
          <w:lang w:val="es-ES_tradnl" w:eastAsia="en-US"/>
        </w:rPr>
        <w:footnoteReference w:id="10"/>
      </w:r>
      <w:r w:rsidR="0057420C">
        <w:rPr>
          <w:rFonts w:ascii="Arial" w:eastAsia="Calibri" w:hAnsi="Arial" w:cs="Arial"/>
          <w:sz w:val="22"/>
          <w:szCs w:val="22"/>
          <w:lang w:val="es-ES_tradnl" w:eastAsia="en-US"/>
        </w:rPr>
        <w:t xml:space="preserve">. </w:t>
      </w:r>
    </w:p>
    <w:p w14:paraId="0DBFDFB1" w14:textId="1C1CB1DC" w:rsidR="00F15DC4" w:rsidRPr="00F15DC4" w:rsidRDefault="00F15DC4" w:rsidP="005B1FF6">
      <w:pPr>
        <w:spacing w:before="120" w:after="120" w:line="276" w:lineRule="auto"/>
        <w:ind w:firstLine="709"/>
        <w:jc w:val="both"/>
        <w:rPr>
          <w:rFonts w:ascii="Arial" w:eastAsiaTheme="minorHAnsi" w:hAnsi="Arial" w:cs="Arial"/>
          <w:sz w:val="22"/>
          <w:szCs w:val="22"/>
          <w:lang w:val="es-ES_tradnl" w:eastAsia="en-US"/>
        </w:rPr>
      </w:pPr>
      <w:r w:rsidRPr="00A0782F">
        <w:rPr>
          <w:rFonts w:ascii="Arial" w:eastAsia="Calibri" w:hAnsi="Arial" w:cs="Arial"/>
          <w:sz w:val="22"/>
          <w:szCs w:val="22"/>
          <w:lang w:val="es-ES_tradnl" w:eastAsia="en-US"/>
        </w:rPr>
        <w:t>Frente a la regla general</w:t>
      </w:r>
      <w:r w:rsidR="008F4C38">
        <w:rPr>
          <w:rFonts w:ascii="Arial" w:eastAsia="Calibri" w:hAnsi="Arial" w:cs="Arial"/>
          <w:sz w:val="22"/>
          <w:szCs w:val="22"/>
          <w:lang w:val="es-ES_tradnl" w:eastAsia="en-US"/>
        </w:rPr>
        <w:t xml:space="preserve"> aplicable a los demás procesos de selección</w:t>
      </w:r>
      <w:r w:rsidRPr="00A0782F">
        <w:rPr>
          <w:rFonts w:ascii="Arial" w:eastAsia="Calibri" w:hAnsi="Arial" w:cs="Arial"/>
          <w:sz w:val="22"/>
          <w:szCs w:val="22"/>
          <w:lang w:val="es-ES_tradnl" w:eastAsia="en-US"/>
        </w:rPr>
        <w:t>, la norma fijó un límite final para que la Administración y los oferentes subsanen los requisitos o documentos que puedan y deban ser subsanados, pero nada impide, y la norma no lo hace, que la Administración requiera al proponente antes de publicar el informe de evaluación</w:t>
      </w:r>
      <w:r w:rsidRPr="001509DC">
        <w:rPr>
          <w:rFonts w:ascii="Arial" w:eastAsia="Calibri" w:hAnsi="Arial" w:cs="Arial"/>
          <w:sz w:val="22"/>
          <w:szCs w:val="22"/>
          <w:lang w:val="es-ES_tradnl" w:eastAsia="en-US"/>
        </w:rPr>
        <w:t>.</w:t>
      </w:r>
      <w:r w:rsidRPr="00F15DC4">
        <w:rPr>
          <w:rFonts w:ascii="Arial" w:eastAsia="Calibri" w:hAnsi="Arial" w:cs="Arial"/>
          <w:sz w:val="22"/>
          <w:szCs w:val="22"/>
          <w:lang w:val="es-ES_tradnl" w:eastAsia="en-US"/>
        </w:rPr>
        <w:t xml:space="preserve"> En efecto, la redacción de la norma permite que la Administración solicite a los oferentes subsanar y que estos lo hagan hasta antes del término del traslado del informe de </w:t>
      </w:r>
      <w:r w:rsidRPr="00F15DC4">
        <w:rPr>
          <w:rFonts w:ascii="Arial" w:eastAsia="Calibri" w:hAnsi="Arial" w:cs="Arial"/>
          <w:sz w:val="22"/>
          <w:szCs w:val="22"/>
          <w:lang w:val="es-ES_tradnl" w:eastAsia="en-US"/>
        </w:rPr>
        <w:lastRenderedPageBreak/>
        <w:t>evaluación: «</w:t>
      </w:r>
      <w:r w:rsidRPr="00F15DC4">
        <w:rPr>
          <w:rFonts w:ascii="Arial" w:eastAsiaTheme="minorHAnsi" w:hAnsi="Arial" w:cs="Arial"/>
          <w:sz w:val="22"/>
          <w:szCs w:val="22"/>
          <w:lang w:val="es-ES_tradnl" w:eastAsia="en-US"/>
        </w:rPr>
        <w:t xml:space="preserve">deberán ser solicitados por las entidades estatales y deberán ser entregados por los proponentes hasta el término de traslado del informe de evaluación que corresponda a cada modalidad de selección». </w:t>
      </w:r>
    </w:p>
    <w:p w14:paraId="14F54399"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No obstante, de la lectura de este aparte podrían, en la práctica, darse dos interpretaciones que dan lugar a dos formas de proceder en los procesos de selección, en lo que a la </w:t>
      </w:r>
      <w:proofErr w:type="spellStart"/>
      <w:r w:rsidRPr="00F15DC4">
        <w:rPr>
          <w:rFonts w:ascii="Arial" w:eastAsiaTheme="minorHAnsi" w:hAnsi="Arial" w:cs="Arial"/>
          <w:sz w:val="22"/>
          <w:szCs w:val="22"/>
          <w:lang w:val="es-ES_tradnl" w:eastAsia="en-US"/>
        </w:rPr>
        <w:t>subsanabilidad</w:t>
      </w:r>
      <w:proofErr w:type="spellEnd"/>
      <w:r w:rsidRPr="00F15DC4">
        <w:rPr>
          <w:rFonts w:ascii="Arial" w:eastAsiaTheme="minorHAnsi" w:hAnsi="Arial" w:cs="Arial"/>
          <w:sz w:val="22"/>
          <w:szCs w:val="22"/>
          <w:lang w:val="es-ES_tradnl" w:eastAsia="en-US"/>
        </w:rPr>
        <w:t xml:space="preserve">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F15DC4">
        <w:rPr>
          <w:rFonts w:ascii="Arial" w:eastAsiaTheme="minorHAnsi" w:hAnsi="Arial" w:cs="Arial"/>
          <w:i/>
          <w:iCs/>
          <w:sz w:val="22"/>
          <w:szCs w:val="22"/>
          <w:lang w:val="es-ES_tradnl" w:eastAsia="en-US"/>
        </w:rPr>
        <w:t>límite</w:t>
      </w:r>
      <w:r w:rsidRPr="00F15DC4">
        <w:rPr>
          <w:rFonts w:ascii="Arial" w:eastAsiaTheme="minorHAnsi" w:hAnsi="Arial" w:cs="Arial"/>
          <w:sz w:val="22"/>
          <w:szCs w:val="22"/>
          <w:lang w:val="es-ES_tradnl" w:eastAsia="en-US"/>
        </w:rPr>
        <w:t xml:space="preserve"> para la subsanación de ofertas, pero no el único momento para hacerlo. </w:t>
      </w:r>
    </w:p>
    <w:p w14:paraId="202F0433"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46C0D42C"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6E9865F0" w14:textId="13E01313"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las propuestas</w:t>
      </w:r>
      <w:r w:rsidR="00F85804">
        <w:rPr>
          <w:rFonts w:ascii="Arial" w:eastAsiaTheme="minorHAnsi" w:hAnsi="Arial" w:cs="Arial"/>
          <w:sz w:val="22"/>
          <w:szCs w:val="22"/>
          <w:lang w:val="es-ES_tradnl" w:eastAsia="en-US"/>
        </w:rPr>
        <w:t xml:space="preserve"> ya</w:t>
      </w:r>
      <w:r w:rsidRPr="00F15DC4">
        <w:rPr>
          <w:rFonts w:ascii="Arial" w:eastAsiaTheme="minorHAnsi" w:hAnsi="Arial" w:cs="Arial"/>
          <w:sz w:val="22"/>
          <w:szCs w:val="22"/>
          <w:lang w:val="es-ES_tradnl" w:eastAsia="en-US"/>
        </w:rPr>
        <w:t xml:space="preserve"> estarán consolidadas en lo formal. Subsanar antes del informe de evaluación ofrece mayor seguridad y certeza al proceso de selección, a la Administración y a los oferentes. </w:t>
      </w:r>
    </w:p>
    <w:p w14:paraId="678B8CBD" w14:textId="164884B0"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 xml:space="preserve">Así,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w:t>
      </w:r>
      <w:r w:rsidRPr="00F15DC4">
        <w:rPr>
          <w:rFonts w:ascii="Arial" w:eastAsiaTheme="minorHAnsi" w:hAnsi="Arial" w:cs="Arial"/>
          <w:sz w:val="22"/>
          <w:szCs w:val="22"/>
          <w:lang w:val="es-ES_tradnl" w:eastAsia="en-US"/>
        </w:rPr>
        <w:lastRenderedPageBreak/>
        <w:t>establece la norma para que los oferentes, sin perjuicio de que lo hagan antes, cuenten hasta el término de traslado del informe de evaluación con la posibilidad de presentar la información solicitada.</w:t>
      </w:r>
    </w:p>
    <w:p w14:paraId="6FA325DE" w14:textId="77777777"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Calibri" w:hAnsi="Arial" w:cs="Arial"/>
          <w:sz w:val="22"/>
          <w:szCs w:val="22"/>
          <w:lang w:val="es-ES_tradnl" w:eastAsia="en-US"/>
        </w:rPr>
        <w:t xml:space="preserve">De otro lado, </w:t>
      </w:r>
      <w:r w:rsidRPr="00F15DC4">
        <w:rPr>
          <w:rFonts w:ascii="Arial" w:eastAsia="Calibri" w:hAnsi="Arial" w:cs="Arial"/>
          <w:i/>
          <w:iCs/>
          <w:sz w:val="22"/>
          <w:szCs w:val="22"/>
          <w:lang w:val="es-ES_tradnl" w:eastAsia="en-US"/>
        </w:rPr>
        <w:t>el segundo</w:t>
      </w:r>
      <w:r w:rsidRPr="00F15DC4">
        <w:rPr>
          <w:rFonts w:ascii="Arial" w:eastAsia="Calibri" w:hAnsi="Arial" w:cs="Arial"/>
          <w:sz w:val="22"/>
          <w:szCs w:val="22"/>
          <w:lang w:val="es-ES_tradnl" w:eastAsia="en-US"/>
        </w:rPr>
        <w:t xml:space="preserve"> cambio importante de la Ley 1882 de 2018 fue la introducción de un criterio material, directamente relacionado con los aspectos subsanables: «</w:t>
      </w:r>
      <w:r w:rsidRPr="00F15DC4">
        <w:rPr>
          <w:rFonts w:ascii="Arial" w:eastAsiaTheme="minorHAnsi" w:hAnsi="Arial" w:cs="Arial"/>
          <w:sz w:val="22"/>
          <w:szCs w:val="22"/>
          <w:lang w:val="es-ES_tradnl" w:eastAsia="en-US"/>
        </w:rPr>
        <w:t xml:space="preserve">los proponentes no podrán acreditar circunstancias ocurridas con posterioridad al cierre del proceso». Lo anterior ofrece dos aspectos que merecen clarificación; primero, qué debe entenderse por circunstancias ocurridas con posterioridad; y segundo, qué es el cierre del proceso. </w:t>
      </w:r>
    </w:p>
    <w:p w14:paraId="60F0B579" w14:textId="504F08ED" w:rsidR="00F15DC4" w:rsidRPr="00F15DC4" w:rsidRDefault="00F15DC4" w:rsidP="00F15DC4">
      <w:pPr>
        <w:spacing w:before="120" w:after="120" w:line="276" w:lineRule="auto"/>
        <w:ind w:firstLine="709"/>
        <w:jc w:val="both"/>
        <w:rPr>
          <w:rFonts w:ascii="Arial" w:eastAsiaTheme="minorHAnsi" w:hAnsi="Arial" w:cs="Arial"/>
          <w:sz w:val="22"/>
          <w:szCs w:val="22"/>
          <w:lang w:val="es-ES_tradnl" w:eastAsia="en-US"/>
        </w:rPr>
      </w:pPr>
      <w:r w:rsidRPr="00F15DC4">
        <w:rPr>
          <w:rFonts w:ascii="Arial" w:eastAsiaTheme="minorHAnsi" w:hAnsi="Arial" w:cs="Arial"/>
          <w:sz w:val="22"/>
          <w:szCs w:val="22"/>
          <w:lang w:val="es-ES_tradnl" w:eastAsia="en-U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F15DC4">
        <w:rPr>
          <w:rFonts w:ascii="Arial" w:eastAsiaTheme="minorHAnsi" w:hAnsi="Arial" w:cs="Arial"/>
          <w:sz w:val="22"/>
          <w:szCs w:val="22"/>
          <w:vertAlign w:val="superscript"/>
          <w:lang w:val="es-ES_tradnl" w:eastAsia="en-US"/>
        </w:rPr>
        <w:footnoteReference w:id="11"/>
      </w:r>
      <w:r w:rsidRPr="00F15DC4">
        <w:rPr>
          <w:rFonts w:ascii="Arial" w:eastAsiaTheme="minorHAnsi" w:hAnsi="Arial" w:cs="Arial"/>
          <w:sz w:val="22"/>
          <w:szCs w:val="22"/>
          <w:lang w:val="es-ES_tradnl" w:eastAsia="en-US"/>
        </w:rPr>
        <w:t>.</w:t>
      </w:r>
    </w:p>
    <w:p w14:paraId="0D6EDEAB" w14:textId="77777777" w:rsidR="00F15DC4" w:rsidRPr="00F15DC4" w:rsidRDefault="00F15DC4" w:rsidP="00F15DC4">
      <w:pPr>
        <w:spacing w:before="120" w:after="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160F553" w14:textId="7DF68F9D" w:rsidR="00F15DC4" w:rsidRPr="00F15DC4" w:rsidRDefault="00F15DC4" w:rsidP="00F15DC4">
      <w:pPr>
        <w:spacing w:before="120" w:after="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Un mejor entendimiento del significado de la expresión «circunstancias ocurridas con posterioridad al cierre del proceso» </w:t>
      </w:r>
      <w:r w:rsidR="00B123AE">
        <w:rPr>
          <w:rFonts w:ascii="Arial" w:eastAsia="Calibri" w:hAnsi="Arial" w:cs="Arial"/>
          <w:sz w:val="22"/>
          <w:szCs w:val="22"/>
          <w:lang w:val="es-ES_tradnl" w:eastAsia="en-US"/>
        </w:rPr>
        <w:t xml:space="preserve">implica </w:t>
      </w:r>
      <w:r w:rsidRPr="00F15DC4">
        <w:rPr>
          <w:rFonts w:ascii="Arial" w:eastAsia="Calibri" w:hAnsi="Arial" w:cs="Arial"/>
          <w:sz w:val="22"/>
          <w:szCs w:val="22"/>
          <w:lang w:val="es-ES_tradnl" w:eastAsia="en-US"/>
        </w:rPr>
        <w:t xml:space="preserve">distinguir entre la prueba de un hecho y el </w:t>
      </w:r>
      <w:r w:rsidRPr="00F15DC4">
        <w:rPr>
          <w:rFonts w:ascii="Arial" w:eastAsia="Calibri" w:hAnsi="Arial" w:cs="Arial"/>
          <w:sz w:val="22"/>
          <w:szCs w:val="22"/>
          <w:lang w:val="es-ES_tradnl" w:eastAsia="en-US"/>
        </w:rPr>
        <w:lastRenderedPageBreak/>
        <w:t xml:space="preserve">hecho mismo. En el caso de la </w:t>
      </w:r>
      <w:proofErr w:type="spellStart"/>
      <w:r w:rsidRPr="00F15DC4">
        <w:rPr>
          <w:rFonts w:ascii="Arial" w:eastAsia="Calibri" w:hAnsi="Arial" w:cs="Arial"/>
          <w:sz w:val="22"/>
          <w:szCs w:val="22"/>
          <w:lang w:val="es-ES_tradnl" w:eastAsia="en-US"/>
        </w:rPr>
        <w:t>subsanabilidad</w:t>
      </w:r>
      <w:proofErr w:type="spellEnd"/>
      <w:r w:rsidRPr="00F15DC4">
        <w:rPr>
          <w:rFonts w:ascii="Arial" w:eastAsia="Calibri" w:hAnsi="Arial" w:cs="Arial"/>
          <w:sz w:val="22"/>
          <w:szCs w:val="22"/>
          <w:lang w:val="es-ES_tradnl" w:eastAsia="en-U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 </w:t>
      </w:r>
    </w:p>
    <w:p w14:paraId="2FB05BA0" w14:textId="77777777" w:rsidR="00F15DC4" w:rsidRPr="00F15DC4" w:rsidRDefault="00F15DC4" w:rsidP="00F15DC4">
      <w:pPr>
        <w:spacing w:before="120" w:after="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roofErr w:type="spellStart"/>
      <w:r w:rsidRPr="00F15DC4">
        <w:rPr>
          <w:rFonts w:ascii="Arial" w:eastAsia="Calibri" w:hAnsi="Arial" w:cs="Arial"/>
          <w:sz w:val="22"/>
          <w:szCs w:val="22"/>
          <w:lang w:val="es-ES_tradnl" w:eastAsia="en-US"/>
        </w:rPr>
        <w:t>ii</w:t>
      </w:r>
      <w:proofErr w:type="spellEnd"/>
      <w:r w:rsidRPr="00F15DC4">
        <w:rPr>
          <w:rFonts w:ascii="Arial" w:eastAsia="Calibri" w:hAnsi="Arial" w:cs="Arial"/>
          <w:sz w:val="22"/>
          <w:szCs w:val="22"/>
          <w:lang w:val="es-ES_tradnl" w:eastAsia="en-U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F15DC4">
        <w:rPr>
          <w:rFonts w:ascii="Arial" w:eastAsia="Calibri" w:hAnsi="Arial" w:cs="Arial"/>
          <w:sz w:val="22"/>
          <w:szCs w:val="22"/>
          <w:vertAlign w:val="superscript"/>
          <w:lang w:val="es-ES_tradnl" w:eastAsia="en-US"/>
        </w:rPr>
        <w:footnoteReference w:id="12"/>
      </w:r>
      <w:r w:rsidRPr="00F15DC4">
        <w:rPr>
          <w:rFonts w:ascii="Arial" w:eastAsia="Calibri" w:hAnsi="Arial" w:cs="Arial"/>
          <w:sz w:val="22"/>
          <w:szCs w:val="22"/>
          <w:lang w:val="es-ES_tradnl" w:eastAsia="en-US"/>
        </w:rPr>
        <w:t xml:space="preserve">; </w:t>
      </w:r>
      <w:proofErr w:type="spellStart"/>
      <w:r w:rsidRPr="00F15DC4">
        <w:rPr>
          <w:rFonts w:ascii="Arial" w:eastAsia="Calibri" w:hAnsi="Arial" w:cs="Arial"/>
          <w:sz w:val="22"/>
          <w:szCs w:val="22"/>
          <w:lang w:val="es-ES_tradnl" w:eastAsia="en-US"/>
        </w:rPr>
        <w:t>iii</w:t>
      </w:r>
      <w:proofErr w:type="spellEnd"/>
      <w:r w:rsidRPr="00F15DC4">
        <w:rPr>
          <w:rFonts w:ascii="Arial" w:eastAsia="Calibri" w:hAnsi="Arial" w:cs="Arial"/>
          <w:sz w:val="22"/>
          <w:szCs w:val="22"/>
          <w:lang w:val="es-ES_tradnl" w:eastAsia="en-US"/>
        </w:rPr>
        <w:t>) si un oferente no anexó el Certificado de existencia y representación legal, el documento aportado con posterioridad debe dar cuenta de que la sociedad existía antes del cierre del proceso</w:t>
      </w:r>
      <w:r w:rsidRPr="00F15DC4">
        <w:rPr>
          <w:rFonts w:ascii="Arial" w:eastAsia="Calibri" w:hAnsi="Arial" w:cs="Arial"/>
          <w:sz w:val="22"/>
          <w:szCs w:val="22"/>
          <w:vertAlign w:val="superscript"/>
          <w:lang w:val="es-ES_tradnl" w:eastAsia="en-US"/>
        </w:rPr>
        <w:footnoteReference w:id="13"/>
      </w:r>
      <w:r w:rsidRPr="00F15DC4">
        <w:rPr>
          <w:rFonts w:ascii="Arial" w:eastAsia="Calibri" w:hAnsi="Arial" w:cs="Arial"/>
          <w:sz w:val="22"/>
          <w:szCs w:val="22"/>
          <w:lang w:val="es-ES_tradnl" w:eastAsia="en-US"/>
        </w:rPr>
        <w:t xml:space="preserve">; </w:t>
      </w:r>
      <w:proofErr w:type="spellStart"/>
      <w:r w:rsidRPr="00F15DC4">
        <w:rPr>
          <w:rFonts w:ascii="Arial" w:eastAsia="Calibri" w:hAnsi="Arial" w:cs="Arial"/>
          <w:sz w:val="22"/>
          <w:szCs w:val="22"/>
          <w:lang w:val="es-ES_tradnl" w:eastAsia="en-US"/>
        </w:rPr>
        <w:t>iv</w:t>
      </w:r>
      <w:proofErr w:type="spellEnd"/>
      <w:r w:rsidRPr="00F15DC4">
        <w:rPr>
          <w:rFonts w:ascii="Arial" w:eastAsia="Calibri" w:hAnsi="Arial" w:cs="Arial"/>
          <w:sz w:val="22"/>
          <w:szCs w:val="22"/>
          <w:lang w:val="es-ES_tradnl" w:eastAsia="en-U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1BB7E750" w14:textId="77777777" w:rsidR="00F15DC4" w:rsidRPr="00F15DC4" w:rsidRDefault="00F15DC4" w:rsidP="00F15DC4">
      <w:pPr>
        <w:spacing w:before="120" w:after="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F15DC4">
        <w:rPr>
          <w:rFonts w:ascii="Arial" w:eastAsia="Calibri" w:hAnsi="Arial" w:cs="Arial"/>
          <w:sz w:val="22"/>
          <w:szCs w:val="22"/>
          <w:lang w:val="es-ES_tradnl" w:eastAsia="en-US"/>
        </w:rPr>
        <w:t>que</w:t>
      </w:r>
      <w:proofErr w:type="gramEnd"/>
      <w:r w:rsidRPr="00F15DC4">
        <w:rPr>
          <w:rFonts w:ascii="Arial" w:eastAsia="Calibri" w:hAnsi="Arial" w:cs="Arial"/>
          <w:sz w:val="22"/>
          <w:szCs w:val="22"/>
          <w:lang w:val="es-ES_tradnl" w:eastAsia="en-US"/>
        </w:rPr>
        <w:t xml:space="preserve"> el Consejo de Estado sostiene que «lo que se subsana es la prueba y no la condición habilitante o un elemento de la propuesta [...] lo que se puede remediar es la prueba y no el requisito: La posibilidad </w:t>
      </w:r>
      <w:r w:rsidRPr="00F15DC4">
        <w:rPr>
          <w:rFonts w:ascii="Arial" w:eastAsia="Calibri" w:hAnsi="Arial" w:cs="Arial"/>
          <w:sz w:val="22"/>
          <w:szCs w:val="22"/>
          <w:lang w:val="es-ES_tradnl" w:eastAsia="en-US"/>
        </w:rPr>
        <w:lastRenderedPageBreak/>
        <w:t>debe recaer exclusivamente sobre circunstancias acaecidas antes del cierre del respectivo proceso, esto es, del vencimiento del plazo para presentar ofertas»</w:t>
      </w:r>
      <w:r w:rsidRPr="00F15DC4">
        <w:rPr>
          <w:rFonts w:ascii="Arial" w:eastAsia="Calibri" w:hAnsi="Arial" w:cs="Arial"/>
          <w:sz w:val="22"/>
          <w:szCs w:val="22"/>
          <w:vertAlign w:val="superscript"/>
          <w:lang w:val="es-ES_tradnl" w:eastAsia="en-US"/>
        </w:rPr>
        <w:footnoteReference w:id="14"/>
      </w:r>
      <w:r w:rsidRPr="00F15DC4">
        <w:rPr>
          <w:rFonts w:ascii="Arial" w:eastAsia="Calibri" w:hAnsi="Arial" w:cs="Arial"/>
          <w:sz w:val="22"/>
          <w:szCs w:val="22"/>
          <w:lang w:val="es-ES_tradnl" w:eastAsia="en-US"/>
        </w:rPr>
        <w:t xml:space="preserve">. </w:t>
      </w:r>
    </w:p>
    <w:p w14:paraId="7931A7E6" w14:textId="19E2F5E9" w:rsidR="00F15DC4" w:rsidRPr="00763E3A" w:rsidRDefault="00F15DC4" w:rsidP="00F15DC4">
      <w:pPr>
        <w:spacing w:before="120" w:line="276" w:lineRule="auto"/>
        <w:ind w:firstLine="709"/>
        <w:jc w:val="both"/>
        <w:rPr>
          <w:rFonts w:ascii="Arial" w:eastAsia="Calibri" w:hAnsi="Arial" w:cs="Arial"/>
          <w:sz w:val="22"/>
          <w:szCs w:val="22"/>
          <w:lang w:val="es-ES_tradnl" w:eastAsia="en-US"/>
        </w:rPr>
      </w:pPr>
      <w:r w:rsidRPr="00F15DC4">
        <w:rPr>
          <w:rFonts w:ascii="Arial" w:eastAsia="Calibri" w:hAnsi="Arial" w:cs="Arial"/>
          <w:sz w:val="22"/>
          <w:szCs w:val="22"/>
          <w:lang w:val="es-ES_tradnl" w:eastAsia="en-US"/>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w:t>
      </w:r>
      <w:r w:rsidRPr="00763E3A">
        <w:rPr>
          <w:rFonts w:ascii="Arial" w:eastAsia="Calibri" w:hAnsi="Arial" w:cs="Arial"/>
          <w:sz w:val="22"/>
          <w:szCs w:val="22"/>
          <w:lang w:val="es-ES_tradnl" w:eastAsia="en-US"/>
        </w:rPr>
        <w:t xml:space="preserve">la respuesta al segundo interrogante debe dar cuenta de que lo omitido sea la prueba de una circunstancia o hecho que ocurrió con anterioridad al cierre del proceso. </w:t>
      </w:r>
    </w:p>
    <w:p w14:paraId="1546793C" w14:textId="7E8AA355" w:rsidR="0062098D" w:rsidRPr="00763E3A" w:rsidRDefault="006F2956" w:rsidP="0062098D">
      <w:pPr>
        <w:spacing w:before="120" w:line="276" w:lineRule="auto"/>
        <w:ind w:firstLine="709"/>
        <w:jc w:val="both"/>
        <w:rPr>
          <w:rFonts w:ascii="Arial" w:eastAsia="Calibri" w:hAnsi="Arial" w:cs="Arial"/>
          <w:sz w:val="22"/>
          <w:szCs w:val="22"/>
          <w:lang w:val="es-ES_tradnl" w:eastAsia="en-US"/>
        </w:rPr>
      </w:pPr>
      <w:r w:rsidRPr="00B06888">
        <w:rPr>
          <w:rFonts w:ascii="Arial" w:eastAsia="Calibri" w:hAnsi="Arial" w:cs="Arial"/>
          <w:sz w:val="22"/>
          <w:szCs w:val="22"/>
          <w:lang w:val="es-ES_tradnl" w:eastAsia="en-US"/>
        </w:rPr>
        <w:t xml:space="preserve">De acuerdo </w:t>
      </w:r>
      <w:r w:rsidR="003566E9" w:rsidRPr="00B06888">
        <w:rPr>
          <w:rFonts w:ascii="Arial" w:eastAsia="Calibri" w:hAnsi="Arial" w:cs="Arial"/>
          <w:sz w:val="22"/>
          <w:szCs w:val="22"/>
          <w:lang w:val="es-ES_tradnl" w:eastAsia="en-US"/>
        </w:rPr>
        <w:t>con lo expuesto</w:t>
      </w:r>
      <w:r w:rsidRPr="00B06888">
        <w:rPr>
          <w:rFonts w:ascii="Arial" w:eastAsia="Calibri" w:hAnsi="Arial" w:cs="Arial"/>
          <w:sz w:val="22"/>
          <w:szCs w:val="22"/>
          <w:lang w:val="es-ES_tradnl" w:eastAsia="en-US"/>
        </w:rPr>
        <w:t xml:space="preserve"> </w:t>
      </w:r>
      <w:r w:rsidR="009C66FF" w:rsidRPr="00B06888">
        <w:rPr>
          <w:rFonts w:ascii="Arial" w:eastAsia="Calibri" w:hAnsi="Arial" w:cs="Arial"/>
          <w:sz w:val="22"/>
          <w:szCs w:val="22"/>
          <w:lang w:val="es-ES_tradnl" w:eastAsia="en-US"/>
        </w:rPr>
        <w:t xml:space="preserve">en torno a la </w:t>
      </w:r>
      <w:proofErr w:type="spellStart"/>
      <w:r w:rsidR="009C66FF" w:rsidRPr="00B06888">
        <w:rPr>
          <w:rFonts w:ascii="Arial" w:eastAsia="Calibri" w:hAnsi="Arial" w:cs="Arial"/>
          <w:sz w:val="22"/>
          <w:szCs w:val="22"/>
          <w:lang w:val="es-ES_tradnl" w:eastAsia="en-US"/>
        </w:rPr>
        <w:t>subsanabilidad</w:t>
      </w:r>
      <w:proofErr w:type="spellEnd"/>
      <w:r w:rsidR="009C66FF" w:rsidRPr="00B06888">
        <w:rPr>
          <w:rFonts w:ascii="Arial" w:eastAsia="Calibri" w:hAnsi="Arial" w:cs="Arial"/>
          <w:sz w:val="22"/>
          <w:szCs w:val="22"/>
          <w:lang w:val="es-ES_tradnl" w:eastAsia="en-US"/>
        </w:rPr>
        <w:t xml:space="preserve"> de las ofertas</w:t>
      </w:r>
      <w:r w:rsidR="0031691D" w:rsidRPr="00B06888">
        <w:rPr>
          <w:rFonts w:ascii="Arial" w:hAnsi="Arial" w:cs="Arial"/>
          <w:sz w:val="22"/>
        </w:rPr>
        <w:t xml:space="preserve"> y </w:t>
      </w:r>
      <w:r w:rsidRPr="00B06888">
        <w:rPr>
          <w:rFonts w:ascii="Arial" w:hAnsi="Arial" w:cs="Arial"/>
          <w:sz w:val="22"/>
        </w:rPr>
        <w:t xml:space="preserve">teniendo en cuenta las reglas dispuestas en </w:t>
      </w:r>
      <w:r w:rsidRPr="00B06888">
        <w:rPr>
          <w:rFonts w:ascii="Arial" w:eastAsia="Calibri" w:hAnsi="Arial" w:cs="Arial"/>
          <w:sz w:val="22"/>
          <w:szCs w:val="22"/>
          <w:lang w:val="es-ES_tradnl" w:eastAsia="en-US"/>
        </w:rPr>
        <w:t xml:space="preserve">la Ley 1882 de 2018, se establece que mantiene el criterio de la Ley 80 de 1993, relativo a que todo lo que no sea necesario para la comparación de propuestas no es argumento suficiente para su rechazo; y se mantiene el criterio aclaratorio de la Ley 1150 de 2007, según el cual todo lo que no afecte la asignación de puntaje puede subsanarse. </w:t>
      </w:r>
      <w:r w:rsidR="001F3059" w:rsidRPr="00B06888">
        <w:rPr>
          <w:rFonts w:ascii="Arial" w:eastAsia="Calibri" w:hAnsi="Arial" w:cs="Arial"/>
          <w:sz w:val="22"/>
          <w:szCs w:val="22"/>
          <w:lang w:val="es-ES_tradnl" w:eastAsia="en-US"/>
        </w:rPr>
        <w:t>Por ello</w:t>
      </w:r>
      <w:r w:rsidRPr="00B06888">
        <w:rPr>
          <w:rFonts w:ascii="Arial" w:eastAsia="Calibri" w:hAnsi="Arial" w:cs="Arial"/>
          <w:sz w:val="22"/>
          <w:szCs w:val="22"/>
          <w:lang w:val="es-ES_tradnl" w:eastAsia="en-US"/>
        </w:rPr>
        <w:t>, si los requisitos no otorgan puntaje y tienen el carácter de habilitantes para la participación en el proceso de contratación, se entiende que, en principio, pueden subsanarse.</w:t>
      </w:r>
      <w:r w:rsidR="008F4C38" w:rsidRPr="00B06888">
        <w:rPr>
          <w:rFonts w:ascii="Arial" w:eastAsia="Calibri" w:hAnsi="Arial" w:cs="Arial"/>
          <w:sz w:val="22"/>
          <w:szCs w:val="22"/>
          <w:lang w:val="es-ES_tradnl" w:eastAsia="en-US"/>
        </w:rPr>
        <w:t xml:space="preserve"> </w:t>
      </w:r>
      <w:r w:rsidR="0062098D" w:rsidRPr="00B06888">
        <w:rPr>
          <w:rFonts w:ascii="Arial" w:eastAsia="Calibri" w:hAnsi="Arial" w:cs="Arial"/>
          <w:sz w:val="22"/>
          <w:szCs w:val="22"/>
          <w:lang w:val="es-ES_tradnl" w:eastAsia="en-US"/>
        </w:rPr>
        <w:t xml:space="preserve">De este modo, en el caso de la subasta </w:t>
      </w:r>
      <w:r w:rsidR="002C07A9" w:rsidRPr="00B06888">
        <w:rPr>
          <w:rFonts w:ascii="Arial" w:eastAsia="Calibri" w:hAnsi="Arial" w:cs="Arial"/>
          <w:sz w:val="22"/>
          <w:szCs w:val="22"/>
          <w:lang w:val="es-ES_tradnl" w:eastAsia="en-US"/>
        </w:rPr>
        <w:t xml:space="preserve">y la mínima cuantía </w:t>
      </w:r>
      <w:r w:rsidR="0062098D" w:rsidRPr="00B06888">
        <w:rPr>
          <w:rFonts w:ascii="Arial" w:eastAsia="Calibri" w:hAnsi="Arial" w:cs="Arial"/>
          <w:sz w:val="22"/>
          <w:szCs w:val="22"/>
          <w:lang w:val="es-ES_tradnl" w:eastAsia="en-US"/>
        </w:rPr>
        <w:t xml:space="preserve">no debe perderse de vista que para este tipo de procedimientos también serán aplicables los criterios desarrollados en este concepto, para determinar si los documentos faltantes son susceptibles o no de subsanación, </w:t>
      </w:r>
      <w:r w:rsidR="005639D8" w:rsidRPr="00B06888">
        <w:rPr>
          <w:rFonts w:ascii="Arial" w:eastAsia="Calibri" w:hAnsi="Arial" w:cs="Arial"/>
          <w:sz w:val="22"/>
          <w:szCs w:val="22"/>
          <w:lang w:val="es-ES_tradnl" w:eastAsia="en-US"/>
        </w:rPr>
        <w:t>analizando</w:t>
      </w:r>
      <w:r w:rsidR="0062098D" w:rsidRPr="00B06888">
        <w:rPr>
          <w:rFonts w:ascii="Arial" w:eastAsia="Calibri" w:hAnsi="Arial" w:cs="Arial"/>
          <w:sz w:val="22"/>
          <w:szCs w:val="22"/>
          <w:lang w:val="es-ES_tradnl" w:eastAsia="en-US"/>
        </w:rPr>
        <w:t xml:space="preserve"> si inciden o no en la asignación de puntaje y si se relacionan con el cumplimiento de un requisito que constituye una circunstancia ocurrida con anterioridad o con posterioridad al cierre del proceso.</w:t>
      </w:r>
      <w:r w:rsidR="0062098D" w:rsidRPr="00763E3A">
        <w:rPr>
          <w:rFonts w:ascii="Arial" w:eastAsia="Calibri" w:hAnsi="Arial" w:cs="Arial"/>
          <w:sz w:val="22"/>
          <w:szCs w:val="22"/>
          <w:lang w:val="es-ES_tradnl" w:eastAsia="en-US"/>
        </w:rPr>
        <w:t xml:space="preserve"> </w:t>
      </w:r>
    </w:p>
    <w:p w14:paraId="04BBF770" w14:textId="2213DD28" w:rsidR="006528FF" w:rsidRPr="00763E3A" w:rsidRDefault="006528FF" w:rsidP="005F31C1">
      <w:pPr>
        <w:spacing w:line="276" w:lineRule="auto"/>
        <w:jc w:val="both"/>
        <w:rPr>
          <w:color w:val="FF0000"/>
          <w:lang w:val="es-ES_tradnl"/>
        </w:rPr>
      </w:pPr>
    </w:p>
    <w:p w14:paraId="178016FD" w14:textId="02E5F147" w:rsidR="006528FF" w:rsidRPr="00763E3A" w:rsidRDefault="006528FF" w:rsidP="00E26446">
      <w:pPr>
        <w:pStyle w:val="NormalWeb"/>
        <w:spacing w:before="0" w:beforeAutospacing="0" w:after="0" w:afterAutospacing="0" w:line="276" w:lineRule="auto"/>
        <w:jc w:val="both"/>
        <w:rPr>
          <w:rFonts w:ascii="Arial" w:hAnsi="Arial" w:cs="Arial"/>
          <w:b/>
          <w:sz w:val="22"/>
          <w:szCs w:val="22"/>
        </w:rPr>
      </w:pPr>
      <w:r w:rsidRPr="00763E3A">
        <w:rPr>
          <w:rFonts w:ascii="Arial" w:hAnsi="Arial" w:cs="Arial"/>
          <w:b/>
          <w:sz w:val="22"/>
          <w:szCs w:val="22"/>
        </w:rPr>
        <w:t>3. R</w:t>
      </w:r>
      <w:r w:rsidR="00885433" w:rsidRPr="00763E3A">
        <w:rPr>
          <w:rFonts w:ascii="Arial" w:hAnsi="Arial" w:cs="Arial"/>
          <w:b/>
          <w:sz w:val="22"/>
          <w:szCs w:val="22"/>
        </w:rPr>
        <w:t>espuesta</w:t>
      </w:r>
    </w:p>
    <w:p w14:paraId="5F82AF8B" w14:textId="77777777" w:rsidR="000A7E0E" w:rsidRPr="00763E3A" w:rsidRDefault="000A7E0E" w:rsidP="00E26446">
      <w:pPr>
        <w:pStyle w:val="NormalWeb"/>
        <w:spacing w:before="0" w:beforeAutospacing="0" w:after="0" w:afterAutospacing="0" w:line="276" w:lineRule="auto"/>
        <w:ind w:left="709" w:right="709"/>
        <w:jc w:val="both"/>
        <w:rPr>
          <w:rFonts w:ascii="Arial" w:eastAsia="Calibri" w:hAnsi="Arial" w:cs="Arial"/>
          <w:bCs/>
          <w:sz w:val="22"/>
          <w:szCs w:val="22"/>
          <w:lang w:val="es-ES_tradnl"/>
        </w:rPr>
      </w:pPr>
    </w:p>
    <w:p w14:paraId="36120183" w14:textId="77777777" w:rsidR="007A1D74" w:rsidRPr="00763E3A" w:rsidRDefault="007A1D74" w:rsidP="007A1D74">
      <w:pPr>
        <w:pStyle w:val="Default"/>
        <w:ind w:left="709" w:right="709"/>
        <w:jc w:val="both"/>
        <w:rPr>
          <w:color w:val="auto"/>
          <w:sz w:val="21"/>
          <w:szCs w:val="21"/>
        </w:rPr>
      </w:pPr>
      <w:r w:rsidRPr="00763E3A">
        <w:rPr>
          <w:b/>
          <w:bCs/>
          <w:color w:val="auto"/>
          <w:sz w:val="21"/>
          <w:szCs w:val="21"/>
        </w:rPr>
        <w:t xml:space="preserve">PRIMERO: </w:t>
      </w:r>
      <w:r w:rsidRPr="00763E3A">
        <w:rPr>
          <w:color w:val="auto"/>
          <w:sz w:val="21"/>
          <w:szCs w:val="21"/>
        </w:rPr>
        <w:t xml:space="preserve">Se me indique de forma CLARA Y PRECISA, frente a cada modalidad de selección, en materia de contratación pública, que aspectos son subsanables en las ofertas y que aspectos por el contrario no pueden ser objeto de subsanación </w:t>
      </w:r>
    </w:p>
    <w:p w14:paraId="6BD0DC19" w14:textId="6AD93AE3" w:rsidR="007A1D74" w:rsidRPr="00763E3A" w:rsidRDefault="007A1D74" w:rsidP="007A1D74">
      <w:pPr>
        <w:pStyle w:val="Default"/>
        <w:ind w:left="709" w:right="709"/>
        <w:jc w:val="both"/>
        <w:rPr>
          <w:color w:val="auto"/>
          <w:sz w:val="21"/>
          <w:szCs w:val="21"/>
        </w:rPr>
      </w:pPr>
      <w:r w:rsidRPr="00763E3A">
        <w:rPr>
          <w:b/>
          <w:bCs/>
          <w:color w:val="auto"/>
          <w:sz w:val="21"/>
          <w:szCs w:val="21"/>
        </w:rPr>
        <w:t xml:space="preserve">SEGUNDO: </w:t>
      </w:r>
      <w:r w:rsidRPr="00763E3A">
        <w:rPr>
          <w:color w:val="auto"/>
          <w:sz w:val="21"/>
          <w:szCs w:val="21"/>
        </w:rPr>
        <w:t xml:space="preserve">Se me indique, en el marco de procesos de licitación pública, Selección abreviada de menor cuantía y concurso de méritos, si puede ser subsanadas las ofertas presentadas. </w:t>
      </w:r>
    </w:p>
    <w:p w14:paraId="2AB4F83F" w14:textId="6DD79BCF" w:rsidR="005F31C1" w:rsidRPr="00763E3A" w:rsidRDefault="005F31C1" w:rsidP="00A0782F">
      <w:pPr>
        <w:pStyle w:val="Default"/>
        <w:ind w:right="709"/>
        <w:jc w:val="both"/>
        <w:rPr>
          <w:b/>
          <w:bCs/>
          <w:color w:val="FF0000"/>
          <w:sz w:val="21"/>
          <w:szCs w:val="21"/>
        </w:rPr>
      </w:pPr>
    </w:p>
    <w:p w14:paraId="0901E865" w14:textId="0E9986EE" w:rsidR="0031691D" w:rsidRPr="00B06888" w:rsidRDefault="00B6402D" w:rsidP="007C4DB5">
      <w:pPr>
        <w:spacing w:before="120" w:line="276" w:lineRule="auto"/>
        <w:jc w:val="both"/>
        <w:rPr>
          <w:rFonts w:ascii="Arial" w:hAnsi="Arial" w:cs="Arial"/>
          <w:sz w:val="22"/>
          <w:szCs w:val="22"/>
          <w:shd w:val="clear" w:color="auto" w:fill="FFFFFF"/>
          <w:lang w:val="es-ES" w:eastAsia="es-MX"/>
        </w:rPr>
      </w:pPr>
      <w:r w:rsidRPr="00B06888">
        <w:rPr>
          <w:rFonts w:ascii="Arial" w:eastAsia="Calibri" w:hAnsi="Arial" w:cs="Arial"/>
          <w:sz w:val="22"/>
          <w:szCs w:val="22"/>
          <w:lang w:val="es-ES_tradnl" w:eastAsia="en-US"/>
        </w:rPr>
        <w:t>De acuerdo con</w:t>
      </w:r>
      <w:r w:rsidR="0031691D" w:rsidRPr="00B06888">
        <w:rPr>
          <w:rFonts w:ascii="Arial" w:eastAsia="Calibri" w:hAnsi="Arial" w:cs="Arial"/>
          <w:sz w:val="22"/>
          <w:szCs w:val="22"/>
          <w:lang w:val="es-ES_tradnl" w:eastAsia="en-US"/>
        </w:rPr>
        <w:t xml:space="preserve"> lo expuesto en torno a la </w:t>
      </w:r>
      <w:proofErr w:type="spellStart"/>
      <w:r w:rsidR="0031691D" w:rsidRPr="00B06888">
        <w:rPr>
          <w:rFonts w:ascii="Arial" w:eastAsia="Calibri" w:hAnsi="Arial" w:cs="Arial"/>
          <w:sz w:val="22"/>
          <w:szCs w:val="22"/>
          <w:lang w:val="es-ES_tradnl" w:eastAsia="en-US"/>
        </w:rPr>
        <w:t>subsanabilidad</w:t>
      </w:r>
      <w:proofErr w:type="spellEnd"/>
      <w:r w:rsidR="0031691D" w:rsidRPr="00B06888">
        <w:rPr>
          <w:rFonts w:ascii="Arial" w:eastAsia="Calibri" w:hAnsi="Arial" w:cs="Arial"/>
          <w:sz w:val="22"/>
          <w:szCs w:val="22"/>
          <w:lang w:val="es-ES_tradnl" w:eastAsia="en-US"/>
        </w:rPr>
        <w:t xml:space="preserve"> de las ofertas</w:t>
      </w:r>
      <w:r w:rsidR="0031691D" w:rsidRPr="00B06888">
        <w:rPr>
          <w:rFonts w:ascii="Arial" w:hAnsi="Arial" w:cs="Arial"/>
          <w:sz w:val="22"/>
          <w:szCs w:val="22"/>
        </w:rPr>
        <w:t xml:space="preserve">, y teniendo en cuenta las reglas dispuestas en </w:t>
      </w:r>
      <w:r w:rsidR="0031691D" w:rsidRPr="00B06888">
        <w:rPr>
          <w:rFonts w:ascii="Arial" w:eastAsia="Calibri" w:hAnsi="Arial" w:cs="Arial"/>
          <w:sz w:val="22"/>
          <w:szCs w:val="22"/>
          <w:lang w:val="es-ES_tradnl" w:eastAsia="en-US"/>
        </w:rPr>
        <w:t xml:space="preserve">la Ley 1882 de 2018, se establece que se mantiene el </w:t>
      </w:r>
      <w:r w:rsidR="0031691D" w:rsidRPr="00B06888">
        <w:rPr>
          <w:rFonts w:ascii="Arial" w:eastAsia="Calibri" w:hAnsi="Arial" w:cs="Arial"/>
          <w:sz w:val="22"/>
          <w:szCs w:val="22"/>
          <w:lang w:val="es-ES_tradnl" w:eastAsia="en-US"/>
        </w:rPr>
        <w:lastRenderedPageBreak/>
        <w:t>criterio de la Ley 80 de 1993, relativo a que todo lo que no sea necesario para la comparación de propuestas no es argumento suficiente para su rechazo</w:t>
      </w:r>
      <w:r w:rsidR="00F257C7" w:rsidRPr="00B06888">
        <w:rPr>
          <w:rFonts w:ascii="Arial" w:eastAsia="Calibri" w:hAnsi="Arial" w:cs="Arial"/>
          <w:sz w:val="22"/>
          <w:szCs w:val="22"/>
          <w:lang w:val="es-ES_tradnl" w:eastAsia="en-US"/>
        </w:rPr>
        <w:t xml:space="preserve"> en las diferentes modalidad</w:t>
      </w:r>
      <w:r w:rsidR="002323F3" w:rsidRPr="00B06888">
        <w:rPr>
          <w:rFonts w:ascii="Arial" w:eastAsia="Calibri" w:hAnsi="Arial" w:cs="Arial"/>
          <w:sz w:val="22"/>
          <w:szCs w:val="22"/>
          <w:lang w:val="es-ES_tradnl" w:eastAsia="en-US"/>
        </w:rPr>
        <w:t>es</w:t>
      </w:r>
      <w:r w:rsidR="00F257C7" w:rsidRPr="00B06888">
        <w:rPr>
          <w:rFonts w:ascii="Arial" w:eastAsia="Calibri" w:hAnsi="Arial" w:cs="Arial"/>
          <w:sz w:val="22"/>
          <w:szCs w:val="22"/>
          <w:lang w:val="es-ES_tradnl" w:eastAsia="en-US"/>
        </w:rPr>
        <w:t xml:space="preserve"> de selección</w:t>
      </w:r>
      <w:r w:rsidR="002323F3" w:rsidRPr="00B06888">
        <w:rPr>
          <w:rFonts w:ascii="Arial" w:eastAsia="Calibri" w:hAnsi="Arial" w:cs="Arial"/>
          <w:sz w:val="22"/>
          <w:szCs w:val="22"/>
          <w:lang w:val="es-ES_tradnl" w:eastAsia="en-US"/>
        </w:rPr>
        <w:t xml:space="preserve">. </w:t>
      </w:r>
      <w:r w:rsidR="007358FC" w:rsidRPr="00B06888">
        <w:rPr>
          <w:rFonts w:ascii="Arial" w:eastAsia="Calibri" w:hAnsi="Arial" w:cs="Arial"/>
          <w:sz w:val="22"/>
          <w:szCs w:val="22"/>
          <w:lang w:val="es-ES_tradnl" w:eastAsia="en-US"/>
        </w:rPr>
        <w:t>Por un lado</w:t>
      </w:r>
      <w:r w:rsidR="002323F3" w:rsidRPr="00B06888">
        <w:rPr>
          <w:rFonts w:ascii="Arial" w:eastAsia="Calibri" w:hAnsi="Arial" w:cs="Arial"/>
          <w:sz w:val="22"/>
          <w:szCs w:val="22"/>
          <w:lang w:val="es-ES_tradnl" w:eastAsia="en-US"/>
        </w:rPr>
        <w:t xml:space="preserve">, </w:t>
      </w:r>
      <w:r w:rsidR="0031691D" w:rsidRPr="00B06888">
        <w:rPr>
          <w:rFonts w:ascii="Arial" w:eastAsia="Calibri" w:hAnsi="Arial" w:cs="Arial"/>
          <w:sz w:val="22"/>
          <w:szCs w:val="22"/>
          <w:lang w:val="es-ES_tradnl" w:eastAsia="en-US"/>
        </w:rPr>
        <w:t xml:space="preserve">se mantiene el criterio aclaratorio de la Ley 1150 de 2007, según el cual todo lo que no afecte la asignación de puntaje puede subsanarse. </w:t>
      </w:r>
      <w:r w:rsidR="00ED3626" w:rsidRPr="00B06888">
        <w:rPr>
          <w:rFonts w:ascii="Arial" w:eastAsia="Calibri" w:hAnsi="Arial" w:cs="Arial"/>
          <w:sz w:val="22"/>
          <w:szCs w:val="22"/>
          <w:lang w:val="es-ES_tradnl" w:eastAsia="en-US"/>
        </w:rPr>
        <w:t>Por ello</w:t>
      </w:r>
      <w:r w:rsidR="0031691D" w:rsidRPr="00B06888">
        <w:rPr>
          <w:rFonts w:ascii="Arial" w:eastAsia="Calibri" w:hAnsi="Arial" w:cs="Arial"/>
          <w:sz w:val="22"/>
          <w:szCs w:val="22"/>
          <w:lang w:val="es-ES_tradnl" w:eastAsia="en-US"/>
        </w:rPr>
        <w:t>, si los requisitos no otorgan puntaje y tienen el carácter de habilitantes para la participación en el proceso de contratación, se entiende que, en principio, pueden subsanarse.</w:t>
      </w:r>
    </w:p>
    <w:p w14:paraId="17105175" w14:textId="32DA23D7" w:rsidR="00A0782F" w:rsidRPr="00B06888" w:rsidRDefault="007358FC" w:rsidP="00D63A05">
      <w:pPr>
        <w:spacing w:before="120" w:after="120" w:line="276" w:lineRule="auto"/>
        <w:ind w:firstLine="709"/>
        <w:jc w:val="both"/>
        <w:rPr>
          <w:rFonts w:ascii="Arial" w:eastAsia="Calibri" w:hAnsi="Arial" w:cs="Arial"/>
          <w:sz w:val="22"/>
          <w:szCs w:val="22"/>
          <w:lang w:val="es-ES_tradnl" w:eastAsia="en-US"/>
        </w:rPr>
      </w:pPr>
      <w:r w:rsidRPr="00B06888">
        <w:rPr>
          <w:rFonts w:ascii="Arial" w:hAnsi="Arial" w:cs="Arial"/>
          <w:sz w:val="22"/>
          <w:szCs w:val="22"/>
          <w:lang w:val="es-ES_tradnl"/>
        </w:rPr>
        <w:t>Por otra parte</w:t>
      </w:r>
      <w:r w:rsidR="00A0782F" w:rsidRPr="00B06888">
        <w:rPr>
          <w:rFonts w:ascii="Arial" w:hAnsi="Arial" w:cs="Arial"/>
          <w:sz w:val="22"/>
          <w:szCs w:val="22"/>
          <w:lang w:val="es-ES_tradnl"/>
        </w:rPr>
        <w:t xml:space="preserve">, </w:t>
      </w:r>
      <w:r w:rsidR="00544AF9" w:rsidRPr="00B06888">
        <w:rPr>
          <w:rFonts w:ascii="Arial" w:eastAsia="Calibri" w:hAnsi="Arial" w:cs="Arial"/>
          <w:sz w:val="22"/>
          <w:szCs w:val="22"/>
          <w:lang w:val="es-ES_tradnl" w:eastAsia="en-US"/>
        </w:rPr>
        <w:t xml:space="preserve">de conformidad </w:t>
      </w:r>
      <w:r w:rsidR="00A0782F" w:rsidRPr="00B06888">
        <w:rPr>
          <w:rFonts w:ascii="Arial" w:eastAsia="Calibri" w:hAnsi="Arial" w:cs="Arial"/>
          <w:sz w:val="22"/>
          <w:szCs w:val="22"/>
          <w:lang w:val="es-ES_tradnl" w:eastAsia="en-US"/>
        </w:rPr>
        <w:t xml:space="preserve">con el artículo 5 de la Ley 1882 de 2018, lo subsanable es la prueba de todas las circunstancias ocurridas antes del vencimiento del 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6811A143" w14:textId="759DBE9A" w:rsidR="00A0782F" w:rsidRPr="00B06888" w:rsidRDefault="00A0782F" w:rsidP="00D63A05">
      <w:pPr>
        <w:spacing w:before="120" w:after="120" w:line="276" w:lineRule="auto"/>
        <w:ind w:firstLine="709"/>
        <w:jc w:val="both"/>
        <w:rPr>
          <w:rFonts w:ascii="Arial" w:eastAsia="Calibri" w:hAnsi="Arial" w:cs="Arial"/>
          <w:sz w:val="22"/>
          <w:szCs w:val="22"/>
          <w:lang w:val="es-ES_tradnl" w:eastAsia="en-US"/>
        </w:rPr>
      </w:pPr>
      <w:r w:rsidRPr="00B06888">
        <w:rPr>
          <w:rFonts w:ascii="Arial" w:eastAsia="Calibri" w:hAnsi="Arial" w:cs="Arial"/>
          <w:sz w:val="22"/>
          <w:szCs w:val="22"/>
          <w:lang w:val="es-ES_tradnl" w:eastAsia="en-US"/>
        </w:rPr>
        <w:t xml:space="preserve">Un mejor entendimiento del significado de la expresión «circunstancias ocurridas con posterioridad al cierre del proceso» implica distinguir entre la prueba de un hecho y el hecho mismo. En el caso de la </w:t>
      </w:r>
      <w:proofErr w:type="spellStart"/>
      <w:r w:rsidRPr="00B06888">
        <w:rPr>
          <w:rFonts w:ascii="Arial" w:eastAsia="Calibri" w:hAnsi="Arial" w:cs="Arial"/>
          <w:sz w:val="22"/>
          <w:szCs w:val="22"/>
          <w:lang w:val="es-ES_tradnl" w:eastAsia="en-US"/>
        </w:rPr>
        <w:t>subsanabilidad</w:t>
      </w:r>
      <w:proofErr w:type="spellEnd"/>
      <w:r w:rsidRPr="00B06888">
        <w:rPr>
          <w:rFonts w:ascii="Arial" w:eastAsia="Calibri" w:hAnsi="Arial" w:cs="Arial"/>
          <w:sz w:val="22"/>
          <w:szCs w:val="22"/>
          <w:lang w:val="es-ES_tradnl" w:eastAsia="en-US"/>
        </w:rPr>
        <w:t xml:space="preserve"> de las ofertas, una cosa es el requisito habilitante o el elemento de la propuesta y otra su prueba. Lo que prohíbe la norma es que se subsanen requisitos que no estaban materialmente cumplidos al momento de presentación de la oferta</w:t>
      </w:r>
      <w:r w:rsidR="000A10A1" w:rsidRPr="00B06888">
        <w:rPr>
          <w:rFonts w:ascii="Arial" w:eastAsia="Calibri" w:hAnsi="Arial" w:cs="Arial"/>
          <w:sz w:val="22"/>
          <w:szCs w:val="22"/>
          <w:lang w:val="es-ES_tradnl" w:eastAsia="en-US"/>
        </w:rPr>
        <w:t xml:space="preserve"> </w:t>
      </w:r>
      <w:r w:rsidRPr="00B06888">
        <w:rPr>
          <w:rFonts w:ascii="Arial" w:eastAsia="Calibri" w:hAnsi="Arial" w:cs="Arial"/>
          <w:sz w:val="22"/>
          <w:szCs w:val="22"/>
          <w:lang w:val="es-ES_tradnl" w:eastAsia="en-US"/>
        </w:rPr>
        <w:t>o</w:t>
      </w:r>
      <w:r w:rsidR="000A10A1" w:rsidRPr="00B06888">
        <w:rPr>
          <w:rFonts w:ascii="Arial" w:eastAsia="Calibri" w:hAnsi="Arial" w:cs="Arial"/>
          <w:sz w:val="22"/>
          <w:szCs w:val="22"/>
          <w:lang w:val="es-ES_tradnl" w:eastAsia="en-US"/>
        </w:rPr>
        <w:t>,</w:t>
      </w:r>
      <w:r w:rsidRPr="00B06888">
        <w:rPr>
          <w:rFonts w:ascii="Arial" w:eastAsia="Calibri" w:hAnsi="Arial" w:cs="Arial"/>
          <w:sz w:val="22"/>
          <w:szCs w:val="22"/>
          <w:lang w:val="es-ES_tradnl" w:eastAsia="en-US"/>
        </w:rPr>
        <w:t xml:space="preserve"> en palabras de la ley, que se acrediten hechos que ocurrieron después del cierre del proceso. </w:t>
      </w:r>
    </w:p>
    <w:p w14:paraId="0764642E" w14:textId="77777777" w:rsidR="00A0782F" w:rsidRPr="00B06888" w:rsidRDefault="00A0782F" w:rsidP="00D63A05">
      <w:pPr>
        <w:spacing w:before="120" w:after="120" w:line="276" w:lineRule="auto"/>
        <w:ind w:firstLine="709"/>
        <w:jc w:val="both"/>
        <w:rPr>
          <w:rFonts w:ascii="Arial" w:eastAsia="Calibri" w:hAnsi="Arial" w:cs="Arial"/>
          <w:sz w:val="22"/>
          <w:szCs w:val="22"/>
          <w:lang w:val="es-ES_tradnl" w:eastAsia="en-US"/>
        </w:rPr>
      </w:pPr>
      <w:r w:rsidRPr="00B06888">
        <w:rPr>
          <w:rFonts w:ascii="Arial" w:eastAsia="Calibri" w:hAnsi="Arial" w:cs="Arial"/>
          <w:sz w:val="22"/>
          <w:szCs w:val="22"/>
          <w:lang w:val="es-ES_tradnl" w:eastAsia="en-U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roofErr w:type="spellStart"/>
      <w:r w:rsidRPr="00B06888">
        <w:rPr>
          <w:rFonts w:ascii="Arial" w:eastAsia="Calibri" w:hAnsi="Arial" w:cs="Arial"/>
          <w:sz w:val="22"/>
          <w:szCs w:val="22"/>
          <w:lang w:val="es-ES_tradnl" w:eastAsia="en-US"/>
        </w:rPr>
        <w:t>ii</w:t>
      </w:r>
      <w:proofErr w:type="spellEnd"/>
      <w:r w:rsidRPr="00B06888">
        <w:rPr>
          <w:rFonts w:ascii="Arial" w:eastAsia="Calibri" w:hAnsi="Arial" w:cs="Arial"/>
          <w:sz w:val="22"/>
          <w:szCs w:val="22"/>
          <w:lang w:val="es-ES_tradnl" w:eastAsia="en-U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B06888">
        <w:rPr>
          <w:rFonts w:ascii="Arial" w:eastAsia="Calibri" w:hAnsi="Arial" w:cs="Arial"/>
          <w:sz w:val="22"/>
          <w:szCs w:val="22"/>
          <w:vertAlign w:val="superscript"/>
          <w:lang w:val="es-ES_tradnl" w:eastAsia="en-US"/>
        </w:rPr>
        <w:footnoteReference w:id="15"/>
      </w:r>
      <w:r w:rsidRPr="00B06888">
        <w:rPr>
          <w:rFonts w:ascii="Arial" w:eastAsia="Calibri" w:hAnsi="Arial" w:cs="Arial"/>
          <w:sz w:val="22"/>
          <w:szCs w:val="22"/>
          <w:lang w:val="es-ES_tradnl" w:eastAsia="en-US"/>
        </w:rPr>
        <w:t xml:space="preserve">; </w:t>
      </w:r>
      <w:proofErr w:type="spellStart"/>
      <w:r w:rsidRPr="00B06888">
        <w:rPr>
          <w:rFonts w:ascii="Arial" w:eastAsia="Calibri" w:hAnsi="Arial" w:cs="Arial"/>
          <w:sz w:val="22"/>
          <w:szCs w:val="22"/>
          <w:lang w:val="es-ES_tradnl" w:eastAsia="en-US"/>
        </w:rPr>
        <w:t>iii</w:t>
      </w:r>
      <w:proofErr w:type="spellEnd"/>
      <w:r w:rsidRPr="00B06888">
        <w:rPr>
          <w:rFonts w:ascii="Arial" w:eastAsia="Calibri" w:hAnsi="Arial" w:cs="Arial"/>
          <w:sz w:val="22"/>
          <w:szCs w:val="22"/>
          <w:lang w:val="es-ES_tradnl" w:eastAsia="en-US"/>
        </w:rPr>
        <w:t>) si un oferente no anexó el Certificado de existencia y representación legal, el documento aportado con posterioridad debe dar cuenta de que la sociedad existía antes del cierre del proceso</w:t>
      </w:r>
      <w:r w:rsidRPr="00B06888">
        <w:rPr>
          <w:rFonts w:ascii="Arial" w:eastAsia="Calibri" w:hAnsi="Arial" w:cs="Arial"/>
          <w:sz w:val="22"/>
          <w:szCs w:val="22"/>
          <w:vertAlign w:val="superscript"/>
          <w:lang w:val="es-ES_tradnl" w:eastAsia="en-US"/>
        </w:rPr>
        <w:footnoteReference w:id="16"/>
      </w:r>
      <w:r w:rsidRPr="00B06888">
        <w:rPr>
          <w:rFonts w:ascii="Arial" w:eastAsia="Calibri" w:hAnsi="Arial" w:cs="Arial"/>
          <w:sz w:val="22"/>
          <w:szCs w:val="22"/>
          <w:lang w:val="es-ES_tradnl" w:eastAsia="en-US"/>
        </w:rPr>
        <w:t xml:space="preserve">; </w:t>
      </w:r>
      <w:proofErr w:type="spellStart"/>
      <w:r w:rsidRPr="00B06888">
        <w:rPr>
          <w:rFonts w:ascii="Arial" w:eastAsia="Calibri" w:hAnsi="Arial" w:cs="Arial"/>
          <w:sz w:val="22"/>
          <w:szCs w:val="22"/>
          <w:lang w:val="es-ES_tradnl" w:eastAsia="en-US"/>
        </w:rPr>
        <w:t>iv</w:t>
      </w:r>
      <w:proofErr w:type="spellEnd"/>
      <w:r w:rsidRPr="00B06888">
        <w:rPr>
          <w:rFonts w:ascii="Arial" w:eastAsia="Calibri" w:hAnsi="Arial" w:cs="Arial"/>
          <w:sz w:val="22"/>
          <w:szCs w:val="22"/>
          <w:lang w:val="es-ES_tradnl" w:eastAsia="en-U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w:t>
      </w:r>
      <w:r w:rsidRPr="00B06888">
        <w:rPr>
          <w:rFonts w:ascii="Arial" w:eastAsia="Calibri" w:hAnsi="Arial" w:cs="Arial"/>
          <w:sz w:val="22"/>
          <w:szCs w:val="22"/>
          <w:lang w:val="es-ES_tradnl" w:eastAsia="en-US"/>
        </w:rPr>
        <w:lastRenderedPageBreak/>
        <w:t xml:space="preserve">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03813769" w14:textId="3FA60F6F" w:rsidR="001509DC" w:rsidRPr="00763E3A" w:rsidRDefault="00A0782F" w:rsidP="00D63A05">
      <w:pPr>
        <w:pStyle w:val="Default"/>
        <w:spacing w:line="276" w:lineRule="auto"/>
        <w:ind w:firstLine="708"/>
        <w:jc w:val="both"/>
        <w:rPr>
          <w:b/>
          <w:bCs/>
          <w:color w:val="auto"/>
          <w:sz w:val="22"/>
          <w:szCs w:val="22"/>
        </w:rPr>
      </w:pPr>
      <w:r w:rsidRPr="00B06888">
        <w:rPr>
          <w:rFonts w:eastAsia="Calibri"/>
          <w:color w:val="auto"/>
          <w:sz w:val="22"/>
          <w:szCs w:val="22"/>
          <w:lang w:val="es-ES_tradn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B06888">
        <w:rPr>
          <w:rFonts w:eastAsia="Calibri"/>
          <w:color w:val="auto"/>
          <w:sz w:val="22"/>
          <w:szCs w:val="22"/>
          <w:lang w:val="es-ES_tradnl"/>
        </w:rPr>
        <w:t>que</w:t>
      </w:r>
      <w:proofErr w:type="gramEnd"/>
      <w:r w:rsidRPr="00B06888">
        <w:rPr>
          <w:rFonts w:eastAsia="Calibri"/>
          <w:color w:val="auto"/>
          <w:sz w:val="22"/>
          <w:szCs w:val="22"/>
          <w:lang w:val="es-ES_tradnl"/>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p>
    <w:p w14:paraId="41077F99" w14:textId="77777777" w:rsidR="005F31C1" w:rsidRPr="00763E3A" w:rsidRDefault="005F31C1" w:rsidP="00A0782F">
      <w:pPr>
        <w:pStyle w:val="Default"/>
        <w:ind w:right="709"/>
        <w:jc w:val="both"/>
        <w:rPr>
          <w:color w:val="auto"/>
          <w:sz w:val="21"/>
          <w:szCs w:val="21"/>
        </w:rPr>
      </w:pPr>
    </w:p>
    <w:p w14:paraId="05473A52" w14:textId="77777777" w:rsidR="005F31C1" w:rsidRPr="00763E3A" w:rsidRDefault="007A1D74" w:rsidP="007A1D74">
      <w:pPr>
        <w:pStyle w:val="Default"/>
        <w:ind w:left="709" w:right="709"/>
        <w:jc w:val="both"/>
        <w:rPr>
          <w:color w:val="auto"/>
          <w:sz w:val="21"/>
          <w:szCs w:val="21"/>
        </w:rPr>
      </w:pPr>
      <w:r w:rsidRPr="00763E3A">
        <w:rPr>
          <w:b/>
          <w:bCs/>
          <w:color w:val="auto"/>
          <w:sz w:val="21"/>
          <w:szCs w:val="21"/>
        </w:rPr>
        <w:t xml:space="preserve">TERCERO: </w:t>
      </w:r>
      <w:r w:rsidRPr="00763E3A">
        <w:rPr>
          <w:color w:val="auto"/>
          <w:sz w:val="21"/>
          <w:szCs w:val="21"/>
        </w:rPr>
        <w:t xml:space="preserve">Conforme a lo anterior, se me indique, </w:t>
      </w:r>
      <w:proofErr w:type="spellStart"/>
      <w:r w:rsidRPr="00763E3A">
        <w:rPr>
          <w:color w:val="auto"/>
          <w:sz w:val="21"/>
          <w:szCs w:val="21"/>
        </w:rPr>
        <w:t>cuales</w:t>
      </w:r>
      <w:proofErr w:type="spellEnd"/>
      <w:r w:rsidRPr="00763E3A">
        <w:rPr>
          <w:color w:val="auto"/>
          <w:sz w:val="21"/>
          <w:szCs w:val="21"/>
        </w:rPr>
        <w:t xml:space="preserve"> son los momentos procesales para poderse presentar la </w:t>
      </w:r>
      <w:proofErr w:type="spellStart"/>
      <w:r w:rsidRPr="00763E3A">
        <w:rPr>
          <w:color w:val="auto"/>
          <w:sz w:val="21"/>
          <w:szCs w:val="21"/>
        </w:rPr>
        <w:t>subsanabilidad</w:t>
      </w:r>
      <w:proofErr w:type="spellEnd"/>
      <w:r w:rsidRPr="00763E3A">
        <w:rPr>
          <w:color w:val="auto"/>
          <w:sz w:val="21"/>
          <w:szCs w:val="21"/>
        </w:rPr>
        <w:t xml:space="preserve"> de las ofertas frente a cada modalidad de selección.</w:t>
      </w:r>
    </w:p>
    <w:p w14:paraId="7E249D38" w14:textId="77777777" w:rsidR="005F31C1" w:rsidRPr="00763E3A" w:rsidRDefault="005F31C1" w:rsidP="00A0782F">
      <w:pPr>
        <w:pStyle w:val="Default"/>
        <w:ind w:right="709"/>
        <w:jc w:val="both"/>
        <w:rPr>
          <w:b/>
          <w:bCs/>
          <w:color w:val="auto"/>
          <w:sz w:val="21"/>
          <w:szCs w:val="21"/>
        </w:rPr>
      </w:pPr>
    </w:p>
    <w:p w14:paraId="60869F1D" w14:textId="56046F52" w:rsidR="00D55715" w:rsidRPr="00B06888" w:rsidRDefault="00D55715" w:rsidP="007C4DB5">
      <w:pPr>
        <w:spacing w:after="120" w:line="276" w:lineRule="auto"/>
        <w:ind w:right="51"/>
        <w:jc w:val="both"/>
        <w:rPr>
          <w:rFonts w:ascii="Arial" w:eastAsia="Calibri" w:hAnsi="Arial" w:cs="Arial"/>
          <w:sz w:val="22"/>
          <w:szCs w:val="22"/>
          <w:lang w:val="es-ES_tradnl" w:eastAsia="en-US"/>
        </w:rPr>
      </w:pPr>
      <w:r w:rsidRPr="00B06888">
        <w:rPr>
          <w:rFonts w:ascii="Arial" w:eastAsiaTheme="minorHAnsi" w:hAnsi="Arial" w:cs="Arial"/>
          <w:sz w:val="22"/>
          <w:szCs w:val="22"/>
          <w:lang w:eastAsia="en-US"/>
        </w:rPr>
        <w:t>En torno a</w:t>
      </w:r>
      <w:r w:rsidRPr="00B06888">
        <w:rPr>
          <w:rFonts w:ascii="Arial" w:eastAsiaTheme="minorHAnsi" w:hAnsi="Arial" w:cs="Arial"/>
          <w:sz w:val="22"/>
          <w:szCs w:val="22"/>
          <w:lang w:val="es-ES_tradnl" w:eastAsia="en-US"/>
        </w:rPr>
        <w:t xml:space="preserve">l ámbito temporal </w:t>
      </w:r>
      <w:r w:rsidR="004E589C" w:rsidRPr="00B06888">
        <w:rPr>
          <w:rFonts w:ascii="Arial" w:eastAsiaTheme="minorHAnsi" w:hAnsi="Arial" w:cs="Arial"/>
          <w:sz w:val="22"/>
          <w:szCs w:val="22"/>
          <w:lang w:val="es-ES_tradnl" w:eastAsia="en-US"/>
        </w:rPr>
        <w:t>de la subsanación</w:t>
      </w:r>
      <w:r w:rsidRPr="00B06888">
        <w:rPr>
          <w:rFonts w:ascii="Arial" w:eastAsiaTheme="minorHAnsi" w:hAnsi="Arial" w:cs="Arial"/>
          <w:sz w:val="22"/>
          <w:szCs w:val="22"/>
          <w:lang w:val="es-ES_tradnl" w:eastAsia="en-US"/>
        </w:rPr>
        <w:t xml:space="preserve">,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B06888">
        <w:rPr>
          <w:rFonts w:ascii="Arial" w:eastAsia="Calibri" w:hAnsi="Arial" w:cs="Arial"/>
          <w:sz w:val="22"/>
          <w:szCs w:val="22"/>
          <w:lang w:val="es-ES_tradnl" w:eastAsia="en-US"/>
        </w:rPr>
        <w:t>de selección a través del sistema de subasta; en el último los documentos o requisitos subsanables pueden y deben solicitarse hasta el momento previo</w:t>
      </w:r>
      <w:r w:rsidR="004E589C" w:rsidRPr="00B06888">
        <w:rPr>
          <w:rFonts w:ascii="Arial" w:eastAsia="Calibri" w:hAnsi="Arial" w:cs="Arial"/>
          <w:sz w:val="22"/>
          <w:szCs w:val="22"/>
          <w:lang w:val="es-ES_tradnl" w:eastAsia="en-US"/>
        </w:rPr>
        <w:t xml:space="preserve"> </w:t>
      </w:r>
      <w:r w:rsidRPr="00B06888">
        <w:rPr>
          <w:rFonts w:ascii="Arial" w:eastAsia="Calibri" w:hAnsi="Arial" w:cs="Arial"/>
          <w:sz w:val="22"/>
          <w:szCs w:val="22"/>
          <w:lang w:val="es-ES_tradnl" w:eastAsia="en-US"/>
        </w:rPr>
        <w:t xml:space="preserve">a </w:t>
      </w:r>
      <w:r w:rsidR="00763E3A" w:rsidRPr="00B06888">
        <w:rPr>
          <w:rFonts w:ascii="Arial" w:eastAsia="Calibri" w:hAnsi="Arial" w:cs="Arial"/>
          <w:sz w:val="22"/>
          <w:szCs w:val="22"/>
          <w:lang w:val="es-ES_tradnl" w:eastAsia="en-US"/>
        </w:rPr>
        <w:t xml:space="preserve">la realización de la audiencia. </w:t>
      </w:r>
      <w:r w:rsidR="0057420C">
        <w:rPr>
          <w:rFonts w:ascii="Arial" w:eastAsia="Calibri" w:hAnsi="Arial" w:cs="Arial"/>
          <w:sz w:val="22"/>
          <w:szCs w:val="22"/>
          <w:lang w:val="es-ES_tradnl" w:eastAsia="en-US"/>
        </w:rPr>
        <w:t xml:space="preserve">En cuanto al proceso de mínima cuantía, el Decreto 1860 de 2021, en su artículo 2.2.1.2.1.5.2., numeral 5° dispone que los proponentes podrán subsanar sus ofertas hasta antes que finalice el traslado del informe de evaluación. </w:t>
      </w:r>
    </w:p>
    <w:p w14:paraId="1CD96B59" w14:textId="30E00798" w:rsidR="00D55715" w:rsidRPr="00B06888" w:rsidRDefault="00EA6163" w:rsidP="00B04A73">
      <w:pPr>
        <w:spacing w:before="120" w:after="120" w:line="276" w:lineRule="auto"/>
        <w:ind w:firstLine="709"/>
        <w:jc w:val="both"/>
        <w:rPr>
          <w:rFonts w:ascii="Arial" w:eastAsiaTheme="minorHAnsi" w:hAnsi="Arial" w:cs="Arial"/>
          <w:sz w:val="22"/>
          <w:szCs w:val="22"/>
          <w:lang w:val="es-ES_tradnl" w:eastAsia="en-US"/>
        </w:rPr>
      </w:pPr>
      <w:r w:rsidRPr="00B06888">
        <w:rPr>
          <w:rFonts w:ascii="Arial" w:eastAsia="Calibri" w:hAnsi="Arial" w:cs="Arial"/>
          <w:sz w:val="22"/>
          <w:szCs w:val="22"/>
          <w:lang w:val="es-ES_tradnl" w:eastAsia="en-US"/>
        </w:rPr>
        <w:t>En relación con la</w:t>
      </w:r>
      <w:r w:rsidR="00D55715" w:rsidRPr="00B06888">
        <w:rPr>
          <w:rFonts w:ascii="Arial" w:eastAsia="Calibri" w:hAnsi="Arial" w:cs="Arial"/>
          <w:sz w:val="22"/>
          <w:szCs w:val="22"/>
          <w:lang w:val="es-ES_tradnl" w:eastAsia="en-US"/>
        </w:rPr>
        <w:t xml:space="preserve">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00D55715" w:rsidRPr="00B06888">
        <w:rPr>
          <w:rFonts w:ascii="Arial" w:eastAsiaTheme="minorHAnsi" w:hAnsi="Arial" w:cs="Arial"/>
          <w:sz w:val="22"/>
          <w:szCs w:val="22"/>
          <w:lang w:val="es-ES_tradnl" w:eastAsia="en-US"/>
        </w:rPr>
        <w:t xml:space="preserve">deberán ser solicitados por las entidades estatales y deberán ser entregados por los proponentes hasta el término de traslado del informe de evaluación que corresponda a cada modalidad de selección». </w:t>
      </w:r>
    </w:p>
    <w:p w14:paraId="5BF7F16C" w14:textId="7820ED43" w:rsidR="00D55715" w:rsidRPr="00B06888" w:rsidRDefault="00D55715" w:rsidP="00D55715">
      <w:pPr>
        <w:spacing w:before="120" w:after="120" w:line="276" w:lineRule="auto"/>
        <w:ind w:firstLine="709"/>
        <w:jc w:val="both"/>
        <w:rPr>
          <w:rFonts w:ascii="Arial" w:eastAsiaTheme="minorHAnsi" w:hAnsi="Arial" w:cs="Arial"/>
          <w:sz w:val="22"/>
          <w:szCs w:val="22"/>
          <w:lang w:val="es-ES_tradnl" w:eastAsia="en-US"/>
        </w:rPr>
      </w:pPr>
      <w:r w:rsidRPr="00B06888">
        <w:rPr>
          <w:rFonts w:ascii="Arial" w:eastAsiaTheme="minorHAnsi" w:hAnsi="Arial" w:cs="Arial"/>
          <w:sz w:val="22"/>
          <w:szCs w:val="22"/>
          <w:lang w:val="es-ES_tradnl" w:eastAsia="en-US"/>
        </w:rPr>
        <w:t xml:space="preserve">No obstante, de la lectura de este aparte podrían, en la práctica, darse dos interpretaciones que dan lugar a dos formas de proceder en los procesos de selección, en </w:t>
      </w:r>
      <w:r w:rsidRPr="00B06888">
        <w:rPr>
          <w:rFonts w:ascii="Arial" w:eastAsiaTheme="minorHAnsi" w:hAnsi="Arial" w:cs="Arial"/>
          <w:sz w:val="22"/>
          <w:szCs w:val="22"/>
          <w:lang w:val="es-ES_tradnl" w:eastAsia="en-US"/>
        </w:rPr>
        <w:lastRenderedPageBreak/>
        <w:t xml:space="preserve">lo que a la </w:t>
      </w:r>
      <w:proofErr w:type="spellStart"/>
      <w:r w:rsidRPr="00B06888">
        <w:rPr>
          <w:rFonts w:ascii="Arial" w:eastAsiaTheme="minorHAnsi" w:hAnsi="Arial" w:cs="Arial"/>
          <w:sz w:val="22"/>
          <w:szCs w:val="22"/>
          <w:lang w:val="es-ES_tradnl" w:eastAsia="en-US"/>
        </w:rPr>
        <w:t>subsanabilidad</w:t>
      </w:r>
      <w:proofErr w:type="spellEnd"/>
      <w:r w:rsidRPr="00B06888">
        <w:rPr>
          <w:rFonts w:ascii="Arial" w:eastAsiaTheme="minorHAnsi" w:hAnsi="Arial" w:cs="Arial"/>
          <w:sz w:val="22"/>
          <w:szCs w:val="22"/>
          <w:lang w:val="es-ES_tradnl" w:eastAsia="en-US"/>
        </w:rPr>
        <w:t xml:space="preserve"> de las ofertas se refiere. Primera, que la posibilidad para subsanar de los oferentes es el término del traslado del informe de evaluación, </w:t>
      </w:r>
      <w:r w:rsidR="008E3106" w:rsidRPr="00B06888">
        <w:rPr>
          <w:rFonts w:ascii="Arial" w:eastAsiaTheme="minorHAnsi" w:hAnsi="Arial" w:cs="Arial"/>
          <w:sz w:val="22"/>
          <w:szCs w:val="22"/>
          <w:lang w:val="es-ES_tradnl" w:eastAsia="en-US"/>
        </w:rPr>
        <w:t>pues</w:t>
      </w:r>
      <w:r w:rsidRPr="00B06888">
        <w:rPr>
          <w:rFonts w:ascii="Arial" w:eastAsiaTheme="minorHAnsi" w:hAnsi="Arial" w:cs="Arial"/>
          <w:sz w:val="22"/>
          <w:szCs w:val="22"/>
          <w:lang w:val="es-ES_tradnl" w:eastAsia="en-US"/>
        </w:rPr>
        <w:t xml:space="preserve"> es </w:t>
      </w:r>
      <w:r w:rsidR="00214EB1" w:rsidRPr="00B06888">
        <w:rPr>
          <w:rFonts w:ascii="Arial" w:eastAsiaTheme="minorHAnsi" w:hAnsi="Arial" w:cs="Arial"/>
          <w:sz w:val="22"/>
          <w:szCs w:val="22"/>
          <w:lang w:val="es-ES_tradnl" w:eastAsia="en-US"/>
        </w:rPr>
        <w:t>u</w:t>
      </w:r>
      <w:r w:rsidRPr="00B06888">
        <w:rPr>
          <w:rFonts w:ascii="Arial" w:eastAsiaTheme="minorHAnsi" w:hAnsi="Arial" w:cs="Arial"/>
          <w:sz w:val="22"/>
          <w:szCs w:val="22"/>
          <w:lang w:val="es-ES_tradnl" w:eastAsia="en-US"/>
        </w:rPr>
        <w:t xml:space="preserve">n documento donde la Administración consigna los requisitos o documentos omitidos que los oferentes deben subsanar, so pena de rechazo; segunda, que el término del traslado del informe de evaluación es el </w:t>
      </w:r>
      <w:r w:rsidRPr="00B06888">
        <w:rPr>
          <w:rFonts w:ascii="Arial" w:eastAsiaTheme="minorHAnsi" w:hAnsi="Arial" w:cs="Arial"/>
          <w:i/>
          <w:iCs/>
          <w:sz w:val="22"/>
          <w:szCs w:val="22"/>
          <w:lang w:val="es-ES_tradnl" w:eastAsia="en-US"/>
        </w:rPr>
        <w:t>límite</w:t>
      </w:r>
      <w:r w:rsidRPr="00B06888">
        <w:rPr>
          <w:rFonts w:ascii="Arial" w:eastAsiaTheme="minorHAnsi" w:hAnsi="Arial" w:cs="Arial"/>
          <w:sz w:val="22"/>
          <w:szCs w:val="22"/>
          <w:lang w:val="es-ES_tradnl" w:eastAsia="en-US"/>
        </w:rPr>
        <w:t xml:space="preserve"> para la subsanación de ofertas, pero no el único momento para hacerlo. </w:t>
      </w:r>
    </w:p>
    <w:p w14:paraId="51F5AFFF" w14:textId="77777777" w:rsidR="00D55715" w:rsidRPr="00B06888" w:rsidRDefault="00D55715" w:rsidP="00D55715">
      <w:pPr>
        <w:spacing w:before="120" w:after="120" w:line="276" w:lineRule="auto"/>
        <w:ind w:firstLine="709"/>
        <w:jc w:val="both"/>
        <w:rPr>
          <w:rFonts w:ascii="Arial" w:eastAsiaTheme="minorHAnsi" w:hAnsi="Arial" w:cs="Arial"/>
          <w:sz w:val="22"/>
          <w:szCs w:val="22"/>
          <w:lang w:val="es-ES_tradnl" w:eastAsia="en-US"/>
        </w:rPr>
      </w:pPr>
      <w:r w:rsidRPr="00B06888">
        <w:rPr>
          <w:rFonts w:ascii="Arial" w:eastAsiaTheme="minorHAnsi" w:hAnsi="Arial" w:cs="Arial"/>
          <w:sz w:val="22"/>
          <w:szCs w:val="22"/>
          <w:lang w:val="es-ES_tradnl" w:eastAsia="en-US"/>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596DBBD4" w14:textId="77777777" w:rsidR="00D55715" w:rsidRPr="00B06888" w:rsidRDefault="00D55715" w:rsidP="00D55715">
      <w:pPr>
        <w:spacing w:before="120" w:after="120" w:line="276" w:lineRule="auto"/>
        <w:ind w:firstLine="709"/>
        <w:jc w:val="both"/>
        <w:rPr>
          <w:rFonts w:ascii="Arial" w:eastAsiaTheme="minorHAnsi" w:hAnsi="Arial" w:cs="Arial"/>
          <w:sz w:val="22"/>
          <w:szCs w:val="22"/>
          <w:lang w:val="es-ES_tradnl" w:eastAsia="en-US"/>
        </w:rPr>
      </w:pPr>
      <w:r w:rsidRPr="00B06888">
        <w:rPr>
          <w:rFonts w:ascii="Arial" w:eastAsiaTheme="minorHAnsi" w:hAnsi="Arial" w:cs="Arial"/>
          <w:sz w:val="22"/>
          <w:szCs w:val="22"/>
          <w:lang w:val="es-ES_tradnl" w:eastAsia="en-US"/>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61CB86F6" w14:textId="77777777" w:rsidR="00D55715" w:rsidRPr="00B06888" w:rsidRDefault="00D55715" w:rsidP="00D55715">
      <w:pPr>
        <w:spacing w:before="120" w:after="120" w:line="276" w:lineRule="auto"/>
        <w:ind w:firstLine="709"/>
        <w:jc w:val="both"/>
        <w:rPr>
          <w:rFonts w:ascii="Arial" w:eastAsiaTheme="minorHAnsi" w:hAnsi="Arial" w:cs="Arial"/>
          <w:sz w:val="22"/>
          <w:szCs w:val="22"/>
          <w:lang w:val="es-ES_tradnl" w:eastAsia="en-US"/>
        </w:rPr>
      </w:pPr>
      <w:r w:rsidRPr="00B06888">
        <w:rPr>
          <w:rFonts w:ascii="Arial" w:eastAsiaTheme="minorHAnsi" w:hAnsi="Arial" w:cs="Arial"/>
          <w:sz w:val="22"/>
          <w:szCs w:val="22"/>
          <w:lang w:val="es-ES_tradnl" w:eastAsia="en-US"/>
        </w:rPr>
        <w:t xml:space="preserve">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58056821" w14:textId="223B0A25" w:rsidR="00D55715" w:rsidRPr="00763E3A" w:rsidRDefault="00D55715" w:rsidP="00D55715">
      <w:pPr>
        <w:spacing w:before="120" w:after="120" w:line="276" w:lineRule="auto"/>
        <w:ind w:firstLine="709"/>
        <w:jc w:val="both"/>
        <w:rPr>
          <w:rFonts w:ascii="Arial" w:eastAsiaTheme="minorHAnsi" w:hAnsi="Arial" w:cs="Arial"/>
          <w:sz w:val="22"/>
          <w:szCs w:val="22"/>
          <w:lang w:val="es-ES_tradnl" w:eastAsia="en-US"/>
        </w:rPr>
      </w:pPr>
      <w:r w:rsidRPr="00B06888">
        <w:rPr>
          <w:rFonts w:ascii="Arial" w:eastAsiaTheme="minorHAnsi" w:hAnsi="Arial" w:cs="Arial"/>
          <w:sz w:val="22"/>
          <w:szCs w:val="22"/>
          <w:lang w:val="es-ES_tradnl" w:eastAsia="en-US"/>
        </w:rPr>
        <w:t>Así,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46989F4C" w14:textId="70370131" w:rsidR="007A1D74" w:rsidRPr="00763E3A" w:rsidRDefault="007A1D74" w:rsidP="00A0782F">
      <w:pPr>
        <w:pStyle w:val="Default"/>
        <w:ind w:right="709"/>
        <w:jc w:val="both"/>
        <w:rPr>
          <w:color w:val="auto"/>
          <w:sz w:val="21"/>
          <w:szCs w:val="21"/>
        </w:rPr>
      </w:pPr>
    </w:p>
    <w:p w14:paraId="6823F5F5" w14:textId="0E2FD8C2" w:rsidR="007A1D74" w:rsidRPr="00763E3A" w:rsidRDefault="007A1D74" w:rsidP="007A1D74">
      <w:pPr>
        <w:pStyle w:val="Default"/>
        <w:ind w:left="709" w:right="709"/>
        <w:jc w:val="both"/>
        <w:rPr>
          <w:color w:val="auto"/>
          <w:sz w:val="21"/>
          <w:szCs w:val="21"/>
        </w:rPr>
      </w:pPr>
      <w:r w:rsidRPr="00763E3A">
        <w:rPr>
          <w:b/>
          <w:bCs/>
          <w:color w:val="auto"/>
          <w:sz w:val="21"/>
          <w:szCs w:val="21"/>
        </w:rPr>
        <w:lastRenderedPageBreak/>
        <w:t xml:space="preserve">CUARTO: </w:t>
      </w:r>
      <w:r w:rsidRPr="00763E3A">
        <w:rPr>
          <w:color w:val="auto"/>
          <w:sz w:val="21"/>
          <w:szCs w:val="21"/>
        </w:rPr>
        <w:t xml:space="preserve">Se me alleguen los últimos conceptos proferidos por ustedes frente al tema de </w:t>
      </w:r>
      <w:proofErr w:type="spellStart"/>
      <w:r w:rsidRPr="00763E3A">
        <w:rPr>
          <w:color w:val="auto"/>
          <w:sz w:val="21"/>
          <w:szCs w:val="21"/>
        </w:rPr>
        <w:t>subsanabilidad</w:t>
      </w:r>
      <w:proofErr w:type="spellEnd"/>
      <w:r w:rsidRPr="00763E3A">
        <w:rPr>
          <w:color w:val="auto"/>
          <w:sz w:val="21"/>
          <w:szCs w:val="21"/>
        </w:rPr>
        <w:t xml:space="preserve"> de las ofertas en los procesos de selección.</w:t>
      </w:r>
    </w:p>
    <w:p w14:paraId="5C9B3DF3" w14:textId="35862DC3" w:rsidR="005F31C1" w:rsidRPr="00763E3A" w:rsidRDefault="005F31C1" w:rsidP="00A0782F">
      <w:pPr>
        <w:pStyle w:val="Default"/>
        <w:ind w:right="709"/>
        <w:jc w:val="both"/>
        <w:rPr>
          <w:b/>
          <w:bCs/>
          <w:color w:val="auto"/>
          <w:sz w:val="21"/>
          <w:szCs w:val="21"/>
        </w:rPr>
      </w:pPr>
    </w:p>
    <w:p w14:paraId="77965114" w14:textId="4E61FC4A" w:rsidR="005F31C1" w:rsidRPr="00763E3A" w:rsidRDefault="0031691D" w:rsidP="007C4DB5">
      <w:pPr>
        <w:pStyle w:val="paragraph"/>
        <w:spacing w:line="276" w:lineRule="auto"/>
        <w:jc w:val="both"/>
        <w:rPr>
          <w:rFonts w:ascii="Arial" w:eastAsia="Calibri" w:hAnsi="Arial" w:cs="Arial"/>
          <w:sz w:val="22"/>
          <w:szCs w:val="22"/>
          <w:lang w:val="es-MX"/>
        </w:rPr>
      </w:pPr>
      <w:r w:rsidRPr="00B06888">
        <w:rPr>
          <w:rFonts w:ascii="Arial" w:hAnsi="Arial" w:cs="Arial"/>
          <w:sz w:val="22"/>
          <w:szCs w:val="22"/>
          <w:lang w:val="es-ES_tradnl"/>
        </w:rPr>
        <w:t xml:space="preserve">En torno a esta pregunta, se señala que </w:t>
      </w:r>
      <w:r w:rsidRPr="00B06888">
        <w:rPr>
          <w:rFonts w:ascii="Arial" w:eastAsiaTheme="minorHAnsi" w:hAnsi="Arial" w:cs="Arial"/>
          <w:sz w:val="22"/>
          <w:szCs w:val="22"/>
          <w:lang w:val="es-ES_tradnl" w:eastAsia="en-US"/>
        </w:rPr>
        <w:t xml:space="preserve">la Agencia Nacional de Contratación Pública – Colombia Compra Eficiente, en el concepto CU — 060 de 16 de enero de 2020, unificó el concepto en torno al alcance de la regla de la </w:t>
      </w:r>
      <w:proofErr w:type="spellStart"/>
      <w:r w:rsidRPr="00B06888">
        <w:rPr>
          <w:rFonts w:ascii="Arial" w:eastAsiaTheme="minorHAnsi" w:hAnsi="Arial" w:cs="Arial"/>
          <w:sz w:val="22"/>
          <w:szCs w:val="22"/>
          <w:lang w:val="es-ES_tradnl" w:eastAsia="en-US"/>
        </w:rPr>
        <w:t>subsanabilidad</w:t>
      </w:r>
      <w:proofErr w:type="spellEnd"/>
      <w:r w:rsidRPr="00B06888">
        <w:rPr>
          <w:rFonts w:ascii="Arial" w:eastAsiaTheme="minorHAnsi" w:hAnsi="Arial" w:cs="Arial"/>
          <w:sz w:val="22"/>
          <w:szCs w:val="22"/>
          <w:lang w:val="es-ES_tradnl" w:eastAsia="en-US"/>
        </w:rPr>
        <w:t xml:space="preserve">, contenida actualmente en el artículo 5 de la Ley 1150 de 2007. En dicho concepto se unificó la </w:t>
      </w:r>
      <w:r w:rsidRPr="00B06888">
        <w:rPr>
          <w:rFonts w:ascii="Arial" w:eastAsia="Calibri" w:hAnsi="Arial" w:cs="Arial"/>
          <w:sz w:val="22"/>
          <w:szCs w:val="22"/>
          <w:lang w:val="es-ES_tradnl" w:eastAsia="en-US"/>
        </w:rPr>
        <w:t xml:space="preserve">tesis expuesta en los conceptos con radicado No. 4201913000006471 del 28 de octubre de 2019, 4201912000006711 del 12 de noviembre de 2019 y 4201912000006496 del 15 de noviembre de 2019, la cual fue reiterada en los conceptos </w:t>
      </w:r>
      <w:r w:rsidRPr="00B06888">
        <w:rPr>
          <w:rFonts w:ascii="Arial" w:eastAsia="Calibri" w:hAnsi="Arial" w:cs="Arial"/>
          <w:sz w:val="22"/>
          <w:szCs w:val="22"/>
          <w:lang w:val="es-MX" w:eastAsia="en-US"/>
        </w:rPr>
        <w:t>C-082 de 27 de enero de 2020 y C-127 de 12 de febrero de 2020, C−044 de 24 de marzo de 2020, C–013 de 28 de abril de 2020, C−307 de 21 de mayo de 2020, C−372 de 30 de junio de 2020, C−410 de 26 de junio de 2020, C−481 de 27 julio de 2020, C−420 de 28 de julio de 2020, C-730 de 14 de diciembre de 2020, C–779 de 18 de enero de 2020, C-077 de 14 de enero de 2021, C-010 de 16 de febrero de 2021 y C-250 del 2 de junio de 2021</w:t>
      </w:r>
      <w:r w:rsidRPr="00B06888">
        <w:rPr>
          <w:rFonts w:ascii="Arial" w:eastAsia="Calibri" w:hAnsi="Arial" w:cs="Arial"/>
          <w:sz w:val="22"/>
          <w:szCs w:val="22"/>
          <w:lang w:val="es-MX"/>
        </w:rPr>
        <w:t>,</w:t>
      </w:r>
      <w:r w:rsidRPr="00B06888">
        <w:rPr>
          <w:rFonts w:ascii="Arial" w:eastAsia="Calibri" w:hAnsi="Arial" w:cs="Arial"/>
          <w:sz w:val="22"/>
          <w:szCs w:val="22"/>
          <w:lang w:val="es-MX" w:eastAsia="en-US"/>
        </w:rPr>
        <w:t xml:space="preserve"> C-568 del 11 de octubre de 2021.</w:t>
      </w:r>
      <w:r w:rsidRPr="00B06888">
        <w:rPr>
          <w:rFonts w:ascii="Arial" w:eastAsia="Calibri" w:hAnsi="Arial" w:cs="Arial"/>
          <w:sz w:val="22"/>
          <w:szCs w:val="22"/>
          <w:lang w:val="es-MX"/>
        </w:rPr>
        <w:t xml:space="preserve"> Estos conceptos pueden consultarse </w:t>
      </w:r>
      <w:r w:rsidR="00D63A05" w:rsidRPr="00B06888">
        <w:rPr>
          <w:rFonts w:ascii="Arial" w:eastAsia="Calibri" w:hAnsi="Arial" w:cs="Arial"/>
          <w:sz w:val="22"/>
          <w:szCs w:val="22"/>
          <w:lang w:val="es-MX"/>
        </w:rPr>
        <w:t xml:space="preserve">en el </w:t>
      </w:r>
      <w:proofErr w:type="spellStart"/>
      <w:r w:rsidR="00D63A05" w:rsidRPr="00B06888">
        <w:rPr>
          <w:rFonts w:ascii="Arial" w:eastAsia="Calibri" w:hAnsi="Arial" w:cs="Arial"/>
          <w:sz w:val="22"/>
          <w:szCs w:val="22"/>
          <w:lang w:val="es-MX"/>
        </w:rPr>
        <w:t>sig</w:t>
      </w:r>
      <w:r w:rsidR="00D63A05" w:rsidRPr="00B06888">
        <w:rPr>
          <w:rFonts w:ascii="Arial" w:eastAsia="Calibri" w:hAnsi="Arial" w:cs="Arial"/>
          <w:sz w:val="22"/>
          <w:szCs w:val="22"/>
          <w:lang w:eastAsia="es-ES_tradnl"/>
        </w:rPr>
        <w:t>uiente</w:t>
      </w:r>
      <w:proofErr w:type="spellEnd"/>
      <w:r w:rsidR="00D63A05" w:rsidRPr="00B06888">
        <w:rPr>
          <w:rFonts w:ascii="Arial" w:eastAsia="Calibri" w:hAnsi="Arial" w:cs="Arial"/>
          <w:sz w:val="22"/>
          <w:szCs w:val="22"/>
          <w:lang w:eastAsia="es-ES_tradnl"/>
        </w:rPr>
        <w:t xml:space="preserve"> </w:t>
      </w:r>
      <w:proofErr w:type="gramStart"/>
      <w:r w:rsidR="00D63A05" w:rsidRPr="00B06888">
        <w:rPr>
          <w:rFonts w:ascii="Arial" w:eastAsia="Calibri" w:hAnsi="Arial" w:cs="Arial"/>
          <w:sz w:val="22"/>
          <w:szCs w:val="22"/>
          <w:lang w:eastAsia="es-ES_tradnl"/>
        </w:rPr>
        <w:t>link</w:t>
      </w:r>
      <w:proofErr w:type="gramEnd"/>
      <w:r w:rsidR="00D63A05" w:rsidRPr="00B06888">
        <w:rPr>
          <w:rFonts w:ascii="Arial" w:eastAsia="Calibri" w:hAnsi="Arial" w:cs="Arial"/>
          <w:sz w:val="22"/>
          <w:szCs w:val="22"/>
          <w:lang w:eastAsia="es-ES_tradnl"/>
        </w:rPr>
        <w:t xml:space="preserve">: </w:t>
      </w:r>
      <w:hyperlink r:id="rId12" w:history="1">
        <w:r w:rsidR="00D63A05" w:rsidRPr="00B06888">
          <w:rPr>
            <w:rStyle w:val="Hipervnculo"/>
            <w:rFonts w:ascii="Arial" w:eastAsia="Calibri" w:hAnsi="Arial" w:cs="Arial"/>
            <w:color w:val="auto"/>
            <w:sz w:val="22"/>
            <w:szCs w:val="22"/>
            <w:lang w:eastAsia="es-ES_tradnl"/>
          </w:rPr>
          <w:t>https://relatoria.colombiacompra.gov.co/busqueda/conceptos</w:t>
        </w:r>
      </w:hyperlink>
      <w:r w:rsidR="00D63A05" w:rsidRPr="00B06888">
        <w:rPr>
          <w:rFonts w:ascii="Arial" w:eastAsia="Calibri" w:hAnsi="Arial" w:cs="Arial"/>
          <w:sz w:val="22"/>
          <w:szCs w:val="22"/>
          <w:lang w:eastAsia="es-ES_tradnl"/>
        </w:rPr>
        <w:t>.</w:t>
      </w:r>
    </w:p>
    <w:p w14:paraId="5BB1D027" w14:textId="77777777" w:rsidR="0031691D" w:rsidRPr="00763E3A" w:rsidRDefault="0031691D" w:rsidP="00D63A05">
      <w:pPr>
        <w:pStyle w:val="Default"/>
        <w:jc w:val="both"/>
        <w:rPr>
          <w:color w:val="auto"/>
          <w:sz w:val="21"/>
          <w:szCs w:val="21"/>
          <w:lang w:val="es-MX"/>
        </w:rPr>
      </w:pPr>
    </w:p>
    <w:p w14:paraId="469F9F8E" w14:textId="77777777" w:rsidR="007A1D74" w:rsidRPr="00763E3A" w:rsidRDefault="007A1D74" w:rsidP="007A1D74">
      <w:pPr>
        <w:pStyle w:val="Default"/>
        <w:ind w:left="709" w:right="709"/>
        <w:jc w:val="both"/>
        <w:rPr>
          <w:rFonts w:eastAsia="Calibri"/>
          <w:bCs/>
          <w:color w:val="auto"/>
          <w:sz w:val="21"/>
          <w:szCs w:val="21"/>
          <w:lang w:val="es-ES_tradnl"/>
        </w:rPr>
      </w:pPr>
      <w:r w:rsidRPr="00763E3A">
        <w:rPr>
          <w:b/>
          <w:bCs/>
          <w:color w:val="auto"/>
          <w:sz w:val="21"/>
          <w:szCs w:val="21"/>
        </w:rPr>
        <w:t xml:space="preserve">QUINTO: </w:t>
      </w:r>
      <w:r w:rsidRPr="00763E3A">
        <w:rPr>
          <w:color w:val="auto"/>
          <w:sz w:val="21"/>
          <w:szCs w:val="21"/>
        </w:rPr>
        <w:t xml:space="preserve">Se me alleguen los últimos conceptos proferidos por ustedes frente al tema de </w:t>
      </w:r>
      <w:proofErr w:type="spellStart"/>
      <w:r w:rsidRPr="00763E3A">
        <w:rPr>
          <w:color w:val="auto"/>
          <w:sz w:val="21"/>
          <w:szCs w:val="21"/>
        </w:rPr>
        <w:t>subsanabilidad</w:t>
      </w:r>
      <w:proofErr w:type="spellEnd"/>
      <w:r w:rsidRPr="00763E3A">
        <w:rPr>
          <w:color w:val="auto"/>
          <w:sz w:val="21"/>
          <w:szCs w:val="21"/>
        </w:rPr>
        <w:t xml:space="preserve"> de la ficha técnica en el proceso de selección abreviada con subasta inversa.</w:t>
      </w:r>
    </w:p>
    <w:p w14:paraId="2C9B13CC" w14:textId="4E00E902" w:rsidR="00885433" w:rsidRPr="00763E3A" w:rsidRDefault="00885433" w:rsidP="002C615C">
      <w:pPr>
        <w:pStyle w:val="NormalWeb"/>
        <w:spacing w:before="0" w:beforeAutospacing="0" w:after="0" w:afterAutospacing="0"/>
        <w:ind w:right="709"/>
        <w:jc w:val="both"/>
        <w:rPr>
          <w:rFonts w:ascii="Arial" w:hAnsi="Arial" w:cs="Arial"/>
          <w:sz w:val="21"/>
          <w:szCs w:val="21"/>
          <w:lang w:val="es-ES"/>
        </w:rPr>
      </w:pPr>
    </w:p>
    <w:p w14:paraId="6616F10C" w14:textId="13F7DB14" w:rsidR="0062098D" w:rsidRPr="007C4DB5" w:rsidRDefault="00556174" w:rsidP="007C4DB5">
      <w:pPr>
        <w:spacing w:before="120" w:line="276" w:lineRule="auto"/>
        <w:jc w:val="both"/>
        <w:rPr>
          <w:rFonts w:ascii="Arial" w:eastAsia="Calibri" w:hAnsi="Arial" w:cs="Arial"/>
          <w:sz w:val="22"/>
          <w:szCs w:val="22"/>
          <w:lang w:val="es-ES_tradnl" w:eastAsia="en-US"/>
        </w:rPr>
      </w:pPr>
      <w:r w:rsidRPr="00B06888">
        <w:rPr>
          <w:rFonts w:ascii="Arial" w:eastAsia="Calibri" w:hAnsi="Arial" w:cs="Arial"/>
          <w:sz w:val="22"/>
          <w:szCs w:val="22"/>
          <w:lang w:val="es-ES_tradnl" w:eastAsia="en-US"/>
        </w:rPr>
        <w:t>Al respecto</w:t>
      </w:r>
      <w:r w:rsidR="0062098D" w:rsidRPr="00B06888">
        <w:rPr>
          <w:rFonts w:ascii="Arial" w:eastAsia="Calibri" w:hAnsi="Arial" w:cs="Arial"/>
          <w:sz w:val="22"/>
          <w:szCs w:val="22"/>
          <w:lang w:val="es-ES_tradnl" w:eastAsia="en-US"/>
        </w:rPr>
        <w:t xml:space="preserve"> se señala que se han exp</w:t>
      </w:r>
      <w:r w:rsidR="00F257C7" w:rsidRPr="00B06888">
        <w:rPr>
          <w:rFonts w:ascii="Arial" w:eastAsia="Calibri" w:hAnsi="Arial" w:cs="Arial"/>
          <w:sz w:val="22"/>
          <w:szCs w:val="22"/>
          <w:lang w:val="es-ES_tradnl" w:eastAsia="en-US"/>
        </w:rPr>
        <w:t xml:space="preserve">edido conceptos que se refieren a la regla de </w:t>
      </w:r>
      <w:proofErr w:type="spellStart"/>
      <w:r w:rsidR="00F257C7" w:rsidRPr="00B06888">
        <w:rPr>
          <w:rFonts w:ascii="Arial" w:eastAsia="Calibri" w:hAnsi="Arial" w:cs="Arial"/>
          <w:sz w:val="22"/>
          <w:szCs w:val="22"/>
          <w:lang w:val="es-ES_tradnl" w:eastAsia="en-US"/>
        </w:rPr>
        <w:t>subsanabilidad</w:t>
      </w:r>
      <w:proofErr w:type="spellEnd"/>
      <w:r w:rsidR="00F257C7" w:rsidRPr="00B06888">
        <w:rPr>
          <w:rFonts w:ascii="Arial" w:eastAsia="Calibri" w:hAnsi="Arial" w:cs="Arial"/>
          <w:sz w:val="22"/>
          <w:szCs w:val="22"/>
          <w:lang w:val="es-ES_tradnl" w:eastAsia="en-US"/>
        </w:rPr>
        <w:t xml:space="preserve"> en los procesos de selección, cuyo mecanismo sea mediante subasta, tales como </w:t>
      </w:r>
      <w:r w:rsidR="00D55715" w:rsidRPr="00B06888">
        <w:rPr>
          <w:rFonts w:ascii="Arial" w:hAnsi="Arial" w:cs="Arial"/>
          <w:sz w:val="22"/>
        </w:rPr>
        <w:t>C-267 y C-283 del 4</w:t>
      </w:r>
      <w:r w:rsidR="00F257C7" w:rsidRPr="00B06888">
        <w:rPr>
          <w:rFonts w:ascii="Arial" w:hAnsi="Arial" w:cs="Arial"/>
          <w:sz w:val="22"/>
        </w:rPr>
        <w:t xml:space="preserve"> de mayo de 2020, </w:t>
      </w:r>
      <w:r w:rsidR="00D55715" w:rsidRPr="00B06888">
        <w:rPr>
          <w:rFonts w:ascii="Arial" w:hAnsi="Arial" w:cs="Arial"/>
          <w:sz w:val="22"/>
        </w:rPr>
        <w:t xml:space="preserve">C-250 del 2 de junio de 2021, C-282 del 22 de junio de 2021 y </w:t>
      </w:r>
      <w:r w:rsidR="00F257C7" w:rsidRPr="00B06888">
        <w:rPr>
          <w:rFonts w:ascii="Arial" w:hAnsi="Arial" w:cs="Arial"/>
          <w:sz w:val="22"/>
        </w:rPr>
        <w:t>C-568 del 11 de octubre de 2021</w:t>
      </w:r>
      <w:r w:rsidR="00D55715" w:rsidRPr="00B06888">
        <w:rPr>
          <w:rFonts w:ascii="Arial" w:hAnsi="Arial" w:cs="Arial"/>
          <w:sz w:val="22"/>
        </w:rPr>
        <w:t xml:space="preserve">. </w:t>
      </w:r>
      <w:r w:rsidR="00D55715" w:rsidRPr="00B06888">
        <w:rPr>
          <w:rFonts w:ascii="Arial" w:eastAsia="Calibri" w:hAnsi="Arial" w:cs="Arial"/>
          <w:sz w:val="22"/>
          <w:szCs w:val="22"/>
          <w:lang w:val="es-MX"/>
        </w:rPr>
        <w:t xml:space="preserve">Estos conceptos pueden consultarse en el </w:t>
      </w:r>
      <w:proofErr w:type="spellStart"/>
      <w:r w:rsidR="00D55715" w:rsidRPr="00B06888">
        <w:rPr>
          <w:rFonts w:ascii="Arial" w:eastAsia="Calibri" w:hAnsi="Arial" w:cs="Arial"/>
          <w:sz w:val="22"/>
          <w:szCs w:val="22"/>
          <w:lang w:val="es-MX"/>
        </w:rPr>
        <w:t>sig</w:t>
      </w:r>
      <w:r w:rsidR="00D55715" w:rsidRPr="00B06888">
        <w:rPr>
          <w:rFonts w:ascii="Arial" w:eastAsia="Calibri" w:hAnsi="Arial" w:cs="Arial"/>
          <w:sz w:val="22"/>
          <w:szCs w:val="22"/>
        </w:rPr>
        <w:t>uiente</w:t>
      </w:r>
      <w:proofErr w:type="spellEnd"/>
      <w:r w:rsidR="00D55715" w:rsidRPr="00B06888">
        <w:rPr>
          <w:rFonts w:ascii="Arial" w:eastAsia="Calibri" w:hAnsi="Arial" w:cs="Arial"/>
          <w:sz w:val="22"/>
          <w:szCs w:val="22"/>
        </w:rPr>
        <w:t xml:space="preserve"> </w:t>
      </w:r>
      <w:proofErr w:type="gramStart"/>
      <w:r w:rsidR="00D55715" w:rsidRPr="00B06888">
        <w:rPr>
          <w:rFonts w:ascii="Arial" w:eastAsia="Calibri" w:hAnsi="Arial" w:cs="Arial"/>
          <w:sz w:val="22"/>
          <w:szCs w:val="22"/>
        </w:rPr>
        <w:t>link</w:t>
      </w:r>
      <w:proofErr w:type="gramEnd"/>
      <w:r w:rsidR="00D55715" w:rsidRPr="00B06888">
        <w:rPr>
          <w:rFonts w:ascii="Arial" w:eastAsia="Calibri" w:hAnsi="Arial" w:cs="Arial"/>
          <w:sz w:val="22"/>
          <w:szCs w:val="22"/>
        </w:rPr>
        <w:t xml:space="preserve">: </w:t>
      </w:r>
      <w:hyperlink r:id="rId13" w:history="1">
        <w:r w:rsidR="00D55715" w:rsidRPr="00B06888">
          <w:rPr>
            <w:rStyle w:val="Hipervnculo"/>
            <w:rFonts w:ascii="Arial" w:eastAsia="Calibri" w:hAnsi="Arial" w:cs="Arial"/>
            <w:color w:val="auto"/>
            <w:sz w:val="22"/>
            <w:szCs w:val="22"/>
          </w:rPr>
          <w:t>https://relatoria.colombiacompra.gov.co/busqueda/conceptos</w:t>
        </w:r>
      </w:hyperlink>
      <w:r w:rsidR="00B6402D" w:rsidRPr="00B06888">
        <w:rPr>
          <w:rStyle w:val="Hipervnculo"/>
          <w:rFonts w:ascii="Arial" w:eastAsia="Calibri" w:hAnsi="Arial" w:cs="Arial"/>
          <w:color w:val="auto"/>
          <w:sz w:val="22"/>
          <w:szCs w:val="22"/>
        </w:rPr>
        <w:t>.</w:t>
      </w:r>
    </w:p>
    <w:p w14:paraId="4AC31A44" w14:textId="77777777" w:rsidR="000A7E0E" w:rsidRPr="007A64D5" w:rsidRDefault="000A7E0E" w:rsidP="000A7E0E">
      <w:pPr>
        <w:spacing w:line="276" w:lineRule="auto"/>
        <w:jc w:val="both"/>
        <w:rPr>
          <w:rStyle w:val="Textoennegrita"/>
          <w:rFonts w:ascii="Arial" w:hAnsi="Arial" w:cs="Arial"/>
          <w:b w:val="0"/>
          <w:color w:val="FF0000"/>
          <w:sz w:val="22"/>
          <w:szCs w:val="22"/>
          <w:shd w:val="clear" w:color="auto" w:fill="FFFFFF"/>
          <w:lang w:val="es-ES_tradnl"/>
        </w:rPr>
      </w:pPr>
    </w:p>
    <w:p w14:paraId="16BF81D8" w14:textId="0658E359" w:rsidR="00CE44D5" w:rsidRPr="007C4DB5" w:rsidRDefault="00CE44D5" w:rsidP="00C4318E">
      <w:pPr>
        <w:spacing w:line="276" w:lineRule="auto"/>
        <w:jc w:val="both"/>
        <w:rPr>
          <w:rFonts w:ascii="Arial" w:eastAsia="Calibri" w:hAnsi="Arial" w:cs="Arial"/>
          <w:sz w:val="22"/>
          <w:szCs w:val="22"/>
          <w:lang w:eastAsia="en-US"/>
        </w:rPr>
      </w:pPr>
      <w:r w:rsidRPr="007C4DB5">
        <w:rPr>
          <w:rFonts w:ascii="Arial" w:eastAsia="Calibri" w:hAnsi="Arial" w:cs="Arial"/>
          <w:sz w:val="22"/>
          <w:szCs w:val="22"/>
          <w:lang w:eastAsia="en-US"/>
        </w:rPr>
        <w:t>Este concepto tiene el alcance previsto en el artículo 28 del Código de Procedimiento Administrativo y de lo Contencioso Administrativo.</w:t>
      </w:r>
    </w:p>
    <w:p w14:paraId="4BE4F756" w14:textId="37742CF2" w:rsidR="00CE44D5" w:rsidRPr="005C05FF" w:rsidRDefault="00CE44D5" w:rsidP="005C05FF">
      <w:pPr>
        <w:jc w:val="both"/>
        <w:rPr>
          <w:rFonts w:ascii="Arial" w:eastAsia="Calibri" w:hAnsi="Arial" w:cs="Arial"/>
          <w:sz w:val="22"/>
          <w:szCs w:val="22"/>
          <w:lang w:eastAsia="en-US"/>
        </w:rPr>
      </w:pPr>
      <w:r w:rsidRPr="007A64D5">
        <w:rPr>
          <w:rFonts w:asciiTheme="minorHAnsi" w:eastAsiaTheme="minorHAnsi" w:hAnsiTheme="minorHAnsi" w:cstheme="minorBidi"/>
          <w:noProof/>
          <w:color w:val="FF0000"/>
          <w:sz w:val="22"/>
          <w:szCs w:val="22"/>
          <w:lang w:val="en-US" w:eastAsia="en-US"/>
        </w:rPr>
        <mc:AlternateContent>
          <mc:Choice Requires="wps">
            <w:drawing>
              <wp:anchor distT="0" distB="0" distL="114300" distR="114300" simplePos="0" relativeHeight="251659264" behindDoc="0" locked="0" layoutInCell="1" allowOverlap="1" wp14:anchorId="4640AD06" wp14:editId="3A3A9E1D">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442A7C3"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29F17D1A" w14:textId="77777777" w:rsidR="00CE44D5" w:rsidRPr="00CE44D5" w:rsidRDefault="00CE44D5" w:rsidP="00CE44D5">
      <w:pPr>
        <w:rPr>
          <w:rFonts w:ascii="Arial" w:hAnsi="Arial" w:cs="Arial"/>
          <w:sz w:val="22"/>
          <w:szCs w:val="22"/>
          <w:lang w:eastAsia="es-CO"/>
        </w:rPr>
      </w:pPr>
      <w:r w:rsidRPr="00CE44D5">
        <w:rPr>
          <w:rFonts w:ascii="Arial" w:hAnsi="Arial" w:cs="Arial"/>
          <w:sz w:val="22"/>
          <w:szCs w:val="22"/>
          <w:lang w:eastAsia="es-CO"/>
        </w:rPr>
        <w:t>Atentamente,</w:t>
      </w:r>
    </w:p>
    <w:p w14:paraId="672C0D09" w14:textId="627D345F" w:rsidR="00CE44D5" w:rsidRPr="00CE44D5" w:rsidRDefault="00EA2AB6" w:rsidP="00CE44D5">
      <w:pPr>
        <w:jc w:val="center"/>
        <w:rPr>
          <w:rFonts w:ascii="Arial" w:hAnsi="Arial" w:cs="Arial"/>
          <w:sz w:val="22"/>
          <w:szCs w:val="22"/>
          <w:lang w:eastAsia="es-CO"/>
        </w:rPr>
      </w:pPr>
      <w:r>
        <w:rPr>
          <w:rFonts w:ascii="Arial" w:hAnsi="Arial" w:cs="Arial"/>
          <w:noProof/>
          <w:lang w:val="en-US"/>
        </w:rPr>
        <w:drawing>
          <wp:inline distT="0" distB="0" distL="0" distR="0" wp14:anchorId="784F1EC3" wp14:editId="0E5C2185">
            <wp:extent cx="2273831" cy="1024890"/>
            <wp:effectExtent l="0" t="0" r="0" b="381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2282670" cy="1028874"/>
                    </a:xfrm>
                    <a:prstGeom prst="rect">
                      <a:avLst/>
                    </a:prstGeom>
                  </pic:spPr>
                </pic:pic>
              </a:graphicData>
            </a:graphic>
          </wp:inline>
        </w:drawing>
      </w:r>
      <w:r w:rsidR="00CE44D5" w:rsidRPr="00CE44D5">
        <w:rPr>
          <w:rFonts w:asciiTheme="minorHAnsi" w:eastAsiaTheme="minorHAnsi" w:hAnsiTheme="minorHAnsi" w:cstheme="minorBidi"/>
          <w:noProof/>
          <w:szCs w:val="22"/>
          <w:lang w:eastAsia="en-US"/>
        </w:rPr>
        <w:t xml:space="preserve"> </w:t>
      </w:r>
    </w:p>
    <w:p w14:paraId="1FFCF999" w14:textId="77777777" w:rsidR="00CE44D5" w:rsidRPr="00CE44D5" w:rsidRDefault="00CE44D5" w:rsidP="00CE44D5">
      <w:pPr>
        <w:jc w:val="center"/>
        <w:rPr>
          <w:rFonts w:ascii="Arial" w:hAnsi="Arial" w:cs="Arial"/>
          <w:sz w:val="18"/>
          <w:szCs w:val="20"/>
          <w:lang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E44D5" w:rsidRPr="00CE44D5" w14:paraId="5B67C3FA" w14:textId="77777777" w:rsidTr="004E282C">
        <w:trPr>
          <w:trHeight w:val="315"/>
        </w:trPr>
        <w:tc>
          <w:tcPr>
            <w:tcW w:w="488" w:type="dxa"/>
            <w:vAlign w:val="center"/>
            <w:hideMark/>
          </w:tcPr>
          <w:p w14:paraId="47002891"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C210F2D"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José Luis Sánchez Cardona</w:t>
            </w:r>
          </w:p>
          <w:p w14:paraId="4B501CA5"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Contratista de la Subdirección de Gestión Contractual</w:t>
            </w:r>
          </w:p>
        </w:tc>
      </w:tr>
      <w:tr w:rsidR="00CE44D5" w:rsidRPr="00CE44D5" w14:paraId="258E03EC" w14:textId="77777777" w:rsidTr="004E282C">
        <w:trPr>
          <w:trHeight w:val="330"/>
        </w:trPr>
        <w:tc>
          <w:tcPr>
            <w:tcW w:w="488" w:type="dxa"/>
            <w:vAlign w:val="center"/>
            <w:hideMark/>
          </w:tcPr>
          <w:p w14:paraId="36D62616"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lastRenderedPageBreak/>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4981963" w14:textId="77777777" w:rsidR="009F00BF" w:rsidRDefault="009F00BF" w:rsidP="00CE44D5">
            <w:pPr>
              <w:rPr>
                <w:rFonts w:ascii="Arial" w:hAnsi="Arial" w:cs="Arial"/>
                <w:sz w:val="16"/>
                <w:szCs w:val="16"/>
                <w:lang w:eastAsia="es-ES"/>
              </w:rPr>
            </w:pPr>
            <w:r>
              <w:rPr>
                <w:rFonts w:ascii="Arial" w:hAnsi="Arial" w:cs="Arial"/>
                <w:sz w:val="16"/>
                <w:szCs w:val="16"/>
                <w:lang w:eastAsia="es-ES"/>
              </w:rPr>
              <w:t>Juan David Montoya Penagos</w:t>
            </w:r>
          </w:p>
          <w:p w14:paraId="0E6075A5" w14:textId="011C4538" w:rsidR="00CE44D5" w:rsidRPr="00CE44D5" w:rsidRDefault="00CE44D5" w:rsidP="00CE44D5">
            <w:pPr>
              <w:rPr>
                <w:rFonts w:ascii="Arial" w:hAnsi="Arial" w:cs="Arial"/>
                <w:sz w:val="14"/>
                <w:szCs w:val="14"/>
                <w:lang w:val="es-MX" w:eastAsia="es-ES"/>
              </w:rPr>
            </w:pPr>
            <w:r w:rsidRPr="00CE44D5">
              <w:rPr>
                <w:rFonts w:ascii="Arial" w:hAnsi="Arial" w:cs="Arial"/>
                <w:sz w:val="16"/>
                <w:szCs w:val="16"/>
                <w:lang w:eastAsia="es-ES"/>
              </w:rPr>
              <w:t xml:space="preserve">Gestor T1-15 de la Subdirección de Gestión Contractual </w:t>
            </w:r>
          </w:p>
        </w:tc>
      </w:tr>
      <w:tr w:rsidR="00CE44D5" w:rsidRPr="00CE44D5" w14:paraId="5D5273F4" w14:textId="77777777" w:rsidTr="004E282C">
        <w:trPr>
          <w:trHeight w:val="300"/>
        </w:trPr>
        <w:tc>
          <w:tcPr>
            <w:tcW w:w="488" w:type="dxa"/>
            <w:vAlign w:val="center"/>
            <w:hideMark/>
          </w:tcPr>
          <w:p w14:paraId="54394B6D"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F7482"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Jorge Augusto Tirado Navarro</w:t>
            </w:r>
          </w:p>
          <w:p w14:paraId="2CF565E3" w14:textId="77777777" w:rsidR="00CE44D5" w:rsidRPr="00CE44D5" w:rsidRDefault="00CE44D5" w:rsidP="00CE44D5">
            <w:pPr>
              <w:rPr>
                <w:rFonts w:ascii="Arial" w:hAnsi="Arial" w:cs="Arial"/>
                <w:sz w:val="16"/>
                <w:szCs w:val="16"/>
                <w:lang w:eastAsia="es-ES"/>
              </w:rPr>
            </w:pPr>
            <w:r w:rsidRPr="00CE44D5">
              <w:rPr>
                <w:rFonts w:ascii="Arial" w:hAnsi="Arial" w:cs="Arial"/>
                <w:sz w:val="16"/>
                <w:szCs w:val="16"/>
                <w:lang w:eastAsia="es-ES"/>
              </w:rPr>
              <w:t>Subdirector de Gestión Contractual ANCP – CCE</w:t>
            </w:r>
          </w:p>
        </w:tc>
      </w:tr>
    </w:tbl>
    <w:p w14:paraId="3A70A295" w14:textId="2911F0DF" w:rsidR="00CE44D5" w:rsidRDefault="00CE44D5" w:rsidP="00CB3721">
      <w:pPr>
        <w:pStyle w:val="NormalWeb"/>
        <w:spacing w:before="0" w:beforeAutospacing="0" w:after="0" w:afterAutospacing="0" w:line="276" w:lineRule="auto"/>
        <w:jc w:val="both"/>
        <w:rPr>
          <w:rFonts w:ascii="Arial" w:hAnsi="Arial" w:cs="Arial"/>
        </w:rPr>
      </w:pPr>
    </w:p>
    <w:p w14:paraId="30525169" w14:textId="77777777" w:rsidR="00CE44D5" w:rsidRPr="00CB3721" w:rsidRDefault="00CE44D5" w:rsidP="00CB3721">
      <w:pPr>
        <w:pStyle w:val="NormalWeb"/>
        <w:spacing w:before="0" w:beforeAutospacing="0" w:after="0" w:afterAutospacing="0" w:line="276" w:lineRule="auto"/>
        <w:jc w:val="both"/>
        <w:rPr>
          <w:rFonts w:ascii="Arial" w:hAnsi="Arial" w:cs="Arial"/>
        </w:rPr>
      </w:pPr>
    </w:p>
    <w:sectPr w:rsidR="00CE44D5" w:rsidRPr="00CB3721" w:rsidSect="00CE3F2A">
      <w:headerReference w:type="default" r:id="rId15"/>
      <w:footerReference w:type="defaul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14652" w14:textId="77777777" w:rsidR="005B08EF" w:rsidRDefault="005B08EF">
      <w:r>
        <w:separator/>
      </w:r>
    </w:p>
  </w:endnote>
  <w:endnote w:type="continuationSeparator" w:id="0">
    <w:p w14:paraId="252E7BEE" w14:textId="77777777" w:rsidR="005B08EF" w:rsidRDefault="005B08EF">
      <w:r>
        <w:continuationSeparator/>
      </w:r>
    </w:p>
  </w:endnote>
  <w:endnote w:type="continuationNotice" w:id="1">
    <w:p w14:paraId="729BB0D0" w14:textId="77777777" w:rsidR="005B08EF" w:rsidRDefault="005B0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F3E44" w:rsidRDefault="006F3E44" w:rsidP="00322937">
    <w:pPr>
      <w:pStyle w:val="Sinespaciado"/>
      <w:jc w:val="right"/>
      <w:rPr>
        <w:rFonts w:ascii="Arial" w:hAnsi="Arial" w:cs="Arial"/>
        <w:sz w:val="18"/>
        <w:szCs w:val="18"/>
      </w:rPr>
    </w:pPr>
  </w:p>
  <w:p w14:paraId="7A3785F3" w14:textId="1A144E7D" w:rsidR="006F3E44" w:rsidRPr="008217B7" w:rsidRDefault="006F3E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B28CA">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B28CA">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5FD1A7C9" w:rsidR="006F3E44" w:rsidRDefault="006F3E4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F3E44" w:rsidRDefault="006F3E44" w:rsidP="007B0854">
    <w:pPr>
      <w:pStyle w:val="Piedepgina"/>
      <w:jc w:val="center"/>
      <w:rPr>
        <w:lang w:val="es-ES"/>
      </w:rPr>
    </w:pPr>
  </w:p>
  <w:p w14:paraId="6C0EFC49" w14:textId="77777777" w:rsidR="006F3E44" w:rsidRPr="007B0854" w:rsidRDefault="006F3E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92F52" w14:textId="77777777" w:rsidR="005B08EF" w:rsidRDefault="005B08EF">
      <w:r>
        <w:separator/>
      </w:r>
    </w:p>
  </w:footnote>
  <w:footnote w:type="continuationSeparator" w:id="0">
    <w:p w14:paraId="0A7C10BD" w14:textId="77777777" w:rsidR="005B08EF" w:rsidRDefault="005B08EF">
      <w:r>
        <w:continuationSeparator/>
      </w:r>
    </w:p>
  </w:footnote>
  <w:footnote w:type="continuationNotice" w:id="1">
    <w:p w14:paraId="526C3604" w14:textId="77777777" w:rsidR="005B08EF" w:rsidRDefault="005B08EF"/>
  </w:footnote>
  <w:footnote w:id="2">
    <w:p w14:paraId="280AD8F3" w14:textId="77777777" w:rsidR="00D55715" w:rsidRDefault="00D55715" w:rsidP="00F15DC4">
      <w:pPr>
        <w:pStyle w:val="Textonotapie"/>
        <w:ind w:firstLine="709"/>
        <w:jc w:val="both"/>
        <w:rPr>
          <w:rFonts w:ascii="Arial" w:hAnsi="Arial" w:cs="Arial"/>
          <w:color w:val="000000" w:themeColor="text1"/>
          <w:sz w:val="19"/>
          <w:szCs w:val="19"/>
        </w:rPr>
      </w:pPr>
    </w:p>
    <w:p w14:paraId="2F60E226" w14:textId="518CF7CA" w:rsidR="00F15DC4" w:rsidRPr="00D55715" w:rsidRDefault="00F15DC4" w:rsidP="00F15DC4">
      <w:pPr>
        <w:pStyle w:val="Textonotapie"/>
        <w:ind w:firstLine="709"/>
        <w:jc w:val="both"/>
        <w:rPr>
          <w:rFonts w:ascii="Arial" w:hAnsi="Arial" w:cs="Arial"/>
          <w:color w:val="000000" w:themeColor="text1"/>
          <w:sz w:val="18"/>
          <w:szCs w:val="18"/>
          <w:lang w:val="es-ES"/>
        </w:rPr>
      </w:pPr>
      <w:r w:rsidRPr="00D55715">
        <w:rPr>
          <w:rStyle w:val="Refdenotaalpie"/>
          <w:rFonts w:ascii="Arial" w:hAnsi="Arial" w:cs="Arial"/>
          <w:color w:val="000000" w:themeColor="text1"/>
          <w:sz w:val="18"/>
          <w:szCs w:val="18"/>
        </w:rPr>
        <w:footnoteRef/>
      </w:r>
      <w:r w:rsidRPr="00D55715">
        <w:rPr>
          <w:rFonts w:ascii="Arial" w:hAnsi="Arial" w:cs="Arial"/>
          <w:color w:val="000000" w:themeColor="text1"/>
          <w:sz w:val="18"/>
          <w:szCs w:val="18"/>
        </w:rPr>
        <w:t xml:space="preserve"> </w:t>
      </w:r>
      <w:r w:rsidRPr="00D55715">
        <w:rPr>
          <w:rFonts w:ascii="Arial" w:hAnsi="Arial" w:cs="Arial"/>
          <w:color w:val="000000" w:themeColor="text1"/>
          <w:sz w:val="18"/>
          <w:szCs w:val="18"/>
          <w:lang w:val="es-ES"/>
        </w:rPr>
        <w:t>Al respecto, conviene recordar el artículo 29 de la Ley 80 de 1993, derogado por el artículo 32 de la Ley 1150 de 2007, que establecía: «La selección de contratistas será objetiva.</w:t>
      </w:r>
    </w:p>
    <w:p w14:paraId="32D08739" w14:textId="77777777" w:rsidR="00F15DC4" w:rsidRPr="00D55715" w:rsidRDefault="00F15DC4" w:rsidP="00F15DC4">
      <w:pPr>
        <w:pStyle w:val="Textonotapie"/>
        <w:ind w:firstLine="709"/>
        <w:jc w:val="both"/>
        <w:rPr>
          <w:rFonts w:ascii="Arial" w:hAnsi="Arial" w:cs="Arial"/>
          <w:color w:val="000000" w:themeColor="text1"/>
          <w:sz w:val="18"/>
          <w:szCs w:val="18"/>
          <w:lang w:val="es-ES"/>
        </w:rPr>
      </w:pPr>
      <w:proofErr w:type="gramStart"/>
      <w:r w:rsidRPr="00D55715">
        <w:rPr>
          <w:rFonts w:ascii="Arial" w:hAnsi="Arial" w:cs="Arial"/>
          <w:color w:val="000000" w:themeColor="text1"/>
          <w:sz w:val="18"/>
          <w:szCs w:val="18"/>
          <w:lang w:val="es-ES"/>
        </w:rPr>
        <w:t>»Es</w:t>
      </w:r>
      <w:proofErr w:type="gramEnd"/>
      <w:r w:rsidRPr="00D55715">
        <w:rPr>
          <w:rFonts w:ascii="Arial" w:hAnsi="Arial" w:cs="Arial"/>
          <w:color w:val="000000" w:themeColor="text1"/>
          <w:sz w:val="18"/>
          <w:szCs w:val="18"/>
          <w:lang w:val="es-ES"/>
        </w:rPr>
        <w:t xml:space="preserve"> objetiva la selección en la cual la escogencia se hace al ofrecimiento más favorable a la entidad y a los fines que ella busca, sin tener en consideración factores de afecto o de interés y, en general, cualquier clase de motivación subjetiva.</w:t>
      </w:r>
    </w:p>
    <w:p w14:paraId="04E07120" w14:textId="77777777" w:rsidR="00F15DC4" w:rsidRPr="00D55715" w:rsidRDefault="00F15DC4" w:rsidP="00F15DC4">
      <w:pPr>
        <w:pStyle w:val="Textonotapie"/>
        <w:ind w:firstLine="709"/>
        <w:jc w:val="both"/>
        <w:rPr>
          <w:rFonts w:ascii="Arial" w:hAnsi="Arial" w:cs="Arial"/>
          <w:color w:val="000000" w:themeColor="text1"/>
          <w:sz w:val="18"/>
          <w:szCs w:val="18"/>
          <w:lang w:val="es-ES"/>
        </w:rPr>
      </w:pPr>
      <w:r w:rsidRPr="00D55715">
        <w:rPr>
          <w:rFonts w:ascii="Arial" w:hAnsi="Arial" w:cs="Arial"/>
          <w:color w:val="000000" w:themeColor="text1"/>
          <w:sz w:val="18"/>
          <w:szCs w:val="18"/>
          <w:lang w:val="es-ES"/>
        </w:rPr>
        <w:t xml:space="preserve">»Ofrecimiento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w:t>
      </w:r>
      <w:proofErr w:type="gramStart"/>
      <w:r w:rsidRPr="00D55715">
        <w:rPr>
          <w:rFonts w:ascii="Arial" w:hAnsi="Arial" w:cs="Arial"/>
          <w:color w:val="000000" w:themeColor="text1"/>
          <w:sz w:val="18"/>
          <w:szCs w:val="18"/>
          <w:lang w:val="es-ES"/>
        </w:rPr>
        <w:t>pliegos,</w:t>
      </w:r>
      <w:proofErr w:type="gramEnd"/>
      <w:r w:rsidRPr="00D55715">
        <w:rPr>
          <w:rFonts w:ascii="Arial" w:hAnsi="Arial" w:cs="Arial"/>
          <w:color w:val="000000" w:themeColor="text1"/>
          <w:sz w:val="18"/>
          <w:szCs w:val="18"/>
          <w:lang w:val="es-ES"/>
        </w:rPr>
        <w:t xml:space="preserve"> no será objeto de evaluación».</w:t>
      </w:r>
    </w:p>
    <w:p w14:paraId="31607CD1" w14:textId="77777777" w:rsidR="00F15DC4" w:rsidRPr="00D55715" w:rsidRDefault="00F15DC4" w:rsidP="00F15DC4">
      <w:pPr>
        <w:pStyle w:val="Textonotapie"/>
        <w:ind w:firstLine="709"/>
        <w:jc w:val="both"/>
        <w:rPr>
          <w:rFonts w:ascii="Arial" w:hAnsi="Arial" w:cs="Arial"/>
          <w:color w:val="000000" w:themeColor="text1"/>
          <w:sz w:val="18"/>
          <w:szCs w:val="18"/>
          <w:lang w:val="es-ES"/>
        </w:rPr>
      </w:pPr>
      <w:proofErr w:type="gramStart"/>
      <w:r w:rsidRPr="00D55715">
        <w:rPr>
          <w:rFonts w:ascii="Arial" w:hAnsi="Arial" w:cs="Arial"/>
          <w:color w:val="000000" w:themeColor="text1"/>
          <w:sz w:val="18"/>
          <w:szCs w:val="18"/>
          <w:lang w:val="es-ES"/>
        </w:rPr>
        <w:t>»El</w:t>
      </w:r>
      <w:proofErr w:type="gramEnd"/>
      <w:r w:rsidRPr="00D55715">
        <w:rPr>
          <w:rFonts w:ascii="Arial" w:hAnsi="Arial" w:cs="Arial"/>
          <w:color w:val="000000" w:themeColor="text1"/>
          <w:sz w:val="18"/>
          <w:szCs w:val="18"/>
          <w:lang w:val="es-ES"/>
        </w:rPr>
        <w:t xml:space="preserve">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5DA12D80" w14:textId="77777777" w:rsidR="00F15DC4" w:rsidRPr="00D55715" w:rsidRDefault="00F15DC4" w:rsidP="00F15DC4">
      <w:pPr>
        <w:pStyle w:val="Textonotapie"/>
        <w:ind w:firstLine="709"/>
        <w:jc w:val="both"/>
        <w:rPr>
          <w:rFonts w:ascii="Arial" w:hAnsi="Arial" w:cs="Arial"/>
          <w:color w:val="000000" w:themeColor="text1"/>
          <w:sz w:val="18"/>
          <w:szCs w:val="18"/>
          <w:lang w:val="es-ES"/>
        </w:rPr>
      </w:pPr>
      <w:proofErr w:type="gramStart"/>
      <w:r w:rsidRPr="00D55715">
        <w:rPr>
          <w:rFonts w:ascii="Arial" w:hAnsi="Arial" w:cs="Arial"/>
          <w:color w:val="000000" w:themeColor="text1"/>
          <w:sz w:val="18"/>
          <w:szCs w:val="18"/>
          <w:lang w:val="es-ES"/>
        </w:rPr>
        <w:t>»En</w:t>
      </w:r>
      <w:proofErr w:type="gramEnd"/>
      <w:r w:rsidRPr="00D55715">
        <w:rPr>
          <w:rFonts w:ascii="Arial" w:hAnsi="Arial" w:cs="Arial"/>
          <w:color w:val="000000" w:themeColor="text1"/>
          <w:sz w:val="18"/>
          <w:szCs w:val="18"/>
          <w:lang w:val="es-ES"/>
        </w:rPr>
        <w:t xml:space="preserve"> caso de comparación de propuestas nacionales y extranjeras, se incluirán los costos necesarios para la entrega del producto terminado en el lugar de su utilización».</w:t>
      </w:r>
    </w:p>
  </w:footnote>
  <w:footnote w:id="3">
    <w:p w14:paraId="0B5B5D99" w14:textId="77777777" w:rsidR="00F15DC4" w:rsidRPr="00D55715" w:rsidRDefault="00F15DC4" w:rsidP="00F15DC4">
      <w:pPr>
        <w:pStyle w:val="Textonotapie"/>
        <w:ind w:firstLine="709"/>
        <w:jc w:val="both"/>
        <w:rPr>
          <w:rFonts w:ascii="Arial" w:hAnsi="Arial" w:cs="Arial"/>
          <w:color w:val="000000" w:themeColor="text1"/>
          <w:sz w:val="18"/>
          <w:szCs w:val="18"/>
          <w:lang w:val="es-ES"/>
        </w:rPr>
      </w:pPr>
      <w:r w:rsidRPr="00D55715">
        <w:rPr>
          <w:rStyle w:val="Refdenotaalpie"/>
          <w:rFonts w:ascii="Arial" w:hAnsi="Arial" w:cs="Arial"/>
          <w:color w:val="000000" w:themeColor="text1"/>
          <w:sz w:val="18"/>
          <w:szCs w:val="18"/>
        </w:rPr>
        <w:footnoteRef/>
      </w:r>
      <w:r w:rsidRPr="00D55715">
        <w:rPr>
          <w:rFonts w:ascii="Arial" w:hAnsi="Arial" w:cs="Arial"/>
          <w:color w:val="000000" w:themeColor="text1"/>
          <w:sz w:val="18"/>
          <w:szCs w:val="18"/>
        </w:rPr>
        <w:t xml:space="preserve"> Consejo de Estado. Sección Tercera. Subsección A. Sentencia del 25 de octubre de 2019. </w:t>
      </w:r>
      <w:proofErr w:type="spellStart"/>
      <w:r w:rsidRPr="00D55715">
        <w:rPr>
          <w:rFonts w:ascii="Arial" w:hAnsi="Arial" w:cs="Arial"/>
          <w:color w:val="000000" w:themeColor="text1"/>
          <w:sz w:val="18"/>
          <w:szCs w:val="18"/>
        </w:rPr>
        <w:t>Exp</w:t>
      </w:r>
      <w:proofErr w:type="spellEnd"/>
      <w:r w:rsidRPr="00D55715">
        <w:rPr>
          <w:rFonts w:ascii="Arial" w:hAnsi="Arial" w:cs="Arial"/>
          <w:color w:val="000000" w:themeColor="text1"/>
          <w:sz w:val="18"/>
          <w:szCs w:val="18"/>
        </w:rPr>
        <w:t>. 39.945. Consejera Ponente: María Adriana Marín.</w:t>
      </w:r>
    </w:p>
  </w:footnote>
  <w:footnote w:id="4">
    <w:p w14:paraId="4B225EBE" w14:textId="77777777" w:rsidR="00F15DC4" w:rsidRPr="00D55715" w:rsidRDefault="00F15DC4" w:rsidP="00F15DC4">
      <w:pPr>
        <w:pStyle w:val="Textonotapie"/>
        <w:ind w:firstLine="709"/>
        <w:jc w:val="both"/>
        <w:rPr>
          <w:rFonts w:ascii="Arial" w:hAnsi="Arial" w:cs="Arial"/>
          <w:color w:val="000000" w:themeColor="text1"/>
          <w:sz w:val="18"/>
          <w:szCs w:val="18"/>
        </w:rPr>
      </w:pPr>
    </w:p>
    <w:p w14:paraId="009986A7" w14:textId="27E6617E" w:rsidR="00F15DC4" w:rsidRPr="00D55715" w:rsidRDefault="00F15DC4" w:rsidP="00F15DC4">
      <w:pPr>
        <w:pStyle w:val="Textonotapie"/>
        <w:ind w:firstLine="709"/>
        <w:jc w:val="both"/>
        <w:rPr>
          <w:rFonts w:ascii="Arial" w:hAnsi="Arial" w:cs="Arial"/>
          <w:color w:val="000000" w:themeColor="text1"/>
          <w:sz w:val="18"/>
          <w:szCs w:val="18"/>
        </w:rPr>
      </w:pPr>
      <w:r w:rsidRPr="00D55715">
        <w:rPr>
          <w:rStyle w:val="Refdenotaalpie"/>
          <w:rFonts w:ascii="Arial" w:hAnsi="Arial" w:cs="Arial"/>
          <w:color w:val="000000" w:themeColor="text1"/>
          <w:sz w:val="18"/>
          <w:szCs w:val="18"/>
        </w:rPr>
        <w:footnoteRef/>
      </w:r>
      <w:r w:rsidRPr="00D55715">
        <w:rPr>
          <w:rStyle w:val="Refdenotaalpie"/>
          <w:rFonts w:ascii="Arial" w:hAnsi="Arial" w:cs="Arial"/>
          <w:color w:val="000000" w:themeColor="text1"/>
          <w:sz w:val="18"/>
          <w:szCs w:val="18"/>
        </w:rPr>
        <w:t xml:space="preserve"> </w:t>
      </w:r>
      <w:r w:rsidRPr="00D55715">
        <w:rPr>
          <w:rFonts w:ascii="Arial" w:hAnsi="Arial" w:cs="Arial"/>
          <w:color w:val="000000" w:themeColor="text1"/>
          <w:sz w:val="18"/>
          <w:szCs w:val="18"/>
        </w:rPr>
        <w:t xml:space="preserve">Consejo de Estado. Sección Tercera. Subsección A. Sentencia del 5 de julio de 2018. </w:t>
      </w:r>
      <w:proofErr w:type="spellStart"/>
      <w:r w:rsidRPr="00D55715">
        <w:rPr>
          <w:rFonts w:ascii="Arial" w:hAnsi="Arial" w:cs="Arial"/>
          <w:color w:val="000000" w:themeColor="text1"/>
          <w:sz w:val="18"/>
          <w:szCs w:val="18"/>
        </w:rPr>
        <w:t>Exp</w:t>
      </w:r>
      <w:proofErr w:type="spellEnd"/>
      <w:r w:rsidRPr="00D55715">
        <w:rPr>
          <w:rFonts w:ascii="Arial" w:hAnsi="Arial" w:cs="Arial"/>
          <w:color w:val="000000" w:themeColor="text1"/>
          <w:sz w:val="18"/>
          <w:szCs w:val="18"/>
        </w:rPr>
        <w:t>. 37.834. Consejero Ponente: Carlos Alberto Zambrano Barrera.</w:t>
      </w:r>
    </w:p>
    <w:p w14:paraId="4C36D8B1" w14:textId="77777777" w:rsidR="00CD0E85" w:rsidRPr="00D55715" w:rsidRDefault="00CD0E85" w:rsidP="00F15DC4">
      <w:pPr>
        <w:pStyle w:val="Textonotapie"/>
        <w:ind w:firstLine="709"/>
        <w:jc w:val="both"/>
        <w:rPr>
          <w:rFonts w:ascii="Arial" w:hAnsi="Arial" w:cs="Arial"/>
          <w:color w:val="000000" w:themeColor="text1"/>
          <w:sz w:val="18"/>
          <w:szCs w:val="18"/>
          <w:lang w:val="es-ES"/>
        </w:rPr>
      </w:pPr>
    </w:p>
  </w:footnote>
  <w:footnote w:id="5">
    <w:p w14:paraId="5F7A655F" w14:textId="6CB20CC2" w:rsidR="007A1D74" w:rsidRPr="00A6592B" w:rsidRDefault="007A1D74" w:rsidP="007C4DB5">
      <w:pPr>
        <w:pStyle w:val="Textonotapie"/>
        <w:ind w:firstLine="708"/>
        <w:jc w:val="both"/>
        <w:rPr>
          <w:sz w:val="18"/>
          <w:szCs w:val="18"/>
          <w:lang w:val="es-ES"/>
        </w:rPr>
      </w:pPr>
      <w:r w:rsidRPr="007C4DB5">
        <w:rPr>
          <w:rStyle w:val="Refdenotaalpie"/>
          <w:sz w:val="18"/>
          <w:szCs w:val="18"/>
        </w:rPr>
        <w:footnoteRef/>
      </w:r>
      <w:r w:rsidRPr="007C4DB5">
        <w:rPr>
          <w:sz w:val="18"/>
          <w:szCs w:val="18"/>
        </w:rPr>
        <w:t xml:space="preserve"> </w:t>
      </w:r>
      <w:r w:rsidR="00CD0E85" w:rsidRPr="007C4DB5">
        <w:rPr>
          <w:rFonts w:ascii="Arial" w:hAnsi="Arial" w:cs="Arial"/>
          <w:sz w:val="18"/>
          <w:szCs w:val="18"/>
        </w:rPr>
        <w:t>EXPÓSITO VÉLEZ, Juan Carlos. Forma y contenido del contrato estatal. Bogotá: Universidad Externado de Colombia, 2013.</w:t>
      </w:r>
      <w:r w:rsidR="007A64D5" w:rsidRPr="007C4DB5">
        <w:rPr>
          <w:rFonts w:ascii="Arial" w:hAnsi="Arial" w:cs="Arial"/>
          <w:sz w:val="18"/>
          <w:szCs w:val="18"/>
        </w:rPr>
        <w:t xml:space="preserve"> pp. 55- 56. </w:t>
      </w:r>
    </w:p>
  </w:footnote>
  <w:footnote w:id="6">
    <w:p w14:paraId="7C738F51" w14:textId="77777777" w:rsidR="00D55715" w:rsidRPr="00D55715" w:rsidRDefault="00D55715" w:rsidP="00F15DC4">
      <w:pPr>
        <w:pStyle w:val="Textonotapie"/>
        <w:ind w:firstLine="709"/>
        <w:jc w:val="both"/>
        <w:rPr>
          <w:rFonts w:ascii="Arial" w:hAnsi="Arial" w:cs="Arial"/>
          <w:color w:val="000000" w:themeColor="text1"/>
          <w:sz w:val="18"/>
          <w:szCs w:val="18"/>
        </w:rPr>
      </w:pPr>
    </w:p>
    <w:p w14:paraId="1CCF702A" w14:textId="363DD079" w:rsidR="00F15DC4" w:rsidRPr="00D55715" w:rsidRDefault="00F15DC4" w:rsidP="00F15DC4">
      <w:pPr>
        <w:pStyle w:val="Textonotapie"/>
        <w:ind w:firstLine="709"/>
        <w:jc w:val="both"/>
        <w:rPr>
          <w:rFonts w:ascii="Arial" w:hAnsi="Arial" w:cs="Arial"/>
          <w:color w:val="000000" w:themeColor="text1"/>
          <w:sz w:val="18"/>
          <w:szCs w:val="18"/>
        </w:rPr>
      </w:pPr>
      <w:r w:rsidRPr="00D55715">
        <w:rPr>
          <w:rStyle w:val="Refdenotaalpie"/>
          <w:rFonts w:ascii="Arial" w:hAnsi="Arial" w:cs="Arial"/>
          <w:color w:val="000000" w:themeColor="text1"/>
          <w:sz w:val="18"/>
          <w:szCs w:val="18"/>
        </w:rPr>
        <w:footnoteRef/>
      </w:r>
      <w:r w:rsidRPr="00D55715">
        <w:rPr>
          <w:rFonts w:ascii="Arial" w:hAnsi="Arial" w:cs="Arial"/>
          <w:color w:val="000000" w:themeColor="text1"/>
          <w:sz w:val="18"/>
          <w:szCs w:val="18"/>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5D0EB746" w14:textId="77777777" w:rsidR="00F15DC4" w:rsidRPr="00D55715" w:rsidRDefault="00F15DC4" w:rsidP="00F15DC4">
      <w:pPr>
        <w:pStyle w:val="Textonotapie"/>
        <w:ind w:firstLine="709"/>
        <w:jc w:val="both"/>
        <w:rPr>
          <w:rFonts w:ascii="Arial" w:hAnsi="Arial" w:cs="Arial"/>
          <w:color w:val="000000" w:themeColor="text1"/>
          <w:sz w:val="18"/>
          <w:szCs w:val="18"/>
        </w:rPr>
      </w:pPr>
    </w:p>
  </w:footnote>
  <w:footnote w:id="7">
    <w:p w14:paraId="1899F0BB" w14:textId="77777777" w:rsidR="00F15DC4" w:rsidRPr="00D55715" w:rsidRDefault="00F15DC4" w:rsidP="00F15DC4">
      <w:pPr>
        <w:pStyle w:val="Textonotapie"/>
        <w:ind w:firstLine="709"/>
        <w:jc w:val="both"/>
        <w:rPr>
          <w:rFonts w:ascii="Arial" w:hAnsi="Arial" w:cs="Arial"/>
          <w:color w:val="000000" w:themeColor="text1"/>
          <w:sz w:val="18"/>
          <w:szCs w:val="18"/>
        </w:rPr>
      </w:pPr>
      <w:r w:rsidRPr="00D55715">
        <w:rPr>
          <w:rStyle w:val="Refdenotaalpie"/>
          <w:rFonts w:ascii="Arial" w:hAnsi="Arial" w:cs="Arial"/>
          <w:color w:val="000000" w:themeColor="text1"/>
          <w:sz w:val="18"/>
          <w:szCs w:val="18"/>
        </w:rPr>
        <w:footnoteRef/>
      </w:r>
      <w:r w:rsidRPr="00D55715">
        <w:rPr>
          <w:rFonts w:ascii="Arial" w:hAnsi="Arial" w:cs="Arial"/>
          <w:color w:val="000000" w:themeColor="text1"/>
          <w:sz w:val="18"/>
          <w:szCs w:val="18"/>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8">
    <w:p w14:paraId="274B11C3" w14:textId="77777777" w:rsidR="00D55715" w:rsidRPr="00D55715" w:rsidRDefault="00D55715" w:rsidP="00F15DC4">
      <w:pPr>
        <w:pStyle w:val="Textonotapie"/>
        <w:ind w:firstLine="709"/>
        <w:jc w:val="both"/>
        <w:rPr>
          <w:rFonts w:ascii="Arial" w:hAnsi="Arial" w:cs="Arial"/>
          <w:color w:val="000000" w:themeColor="text1"/>
          <w:sz w:val="18"/>
          <w:szCs w:val="18"/>
        </w:rPr>
      </w:pPr>
    </w:p>
    <w:p w14:paraId="64B4EE21" w14:textId="5BAD6D68" w:rsidR="00F15DC4" w:rsidRPr="00D55715" w:rsidRDefault="00F15DC4" w:rsidP="00F15DC4">
      <w:pPr>
        <w:pStyle w:val="Textonotapie"/>
        <w:ind w:firstLine="709"/>
        <w:jc w:val="both"/>
        <w:rPr>
          <w:rFonts w:ascii="Arial" w:hAnsi="Arial" w:cs="Arial"/>
          <w:color w:val="000000" w:themeColor="text1"/>
          <w:sz w:val="18"/>
          <w:szCs w:val="18"/>
        </w:rPr>
      </w:pPr>
      <w:r w:rsidRPr="00D55715">
        <w:rPr>
          <w:rStyle w:val="Refdenotaalpie"/>
          <w:rFonts w:ascii="Arial" w:hAnsi="Arial" w:cs="Arial"/>
          <w:color w:val="000000" w:themeColor="text1"/>
          <w:sz w:val="18"/>
          <w:szCs w:val="18"/>
        </w:rPr>
        <w:footnoteRef/>
      </w:r>
      <w:r w:rsidRPr="00D55715">
        <w:rPr>
          <w:rFonts w:ascii="Arial" w:hAnsi="Arial" w:cs="Arial"/>
          <w:color w:val="000000" w:themeColor="text1"/>
          <w:sz w:val="18"/>
          <w:szCs w:val="18"/>
        </w:rPr>
        <w:t xml:space="preserve"> Consejo de Estado. Sección Tercera. Subsección C. Sentencia del 26 de febrero de 2014. Expediente: 25.804. Consejero Ponente: Enrique Gil Botero.</w:t>
      </w:r>
    </w:p>
  </w:footnote>
  <w:footnote w:id="9">
    <w:p w14:paraId="2E61114A" w14:textId="77777777" w:rsidR="00D55715" w:rsidRPr="00D55715" w:rsidRDefault="00D55715" w:rsidP="00F15DC4">
      <w:pPr>
        <w:pStyle w:val="Textonotapie"/>
        <w:ind w:firstLine="709"/>
        <w:jc w:val="both"/>
        <w:rPr>
          <w:rFonts w:ascii="Arial" w:hAnsi="Arial" w:cs="Arial"/>
          <w:color w:val="000000" w:themeColor="text1"/>
          <w:sz w:val="18"/>
          <w:szCs w:val="18"/>
        </w:rPr>
      </w:pPr>
    </w:p>
    <w:p w14:paraId="0C204AAC" w14:textId="0835986B" w:rsidR="00F15DC4" w:rsidRDefault="00F15DC4" w:rsidP="00F15DC4">
      <w:pPr>
        <w:pStyle w:val="Textonotapie"/>
        <w:ind w:firstLine="709"/>
        <w:jc w:val="both"/>
        <w:rPr>
          <w:rFonts w:ascii="Arial" w:hAnsi="Arial" w:cs="Arial"/>
          <w:color w:val="000000" w:themeColor="text1"/>
          <w:sz w:val="18"/>
          <w:szCs w:val="18"/>
        </w:rPr>
      </w:pPr>
      <w:r w:rsidRPr="00D55715">
        <w:rPr>
          <w:rStyle w:val="Refdenotaalpie"/>
          <w:rFonts w:ascii="Arial" w:hAnsi="Arial" w:cs="Arial"/>
          <w:color w:val="000000" w:themeColor="text1"/>
          <w:sz w:val="18"/>
          <w:szCs w:val="18"/>
        </w:rPr>
        <w:footnoteRef/>
      </w:r>
      <w:r w:rsidRPr="00D55715">
        <w:rPr>
          <w:rStyle w:val="Refdenotaalpie"/>
          <w:rFonts w:ascii="Arial" w:hAnsi="Arial" w:cs="Arial"/>
          <w:color w:val="000000" w:themeColor="text1"/>
          <w:sz w:val="18"/>
          <w:szCs w:val="18"/>
        </w:rPr>
        <w:t xml:space="preserve"> </w:t>
      </w:r>
      <w:r w:rsidRPr="00D55715">
        <w:rPr>
          <w:rFonts w:ascii="Arial" w:hAnsi="Arial" w:cs="Arial"/>
          <w:color w:val="000000" w:themeColor="text1"/>
          <w:sz w:val="18"/>
          <w:szCs w:val="18"/>
        </w:rPr>
        <w:t xml:space="preserve">Ley 1150 de 2007, artículo 5, parágrafo 4°: «En aquellos procesos de selección en los que se utilice el mecanismo de subasta, los documentos referentes a la futura contratación o a proponente, no necesarios </w:t>
      </w:r>
      <w:r w:rsidRPr="0057420C">
        <w:rPr>
          <w:rFonts w:ascii="Arial" w:hAnsi="Arial" w:cs="Arial"/>
          <w:color w:val="000000" w:themeColor="text1"/>
          <w:sz w:val="18"/>
          <w:szCs w:val="18"/>
        </w:rPr>
        <w:t>para la comparación de las propuestas, deberán ser solicitados hasta el momento previo a su realización».</w:t>
      </w:r>
    </w:p>
    <w:p w14:paraId="0B24F94C" w14:textId="77777777" w:rsidR="0057420C" w:rsidRPr="0057420C" w:rsidRDefault="0057420C" w:rsidP="00F15DC4">
      <w:pPr>
        <w:pStyle w:val="Textonotapie"/>
        <w:ind w:firstLine="709"/>
        <w:jc w:val="both"/>
        <w:rPr>
          <w:rFonts w:ascii="Arial" w:hAnsi="Arial" w:cs="Arial"/>
          <w:color w:val="000000" w:themeColor="text1"/>
          <w:sz w:val="18"/>
          <w:szCs w:val="18"/>
        </w:rPr>
      </w:pPr>
    </w:p>
  </w:footnote>
  <w:footnote w:id="10">
    <w:p w14:paraId="5C9E7049" w14:textId="6B9A859B" w:rsidR="0057420C" w:rsidRDefault="0057420C" w:rsidP="0057420C">
      <w:pPr>
        <w:pStyle w:val="NormalWeb"/>
        <w:shd w:val="clear" w:color="auto" w:fill="FFFFFF"/>
        <w:spacing w:before="0" w:beforeAutospacing="0" w:after="0" w:afterAutospacing="0"/>
        <w:ind w:firstLine="708"/>
        <w:jc w:val="both"/>
        <w:rPr>
          <w:rFonts w:ascii="Arial" w:hAnsi="Arial" w:cs="Arial"/>
          <w:color w:val="333333"/>
          <w:sz w:val="18"/>
          <w:szCs w:val="18"/>
          <w:lang w:val="es-ES" w:eastAsia="en-US"/>
        </w:rPr>
      </w:pPr>
      <w:r w:rsidRPr="0057420C">
        <w:rPr>
          <w:rStyle w:val="Refdenotaalpie"/>
          <w:rFonts w:ascii="Arial" w:hAnsi="Arial" w:cs="Arial"/>
          <w:sz w:val="18"/>
          <w:szCs w:val="18"/>
        </w:rPr>
        <w:footnoteRef/>
      </w:r>
      <w:r w:rsidRPr="0057420C">
        <w:rPr>
          <w:rFonts w:ascii="Arial" w:hAnsi="Arial" w:cs="Arial"/>
          <w:sz w:val="18"/>
          <w:szCs w:val="18"/>
        </w:rPr>
        <w:t xml:space="preserve"> </w:t>
      </w:r>
      <w:r w:rsidRPr="00D55715">
        <w:rPr>
          <w:rFonts w:ascii="Arial" w:hAnsi="Arial" w:cs="Arial"/>
          <w:color w:val="000000" w:themeColor="text1"/>
          <w:sz w:val="18"/>
          <w:szCs w:val="18"/>
        </w:rPr>
        <w:t>«</w:t>
      </w:r>
      <w:r w:rsidRPr="0057420C">
        <w:rPr>
          <w:rFonts w:ascii="Arial" w:hAnsi="Arial" w:cs="Arial"/>
          <w:b/>
          <w:bCs/>
          <w:color w:val="333333"/>
          <w:sz w:val="18"/>
          <w:szCs w:val="18"/>
          <w:shd w:val="clear" w:color="auto" w:fill="FFFFFF"/>
        </w:rPr>
        <w:t>2.2.1.2.1.5.2</w:t>
      </w:r>
      <w:r w:rsidRPr="0057420C">
        <w:rPr>
          <w:rFonts w:ascii="Arial" w:hAnsi="Arial" w:cs="Arial"/>
          <w:color w:val="333333"/>
          <w:sz w:val="18"/>
          <w:szCs w:val="18"/>
          <w:lang w:val="es-ES" w:eastAsia="en-US"/>
        </w:rPr>
        <w:t xml:space="preserve">5. </w:t>
      </w:r>
      <w:r w:rsidRPr="0057420C">
        <w:rPr>
          <w:rFonts w:ascii="Arial" w:hAnsi="Arial" w:cs="Arial"/>
          <w:b/>
          <w:bCs/>
          <w:color w:val="333333"/>
          <w:sz w:val="18"/>
          <w:szCs w:val="18"/>
          <w:lang w:val="es-ES" w:eastAsia="en-US"/>
        </w:rPr>
        <w:t>Procedimiento para la contratación de mínima cuantía.</w:t>
      </w:r>
      <w:r w:rsidRPr="0057420C">
        <w:rPr>
          <w:rFonts w:ascii="Arial" w:hAnsi="Arial" w:cs="Arial"/>
          <w:color w:val="333333"/>
          <w:sz w:val="18"/>
          <w:szCs w:val="18"/>
          <w:lang w:val="es-ES" w:eastAsia="en-US"/>
        </w:rPr>
        <w:t> Las siguientes reglas son aplicables a la contratación cuyo valor no excede del diez por ciento (10%) de la menor cuantía de la Entidad Estatal, independientemente de su objeto:</w:t>
      </w:r>
    </w:p>
    <w:p w14:paraId="0C223273" w14:textId="3EC3E5DB" w:rsidR="0057420C" w:rsidRPr="0057420C" w:rsidRDefault="0057420C" w:rsidP="0057420C">
      <w:pPr>
        <w:pStyle w:val="NormalWeb"/>
        <w:shd w:val="clear" w:color="auto" w:fill="FFFFFF"/>
        <w:spacing w:before="0" w:beforeAutospacing="0" w:after="0" w:afterAutospacing="0"/>
        <w:ind w:firstLine="708"/>
        <w:jc w:val="both"/>
        <w:rPr>
          <w:rFonts w:ascii="Arial" w:hAnsi="Arial" w:cs="Arial"/>
          <w:color w:val="333333"/>
          <w:sz w:val="18"/>
          <w:szCs w:val="18"/>
          <w:lang w:val="es-ES" w:eastAsia="en-US"/>
        </w:rPr>
      </w:pPr>
      <w:r>
        <w:rPr>
          <w:rFonts w:ascii="Arial" w:hAnsi="Arial" w:cs="Arial"/>
          <w:color w:val="333333"/>
          <w:sz w:val="18"/>
          <w:szCs w:val="18"/>
          <w:lang w:val="es-ES" w:eastAsia="en-US"/>
        </w:rPr>
        <w:t>[…]</w:t>
      </w:r>
    </w:p>
    <w:p w14:paraId="2678EF86" w14:textId="151BB4AD" w:rsidR="0057420C" w:rsidRPr="0057420C" w:rsidRDefault="0057420C" w:rsidP="0057420C">
      <w:pPr>
        <w:pStyle w:val="NormalWeb"/>
        <w:shd w:val="clear" w:color="auto" w:fill="FFFFFF"/>
        <w:spacing w:before="0" w:beforeAutospacing="0" w:after="0" w:afterAutospacing="0"/>
        <w:ind w:firstLine="708"/>
        <w:jc w:val="both"/>
        <w:rPr>
          <w:rFonts w:ascii="Arial" w:hAnsi="Arial" w:cs="Arial"/>
          <w:color w:val="333333"/>
          <w:sz w:val="18"/>
          <w:szCs w:val="18"/>
          <w:lang w:val="es-ES" w:eastAsia="en-US"/>
        </w:rPr>
      </w:pPr>
      <w:r w:rsidRPr="00D55715">
        <w:rPr>
          <w:rFonts w:ascii="Arial" w:hAnsi="Arial" w:cs="Arial"/>
          <w:color w:val="000000" w:themeColor="text1"/>
          <w:sz w:val="18"/>
          <w:szCs w:val="18"/>
        </w:rPr>
        <w:t>»</w:t>
      </w:r>
      <w:r>
        <w:rPr>
          <w:rFonts w:ascii="Arial" w:hAnsi="Arial" w:cs="Arial"/>
          <w:color w:val="333333"/>
          <w:sz w:val="18"/>
          <w:szCs w:val="18"/>
          <w:lang w:val="es-ES" w:eastAsia="en-US"/>
        </w:rPr>
        <w:t xml:space="preserve">5. </w:t>
      </w:r>
      <w:r w:rsidRPr="0057420C">
        <w:rPr>
          <w:rFonts w:ascii="Arial" w:hAnsi="Arial" w:cs="Arial"/>
          <w:color w:val="333333"/>
          <w:sz w:val="18"/>
          <w:szCs w:val="18"/>
          <w:lang w:val="es-ES" w:eastAsia="en-US"/>
        </w:rPr>
        <w:t>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r:id="rId1" w:anchor="5" w:history="1">
        <w:r w:rsidRPr="0057420C">
          <w:rPr>
            <w:rFonts w:ascii="Arial" w:hAnsi="Arial" w:cs="Arial"/>
            <w:color w:val="007BFF"/>
            <w:sz w:val="18"/>
            <w:szCs w:val="18"/>
            <w:u w:val="single"/>
            <w:lang w:val="es-ES" w:eastAsia="en-US"/>
          </w:rPr>
          <w:t>5 </w:t>
        </w:r>
      </w:hyperlink>
      <w:r w:rsidRPr="0057420C">
        <w:rPr>
          <w:rFonts w:ascii="Arial" w:hAnsi="Arial" w:cs="Arial"/>
          <w:color w:val="333333"/>
          <w:sz w:val="18"/>
          <w:szCs w:val="18"/>
          <w:lang w:val="es-ES" w:eastAsia="en-U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D55715">
        <w:rPr>
          <w:rFonts w:ascii="Arial" w:hAnsi="Arial" w:cs="Arial"/>
          <w:color w:val="000000" w:themeColor="text1"/>
          <w:sz w:val="18"/>
          <w:szCs w:val="18"/>
        </w:rPr>
        <w:t>»</w:t>
      </w:r>
      <w:r w:rsidRPr="0057420C">
        <w:rPr>
          <w:rFonts w:ascii="Arial" w:hAnsi="Arial" w:cs="Arial"/>
          <w:color w:val="333333"/>
          <w:sz w:val="18"/>
          <w:szCs w:val="18"/>
          <w:lang w:val="es-ES" w:eastAsia="en-US"/>
        </w:rPr>
        <w:t>.</w:t>
      </w:r>
    </w:p>
    <w:p w14:paraId="22A2B115" w14:textId="2BAE5ABA" w:rsidR="0057420C" w:rsidRPr="0057420C" w:rsidRDefault="0057420C">
      <w:pPr>
        <w:pStyle w:val="Textonotapie"/>
        <w:rPr>
          <w:lang w:val="es-ES"/>
        </w:rPr>
      </w:pPr>
    </w:p>
  </w:footnote>
  <w:footnote w:id="11">
    <w:p w14:paraId="32661E9D" w14:textId="77777777" w:rsidR="00F15DC4" w:rsidRPr="00D55715" w:rsidRDefault="00F15DC4" w:rsidP="00F15DC4">
      <w:pPr>
        <w:pStyle w:val="Textonotapie"/>
        <w:ind w:firstLine="709"/>
        <w:jc w:val="both"/>
        <w:rPr>
          <w:rFonts w:ascii="Arial" w:hAnsi="Arial" w:cs="Arial"/>
          <w:color w:val="000000" w:themeColor="text1"/>
          <w:sz w:val="18"/>
          <w:szCs w:val="18"/>
        </w:rPr>
      </w:pPr>
      <w:r w:rsidRPr="00D55715">
        <w:rPr>
          <w:rStyle w:val="Refdenotaalpie"/>
          <w:rFonts w:ascii="Arial" w:hAnsi="Arial" w:cs="Arial"/>
          <w:color w:val="000000" w:themeColor="text1"/>
          <w:sz w:val="18"/>
          <w:szCs w:val="18"/>
        </w:rPr>
        <w:footnoteRef/>
      </w:r>
      <w:r w:rsidRPr="00D55715">
        <w:rPr>
          <w:rFonts w:ascii="Arial" w:hAnsi="Arial" w:cs="Arial"/>
          <w:color w:val="000000" w:themeColor="text1"/>
          <w:sz w:val="18"/>
          <w:szCs w:val="18"/>
        </w:rPr>
        <w:t xml:space="preserve"> «Sin embargo, debe tenerse en cuenta que la última norma en cita -Decreto 2474 de 2008, aparte subrayado-, establece un límite a la </w:t>
      </w:r>
      <w:proofErr w:type="spellStart"/>
      <w:r w:rsidRPr="00D55715">
        <w:rPr>
          <w:rFonts w:ascii="Arial" w:hAnsi="Arial" w:cs="Arial"/>
          <w:color w:val="000000" w:themeColor="text1"/>
          <w:sz w:val="18"/>
          <w:szCs w:val="18"/>
        </w:rPr>
        <w:t>subsanabilidad</w:t>
      </w:r>
      <w:proofErr w:type="spellEnd"/>
      <w:r w:rsidRPr="00D55715">
        <w:rPr>
          <w:rFonts w:ascii="Arial" w:hAnsi="Arial" w:cs="Arial"/>
          <w:color w:val="000000" w:themeColor="text1"/>
          <w:sz w:val="18"/>
          <w:szCs w:val="18"/>
        </w:rPr>
        <w:t>, puesto que en cualquier caso debe referirse o recaer sobre circunstancias ocurridas antes del cierre del respectivo proceso, esto es, del vencimiento del plazo para presentar ofertas.</w:t>
      </w:r>
    </w:p>
    <w:p w14:paraId="12B1472D" w14:textId="77777777" w:rsidR="00F15DC4" w:rsidRPr="00D55715" w:rsidRDefault="00F15DC4" w:rsidP="00F15DC4">
      <w:pPr>
        <w:pStyle w:val="Textonotapie"/>
        <w:ind w:firstLine="709"/>
        <w:jc w:val="both"/>
        <w:rPr>
          <w:rFonts w:ascii="Arial" w:hAnsi="Arial" w:cs="Arial"/>
          <w:color w:val="000000" w:themeColor="text1"/>
          <w:sz w:val="18"/>
          <w:szCs w:val="18"/>
        </w:rPr>
      </w:pPr>
      <w:proofErr w:type="gramStart"/>
      <w:r w:rsidRPr="00D55715">
        <w:rPr>
          <w:rFonts w:ascii="Arial" w:hAnsi="Arial" w:cs="Arial"/>
          <w:color w:val="000000" w:themeColor="text1"/>
          <w:sz w:val="18"/>
          <w:szCs w:val="18"/>
        </w:rPr>
        <w:t>»De</w:t>
      </w:r>
      <w:proofErr w:type="gramEnd"/>
      <w:r w:rsidRPr="00D55715">
        <w:rPr>
          <w:rFonts w:ascii="Arial" w:hAnsi="Arial" w:cs="Arial"/>
          <w:color w:val="000000" w:themeColor="text1"/>
          <w:sz w:val="18"/>
          <w:szCs w:val="18"/>
        </w:rPr>
        <w:t xml:space="preserv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D55715">
        <w:rPr>
          <w:rFonts w:ascii="Arial" w:hAnsi="Arial" w:cs="Arial"/>
          <w:color w:val="000000" w:themeColor="text1"/>
          <w:sz w:val="18"/>
          <w:szCs w:val="18"/>
        </w:rPr>
        <w:t>la misma</w:t>
      </w:r>
      <w:proofErr w:type="gramEnd"/>
      <w:r w:rsidRPr="00D55715">
        <w:rPr>
          <w:rFonts w:ascii="Arial" w:hAnsi="Arial" w:cs="Arial"/>
          <w:color w:val="000000" w:themeColor="text1"/>
          <w:sz w:val="18"/>
          <w:szCs w:val="18"/>
        </w:rPr>
        <w:t>,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36045088" w14:textId="77777777" w:rsidR="00F15DC4" w:rsidRPr="00D55715" w:rsidRDefault="00F15DC4" w:rsidP="00F15DC4">
      <w:pPr>
        <w:pStyle w:val="Textonotapie"/>
        <w:ind w:firstLine="709"/>
        <w:jc w:val="both"/>
        <w:rPr>
          <w:rFonts w:ascii="Arial" w:hAnsi="Arial" w:cs="Arial"/>
          <w:color w:val="000000" w:themeColor="text1"/>
          <w:sz w:val="18"/>
          <w:szCs w:val="18"/>
        </w:rPr>
      </w:pPr>
    </w:p>
  </w:footnote>
  <w:footnote w:id="12">
    <w:p w14:paraId="5E923A4F" w14:textId="77777777" w:rsidR="00F15DC4" w:rsidRPr="00D55715" w:rsidRDefault="00F15DC4" w:rsidP="00F15DC4">
      <w:pPr>
        <w:pStyle w:val="Textonotapie"/>
        <w:ind w:firstLine="709"/>
        <w:jc w:val="both"/>
        <w:rPr>
          <w:rFonts w:ascii="Arial" w:hAnsi="Arial" w:cs="Arial"/>
          <w:color w:val="000000" w:themeColor="text1"/>
          <w:sz w:val="18"/>
          <w:szCs w:val="18"/>
        </w:rPr>
      </w:pPr>
      <w:r w:rsidRPr="00D55715">
        <w:rPr>
          <w:rStyle w:val="Refdenotaalpie"/>
          <w:rFonts w:ascii="Arial" w:hAnsi="Arial" w:cs="Arial"/>
          <w:color w:val="000000" w:themeColor="text1"/>
          <w:sz w:val="18"/>
          <w:szCs w:val="18"/>
        </w:rPr>
        <w:footnoteRef/>
      </w:r>
      <w:r w:rsidRPr="00D55715">
        <w:rPr>
          <w:rFonts w:ascii="Arial" w:hAnsi="Arial" w:cs="Arial"/>
          <w:color w:val="000000" w:themeColor="text1"/>
          <w:sz w:val="18"/>
          <w:szCs w:val="18"/>
        </w:rPr>
        <w:t xml:space="preserve"> Ver Consejo de Estado, Sección Tercera, Subsección C. Sentencia del 26 de febrero de 2011. C.P. Jaime Orlando Santofimio. Rad. 36.408.  </w:t>
      </w:r>
    </w:p>
    <w:p w14:paraId="2AD3DECA" w14:textId="77777777" w:rsidR="00F15DC4" w:rsidRPr="00D55715" w:rsidRDefault="00F15DC4" w:rsidP="00F15DC4">
      <w:pPr>
        <w:pStyle w:val="Textonotapie"/>
        <w:ind w:firstLine="709"/>
        <w:jc w:val="both"/>
        <w:rPr>
          <w:rFonts w:ascii="Arial" w:hAnsi="Arial" w:cs="Arial"/>
          <w:color w:val="000000" w:themeColor="text1"/>
          <w:sz w:val="18"/>
          <w:szCs w:val="18"/>
        </w:rPr>
      </w:pPr>
    </w:p>
  </w:footnote>
  <w:footnote w:id="13">
    <w:p w14:paraId="1D16A90D" w14:textId="77777777" w:rsidR="00F15DC4" w:rsidRPr="00D55715" w:rsidRDefault="00F15DC4" w:rsidP="00F15DC4">
      <w:pPr>
        <w:pStyle w:val="Textonotapie"/>
        <w:ind w:firstLine="709"/>
        <w:jc w:val="both"/>
        <w:rPr>
          <w:rFonts w:ascii="Arial" w:hAnsi="Arial" w:cs="Arial"/>
          <w:color w:val="000000" w:themeColor="text1"/>
          <w:sz w:val="18"/>
          <w:szCs w:val="18"/>
        </w:rPr>
      </w:pPr>
      <w:r w:rsidRPr="00D55715">
        <w:rPr>
          <w:rStyle w:val="Refdenotaalpie"/>
          <w:rFonts w:ascii="Arial" w:hAnsi="Arial" w:cs="Arial"/>
          <w:color w:val="000000" w:themeColor="text1"/>
          <w:sz w:val="18"/>
          <w:szCs w:val="18"/>
        </w:rPr>
        <w:footnoteRef/>
      </w:r>
      <w:r w:rsidRPr="00D55715">
        <w:rPr>
          <w:rFonts w:ascii="Arial" w:hAnsi="Arial" w:cs="Arial"/>
          <w:color w:val="000000" w:themeColor="text1"/>
          <w:sz w:val="18"/>
          <w:szCs w:val="18"/>
        </w:rPr>
        <w:t xml:space="preserve"> Ver Consejo de Estado, Sección Tercera, Subsección C. Sentencia del 26 de febrero de 2014. C.P. Enrique Gil Botero. Rad. 25.804.  </w:t>
      </w:r>
    </w:p>
    <w:p w14:paraId="09601E02" w14:textId="77777777" w:rsidR="00F15DC4" w:rsidRPr="00D55715" w:rsidRDefault="00F15DC4" w:rsidP="00F15DC4">
      <w:pPr>
        <w:pStyle w:val="Textonotapie"/>
        <w:ind w:firstLine="709"/>
        <w:jc w:val="both"/>
        <w:rPr>
          <w:rFonts w:ascii="Arial" w:hAnsi="Arial" w:cs="Arial"/>
          <w:color w:val="000000" w:themeColor="text1"/>
          <w:sz w:val="18"/>
          <w:szCs w:val="18"/>
        </w:rPr>
      </w:pPr>
    </w:p>
  </w:footnote>
  <w:footnote w:id="14">
    <w:p w14:paraId="476BF4BD" w14:textId="77777777" w:rsidR="00F15DC4" w:rsidRPr="00D55715" w:rsidRDefault="00F15DC4" w:rsidP="00F15DC4">
      <w:pPr>
        <w:pStyle w:val="Textonotapie"/>
        <w:ind w:firstLine="709"/>
        <w:jc w:val="both"/>
        <w:rPr>
          <w:rFonts w:ascii="Arial" w:hAnsi="Arial" w:cs="Arial"/>
          <w:color w:val="000000" w:themeColor="text1"/>
          <w:sz w:val="18"/>
          <w:szCs w:val="18"/>
        </w:rPr>
      </w:pPr>
      <w:r w:rsidRPr="00D55715">
        <w:rPr>
          <w:rStyle w:val="Refdenotaalpie"/>
          <w:rFonts w:ascii="Arial" w:hAnsi="Arial" w:cs="Arial"/>
          <w:color w:val="000000" w:themeColor="text1"/>
          <w:sz w:val="18"/>
          <w:szCs w:val="18"/>
        </w:rPr>
        <w:footnoteRef/>
      </w:r>
      <w:r w:rsidRPr="00D55715">
        <w:rPr>
          <w:rFonts w:ascii="Arial" w:hAnsi="Arial" w:cs="Arial"/>
          <w:color w:val="000000" w:themeColor="text1"/>
          <w:sz w:val="18"/>
          <w:szCs w:val="18"/>
        </w:rPr>
        <w:t xml:space="preserve"> Consejo de Estado. Sala de Consulta y Servicio Civil. Concepto del 20 de mayo de 2010. Expediente: 1992. Consejero Ponente: Enrique José Arboleda Perdomo.</w:t>
      </w:r>
    </w:p>
    <w:p w14:paraId="1398D17A" w14:textId="77777777" w:rsidR="00F15DC4" w:rsidRPr="00D55715" w:rsidRDefault="00F15DC4" w:rsidP="00F15DC4">
      <w:pPr>
        <w:pStyle w:val="Textonotapie"/>
        <w:ind w:firstLine="709"/>
        <w:jc w:val="both"/>
        <w:rPr>
          <w:rFonts w:ascii="Arial" w:hAnsi="Arial" w:cs="Arial"/>
          <w:color w:val="000000" w:themeColor="text1"/>
          <w:sz w:val="18"/>
          <w:szCs w:val="18"/>
        </w:rPr>
      </w:pPr>
    </w:p>
  </w:footnote>
  <w:footnote w:id="15">
    <w:p w14:paraId="61B65B9E" w14:textId="77777777" w:rsidR="00A0782F" w:rsidRPr="00D55715" w:rsidRDefault="00A0782F" w:rsidP="00A0782F">
      <w:pPr>
        <w:pStyle w:val="Textonotapie"/>
        <w:ind w:firstLine="709"/>
        <w:jc w:val="both"/>
        <w:rPr>
          <w:rFonts w:ascii="Arial" w:hAnsi="Arial" w:cs="Arial"/>
          <w:color w:val="000000" w:themeColor="text1"/>
          <w:sz w:val="18"/>
          <w:szCs w:val="18"/>
        </w:rPr>
      </w:pPr>
      <w:r w:rsidRPr="00D55715">
        <w:rPr>
          <w:rStyle w:val="Refdenotaalpie"/>
          <w:rFonts w:ascii="Arial" w:hAnsi="Arial" w:cs="Arial"/>
          <w:color w:val="000000" w:themeColor="text1"/>
          <w:sz w:val="18"/>
          <w:szCs w:val="18"/>
        </w:rPr>
        <w:footnoteRef/>
      </w:r>
      <w:r w:rsidRPr="00D55715">
        <w:rPr>
          <w:rFonts w:ascii="Arial" w:hAnsi="Arial" w:cs="Arial"/>
          <w:color w:val="000000" w:themeColor="text1"/>
          <w:sz w:val="18"/>
          <w:szCs w:val="18"/>
        </w:rPr>
        <w:t xml:space="preserve"> Ver Consejo de Estado, Sección Tercera, Subsección C. Sentencia del 26 de febrero de 2011. C.P. Jaime Orlando Santofimio. Rad. 36.408.  </w:t>
      </w:r>
    </w:p>
    <w:p w14:paraId="2BE5999C" w14:textId="77777777" w:rsidR="00A0782F" w:rsidRPr="00D55715" w:rsidRDefault="00A0782F" w:rsidP="00A0782F">
      <w:pPr>
        <w:pStyle w:val="Textonotapie"/>
        <w:ind w:firstLine="709"/>
        <w:jc w:val="both"/>
        <w:rPr>
          <w:rFonts w:ascii="Arial" w:hAnsi="Arial" w:cs="Arial"/>
          <w:color w:val="000000" w:themeColor="text1"/>
          <w:sz w:val="18"/>
          <w:szCs w:val="18"/>
        </w:rPr>
      </w:pPr>
    </w:p>
  </w:footnote>
  <w:footnote w:id="16">
    <w:p w14:paraId="2242CE04" w14:textId="77777777" w:rsidR="00A0782F" w:rsidRPr="00D55715" w:rsidRDefault="00A0782F" w:rsidP="00A0782F">
      <w:pPr>
        <w:pStyle w:val="Textonotapie"/>
        <w:ind w:firstLine="709"/>
        <w:jc w:val="both"/>
        <w:rPr>
          <w:rFonts w:ascii="Arial" w:hAnsi="Arial" w:cs="Arial"/>
          <w:color w:val="000000" w:themeColor="text1"/>
          <w:sz w:val="18"/>
          <w:szCs w:val="18"/>
        </w:rPr>
      </w:pPr>
      <w:r w:rsidRPr="00D55715">
        <w:rPr>
          <w:rStyle w:val="Refdenotaalpie"/>
          <w:rFonts w:ascii="Arial" w:hAnsi="Arial" w:cs="Arial"/>
          <w:color w:val="000000" w:themeColor="text1"/>
          <w:sz w:val="18"/>
          <w:szCs w:val="18"/>
        </w:rPr>
        <w:footnoteRef/>
      </w:r>
      <w:r w:rsidRPr="00D55715">
        <w:rPr>
          <w:rFonts w:ascii="Arial" w:hAnsi="Arial" w:cs="Arial"/>
          <w:color w:val="000000" w:themeColor="text1"/>
          <w:sz w:val="18"/>
          <w:szCs w:val="18"/>
        </w:rPr>
        <w:t xml:space="preserve"> Ver Consejo de Estado, Sección Tercera, Subsección C. Sentencia del 26 de febrero de 2014. C.P. Enrique Gil Botero. Rad. 25.804.  </w:t>
      </w:r>
    </w:p>
    <w:p w14:paraId="77E628D8" w14:textId="77777777" w:rsidR="00A0782F" w:rsidRPr="00D55715" w:rsidRDefault="00A0782F" w:rsidP="00A0782F">
      <w:pPr>
        <w:pStyle w:val="Textonotapie"/>
        <w:ind w:firstLine="709"/>
        <w:jc w:val="both"/>
        <w:rPr>
          <w:rFonts w:ascii="Arial" w:hAnsi="Arial"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F3E44" w:rsidRDefault="006F3E4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A52DAB"/>
    <w:multiLevelType w:val="hybridMultilevel"/>
    <w:tmpl w:val="CAFA1A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4153D9"/>
    <w:multiLevelType w:val="hybridMultilevel"/>
    <w:tmpl w:val="19B6BD7E"/>
    <w:lvl w:ilvl="0" w:tplc="7F44D50E">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7"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E4B4E17"/>
    <w:multiLevelType w:val="hybridMultilevel"/>
    <w:tmpl w:val="5D6978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6"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0"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8"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39"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0"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1"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3"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755543037">
    <w:abstractNumId w:val="20"/>
  </w:num>
  <w:num w:numId="2" w16cid:durableId="1138449949">
    <w:abstractNumId w:val="18"/>
  </w:num>
  <w:num w:numId="3" w16cid:durableId="1002313518">
    <w:abstractNumId w:val="27"/>
  </w:num>
  <w:num w:numId="4" w16cid:durableId="45229392">
    <w:abstractNumId w:val="33"/>
  </w:num>
  <w:num w:numId="5" w16cid:durableId="1904170741">
    <w:abstractNumId w:val="37"/>
  </w:num>
  <w:num w:numId="6" w16cid:durableId="272638269">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72735139">
    <w:abstractNumId w:val="35"/>
  </w:num>
  <w:num w:numId="8" w16cid:durableId="1250428264">
    <w:abstractNumId w:val="2"/>
  </w:num>
  <w:num w:numId="9" w16cid:durableId="1223710411">
    <w:abstractNumId w:val="13"/>
  </w:num>
  <w:num w:numId="10" w16cid:durableId="6147563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807648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90472990">
    <w:abstractNumId w:val="19"/>
  </w:num>
  <w:num w:numId="13" w16cid:durableId="1471901941">
    <w:abstractNumId w:val="25"/>
  </w:num>
  <w:num w:numId="14" w16cid:durableId="178659593">
    <w:abstractNumId w:val="17"/>
  </w:num>
  <w:num w:numId="15" w16cid:durableId="1661152381">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9610219">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97392317">
    <w:abstractNumId w:val="40"/>
  </w:num>
  <w:num w:numId="18" w16cid:durableId="1283654203">
    <w:abstractNumId w:val="28"/>
  </w:num>
  <w:num w:numId="19" w16cid:durableId="1485471609">
    <w:abstractNumId w:val="10"/>
  </w:num>
  <w:num w:numId="20" w16cid:durableId="266817173">
    <w:abstractNumId w:val="41"/>
  </w:num>
  <w:num w:numId="21" w16cid:durableId="1826125378">
    <w:abstractNumId w:val="32"/>
  </w:num>
  <w:num w:numId="22" w16cid:durableId="473179790">
    <w:abstractNumId w:val="15"/>
  </w:num>
  <w:num w:numId="23" w16cid:durableId="1827163487">
    <w:abstractNumId w:val="14"/>
  </w:num>
  <w:num w:numId="24" w16cid:durableId="1014528674">
    <w:abstractNumId w:val="38"/>
  </w:num>
  <w:num w:numId="25" w16cid:durableId="509220580">
    <w:abstractNumId w:val="34"/>
  </w:num>
  <w:num w:numId="26" w16cid:durableId="983776886">
    <w:abstractNumId w:val="12"/>
  </w:num>
  <w:num w:numId="27" w16cid:durableId="557978441">
    <w:abstractNumId w:val="29"/>
  </w:num>
  <w:num w:numId="28" w16cid:durableId="8640550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72454960">
    <w:abstractNumId w:val="24"/>
  </w:num>
  <w:num w:numId="30" w16cid:durableId="1990742520">
    <w:abstractNumId w:val="3"/>
  </w:num>
  <w:num w:numId="31" w16cid:durableId="248464353">
    <w:abstractNumId w:val="1"/>
  </w:num>
  <w:num w:numId="32" w16cid:durableId="255019944">
    <w:abstractNumId w:val="26"/>
  </w:num>
  <w:num w:numId="33" w16cid:durableId="1187258660">
    <w:abstractNumId w:val="6"/>
  </w:num>
  <w:num w:numId="34" w16cid:durableId="952129354">
    <w:abstractNumId w:val="4"/>
  </w:num>
  <w:num w:numId="35" w16cid:durableId="1818646025">
    <w:abstractNumId w:val="31"/>
  </w:num>
  <w:num w:numId="36" w16cid:durableId="1083184005">
    <w:abstractNumId w:val="30"/>
  </w:num>
  <w:num w:numId="37" w16cid:durableId="1241788615">
    <w:abstractNumId w:val="11"/>
  </w:num>
  <w:num w:numId="38" w16cid:durableId="973099378">
    <w:abstractNumId w:val="16"/>
  </w:num>
  <w:num w:numId="39" w16cid:durableId="321736662">
    <w:abstractNumId w:val="43"/>
  </w:num>
  <w:num w:numId="40" w16cid:durableId="935136416">
    <w:abstractNumId w:val="39"/>
  </w:num>
  <w:num w:numId="41" w16cid:durableId="766463672">
    <w:abstractNumId w:val="23"/>
  </w:num>
  <w:num w:numId="42" w16cid:durableId="1313951503">
    <w:abstractNumId w:val="22"/>
  </w:num>
  <w:num w:numId="43" w16cid:durableId="238177596">
    <w:abstractNumId w:val="7"/>
  </w:num>
  <w:num w:numId="44" w16cid:durableId="901448887">
    <w:abstractNumId w:val="42"/>
  </w:num>
  <w:num w:numId="45" w16cid:durableId="1875923070">
    <w:abstractNumId w:val="8"/>
  </w:num>
  <w:num w:numId="46" w16cid:durableId="885291687">
    <w:abstractNumId w:val="0"/>
  </w:num>
  <w:num w:numId="47" w16cid:durableId="20268987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532"/>
    <w:rsid w:val="00012B9E"/>
    <w:rsid w:val="00012F37"/>
    <w:rsid w:val="00012FBA"/>
    <w:rsid w:val="00013B5D"/>
    <w:rsid w:val="00013C6B"/>
    <w:rsid w:val="0001406B"/>
    <w:rsid w:val="000143F8"/>
    <w:rsid w:val="00014624"/>
    <w:rsid w:val="00015642"/>
    <w:rsid w:val="00015B44"/>
    <w:rsid w:val="00015E3E"/>
    <w:rsid w:val="00016081"/>
    <w:rsid w:val="000165AC"/>
    <w:rsid w:val="00016651"/>
    <w:rsid w:val="00016B60"/>
    <w:rsid w:val="000171A2"/>
    <w:rsid w:val="00017B65"/>
    <w:rsid w:val="00020158"/>
    <w:rsid w:val="000207E0"/>
    <w:rsid w:val="000207FF"/>
    <w:rsid w:val="000209E2"/>
    <w:rsid w:val="00020F8F"/>
    <w:rsid w:val="00021A95"/>
    <w:rsid w:val="0002256F"/>
    <w:rsid w:val="00023DAE"/>
    <w:rsid w:val="00024855"/>
    <w:rsid w:val="00024896"/>
    <w:rsid w:val="00025BAD"/>
    <w:rsid w:val="00025D0A"/>
    <w:rsid w:val="000263F0"/>
    <w:rsid w:val="00026407"/>
    <w:rsid w:val="00026608"/>
    <w:rsid w:val="00027787"/>
    <w:rsid w:val="000278D2"/>
    <w:rsid w:val="0002797C"/>
    <w:rsid w:val="00030E2A"/>
    <w:rsid w:val="00030F54"/>
    <w:rsid w:val="00031364"/>
    <w:rsid w:val="000315E1"/>
    <w:rsid w:val="0003236E"/>
    <w:rsid w:val="0003339A"/>
    <w:rsid w:val="000341F2"/>
    <w:rsid w:val="00034EA8"/>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8B1"/>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C1C"/>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D06"/>
    <w:rsid w:val="00061EAE"/>
    <w:rsid w:val="00062BDF"/>
    <w:rsid w:val="00062CDD"/>
    <w:rsid w:val="00062F44"/>
    <w:rsid w:val="00063AD6"/>
    <w:rsid w:val="000640AF"/>
    <w:rsid w:val="00064940"/>
    <w:rsid w:val="00064CAE"/>
    <w:rsid w:val="00064DB7"/>
    <w:rsid w:val="00064FA7"/>
    <w:rsid w:val="00065195"/>
    <w:rsid w:val="0006536C"/>
    <w:rsid w:val="00065706"/>
    <w:rsid w:val="00065D20"/>
    <w:rsid w:val="0006626E"/>
    <w:rsid w:val="000701A0"/>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178"/>
    <w:rsid w:val="0008686B"/>
    <w:rsid w:val="00086B2A"/>
    <w:rsid w:val="00086C11"/>
    <w:rsid w:val="00086ED2"/>
    <w:rsid w:val="000914D6"/>
    <w:rsid w:val="00091569"/>
    <w:rsid w:val="00092057"/>
    <w:rsid w:val="00092CDB"/>
    <w:rsid w:val="00092DCA"/>
    <w:rsid w:val="0009340B"/>
    <w:rsid w:val="000936F7"/>
    <w:rsid w:val="00093CA0"/>
    <w:rsid w:val="00093ECD"/>
    <w:rsid w:val="000942EB"/>
    <w:rsid w:val="000954FA"/>
    <w:rsid w:val="00095607"/>
    <w:rsid w:val="00095B70"/>
    <w:rsid w:val="00095E38"/>
    <w:rsid w:val="0009617E"/>
    <w:rsid w:val="0009628D"/>
    <w:rsid w:val="0009663F"/>
    <w:rsid w:val="0009670F"/>
    <w:rsid w:val="00097022"/>
    <w:rsid w:val="000979CF"/>
    <w:rsid w:val="000A03C8"/>
    <w:rsid w:val="000A05F2"/>
    <w:rsid w:val="000A06C4"/>
    <w:rsid w:val="000A0861"/>
    <w:rsid w:val="000A0EC4"/>
    <w:rsid w:val="000A0ED1"/>
    <w:rsid w:val="000A10A1"/>
    <w:rsid w:val="000A1258"/>
    <w:rsid w:val="000A12DB"/>
    <w:rsid w:val="000A17C8"/>
    <w:rsid w:val="000A1B74"/>
    <w:rsid w:val="000A20AD"/>
    <w:rsid w:val="000A20D7"/>
    <w:rsid w:val="000A2128"/>
    <w:rsid w:val="000A2142"/>
    <w:rsid w:val="000A2FD7"/>
    <w:rsid w:val="000A31FB"/>
    <w:rsid w:val="000A362F"/>
    <w:rsid w:val="000A3B49"/>
    <w:rsid w:val="000A41FF"/>
    <w:rsid w:val="000A464B"/>
    <w:rsid w:val="000A46FE"/>
    <w:rsid w:val="000A47E6"/>
    <w:rsid w:val="000A4810"/>
    <w:rsid w:val="000A52C0"/>
    <w:rsid w:val="000A5836"/>
    <w:rsid w:val="000A5AAF"/>
    <w:rsid w:val="000A5F97"/>
    <w:rsid w:val="000A600A"/>
    <w:rsid w:val="000A648E"/>
    <w:rsid w:val="000A6E0A"/>
    <w:rsid w:val="000A73BB"/>
    <w:rsid w:val="000A73E8"/>
    <w:rsid w:val="000A7E0E"/>
    <w:rsid w:val="000A7EF4"/>
    <w:rsid w:val="000B081A"/>
    <w:rsid w:val="000B0A15"/>
    <w:rsid w:val="000B103F"/>
    <w:rsid w:val="000B1437"/>
    <w:rsid w:val="000B1470"/>
    <w:rsid w:val="000B17EC"/>
    <w:rsid w:val="000B244D"/>
    <w:rsid w:val="000B248A"/>
    <w:rsid w:val="000B2B86"/>
    <w:rsid w:val="000B2B8A"/>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BF5"/>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FDC"/>
    <w:rsid w:val="000D490B"/>
    <w:rsid w:val="000D4E38"/>
    <w:rsid w:val="000D50DB"/>
    <w:rsid w:val="000D5E5C"/>
    <w:rsid w:val="000D6288"/>
    <w:rsid w:val="000D753A"/>
    <w:rsid w:val="000D7541"/>
    <w:rsid w:val="000D75E1"/>
    <w:rsid w:val="000E0266"/>
    <w:rsid w:val="000E14CE"/>
    <w:rsid w:val="000E1FF3"/>
    <w:rsid w:val="000E22CF"/>
    <w:rsid w:val="000E2977"/>
    <w:rsid w:val="000E2CC0"/>
    <w:rsid w:val="000E30AC"/>
    <w:rsid w:val="000E3B46"/>
    <w:rsid w:val="000E3E11"/>
    <w:rsid w:val="000E42E4"/>
    <w:rsid w:val="000E44ED"/>
    <w:rsid w:val="000E4596"/>
    <w:rsid w:val="000E4B94"/>
    <w:rsid w:val="000E4D50"/>
    <w:rsid w:val="000E5768"/>
    <w:rsid w:val="000E5843"/>
    <w:rsid w:val="000E5948"/>
    <w:rsid w:val="000E6139"/>
    <w:rsid w:val="000E653C"/>
    <w:rsid w:val="000E6BE1"/>
    <w:rsid w:val="000E73E1"/>
    <w:rsid w:val="000E7E0B"/>
    <w:rsid w:val="000F0136"/>
    <w:rsid w:val="000F078A"/>
    <w:rsid w:val="000F122D"/>
    <w:rsid w:val="000F1450"/>
    <w:rsid w:val="000F14E8"/>
    <w:rsid w:val="000F1BBD"/>
    <w:rsid w:val="000F290F"/>
    <w:rsid w:val="000F30E1"/>
    <w:rsid w:val="000F4403"/>
    <w:rsid w:val="000F480B"/>
    <w:rsid w:val="000F4E17"/>
    <w:rsid w:val="000F5615"/>
    <w:rsid w:val="000F6578"/>
    <w:rsid w:val="000F6A40"/>
    <w:rsid w:val="000F722C"/>
    <w:rsid w:val="000F7E8F"/>
    <w:rsid w:val="000F7FBB"/>
    <w:rsid w:val="001000FB"/>
    <w:rsid w:val="00100A9E"/>
    <w:rsid w:val="00100F6A"/>
    <w:rsid w:val="001010DA"/>
    <w:rsid w:val="001015F2"/>
    <w:rsid w:val="001022AE"/>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96"/>
    <w:rsid w:val="001068EB"/>
    <w:rsid w:val="00107586"/>
    <w:rsid w:val="001078CE"/>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1A9"/>
    <w:rsid w:val="00123E27"/>
    <w:rsid w:val="00123FB5"/>
    <w:rsid w:val="0012400F"/>
    <w:rsid w:val="001249DC"/>
    <w:rsid w:val="00125630"/>
    <w:rsid w:val="0012572D"/>
    <w:rsid w:val="00125BED"/>
    <w:rsid w:val="00125C59"/>
    <w:rsid w:val="00125D4F"/>
    <w:rsid w:val="00127004"/>
    <w:rsid w:val="001278C5"/>
    <w:rsid w:val="00127AF2"/>
    <w:rsid w:val="00127EDC"/>
    <w:rsid w:val="00127F42"/>
    <w:rsid w:val="00127F6D"/>
    <w:rsid w:val="00130355"/>
    <w:rsid w:val="00130365"/>
    <w:rsid w:val="001304E5"/>
    <w:rsid w:val="00130823"/>
    <w:rsid w:val="00130C0F"/>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0"/>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9DC"/>
    <w:rsid w:val="00150ACB"/>
    <w:rsid w:val="00151AEB"/>
    <w:rsid w:val="00151B99"/>
    <w:rsid w:val="001521B2"/>
    <w:rsid w:val="0015241B"/>
    <w:rsid w:val="00152EDD"/>
    <w:rsid w:val="00153491"/>
    <w:rsid w:val="0015361C"/>
    <w:rsid w:val="0015372F"/>
    <w:rsid w:val="00153A51"/>
    <w:rsid w:val="00153BFB"/>
    <w:rsid w:val="0015407E"/>
    <w:rsid w:val="0015448E"/>
    <w:rsid w:val="00154A6F"/>
    <w:rsid w:val="00154B26"/>
    <w:rsid w:val="00155D08"/>
    <w:rsid w:val="0015623B"/>
    <w:rsid w:val="00156BE5"/>
    <w:rsid w:val="00157226"/>
    <w:rsid w:val="00157232"/>
    <w:rsid w:val="00160401"/>
    <w:rsid w:val="00160D4E"/>
    <w:rsid w:val="001619DB"/>
    <w:rsid w:val="00161DDA"/>
    <w:rsid w:val="00161E62"/>
    <w:rsid w:val="00161F1C"/>
    <w:rsid w:val="0016200B"/>
    <w:rsid w:val="0016204B"/>
    <w:rsid w:val="00162552"/>
    <w:rsid w:val="001626FA"/>
    <w:rsid w:val="00163C03"/>
    <w:rsid w:val="00163D7A"/>
    <w:rsid w:val="00164281"/>
    <w:rsid w:val="00164B1A"/>
    <w:rsid w:val="00165703"/>
    <w:rsid w:val="001661B9"/>
    <w:rsid w:val="00166204"/>
    <w:rsid w:val="0016685F"/>
    <w:rsid w:val="0016712F"/>
    <w:rsid w:val="00167503"/>
    <w:rsid w:val="001676A9"/>
    <w:rsid w:val="00167A15"/>
    <w:rsid w:val="00167A50"/>
    <w:rsid w:val="00167D1A"/>
    <w:rsid w:val="00167DF5"/>
    <w:rsid w:val="00167ED3"/>
    <w:rsid w:val="00170001"/>
    <w:rsid w:val="00170472"/>
    <w:rsid w:val="00172198"/>
    <w:rsid w:val="0017236C"/>
    <w:rsid w:val="00172612"/>
    <w:rsid w:val="00172817"/>
    <w:rsid w:val="001734E3"/>
    <w:rsid w:val="001742BF"/>
    <w:rsid w:val="001742E1"/>
    <w:rsid w:val="00175E49"/>
    <w:rsid w:val="0017649F"/>
    <w:rsid w:val="0017655B"/>
    <w:rsid w:val="001805C1"/>
    <w:rsid w:val="00180A2E"/>
    <w:rsid w:val="001813AF"/>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5B"/>
    <w:rsid w:val="00187ABD"/>
    <w:rsid w:val="001904E3"/>
    <w:rsid w:val="0019087A"/>
    <w:rsid w:val="00191753"/>
    <w:rsid w:val="00191C5A"/>
    <w:rsid w:val="00191CEB"/>
    <w:rsid w:val="00191E63"/>
    <w:rsid w:val="00192D68"/>
    <w:rsid w:val="00192E04"/>
    <w:rsid w:val="00192F9B"/>
    <w:rsid w:val="0019388B"/>
    <w:rsid w:val="00193ADE"/>
    <w:rsid w:val="00193B9A"/>
    <w:rsid w:val="00193EEE"/>
    <w:rsid w:val="001940B3"/>
    <w:rsid w:val="001940ED"/>
    <w:rsid w:val="001946AE"/>
    <w:rsid w:val="001946D5"/>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A9B"/>
    <w:rsid w:val="001A4DAF"/>
    <w:rsid w:val="001A4F82"/>
    <w:rsid w:val="001A54CD"/>
    <w:rsid w:val="001A66DF"/>
    <w:rsid w:val="001A67D0"/>
    <w:rsid w:val="001A6863"/>
    <w:rsid w:val="001A7591"/>
    <w:rsid w:val="001A75B1"/>
    <w:rsid w:val="001A7B06"/>
    <w:rsid w:val="001B0366"/>
    <w:rsid w:val="001B0444"/>
    <w:rsid w:val="001B06E9"/>
    <w:rsid w:val="001B096B"/>
    <w:rsid w:val="001B0F9F"/>
    <w:rsid w:val="001B1197"/>
    <w:rsid w:val="001B123C"/>
    <w:rsid w:val="001B19D8"/>
    <w:rsid w:val="001B1A0D"/>
    <w:rsid w:val="001B1BF1"/>
    <w:rsid w:val="001B2456"/>
    <w:rsid w:val="001B449C"/>
    <w:rsid w:val="001B4AA2"/>
    <w:rsid w:val="001B4ADE"/>
    <w:rsid w:val="001B5530"/>
    <w:rsid w:val="001B5564"/>
    <w:rsid w:val="001B5EF8"/>
    <w:rsid w:val="001B5F4C"/>
    <w:rsid w:val="001B710A"/>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0F7"/>
    <w:rsid w:val="001D068D"/>
    <w:rsid w:val="001D12D1"/>
    <w:rsid w:val="001D15DF"/>
    <w:rsid w:val="001D1DFF"/>
    <w:rsid w:val="001D2EEE"/>
    <w:rsid w:val="001D2F03"/>
    <w:rsid w:val="001D30F3"/>
    <w:rsid w:val="001D31A0"/>
    <w:rsid w:val="001D338E"/>
    <w:rsid w:val="001D3DFD"/>
    <w:rsid w:val="001D47BA"/>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A68"/>
    <w:rsid w:val="001F3059"/>
    <w:rsid w:val="001F472D"/>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A7E"/>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18C2"/>
    <w:rsid w:val="0021201A"/>
    <w:rsid w:val="002138FE"/>
    <w:rsid w:val="00213A1F"/>
    <w:rsid w:val="00213C63"/>
    <w:rsid w:val="00214502"/>
    <w:rsid w:val="00214741"/>
    <w:rsid w:val="00214938"/>
    <w:rsid w:val="00214EB1"/>
    <w:rsid w:val="0021539A"/>
    <w:rsid w:val="00215852"/>
    <w:rsid w:val="00215B01"/>
    <w:rsid w:val="00215B8E"/>
    <w:rsid w:val="00216264"/>
    <w:rsid w:val="002176B6"/>
    <w:rsid w:val="0021792D"/>
    <w:rsid w:val="00217DB8"/>
    <w:rsid w:val="002202CE"/>
    <w:rsid w:val="0022032A"/>
    <w:rsid w:val="00220B61"/>
    <w:rsid w:val="00221389"/>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69D"/>
    <w:rsid w:val="00227A8B"/>
    <w:rsid w:val="00230B78"/>
    <w:rsid w:val="00230F0B"/>
    <w:rsid w:val="0023146B"/>
    <w:rsid w:val="002315A0"/>
    <w:rsid w:val="00231748"/>
    <w:rsid w:val="00231EC7"/>
    <w:rsid w:val="002320F9"/>
    <w:rsid w:val="002323F3"/>
    <w:rsid w:val="00232711"/>
    <w:rsid w:val="00232E15"/>
    <w:rsid w:val="00233079"/>
    <w:rsid w:val="0023382C"/>
    <w:rsid w:val="00233977"/>
    <w:rsid w:val="00233C58"/>
    <w:rsid w:val="00233C71"/>
    <w:rsid w:val="002345B6"/>
    <w:rsid w:val="002347A6"/>
    <w:rsid w:val="00234B84"/>
    <w:rsid w:val="00236016"/>
    <w:rsid w:val="00236D3B"/>
    <w:rsid w:val="00237065"/>
    <w:rsid w:val="00237589"/>
    <w:rsid w:val="0023758D"/>
    <w:rsid w:val="002375A7"/>
    <w:rsid w:val="0024004D"/>
    <w:rsid w:val="0024019A"/>
    <w:rsid w:val="00240EC1"/>
    <w:rsid w:val="00241008"/>
    <w:rsid w:val="002411C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26A"/>
    <w:rsid w:val="002815C0"/>
    <w:rsid w:val="00281EB4"/>
    <w:rsid w:val="00282042"/>
    <w:rsid w:val="002822DF"/>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728"/>
    <w:rsid w:val="002879EB"/>
    <w:rsid w:val="00287BDB"/>
    <w:rsid w:val="0029031D"/>
    <w:rsid w:val="00290781"/>
    <w:rsid w:val="002908AB"/>
    <w:rsid w:val="00291454"/>
    <w:rsid w:val="00291470"/>
    <w:rsid w:val="00291784"/>
    <w:rsid w:val="00291CF4"/>
    <w:rsid w:val="002920DF"/>
    <w:rsid w:val="002929BB"/>
    <w:rsid w:val="00293D2F"/>
    <w:rsid w:val="00294368"/>
    <w:rsid w:val="00294B78"/>
    <w:rsid w:val="00295416"/>
    <w:rsid w:val="002956FB"/>
    <w:rsid w:val="00295949"/>
    <w:rsid w:val="00295D7C"/>
    <w:rsid w:val="0029624A"/>
    <w:rsid w:val="00296827"/>
    <w:rsid w:val="00296922"/>
    <w:rsid w:val="00297098"/>
    <w:rsid w:val="002A05D4"/>
    <w:rsid w:val="002A06DB"/>
    <w:rsid w:val="002A09FF"/>
    <w:rsid w:val="002A0E60"/>
    <w:rsid w:val="002A1310"/>
    <w:rsid w:val="002A16A6"/>
    <w:rsid w:val="002A1A58"/>
    <w:rsid w:val="002A1B02"/>
    <w:rsid w:val="002A1C53"/>
    <w:rsid w:val="002A244B"/>
    <w:rsid w:val="002A28FC"/>
    <w:rsid w:val="002A2B44"/>
    <w:rsid w:val="002A2C29"/>
    <w:rsid w:val="002A2C63"/>
    <w:rsid w:val="002A2EA5"/>
    <w:rsid w:val="002A3132"/>
    <w:rsid w:val="002A3482"/>
    <w:rsid w:val="002A39B5"/>
    <w:rsid w:val="002A3D94"/>
    <w:rsid w:val="002A40A0"/>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EC3"/>
    <w:rsid w:val="002B7014"/>
    <w:rsid w:val="002B73B0"/>
    <w:rsid w:val="002B7B65"/>
    <w:rsid w:val="002B7C20"/>
    <w:rsid w:val="002C07A9"/>
    <w:rsid w:val="002C24B4"/>
    <w:rsid w:val="002C2B3A"/>
    <w:rsid w:val="002C2B87"/>
    <w:rsid w:val="002C3CF4"/>
    <w:rsid w:val="002C441A"/>
    <w:rsid w:val="002C456E"/>
    <w:rsid w:val="002C4A73"/>
    <w:rsid w:val="002C4B84"/>
    <w:rsid w:val="002C4C0C"/>
    <w:rsid w:val="002C5016"/>
    <w:rsid w:val="002C5C2F"/>
    <w:rsid w:val="002C5D0F"/>
    <w:rsid w:val="002C60B9"/>
    <w:rsid w:val="002C615C"/>
    <w:rsid w:val="002C6CF2"/>
    <w:rsid w:val="002C6F77"/>
    <w:rsid w:val="002C704D"/>
    <w:rsid w:val="002C7102"/>
    <w:rsid w:val="002D0845"/>
    <w:rsid w:val="002D0933"/>
    <w:rsid w:val="002D19BB"/>
    <w:rsid w:val="002D1A9B"/>
    <w:rsid w:val="002D20F8"/>
    <w:rsid w:val="002D21A1"/>
    <w:rsid w:val="002D22BD"/>
    <w:rsid w:val="002D22C5"/>
    <w:rsid w:val="002D233E"/>
    <w:rsid w:val="002D2B4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C6"/>
    <w:rsid w:val="002E1DD5"/>
    <w:rsid w:val="002E2C3F"/>
    <w:rsid w:val="002E2CB5"/>
    <w:rsid w:val="002E2D7D"/>
    <w:rsid w:val="002E32D0"/>
    <w:rsid w:val="002E3C26"/>
    <w:rsid w:val="002E3D76"/>
    <w:rsid w:val="002E3DC6"/>
    <w:rsid w:val="002E3FF4"/>
    <w:rsid w:val="002E40A1"/>
    <w:rsid w:val="002E48EC"/>
    <w:rsid w:val="002E49E7"/>
    <w:rsid w:val="002E4B44"/>
    <w:rsid w:val="002E4ECB"/>
    <w:rsid w:val="002E4F23"/>
    <w:rsid w:val="002E512C"/>
    <w:rsid w:val="002E56D4"/>
    <w:rsid w:val="002E635A"/>
    <w:rsid w:val="002E6D68"/>
    <w:rsid w:val="002E7847"/>
    <w:rsid w:val="002F0073"/>
    <w:rsid w:val="002F02C5"/>
    <w:rsid w:val="002F0CF0"/>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5A6F"/>
    <w:rsid w:val="002F5AD3"/>
    <w:rsid w:val="002F5D46"/>
    <w:rsid w:val="002F692F"/>
    <w:rsid w:val="002F7575"/>
    <w:rsid w:val="002F7961"/>
    <w:rsid w:val="002F7B66"/>
    <w:rsid w:val="002F7C8C"/>
    <w:rsid w:val="00300CB4"/>
    <w:rsid w:val="00300E24"/>
    <w:rsid w:val="00300F94"/>
    <w:rsid w:val="00301742"/>
    <w:rsid w:val="00302CDD"/>
    <w:rsid w:val="003033BA"/>
    <w:rsid w:val="00303C19"/>
    <w:rsid w:val="003043A3"/>
    <w:rsid w:val="00304BD4"/>
    <w:rsid w:val="00304E41"/>
    <w:rsid w:val="0030500A"/>
    <w:rsid w:val="003052EB"/>
    <w:rsid w:val="00305FCB"/>
    <w:rsid w:val="003063C3"/>
    <w:rsid w:val="0030640A"/>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680"/>
    <w:rsid w:val="0031271D"/>
    <w:rsid w:val="003132BB"/>
    <w:rsid w:val="00313337"/>
    <w:rsid w:val="00313447"/>
    <w:rsid w:val="00313748"/>
    <w:rsid w:val="003137DE"/>
    <w:rsid w:val="00313C96"/>
    <w:rsid w:val="00313E3D"/>
    <w:rsid w:val="00313EA3"/>
    <w:rsid w:val="00315365"/>
    <w:rsid w:val="00315457"/>
    <w:rsid w:val="003161A4"/>
    <w:rsid w:val="0031691D"/>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3BE"/>
    <w:rsid w:val="0033092C"/>
    <w:rsid w:val="0033122A"/>
    <w:rsid w:val="003315AC"/>
    <w:rsid w:val="003318F4"/>
    <w:rsid w:val="00331932"/>
    <w:rsid w:val="00331F74"/>
    <w:rsid w:val="00332096"/>
    <w:rsid w:val="00332382"/>
    <w:rsid w:val="00332453"/>
    <w:rsid w:val="0033251B"/>
    <w:rsid w:val="00332E09"/>
    <w:rsid w:val="00333712"/>
    <w:rsid w:val="00333A88"/>
    <w:rsid w:val="00335B15"/>
    <w:rsid w:val="00335B21"/>
    <w:rsid w:val="00335D3F"/>
    <w:rsid w:val="00336104"/>
    <w:rsid w:val="00336610"/>
    <w:rsid w:val="00336729"/>
    <w:rsid w:val="00336CD9"/>
    <w:rsid w:val="0033726D"/>
    <w:rsid w:val="00337CA8"/>
    <w:rsid w:val="00340D3F"/>
    <w:rsid w:val="0034174B"/>
    <w:rsid w:val="0034177C"/>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680A"/>
    <w:rsid w:val="00346C62"/>
    <w:rsid w:val="00347202"/>
    <w:rsid w:val="00347618"/>
    <w:rsid w:val="0034778E"/>
    <w:rsid w:val="00347A5A"/>
    <w:rsid w:val="003501E2"/>
    <w:rsid w:val="00351716"/>
    <w:rsid w:val="00351E10"/>
    <w:rsid w:val="0035213C"/>
    <w:rsid w:val="003533F4"/>
    <w:rsid w:val="003536F6"/>
    <w:rsid w:val="00353DD5"/>
    <w:rsid w:val="003549FC"/>
    <w:rsid w:val="00355131"/>
    <w:rsid w:val="00355F74"/>
    <w:rsid w:val="003560DB"/>
    <w:rsid w:val="003564DB"/>
    <w:rsid w:val="003566E9"/>
    <w:rsid w:val="00356F87"/>
    <w:rsid w:val="00357198"/>
    <w:rsid w:val="00357E83"/>
    <w:rsid w:val="00360CF3"/>
    <w:rsid w:val="0036137C"/>
    <w:rsid w:val="0036176D"/>
    <w:rsid w:val="00361A59"/>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D68"/>
    <w:rsid w:val="00370D8F"/>
    <w:rsid w:val="0037124F"/>
    <w:rsid w:val="00372DF9"/>
    <w:rsid w:val="00373827"/>
    <w:rsid w:val="00373A9C"/>
    <w:rsid w:val="00373B68"/>
    <w:rsid w:val="00374012"/>
    <w:rsid w:val="0037401C"/>
    <w:rsid w:val="0037505F"/>
    <w:rsid w:val="0037507B"/>
    <w:rsid w:val="00375C7C"/>
    <w:rsid w:val="00375DA0"/>
    <w:rsid w:val="003765ED"/>
    <w:rsid w:val="00377027"/>
    <w:rsid w:val="00377135"/>
    <w:rsid w:val="00380272"/>
    <w:rsid w:val="003805DB"/>
    <w:rsid w:val="003808A9"/>
    <w:rsid w:val="003814ED"/>
    <w:rsid w:val="0038152A"/>
    <w:rsid w:val="003819F2"/>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0D8"/>
    <w:rsid w:val="003A0878"/>
    <w:rsid w:val="003A0B08"/>
    <w:rsid w:val="003A11E5"/>
    <w:rsid w:val="003A1561"/>
    <w:rsid w:val="003A1CB2"/>
    <w:rsid w:val="003A1D25"/>
    <w:rsid w:val="003A223F"/>
    <w:rsid w:val="003A22A2"/>
    <w:rsid w:val="003A22FC"/>
    <w:rsid w:val="003A2447"/>
    <w:rsid w:val="003A2AA1"/>
    <w:rsid w:val="003A31A5"/>
    <w:rsid w:val="003A329A"/>
    <w:rsid w:val="003A3603"/>
    <w:rsid w:val="003A36D3"/>
    <w:rsid w:val="003A3851"/>
    <w:rsid w:val="003A39DD"/>
    <w:rsid w:val="003A3C6E"/>
    <w:rsid w:val="003A40DB"/>
    <w:rsid w:val="003A4199"/>
    <w:rsid w:val="003A493F"/>
    <w:rsid w:val="003A4A8E"/>
    <w:rsid w:val="003A563C"/>
    <w:rsid w:val="003A5710"/>
    <w:rsid w:val="003A581E"/>
    <w:rsid w:val="003A6160"/>
    <w:rsid w:val="003A65A5"/>
    <w:rsid w:val="003A6DAC"/>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0CE"/>
    <w:rsid w:val="003B7458"/>
    <w:rsid w:val="003C0C0F"/>
    <w:rsid w:val="003C0D1F"/>
    <w:rsid w:val="003C116A"/>
    <w:rsid w:val="003C1AF4"/>
    <w:rsid w:val="003C1CB8"/>
    <w:rsid w:val="003C22DA"/>
    <w:rsid w:val="003C2550"/>
    <w:rsid w:val="003C287F"/>
    <w:rsid w:val="003C2A55"/>
    <w:rsid w:val="003C3146"/>
    <w:rsid w:val="003C3251"/>
    <w:rsid w:val="003C3339"/>
    <w:rsid w:val="003C375A"/>
    <w:rsid w:val="003C4317"/>
    <w:rsid w:val="003C4C1F"/>
    <w:rsid w:val="003C4D9F"/>
    <w:rsid w:val="003C5247"/>
    <w:rsid w:val="003C5E8A"/>
    <w:rsid w:val="003C622C"/>
    <w:rsid w:val="003C6505"/>
    <w:rsid w:val="003C6EBA"/>
    <w:rsid w:val="003C727D"/>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4B5B"/>
    <w:rsid w:val="003D577A"/>
    <w:rsid w:val="003D6719"/>
    <w:rsid w:val="003D6B8F"/>
    <w:rsid w:val="003D7566"/>
    <w:rsid w:val="003E0224"/>
    <w:rsid w:val="003E09BB"/>
    <w:rsid w:val="003E159D"/>
    <w:rsid w:val="003E20EA"/>
    <w:rsid w:val="003E210C"/>
    <w:rsid w:val="003E2F55"/>
    <w:rsid w:val="003E34DB"/>
    <w:rsid w:val="003E3833"/>
    <w:rsid w:val="003E3AF9"/>
    <w:rsid w:val="003E3D12"/>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D1B"/>
    <w:rsid w:val="00404F5D"/>
    <w:rsid w:val="004052E3"/>
    <w:rsid w:val="00405487"/>
    <w:rsid w:val="00405730"/>
    <w:rsid w:val="00405B8A"/>
    <w:rsid w:val="0040602B"/>
    <w:rsid w:val="0040606C"/>
    <w:rsid w:val="004060DC"/>
    <w:rsid w:val="004067D6"/>
    <w:rsid w:val="00406DF5"/>
    <w:rsid w:val="00406F35"/>
    <w:rsid w:val="004075A9"/>
    <w:rsid w:val="004077D0"/>
    <w:rsid w:val="00407A7A"/>
    <w:rsid w:val="00407ABC"/>
    <w:rsid w:val="00407F1E"/>
    <w:rsid w:val="00410A88"/>
    <w:rsid w:val="00411317"/>
    <w:rsid w:val="00411692"/>
    <w:rsid w:val="00411A9E"/>
    <w:rsid w:val="00411F80"/>
    <w:rsid w:val="0041259F"/>
    <w:rsid w:val="00412B1B"/>
    <w:rsid w:val="00412B4D"/>
    <w:rsid w:val="00412C51"/>
    <w:rsid w:val="00412D40"/>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2A"/>
    <w:rsid w:val="0042158C"/>
    <w:rsid w:val="00421617"/>
    <w:rsid w:val="00421BD2"/>
    <w:rsid w:val="00421E00"/>
    <w:rsid w:val="00421FCB"/>
    <w:rsid w:val="0042244C"/>
    <w:rsid w:val="00422DCA"/>
    <w:rsid w:val="004232DB"/>
    <w:rsid w:val="00423D04"/>
    <w:rsid w:val="00423F9F"/>
    <w:rsid w:val="004251A1"/>
    <w:rsid w:val="00425C43"/>
    <w:rsid w:val="00426FB4"/>
    <w:rsid w:val="004273FA"/>
    <w:rsid w:val="004275A7"/>
    <w:rsid w:val="00430186"/>
    <w:rsid w:val="00430F17"/>
    <w:rsid w:val="0043269A"/>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EA"/>
    <w:rsid w:val="0044374D"/>
    <w:rsid w:val="00443B55"/>
    <w:rsid w:val="00443D27"/>
    <w:rsid w:val="00443D8F"/>
    <w:rsid w:val="00444038"/>
    <w:rsid w:val="0044500B"/>
    <w:rsid w:val="00446037"/>
    <w:rsid w:val="004463DB"/>
    <w:rsid w:val="0044642F"/>
    <w:rsid w:val="00446FBF"/>
    <w:rsid w:val="0044772C"/>
    <w:rsid w:val="00447C11"/>
    <w:rsid w:val="00450591"/>
    <w:rsid w:val="00450846"/>
    <w:rsid w:val="0045084E"/>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7C1"/>
    <w:rsid w:val="00460915"/>
    <w:rsid w:val="00460946"/>
    <w:rsid w:val="00461321"/>
    <w:rsid w:val="004614A9"/>
    <w:rsid w:val="00461D8D"/>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A6A"/>
    <w:rsid w:val="00470D73"/>
    <w:rsid w:val="00470D92"/>
    <w:rsid w:val="00471005"/>
    <w:rsid w:val="0047179C"/>
    <w:rsid w:val="00471DF7"/>
    <w:rsid w:val="004721A4"/>
    <w:rsid w:val="0047288F"/>
    <w:rsid w:val="004734CF"/>
    <w:rsid w:val="00473F17"/>
    <w:rsid w:val="0047586C"/>
    <w:rsid w:val="00475C5A"/>
    <w:rsid w:val="00475C9C"/>
    <w:rsid w:val="00475D79"/>
    <w:rsid w:val="0047676B"/>
    <w:rsid w:val="0047773C"/>
    <w:rsid w:val="004777DF"/>
    <w:rsid w:val="00477C5F"/>
    <w:rsid w:val="00480050"/>
    <w:rsid w:val="0048011C"/>
    <w:rsid w:val="00480170"/>
    <w:rsid w:val="00480662"/>
    <w:rsid w:val="004808DE"/>
    <w:rsid w:val="00481AC4"/>
    <w:rsid w:val="00481DC1"/>
    <w:rsid w:val="00482507"/>
    <w:rsid w:val="0048268A"/>
    <w:rsid w:val="004826F1"/>
    <w:rsid w:val="004831B1"/>
    <w:rsid w:val="00483379"/>
    <w:rsid w:val="004835CA"/>
    <w:rsid w:val="004836F8"/>
    <w:rsid w:val="004836FE"/>
    <w:rsid w:val="004839EB"/>
    <w:rsid w:val="00483FA1"/>
    <w:rsid w:val="00484F0F"/>
    <w:rsid w:val="00484F40"/>
    <w:rsid w:val="0048540C"/>
    <w:rsid w:val="004861B4"/>
    <w:rsid w:val="00486226"/>
    <w:rsid w:val="00486BD0"/>
    <w:rsid w:val="00486D00"/>
    <w:rsid w:val="00486FF7"/>
    <w:rsid w:val="00487224"/>
    <w:rsid w:val="00487263"/>
    <w:rsid w:val="0048734F"/>
    <w:rsid w:val="0048742E"/>
    <w:rsid w:val="0049029D"/>
    <w:rsid w:val="0049030C"/>
    <w:rsid w:val="004903C0"/>
    <w:rsid w:val="00490D3C"/>
    <w:rsid w:val="0049114B"/>
    <w:rsid w:val="004912A8"/>
    <w:rsid w:val="00491577"/>
    <w:rsid w:val="004917DD"/>
    <w:rsid w:val="004918E1"/>
    <w:rsid w:val="0049196A"/>
    <w:rsid w:val="0049196E"/>
    <w:rsid w:val="0049241A"/>
    <w:rsid w:val="00492C1F"/>
    <w:rsid w:val="00492E4C"/>
    <w:rsid w:val="00492FCB"/>
    <w:rsid w:val="00493664"/>
    <w:rsid w:val="004938FD"/>
    <w:rsid w:val="00493E04"/>
    <w:rsid w:val="004940E3"/>
    <w:rsid w:val="004947B8"/>
    <w:rsid w:val="004948A9"/>
    <w:rsid w:val="0049530F"/>
    <w:rsid w:val="004962B2"/>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A7A6E"/>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0BF"/>
    <w:rsid w:val="004C02F7"/>
    <w:rsid w:val="004C1741"/>
    <w:rsid w:val="004C22F7"/>
    <w:rsid w:val="004C2A3E"/>
    <w:rsid w:val="004C2B27"/>
    <w:rsid w:val="004C33FC"/>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D69C3"/>
    <w:rsid w:val="004D6A43"/>
    <w:rsid w:val="004D716E"/>
    <w:rsid w:val="004D740B"/>
    <w:rsid w:val="004E023F"/>
    <w:rsid w:val="004E0546"/>
    <w:rsid w:val="004E0742"/>
    <w:rsid w:val="004E0C64"/>
    <w:rsid w:val="004E0F6B"/>
    <w:rsid w:val="004E133F"/>
    <w:rsid w:val="004E1545"/>
    <w:rsid w:val="004E1F1C"/>
    <w:rsid w:val="004E282C"/>
    <w:rsid w:val="004E2A35"/>
    <w:rsid w:val="004E40CE"/>
    <w:rsid w:val="004E5736"/>
    <w:rsid w:val="004E589C"/>
    <w:rsid w:val="004E5A3C"/>
    <w:rsid w:val="004E5B36"/>
    <w:rsid w:val="004E5D5D"/>
    <w:rsid w:val="004E6045"/>
    <w:rsid w:val="004E6F43"/>
    <w:rsid w:val="004E7120"/>
    <w:rsid w:val="004E7200"/>
    <w:rsid w:val="004E787E"/>
    <w:rsid w:val="004E7AA1"/>
    <w:rsid w:val="004E7F32"/>
    <w:rsid w:val="004F0960"/>
    <w:rsid w:val="004F09A9"/>
    <w:rsid w:val="004F0A5C"/>
    <w:rsid w:val="004F150E"/>
    <w:rsid w:val="004F1596"/>
    <w:rsid w:val="004F163F"/>
    <w:rsid w:val="004F18A0"/>
    <w:rsid w:val="004F1A08"/>
    <w:rsid w:val="004F2B64"/>
    <w:rsid w:val="004F31B8"/>
    <w:rsid w:val="004F375E"/>
    <w:rsid w:val="004F3764"/>
    <w:rsid w:val="004F3EEF"/>
    <w:rsid w:val="004F406C"/>
    <w:rsid w:val="004F5180"/>
    <w:rsid w:val="004F5222"/>
    <w:rsid w:val="004F57C9"/>
    <w:rsid w:val="004F57D5"/>
    <w:rsid w:val="004F5930"/>
    <w:rsid w:val="004F5970"/>
    <w:rsid w:val="004F5F0C"/>
    <w:rsid w:val="004F6121"/>
    <w:rsid w:val="004F6161"/>
    <w:rsid w:val="004F66BC"/>
    <w:rsid w:val="004F6C26"/>
    <w:rsid w:val="004F70F1"/>
    <w:rsid w:val="004F7A55"/>
    <w:rsid w:val="004F7AC9"/>
    <w:rsid w:val="0050039C"/>
    <w:rsid w:val="0050062F"/>
    <w:rsid w:val="00500A29"/>
    <w:rsid w:val="00500E74"/>
    <w:rsid w:val="0050160F"/>
    <w:rsid w:val="0050273B"/>
    <w:rsid w:val="0050284E"/>
    <w:rsid w:val="00502911"/>
    <w:rsid w:val="0050306F"/>
    <w:rsid w:val="00503EC8"/>
    <w:rsid w:val="00504579"/>
    <w:rsid w:val="00505DCB"/>
    <w:rsid w:val="005075CA"/>
    <w:rsid w:val="00507B06"/>
    <w:rsid w:val="00507BF1"/>
    <w:rsid w:val="0051074C"/>
    <w:rsid w:val="00510DE9"/>
    <w:rsid w:val="00510E2B"/>
    <w:rsid w:val="005111E2"/>
    <w:rsid w:val="00511231"/>
    <w:rsid w:val="005122C7"/>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3EC"/>
    <w:rsid w:val="005224E5"/>
    <w:rsid w:val="00522F8E"/>
    <w:rsid w:val="00523903"/>
    <w:rsid w:val="0052391B"/>
    <w:rsid w:val="005239B6"/>
    <w:rsid w:val="00523C45"/>
    <w:rsid w:val="00523EE1"/>
    <w:rsid w:val="00523F41"/>
    <w:rsid w:val="00524165"/>
    <w:rsid w:val="005246E7"/>
    <w:rsid w:val="00524B08"/>
    <w:rsid w:val="00524C38"/>
    <w:rsid w:val="00524FD2"/>
    <w:rsid w:val="00525621"/>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37E3C"/>
    <w:rsid w:val="00537FD3"/>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AF9"/>
    <w:rsid w:val="00544DA5"/>
    <w:rsid w:val="00544F43"/>
    <w:rsid w:val="005450E4"/>
    <w:rsid w:val="00545E30"/>
    <w:rsid w:val="00545EA3"/>
    <w:rsid w:val="00546C9B"/>
    <w:rsid w:val="00547AD6"/>
    <w:rsid w:val="00547BF6"/>
    <w:rsid w:val="00547FB3"/>
    <w:rsid w:val="005500D4"/>
    <w:rsid w:val="00550E25"/>
    <w:rsid w:val="00551098"/>
    <w:rsid w:val="00551598"/>
    <w:rsid w:val="0055162B"/>
    <w:rsid w:val="00551A56"/>
    <w:rsid w:val="00551BFF"/>
    <w:rsid w:val="00551D68"/>
    <w:rsid w:val="00551DFF"/>
    <w:rsid w:val="005525C9"/>
    <w:rsid w:val="00552B3E"/>
    <w:rsid w:val="00552F33"/>
    <w:rsid w:val="005535B9"/>
    <w:rsid w:val="00554D57"/>
    <w:rsid w:val="00554DF6"/>
    <w:rsid w:val="005551AA"/>
    <w:rsid w:val="0055604C"/>
    <w:rsid w:val="00556174"/>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3035"/>
    <w:rsid w:val="005639D8"/>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271F"/>
    <w:rsid w:val="00572A42"/>
    <w:rsid w:val="00573355"/>
    <w:rsid w:val="0057337D"/>
    <w:rsid w:val="00573504"/>
    <w:rsid w:val="00573B84"/>
    <w:rsid w:val="00573BA3"/>
    <w:rsid w:val="0057420C"/>
    <w:rsid w:val="005746B2"/>
    <w:rsid w:val="00574708"/>
    <w:rsid w:val="00574D6B"/>
    <w:rsid w:val="00574D81"/>
    <w:rsid w:val="005756AA"/>
    <w:rsid w:val="00575AE3"/>
    <w:rsid w:val="005764E3"/>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143"/>
    <w:rsid w:val="00584233"/>
    <w:rsid w:val="005842D0"/>
    <w:rsid w:val="005843E8"/>
    <w:rsid w:val="005845FB"/>
    <w:rsid w:val="005855AE"/>
    <w:rsid w:val="00585829"/>
    <w:rsid w:val="00585CA8"/>
    <w:rsid w:val="00585E9D"/>
    <w:rsid w:val="00586412"/>
    <w:rsid w:val="005864B9"/>
    <w:rsid w:val="005866C4"/>
    <w:rsid w:val="005873BE"/>
    <w:rsid w:val="00587547"/>
    <w:rsid w:val="00590D3A"/>
    <w:rsid w:val="00590F1A"/>
    <w:rsid w:val="0059114D"/>
    <w:rsid w:val="00591C03"/>
    <w:rsid w:val="00591E2A"/>
    <w:rsid w:val="005923C4"/>
    <w:rsid w:val="005938C3"/>
    <w:rsid w:val="00593EA2"/>
    <w:rsid w:val="00593F75"/>
    <w:rsid w:val="005940A0"/>
    <w:rsid w:val="0059429A"/>
    <w:rsid w:val="00594A54"/>
    <w:rsid w:val="00594CBE"/>
    <w:rsid w:val="00595AF6"/>
    <w:rsid w:val="00596AF7"/>
    <w:rsid w:val="00596CCE"/>
    <w:rsid w:val="005972DF"/>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5CAE"/>
    <w:rsid w:val="005A6035"/>
    <w:rsid w:val="005A6B75"/>
    <w:rsid w:val="005A6E00"/>
    <w:rsid w:val="005A7019"/>
    <w:rsid w:val="005A718A"/>
    <w:rsid w:val="005A7885"/>
    <w:rsid w:val="005B08EF"/>
    <w:rsid w:val="005B12B2"/>
    <w:rsid w:val="005B143B"/>
    <w:rsid w:val="005B19BD"/>
    <w:rsid w:val="005B1E45"/>
    <w:rsid w:val="005B1FF6"/>
    <w:rsid w:val="005B21C4"/>
    <w:rsid w:val="005B2A28"/>
    <w:rsid w:val="005B3621"/>
    <w:rsid w:val="005B3EBE"/>
    <w:rsid w:val="005B4948"/>
    <w:rsid w:val="005B501D"/>
    <w:rsid w:val="005B54CC"/>
    <w:rsid w:val="005B74AD"/>
    <w:rsid w:val="005B7E96"/>
    <w:rsid w:val="005C0297"/>
    <w:rsid w:val="005C0429"/>
    <w:rsid w:val="005C05FF"/>
    <w:rsid w:val="005C084F"/>
    <w:rsid w:val="005C0EE9"/>
    <w:rsid w:val="005C0FC4"/>
    <w:rsid w:val="005C16A8"/>
    <w:rsid w:val="005C1716"/>
    <w:rsid w:val="005C1954"/>
    <w:rsid w:val="005C1C0B"/>
    <w:rsid w:val="005C1F78"/>
    <w:rsid w:val="005C2011"/>
    <w:rsid w:val="005C3534"/>
    <w:rsid w:val="005C3EA3"/>
    <w:rsid w:val="005C44DE"/>
    <w:rsid w:val="005C5011"/>
    <w:rsid w:val="005C5241"/>
    <w:rsid w:val="005C529E"/>
    <w:rsid w:val="005C57BA"/>
    <w:rsid w:val="005C57DD"/>
    <w:rsid w:val="005C5C52"/>
    <w:rsid w:val="005C5D3D"/>
    <w:rsid w:val="005C5F05"/>
    <w:rsid w:val="005C6186"/>
    <w:rsid w:val="005C6247"/>
    <w:rsid w:val="005C635B"/>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44A"/>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E12"/>
    <w:rsid w:val="005E1F1D"/>
    <w:rsid w:val="005E273D"/>
    <w:rsid w:val="005E3278"/>
    <w:rsid w:val="005E363B"/>
    <w:rsid w:val="005E3736"/>
    <w:rsid w:val="005E38E9"/>
    <w:rsid w:val="005E4B72"/>
    <w:rsid w:val="005E52C9"/>
    <w:rsid w:val="005E6BD4"/>
    <w:rsid w:val="005F02D8"/>
    <w:rsid w:val="005F1880"/>
    <w:rsid w:val="005F1C09"/>
    <w:rsid w:val="005F1D88"/>
    <w:rsid w:val="005F305B"/>
    <w:rsid w:val="005F31C1"/>
    <w:rsid w:val="005F3361"/>
    <w:rsid w:val="005F3ACA"/>
    <w:rsid w:val="005F3B47"/>
    <w:rsid w:val="005F4481"/>
    <w:rsid w:val="005F47AC"/>
    <w:rsid w:val="005F49AF"/>
    <w:rsid w:val="005F4A58"/>
    <w:rsid w:val="005F54DF"/>
    <w:rsid w:val="005F5888"/>
    <w:rsid w:val="005F5984"/>
    <w:rsid w:val="005F5E43"/>
    <w:rsid w:val="005F5EAB"/>
    <w:rsid w:val="005F6CE2"/>
    <w:rsid w:val="005F6EC8"/>
    <w:rsid w:val="005F6F24"/>
    <w:rsid w:val="005F72E9"/>
    <w:rsid w:val="005F780B"/>
    <w:rsid w:val="0060009B"/>
    <w:rsid w:val="006001C0"/>
    <w:rsid w:val="00600473"/>
    <w:rsid w:val="0060139A"/>
    <w:rsid w:val="006013C9"/>
    <w:rsid w:val="00601B66"/>
    <w:rsid w:val="00601FC4"/>
    <w:rsid w:val="0060270F"/>
    <w:rsid w:val="00602B45"/>
    <w:rsid w:val="00603499"/>
    <w:rsid w:val="006035F5"/>
    <w:rsid w:val="00603CC2"/>
    <w:rsid w:val="006042CD"/>
    <w:rsid w:val="006046F8"/>
    <w:rsid w:val="006047D1"/>
    <w:rsid w:val="0060487D"/>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1BE"/>
    <w:rsid w:val="006133F9"/>
    <w:rsid w:val="006134B3"/>
    <w:rsid w:val="00613DE1"/>
    <w:rsid w:val="0061401F"/>
    <w:rsid w:val="00614125"/>
    <w:rsid w:val="00614166"/>
    <w:rsid w:val="00614817"/>
    <w:rsid w:val="006149CC"/>
    <w:rsid w:val="006157A9"/>
    <w:rsid w:val="0061591D"/>
    <w:rsid w:val="00615ED0"/>
    <w:rsid w:val="0061604C"/>
    <w:rsid w:val="00616C2B"/>
    <w:rsid w:val="00616D7F"/>
    <w:rsid w:val="006178D1"/>
    <w:rsid w:val="00617A5B"/>
    <w:rsid w:val="00620210"/>
    <w:rsid w:val="00620719"/>
    <w:rsid w:val="0062098D"/>
    <w:rsid w:val="006212C9"/>
    <w:rsid w:val="00621A72"/>
    <w:rsid w:val="00621D0C"/>
    <w:rsid w:val="00622229"/>
    <w:rsid w:val="00622470"/>
    <w:rsid w:val="00622725"/>
    <w:rsid w:val="006231AA"/>
    <w:rsid w:val="00623482"/>
    <w:rsid w:val="00623AC2"/>
    <w:rsid w:val="00623EBC"/>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2DB2"/>
    <w:rsid w:val="006433D5"/>
    <w:rsid w:val="00643412"/>
    <w:rsid w:val="00643751"/>
    <w:rsid w:val="00645CEB"/>
    <w:rsid w:val="006464B6"/>
    <w:rsid w:val="00646B20"/>
    <w:rsid w:val="00646D0F"/>
    <w:rsid w:val="00646D57"/>
    <w:rsid w:val="00646D69"/>
    <w:rsid w:val="00647A36"/>
    <w:rsid w:val="00647DCC"/>
    <w:rsid w:val="00647EFA"/>
    <w:rsid w:val="00647F14"/>
    <w:rsid w:val="00650027"/>
    <w:rsid w:val="00650BBF"/>
    <w:rsid w:val="00650E89"/>
    <w:rsid w:val="006514D4"/>
    <w:rsid w:val="00651B9C"/>
    <w:rsid w:val="00651C47"/>
    <w:rsid w:val="00651D91"/>
    <w:rsid w:val="006528FF"/>
    <w:rsid w:val="00652E70"/>
    <w:rsid w:val="0065339A"/>
    <w:rsid w:val="00653469"/>
    <w:rsid w:val="00653A14"/>
    <w:rsid w:val="00653A35"/>
    <w:rsid w:val="0065443A"/>
    <w:rsid w:val="00654A38"/>
    <w:rsid w:val="00655301"/>
    <w:rsid w:val="00655371"/>
    <w:rsid w:val="00655507"/>
    <w:rsid w:val="00656855"/>
    <w:rsid w:val="00656C4B"/>
    <w:rsid w:val="00656EEE"/>
    <w:rsid w:val="006572A7"/>
    <w:rsid w:val="006573EA"/>
    <w:rsid w:val="006606A4"/>
    <w:rsid w:val="00660748"/>
    <w:rsid w:val="0066087C"/>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172A"/>
    <w:rsid w:val="00671E42"/>
    <w:rsid w:val="0067271C"/>
    <w:rsid w:val="00672E80"/>
    <w:rsid w:val="0067333F"/>
    <w:rsid w:val="006734EE"/>
    <w:rsid w:val="006739E4"/>
    <w:rsid w:val="00673DD7"/>
    <w:rsid w:val="00673ECF"/>
    <w:rsid w:val="0067426B"/>
    <w:rsid w:val="00674A1B"/>
    <w:rsid w:val="00674D3C"/>
    <w:rsid w:val="00674F1C"/>
    <w:rsid w:val="006754F8"/>
    <w:rsid w:val="00675579"/>
    <w:rsid w:val="00676127"/>
    <w:rsid w:val="00676945"/>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5CE"/>
    <w:rsid w:val="00684C0D"/>
    <w:rsid w:val="00684C8A"/>
    <w:rsid w:val="00684CF5"/>
    <w:rsid w:val="0068553E"/>
    <w:rsid w:val="0068557F"/>
    <w:rsid w:val="00685D37"/>
    <w:rsid w:val="00685E7B"/>
    <w:rsid w:val="00686551"/>
    <w:rsid w:val="00686CAB"/>
    <w:rsid w:val="00686CF7"/>
    <w:rsid w:val="0068717F"/>
    <w:rsid w:val="0068730C"/>
    <w:rsid w:val="00687504"/>
    <w:rsid w:val="00687A14"/>
    <w:rsid w:val="00687A8C"/>
    <w:rsid w:val="00687F38"/>
    <w:rsid w:val="00690839"/>
    <w:rsid w:val="006908DB"/>
    <w:rsid w:val="00690DE9"/>
    <w:rsid w:val="00691563"/>
    <w:rsid w:val="006918D8"/>
    <w:rsid w:val="00691B88"/>
    <w:rsid w:val="00691DE9"/>
    <w:rsid w:val="00691E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4A0"/>
    <w:rsid w:val="006974A9"/>
    <w:rsid w:val="00697665"/>
    <w:rsid w:val="006978E1"/>
    <w:rsid w:val="00697C9A"/>
    <w:rsid w:val="00697E68"/>
    <w:rsid w:val="00697FC1"/>
    <w:rsid w:val="006A0274"/>
    <w:rsid w:val="006A063D"/>
    <w:rsid w:val="006A112B"/>
    <w:rsid w:val="006A27BC"/>
    <w:rsid w:val="006A2948"/>
    <w:rsid w:val="006A2A43"/>
    <w:rsid w:val="006A2BF1"/>
    <w:rsid w:val="006A2F9A"/>
    <w:rsid w:val="006A34E4"/>
    <w:rsid w:val="006A3A5A"/>
    <w:rsid w:val="006A44CF"/>
    <w:rsid w:val="006A457D"/>
    <w:rsid w:val="006A4C06"/>
    <w:rsid w:val="006A4C85"/>
    <w:rsid w:val="006A55EE"/>
    <w:rsid w:val="006A575B"/>
    <w:rsid w:val="006A59DE"/>
    <w:rsid w:val="006A64C6"/>
    <w:rsid w:val="006A6655"/>
    <w:rsid w:val="006A6BF9"/>
    <w:rsid w:val="006A7CB5"/>
    <w:rsid w:val="006A7FD0"/>
    <w:rsid w:val="006B025C"/>
    <w:rsid w:val="006B08ED"/>
    <w:rsid w:val="006B1FF0"/>
    <w:rsid w:val="006B2534"/>
    <w:rsid w:val="006B28DE"/>
    <w:rsid w:val="006B2CB2"/>
    <w:rsid w:val="006B347D"/>
    <w:rsid w:val="006B3CE9"/>
    <w:rsid w:val="006B3E19"/>
    <w:rsid w:val="006B3EB4"/>
    <w:rsid w:val="006B419B"/>
    <w:rsid w:val="006B4488"/>
    <w:rsid w:val="006B4657"/>
    <w:rsid w:val="006B50C4"/>
    <w:rsid w:val="006B53AE"/>
    <w:rsid w:val="006B58B4"/>
    <w:rsid w:val="006B67AC"/>
    <w:rsid w:val="006B786A"/>
    <w:rsid w:val="006B7E4E"/>
    <w:rsid w:val="006C003A"/>
    <w:rsid w:val="006C063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6BA"/>
    <w:rsid w:val="006E2C34"/>
    <w:rsid w:val="006E359B"/>
    <w:rsid w:val="006E39D1"/>
    <w:rsid w:val="006E3B05"/>
    <w:rsid w:val="006E437F"/>
    <w:rsid w:val="006E4D5B"/>
    <w:rsid w:val="006E602F"/>
    <w:rsid w:val="006E6720"/>
    <w:rsid w:val="006E7275"/>
    <w:rsid w:val="006E76C7"/>
    <w:rsid w:val="006E77B8"/>
    <w:rsid w:val="006E77DF"/>
    <w:rsid w:val="006E7AAF"/>
    <w:rsid w:val="006E7CBA"/>
    <w:rsid w:val="006F0F74"/>
    <w:rsid w:val="006F13BA"/>
    <w:rsid w:val="006F1442"/>
    <w:rsid w:val="006F15CC"/>
    <w:rsid w:val="006F15F6"/>
    <w:rsid w:val="006F2956"/>
    <w:rsid w:val="006F2AE6"/>
    <w:rsid w:val="006F36EA"/>
    <w:rsid w:val="006F3D9B"/>
    <w:rsid w:val="006F3E44"/>
    <w:rsid w:val="006F4147"/>
    <w:rsid w:val="006F4315"/>
    <w:rsid w:val="006F4CB0"/>
    <w:rsid w:val="006F4F78"/>
    <w:rsid w:val="006F4FED"/>
    <w:rsid w:val="006F547E"/>
    <w:rsid w:val="006F5CCF"/>
    <w:rsid w:val="006F6469"/>
    <w:rsid w:val="006F6F04"/>
    <w:rsid w:val="006F71F5"/>
    <w:rsid w:val="007000A6"/>
    <w:rsid w:val="00700610"/>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16C4"/>
    <w:rsid w:val="00712714"/>
    <w:rsid w:val="007129AB"/>
    <w:rsid w:val="00712B63"/>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1F89"/>
    <w:rsid w:val="00722C51"/>
    <w:rsid w:val="00723040"/>
    <w:rsid w:val="00723251"/>
    <w:rsid w:val="00723475"/>
    <w:rsid w:val="007236C4"/>
    <w:rsid w:val="007238D1"/>
    <w:rsid w:val="0072411F"/>
    <w:rsid w:val="00724635"/>
    <w:rsid w:val="00724F21"/>
    <w:rsid w:val="00725134"/>
    <w:rsid w:val="0072554B"/>
    <w:rsid w:val="00725AFD"/>
    <w:rsid w:val="00726603"/>
    <w:rsid w:val="007266AC"/>
    <w:rsid w:val="00727B1D"/>
    <w:rsid w:val="00727DDC"/>
    <w:rsid w:val="00730CD6"/>
    <w:rsid w:val="00730F74"/>
    <w:rsid w:val="0073114B"/>
    <w:rsid w:val="00731380"/>
    <w:rsid w:val="007318ED"/>
    <w:rsid w:val="00732029"/>
    <w:rsid w:val="00732151"/>
    <w:rsid w:val="00733E9F"/>
    <w:rsid w:val="007341D8"/>
    <w:rsid w:val="00734952"/>
    <w:rsid w:val="00734990"/>
    <w:rsid w:val="00734E13"/>
    <w:rsid w:val="00734FF5"/>
    <w:rsid w:val="00735233"/>
    <w:rsid w:val="007358FC"/>
    <w:rsid w:val="00735B78"/>
    <w:rsid w:val="00735DA7"/>
    <w:rsid w:val="00736700"/>
    <w:rsid w:val="007368B4"/>
    <w:rsid w:val="00737229"/>
    <w:rsid w:val="007378E0"/>
    <w:rsid w:val="00740529"/>
    <w:rsid w:val="00740876"/>
    <w:rsid w:val="00740F18"/>
    <w:rsid w:val="00741358"/>
    <w:rsid w:val="00741626"/>
    <w:rsid w:val="00742332"/>
    <w:rsid w:val="00742886"/>
    <w:rsid w:val="00742DD2"/>
    <w:rsid w:val="00742F69"/>
    <w:rsid w:val="007437C6"/>
    <w:rsid w:val="007441A2"/>
    <w:rsid w:val="00744E80"/>
    <w:rsid w:val="00745035"/>
    <w:rsid w:val="0074531C"/>
    <w:rsid w:val="00745547"/>
    <w:rsid w:val="007459D0"/>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1C25"/>
    <w:rsid w:val="007520F0"/>
    <w:rsid w:val="007522E8"/>
    <w:rsid w:val="00752688"/>
    <w:rsid w:val="007529DB"/>
    <w:rsid w:val="007534AD"/>
    <w:rsid w:val="00753A7F"/>
    <w:rsid w:val="00753BAC"/>
    <w:rsid w:val="00754A0B"/>
    <w:rsid w:val="00755229"/>
    <w:rsid w:val="007552DB"/>
    <w:rsid w:val="0075549F"/>
    <w:rsid w:val="00755B08"/>
    <w:rsid w:val="00755DD0"/>
    <w:rsid w:val="00755E32"/>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3E3A"/>
    <w:rsid w:val="0076445F"/>
    <w:rsid w:val="007645E1"/>
    <w:rsid w:val="00764EC5"/>
    <w:rsid w:val="007651EF"/>
    <w:rsid w:val="007655BF"/>
    <w:rsid w:val="00765E92"/>
    <w:rsid w:val="00766D49"/>
    <w:rsid w:val="00766ECC"/>
    <w:rsid w:val="007672F3"/>
    <w:rsid w:val="007674AC"/>
    <w:rsid w:val="007677B5"/>
    <w:rsid w:val="007678B1"/>
    <w:rsid w:val="00767BE6"/>
    <w:rsid w:val="007708A8"/>
    <w:rsid w:val="00771742"/>
    <w:rsid w:val="00772100"/>
    <w:rsid w:val="00772275"/>
    <w:rsid w:val="007724FE"/>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5B1"/>
    <w:rsid w:val="0077768C"/>
    <w:rsid w:val="00777696"/>
    <w:rsid w:val="00777FF4"/>
    <w:rsid w:val="00780251"/>
    <w:rsid w:val="007804FE"/>
    <w:rsid w:val="00780F32"/>
    <w:rsid w:val="0078122E"/>
    <w:rsid w:val="00781678"/>
    <w:rsid w:val="00781939"/>
    <w:rsid w:val="00781ADF"/>
    <w:rsid w:val="00781D29"/>
    <w:rsid w:val="007824F6"/>
    <w:rsid w:val="007825EF"/>
    <w:rsid w:val="0078286B"/>
    <w:rsid w:val="00782D2C"/>
    <w:rsid w:val="00782FC2"/>
    <w:rsid w:val="0078347A"/>
    <w:rsid w:val="00784938"/>
    <w:rsid w:val="00784D65"/>
    <w:rsid w:val="00784FC4"/>
    <w:rsid w:val="00785BBB"/>
    <w:rsid w:val="00786937"/>
    <w:rsid w:val="00786BF2"/>
    <w:rsid w:val="00786E71"/>
    <w:rsid w:val="00786FA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C4C"/>
    <w:rsid w:val="00796DC8"/>
    <w:rsid w:val="00796E80"/>
    <w:rsid w:val="0079744F"/>
    <w:rsid w:val="00797755"/>
    <w:rsid w:val="0079776F"/>
    <w:rsid w:val="007979AD"/>
    <w:rsid w:val="00797A9C"/>
    <w:rsid w:val="007A0EAB"/>
    <w:rsid w:val="007A11FD"/>
    <w:rsid w:val="007A1D74"/>
    <w:rsid w:val="007A2341"/>
    <w:rsid w:val="007A2754"/>
    <w:rsid w:val="007A38A1"/>
    <w:rsid w:val="007A3BBE"/>
    <w:rsid w:val="007A4766"/>
    <w:rsid w:val="007A5947"/>
    <w:rsid w:val="007A64D5"/>
    <w:rsid w:val="007A717B"/>
    <w:rsid w:val="007A7714"/>
    <w:rsid w:val="007B0313"/>
    <w:rsid w:val="007B0487"/>
    <w:rsid w:val="007B0854"/>
    <w:rsid w:val="007B0E48"/>
    <w:rsid w:val="007B183D"/>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954"/>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485"/>
    <w:rsid w:val="007C3570"/>
    <w:rsid w:val="007C3F3B"/>
    <w:rsid w:val="007C4241"/>
    <w:rsid w:val="007C425E"/>
    <w:rsid w:val="007C4DB5"/>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C6D"/>
    <w:rsid w:val="007D4050"/>
    <w:rsid w:val="007D481A"/>
    <w:rsid w:val="007D4ED0"/>
    <w:rsid w:val="007D540D"/>
    <w:rsid w:val="007D5648"/>
    <w:rsid w:val="007D58C5"/>
    <w:rsid w:val="007D5DE8"/>
    <w:rsid w:val="007D5FF7"/>
    <w:rsid w:val="007D7B1C"/>
    <w:rsid w:val="007D7CFC"/>
    <w:rsid w:val="007E08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50D"/>
    <w:rsid w:val="00803700"/>
    <w:rsid w:val="00803AB0"/>
    <w:rsid w:val="00803D9D"/>
    <w:rsid w:val="00805898"/>
    <w:rsid w:val="008059C6"/>
    <w:rsid w:val="00805AD7"/>
    <w:rsid w:val="00805BD6"/>
    <w:rsid w:val="00805CEF"/>
    <w:rsid w:val="00805DE3"/>
    <w:rsid w:val="00806C85"/>
    <w:rsid w:val="00807C35"/>
    <w:rsid w:val="00807F35"/>
    <w:rsid w:val="00807F69"/>
    <w:rsid w:val="008100F7"/>
    <w:rsid w:val="00810206"/>
    <w:rsid w:val="0081022B"/>
    <w:rsid w:val="00810EF1"/>
    <w:rsid w:val="00811898"/>
    <w:rsid w:val="00811B64"/>
    <w:rsid w:val="00811CDC"/>
    <w:rsid w:val="008124D8"/>
    <w:rsid w:val="008126A5"/>
    <w:rsid w:val="00813473"/>
    <w:rsid w:val="00813A41"/>
    <w:rsid w:val="00813A7B"/>
    <w:rsid w:val="00813F04"/>
    <w:rsid w:val="00814E1F"/>
    <w:rsid w:val="0081513E"/>
    <w:rsid w:val="00815DA5"/>
    <w:rsid w:val="00816221"/>
    <w:rsid w:val="0081766B"/>
    <w:rsid w:val="008205AC"/>
    <w:rsid w:val="00820705"/>
    <w:rsid w:val="00820CBF"/>
    <w:rsid w:val="00820FA8"/>
    <w:rsid w:val="008211D0"/>
    <w:rsid w:val="008212FD"/>
    <w:rsid w:val="00821489"/>
    <w:rsid w:val="008217B7"/>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216"/>
    <w:rsid w:val="00832CD0"/>
    <w:rsid w:val="00833430"/>
    <w:rsid w:val="00833ADA"/>
    <w:rsid w:val="00834128"/>
    <w:rsid w:val="0083417F"/>
    <w:rsid w:val="00835143"/>
    <w:rsid w:val="0083569B"/>
    <w:rsid w:val="00835741"/>
    <w:rsid w:val="00835ABF"/>
    <w:rsid w:val="00835E5A"/>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66A0"/>
    <w:rsid w:val="00847535"/>
    <w:rsid w:val="00847B6D"/>
    <w:rsid w:val="00850542"/>
    <w:rsid w:val="0085092D"/>
    <w:rsid w:val="0085097B"/>
    <w:rsid w:val="008509A5"/>
    <w:rsid w:val="00850C79"/>
    <w:rsid w:val="00850D82"/>
    <w:rsid w:val="00850EA3"/>
    <w:rsid w:val="00850F79"/>
    <w:rsid w:val="0085100B"/>
    <w:rsid w:val="0085304C"/>
    <w:rsid w:val="008532EE"/>
    <w:rsid w:val="008536BB"/>
    <w:rsid w:val="00853A3C"/>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7512"/>
    <w:rsid w:val="008678A3"/>
    <w:rsid w:val="00867C13"/>
    <w:rsid w:val="00867C1D"/>
    <w:rsid w:val="0087033C"/>
    <w:rsid w:val="008715ED"/>
    <w:rsid w:val="00871755"/>
    <w:rsid w:val="008717D8"/>
    <w:rsid w:val="00871E3C"/>
    <w:rsid w:val="00871EF3"/>
    <w:rsid w:val="00872F97"/>
    <w:rsid w:val="008734A1"/>
    <w:rsid w:val="00874027"/>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3AC"/>
    <w:rsid w:val="0088187A"/>
    <w:rsid w:val="00881E64"/>
    <w:rsid w:val="00881F30"/>
    <w:rsid w:val="00882E39"/>
    <w:rsid w:val="00883CE1"/>
    <w:rsid w:val="008850EB"/>
    <w:rsid w:val="00885228"/>
    <w:rsid w:val="00885433"/>
    <w:rsid w:val="008857E3"/>
    <w:rsid w:val="00886377"/>
    <w:rsid w:val="0088662A"/>
    <w:rsid w:val="00886DF2"/>
    <w:rsid w:val="00886FB9"/>
    <w:rsid w:val="00887057"/>
    <w:rsid w:val="00887080"/>
    <w:rsid w:val="00887C79"/>
    <w:rsid w:val="00887E94"/>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BB1"/>
    <w:rsid w:val="008951D0"/>
    <w:rsid w:val="0089582D"/>
    <w:rsid w:val="008959C6"/>
    <w:rsid w:val="00895C0E"/>
    <w:rsid w:val="00895DCC"/>
    <w:rsid w:val="0089606D"/>
    <w:rsid w:val="00896129"/>
    <w:rsid w:val="00896316"/>
    <w:rsid w:val="0089774F"/>
    <w:rsid w:val="00897875"/>
    <w:rsid w:val="00897B8F"/>
    <w:rsid w:val="008A00D9"/>
    <w:rsid w:val="008A07D5"/>
    <w:rsid w:val="008A1FB7"/>
    <w:rsid w:val="008A20B1"/>
    <w:rsid w:val="008A229A"/>
    <w:rsid w:val="008A2A23"/>
    <w:rsid w:val="008A2AF5"/>
    <w:rsid w:val="008A2B5A"/>
    <w:rsid w:val="008A3F9D"/>
    <w:rsid w:val="008A5474"/>
    <w:rsid w:val="008A5C9A"/>
    <w:rsid w:val="008A6005"/>
    <w:rsid w:val="008A614F"/>
    <w:rsid w:val="008A6A55"/>
    <w:rsid w:val="008A6AA1"/>
    <w:rsid w:val="008A6DF0"/>
    <w:rsid w:val="008A6F6E"/>
    <w:rsid w:val="008A7833"/>
    <w:rsid w:val="008A7888"/>
    <w:rsid w:val="008A796E"/>
    <w:rsid w:val="008B0862"/>
    <w:rsid w:val="008B088C"/>
    <w:rsid w:val="008B1BF5"/>
    <w:rsid w:val="008B1CED"/>
    <w:rsid w:val="008B2543"/>
    <w:rsid w:val="008B263F"/>
    <w:rsid w:val="008B2BE2"/>
    <w:rsid w:val="008B3045"/>
    <w:rsid w:val="008B3F6B"/>
    <w:rsid w:val="008B47A6"/>
    <w:rsid w:val="008B4C7B"/>
    <w:rsid w:val="008B4D60"/>
    <w:rsid w:val="008B5C7C"/>
    <w:rsid w:val="008B63FE"/>
    <w:rsid w:val="008B672C"/>
    <w:rsid w:val="008B733E"/>
    <w:rsid w:val="008B7781"/>
    <w:rsid w:val="008B7B98"/>
    <w:rsid w:val="008C065F"/>
    <w:rsid w:val="008C0743"/>
    <w:rsid w:val="008C0B4C"/>
    <w:rsid w:val="008C0FC8"/>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31C"/>
    <w:rsid w:val="008C7EF7"/>
    <w:rsid w:val="008D18AA"/>
    <w:rsid w:val="008D1A2A"/>
    <w:rsid w:val="008D1ADE"/>
    <w:rsid w:val="008D2986"/>
    <w:rsid w:val="008D35D9"/>
    <w:rsid w:val="008D360E"/>
    <w:rsid w:val="008D3B36"/>
    <w:rsid w:val="008D3B85"/>
    <w:rsid w:val="008D462D"/>
    <w:rsid w:val="008D5B85"/>
    <w:rsid w:val="008D6084"/>
    <w:rsid w:val="008D64AC"/>
    <w:rsid w:val="008D66CA"/>
    <w:rsid w:val="008D69B1"/>
    <w:rsid w:val="008D7338"/>
    <w:rsid w:val="008D785E"/>
    <w:rsid w:val="008D7D22"/>
    <w:rsid w:val="008D7D66"/>
    <w:rsid w:val="008D7DCE"/>
    <w:rsid w:val="008E0012"/>
    <w:rsid w:val="008E0DF7"/>
    <w:rsid w:val="008E0FAD"/>
    <w:rsid w:val="008E11E4"/>
    <w:rsid w:val="008E1252"/>
    <w:rsid w:val="008E1347"/>
    <w:rsid w:val="008E16E0"/>
    <w:rsid w:val="008E1C15"/>
    <w:rsid w:val="008E1C9A"/>
    <w:rsid w:val="008E28BD"/>
    <w:rsid w:val="008E30C4"/>
    <w:rsid w:val="008E3106"/>
    <w:rsid w:val="008E38B4"/>
    <w:rsid w:val="008E3BA4"/>
    <w:rsid w:val="008E3CC4"/>
    <w:rsid w:val="008E3F88"/>
    <w:rsid w:val="008E44AB"/>
    <w:rsid w:val="008E4CAE"/>
    <w:rsid w:val="008E5179"/>
    <w:rsid w:val="008E5208"/>
    <w:rsid w:val="008E57FE"/>
    <w:rsid w:val="008E5D7D"/>
    <w:rsid w:val="008E6598"/>
    <w:rsid w:val="008E7214"/>
    <w:rsid w:val="008E7497"/>
    <w:rsid w:val="008E7884"/>
    <w:rsid w:val="008E795C"/>
    <w:rsid w:val="008E7D6E"/>
    <w:rsid w:val="008E7E04"/>
    <w:rsid w:val="008E7EAA"/>
    <w:rsid w:val="008F1056"/>
    <w:rsid w:val="008F1385"/>
    <w:rsid w:val="008F1E70"/>
    <w:rsid w:val="008F220A"/>
    <w:rsid w:val="008F2E8D"/>
    <w:rsid w:val="008F361D"/>
    <w:rsid w:val="008F387B"/>
    <w:rsid w:val="008F3DD9"/>
    <w:rsid w:val="008F4163"/>
    <w:rsid w:val="008F4646"/>
    <w:rsid w:val="008F4814"/>
    <w:rsid w:val="008F4B18"/>
    <w:rsid w:val="008F4C38"/>
    <w:rsid w:val="008F4DA6"/>
    <w:rsid w:val="008F538E"/>
    <w:rsid w:val="008F58BE"/>
    <w:rsid w:val="008F5A20"/>
    <w:rsid w:val="008F5ABA"/>
    <w:rsid w:val="008F6603"/>
    <w:rsid w:val="008F71AB"/>
    <w:rsid w:val="008F7905"/>
    <w:rsid w:val="008F7989"/>
    <w:rsid w:val="00900F63"/>
    <w:rsid w:val="00901F1D"/>
    <w:rsid w:val="009028E8"/>
    <w:rsid w:val="00902E5C"/>
    <w:rsid w:val="0090363E"/>
    <w:rsid w:val="00903E0D"/>
    <w:rsid w:val="009046E5"/>
    <w:rsid w:val="009047C5"/>
    <w:rsid w:val="0090783B"/>
    <w:rsid w:val="00910683"/>
    <w:rsid w:val="009108B5"/>
    <w:rsid w:val="00910E00"/>
    <w:rsid w:val="00910E04"/>
    <w:rsid w:val="009116CE"/>
    <w:rsid w:val="00911714"/>
    <w:rsid w:val="00911D04"/>
    <w:rsid w:val="00911EFF"/>
    <w:rsid w:val="00912294"/>
    <w:rsid w:val="00912747"/>
    <w:rsid w:val="0091310F"/>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724"/>
    <w:rsid w:val="00920F61"/>
    <w:rsid w:val="0092119E"/>
    <w:rsid w:val="00921304"/>
    <w:rsid w:val="00921395"/>
    <w:rsid w:val="00921396"/>
    <w:rsid w:val="00921805"/>
    <w:rsid w:val="00921BE2"/>
    <w:rsid w:val="00921E63"/>
    <w:rsid w:val="00922379"/>
    <w:rsid w:val="00922B4A"/>
    <w:rsid w:val="00923396"/>
    <w:rsid w:val="00923F56"/>
    <w:rsid w:val="00924709"/>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95B"/>
    <w:rsid w:val="00937CF8"/>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62F"/>
    <w:rsid w:val="00945E6B"/>
    <w:rsid w:val="00946A24"/>
    <w:rsid w:val="009470D4"/>
    <w:rsid w:val="00947337"/>
    <w:rsid w:val="00947E6E"/>
    <w:rsid w:val="00950019"/>
    <w:rsid w:val="0095041D"/>
    <w:rsid w:val="009512FA"/>
    <w:rsid w:val="009516A1"/>
    <w:rsid w:val="009516A9"/>
    <w:rsid w:val="00951E57"/>
    <w:rsid w:val="00952350"/>
    <w:rsid w:val="00952505"/>
    <w:rsid w:val="00953018"/>
    <w:rsid w:val="009533E2"/>
    <w:rsid w:val="00953554"/>
    <w:rsid w:val="0095385A"/>
    <w:rsid w:val="0095473B"/>
    <w:rsid w:val="00954F3A"/>
    <w:rsid w:val="00955539"/>
    <w:rsid w:val="009570C8"/>
    <w:rsid w:val="00957649"/>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E97"/>
    <w:rsid w:val="00962FA0"/>
    <w:rsid w:val="00963550"/>
    <w:rsid w:val="00964138"/>
    <w:rsid w:val="0096470C"/>
    <w:rsid w:val="009648D6"/>
    <w:rsid w:val="009649AE"/>
    <w:rsid w:val="00964B3F"/>
    <w:rsid w:val="00964C98"/>
    <w:rsid w:val="009654F9"/>
    <w:rsid w:val="00966F74"/>
    <w:rsid w:val="00967BEF"/>
    <w:rsid w:val="009704FC"/>
    <w:rsid w:val="00971441"/>
    <w:rsid w:val="009715D4"/>
    <w:rsid w:val="0097179A"/>
    <w:rsid w:val="009731F4"/>
    <w:rsid w:val="009732A4"/>
    <w:rsid w:val="00973C05"/>
    <w:rsid w:val="00973CFF"/>
    <w:rsid w:val="009744A9"/>
    <w:rsid w:val="0097494E"/>
    <w:rsid w:val="00974999"/>
    <w:rsid w:val="00974B58"/>
    <w:rsid w:val="00974CBD"/>
    <w:rsid w:val="00975390"/>
    <w:rsid w:val="00975445"/>
    <w:rsid w:val="00975B68"/>
    <w:rsid w:val="0097617D"/>
    <w:rsid w:val="009761ED"/>
    <w:rsid w:val="00977131"/>
    <w:rsid w:val="0098022F"/>
    <w:rsid w:val="009810DE"/>
    <w:rsid w:val="0098152C"/>
    <w:rsid w:val="00981B91"/>
    <w:rsid w:val="009822D7"/>
    <w:rsid w:val="009827E6"/>
    <w:rsid w:val="00982F84"/>
    <w:rsid w:val="009831C3"/>
    <w:rsid w:val="0098427D"/>
    <w:rsid w:val="00984355"/>
    <w:rsid w:val="0098450A"/>
    <w:rsid w:val="00984567"/>
    <w:rsid w:val="00985102"/>
    <w:rsid w:val="009854BC"/>
    <w:rsid w:val="00985A66"/>
    <w:rsid w:val="0098606C"/>
    <w:rsid w:val="009865D5"/>
    <w:rsid w:val="009876F2"/>
    <w:rsid w:val="00987C77"/>
    <w:rsid w:val="00987F55"/>
    <w:rsid w:val="00987FED"/>
    <w:rsid w:val="00990345"/>
    <w:rsid w:val="00990701"/>
    <w:rsid w:val="0099119C"/>
    <w:rsid w:val="0099137A"/>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728"/>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5E69"/>
    <w:rsid w:val="009A608C"/>
    <w:rsid w:val="009A6FDF"/>
    <w:rsid w:val="009A715F"/>
    <w:rsid w:val="009A76D6"/>
    <w:rsid w:val="009B1E01"/>
    <w:rsid w:val="009B231D"/>
    <w:rsid w:val="009B2374"/>
    <w:rsid w:val="009B2E29"/>
    <w:rsid w:val="009B3163"/>
    <w:rsid w:val="009B35AE"/>
    <w:rsid w:val="009B422F"/>
    <w:rsid w:val="009B46BC"/>
    <w:rsid w:val="009B497E"/>
    <w:rsid w:val="009B4D1A"/>
    <w:rsid w:val="009B519D"/>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6FF"/>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833"/>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0BF"/>
    <w:rsid w:val="009F060F"/>
    <w:rsid w:val="009F0781"/>
    <w:rsid w:val="009F0850"/>
    <w:rsid w:val="009F1BDF"/>
    <w:rsid w:val="009F1CD3"/>
    <w:rsid w:val="009F1EAE"/>
    <w:rsid w:val="009F2F20"/>
    <w:rsid w:val="009F369D"/>
    <w:rsid w:val="009F36FE"/>
    <w:rsid w:val="009F3D92"/>
    <w:rsid w:val="009F4990"/>
    <w:rsid w:val="009F4F25"/>
    <w:rsid w:val="009F59C2"/>
    <w:rsid w:val="009F5A2A"/>
    <w:rsid w:val="009F5ABB"/>
    <w:rsid w:val="009F62CD"/>
    <w:rsid w:val="009F7263"/>
    <w:rsid w:val="009F76EA"/>
    <w:rsid w:val="009F78EB"/>
    <w:rsid w:val="009F7DB2"/>
    <w:rsid w:val="009F7F32"/>
    <w:rsid w:val="009F7FEB"/>
    <w:rsid w:val="00A0032A"/>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2E9"/>
    <w:rsid w:val="00A058B8"/>
    <w:rsid w:val="00A05B4B"/>
    <w:rsid w:val="00A066C3"/>
    <w:rsid w:val="00A06754"/>
    <w:rsid w:val="00A069E0"/>
    <w:rsid w:val="00A06E4A"/>
    <w:rsid w:val="00A070E9"/>
    <w:rsid w:val="00A07327"/>
    <w:rsid w:val="00A073F1"/>
    <w:rsid w:val="00A07522"/>
    <w:rsid w:val="00A0782F"/>
    <w:rsid w:val="00A078FB"/>
    <w:rsid w:val="00A07CDC"/>
    <w:rsid w:val="00A101E1"/>
    <w:rsid w:val="00A1036D"/>
    <w:rsid w:val="00A1069F"/>
    <w:rsid w:val="00A10ACA"/>
    <w:rsid w:val="00A10D08"/>
    <w:rsid w:val="00A1116F"/>
    <w:rsid w:val="00A11BB6"/>
    <w:rsid w:val="00A11E78"/>
    <w:rsid w:val="00A12355"/>
    <w:rsid w:val="00A12574"/>
    <w:rsid w:val="00A127D2"/>
    <w:rsid w:val="00A1284E"/>
    <w:rsid w:val="00A130AE"/>
    <w:rsid w:val="00A131F8"/>
    <w:rsid w:val="00A13CF5"/>
    <w:rsid w:val="00A143EC"/>
    <w:rsid w:val="00A149E8"/>
    <w:rsid w:val="00A14C30"/>
    <w:rsid w:val="00A14E6E"/>
    <w:rsid w:val="00A1500F"/>
    <w:rsid w:val="00A1549C"/>
    <w:rsid w:val="00A15621"/>
    <w:rsid w:val="00A15670"/>
    <w:rsid w:val="00A157A0"/>
    <w:rsid w:val="00A1585B"/>
    <w:rsid w:val="00A15C19"/>
    <w:rsid w:val="00A15FE9"/>
    <w:rsid w:val="00A1615C"/>
    <w:rsid w:val="00A16809"/>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5B0F"/>
    <w:rsid w:val="00A25BBB"/>
    <w:rsid w:val="00A25F2F"/>
    <w:rsid w:val="00A26D48"/>
    <w:rsid w:val="00A27588"/>
    <w:rsid w:val="00A277F9"/>
    <w:rsid w:val="00A27FB6"/>
    <w:rsid w:val="00A30121"/>
    <w:rsid w:val="00A30368"/>
    <w:rsid w:val="00A3043A"/>
    <w:rsid w:val="00A30E02"/>
    <w:rsid w:val="00A30F6A"/>
    <w:rsid w:val="00A31C3E"/>
    <w:rsid w:val="00A31F92"/>
    <w:rsid w:val="00A32254"/>
    <w:rsid w:val="00A32A8C"/>
    <w:rsid w:val="00A34538"/>
    <w:rsid w:val="00A34677"/>
    <w:rsid w:val="00A3540F"/>
    <w:rsid w:val="00A35630"/>
    <w:rsid w:val="00A35914"/>
    <w:rsid w:val="00A35CC9"/>
    <w:rsid w:val="00A36189"/>
    <w:rsid w:val="00A36210"/>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25F"/>
    <w:rsid w:val="00A439E5"/>
    <w:rsid w:val="00A4414E"/>
    <w:rsid w:val="00A4497A"/>
    <w:rsid w:val="00A44AB5"/>
    <w:rsid w:val="00A44BE8"/>
    <w:rsid w:val="00A44C96"/>
    <w:rsid w:val="00A44CDD"/>
    <w:rsid w:val="00A44E33"/>
    <w:rsid w:val="00A44F54"/>
    <w:rsid w:val="00A45F9B"/>
    <w:rsid w:val="00A46574"/>
    <w:rsid w:val="00A477D8"/>
    <w:rsid w:val="00A47849"/>
    <w:rsid w:val="00A500B1"/>
    <w:rsid w:val="00A52A53"/>
    <w:rsid w:val="00A52C90"/>
    <w:rsid w:val="00A52EE5"/>
    <w:rsid w:val="00A53037"/>
    <w:rsid w:val="00A5329C"/>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CF"/>
    <w:rsid w:val="00A63DF7"/>
    <w:rsid w:val="00A6454D"/>
    <w:rsid w:val="00A64F2F"/>
    <w:rsid w:val="00A6592B"/>
    <w:rsid w:val="00A65DBF"/>
    <w:rsid w:val="00A6611E"/>
    <w:rsid w:val="00A668BA"/>
    <w:rsid w:val="00A66DDA"/>
    <w:rsid w:val="00A66EFC"/>
    <w:rsid w:val="00A66FA7"/>
    <w:rsid w:val="00A67D7D"/>
    <w:rsid w:val="00A67E16"/>
    <w:rsid w:val="00A67EB1"/>
    <w:rsid w:val="00A703CC"/>
    <w:rsid w:val="00A70C5C"/>
    <w:rsid w:val="00A710A2"/>
    <w:rsid w:val="00A71EA7"/>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FD7"/>
    <w:rsid w:val="00A769E6"/>
    <w:rsid w:val="00A77168"/>
    <w:rsid w:val="00A7723B"/>
    <w:rsid w:val="00A773C3"/>
    <w:rsid w:val="00A7793C"/>
    <w:rsid w:val="00A779BF"/>
    <w:rsid w:val="00A77B7F"/>
    <w:rsid w:val="00A77D21"/>
    <w:rsid w:val="00A80085"/>
    <w:rsid w:val="00A8043B"/>
    <w:rsid w:val="00A80849"/>
    <w:rsid w:val="00A80DA0"/>
    <w:rsid w:val="00A80DA3"/>
    <w:rsid w:val="00A81323"/>
    <w:rsid w:val="00A81F01"/>
    <w:rsid w:val="00A820CB"/>
    <w:rsid w:val="00A821C2"/>
    <w:rsid w:val="00A82342"/>
    <w:rsid w:val="00A8236F"/>
    <w:rsid w:val="00A82C87"/>
    <w:rsid w:val="00A83BEF"/>
    <w:rsid w:val="00A840C9"/>
    <w:rsid w:val="00A84443"/>
    <w:rsid w:val="00A8483D"/>
    <w:rsid w:val="00A8487F"/>
    <w:rsid w:val="00A849A3"/>
    <w:rsid w:val="00A84A0E"/>
    <w:rsid w:val="00A850C7"/>
    <w:rsid w:val="00A8575D"/>
    <w:rsid w:val="00A86E0B"/>
    <w:rsid w:val="00A90792"/>
    <w:rsid w:val="00A90F12"/>
    <w:rsid w:val="00A9173C"/>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4DF5"/>
    <w:rsid w:val="00AA5779"/>
    <w:rsid w:val="00AA58A1"/>
    <w:rsid w:val="00AA61C7"/>
    <w:rsid w:val="00AA669D"/>
    <w:rsid w:val="00AA66ED"/>
    <w:rsid w:val="00AA6B28"/>
    <w:rsid w:val="00AA6B59"/>
    <w:rsid w:val="00AA6BE1"/>
    <w:rsid w:val="00AA7416"/>
    <w:rsid w:val="00AA749C"/>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2DC"/>
    <w:rsid w:val="00AC2A0B"/>
    <w:rsid w:val="00AC2BEE"/>
    <w:rsid w:val="00AC2E53"/>
    <w:rsid w:val="00AC3D22"/>
    <w:rsid w:val="00AC46B0"/>
    <w:rsid w:val="00AC484F"/>
    <w:rsid w:val="00AC4B20"/>
    <w:rsid w:val="00AC56F2"/>
    <w:rsid w:val="00AC5897"/>
    <w:rsid w:val="00AC71C3"/>
    <w:rsid w:val="00AC7204"/>
    <w:rsid w:val="00AC7C7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00E"/>
    <w:rsid w:val="00AD6236"/>
    <w:rsid w:val="00AD69D5"/>
    <w:rsid w:val="00AD6ECF"/>
    <w:rsid w:val="00AD7619"/>
    <w:rsid w:val="00AD76A1"/>
    <w:rsid w:val="00AD7770"/>
    <w:rsid w:val="00AE01F3"/>
    <w:rsid w:val="00AE1638"/>
    <w:rsid w:val="00AE1772"/>
    <w:rsid w:val="00AE1990"/>
    <w:rsid w:val="00AE25E8"/>
    <w:rsid w:val="00AE2AD4"/>
    <w:rsid w:val="00AE2CA7"/>
    <w:rsid w:val="00AE2F1D"/>
    <w:rsid w:val="00AE32A0"/>
    <w:rsid w:val="00AE4C81"/>
    <w:rsid w:val="00AE586F"/>
    <w:rsid w:val="00AE6582"/>
    <w:rsid w:val="00AE6DC5"/>
    <w:rsid w:val="00AE7686"/>
    <w:rsid w:val="00AE799A"/>
    <w:rsid w:val="00AE7A7C"/>
    <w:rsid w:val="00AE7CA3"/>
    <w:rsid w:val="00AF0E81"/>
    <w:rsid w:val="00AF117A"/>
    <w:rsid w:val="00AF16CA"/>
    <w:rsid w:val="00AF186E"/>
    <w:rsid w:val="00AF19DF"/>
    <w:rsid w:val="00AF1D41"/>
    <w:rsid w:val="00AF26CF"/>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CDF"/>
    <w:rsid w:val="00B02EB3"/>
    <w:rsid w:val="00B02FCB"/>
    <w:rsid w:val="00B033F8"/>
    <w:rsid w:val="00B03C1E"/>
    <w:rsid w:val="00B04400"/>
    <w:rsid w:val="00B04835"/>
    <w:rsid w:val="00B04A73"/>
    <w:rsid w:val="00B05A55"/>
    <w:rsid w:val="00B05DE1"/>
    <w:rsid w:val="00B06595"/>
    <w:rsid w:val="00B06862"/>
    <w:rsid w:val="00B06888"/>
    <w:rsid w:val="00B10109"/>
    <w:rsid w:val="00B1023F"/>
    <w:rsid w:val="00B1085E"/>
    <w:rsid w:val="00B10E5B"/>
    <w:rsid w:val="00B10FD1"/>
    <w:rsid w:val="00B112D5"/>
    <w:rsid w:val="00B1130C"/>
    <w:rsid w:val="00B1219D"/>
    <w:rsid w:val="00B123AE"/>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EFF"/>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199"/>
    <w:rsid w:val="00B307F1"/>
    <w:rsid w:val="00B30884"/>
    <w:rsid w:val="00B30E11"/>
    <w:rsid w:val="00B30E63"/>
    <w:rsid w:val="00B30EAE"/>
    <w:rsid w:val="00B30EEB"/>
    <w:rsid w:val="00B31423"/>
    <w:rsid w:val="00B317AE"/>
    <w:rsid w:val="00B323E0"/>
    <w:rsid w:val="00B32DC0"/>
    <w:rsid w:val="00B33195"/>
    <w:rsid w:val="00B3346C"/>
    <w:rsid w:val="00B335E4"/>
    <w:rsid w:val="00B33A61"/>
    <w:rsid w:val="00B33C23"/>
    <w:rsid w:val="00B33F86"/>
    <w:rsid w:val="00B345B4"/>
    <w:rsid w:val="00B348B1"/>
    <w:rsid w:val="00B34A28"/>
    <w:rsid w:val="00B35046"/>
    <w:rsid w:val="00B35B6A"/>
    <w:rsid w:val="00B35F1B"/>
    <w:rsid w:val="00B360AA"/>
    <w:rsid w:val="00B3694F"/>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3B25"/>
    <w:rsid w:val="00B44746"/>
    <w:rsid w:val="00B44854"/>
    <w:rsid w:val="00B44BA5"/>
    <w:rsid w:val="00B4554E"/>
    <w:rsid w:val="00B458D0"/>
    <w:rsid w:val="00B46062"/>
    <w:rsid w:val="00B46696"/>
    <w:rsid w:val="00B46D11"/>
    <w:rsid w:val="00B4792C"/>
    <w:rsid w:val="00B500D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3872"/>
    <w:rsid w:val="00B63CB2"/>
    <w:rsid w:val="00B6402D"/>
    <w:rsid w:val="00B64246"/>
    <w:rsid w:val="00B64EDB"/>
    <w:rsid w:val="00B65938"/>
    <w:rsid w:val="00B65C8A"/>
    <w:rsid w:val="00B65CE2"/>
    <w:rsid w:val="00B660AD"/>
    <w:rsid w:val="00B66109"/>
    <w:rsid w:val="00B66349"/>
    <w:rsid w:val="00B66606"/>
    <w:rsid w:val="00B6678D"/>
    <w:rsid w:val="00B67FBF"/>
    <w:rsid w:val="00B7068A"/>
    <w:rsid w:val="00B70803"/>
    <w:rsid w:val="00B70832"/>
    <w:rsid w:val="00B70B39"/>
    <w:rsid w:val="00B71376"/>
    <w:rsid w:val="00B716D7"/>
    <w:rsid w:val="00B717E5"/>
    <w:rsid w:val="00B72110"/>
    <w:rsid w:val="00B72217"/>
    <w:rsid w:val="00B72B91"/>
    <w:rsid w:val="00B73019"/>
    <w:rsid w:val="00B7315F"/>
    <w:rsid w:val="00B7323A"/>
    <w:rsid w:val="00B7353B"/>
    <w:rsid w:val="00B735A5"/>
    <w:rsid w:val="00B737FB"/>
    <w:rsid w:val="00B73E5D"/>
    <w:rsid w:val="00B73EF3"/>
    <w:rsid w:val="00B7423D"/>
    <w:rsid w:val="00B743F2"/>
    <w:rsid w:val="00B74CDA"/>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6BB"/>
    <w:rsid w:val="00B839F0"/>
    <w:rsid w:val="00B850C2"/>
    <w:rsid w:val="00B851E4"/>
    <w:rsid w:val="00B854CE"/>
    <w:rsid w:val="00B85681"/>
    <w:rsid w:val="00B857EB"/>
    <w:rsid w:val="00B858AD"/>
    <w:rsid w:val="00B86162"/>
    <w:rsid w:val="00B86877"/>
    <w:rsid w:val="00B8695D"/>
    <w:rsid w:val="00B86E66"/>
    <w:rsid w:val="00B871B8"/>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56"/>
    <w:rsid w:val="00B95ED6"/>
    <w:rsid w:val="00B9691F"/>
    <w:rsid w:val="00B96D9F"/>
    <w:rsid w:val="00B96EEC"/>
    <w:rsid w:val="00B97392"/>
    <w:rsid w:val="00B976C7"/>
    <w:rsid w:val="00B97A73"/>
    <w:rsid w:val="00B97F6C"/>
    <w:rsid w:val="00BA0C54"/>
    <w:rsid w:val="00BA11C4"/>
    <w:rsid w:val="00BA1382"/>
    <w:rsid w:val="00BA15E3"/>
    <w:rsid w:val="00BA18BD"/>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7A6"/>
    <w:rsid w:val="00BB0888"/>
    <w:rsid w:val="00BB0DF1"/>
    <w:rsid w:val="00BB0E2F"/>
    <w:rsid w:val="00BB0E9B"/>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2898"/>
    <w:rsid w:val="00BC2928"/>
    <w:rsid w:val="00BC29BD"/>
    <w:rsid w:val="00BC2BB1"/>
    <w:rsid w:val="00BC34A3"/>
    <w:rsid w:val="00BC3FF9"/>
    <w:rsid w:val="00BC43CC"/>
    <w:rsid w:val="00BC4834"/>
    <w:rsid w:val="00BC4A97"/>
    <w:rsid w:val="00BC5A25"/>
    <w:rsid w:val="00BC5FDD"/>
    <w:rsid w:val="00BC63A5"/>
    <w:rsid w:val="00BC68B4"/>
    <w:rsid w:val="00BC6CBE"/>
    <w:rsid w:val="00BC7277"/>
    <w:rsid w:val="00BD0140"/>
    <w:rsid w:val="00BD02CC"/>
    <w:rsid w:val="00BD061A"/>
    <w:rsid w:val="00BD088E"/>
    <w:rsid w:val="00BD0F18"/>
    <w:rsid w:val="00BD12C1"/>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10"/>
    <w:rsid w:val="00BE1432"/>
    <w:rsid w:val="00BE1775"/>
    <w:rsid w:val="00BE18DA"/>
    <w:rsid w:val="00BE26C0"/>
    <w:rsid w:val="00BE3442"/>
    <w:rsid w:val="00BE37CD"/>
    <w:rsid w:val="00BE47B2"/>
    <w:rsid w:val="00BE48C7"/>
    <w:rsid w:val="00BE4A8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980"/>
    <w:rsid w:val="00BF2A7E"/>
    <w:rsid w:val="00BF3331"/>
    <w:rsid w:val="00BF3A45"/>
    <w:rsid w:val="00BF436F"/>
    <w:rsid w:val="00BF5C05"/>
    <w:rsid w:val="00BF6FC6"/>
    <w:rsid w:val="00BF7A2F"/>
    <w:rsid w:val="00BF7C52"/>
    <w:rsid w:val="00BF7CD1"/>
    <w:rsid w:val="00BF7F99"/>
    <w:rsid w:val="00C00713"/>
    <w:rsid w:val="00C009A0"/>
    <w:rsid w:val="00C01F74"/>
    <w:rsid w:val="00C02558"/>
    <w:rsid w:val="00C0285F"/>
    <w:rsid w:val="00C028F5"/>
    <w:rsid w:val="00C02F35"/>
    <w:rsid w:val="00C03287"/>
    <w:rsid w:val="00C03305"/>
    <w:rsid w:val="00C03515"/>
    <w:rsid w:val="00C03738"/>
    <w:rsid w:val="00C037A6"/>
    <w:rsid w:val="00C043F5"/>
    <w:rsid w:val="00C044E3"/>
    <w:rsid w:val="00C04607"/>
    <w:rsid w:val="00C04BDB"/>
    <w:rsid w:val="00C052C6"/>
    <w:rsid w:val="00C058F0"/>
    <w:rsid w:val="00C05A61"/>
    <w:rsid w:val="00C05FBA"/>
    <w:rsid w:val="00C05FEE"/>
    <w:rsid w:val="00C06CCF"/>
    <w:rsid w:val="00C0794D"/>
    <w:rsid w:val="00C10E78"/>
    <w:rsid w:val="00C10EF1"/>
    <w:rsid w:val="00C1159D"/>
    <w:rsid w:val="00C11B78"/>
    <w:rsid w:val="00C1233E"/>
    <w:rsid w:val="00C12B65"/>
    <w:rsid w:val="00C12FB3"/>
    <w:rsid w:val="00C132D2"/>
    <w:rsid w:val="00C138BC"/>
    <w:rsid w:val="00C13D85"/>
    <w:rsid w:val="00C1427C"/>
    <w:rsid w:val="00C1453D"/>
    <w:rsid w:val="00C145FE"/>
    <w:rsid w:val="00C14639"/>
    <w:rsid w:val="00C14E82"/>
    <w:rsid w:val="00C14F05"/>
    <w:rsid w:val="00C14FF6"/>
    <w:rsid w:val="00C157FE"/>
    <w:rsid w:val="00C15A85"/>
    <w:rsid w:val="00C15BA8"/>
    <w:rsid w:val="00C16030"/>
    <w:rsid w:val="00C1637C"/>
    <w:rsid w:val="00C1641B"/>
    <w:rsid w:val="00C165FC"/>
    <w:rsid w:val="00C176D5"/>
    <w:rsid w:val="00C17830"/>
    <w:rsid w:val="00C17B4C"/>
    <w:rsid w:val="00C17D24"/>
    <w:rsid w:val="00C2082C"/>
    <w:rsid w:val="00C20B85"/>
    <w:rsid w:val="00C20EB0"/>
    <w:rsid w:val="00C21004"/>
    <w:rsid w:val="00C21005"/>
    <w:rsid w:val="00C220B6"/>
    <w:rsid w:val="00C22D7C"/>
    <w:rsid w:val="00C22DDE"/>
    <w:rsid w:val="00C232EB"/>
    <w:rsid w:val="00C2338B"/>
    <w:rsid w:val="00C233CE"/>
    <w:rsid w:val="00C237DD"/>
    <w:rsid w:val="00C238F4"/>
    <w:rsid w:val="00C2393A"/>
    <w:rsid w:val="00C23A99"/>
    <w:rsid w:val="00C23CB9"/>
    <w:rsid w:val="00C245EE"/>
    <w:rsid w:val="00C24850"/>
    <w:rsid w:val="00C24AE1"/>
    <w:rsid w:val="00C24B8D"/>
    <w:rsid w:val="00C24BD7"/>
    <w:rsid w:val="00C24BF1"/>
    <w:rsid w:val="00C24D71"/>
    <w:rsid w:val="00C25813"/>
    <w:rsid w:val="00C27143"/>
    <w:rsid w:val="00C27490"/>
    <w:rsid w:val="00C276B2"/>
    <w:rsid w:val="00C27D37"/>
    <w:rsid w:val="00C309E8"/>
    <w:rsid w:val="00C30DE0"/>
    <w:rsid w:val="00C31271"/>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5C6"/>
    <w:rsid w:val="00C366F4"/>
    <w:rsid w:val="00C36785"/>
    <w:rsid w:val="00C3711C"/>
    <w:rsid w:val="00C371D9"/>
    <w:rsid w:val="00C37256"/>
    <w:rsid w:val="00C378CD"/>
    <w:rsid w:val="00C37A7B"/>
    <w:rsid w:val="00C37DC1"/>
    <w:rsid w:val="00C37FFE"/>
    <w:rsid w:val="00C40B50"/>
    <w:rsid w:val="00C419E3"/>
    <w:rsid w:val="00C419F4"/>
    <w:rsid w:val="00C41E6A"/>
    <w:rsid w:val="00C42247"/>
    <w:rsid w:val="00C428E7"/>
    <w:rsid w:val="00C4318E"/>
    <w:rsid w:val="00C432FB"/>
    <w:rsid w:val="00C438A2"/>
    <w:rsid w:val="00C4394E"/>
    <w:rsid w:val="00C439BE"/>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BBB"/>
    <w:rsid w:val="00C6305F"/>
    <w:rsid w:val="00C6325B"/>
    <w:rsid w:val="00C63DDD"/>
    <w:rsid w:val="00C63E99"/>
    <w:rsid w:val="00C649B8"/>
    <w:rsid w:val="00C64A64"/>
    <w:rsid w:val="00C64E90"/>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0E97"/>
    <w:rsid w:val="00C7141C"/>
    <w:rsid w:val="00C71744"/>
    <w:rsid w:val="00C71E2A"/>
    <w:rsid w:val="00C733BA"/>
    <w:rsid w:val="00C73897"/>
    <w:rsid w:val="00C74306"/>
    <w:rsid w:val="00C760DC"/>
    <w:rsid w:val="00C8082B"/>
    <w:rsid w:val="00C80AA3"/>
    <w:rsid w:val="00C81A88"/>
    <w:rsid w:val="00C81BD5"/>
    <w:rsid w:val="00C81D46"/>
    <w:rsid w:val="00C82298"/>
    <w:rsid w:val="00C8331F"/>
    <w:rsid w:val="00C833B4"/>
    <w:rsid w:val="00C83C3E"/>
    <w:rsid w:val="00C84284"/>
    <w:rsid w:val="00C84887"/>
    <w:rsid w:val="00C84C26"/>
    <w:rsid w:val="00C84E33"/>
    <w:rsid w:val="00C856A1"/>
    <w:rsid w:val="00C85FFC"/>
    <w:rsid w:val="00C861FC"/>
    <w:rsid w:val="00C86C87"/>
    <w:rsid w:val="00C9005E"/>
    <w:rsid w:val="00C90111"/>
    <w:rsid w:val="00C9038E"/>
    <w:rsid w:val="00C9077B"/>
    <w:rsid w:val="00C90CA9"/>
    <w:rsid w:val="00C90F88"/>
    <w:rsid w:val="00C9118F"/>
    <w:rsid w:val="00C915F2"/>
    <w:rsid w:val="00C917B1"/>
    <w:rsid w:val="00C9193C"/>
    <w:rsid w:val="00C91B77"/>
    <w:rsid w:val="00C920E2"/>
    <w:rsid w:val="00C92755"/>
    <w:rsid w:val="00C9370F"/>
    <w:rsid w:val="00C93765"/>
    <w:rsid w:val="00C93877"/>
    <w:rsid w:val="00C93D8C"/>
    <w:rsid w:val="00C93E07"/>
    <w:rsid w:val="00C946CC"/>
    <w:rsid w:val="00C959BD"/>
    <w:rsid w:val="00C95DFE"/>
    <w:rsid w:val="00C95F44"/>
    <w:rsid w:val="00C96D1B"/>
    <w:rsid w:val="00C96D36"/>
    <w:rsid w:val="00C97106"/>
    <w:rsid w:val="00C978D4"/>
    <w:rsid w:val="00CA0031"/>
    <w:rsid w:val="00CA0413"/>
    <w:rsid w:val="00CA043A"/>
    <w:rsid w:val="00CA084B"/>
    <w:rsid w:val="00CA0989"/>
    <w:rsid w:val="00CA0BE2"/>
    <w:rsid w:val="00CA0E51"/>
    <w:rsid w:val="00CA1691"/>
    <w:rsid w:val="00CA22BA"/>
    <w:rsid w:val="00CA41E7"/>
    <w:rsid w:val="00CA4A99"/>
    <w:rsid w:val="00CA4AD7"/>
    <w:rsid w:val="00CA4D7D"/>
    <w:rsid w:val="00CA5520"/>
    <w:rsid w:val="00CA5812"/>
    <w:rsid w:val="00CA5BD4"/>
    <w:rsid w:val="00CA5C14"/>
    <w:rsid w:val="00CA5CF3"/>
    <w:rsid w:val="00CA75EF"/>
    <w:rsid w:val="00CA76FC"/>
    <w:rsid w:val="00CA7E7B"/>
    <w:rsid w:val="00CB0236"/>
    <w:rsid w:val="00CB1881"/>
    <w:rsid w:val="00CB1969"/>
    <w:rsid w:val="00CB19E3"/>
    <w:rsid w:val="00CB28CA"/>
    <w:rsid w:val="00CB2C3A"/>
    <w:rsid w:val="00CB2D38"/>
    <w:rsid w:val="00CB31B4"/>
    <w:rsid w:val="00CB3721"/>
    <w:rsid w:val="00CB3725"/>
    <w:rsid w:val="00CB4137"/>
    <w:rsid w:val="00CB50D0"/>
    <w:rsid w:val="00CB52D0"/>
    <w:rsid w:val="00CB5578"/>
    <w:rsid w:val="00CB5671"/>
    <w:rsid w:val="00CB56EB"/>
    <w:rsid w:val="00CB591C"/>
    <w:rsid w:val="00CB5943"/>
    <w:rsid w:val="00CB5FE7"/>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D34"/>
    <w:rsid w:val="00CC2F69"/>
    <w:rsid w:val="00CC315F"/>
    <w:rsid w:val="00CC373A"/>
    <w:rsid w:val="00CC3D38"/>
    <w:rsid w:val="00CC40C3"/>
    <w:rsid w:val="00CC4751"/>
    <w:rsid w:val="00CC4C5F"/>
    <w:rsid w:val="00CC4CB4"/>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0C1D"/>
    <w:rsid w:val="00CD0E85"/>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6438"/>
    <w:rsid w:val="00CD65FA"/>
    <w:rsid w:val="00CD6A5D"/>
    <w:rsid w:val="00CD73C6"/>
    <w:rsid w:val="00CD7DC7"/>
    <w:rsid w:val="00CD7EFA"/>
    <w:rsid w:val="00CE020E"/>
    <w:rsid w:val="00CE0566"/>
    <w:rsid w:val="00CE1CD4"/>
    <w:rsid w:val="00CE2761"/>
    <w:rsid w:val="00CE28FC"/>
    <w:rsid w:val="00CE314E"/>
    <w:rsid w:val="00CE3A85"/>
    <w:rsid w:val="00CE3B81"/>
    <w:rsid w:val="00CE3D5C"/>
    <w:rsid w:val="00CE3E09"/>
    <w:rsid w:val="00CE3E14"/>
    <w:rsid w:val="00CE3F2A"/>
    <w:rsid w:val="00CE44C7"/>
    <w:rsid w:val="00CE44D5"/>
    <w:rsid w:val="00CE53CC"/>
    <w:rsid w:val="00CE5F60"/>
    <w:rsid w:val="00CE65A7"/>
    <w:rsid w:val="00CE68FE"/>
    <w:rsid w:val="00CE69CC"/>
    <w:rsid w:val="00CE6EC4"/>
    <w:rsid w:val="00CE74EC"/>
    <w:rsid w:val="00CE7F26"/>
    <w:rsid w:val="00CE7F71"/>
    <w:rsid w:val="00CF0B48"/>
    <w:rsid w:val="00CF1226"/>
    <w:rsid w:val="00CF1263"/>
    <w:rsid w:val="00CF1ABB"/>
    <w:rsid w:val="00CF1E1D"/>
    <w:rsid w:val="00CF24FE"/>
    <w:rsid w:val="00CF25D7"/>
    <w:rsid w:val="00CF287F"/>
    <w:rsid w:val="00CF35D0"/>
    <w:rsid w:val="00CF3B57"/>
    <w:rsid w:val="00CF3DD5"/>
    <w:rsid w:val="00CF3F14"/>
    <w:rsid w:val="00CF3F3F"/>
    <w:rsid w:val="00CF436F"/>
    <w:rsid w:val="00CF4AF7"/>
    <w:rsid w:val="00CF4D0E"/>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D14"/>
    <w:rsid w:val="00D10E7C"/>
    <w:rsid w:val="00D11182"/>
    <w:rsid w:val="00D1137B"/>
    <w:rsid w:val="00D11807"/>
    <w:rsid w:val="00D11DB3"/>
    <w:rsid w:val="00D12D82"/>
    <w:rsid w:val="00D12F77"/>
    <w:rsid w:val="00D12F79"/>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D9"/>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772"/>
    <w:rsid w:val="00D33FA4"/>
    <w:rsid w:val="00D34B25"/>
    <w:rsid w:val="00D34C7F"/>
    <w:rsid w:val="00D34F4E"/>
    <w:rsid w:val="00D357F3"/>
    <w:rsid w:val="00D35A63"/>
    <w:rsid w:val="00D35C0E"/>
    <w:rsid w:val="00D36FBF"/>
    <w:rsid w:val="00D373A8"/>
    <w:rsid w:val="00D379A5"/>
    <w:rsid w:val="00D37BB3"/>
    <w:rsid w:val="00D401BE"/>
    <w:rsid w:val="00D40362"/>
    <w:rsid w:val="00D4043A"/>
    <w:rsid w:val="00D4073C"/>
    <w:rsid w:val="00D40DB0"/>
    <w:rsid w:val="00D41093"/>
    <w:rsid w:val="00D41858"/>
    <w:rsid w:val="00D41DB1"/>
    <w:rsid w:val="00D422DB"/>
    <w:rsid w:val="00D42AC2"/>
    <w:rsid w:val="00D4498E"/>
    <w:rsid w:val="00D4515F"/>
    <w:rsid w:val="00D451E8"/>
    <w:rsid w:val="00D45230"/>
    <w:rsid w:val="00D454F2"/>
    <w:rsid w:val="00D466C9"/>
    <w:rsid w:val="00D46A4F"/>
    <w:rsid w:val="00D47275"/>
    <w:rsid w:val="00D47B46"/>
    <w:rsid w:val="00D508EC"/>
    <w:rsid w:val="00D5160B"/>
    <w:rsid w:val="00D517F6"/>
    <w:rsid w:val="00D51AB7"/>
    <w:rsid w:val="00D51E15"/>
    <w:rsid w:val="00D5211B"/>
    <w:rsid w:val="00D522CB"/>
    <w:rsid w:val="00D52B7E"/>
    <w:rsid w:val="00D52E2F"/>
    <w:rsid w:val="00D52F10"/>
    <w:rsid w:val="00D52F59"/>
    <w:rsid w:val="00D53445"/>
    <w:rsid w:val="00D53670"/>
    <w:rsid w:val="00D53D54"/>
    <w:rsid w:val="00D53E3E"/>
    <w:rsid w:val="00D54620"/>
    <w:rsid w:val="00D54A86"/>
    <w:rsid w:val="00D55715"/>
    <w:rsid w:val="00D55904"/>
    <w:rsid w:val="00D5614E"/>
    <w:rsid w:val="00D5616F"/>
    <w:rsid w:val="00D5636D"/>
    <w:rsid w:val="00D56C96"/>
    <w:rsid w:val="00D57940"/>
    <w:rsid w:val="00D57E0A"/>
    <w:rsid w:val="00D60327"/>
    <w:rsid w:val="00D61384"/>
    <w:rsid w:val="00D61526"/>
    <w:rsid w:val="00D61B44"/>
    <w:rsid w:val="00D61C39"/>
    <w:rsid w:val="00D61F81"/>
    <w:rsid w:val="00D6200A"/>
    <w:rsid w:val="00D620A6"/>
    <w:rsid w:val="00D62BE6"/>
    <w:rsid w:val="00D62FB3"/>
    <w:rsid w:val="00D63766"/>
    <w:rsid w:val="00D63912"/>
    <w:rsid w:val="00D63923"/>
    <w:rsid w:val="00D63A05"/>
    <w:rsid w:val="00D6451B"/>
    <w:rsid w:val="00D64B57"/>
    <w:rsid w:val="00D64E46"/>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4296"/>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1F22"/>
    <w:rsid w:val="00D8223C"/>
    <w:rsid w:val="00D82B57"/>
    <w:rsid w:val="00D82CE5"/>
    <w:rsid w:val="00D831E3"/>
    <w:rsid w:val="00D8342C"/>
    <w:rsid w:val="00D834BC"/>
    <w:rsid w:val="00D83751"/>
    <w:rsid w:val="00D84921"/>
    <w:rsid w:val="00D84983"/>
    <w:rsid w:val="00D84C00"/>
    <w:rsid w:val="00D85494"/>
    <w:rsid w:val="00D8582C"/>
    <w:rsid w:val="00D85D61"/>
    <w:rsid w:val="00D8616D"/>
    <w:rsid w:val="00D8711B"/>
    <w:rsid w:val="00D87384"/>
    <w:rsid w:val="00D8771B"/>
    <w:rsid w:val="00D87D48"/>
    <w:rsid w:val="00D90683"/>
    <w:rsid w:val="00D90B2A"/>
    <w:rsid w:val="00D911B3"/>
    <w:rsid w:val="00D91483"/>
    <w:rsid w:val="00D915C8"/>
    <w:rsid w:val="00D9234D"/>
    <w:rsid w:val="00D92B91"/>
    <w:rsid w:val="00D9310B"/>
    <w:rsid w:val="00D931B2"/>
    <w:rsid w:val="00D931F3"/>
    <w:rsid w:val="00D93726"/>
    <w:rsid w:val="00D93F3E"/>
    <w:rsid w:val="00D9405B"/>
    <w:rsid w:val="00D94942"/>
    <w:rsid w:val="00D95145"/>
    <w:rsid w:val="00D953AF"/>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989"/>
    <w:rsid w:val="00DA5AB1"/>
    <w:rsid w:val="00DA5F9D"/>
    <w:rsid w:val="00DA69B2"/>
    <w:rsid w:val="00DA7462"/>
    <w:rsid w:val="00DA7AD0"/>
    <w:rsid w:val="00DA7C99"/>
    <w:rsid w:val="00DB02D7"/>
    <w:rsid w:val="00DB03CC"/>
    <w:rsid w:val="00DB12D4"/>
    <w:rsid w:val="00DB14F0"/>
    <w:rsid w:val="00DB1745"/>
    <w:rsid w:val="00DB19BB"/>
    <w:rsid w:val="00DB1AFF"/>
    <w:rsid w:val="00DB219A"/>
    <w:rsid w:val="00DB3009"/>
    <w:rsid w:val="00DB3165"/>
    <w:rsid w:val="00DB330D"/>
    <w:rsid w:val="00DB3909"/>
    <w:rsid w:val="00DB4292"/>
    <w:rsid w:val="00DB5023"/>
    <w:rsid w:val="00DB6895"/>
    <w:rsid w:val="00DB6E46"/>
    <w:rsid w:val="00DB7117"/>
    <w:rsid w:val="00DB7760"/>
    <w:rsid w:val="00DB7DD4"/>
    <w:rsid w:val="00DC00B4"/>
    <w:rsid w:val="00DC0585"/>
    <w:rsid w:val="00DC05FD"/>
    <w:rsid w:val="00DC0954"/>
    <w:rsid w:val="00DC0DF8"/>
    <w:rsid w:val="00DC15BA"/>
    <w:rsid w:val="00DC18CD"/>
    <w:rsid w:val="00DC1A68"/>
    <w:rsid w:val="00DC30B8"/>
    <w:rsid w:val="00DC32B1"/>
    <w:rsid w:val="00DC4267"/>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1926"/>
    <w:rsid w:val="00DE1E0F"/>
    <w:rsid w:val="00DE20C6"/>
    <w:rsid w:val="00DE2AE4"/>
    <w:rsid w:val="00DE3119"/>
    <w:rsid w:val="00DE3E0B"/>
    <w:rsid w:val="00DE3FF0"/>
    <w:rsid w:val="00DE4105"/>
    <w:rsid w:val="00DE4BE9"/>
    <w:rsid w:val="00DE5189"/>
    <w:rsid w:val="00DE6D5C"/>
    <w:rsid w:val="00DE7108"/>
    <w:rsid w:val="00DE771D"/>
    <w:rsid w:val="00DE78D1"/>
    <w:rsid w:val="00DE78FF"/>
    <w:rsid w:val="00DF00C7"/>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86"/>
    <w:rsid w:val="00DF49FF"/>
    <w:rsid w:val="00DF4FFB"/>
    <w:rsid w:val="00DF5236"/>
    <w:rsid w:val="00DF5764"/>
    <w:rsid w:val="00DF651F"/>
    <w:rsid w:val="00DF68E5"/>
    <w:rsid w:val="00DF6CC1"/>
    <w:rsid w:val="00DF6F43"/>
    <w:rsid w:val="00DF71EA"/>
    <w:rsid w:val="00DF752F"/>
    <w:rsid w:val="00DF76A2"/>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4FD0"/>
    <w:rsid w:val="00E162D7"/>
    <w:rsid w:val="00E16382"/>
    <w:rsid w:val="00E1699C"/>
    <w:rsid w:val="00E16E75"/>
    <w:rsid w:val="00E1746D"/>
    <w:rsid w:val="00E174E8"/>
    <w:rsid w:val="00E2012A"/>
    <w:rsid w:val="00E205A2"/>
    <w:rsid w:val="00E205DC"/>
    <w:rsid w:val="00E20BA4"/>
    <w:rsid w:val="00E210D0"/>
    <w:rsid w:val="00E21575"/>
    <w:rsid w:val="00E23137"/>
    <w:rsid w:val="00E23980"/>
    <w:rsid w:val="00E241E9"/>
    <w:rsid w:val="00E257C3"/>
    <w:rsid w:val="00E25A2C"/>
    <w:rsid w:val="00E25CB3"/>
    <w:rsid w:val="00E25DA4"/>
    <w:rsid w:val="00E26237"/>
    <w:rsid w:val="00E26446"/>
    <w:rsid w:val="00E26CB8"/>
    <w:rsid w:val="00E26D16"/>
    <w:rsid w:val="00E26FCF"/>
    <w:rsid w:val="00E27165"/>
    <w:rsid w:val="00E275D9"/>
    <w:rsid w:val="00E27874"/>
    <w:rsid w:val="00E3044A"/>
    <w:rsid w:val="00E30E49"/>
    <w:rsid w:val="00E31A4A"/>
    <w:rsid w:val="00E32B61"/>
    <w:rsid w:val="00E3344A"/>
    <w:rsid w:val="00E33B29"/>
    <w:rsid w:val="00E33B62"/>
    <w:rsid w:val="00E33F67"/>
    <w:rsid w:val="00E3403D"/>
    <w:rsid w:val="00E344BD"/>
    <w:rsid w:val="00E34E6C"/>
    <w:rsid w:val="00E353E2"/>
    <w:rsid w:val="00E3569F"/>
    <w:rsid w:val="00E36345"/>
    <w:rsid w:val="00E36C86"/>
    <w:rsid w:val="00E36CEB"/>
    <w:rsid w:val="00E37A28"/>
    <w:rsid w:val="00E40430"/>
    <w:rsid w:val="00E40690"/>
    <w:rsid w:val="00E40AEB"/>
    <w:rsid w:val="00E40E82"/>
    <w:rsid w:val="00E41141"/>
    <w:rsid w:val="00E4143A"/>
    <w:rsid w:val="00E4159B"/>
    <w:rsid w:val="00E4186F"/>
    <w:rsid w:val="00E41AF1"/>
    <w:rsid w:val="00E424C8"/>
    <w:rsid w:val="00E4251D"/>
    <w:rsid w:val="00E43D00"/>
    <w:rsid w:val="00E443B4"/>
    <w:rsid w:val="00E445E4"/>
    <w:rsid w:val="00E44B3F"/>
    <w:rsid w:val="00E457CB"/>
    <w:rsid w:val="00E45D47"/>
    <w:rsid w:val="00E45DE4"/>
    <w:rsid w:val="00E45E63"/>
    <w:rsid w:val="00E473E8"/>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28A9"/>
    <w:rsid w:val="00E630A2"/>
    <w:rsid w:val="00E630C0"/>
    <w:rsid w:val="00E63107"/>
    <w:rsid w:val="00E6312C"/>
    <w:rsid w:val="00E634E6"/>
    <w:rsid w:val="00E63DCE"/>
    <w:rsid w:val="00E64320"/>
    <w:rsid w:val="00E64700"/>
    <w:rsid w:val="00E65074"/>
    <w:rsid w:val="00E65165"/>
    <w:rsid w:val="00E65E70"/>
    <w:rsid w:val="00E66087"/>
    <w:rsid w:val="00E66395"/>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71C"/>
    <w:rsid w:val="00E7498A"/>
    <w:rsid w:val="00E7514E"/>
    <w:rsid w:val="00E753F1"/>
    <w:rsid w:val="00E76537"/>
    <w:rsid w:val="00E76DC5"/>
    <w:rsid w:val="00E773AD"/>
    <w:rsid w:val="00E77784"/>
    <w:rsid w:val="00E77AF5"/>
    <w:rsid w:val="00E807B5"/>
    <w:rsid w:val="00E820F4"/>
    <w:rsid w:val="00E823F9"/>
    <w:rsid w:val="00E82C1F"/>
    <w:rsid w:val="00E83671"/>
    <w:rsid w:val="00E839C4"/>
    <w:rsid w:val="00E840EE"/>
    <w:rsid w:val="00E84314"/>
    <w:rsid w:val="00E849CA"/>
    <w:rsid w:val="00E84A71"/>
    <w:rsid w:val="00E8556F"/>
    <w:rsid w:val="00E85DDE"/>
    <w:rsid w:val="00E85E2E"/>
    <w:rsid w:val="00E86205"/>
    <w:rsid w:val="00E86556"/>
    <w:rsid w:val="00E86D35"/>
    <w:rsid w:val="00E86DC2"/>
    <w:rsid w:val="00E86E32"/>
    <w:rsid w:val="00E86F2E"/>
    <w:rsid w:val="00E8732E"/>
    <w:rsid w:val="00E9011F"/>
    <w:rsid w:val="00E905A2"/>
    <w:rsid w:val="00E906EB"/>
    <w:rsid w:val="00E90AEC"/>
    <w:rsid w:val="00E9170E"/>
    <w:rsid w:val="00E919FB"/>
    <w:rsid w:val="00E91E47"/>
    <w:rsid w:val="00E92034"/>
    <w:rsid w:val="00E9241E"/>
    <w:rsid w:val="00E92460"/>
    <w:rsid w:val="00E924FE"/>
    <w:rsid w:val="00E92E62"/>
    <w:rsid w:val="00E92E75"/>
    <w:rsid w:val="00E93073"/>
    <w:rsid w:val="00E93804"/>
    <w:rsid w:val="00E9429D"/>
    <w:rsid w:val="00E946B7"/>
    <w:rsid w:val="00E9477D"/>
    <w:rsid w:val="00E95434"/>
    <w:rsid w:val="00E957BD"/>
    <w:rsid w:val="00E96467"/>
    <w:rsid w:val="00E966DA"/>
    <w:rsid w:val="00E96948"/>
    <w:rsid w:val="00E9737B"/>
    <w:rsid w:val="00E97522"/>
    <w:rsid w:val="00E97A3F"/>
    <w:rsid w:val="00E97F0A"/>
    <w:rsid w:val="00EA0100"/>
    <w:rsid w:val="00EA09CE"/>
    <w:rsid w:val="00EA0BCE"/>
    <w:rsid w:val="00EA1532"/>
    <w:rsid w:val="00EA22FA"/>
    <w:rsid w:val="00EA2744"/>
    <w:rsid w:val="00EA2AB6"/>
    <w:rsid w:val="00EA37B9"/>
    <w:rsid w:val="00EA38CD"/>
    <w:rsid w:val="00EA39F7"/>
    <w:rsid w:val="00EA3AB4"/>
    <w:rsid w:val="00EA3DC2"/>
    <w:rsid w:val="00EA434E"/>
    <w:rsid w:val="00EA4395"/>
    <w:rsid w:val="00EA4757"/>
    <w:rsid w:val="00EA560B"/>
    <w:rsid w:val="00EA5669"/>
    <w:rsid w:val="00EA57BD"/>
    <w:rsid w:val="00EA5CC6"/>
    <w:rsid w:val="00EA6163"/>
    <w:rsid w:val="00EA63EF"/>
    <w:rsid w:val="00EA7182"/>
    <w:rsid w:val="00EA76ED"/>
    <w:rsid w:val="00EA7CBF"/>
    <w:rsid w:val="00EB0329"/>
    <w:rsid w:val="00EB0923"/>
    <w:rsid w:val="00EB0A89"/>
    <w:rsid w:val="00EB1059"/>
    <w:rsid w:val="00EB1573"/>
    <w:rsid w:val="00EB185F"/>
    <w:rsid w:val="00EB1910"/>
    <w:rsid w:val="00EB284C"/>
    <w:rsid w:val="00EB2D83"/>
    <w:rsid w:val="00EB2E97"/>
    <w:rsid w:val="00EB3416"/>
    <w:rsid w:val="00EB3AA6"/>
    <w:rsid w:val="00EB45AE"/>
    <w:rsid w:val="00EB4AE1"/>
    <w:rsid w:val="00EB52F4"/>
    <w:rsid w:val="00EB5694"/>
    <w:rsid w:val="00EB5779"/>
    <w:rsid w:val="00EB5D2F"/>
    <w:rsid w:val="00EB67F1"/>
    <w:rsid w:val="00EB6848"/>
    <w:rsid w:val="00EB6ADA"/>
    <w:rsid w:val="00EB72CD"/>
    <w:rsid w:val="00EB749A"/>
    <w:rsid w:val="00EB74B9"/>
    <w:rsid w:val="00EB76B6"/>
    <w:rsid w:val="00EB7D8A"/>
    <w:rsid w:val="00EC04F7"/>
    <w:rsid w:val="00EC05E2"/>
    <w:rsid w:val="00EC0E84"/>
    <w:rsid w:val="00EC16E2"/>
    <w:rsid w:val="00EC1CE7"/>
    <w:rsid w:val="00EC1DAE"/>
    <w:rsid w:val="00EC26F1"/>
    <w:rsid w:val="00EC30E7"/>
    <w:rsid w:val="00EC3C9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626"/>
    <w:rsid w:val="00ED3860"/>
    <w:rsid w:val="00ED3954"/>
    <w:rsid w:val="00ED43A2"/>
    <w:rsid w:val="00ED4967"/>
    <w:rsid w:val="00ED5140"/>
    <w:rsid w:val="00ED5382"/>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0E6F"/>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A55"/>
    <w:rsid w:val="00EE7B54"/>
    <w:rsid w:val="00EE7C47"/>
    <w:rsid w:val="00EE7C88"/>
    <w:rsid w:val="00EE7C8B"/>
    <w:rsid w:val="00EF0209"/>
    <w:rsid w:val="00EF056B"/>
    <w:rsid w:val="00EF057C"/>
    <w:rsid w:val="00EF0E50"/>
    <w:rsid w:val="00EF0EA4"/>
    <w:rsid w:val="00EF1E97"/>
    <w:rsid w:val="00EF2436"/>
    <w:rsid w:val="00EF2547"/>
    <w:rsid w:val="00EF2942"/>
    <w:rsid w:val="00EF29D9"/>
    <w:rsid w:val="00EF2B2B"/>
    <w:rsid w:val="00EF2E1C"/>
    <w:rsid w:val="00EF2EE2"/>
    <w:rsid w:val="00EF2FD6"/>
    <w:rsid w:val="00EF326A"/>
    <w:rsid w:val="00EF427A"/>
    <w:rsid w:val="00EF45DF"/>
    <w:rsid w:val="00EF4952"/>
    <w:rsid w:val="00EF498F"/>
    <w:rsid w:val="00EF4A42"/>
    <w:rsid w:val="00EF4CD8"/>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90B"/>
    <w:rsid w:val="00F02BFD"/>
    <w:rsid w:val="00F02D25"/>
    <w:rsid w:val="00F02E09"/>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8A0"/>
    <w:rsid w:val="00F11951"/>
    <w:rsid w:val="00F12262"/>
    <w:rsid w:val="00F12564"/>
    <w:rsid w:val="00F12AF8"/>
    <w:rsid w:val="00F12C52"/>
    <w:rsid w:val="00F12EBE"/>
    <w:rsid w:val="00F13828"/>
    <w:rsid w:val="00F13E62"/>
    <w:rsid w:val="00F13F51"/>
    <w:rsid w:val="00F148B7"/>
    <w:rsid w:val="00F14E28"/>
    <w:rsid w:val="00F14EA9"/>
    <w:rsid w:val="00F15505"/>
    <w:rsid w:val="00F15953"/>
    <w:rsid w:val="00F15BFF"/>
    <w:rsid w:val="00F15DC4"/>
    <w:rsid w:val="00F15F15"/>
    <w:rsid w:val="00F16E4F"/>
    <w:rsid w:val="00F17244"/>
    <w:rsid w:val="00F20ECE"/>
    <w:rsid w:val="00F2121A"/>
    <w:rsid w:val="00F213A0"/>
    <w:rsid w:val="00F21D54"/>
    <w:rsid w:val="00F21EF4"/>
    <w:rsid w:val="00F23113"/>
    <w:rsid w:val="00F23255"/>
    <w:rsid w:val="00F23393"/>
    <w:rsid w:val="00F23759"/>
    <w:rsid w:val="00F24644"/>
    <w:rsid w:val="00F257C7"/>
    <w:rsid w:val="00F25947"/>
    <w:rsid w:val="00F25DDA"/>
    <w:rsid w:val="00F25DE0"/>
    <w:rsid w:val="00F25F9F"/>
    <w:rsid w:val="00F262D6"/>
    <w:rsid w:val="00F26F33"/>
    <w:rsid w:val="00F2748A"/>
    <w:rsid w:val="00F27D90"/>
    <w:rsid w:val="00F300A8"/>
    <w:rsid w:val="00F302C6"/>
    <w:rsid w:val="00F30400"/>
    <w:rsid w:val="00F3079E"/>
    <w:rsid w:val="00F3128B"/>
    <w:rsid w:val="00F3399B"/>
    <w:rsid w:val="00F33F4B"/>
    <w:rsid w:val="00F346ED"/>
    <w:rsid w:val="00F34945"/>
    <w:rsid w:val="00F34E1E"/>
    <w:rsid w:val="00F3570C"/>
    <w:rsid w:val="00F363A4"/>
    <w:rsid w:val="00F36613"/>
    <w:rsid w:val="00F36765"/>
    <w:rsid w:val="00F368F0"/>
    <w:rsid w:val="00F368FF"/>
    <w:rsid w:val="00F36F0E"/>
    <w:rsid w:val="00F37068"/>
    <w:rsid w:val="00F371E2"/>
    <w:rsid w:val="00F37F3F"/>
    <w:rsid w:val="00F40973"/>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138"/>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5694"/>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4A7"/>
    <w:rsid w:val="00F62A94"/>
    <w:rsid w:val="00F62AB6"/>
    <w:rsid w:val="00F62E72"/>
    <w:rsid w:val="00F65A3C"/>
    <w:rsid w:val="00F66009"/>
    <w:rsid w:val="00F66282"/>
    <w:rsid w:val="00F6639E"/>
    <w:rsid w:val="00F66D0B"/>
    <w:rsid w:val="00F66F82"/>
    <w:rsid w:val="00F670E9"/>
    <w:rsid w:val="00F67AF1"/>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E8"/>
    <w:rsid w:val="00F74C4D"/>
    <w:rsid w:val="00F74ECA"/>
    <w:rsid w:val="00F76C11"/>
    <w:rsid w:val="00F76C69"/>
    <w:rsid w:val="00F77021"/>
    <w:rsid w:val="00F770AB"/>
    <w:rsid w:val="00F77E61"/>
    <w:rsid w:val="00F80221"/>
    <w:rsid w:val="00F80A0A"/>
    <w:rsid w:val="00F80C81"/>
    <w:rsid w:val="00F815AC"/>
    <w:rsid w:val="00F81606"/>
    <w:rsid w:val="00F8297B"/>
    <w:rsid w:val="00F82E49"/>
    <w:rsid w:val="00F83B33"/>
    <w:rsid w:val="00F83CAE"/>
    <w:rsid w:val="00F840BF"/>
    <w:rsid w:val="00F8427A"/>
    <w:rsid w:val="00F843DF"/>
    <w:rsid w:val="00F84646"/>
    <w:rsid w:val="00F84899"/>
    <w:rsid w:val="00F85585"/>
    <w:rsid w:val="00F85804"/>
    <w:rsid w:val="00F859F0"/>
    <w:rsid w:val="00F85CC1"/>
    <w:rsid w:val="00F86602"/>
    <w:rsid w:val="00F86B5D"/>
    <w:rsid w:val="00F87634"/>
    <w:rsid w:val="00F87C13"/>
    <w:rsid w:val="00F87C5A"/>
    <w:rsid w:val="00F87E29"/>
    <w:rsid w:val="00F87F18"/>
    <w:rsid w:val="00F87F68"/>
    <w:rsid w:val="00F90A25"/>
    <w:rsid w:val="00F90C4D"/>
    <w:rsid w:val="00F9167D"/>
    <w:rsid w:val="00F91CB2"/>
    <w:rsid w:val="00F927E8"/>
    <w:rsid w:val="00F9289C"/>
    <w:rsid w:val="00F93D6F"/>
    <w:rsid w:val="00F93DBC"/>
    <w:rsid w:val="00F93E41"/>
    <w:rsid w:val="00F94644"/>
    <w:rsid w:val="00F952E4"/>
    <w:rsid w:val="00F9537B"/>
    <w:rsid w:val="00F95C08"/>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5043"/>
    <w:rsid w:val="00FA589B"/>
    <w:rsid w:val="00FA60C1"/>
    <w:rsid w:val="00FA65A3"/>
    <w:rsid w:val="00FA6F8B"/>
    <w:rsid w:val="00FA727C"/>
    <w:rsid w:val="00FA729A"/>
    <w:rsid w:val="00FA7A30"/>
    <w:rsid w:val="00FB033F"/>
    <w:rsid w:val="00FB06B8"/>
    <w:rsid w:val="00FB0880"/>
    <w:rsid w:val="00FB12E3"/>
    <w:rsid w:val="00FB1570"/>
    <w:rsid w:val="00FB193B"/>
    <w:rsid w:val="00FB1FBC"/>
    <w:rsid w:val="00FB2625"/>
    <w:rsid w:val="00FB27B7"/>
    <w:rsid w:val="00FB35E3"/>
    <w:rsid w:val="00FB3FBE"/>
    <w:rsid w:val="00FB4727"/>
    <w:rsid w:val="00FB4C98"/>
    <w:rsid w:val="00FB4CE3"/>
    <w:rsid w:val="00FB4E26"/>
    <w:rsid w:val="00FB583C"/>
    <w:rsid w:val="00FB6162"/>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CFE"/>
    <w:rsid w:val="00FC2F73"/>
    <w:rsid w:val="00FC3216"/>
    <w:rsid w:val="00FC3A9B"/>
    <w:rsid w:val="00FC3AE1"/>
    <w:rsid w:val="00FC3DFC"/>
    <w:rsid w:val="00FC3EAA"/>
    <w:rsid w:val="00FC3EF4"/>
    <w:rsid w:val="00FC3F44"/>
    <w:rsid w:val="00FC431B"/>
    <w:rsid w:val="00FC434C"/>
    <w:rsid w:val="00FC472C"/>
    <w:rsid w:val="00FC49BA"/>
    <w:rsid w:val="00FC4FDF"/>
    <w:rsid w:val="00FC50F4"/>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31D"/>
    <w:rsid w:val="00FD3508"/>
    <w:rsid w:val="00FD393C"/>
    <w:rsid w:val="00FD3AFF"/>
    <w:rsid w:val="00FD43BB"/>
    <w:rsid w:val="00FD47F6"/>
    <w:rsid w:val="00FD4AF3"/>
    <w:rsid w:val="00FD4B22"/>
    <w:rsid w:val="00FD537B"/>
    <w:rsid w:val="00FD72B1"/>
    <w:rsid w:val="00FD798D"/>
    <w:rsid w:val="00FE0FFE"/>
    <w:rsid w:val="00FE141E"/>
    <w:rsid w:val="00FE144E"/>
    <w:rsid w:val="00FE1768"/>
    <w:rsid w:val="00FE1DD5"/>
    <w:rsid w:val="00FE1E72"/>
    <w:rsid w:val="00FE24F4"/>
    <w:rsid w:val="00FE2560"/>
    <w:rsid w:val="00FE2F15"/>
    <w:rsid w:val="00FE35D0"/>
    <w:rsid w:val="00FE3FB7"/>
    <w:rsid w:val="00FE4081"/>
    <w:rsid w:val="00FE42ED"/>
    <w:rsid w:val="00FE4E06"/>
    <w:rsid w:val="00FE55A7"/>
    <w:rsid w:val="00FE5C5A"/>
    <w:rsid w:val="00FE6432"/>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A39"/>
    <w:rsid w:val="1DBC71E9"/>
    <w:rsid w:val="51F41F10"/>
    <w:rsid w:val="68A155D3"/>
    <w:rsid w:val="7DE067C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51C538C-BBE8-4A83-AF21-87D4E7B6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29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075832">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5053">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2213253">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0500519">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728353">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0071537">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072131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3130124">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4897734">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2085287">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8607">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7740">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C1B2A2D2-371C-44FE-A392-4D9B3AA18403}">
  <ds:schemaRefs>
    <ds:schemaRef ds:uri="http://schemas.openxmlformats.org/officeDocument/2006/bibliography"/>
  </ds:schemaRefs>
</ds:datastoreItem>
</file>

<file path=customXml/itemProps4.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21</Pages>
  <Words>8096</Words>
  <Characters>44529</Characters>
  <Application>Microsoft Office Word</Application>
  <DocSecurity>0</DocSecurity>
  <Lines>371</Lines>
  <Paragraphs>105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Martin Rojas Mejia</cp:lastModifiedBy>
  <cp:revision>2</cp:revision>
  <cp:lastPrinted>2020-01-30T15:05:00Z</cp:lastPrinted>
  <dcterms:created xsi:type="dcterms:W3CDTF">2022-05-05T21:38:00Z</dcterms:created>
  <dcterms:modified xsi:type="dcterms:W3CDTF">2022-05-05T21:38:00Z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