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C668B" w14:textId="77777777" w:rsidR="007E3A74" w:rsidRPr="00406AA6" w:rsidRDefault="007E3A74" w:rsidP="007E3A74">
      <w:pPr>
        <w:spacing w:after="0" w:line="240" w:lineRule="auto"/>
        <w:jc w:val="both"/>
        <w:rPr>
          <w:rFonts w:ascii="Verdana" w:eastAsia="Calibri" w:hAnsi="Verdana" w:cs="Arial"/>
          <w:b/>
          <w:bCs/>
          <w:lang w:val="es-ES_tradnl" w:eastAsia="es-ES_tradnl"/>
        </w:rPr>
      </w:pPr>
      <w:bookmarkStart w:id="0" w:name="_Hlk143780582"/>
      <w:r w:rsidRPr="00406AA6">
        <w:rPr>
          <w:rFonts w:ascii="Verdana" w:eastAsia="Calibri" w:hAnsi="Verdana" w:cs="Arial"/>
          <w:b/>
          <w:bCs/>
          <w:lang w:val="es-ES_tradnl" w:eastAsia="es-ES_tradnl"/>
        </w:rPr>
        <w:t xml:space="preserve">RÉGIMEN DE INHABILIDADES – Noción – Contratación estatal – Finalidad </w:t>
      </w:r>
    </w:p>
    <w:p w14:paraId="3646B12C" w14:textId="77777777" w:rsidR="007E3A74" w:rsidRPr="00406AA6" w:rsidRDefault="007E3A74" w:rsidP="007E3A74">
      <w:pPr>
        <w:spacing w:after="0" w:line="240" w:lineRule="auto"/>
        <w:jc w:val="both"/>
        <w:rPr>
          <w:rFonts w:ascii="Verdana" w:eastAsia="Calibri" w:hAnsi="Verdana" w:cs="Arial"/>
          <w:b/>
          <w:bCs/>
          <w:sz w:val="20"/>
          <w:szCs w:val="20"/>
          <w:highlight w:val="yellow"/>
          <w:lang w:val="es-ES_tradnl" w:eastAsia="es-ES_tradnl"/>
        </w:rPr>
      </w:pPr>
    </w:p>
    <w:p w14:paraId="5107B42F" w14:textId="77777777" w:rsidR="007E3A74" w:rsidRPr="00406AA6" w:rsidRDefault="007E3A74" w:rsidP="007E3A74">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 xml:space="preserve">El régimen de inhabilidades son prohibiciones para concurrir a los procedimientos de selección y para contratar con el Estado, que se derivan i) de la existencia de comportamientos reprochables o de sanciones anteriormente impuestas, </w:t>
      </w:r>
      <w:proofErr w:type="spellStart"/>
      <w:r w:rsidRPr="00406AA6">
        <w:rPr>
          <w:rFonts w:ascii="Verdana" w:eastAsia="Aptos" w:hAnsi="Verdana" w:cs="Times New Roman"/>
          <w:sz w:val="20"/>
          <w:szCs w:val="20"/>
        </w:rPr>
        <w:t>ii</w:t>
      </w:r>
      <w:proofErr w:type="spellEnd"/>
      <w:r w:rsidRPr="00406AA6">
        <w:rPr>
          <w:rFonts w:ascii="Verdana" w:eastAsia="Aptos" w:hAnsi="Verdana" w:cs="Times New Roman"/>
          <w:sz w:val="20"/>
          <w:szCs w:val="20"/>
        </w:rPr>
        <w:t xml:space="preserve">) de vínculos personales relaticos al parentesco o al estado civil o </w:t>
      </w:r>
      <w:proofErr w:type="spellStart"/>
      <w:r w:rsidRPr="00406AA6">
        <w:rPr>
          <w:rFonts w:ascii="Verdana" w:eastAsia="Aptos" w:hAnsi="Verdana" w:cs="Times New Roman"/>
          <w:sz w:val="20"/>
          <w:szCs w:val="20"/>
        </w:rPr>
        <w:t>iii</w:t>
      </w:r>
      <w:proofErr w:type="spellEnd"/>
      <w:r w:rsidRPr="00406AA6">
        <w:rPr>
          <w:rFonts w:ascii="Verdana" w:eastAsia="Aptos" w:hAnsi="Verdana" w:cs="Times New Roman"/>
          <w:sz w:val="20"/>
          <w:szCs w:val="20"/>
        </w:rPr>
        <w:t xml:space="preserve">) de una actividad u oficio que se desempeñó en el pasado. El régimen de inhabilidades en la contratación </w:t>
      </w:r>
      <w:proofErr w:type="gramStart"/>
      <w:r w:rsidRPr="00406AA6">
        <w:rPr>
          <w:rFonts w:ascii="Verdana" w:eastAsia="Aptos" w:hAnsi="Verdana" w:cs="Times New Roman"/>
          <w:sz w:val="20"/>
          <w:szCs w:val="20"/>
        </w:rPr>
        <w:t>pública,</w:t>
      </w:r>
      <w:proofErr w:type="gramEnd"/>
      <w:r w:rsidRPr="00406AA6">
        <w:rPr>
          <w:rFonts w:ascii="Verdana" w:eastAsia="Aptos" w:hAnsi="Verdana" w:cs="Times New Roman"/>
          <w:sz w:val="20"/>
          <w:szCs w:val="20"/>
        </w:rPr>
        <w:t xml:space="preserve">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406AA6">
        <w:rPr>
          <w:rFonts w:ascii="Verdana" w:eastAsia="Aptos" w:hAnsi="Verdana" w:cs="Times New Roman"/>
          <w:sz w:val="20"/>
          <w:szCs w:val="20"/>
        </w:rPr>
        <w:t>que</w:t>
      </w:r>
      <w:proofErr w:type="gramEnd"/>
      <w:r w:rsidRPr="00406AA6">
        <w:rPr>
          <w:rFonts w:ascii="Verdana" w:eastAsia="Aptos" w:hAnsi="Verdana" w:cs="Times New Roman"/>
          <w:sz w:val="20"/>
          <w:szCs w:val="20"/>
        </w:rPr>
        <w:t>, como lo ha destacado la doctrina, las inhabilidades son herramientas para la lucha contra la corrupción, adoptando paulatinamente un carácter sancionatorio o “</w:t>
      </w:r>
      <w:proofErr w:type="spellStart"/>
      <w:r w:rsidRPr="00406AA6">
        <w:rPr>
          <w:rFonts w:ascii="Verdana" w:eastAsia="Aptos" w:hAnsi="Verdana" w:cs="Times New Roman"/>
          <w:sz w:val="20"/>
          <w:szCs w:val="20"/>
        </w:rPr>
        <w:t>neopunitivo</w:t>
      </w:r>
      <w:proofErr w:type="spellEnd"/>
      <w:r w:rsidRPr="00406AA6">
        <w:rPr>
          <w:rFonts w:ascii="Verdana" w:eastAsia="Aptos" w:hAnsi="Verdana" w:cs="Times New Roman"/>
          <w:sz w:val="20"/>
          <w:szCs w:val="20"/>
        </w:rPr>
        <w:t>”.</w:t>
      </w:r>
    </w:p>
    <w:p w14:paraId="2F9848B1" w14:textId="77777777" w:rsidR="007E3A74" w:rsidRPr="00406AA6" w:rsidRDefault="007E3A74" w:rsidP="007E3A74">
      <w:pPr>
        <w:spacing w:after="0" w:line="240" w:lineRule="auto"/>
        <w:jc w:val="both"/>
        <w:rPr>
          <w:rFonts w:ascii="Verdana" w:eastAsia="Aptos" w:hAnsi="Verdana" w:cs="Times New Roman"/>
          <w:sz w:val="20"/>
          <w:szCs w:val="20"/>
        </w:rPr>
      </w:pPr>
    </w:p>
    <w:p w14:paraId="00296B12" w14:textId="77777777" w:rsidR="007E3A74" w:rsidRPr="00406AA6" w:rsidRDefault="007E3A74" w:rsidP="007E3A74">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4FFD50EE" w14:textId="77777777" w:rsidR="007E3A74" w:rsidRPr="00406AA6" w:rsidRDefault="007E3A74" w:rsidP="007E3A74">
      <w:pPr>
        <w:spacing w:after="0" w:line="240" w:lineRule="auto"/>
        <w:jc w:val="both"/>
        <w:rPr>
          <w:rFonts w:ascii="Verdana" w:eastAsia="Aptos" w:hAnsi="Verdana" w:cs="Times New Roman"/>
          <w:sz w:val="20"/>
          <w:szCs w:val="20"/>
        </w:rPr>
      </w:pPr>
    </w:p>
    <w:p w14:paraId="44168790" w14:textId="77777777" w:rsidR="007E3A74" w:rsidRPr="00406AA6" w:rsidRDefault="007E3A74" w:rsidP="007E3A74">
      <w:pPr>
        <w:spacing w:after="0" w:line="240" w:lineRule="auto"/>
        <w:jc w:val="both"/>
        <w:rPr>
          <w:rFonts w:ascii="Verdana" w:eastAsia="Calibri" w:hAnsi="Verdana" w:cs="Arial"/>
          <w:b/>
          <w:bCs/>
          <w:lang w:val="es-ES" w:eastAsia="es-ES"/>
        </w:rPr>
      </w:pPr>
      <w:r w:rsidRPr="00406AA6">
        <w:rPr>
          <w:rFonts w:ascii="Verdana" w:eastAsia="Calibri" w:hAnsi="Verdana" w:cs="Arial"/>
          <w:b/>
          <w:bCs/>
          <w:lang w:val="es-ES" w:eastAsia="es-ES"/>
        </w:rPr>
        <w:t xml:space="preserve">RÉGIMEN DE INHABILIDADES – </w:t>
      </w:r>
      <w:r>
        <w:rPr>
          <w:rFonts w:ascii="Verdana" w:eastAsia="Calibri" w:hAnsi="Verdana" w:cs="Arial"/>
          <w:b/>
          <w:bCs/>
          <w:lang w:val="es-ES" w:eastAsia="es-ES"/>
        </w:rPr>
        <w:t>Registro nacional de medidas correctivas – No pago de multas – Limitación para contratar</w:t>
      </w:r>
    </w:p>
    <w:p w14:paraId="2F5B8404" w14:textId="77777777" w:rsidR="007E3A74" w:rsidRPr="00406AA6" w:rsidRDefault="007E3A74" w:rsidP="007E3A74">
      <w:pPr>
        <w:spacing w:after="0" w:line="240" w:lineRule="auto"/>
        <w:jc w:val="both"/>
        <w:rPr>
          <w:rFonts w:ascii="Verdana" w:eastAsia="Calibri" w:hAnsi="Verdana" w:cs="Arial"/>
          <w:b/>
          <w:bCs/>
          <w:sz w:val="20"/>
          <w:szCs w:val="20"/>
          <w:highlight w:val="yellow"/>
          <w:lang w:val="es-ES_tradnl" w:eastAsia="es-ES_tradnl"/>
        </w:rPr>
      </w:pPr>
    </w:p>
    <w:p w14:paraId="64E46C16" w14:textId="77777777" w:rsidR="007E3A74" w:rsidRDefault="007E3A74" w:rsidP="007E3A74">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w:t>
      </w:r>
      <w:r w:rsidRPr="00296361">
        <w:rPr>
          <w:rFonts w:ascii="Verdana" w:eastAsia="Aptos" w:hAnsi="Verdana" w:cs="Times New Roman"/>
          <w:sz w:val="20"/>
          <w:szCs w:val="20"/>
        </w:rPr>
        <w:t>al analizarse el régimen de inhabilidades, se observa que el solo reporte en el Registro Nacional de Medidas Correctivas no genera una causal inhabilidad para celebrar contratos con las entidades públicas, 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2A1371A5" w14:textId="77777777" w:rsidR="007E3A74" w:rsidRPr="00406AA6" w:rsidRDefault="007E3A74" w:rsidP="007E3A74">
      <w:pPr>
        <w:spacing w:after="0" w:line="240" w:lineRule="auto"/>
        <w:jc w:val="both"/>
        <w:rPr>
          <w:rFonts w:ascii="Verdana" w:eastAsia="Aptos" w:hAnsi="Verdana" w:cs="Times New Roman"/>
          <w:sz w:val="20"/>
          <w:szCs w:val="20"/>
        </w:rPr>
      </w:pPr>
    </w:p>
    <w:p w14:paraId="46FB7EC3" w14:textId="77777777" w:rsidR="007E3A74" w:rsidRDefault="007E3A74" w:rsidP="007E3A74">
      <w:pPr>
        <w:spacing w:after="0" w:line="240" w:lineRule="auto"/>
        <w:jc w:val="both"/>
        <w:rPr>
          <w:rFonts w:ascii="Verdana" w:eastAsia="Aptos" w:hAnsi="Verdana" w:cs="Times New Roman"/>
          <w:sz w:val="20"/>
          <w:szCs w:val="20"/>
        </w:rPr>
      </w:pPr>
      <w:r w:rsidRPr="00CD72F5">
        <w:rPr>
          <w:rFonts w:ascii="Verdana" w:eastAsia="Aptos" w:hAnsi="Verdana" w:cs="Times New Roman"/>
          <w:sz w:val="20"/>
          <w:szCs w:val="20"/>
        </w:rPr>
        <w:t>Sin embargo, debe precisarse que, en caso de que a la persona se le haya impuesto como medida correctiva el pago de multas y este se encuentre en mora por un término de seis (6) meses, el artículo 183 de la Ley 1801 de 2016, estableció como consecuencia a esto en el numeral 4, que “hasta tanto no se ponga al día la persona no podrá: […]Contratar o renovar contrato con cualquier entidad del Estado”. Constituyéndose entonces, lo anterior, como una causal de inhabilidad para celebrar contratos con las entidades públicas.</w:t>
      </w:r>
    </w:p>
    <w:p w14:paraId="393AE50B" w14:textId="77777777" w:rsidR="007E3A74" w:rsidRDefault="007E3A74" w:rsidP="007E3A74">
      <w:pPr>
        <w:spacing w:after="0" w:line="240" w:lineRule="auto"/>
        <w:rPr>
          <w:rFonts w:ascii="Verdana" w:eastAsia="Aptos" w:hAnsi="Verdana" w:cs="Times New Roman"/>
          <w:sz w:val="20"/>
          <w:szCs w:val="20"/>
        </w:rPr>
      </w:pPr>
    </w:p>
    <w:p w14:paraId="112DEA49" w14:textId="77777777" w:rsidR="002B100C" w:rsidRDefault="002B100C" w:rsidP="002B100C">
      <w:pPr>
        <w:spacing w:after="0"/>
        <w:rPr>
          <w:rFonts w:ascii="Verdana" w:hAnsi="Verdana"/>
        </w:rPr>
      </w:pPr>
    </w:p>
    <w:p w14:paraId="7E0A376B" w14:textId="77777777" w:rsidR="007E3A74" w:rsidRDefault="007E3A74" w:rsidP="002B100C">
      <w:pPr>
        <w:spacing w:after="0"/>
        <w:rPr>
          <w:rFonts w:ascii="Verdana" w:hAnsi="Verdana"/>
        </w:rPr>
      </w:pPr>
    </w:p>
    <w:p w14:paraId="4DA91D9D" w14:textId="77777777" w:rsidR="007E3A74" w:rsidRDefault="007E3A74" w:rsidP="002B100C">
      <w:pPr>
        <w:spacing w:after="0"/>
        <w:rPr>
          <w:rFonts w:ascii="Verdana" w:hAnsi="Verdana"/>
        </w:rPr>
      </w:pPr>
    </w:p>
    <w:p w14:paraId="569F137C" w14:textId="77777777" w:rsidR="007E3A74" w:rsidRDefault="007E3A74" w:rsidP="002B100C">
      <w:pPr>
        <w:spacing w:after="0"/>
        <w:rPr>
          <w:rFonts w:ascii="Verdana" w:hAnsi="Verdana"/>
        </w:rPr>
      </w:pPr>
    </w:p>
    <w:p w14:paraId="40E2240D" w14:textId="77777777" w:rsidR="007E3A74" w:rsidRDefault="007E3A74" w:rsidP="002B100C">
      <w:pPr>
        <w:spacing w:after="0"/>
        <w:rPr>
          <w:rFonts w:ascii="Verdana" w:hAnsi="Verdana"/>
        </w:rPr>
      </w:pPr>
    </w:p>
    <w:p w14:paraId="2981A699" w14:textId="77777777" w:rsidR="002B100C" w:rsidRPr="0044528D" w:rsidRDefault="002B100C" w:rsidP="002B100C">
      <w:pPr>
        <w:spacing w:after="0"/>
        <w:rPr>
          <w:rFonts w:ascii="Verdana" w:hAnsi="Verdana"/>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r w:rsidRPr="0044528D">
        <w:rPr>
          <w:rFonts w:ascii="Verdana" w:hAnsi="Verdana"/>
        </w:rPr>
        <w:tab/>
      </w:r>
    </w:p>
    <w:p w14:paraId="6DE0F845" w14:textId="4E104601" w:rsidR="002B100C" w:rsidRPr="0044528D" w:rsidRDefault="007E3A74" w:rsidP="002B100C">
      <w:pPr>
        <w:spacing w:after="0"/>
        <w:rPr>
          <w:rFonts w:ascii="Verdana" w:hAnsi="Verdana"/>
        </w:rPr>
      </w:pPr>
      <w:r w:rsidRPr="007E3A74">
        <w:rPr>
          <w:rStyle w:val="Hipervnculo"/>
        </w:rPr>
        <w:drawing>
          <wp:anchor distT="0" distB="0" distL="114300" distR="114300" simplePos="0" relativeHeight="251658240" behindDoc="0" locked="0" layoutInCell="1" allowOverlap="1" wp14:anchorId="01CAFFFB" wp14:editId="690A9471">
            <wp:simplePos x="0" y="0"/>
            <wp:positionH relativeFrom="margin">
              <wp:posOffset>3088005</wp:posOffset>
            </wp:positionH>
            <wp:positionV relativeFrom="paragraph">
              <wp:posOffset>41910</wp:posOffset>
            </wp:positionV>
            <wp:extent cx="2678430" cy="849811"/>
            <wp:effectExtent l="0" t="0" r="7620" b="7620"/>
            <wp:wrapNone/>
            <wp:docPr id="7722437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43762" name=""/>
                    <pic:cNvPicPr/>
                  </pic:nvPicPr>
                  <pic:blipFill>
                    <a:blip r:embed="rId10">
                      <a:extLst>
                        <a:ext uri="{28A0092B-C50C-407E-A947-70E740481C1C}">
                          <a14:useLocalDpi xmlns:a14="http://schemas.microsoft.com/office/drawing/2010/main" val="0"/>
                        </a:ext>
                      </a:extLst>
                    </a:blip>
                    <a:stretch>
                      <a:fillRect/>
                    </a:stretch>
                  </pic:blipFill>
                  <pic:spPr>
                    <a:xfrm>
                      <a:off x="0" y="0"/>
                      <a:ext cx="2678430" cy="849811"/>
                    </a:xfrm>
                    <a:prstGeom prst="rect">
                      <a:avLst/>
                    </a:prstGeom>
                  </pic:spPr>
                </pic:pic>
              </a:graphicData>
            </a:graphic>
            <wp14:sizeRelH relativeFrom="page">
              <wp14:pctWidth>0</wp14:pctWidth>
            </wp14:sizeRelH>
            <wp14:sizeRelV relativeFrom="page">
              <wp14:pctHeight>0</wp14:pctHeight>
            </wp14:sizeRelV>
          </wp:anchor>
        </w:drawing>
      </w:r>
    </w:p>
    <w:p w14:paraId="6AA17436" w14:textId="00288263" w:rsidR="002B100C" w:rsidRPr="00472CF4" w:rsidRDefault="002B100C" w:rsidP="002B100C">
      <w:pPr>
        <w:spacing w:after="0" w:line="240" w:lineRule="auto"/>
        <w:jc w:val="both"/>
        <w:rPr>
          <w:rFonts w:ascii="Verdana" w:eastAsia="Calibri" w:hAnsi="Verdana" w:cs="Arial"/>
          <w:color w:val="000000"/>
          <w:lang w:val="es-ES"/>
        </w:rPr>
      </w:pPr>
      <w:bookmarkStart w:id="1" w:name="_Hlk177585423"/>
      <w:r>
        <w:rPr>
          <w:rFonts w:ascii="Verdana" w:eastAsia="Calibri" w:hAnsi="Verdana" w:cs="Arial"/>
          <w:color w:val="000000"/>
          <w:lang w:val="es-ES"/>
        </w:rPr>
        <w:t>Señor</w:t>
      </w:r>
    </w:p>
    <w:p w14:paraId="4EF43347" w14:textId="77777777" w:rsidR="002B100C" w:rsidRDefault="002B100C" w:rsidP="002B100C">
      <w:pPr>
        <w:spacing w:after="0" w:line="240" w:lineRule="auto"/>
        <w:rPr>
          <w:rFonts w:ascii="Verdana" w:eastAsia="Calibri" w:hAnsi="Verdana" w:cs="Arial"/>
          <w:b/>
          <w:lang w:val="es-ES" w:eastAsia="es-ES"/>
        </w:rPr>
      </w:pPr>
      <w:r>
        <w:rPr>
          <w:rFonts w:ascii="Verdana" w:eastAsia="Calibri" w:hAnsi="Verdana" w:cs="Arial"/>
          <w:b/>
          <w:lang w:val="es-ES" w:eastAsia="es-ES"/>
        </w:rPr>
        <w:t>Luis Javier Jaramillo</w:t>
      </w:r>
    </w:p>
    <w:p w14:paraId="096007B5" w14:textId="5A88D2EA" w:rsidR="002B100C" w:rsidRDefault="002B100C" w:rsidP="002B100C">
      <w:pPr>
        <w:spacing w:after="0" w:line="240" w:lineRule="auto"/>
      </w:pPr>
      <w:hyperlink r:id="rId11" w:history="1">
        <w:r w:rsidRPr="0067733A">
          <w:rPr>
            <w:rStyle w:val="Hipervnculo"/>
          </w:rPr>
          <w:t>parrakiitoo64@hotmail.com</w:t>
        </w:r>
      </w:hyperlink>
    </w:p>
    <w:p w14:paraId="44146739" w14:textId="77777777" w:rsidR="002B100C" w:rsidRDefault="002B100C" w:rsidP="002B100C">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Pradera, Valle del cauca</w:t>
      </w:r>
    </w:p>
    <w:p w14:paraId="5DC8BF96" w14:textId="77777777" w:rsidR="002B100C" w:rsidRDefault="002B100C" w:rsidP="002B100C">
      <w:pPr>
        <w:spacing w:after="0" w:line="240" w:lineRule="auto"/>
        <w:rPr>
          <w:rFonts w:ascii="Verdana" w:eastAsia="Geomanist Light" w:hAnsi="Verdana" w:cs="Arial"/>
          <w:color w:val="000000" w:themeColor="text1"/>
          <w:lang w:val="es-MX"/>
        </w:rPr>
      </w:pPr>
    </w:p>
    <w:p w14:paraId="796ABB13" w14:textId="77777777" w:rsidR="002B100C" w:rsidRPr="00472CF4" w:rsidRDefault="002B100C" w:rsidP="002B100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B100C" w:rsidRPr="00472CF4" w14:paraId="788EEBC2" w14:textId="77777777" w:rsidTr="006C4159">
        <w:trPr>
          <w:trHeight w:val="466"/>
        </w:trPr>
        <w:tc>
          <w:tcPr>
            <w:tcW w:w="2689" w:type="dxa"/>
          </w:tcPr>
          <w:p w14:paraId="0E97C316" w14:textId="77777777" w:rsidR="002B100C" w:rsidRPr="00472CF4" w:rsidRDefault="002B100C" w:rsidP="006C4159">
            <w:pPr>
              <w:jc w:val="both"/>
              <w:rPr>
                <w:rFonts w:ascii="Verdana" w:eastAsia="Calibri" w:hAnsi="Verdana" w:cs="Arial"/>
                <w:b/>
                <w:bCs/>
                <w:lang w:val="es-ES_tradnl" w:eastAsia="es-ES_tradnl"/>
              </w:rPr>
            </w:pPr>
          </w:p>
        </w:tc>
        <w:tc>
          <w:tcPr>
            <w:tcW w:w="6100" w:type="dxa"/>
          </w:tcPr>
          <w:p w14:paraId="6F23EE25" w14:textId="77777777" w:rsidR="002B100C" w:rsidRPr="00AB1713" w:rsidRDefault="002B100C" w:rsidP="006C4159">
            <w:pPr>
              <w:jc w:val="both"/>
              <w:rPr>
                <w:rFonts w:ascii="Verdana" w:eastAsia="Calibri" w:hAnsi="Verdana" w:cs="Arial"/>
                <w:b/>
                <w:bCs/>
                <w:color w:val="000000" w:themeColor="text1"/>
                <w:lang w:val="es-ES" w:eastAsia="es-ES"/>
              </w:rPr>
            </w:pPr>
            <w:r w:rsidRPr="00AB1713">
              <w:rPr>
                <w:rFonts w:ascii="Verdana" w:eastAsia="Calibri" w:hAnsi="Verdana" w:cs="Arial"/>
                <w:b/>
                <w:bCs/>
                <w:color w:val="000000" w:themeColor="text1"/>
                <w:lang w:val="es-ES" w:eastAsia="es-ES"/>
              </w:rPr>
              <w:t>Concepto C-729 de 2024</w:t>
            </w:r>
          </w:p>
          <w:p w14:paraId="5073E266" w14:textId="77777777" w:rsidR="002B100C" w:rsidRDefault="002B100C" w:rsidP="006C4159">
            <w:pPr>
              <w:jc w:val="both"/>
              <w:rPr>
                <w:rFonts w:ascii="Verdana" w:eastAsia="Calibri" w:hAnsi="Verdana" w:cs="Arial"/>
                <w:b/>
                <w:bCs/>
                <w:lang w:val="es-ES" w:eastAsia="es-ES"/>
              </w:rPr>
            </w:pPr>
          </w:p>
          <w:p w14:paraId="08C13EB2" w14:textId="77777777" w:rsidR="002B100C" w:rsidRPr="00472CF4" w:rsidRDefault="002B100C" w:rsidP="006C4159">
            <w:pPr>
              <w:jc w:val="both"/>
              <w:rPr>
                <w:rFonts w:ascii="Verdana" w:eastAsia="Calibri" w:hAnsi="Verdana" w:cs="Arial"/>
                <w:b/>
                <w:bCs/>
                <w:lang w:val="es-ES" w:eastAsia="es-ES"/>
              </w:rPr>
            </w:pPr>
          </w:p>
        </w:tc>
      </w:tr>
      <w:tr w:rsidR="002B100C" w:rsidRPr="00472CF4" w14:paraId="217C30A8" w14:textId="77777777" w:rsidTr="006C4159">
        <w:trPr>
          <w:trHeight w:val="884"/>
        </w:trPr>
        <w:tc>
          <w:tcPr>
            <w:tcW w:w="2689" w:type="dxa"/>
          </w:tcPr>
          <w:p w14:paraId="1DF75B0E" w14:textId="77777777" w:rsidR="002B100C" w:rsidRPr="00472CF4" w:rsidRDefault="002B100C" w:rsidP="006C4159">
            <w:pPr>
              <w:jc w:val="both"/>
              <w:rPr>
                <w:rFonts w:ascii="Verdana" w:eastAsia="Calibri" w:hAnsi="Verdana" w:cs="Arial"/>
                <w:lang w:val="es-ES_tradnl" w:eastAsia="es-ES_tradnl"/>
              </w:rPr>
            </w:pPr>
            <w:r w:rsidRPr="00472CF4">
              <w:rPr>
                <w:rFonts w:ascii="Verdana" w:eastAsia="Calibri" w:hAnsi="Verdana" w:cs="Arial"/>
                <w:b/>
                <w:lang w:val="es-ES_tradnl" w:eastAsia="es-ES_tradnl"/>
              </w:rPr>
              <w:t>Temas:</w:t>
            </w:r>
            <w:r w:rsidRPr="00472CF4">
              <w:rPr>
                <w:rFonts w:ascii="Verdana" w:eastAsia="Calibri" w:hAnsi="Verdana" w:cs="Arial"/>
                <w:lang w:val="es-ES_tradnl" w:eastAsia="es-ES_tradnl"/>
              </w:rPr>
              <w:t xml:space="preserve">                   </w:t>
            </w:r>
          </w:p>
        </w:tc>
        <w:tc>
          <w:tcPr>
            <w:tcW w:w="6100" w:type="dxa"/>
          </w:tcPr>
          <w:p w14:paraId="356CD904" w14:textId="77777777" w:rsidR="002B100C" w:rsidRPr="00406AA6" w:rsidRDefault="002B100C" w:rsidP="006C4159">
            <w:pPr>
              <w:spacing w:line="276" w:lineRule="auto"/>
              <w:jc w:val="both"/>
              <w:rPr>
                <w:rFonts w:ascii="Verdana" w:eastAsia="Calibri" w:hAnsi="Verdana" w:cs="Arial"/>
                <w:lang w:val="es-ES" w:eastAsia="es-ES"/>
              </w:rPr>
            </w:pPr>
            <w:r w:rsidRPr="00406AA6">
              <w:rPr>
                <w:rFonts w:ascii="Verdana" w:eastAsia="Calibri" w:hAnsi="Verdana" w:cs="Arial"/>
                <w:lang w:val="es-ES" w:eastAsia="es-ES"/>
              </w:rPr>
              <w:t>RÉGIMEN DE INHABILIDADES – Noción – Contratación estatal – Finalidad – Origen / RÉGIMEN DE INHABILIDADES – Competencia del legislador – Ley 1801 de 2016 - No pago de multas -Limitación especial</w:t>
            </w:r>
          </w:p>
          <w:p w14:paraId="2BCE3962" w14:textId="77777777" w:rsidR="002B100C" w:rsidRPr="00032674" w:rsidRDefault="002B100C" w:rsidP="006C4159">
            <w:pPr>
              <w:spacing w:line="276" w:lineRule="auto"/>
              <w:jc w:val="both"/>
              <w:rPr>
                <w:rFonts w:ascii="Verdana" w:eastAsia="Calibri" w:hAnsi="Verdana" w:cs="Arial"/>
                <w:lang w:val="es-ES" w:eastAsia="es-ES"/>
              </w:rPr>
            </w:pPr>
          </w:p>
        </w:tc>
      </w:tr>
      <w:tr w:rsidR="002B100C" w:rsidRPr="00472CF4" w14:paraId="72AC167F" w14:textId="77777777" w:rsidTr="006C4159">
        <w:tc>
          <w:tcPr>
            <w:tcW w:w="2689" w:type="dxa"/>
          </w:tcPr>
          <w:p w14:paraId="34635E85" w14:textId="77777777" w:rsidR="002B100C" w:rsidRPr="00472CF4" w:rsidRDefault="002B100C" w:rsidP="006C4159">
            <w:pPr>
              <w:jc w:val="both"/>
              <w:rPr>
                <w:rFonts w:ascii="Verdana" w:eastAsia="Calibri" w:hAnsi="Verdana" w:cs="Arial"/>
                <w:b/>
                <w:lang w:val="es-ES_tradnl" w:eastAsia="es-ES_tradnl"/>
              </w:rPr>
            </w:pPr>
            <w:r w:rsidRPr="00472CF4">
              <w:rPr>
                <w:rFonts w:ascii="Verdana" w:eastAsia="Calibri" w:hAnsi="Verdana" w:cs="Arial"/>
                <w:b/>
                <w:lang w:val="es-ES_tradnl" w:eastAsia="es-ES_tradnl"/>
              </w:rPr>
              <w:t>Radicación:</w:t>
            </w:r>
            <w:r w:rsidRPr="00472CF4">
              <w:rPr>
                <w:rFonts w:ascii="Verdana" w:eastAsia="Calibri" w:hAnsi="Verdana" w:cs="Arial"/>
                <w:lang w:val="es-ES_tradnl" w:eastAsia="es-ES_tradnl"/>
              </w:rPr>
              <w:t xml:space="preserve">               </w:t>
            </w:r>
          </w:p>
        </w:tc>
        <w:tc>
          <w:tcPr>
            <w:tcW w:w="6100" w:type="dxa"/>
          </w:tcPr>
          <w:p w14:paraId="632DE4B6" w14:textId="77777777" w:rsidR="002B100C" w:rsidRPr="00472CF4" w:rsidRDefault="002B100C" w:rsidP="006C4159">
            <w:pPr>
              <w:jc w:val="both"/>
              <w:rPr>
                <w:rFonts w:ascii="Verdana" w:eastAsia="Calibri" w:hAnsi="Verdana" w:cs="Arial"/>
                <w:lang w:val="es-ES_tradnl" w:eastAsia="es-ES_tradnl"/>
              </w:rPr>
            </w:pPr>
            <w:r w:rsidRPr="00472CF4">
              <w:rPr>
                <w:rFonts w:ascii="Verdana" w:eastAsia="Calibri" w:hAnsi="Verdana" w:cs="Arial"/>
                <w:lang w:val="es-ES_tradnl" w:eastAsia="es-ES_tradnl"/>
              </w:rPr>
              <w:t xml:space="preserve">Respuesta a consulta con radicado No. </w:t>
            </w:r>
            <w:r w:rsidRPr="00B32054">
              <w:rPr>
                <w:rFonts w:ascii="Verdana" w:eastAsia="Geomanist Light" w:hAnsi="Verdana" w:cs="Arial"/>
                <w:color w:val="000000" w:themeColor="text1"/>
                <w:lang w:val="es-MX"/>
              </w:rPr>
              <w:t>P20241011010416</w:t>
            </w:r>
          </w:p>
        </w:tc>
      </w:tr>
    </w:tbl>
    <w:p w14:paraId="4EE7F40E" w14:textId="77777777" w:rsidR="002B100C" w:rsidRPr="00472CF4" w:rsidRDefault="002B100C" w:rsidP="002B100C">
      <w:pPr>
        <w:spacing w:after="0" w:line="240" w:lineRule="auto"/>
        <w:jc w:val="both"/>
        <w:rPr>
          <w:rFonts w:ascii="Verdana" w:eastAsia="Calibri" w:hAnsi="Verdana" w:cs="Arial"/>
          <w:lang w:val="es-ES_tradnl" w:eastAsia="es-ES_tradnl"/>
        </w:rPr>
      </w:pPr>
    </w:p>
    <w:p w14:paraId="338AA8E9" w14:textId="77777777" w:rsidR="002B100C" w:rsidRPr="00472CF4" w:rsidRDefault="002B100C" w:rsidP="002B100C">
      <w:pPr>
        <w:spacing w:after="0" w:line="240" w:lineRule="auto"/>
        <w:jc w:val="both"/>
        <w:rPr>
          <w:rFonts w:ascii="Verdana" w:eastAsia="Calibri" w:hAnsi="Verdana" w:cs="Arial"/>
          <w:lang w:val="es-ES_tradnl" w:eastAsia="es-ES_tradnl"/>
        </w:rPr>
      </w:pPr>
    </w:p>
    <w:p w14:paraId="697EB4BB" w14:textId="77777777" w:rsidR="002B100C" w:rsidRPr="00472CF4" w:rsidRDefault="002B100C" w:rsidP="002B100C">
      <w:pPr>
        <w:spacing w:after="0" w:line="276" w:lineRule="auto"/>
        <w:jc w:val="both"/>
        <w:rPr>
          <w:rFonts w:ascii="Verdana" w:eastAsia="Calibri" w:hAnsi="Verdana" w:cs="Arial"/>
          <w:lang w:val="es-ES" w:eastAsia="es-ES"/>
        </w:rPr>
      </w:pPr>
      <w:r w:rsidRPr="4F2C635E">
        <w:rPr>
          <w:rFonts w:ascii="Verdana" w:eastAsia="Calibri" w:hAnsi="Verdana" w:cs="Arial"/>
          <w:lang w:val="es-ES" w:eastAsia="es-ES"/>
        </w:rPr>
        <w:t>Estimad</w:t>
      </w:r>
      <w:r>
        <w:rPr>
          <w:rFonts w:ascii="Verdana" w:eastAsia="Calibri" w:hAnsi="Verdana" w:cs="Arial"/>
          <w:lang w:val="es-ES" w:eastAsia="es-ES"/>
        </w:rPr>
        <w:t>o</w:t>
      </w:r>
      <w:r w:rsidRPr="4F2C635E">
        <w:rPr>
          <w:rFonts w:ascii="Verdana" w:eastAsia="Calibri" w:hAnsi="Verdana" w:cs="Arial"/>
          <w:lang w:val="es-ES" w:eastAsia="es-ES"/>
        </w:rPr>
        <w:t xml:space="preserve"> señor </w:t>
      </w:r>
      <w:r>
        <w:rPr>
          <w:rFonts w:ascii="Verdana" w:eastAsia="Calibri" w:hAnsi="Verdana" w:cs="Arial"/>
          <w:lang w:val="es-ES" w:eastAsia="es-ES"/>
        </w:rPr>
        <w:t>Jaramillo</w:t>
      </w:r>
      <w:r w:rsidRPr="4F2C635E">
        <w:rPr>
          <w:rFonts w:ascii="Verdana" w:eastAsia="Calibri" w:hAnsi="Verdana" w:cs="Arial"/>
          <w:lang w:val="es-ES" w:eastAsia="es-ES"/>
        </w:rPr>
        <w:t xml:space="preserve">: </w:t>
      </w:r>
    </w:p>
    <w:p w14:paraId="3CE84BB7" w14:textId="77777777" w:rsidR="002B100C" w:rsidRPr="00472CF4" w:rsidRDefault="002B100C" w:rsidP="002B100C">
      <w:pPr>
        <w:tabs>
          <w:tab w:val="left" w:pos="3768"/>
        </w:tabs>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ab/>
      </w:r>
    </w:p>
    <w:p w14:paraId="36AD86E5" w14:textId="77777777" w:rsidR="002B100C" w:rsidRPr="00996157" w:rsidRDefault="002B100C" w:rsidP="002B100C">
      <w:pPr>
        <w:spacing w:after="120" w:line="240" w:lineRule="auto"/>
        <w:jc w:val="both"/>
        <w:rPr>
          <w:rFonts w:ascii="Verdana" w:eastAsia="Calibri" w:hAnsi="Verdana" w:cs="Arial"/>
          <w:lang w:val="es-ES" w:eastAsia="es-ES"/>
        </w:rPr>
      </w:pPr>
      <w:r w:rsidRPr="00472CF4">
        <w:rPr>
          <w:rFonts w:ascii="Verdana" w:eastAsia="Calibri" w:hAnsi="Verdana" w:cs="Arial"/>
          <w:lang w:val="es-ES" w:eastAsia="es-ES"/>
        </w:rPr>
        <w:t>En ejercicio de la competencia otorgada por los artículos 3, numeral 5º, y 11, numeral 8º, del Decreto Ley 4170 de 2011,</w:t>
      </w:r>
      <w:r w:rsidRPr="00472CF4">
        <w:rPr>
          <w:rFonts w:ascii="Verdana" w:eastAsia="Arial MT" w:hAnsi="Verdana" w:cs="Arial MT"/>
          <w:lang w:val="es-ES" w:eastAsia="es-ES"/>
        </w:rPr>
        <w:t xml:space="preserve"> </w:t>
      </w:r>
      <w:r w:rsidRPr="00472CF4">
        <w:rPr>
          <w:rFonts w:ascii="Verdana" w:hAnsi="Verdana" w:cs="Arial"/>
        </w:rPr>
        <w:t xml:space="preserve">así como lo establecido en el artículo 4 de la Resolución 1707 de 2018 expedida por esta Entidad, </w:t>
      </w:r>
      <w:r w:rsidRPr="00472CF4">
        <w:rPr>
          <w:rFonts w:ascii="Verdana" w:eastAsia="Calibri" w:hAnsi="Verdana" w:cs="Arial"/>
          <w:lang w:val="es-ES" w:eastAsia="es-ES"/>
        </w:rPr>
        <w:t>la Agencia Nacional de Contratación Pública – Colombia Compra Eficiente–</w:t>
      </w:r>
      <w:r w:rsidRPr="00996157">
        <w:rPr>
          <w:rFonts w:ascii="Verdana" w:eastAsia="Calibri" w:hAnsi="Verdana" w:cs="Arial"/>
          <w:lang w:eastAsia="es-ES"/>
        </w:rPr>
        <w:t xml:space="preserve">responde su solicitud del </w:t>
      </w:r>
      <w:r>
        <w:rPr>
          <w:rFonts w:ascii="Verdana" w:eastAsia="Calibri" w:hAnsi="Verdana" w:cs="Arial"/>
          <w:lang w:eastAsia="es-ES"/>
        </w:rPr>
        <w:t xml:space="preserve">11 de octubre </w:t>
      </w:r>
      <w:r w:rsidRPr="00996157">
        <w:rPr>
          <w:rFonts w:ascii="Verdana" w:eastAsia="Calibri" w:hAnsi="Verdana" w:cs="Arial"/>
          <w:lang w:eastAsia="es-ES"/>
        </w:rPr>
        <w:t>de 20</w:t>
      </w:r>
      <w:r>
        <w:rPr>
          <w:rFonts w:ascii="Verdana" w:eastAsia="Calibri" w:hAnsi="Verdana" w:cs="Arial"/>
          <w:lang w:eastAsia="es-ES"/>
        </w:rPr>
        <w:t>24</w:t>
      </w:r>
      <w:r w:rsidRPr="00996157">
        <w:rPr>
          <w:rFonts w:ascii="Verdana" w:eastAsia="Calibri" w:hAnsi="Verdana" w:cs="Arial"/>
          <w:lang w:eastAsia="es-ES"/>
        </w:rPr>
        <w:t>, remitida por</w:t>
      </w:r>
      <w:r>
        <w:rPr>
          <w:rFonts w:ascii="Verdana" w:eastAsia="Calibri" w:hAnsi="Verdana" w:cs="Arial"/>
          <w:lang w:eastAsia="es-ES"/>
        </w:rPr>
        <w:t xml:space="preserve"> el</w:t>
      </w:r>
      <w:r w:rsidRPr="00996157">
        <w:rPr>
          <w:rFonts w:ascii="Verdana" w:eastAsia="Calibri" w:hAnsi="Verdana" w:cs="Arial"/>
          <w:lang w:eastAsia="es-ES"/>
        </w:rPr>
        <w:t xml:space="preserve"> Departamento Administrativo de la Función Pública</w:t>
      </w:r>
      <w:r>
        <w:rPr>
          <w:rFonts w:ascii="Verdana" w:eastAsia="Calibri" w:hAnsi="Verdana" w:cs="Arial"/>
          <w:lang w:eastAsia="es-ES"/>
        </w:rPr>
        <w:t xml:space="preserve">, </w:t>
      </w:r>
      <w:r w:rsidRPr="00472CF4">
        <w:rPr>
          <w:rFonts w:ascii="Verdana" w:eastAsia="Calibri" w:hAnsi="Verdana" w:cs="Arial"/>
          <w:lang w:val="es-ES" w:eastAsia="es-ES"/>
        </w:rPr>
        <w:t>en la cual manifiesta lo siguiente:</w:t>
      </w:r>
    </w:p>
    <w:p w14:paraId="3A1CC9BF" w14:textId="77777777" w:rsidR="002B100C" w:rsidRDefault="002B100C" w:rsidP="002B100C">
      <w:pPr>
        <w:spacing w:after="120" w:line="240" w:lineRule="auto"/>
        <w:jc w:val="both"/>
        <w:rPr>
          <w:rFonts w:ascii="Verdana" w:eastAsia="Calibri" w:hAnsi="Verdana" w:cs="Arial"/>
          <w:lang w:val="es-ES" w:eastAsia="es-ES"/>
        </w:rPr>
      </w:pPr>
    </w:p>
    <w:p w14:paraId="7D7473F5" w14:textId="77777777" w:rsidR="002B100C" w:rsidRDefault="002B100C" w:rsidP="002B100C">
      <w:pPr>
        <w:spacing w:after="120" w:line="240" w:lineRule="auto"/>
        <w:jc w:val="both"/>
        <w:rPr>
          <w:rFonts w:ascii="Verdana" w:hAnsi="Verdana"/>
        </w:rPr>
      </w:pPr>
      <w:r w:rsidRPr="00472CF4">
        <w:rPr>
          <w:rFonts w:ascii="Verdana" w:eastAsia="Calibri" w:hAnsi="Verdana" w:cs="Arial"/>
          <w:lang w:val="es-ES" w:eastAsia="es-ES"/>
        </w:rPr>
        <w:t xml:space="preserve"> </w:t>
      </w:r>
      <w:r>
        <w:rPr>
          <w:rFonts w:ascii="Verdana" w:eastAsia="Calibri" w:hAnsi="Verdana" w:cs="Arial"/>
          <w:lang w:val="es-ES" w:eastAsia="es-ES"/>
        </w:rPr>
        <w:t>“</w:t>
      </w:r>
      <w:bookmarkStart w:id="2" w:name="_Hlk180149607"/>
      <w:r w:rsidRPr="00B32054">
        <w:rPr>
          <w:rFonts w:ascii="Verdana" w:eastAsia="Calibri" w:hAnsi="Verdana" w:cs="Arial"/>
          <w:lang w:eastAsia="es-ES"/>
        </w:rPr>
        <w:t>Existe o</w:t>
      </w:r>
      <w:r>
        <w:rPr>
          <w:rFonts w:ascii="Verdana" w:eastAsia="Calibri" w:hAnsi="Verdana" w:cs="Arial"/>
          <w:lang w:eastAsia="es-ES"/>
        </w:rPr>
        <w:t xml:space="preserve"> </w:t>
      </w:r>
      <w:r w:rsidRPr="00B32054">
        <w:rPr>
          <w:rFonts w:ascii="Verdana" w:eastAsia="Calibri" w:hAnsi="Verdana" w:cs="Arial"/>
          <w:lang w:eastAsia="es-ES"/>
        </w:rPr>
        <w:t>no impedimento legal para que, un ciudadano que pacte y firme un acuerdo de pago por una multa de medida correctiva de la Policía Nacional, pueda suscribir un contrato con una Entidad pública</w:t>
      </w:r>
      <w:r w:rsidRPr="00032674">
        <w:rPr>
          <w:rFonts w:ascii="Verdana" w:hAnsi="Verdana"/>
          <w:i/>
          <w:iCs/>
        </w:rPr>
        <w:t>”</w:t>
      </w:r>
      <w:r w:rsidRPr="00472CF4">
        <w:rPr>
          <w:rFonts w:ascii="Verdana" w:hAnsi="Verdana"/>
        </w:rPr>
        <w:t xml:space="preserve"> [SIC]</w:t>
      </w:r>
      <w:r w:rsidRPr="00330126">
        <w:rPr>
          <w:rFonts w:ascii="Verdana" w:hAnsi="Verdana"/>
        </w:rPr>
        <w:t>.</w:t>
      </w:r>
      <w:bookmarkEnd w:id="2"/>
    </w:p>
    <w:p w14:paraId="77917A75" w14:textId="77777777" w:rsidR="002B100C" w:rsidRPr="005254DF" w:rsidRDefault="002B100C" w:rsidP="002B100C">
      <w:pPr>
        <w:spacing w:after="120" w:line="240" w:lineRule="auto"/>
        <w:jc w:val="both"/>
        <w:rPr>
          <w:rFonts w:ascii="Verdana" w:hAnsi="Verdana"/>
          <w:i/>
          <w:iCs/>
        </w:rPr>
      </w:pPr>
    </w:p>
    <w:p w14:paraId="2313CF78" w14:textId="77777777" w:rsidR="002B100C" w:rsidRDefault="002B100C" w:rsidP="002B100C">
      <w:pPr>
        <w:spacing w:after="120" w:line="276" w:lineRule="auto"/>
        <w:jc w:val="both"/>
        <w:rPr>
          <w:rFonts w:ascii="Verdana" w:eastAsia="Calibri" w:hAnsi="Verdana" w:cs="Arial"/>
          <w:szCs w:val="24"/>
          <w:lang w:val="es-ES_tradnl" w:eastAsia="es-ES_tradnl"/>
        </w:rPr>
      </w:pPr>
      <w:r w:rsidRPr="00472CF4">
        <w:rPr>
          <w:rFonts w:ascii="Verdana" w:eastAsia="Century Gothic" w:hAnsi="Verdana" w:cs="Century Gothic"/>
          <w:b/>
          <w:bCs/>
        </w:rPr>
        <w:tab/>
      </w:r>
      <w:r w:rsidRPr="00472CF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472CF4">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472CF4">
        <w:rPr>
          <w:rFonts w:ascii="Verdana" w:eastAsia="Calibri" w:hAnsi="Verdana" w:cs="Arial"/>
          <w:szCs w:val="24"/>
          <w:lang w:val="es-ES_tradnl" w:eastAsia="es-ES_tradnl"/>
        </w:rPr>
        <w:tab/>
      </w:r>
    </w:p>
    <w:p w14:paraId="4A0AF6E6" w14:textId="77777777" w:rsidR="002B100C" w:rsidRPr="00472CF4" w:rsidRDefault="002B100C" w:rsidP="002B100C">
      <w:pPr>
        <w:spacing w:after="120" w:line="276" w:lineRule="auto"/>
        <w:jc w:val="both"/>
        <w:rPr>
          <w:rFonts w:ascii="Verdana" w:eastAsia="Calibri" w:hAnsi="Verdana" w:cs="Arial"/>
          <w:szCs w:val="24"/>
          <w:lang w:val="es-ES_tradnl" w:eastAsia="es-ES_tradnl"/>
        </w:rPr>
      </w:pPr>
    </w:p>
    <w:p w14:paraId="21AEBA43" w14:textId="77777777" w:rsidR="002B100C" w:rsidRPr="00472CF4" w:rsidRDefault="002B100C" w:rsidP="002B100C">
      <w:pPr>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72C549C" w14:textId="77777777" w:rsidR="002B100C" w:rsidRPr="00472CF4" w:rsidRDefault="002B100C" w:rsidP="002B100C">
      <w:pPr>
        <w:spacing w:after="0" w:line="276" w:lineRule="auto"/>
        <w:ind w:firstLine="709"/>
        <w:jc w:val="both"/>
        <w:rPr>
          <w:rFonts w:ascii="Verdana" w:eastAsia="Calibri" w:hAnsi="Verdana" w:cs="Arial"/>
          <w:lang w:val="es-ES" w:eastAsia="es-ES"/>
        </w:rPr>
      </w:pPr>
    </w:p>
    <w:p w14:paraId="0AB6CE53" w14:textId="77777777" w:rsidR="002B100C" w:rsidRPr="00472CF4" w:rsidRDefault="002B100C" w:rsidP="002B100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72CF4">
        <w:rPr>
          <w:rFonts w:ascii="Verdana" w:eastAsia="Century Gothic" w:hAnsi="Verdana" w:cs="Century Gothic"/>
          <w:b/>
          <w:bCs/>
        </w:rPr>
        <w:t>Problema planteado:</w:t>
      </w:r>
    </w:p>
    <w:p w14:paraId="2215FDFA" w14:textId="77777777" w:rsidR="002B100C" w:rsidRPr="00472CF4" w:rsidRDefault="002B100C" w:rsidP="002B100C">
      <w:pPr>
        <w:tabs>
          <w:tab w:val="left" w:pos="426"/>
        </w:tabs>
        <w:spacing w:after="0" w:line="276" w:lineRule="auto"/>
        <w:jc w:val="both"/>
        <w:rPr>
          <w:rFonts w:ascii="Verdana" w:eastAsia="Century Gothic" w:hAnsi="Verdana" w:cs="Century Gothic"/>
          <w:lang w:val="es-ES"/>
        </w:rPr>
      </w:pPr>
    </w:p>
    <w:p w14:paraId="327466F2" w14:textId="7FF6F08B" w:rsidR="002B100C" w:rsidRPr="00A52371" w:rsidRDefault="002B100C" w:rsidP="002B100C">
      <w:pPr>
        <w:spacing w:after="120" w:line="240" w:lineRule="auto"/>
        <w:jc w:val="both"/>
        <w:rPr>
          <w:rFonts w:ascii="Verdana" w:eastAsia="Century Gothic" w:hAnsi="Verdana" w:cs="Century Gothic"/>
        </w:rPr>
      </w:pPr>
      <w:r w:rsidRPr="00472CF4">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w:t>
      </w:r>
      <w:r w:rsidRPr="00472CF4">
        <w:rPr>
          <w:rFonts w:ascii="Verdana" w:eastAsia="Century Gothic" w:hAnsi="Verdana" w:cs="Century Gothic"/>
        </w:rPr>
        <w:t xml:space="preserve">problema jurídico: </w:t>
      </w:r>
      <w:r w:rsidRPr="00A52371">
        <w:rPr>
          <w:rFonts w:ascii="Verdana" w:hAnsi="Verdana"/>
        </w:rPr>
        <w:t>¿</w:t>
      </w:r>
      <w:r w:rsidRPr="00A52371">
        <w:rPr>
          <w:rFonts w:ascii="Verdana" w:eastAsia="Century Gothic" w:hAnsi="Verdana" w:cs="Century Gothic"/>
        </w:rPr>
        <w:t>El reporte en el Registro Nacional de Medidas Correctivas genera una causal de inhabilidad para celebrar contratos con las entidades públicas?</w:t>
      </w:r>
    </w:p>
    <w:p w14:paraId="369E0F82" w14:textId="77777777" w:rsidR="002B100C" w:rsidRPr="00472CF4" w:rsidRDefault="002B100C" w:rsidP="002B100C">
      <w:pPr>
        <w:spacing w:after="0" w:line="276" w:lineRule="auto"/>
        <w:jc w:val="both"/>
        <w:rPr>
          <w:rFonts w:ascii="Verdana" w:eastAsia="Calibri" w:hAnsi="Verdana" w:cs="Arial"/>
          <w:lang w:val="es-ES"/>
        </w:rPr>
      </w:pPr>
    </w:p>
    <w:p w14:paraId="68C5AD8A" w14:textId="77777777" w:rsidR="002B100C" w:rsidRPr="00472CF4" w:rsidRDefault="002B100C" w:rsidP="002B10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Respuesta:</w:t>
      </w:r>
    </w:p>
    <w:p w14:paraId="029F73A2" w14:textId="77777777" w:rsidR="002B100C" w:rsidRPr="005254DF" w:rsidRDefault="002B100C" w:rsidP="002B100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100C" w:rsidRPr="005254DF" w14:paraId="4DFA9C29" w14:textId="77777777" w:rsidTr="006C4159">
        <w:tc>
          <w:tcPr>
            <w:tcW w:w="8828" w:type="dxa"/>
            <w:shd w:val="clear" w:color="auto" w:fill="auto"/>
          </w:tcPr>
          <w:p w14:paraId="3A23C1ED" w14:textId="77777777" w:rsidR="002B100C" w:rsidRDefault="002B100C" w:rsidP="006C4159">
            <w:pPr>
              <w:spacing w:line="276" w:lineRule="auto"/>
              <w:jc w:val="both"/>
              <w:rPr>
                <w:rFonts w:ascii="Verdana" w:eastAsia="Calibri" w:hAnsi="Verdana" w:cs="Arial"/>
                <w:lang w:val="es-ES"/>
              </w:rPr>
            </w:pPr>
            <w:r>
              <w:rPr>
                <w:rFonts w:ascii="Verdana" w:eastAsia="Calibri" w:hAnsi="Verdana" w:cs="Arial"/>
                <w:lang w:val="es-ES"/>
              </w:rPr>
              <w:t xml:space="preserve">Las inhabilidades para contratar con el Estado son un conjunto de restricciones establecidas por el constituyente o el legislador, que afectan directamente la capacidad de las personas para establecer relaciones contractuales con el Estado, que pueden resultar de condenas, sanciones o situaciones previamente establecidas por el ordenamiento jurídico. </w:t>
            </w:r>
          </w:p>
          <w:p w14:paraId="08D38429" w14:textId="77777777" w:rsidR="002B100C" w:rsidRDefault="002B100C" w:rsidP="006C4159">
            <w:pPr>
              <w:spacing w:line="276" w:lineRule="auto"/>
              <w:jc w:val="both"/>
              <w:rPr>
                <w:rFonts w:ascii="Verdana" w:eastAsia="Calibri" w:hAnsi="Verdana" w:cs="Arial"/>
                <w:lang w:val="es-ES"/>
              </w:rPr>
            </w:pPr>
          </w:p>
          <w:p w14:paraId="3581C1F5" w14:textId="77777777" w:rsidR="002B100C" w:rsidRPr="002A2E8E" w:rsidRDefault="002B100C" w:rsidP="006C4159">
            <w:pPr>
              <w:spacing w:before="120" w:line="276" w:lineRule="auto"/>
              <w:jc w:val="both"/>
              <w:rPr>
                <w:rFonts w:ascii="Verdana" w:eastAsia="Calibri" w:hAnsi="Verdana" w:cs="Arial"/>
                <w:lang w:val="es-ES"/>
              </w:rPr>
            </w:pPr>
            <w:r>
              <w:rPr>
                <w:rFonts w:ascii="Verdana" w:eastAsia="Calibri" w:hAnsi="Verdana" w:cs="Arial"/>
                <w:lang w:val="es-ES"/>
              </w:rPr>
              <w:t xml:space="preserve">En ese sentido, al analizarse el régimen de inhabilidades, se observa que el solo reporte en el Registro Nacional de Medidas Correctivas no genera una causal inhabilidad para celebrar contratos con las entidades públicas, puesto que, de acuerdo con el artículo </w:t>
            </w:r>
            <w:r w:rsidRPr="00015AEF">
              <w:rPr>
                <w:rFonts w:ascii="Verdana" w:eastAsia="Calibri" w:hAnsi="Verdana" w:cs="Arial"/>
                <w:lang w:val="es-ES"/>
              </w:rPr>
              <w:t>2.2.8.3.1</w:t>
            </w:r>
            <w:r>
              <w:rPr>
                <w:rFonts w:ascii="Verdana" w:eastAsia="Calibri" w:hAnsi="Verdana" w:cs="Arial"/>
                <w:lang w:val="es-ES"/>
              </w:rPr>
              <w:t xml:space="preserve">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 Sin embargo, debe precisarse que, en caso de que a la persona se le haya impuesto como medida correctiva el pago de multas y este se encuentre en mora por un término de seis (6) meses, el artículo 183 de la Ley 1801 de 2016, estableció como consecuencia a esto en el numeral 4, que “hasta tanto no se ponga al día la persona no podrá: […]Contratar o renovar contrato con cualquier entidad del Estado”. </w:t>
            </w:r>
            <w:r>
              <w:rPr>
                <w:rFonts w:ascii="Verdana" w:eastAsia="Calibri" w:hAnsi="Verdana" w:cs="Arial"/>
                <w:lang w:val="es-ES"/>
              </w:rPr>
              <w:lastRenderedPageBreak/>
              <w:t>Constituyéndose entonces, lo anterior, como una causal de inhabilidad para celebrar contratos con las entidades públicas.</w:t>
            </w:r>
          </w:p>
        </w:tc>
      </w:tr>
    </w:tbl>
    <w:p w14:paraId="2245A7AA" w14:textId="77777777" w:rsidR="002B100C" w:rsidRPr="00472CF4" w:rsidRDefault="002B100C" w:rsidP="002B100C">
      <w:pPr>
        <w:tabs>
          <w:tab w:val="left" w:pos="142"/>
          <w:tab w:val="left" w:pos="284"/>
        </w:tabs>
        <w:spacing w:after="0" w:line="276" w:lineRule="auto"/>
        <w:jc w:val="both"/>
        <w:rPr>
          <w:rFonts w:ascii="Verdana" w:eastAsia="Century Gothic" w:hAnsi="Verdana" w:cs="Century Gothic"/>
          <w:b/>
          <w:bCs/>
          <w:lang w:val="es-ES"/>
        </w:rPr>
      </w:pPr>
    </w:p>
    <w:p w14:paraId="653DE545" w14:textId="77777777" w:rsidR="002B100C" w:rsidRPr="00472CF4" w:rsidRDefault="002B100C" w:rsidP="002B10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Razones de la respuesta:</w:t>
      </w:r>
    </w:p>
    <w:p w14:paraId="129170F8" w14:textId="77777777" w:rsidR="002B100C" w:rsidRPr="00472CF4" w:rsidRDefault="002B100C" w:rsidP="002B100C">
      <w:pPr>
        <w:spacing w:after="0" w:line="276" w:lineRule="auto"/>
        <w:jc w:val="both"/>
        <w:rPr>
          <w:rFonts w:ascii="Verdana" w:eastAsia="Calibri" w:hAnsi="Verdana" w:cs="Arial"/>
          <w:lang w:val="es-ES"/>
        </w:rPr>
      </w:pPr>
    </w:p>
    <w:p w14:paraId="70A798F5" w14:textId="77777777" w:rsidR="002B100C" w:rsidRDefault="002B100C" w:rsidP="002B100C">
      <w:pPr>
        <w:spacing w:after="0" w:line="276" w:lineRule="auto"/>
        <w:jc w:val="both"/>
        <w:rPr>
          <w:rFonts w:ascii="Verdana" w:eastAsia="Calibri" w:hAnsi="Verdana" w:cs="Arial"/>
          <w:lang w:val="es-ES"/>
        </w:rPr>
      </w:pPr>
      <w:r w:rsidRPr="00472CF4">
        <w:rPr>
          <w:rFonts w:ascii="Verdana" w:eastAsia="Calibri" w:hAnsi="Verdana" w:cs="Arial"/>
          <w:lang w:val="es-ES"/>
        </w:rPr>
        <w:t xml:space="preserve">Lo anterior se sustenta en las siguientes consideraciones: </w:t>
      </w:r>
    </w:p>
    <w:p w14:paraId="68A3D80D" w14:textId="77777777" w:rsidR="002B100C" w:rsidRDefault="002B100C" w:rsidP="002B100C">
      <w:pPr>
        <w:spacing w:after="0" w:line="276" w:lineRule="auto"/>
        <w:jc w:val="both"/>
        <w:rPr>
          <w:rFonts w:ascii="Verdana" w:eastAsia="Calibri" w:hAnsi="Verdana" w:cs="Arial"/>
          <w:lang w:val="es-ES"/>
        </w:rPr>
      </w:pPr>
    </w:p>
    <w:p w14:paraId="70A45E09" w14:textId="77777777" w:rsidR="002B100C" w:rsidRPr="006C62F9" w:rsidRDefault="002B100C" w:rsidP="002B100C">
      <w:pPr>
        <w:numPr>
          <w:ilvl w:val="0"/>
          <w:numId w:val="17"/>
        </w:numPr>
        <w:spacing w:after="0" w:line="276" w:lineRule="auto"/>
        <w:contextualSpacing/>
        <w:jc w:val="both"/>
        <w:rPr>
          <w:rFonts w:ascii="Verdana" w:eastAsia="Calibri" w:hAnsi="Verdana" w:cs="Arial"/>
          <w:lang w:val="es-ES"/>
        </w:rPr>
      </w:pPr>
      <w:bookmarkStart w:id="3" w:name="_Hlk173311098"/>
      <w:r w:rsidRPr="00406AA6">
        <w:rPr>
          <w:rFonts w:ascii="Verdana" w:eastAsia="Calibri" w:hAnsi="Verdana" w:cs="Arial"/>
          <w:lang w:val="es-ES"/>
        </w:rPr>
        <w:t xml:space="preserve">El régimen de inhabilidades son prohibiciones para concurrir a los procedimientos de selección y para contratar con el Estado, que se derivan </w:t>
      </w:r>
      <w:r w:rsidRPr="00406AA6">
        <w:rPr>
          <w:rFonts w:ascii="Verdana" w:eastAsia="Calibri" w:hAnsi="Verdana" w:cs="Arial"/>
          <w:i/>
          <w:iCs/>
          <w:lang w:val="es-ES"/>
        </w:rPr>
        <w:t>i)</w:t>
      </w:r>
      <w:r w:rsidRPr="00406AA6">
        <w:rPr>
          <w:rFonts w:ascii="Verdana" w:eastAsia="Calibri" w:hAnsi="Verdana" w:cs="Arial"/>
          <w:lang w:val="es-ES"/>
        </w:rPr>
        <w:t xml:space="preserve"> de la existencia de comportamientos reprochables o de sanciones anteriormente impuestas</w:t>
      </w:r>
      <w:r w:rsidRPr="00406AA6">
        <w:rPr>
          <w:rFonts w:ascii="Verdana" w:eastAsia="Calibri" w:hAnsi="Verdana" w:cs="Arial"/>
          <w:color w:val="000000"/>
          <w:vertAlign w:val="superscript"/>
          <w:lang w:val="es-ES_tradnl"/>
        </w:rPr>
        <w:footnoteReference w:id="1"/>
      </w:r>
      <w:r w:rsidRPr="00406AA6">
        <w:rPr>
          <w:rFonts w:ascii="Verdana" w:eastAsia="Arial" w:hAnsi="Verdana" w:cs="Arial"/>
          <w:color w:val="000000"/>
          <w:lang w:eastAsia="es-CO"/>
        </w:rPr>
        <w:t>,</w:t>
      </w:r>
      <w:r w:rsidRPr="00406AA6">
        <w:rPr>
          <w:rFonts w:ascii="Verdana" w:eastAsia="Calibri" w:hAnsi="Verdana" w:cs="Arial"/>
          <w:lang w:val="es-ES"/>
        </w:rPr>
        <w:t xml:space="preserve"> </w:t>
      </w:r>
      <w:proofErr w:type="spellStart"/>
      <w:r w:rsidRPr="00406AA6">
        <w:rPr>
          <w:rFonts w:ascii="Verdana" w:eastAsia="Calibri" w:hAnsi="Verdana" w:cs="Arial"/>
          <w:i/>
          <w:iCs/>
          <w:lang w:val="es-ES"/>
        </w:rPr>
        <w:t>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vínculos personales relaticos al parentesco o al estado civil</w:t>
      </w:r>
      <w:r w:rsidRPr="00406AA6">
        <w:rPr>
          <w:rFonts w:ascii="Verdana" w:eastAsia="Calibri" w:hAnsi="Verdana" w:cs="Arial"/>
          <w:color w:val="000000"/>
          <w:vertAlign w:val="superscript"/>
          <w:lang w:val="es-ES_tradnl"/>
        </w:rPr>
        <w:footnoteReference w:id="2"/>
      </w:r>
      <w:r w:rsidRPr="00406AA6">
        <w:rPr>
          <w:rFonts w:ascii="Arial" w:eastAsia="Arial" w:hAnsi="Arial" w:cs="Arial"/>
          <w:color w:val="000000"/>
          <w:lang w:eastAsia="es-CO"/>
        </w:rPr>
        <w:t xml:space="preserve"> </w:t>
      </w:r>
      <w:r w:rsidRPr="00406AA6">
        <w:rPr>
          <w:rFonts w:ascii="Verdana" w:eastAsia="Calibri" w:hAnsi="Verdana" w:cs="Arial"/>
          <w:lang w:val="es-ES"/>
        </w:rPr>
        <w:t xml:space="preserve">o </w:t>
      </w:r>
      <w:proofErr w:type="spellStart"/>
      <w:r w:rsidRPr="00406AA6">
        <w:rPr>
          <w:rFonts w:ascii="Verdana" w:eastAsia="Calibri" w:hAnsi="Verdana" w:cs="Arial"/>
          <w:i/>
          <w:iCs/>
          <w:lang w:val="es-ES"/>
        </w:rPr>
        <w:t>iii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una actividad u oficio que se desempeñó en el pasado</w:t>
      </w:r>
      <w:r w:rsidRPr="00406AA6">
        <w:rPr>
          <w:rFonts w:ascii="Verdana" w:eastAsia="Calibri" w:hAnsi="Verdana" w:cs="Arial"/>
          <w:color w:val="000000"/>
          <w:vertAlign w:val="superscript"/>
          <w:lang w:val="es-ES_tradnl"/>
        </w:rPr>
        <w:footnoteReference w:id="3"/>
      </w:r>
      <w:r w:rsidRPr="00406AA6">
        <w:rPr>
          <w:rFonts w:ascii="Verdana" w:eastAsia="Calibri" w:hAnsi="Verdana" w:cs="Arial"/>
          <w:color w:val="000000"/>
          <w:lang w:val="es-ES_tradnl"/>
        </w:rPr>
        <w:t xml:space="preserve">.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406AA6">
        <w:rPr>
          <w:rFonts w:ascii="Verdana" w:eastAsia="Calibri" w:hAnsi="Verdana" w:cs="Arial"/>
          <w:color w:val="000000"/>
          <w:lang w:val="es-ES_tradnl"/>
        </w:rPr>
        <w:t>que</w:t>
      </w:r>
      <w:proofErr w:type="gramEnd"/>
      <w:r w:rsidRPr="00406AA6">
        <w:rPr>
          <w:rFonts w:ascii="Verdana" w:eastAsia="Calibri" w:hAnsi="Verdana" w:cs="Arial"/>
          <w:color w:val="000000"/>
          <w:lang w:val="es-ES_tradnl"/>
        </w:rPr>
        <w:t>, como lo ha destacado la doctrina, las inhabilidades son herramientas para la lucha contra la corrupción, adoptando paulatinamente un carácter sancionatorio o “</w:t>
      </w:r>
      <w:proofErr w:type="spellStart"/>
      <w:r w:rsidRPr="00406AA6">
        <w:rPr>
          <w:rFonts w:ascii="Verdana" w:eastAsia="Calibri" w:hAnsi="Verdana" w:cs="Arial"/>
          <w:color w:val="000000"/>
          <w:lang w:val="es-ES_tradnl"/>
        </w:rPr>
        <w:t>neopunitivo</w:t>
      </w:r>
      <w:proofErr w:type="spellEnd"/>
      <w:r w:rsidRPr="00406AA6">
        <w:rPr>
          <w:rFonts w:ascii="Verdana" w:eastAsia="Calibri" w:hAnsi="Verdana" w:cs="Arial"/>
          <w:color w:val="000000"/>
          <w:lang w:val="es-ES_tradnl"/>
        </w:rPr>
        <w:t>”</w:t>
      </w:r>
      <w:r w:rsidRPr="00406AA6">
        <w:rPr>
          <w:rFonts w:ascii="Verdana" w:eastAsia="Calibri" w:hAnsi="Verdana" w:cs="Arial"/>
          <w:color w:val="000000"/>
          <w:vertAlign w:val="superscript"/>
          <w:lang w:val="es-ES"/>
        </w:rPr>
        <w:footnoteReference w:id="4"/>
      </w:r>
      <w:r w:rsidRPr="00406AA6">
        <w:rPr>
          <w:rFonts w:ascii="Verdana" w:eastAsia="Calibri" w:hAnsi="Verdana" w:cs="Arial"/>
          <w:color w:val="000000"/>
          <w:lang w:val="es-ES"/>
        </w:rPr>
        <w:t>.</w:t>
      </w:r>
    </w:p>
    <w:p w14:paraId="51EE105D" w14:textId="77777777" w:rsidR="006C62F9" w:rsidRPr="00406AA6" w:rsidRDefault="006C62F9" w:rsidP="006C62F9">
      <w:pPr>
        <w:spacing w:after="0" w:line="276" w:lineRule="auto"/>
        <w:ind w:left="720"/>
        <w:contextualSpacing/>
        <w:jc w:val="both"/>
        <w:rPr>
          <w:rFonts w:ascii="Verdana" w:eastAsia="Calibri" w:hAnsi="Verdana" w:cs="Arial"/>
          <w:lang w:val="es-ES"/>
        </w:rPr>
      </w:pPr>
    </w:p>
    <w:p w14:paraId="6CB86E03" w14:textId="77777777" w:rsidR="002B100C" w:rsidRPr="00406AA6" w:rsidRDefault="002B100C" w:rsidP="002B100C">
      <w:pPr>
        <w:spacing w:after="0" w:line="276" w:lineRule="auto"/>
        <w:ind w:left="720"/>
        <w:contextualSpacing/>
        <w:jc w:val="both"/>
        <w:rPr>
          <w:rFonts w:ascii="Verdana" w:eastAsia="Calibri" w:hAnsi="Verdana" w:cs="Arial"/>
          <w:lang w:val="es-ES"/>
        </w:rPr>
      </w:pPr>
    </w:p>
    <w:p w14:paraId="7A6154E9" w14:textId="77777777" w:rsidR="002B100C" w:rsidRDefault="002B100C" w:rsidP="002B100C">
      <w:pPr>
        <w:numPr>
          <w:ilvl w:val="0"/>
          <w:numId w:val="17"/>
        </w:numPr>
        <w:spacing w:after="0" w:line="276" w:lineRule="auto"/>
        <w:contextualSpacing/>
        <w:jc w:val="both"/>
        <w:rPr>
          <w:rFonts w:ascii="Verdana" w:eastAsia="Calibri" w:hAnsi="Verdana" w:cs="Arial"/>
          <w:lang w:val="es-ES"/>
        </w:rPr>
      </w:pPr>
      <w:r w:rsidRPr="00406AA6">
        <w:rPr>
          <w:rFonts w:ascii="Verdana" w:eastAsia="Calibri" w:hAnsi="Verdana" w:cs="Arial"/>
          <w:lang w:val="es-ES"/>
        </w:rPr>
        <w:t xml:space="preserve">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w:t>
      </w:r>
      <w:r w:rsidRPr="00406AA6">
        <w:rPr>
          <w:rFonts w:ascii="Verdana" w:eastAsia="Calibri" w:hAnsi="Verdana" w:cs="Arial"/>
          <w:lang w:val="es-ES"/>
        </w:rPr>
        <w:lastRenderedPageBreak/>
        <w:t xml:space="preserve">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7727D5FD" w14:textId="77777777" w:rsidR="006C62F9" w:rsidRPr="00406AA6" w:rsidRDefault="006C62F9" w:rsidP="006C62F9">
      <w:pPr>
        <w:spacing w:after="0" w:line="276" w:lineRule="auto"/>
        <w:ind w:left="720"/>
        <w:contextualSpacing/>
        <w:jc w:val="both"/>
        <w:rPr>
          <w:rFonts w:ascii="Verdana" w:eastAsia="Calibri" w:hAnsi="Verdana" w:cs="Arial"/>
          <w:lang w:val="es-ES"/>
        </w:rPr>
      </w:pPr>
    </w:p>
    <w:p w14:paraId="0303572C" w14:textId="77777777" w:rsidR="002B100C" w:rsidRPr="00406AA6" w:rsidRDefault="002B100C" w:rsidP="002B100C">
      <w:pPr>
        <w:spacing w:after="0"/>
        <w:ind w:left="720"/>
        <w:contextualSpacing/>
        <w:rPr>
          <w:rFonts w:ascii="Verdana" w:eastAsia="Calibri" w:hAnsi="Verdana" w:cs="Arial"/>
          <w:lang w:val="es-ES"/>
        </w:rPr>
      </w:pPr>
    </w:p>
    <w:p w14:paraId="3233F572" w14:textId="77777777" w:rsidR="002B100C" w:rsidRPr="006C62F9" w:rsidRDefault="002B100C" w:rsidP="002B100C">
      <w:pPr>
        <w:numPr>
          <w:ilvl w:val="0"/>
          <w:numId w:val="17"/>
        </w:numPr>
        <w:spacing w:after="0" w:line="276" w:lineRule="auto"/>
        <w:jc w:val="both"/>
        <w:rPr>
          <w:rFonts w:ascii="Verdana" w:eastAsia="Aptos" w:hAnsi="Verdana" w:cs="Arial"/>
          <w:i/>
          <w:iCs/>
          <w:lang w:val="es-ES"/>
        </w:rPr>
      </w:pPr>
      <w:r w:rsidRPr="00406AA6">
        <w:rPr>
          <w:rFonts w:ascii="Verdana" w:eastAsia="Arial" w:hAnsi="Verdana" w:cs="Arial"/>
          <w:color w:val="000000"/>
          <w:lang w:val="es-MX" w:eastAsia="es-CO"/>
        </w:rPr>
        <w:t xml:space="preserve">En esta medida, la Corte Constitucional explica que </w:t>
      </w:r>
      <w:r w:rsidRPr="00406AA6">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06AA6">
        <w:rPr>
          <w:rFonts w:ascii="Verdana" w:eastAsia="Aptos" w:hAnsi="Verdana" w:cs="Arial"/>
          <w:i/>
          <w:iCs/>
          <w:vertAlign w:val="superscript"/>
          <w:lang w:val="es-ES"/>
        </w:rPr>
        <w:footnoteReference w:id="5"/>
      </w:r>
      <w:r w:rsidRPr="00406AA6">
        <w:rPr>
          <w:rFonts w:ascii="Verdana" w:eastAsia="Aptos" w:hAnsi="Verdana" w:cs="Arial"/>
          <w:i/>
          <w:iCs/>
          <w:lang w:val="es-ES"/>
        </w:rPr>
        <w:t xml:space="preserve">. </w:t>
      </w:r>
      <w:r w:rsidRPr="00406AA6">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698EEED7" w14:textId="77777777" w:rsidR="006C62F9" w:rsidRPr="00406AA6" w:rsidRDefault="006C62F9" w:rsidP="006C62F9">
      <w:pPr>
        <w:spacing w:after="0" w:line="276" w:lineRule="auto"/>
        <w:ind w:left="720"/>
        <w:jc w:val="both"/>
        <w:rPr>
          <w:rFonts w:ascii="Verdana" w:eastAsia="Aptos" w:hAnsi="Verdana" w:cs="Arial"/>
          <w:i/>
          <w:iCs/>
          <w:lang w:val="es-ES"/>
        </w:rPr>
      </w:pPr>
    </w:p>
    <w:p w14:paraId="0E5BF4AE" w14:textId="77777777" w:rsidR="002B100C" w:rsidRPr="00406AA6" w:rsidRDefault="002B100C" w:rsidP="002B100C">
      <w:pPr>
        <w:spacing w:after="0" w:line="276" w:lineRule="auto"/>
        <w:contextualSpacing/>
        <w:jc w:val="both"/>
        <w:rPr>
          <w:rFonts w:ascii="Verdana" w:eastAsia="Calibri" w:hAnsi="Verdana" w:cs="Arial"/>
        </w:rPr>
      </w:pPr>
    </w:p>
    <w:p w14:paraId="78C66EA8" w14:textId="77777777" w:rsidR="002B100C" w:rsidRPr="00406AA6" w:rsidRDefault="002B100C" w:rsidP="002B100C">
      <w:pPr>
        <w:numPr>
          <w:ilvl w:val="0"/>
          <w:numId w:val="17"/>
        </w:numPr>
        <w:spacing w:after="0" w:line="276" w:lineRule="auto"/>
        <w:contextualSpacing/>
        <w:jc w:val="both"/>
        <w:rPr>
          <w:rFonts w:ascii="Verdana" w:eastAsia="Calibri" w:hAnsi="Verdana" w:cs="Arial"/>
        </w:rPr>
      </w:pPr>
      <w:r w:rsidRPr="00406AA6">
        <w:rPr>
          <w:rFonts w:ascii="Verdana" w:eastAsia="Calibri" w:hAnsi="Verdana" w:cs="Arial"/>
        </w:rPr>
        <w:t>Así pues, debe precisarse que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6F900CC1" w14:textId="77777777" w:rsidR="002B100C" w:rsidRDefault="002B100C" w:rsidP="002B100C">
      <w:pPr>
        <w:spacing w:after="0" w:line="276" w:lineRule="auto"/>
        <w:ind w:firstLine="709"/>
        <w:contextualSpacing/>
        <w:jc w:val="both"/>
        <w:rPr>
          <w:rFonts w:ascii="Verdana" w:eastAsia="Calibri" w:hAnsi="Verdana" w:cs="Arial"/>
          <w:lang w:val="es-ES_tradnl" w:eastAsia="es-ES_tradnl"/>
        </w:rPr>
      </w:pPr>
    </w:p>
    <w:p w14:paraId="2572302A" w14:textId="77777777" w:rsidR="006C62F9" w:rsidRPr="001C3628" w:rsidRDefault="006C62F9" w:rsidP="002B100C">
      <w:pPr>
        <w:spacing w:after="0" w:line="276" w:lineRule="auto"/>
        <w:ind w:firstLine="709"/>
        <w:contextualSpacing/>
        <w:jc w:val="both"/>
        <w:rPr>
          <w:rFonts w:ascii="Verdana" w:eastAsia="Calibri" w:hAnsi="Verdana" w:cs="Arial"/>
          <w:lang w:val="es-ES_tradnl" w:eastAsia="es-ES_tradnl"/>
        </w:rPr>
      </w:pPr>
    </w:p>
    <w:p w14:paraId="04462D58" w14:textId="77777777" w:rsidR="002B100C" w:rsidRDefault="002B100C" w:rsidP="002B100C">
      <w:pPr>
        <w:pStyle w:val="Prrafodelista"/>
        <w:numPr>
          <w:ilvl w:val="0"/>
          <w:numId w:val="20"/>
        </w:numPr>
        <w:spacing w:after="0" w:line="276" w:lineRule="auto"/>
        <w:jc w:val="both"/>
        <w:rPr>
          <w:rFonts w:ascii="Verdana" w:eastAsia="Calibri" w:hAnsi="Verdana" w:cs="Arial"/>
          <w:shd w:val="clear" w:color="auto" w:fill="FFFFFF"/>
        </w:rPr>
      </w:pPr>
      <w:r>
        <w:rPr>
          <w:rFonts w:ascii="Verdana" w:eastAsia="Calibri" w:hAnsi="Verdana" w:cs="Arial"/>
          <w:shd w:val="clear" w:color="auto" w:fill="FFFFFF"/>
        </w:rPr>
        <w:t xml:space="preserve">Ahora bien, con el fin de atender el objeto de su consulta, es preciso indicar que, </w:t>
      </w:r>
      <w:r w:rsidRPr="00233CEE">
        <w:rPr>
          <w:rFonts w:ascii="Verdana" w:eastAsia="Calibri" w:hAnsi="Verdana" w:cs="Arial"/>
          <w:shd w:val="clear" w:color="auto" w:fill="FFFFFF"/>
        </w:rPr>
        <w:t>al analizarse el régimen de inhabilidades, se observa que el solo reporte en el Registro Nacional de Medidas Correctivas no genera una causal inhabilidad para celebrar contratos con las entidades públicas, 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13464BBC" w14:textId="77777777" w:rsidR="002B100C" w:rsidRDefault="002B100C" w:rsidP="002B100C">
      <w:pPr>
        <w:pStyle w:val="Prrafodelista"/>
        <w:spacing w:after="0" w:line="276" w:lineRule="auto"/>
        <w:jc w:val="both"/>
        <w:rPr>
          <w:rFonts w:ascii="Verdana" w:eastAsia="Calibri" w:hAnsi="Verdana" w:cs="Arial"/>
          <w:shd w:val="clear" w:color="auto" w:fill="FFFFFF"/>
        </w:rPr>
      </w:pPr>
    </w:p>
    <w:p w14:paraId="0AD418B5" w14:textId="77777777" w:rsidR="002B100C" w:rsidRDefault="002B100C" w:rsidP="002B100C">
      <w:pPr>
        <w:pStyle w:val="Prrafodelista"/>
        <w:numPr>
          <w:ilvl w:val="0"/>
          <w:numId w:val="20"/>
        </w:numPr>
        <w:spacing w:after="0" w:line="276" w:lineRule="auto"/>
        <w:jc w:val="both"/>
        <w:rPr>
          <w:rFonts w:ascii="Verdana" w:eastAsia="Calibri" w:hAnsi="Verdana" w:cs="Arial"/>
          <w:shd w:val="clear" w:color="auto" w:fill="FFFFFF"/>
        </w:rPr>
      </w:pPr>
      <w:r w:rsidRPr="00233CEE">
        <w:rPr>
          <w:rFonts w:ascii="Verdana" w:eastAsia="Calibri" w:hAnsi="Verdana" w:cs="Arial"/>
          <w:shd w:val="clear" w:color="auto" w:fill="FFFFFF"/>
        </w:rPr>
        <w:lastRenderedPageBreak/>
        <w:t xml:space="preserve">Sin embargo, debe precisarse que, en caso de que a la persona se le haya impuesto como medida correctiva el pago de multas y este se encuentre en mora por un término de seis (6) meses, el artículo 183 de la Ley 1801 de 2016, estableció como consecuencia a esto en el numeral 4, que </w:t>
      </w:r>
      <w:r w:rsidRPr="00233CEE">
        <w:rPr>
          <w:rFonts w:ascii="Verdana" w:eastAsia="Calibri" w:hAnsi="Verdana" w:cs="Arial"/>
          <w:i/>
          <w:iCs/>
          <w:shd w:val="clear" w:color="auto" w:fill="FFFFFF"/>
        </w:rPr>
        <w:t>“hasta tanto no se ponga al día la persona no podrá: […]Contratar o renovar contrato con cualquier entidad del Estado”.</w:t>
      </w:r>
      <w:r w:rsidRPr="00233CEE">
        <w:rPr>
          <w:rFonts w:ascii="Verdana" w:eastAsia="Calibri" w:hAnsi="Verdana" w:cs="Arial"/>
          <w:shd w:val="clear" w:color="auto" w:fill="FFFFFF"/>
        </w:rPr>
        <w:t xml:space="preserve"> Constituyéndose entonces, lo anterior, como una causal de inhabilidad para celebrar contratos con las entidades públicas.</w:t>
      </w:r>
    </w:p>
    <w:p w14:paraId="177D8122" w14:textId="77777777" w:rsidR="006C62F9" w:rsidRPr="006C62F9" w:rsidRDefault="006C62F9" w:rsidP="006C62F9">
      <w:pPr>
        <w:pStyle w:val="Prrafodelista"/>
        <w:rPr>
          <w:rFonts w:ascii="Verdana" w:eastAsia="Calibri" w:hAnsi="Verdana" w:cs="Arial"/>
          <w:shd w:val="clear" w:color="auto" w:fill="FFFFFF"/>
        </w:rPr>
      </w:pPr>
    </w:p>
    <w:p w14:paraId="48D7BD14" w14:textId="77777777" w:rsidR="006C62F9" w:rsidRDefault="006C62F9" w:rsidP="006C62F9">
      <w:pPr>
        <w:pStyle w:val="Prrafodelista"/>
        <w:spacing w:after="0" w:line="276" w:lineRule="auto"/>
        <w:jc w:val="both"/>
        <w:rPr>
          <w:rFonts w:ascii="Verdana" w:eastAsia="Calibri" w:hAnsi="Verdana" w:cs="Arial"/>
          <w:shd w:val="clear" w:color="auto" w:fill="FFFFFF"/>
        </w:rPr>
      </w:pPr>
    </w:p>
    <w:p w14:paraId="05C48E15" w14:textId="77777777" w:rsidR="002B100C" w:rsidRPr="00181EC0" w:rsidRDefault="002B100C" w:rsidP="002B100C">
      <w:pPr>
        <w:pStyle w:val="Prrafodelista"/>
        <w:spacing w:after="0"/>
        <w:rPr>
          <w:rFonts w:ascii="Verdana" w:eastAsia="Calibri" w:hAnsi="Verdana" w:cs="Arial"/>
          <w:shd w:val="clear" w:color="auto" w:fill="FFFFFF"/>
        </w:rPr>
      </w:pPr>
    </w:p>
    <w:p w14:paraId="608B6330" w14:textId="77777777" w:rsidR="002B100C" w:rsidRDefault="002B100C" w:rsidP="002B100C">
      <w:pPr>
        <w:widowControl w:val="0"/>
        <w:numPr>
          <w:ilvl w:val="0"/>
          <w:numId w:val="19"/>
        </w:numPr>
        <w:autoSpaceDE w:val="0"/>
        <w:autoSpaceDN w:val="0"/>
        <w:spacing w:after="0" w:line="276" w:lineRule="auto"/>
        <w:contextualSpacing/>
        <w:jc w:val="both"/>
        <w:rPr>
          <w:rFonts w:ascii="Verdana" w:eastAsia="Aptos" w:hAnsi="Verdana" w:cs="Arial"/>
        </w:rPr>
      </w:pPr>
      <w:r w:rsidRPr="00406AA6">
        <w:rPr>
          <w:rFonts w:ascii="Verdana" w:eastAsia="Aptos" w:hAnsi="Verdana" w:cs="Arial"/>
        </w:rPr>
        <w:t>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caso, si uno o alguno de sus futuros contratistas, se encuentra o no inmerso en los límites especiales a la capacidad para presentar ofertas y celebrar contratos estatales.</w:t>
      </w:r>
    </w:p>
    <w:p w14:paraId="640C8B66" w14:textId="77777777" w:rsidR="006C62F9" w:rsidRPr="00406AA6" w:rsidRDefault="006C62F9" w:rsidP="006C62F9">
      <w:pPr>
        <w:widowControl w:val="0"/>
        <w:autoSpaceDE w:val="0"/>
        <w:autoSpaceDN w:val="0"/>
        <w:spacing w:after="0" w:line="276" w:lineRule="auto"/>
        <w:ind w:left="720"/>
        <w:contextualSpacing/>
        <w:jc w:val="both"/>
        <w:rPr>
          <w:rFonts w:ascii="Verdana" w:eastAsia="Aptos" w:hAnsi="Verdana" w:cs="Arial"/>
        </w:rPr>
      </w:pPr>
    </w:p>
    <w:bookmarkEnd w:id="3"/>
    <w:p w14:paraId="5E69250B" w14:textId="77777777" w:rsidR="002B100C" w:rsidRDefault="002B100C" w:rsidP="002B100C">
      <w:pPr>
        <w:spacing w:after="0" w:line="276" w:lineRule="auto"/>
        <w:jc w:val="both"/>
        <w:rPr>
          <w:rFonts w:ascii="Verdana" w:eastAsia="Calibri" w:hAnsi="Verdana" w:cs="Arial"/>
          <w:lang w:val="es-ES_tradnl" w:eastAsia="es-ES_tradnl"/>
        </w:rPr>
      </w:pPr>
    </w:p>
    <w:p w14:paraId="02BEF376" w14:textId="77777777" w:rsidR="002B100C" w:rsidRPr="00472CF4" w:rsidRDefault="002B100C" w:rsidP="002B100C">
      <w:pPr>
        <w:spacing w:after="0" w:line="276" w:lineRule="auto"/>
        <w:jc w:val="both"/>
        <w:rPr>
          <w:rFonts w:ascii="Verdana" w:eastAsia="Century Gothic" w:hAnsi="Verdana" w:cs="Century Gothic"/>
          <w:b/>
          <w:bCs/>
          <w:lang w:val="es-ES"/>
        </w:rPr>
      </w:pPr>
      <w:r w:rsidRPr="00472CF4">
        <w:rPr>
          <w:rFonts w:ascii="Verdana" w:eastAsia="Century Gothic" w:hAnsi="Verdana" w:cs="Century Gothic"/>
          <w:b/>
          <w:bCs/>
          <w:lang w:val="es-ES"/>
        </w:rPr>
        <w:t>Referencias normativas, jurisprudenciales y otras fuentes:</w:t>
      </w:r>
    </w:p>
    <w:p w14:paraId="728EAEE3" w14:textId="77777777" w:rsidR="002B100C" w:rsidRPr="00472CF4" w:rsidRDefault="002B100C" w:rsidP="002B100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B100C" w:rsidRPr="00472CF4" w14:paraId="5776B51E" w14:textId="77777777" w:rsidTr="006C4159">
        <w:trPr>
          <w:trHeight w:val="870"/>
        </w:trPr>
        <w:tc>
          <w:tcPr>
            <w:tcW w:w="8647" w:type="dxa"/>
          </w:tcPr>
          <w:p w14:paraId="66D81D12" w14:textId="77777777" w:rsidR="002B100C" w:rsidRDefault="002B100C" w:rsidP="006C4159">
            <w:pPr>
              <w:pStyle w:val="Textoindependiente"/>
              <w:tabs>
                <w:tab w:val="left" w:pos="822"/>
              </w:tabs>
              <w:spacing w:before="117"/>
            </w:pPr>
          </w:p>
          <w:p w14:paraId="0BE02DF5" w14:textId="77777777" w:rsidR="002B100C" w:rsidRPr="00A52371" w:rsidRDefault="002B100C" w:rsidP="002B100C">
            <w:pPr>
              <w:widowControl w:val="0"/>
              <w:numPr>
                <w:ilvl w:val="0"/>
                <w:numId w:val="18"/>
              </w:numPr>
              <w:autoSpaceDE w:val="0"/>
              <w:autoSpaceDN w:val="0"/>
              <w:spacing w:line="276" w:lineRule="auto"/>
              <w:contextualSpacing/>
              <w:jc w:val="both"/>
              <w:rPr>
                <w:rFonts w:ascii="Verdana" w:eastAsia="Aptos" w:hAnsi="Verdana" w:cs="Arial"/>
              </w:rPr>
            </w:pPr>
            <w:r w:rsidRPr="00406AA6">
              <w:rPr>
                <w:rFonts w:ascii="Verdana" w:eastAsia="Calibri" w:hAnsi="Verdana" w:cs="Arial"/>
                <w:lang w:val="es-ES"/>
              </w:rPr>
              <w:t>Ley 80 de 1993. Artículo 8</w:t>
            </w:r>
            <w:r>
              <w:rPr>
                <w:rFonts w:ascii="Verdana" w:eastAsia="Calibri" w:hAnsi="Verdana" w:cs="Arial"/>
                <w:lang w:val="es-ES"/>
              </w:rPr>
              <w:t xml:space="preserve">. Disponible en: </w:t>
            </w:r>
            <w:hyperlink r:id="rId12" w:history="1">
              <w:r w:rsidRPr="004E6503">
                <w:rPr>
                  <w:rStyle w:val="Hipervnculo"/>
                  <w:rFonts w:ascii="Verdana" w:eastAsia="Calibri" w:hAnsi="Verdana" w:cs="Arial"/>
                  <w:lang w:val="es-ES"/>
                </w:rPr>
                <w:t>https://relatoria.colombiacompra.gov.co/normativa/ley-80-de-1993/</w:t>
              </w:r>
            </w:hyperlink>
          </w:p>
          <w:p w14:paraId="324FD17E" w14:textId="77777777" w:rsidR="002B100C" w:rsidRPr="00406AA6" w:rsidRDefault="002B100C" w:rsidP="006C4159">
            <w:pPr>
              <w:widowControl w:val="0"/>
              <w:autoSpaceDE w:val="0"/>
              <w:autoSpaceDN w:val="0"/>
              <w:spacing w:line="276" w:lineRule="auto"/>
              <w:ind w:left="720"/>
              <w:contextualSpacing/>
              <w:jc w:val="both"/>
              <w:rPr>
                <w:rFonts w:ascii="Verdana" w:eastAsia="Aptos" w:hAnsi="Verdana" w:cs="Arial"/>
              </w:rPr>
            </w:pPr>
          </w:p>
          <w:p w14:paraId="3B249F2C" w14:textId="77777777" w:rsidR="002B100C" w:rsidRPr="00406AA6" w:rsidRDefault="002B100C" w:rsidP="002B100C">
            <w:pPr>
              <w:widowControl w:val="0"/>
              <w:numPr>
                <w:ilvl w:val="0"/>
                <w:numId w:val="18"/>
              </w:numPr>
              <w:autoSpaceDE w:val="0"/>
              <w:autoSpaceDN w:val="0"/>
              <w:spacing w:line="276" w:lineRule="auto"/>
              <w:contextualSpacing/>
              <w:jc w:val="both"/>
              <w:rPr>
                <w:rFonts w:ascii="Verdana" w:eastAsia="Aptos" w:hAnsi="Verdana" w:cs="Arial"/>
              </w:rPr>
            </w:pPr>
            <w:r w:rsidRPr="00406AA6">
              <w:rPr>
                <w:rFonts w:ascii="Verdana" w:eastAsia="Aptos" w:hAnsi="Verdana" w:cs="Arial"/>
              </w:rPr>
              <w:t>CORTE CONSTITUCIONAL. Sentencia C-1016 de 2012. M.P. Jorge Iván Palacio</w:t>
            </w:r>
          </w:p>
          <w:p w14:paraId="06FB3102" w14:textId="77777777" w:rsidR="002B100C" w:rsidRPr="00BD48F3" w:rsidRDefault="002B100C" w:rsidP="002B100C">
            <w:pPr>
              <w:pStyle w:val="Textoindependiente"/>
              <w:numPr>
                <w:ilvl w:val="0"/>
                <w:numId w:val="18"/>
              </w:numPr>
              <w:tabs>
                <w:tab w:val="left" w:pos="816"/>
              </w:tabs>
              <w:spacing w:before="120" w:line="237" w:lineRule="auto"/>
              <w:ind w:right="106"/>
            </w:pPr>
            <w:r w:rsidRPr="00406AA6">
              <w:rPr>
                <w:rFonts w:eastAsia="Aptos" w:cs="Arial"/>
              </w:rPr>
              <w:t xml:space="preserve">BARRETO ROZO, Antonio Alejandro. Inhabilidades de la contratación estatal, efectos y </w:t>
            </w:r>
            <w:proofErr w:type="spellStart"/>
            <w:r w:rsidRPr="00406AA6">
              <w:rPr>
                <w:rFonts w:eastAsia="Aptos" w:cs="Arial"/>
              </w:rPr>
              <w:t>neopunitivismo</w:t>
            </w:r>
            <w:proofErr w:type="spellEnd"/>
            <w:r w:rsidRPr="00406AA6">
              <w:rPr>
                <w:rFonts w:eastAsia="Aptos" w:cs="Arial"/>
              </w:rPr>
              <w:t xml:space="preserve"> en el Estatuto Anticorrupción</w:t>
            </w:r>
          </w:p>
          <w:p w14:paraId="6D93BAEB" w14:textId="77777777" w:rsidR="002B100C" w:rsidRPr="00472CF4" w:rsidRDefault="002B100C" w:rsidP="006C4159">
            <w:pPr>
              <w:pStyle w:val="Textoindependiente"/>
              <w:tabs>
                <w:tab w:val="left" w:pos="816"/>
              </w:tabs>
              <w:spacing w:before="120" w:line="237" w:lineRule="auto"/>
              <w:ind w:right="106"/>
              <w:rPr>
                <w:rFonts w:cs="Arial"/>
              </w:rPr>
            </w:pPr>
          </w:p>
        </w:tc>
      </w:tr>
    </w:tbl>
    <w:p w14:paraId="000F2189" w14:textId="77777777" w:rsidR="002B100C" w:rsidRDefault="002B100C" w:rsidP="002B100C">
      <w:pPr>
        <w:widowControl w:val="0"/>
        <w:autoSpaceDE w:val="0"/>
        <w:autoSpaceDN w:val="0"/>
        <w:spacing w:after="0" w:line="276" w:lineRule="auto"/>
        <w:jc w:val="both"/>
        <w:rPr>
          <w:rFonts w:ascii="Verdana" w:hAnsi="Verdana" w:cs="Arial"/>
        </w:rPr>
      </w:pPr>
    </w:p>
    <w:p w14:paraId="7F5786CD" w14:textId="77777777" w:rsidR="006C62F9" w:rsidRPr="00472CF4" w:rsidRDefault="006C62F9" w:rsidP="002B100C">
      <w:pPr>
        <w:widowControl w:val="0"/>
        <w:autoSpaceDE w:val="0"/>
        <w:autoSpaceDN w:val="0"/>
        <w:spacing w:after="0" w:line="276" w:lineRule="auto"/>
        <w:jc w:val="both"/>
        <w:rPr>
          <w:rFonts w:ascii="Verdana" w:hAnsi="Verdana" w:cs="Arial"/>
        </w:rPr>
      </w:pPr>
    </w:p>
    <w:p w14:paraId="5F862BE1" w14:textId="77777777" w:rsidR="002B100C" w:rsidRPr="00472CF4" w:rsidRDefault="002B100C" w:rsidP="002B10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Doctrina de la Agencia Nacional de Contratación Pública:</w:t>
      </w:r>
    </w:p>
    <w:p w14:paraId="394E4FE6" w14:textId="77777777" w:rsidR="002B100C" w:rsidRPr="00472CF4" w:rsidRDefault="002B100C" w:rsidP="002B100C">
      <w:pPr>
        <w:pStyle w:val="Prrafodelista"/>
        <w:tabs>
          <w:tab w:val="left" w:pos="142"/>
          <w:tab w:val="left" w:pos="284"/>
        </w:tabs>
        <w:spacing w:after="0" w:line="276" w:lineRule="auto"/>
        <w:ind w:left="0"/>
        <w:jc w:val="both"/>
        <w:rPr>
          <w:rFonts w:ascii="Verdana" w:eastAsia="Century Gothic" w:hAnsi="Verdana" w:cs="Century Gothic"/>
          <w:b/>
          <w:bCs/>
        </w:rPr>
      </w:pPr>
    </w:p>
    <w:p w14:paraId="0C5C0705" w14:textId="77777777" w:rsidR="002B100C" w:rsidRPr="00D215E1" w:rsidRDefault="002B100C" w:rsidP="002B100C">
      <w:pPr>
        <w:widowControl w:val="0"/>
        <w:autoSpaceDE w:val="0"/>
        <w:autoSpaceDN w:val="0"/>
        <w:spacing w:after="0" w:line="276" w:lineRule="auto"/>
        <w:jc w:val="both"/>
        <w:rPr>
          <w:rFonts w:ascii="Verdana" w:eastAsia="Aptos" w:hAnsi="Verdana" w:cs="Arial"/>
          <w:shd w:val="clear" w:color="auto" w:fill="FFFFFF"/>
          <w:lang w:val="es-ES"/>
        </w:rPr>
      </w:pPr>
      <w:r w:rsidRPr="00406AA6">
        <w:rPr>
          <w:rFonts w:ascii="Verdana" w:eastAsia="Aptos" w:hAnsi="Verdana" w:cs="Arial"/>
          <w:shd w:val="clear" w:color="auto" w:fill="FFFFFF"/>
          <w:lang w:val="es-ES"/>
        </w:rPr>
        <w:t xml:space="preserve">Sobre el régimen de inhabilidades en la contratación estatal, esta Subdirección se ha referido en los Conceptos </w:t>
      </w:r>
      <w:r>
        <w:rPr>
          <w:rFonts w:ascii="Verdana" w:eastAsia="Aptos" w:hAnsi="Verdana" w:cs="Arial"/>
          <w:shd w:val="clear" w:color="auto" w:fill="FFFFFF"/>
          <w:lang w:val="es-ES"/>
        </w:rPr>
        <w:t xml:space="preserve">C-552 del 16 octubre de 2024, </w:t>
      </w:r>
      <w:r w:rsidRPr="00406AA6">
        <w:rPr>
          <w:rFonts w:ascii="Verdana" w:eastAsia="Aptos" w:hAnsi="Verdana" w:cs="Arial"/>
          <w:shd w:val="clear" w:color="auto" w:fill="FFFFFF"/>
          <w:lang w:val="es-ES"/>
        </w:rPr>
        <w:t xml:space="preserve">C-035 del 24 de abril de 2024, C-067 del 16 de mayo de 2024, C-041 del 29 de mayo de 2024, C-078 del 04 de junio de 2024, C-193 del 19 de julio de 2024, C-271 del 25 de </w:t>
      </w:r>
      <w:r w:rsidRPr="00406AA6">
        <w:rPr>
          <w:rFonts w:ascii="Verdana" w:eastAsia="Aptos" w:hAnsi="Verdana" w:cs="Arial"/>
          <w:shd w:val="clear" w:color="auto" w:fill="FFFFFF"/>
          <w:lang w:val="es-ES"/>
        </w:rPr>
        <w:lastRenderedPageBreak/>
        <w:t xml:space="preserve">julio de 2024, C-108 de 06 de agosto de 2024, entre otros. </w:t>
      </w:r>
      <w:r w:rsidRPr="00D215E1">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D215E1">
          <w:rPr>
            <w:rFonts w:ascii="Verdana" w:eastAsia="Aptos" w:hAnsi="Verdana" w:cs="Arial"/>
            <w:color w:val="467886"/>
            <w:u w:val="single"/>
            <w:shd w:val="clear" w:color="auto" w:fill="FFFFFF"/>
            <w:lang w:val="es-ES"/>
          </w:rPr>
          <w:t>https://relatoria.colombiacompra.gov.co/</w:t>
        </w:r>
      </w:hyperlink>
      <w:r w:rsidRPr="00D215E1">
        <w:rPr>
          <w:rFonts w:ascii="Verdana" w:eastAsia="Aptos" w:hAnsi="Verdana" w:cs="Arial"/>
          <w:shd w:val="clear" w:color="auto" w:fill="FFFFFF"/>
          <w:lang w:val="es-ES"/>
        </w:rPr>
        <w:t xml:space="preserve">. </w:t>
      </w:r>
    </w:p>
    <w:p w14:paraId="418603D6" w14:textId="77777777" w:rsidR="002B100C" w:rsidRDefault="002B100C" w:rsidP="002B100C">
      <w:pPr>
        <w:spacing w:after="0" w:line="276" w:lineRule="auto"/>
        <w:jc w:val="both"/>
        <w:rPr>
          <w:rFonts w:ascii="Verdana" w:hAnsi="Verdana"/>
        </w:rPr>
      </w:pPr>
    </w:p>
    <w:p w14:paraId="23886A20" w14:textId="77777777" w:rsidR="006C62F9" w:rsidRDefault="006C62F9" w:rsidP="002B100C">
      <w:pPr>
        <w:spacing w:after="0" w:line="276" w:lineRule="auto"/>
        <w:jc w:val="both"/>
        <w:rPr>
          <w:rFonts w:ascii="Verdana" w:hAnsi="Verdana"/>
        </w:rPr>
      </w:pPr>
    </w:p>
    <w:p w14:paraId="4B2D9270" w14:textId="77777777" w:rsidR="006C62F9" w:rsidRPr="006C62F9" w:rsidRDefault="006C62F9" w:rsidP="006C62F9">
      <w:pPr>
        <w:spacing w:after="0" w:line="276" w:lineRule="auto"/>
        <w:jc w:val="both"/>
        <w:rPr>
          <w:rFonts w:ascii="Verdana" w:hAnsi="Verdana"/>
        </w:rPr>
      </w:pPr>
      <w:r w:rsidRPr="006C62F9">
        <w:rPr>
          <w:rFonts w:ascii="Verdana" w:hAnsi="Verdana"/>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6C62F9">
          <w:rPr>
            <w:rStyle w:val="Hipervnculo"/>
            <w:rFonts w:ascii="Verdana" w:hAnsi="Verdana"/>
          </w:rPr>
          <w:t>manual_para_el_manejo_de_acuerdos_comerciales_vf.pdf</w:t>
        </w:r>
      </w:hyperlink>
    </w:p>
    <w:p w14:paraId="2E57A03D" w14:textId="77777777" w:rsidR="006C62F9" w:rsidRPr="006C62F9" w:rsidRDefault="006C62F9" w:rsidP="006C62F9">
      <w:pPr>
        <w:spacing w:after="0" w:line="276" w:lineRule="auto"/>
        <w:jc w:val="both"/>
        <w:rPr>
          <w:rFonts w:ascii="Verdana" w:hAnsi="Verdana"/>
        </w:rPr>
      </w:pPr>
      <w:r w:rsidRPr="006C62F9">
        <w:rPr>
          <w:rFonts w:ascii="Verdana" w:hAnsi="Verdana"/>
        </w:rPr>
        <w:t>De otra parte, te contamos que ya publicamos el borrador de la nueva Guía para Incentivar la Participación de Mujeres en el Sistema de Compras y Contratación Pública. Conoce el documento y realiza tus comentarios hasta el 2 de diciembre de 2024</w:t>
      </w:r>
      <w:r w:rsidRPr="006C62F9">
        <w:rPr>
          <w:rFonts w:ascii="Verdana" w:hAnsi="Verdana"/>
          <w:b/>
          <w:bCs/>
        </w:rPr>
        <w:t> </w:t>
      </w:r>
      <w:r w:rsidRPr="006C62F9">
        <w:rPr>
          <w:rFonts w:ascii="Verdana" w:hAnsi="Verdana"/>
        </w:rPr>
        <w:t>a través de estos enlaces:</w:t>
      </w:r>
    </w:p>
    <w:p w14:paraId="72AB1DEC" w14:textId="77777777" w:rsidR="006C62F9" w:rsidRPr="006C62F9" w:rsidRDefault="006C62F9" w:rsidP="006C62F9">
      <w:pPr>
        <w:numPr>
          <w:ilvl w:val="0"/>
          <w:numId w:val="21"/>
        </w:numPr>
        <w:spacing w:after="0" w:line="276" w:lineRule="auto"/>
        <w:jc w:val="both"/>
        <w:rPr>
          <w:rFonts w:ascii="Verdana" w:hAnsi="Verdana"/>
        </w:rPr>
      </w:pPr>
      <w:r w:rsidRPr="006C62F9">
        <w:rPr>
          <w:rFonts w:ascii="Verdana" w:hAnsi="Verdana"/>
        </w:rPr>
        <w:t>Enlace página ANCP-CCE: </w:t>
      </w:r>
      <w:hyperlink r:id="rId15" w:tgtFrame="_blank" w:tooltip="Dirección URL original: https://www.colombiacompra.gov.co/content/convocatorias. Haga clic o pulse si confía en este vínculo." w:history="1">
        <w:r w:rsidRPr="006C62F9">
          <w:rPr>
            <w:rStyle w:val="Hipervnculo"/>
            <w:rFonts w:ascii="Verdana" w:hAnsi="Verdana"/>
          </w:rPr>
          <w:t>https://www.colombiacompra.gov.co/content/convocatorias</w:t>
        </w:r>
      </w:hyperlink>
    </w:p>
    <w:p w14:paraId="29A7D7CE" w14:textId="77777777" w:rsidR="006C62F9" w:rsidRPr="006C62F9" w:rsidRDefault="006C62F9" w:rsidP="006C62F9">
      <w:pPr>
        <w:numPr>
          <w:ilvl w:val="0"/>
          <w:numId w:val="21"/>
        </w:numPr>
        <w:spacing w:after="0" w:line="276" w:lineRule="auto"/>
        <w:jc w:val="both"/>
        <w:rPr>
          <w:rFonts w:ascii="Verdana" w:hAnsi="Verdana"/>
        </w:rPr>
      </w:pPr>
      <w:r w:rsidRPr="006C62F9">
        <w:rPr>
          <w:rFonts w:ascii="Verdana" w:hAnsi="Verdana"/>
        </w:rPr>
        <w:t>Enlace SUCOP:  </w:t>
      </w:r>
      <w:hyperlink r:id="rId16" w:tgtFrame="_blank" w:tooltip="Dirección URL original: https://www.sucop.gov.co/entidades/colombiacompra/Normativa?IDNorma=19201. Haga clic o pulse si confía en este vínculo." w:history="1">
        <w:r w:rsidRPr="006C62F9">
          <w:rPr>
            <w:rStyle w:val="Hipervnculo"/>
            <w:rFonts w:ascii="Verdana" w:hAnsi="Verdana"/>
          </w:rPr>
          <w:t>https://www.sucop.gov.co/entidades/colombiacompra/Normativa?IDNorma=19201</w:t>
        </w:r>
      </w:hyperlink>
    </w:p>
    <w:p w14:paraId="270EB10F" w14:textId="77777777" w:rsidR="006C62F9" w:rsidRDefault="006C62F9" w:rsidP="006C62F9">
      <w:pPr>
        <w:spacing w:after="0" w:line="276" w:lineRule="auto"/>
        <w:jc w:val="both"/>
        <w:rPr>
          <w:rFonts w:ascii="Verdana" w:hAnsi="Verdana"/>
        </w:rPr>
      </w:pPr>
      <w:r w:rsidRPr="006C62F9">
        <w:rPr>
          <w:rFonts w:ascii="Verdana" w:hAnsi="Verdana"/>
        </w:rPr>
        <w:t> </w:t>
      </w:r>
    </w:p>
    <w:p w14:paraId="3C104F34" w14:textId="77777777" w:rsidR="006C62F9" w:rsidRPr="006C62F9" w:rsidRDefault="006C62F9" w:rsidP="006C62F9">
      <w:pPr>
        <w:spacing w:after="0" w:line="276" w:lineRule="auto"/>
        <w:jc w:val="both"/>
        <w:rPr>
          <w:rFonts w:ascii="Verdana" w:hAnsi="Verdana"/>
        </w:rPr>
      </w:pPr>
    </w:p>
    <w:p w14:paraId="79AB6144" w14:textId="77777777" w:rsidR="006C62F9" w:rsidRPr="006C62F9" w:rsidRDefault="006C62F9" w:rsidP="006C62F9">
      <w:pPr>
        <w:spacing w:after="0" w:line="276" w:lineRule="auto"/>
        <w:jc w:val="both"/>
        <w:rPr>
          <w:rFonts w:ascii="Verdana" w:hAnsi="Verdana"/>
        </w:rPr>
      </w:pPr>
      <w:r w:rsidRPr="006C62F9">
        <w:rPr>
          <w:rFonts w:ascii="Verdana" w:hAnsi="Verdana"/>
        </w:rPr>
        <w:t>También le invitamos a consultar la versión VII  de 2024 , del Boletín de Relatoría de la Subdirección de Gestión Contractual relacionado con las ASOCIACIONES PÚBLICO POPULARES , el cual se puede descargar en la página web de la Agencia: </w:t>
      </w:r>
      <w:hyperlink r:id="rId17" w:tgtFrame="_blank" w:tooltip="Dirección URL original: https://www.colombiacompra.gov.co/sala-de-prensa/boletin-digital. Haga clic o pulse si confía en este vínculo." w:history="1">
        <w:r w:rsidRPr="006C62F9">
          <w:rPr>
            <w:rStyle w:val="Hipervnculo"/>
            <w:rFonts w:ascii="Verdana" w:hAnsi="Verdana"/>
          </w:rPr>
          <w:t>https://www.colombiacompra.gov.co/sala-de-prensa/boletin-digital</w:t>
        </w:r>
      </w:hyperlink>
      <w:r w:rsidRPr="006C62F9">
        <w:rPr>
          <w:rFonts w:ascii="Verdana" w:hAnsi="Verdana"/>
        </w:rPr>
        <w:t> ".</w:t>
      </w:r>
    </w:p>
    <w:p w14:paraId="461630AB" w14:textId="77777777" w:rsidR="002B100C" w:rsidRDefault="002B100C" w:rsidP="002B100C">
      <w:pPr>
        <w:spacing w:after="0" w:line="276" w:lineRule="auto"/>
        <w:jc w:val="both"/>
        <w:rPr>
          <w:rFonts w:ascii="Verdana" w:hAnsi="Verdana"/>
        </w:rPr>
      </w:pPr>
    </w:p>
    <w:p w14:paraId="259778D1" w14:textId="77777777" w:rsidR="006C62F9" w:rsidRDefault="006C62F9" w:rsidP="002B100C">
      <w:pPr>
        <w:spacing w:after="0" w:line="276" w:lineRule="auto"/>
        <w:jc w:val="both"/>
        <w:rPr>
          <w:rFonts w:ascii="Verdana" w:hAnsi="Verdana"/>
        </w:rPr>
      </w:pPr>
    </w:p>
    <w:p w14:paraId="5C55FA11" w14:textId="58BB5422" w:rsidR="002B100C" w:rsidRPr="00472CF4" w:rsidRDefault="002B100C" w:rsidP="002B100C">
      <w:pPr>
        <w:spacing w:after="0" w:line="276" w:lineRule="auto"/>
        <w:jc w:val="both"/>
        <w:rPr>
          <w:rFonts w:ascii="Verdana" w:hAnsi="Verdana"/>
        </w:rPr>
      </w:pPr>
      <w:r w:rsidRPr="00472CF4">
        <w:rPr>
          <w:rFonts w:ascii="Verdana" w:hAnsi="Verdana"/>
        </w:rPr>
        <w:t xml:space="preserve">Por último, lo invitamos a seguirnos en las redes sociales en las cuales se difunde información institucional: </w:t>
      </w:r>
    </w:p>
    <w:p w14:paraId="6967583B" w14:textId="77777777" w:rsidR="002B100C" w:rsidRPr="00472CF4" w:rsidRDefault="002B100C" w:rsidP="002B100C">
      <w:pPr>
        <w:spacing w:after="0" w:line="240" w:lineRule="auto"/>
        <w:jc w:val="both"/>
        <w:rPr>
          <w:rFonts w:ascii="Verdana" w:hAnsi="Verdana"/>
        </w:rPr>
      </w:pPr>
    </w:p>
    <w:p w14:paraId="3CB0CB84" w14:textId="77777777" w:rsidR="002B100C" w:rsidRPr="00472CF4" w:rsidRDefault="002B100C" w:rsidP="002B100C">
      <w:pPr>
        <w:spacing w:after="0" w:line="240" w:lineRule="auto"/>
        <w:jc w:val="both"/>
        <w:rPr>
          <w:rFonts w:ascii="Verdana" w:hAnsi="Verdana"/>
        </w:rPr>
      </w:pPr>
      <w:r w:rsidRPr="00472CF4">
        <w:rPr>
          <w:rFonts w:ascii="Verdana" w:hAnsi="Verdana"/>
        </w:rPr>
        <w:t xml:space="preserve">Twitter: </w:t>
      </w:r>
      <w:r w:rsidRPr="00472CF4">
        <w:rPr>
          <w:rStyle w:val="Hipervnculo"/>
          <w:rFonts w:ascii="Verdana" w:hAnsi="Verdana"/>
        </w:rPr>
        <w:t>@colombiacompra</w:t>
      </w:r>
      <w:r w:rsidRPr="00472CF4">
        <w:rPr>
          <w:rFonts w:ascii="Verdana" w:hAnsi="Verdana"/>
        </w:rPr>
        <w:t xml:space="preserve"> </w:t>
      </w:r>
    </w:p>
    <w:p w14:paraId="657C58FF" w14:textId="77777777" w:rsidR="002B100C" w:rsidRPr="00472CF4" w:rsidRDefault="002B100C" w:rsidP="002B100C">
      <w:pPr>
        <w:spacing w:after="0" w:line="240" w:lineRule="auto"/>
        <w:jc w:val="both"/>
        <w:rPr>
          <w:rFonts w:ascii="Verdana" w:hAnsi="Verdana"/>
        </w:rPr>
      </w:pPr>
      <w:r w:rsidRPr="00472CF4">
        <w:rPr>
          <w:rFonts w:ascii="Verdana" w:hAnsi="Verdana"/>
        </w:rPr>
        <w:t xml:space="preserve">Facebook: </w:t>
      </w:r>
      <w:proofErr w:type="spellStart"/>
      <w:r w:rsidRPr="00472CF4">
        <w:rPr>
          <w:rStyle w:val="Hipervnculo"/>
          <w:rFonts w:ascii="Verdana" w:hAnsi="Verdana"/>
        </w:rPr>
        <w:t>ColombiaCompraEficiente</w:t>
      </w:r>
      <w:proofErr w:type="spellEnd"/>
    </w:p>
    <w:p w14:paraId="6E6F2ADE" w14:textId="77777777" w:rsidR="002B100C" w:rsidRPr="00472CF4" w:rsidRDefault="002B100C" w:rsidP="002B100C">
      <w:pPr>
        <w:spacing w:after="0" w:line="240" w:lineRule="auto"/>
        <w:jc w:val="both"/>
        <w:rPr>
          <w:rFonts w:ascii="Verdana" w:hAnsi="Verdana"/>
        </w:rPr>
      </w:pPr>
      <w:r w:rsidRPr="00472CF4">
        <w:rPr>
          <w:rFonts w:ascii="Verdana" w:hAnsi="Verdana"/>
        </w:rPr>
        <w:t xml:space="preserve">LinkedIn: </w:t>
      </w:r>
      <w:r w:rsidRPr="00472CF4">
        <w:rPr>
          <w:rStyle w:val="Hipervnculo"/>
          <w:rFonts w:ascii="Verdana" w:hAnsi="Verdana"/>
        </w:rPr>
        <w:t>Agencia Nacional de Contratación Pública - Colombia Compra Eficiente</w:t>
      </w:r>
      <w:r w:rsidRPr="00472CF4">
        <w:rPr>
          <w:rFonts w:ascii="Verdana" w:hAnsi="Verdana"/>
        </w:rPr>
        <w:t xml:space="preserve"> Instagram: </w:t>
      </w:r>
      <w:r w:rsidRPr="00472CF4">
        <w:rPr>
          <w:rStyle w:val="Hipervnculo"/>
          <w:rFonts w:ascii="Verdana" w:hAnsi="Verdana"/>
        </w:rPr>
        <w:t>@colombiacompraeficiente_cce</w:t>
      </w:r>
    </w:p>
    <w:p w14:paraId="39CC66A2" w14:textId="77777777" w:rsidR="002B100C" w:rsidRDefault="002B100C" w:rsidP="002B100C">
      <w:pPr>
        <w:widowControl w:val="0"/>
        <w:autoSpaceDE w:val="0"/>
        <w:autoSpaceDN w:val="0"/>
        <w:spacing w:after="0" w:line="276" w:lineRule="auto"/>
        <w:jc w:val="both"/>
        <w:rPr>
          <w:rFonts w:ascii="Verdana" w:hAnsi="Verdana" w:cs="Arial"/>
        </w:rPr>
      </w:pPr>
    </w:p>
    <w:p w14:paraId="63320085" w14:textId="77777777" w:rsidR="006C62F9" w:rsidRPr="00472CF4" w:rsidRDefault="006C62F9" w:rsidP="002B100C">
      <w:pPr>
        <w:widowControl w:val="0"/>
        <w:autoSpaceDE w:val="0"/>
        <w:autoSpaceDN w:val="0"/>
        <w:spacing w:after="0" w:line="276" w:lineRule="auto"/>
        <w:jc w:val="both"/>
        <w:rPr>
          <w:rFonts w:ascii="Verdana" w:hAnsi="Verdana" w:cs="Arial"/>
        </w:rPr>
      </w:pPr>
    </w:p>
    <w:p w14:paraId="718A228D" w14:textId="77777777" w:rsidR="002B100C" w:rsidRPr="00472CF4" w:rsidRDefault="002B100C" w:rsidP="002B100C">
      <w:pPr>
        <w:widowControl w:val="0"/>
        <w:autoSpaceDE w:val="0"/>
        <w:autoSpaceDN w:val="0"/>
        <w:spacing w:after="0" w:line="276" w:lineRule="auto"/>
        <w:jc w:val="both"/>
        <w:rPr>
          <w:rFonts w:ascii="Verdana" w:hAnsi="Verdana" w:cs="Arial"/>
          <w:lang w:val="es-ES_tradnl"/>
        </w:rPr>
      </w:pPr>
      <w:r w:rsidRPr="00472CF4">
        <w:rPr>
          <w:rFonts w:ascii="Verdana" w:hAnsi="Verdana" w:cs="Arial"/>
        </w:rPr>
        <w:t xml:space="preserve">Este concepto tiene el alcance previsto en el artículo 28 del Código de </w:t>
      </w:r>
      <w:r w:rsidRPr="00472CF4">
        <w:rPr>
          <w:rFonts w:ascii="Verdana" w:hAnsi="Verdana" w:cs="Arial"/>
        </w:rPr>
        <w:lastRenderedPageBreak/>
        <w:t xml:space="preserve">Procedimiento Administrativo y de lo Contencioso Administrativo </w:t>
      </w:r>
      <w:r w:rsidRPr="00472CF4">
        <w:rPr>
          <w:rFonts w:ascii="Verdana" w:hAnsi="Verdana" w:cs="Arial"/>
          <w:lang w:val="es-ES_tradnl"/>
        </w:rPr>
        <w:t>y las expresiones aquí utilizadas con mayúscula inicial deben ser entendidas con el significado que les otorga el artículo 2.2.1.1.1.3.1. del Decreto 1082 de 2015.</w:t>
      </w:r>
    </w:p>
    <w:p w14:paraId="5B5C62EC" w14:textId="77777777" w:rsidR="002B100C" w:rsidRPr="00472CF4" w:rsidRDefault="002B100C" w:rsidP="002B100C">
      <w:pPr>
        <w:widowControl w:val="0"/>
        <w:autoSpaceDE w:val="0"/>
        <w:autoSpaceDN w:val="0"/>
        <w:spacing w:after="0" w:line="276" w:lineRule="auto"/>
        <w:jc w:val="both"/>
        <w:rPr>
          <w:rFonts w:ascii="Verdana" w:hAnsi="Verdana" w:cs="Arial"/>
        </w:rPr>
      </w:pPr>
    </w:p>
    <w:p w14:paraId="024BE090" w14:textId="77777777" w:rsidR="002B100C" w:rsidRPr="00472CF4" w:rsidRDefault="002B100C" w:rsidP="002B100C">
      <w:pPr>
        <w:spacing w:after="0" w:line="240" w:lineRule="auto"/>
        <w:rPr>
          <w:rFonts w:ascii="Verdana" w:hAnsi="Verdana" w:cs="Arial"/>
          <w:lang w:eastAsia="es-CO"/>
        </w:rPr>
      </w:pPr>
      <w:r w:rsidRPr="00472CF4">
        <w:rPr>
          <w:rFonts w:ascii="Verdana" w:eastAsia="Times New Roman" w:hAnsi="Verdana" w:cs="Arial"/>
          <w:lang w:eastAsia="es-CO"/>
        </w:rPr>
        <w:t>Atentamente,</w:t>
      </w:r>
      <w:r w:rsidRPr="00472CF4">
        <w:rPr>
          <w:rFonts w:ascii="Verdana" w:hAnsi="Verdana" w:cs="Arial"/>
          <w:lang w:eastAsia="es-CO"/>
        </w:rPr>
        <w:t xml:space="preserve"> </w:t>
      </w:r>
    </w:p>
    <w:p w14:paraId="33F2AC36" w14:textId="4452176A" w:rsidR="002B100C" w:rsidRPr="00472CF4" w:rsidRDefault="007E3A74" w:rsidP="002B100C">
      <w:pPr>
        <w:spacing w:line="276" w:lineRule="auto"/>
        <w:jc w:val="center"/>
        <w:rPr>
          <w:rFonts w:ascii="Verdana" w:hAnsi="Verdana" w:cs="Arial"/>
          <w:lang w:val="es-ES_tradnl" w:eastAsia="es-CO"/>
        </w:rPr>
      </w:pPr>
      <w:r>
        <w:rPr>
          <w:noProof/>
        </w:rPr>
        <w:drawing>
          <wp:inline distT="0" distB="0" distL="0" distR="0" wp14:anchorId="70BBF4E1" wp14:editId="75AE5B0A">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8"/>
                    <a:stretch>
                      <a:fillRect/>
                    </a:stretch>
                  </pic:blipFill>
                  <pic:spPr>
                    <a:xfrm>
                      <a:off x="0" y="0"/>
                      <a:ext cx="3705225" cy="15906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B100C" w:rsidRPr="00472CF4" w14:paraId="3EB70FB0" w14:textId="77777777" w:rsidTr="006C4159">
        <w:trPr>
          <w:trHeight w:val="315"/>
        </w:trPr>
        <w:tc>
          <w:tcPr>
            <w:tcW w:w="893" w:type="dxa"/>
            <w:vAlign w:val="center"/>
            <w:hideMark/>
          </w:tcPr>
          <w:p w14:paraId="7FC55A6C" w14:textId="77777777" w:rsidR="002B100C" w:rsidRPr="00472CF4" w:rsidRDefault="002B100C" w:rsidP="006C4159">
            <w:pPr>
              <w:contextualSpacing/>
              <w:rPr>
                <w:rFonts w:ascii="Verdana" w:hAnsi="Verdana" w:cs="Arial"/>
                <w:sz w:val="16"/>
                <w:szCs w:val="16"/>
                <w:lang w:val="es-ES" w:eastAsia="es-ES"/>
              </w:rPr>
            </w:pPr>
            <w:r w:rsidRPr="00472CF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2AEB07" w14:textId="77777777" w:rsidR="002B100C" w:rsidRPr="00472CF4" w:rsidRDefault="002B100C" w:rsidP="006C4159">
            <w:pPr>
              <w:contextualSpacing/>
              <w:rPr>
                <w:rFonts w:ascii="Verdana" w:eastAsia="Arial" w:hAnsi="Verdana" w:cs="Arial"/>
                <w:sz w:val="16"/>
                <w:szCs w:val="16"/>
              </w:rPr>
            </w:pPr>
            <w:r w:rsidRPr="00472CF4">
              <w:rPr>
                <w:rFonts w:ascii="Verdana" w:eastAsia="Arial" w:hAnsi="Verdana" w:cs="Arial"/>
                <w:sz w:val="16"/>
                <w:szCs w:val="16"/>
              </w:rPr>
              <w:t>Keila Margarita Reyes Cassiani</w:t>
            </w:r>
          </w:p>
          <w:p w14:paraId="768746E1" w14:textId="77777777" w:rsidR="002B100C" w:rsidRPr="00472CF4" w:rsidRDefault="002B100C" w:rsidP="006C4159">
            <w:pPr>
              <w:contextualSpacing/>
              <w:rPr>
                <w:rFonts w:ascii="Verdana" w:eastAsia="Arial" w:hAnsi="Verdana" w:cs="Arial"/>
                <w:sz w:val="16"/>
                <w:szCs w:val="16"/>
              </w:rPr>
            </w:pPr>
            <w:r w:rsidRPr="00472CF4">
              <w:rPr>
                <w:rStyle w:val="normaltextrun"/>
                <w:rFonts w:ascii="Verdana" w:eastAsia="Arial" w:hAnsi="Verdana" w:cs="Arial"/>
                <w:sz w:val="16"/>
                <w:szCs w:val="16"/>
              </w:rPr>
              <w:t>Contratista de la Subdirección de Gestión Contractual</w:t>
            </w:r>
          </w:p>
        </w:tc>
      </w:tr>
      <w:tr w:rsidR="002B100C" w:rsidRPr="00472CF4" w14:paraId="28BD0344" w14:textId="77777777" w:rsidTr="006C4159">
        <w:trPr>
          <w:trHeight w:val="330"/>
        </w:trPr>
        <w:tc>
          <w:tcPr>
            <w:tcW w:w="893" w:type="dxa"/>
            <w:vAlign w:val="center"/>
            <w:hideMark/>
          </w:tcPr>
          <w:p w14:paraId="0FE1A6C9" w14:textId="77777777" w:rsidR="002B100C" w:rsidRPr="00472CF4" w:rsidRDefault="002B100C" w:rsidP="006C4159">
            <w:pPr>
              <w:contextualSpacing/>
              <w:rPr>
                <w:rFonts w:ascii="Verdana" w:hAnsi="Verdana" w:cs="Arial"/>
                <w:sz w:val="16"/>
                <w:szCs w:val="16"/>
                <w:lang w:val="es-ES" w:eastAsia="es-ES"/>
              </w:rPr>
            </w:pPr>
            <w:r w:rsidRPr="00472CF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C82A4F" w14:textId="77777777" w:rsidR="002B100C" w:rsidRPr="005254DF" w:rsidRDefault="002B100C" w:rsidP="006C4159">
            <w:pPr>
              <w:contextualSpacing/>
              <w:rPr>
                <w:rFonts w:ascii="Verdana" w:hAnsi="Verdana" w:cs="Segoe UI"/>
                <w:sz w:val="16"/>
                <w:szCs w:val="16"/>
              </w:rPr>
            </w:pPr>
            <w:r w:rsidRPr="005254DF">
              <w:rPr>
                <w:rFonts w:ascii="Verdana" w:eastAsia="Arial" w:hAnsi="Verdana" w:cs="Arial"/>
                <w:sz w:val="16"/>
                <w:szCs w:val="16"/>
              </w:rPr>
              <w:t xml:space="preserve">Adriana </w:t>
            </w:r>
            <w:proofErr w:type="spellStart"/>
            <w:r w:rsidRPr="005254DF">
              <w:rPr>
                <w:rFonts w:ascii="Verdana" w:eastAsia="Arial" w:hAnsi="Verdana" w:cs="Arial"/>
                <w:sz w:val="16"/>
                <w:szCs w:val="16"/>
              </w:rPr>
              <w:t>Katerine</w:t>
            </w:r>
            <w:proofErr w:type="spellEnd"/>
            <w:r w:rsidRPr="005254DF">
              <w:rPr>
                <w:rFonts w:ascii="Verdana" w:eastAsia="Arial" w:hAnsi="Verdana" w:cs="Arial"/>
                <w:sz w:val="16"/>
                <w:szCs w:val="16"/>
              </w:rPr>
              <w:t xml:space="preserve"> López Rodríguez</w:t>
            </w:r>
          </w:p>
          <w:p w14:paraId="400C08DE" w14:textId="77777777" w:rsidR="002B100C" w:rsidRPr="00472CF4" w:rsidRDefault="002B100C" w:rsidP="006C4159">
            <w:pPr>
              <w:pStyle w:val="paragraph"/>
              <w:spacing w:before="0" w:beforeAutospacing="0" w:after="0" w:afterAutospacing="0"/>
              <w:contextualSpacing/>
              <w:textAlignment w:val="baseline"/>
              <w:rPr>
                <w:rFonts w:ascii="Verdana" w:hAnsi="Verdana" w:cs="Segoe UI"/>
                <w:sz w:val="16"/>
                <w:szCs w:val="16"/>
              </w:rPr>
            </w:pPr>
            <w:r w:rsidRPr="005254DF">
              <w:rPr>
                <w:rStyle w:val="normaltextrun"/>
                <w:rFonts w:ascii="Verdana" w:hAnsi="Verdana" w:cs="Arial"/>
                <w:sz w:val="16"/>
                <w:szCs w:val="16"/>
                <w:lang w:val="es-ES"/>
              </w:rPr>
              <w:t>C</w:t>
            </w:r>
            <w:r w:rsidRPr="005254DF">
              <w:rPr>
                <w:rStyle w:val="normaltextrun"/>
                <w:rFonts w:ascii="Verdana" w:hAnsi="Verdana"/>
                <w:sz w:val="16"/>
                <w:szCs w:val="16"/>
                <w:lang w:val="es-ES"/>
              </w:rPr>
              <w:t>ontratista</w:t>
            </w:r>
            <w:r w:rsidRPr="005254DF">
              <w:rPr>
                <w:rStyle w:val="normaltextrun"/>
                <w:rFonts w:ascii="Verdana" w:hAnsi="Verdana" w:cs="Arial"/>
                <w:sz w:val="16"/>
                <w:szCs w:val="16"/>
                <w:lang w:val="es-ES"/>
              </w:rPr>
              <w:t xml:space="preserve"> de la Subdirección de Gestión Contractual</w:t>
            </w:r>
            <w:r w:rsidRPr="00472CF4">
              <w:rPr>
                <w:rStyle w:val="eop"/>
                <w:rFonts w:ascii="Verdana" w:hAnsi="Verdana" w:cs="Arial"/>
                <w:sz w:val="16"/>
                <w:szCs w:val="16"/>
              </w:rPr>
              <w:t> </w:t>
            </w:r>
          </w:p>
        </w:tc>
      </w:tr>
      <w:tr w:rsidR="002B100C" w:rsidRPr="00472CF4" w14:paraId="196478A0" w14:textId="77777777" w:rsidTr="006C4159">
        <w:trPr>
          <w:trHeight w:val="300"/>
        </w:trPr>
        <w:tc>
          <w:tcPr>
            <w:tcW w:w="893" w:type="dxa"/>
            <w:vAlign w:val="center"/>
          </w:tcPr>
          <w:p w14:paraId="763320A4" w14:textId="77777777" w:rsidR="002B100C" w:rsidRPr="00472CF4" w:rsidRDefault="002B100C" w:rsidP="006C4159">
            <w:pPr>
              <w:contextualSpacing/>
              <w:rPr>
                <w:rFonts w:ascii="Verdana" w:hAnsi="Verdana" w:cs="Arial"/>
                <w:sz w:val="16"/>
                <w:szCs w:val="16"/>
                <w:lang w:val="es-ES" w:eastAsia="es-ES"/>
              </w:rPr>
            </w:pPr>
            <w:r w:rsidRPr="00472CF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7824B9" w14:textId="77777777" w:rsidR="002B100C" w:rsidRPr="00472CF4" w:rsidRDefault="002B100C" w:rsidP="006C4159">
            <w:pPr>
              <w:contextualSpacing/>
              <w:rPr>
                <w:rFonts w:ascii="Verdana" w:eastAsia="Calibri" w:hAnsi="Verdana" w:cs="Arial"/>
                <w:sz w:val="16"/>
                <w:szCs w:val="16"/>
                <w:lang w:val="pt-BR" w:eastAsia="es-ES"/>
              </w:rPr>
            </w:pPr>
            <w:r w:rsidRPr="00472CF4">
              <w:rPr>
                <w:rFonts w:ascii="Verdana" w:eastAsia="Calibri" w:hAnsi="Verdana" w:cs="Arial"/>
                <w:sz w:val="16"/>
                <w:szCs w:val="16"/>
                <w:lang w:val="pt-BR" w:eastAsia="es-ES"/>
              </w:rPr>
              <w:t xml:space="preserve">Carolina Quintero </w:t>
            </w:r>
            <w:proofErr w:type="spellStart"/>
            <w:r w:rsidRPr="00472CF4">
              <w:rPr>
                <w:rFonts w:ascii="Verdana" w:eastAsia="Calibri" w:hAnsi="Verdana" w:cs="Arial"/>
                <w:sz w:val="16"/>
                <w:szCs w:val="16"/>
                <w:lang w:val="pt-BR" w:eastAsia="es-ES"/>
              </w:rPr>
              <w:t>Gacharná</w:t>
            </w:r>
            <w:proofErr w:type="spellEnd"/>
          </w:p>
          <w:p w14:paraId="76258B78" w14:textId="77777777" w:rsidR="002B100C" w:rsidRPr="00472CF4" w:rsidRDefault="002B100C" w:rsidP="006C4159">
            <w:pPr>
              <w:contextualSpacing/>
              <w:rPr>
                <w:rFonts w:ascii="Verdana" w:eastAsia="Calibri" w:hAnsi="Verdana" w:cs="Arial"/>
                <w:sz w:val="16"/>
                <w:szCs w:val="16"/>
                <w:lang w:val="pt-BR" w:eastAsia="es-ES"/>
              </w:rPr>
            </w:pPr>
            <w:r w:rsidRPr="00472CF4">
              <w:rPr>
                <w:rFonts w:ascii="Verdana" w:eastAsia="Calibri" w:hAnsi="Verdana" w:cs="Arial"/>
                <w:sz w:val="16"/>
                <w:szCs w:val="16"/>
                <w:lang w:eastAsia="es-ES"/>
              </w:rPr>
              <w:t>Subdirectora</w:t>
            </w:r>
            <w:r w:rsidRPr="00472CF4">
              <w:rPr>
                <w:rFonts w:ascii="Verdana" w:eastAsia="Calibri" w:hAnsi="Verdana" w:cs="Arial"/>
                <w:sz w:val="16"/>
                <w:szCs w:val="16"/>
                <w:lang w:val="pt-BR" w:eastAsia="es-ES"/>
              </w:rPr>
              <w:t xml:space="preserve"> de Gestión </w:t>
            </w:r>
            <w:proofErr w:type="spellStart"/>
            <w:r w:rsidRPr="00472CF4">
              <w:rPr>
                <w:rFonts w:ascii="Verdana" w:eastAsia="Calibri" w:hAnsi="Verdana" w:cs="Arial"/>
                <w:sz w:val="16"/>
                <w:szCs w:val="16"/>
                <w:lang w:val="pt-BR" w:eastAsia="es-ES"/>
              </w:rPr>
              <w:t>Contractual</w:t>
            </w:r>
            <w:proofErr w:type="spellEnd"/>
            <w:r w:rsidRPr="00472CF4">
              <w:rPr>
                <w:rFonts w:ascii="Verdana" w:eastAsia="Calibri" w:hAnsi="Verdana" w:cs="Arial"/>
                <w:sz w:val="16"/>
                <w:szCs w:val="16"/>
                <w:lang w:val="pt-BR" w:eastAsia="es-ES"/>
              </w:rPr>
              <w:t xml:space="preserve"> ANCP – CCE</w:t>
            </w:r>
          </w:p>
        </w:tc>
      </w:tr>
      <w:bookmarkEnd w:id="1"/>
    </w:tbl>
    <w:p w14:paraId="3E7459AF" w14:textId="77777777" w:rsidR="002B100C" w:rsidRPr="0044528D" w:rsidRDefault="002B100C" w:rsidP="002B100C">
      <w:pPr>
        <w:spacing w:after="0"/>
        <w:rPr>
          <w:rFonts w:ascii="Verdana" w:hAnsi="Verdana"/>
        </w:rPr>
      </w:pPr>
    </w:p>
    <w:bookmarkEnd w:id="0"/>
    <w:p w14:paraId="0465BA6D" w14:textId="77777777" w:rsidR="00E245AB" w:rsidRPr="0044528D" w:rsidRDefault="00E245AB" w:rsidP="002B100C">
      <w:pPr>
        <w:spacing w:after="0"/>
        <w:rPr>
          <w:rFonts w:ascii="Verdana" w:hAnsi="Verdana"/>
        </w:rPr>
      </w:pPr>
    </w:p>
    <w:sectPr w:rsidR="00E245AB" w:rsidRPr="0044528D" w:rsidSect="006C62F9">
      <w:headerReference w:type="default" r:id="rId19"/>
      <w:footerReference w:type="default" r:id="rId20"/>
      <w:pgSz w:w="12240" w:h="15840" w:code="1"/>
      <w:pgMar w:top="1417" w:right="1701" w:bottom="1417" w:left="1701" w:header="62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BF144" w14:textId="77777777" w:rsidR="003D750F" w:rsidRDefault="003D750F" w:rsidP="004A1847">
      <w:pPr>
        <w:spacing w:after="0" w:line="240" w:lineRule="auto"/>
      </w:pPr>
      <w:r>
        <w:separator/>
      </w:r>
    </w:p>
  </w:endnote>
  <w:endnote w:type="continuationSeparator" w:id="0">
    <w:p w14:paraId="001675CB" w14:textId="77777777" w:rsidR="003D750F" w:rsidRDefault="003D75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C8F2E" w14:textId="77777777" w:rsidR="003D750F" w:rsidRDefault="003D750F" w:rsidP="004A1847">
      <w:pPr>
        <w:spacing w:after="0" w:line="240" w:lineRule="auto"/>
      </w:pPr>
      <w:r>
        <w:separator/>
      </w:r>
    </w:p>
  </w:footnote>
  <w:footnote w:type="continuationSeparator" w:id="0">
    <w:p w14:paraId="797A7B2A" w14:textId="77777777" w:rsidR="003D750F" w:rsidRDefault="003D750F" w:rsidP="004A1847">
      <w:pPr>
        <w:spacing w:after="0" w:line="240" w:lineRule="auto"/>
      </w:pPr>
      <w:r>
        <w:continuationSeparator/>
      </w:r>
    </w:p>
  </w:footnote>
  <w:footnote w:id="1">
    <w:p w14:paraId="6EA4DDF2" w14:textId="77777777" w:rsidR="002B100C" w:rsidRPr="001871E2" w:rsidRDefault="002B100C" w:rsidP="002B100C">
      <w:pPr>
        <w:spacing w:after="0" w:line="240" w:lineRule="auto"/>
        <w:ind w:firstLine="709"/>
        <w:jc w:val="both"/>
        <w:rPr>
          <w:rFonts w:ascii="Verdana" w:hAnsi="Verdana" w:cs="Arial"/>
          <w:color w:val="000000"/>
          <w:sz w:val="8"/>
          <w:szCs w:val="8"/>
          <w:lang w:val="es-ES"/>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w:t>
      </w:r>
      <w:r w:rsidRPr="001871E2">
        <w:rPr>
          <w:rFonts w:ascii="Verdana" w:hAnsi="Verdana" w:cs="Arial"/>
          <w:color w:val="000000"/>
          <w:sz w:val="8"/>
          <w:szCs w:val="8"/>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b, Ley 80/93); “Quienes dieron lugar a la declaratoria de caducidad”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d), Ley 80/93); “Quienes sin justa causa se abstengan de suscribir el contrato estatal adjudicado”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1871E2">
        <w:rPr>
          <w:rFonts w:ascii="Verdana" w:hAnsi="Verdana" w:cs="Arial"/>
          <w:color w:val="000000"/>
          <w:sz w:val="8"/>
          <w:szCs w:val="8"/>
          <w:lang w:val="es-ES"/>
        </w:rPr>
        <w:t>num</w:t>
      </w:r>
      <w:proofErr w:type="spellEnd"/>
      <w:r w:rsidRPr="001871E2">
        <w:rPr>
          <w:rFonts w:ascii="Verdana" w:hAnsi="Verdana" w:cs="Arial"/>
          <w:color w:val="000000"/>
          <w:sz w:val="8"/>
          <w:szCs w:val="8"/>
          <w:lang w:val="es-ES"/>
        </w:rPr>
        <w:t xml:space="preserve">. 1º,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1871E2">
        <w:rPr>
          <w:rFonts w:ascii="Verdana" w:hAnsi="Verdana" w:cs="Arial"/>
          <w:color w:val="000000"/>
          <w:sz w:val="8"/>
          <w:szCs w:val="8"/>
          <w:lang w:val="es-ES"/>
        </w:rPr>
        <w:t>lit.</w:t>
      </w:r>
      <w:proofErr w:type="spellEnd"/>
      <w:r w:rsidRPr="001871E2">
        <w:rPr>
          <w:rFonts w:ascii="Verdana" w:hAnsi="Verdana" w:cs="Arial"/>
          <w:color w:val="000000"/>
          <w:sz w:val="8"/>
          <w:szCs w:val="8"/>
          <w:lang w:val="es-ES"/>
        </w:rPr>
        <w:t xml:space="preserve"> a), b) y c), Ley 1474/11, modificado por el art. 43, Ley 1955/19).</w:t>
      </w:r>
    </w:p>
    <w:p w14:paraId="45E38E51" w14:textId="77777777" w:rsidR="002B100C" w:rsidRPr="001871E2" w:rsidRDefault="002B100C" w:rsidP="002B100C">
      <w:pPr>
        <w:spacing w:after="0" w:line="240" w:lineRule="auto"/>
        <w:ind w:firstLine="709"/>
        <w:jc w:val="both"/>
        <w:rPr>
          <w:rFonts w:ascii="Verdana" w:hAnsi="Verdana" w:cs="Arial"/>
          <w:color w:val="000000"/>
          <w:sz w:val="8"/>
          <w:szCs w:val="8"/>
          <w:lang w:val="es-ES"/>
        </w:rPr>
      </w:pPr>
    </w:p>
  </w:footnote>
  <w:footnote w:id="2">
    <w:p w14:paraId="45D78793" w14:textId="77777777" w:rsidR="002B100C" w:rsidRPr="001871E2" w:rsidRDefault="002B100C" w:rsidP="002B10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1º,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1º,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2º,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2º,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2º,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d), Ley 80/93).</w:t>
      </w:r>
    </w:p>
    <w:p w14:paraId="7878FD8C" w14:textId="77777777" w:rsidR="002B100C" w:rsidRPr="001871E2" w:rsidRDefault="002B100C" w:rsidP="002B100C">
      <w:pPr>
        <w:pStyle w:val="Textonotapie"/>
        <w:ind w:firstLine="709"/>
        <w:jc w:val="both"/>
        <w:rPr>
          <w:rFonts w:ascii="Verdana" w:hAnsi="Verdana" w:cs="Arial"/>
          <w:color w:val="000000"/>
          <w:sz w:val="8"/>
          <w:szCs w:val="8"/>
          <w:lang w:val="es-CO"/>
        </w:rPr>
      </w:pPr>
    </w:p>
  </w:footnote>
  <w:footnote w:id="3">
    <w:p w14:paraId="54A3DA52" w14:textId="77777777" w:rsidR="002B100C" w:rsidRPr="001871E2" w:rsidRDefault="002B100C" w:rsidP="002B10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1º,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k), Ley 80/93, modificado por el art. 33, Ley 1778/16); “Quienes fueron miembros de la junta o consejo directivo o servidores públicos de la entidad contratante”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2º,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1871E2">
        <w:rPr>
          <w:rFonts w:ascii="Verdana" w:hAnsi="Verdana" w:cs="Arial"/>
          <w:color w:val="000000"/>
          <w:sz w:val="8"/>
          <w:szCs w:val="8"/>
        </w:rPr>
        <w:t>num</w:t>
      </w:r>
      <w:proofErr w:type="spellEnd"/>
      <w:r w:rsidRPr="001871E2">
        <w:rPr>
          <w:rFonts w:ascii="Verdana" w:hAnsi="Verdana" w:cs="Arial"/>
          <w:color w:val="000000"/>
          <w:sz w:val="8"/>
          <w:szCs w:val="8"/>
        </w:rPr>
        <w:t xml:space="preserve">. 2º, </w:t>
      </w:r>
      <w:proofErr w:type="spellStart"/>
      <w:r w:rsidRPr="001871E2">
        <w:rPr>
          <w:rFonts w:ascii="Verdana" w:hAnsi="Verdana" w:cs="Arial"/>
          <w:color w:val="000000"/>
          <w:sz w:val="8"/>
          <w:szCs w:val="8"/>
        </w:rPr>
        <w:t>lit.</w:t>
      </w:r>
      <w:proofErr w:type="spellEnd"/>
      <w:r w:rsidRPr="001871E2">
        <w:rPr>
          <w:rFonts w:ascii="Verdana" w:hAnsi="Verdana" w:cs="Arial"/>
          <w:color w:val="000000"/>
          <w:sz w:val="8"/>
          <w:szCs w:val="8"/>
        </w:rPr>
        <w:t xml:space="preserve"> f), Ley 80/93, adicionado por el art. 4º, Ley 1474/2011) [a pesar de que la norma la califica como una incompatibilidad, en realidad se trata de una inhabilidad, ya que en dicha causal no existe concurrencia de calidades en un sujeto]. </w:t>
      </w:r>
    </w:p>
    <w:p w14:paraId="2CFB5C60" w14:textId="77777777" w:rsidR="002B100C" w:rsidRPr="001871E2" w:rsidRDefault="002B100C" w:rsidP="002B100C">
      <w:pPr>
        <w:pStyle w:val="Textonotapie"/>
        <w:ind w:firstLine="709"/>
        <w:jc w:val="both"/>
        <w:rPr>
          <w:rFonts w:ascii="Verdana" w:hAnsi="Verdana" w:cs="Arial"/>
          <w:color w:val="000000"/>
          <w:sz w:val="8"/>
          <w:szCs w:val="8"/>
          <w:lang w:val="es-CO"/>
        </w:rPr>
      </w:pPr>
    </w:p>
  </w:footnote>
  <w:footnote w:id="4">
    <w:p w14:paraId="42138785" w14:textId="77777777" w:rsidR="002B100C" w:rsidRPr="001871E2" w:rsidRDefault="002B100C" w:rsidP="002B100C">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BARRETO ROZO, Antonio Alejandro. Inhabilidades de la contratación estatal, efectos y </w:t>
      </w:r>
      <w:proofErr w:type="spellStart"/>
      <w:r w:rsidRPr="001871E2">
        <w:rPr>
          <w:rFonts w:ascii="Verdana" w:hAnsi="Verdana" w:cs="Arial"/>
          <w:color w:val="000000"/>
          <w:sz w:val="8"/>
          <w:szCs w:val="8"/>
        </w:rPr>
        <w:t>neopunitivismo</w:t>
      </w:r>
      <w:proofErr w:type="spellEnd"/>
      <w:r w:rsidRPr="001871E2">
        <w:rPr>
          <w:rFonts w:ascii="Verdana" w:hAnsi="Verdana" w:cs="Arial"/>
          <w:color w:val="000000"/>
          <w:sz w:val="8"/>
          <w:szCs w:val="8"/>
        </w:rPr>
        <w:t xml:space="preserve"> en el Estatuto Anticorrupción. En: ALVIAR GARCÍA, Helena (Coordinadora). Nuevas tendencias del Derecho administrativo. Bogotá: Universidad de los Andes; Temis, 2016. pp. 63-99.</w:t>
      </w:r>
    </w:p>
    <w:p w14:paraId="0242DF73" w14:textId="77777777" w:rsidR="002B100C" w:rsidRPr="001871E2" w:rsidRDefault="002B100C" w:rsidP="002B100C">
      <w:pPr>
        <w:pStyle w:val="Textonotapie"/>
        <w:ind w:firstLine="709"/>
        <w:jc w:val="both"/>
        <w:rPr>
          <w:rFonts w:ascii="Verdana" w:hAnsi="Verdana" w:cs="Arial"/>
          <w:color w:val="000000"/>
          <w:sz w:val="8"/>
          <w:szCs w:val="8"/>
        </w:rPr>
      </w:pPr>
    </w:p>
  </w:footnote>
  <w:footnote w:id="5">
    <w:p w14:paraId="5A82E1FE" w14:textId="77777777" w:rsidR="002B100C" w:rsidRPr="001871E2" w:rsidRDefault="002B100C" w:rsidP="002B100C">
      <w:pPr>
        <w:pStyle w:val="Textonotapie"/>
        <w:ind w:firstLine="709"/>
        <w:jc w:val="both"/>
        <w:rPr>
          <w:rFonts w:ascii="Verdana" w:hAnsi="Verdana" w:cs="Arial"/>
          <w:sz w:val="8"/>
          <w:szCs w:val="8"/>
        </w:rPr>
      </w:pPr>
      <w:r w:rsidRPr="001871E2">
        <w:rPr>
          <w:rStyle w:val="Refdenotaalpie"/>
          <w:rFonts w:ascii="Verdana" w:hAnsi="Verdana" w:cs="Arial"/>
          <w:sz w:val="8"/>
          <w:szCs w:val="8"/>
        </w:rPr>
        <w:footnoteRef/>
      </w:r>
      <w:r w:rsidRPr="001871E2">
        <w:rPr>
          <w:rFonts w:ascii="Verdana" w:hAnsi="Verdana" w:cs="Arial"/>
          <w:sz w:val="8"/>
          <w:szCs w:val="8"/>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6F2850"/>
    <w:multiLevelType w:val="multilevel"/>
    <w:tmpl w:val="996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8E5AE1"/>
    <w:multiLevelType w:val="hybridMultilevel"/>
    <w:tmpl w:val="2B2A78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D726F5"/>
    <w:multiLevelType w:val="hybridMultilevel"/>
    <w:tmpl w:val="C804F5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27999643">
    <w:abstractNumId w:val="11"/>
  </w:num>
  <w:num w:numId="18" w16cid:durableId="1557470222">
    <w:abstractNumId w:val="12"/>
  </w:num>
  <w:num w:numId="19" w16cid:durableId="51777680">
    <w:abstractNumId w:val="6"/>
  </w:num>
  <w:num w:numId="20" w16cid:durableId="2065374192">
    <w:abstractNumId w:val="18"/>
  </w:num>
  <w:num w:numId="21" w16cid:durableId="960459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0E2"/>
    <w:rsid w:val="00061B2A"/>
    <w:rsid w:val="00082362"/>
    <w:rsid w:val="000A683E"/>
    <w:rsid w:val="000B19B9"/>
    <w:rsid w:val="000D0334"/>
    <w:rsid w:val="000D7CD7"/>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B100C"/>
    <w:rsid w:val="002C7A84"/>
    <w:rsid w:val="002E4FD9"/>
    <w:rsid w:val="00322A85"/>
    <w:rsid w:val="00324168"/>
    <w:rsid w:val="003448F4"/>
    <w:rsid w:val="00350052"/>
    <w:rsid w:val="00374F5E"/>
    <w:rsid w:val="00377E3E"/>
    <w:rsid w:val="003A26D1"/>
    <w:rsid w:val="003A779E"/>
    <w:rsid w:val="003D0F4D"/>
    <w:rsid w:val="003D5B0D"/>
    <w:rsid w:val="003D750F"/>
    <w:rsid w:val="003E0499"/>
    <w:rsid w:val="003F3941"/>
    <w:rsid w:val="00406575"/>
    <w:rsid w:val="0042722E"/>
    <w:rsid w:val="0044528D"/>
    <w:rsid w:val="004A1847"/>
    <w:rsid w:val="004A305D"/>
    <w:rsid w:val="004B6B06"/>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C62F9"/>
    <w:rsid w:val="006D12F8"/>
    <w:rsid w:val="00706C16"/>
    <w:rsid w:val="00724BC1"/>
    <w:rsid w:val="00756841"/>
    <w:rsid w:val="007649AB"/>
    <w:rsid w:val="00771D0C"/>
    <w:rsid w:val="007833AC"/>
    <w:rsid w:val="0079667C"/>
    <w:rsid w:val="007B268C"/>
    <w:rsid w:val="007B7171"/>
    <w:rsid w:val="007C0C0F"/>
    <w:rsid w:val="007C3DC2"/>
    <w:rsid w:val="007E3A74"/>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00532"/>
    <w:rsid w:val="00A122D3"/>
    <w:rsid w:val="00A17F13"/>
    <w:rsid w:val="00A20739"/>
    <w:rsid w:val="00A307BC"/>
    <w:rsid w:val="00A33C78"/>
    <w:rsid w:val="00AB0ADB"/>
    <w:rsid w:val="00AF3CC4"/>
    <w:rsid w:val="00B01B1A"/>
    <w:rsid w:val="00B475AF"/>
    <w:rsid w:val="00B72CD3"/>
    <w:rsid w:val="00B72FFF"/>
    <w:rsid w:val="00BC3D36"/>
    <w:rsid w:val="00BD7F72"/>
    <w:rsid w:val="00C04FB3"/>
    <w:rsid w:val="00C330EB"/>
    <w:rsid w:val="00C754BE"/>
    <w:rsid w:val="00C76B1C"/>
    <w:rsid w:val="00CB6357"/>
    <w:rsid w:val="00CC1B26"/>
    <w:rsid w:val="00D423A2"/>
    <w:rsid w:val="00D4504C"/>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B100C"/>
    <w:rPr>
      <w:rFonts w:ascii="Geomanist Light" w:hAnsi="Geomanist Light"/>
      <w:lang w:val="es-ES"/>
    </w:rPr>
  </w:style>
  <w:style w:type="paragraph" w:styleId="Textoindependiente">
    <w:name w:val="Body Text"/>
    <w:basedOn w:val="Normal"/>
    <w:link w:val="TextoindependienteCar"/>
    <w:uiPriority w:val="1"/>
    <w:qFormat/>
    <w:rsid w:val="002B100C"/>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B100C"/>
    <w:rPr>
      <w:rFonts w:ascii="Verdana" w:eastAsia="Verdana" w:hAnsi="Verdana" w:cs="Verdana"/>
      <w:lang w:val="es-ES"/>
    </w:rPr>
  </w:style>
  <w:style w:type="paragraph" w:customStyle="1" w:styleId="Appelnotedebasde">
    <w:name w:val="Appel note de bas de..."/>
    <w:basedOn w:val="Normal"/>
    <w:link w:val="Refdenotaalpie"/>
    <w:uiPriority w:val="99"/>
    <w:rsid w:val="002B100C"/>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10976475">
      <w:bodyDiv w:val="1"/>
      <w:marLeft w:val="0"/>
      <w:marRight w:val="0"/>
      <w:marTop w:val="0"/>
      <w:marBottom w:val="0"/>
      <w:divBdr>
        <w:top w:val="none" w:sz="0" w:space="0" w:color="auto"/>
        <w:left w:val="none" w:sz="0" w:space="0" w:color="auto"/>
        <w:bottom w:val="none" w:sz="0" w:space="0" w:color="auto"/>
        <w:right w:val="none" w:sz="0" w:space="0" w:color="auto"/>
      </w:divBdr>
      <w:divsChild>
        <w:div w:id="643436154">
          <w:marLeft w:val="0"/>
          <w:marRight w:val="0"/>
          <w:marTop w:val="240"/>
          <w:marBottom w:val="240"/>
          <w:divBdr>
            <w:top w:val="none" w:sz="0" w:space="0" w:color="auto"/>
            <w:left w:val="none" w:sz="0" w:space="0" w:color="auto"/>
            <w:bottom w:val="none" w:sz="0" w:space="0" w:color="auto"/>
            <w:right w:val="none" w:sz="0" w:space="0" w:color="auto"/>
          </w:divBdr>
        </w:div>
        <w:div w:id="1646010133">
          <w:marLeft w:val="0"/>
          <w:marRight w:val="0"/>
          <w:marTop w:val="240"/>
          <w:marBottom w:val="240"/>
          <w:divBdr>
            <w:top w:val="none" w:sz="0" w:space="0" w:color="auto"/>
            <w:left w:val="none" w:sz="0" w:space="0" w:color="auto"/>
            <w:bottom w:val="none" w:sz="0" w:space="0" w:color="auto"/>
            <w:right w:val="none" w:sz="0" w:space="0" w:color="auto"/>
          </w:divBdr>
        </w:div>
        <w:div w:id="919683070">
          <w:marLeft w:val="0"/>
          <w:marRight w:val="0"/>
          <w:marTop w:val="240"/>
          <w:marBottom w:val="240"/>
          <w:divBdr>
            <w:top w:val="none" w:sz="0" w:space="0" w:color="auto"/>
            <w:left w:val="none" w:sz="0" w:space="0" w:color="auto"/>
            <w:bottom w:val="none" w:sz="0" w:space="0" w:color="auto"/>
            <w:right w:val="none" w:sz="0" w:space="0" w:color="auto"/>
          </w:divBdr>
        </w:div>
        <w:div w:id="201092186">
          <w:marLeft w:val="0"/>
          <w:marRight w:val="0"/>
          <w:marTop w:val="240"/>
          <w:marBottom w:val="24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739985017">
      <w:bodyDiv w:val="1"/>
      <w:marLeft w:val="0"/>
      <w:marRight w:val="0"/>
      <w:marTop w:val="0"/>
      <w:marBottom w:val="0"/>
      <w:divBdr>
        <w:top w:val="none" w:sz="0" w:space="0" w:color="auto"/>
        <w:left w:val="none" w:sz="0" w:space="0" w:color="auto"/>
        <w:bottom w:val="none" w:sz="0" w:space="0" w:color="auto"/>
        <w:right w:val="none" w:sz="0" w:space="0" w:color="auto"/>
      </w:divBdr>
      <w:divsChild>
        <w:div w:id="957103178">
          <w:marLeft w:val="0"/>
          <w:marRight w:val="0"/>
          <w:marTop w:val="240"/>
          <w:marBottom w:val="240"/>
          <w:divBdr>
            <w:top w:val="none" w:sz="0" w:space="0" w:color="auto"/>
            <w:left w:val="none" w:sz="0" w:space="0" w:color="auto"/>
            <w:bottom w:val="none" w:sz="0" w:space="0" w:color="auto"/>
            <w:right w:val="none" w:sz="0" w:space="0" w:color="auto"/>
          </w:divBdr>
        </w:div>
        <w:div w:id="1806434865">
          <w:marLeft w:val="0"/>
          <w:marRight w:val="0"/>
          <w:marTop w:val="240"/>
          <w:marBottom w:val="240"/>
          <w:divBdr>
            <w:top w:val="none" w:sz="0" w:space="0" w:color="auto"/>
            <w:left w:val="none" w:sz="0" w:space="0" w:color="auto"/>
            <w:bottom w:val="none" w:sz="0" w:space="0" w:color="auto"/>
            <w:right w:val="none" w:sz="0" w:space="0" w:color="auto"/>
          </w:divBdr>
        </w:div>
        <w:div w:id="821236436">
          <w:marLeft w:val="0"/>
          <w:marRight w:val="0"/>
          <w:marTop w:val="240"/>
          <w:marBottom w:val="240"/>
          <w:divBdr>
            <w:top w:val="none" w:sz="0" w:space="0" w:color="auto"/>
            <w:left w:val="none" w:sz="0" w:space="0" w:color="auto"/>
            <w:bottom w:val="none" w:sz="0" w:space="0" w:color="auto"/>
            <w:right w:val="none" w:sz="0" w:space="0" w:color="auto"/>
          </w:divBdr>
        </w:div>
        <w:div w:id="1549761938">
          <w:marLeft w:val="0"/>
          <w:marRight w:val="0"/>
          <w:marTop w:val="240"/>
          <w:marBottom w:val="24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rakiitoo64@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808E6-F115-4241-A7B1-00DE88AE4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2755</Words>
  <Characters>15156</Characters>
  <Application>Microsoft Office Word</Application>
  <DocSecurity>0</DocSecurity>
  <Lines>126</Lines>
  <Paragraphs>35</Paragraphs>
  <ScaleCrop>false</ScaleCrop>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3</cp:revision>
  <cp:lastPrinted>2023-01-10T21:18:00Z</cp:lastPrinted>
  <dcterms:created xsi:type="dcterms:W3CDTF">2024-11-27T16:29:00Z</dcterms:created>
  <dcterms:modified xsi:type="dcterms:W3CDTF">2024-11-27T17:07:00Z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