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404C61" w:rsidR="00DD5B04" w:rsidP="00AA7A60" w:rsidRDefault="00B55C69" w14:paraId="40EA575F" w14:textId="28E910D2">
      <w:pPr>
        <w:jc w:val="right"/>
        <w:rPr>
          <w:rFonts w:ascii="Arial" w:hAnsi="Arial" w:eastAsia="Calibri" w:cs="Arial"/>
          <w:b/>
          <w:color w:val="000000" w:themeColor="text1"/>
          <w:sz w:val="20"/>
          <w:szCs w:val="20"/>
          <w:lang w:val="es-ES_tradnl"/>
        </w:rPr>
      </w:pPr>
      <w:bookmarkStart w:name="_Hlk28946138" w:id="0"/>
      <w:bookmarkStart w:name="_Hlk29548183" w:id="1"/>
      <w:r w:rsidRPr="00404C61">
        <w:rPr>
          <w:rFonts w:ascii="Arial" w:hAnsi="Arial" w:cs="Arial"/>
          <w:bCs/>
          <w:color w:val="000000" w:themeColor="text1"/>
          <w:sz w:val="16"/>
          <w:szCs w:val="16"/>
          <w:lang w:val="es-ES_tradnl" w:eastAsia="es-ES"/>
        </w:rPr>
        <w:t>CCE-DES-FM-17</w:t>
      </w:r>
    </w:p>
    <w:bookmarkEnd w:id="0"/>
    <w:bookmarkEnd w:id="1"/>
    <w:p w:rsidRPr="00404C61" w:rsidR="00F02D25" w:rsidP="00E548C3" w:rsidRDefault="00F02D25" w14:paraId="1BED658F" w14:textId="77777777">
      <w:pPr>
        <w:jc w:val="both"/>
        <w:rPr>
          <w:rFonts w:ascii="Arial" w:hAnsi="Arial" w:eastAsia="Calibri" w:cs="Arial"/>
          <w:b/>
          <w:bCs/>
          <w:color w:val="000000" w:themeColor="text1"/>
          <w:sz w:val="22"/>
          <w:lang w:val="es-ES_tradnl"/>
        </w:rPr>
      </w:pPr>
    </w:p>
    <w:p w:rsidRPr="0033016F" w:rsidR="008E3BA4" w:rsidP="008E3BA4" w:rsidRDefault="008E3BA4" w14:paraId="02C1911D" w14:textId="77777777">
      <w:pPr>
        <w:jc w:val="both"/>
        <w:rPr>
          <w:rFonts w:ascii="Arial" w:hAnsi="Arial" w:eastAsia="Calibri" w:cs="Arial"/>
          <w:b/>
          <w:sz w:val="22"/>
          <w:lang w:val="es-ES_tradnl"/>
        </w:rPr>
      </w:pPr>
      <w:r>
        <w:rPr>
          <w:rFonts w:ascii="Arial" w:hAnsi="Arial" w:eastAsia="Calibri" w:cs="Arial"/>
          <w:b/>
          <w:sz w:val="22"/>
          <w:lang w:val="es-ES_tradnl"/>
        </w:rPr>
        <w:t xml:space="preserve">PRECIOS UNITARIOS </w:t>
      </w:r>
      <w:bookmarkStart w:name="_Hlk39666823" w:id="2"/>
      <w:r w:rsidRPr="006C15D5">
        <w:rPr>
          <w:rFonts w:ascii="Arial" w:hAnsi="Arial" w:eastAsia="Calibri" w:cs="Arial"/>
          <w:b/>
          <w:color w:val="000000" w:themeColor="text1"/>
          <w:sz w:val="22"/>
        </w:rPr>
        <w:t>–</w:t>
      </w:r>
      <w:bookmarkEnd w:id="2"/>
      <w:r>
        <w:rPr>
          <w:rFonts w:ascii="Arial" w:hAnsi="Arial" w:eastAsia="Calibri" w:cs="Arial"/>
          <w:b/>
          <w:sz w:val="22"/>
          <w:lang w:val="es-ES_tradnl"/>
        </w:rPr>
        <w:t xml:space="preserve"> APU </w:t>
      </w:r>
      <w:r w:rsidRPr="006C15D5">
        <w:rPr>
          <w:rFonts w:ascii="Arial" w:hAnsi="Arial" w:eastAsia="Calibri" w:cs="Arial"/>
          <w:b/>
          <w:color w:val="000000" w:themeColor="text1"/>
          <w:sz w:val="22"/>
        </w:rPr>
        <w:t>–</w:t>
      </w:r>
      <w:r>
        <w:rPr>
          <w:rFonts w:ascii="Arial" w:hAnsi="Arial" w:eastAsia="Calibri" w:cs="Arial"/>
          <w:b/>
          <w:color w:val="000000" w:themeColor="text1"/>
          <w:sz w:val="22"/>
        </w:rPr>
        <w:t xml:space="preserve"> </w:t>
      </w:r>
      <w:r>
        <w:rPr>
          <w:rFonts w:ascii="Arial" w:hAnsi="Arial" w:eastAsia="Calibri" w:cs="Arial"/>
          <w:b/>
          <w:sz w:val="22"/>
          <w:lang w:val="es-ES_tradnl"/>
        </w:rPr>
        <w:t xml:space="preserve">AIU </w:t>
      </w:r>
      <w:r w:rsidRPr="006C15D5">
        <w:rPr>
          <w:rFonts w:ascii="Arial" w:hAnsi="Arial" w:eastAsia="Calibri" w:cs="Arial"/>
          <w:b/>
          <w:color w:val="000000" w:themeColor="text1"/>
          <w:sz w:val="22"/>
        </w:rPr>
        <w:t>–</w:t>
      </w:r>
      <w:r>
        <w:rPr>
          <w:rFonts w:ascii="Arial" w:hAnsi="Arial" w:eastAsia="Calibri" w:cs="Arial"/>
          <w:b/>
          <w:color w:val="000000" w:themeColor="text1"/>
          <w:sz w:val="22"/>
        </w:rPr>
        <w:t xml:space="preserve"> Diferencias </w:t>
      </w:r>
      <w:r w:rsidRPr="006C15D5">
        <w:rPr>
          <w:rFonts w:ascii="Arial" w:hAnsi="Arial" w:eastAsia="Calibri" w:cs="Arial"/>
          <w:b/>
          <w:color w:val="000000" w:themeColor="text1"/>
          <w:sz w:val="22"/>
        </w:rPr>
        <w:t>–</w:t>
      </w:r>
      <w:r>
        <w:rPr>
          <w:rFonts w:ascii="Arial" w:hAnsi="Arial" w:eastAsia="Calibri" w:cs="Arial"/>
          <w:b/>
          <w:color w:val="000000" w:themeColor="text1"/>
          <w:sz w:val="22"/>
        </w:rPr>
        <w:t xml:space="preserve"> Configuración </w:t>
      </w:r>
    </w:p>
    <w:p w:rsidRPr="0033016F" w:rsidR="008E3BA4" w:rsidP="008E3BA4" w:rsidRDefault="008E3BA4" w14:paraId="56E8C287" w14:textId="77777777">
      <w:pPr>
        <w:jc w:val="both"/>
        <w:rPr>
          <w:rFonts w:ascii="Arial" w:hAnsi="Arial" w:eastAsia="Calibri" w:cs="Arial"/>
          <w:sz w:val="20"/>
          <w:szCs w:val="20"/>
          <w:lang w:val="es-ES_tradnl"/>
        </w:rPr>
      </w:pPr>
    </w:p>
    <w:p w:rsidR="008E3BA4" w:rsidP="008E3BA4" w:rsidRDefault="008E3BA4" w14:paraId="3A7B8957" w14:textId="77777777">
      <w:pPr>
        <w:spacing w:after="120"/>
        <w:jc w:val="both"/>
        <w:rPr>
          <w:rFonts w:ascii="Arial" w:hAnsi="Arial" w:eastAsia="Calibri" w:cs="Arial"/>
          <w:sz w:val="20"/>
          <w:szCs w:val="20"/>
          <w:lang w:val="es-ES_tradnl"/>
        </w:rPr>
      </w:pPr>
      <w:r w:rsidRPr="0033016F">
        <w:rPr>
          <w:rFonts w:ascii="Arial" w:hAnsi="Arial" w:eastAsia="Calibri" w:cs="Arial"/>
          <w:sz w:val="20"/>
          <w:szCs w:val="20"/>
          <w:lang w:val="es-ES_tradnl"/>
        </w:rPr>
        <w:t>[…]</w:t>
      </w:r>
      <w:r>
        <w:rPr>
          <w:rFonts w:ascii="Arial" w:hAnsi="Arial" w:eastAsia="Calibri" w:cs="Arial"/>
          <w:sz w:val="20"/>
          <w:szCs w:val="20"/>
          <w:lang w:val="es-ES_tradnl"/>
        </w:rPr>
        <w:t xml:space="preserve"> e</w:t>
      </w:r>
      <w:r w:rsidRPr="0033016F">
        <w:rPr>
          <w:rFonts w:ascii="Arial" w:hAnsi="Arial" w:eastAsia="Calibri" w:cs="Arial"/>
          <w:sz w:val="20"/>
          <w:szCs w:val="20"/>
          <w:lang w:val="es-ES_tradnl"/>
        </w:rPr>
        <w:t>n los contratos cuyo precio se estructura a partir del sistema de precios unitarios, 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ítems según su unidad de medida, los costos indirectos se suelen abreviar en las variables que integran el acrónimo AIU –Administración, Imprevistos y Utilidad–, que se calcula como un porcentaje aplicado a los costos indirectos.</w:t>
      </w:r>
    </w:p>
    <w:p w:rsidRPr="0033016F" w:rsidR="008E3BA4" w:rsidP="008E3BA4" w:rsidRDefault="008E3BA4" w14:paraId="3050A659" w14:textId="77777777">
      <w:pPr>
        <w:jc w:val="both"/>
        <w:rPr>
          <w:rFonts w:ascii="Arial" w:hAnsi="Arial" w:eastAsia="Calibri" w:cs="Arial"/>
          <w:sz w:val="20"/>
          <w:szCs w:val="20"/>
          <w:lang w:val="es-ES_tradnl"/>
        </w:rPr>
      </w:pPr>
      <w:r w:rsidRPr="0033016F">
        <w:rPr>
          <w:rFonts w:ascii="Arial" w:hAnsi="Arial" w:eastAsia="Calibri" w:cs="Arial"/>
          <w:sz w:val="20"/>
          <w:szCs w:val="20"/>
          <w:lang w:val="es-ES_tradnl"/>
        </w:rPr>
        <w:t>En consecuencia, tanto las entidades sometidas al Estatuto General de Contratación de la Administración Pública, como las excluidas de este –es decir, las que cuentan con un régimen especial–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unitarios y la figura del AIU; modelo que, como se indicó, es más pertinente para los contratos de tracto sucesivo, como el de obra. Por ende, la decisión de incluir el AIU, al igual que la metodología de delimitación de sus variables –ítems y porcentajes– debe obedecer a un juicioso análisis de oportunidad y conveniencia, que consulte las reglas de la experiencia, así como los aspectos particulares de cada negocio, y que se armonice con la garantía de los principios de la función administrativa y de la gestión fiscal, dentro de los cuales se halla el principio de economía; postulado que exige la optimización de los recursos públicos.</w:t>
      </w:r>
    </w:p>
    <w:p w:rsidRPr="0033016F" w:rsidR="008E3BA4" w:rsidP="008E3BA4" w:rsidRDefault="008E3BA4" w14:paraId="210A72B6" w14:textId="77777777">
      <w:pPr>
        <w:jc w:val="both"/>
        <w:rPr>
          <w:rFonts w:ascii="Arial" w:hAnsi="Arial" w:eastAsia="Calibri" w:cs="Arial"/>
          <w:sz w:val="20"/>
          <w:szCs w:val="20"/>
          <w:lang w:val="es-ES_tradnl"/>
        </w:rPr>
      </w:pPr>
    </w:p>
    <w:p w:rsidRPr="0033016F" w:rsidR="008E3BA4" w:rsidP="008E3BA4" w:rsidRDefault="008E3BA4" w14:paraId="28DF6372" w14:textId="77777777">
      <w:pPr>
        <w:jc w:val="both"/>
        <w:rPr>
          <w:rFonts w:ascii="Arial" w:hAnsi="Arial" w:eastAsia="Calibri" w:cs="Arial"/>
          <w:b/>
          <w:bCs/>
          <w:sz w:val="22"/>
          <w:lang w:val="es-ES_tradnl"/>
        </w:rPr>
      </w:pPr>
      <w:r w:rsidRPr="0033016F">
        <w:rPr>
          <w:rFonts w:ascii="Arial" w:hAnsi="Arial" w:eastAsia="Calibri" w:cs="Arial"/>
          <w:b/>
          <w:bCs/>
          <w:sz w:val="22"/>
          <w:lang w:val="es-ES_tradnl"/>
        </w:rPr>
        <w:t xml:space="preserve">AIU </w:t>
      </w:r>
      <w:r w:rsidRPr="006C15D5">
        <w:rPr>
          <w:rFonts w:ascii="Arial" w:hAnsi="Arial" w:eastAsia="Calibri" w:cs="Arial"/>
          <w:b/>
          <w:color w:val="000000" w:themeColor="text1"/>
          <w:sz w:val="22"/>
        </w:rPr>
        <w:t>–</w:t>
      </w:r>
      <w:r w:rsidRPr="0033016F">
        <w:rPr>
          <w:rFonts w:ascii="Arial" w:hAnsi="Arial" w:eastAsia="Calibri" w:cs="Arial"/>
          <w:b/>
          <w:bCs/>
          <w:sz w:val="22"/>
          <w:lang w:val="es-ES_tradnl"/>
        </w:rPr>
        <w:t xml:space="preserve"> </w:t>
      </w:r>
      <w:r>
        <w:rPr>
          <w:rFonts w:ascii="Arial" w:hAnsi="Arial" w:eastAsia="Calibri" w:cs="Arial"/>
          <w:b/>
          <w:bCs/>
          <w:sz w:val="22"/>
          <w:lang w:val="es-ES_tradnl"/>
        </w:rPr>
        <w:t xml:space="preserve">Costos indirectos </w:t>
      </w:r>
      <w:r w:rsidRPr="006C15D5">
        <w:rPr>
          <w:rFonts w:ascii="Arial" w:hAnsi="Arial" w:eastAsia="Calibri" w:cs="Arial"/>
          <w:b/>
          <w:color w:val="000000" w:themeColor="text1"/>
          <w:sz w:val="22"/>
        </w:rPr>
        <w:t>–</w:t>
      </w:r>
      <w:r>
        <w:rPr>
          <w:rFonts w:ascii="Arial" w:hAnsi="Arial" w:eastAsia="Calibri" w:cs="Arial"/>
          <w:b/>
          <w:color w:val="000000" w:themeColor="text1"/>
          <w:sz w:val="22"/>
        </w:rPr>
        <w:t xml:space="preserve"> Finalidad </w:t>
      </w:r>
      <w:r w:rsidRPr="006C15D5">
        <w:rPr>
          <w:rFonts w:ascii="Arial" w:hAnsi="Arial" w:eastAsia="Calibri" w:cs="Arial"/>
          <w:b/>
          <w:color w:val="000000" w:themeColor="text1"/>
          <w:sz w:val="22"/>
        </w:rPr>
        <w:t>–</w:t>
      </w:r>
      <w:r>
        <w:rPr>
          <w:rFonts w:ascii="Arial" w:hAnsi="Arial" w:eastAsia="Calibri" w:cs="Arial"/>
          <w:b/>
          <w:color w:val="000000" w:themeColor="text1"/>
          <w:sz w:val="22"/>
        </w:rPr>
        <w:t xml:space="preserve"> Riesgos inherentes </w:t>
      </w:r>
      <w:r w:rsidRPr="006C15D5">
        <w:rPr>
          <w:rFonts w:ascii="Arial" w:hAnsi="Arial" w:eastAsia="Calibri" w:cs="Arial"/>
          <w:b/>
          <w:color w:val="000000" w:themeColor="text1"/>
          <w:sz w:val="22"/>
        </w:rPr>
        <w:t>–</w:t>
      </w:r>
      <w:r>
        <w:rPr>
          <w:rFonts w:ascii="Arial" w:hAnsi="Arial" w:eastAsia="Calibri" w:cs="Arial"/>
          <w:b/>
          <w:color w:val="000000" w:themeColor="text1"/>
          <w:sz w:val="22"/>
        </w:rPr>
        <w:t xml:space="preserve"> Ejecución del contrato </w:t>
      </w:r>
    </w:p>
    <w:p w:rsidRPr="0033016F" w:rsidR="008E3BA4" w:rsidP="008E3BA4" w:rsidRDefault="008E3BA4" w14:paraId="1CF6D027" w14:textId="77777777">
      <w:pPr>
        <w:jc w:val="both"/>
        <w:rPr>
          <w:rFonts w:ascii="Arial" w:hAnsi="Arial" w:eastAsia="Calibri" w:cs="Arial"/>
          <w:b/>
          <w:bCs/>
          <w:sz w:val="20"/>
          <w:szCs w:val="20"/>
          <w:lang w:val="es-ES_tradnl"/>
        </w:rPr>
      </w:pPr>
    </w:p>
    <w:p w:rsidRPr="0033016F" w:rsidR="008E3BA4" w:rsidP="008E3BA4" w:rsidRDefault="008E3BA4" w14:paraId="439C2370" w14:textId="77777777">
      <w:pPr>
        <w:jc w:val="both"/>
        <w:rPr>
          <w:rFonts w:ascii="Arial" w:hAnsi="Arial" w:eastAsia="Calibri" w:cs="Arial"/>
          <w:sz w:val="20"/>
          <w:szCs w:val="20"/>
          <w:lang w:val="es-ES_tradnl"/>
        </w:rPr>
      </w:pPr>
      <w:r w:rsidRPr="0033016F">
        <w:rPr>
          <w:rFonts w:ascii="Arial" w:hAnsi="Arial" w:eastAsia="Calibri" w:cs="Arial"/>
          <w:sz w:val="20"/>
          <w:szCs w:val="20"/>
          <w:lang w:val="es-ES_tradnl"/>
        </w:rPr>
        <w:t xml:space="preserve">Lo usual, que se advierte en la práctica de las entidades estatales, es que acuden al AIU con la finalidad de establecer un precio más estable, de manera que el valor del contrato consistirá en lo que resulte de afectar los costos directos por el porcentaje, en principio, invariable del AIU, de manera que a aquel valor se le suma este. Así las cosas, las partes asumen los riesgos inherentes a esta forma de pactar el precio, entendiendo aceptados los </w:t>
      </w:r>
      <w:proofErr w:type="spellStart"/>
      <w:r w:rsidRPr="0033016F">
        <w:rPr>
          <w:rFonts w:ascii="Arial" w:hAnsi="Arial" w:eastAsia="Calibri" w:cs="Arial"/>
          <w:sz w:val="20"/>
          <w:szCs w:val="20"/>
          <w:lang w:val="es-ES_tradnl"/>
        </w:rPr>
        <w:t>áleas</w:t>
      </w:r>
      <w:proofErr w:type="spellEnd"/>
      <w:r w:rsidRPr="0033016F">
        <w:rPr>
          <w:rFonts w:ascii="Arial" w:hAnsi="Arial" w:eastAsia="Calibri" w:cs="Arial"/>
          <w:sz w:val="20"/>
          <w:szCs w:val="20"/>
          <w:lang w:val="es-ES_tradnl"/>
        </w:rPr>
        <w:t xml:space="preserve"> normales que se presenten en la ejecución del contrato, de manera que aunque el contratista incurra en: mayores costos de los ítems incluidos en la Administración al presentar su oferta, o que estos disminuyan, aparezcan algunos nuevos o desaparezcan algunos de ellos, el valor se mantenga invariable; de manera que las partes optan por darle estabilidad al negocio asumiendo cada una de ellas lo que le favorezca o desfavorezca, lo que evita, además, incurrir en costos de transacción relacionados con la necesidad de acreditar y verificar cada costo específico asociado a la Administración, lo que generaría más gastos tanto para la entidad como para el contratista. </w:t>
      </w:r>
    </w:p>
    <w:p w:rsidR="008E3BA4" w:rsidP="008E3BA4" w:rsidRDefault="008E3BA4" w14:paraId="58084D2A" w14:textId="08AA4525">
      <w:pPr>
        <w:jc w:val="both"/>
        <w:rPr>
          <w:rFonts w:ascii="Arial" w:hAnsi="Arial" w:eastAsia="Calibri" w:cs="Arial"/>
          <w:sz w:val="20"/>
          <w:szCs w:val="20"/>
          <w:lang w:val="es-ES_tradnl"/>
        </w:rPr>
      </w:pPr>
    </w:p>
    <w:p w:rsidRPr="0033016F" w:rsidR="00637802" w:rsidP="00637802" w:rsidRDefault="00637802" w14:paraId="219D7374" w14:textId="74555526">
      <w:pPr>
        <w:jc w:val="both"/>
        <w:rPr>
          <w:rFonts w:ascii="Arial" w:hAnsi="Arial" w:eastAsia="Calibri" w:cs="Arial"/>
          <w:b/>
          <w:bCs/>
          <w:sz w:val="22"/>
          <w:lang w:val="es-ES_tradnl"/>
        </w:rPr>
      </w:pPr>
      <w:r>
        <w:rPr>
          <w:rFonts w:ascii="Arial" w:hAnsi="Arial" w:eastAsia="Calibri" w:cs="Arial"/>
          <w:b/>
          <w:bCs/>
          <w:sz w:val="22"/>
          <w:lang w:val="es-ES_tradnl"/>
        </w:rPr>
        <w:t>SUBASTA INVERSA</w:t>
      </w:r>
      <w:r w:rsidRPr="0033016F">
        <w:rPr>
          <w:rFonts w:ascii="Arial" w:hAnsi="Arial" w:eastAsia="Calibri" w:cs="Arial"/>
          <w:b/>
          <w:bCs/>
          <w:sz w:val="22"/>
          <w:lang w:val="es-ES_tradnl"/>
        </w:rPr>
        <w:t xml:space="preserve"> </w:t>
      </w:r>
      <w:r w:rsidRPr="006C15D5">
        <w:rPr>
          <w:rFonts w:ascii="Arial" w:hAnsi="Arial" w:eastAsia="Calibri" w:cs="Arial"/>
          <w:b/>
          <w:color w:val="000000" w:themeColor="text1"/>
          <w:sz w:val="22"/>
        </w:rPr>
        <w:t>–</w:t>
      </w:r>
      <w:r w:rsidRPr="0033016F">
        <w:rPr>
          <w:rFonts w:ascii="Arial" w:hAnsi="Arial" w:eastAsia="Calibri" w:cs="Arial"/>
          <w:b/>
          <w:bCs/>
          <w:sz w:val="22"/>
          <w:lang w:val="es-ES_tradnl"/>
        </w:rPr>
        <w:t xml:space="preserve"> </w:t>
      </w:r>
      <w:r>
        <w:rPr>
          <w:rFonts w:ascii="Arial" w:hAnsi="Arial" w:eastAsia="Calibri" w:cs="Arial"/>
          <w:b/>
          <w:bCs/>
          <w:sz w:val="22"/>
          <w:lang w:val="es-ES_tradnl"/>
        </w:rPr>
        <w:t xml:space="preserve">Lances </w:t>
      </w:r>
      <w:r w:rsidRPr="006C15D5">
        <w:rPr>
          <w:rFonts w:ascii="Arial" w:hAnsi="Arial" w:eastAsia="Calibri" w:cs="Arial"/>
          <w:b/>
          <w:color w:val="000000" w:themeColor="text1"/>
          <w:sz w:val="22"/>
        </w:rPr>
        <w:t>–</w:t>
      </w:r>
      <w:r>
        <w:rPr>
          <w:rFonts w:ascii="Arial" w:hAnsi="Arial" w:eastAsia="Calibri" w:cs="Arial"/>
          <w:b/>
          <w:color w:val="000000" w:themeColor="text1"/>
          <w:sz w:val="22"/>
        </w:rPr>
        <w:t xml:space="preserve"> Margen mínimo </w:t>
      </w:r>
      <w:r w:rsidRPr="006C15D5">
        <w:rPr>
          <w:rFonts w:ascii="Arial" w:hAnsi="Arial" w:eastAsia="Calibri" w:cs="Arial"/>
          <w:b/>
          <w:color w:val="000000" w:themeColor="text1"/>
          <w:sz w:val="22"/>
        </w:rPr>
        <w:t>–</w:t>
      </w:r>
      <w:r>
        <w:rPr>
          <w:rFonts w:ascii="Arial" w:hAnsi="Arial" w:eastAsia="Calibri" w:cs="Arial"/>
          <w:b/>
          <w:color w:val="000000" w:themeColor="text1"/>
          <w:sz w:val="22"/>
        </w:rPr>
        <w:t xml:space="preserve"> Discrecionalidad administrativa </w:t>
      </w:r>
    </w:p>
    <w:p w:rsidR="00637802" w:rsidP="008E3BA4" w:rsidRDefault="00637802" w14:paraId="072B425C" w14:textId="77777777">
      <w:pPr>
        <w:jc w:val="both"/>
        <w:rPr>
          <w:rFonts w:ascii="Arial" w:hAnsi="Arial" w:eastAsia="Calibri" w:cs="Arial"/>
          <w:sz w:val="20"/>
          <w:szCs w:val="20"/>
          <w:lang w:val="es-ES_tradnl"/>
        </w:rPr>
      </w:pPr>
    </w:p>
    <w:p w:rsidRPr="00ED5140" w:rsidR="00637802" w:rsidP="008E3BA4" w:rsidRDefault="00637802" w14:paraId="411D8FA7" w14:textId="25AE6A22">
      <w:pPr>
        <w:jc w:val="both"/>
        <w:rPr>
          <w:rFonts w:ascii="Arial" w:hAnsi="Arial" w:eastAsia="Calibri" w:cs="Arial"/>
          <w:sz w:val="20"/>
          <w:szCs w:val="20"/>
          <w:lang w:val="es-ES_tradnl"/>
        </w:rPr>
      </w:pPr>
      <w:r w:rsidRPr="00ED5140">
        <w:rPr>
          <w:rFonts w:ascii="Arial" w:hAnsi="Arial" w:eastAsia="Calibri" w:cs="Arial"/>
          <w:sz w:val="20"/>
          <w:szCs w:val="20"/>
          <w:lang w:val="es-ES_tradnl"/>
        </w:rPr>
        <w:t xml:space="preserve">En relación con la pregunta que se formula sobre si en la subasta inversa los lances se deben hacer incluyendo el IVA, cabe señalar que dicho certamen es una forma de presentación dinámica de la oferta, respecto de la cual el Decreto 1082 de 2015 dispone, en el numeral 6 del artículo 2.2.1.2.1.2.2., que «serán válidos los Lances efectuados durante la subasta inversa en los cuales la </w:t>
      </w:r>
      <w:r w:rsidRPr="00ED5140">
        <w:rPr>
          <w:rFonts w:ascii="Arial" w:hAnsi="Arial" w:eastAsia="Calibri" w:cs="Arial"/>
          <w:sz w:val="20"/>
          <w:szCs w:val="20"/>
          <w:lang w:val="es-ES_tradnl"/>
        </w:rPr>
        <w:lastRenderedPageBreak/>
        <w:t>oferta sea mejorada en por lo menos el Margen Mínimo establecido». Este margen mínimo debe definirlo la entidad estatal en el pliego de condiciones, como lo establece el numeral 1 del mismo artículo. Además, el artículo 2.2.1.1.1.3.1. de dicho Decreto dispone que el margen mínimo es el «Valor mínimo en el cual el oferente en una subasta inversa debe reducir el valor del Lance o en una subasta de enajenación debe incrementar el valor del Lance, el cual puede ser expresado en dinero o en un porcentaje del precio de inicio de la subasta». Así pues, la definición el margen mínimo de cada lance y la forma como se integra su valor es un asunto que debe establecer la entidad estatal en el pliego de condiciones.</w:t>
      </w:r>
    </w:p>
    <w:p w:rsidR="00C6742E" w:rsidP="00ED5140" w:rsidRDefault="00C6742E" w14:paraId="02456C23" w14:textId="71F9A535">
      <w:pPr>
        <w:jc w:val="both"/>
        <w:rPr>
          <w:rFonts w:ascii="Arial" w:hAnsi="Arial" w:eastAsia="Calibri" w:cs="Arial"/>
          <w:sz w:val="20"/>
          <w:szCs w:val="20"/>
          <w:lang w:val="es-ES_tradnl"/>
        </w:rPr>
      </w:pPr>
    </w:p>
    <w:p w:rsidRPr="0033016F" w:rsidR="00ED5140" w:rsidP="00ED5140" w:rsidRDefault="00ED5140" w14:paraId="720ECE5F" w14:textId="4F44C3D3">
      <w:pPr>
        <w:jc w:val="both"/>
        <w:rPr>
          <w:rFonts w:ascii="Arial" w:hAnsi="Arial" w:eastAsia="Calibri" w:cs="Arial"/>
          <w:b/>
          <w:bCs/>
          <w:sz w:val="22"/>
          <w:lang w:val="es-ES_tradnl"/>
        </w:rPr>
      </w:pPr>
      <w:r>
        <w:rPr>
          <w:rFonts w:ascii="Arial" w:hAnsi="Arial" w:eastAsia="Calibri" w:cs="Arial"/>
          <w:b/>
          <w:bCs/>
          <w:sz w:val="22"/>
          <w:lang w:val="es-ES_tradnl"/>
        </w:rPr>
        <w:t>ANTICIPO Y PAGO ANTICIPADO</w:t>
      </w:r>
      <w:r w:rsidRPr="0033016F">
        <w:rPr>
          <w:rFonts w:ascii="Arial" w:hAnsi="Arial" w:eastAsia="Calibri" w:cs="Arial"/>
          <w:b/>
          <w:bCs/>
          <w:sz w:val="22"/>
          <w:lang w:val="es-ES_tradnl"/>
        </w:rPr>
        <w:t xml:space="preserve"> </w:t>
      </w:r>
      <w:r w:rsidRPr="006C15D5">
        <w:rPr>
          <w:rFonts w:ascii="Arial" w:hAnsi="Arial" w:eastAsia="Calibri" w:cs="Arial"/>
          <w:b/>
          <w:color w:val="000000" w:themeColor="text1"/>
          <w:sz w:val="22"/>
        </w:rPr>
        <w:t>–</w:t>
      </w:r>
      <w:r>
        <w:rPr>
          <w:rFonts w:ascii="Arial" w:hAnsi="Arial" w:eastAsia="Calibri" w:cs="Arial"/>
          <w:b/>
          <w:color w:val="000000" w:themeColor="text1"/>
          <w:sz w:val="22"/>
        </w:rPr>
        <w:t xml:space="preserve"> </w:t>
      </w:r>
      <w:r>
        <w:rPr>
          <w:rFonts w:ascii="Arial" w:hAnsi="Arial" w:eastAsia="Calibri" w:cs="Arial"/>
          <w:b/>
          <w:bCs/>
          <w:sz w:val="22"/>
          <w:lang w:val="es-ES_tradnl"/>
        </w:rPr>
        <w:t xml:space="preserve">Prestación de servicios profesionales </w:t>
      </w:r>
      <w:r w:rsidRPr="006C15D5">
        <w:rPr>
          <w:rFonts w:ascii="Arial" w:hAnsi="Arial" w:eastAsia="Calibri" w:cs="Arial"/>
          <w:b/>
          <w:color w:val="000000" w:themeColor="text1"/>
          <w:sz w:val="22"/>
        </w:rPr>
        <w:t>–</w:t>
      </w:r>
      <w:r>
        <w:rPr>
          <w:rFonts w:ascii="Arial" w:hAnsi="Arial" w:eastAsia="Calibri" w:cs="Arial"/>
          <w:b/>
          <w:color w:val="000000" w:themeColor="text1"/>
          <w:sz w:val="22"/>
        </w:rPr>
        <w:t xml:space="preserve"> Procedencia </w:t>
      </w:r>
      <w:r w:rsidRPr="006C15D5">
        <w:rPr>
          <w:rFonts w:ascii="Arial" w:hAnsi="Arial" w:eastAsia="Calibri" w:cs="Arial"/>
          <w:b/>
          <w:color w:val="000000" w:themeColor="text1"/>
          <w:sz w:val="22"/>
        </w:rPr>
        <w:t>–</w:t>
      </w:r>
      <w:r>
        <w:rPr>
          <w:rFonts w:ascii="Arial" w:hAnsi="Arial" w:eastAsia="Calibri" w:cs="Arial"/>
          <w:b/>
          <w:color w:val="000000" w:themeColor="text1"/>
          <w:sz w:val="22"/>
        </w:rPr>
        <w:t xml:space="preserve"> Discrecionalidad administrativa</w:t>
      </w:r>
    </w:p>
    <w:p w:rsidRPr="00ED5140" w:rsidR="00ED5140" w:rsidP="00ED5140" w:rsidRDefault="00ED5140" w14:paraId="1143D353" w14:textId="77777777">
      <w:pPr>
        <w:jc w:val="both"/>
        <w:rPr>
          <w:rFonts w:ascii="Arial" w:hAnsi="Arial" w:eastAsia="Calibri" w:cs="Arial"/>
          <w:sz w:val="20"/>
          <w:szCs w:val="20"/>
          <w:lang w:val="es-ES_tradnl"/>
        </w:rPr>
      </w:pPr>
    </w:p>
    <w:p w:rsidRPr="00ED5140" w:rsidR="00ED5140" w:rsidP="00ED5140" w:rsidRDefault="00ED5140" w14:paraId="68704294" w14:textId="430565E1">
      <w:pPr>
        <w:jc w:val="both"/>
        <w:rPr>
          <w:rFonts w:ascii="Arial" w:hAnsi="Arial" w:eastAsia="Calibri" w:cs="Arial"/>
          <w:sz w:val="20"/>
          <w:szCs w:val="20"/>
          <w:lang w:val="es-ES_tradnl"/>
        </w:rPr>
      </w:pPr>
      <w:r w:rsidRPr="00ED5140">
        <w:rPr>
          <w:rFonts w:ascii="Arial" w:hAnsi="Arial" w:eastAsia="Calibri" w:cs="Arial"/>
          <w:sz w:val="20"/>
          <w:szCs w:val="20"/>
          <w:lang w:val="es-ES_tradnl"/>
        </w:rPr>
        <w:t>Finalmente, las entidades estatales cuentan con discrecionalidad para establecer en el pliego de condiciones o pactar en los contratos la entrega de anticipo o pago anticipado, según lo que resulte más conveniente al cumplimiento de los fines del Estado, de acuerdo a los estudios previos efectuados en la fase de planeación. Sin perjuicio de lo anterior, deberán tener en cuenta que «En los contratos que celebren las entidades estatales se podrá pactar el pago anticipado y la entrega de anticipos, pero su monto no podrá exceder del cincuenta por ciento (50%) del valor del respectivo contrato», según lo establece el primer inciso del parágrafo del artículo 40 de la Ley 80 de 1993. Obsérvese que la norma no distingue tipologías contractuales y, en tal sentido, también se podría entregar anticipo o pago anticipado en un contrato de prestación de servicios profesionales, respetando el tope anteriormente señalado.</w:t>
      </w:r>
    </w:p>
    <w:p w:rsidR="001B0366" w:rsidP="00DF76A2" w:rsidRDefault="001B0366" w14:paraId="0646A431" w14:textId="5F159DDA">
      <w:pPr>
        <w:spacing w:line="276" w:lineRule="auto"/>
        <w:jc w:val="both"/>
        <w:rPr>
          <w:rFonts w:ascii="Arial" w:hAnsi="Arial" w:eastAsia="Calibri" w:cs="Arial"/>
          <w:color w:val="000000"/>
          <w:sz w:val="20"/>
          <w:szCs w:val="20"/>
          <w:lang w:val="es-ES"/>
        </w:rPr>
      </w:pPr>
    </w:p>
    <w:p w:rsidR="001B0366" w:rsidP="00DF76A2" w:rsidRDefault="001B0366" w14:paraId="5B559AEC" w14:textId="7E252AB2">
      <w:pPr>
        <w:spacing w:line="276" w:lineRule="auto"/>
        <w:jc w:val="both"/>
        <w:rPr>
          <w:rFonts w:ascii="Arial" w:hAnsi="Arial" w:eastAsia="Calibri" w:cs="Arial"/>
          <w:color w:val="000000"/>
          <w:sz w:val="20"/>
          <w:szCs w:val="20"/>
          <w:lang w:val="es-ES"/>
        </w:rPr>
      </w:pPr>
    </w:p>
    <w:p w:rsidR="001B0366" w:rsidP="00DF76A2" w:rsidRDefault="001B0366" w14:paraId="72E3DC22" w14:textId="2A80ECBA">
      <w:pPr>
        <w:spacing w:line="276" w:lineRule="auto"/>
        <w:jc w:val="both"/>
        <w:rPr>
          <w:rFonts w:ascii="Arial" w:hAnsi="Arial" w:eastAsia="Calibri" w:cs="Arial"/>
          <w:color w:val="000000"/>
          <w:sz w:val="20"/>
          <w:szCs w:val="20"/>
          <w:lang w:val="es-ES"/>
        </w:rPr>
      </w:pPr>
    </w:p>
    <w:p w:rsidR="001B0366" w:rsidP="00DF76A2" w:rsidRDefault="001B0366" w14:paraId="2F067676" w14:textId="5AB1A365">
      <w:pPr>
        <w:spacing w:line="276" w:lineRule="auto"/>
        <w:jc w:val="both"/>
        <w:rPr>
          <w:rFonts w:ascii="Arial" w:hAnsi="Arial" w:cs="Arial"/>
          <w:noProof/>
          <w:color w:val="000000" w:themeColor="text1"/>
          <w:sz w:val="22"/>
        </w:rPr>
      </w:pPr>
    </w:p>
    <w:p w:rsidR="00ED5140" w:rsidP="00DF76A2" w:rsidRDefault="00ED5140" w14:paraId="6BD63780" w14:textId="141C133A">
      <w:pPr>
        <w:spacing w:line="276" w:lineRule="auto"/>
        <w:jc w:val="both"/>
        <w:rPr>
          <w:rFonts w:ascii="Arial" w:hAnsi="Arial" w:cs="Arial"/>
          <w:noProof/>
          <w:color w:val="000000" w:themeColor="text1"/>
          <w:sz w:val="22"/>
        </w:rPr>
      </w:pPr>
    </w:p>
    <w:p w:rsidR="00ED5140" w:rsidP="00DF76A2" w:rsidRDefault="00ED5140" w14:paraId="141A56F0" w14:textId="5185F7DF">
      <w:pPr>
        <w:spacing w:line="276" w:lineRule="auto"/>
        <w:jc w:val="both"/>
        <w:rPr>
          <w:rFonts w:ascii="Arial" w:hAnsi="Arial" w:cs="Arial"/>
          <w:noProof/>
          <w:color w:val="000000" w:themeColor="text1"/>
          <w:sz w:val="22"/>
        </w:rPr>
      </w:pPr>
    </w:p>
    <w:p w:rsidR="00ED5140" w:rsidP="00DF76A2" w:rsidRDefault="00ED5140" w14:paraId="1B83192E" w14:textId="0F69B429">
      <w:pPr>
        <w:spacing w:line="276" w:lineRule="auto"/>
        <w:jc w:val="both"/>
        <w:rPr>
          <w:rFonts w:ascii="Arial" w:hAnsi="Arial" w:cs="Arial"/>
          <w:noProof/>
          <w:color w:val="000000" w:themeColor="text1"/>
          <w:sz w:val="22"/>
        </w:rPr>
      </w:pPr>
    </w:p>
    <w:p w:rsidR="00ED5140" w:rsidP="00DF76A2" w:rsidRDefault="00ED5140" w14:paraId="65313015" w14:textId="2B0E6F65">
      <w:pPr>
        <w:spacing w:line="276" w:lineRule="auto"/>
        <w:jc w:val="both"/>
        <w:rPr>
          <w:rFonts w:ascii="Arial" w:hAnsi="Arial" w:cs="Arial"/>
          <w:noProof/>
          <w:color w:val="000000" w:themeColor="text1"/>
          <w:sz w:val="22"/>
        </w:rPr>
      </w:pPr>
    </w:p>
    <w:p w:rsidR="00ED5140" w:rsidP="00DF76A2" w:rsidRDefault="00ED5140" w14:paraId="63D44065" w14:textId="60B74033">
      <w:pPr>
        <w:spacing w:line="276" w:lineRule="auto"/>
        <w:jc w:val="both"/>
        <w:rPr>
          <w:rFonts w:ascii="Arial" w:hAnsi="Arial" w:cs="Arial"/>
          <w:noProof/>
          <w:color w:val="000000" w:themeColor="text1"/>
          <w:sz w:val="22"/>
        </w:rPr>
      </w:pPr>
    </w:p>
    <w:p w:rsidR="00ED5140" w:rsidP="00DF76A2" w:rsidRDefault="00ED5140" w14:paraId="7126D8BD" w14:textId="7A55C04B">
      <w:pPr>
        <w:spacing w:line="276" w:lineRule="auto"/>
        <w:jc w:val="both"/>
        <w:rPr>
          <w:rFonts w:ascii="Arial" w:hAnsi="Arial" w:cs="Arial"/>
          <w:noProof/>
          <w:color w:val="000000" w:themeColor="text1"/>
          <w:sz w:val="22"/>
        </w:rPr>
      </w:pPr>
    </w:p>
    <w:p w:rsidR="00ED5140" w:rsidP="00DF76A2" w:rsidRDefault="00ED5140" w14:paraId="46BF0457" w14:textId="29166AA1">
      <w:pPr>
        <w:spacing w:line="276" w:lineRule="auto"/>
        <w:jc w:val="both"/>
        <w:rPr>
          <w:rFonts w:ascii="Arial" w:hAnsi="Arial" w:cs="Arial"/>
          <w:noProof/>
          <w:color w:val="000000" w:themeColor="text1"/>
          <w:sz w:val="22"/>
        </w:rPr>
      </w:pPr>
    </w:p>
    <w:p w:rsidR="00ED5140" w:rsidP="00DF76A2" w:rsidRDefault="00ED5140" w14:paraId="5C0560FA" w14:textId="55664364">
      <w:pPr>
        <w:spacing w:line="276" w:lineRule="auto"/>
        <w:jc w:val="both"/>
        <w:rPr>
          <w:rFonts w:ascii="Arial" w:hAnsi="Arial" w:cs="Arial"/>
          <w:noProof/>
          <w:color w:val="000000" w:themeColor="text1"/>
          <w:sz w:val="22"/>
        </w:rPr>
      </w:pPr>
    </w:p>
    <w:p w:rsidR="00ED5140" w:rsidP="00DF76A2" w:rsidRDefault="00ED5140" w14:paraId="4F3434BC" w14:textId="20D7EF3C">
      <w:pPr>
        <w:spacing w:line="276" w:lineRule="auto"/>
        <w:jc w:val="both"/>
        <w:rPr>
          <w:rFonts w:ascii="Arial" w:hAnsi="Arial" w:cs="Arial"/>
          <w:noProof/>
          <w:color w:val="000000" w:themeColor="text1"/>
          <w:sz w:val="22"/>
        </w:rPr>
      </w:pPr>
    </w:p>
    <w:p w:rsidR="00ED5140" w:rsidP="00DF76A2" w:rsidRDefault="00ED5140" w14:paraId="17018998" w14:textId="310859EC">
      <w:pPr>
        <w:spacing w:line="276" w:lineRule="auto"/>
        <w:jc w:val="both"/>
        <w:rPr>
          <w:rFonts w:ascii="Arial" w:hAnsi="Arial" w:cs="Arial"/>
          <w:noProof/>
          <w:color w:val="000000" w:themeColor="text1"/>
          <w:sz w:val="22"/>
        </w:rPr>
      </w:pPr>
    </w:p>
    <w:p w:rsidR="00ED5140" w:rsidP="00DF76A2" w:rsidRDefault="00ED5140" w14:paraId="286E7413" w14:textId="3067BF5D">
      <w:pPr>
        <w:spacing w:line="276" w:lineRule="auto"/>
        <w:jc w:val="both"/>
        <w:rPr>
          <w:rFonts w:ascii="Arial" w:hAnsi="Arial" w:cs="Arial"/>
          <w:noProof/>
          <w:color w:val="000000" w:themeColor="text1"/>
          <w:sz w:val="22"/>
        </w:rPr>
      </w:pPr>
    </w:p>
    <w:p w:rsidR="00ED5140" w:rsidP="00DF76A2" w:rsidRDefault="00ED5140" w14:paraId="1725310C" w14:textId="08D7602C">
      <w:pPr>
        <w:spacing w:line="276" w:lineRule="auto"/>
        <w:jc w:val="both"/>
        <w:rPr>
          <w:rFonts w:ascii="Arial" w:hAnsi="Arial" w:cs="Arial"/>
          <w:noProof/>
          <w:color w:val="000000" w:themeColor="text1"/>
          <w:sz w:val="22"/>
        </w:rPr>
      </w:pPr>
    </w:p>
    <w:p w:rsidR="00ED5140" w:rsidP="00DF76A2" w:rsidRDefault="00ED5140" w14:paraId="49911E0C" w14:textId="5F3A96B0">
      <w:pPr>
        <w:spacing w:line="276" w:lineRule="auto"/>
        <w:jc w:val="both"/>
        <w:rPr>
          <w:rFonts w:ascii="Arial" w:hAnsi="Arial" w:cs="Arial"/>
          <w:noProof/>
          <w:color w:val="000000" w:themeColor="text1"/>
          <w:sz w:val="22"/>
        </w:rPr>
      </w:pPr>
    </w:p>
    <w:p w:rsidR="00ED5140" w:rsidP="00DF76A2" w:rsidRDefault="00ED5140" w14:paraId="65B3C017" w14:textId="3BDD309C">
      <w:pPr>
        <w:spacing w:line="276" w:lineRule="auto"/>
        <w:jc w:val="both"/>
        <w:rPr>
          <w:rFonts w:ascii="Arial" w:hAnsi="Arial" w:cs="Arial"/>
          <w:noProof/>
          <w:color w:val="000000" w:themeColor="text1"/>
          <w:sz w:val="22"/>
        </w:rPr>
      </w:pPr>
    </w:p>
    <w:p w:rsidR="00ED5140" w:rsidP="00DF76A2" w:rsidRDefault="00ED5140" w14:paraId="2F9EACFC" w14:textId="755F10FE">
      <w:pPr>
        <w:spacing w:line="276" w:lineRule="auto"/>
        <w:jc w:val="both"/>
        <w:rPr>
          <w:rFonts w:ascii="Arial" w:hAnsi="Arial" w:cs="Arial"/>
          <w:noProof/>
          <w:color w:val="000000" w:themeColor="text1"/>
          <w:sz w:val="22"/>
        </w:rPr>
      </w:pPr>
    </w:p>
    <w:p w:rsidR="00ED5140" w:rsidP="00DF76A2" w:rsidRDefault="00ED5140" w14:paraId="5B1BCB1F" w14:textId="544C3F00">
      <w:pPr>
        <w:spacing w:line="276" w:lineRule="auto"/>
        <w:jc w:val="both"/>
        <w:rPr>
          <w:rFonts w:ascii="Arial" w:hAnsi="Arial" w:cs="Arial"/>
          <w:noProof/>
          <w:color w:val="000000" w:themeColor="text1"/>
          <w:sz w:val="22"/>
        </w:rPr>
      </w:pPr>
    </w:p>
    <w:p w:rsidR="00ED5140" w:rsidP="00DF76A2" w:rsidRDefault="00ED5140" w14:paraId="0C19BB92" w14:textId="523D77FA">
      <w:pPr>
        <w:spacing w:line="276" w:lineRule="auto"/>
        <w:jc w:val="both"/>
        <w:rPr>
          <w:rFonts w:ascii="Arial" w:hAnsi="Arial" w:cs="Arial"/>
          <w:noProof/>
          <w:color w:val="000000" w:themeColor="text1"/>
          <w:sz w:val="22"/>
        </w:rPr>
      </w:pPr>
    </w:p>
    <w:p w:rsidR="00ED5140" w:rsidP="00DF76A2" w:rsidRDefault="00ED5140" w14:paraId="1B30848B" w14:textId="2F59905B">
      <w:pPr>
        <w:spacing w:line="276" w:lineRule="auto"/>
        <w:jc w:val="both"/>
        <w:rPr>
          <w:rFonts w:ascii="Arial" w:hAnsi="Arial" w:cs="Arial"/>
          <w:noProof/>
          <w:color w:val="000000" w:themeColor="text1"/>
          <w:sz w:val="22"/>
        </w:rPr>
      </w:pPr>
    </w:p>
    <w:p w:rsidR="00ED5140" w:rsidP="00DF76A2" w:rsidRDefault="00ED5140" w14:paraId="1A03ADF4" w14:textId="77777777">
      <w:pPr>
        <w:spacing w:line="276" w:lineRule="auto"/>
        <w:jc w:val="both"/>
        <w:rPr>
          <w:rFonts w:ascii="Arial" w:hAnsi="Arial" w:cs="Arial"/>
          <w:noProof/>
          <w:color w:val="000000" w:themeColor="text1"/>
          <w:sz w:val="22"/>
        </w:rPr>
      </w:pPr>
    </w:p>
    <w:p w:rsidRPr="00404C61" w:rsidR="00DD5B04" w:rsidP="571A483F" w:rsidRDefault="00DD5B04" w14:paraId="4E5C1D62" w14:textId="632FF128">
      <w:pPr>
        <w:spacing w:line="276" w:lineRule="auto"/>
        <w:jc w:val="both"/>
        <w:rPr>
          <w:rFonts w:ascii="Arial" w:hAnsi="Arial" w:eastAsia="Calibri" w:cs="Arial"/>
          <w:noProof/>
          <w:color w:val="000000" w:themeColor="text1"/>
          <w:sz w:val="20"/>
          <w:szCs w:val="20"/>
          <w:lang w:val="es-ES"/>
        </w:rPr>
      </w:pPr>
      <w:r w:rsidRPr="571A483F" w:rsidR="00DD5B04">
        <w:rPr>
          <w:rFonts w:ascii="Arial" w:hAnsi="Arial" w:cs="Arial"/>
          <w:noProof/>
          <w:color w:val="000000" w:themeColor="text1" w:themeTint="FF" w:themeShade="FF"/>
          <w:sz w:val="22"/>
          <w:szCs w:val="22"/>
          <w:lang w:val="es-ES"/>
        </w:rPr>
        <w:t xml:space="preserve">Bogotá D.C., </w:t>
      </w:r>
      <w:r w:rsidRPr="571A483F" w:rsidR="00942F14">
        <w:rPr>
          <w:rFonts w:ascii="Arial" w:hAnsi="Arial" w:cs="Arial"/>
          <w:b w:val="1"/>
          <w:bCs w:val="1"/>
          <w:noProof/>
          <w:color w:val="000000" w:themeColor="text1" w:themeTint="FF" w:themeShade="FF"/>
          <w:sz w:val="22"/>
          <w:szCs w:val="22"/>
          <w:lang w:val="es-ES"/>
        </w:rPr>
        <w:t>14</w:t>
      </w:r>
      <w:r w:rsidRPr="571A483F" w:rsidR="791E485F">
        <w:rPr>
          <w:rFonts w:ascii="Arial" w:hAnsi="Arial" w:cs="Arial"/>
          <w:b w:val="1"/>
          <w:bCs w:val="1"/>
          <w:noProof/>
          <w:color w:val="000000" w:themeColor="text1" w:themeTint="FF" w:themeShade="FF"/>
          <w:sz w:val="22"/>
          <w:szCs w:val="22"/>
          <w:lang w:val="es-ES"/>
        </w:rPr>
        <w:t xml:space="preserve">/12/2020 Hora </w:t>
      </w:r>
    </w:p>
    <w:p w:rsidRPr="00404C61" w:rsidR="00DD5B04" w:rsidP="002A1A58" w:rsidRDefault="00DD5B04" w14:paraId="3EE008C6" w14:textId="2F2A4B4A">
      <w:pPr>
        <w:spacing w:line="276" w:lineRule="auto"/>
        <w:jc w:val="right"/>
        <w:rPr>
          <w:rFonts w:ascii="Arial" w:hAnsi="Arial" w:cs="Arial"/>
          <w:b/>
          <w:noProof/>
          <w:color w:val="000000" w:themeColor="text1"/>
          <w:sz w:val="22"/>
          <w:lang w:val="es-ES_tradnl"/>
        </w:rPr>
      </w:pPr>
      <w:r w:rsidRPr="00404C61">
        <w:rPr>
          <w:rFonts w:ascii="Arial" w:hAnsi="Arial" w:cs="Arial"/>
          <w:b/>
          <w:noProof/>
          <w:color w:val="000000" w:themeColor="text1"/>
          <w:sz w:val="22"/>
          <w:lang w:val="es-ES_tradnl"/>
        </w:rPr>
        <w:t>N° Radicado:</w:t>
      </w:r>
      <w:r w:rsidR="0087255C">
        <w:rPr>
          <w:rFonts w:ascii="Arial" w:hAnsi="Arial" w:cs="Arial"/>
          <w:b/>
          <w:noProof/>
          <w:color w:val="000000" w:themeColor="text1"/>
          <w:sz w:val="22"/>
          <w:lang w:val="es-ES_tradnl"/>
        </w:rPr>
        <w:t xml:space="preserve"> </w:t>
      </w:r>
      <w:r w:rsidR="007F74A9">
        <w:rPr>
          <w:rFonts w:ascii="Arial" w:hAnsi="Arial" w:cs="Arial"/>
          <w:b/>
          <w:bCs/>
          <w:noProof/>
          <w:color w:val="000000" w:themeColor="text1"/>
          <w:sz w:val="22"/>
          <w:lang w:val="es-ES_tradnl"/>
        </w:rPr>
        <w:t>2202013000012002</w:t>
      </w:r>
    </w:p>
    <w:p w:rsidRPr="00404C61" w:rsidR="00DD5B04" w:rsidP="00DF76A2" w:rsidRDefault="00DD5B04" w14:paraId="33BD7B68" w14:textId="77777777">
      <w:pPr>
        <w:jc w:val="both"/>
        <w:rPr>
          <w:rFonts w:ascii="Arial" w:hAnsi="Arial" w:cs="Arial"/>
          <w:b/>
          <w:color w:val="000000" w:themeColor="text1"/>
          <w:sz w:val="22"/>
          <w:lang w:val="es-ES_tradnl"/>
        </w:rPr>
      </w:pPr>
    </w:p>
    <w:p w:rsidRPr="00404C61" w:rsidR="00DD5B04" w:rsidP="00DF76A2" w:rsidRDefault="00DD5B04" w14:paraId="74A475A6" w14:textId="7BAC658F">
      <w:pPr>
        <w:jc w:val="both"/>
        <w:rPr>
          <w:rFonts w:ascii="Arial" w:hAnsi="Arial" w:eastAsia="Calibri" w:cs="Arial"/>
          <w:color w:val="000000" w:themeColor="text1"/>
          <w:sz w:val="22"/>
          <w:lang w:val="es-ES_tradnl"/>
        </w:rPr>
      </w:pPr>
      <w:r w:rsidRPr="00404C61">
        <w:rPr>
          <w:rFonts w:ascii="Arial" w:hAnsi="Arial" w:eastAsia="Calibri" w:cs="Arial"/>
          <w:color w:val="000000" w:themeColor="text1"/>
          <w:sz w:val="22"/>
          <w:lang w:val="es-ES_tradnl"/>
        </w:rPr>
        <w:t>Señor</w:t>
      </w:r>
    </w:p>
    <w:p w:rsidRPr="00404C61" w:rsidR="00AE1990" w:rsidP="00DF76A2" w:rsidRDefault="0026231B" w14:paraId="6011130B" w14:textId="550DD7B0">
      <w:pPr>
        <w:jc w:val="both"/>
        <w:rPr>
          <w:rFonts w:ascii="Arial" w:hAnsi="Arial" w:eastAsia="Calibri" w:cs="Arial"/>
          <w:b/>
          <w:color w:val="000000" w:themeColor="text1"/>
          <w:sz w:val="22"/>
          <w:lang w:val="es-ES_tradnl"/>
        </w:rPr>
      </w:pPr>
      <w:r>
        <w:rPr>
          <w:rFonts w:ascii="Arial" w:hAnsi="Arial" w:eastAsia="Calibri" w:cs="Arial"/>
          <w:b/>
          <w:color w:val="000000" w:themeColor="text1"/>
          <w:sz w:val="22"/>
          <w:lang w:val="es-ES_tradnl"/>
        </w:rPr>
        <w:t>Daniel Grisales Morales</w:t>
      </w:r>
    </w:p>
    <w:p w:rsidRPr="00404C61" w:rsidR="00DD5B04" w:rsidP="00DF76A2" w:rsidRDefault="00DD5B04" w14:paraId="5E9E4CD6" w14:textId="4F1126FA">
      <w:pPr>
        <w:jc w:val="both"/>
        <w:rPr>
          <w:rFonts w:ascii="Arial" w:hAnsi="Arial" w:eastAsia="Calibri" w:cs="Arial"/>
          <w:color w:val="000000" w:themeColor="text1"/>
          <w:sz w:val="22"/>
          <w:lang w:val="es-ES_tradnl"/>
        </w:rPr>
      </w:pPr>
      <w:r w:rsidRPr="00404C61">
        <w:rPr>
          <w:rFonts w:ascii="Arial" w:hAnsi="Arial" w:eastAsia="Calibri" w:cs="Arial"/>
          <w:color w:val="000000" w:themeColor="text1"/>
          <w:sz w:val="22"/>
          <w:lang w:val="es-ES_tradnl"/>
        </w:rPr>
        <w:t>Ciudad</w:t>
      </w:r>
    </w:p>
    <w:p w:rsidRPr="00404C61" w:rsidR="00DD5B04" w:rsidP="00DF76A2" w:rsidRDefault="00DD5B04" w14:paraId="79F69118" w14:textId="77777777">
      <w:pPr>
        <w:jc w:val="both"/>
        <w:rPr>
          <w:rFonts w:ascii="Arial" w:hAnsi="Arial" w:eastAsia="Calibri" w:cs="Arial"/>
          <w:color w:val="000000" w:themeColor="text1"/>
          <w:sz w:val="22"/>
          <w:lang w:val="es-ES_tradnl"/>
        </w:rPr>
      </w:pPr>
    </w:p>
    <w:p w:rsidRPr="00404C61" w:rsidR="00DD5B04" w:rsidP="00DF76A2" w:rsidRDefault="00DD5B04" w14:paraId="03294061" w14:textId="77777777">
      <w:pPr>
        <w:jc w:val="both"/>
        <w:rPr>
          <w:rFonts w:ascii="Arial" w:hAnsi="Arial" w:eastAsia="Calibri" w:cs="Arial"/>
          <w:color w:val="000000" w:themeColor="text1"/>
          <w:sz w:val="22"/>
          <w:lang w:val="es-ES_tradnl"/>
        </w:rPr>
      </w:pPr>
    </w:p>
    <w:p w:rsidRPr="00404C61" w:rsidR="00DD5B04" w:rsidP="002A1A58" w:rsidRDefault="00DD5B04" w14:paraId="60978A0D" w14:textId="2A18AEBA">
      <w:pPr>
        <w:jc w:val="center"/>
        <w:rPr>
          <w:rFonts w:ascii="Arial" w:hAnsi="Arial" w:eastAsia="Calibri" w:cs="Arial"/>
          <w:b/>
          <w:bCs/>
          <w:color w:val="000000" w:themeColor="text1"/>
          <w:sz w:val="22"/>
          <w:lang w:val="es-ES_tradnl"/>
        </w:rPr>
      </w:pPr>
      <w:r w:rsidRPr="005E273D">
        <w:rPr>
          <w:rFonts w:ascii="Arial" w:hAnsi="Arial" w:eastAsia="Calibri" w:cs="Arial"/>
          <w:b/>
          <w:bCs/>
          <w:color w:val="000000" w:themeColor="text1"/>
          <w:sz w:val="22"/>
          <w:lang w:val="es-ES_tradnl"/>
        </w:rPr>
        <w:t>Concepto C</w:t>
      </w:r>
      <w:r w:rsidRPr="005E273D" w:rsidR="00FE144E">
        <w:rPr>
          <w:rFonts w:ascii="Arial" w:hAnsi="Arial" w:eastAsia="Calibri" w:cs="Arial"/>
          <w:b/>
          <w:bCs/>
          <w:color w:val="000000" w:themeColor="text1"/>
          <w:sz w:val="22"/>
          <w:lang w:val="es-ES_tradnl"/>
        </w:rPr>
        <w:t xml:space="preserve"> </w:t>
      </w:r>
      <w:r w:rsidRPr="005E273D">
        <w:rPr>
          <w:rFonts w:ascii="Arial" w:hAnsi="Arial" w:eastAsia="Calibri" w:cs="Arial"/>
          <w:b/>
          <w:bCs/>
          <w:color w:val="000000" w:themeColor="text1"/>
          <w:sz w:val="22"/>
          <w:lang w:val="es-ES_tradnl"/>
        </w:rPr>
        <w:t xml:space="preserve">‒ </w:t>
      </w:r>
      <w:r w:rsidR="00C03515">
        <w:rPr>
          <w:rFonts w:ascii="Arial" w:hAnsi="Arial" w:eastAsia="Calibri" w:cs="Arial"/>
          <w:b/>
          <w:bCs/>
          <w:color w:val="000000" w:themeColor="text1"/>
          <w:sz w:val="22"/>
          <w:lang w:val="es-ES_tradnl"/>
        </w:rPr>
        <w:t>731</w:t>
      </w:r>
      <w:r w:rsidRPr="005E273D" w:rsidR="00B52697">
        <w:rPr>
          <w:rFonts w:ascii="Arial" w:hAnsi="Arial" w:eastAsia="Calibri" w:cs="Arial"/>
          <w:b/>
          <w:bCs/>
          <w:color w:val="000000" w:themeColor="text1"/>
          <w:sz w:val="22"/>
          <w:lang w:val="es-ES_tradnl"/>
        </w:rPr>
        <w:t xml:space="preserve"> </w:t>
      </w:r>
      <w:r w:rsidRPr="005E273D">
        <w:rPr>
          <w:rFonts w:ascii="Arial" w:hAnsi="Arial" w:eastAsia="Calibri" w:cs="Arial"/>
          <w:b/>
          <w:bCs/>
          <w:color w:val="000000" w:themeColor="text1"/>
          <w:sz w:val="22"/>
          <w:lang w:val="es-ES_tradnl"/>
        </w:rPr>
        <w:t>de 2020</w:t>
      </w:r>
    </w:p>
    <w:p w:rsidRPr="00404C61" w:rsidR="00DD5B04" w:rsidP="00DF76A2" w:rsidRDefault="00DD5B04" w14:paraId="3097F323" w14:textId="3A1E6C73">
      <w:pPr>
        <w:jc w:val="both"/>
        <w:rPr>
          <w:rFonts w:ascii="Arial" w:hAnsi="Arial" w:eastAsia="Calibri" w:cs="Arial"/>
          <w:color w:val="000000" w:themeColor="text1"/>
          <w:sz w:val="22"/>
          <w:lang w:val="es-ES_tradnl"/>
        </w:rPr>
      </w:pPr>
    </w:p>
    <w:p w:rsidRPr="00404C61" w:rsidR="00F02D25" w:rsidP="00DF76A2" w:rsidRDefault="00F02D25" w14:paraId="3C334747" w14:textId="77777777">
      <w:pPr>
        <w:jc w:val="both"/>
        <w:rPr>
          <w:rFonts w:ascii="Arial" w:hAnsi="Arial" w:eastAsia="Calibri" w:cs="Arial"/>
          <w:color w:val="000000" w:themeColor="text1"/>
          <w:sz w:val="22"/>
          <w:lang w:val="es-ES_tradnl"/>
        </w:rPr>
      </w:pPr>
    </w:p>
    <w:p w:rsidRPr="00404C61" w:rsidR="00DD5B04" w:rsidP="00DF76A2" w:rsidRDefault="00DD5B04" w14:paraId="50574B19" w14:textId="77777777">
      <w:pPr>
        <w:jc w:val="both"/>
        <w:rPr>
          <w:rFonts w:ascii="Arial" w:hAnsi="Arial" w:eastAsia="Calibri" w:cs="Arial"/>
          <w:color w:val="000000" w:themeColor="text1"/>
          <w:sz w:val="22"/>
          <w:lang w:val="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404C61" w:rsidR="00DD5B04" w:rsidTr="00083F1B" w14:paraId="10318206" w14:textId="77777777">
        <w:tc>
          <w:tcPr>
            <w:tcW w:w="2689" w:type="dxa"/>
          </w:tcPr>
          <w:p w:rsidRPr="00404C61" w:rsidR="00DD5B04" w:rsidP="00DF76A2" w:rsidRDefault="00DD5B04" w14:paraId="3FE8DF90" w14:textId="77777777">
            <w:pPr>
              <w:jc w:val="both"/>
              <w:rPr>
                <w:rFonts w:ascii="Arial" w:hAnsi="Arial" w:eastAsia="Calibri" w:cs="Arial"/>
                <w:color w:val="000000" w:themeColor="text1"/>
                <w:sz w:val="22"/>
                <w:lang w:val="es-ES_tradnl"/>
              </w:rPr>
            </w:pPr>
            <w:r w:rsidRPr="00404C61">
              <w:rPr>
                <w:rFonts w:ascii="Arial" w:hAnsi="Arial" w:eastAsia="Calibri" w:cs="Arial"/>
                <w:b/>
                <w:color w:val="000000" w:themeColor="text1"/>
                <w:sz w:val="22"/>
                <w:lang w:val="es-ES_tradnl"/>
              </w:rPr>
              <w:t>Temas:</w:t>
            </w:r>
            <w:r w:rsidRPr="00404C61">
              <w:rPr>
                <w:rFonts w:ascii="Arial" w:hAnsi="Arial" w:eastAsia="Calibri" w:cs="Arial"/>
                <w:color w:val="000000" w:themeColor="text1"/>
                <w:sz w:val="22"/>
                <w:lang w:val="es-ES_tradnl"/>
              </w:rPr>
              <w:t xml:space="preserve">                                      </w:t>
            </w:r>
          </w:p>
        </w:tc>
        <w:tc>
          <w:tcPr>
            <w:tcW w:w="6237" w:type="dxa"/>
          </w:tcPr>
          <w:p w:rsidRPr="00404C61" w:rsidR="00DD5B04" w:rsidP="00DF76A2" w:rsidRDefault="00BE3442" w14:paraId="63D57D37" w14:textId="3013334B">
            <w:pPr>
              <w:jc w:val="both"/>
              <w:rPr>
                <w:rFonts w:ascii="Arial" w:hAnsi="Arial" w:eastAsia="Calibri" w:cs="Arial"/>
                <w:color w:val="000000" w:themeColor="text1"/>
                <w:sz w:val="22"/>
                <w:lang w:val="es-ES_tradnl"/>
              </w:rPr>
            </w:pPr>
            <w:r w:rsidRPr="00EA442D">
              <w:rPr>
                <w:rFonts w:ascii="Arial" w:hAnsi="Arial" w:eastAsia="Calibri" w:cs="Arial"/>
                <w:bCs/>
                <w:sz w:val="22"/>
                <w:lang w:val="es-ES_tradnl"/>
              </w:rPr>
              <w:t xml:space="preserve">PRECIOS UNITARIOS – APU – AIU – Diferencias – Configuración </w:t>
            </w:r>
            <w:r>
              <w:rPr>
                <w:rFonts w:ascii="Arial" w:hAnsi="Arial" w:eastAsia="Calibri" w:cs="Arial"/>
                <w:bCs/>
                <w:sz w:val="22"/>
                <w:lang w:val="es-ES_tradnl"/>
              </w:rPr>
              <w:t xml:space="preserve">/ </w:t>
            </w:r>
            <w:r w:rsidRPr="00EA442D">
              <w:rPr>
                <w:rFonts w:ascii="Arial" w:hAnsi="Arial" w:eastAsia="Calibri" w:cs="Arial"/>
                <w:bCs/>
                <w:sz w:val="22"/>
                <w:lang w:val="es-ES_tradnl"/>
              </w:rPr>
              <w:t>AIU – Costos indirectos – Finalidad – Riesgos inherentes – Ejecución del contrato</w:t>
            </w:r>
            <w:r w:rsidR="008D7338">
              <w:rPr>
                <w:rFonts w:ascii="Arial" w:hAnsi="Arial" w:eastAsia="Calibri" w:cs="Arial"/>
                <w:bCs/>
                <w:sz w:val="22"/>
                <w:lang w:val="es-ES_tradnl"/>
              </w:rPr>
              <w:t xml:space="preserve"> / </w:t>
            </w:r>
            <w:r w:rsidRPr="008D7338" w:rsidR="008D7338">
              <w:rPr>
                <w:rFonts w:ascii="Arial" w:hAnsi="Arial" w:eastAsia="Calibri" w:cs="Arial"/>
                <w:bCs/>
                <w:sz w:val="22"/>
                <w:lang w:val="es-ES_tradnl"/>
              </w:rPr>
              <w:t>SUBASTA INVERSA – Lances – Margen mínimo – Discrecionalidad administrativa</w:t>
            </w:r>
            <w:r w:rsidR="008D7338">
              <w:rPr>
                <w:rFonts w:ascii="Arial" w:hAnsi="Arial" w:eastAsia="Calibri" w:cs="Arial"/>
                <w:bCs/>
                <w:sz w:val="22"/>
                <w:lang w:val="es-ES_tradnl"/>
              </w:rPr>
              <w:t xml:space="preserve"> / </w:t>
            </w:r>
            <w:r w:rsidRPr="008D7338" w:rsidR="008D7338">
              <w:rPr>
                <w:rFonts w:ascii="Arial" w:hAnsi="Arial" w:eastAsia="Calibri" w:cs="Arial"/>
                <w:bCs/>
                <w:sz w:val="22"/>
                <w:lang w:val="es-ES_tradnl"/>
              </w:rPr>
              <w:t>ANTICIPO Y PAGO ANTICIPADO – Prestación de servicios profesionales – Procedencia – Discrecionalidad administrativa</w:t>
            </w:r>
            <w:r w:rsidRPr="00404C61" w:rsidR="00DE7108">
              <w:rPr>
                <w:rFonts w:ascii="Arial" w:hAnsi="Arial" w:eastAsia="Arial" w:cs="Arial"/>
                <w:sz w:val="22"/>
                <w:lang w:val="es-ES_tradnl"/>
              </w:rPr>
              <w:t>.</w:t>
            </w:r>
          </w:p>
        </w:tc>
      </w:tr>
      <w:tr w:rsidRPr="00404C61" w:rsidR="00DD5B04" w:rsidTr="00083F1B" w14:paraId="60E06E0C" w14:textId="77777777">
        <w:tc>
          <w:tcPr>
            <w:tcW w:w="2689" w:type="dxa"/>
          </w:tcPr>
          <w:p w:rsidRPr="00404C61" w:rsidR="00DD5B04" w:rsidP="00DF76A2" w:rsidRDefault="00DD5B04" w14:paraId="5655C7E4" w14:textId="77777777">
            <w:pPr>
              <w:spacing w:before="120"/>
              <w:jc w:val="both"/>
              <w:rPr>
                <w:rFonts w:ascii="Arial" w:hAnsi="Arial" w:eastAsia="Calibri" w:cs="Arial"/>
                <w:b/>
                <w:color w:val="000000" w:themeColor="text1"/>
                <w:sz w:val="22"/>
                <w:lang w:val="es-ES_tradnl"/>
              </w:rPr>
            </w:pPr>
            <w:r w:rsidRPr="00404C61">
              <w:rPr>
                <w:rFonts w:ascii="Arial" w:hAnsi="Arial" w:eastAsia="Calibri" w:cs="Arial"/>
                <w:b/>
                <w:color w:val="000000" w:themeColor="text1"/>
                <w:sz w:val="22"/>
                <w:lang w:val="es-ES_tradnl"/>
              </w:rPr>
              <w:t>Radicación:</w:t>
            </w:r>
            <w:r w:rsidRPr="00404C61">
              <w:rPr>
                <w:rFonts w:ascii="Arial" w:hAnsi="Arial" w:eastAsia="Calibri" w:cs="Arial"/>
                <w:color w:val="000000" w:themeColor="text1"/>
                <w:sz w:val="22"/>
                <w:lang w:val="es-ES_tradnl"/>
              </w:rPr>
              <w:t xml:space="preserve">                              </w:t>
            </w:r>
          </w:p>
        </w:tc>
        <w:tc>
          <w:tcPr>
            <w:tcW w:w="6237" w:type="dxa"/>
          </w:tcPr>
          <w:p w:rsidRPr="00404C61" w:rsidR="00DD5B04" w:rsidP="00DF76A2" w:rsidRDefault="00DD5B04" w14:paraId="33E25A02" w14:textId="7A569706">
            <w:pPr>
              <w:spacing w:before="120"/>
              <w:jc w:val="both"/>
              <w:rPr>
                <w:rFonts w:ascii="Arial" w:hAnsi="Arial" w:eastAsia="Calibri" w:cs="Arial"/>
                <w:color w:val="000000" w:themeColor="text1"/>
                <w:sz w:val="22"/>
                <w:lang w:val="es-ES_tradnl"/>
              </w:rPr>
            </w:pPr>
            <w:r w:rsidRPr="00404C61">
              <w:rPr>
                <w:rFonts w:ascii="Arial" w:hAnsi="Arial" w:eastAsia="Calibri" w:cs="Arial"/>
                <w:color w:val="000000" w:themeColor="text1"/>
                <w:sz w:val="22"/>
                <w:lang w:val="es-ES_tradnl"/>
              </w:rPr>
              <w:t>Respuesta</w:t>
            </w:r>
            <w:r w:rsidRPr="00404C61" w:rsidR="008100F7">
              <w:rPr>
                <w:rFonts w:ascii="Arial" w:hAnsi="Arial" w:eastAsia="Calibri" w:cs="Arial"/>
                <w:color w:val="000000" w:themeColor="text1"/>
                <w:sz w:val="22"/>
                <w:lang w:val="es-ES_tradnl"/>
              </w:rPr>
              <w:t xml:space="preserve"> </w:t>
            </w:r>
            <w:r w:rsidRPr="00404C61" w:rsidR="00CA5812">
              <w:rPr>
                <w:rFonts w:ascii="Arial" w:hAnsi="Arial" w:eastAsia="Calibri" w:cs="Arial"/>
                <w:color w:val="000000" w:themeColor="text1"/>
                <w:sz w:val="22"/>
                <w:lang w:val="es-ES_tradnl"/>
              </w:rPr>
              <w:t xml:space="preserve">a </w:t>
            </w:r>
            <w:r w:rsidRPr="00404C61">
              <w:rPr>
                <w:rFonts w:ascii="Arial" w:hAnsi="Arial" w:eastAsia="Calibri" w:cs="Arial"/>
                <w:color w:val="000000" w:themeColor="text1"/>
                <w:sz w:val="22"/>
                <w:lang w:val="es-ES_tradnl"/>
              </w:rPr>
              <w:t>consulta</w:t>
            </w:r>
            <w:r w:rsidRPr="00404C61" w:rsidR="008022C9">
              <w:rPr>
                <w:rFonts w:ascii="Arial" w:hAnsi="Arial" w:eastAsia="Calibri" w:cs="Arial"/>
                <w:color w:val="000000" w:themeColor="text1"/>
                <w:sz w:val="22"/>
                <w:lang w:val="es-ES_tradnl"/>
              </w:rPr>
              <w:t xml:space="preserve"> </w:t>
            </w:r>
            <w:r w:rsidRPr="00404C61">
              <w:rPr>
                <w:rFonts w:ascii="Arial" w:hAnsi="Arial" w:eastAsia="Calibri" w:cs="Arial"/>
                <w:color w:val="000000" w:themeColor="text1"/>
                <w:sz w:val="22"/>
                <w:lang w:val="es-ES_tradnl"/>
              </w:rPr>
              <w:t xml:space="preserve"># </w:t>
            </w:r>
            <w:r w:rsidRPr="00807F69" w:rsidR="00807F69">
              <w:rPr>
                <w:rFonts w:ascii="Arial" w:hAnsi="Arial" w:eastAsia="Calibri" w:cs="Arial"/>
                <w:color w:val="000000" w:themeColor="text1"/>
                <w:sz w:val="22"/>
                <w:lang w:val="es-ES_tradnl"/>
              </w:rPr>
              <w:t>4202013000009901</w:t>
            </w:r>
          </w:p>
          <w:p w:rsidRPr="00404C61" w:rsidR="00DD5B04" w:rsidP="00DF76A2" w:rsidRDefault="00DD5B04" w14:paraId="0DA3D2F3" w14:textId="77777777">
            <w:pPr>
              <w:spacing w:before="120"/>
              <w:jc w:val="both"/>
              <w:rPr>
                <w:rFonts w:ascii="Arial" w:hAnsi="Arial" w:eastAsia="Calibri" w:cs="Arial"/>
                <w:color w:val="000000" w:themeColor="text1"/>
                <w:sz w:val="22"/>
                <w:lang w:val="es-ES_tradnl"/>
              </w:rPr>
            </w:pPr>
            <w:r w:rsidRPr="00404C61">
              <w:rPr>
                <w:rFonts w:ascii="Arial" w:hAnsi="Arial" w:eastAsia="Calibri" w:cs="Arial"/>
                <w:color w:val="000000" w:themeColor="text1"/>
                <w:sz w:val="22"/>
                <w:lang w:val="es-ES_tradnl"/>
              </w:rPr>
              <w:t xml:space="preserve"> </w:t>
            </w:r>
          </w:p>
        </w:tc>
      </w:tr>
    </w:tbl>
    <w:p w:rsidRPr="00404C61" w:rsidR="005305E5" w:rsidP="00DF76A2" w:rsidRDefault="005305E5" w14:paraId="3D1F1089" w14:textId="77777777">
      <w:pPr>
        <w:jc w:val="both"/>
        <w:rPr>
          <w:rFonts w:ascii="Arial" w:hAnsi="Arial" w:eastAsia="Calibri" w:cs="Arial"/>
          <w:color w:val="000000" w:themeColor="text1"/>
          <w:sz w:val="22"/>
          <w:lang w:val="es-ES_tradnl"/>
        </w:rPr>
      </w:pPr>
    </w:p>
    <w:p w:rsidRPr="00404C61" w:rsidR="00DD5B04" w:rsidP="00DF76A2" w:rsidRDefault="00DD5B04" w14:paraId="30BB5B67" w14:textId="64A34F6B">
      <w:pPr>
        <w:jc w:val="both"/>
        <w:rPr>
          <w:rFonts w:ascii="Arial" w:hAnsi="Arial" w:eastAsia="Calibri" w:cs="Arial"/>
          <w:color w:val="000000" w:themeColor="text1"/>
          <w:sz w:val="22"/>
          <w:lang w:val="es-ES_tradnl"/>
        </w:rPr>
      </w:pPr>
      <w:r w:rsidRPr="00404C61">
        <w:rPr>
          <w:rFonts w:ascii="Arial" w:hAnsi="Arial" w:eastAsia="Calibri" w:cs="Arial"/>
          <w:color w:val="000000" w:themeColor="text1"/>
          <w:sz w:val="22"/>
          <w:lang w:val="es-ES_tradnl"/>
        </w:rPr>
        <w:t>Estimad</w:t>
      </w:r>
      <w:r w:rsidR="0026231B">
        <w:rPr>
          <w:rFonts w:ascii="Arial" w:hAnsi="Arial" w:eastAsia="Calibri" w:cs="Arial"/>
          <w:color w:val="000000" w:themeColor="text1"/>
          <w:sz w:val="22"/>
          <w:lang w:val="es-ES_tradnl"/>
        </w:rPr>
        <w:t>o</w:t>
      </w:r>
      <w:r w:rsidRPr="00404C61">
        <w:rPr>
          <w:rFonts w:ascii="Arial" w:hAnsi="Arial" w:eastAsia="Calibri" w:cs="Arial"/>
          <w:color w:val="000000" w:themeColor="text1"/>
          <w:sz w:val="22"/>
          <w:lang w:val="es-ES_tradnl"/>
        </w:rPr>
        <w:t xml:space="preserve"> señor </w:t>
      </w:r>
      <w:r w:rsidR="0026231B">
        <w:rPr>
          <w:rFonts w:ascii="Arial" w:hAnsi="Arial" w:eastAsia="Calibri" w:cs="Arial"/>
          <w:color w:val="000000" w:themeColor="text1"/>
          <w:sz w:val="22"/>
          <w:lang w:val="es-ES_tradnl"/>
        </w:rPr>
        <w:t>Grisales</w:t>
      </w:r>
      <w:r w:rsidRPr="00404C61">
        <w:rPr>
          <w:rFonts w:ascii="Arial" w:hAnsi="Arial" w:eastAsia="Calibri" w:cs="Arial"/>
          <w:color w:val="000000" w:themeColor="text1"/>
          <w:sz w:val="22"/>
          <w:lang w:val="es-ES_tradnl"/>
        </w:rPr>
        <w:t>:</w:t>
      </w:r>
    </w:p>
    <w:p w:rsidRPr="00404C61" w:rsidR="00DD5B04" w:rsidP="00DF76A2" w:rsidRDefault="00DD5B04" w14:paraId="1EAE5543" w14:textId="77777777">
      <w:pPr>
        <w:jc w:val="both"/>
        <w:rPr>
          <w:rFonts w:ascii="Arial" w:hAnsi="Arial" w:eastAsia="Calibri" w:cs="Arial"/>
          <w:color w:val="000000" w:themeColor="text1"/>
          <w:sz w:val="22"/>
          <w:lang w:val="es-ES_tradnl"/>
        </w:rPr>
      </w:pPr>
    </w:p>
    <w:p w:rsidRPr="00404C61" w:rsidR="00DD5B04" w:rsidP="00DF76A2" w:rsidRDefault="00DD5B04" w14:paraId="2109B2D3" w14:textId="72E216C4">
      <w:pPr>
        <w:spacing w:line="276" w:lineRule="auto"/>
        <w:jc w:val="both"/>
        <w:rPr>
          <w:rFonts w:ascii="Arial" w:hAnsi="Arial" w:eastAsia="Calibri" w:cs="Arial"/>
          <w:color w:val="000000" w:themeColor="text1"/>
          <w:sz w:val="22"/>
          <w:lang w:val="es-ES_tradnl"/>
        </w:rPr>
      </w:pPr>
      <w:r w:rsidRPr="00404C61">
        <w:rPr>
          <w:rFonts w:ascii="Arial" w:hAnsi="Arial" w:eastAsia="Calibri"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D8711B">
        <w:rPr>
          <w:rFonts w:ascii="Arial" w:hAnsi="Arial" w:eastAsia="Calibri" w:cs="Arial"/>
          <w:color w:val="000000" w:themeColor="text1"/>
          <w:sz w:val="22"/>
          <w:lang w:val="es-ES_tradnl"/>
        </w:rPr>
        <w:t>2</w:t>
      </w:r>
      <w:r w:rsidR="00223102">
        <w:rPr>
          <w:rFonts w:ascii="Arial" w:hAnsi="Arial" w:eastAsia="Calibri" w:cs="Arial"/>
          <w:color w:val="000000" w:themeColor="text1"/>
          <w:sz w:val="22"/>
          <w:lang w:val="es-ES_tradnl"/>
        </w:rPr>
        <w:t>6</w:t>
      </w:r>
      <w:r w:rsidRPr="00404C61" w:rsidR="00FD4AF3">
        <w:rPr>
          <w:rFonts w:ascii="Arial" w:hAnsi="Arial" w:eastAsia="Calibri" w:cs="Arial"/>
          <w:color w:val="000000" w:themeColor="text1"/>
          <w:sz w:val="22"/>
          <w:lang w:val="es-ES_tradnl"/>
        </w:rPr>
        <w:t xml:space="preserve"> de </w:t>
      </w:r>
      <w:r w:rsidRPr="00404C61" w:rsidR="007A0EAB">
        <w:rPr>
          <w:rFonts w:ascii="Arial" w:hAnsi="Arial" w:eastAsia="Calibri" w:cs="Arial"/>
          <w:color w:val="000000" w:themeColor="text1"/>
          <w:sz w:val="22"/>
          <w:lang w:val="es-ES_tradnl"/>
        </w:rPr>
        <w:t>octubre</w:t>
      </w:r>
      <w:r w:rsidRPr="00404C61">
        <w:rPr>
          <w:rFonts w:ascii="Arial" w:hAnsi="Arial" w:eastAsia="Calibri" w:cs="Arial"/>
          <w:color w:val="000000" w:themeColor="text1"/>
          <w:sz w:val="22"/>
          <w:lang w:val="es-ES_tradnl"/>
        </w:rPr>
        <w:t xml:space="preserve"> del</w:t>
      </w:r>
      <w:r w:rsidRPr="00404C61" w:rsidR="007E74BF">
        <w:rPr>
          <w:rFonts w:ascii="Arial" w:hAnsi="Arial" w:eastAsia="Calibri" w:cs="Arial"/>
          <w:color w:val="000000" w:themeColor="text1"/>
          <w:sz w:val="22"/>
          <w:lang w:val="es-ES_tradnl"/>
        </w:rPr>
        <w:t xml:space="preserve"> </w:t>
      </w:r>
      <w:r w:rsidRPr="00404C61">
        <w:rPr>
          <w:rFonts w:ascii="Arial" w:hAnsi="Arial" w:eastAsia="Calibri" w:cs="Arial"/>
          <w:color w:val="000000" w:themeColor="text1"/>
          <w:sz w:val="22"/>
          <w:lang w:val="es-ES_tradnl"/>
        </w:rPr>
        <w:t>2020</w:t>
      </w:r>
      <w:r w:rsidRPr="00404C61" w:rsidR="00FD4AF3">
        <w:rPr>
          <w:rFonts w:ascii="Arial" w:hAnsi="Arial" w:eastAsia="Calibri" w:cs="Arial"/>
          <w:color w:val="000000" w:themeColor="text1"/>
          <w:sz w:val="22"/>
          <w:lang w:val="es-ES_tradnl"/>
        </w:rPr>
        <w:t>.</w:t>
      </w:r>
    </w:p>
    <w:p w:rsidRPr="00404C61" w:rsidR="00DD5B04" w:rsidP="00DF76A2" w:rsidRDefault="00DD5B04" w14:paraId="0C1E0712" w14:textId="77777777">
      <w:pPr>
        <w:spacing w:line="276" w:lineRule="auto"/>
        <w:jc w:val="both"/>
        <w:rPr>
          <w:rFonts w:ascii="Arial" w:hAnsi="Arial" w:eastAsia="Calibri" w:cs="Arial"/>
          <w:b/>
          <w:color w:val="000000" w:themeColor="text1"/>
          <w:sz w:val="22"/>
          <w:lang w:val="es-ES_tradnl"/>
        </w:rPr>
      </w:pPr>
    </w:p>
    <w:p w:rsidRPr="00404C61" w:rsidR="00DD5B04" w:rsidP="00DF76A2" w:rsidRDefault="00DD5B04" w14:paraId="7701FCC7" w14:textId="77777777">
      <w:pPr>
        <w:pStyle w:val="Prrafodelista"/>
        <w:numPr>
          <w:ilvl w:val="0"/>
          <w:numId w:val="8"/>
        </w:numPr>
        <w:tabs>
          <w:tab w:val="left" w:pos="0"/>
          <w:tab w:val="left" w:pos="142"/>
          <w:tab w:val="left" w:pos="284"/>
        </w:tabs>
        <w:spacing w:line="276" w:lineRule="auto"/>
        <w:ind w:left="0" w:firstLine="0"/>
        <w:jc w:val="both"/>
        <w:rPr>
          <w:rFonts w:ascii="Arial" w:hAnsi="Arial" w:eastAsia="Calibri" w:cs="Arial"/>
          <w:b/>
          <w:color w:val="000000" w:themeColor="text1"/>
          <w:sz w:val="22"/>
          <w:lang w:val="es-ES_tradnl"/>
        </w:rPr>
      </w:pPr>
      <w:r w:rsidRPr="00404C61">
        <w:rPr>
          <w:rFonts w:ascii="Arial" w:hAnsi="Arial" w:eastAsia="Calibri" w:cs="Arial"/>
          <w:b/>
          <w:color w:val="000000" w:themeColor="text1"/>
          <w:sz w:val="22"/>
          <w:lang w:val="es-ES_tradnl"/>
        </w:rPr>
        <w:t xml:space="preserve">Problema planteado </w:t>
      </w:r>
    </w:p>
    <w:p w:rsidRPr="00404C61" w:rsidR="00DD5B04" w:rsidP="00DF76A2" w:rsidRDefault="00DD5B04" w14:paraId="224B43D3" w14:textId="77777777">
      <w:pPr>
        <w:tabs>
          <w:tab w:val="left" w:pos="426"/>
        </w:tabs>
        <w:spacing w:line="276" w:lineRule="auto"/>
        <w:jc w:val="both"/>
        <w:rPr>
          <w:rFonts w:ascii="Arial" w:hAnsi="Arial" w:eastAsia="Calibri" w:cs="Arial"/>
          <w:b/>
          <w:color w:val="000000" w:themeColor="text1"/>
          <w:sz w:val="22"/>
          <w:lang w:val="es-ES_tradnl"/>
        </w:rPr>
      </w:pPr>
    </w:p>
    <w:p w:rsidRPr="00404C61" w:rsidR="00443B55" w:rsidP="0099583D" w:rsidRDefault="00DD5B04" w14:paraId="3C575DE9" w14:textId="48F61693">
      <w:pPr>
        <w:spacing w:line="276" w:lineRule="auto"/>
        <w:jc w:val="both"/>
        <w:rPr>
          <w:rFonts w:ascii="Arial" w:hAnsi="Arial" w:cs="Arial"/>
          <w:color w:val="000000" w:themeColor="text1"/>
          <w:sz w:val="22"/>
          <w:lang w:val="es-ES_tradnl"/>
        </w:rPr>
      </w:pPr>
      <w:r w:rsidRPr="00404C61">
        <w:rPr>
          <w:rFonts w:ascii="Arial" w:hAnsi="Arial" w:cs="Arial"/>
          <w:color w:val="000000" w:themeColor="text1"/>
          <w:sz w:val="22"/>
          <w:lang w:val="es-ES_tradnl"/>
        </w:rPr>
        <w:t xml:space="preserve">Usted </w:t>
      </w:r>
      <w:r w:rsidRPr="00404C61" w:rsidR="00B422C0">
        <w:rPr>
          <w:rFonts w:ascii="Arial" w:hAnsi="Arial" w:cs="Arial"/>
          <w:color w:val="000000" w:themeColor="text1"/>
          <w:sz w:val="22"/>
          <w:lang w:val="es-ES_tradnl"/>
        </w:rPr>
        <w:t>formula</w:t>
      </w:r>
      <w:r w:rsidRPr="00404C61" w:rsidR="006D46A3">
        <w:rPr>
          <w:rFonts w:ascii="Arial" w:hAnsi="Arial" w:cs="Arial"/>
          <w:color w:val="000000" w:themeColor="text1"/>
          <w:sz w:val="22"/>
          <w:lang w:val="es-ES_tradnl"/>
        </w:rPr>
        <w:t xml:space="preserve"> la</w:t>
      </w:r>
      <w:r w:rsidRPr="00404C61" w:rsidR="00443B55">
        <w:rPr>
          <w:rFonts w:ascii="Arial" w:hAnsi="Arial" w:cs="Arial"/>
          <w:color w:val="000000" w:themeColor="text1"/>
          <w:sz w:val="22"/>
          <w:lang w:val="es-ES_tradnl"/>
        </w:rPr>
        <w:t>s</w:t>
      </w:r>
      <w:r w:rsidRPr="00404C61" w:rsidR="006D46A3">
        <w:rPr>
          <w:rFonts w:ascii="Arial" w:hAnsi="Arial" w:cs="Arial"/>
          <w:color w:val="000000" w:themeColor="text1"/>
          <w:sz w:val="22"/>
          <w:lang w:val="es-ES_tradnl"/>
        </w:rPr>
        <w:t xml:space="preserve"> siguiente</w:t>
      </w:r>
      <w:r w:rsidRPr="00404C61" w:rsidR="00443B55">
        <w:rPr>
          <w:rFonts w:ascii="Arial" w:hAnsi="Arial" w:cs="Arial"/>
          <w:color w:val="000000" w:themeColor="text1"/>
          <w:sz w:val="22"/>
          <w:lang w:val="es-ES_tradnl"/>
        </w:rPr>
        <w:t>s</w:t>
      </w:r>
      <w:r w:rsidRPr="00404C61" w:rsidR="006D46A3">
        <w:rPr>
          <w:rFonts w:ascii="Arial" w:hAnsi="Arial" w:cs="Arial"/>
          <w:color w:val="000000" w:themeColor="text1"/>
          <w:sz w:val="22"/>
          <w:lang w:val="es-ES_tradnl"/>
        </w:rPr>
        <w:t xml:space="preserve"> pregunta</w:t>
      </w:r>
      <w:r w:rsidRPr="00404C61" w:rsidR="00443B55">
        <w:rPr>
          <w:rFonts w:ascii="Arial" w:hAnsi="Arial" w:cs="Arial"/>
          <w:color w:val="000000" w:themeColor="text1"/>
          <w:sz w:val="22"/>
          <w:lang w:val="es-ES_tradnl"/>
        </w:rPr>
        <w:t>s</w:t>
      </w:r>
      <w:r w:rsidRPr="00404C61" w:rsidR="00B422C0">
        <w:rPr>
          <w:rFonts w:ascii="Arial" w:hAnsi="Arial" w:cs="Arial"/>
          <w:color w:val="000000" w:themeColor="text1"/>
          <w:sz w:val="22"/>
          <w:lang w:val="es-ES_tradnl"/>
        </w:rPr>
        <w:t>:</w:t>
      </w:r>
      <w:r w:rsidRPr="00404C61" w:rsidR="007E18DF">
        <w:rPr>
          <w:rFonts w:ascii="Arial" w:hAnsi="Arial" w:cs="Arial"/>
          <w:color w:val="000000" w:themeColor="text1"/>
          <w:sz w:val="22"/>
          <w:lang w:val="es-ES_tradnl"/>
        </w:rPr>
        <w:t xml:space="preserve"> </w:t>
      </w:r>
    </w:p>
    <w:p w:rsidRPr="00404C61" w:rsidR="00443B55" w:rsidP="0099583D" w:rsidRDefault="00443B55" w14:paraId="559EE20C" w14:textId="77777777">
      <w:pPr>
        <w:spacing w:line="276" w:lineRule="auto"/>
        <w:jc w:val="both"/>
        <w:rPr>
          <w:rFonts w:ascii="Arial" w:hAnsi="Arial" w:cs="Arial"/>
          <w:color w:val="000000" w:themeColor="text1"/>
          <w:sz w:val="22"/>
          <w:lang w:val="es-ES_tradnl"/>
        </w:rPr>
      </w:pPr>
    </w:p>
    <w:p w:rsidRPr="00A500B1" w:rsidR="000D1CEB" w:rsidP="00A500B1" w:rsidRDefault="00443B55" w14:paraId="1CA0DA4F" w14:textId="552BE843">
      <w:pPr>
        <w:ind w:left="709" w:right="709"/>
        <w:jc w:val="both"/>
        <w:rPr>
          <w:rFonts w:ascii="Arial" w:hAnsi="Arial" w:cs="Arial"/>
          <w:color w:val="000000" w:themeColor="text1"/>
          <w:sz w:val="21"/>
          <w:szCs w:val="21"/>
          <w:lang w:val="es-ES_tradnl"/>
        </w:rPr>
      </w:pPr>
      <w:r w:rsidRPr="00A500B1">
        <w:rPr>
          <w:rFonts w:ascii="Arial" w:hAnsi="Arial" w:cs="Arial"/>
          <w:color w:val="000000" w:themeColor="text1"/>
          <w:sz w:val="21"/>
          <w:szCs w:val="21"/>
          <w:lang w:val="es-ES_tradnl"/>
        </w:rPr>
        <w:t>«</w:t>
      </w:r>
      <w:r w:rsidRPr="00A500B1" w:rsidR="000D1CEB">
        <w:rPr>
          <w:rFonts w:ascii="Arial" w:hAnsi="Arial" w:cs="Arial"/>
          <w:sz w:val="21"/>
          <w:szCs w:val="21"/>
        </w:rPr>
        <w:t>[…]</w:t>
      </w:r>
      <w:r w:rsidRPr="00A500B1" w:rsidR="000D1CEB">
        <w:rPr>
          <w:rFonts w:ascii="Arial" w:hAnsi="Arial" w:cs="Arial"/>
          <w:color w:val="000000" w:themeColor="text1"/>
          <w:sz w:val="21"/>
          <w:szCs w:val="21"/>
          <w:lang w:val="es-ES_tradnl"/>
        </w:rPr>
        <w:t xml:space="preserve"> ¿En cuál o cuáles tipologías contractuales aplica el AIU?</w:t>
      </w:r>
    </w:p>
    <w:p w:rsidRPr="00A500B1" w:rsidR="000D1CEB" w:rsidP="00A500B1" w:rsidRDefault="000D1CEB" w14:paraId="61E3D473" w14:textId="77777777">
      <w:pPr>
        <w:ind w:left="709" w:right="709"/>
        <w:jc w:val="both"/>
        <w:rPr>
          <w:rFonts w:ascii="Arial" w:hAnsi="Arial" w:cs="Arial"/>
          <w:color w:val="000000" w:themeColor="text1"/>
          <w:sz w:val="21"/>
          <w:szCs w:val="21"/>
          <w:lang w:val="es-ES_tradnl"/>
        </w:rPr>
      </w:pPr>
    </w:p>
    <w:p w:rsidRPr="00A500B1" w:rsidR="000D1CEB" w:rsidP="00A500B1" w:rsidRDefault="00A500B1" w14:paraId="7C5A321D" w14:textId="66D5A3FF">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A500B1" w:rsidR="000D1CEB">
        <w:rPr>
          <w:rFonts w:ascii="Arial" w:hAnsi="Arial" w:cs="Arial"/>
          <w:color w:val="000000" w:themeColor="text1"/>
          <w:sz w:val="21"/>
          <w:szCs w:val="21"/>
          <w:lang w:val="es-ES_tradnl"/>
        </w:rPr>
        <w:t>[…] ¿En que modalidad o modalidades de selección aplica el AIU</w:t>
      </w:r>
    </w:p>
    <w:p w:rsidRPr="00A500B1" w:rsidR="000D1CEB" w:rsidP="00A500B1" w:rsidRDefault="000D1CEB" w14:paraId="2B4189C8" w14:textId="77777777">
      <w:pPr>
        <w:ind w:left="709" w:right="709"/>
        <w:jc w:val="both"/>
        <w:rPr>
          <w:rFonts w:ascii="Arial" w:hAnsi="Arial" w:cs="Arial"/>
          <w:color w:val="000000" w:themeColor="text1"/>
          <w:sz w:val="21"/>
          <w:szCs w:val="21"/>
          <w:lang w:val="es-ES_tradnl"/>
        </w:rPr>
      </w:pPr>
    </w:p>
    <w:p w:rsidRPr="00A500B1" w:rsidR="000D1CEB" w:rsidP="00A500B1" w:rsidRDefault="00A500B1" w14:paraId="0C4F9241" w14:textId="2D016168">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A500B1" w:rsidR="000D1CEB">
        <w:rPr>
          <w:rFonts w:ascii="Arial" w:hAnsi="Arial" w:cs="Arial"/>
          <w:color w:val="000000" w:themeColor="text1"/>
          <w:sz w:val="21"/>
          <w:szCs w:val="21"/>
          <w:lang w:val="es-ES_tradnl"/>
        </w:rPr>
        <w:t>[…] ¿En la subasta inversa el certamen debe realizarse incluyendo el IVA o los lances deben realizarse antes de IVA?</w:t>
      </w:r>
    </w:p>
    <w:p w:rsidRPr="00A500B1" w:rsidR="000D1CEB" w:rsidP="00A500B1" w:rsidRDefault="000D1CEB" w14:paraId="63AA7DDC" w14:textId="77777777">
      <w:pPr>
        <w:ind w:left="709" w:right="709"/>
        <w:jc w:val="both"/>
        <w:rPr>
          <w:rFonts w:ascii="Arial" w:hAnsi="Arial" w:cs="Arial"/>
          <w:color w:val="000000" w:themeColor="text1"/>
          <w:sz w:val="21"/>
          <w:szCs w:val="21"/>
          <w:lang w:val="es-ES_tradnl"/>
        </w:rPr>
      </w:pPr>
    </w:p>
    <w:p w:rsidRPr="00A500B1" w:rsidR="008D1A2A" w:rsidP="00A500B1" w:rsidRDefault="00A500B1" w14:paraId="7E8B8948" w14:textId="29028F40">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A500B1" w:rsidR="000D1CEB">
        <w:rPr>
          <w:rFonts w:ascii="Arial" w:hAnsi="Arial" w:cs="Arial"/>
          <w:color w:val="000000" w:themeColor="text1"/>
          <w:sz w:val="21"/>
          <w:szCs w:val="21"/>
          <w:lang w:val="es-ES_tradnl"/>
        </w:rPr>
        <w:t>[…] ¿En un contrato de prestación de servicios profesionales se podrá pactar un anticipo o pago anticipado por parte de la administración?</w:t>
      </w:r>
      <w:r w:rsidRPr="00A500B1" w:rsidR="00F23759">
        <w:rPr>
          <w:rFonts w:ascii="Arial" w:hAnsi="Arial" w:cs="Arial"/>
          <w:color w:val="000000" w:themeColor="text1"/>
          <w:sz w:val="21"/>
          <w:szCs w:val="21"/>
          <w:lang w:val="es-ES_tradnl"/>
        </w:rPr>
        <w:t>»</w:t>
      </w:r>
      <w:r w:rsidRPr="00A500B1" w:rsidR="00D32A27">
        <w:rPr>
          <w:rFonts w:ascii="Arial" w:hAnsi="Arial" w:cs="Arial"/>
          <w:color w:val="000000" w:themeColor="text1"/>
          <w:sz w:val="21"/>
          <w:szCs w:val="21"/>
          <w:lang w:val="es-ES_tradnl"/>
        </w:rPr>
        <w:t>.</w:t>
      </w:r>
    </w:p>
    <w:p w:rsidR="00CF24FE" w:rsidP="006A457D" w:rsidRDefault="00CF24FE" w14:paraId="5354A87B" w14:textId="30FC0871">
      <w:pPr>
        <w:spacing w:line="276" w:lineRule="auto"/>
        <w:jc w:val="both"/>
        <w:rPr>
          <w:rFonts w:ascii="Arial" w:hAnsi="Arial" w:cs="Arial"/>
          <w:color w:val="000000" w:themeColor="text1"/>
          <w:sz w:val="22"/>
          <w:lang w:val="es-ES_tradnl"/>
        </w:rPr>
      </w:pPr>
    </w:p>
    <w:p w:rsidR="00BE1372" w:rsidP="006A457D" w:rsidRDefault="00BE1372" w14:paraId="4FDCA0EE" w14:textId="5E16A80B">
      <w:pPr>
        <w:spacing w:line="276" w:lineRule="auto"/>
        <w:jc w:val="both"/>
        <w:rPr>
          <w:rFonts w:ascii="Arial" w:hAnsi="Arial" w:cs="Arial"/>
          <w:color w:val="000000" w:themeColor="text1"/>
          <w:sz w:val="22"/>
          <w:lang w:val="es-ES_tradnl"/>
        </w:rPr>
      </w:pPr>
    </w:p>
    <w:p w:rsidR="00BE1372" w:rsidP="006A457D" w:rsidRDefault="00BE1372" w14:paraId="2639A92E" w14:textId="0D1C14DE">
      <w:pPr>
        <w:spacing w:line="276" w:lineRule="auto"/>
        <w:jc w:val="both"/>
        <w:rPr>
          <w:rFonts w:ascii="Arial" w:hAnsi="Arial" w:cs="Arial"/>
          <w:color w:val="000000" w:themeColor="text1"/>
          <w:sz w:val="22"/>
          <w:lang w:val="es-ES_tradnl"/>
        </w:rPr>
      </w:pPr>
    </w:p>
    <w:p w:rsidRPr="00404C61" w:rsidR="00BE1372" w:rsidP="006A457D" w:rsidRDefault="00BE1372" w14:paraId="0959433F" w14:textId="77777777">
      <w:pPr>
        <w:spacing w:line="276" w:lineRule="auto"/>
        <w:jc w:val="both"/>
        <w:rPr>
          <w:rFonts w:ascii="Arial" w:hAnsi="Arial" w:cs="Arial"/>
          <w:color w:val="000000" w:themeColor="text1"/>
          <w:sz w:val="22"/>
          <w:lang w:val="es-ES_tradnl"/>
        </w:rPr>
      </w:pPr>
    </w:p>
    <w:p w:rsidRPr="00404C61" w:rsidR="00DD5B04" w:rsidP="00DF76A2" w:rsidRDefault="00DD5B04" w14:paraId="124D2DCA" w14:textId="77777777">
      <w:pPr>
        <w:pStyle w:val="Prrafodelista"/>
        <w:numPr>
          <w:ilvl w:val="0"/>
          <w:numId w:val="8"/>
        </w:numPr>
        <w:tabs>
          <w:tab w:val="left" w:pos="0"/>
          <w:tab w:val="left" w:pos="284"/>
        </w:tabs>
        <w:ind w:left="0" w:firstLine="0"/>
        <w:jc w:val="both"/>
        <w:rPr>
          <w:rFonts w:ascii="Arial" w:hAnsi="Arial" w:eastAsia="Calibri" w:cs="Arial"/>
          <w:b/>
          <w:color w:val="000000" w:themeColor="text1"/>
          <w:sz w:val="22"/>
          <w:lang w:val="es-ES_tradnl"/>
        </w:rPr>
      </w:pPr>
      <w:r w:rsidRPr="00404C61">
        <w:rPr>
          <w:rFonts w:ascii="Arial" w:hAnsi="Arial" w:eastAsia="Calibri" w:cs="Arial"/>
          <w:b/>
          <w:color w:val="000000" w:themeColor="text1"/>
          <w:sz w:val="22"/>
          <w:lang w:val="es-ES_tradnl"/>
        </w:rPr>
        <w:lastRenderedPageBreak/>
        <w:t>Consideraciones</w:t>
      </w:r>
    </w:p>
    <w:p w:rsidRPr="00404C61" w:rsidR="00DD5B04" w:rsidP="00DF76A2" w:rsidRDefault="00DD5B04" w14:paraId="35E25E39" w14:textId="28CA4E22">
      <w:pPr>
        <w:spacing w:line="276" w:lineRule="auto"/>
        <w:jc w:val="both"/>
        <w:rPr>
          <w:rFonts w:ascii="Arial" w:hAnsi="Arial" w:eastAsia="Calibri" w:cs="Arial"/>
          <w:color w:val="000000" w:themeColor="text1"/>
          <w:sz w:val="20"/>
          <w:szCs w:val="20"/>
          <w:lang w:val="es-ES_tradnl"/>
        </w:rPr>
      </w:pPr>
    </w:p>
    <w:p w:rsidRPr="00B024ED" w:rsidR="005C529E" w:rsidP="00B024ED" w:rsidRDefault="005C529E" w14:paraId="20753499" w14:textId="7B5779A7">
      <w:pPr>
        <w:spacing w:line="276" w:lineRule="auto"/>
        <w:contextualSpacing/>
        <w:jc w:val="both"/>
        <w:rPr>
          <w:rFonts w:ascii="Arial" w:hAnsi="Arial" w:cs="Arial"/>
          <w:sz w:val="22"/>
          <w:lang w:val="es-ES"/>
        </w:rPr>
      </w:pPr>
      <w:r w:rsidRPr="00404C61">
        <w:rPr>
          <w:rFonts w:ascii="Arial" w:hAnsi="Arial" w:eastAsia="Calibri" w:cs="Arial"/>
          <w:color w:val="000000"/>
          <w:sz w:val="22"/>
          <w:lang w:val="es-ES_tradnl" w:eastAsia="en-GB"/>
        </w:rPr>
        <w:t xml:space="preserve">Para abordar </w:t>
      </w:r>
      <w:r w:rsidR="00866495">
        <w:rPr>
          <w:rFonts w:ascii="Arial" w:hAnsi="Arial" w:eastAsia="Calibri" w:cs="Arial"/>
          <w:color w:val="000000"/>
          <w:sz w:val="22"/>
          <w:lang w:val="es-ES_tradnl" w:eastAsia="en-GB"/>
        </w:rPr>
        <w:t>los</w:t>
      </w:r>
      <w:r w:rsidRPr="00404C61">
        <w:rPr>
          <w:rFonts w:ascii="Arial" w:hAnsi="Arial" w:eastAsia="Calibri" w:cs="Arial"/>
          <w:color w:val="000000"/>
          <w:sz w:val="22"/>
          <w:lang w:val="es-ES_tradnl" w:eastAsia="en-GB"/>
        </w:rPr>
        <w:t xml:space="preserve"> interrogante</w:t>
      </w:r>
      <w:r w:rsidR="00866495">
        <w:rPr>
          <w:rFonts w:ascii="Arial" w:hAnsi="Arial" w:eastAsia="Calibri" w:cs="Arial"/>
          <w:color w:val="000000"/>
          <w:sz w:val="22"/>
          <w:lang w:val="es-ES_tradnl" w:eastAsia="en-GB"/>
        </w:rPr>
        <w:t>s</w:t>
      </w:r>
      <w:r w:rsidRPr="00404C61">
        <w:rPr>
          <w:rFonts w:ascii="Arial" w:hAnsi="Arial" w:eastAsia="Calibri" w:cs="Arial"/>
          <w:color w:val="000000"/>
          <w:sz w:val="22"/>
          <w:lang w:val="es-ES_tradnl" w:eastAsia="en-GB"/>
        </w:rPr>
        <w:t xml:space="preserve"> planteado</w:t>
      </w:r>
      <w:r w:rsidR="00866495">
        <w:rPr>
          <w:rFonts w:ascii="Arial" w:hAnsi="Arial" w:eastAsia="Calibri" w:cs="Arial"/>
          <w:color w:val="000000"/>
          <w:sz w:val="22"/>
          <w:lang w:val="es-ES_tradnl" w:eastAsia="en-GB"/>
        </w:rPr>
        <w:t>s</w:t>
      </w:r>
      <w:r w:rsidR="007B303E">
        <w:rPr>
          <w:rFonts w:ascii="Arial" w:hAnsi="Arial" w:eastAsia="Calibri" w:cs="Arial"/>
          <w:color w:val="000000"/>
          <w:sz w:val="22"/>
          <w:lang w:val="es-ES_tradnl" w:eastAsia="en-GB"/>
        </w:rPr>
        <w:t>,</w:t>
      </w:r>
      <w:r w:rsidRPr="00404C61">
        <w:rPr>
          <w:rFonts w:ascii="Arial" w:hAnsi="Arial" w:eastAsia="Calibri" w:cs="Arial"/>
          <w:color w:val="000000"/>
          <w:sz w:val="22"/>
          <w:lang w:val="es-ES_tradnl" w:eastAsia="en-GB"/>
        </w:rPr>
        <w:t xml:space="preserve"> se analizarán los siguientes temas:</w:t>
      </w:r>
      <w:r w:rsidR="00910683">
        <w:rPr>
          <w:rFonts w:ascii="Arial" w:hAnsi="Arial" w:eastAsia="Calibri" w:cs="Arial"/>
          <w:color w:val="000000"/>
          <w:sz w:val="22"/>
          <w:lang w:val="es-ES_tradnl" w:eastAsia="en-GB"/>
        </w:rPr>
        <w:t xml:space="preserve"> </w:t>
      </w:r>
      <w:r w:rsidR="00B024ED">
        <w:rPr>
          <w:rFonts w:ascii="Arial" w:hAnsi="Arial" w:eastAsia="Calibri" w:cs="Arial"/>
          <w:color w:val="000000"/>
          <w:sz w:val="22"/>
          <w:lang w:val="es-ES_tradnl" w:eastAsia="en-GB"/>
        </w:rPr>
        <w:t>i</w:t>
      </w:r>
      <w:r w:rsidR="00910683">
        <w:rPr>
          <w:rFonts w:ascii="Arial" w:hAnsi="Arial" w:eastAsia="Calibri" w:cs="Arial"/>
          <w:color w:val="000000"/>
          <w:sz w:val="22"/>
          <w:lang w:val="es-ES_tradnl" w:eastAsia="en-GB"/>
        </w:rPr>
        <w:t xml:space="preserve">) </w:t>
      </w:r>
      <w:r w:rsidR="00DE064A">
        <w:rPr>
          <w:rFonts w:ascii="Arial" w:hAnsi="Arial" w:eastAsia="Calibri" w:cs="Arial"/>
          <w:color w:val="000000"/>
          <w:sz w:val="22"/>
          <w:lang w:val="es-ES_tradnl" w:eastAsia="en-GB"/>
        </w:rPr>
        <w:t>a</w:t>
      </w:r>
      <w:r w:rsidRPr="00DE064A" w:rsidR="00DE064A">
        <w:rPr>
          <w:rFonts w:ascii="Arial" w:hAnsi="Arial" w:eastAsia="Calibri" w:cs="Arial"/>
          <w:color w:val="000000"/>
          <w:sz w:val="22"/>
          <w:lang w:val="es-ES_tradnl" w:eastAsia="en-GB"/>
        </w:rPr>
        <w:t>utonomía</w:t>
      </w:r>
      <w:r w:rsidR="00B024ED">
        <w:rPr>
          <w:rFonts w:ascii="Arial" w:hAnsi="Arial" w:eastAsia="Calibri" w:cs="Arial"/>
          <w:color w:val="000000"/>
          <w:sz w:val="22"/>
          <w:lang w:val="es-ES_tradnl" w:eastAsia="en-GB"/>
        </w:rPr>
        <w:t xml:space="preserve"> de las entidades estatales</w:t>
      </w:r>
      <w:r w:rsidRPr="00DE064A" w:rsidR="00DE064A">
        <w:rPr>
          <w:rFonts w:ascii="Arial" w:hAnsi="Arial" w:eastAsia="Calibri" w:cs="Arial"/>
          <w:color w:val="000000"/>
          <w:sz w:val="22"/>
          <w:lang w:val="es-ES_tradnl" w:eastAsia="en-GB"/>
        </w:rPr>
        <w:t xml:space="preserve"> para incluir el AIU –Administración, Imprevistos y Utilidad–, como metodología para calcular el precio en los contratos estatales</w:t>
      </w:r>
      <w:r w:rsidR="009827E6">
        <w:rPr>
          <w:rFonts w:ascii="Arial" w:hAnsi="Arial" w:eastAsia="Calibri" w:cs="Arial"/>
          <w:color w:val="000000"/>
          <w:sz w:val="22"/>
          <w:lang w:val="es-ES_tradnl" w:eastAsia="en-GB"/>
        </w:rPr>
        <w:t xml:space="preserve">, </w:t>
      </w:r>
      <w:r w:rsidR="00607E9F">
        <w:rPr>
          <w:rFonts w:ascii="Arial" w:hAnsi="Arial" w:eastAsia="Calibri" w:cs="Arial"/>
          <w:color w:val="000000"/>
          <w:sz w:val="22"/>
          <w:lang w:val="es-ES_tradnl" w:eastAsia="en-GB"/>
        </w:rPr>
        <w:t xml:space="preserve">ii) </w:t>
      </w:r>
      <w:r w:rsidR="00EC73DE">
        <w:rPr>
          <w:rFonts w:ascii="Arial" w:hAnsi="Arial" w:eastAsia="Calibri" w:cs="Arial"/>
          <w:color w:val="000000"/>
          <w:sz w:val="22"/>
          <w:lang w:val="es-ES_tradnl" w:eastAsia="en-GB"/>
        </w:rPr>
        <w:t>gestión</w:t>
      </w:r>
      <w:r w:rsidR="00607E9F">
        <w:rPr>
          <w:rFonts w:ascii="Arial" w:hAnsi="Arial" w:eastAsia="Calibri" w:cs="Arial"/>
          <w:color w:val="000000"/>
          <w:sz w:val="22"/>
          <w:lang w:val="es-ES_tradnl" w:eastAsia="en-GB"/>
        </w:rPr>
        <w:t xml:space="preserve"> contractual de los componentes del AIU</w:t>
      </w:r>
      <w:r w:rsidR="009827E6">
        <w:rPr>
          <w:rFonts w:ascii="Arial" w:hAnsi="Arial" w:eastAsia="Calibri" w:cs="Arial"/>
          <w:color w:val="000000"/>
          <w:sz w:val="22"/>
          <w:lang w:val="es-ES_tradnl" w:eastAsia="en-GB"/>
        </w:rPr>
        <w:t xml:space="preserve"> y iii) m</w:t>
      </w:r>
      <w:r w:rsidRPr="009827E6" w:rsidR="009827E6">
        <w:rPr>
          <w:rFonts w:ascii="Arial" w:hAnsi="Arial" w:eastAsia="Calibri" w:cs="Arial"/>
          <w:color w:val="000000"/>
          <w:sz w:val="22"/>
          <w:lang w:val="es-ES_tradnl" w:eastAsia="en-GB"/>
        </w:rPr>
        <w:t>argen mínimo en la subasta inversa, anticipo y pago anticipado</w:t>
      </w:r>
      <w:r w:rsidR="009827E6">
        <w:rPr>
          <w:rFonts w:ascii="Arial" w:hAnsi="Arial" w:eastAsia="Calibri" w:cs="Arial"/>
          <w:color w:val="000000"/>
          <w:sz w:val="22"/>
          <w:lang w:val="es-ES_tradnl" w:eastAsia="en-GB"/>
        </w:rPr>
        <w:t>.</w:t>
      </w:r>
    </w:p>
    <w:p w:rsidRPr="000473E8" w:rsidR="000473E8" w:rsidP="00B024ED" w:rsidRDefault="000473E8" w14:paraId="7C2FAB5A" w14:textId="73F223EF">
      <w:pPr>
        <w:tabs>
          <w:tab w:val="left" w:pos="0"/>
        </w:tabs>
        <w:spacing w:before="120" w:line="276" w:lineRule="auto"/>
        <w:ind w:firstLine="709"/>
        <w:jc w:val="both"/>
        <w:rPr>
          <w:rFonts w:ascii="Arial" w:hAnsi="Arial" w:eastAsia="Calibri" w:cs="Arial"/>
          <w:bCs/>
          <w:sz w:val="22"/>
          <w:lang w:val="es-ES_tradnl"/>
        </w:rPr>
      </w:pPr>
      <w:r w:rsidRPr="000473E8">
        <w:rPr>
          <w:rFonts w:ascii="Arial" w:hAnsi="Arial" w:eastAsia="Calibri" w:cs="Arial"/>
          <w:bCs/>
          <w:sz w:val="22"/>
          <w:lang w:val="es-ES_tradnl"/>
        </w:rPr>
        <w:t>La Agencia Nacional de Contratación Pública – Colombia Compra Eficiente se ha pronunciado en varias ocasiones sobre el AIU en los contratos estatales; entre ellas, en respuesta a las consultas con radicado No. 4201714000005136 del 14 de noviembre de 2017; 4201714000006401 del 23 de noviembre de 2017; 4201813000004155 del 9 de mayo de 2018; 4201814000008069 del 27 de septiembre de 2018; 4201814000007383 del 18 de octubre de 2018; 4201814000008069 del 13 de noviembre de 2018; 4201912000004214 del 26 de junio de 2019; 4201912000006455</w:t>
      </w:r>
      <w:r w:rsidRPr="000473E8">
        <w:rPr>
          <w:rFonts w:ascii="Arial" w:hAnsi="Arial" w:eastAsia="Calibri" w:cs="Arial"/>
          <w:sz w:val="22"/>
          <w:lang w:val="es-ES_tradnl"/>
        </w:rPr>
        <w:t xml:space="preserve"> y 4201912000006463 del 19 de septiembre de 2019; 4201912000007375 del 28 de octubre de 2019; </w:t>
      </w:r>
      <w:r w:rsidRPr="000473E8">
        <w:rPr>
          <w:rFonts w:ascii="Arial" w:hAnsi="Arial" w:eastAsia="Calibri" w:cs="Arial"/>
          <w:sz w:val="22"/>
          <w:lang w:val="es-MX"/>
        </w:rPr>
        <w:t>4201912000007092 del 29 de noviembre de 2019;</w:t>
      </w:r>
      <w:r w:rsidRPr="000473E8">
        <w:rPr>
          <w:rFonts w:ascii="Arial" w:hAnsi="Arial" w:eastAsia="Calibri" w:cs="Arial"/>
          <w:sz w:val="22"/>
          <w:lang w:val="es-ES_tradnl"/>
        </w:rPr>
        <w:t xml:space="preserve"> 4202012000000093</w:t>
      </w:r>
      <w:r>
        <w:rPr>
          <w:rFonts w:ascii="Arial" w:hAnsi="Arial" w:eastAsia="Calibri" w:cs="Arial"/>
          <w:sz w:val="22"/>
          <w:lang w:val="es-ES_tradnl"/>
        </w:rPr>
        <w:t xml:space="preserve">, </w:t>
      </w:r>
      <w:r w:rsidRPr="000473E8">
        <w:rPr>
          <w:rFonts w:ascii="Arial" w:hAnsi="Arial" w:eastAsia="Calibri" w:cs="Arial"/>
          <w:sz w:val="22"/>
          <w:lang w:val="es-ES_tradnl"/>
        </w:rPr>
        <w:t>C–037 del 28 de enero de 2020</w:t>
      </w:r>
      <w:r w:rsidR="0049030C">
        <w:rPr>
          <w:rFonts w:ascii="Arial" w:hAnsi="Arial" w:eastAsia="Calibri" w:cs="Arial"/>
          <w:sz w:val="22"/>
          <w:lang w:val="es-ES_tradnl"/>
        </w:rPr>
        <w:t xml:space="preserve">, </w:t>
      </w:r>
      <w:r w:rsidRPr="000473E8">
        <w:rPr>
          <w:rFonts w:ascii="Arial" w:hAnsi="Arial" w:eastAsia="Calibri" w:cs="Arial"/>
          <w:sz w:val="22"/>
          <w:lang w:val="es-ES_tradnl"/>
        </w:rPr>
        <w:t>4202012000000664 del 30 de enero de 2020</w:t>
      </w:r>
      <w:r w:rsidR="0049030C">
        <w:rPr>
          <w:rFonts w:ascii="Arial" w:hAnsi="Arial" w:eastAsia="Calibri" w:cs="Arial"/>
          <w:sz w:val="22"/>
          <w:lang w:val="es-ES_tradnl"/>
        </w:rPr>
        <w:t xml:space="preserve">, </w:t>
      </w:r>
      <w:r w:rsidR="0020022E">
        <w:rPr>
          <w:rFonts w:ascii="Arial" w:hAnsi="Arial" w:eastAsia="Calibri" w:cs="Arial"/>
          <w:sz w:val="22"/>
          <w:lang w:val="es-ES_tradnl"/>
        </w:rPr>
        <w:t>C-191 del 16 de marzo de 2020</w:t>
      </w:r>
      <w:r w:rsidR="004370FA">
        <w:rPr>
          <w:rFonts w:ascii="Arial" w:hAnsi="Arial" w:eastAsia="Calibri" w:cs="Arial"/>
          <w:sz w:val="22"/>
          <w:lang w:val="es-ES_tradnl"/>
        </w:rPr>
        <w:t xml:space="preserve"> y C-211 del 8 de abril de 2020</w:t>
      </w:r>
      <w:r w:rsidRPr="000473E8">
        <w:rPr>
          <w:rFonts w:ascii="Arial" w:hAnsi="Arial" w:eastAsia="Calibri" w:cs="Arial"/>
          <w:sz w:val="22"/>
          <w:lang w:val="es-ES_tradnl"/>
        </w:rPr>
        <w:t>. En estos conceptos la Agencia ha precisado que el AIU –Administración, Imprevistos y Utilidad– no está definido normativamente, sino que es una figura empleada en la práctica de los negocios. Tal idea se reitera a continuación.</w:t>
      </w:r>
    </w:p>
    <w:p w:rsidR="00D90683" w:rsidP="00510DE9" w:rsidRDefault="00D90683" w14:paraId="4C71AA29" w14:textId="1C3BFD40">
      <w:pPr>
        <w:tabs>
          <w:tab w:val="left" w:pos="0"/>
        </w:tabs>
        <w:jc w:val="both"/>
        <w:rPr>
          <w:rFonts w:ascii="Arial" w:hAnsi="Arial" w:eastAsia="Calibri" w:cs="Arial"/>
          <w:b/>
          <w:color w:val="000000" w:themeColor="text1"/>
          <w:sz w:val="22"/>
          <w:lang w:val="es-ES_tradnl"/>
        </w:rPr>
      </w:pPr>
    </w:p>
    <w:p w:rsidRPr="0033016F" w:rsidR="00990701" w:rsidP="00990701" w:rsidRDefault="00990701" w14:paraId="3446338B" w14:textId="77777777">
      <w:pPr>
        <w:spacing w:line="276" w:lineRule="auto"/>
        <w:jc w:val="both"/>
        <w:rPr>
          <w:rFonts w:ascii="Arial" w:hAnsi="Arial" w:cs="Arial"/>
          <w:b/>
          <w:sz w:val="22"/>
          <w:lang w:val="es-ES_tradnl"/>
        </w:rPr>
      </w:pPr>
      <w:r w:rsidRPr="0033016F">
        <w:rPr>
          <w:rFonts w:ascii="Arial" w:hAnsi="Arial" w:cs="Arial"/>
          <w:b/>
          <w:sz w:val="22"/>
          <w:lang w:val="es-ES_tradnl"/>
        </w:rPr>
        <w:t>2.1. Autonomía para incluir el AIU –Administración, Imprevistos y Utilidad–, como metodología para calcular el precio en los contratos estatales</w:t>
      </w:r>
    </w:p>
    <w:p w:rsidRPr="0033016F" w:rsidR="00990701" w:rsidP="00990701" w:rsidRDefault="00990701" w14:paraId="043417E4" w14:textId="77777777">
      <w:pPr>
        <w:spacing w:line="276" w:lineRule="auto"/>
        <w:jc w:val="both"/>
        <w:rPr>
          <w:rFonts w:ascii="Arial" w:hAnsi="Arial" w:cs="Arial"/>
          <w:b/>
          <w:sz w:val="22"/>
          <w:lang w:val="es-ES_tradnl"/>
        </w:rPr>
      </w:pPr>
    </w:p>
    <w:p w:rsidRPr="0033016F" w:rsidR="00990701" w:rsidP="00C413A2" w:rsidRDefault="00990701" w14:paraId="5D445C5D" w14:textId="77777777">
      <w:pPr>
        <w:spacing w:after="120" w:line="276" w:lineRule="auto"/>
        <w:jc w:val="both"/>
        <w:rPr>
          <w:rFonts w:ascii="Arial" w:hAnsi="Arial" w:cs="Arial"/>
          <w:bCs/>
          <w:sz w:val="22"/>
          <w:lang w:val="es-ES_tradnl"/>
        </w:rPr>
      </w:pPr>
      <w:r w:rsidRPr="0033016F">
        <w:rPr>
          <w:rFonts w:ascii="Arial" w:hAnsi="Arial" w:cs="Arial"/>
          <w:bCs/>
          <w:sz w:val="22"/>
          <w:lang w:val="es-ES_tradnl"/>
        </w:rPr>
        <w:t>Como es sabido, uno de los elementos más comunes en los contratos estatales es el precio,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rsidRPr="0033016F" w:rsidR="00990701" w:rsidP="00990701" w:rsidRDefault="00990701" w14:paraId="22985698" w14:textId="77777777">
      <w:pPr>
        <w:spacing w:before="120" w:after="120" w:line="276" w:lineRule="auto"/>
        <w:ind w:firstLine="709"/>
        <w:jc w:val="both"/>
        <w:rPr>
          <w:rFonts w:ascii="Arial" w:hAnsi="Arial" w:cs="Arial"/>
          <w:bCs/>
          <w:sz w:val="22"/>
          <w:lang w:val="es-ES_tradnl"/>
        </w:rPr>
      </w:pPr>
      <w:r w:rsidRPr="0033016F">
        <w:rPr>
          <w:rFonts w:ascii="Arial" w:hAnsi="Arial" w:cs="Arial"/>
          <w:bCs/>
          <w:sz w:val="22"/>
          <w:lang w:val="es-ES_tradnl"/>
        </w:rPr>
        <w:t xml:space="preserve">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w:t>
      </w:r>
      <w:r w:rsidRPr="0033016F">
        <w:rPr>
          <w:rFonts w:ascii="Arial" w:hAnsi="Arial" w:cs="Arial"/>
          <w:bCs/>
          <w:sz w:val="22"/>
          <w:lang w:val="es-ES_tradnl"/>
        </w:rPr>
        <w:lastRenderedPageBreak/>
        <w:t>indicadas para los de concesión; por mencionar algunos ejemplos</w:t>
      </w:r>
      <w:r w:rsidRPr="0033016F">
        <w:rPr>
          <w:rStyle w:val="Refdenotaalpie"/>
          <w:rFonts w:ascii="Arial" w:hAnsi="Arial" w:cs="Arial"/>
          <w:bCs/>
          <w:sz w:val="22"/>
          <w:lang w:val="es-ES_tradnl"/>
        </w:rPr>
        <w:footnoteReference w:id="2"/>
      </w:r>
      <w:r w:rsidRPr="0033016F">
        <w:rPr>
          <w:rFonts w:ascii="Arial" w:hAnsi="Arial" w:cs="Arial"/>
          <w:bCs/>
          <w:sz w:val="22"/>
          <w:lang w:val="es-ES_tradnl"/>
        </w:rPr>
        <w:t>.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sin discriminar unidades–, y iii) la administración delegada de recursos –en la que se distinguen los costos de inversión de los honorarios del administrador–.</w:t>
      </w:r>
    </w:p>
    <w:p w:rsidRPr="0033016F" w:rsidR="00990701" w:rsidP="00990701" w:rsidRDefault="00990701" w14:paraId="493ED3E5" w14:textId="77777777">
      <w:pPr>
        <w:spacing w:line="276" w:lineRule="auto"/>
        <w:ind w:firstLine="709"/>
        <w:jc w:val="both"/>
        <w:rPr>
          <w:rFonts w:ascii="Arial" w:hAnsi="Arial" w:cs="Arial"/>
          <w:bCs/>
          <w:sz w:val="22"/>
          <w:lang w:val="es-ES_tradnl"/>
        </w:rPr>
      </w:pPr>
      <w:r w:rsidRPr="0033016F">
        <w:rPr>
          <w:rFonts w:ascii="Arial" w:hAnsi="Arial" w:cs="Arial"/>
          <w:bCs/>
          <w:sz w:val="22"/>
          <w:lang w:val="es-ES_tradnl"/>
        </w:rPr>
        <w:t xml:space="preserve">Pues bien, en los contratos cuyo precio se estructura a partir del sistema de precios unitarios, 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w:t>
      </w:r>
      <w:r w:rsidRPr="0033016F">
        <w:rPr>
          <w:rFonts w:ascii="Arial" w:hAnsi="Arial" w:cs="Arial"/>
          <w:bCs/>
          <w:i/>
          <w:iCs/>
          <w:sz w:val="22"/>
          <w:lang w:val="es-ES_tradnl"/>
        </w:rPr>
        <w:t>ítems</w:t>
      </w:r>
      <w:r w:rsidRPr="0033016F">
        <w:rPr>
          <w:rFonts w:ascii="Arial" w:hAnsi="Arial" w:cs="Arial"/>
          <w:bCs/>
          <w:sz w:val="22"/>
          <w:lang w:val="es-ES_tradnl"/>
        </w:rPr>
        <w:t xml:space="preserve"> según su unidad de medida, los costos indirectos se suelen abreviar en las variables que integran el acrónimo AIU –Administración, Imprevistos y Utilidad–, que se calcula como un porcentaje aplicado a los costos indirectos. </w:t>
      </w:r>
    </w:p>
    <w:p w:rsidRPr="0033016F" w:rsidR="00990701" w:rsidP="00990701" w:rsidRDefault="00990701" w14:paraId="0A53C765" w14:textId="25427C33">
      <w:pPr>
        <w:spacing w:before="120" w:line="276" w:lineRule="auto"/>
        <w:ind w:firstLine="709"/>
        <w:jc w:val="both"/>
        <w:rPr>
          <w:rFonts w:ascii="Arial" w:hAnsi="Arial" w:cs="Arial"/>
          <w:sz w:val="22"/>
          <w:lang w:val="es-ES_tradnl"/>
        </w:rPr>
      </w:pPr>
      <w:r w:rsidRPr="0033016F">
        <w:rPr>
          <w:rFonts w:ascii="Arial" w:hAnsi="Arial" w:cs="Arial"/>
          <w:sz w:val="22"/>
          <w:lang w:val="es-ES_tradnl"/>
        </w:rPr>
        <w:t>De acuerdo con la Sección Tercera del Consejo de Estado, el AIU, concepto de común utilización en los contratos de tracto sucesiv</w:t>
      </w:r>
      <w:r w:rsidR="00FC2471">
        <w:rPr>
          <w:rFonts w:ascii="Arial" w:hAnsi="Arial" w:cs="Arial"/>
          <w:sz w:val="22"/>
          <w:lang w:val="es-ES_tradnl"/>
        </w:rPr>
        <w:t>o</w:t>
      </w:r>
      <w:r w:rsidRPr="0033016F">
        <w:rPr>
          <w:rFonts w:ascii="Arial" w:hAnsi="Arial" w:cs="Arial"/>
          <w:sz w:val="22"/>
          <w:lang w:val="es-ES_tradnl"/>
        </w:rPr>
        <w:t xml:space="preserve"> –entre ellos, los contratos de obra– no </w:t>
      </w:r>
      <w:r w:rsidRPr="0033016F">
        <w:rPr>
          <w:rFonts w:ascii="Arial" w:hAnsi="Arial" w:cs="Arial"/>
          <w:sz w:val="22"/>
          <w:lang w:val="es-ES_tradnl"/>
        </w:rPr>
        <w:lastRenderedPageBreak/>
        <w:t xml:space="preserve">cuenta con una definición normativa, pero hay elementos que permiten precisar su alcance, así: </w:t>
      </w:r>
    </w:p>
    <w:p w:rsidRPr="0033016F" w:rsidR="00990701" w:rsidP="00990701" w:rsidRDefault="00990701" w14:paraId="4B1520F1" w14:textId="77777777">
      <w:pPr>
        <w:spacing w:line="276" w:lineRule="auto"/>
        <w:ind w:left="709"/>
        <w:jc w:val="both"/>
        <w:rPr>
          <w:rFonts w:ascii="Arial" w:hAnsi="Arial" w:cs="Arial"/>
          <w:sz w:val="22"/>
          <w:lang w:val="es-ES_tradnl"/>
        </w:rPr>
      </w:pPr>
    </w:p>
    <w:p w:rsidRPr="0033016F" w:rsidR="00990701" w:rsidP="00990701" w:rsidRDefault="00990701" w14:paraId="049DA0AF" w14:textId="77777777">
      <w:pPr>
        <w:ind w:left="709" w:right="709"/>
        <w:jc w:val="both"/>
        <w:rPr>
          <w:rFonts w:ascii="Arial" w:hAnsi="Arial" w:cs="Arial"/>
          <w:sz w:val="21"/>
          <w:szCs w:val="21"/>
          <w:lang w:val="es-ES_tradnl"/>
        </w:rPr>
      </w:pPr>
      <w:r w:rsidRPr="0033016F">
        <w:rPr>
          <w:rFonts w:ascii="Arial" w:hAnsi="Arial" w:cs="Arial"/>
          <w:sz w:val="21"/>
          <w:szCs w:val="21"/>
          <w:lang w:val="es-ES_tradnl"/>
        </w:rPr>
        <w:t xml:space="preserve">[…] el AIU propuesto para el contrato, corresponde a: </w:t>
      </w:r>
    </w:p>
    <w:p w:rsidRPr="0033016F" w:rsidR="00990701" w:rsidP="00990701" w:rsidRDefault="00990701" w14:paraId="2E2A18F7" w14:textId="77777777">
      <w:pPr>
        <w:ind w:left="709" w:right="709"/>
        <w:jc w:val="both"/>
        <w:rPr>
          <w:rFonts w:ascii="Arial" w:hAnsi="Arial" w:cs="Arial"/>
          <w:sz w:val="21"/>
          <w:szCs w:val="21"/>
          <w:lang w:val="es-ES_tradnl"/>
        </w:rPr>
      </w:pPr>
    </w:p>
    <w:p w:rsidRPr="0033016F" w:rsidR="00990701" w:rsidP="00990701" w:rsidRDefault="00990701" w14:paraId="200C88D5" w14:textId="77777777">
      <w:pPr>
        <w:ind w:left="709" w:right="709"/>
        <w:jc w:val="both"/>
        <w:rPr>
          <w:rFonts w:ascii="Arial" w:hAnsi="Arial" w:cs="Arial"/>
          <w:sz w:val="21"/>
          <w:szCs w:val="21"/>
          <w:lang w:val="es-ES_tradnl"/>
        </w:rPr>
      </w:pPr>
      <w:r w:rsidRPr="0033016F">
        <w:rPr>
          <w:rFonts w:ascii="Arial" w:hAnsi="Arial" w:cs="Arial"/>
          <w:sz w:val="21"/>
          <w:szCs w:val="21"/>
          <w:lang w:val="es-ES_tradnl"/>
        </w:rPr>
        <w:t xml:space="preserve">i) los costos de administración o costos indirectos para la operación del contrato, tales como los gastos de disponibilidad de la organización del contratista, esto es: A; </w:t>
      </w:r>
    </w:p>
    <w:p w:rsidRPr="0033016F" w:rsidR="00990701" w:rsidP="00990701" w:rsidRDefault="00990701" w14:paraId="1BEA29B3" w14:textId="77777777">
      <w:pPr>
        <w:ind w:left="709" w:right="709"/>
        <w:jc w:val="both"/>
        <w:rPr>
          <w:rFonts w:ascii="Arial" w:hAnsi="Arial" w:cs="Arial"/>
          <w:sz w:val="21"/>
          <w:szCs w:val="21"/>
          <w:lang w:val="es-ES_tradnl"/>
        </w:rPr>
      </w:pPr>
    </w:p>
    <w:p w:rsidRPr="0033016F" w:rsidR="00990701" w:rsidP="00990701" w:rsidRDefault="00990701" w14:paraId="014E7519" w14:textId="77777777">
      <w:pPr>
        <w:ind w:left="709" w:right="709"/>
        <w:jc w:val="both"/>
        <w:rPr>
          <w:rFonts w:ascii="Arial" w:hAnsi="Arial" w:cs="Arial"/>
          <w:sz w:val="21"/>
          <w:szCs w:val="21"/>
          <w:lang w:val="es-ES_tradnl"/>
        </w:rPr>
      </w:pPr>
      <w:r w:rsidRPr="0033016F">
        <w:rPr>
          <w:rFonts w:ascii="Arial" w:hAnsi="Arial" w:cs="Arial"/>
          <w:sz w:val="21"/>
          <w:szCs w:val="21"/>
          <w:lang w:val="es-ES_tradnl"/>
        </w:rPr>
        <w:t xml:space="preserve">ii) los imprevistos, que es el porcentaje destinado a cubrir los gastos con los que no se contaba y que se presenten durante la ejecución del contrato, esto es, el </w:t>
      </w:r>
      <w:proofErr w:type="spellStart"/>
      <w:r w:rsidRPr="0033016F">
        <w:rPr>
          <w:rFonts w:ascii="Arial" w:hAnsi="Arial" w:cs="Arial"/>
          <w:sz w:val="21"/>
          <w:szCs w:val="21"/>
          <w:lang w:val="es-ES_tradnl"/>
        </w:rPr>
        <w:t>álea</w:t>
      </w:r>
      <w:proofErr w:type="spellEnd"/>
      <w:r w:rsidRPr="0033016F">
        <w:rPr>
          <w:rFonts w:ascii="Arial" w:hAnsi="Arial" w:cs="Arial"/>
          <w:sz w:val="21"/>
          <w:szCs w:val="21"/>
          <w:lang w:val="es-ES_tradnl"/>
        </w:rPr>
        <w:t xml:space="preserve"> normal del contrato: I; </w:t>
      </w:r>
    </w:p>
    <w:p w:rsidRPr="0033016F" w:rsidR="00990701" w:rsidP="00990701" w:rsidRDefault="00990701" w14:paraId="39EEF4FB" w14:textId="77777777">
      <w:pPr>
        <w:ind w:left="709" w:right="709"/>
        <w:jc w:val="both"/>
        <w:rPr>
          <w:rFonts w:ascii="Arial" w:hAnsi="Arial" w:cs="Arial"/>
          <w:sz w:val="21"/>
          <w:szCs w:val="21"/>
          <w:lang w:val="es-ES_tradnl"/>
        </w:rPr>
      </w:pPr>
    </w:p>
    <w:p w:rsidRPr="0033016F" w:rsidR="00990701" w:rsidP="00990701" w:rsidRDefault="00990701" w14:paraId="1F39242B" w14:textId="77777777">
      <w:pPr>
        <w:ind w:left="709" w:right="709"/>
        <w:jc w:val="both"/>
        <w:rPr>
          <w:rFonts w:ascii="Arial" w:hAnsi="Arial" w:cs="Arial"/>
          <w:sz w:val="21"/>
          <w:szCs w:val="21"/>
          <w:lang w:val="es-ES_tradnl"/>
        </w:rPr>
      </w:pPr>
      <w:r w:rsidRPr="0033016F">
        <w:rPr>
          <w:rFonts w:ascii="Arial" w:hAnsi="Arial" w:cs="Arial"/>
          <w:sz w:val="21"/>
          <w:szCs w:val="21"/>
          <w:lang w:val="es-ES_tradnl"/>
        </w:rPr>
        <w:t xml:space="preserve">iii) la utilidad o el beneficio económico que pretende percibir el contratista por la ejecución del contrato, esto es: U. </w:t>
      </w:r>
    </w:p>
    <w:p w:rsidRPr="0033016F" w:rsidR="00990701" w:rsidP="00990701" w:rsidRDefault="00990701" w14:paraId="6E2D4289" w14:textId="77777777">
      <w:pPr>
        <w:ind w:left="709" w:right="709"/>
        <w:jc w:val="both"/>
        <w:rPr>
          <w:rFonts w:ascii="Arial" w:hAnsi="Arial" w:cs="Arial"/>
          <w:sz w:val="21"/>
          <w:szCs w:val="21"/>
          <w:lang w:val="es-ES_tradnl"/>
        </w:rPr>
      </w:pPr>
    </w:p>
    <w:p w:rsidRPr="0033016F" w:rsidR="00990701" w:rsidP="00990701" w:rsidRDefault="00990701" w14:paraId="595E7575" w14:textId="77777777">
      <w:pPr>
        <w:ind w:left="709" w:right="709"/>
        <w:jc w:val="both"/>
        <w:rPr>
          <w:rFonts w:ascii="Arial" w:hAnsi="Arial" w:cs="Arial"/>
          <w:sz w:val="21"/>
          <w:szCs w:val="21"/>
          <w:lang w:val="es-ES_tradnl"/>
        </w:rPr>
      </w:pPr>
      <w:r w:rsidRPr="0033016F">
        <w:rPr>
          <w:rFonts w:ascii="Arial" w:hAnsi="Arial" w:cs="Arial"/>
          <w:sz w:val="21"/>
          <w:szCs w:val="21"/>
          <w:lang w:val="es-ES_tradnl"/>
        </w:rPr>
        <w:t>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factores, establece su estructura de costos conforme a la cual se compromete a ejecutar cabalmente un contrato en el caso de que le sea adjudicado</w:t>
      </w:r>
      <w:r w:rsidRPr="0033016F">
        <w:rPr>
          <w:rStyle w:val="Refdenotaalpie"/>
          <w:rFonts w:ascii="Arial" w:hAnsi="Arial" w:cs="Arial"/>
          <w:sz w:val="21"/>
          <w:szCs w:val="21"/>
          <w:lang w:val="es-ES_tradnl"/>
        </w:rPr>
        <w:footnoteReference w:id="3"/>
      </w:r>
      <w:r w:rsidRPr="0033016F">
        <w:rPr>
          <w:rFonts w:ascii="Arial" w:hAnsi="Arial" w:cs="Arial"/>
          <w:sz w:val="21"/>
          <w:szCs w:val="21"/>
          <w:lang w:val="es-ES_tradnl"/>
        </w:rPr>
        <w:t>.</w:t>
      </w:r>
    </w:p>
    <w:p w:rsidRPr="0033016F" w:rsidR="00990701" w:rsidP="00990701" w:rsidRDefault="00990701" w14:paraId="17CCF4BB" w14:textId="77777777">
      <w:pPr>
        <w:spacing w:line="276" w:lineRule="auto"/>
        <w:ind w:firstLine="709"/>
        <w:jc w:val="both"/>
        <w:rPr>
          <w:rFonts w:ascii="Arial" w:hAnsi="Arial" w:cs="Arial"/>
          <w:sz w:val="22"/>
          <w:lang w:val="es-ES_tradnl"/>
        </w:rPr>
      </w:pPr>
    </w:p>
    <w:p w:rsidRPr="0033016F" w:rsidR="00990701" w:rsidP="00990701" w:rsidRDefault="00990701" w14:paraId="2CD55AA3" w14:textId="77777777">
      <w:pPr>
        <w:spacing w:line="276" w:lineRule="auto"/>
        <w:ind w:firstLine="709"/>
        <w:jc w:val="both"/>
        <w:rPr>
          <w:rFonts w:ascii="Arial" w:hAnsi="Arial" w:cs="Arial"/>
          <w:sz w:val="22"/>
          <w:lang w:val="es-ES_tradnl"/>
        </w:rPr>
      </w:pPr>
      <w:r w:rsidRPr="0033016F">
        <w:rPr>
          <w:rFonts w:ascii="Arial" w:hAnsi="Arial" w:cs="Arial"/>
          <w:sz w:val="22"/>
          <w:lang w:val="es-ES_tradnl"/>
        </w:rPr>
        <w:t>Por su parte, la Sala de Consulta y Servicio Civil del Consejo de Estado sostuvo en concepto del 5 de septiembre de 2018</w:t>
      </w:r>
      <w:r w:rsidRPr="0033016F">
        <w:rPr>
          <w:rStyle w:val="Refdenotaalpie"/>
          <w:rFonts w:ascii="Arial" w:hAnsi="Arial" w:cs="Arial"/>
          <w:sz w:val="22"/>
          <w:lang w:val="es-ES_tradnl"/>
        </w:rPr>
        <w:footnoteReference w:id="4"/>
      </w:r>
      <w:r w:rsidRPr="0033016F">
        <w:rPr>
          <w:rFonts w:ascii="Arial" w:hAnsi="Arial" w:cs="Arial"/>
          <w:sz w:val="22"/>
          <w:lang w:val="es-ES_tradnl"/>
        </w:rPr>
        <w:t xml:space="preserve"> que «el concepto del A.I.U. comprende la Administración (costos indirectos) imprevistos y utilidades, y en algunos contratos este valor aparece cuantificado en forma independiente al valor de la obra y como un porcentaje de la misma</w:t>
      </w:r>
      <w:r w:rsidRPr="0033016F">
        <w:rPr>
          <w:rStyle w:val="Refdenotaalpie"/>
          <w:rFonts w:ascii="Arial" w:hAnsi="Arial" w:cs="Arial"/>
          <w:sz w:val="22"/>
          <w:lang w:val="es-ES_tradnl"/>
        </w:rPr>
        <w:footnoteReference w:id="5"/>
      </w:r>
      <w:r w:rsidRPr="0033016F">
        <w:rPr>
          <w:rFonts w:ascii="Arial" w:hAnsi="Arial" w:cs="Arial"/>
          <w:sz w:val="22"/>
          <w:lang w:val="es-ES_tradnl"/>
        </w:rPr>
        <w:t>, sin perjuicio que en otros contratos este valor no aparezca discriminado y se incorpore en el valor de los precios unitarios»</w:t>
      </w:r>
      <w:r w:rsidRPr="0033016F">
        <w:rPr>
          <w:rStyle w:val="Refdenotaalpie"/>
          <w:rFonts w:ascii="Arial" w:hAnsi="Arial" w:cs="Arial"/>
          <w:sz w:val="22"/>
          <w:lang w:val="es-ES_tradnl"/>
        </w:rPr>
        <w:footnoteReference w:id="6"/>
      </w:r>
      <w:r w:rsidRPr="0033016F">
        <w:rPr>
          <w:rFonts w:ascii="Arial" w:hAnsi="Arial" w:cs="Arial"/>
          <w:sz w:val="22"/>
          <w:lang w:val="es-ES_tradnl"/>
        </w:rPr>
        <w:t xml:space="preserve">. </w:t>
      </w:r>
    </w:p>
    <w:p w:rsidRPr="0033016F" w:rsidR="00990701" w:rsidP="00990701" w:rsidRDefault="00990701" w14:paraId="1002FB9B" w14:textId="77777777">
      <w:pPr>
        <w:spacing w:before="120" w:after="120" w:line="276" w:lineRule="auto"/>
        <w:ind w:firstLine="709"/>
        <w:jc w:val="both"/>
        <w:rPr>
          <w:rFonts w:ascii="Arial" w:hAnsi="Arial" w:cs="Arial"/>
          <w:bCs/>
          <w:sz w:val="22"/>
          <w:lang w:val="es-ES_tradnl"/>
        </w:rPr>
      </w:pPr>
      <w:r w:rsidRPr="0033016F">
        <w:rPr>
          <w:rFonts w:ascii="Arial" w:hAnsi="Arial" w:cs="Arial"/>
          <w:bCs/>
          <w:sz w:val="22"/>
          <w:lang w:val="es-ES_tradnl"/>
        </w:rPr>
        <w:lastRenderedPageBreak/>
        <w:t>Así pues, ni el sistema de precios unitarios –como metodología de estipulación del valor contractual–, ni el concepto de AIU, ni mucho menos la forma de calcularlo –es decir, su porcentaje–, son aspectos regulados en el conjunto de las disposiciones legales y reglamentarias que integran la normativa contractual del Estado. «La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reglamento, sino de la costumbre, […]»</w:t>
      </w:r>
      <w:r w:rsidRPr="0033016F">
        <w:rPr>
          <w:rStyle w:val="Refdenotaalpie"/>
          <w:rFonts w:ascii="Arial" w:hAnsi="Arial" w:cs="Arial"/>
          <w:bCs/>
          <w:sz w:val="22"/>
          <w:lang w:val="es-ES_tradnl"/>
        </w:rPr>
        <w:footnoteReference w:id="7"/>
      </w:r>
      <w:r w:rsidRPr="0033016F">
        <w:rPr>
          <w:rFonts w:ascii="Arial" w:hAnsi="Arial" w:cs="Arial"/>
          <w:bCs/>
          <w:sz w:val="22"/>
          <w:lang w:val="es-ES_tradnl"/>
        </w:rPr>
        <w:t xml:space="preserve">. De otro lado, quien define el valor de cada </w:t>
      </w:r>
      <w:r w:rsidRPr="0033016F">
        <w:rPr>
          <w:rFonts w:ascii="Arial" w:hAnsi="Arial" w:cs="Arial"/>
          <w:bCs/>
          <w:i/>
          <w:iCs/>
          <w:sz w:val="22"/>
          <w:lang w:val="es-ES_tradnl"/>
        </w:rPr>
        <w:t>letra</w:t>
      </w:r>
      <w:r w:rsidRPr="0033016F">
        <w:rPr>
          <w:rFonts w:ascii="Arial" w:hAnsi="Arial" w:cs="Arial"/>
          <w:bCs/>
          <w:sz w:val="22"/>
          <w:lang w:val="es-ES_tradnl"/>
        </w:rPr>
        <w:t xml:space="preserve"> –AIU– es el proponente, pues goza de libertad empresarial para hacerlo en la elaboración de su oferta</w:t>
      </w:r>
      <w:r w:rsidRPr="0033016F">
        <w:rPr>
          <w:rStyle w:val="Refdenotaalpie"/>
          <w:rFonts w:ascii="Arial" w:hAnsi="Arial" w:cs="Arial"/>
          <w:bCs/>
          <w:sz w:val="22"/>
          <w:lang w:val="es-ES_tradnl"/>
        </w:rPr>
        <w:footnoteReference w:id="8"/>
      </w:r>
      <w:r w:rsidRPr="0033016F">
        <w:rPr>
          <w:rFonts w:ascii="Arial" w:hAnsi="Arial" w:cs="Arial"/>
          <w:bCs/>
          <w:sz w:val="22"/>
          <w:lang w:val="es-ES_tradnl"/>
        </w:rPr>
        <w:t>.</w:t>
      </w:r>
    </w:p>
    <w:p w:rsidRPr="0033016F" w:rsidR="00990701" w:rsidP="00990701" w:rsidRDefault="00990701" w14:paraId="5D7B1B5C" w14:textId="539ED0BF">
      <w:pPr>
        <w:spacing w:before="120" w:line="276" w:lineRule="auto"/>
        <w:ind w:firstLine="709"/>
        <w:jc w:val="both"/>
        <w:rPr>
          <w:rFonts w:ascii="Arial" w:hAnsi="Arial" w:cs="Arial"/>
          <w:bCs/>
          <w:sz w:val="22"/>
          <w:lang w:val="es-ES_tradnl"/>
        </w:rPr>
      </w:pPr>
      <w:r w:rsidRPr="0033016F">
        <w:rPr>
          <w:rFonts w:ascii="Arial" w:hAnsi="Arial" w:cs="Arial"/>
          <w:bCs/>
          <w:sz w:val="22"/>
          <w:lang w:val="es-ES_tradnl"/>
        </w:rPr>
        <w:t>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unitarios y la figura del AIU; modelo que, como se indicó, es más pertinente para los contratos de tracto sucesivo, como el de obra. Por ende, la decisión de incluir el AIU, al igual que la metodología de delimitación de sus variables –ítems y porcentajes– debe obedecer a un juicioso análisis de oportunidad y conveniencia, que consulte las reglas de la experiencia, así como los aspectos particulares de cada negocio, y que se armonice con la garantía de los principios de la función administrativa y de la gestión fiscal, dentro de los cuales se halla el principio de economía</w:t>
      </w:r>
      <w:r w:rsidR="00E20B69">
        <w:rPr>
          <w:rFonts w:ascii="Arial" w:hAnsi="Arial" w:cs="Arial"/>
          <w:bCs/>
          <w:sz w:val="22"/>
          <w:lang w:val="es-ES_tradnl"/>
        </w:rPr>
        <w:t>, el cual</w:t>
      </w:r>
      <w:r w:rsidRPr="0033016F">
        <w:rPr>
          <w:rFonts w:ascii="Arial" w:hAnsi="Arial" w:cs="Arial"/>
          <w:bCs/>
          <w:sz w:val="22"/>
          <w:lang w:val="es-ES_tradnl"/>
        </w:rPr>
        <w:t xml:space="preserve"> exige la optimización de los recursos públicos.</w:t>
      </w:r>
    </w:p>
    <w:p w:rsidRPr="0033016F" w:rsidR="00990701" w:rsidP="00990701" w:rsidRDefault="00990701" w14:paraId="56D57F26" w14:textId="77777777">
      <w:pPr>
        <w:spacing w:line="276" w:lineRule="auto"/>
        <w:ind w:firstLine="709"/>
        <w:contextualSpacing/>
        <w:jc w:val="both"/>
        <w:rPr>
          <w:rFonts w:ascii="Arial" w:hAnsi="Arial" w:cs="Arial"/>
          <w:b/>
          <w:sz w:val="22"/>
          <w:lang w:val="es-ES_tradnl"/>
        </w:rPr>
      </w:pPr>
    </w:p>
    <w:p w:rsidRPr="0033016F" w:rsidR="00990701" w:rsidP="00990701" w:rsidRDefault="00990701" w14:paraId="577BAFC4" w14:textId="632DEC55">
      <w:pPr>
        <w:spacing w:line="276" w:lineRule="auto"/>
        <w:jc w:val="both"/>
        <w:rPr>
          <w:rFonts w:ascii="Arial" w:hAnsi="Arial" w:cs="Arial"/>
          <w:b/>
          <w:sz w:val="22"/>
          <w:lang w:val="es-ES_tradnl"/>
        </w:rPr>
      </w:pPr>
      <w:r w:rsidRPr="0033016F">
        <w:rPr>
          <w:rFonts w:ascii="Arial" w:hAnsi="Arial" w:cs="Arial"/>
          <w:b/>
          <w:sz w:val="22"/>
          <w:lang w:val="es-ES_tradnl"/>
        </w:rPr>
        <w:t xml:space="preserve">2.2. </w:t>
      </w:r>
      <w:r w:rsidR="00EC73DE">
        <w:rPr>
          <w:rFonts w:ascii="Arial" w:hAnsi="Arial" w:cs="Arial"/>
          <w:b/>
          <w:sz w:val="22"/>
          <w:lang w:val="es-ES_tradnl"/>
        </w:rPr>
        <w:t xml:space="preserve">Gestión contractual </w:t>
      </w:r>
      <w:r>
        <w:rPr>
          <w:rFonts w:ascii="Arial" w:hAnsi="Arial" w:cs="Arial"/>
          <w:b/>
          <w:sz w:val="22"/>
          <w:lang w:val="es-ES_tradnl"/>
        </w:rPr>
        <w:t>de los componentes del AIU. Algunas reglas de común utilización</w:t>
      </w:r>
    </w:p>
    <w:p w:rsidRPr="0033016F" w:rsidR="00990701" w:rsidP="00990701" w:rsidRDefault="00990701" w14:paraId="3F12DFAC" w14:textId="77777777">
      <w:pPr>
        <w:spacing w:line="276" w:lineRule="auto"/>
        <w:jc w:val="both"/>
        <w:rPr>
          <w:rFonts w:ascii="Arial" w:hAnsi="Arial" w:cs="Arial"/>
          <w:bCs/>
          <w:sz w:val="22"/>
          <w:lang w:val="es-ES_tradnl"/>
        </w:rPr>
      </w:pPr>
    </w:p>
    <w:p w:rsidRPr="0033016F" w:rsidR="00990701" w:rsidP="00990701" w:rsidRDefault="00990701" w14:paraId="521BB1C9" w14:textId="77777777">
      <w:pPr>
        <w:spacing w:after="120" w:line="276" w:lineRule="auto"/>
        <w:jc w:val="both"/>
        <w:rPr>
          <w:rFonts w:ascii="Arial" w:hAnsi="Arial" w:cs="Arial"/>
          <w:bCs/>
          <w:sz w:val="22"/>
          <w:lang w:val="es-ES_tradnl"/>
        </w:rPr>
      </w:pPr>
      <w:r w:rsidRPr="0033016F">
        <w:rPr>
          <w:rFonts w:ascii="Arial" w:hAnsi="Arial" w:cs="Arial"/>
          <w:bCs/>
          <w:sz w:val="22"/>
          <w:lang w:val="es-ES_tradnl"/>
        </w:rPr>
        <w:t>Partiendo de las consideraciones anteriores, usualmente en los contratos cuyo valor se estructura bajo el sistema de precios unitarios y con el desglose del AIU, el precio se paga con base en el valor de los costos directos incrementados por el porcentaje del AIU, forma de pago que pueden incluir las entidades estatales en virtud de la autonomía de la voluntad a que remiten los artículos 13, 32 y 40 del EGCAP.</w:t>
      </w:r>
    </w:p>
    <w:p w:rsidRPr="0033016F" w:rsidR="00990701" w:rsidP="00990701" w:rsidRDefault="00990701" w14:paraId="0B803FDE" w14:textId="3A382968">
      <w:pPr>
        <w:spacing w:after="120" w:line="276" w:lineRule="auto"/>
        <w:jc w:val="both"/>
        <w:rPr>
          <w:rFonts w:ascii="Arial" w:hAnsi="Arial" w:cs="Arial"/>
          <w:bCs/>
          <w:sz w:val="22"/>
          <w:lang w:val="es-ES_tradnl"/>
        </w:rPr>
      </w:pPr>
      <w:r w:rsidRPr="0033016F">
        <w:rPr>
          <w:rFonts w:ascii="Arial" w:hAnsi="Arial" w:cs="Arial"/>
          <w:bCs/>
          <w:sz w:val="22"/>
          <w:lang w:val="es-ES_tradnl"/>
        </w:rPr>
        <w:tab/>
      </w:r>
      <w:r w:rsidRPr="0033016F">
        <w:rPr>
          <w:rFonts w:ascii="Arial" w:hAnsi="Arial" w:cs="Arial"/>
          <w:bCs/>
          <w:sz w:val="22"/>
          <w:lang w:val="es-ES_tradnl"/>
        </w:rPr>
        <w:t>Ahora bien, nada obstaría para que las partes le dieran otros efectos particulares a la forma en que pagan el precio estructurado con AIU</w:t>
      </w:r>
      <w:r w:rsidR="00DA6372">
        <w:rPr>
          <w:rFonts w:ascii="Arial" w:hAnsi="Arial" w:cs="Arial"/>
          <w:bCs/>
          <w:sz w:val="22"/>
          <w:lang w:val="es-ES_tradnl"/>
        </w:rPr>
        <w:t>, pues</w:t>
      </w:r>
      <w:r w:rsidR="004E02C8">
        <w:rPr>
          <w:rFonts w:ascii="Arial" w:hAnsi="Arial" w:cs="Arial"/>
          <w:bCs/>
          <w:sz w:val="22"/>
          <w:lang w:val="es-ES_tradnl"/>
        </w:rPr>
        <w:t xml:space="preserve"> bien</w:t>
      </w:r>
      <w:r w:rsidRPr="0033016F">
        <w:rPr>
          <w:rFonts w:ascii="Arial" w:hAnsi="Arial" w:cs="Arial"/>
          <w:bCs/>
          <w:sz w:val="22"/>
          <w:lang w:val="es-ES_tradnl"/>
        </w:rPr>
        <w:t xml:space="preserve"> podrían incluir cláusulas o reglas bajo las cuales se estableciera que el valor de alguno o de todos los componentes </w:t>
      </w:r>
      <w:r w:rsidRPr="0033016F">
        <w:rPr>
          <w:rFonts w:ascii="Arial" w:hAnsi="Arial" w:cs="Arial"/>
          <w:bCs/>
          <w:sz w:val="22"/>
          <w:lang w:val="es-ES_tradnl"/>
        </w:rPr>
        <w:lastRenderedPageBreak/>
        <w:t xml:space="preserve">de la Administración o los Imprevistos solo se pagan si el contratista demuestra que incurrió en algunos costos específicos. Así, podrían pactar que algunos de los ítems o costos que conforman la </w:t>
      </w:r>
      <w:r w:rsidRPr="0033016F">
        <w:rPr>
          <w:rFonts w:ascii="Arial" w:hAnsi="Arial" w:cs="Arial"/>
          <w:bCs/>
          <w:i/>
          <w:iCs/>
          <w:sz w:val="22"/>
          <w:lang w:val="es-ES_tradnl"/>
        </w:rPr>
        <w:t>Administración</w:t>
      </w:r>
      <w:r w:rsidRPr="0033016F">
        <w:rPr>
          <w:rFonts w:ascii="Arial" w:hAnsi="Arial" w:cs="Arial"/>
          <w:bCs/>
          <w:sz w:val="22"/>
          <w:lang w:val="es-ES_tradnl"/>
        </w:rPr>
        <w:t xml:space="preserve"> solo se paguen si el contratista acredita que incurrió en ellos y bajo el monto que este logre demostrar.</w:t>
      </w:r>
    </w:p>
    <w:p w:rsidRPr="0033016F" w:rsidR="00990701" w:rsidP="00990701" w:rsidRDefault="00990701" w14:paraId="521EE4F0" w14:textId="77817D9E">
      <w:pPr>
        <w:spacing w:after="120" w:line="276" w:lineRule="auto"/>
        <w:jc w:val="both"/>
        <w:rPr>
          <w:rFonts w:ascii="Arial" w:hAnsi="Arial" w:cs="Arial"/>
          <w:bCs/>
          <w:sz w:val="22"/>
          <w:lang w:val="es-ES_tradnl"/>
        </w:rPr>
      </w:pPr>
      <w:r w:rsidRPr="0033016F">
        <w:rPr>
          <w:rFonts w:ascii="Arial" w:hAnsi="Arial" w:cs="Arial"/>
          <w:bCs/>
          <w:sz w:val="22"/>
          <w:lang w:val="es-ES_tradnl"/>
        </w:rPr>
        <w:tab/>
      </w:r>
      <w:r w:rsidRPr="0033016F">
        <w:rPr>
          <w:rFonts w:ascii="Arial" w:hAnsi="Arial" w:cs="Arial"/>
          <w:bCs/>
          <w:sz w:val="22"/>
          <w:lang w:val="es-ES_tradnl"/>
        </w:rPr>
        <w:t xml:space="preserve">Sin embargo, una regulación como la anterior no es la que suele emplearse en los contratos estatales. Lo usual, que se advierte en la práctica de las entidades estatales, es que acuden al AIU con la finalidad de establecer un precio más estable, de manera que el valor del contrato consistirá en lo que resulte de afectar los costos directos por el porcentaje, en principio, invariable del AIU, de manera que a aquel valor se le suma este. Así las cosas, las partes asumen los riesgos inherentes a esta forma de pactar el precio, entendiendo aceptados los </w:t>
      </w:r>
      <w:proofErr w:type="spellStart"/>
      <w:r w:rsidRPr="0033016F">
        <w:rPr>
          <w:rFonts w:ascii="Arial" w:hAnsi="Arial" w:cs="Arial"/>
          <w:bCs/>
          <w:sz w:val="22"/>
          <w:lang w:val="es-ES_tradnl"/>
        </w:rPr>
        <w:t>áleas</w:t>
      </w:r>
      <w:proofErr w:type="spellEnd"/>
      <w:r w:rsidRPr="0033016F">
        <w:rPr>
          <w:rFonts w:ascii="Arial" w:hAnsi="Arial" w:cs="Arial"/>
          <w:bCs/>
          <w:sz w:val="22"/>
          <w:lang w:val="es-ES_tradnl"/>
        </w:rPr>
        <w:t xml:space="preserve"> normales que se presenten en la ejecución del contrato, de manera que aunque el contratista incurra en mayores costos de los ítems incluidos en la </w:t>
      </w:r>
      <w:r w:rsidRPr="0033016F">
        <w:rPr>
          <w:rFonts w:ascii="Arial" w:hAnsi="Arial" w:cs="Arial"/>
          <w:bCs/>
          <w:i/>
          <w:iCs/>
          <w:sz w:val="22"/>
          <w:lang w:val="es-ES_tradnl"/>
        </w:rPr>
        <w:t>Administración</w:t>
      </w:r>
      <w:r w:rsidRPr="0033016F">
        <w:rPr>
          <w:rFonts w:ascii="Arial" w:hAnsi="Arial" w:cs="Arial"/>
          <w:bCs/>
          <w:sz w:val="22"/>
          <w:lang w:val="es-ES_tradnl"/>
        </w:rPr>
        <w:t xml:space="preserve"> al presentar su oferta, o que estos disminuyan, aparezcan algunos nuevos o desaparezcan algunos de ellos, el valor se mantenga invariable</w:t>
      </w:r>
      <w:r w:rsidR="00B6015F">
        <w:rPr>
          <w:rFonts w:ascii="Arial" w:hAnsi="Arial" w:cs="Arial"/>
          <w:bCs/>
          <w:sz w:val="22"/>
          <w:lang w:val="es-ES_tradnl"/>
        </w:rPr>
        <w:t>. De este modo,</w:t>
      </w:r>
      <w:r w:rsidRPr="0033016F">
        <w:rPr>
          <w:rFonts w:ascii="Arial" w:hAnsi="Arial" w:cs="Arial"/>
          <w:bCs/>
          <w:sz w:val="22"/>
          <w:lang w:val="es-ES_tradnl"/>
        </w:rPr>
        <w:t xml:space="preserve"> las partes optan por darle estabilidad al negocio</w:t>
      </w:r>
      <w:r>
        <w:rPr>
          <w:rFonts w:ascii="Arial" w:hAnsi="Arial" w:cs="Arial"/>
          <w:bCs/>
          <w:sz w:val="22"/>
          <w:lang w:val="es-ES_tradnl"/>
        </w:rPr>
        <w:t>,</w:t>
      </w:r>
      <w:r w:rsidRPr="0033016F">
        <w:rPr>
          <w:rFonts w:ascii="Arial" w:hAnsi="Arial" w:cs="Arial"/>
          <w:bCs/>
          <w:sz w:val="22"/>
          <w:lang w:val="es-ES_tradnl"/>
        </w:rPr>
        <w:t xml:space="preserve"> asumiendo cada una de ellas lo que le favorezca o desfavorezca, lo que evita, además, incurrir en costos de transacción relacionados con la necesidad de acreditar y verificar cada costo específico asociado a la </w:t>
      </w:r>
      <w:r w:rsidRPr="0033016F">
        <w:rPr>
          <w:rFonts w:ascii="Arial" w:hAnsi="Arial" w:cs="Arial"/>
          <w:bCs/>
          <w:i/>
          <w:iCs/>
          <w:sz w:val="22"/>
          <w:lang w:val="es-ES_tradnl"/>
        </w:rPr>
        <w:t>Administración</w:t>
      </w:r>
      <w:r w:rsidRPr="0033016F">
        <w:rPr>
          <w:rFonts w:ascii="Arial" w:hAnsi="Arial" w:cs="Arial"/>
          <w:bCs/>
          <w:sz w:val="22"/>
          <w:lang w:val="es-ES_tradnl"/>
        </w:rPr>
        <w:t>, lo que generaría más gastos tanto para la entidad como para el contratista.</w:t>
      </w:r>
    </w:p>
    <w:p w:rsidRPr="0033016F" w:rsidR="00990701" w:rsidP="00990701" w:rsidRDefault="00990701" w14:paraId="0641BB5C" w14:textId="0676C187">
      <w:pPr>
        <w:spacing w:after="120" w:line="276" w:lineRule="auto"/>
        <w:jc w:val="both"/>
        <w:rPr>
          <w:rFonts w:ascii="Arial" w:hAnsi="Arial" w:cs="Arial"/>
          <w:bCs/>
          <w:sz w:val="22"/>
          <w:lang w:val="es-ES_tradnl"/>
        </w:rPr>
      </w:pPr>
      <w:r w:rsidRPr="0033016F">
        <w:rPr>
          <w:rFonts w:ascii="Arial" w:hAnsi="Arial" w:cs="Arial"/>
          <w:bCs/>
          <w:sz w:val="22"/>
          <w:lang w:val="es-ES_tradnl"/>
        </w:rPr>
        <w:tab/>
      </w:r>
      <w:r w:rsidRPr="0033016F">
        <w:rPr>
          <w:rFonts w:ascii="Arial" w:hAnsi="Arial" w:cs="Arial"/>
          <w:bCs/>
          <w:sz w:val="22"/>
          <w:lang w:val="es-ES_tradnl"/>
        </w:rPr>
        <w:t xml:space="preserve">En este sentido, cuando las entidades estatales incluyen esta forma de desglosar el precio, en los últimos términos indicados, que es como usualmente lo hacen, al realizar el estudio de mercado elaboran un presupuesto estimado del valor de la ejecución del contrato, incluyendo los costos genéricos </w:t>
      </w:r>
      <w:r w:rsidRPr="0033016F">
        <w:rPr>
          <w:rFonts w:ascii="Arial" w:hAnsi="Arial" w:cs="Arial"/>
          <w:bCs/>
          <w:i/>
          <w:iCs/>
          <w:sz w:val="22"/>
          <w:lang w:val="es-ES_tradnl"/>
        </w:rPr>
        <w:t xml:space="preserve">indirectos </w:t>
      </w:r>
      <w:r w:rsidRPr="0033016F">
        <w:rPr>
          <w:rFonts w:ascii="Arial" w:hAnsi="Arial" w:cs="Arial"/>
          <w:bCs/>
          <w:sz w:val="22"/>
          <w:lang w:val="es-ES_tradnl"/>
        </w:rPr>
        <w:t xml:space="preserve">en que incurren los contratistas, entre ellos, los de la </w:t>
      </w:r>
      <w:r w:rsidRPr="0033016F">
        <w:rPr>
          <w:rFonts w:ascii="Arial" w:hAnsi="Arial" w:cs="Arial"/>
          <w:bCs/>
          <w:i/>
          <w:iCs/>
          <w:sz w:val="22"/>
          <w:lang w:val="es-ES_tradnl"/>
        </w:rPr>
        <w:t>Administración</w:t>
      </w:r>
      <w:r w:rsidR="00A775B0">
        <w:rPr>
          <w:rFonts w:ascii="Arial" w:hAnsi="Arial" w:cs="Arial"/>
          <w:bCs/>
          <w:sz w:val="22"/>
          <w:lang w:val="es-ES_tradnl"/>
        </w:rPr>
        <w:t>.</w:t>
      </w:r>
      <w:r w:rsidRPr="0033016F">
        <w:rPr>
          <w:rFonts w:ascii="Arial" w:hAnsi="Arial" w:cs="Arial"/>
          <w:bCs/>
          <w:sz w:val="22"/>
          <w:lang w:val="es-ES_tradnl"/>
        </w:rPr>
        <w:t xml:space="preserve"> </w:t>
      </w:r>
      <w:r w:rsidR="009B4F98">
        <w:rPr>
          <w:rFonts w:ascii="Arial" w:hAnsi="Arial" w:cs="Arial"/>
          <w:bCs/>
          <w:sz w:val="22"/>
          <w:lang w:val="es-ES_tradnl"/>
        </w:rPr>
        <w:t>Lo anterior</w:t>
      </w:r>
      <w:r w:rsidR="009C3E8F">
        <w:rPr>
          <w:rFonts w:ascii="Arial" w:hAnsi="Arial" w:cs="Arial"/>
          <w:bCs/>
          <w:sz w:val="22"/>
          <w:lang w:val="es-ES_tradnl"/>
        </w:rPr>
        <w:t xml:space="preserve"> con la finalidad</w:t>
      </w:r>
      <w:r w:rsidRPr="0033016F">
        <w:rPr>
          <w:rFonts w:ascii="Arial" w:hAnsi="Arial" w:cs="Arial"/>
          <w:bCs/>
          <w:sz w:val="22"/>
          <w:lang w:val="es-ES_tradnl"/>
        </w:rPr>
        <w:t xml:space="preserve"> de definir el porcentaje con el que calculan el presupuesto, pese a que el monto de este componente varía ostensiblemente de un proponente a otro, pues el valor real de la </w:t>
      </w:r>
      <w:r w:rsidRPr="0033016F">
        <w:rPr>
          <w:rFonts w:ascii="Arial" w:hAnsi="Arial" w:cs="Arial"/>
          <w:bCs/>
          <w:i/>
          <w:iCs/>
          <w:sz w:val="22"/>
          <w:lang w:val="es-ES_tradnl"/>
        </w:rPr>
        <w:t>Administración</w:t>
      </w:r>
      <w:r w:rsidRPr="0033016F">
        <w:rPr>
          <w:rFonts w:ascii="Arial" w:hAnsi="Arial" w:cs="Arial"/>
          <w:bCs/>
          <w:sz w:val="22"/>
          <w:lang w:val="es-ES_tradnl"/>
        </w:rPr>
        <w:t xml:space="preserve"> depende de circunstancias particulares de los proponentes</w:t>
      </w:r>
      <w:r w:rsidRPr="0033016F">
        <w:rPr>
          <w:rStyle w:val="Refdenotaalpie"/>
          <w:rFonts w:ascii="Arial" w:hAnsi="Arial" w:cs="Arial"/>
          <w:bCs/>
          <w:sz w:val="22"/>
          <w:lang w:val="es-ES_tradnl"/>
        </w:rPr>
        <w:footnoteReference w:id="9"/>
      </w:r>
      <w:r w:rsidRPr="0033016F">
        <w:rPr>
          <w:rFonts w:ascii="Arial" w:hAnsi="Arial" w:cs="Arial"/>
          <w:bCs/>
          <w:sz w:val="22"/>
          <w:lang w:val="es-ES_tradnl"/>
        </w:rPr>
        <w:t>. De manera que las entidades calculan un valor estimado que, a su vez, sirve de guía para que los proponentes formulen sus ofertas</w:t>
      </w:r>
      <w:r w:rsidR="008B3F8C">
        <w:rPr>
          <w:rFonts w:ascii="Arial" w:hAnsi="Arial" w:cs="Arial"/>
          <w:bCs/>
          <w:sz w:val="22"/>
          <w:lang w:val="es-ES_tradnl"/>
        </w:rPr>
        <w:t>,</w:t>
      </w:r>
      <w:r w:rsidRPr="0033016F">
        <w:rPr>
          <w:rFonts w:ascii="Arial" w:hAnsi="Arial" w:cs="Arial"/>
          <w:bCs/>
          <w:sz w:val="22"/>
          <w:lang w:val="es-ES_tradnl"/>
        </w:rPr>
        <w:t xml:space="preserve"> pero bajo la premisa de que pagarán un porcentaje fijo incluido por los interesados en sus propuestas, dado lo variable que resulta este valor, y lo complejo y gravoso de realizar un seguimiento minucioso a los costos en que incurren los contratistas por este componente en particular. Además, que estos podrían ser mayores a los inicialmente pactados con el contratista, de </w:t>
      </w:r>
      <w:r w:rsidRPr="0033016F">
        <w:rPr>
          <w:rFonts w:ascii="Arial" w:hAnsi="Arial" w:cs="Arial"/>
          <w:bCs/>
          <w:sz w:val="22"/>
          <w:lang w:val="es-ES_tradnl"/>
        </w:rPr>
        <w:lastRenderedPageBreak/>
        <w:t>manera que la fijación de un porcentaje fijo y estable también resulta favorable a la entidad estatal, pues su contraparte no le podrá exigir un monto superior, bajo el argumento de que incurrió en costos adicionales asociados al componente Administración</w:t>
      </w:r>
      <w:r w:rsidRPr="0033016F">
        <w:rPr>
          <w:rStyle w:val="Refdenotaalpie"/>
          <w:rFonts w:ascii="Arial" w:hAnsi="Arial" w:cs="Arial"/>
          <w:bCs/>
          <w:sz w:val="22"/>
          <w:lang w:val="es-ES_tradnl"/>
        </w:rPr>
        <w:footnoteReference w:id="10"/>
      </w:r>
      <w:r w:rsidRPr="0033016F">
        <w:rPr>
          <w:rFonts w:ascii="Arial" w:hAnsi="Arial" w:cs="Arial"/>
          <w:bCs/>
          <w:sz w:val="22"/>
          <w:lang w:val="es-ES_tradnl"/>
        </w:rPr>
        <w:t>.</w:t>
      </w:r>
    </w:p>
    <w:p w:rsidRPr="0033016F" w:rsidR="00990701" w:rsidP="00990701" w:rsidRDefault="00990701" w14:paraId="22BD68AE" w14:textId="77777777">
      <w:pPr>
        <w:spacing w:before="120" w:line="276" w:lineRule="auto"/>
        <w:jc w:val="both"/>
        <w:rPr>
          <w:rFonts w:ascii="Arial" w:hAnsi="Arial" w:cs="Arial"/>
          <w:bCs/>
          <w:sz w:val="22"/>
          <w:lang w:val="es-ES_tradnl"/>
        </w:rPr>
      </w:pPr>
      <w:r w:rsidRPr="0033016F">
        <w:rPr>
          <w:rFonts w:ascii="Arial" w:hAnsi="Arial" w:cs="Arial"/>
          <w:bCs/>
          <w:sz w:val="22"/>
          <w:lang w:val="es-ES_tradnl"/>
        </w:rPr>
        <w:tab/>
      </w:r>
      <w:r w:rsidRPr="0033016F">
        <w:rPr>
          <w:rFonts w:ascii="Arial" w:hAnsi="Arial" w:cs="Arial"/>
          <w:bCs/>
          <w:sz w:val="22"/>
          <w:lang w:val="es-ES_tradnl"/>
        </w:rPr>
        <w:t xml:space="preserve">En efecto, frente a los costos que suelen incluirse en la Administración –A–, la jurisprudencia, a partir de la práctica de las entidades estatales, ha señalado que: «Los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 En términos similares, pero más precisos, la doctrina, recogiendo la casuística de los contratos estatales, señala de forma más pormenorizada los gastos que se asocian a la –A–, donde se incluyen importantes costos indirectos en que se incurre en la ejecución: </w:t>
      </w:r>
    </w:p>
    <w:p w:rsidRPr="0033016F" w:rsidR="00990701" w:rsidP="00990701" w:rsidRDefault="00990701" w14:paraId="57658DC9" w14:textId="77777777">
      <w:pPr>
        <w:spacing w:line="276" w:lineRule="auto"/>
        <w:jc w:val="both"/>
        <w:rPr>
          <w:rFonts w:ascii="Arial" w:hAnsi="Arial" w:cs="Arial"/>
          <w:bCs/>
          <w:sz w:val="22"/>
          <w:lang w:val="es-ES_tradnl"/>
        </w:rPr>
      </w:pPr>
    </w:p>
    <w:p w:rsidRPr="0033016F" w:rsidR="00990701" w:rsidP="00990701" w:rsidRDefault="00990701" w14:paraId="6DFD4929" w14:textId="14EB05D4">
      <w:pPr>
        <w:ind w:left="709" w:right="709"/>
        <w:jc w:val="both"/>
        <w:rPr>
          <w:rFonts w:ascii="Arial" w:hAnsi="Arial" w:cs="Arial"/>
          <w:sz w:val="21"/>
          <w:szCs w:val="21"/>
          <w:lang w:val="es-ES_tradnl"/>
        </w:rPr>
      </w:pPr>
      <w:r w:rsidRPr="0033016F">
        <w:rPr>
          <w:rFonts w:ascii="Arial" w:hAnsi="Arial" w:cs="Arial"/>
          <w:sz w:val="21"/>
          <w:szCs w:val="21"/>
          <w:lang w:val="es-ES_tradnl"/>
        </w:rPr>
        <w:t>Para entender mejor el tema conviene especificar que si los gastos que hacen parte de la A se encuentran: i) el pago de salarios y prestaciones sociales del personal profesional y especializado necesario para ejecutar la obra –es el caso del Director de obra, los arquitectos, ingenieros y contadores, eventualmente abogados u otros; pero no se incluyen los obreros–, ii) pago de salarios y prestaciones sociales del personal logístico y de apoyo no dedicado directamente con la ejecución del contrato –por ejemplo: las secretarias de la empresa, el servicio de cafetería en mensajero, la vigilancia, los seguros, etc.– sin los que la empresa no puede funcionar; iii) pago de arrendamiento de las instalaciones necesarias para e</w:t>
      </w:r>
      <w:r w:rsidR="000C4984">
        <w:rPr>
          <w:rFonts w:ascii="Arial" w:hAnsi="Arial" w:cs="Arial"/>
          <w:sz w:val="21"/>
          <w:szCs w:val="21"/>
          <w:lang w:val="es-ES_tradnl"/>
        </w:rPr>
        <w:t>l</w:t>
      </w:r>
      <w:r w:rsidRPr="0033016F">
        <w:rPr>
          <w:rFonts w:ascii="Arial" w:hAnsi="Arial" w:cs="Arial"/>
          <w:sz w:val="21"/>
          <w:szCs w:val="21"/>
          <w:lang w:val="es-ES_tradnl"/>
        </w:rPr>
        <w:t xml:space="preserve"> funcionamiento de la empresa –oficinas y campamento de la obra–; iv) pago de impuestos y gravámenes en general que afectan la actividad o el contrato; v) valor de las fotocopias, papelería en general y equipos de oficina, vi) transporte terrestre, tiquetes aéreos y arrendamiento de vehículos –distintos de la maquinaria que se emplea en la obra–, vii) pólizas del contrato, viii) pago de servicios públicos y otras comunicaciones –como el servicio celular– y ix) gastos en que se incurra para realizar ensayos de laboratorio</w:t>
      </w:r>
      <w:r w:rsidRPr="0033016F">
        <w:rPr>
          <w:rStyle w:val="Refdenotaalpie"/>
          <w:rFonts w:ascii="Arial" w:hAnsi="Arial" w:cs="Arial"/>
          <w:sz w:val="21"/>
          <w:szCs w:val="21"/>
          <w:lang w:val="es-ES_tradnl"/>
        </w:rPr>
        <w:footnoteReference w:id="11"/>
      </w:r>
      <w:r w:rsidRPr="0033016F">
        <w:rPr>
          <w:rFonts w:ascii="Arial" w:hAnsi="Arial" w:cs="Arial"/>
          <w:sz w:val="21"/>
          <w:szCs w:val="21"/>
          <w:lang w:val="es-ES_tradnl"/>
        </w:rPr>
        <w:t>.</w:t>
      </w:r>
    </w:p>
    <w:p w:rsidRPr="0033016F" w:rsidR="00990701" w:rsidP="00990701" w:rsidRDefault="00990701" w14:paraId="28EC8E60" w14:textId="77777777">
      <w:pPr>
        <w:spacing w:line="276" w:lineRule="auto"/>
        <w:jc w:val="both"/>
        <w:rPr>
          <w:rFonts w:ascii="Arial" w:hAnsi="Arial" w:cs="Arial"/>
          <w:sz w:val="21"/>
          <w:szCs w:val="21"/>
          <w:lang w:val="es-ES_tradnl"/>
        </w:rPr>
      </w:pPr>
    </w:p>
    <w:p w:rsidRPr="0033016F" w:rsidR="00990701" w:rsidP="00990701" w:rsidRDefault="00990701" w14:paraId="161EC2AF" w14:textId="77777777">
      <w:pPr>
        <w:spacing w:line="276" w:lineRule="auto"/>
        <w:jc w:val="both"/>
        <w:rPr>
          <w:rFonts w:ascii="Arial" w:hAnsi="Arial" w:cs="Arial"/>
          <w:sz w:val="21"/>
          <w:szCs w:val="21"/>
          <w:lang w:val="es-ES_tradnl"/>
        </w:rPr>
      </w:pPr>
      <w:r w:rsidRPr="0033016F">
        <w:rPr>
          <w:rFonts w:ascii="Arial" w:hAnsi="Arial" w:cs="Arial"/>
          <w:sz w:val="21"/>
          <w:szCs w:val="21"/>
          <w:lang w:val="es-ES_tradnl"/>
        </w:rPr>
        <w:tab/>
      </w:r>
      <w:r w:rsidRPr="0033016F">
        <w:rPr>
          <w:rFonts w:ascii="Arial" w:hAnsi="Arial" w:cs="Arial"/>
          <w:bCs/>
          <w:sz w:val="22"/>
          <w:lang w:val="es-ES_tradnl"/>
        </w:rPr>
        <w:t xml:space="preserve">Partiendo de la forma usual como se estructuran los contratos estatales bajo la metodología del AIU, la doctrina expresa que este porcentaje se mantiene invariable, pese a los costos reales en que se incurra en la ejecución, pues las partes previamente acuerdan la forma de pago del precio del contrato, que se realiza con base en los costos directos del </w:t>
      </w:r>
      <w:r w:rsidRPr="0033016F">
        <w:rPr>
          <w:rFonts w:ascii="Arial" w:hAnsi="Arial" w:cs="Arial"/>
          <w:bCs/>
          <w:sz w:val="22"/>
          <w:lang w:val="es-ES_tradnl"/>
        </w:rPr>
        <w:lastRenderedPageBreak/>
        <w:t>contrato, sumados con el porcentaje del AIU aplicado a aquellos costos</w:t>
      </w:r>
      <w:r>
        <w:rPr>
          <w:rStyle w:val="Refdenotaalpie"/>
          <w:rFonts w:ascii="Arial" w:hAnsi="Arial" w:cs="Arial"/>
          <w:bCs/>
          <w:sz w:val="22"/>
          <w:lang w:val="es-ES_tradnl"/>
        </w:rPr>
        <w:footnoteReference w:id="12"/>
      </w:r>
      <w:r w:rsidRPr="0033016F">
        <w:rPr>
          <w:rFonts w:ascii="Arial" w:hAnsi="Arial" w:cs="Arial"/>
          <w:bCs/>
          <w:sz w:val="22"/>
          <w:lang w:val="es-ES_tradnl"/>
        </w:rPr>
        <w:t xml:space="preserve">. En particular frente al componente A, expresa: </w:t>
      </w:r>
      <w:r w:rsidRPr="0033016F">
        <w:rPr>
          <w:rFonts w:ascii="Arial" w:hAnsi="Arial" w:cs="Arial"/>
          <w:sz w:val="21"/>
          <w:szCs w:val="21"/>
          <w:lang w:val="es-ES_tradnl"/>
        </w:rPr>
        <w:t xml:space="preserve"> </w:t>
      </w:r>
    </w:p>
    <w:p w:rsidRPr="0033016F" w:rsidR="00990701" w:rsidP="00990701" w:rsidRDefault="00990701" w14:paraId="351F63D4" w14:textId="77777777">
      <w:pPr>
        <w:spacing w:line="276" w:lineRule="auto"/>
        <w:jc w:val="both"/>
        <w:rPr>
          <w:rFonts w:ascii="Arial" w:hAnsi="Arial" w:cs="Arial"/>
          <w:sz w:val="21"/>
          <w:szCs w:val="21"/>
          <w:lang w:val="es-ES_tradnl"/>
        </w:rPr>
      </w:pPr>
    </w:p>
    <w:p w:rsidRPr="0033016F" w:rsidR="00990701" w:rsidP="00990701" w:rsidRDefault="00990701" w14:paraId="104594F5" w14:textId="77777777">
      <w:pPr>
        <w:ind w:left="709" w:right="709"/>
        <w:jc w:val="both"/>
        <w:rPr>
          <w:rFonts w:ascii="Arial" w:hAnsi="Arial" w:cs="Arial"/>
          <w:sz w:val="21"/>
          <w:szCs w:val="21"/>
          <w:lang w:val="es-ES_tradnl"/>
        </w:rPr>
      </w:pPr>
      <w:r w:rsidRPr="0033016F">
        <w:rPr>
          <w:rFonts w:ascii="Arial" w:hAnsi="Arial" w:cs="Arial"/>
          <w:sz w:val="21"/>
          <w:szCs w:val="21"/>
          <w:lang w:val="es-ES_tradnl"/>
        </w:rPr>
        <w:t xml:space="preserve">Este porcentaje del valor del contrato también lo determina cada oferente–contratista con libertad, pues a él incumbe establecer cuánto ascienden sus gastos de administración, y si al final resultan superiores no puede exigir de la entidad, por esa sola circunstancia, un reembolso, porque para ella se trataba de un dato indicativo sobre la manera como se halla el valor total de la obra, de ninguna manera determinante de la forma como se paga cada actividad. A la inversa sucede lo mismo, si el gasto es inferior al presupuestado la entidad no puede pagar menos de lo pactado, sino los precios unitarios acordados por la </w:t>
      </w:r>
      <w:r w:rsidRPr="0033016F">
        <w:rPr>
          <w:rFonts w:ascii="Arial" w:hAnsi="Arial" w:cs="Arial"/>
          <w:i/>
          <w:iCs/>
          <w:sz w:val="21"/>
          <w:szCs w:val="21"/>
          <w:lang w:val="es-ES_tradnl"/>
        </w:rPr>
        <w:t>A</w:t>
      </w:r>
      <w:r w:rsidRPr="0033016F">
        <w:rPr>
          <w:rFonts w:ascii="Arial" w:hAnsi="Arial" w:cs="Arial"/>
          <w:sz w:val="21"/>
          <w:szCs w:val="21"/>
          <w:lang w:val="es-ES_tradnl"/>
        </w:rPr>
        <w:t xml:space="preserve"> –y dicho sea de paso, también por la </w:t>
      </w:r>
      <w:r w:rsidRPr="0033016F">
        <w:rPr>
          <w:rFonts w:ascii="Arial" w:hAnsi="Arial" w:cs="Arial"/>
          <w:i/>
          <w:iCs/>
          <w:sz w:val="21"/>
          <w:szCs w:val="21"/>
          <w:lang w:val="es-ES_tradnl"/>
        </w:rPr>
        <w:t>I</w:t>
      </w:r>
      <w:r w:rsidRPr="0033016F">
        <w:rPr>
          <w:rFonts w:ascii="Arial" w:hAnsi="Arial" w:cs="Arial"/>
          <w:sz w:val="21"/>
          <w:szCs w:val="21"/>
          <w:lang w:val="es-ES_tradnl"/>
        </w:rPr>
        <w:t xml:space="preserve"> y la </w:t>
      </w:r>
      <w:r w:rsidRPr="0033016F">
        <w:rPr>
          <w:rFonts w:ascii="Arial" w:hAnsi="Arial" w:cs="Arial"/>
          <w:i/>
          <w:iCs/>
          <w:sz w:val="21"/>
          <w:szCs w:val="21"/>
          <w:lang w:val="es-ES_tradnl"/>
        </w:rPr>
        <w:t>U</w:t>
      </w:r>
      <w:r w:rsidRPr="0033016F">
        <w:rPr>
          <w:rFonts w:ascii="Arial" w:hAnsi="Arial" w:cs="Arial"/>
          <w:sz w:val="21"/>
          <w:szCs w:val="21"/>
          <w:lang w:val="es-ES_tradnl"/>
        </w:rPr>
        <w:t xml:space="preserve">–. </w:t>
      </w:r>
    </w:p>
    <w:p w:rsidRPr="0033016F" w:rsidR="00990701" w:rsidP="00990701" w:rsidRDefault="00990701" w14:paraId="587045C8" w14:textId="77777777">
      <w:pPr>
        <w:spacing w:line="276" w:lineRule="auto"/>
        <w:jc w:val="both"/>
        <w:rPr>
          <w:rFonts w:ascii="Arial" w:hAnsi="Arial" w:cs="Arial"/>
          <w:bCs/>
          <w:sz w:val="22"/>
          <w:lang w:val="es-ES_tradnl"/>
        </w:rPr>
      </w:pPr>
    </w:p>
    <w:p w:rsidRPr="00650027" w:rsidR="00650027" w:rsidP="00BE1372" w:rsidRDefault="00990701" w14:paraId="4AA84A26" w14:textId="1EBAD460">
      <w:pPr>
        <w:spacing w:line="276" w:lineRule="auto"/>
        <w:ind w:firstLine="709"/>
        <w:jc w:val="both"/>
        <w:rPr>
          <w:rFonts w:ascii="Arial" w:hAnsi="Arial" w:cs="Arial"/>
          <w:bCs/>
          <w:sz w:val="22"/>
          <w:lang w:val="es-ES_tradnl"/>
        </w:rPr>
      </w:pPr>
      <w:r w:rsidRPr="0033016F">
        <w:rPr>
          <w:rFonts w:ascii="Arial" w:hAnsi="Arial" w:cs="Arial"/>
          <w:bCs/>
          <w:sz w:val="22"/>
          <w:lang w:val="es-ES_tradnl"/>
        </w:rPr>
        <w:t>Tal es la forma usual como se pacta el precio en los contratos estatales cuyo valor se define con base en la metodología del AIU. Lo anterior, sin perjuicio de que las partes en el contrato establezcan las cláusulas que a bien tengan, pues se trata de un aspecto en que la autonomía de la voluntad de que gozan las entidades estatales –y sus contratistas– despliega importantes efectos, por tratarse de un aspecto que no regula de forma específica el EGCAP.</w:t>
      </w:r>
    </w:p>
    <w:p w:rsidR="00BE1372" w:rsidP="00CC61CA" w:rsidRDefault="00BE1372" w14:paraId="48BEEA7E" w14:textId="77777777">
      <w:pPr>
        <w:spacing w:line="276" w:lineRule="auto"/>
        <w:jc w:val="both"/>
        <w:rPr>
          <w:rFonts w:ascii="Arial" w:hAnsi="Arial" w:cs="Arial"/>
          <w:b/>
          <w:sz w:val="22"/>
          <w:lang w:val="es-ES_tradnl"/>
        </w:rPr>
      </w:pPr>
    </w:p>
    <w:p w:rsidRPr="0033016F" w:rsidR="00CC61CA" w:rsidP="00CC61CA" w:rsidRDefault="00CC61CA" w14:paraId="6578EE74" w14:textId="64270A31">
      <w:pPr>
        <w:spacing w:line="276" w:lineRule="auto"/>
        <w:jc w:val="both"/>
        <w:rPr>
          <w:rFonts w:ascii="Arial" w:hAnsi="Arial" w:cs="Arial"/>
          <w:b/>
          <w:sz w:val="22"/>
          <w:lang w:val="es-ES_tradnl"/>
        </w:rPr>
      </w:pPr>
      <w:r w:rsidRPr="0033016F">
        <w:rPr>
          <w:rFonts w:ascii="Arial" w:hAnsi="Arial" w:cs="Arial"/>
          <w:b/>
          <w:sz w:val="22"/>
          <w:lang w:val="es-ES_tradnl"/>
        </w:rPr>
        <w:t>2.</w:t>
      </w:r>
      <w:r>
        <w:rPr>
          <w:rFonts w:ascii="Arial" w:hAnsi="Arial" w:cs="Arial"/>
          <w:b/>
          <w:sz w:val="22"/>
          <w:lang w:val="es-ES_tradnl"/>
        </w:rPr>
        <w:t>3</w:t>
      </w:r>
      <w:r w:rsidRPr="0033016F">
        <w:rPr>
          <w:rFonts w:ascii="Arial" w:hAnsi="Arial" w:cs="Arial"/>
          <w:b/>
          <w:sz w:val="22"/>
          <w:lang w:val="es-ES_tradnl"/>
        </w:rPr>
        <w:t xml:space="preserve">. </w:t>
      </w:r>
      <w:r>
        <w:rPr>
          <w:rFonts w:ascii="Arial" w:hAnsi="Arial" w:cs="Arial"/>
          <w:b/>
          <w:sz w:val="22"/>
          <w:lang w:val="es-ES_tradnl"/>
        </w:rPr>
        <w:t>Margen mínimo en la subasta inversa, anticipo y pago anticipado</w:t>
      </w:r>
    </w:p>
    <w:p w:rsidR="00CC61CA" w:rsidP="00990701" w:rsidRDefault="00CC61CA" w14:paraId="5F0532C1" w14:textId="77777777">
      <w:pPr>
        <w:spacing w:line="276" w:lineRule="auto"/>
        <w:ind w:firstLine="709"/>
        <w:jc w:val="both"/>
        <w:rPr>
          <w:rFonts w:ascii="Arial" w:hAnsi="Arial" w:cs="Arial"/>
          <w:bCs/>
          <w:sz w:val="22"/>
          <w:lang w:val="es-ES_tradnl"/>
        </w:rPr>
      </w:pPr>
    </w:p>
    <w:p w:rsidR="00CC61CA" w:rsidP="00FC3DFC" w:rsidRDefault="00CC61CA" w14:paraId="1FAC0E7D" w14:textId="194B06AC">
      <w:pPr>
        <w:spacing w:line="276" w:lineRule="auto"/>
        <w:jc w:val="both"/>
        <w:rPr>
          <w:rFonts w:ascii="Arial" w:hAnsi="Arial" w:cs="Arial"/>
          <w:bCs/>
          <w:sz w:val="22"/>
        </w:rPr>
      </w:pPr>
      <w:r>
        <w:rPr>
          <w:rFonts w:ascii="Arial" w:hAnsi="Arial" w:cs="Arial"/>
          <w:bCs/>
          <w:sz w:val="22"/>
        </w:rPr>
        <w:t>Teniendo en cuenta qu</w:t>
      </w:r>
      <w:r w:rsidR="00236016">
        <w:rPr>
          <w:rFonts w:ascii="Arial" w:hAnsi="Arial" w:cs="Arial"/>
          <w:bCs/>
          <w:sz w:val="22"/>
        </w:rPr>
        <w:t>e en la consulta se plantean dos preguntas adicionales, relacionada con los lances de precios en la subasta inversa, así como con la posibilidad de pactar anticipo o pago anticipado, se efectúan a continuación algunos comentarios acerca de dichos temas.</w:t>
      </w:r>
    </w:p>
    <w:p w:rsidRPr="00CC61CA" w:rsidR="00CC61CA" w:rsidP="00CC61CA" w:rsidRDefault="00CC61CA" w14:paraId="1255540D" w14:textId="6BAF049A">
      <w:pPr>
        <w:spacing w:before="120" w:line="276" w:lineRule="auto"/>
        <w:ind w:firstLine="709"/>
        <w:jc w:val="both"/>
        <w:rPr>
          <w:rFonts w:ascii="Arial" w:hAnsi="Arial" w:cs="Arial"/>
          <w:bCs/>
          <w:sz w:val="22"/>
        </w:rPr>
      </w:pPr>
      <w:r w:rsidRPr="00CC61CA">
        <w:rPr>
          <w:rFonts w:ascii="Arial" w:hAnsi="Arial" w:cs="Arial"/>
          <w:bCs/>
          <w:sz w:val="22"/>
        </w:rPr>
        <w:t xml:space="preserve">En relación con la pregunta que se formula sobre si en la subasta inversa los lances se deben hacer incluyendo el IVA, cabe señalar que </w:t>
      </w:r>
      <w:r w:rsidR="00650027">
        <w:rPr>
          <w:rFonts w:ascii="Arial" w:hAnsi="Arial" w:cs="Arial"/>
          <w:bCs/>
          <w:sz w:val="22"/>
        </w:rPr>
        <w:t xml:space="preserve">dicho certamen </w:t>
      </w:r>
      <w:r w:rsidRPr="00CC61CA">
        <w:rPr>
          <w:rFonts w:ascii="Arial" w:hAnsi="Arial" w:cs="Arial"/>
          <w:bCs/>
          <w:sz w:val="22"/>
        </w:rPr>
        <w:t xml:space="preserve">es una forma de presentación dinámica de la oferta, respecto de la cual el Decreto 1082 de 2015 dispone, en el numeral 6 del artículo 2.2.1.2.1.2.2., que </w:t>
      </w:r>
      <w:r w:rsidR="005224E5">
        <w:rPr>
          <w:rFonts w:ascii="Arial" w:hAnsi="Arial" w:cs="Arial"/>
          <w:bCs/>
          <w:sz w:val="22"/>
        </w:rPr>
        <w:t>«</w:t>
      </w:r>
      <w:r w:rsidRPr="00CC61CA">
        <w:rPr>
          <w:rFonts w:ascii="Arial" w:hAnsi="Arial" w:cs="Arial"/>
          <w:bCs/>
          <w:sz w:val="22"/>
        </w:rPr>
        <w:t>serán válidos los Lances efectuados durante la subasta inversa en los cuales la oferta sea mejorada en por lo menos el Margen Mínimo establecido</w:t>
      </w:r>
      <w:r w:rsidR="005224E5">
        <w:rPr>
          <w:rFonts w:ascii="Arial" w:hAnsi="Arial" w:cs="Arial"/>
          <w:bCs/>
          <w:sz w:val="22"/>
        </w:rPr>
        <w:t>»</w:t>
      </w:r>
      <w:r w:rsidRPr="00CC61CA">
        <w:rPr>
          <w:rFonts w:ascii="Arial" w:hAnsi="Arial" w:cs="Arial"/>
          <w:bCs/>
          <w:sz w:val="22"/>
        </w:rPr>
        <w:t>.</w:t>
      </w:r>
      <w:r w:rsidR="005224E5">
        <w:rPr>
          <w:rFonts w:ascii="Arial" w:hAnsi="Arial" w:cs="Arial"/>
          <w:bCs/>
          <w:sz w:val="22"/>
        </w:rPr>
        <w:t xml:space="preserve"> </w:t>
      </w:r>
      <w:r w:rsidRPr="00CC61CA">
        <w:rPr>
          <w:rFonts w:ascii="Arial" w:hAnsi="Arial" w:cs="Arial"/>
          <w:bCs/>
          <w:sz w:val="22"/>
        </w:rPr>
        <w:t xml:space="preserve">Este margen mínimo debe definirlo la entidad estatal en el pliego de condiciones, como lo establece el numeral 1 del mismo artículo. Además, el artículo 2.2.1.1.1.3.1. de dicho Decreto dispone que el margen mínimo es el </w:t>
      </w:r>
      <w:r w:rsidR="005224E5">
        <w:rPr>
          <w:rFonts w:ascii="Arial" w:hAnsi="Arial" w:cs="Arial"/>
          <w:bCs/>
          <w:sz w:val="22"/>
        </w:rPr>
        <w:t>«</w:t>
      </w:r>
      <w:r w:rsidRPr="00CC61CA">
        <w:rPr>
          <w:rFonts w:ascii="Arial" w:hAnsi="Arial" w:cs="Arial"/>
          <w:bCs/>
          <w:sz w:val="22"/>
        </w:rPr>
        <w:t xml:space="preserve">Valor mínimo en el cual el oferente en una subasta inversa debe reducir el valor del Lance o en una subasta de enajenación debe incrementar el valor del Lance, el cual puede ser expresado en dinero </w:t>
      </w:r>
      <w:r w:rsidRPr="00CC61CA">
        <w:rPr>
          <w:rFonts w:ascii="Arial" w:hAnsi="Arial" w:cs="Arial"/>
          <w:bCs/>
          <w:sz w:val="22"/>
        </w:rPr>
        <w:lastRenderedPageBreak/>
        <w:t>o en un porcentaje del precio de inicio de la subasta</w:t>
      </w:r>
      <w:r w:rsidR="005224E5">
        <w:rPr>
          <w:rFonts w:ascii="Arial" w:hAnsi="Arial" w:cs="Arial"/>
          <w:bCs/>
          <w:sz w:val="22"/>
        </w:rPr>
        <w:t>»</w:t>
      </w:r>
      <w:r w:rsidRPr="00CC61CA">
        <w:rPr>
          <w:rFonts w:ascii="Arial" w:hAnsi="Arial" w:cs="Arial"/>
          <w:bCs/>
          <w:sz w:val="22"/>
        </w:rPr>
        <w:t>. Así pues, la definición el margen mínimo de cada lance y la forma como se integra su valor es un asunto que debe establecer la entidad estatal en el pliego de condiciones.</w:t>
      </w:r>
    </w:p>
    <w:p w:rsidRPr="00CC61CA" w:rsidR="007B4B2D" w:rsidP="00CC61CA" w:rsidRDefault="00CC61CA" w14:paraId="4EFE69FC" w14:textId="37CFB947">
      <w:pPr>
        <w:spacing w:before="120" w:line="276" w:lineRule="auto"/>
        <w:ind w:firstLine="709"/>
        <w:jc w:val="both"/>
        <w:rPr>
          <w:rFonts w:ascii="Arial" w:hAnsi="Arial" w:cs="Arial"/>
          <w:bCs/>
          <w:sz w:val="22"/>
        </w:rPr>
      </w:pPr>
      <w:r w:rsidRPr="00CC61CA">
        <w:rPr>
          <w:rFonts w:ascii="Arial" w:hAnsi="Arial" w:cs="Arial"/>
          <w:bCs/>
          <w:sz w:val="22"/>
        </w:rPr>
        <w:t xml:space="preserve">Finalmente, las entidades estatales cuentan con discrecionalidad para establecer en el pliego de condiciones o pactar en los contratos la entrega de anticipo o pago anticipado, según lo que resulte más conveniente al cumplimiento de los fines del Estado, de acuerdo a los estudios previos efectuados en la fase de planeación. Sin perjuicio de lo anterior, deberán tener en cuenta que </w:t>
      </w:r>
      <w:r w:rsidR="005224E5">
        <w:rPr>
          <w:rFonts w:ascii="Arial" w:hAnsi="Arial" w:cs="Arial"/>
          <w:bCs/>
          <w:sz w:val="22"/>
        </w:rPr>
        <w:t>«</w:t>
      </w:r>
      <w:r w:rsidRPr="00CC61CA">
        <w:rPr>
          <w:rFonts w:ascii="Arial" w:hAnsi="Arial" w:cs="Arial"/>
          <w:bCs/>
          <w:sz w:val="22"/>
        </w:rPr>
        <w:t>En los contratos que celebren las entidades estatales se podrá pactar el pago anticipado y la entrega de anticipos, pero su monto no podrá exceder del cincuenta por ciento (50%) del valor del respectivo contrato</w:t>
      </w:r>
      <w:r w:rsidR="005224E5">
        <w:rPr>
          <w:rFonts w:ascii="Arial" w:hAnsi="Arial" w:cs="Arial"/>
          <w:bCs/>
          <w:sz w:val="22"/>
        </w:rPr>
        <w:t>»</w:t>
      </w:r>
      <w:r w:rsidRPr="00CC61CA">
        <w:rPr>
          <w:rFonts w:ascii="Arial" w:hAnsi="Arial" w:cs="Arial"/>
          <w:bCs/>
          <w:sz w:val="22"/>
        </w:rPr>
        <w:t xml:space="preserve">, según lo establece el primer inciso del parágrafo del artículo 40 de la Ley 80 de 1993. Obsérvese que la norma no distingue tipologías contractuales y, en tal sentido, también se </w:t>
      </w:r>
      <w:r w:rsidR="005224E5">
        <w:rPr>
          <w:rFonts w:ascii="Arial" w:hAnsi="Arial" w:cs="Arial"/>
          <w:bCs/>
          <w:sz w:val="22"/>
        </w:rPr>
        <w:t>podría</w:t>
      </w:r>
      <w:r w:rsidRPr="00CC61CA">
        <w:rPr>
          <w:rFonts w:ascii="Arial" w:hAnsi="Arial" w:cs="Arial"/>
          <w:bCs/>
          <w:sz w:val="22"/>
        </w:rPr>
        <w:t xml:space="preserve"> entregar anticipo o pago anticipado en un contrato de prestación de servicios profesionales, respetando el tope anteriormente señalado.</w:t>
      </w:r>
    </w:p>
    <w:p w:rsidR="007B4B2D" w:rsidP="00510DE9" w:rsidRDefault="007B4B2D" w14:paraId="30FAF72A" w14:textId="77777777">
      <w:pPr>
        <w:tabs>
          <w:tab w:val="left" w:pos="0"/>
        </w:tabs>
        <w:jc w:val="both"/>
        <w:rPr>
          <w:rFonts w:ascii="Arial" w:hAnsi="Arial" w:eastAsia="Calibri" w:cs="Arial"/>
          <w:b/>
          <w:color w:val="000000" w:themeColor="text1"/>
          <w:sz w:val="22"/>
          <w:lang w:val="es-ES_tradnl"/>
        </w:rPr>
      </w:pPr>
    </w:p>
    <w:p w:rsidRPr="00404C61" w:rsidR="00DD5B04" w:rsidP="00510DE9" w:rsidRDefault="004177A6" w14:paraId="37CA9805" w14:textId="5E12DF66">
      <w:pPr>
        <w:tabs>
          <w:tab w:val="left" w:pos="0"/>
        </w:tabs>
        <w:jc w:val="both"/>
        <w:rPr>
          <w:rFonts w:ascii="Arial" w:hAnsi="Arial" w:eastAsia="Calibri" w:cs="Arial"/>
          <w:b/>
          <w:color w:val="000000" w:themeColor="text1"/>
          <w:sz w:val="22"/>
          <w:lang w:val="es-ES_tradnl"/>
        </w:rPr>
      </w:pPr>
      <w:r w:rsidRPr="00404C61">
        <w:rPr>
          <w:rFonts w:ascii="Arial" w:hAnsi="Arial" w:eastAsia="Calibri" w:cs="Arial"/>
          <w:b/>
          <w:color w:val="000000" w:themeColor="text1"/>
          <w:sz w:val="22"/>
          <w:lang w:val="es-ES_tradnl"/>
        </w:rPr>
        <w:t>3</w:t>
      </w:r>
      <w:r w:rsidRPr="00404C61" w:rsidR="00B011A9">
        <w:rPr>
          <w:rFonts w:ascii="Arial" w:hAnsi="Arial" w:eastAsia="Calibri" w:cs="Arial"/>
          <w:b/>
          <w:color w:val="000000" w:themeColor="text1"/>
          <w:sz w:val="22"/>
          <w:lang w:val="es-ES_tradnl"/>
        </w:rPr>
        <w:t xml:space="preserve">. </w:t>
      </w:r>
      <w:r w:rsidRPr="00404C61" w:rsidR="00DD5B04">
        <w:rPr>
          <w:rFonts w:ascii="Arial" w:hAnsi="Arial" w:eastAsia="Calibri" w:cs="Arial"/>
          <w:b/>
          <w:color w:val="000000" w:themeColor="text1"/>
          <w:sz w:val="22"/>
          <w:lang w:val="es-ES_tradnl"/>
        </w:rPr>
        <w:t>Respuesta</w:t>
      </w:r>
      <w:r w:rsidR="00CC71D3">
        <w:rPr>
          <w:rFonts w:ascii="Arial" w:hAnsi="Arial" w:eastAsia="Calibri" w:cs="Arial"/>
          <w:b/>
          <w:color w:val="000000" w:themeColor="text1"/>
          <w:sz w:val="22"/>
          <w:lang w:val="es-ES_tradnl"/>
        </w:rPr>
        <w:t>s</w:t>
      </w:r>
    </w:p>
    <w:p w:rsidRPr="00404C61" w:rsidR="00C4581D" w:rsidP="00510DE9" w:rsidRDefault="00C4581D" w14:paraId="0B74D5B8" w14:textId="7F0A7F13">
      <w:pPr>
        <w:tabs>
          <w:tab w:val="left" w:pos="0"/>
        </w:tabs>
        <w:jc w:val="both"/>
        <w:rPr>
          <w:rFonts w:ascii="Arial" w:hAnsi="Arial" w:eastAsia="Calibri" w:cs="Arial"/>
          <w:color w:val="000000" w:themeColor="text1"/>
          <w:sz w:val="22"/>
          <w:lang w:val="es-ES_tradnl"/>
        </w:rPr>
      </w:pPr>
    </w:p>
    <w:p w:rsidRPr="00A500B1" w:rsidR="0048540C" w:rsidP="0048540C" w:rsidRDefault="0048540C" w14:paraId="7615D242" w14:textId="1FDAA8D9">
      <w:pPr>
        <w:ind w:left="709" w:right="709"/>
        <w:jc w:val="both"/>
        <w:rPr>
          <w:rFonts w:ascii="Arial" w:hAnsi="Arial" w:cs="Arial"/>
          <w:color w:val="000000" w:themeColor="text1"/>
          <w:sz w:val="21"/>
          <w:szCs w:val="21"/>
          <w:lang w:val="es-ES_tradnl"/>
        </w:rPr>
      </w:pPr>
      <w:r w:rsidRPr="00A500B1">
        <w:rPr>
          <w:rFonts w:ascii="Arial" w:hAnsi="Arial" w:cs="Arial"/>
          <w:color w:val="000000" w:themeColor="text1"/>
          <w:sz w:val="21"/>
          <w:szCs w:val="21"/>
          <w:lang w:val="es-ES_tradnl"/>
        </w:rPr>
        <w:t>«</w:t>
      </w:r>
      <w:r w:rsidRPr="00A500B1">
        <w:rPr>
          <w:rFonts w:ascii="Arial" w:hAnsi="Arial" w:cs="Arial"/>
          <w:sz w:val="21"/>
          <w:szCs w:val="21"/>
        </w:rPr>
        <w:t>[…]</w:t>
      </w:r>
      <w:r w:rsidRPr="00A500B1">
        <w:rPr>
          <w:rFonts w:ascii="Arial" w:hAnsi="Arial" w:cs="Arial"/>
          <w:color w:val="000000" w:themeColor="text1"/>
          <w:sz w:val="21"/>
          <w:szCs w:val="21"/>
          <w:lang w:val="es-ES_tradnl"/>
        </w:rPr>
        <w:t xml:space="preserve"> ¿En cuál o cuáles tipologías contractuales aplica el AIU?</w:t>
      </w:r>
      <w:r w:rsidR="00127EDC">
        <w:rPr>
          <w:rFonts w:ascii="Arial" w:hAnsi="Arial" w:cs="Arial"/>
          <w:color w:val="000000" w:themeColor="text1"/>
          <w:sz w:val="21"/>
          <w:szCs w:val="21"/>
          <w:lang w:val="es-ES_tradnl"/>
        </w:rPr>
        <w:t>»</w:t>
      </w:r>
    </w:p>
    <w:p w:rsidR="00603499" w:rsidP="00A54FC2" w:rsidRDefault="00603499" w14:paraId="7058B985" w14:textId="77777777">
      <w:pPr>
        <w:spacing w:line="276" w:lineRule="auto"/>
        <w:jc w:val="both"/>
        <w:rPr>
          <w:rFonts w:ascii="Arial" w:hAnsi="Arial" w:cs="Arial"/>
          <w:color w:val="000000"/>
          <w:sz w:val="22"/>
          <w:szCs w:val="22"/>
          <w:bdr w:val="none" w:color="auto" w:sz="0" w:space="0" w:frame="1"/>
        </w:rPr>
      </w:pPr>
    </w:p>
    <w:p w:rsidRPr="00A54FC2" w:rsidR="00A54FC2" w:rsidP="00A54FC2" w:rsidRDefault="00A54FC2" w14:paraId="6FEE7755" w14:textId="17D078DE">
      <w:pPr>
        <w:spacing w:line="276" w:lineRule="auto"/>
        <w:jc w:val="both"/>
        <w:rPr>
          <w:rFonts w:ascii="Calibri" w:hAnsi="Calibri" w:cs="Calibri"/>
          <w:color w:val="000000"/>
          <w:sz w:val="22"/>
          <w:szCs w:val="22"/>
        </w:rPr>
      </w:pPr>
      <w:r w:rsidRPr="00A54FC2">
        <w:rPr>
          <w:rFonts w:ascii="Arial" w:hAnsi="Arial" w:cs="Arial"/>
          <w:color w:val="000000"/>
          <w:sz w:val="22"/>
          <w:szCs w:val="22"/>
          <w:bdr w:val="none" w:color="auto" w:sz="0" w:space="0" w:frame="1"/>
        </w:rPr>
        <w:t>La metodología de estipulación del precio a través de la utilización de las variables AIU, como forma de calcular los costos indirectos, no tiene una regulación expresa en el Estatuto General de Contratación de la Administración Pública, en el Decreto 1082 de 2015 o en disposiciones normativas complementarias.</w:t>
      </w:r>
      <w:r w:rsidR="00B4387A">
        <w:rPr>
          <w:rFonts w:ascii="Arial" w:hAnsi="Arial" w:cs="Arial"/>
          <w:color w:val="000000"/>
          <w:sz w:val="22"/>
          <w:szCs w:val="22"/>
          <w:bdr w:val="none" w:color="auto" w:sz="0" w:space="0" w:frame="1"/>
        </w:rPr>
        <w:t xml:space="preserve"> </w:t>
      </w:r>
      <w:r w:rsidRPr="00A54FC2">
        <w:rPr>
          <w:rFonts w:ascii="Arial" w:hAnsi="Arial" w:cs="Arial"/>
          <w:color w:val="000000"/>
          <w:sz w:val="22"/>
          <w:szCs w:val="22"/>
          <w:bdr w:val="none" w:color="auto" w:sz="0" w:space="0" w:frame="1"/>
        </w:rPr>
        <w:t xml:space="preserve">Por tanto, no hay un listado legal o reglamentario de tipologías contractuales que la admitan. Lo que existe es una competencia para las entidades estatales, reconocida en el artículo 40 de la Ley 80 de 1993, en los siguientes términos: </w:t>
      </w:r>
      <w:r w:rsidR="00F87634">
        <w:rPr>
          <w:rFonts w:ascii="Arial" w:hAnsi="Arial" w:cs="Arial"/>
          <w:color w:val="000000"/>
          <w:sz w:val="22"/>
          <w:szCs w:val="22"/>
          <w:bdr w:val="none" w:color="auto" w:sz="0" w:space="0" w:frame="1"/>
        </w:rPr>
        <w:t>«</w:t>
      </w:r>
      <w:r w:rsidRPr="00A54FC2">
        <w:rPr>
          <w:rFonts w:ascii="Arial" w:hAnsi="Arial" w:cs="Arial"/>
          <w:color w:val="000000"/>
          <w:sz w:val="22"/>
          <w:szCs w:val="22"/>
          <w:bdr w:val="none" w:color="auto" w:sz="0" w:space="0" w:frame="1"/>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r w:rsidR="00F87634">
        <w:rPr>
          <w:rFonts w:ascii="Arial" w:hAnsi="Arial" w:cs="Arial"/>
          <w:color w:val="000000"/>
          <w:sz w:val="22"/>
          <w:szCs w:val="22"/>
          <w:bdr w:val="none" w:color="auto" w:sz="0" w:space="0" w:frame="1"/>
        </w:rPr>
        <w:t>»</w:t>
      </w:r>
      <w:r w:rsidRPr="00A54FC2">
        <w:rPr>
          <w:rFonts w:ascii="Arial" w:hAnsi="Arial" w:cs="Arial"/>
          <w:color w:val="000000"/>
          <w:sz w:val="22"/>
          <w:szCs w:val="22"/>
          <w:bdr w:val="none" w:color="auto" w:sz="0" w:space="0" w:frame="1"/>
        </w:rPr>
        <w:t>. Por tanto, el AIU, como metodología de pacto del precio que proviene de la costumbre mercantil, se puede utilizar en principio en cualquier tipología contractual; aunque lo más común es que se use en los contratos de tracto sucesivo, especialmente en los que se distinguen los precios unitarios.</w:t>
      </w:r>
    </w:p>
    <w:p w:rsidRPr="00A54FC2" w:rsidR="0048540C" w:rsidP="0048540C" w:rsidRDefault="0048540C" w14:paraId="3E30226A" w14:textId="77777777">
      <w:pPr>
        <w:ind w:left="709" w:right="709"/>
        <w:jc w:val="both"/>
        <w:rPr>
          <w:rFonts w:ascii="Arial" w:hAnsi="Arial" w:cs="Arial"/>
          <w:color w:val="000000" w:themeColor="text1"/>
          <w:sz w:val="21"/>
          <w:szCs w:val="21"/>
        </w:rPr>
      </w:pPr>
    </w:p>
    <w:p w:rsidRPr="00A500B1" w:rsidR="0048540C" w:rsidP="0048540C" w:rsidRDefault="00127EDC" w14:paraId="57A520D6" w14:textId="63ACF778">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A500B1" w:rsidR="0048540C">
        <w:rPr>
          <w:rFonts w:ascii="Arial" w:hAnsi="Arial" w:cs="Arial"/>
          <w:color w:val="000000" w:themeColor="text1"/>
          <w:sz w:val="21"/>
          <w:szCs w:val="21"/>
          <w:lang w:val="es-ES_tradnl"/>
        </w:rPr>
        <w:t>[…] ¿En que modalidad o modalidades de selección aplica el AIU</w:t>
      </w:r>
      <w:r>
        <w:rPr>
          <w:rFonts w:ascii="Arial" w:hAnsi="Arial" w:cs="Arial"/>
          <w:color w:val="000000" w:themeColor="text1"/>
          <w:sz w:val="21"/>
          <w:szCs w:val="21"/>
          <w:lang w:val="es-ES_tradnl"/>
        </w:rPr>
        <w:t>»</w:t>
      </w:r>
    </w:p>
    <w:p w:rsidR="0048540C" w:rsidP="0048540C" w:rsidRDefault="0048540C" w14:paraId="74E993E5" w14:textId="5A996A97">
      <w:pPr>
        <w:ind w:left="709" w:right="709"/>
        <w:jc w:val="both"/>
        <w:rPr>
          <w:rFonts w:ascii="Arial" w:hAnsi="Arial" w:cs="Arial"/>
          <w:color w:val="000000" w:themeColor="text1"/>
          <w:sz w:val="21"/>
          <w:szCs w:val="21"/>
          <w:lang w:val="es-ES_tradnl"/>
        </w:rPr>
      </w:pPr>
    </w:p>
    <w:p w:rsidRPr="00A3043A" w:rsidR="00A3043A" w:rsidP="00A3043A" w:rsidRDefault="00A3043A" w14:paraId="14B169B4" w14:textId="77777777">
      <w:pPr>
        <w:spacing w:line="276" w:lineRule="auto"/>
        <w:jc w:val="both"/>
        <w:rPr>
          <w:rFonts w:ascii="Arial" w:hAnsi="Arial" w:cs="Arial"/>
          <w:color w:val="000000"/>
          <w:sz w:val="22"/>
          <w:szCs w:val="22"/>
          <w:bdr w:val="none" w:color="auto" w:sz="0" w:space="0" w:frame="1"/>
        </w:rPr>
      </w:pPr>
      <w:r w:rsidRPr="00A3043A">
        <w:rPr>
          <w:rFonts w:ascii="Arial" w:hAnsi="Arial" w:cs="Arial"/>
          <w:color w:val="000000"/>
          <w:sz w:val="22"/>
          <w:szCs w:val="22"/>
          <w:bdr w:val="none" w:color="auto" w:sz="0" w:space="0" w:frame="1"/>
        </w:rPr>
        <w:t xml:space="preserve">Como se indicó al responder la pregunta anterior, al igual que en las consideraciones de este concepto, el AIU es un método de estructuración del precio de los contratos. La determinación de este sistema de estipulación del valor debe ser el resultado de los estudios previos, y especialmente de los análisis de tipo técnico y financiero (o del análisis del sector). Solo a partir de tales estudios la entidad estatal podrá concluir si es oportuno y </w:t>
      </w:r>
      <w:r w:rsidRPr="00A3043A">
        <w:rPr>
          <w:rFonts w:ascii="Arial" w:hAnsi="Arial" w:cs="Arial"/>
          <w:color w:val="000000"/>
          <w:sz w:val="22"/>
          <w:szCs w:val="22"/>
          <w:bdr w:val="none" w:color="auto" w:sz="0" w:space="0" w:frame="1"/>
        </w:rPr>
        <w:lastRenderedPageBreak/>
        <w:t>conveniente establecer que el precio del contrato y, por tanto, la propuesta del oferente, se deberá establecer distinguiendo los costos directos respecto de los costos indirectos; estos últimos representados en el AIU. En consecuencia, no hay a priori modalidades de selección en las que la ley o el reglamento establezcan que se debe utilizar el AIU, ya que tal decisión obedece a lo que resulte más conveniente a la entidad estatal, en cumplimiento del principio de planeación. </w:t>
      </w:r>
    </w:p>
    <w:p w:rsidRPr="00A3043A" w:rsidR="00A3043A" w:rsidP="00B4387A" w:rsidRDefault="00A3043A" w14:paraId="4A9AF919" w14:textId="77777777">
      <w:pPr>
        <w:ind w:right="709"/>
        <w:jc w:val="both"/>
        <w:rPr>
          <w:rFonts w:ascii="Arial" w:hAnsi="Arial" w:cs="Arial"/>
          <w:color w:val="000000" w:themeColor="text1"/>
          <w:sz w:val="21"/>
          <w:szCs w:val="21"/>
        </w:rPr>
      </w:pPr>
    </w:p>
    <w:p w:rsidRPr="00A500B1" w:rsidR="0048540C" w:rsidP="0048540C" w:rsidRDefault="00127EDC" w14:paraId="3FDBB672" w14:textId="60206BAE">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A500B1" w:rsidR="0048540C">
        <w:rPr>
          <w:rFonts w:ascii="Arial" w:hAnsi="Arial" w:cs="Arial"/>
          <w:color w:val="000000" w:themeColor="text1"/>
          <w:sz w:val="21"/>
          <w:szCs w:val="21"/>
          <w:lang w:val="es-ES_tradnl"/>
        </w:rPr>
        <w:t>[…] ¿En la subasta inversa el certamen debe realizarse incluyendo el IVA o los lances deben realizarse antes de IVA?</w:t>
      </w:r>
      <w:r>
        <w:rPr>
          <w:rFonts w:ascii="Arial" w:hAnsi="Arial" w:cs="Arial"/>
          <w:color w:val="000000" w:themeColor="text1"/>
          <w:sz w:val="21"/>
          <w:szCs w:val="21"/>
          <w:lang w:val="es-ES_tradnl"/>
        </w:rPr>
        <w:t>»</w:t>
      </w:r>
    </w:p>
    <w:p w:rsidR="0048540C" w:rsidP="0048540C" w:rsidRDefault="0048540C" w14:paraId="6AF30FCC" w14:textId="61B46FE9">
      <w:pPr>
        <w:ind w:left="709" w:right="709"/>
        <w:jc w:val="both"/>
        <w:rPr>
          <w:rFonts w:ascii="Arial" w:hAnsi="Arial" w:cs="Arial"/>
          <w:color w:val="000000" w:themeColor="text1"/>
          <w:sz w:val="21"/>
          <w:szCs w:val="21"/>
          <w:lang w:val="es-ES_tradnl"/>
        </w:rPr>
      </w:pPr>
    </w:p>
    <w:p w:rsidRPr="00F87C5A" w:rsidR="00F87C5A" w:rsidP="00F87C5A" w:rsidRDefault="00F87C5A" w14:paraId="0DBC44A2" w14:textId="3F3F88CF">
      <w:pPr>
        <w:spacing w:line="276" w:lineRule="auto"/>
        <w:jc w:val="both"/>
        <w:rPr>
          <w:rFonts w:ascii="Arial" w:hAnsi="Arial" w:cs="Arial"/>
          <w:color w:val="000000"/>
          <w:sz w:val="22"/>
          <w:szCs w:val="22"/>
          <w:bdr w:val="none" w:color="auto" w:sz="0" w:space="0" w:frame="1"/>
        </w:rPr>
      </w:pPr>
      <w:r w:rsidRPr="00F87C5A">
        <w:rPr>
          <w:rFonts w:ascii="Arial" w:hAnsi="Arial" w:cs="Arial"/>
          <w:color w:val="000000"/>
          <w:sz w:val="22"/>
          <w:szCs w:val="22"/>
          <w:bdr w:val="none" w:color="auto" w:sz="0" w:space="0" w:frame="1"/>
        </w:rPr>
        <w:t xml:space="preserve">El artículo 2.2.1.1.1.3.1. del Decreto 1082 de 2015 establece que el margen mínimo en la subasta inversa es el </w:t>
      </w:r>
      <w:r w:rsidR="00AA66ED">
        <w:rPr>
          <w:rFonts w:ascii="Arial" w:hAnsi="Arial" w:cs="Arial"/>
          <w:color w:val="000000"/>
          <w:sz w:val="22"/>
          <w:szCs w:val="22"/>
          <w:bdr w:val="none" w:color="auto" w:sz="0" w:space="0" w:frame="1"/>
        </w:rPr>
        <w:t>«</w:t>
      </w:r>
      <w:r w:rsidRPr="00F87C5A">
        <w:rPr>
          <w:rFonts w:ascii="Arial" w:hAnsi="Arial" w:cs="Arial"/>
          <w:color w:val="000000"/>
          <w:sz w:val="22"/>
          <w:szCs w:val="22"/>
          <w:bdr w:val="none" w:color="auto" w:sz="0" w:space="0" w:frame="1"/>
        </w:rPr>
        <w:t>Valor mínimo en el cual el oferente en una subasta inversa debe reducir el valor del Lance o en una subasta de enajenación debe incrementar el valor del Lance, el cual puede ser expresado en dinero o en un porcentaje del precio de inicio de la subasta</w:t>
      </w:r>
      <w:r w:rsidR="00AA66ED">
        <w:rPr>
          <w:rFonts w:ascii="Arial" w:hAnsi="Arial" w:cs="Arial"/>
          <w:color w:val="000000"/>
          <w:sz w:val="22"/>
          <w:szCs w:val="22"/>
          <w:bdr w:val="none" w:color="auto" w:sz="0" w:space="0" w:frame="1"/>
        </w:rPr>
        <w:t>»</w:t>
      </w:r>
      <w:r w:rsidRPr="00F87C5A">
        <w:rPr>
          <w:rFonts w:ascii="Arial" w:hAnsi="Arial" w:cs="Arial"/>
          <w:color w:val="000000"/>
          <w:sz w:val="22"/>
          <w:szCs w:val="22"/>
          <w:bdr w:val="none" w:color="auto" w:sz="0" w:space="0" w:frame="1"/>
        </w:rPr>
        <w:t>. Así pues, la definición el margen mínimo de cada lance y la forma como se integra su valor es un asunto que debe establecer la entidad estatal en el pliego de condiciones.</w:t>
      </w:r>
    </w:p>
    <w:p w:rsidRPr="00F87C5A" w:rsidR="00F87C5A" w:rsidP="0048540C" w:rsidRDefault="00F87C5A" w14:paraId="623638C0" w14:textId="77777777">
      <w:pPr>
        <w:ind w:left="709" w:right="709"/>
        <w:jc w:val="both"/>
        <w:rPr>
          <w:rFonts w:ascii="Arial" w:hAnsi="Arial" w:cs="Arial"/>
          <w:color w:val="000000" w:themeColor="text1"/>
          <w:sz w:val="21"/>
          <w:szCs w:val="21"/>
        </w:rPr>
      </w:pPr>
    </w:p>
    <w:p w:rsidRPr="00A500B1" w:rsidR="0048540C" w:rsidP="0048540C" w:rsidRDefault="00127EDC" w14:paraId="09B203E4" w14:textId="007FD61C">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A500B1" w:rsidR="0048540C">
        <w:rPr>
          <w:rFonts w:ascii="Arial" w:hAnsi="Arial" w:cs="Arial"/>
          <w:color w:val="000000" w:themeColor="text1"/>
          <w:sz w:val="21"/>
          <w:szCs w:val="21"/>
          <w:lang w:val="es-ES_tradnl"/>
        </w:rPr>
        <w:t>[…] ¿En un contrato de prestación de servicios profesionales se podrá pactar un anticipo o pago anticipado por parte de la administración?».</w:t>
      </w:r>
    </w:p>
    <w:p w:rsidR="00102686" w:rsidP="00DF76A2" w:rsidRDefault="00102686" w14:paraId="77101A9B" w14:textId="18210683">
      <w:pPr>
        <w:spacing w:line="276" w:lineRule="auto"/>
        <w:jc w:val="both"/>
        <w:rPr>
          <w:rFonts w:ascii="Arial" w:hAnsi="Arial" w:cs="Arial"/>
          <w:color w:val="000000" w:themeColor="text1"/>
          <w:sz w:val="22"/>
          <w:szCs w:val="22"/>
          <w:lang w:val="es-ES_tradnl"/>
        </w:rPr>
      </w:pPr>
    </w:p>
    <w:p w:rsidR="00636BE4" w:rsidP="00DF76A2" w:rsidRDefault="00C85FFC" w14:paraId="5FFE99F0" w14:textId="60A493FA">
      <w:pPr>
        <w:spacing w:line="276" w:lineRule="auto"/>
        <w:jc w:val="both"/>
        <w:rPr>
          <w:rFonts w:ascii="Arial" w:hAnsi="Arial" w:cs="Arial"/>
          <w:color w:val="000000"/>
          <w:sz w:val="22"/>
          <w:szCs w:val="22"/>
          <w:bdr w:val="none" w:color="auto" w:sz="0" w:space="0" w:frame="1"/>
        </w:rPr>
      </w:pPr>
      <w:r w:rsidRPr="00C85FFC">
        <w:rPr>
          <w:rFonts w:ascii="Arial" w:hAnsi="Arial" w:cs="Arial"/>
          <w:color w:val="000000"/>
          <w:sz w:val="22"/>
          <w:szCs w:val="22"/>
          <w:bdr w:val="none" w:color="auto" w:sz="0" w:space="0" w:frame="1"/>
        </w:rPr>
        <w:t xml:space="preserve">Las entidades estatales cuentan con discrecionalidad para establecer en el pliego de condiciones o pactar en los contratos la entrega de anticipo o pago anticipado, según lo que resulte más conveniente al cumplimiento de los fines del Estado, de acuerdo </w:t>
      </w:r>
      <w:r w:rsidR="00B13C5F">
        <w:rPr>
          <w:rFonts w:ascii="Arial" w:hAnsi="Arial" w:cs="Arial"/>
          <w:color w:val="000000"/>
          <w:sz w:val="22"/>
          <w:szCs w:val="22"/>
          <w:bdr w:val="none" w:color="auto" w:sz="0" w:space="0" w:frame="1"/>
        </w:rPr>
        <w:t>con</w:t>
      </w:r>
      <w:r w:rsidRPr="00C85FFC">
        <w:rPr>
          <w:rFonts w:ascii="Arial" w:hAnsi="Arial" w:cs="Arial"/>
          <w:color w:val="000000"/>
          <w:sz w:val="22"/>
          <w:szCs w:val="22"/>
          <w:bdr w:val="none" w:color="auto" w:sz="0" w:space="0" w:frame="1"/>
        </w:rPr>
        <w:t xml:space="preserve"> los estudios previos efectuados en la fase de planeación. Sin perjuicio de lo anterior, deberán tener en cuenta que </w:t>
      </w:r>
      <w:r w:rsidR="00B4387A">
        <w:rPr>
          <w:rFonts w:ascii="Arial" w:hAnsi="Arial" w:cs="Arial"/>
          <w:color w:val="000000"/>
          <w:sz w:val="22"/>
          <w:szCs w:val="22"/>
          <w:bdr w:val="none" w:color="auto" w:sz="0" w:space="0" w:frame="1"/>
        </w:rPr>
        <w:t>«</w:t>
      </w:r>
      <w:r w:rsidRPr="00C85FFC">
        <w:rPr>
          <w:rFonts w:ascii="Arial" w:hAnsi="Arial" w:cs="Arial"/>
          <w:color w:val="000000"/>
          <w:sz w:val="22"/>
          <w:szCs w:val="22"/>
          <w:bdr w:val="none" w:color="auto" w:sz="0" w:space="0" w:frame="1"/>
        </w:rPr>
        <w:t>En los contratos que celebren las entidades estatales se podrá pactar el pago anticipado y la entrega de anticipos, pero su monto no podrá exceder del cincuenta por ciento (50%) del valor del respectivo contrato</w:t>
      </w:r>
      <w:r w:rsidR="00B4387A">
        <w:rPr>
          <w:rFonts w:ascii="Arial" w:hAnsi="Arial" w:cs="Arial"/>
          <w:color w:val="000000"/>
          <w:sz w:val="22"/>
          <w:szCs w:val="22"/>
          <w:bdr w:val="none" w:color="auto" w:sz="0" w:space="0" w:frame="1"/>
        </w:rPr>
        <w:t>»</w:t>
      </w:r>
      <w:r w:rsidRPr="00C85FFC">
        <w:rPr>
          <w:rFonts w:ascii="Arial" w:hAnsi="Arial" w:cs="Arial"/>
          <w:color w:val="000000"/>
          <w:sz w:val="22"/>
          <w:szCs w:val="22"/>
          <w:bdr w:val="none" w:color="auto" w:sz="0" w:space="0" w:frame="1"/>
        </w:rPr>
        <w:t>, según lo establece el primer inciso del parágrafo del artículo 40 de la Ley 80 de 1993.</w:t>
      </w:r>
      <w:r w:rsidR="00EF0EA4">
        <w:rPr>
          <w:rFonts w:ascii="Arial" w:hAnsi="Arial" w:cs="Arial"/>
          <w:color w:val="000000"/>
          <w:sz w:val="22"/>
          <w:szCs w:val="22"/>
          <w:bdr w:val="none" w:color="auto" w:sz="0" w:space="0" w:frame="1"/>
        </w:rPr>
        <w:t xml:space="preserve"> </w:t>
      </w:r>
      <w:r w:rsidRPr="00C85FFC">
        <w:rPr>
          <w:rFonts w:ascii="Arial" w:hAnsi="Arial" w:cs="Arial"/>
          <w:color w:val="000000"/>
          <w:sz w:val="22"/>
          <w:szCs w:val="22"/>
          <w:bdr w:val="none" w:color="auto" w:sz="0" w:space="0" w:frame="1"/>
        </w:rPr>
        <w:t xml:space="preserve">Obsérvese que la norma no distingue tipologías contractuales y, en tal sentido, también se </w:t>
      </w:r>
      <w:r w:rsidR="00B97392">
        <w:rPr>
          <w:rFonts w:ascii="Arial" w:hAnsi="Arial" w:cs="Arial"/>
          <w:color w:val="000000"/>
          <w:sz w:val="22"/>
          <w:szCs w:val="22"/>
          <w:bdr w:val="none" w:color="auto" w:sz="0" w:space="0" w:frame="1"/>
        </w:rPr>
        <w:t>podría</w:t>
      </w:r>
      <w:r w:rsidRPr="00C85FFC">
        <w:rPr>
          <w:rFonts w:ascii="Arial" w:hAnsi="Arial" w:cs="Arial"/>
          <w:color w:val="000000"/>
          <w:sz w:val="22"/>
          <w:szCs w:val="22"/>
          <w:bdr w:val="none" w:color="auto" w:sz="0" w:space="0" w:frame="1"/>
        </w:rPr>
        <w:t xml:space="preserve"> entregar anticipo o pago anticipado en un contrato de prestación de servicios profesionales, respetando el tope anteriormente señalado.</w:t>
      </w:r>
    </w:p>
    <w:p w:rsidRPr="00636BE4" w:rsidR="00636BE4" w:rsidP="00636BE4" w:rsidRDefault="00636BE4" w14:paraId="6A1A6920" w14:textId="232510B4">
      <w:pPr>
        <w:spacing w:before="120" w:line="276" w:lineRule="auto"/>
        <w:ind w:firstLine="709"/>
        <w:jc w:val="both"/>
        <w:rPr>
          <w:rFonts w:ascii="Arial" w:hAnsi="Arial" w:cs="Arial"/>
          <w:color w:val="000000"/>
          <w:sz w:val="22"/>
          <w:szCs w:val="22"/>
          <w:bdr w:val="none" w:color="auto" w:sz="0" w:space="0" w:frame="1"/>
        </w:rPr>
      </w:pPr>
      <w:r w:rsidRPr="00636BE4">
        <w:rPr>
          <w:rFonts w:ascii="Arial" w:hAnsi="Arial" w:cs="Arial"/>
          <w:color w:val="000000" w:themeColor="text1"/>
          <w:sz w:val="22"/>
        </w:rPr>
        <w:t>Se advierte, en todo caso, que el pronunciamiento que, en materia consultiva, efectúa la Agencia Nacional de Contratación Pública –Colombia Compra Eficiente– tiene que ver con la interpretación, en abstracto, de normas de carácter general y no implica la valoración de circunstancias concretas en la actividad contractual de las entidades estatales.</w:t>
      </w:r>
    </w:p>
    <w:p w:rsidRPr="00636BE4" w:rsidR="00636BE4" w:rsidP="00DF76A2" w:rsidRDefault="00636BE4" w14:paraId="4A10534E" w14:textId="77777777">
      <w:pPr>
        <w:spacing w:line="276" w:lineRule="auto"/>
        <w:jc w:val="both"/>
        <w:rPr>
          <w:rFonts w:ascii="Arial" w:hAnsi="Arial" w:cs="Arial"/>
          <w:color w:val="000000" w:themeColor="text1"/>
          <w:sz w:val="22"/>
        </w:rPr>
      </w:pPr>
    </w:p>
    <w:p w:rsidRPr="00404C61" w:rsidR="00DD5B04" w:rsidP="00DF76A2" w:rsidRDefault="00DD5B04" w14:paraId="7B2C921D" w14:textId="75AF4134">
      <w:pPr>
        <w:spacing w:line="276" w:lineRule="auto"/>
        <w:jc w:val="both"/>
        <w:rPr>
          <w:rFonts w:ascii="Arial" w:hAnsi="Arial" w:cs="Arial"/>
          <w:color w:val="000000" w:themeColor="text1"/>
          <w:sz w:val="22"/>
          <w:lang w:val="es-ES_tradnl"/>
        </w:rPr>
      </w:pPr>
      <w:r w:rsidRPr="00404C61">
        <w:rPr>
          <w:rFonts w:ascii="Arial" w:hAnsi="Arial" w:cs="Arial"/>
          <w:color w:val="000000" w:themeColor="text1"/>
          <w:sz w:val="22"/>
          <w:lang w:val="es-ES_tradnl"/>
        </w:rPr>
        <w:t>Este concepto tiene el alcance previsto en el artículo 28 del Código de Procedimiento Administrativo y de lo Contencioso Administrativo.</w:t>
      </w:r>
    </w:p>
    <w:p w:rsidRPr="00404C61" w:rsidR="00DD5B04" w:rsidP="00DF76A2" w:rsidRDefault="00DD5B04" w14:paraId="77EE5912" w14:textId="77777777">
      <w:pPr>
        <w:pStyle w:val="NormalWeb"/>
        <w:spacing w:before="0" w:beforeAutospacing="0" w:after="0" w:afterAutospacing="0" w:line="276" w:lineRule="auto"/>
        <w:jc w:val="both"/>
        <w:rPr>
          <w:rFonts w:ascii="Arial" w:hAnsi="Arial" w:cs="Arial"/>
          <w:color w:val="000000" w:themeColor="text1"/>
          <w:sz w:val="22"/>
          <w:szCs w:val="22"/>
          <w:lang w:val="es-ES_tradnl"/>
        </w:rPr>
      </w:pPr>
    </w:p>
    <w:p w:rsidRPr="00404C61" w:rsidR="00DD5B04" w:rsidP="00DF76A2" w:rsidRDefault="00DD5B04" w14:paraId="0DDBEF2B" w14:textId="7B8CF213">
      <w:pPr>
        <w:pStyle w:val="NormalWeb"/>
        <w:spacing w:before="0" w:beforeAutospacing="0" w:after="0" w:afterAutospacing="0" w:line="276" w:lineRule="auto"/>
        <w:jc w:val="both"/>
        <w:rPr>
          <w:rFonts w:ascii="Arial" w:hAnsi="Arial" w:cs="Arial"/>
          <w:color w:val="000000" w:themeColor="text1"/>
          <w:sz w:val="22"/>
          <w:szCs w:val="22"/>
          <w:lang w:val="es-ES_tradnl"/>
        </w:rPr>
      </w:pPr>
      <w:r w:rsidRPr="00404C61">
        <w:rPr>
          <w:rFonts w:ascii="Arial" w:hAnsi="Arial" w:cs="Arial"/>
          <w:color w:val="000000" w:themeColor="text1"/>
          <w:sz w:val="22"/>
          <w:szCs w:val="22"/>
          <w:lang w:val="es-ES_tradnl"/>
        </w:rPr>
        <w:t>Atentamente,</w:t>
      </w:r>
    </w:p>
    <w:p w:rsidRPr="00404C61" w:rsidR="00921304" w:rsidP="00DF76A2" w:rsidRDefault="00921304" w14:paraId="692FC307" w14:textId="210AA6B5">
      <w:pPr>
        <w:pStyle w:val="NormalWeb"/>
        <w:spacing w:before="0" w:beforeAutospacing="0" w:after="0" w:afterAutospacing="0" w:line="276" w:lineRule="auto"/>
        <w:jc w:val="both"/>
        <w:rPr>
          <w:rFonts w:ascii="Arial" w:hAnsi="Arial" w:cs="Arial"/>
          <w:color w:val="000000" w:themeColor="text1"/>
          <w:sz w:val="22"/>
          <w:szCs w:val="22"/>
          <w:lang w:val="es-ES_tradnl"/>
        </w:rPr>
      </w:pPr>
    </w:p>
    <w:p w:rsidRPr="00404C61" w:rsidR="00921304" w:rsidP="571A483F" w:rsidRDefault="00F90C4D" w14:paraId="30AA3DC7" w14:textId="13402464">
      <w:pPr>
        <w:pStyle w:val="NormalWeb"/>
        <w:spacing w:before="0" w:beforeAutospacing="off" w:after="0" w:afterAutospacing="off" w:line="276" w:lineRule="auto"/>
        <w:jc w:val="center"/>
      </w:pPr>
      <w:r w:rsidR="58A8F057">
        <w:drawing>
          <wp:inline wp14:editId="6022781A" wp14:anchorId="1B1043FB">
            <wp:extent cx="2371725" cy="1000125"/>
            <wp:effectExtent l="0" t="0" r="0" b="0"/>
            <wp:docPr id="618322011" name="" title=""/>
            <wp:cNvGraphicFramePr>
              <a:graphicFrameLocks noChangeAspect="1"/>
            </wp:cNvGraphicFramePr>
            <a:graphic>
              <a:graphicData uri="http://schemas.openxmlformats.org/drawingml/2006/picture">
                <pic:pic>
                  <pic:nvPicPr>
                    <pic:cNvPr id="0" name=""/>
                    <pic:cNvPicPr/>
                  </pic:nvPicPr>
                  <pic:blipFill>
                    <a:blip r:embed="Rc01b8976797e4a31">
                      <a:extLst>
                        <a:ext xmlns:a="http://schemas.openxmlformats.org/drawingml/2006/main" uri="{28A0092B-C50C-407E-A947-70E740481C1C}">
                          <a14:useLocalDpi val="0"/>
                        </a:ext>
                      </a:extLst>
                    </a:blip>
                    <a:stretch>
                      <a:fillRect/>
                    </a:stretch>
                  </pic:blipFill>
                  <pic:spPr>
                    <a:xfrm>
                      <a:off x="0" y="0"/>
                      <a:ext cx="2371725" cy="1000125"/>
                    </a:xfrm>
                    <a:prstGeom prst="rect">
                      <a:avLst/>
                    </a:prstGeom>
                  </pic:spPr>
                </pic:pic>
              </a:graphicData>
            </a:graphic>
          </wp:inline>
        </w:drawing>
      </w:r>
    </w:p>
    <w:p w:rsidRPr="00404C61" w:rsidR="00425C43" w:rsidP="00B37657" w:rsidRDefault="00425C43" w14:paraId="5CBAE239" w14:textId="77777777">
      <w:pPr>
        <w:jc w:val="center"/>
        <w:rPr>
          <w:rFonts w:ascii="Arial" w:hAnsi="Arial" w:cs="Arial"/>
          <w:color w:val="000000" w:themeColor="text1"/>
          <w:sz w:val="18"/>
          <w:szCs w:val="20"/>
          <w:lang w:val="es-ES_tradnl" w:eastAsia="es-CO"/>
        </w:rPr>
      </w:pPr>
    </w:p>
    <w:p w:rsidRPr="00404C61" w:rsidR="00DD5B04" w:rsidP="00B37657" w:rsidRDefault="00DD5B04" w14:paraId="49730030" w14:textId="217D35F3">
      <w:pPr>
        <w:jc w:val="center"/>
        <w:rPr>
          <w:rFonts w:ascii="Arial" w:hAnsi="Arial" w:cs="Arial"/>
          <w:color w:val="000000" w:themeColor="text1"/>
          <w:sz w:val="18"/>
          <w:szCs w:val="20"/>
          <w:lang w:val="es-ES_tradnl"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404C61" w:rsidR="00DD5B04" w:rsidTr="00083F1B" w14:paraId="0C7DC5F7" w14:textId="77777777">
        <w:trPr>
          <w:trHeight w:val="315"/>
        </w:trPr>
        <w:tc>
          <w:tcPr>
            <w:tcW w:w="812" w:type="dxa"/>
            <w:vAlign w:val="center"/>
            <w:hideMark/>
          </w:tcPr>
          <w:p w:rsidRPr="00404C61" w:rsidR="00DD5B04" w:rsidP="00DF76A2" w:rsidRDefault="00DD5B04" w14:paraId="5BDB1AC9" w14:textId="77777777">
            <w:pPr>
              <w:jc w:val="both"/>
              <w:rPr>
                <w:rFonts w:ascii="Arial" w:hAnsi="Arial" w:cs="Arial"/>
                <w:color w:val="000000" w:themeColor="text1"/>
                <w:sz w:val="16"/>
                <w:szCs w:val="16"/>
                <w:lang w:val="es-ES_tradnl" w:eastAsia="es-ES"/>
              </w:rPr>
            </w:pPr>
            <w:r w:rsidRPr="00404C61">
              <w:rPr>
                <w:rFonts w:ascii="Arial" w:hAnsi="Arial" w:cs="Arial"/>
                <w:color w:val="000000" w:themeColor="text1"/>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Pr="00404C61" w:rsidR="00DD5B04" w:rsidP="00DF76A2" w:rsidRDefault="00DD5B04" w14:paraId="7F9F79B1" w14:textId="77777777">
            <w:pPr>
              <w:jc w:val="both"/>
              <w:rPr>
                <w:rFonts w:ascii="Arial" w:hAnsi="Arial" w:cs="Arial"/>
                <w:color w:val="000000" w:themeColor="text1"/>
                <w:sz w:val="16"/>
                <w:szCs w:val="16"/>
                <w:lang w:val="es-ES_tradnl" w:eastAsia="es-ES"/>
              </w:rPr>
            </w:pPr>
            <w:r w:rsidRPr="00404C61">
              <w:rPr>
                <w:rFonts w:ascii="Arial" w:hAnsi="Arial" w:cs="Arial"/>
                <w:color w:val="000000" w:themeColor="text1"/>
                <w:sz w:val="16"/>
                <w:szCs w:val="16"/>
                <w:lang w:val="es-ES_tradnl" w:eastAsia="es-ES"/>
              </w:rPr>
              <w:t>Cristian Andrés Díaz Díez</w:t>
            </w:r>
          </w:p>
          <w:p w:rsidRPr="00404C61" w:rsidR="00DD5B04" w:rsidP="00DF76A2" w:rsidRDefault="00DD5B04" w14:paraId="240C71FD" w14:textId="31312C95">
            <w:pPr>
              <w:jc w:val="both"/>
              <w:rPr>
                <w:rFonts w:ascii="Arial" w:hAnsi="Arial" w:cs="Arial"/>
                <w:color w:val="000000" w:themeColor="text1"/>
                <w:sz w:val="16"/>
                <w:szCs w:val="16"/>
                <w:lang w:val="es-ES_tradnl" w:eastAsia="es-ES"/>
              </w:rPr>
            </w:pPr>
            <w:r w:rsidRPr="00404C61">
              <w:rPr>
                <w:rFonts w:ascii="Arial" w:hAnsi="Arial" w:cs="Arial"/>
                <w:color w:val="000000" w:themeColor="text1"/>
                <w:sz w:val="16"/>
                <w:szCs w:val="16"/>
                <w:lang w:val="es-ES_tradnl" w:eastAsia="es-ES"/>
              </w:rPr>
              <w:t>Contratista</w:t>
            </w:r>
            <w:r w:rsidRPr="00404C61" w:rsidR="00FF0050">
              <w:rPr>
                <w:rFonts w:ascii="Arial" w:hAnsi="Arial" w:cs="Arial"/>
                <w:color w:val="000000" w:themeColor="text1"/>
                <w:sz w:val="16"/>
                <w:szCs w:val="16"/>
                <w:lang w:val="es-ES_tradnl" w:eastAsia="es-ES"/>
              </w:rPr>
              <w:t xml:space="preserve"> de la </w:t>
            </w:r>
            <w:r w:rsidRPr="00404C61">
              <w:rPr>
                <w:rFonts w:ascii="Arial" w:hAnsi="Arial" w:cs="Arial"/>
                <w:color w:val="000000" w:themeColor="text1"/>
                <w:sz w:val="16"/>
                <w:szCs w:val="16"/>
                <w:lang w:val="es-ES_tradnl" w:eastAsia="es-ES"/>
              </w:rPr>
              <w:t>Subdirección de Gestión Contractual</w:t>
            </w:r>
          </w:p>
        </w:tc>
      </w:tr>
      <w:tr w:rsidRPr="00404C61" w:rsidR="00DD5B04" w:rsidTr="00083F1B" w14:paraId="2F8FD650" w14:textId="77777777">
        <w:trPr>
          <w:trHeight w:val="330"/>
        </w:trPr>
        <w:tc>
          <w:tcPr>
            <w:tcW w:w="812" w:type="dxa"/>
            <w:vAlign w:val="center"/>
            <w:hideMark/>
          </w:tcPr>
          <w:p w:rsidRPr="00404C61" w:rsidR="00DD5B04" w:rsidP="00DF76A2" w:rsidRDefault="00DD5B04" w14:paraId="50203A0B" w14:textId="77777777">
            <w:pPr>
              <w:jc w:val="both"/>
              <w:rPr>
                <w:rFonts w:ascii="Arial" w:hAnsi="Arial" w:cs="Arial"/>
                <w:color w:val="000000" w:themeColor="text1"/>
                <w:sz w:val="16"/>
                <w:szCs w:val="16"/>
                <w:lang w:val="es-ES_tradnl" w:eastAsia="es-ES"/>
              </w:rPr>
            </w:pPr>
            <w:r w:rsidRPr="00404C61">
              <w:rPr>
                <w:rFonts w:ascii="Arial" w:hAnsi="Arial" w:cs="Arial"/>
                <w:color w:val="000000" w:themeColor="text1"/>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404C61" w:rsidR="00C05A61" w:rsidP="00C05A61" w:rsidRDefault="00C05A61" w14:paraId="31F77323" w14:textId="77777777">
            <w:pPr>
              <w:jc w:val="both"/>
              <w:rPr>
                <w:rFonts w:ascii="Arial" w:hAnsi="Arial" w:cs="Arial"/>
                <w:color w:val="000000" w:themeColor="text1"/>
                <w:sz w:val="16"/>
                <w:szCs w:val="16"/>
                <w:lang w:val="es-ES_tradnl" w:eastAsia="es-ES"/>
              </w:rPr>
            </w:pPr>
            <w:r w:rsidRPr="00404C61">
              <w:rPr>
                <w:rFonts w:ascii="Arial" w:hAnsi="Arial" w:cs="Arial"/>
                <w:color w:val="000000" w:themeColor="text1"/>
                <w:sz w:val="16"/>
                <w:szCs w:val="16"/>
                <w:lang w:val="es-ES_tradnl" w:eastAsia="es-ES"/>
              </w:rPr>
              <w:t>Jorge Tirado Navarro</w:t>
            </w:r>
          </w:p>
          <w:p w:rsidRPr="00404C61" w:rsidR="00DD5B04" w:rsidP="00C05A61" w:rsidRDefault="00C05A61" w14:paraId="130B3228" w14:textId="7D08C1BB">
            <w:pPr>
              <w:jc w:val="both"/>
              <w:rPr>
                <w:rFonts w:ascii="Arial" w:hAnsi="Arial" w:cs="Arial"/>
                <w:color w:val="000000" w:themeColor="text1"/>
                <w:sz w:val="16"/>
                <w:szCs w:val="16"/>
                <w:lang w:val="es-ES_tradnl" w:eastAsia="es-ES"/>
              </w:rPr>
            </w:pPr>
            <w:r w:rsidRPr="00404C61">
              <w:rPr>
                <w:rFonts w:ascii="Arial" w:hAnsi="Arial" w:cs="Arial"/>
                <w:color w:val="000000" w:themeColor="text1"/>
                <w:sz w:val="16"/>
                <w:szCs w:val="16"/>
                <w:lang w:val="es-ES_tradnl" w:eastAsia="es-ES"/>
              </w:rPr>
              <w:t>Subdirector de Gestión Contractual</w:t>
            </w:r>
          </w:p>
        </w:tc>
      </w:tr>
      <w:tr w:rsidRPr="00404C61" w:rsidR="00DD5B04" w:rsidTr="00083F1B" w14:paraId="0FCBCA4A" w14:textId="77777777">
        <w:trPr>
          <w:trHeight w:val="300"/>
        </w:trPr>
        <w:tc>
          <w:tcPr>
            <w:tcW w:w="812" w:type="dxa"/>
            <w:vAlign w:val="center"/>
            <w:hideMark/>
          </w:tcPr>
          <w:p w:rsidRPr="00404C61" w:rsidR="00DD5B04" w:rsidP="00DF76A2" w:rsidRDefault="00DD5B04" w14:paraId="3C1D943A" w14:textId="77777777">
            <w:pPr>
              <w:jc w:val="both"/>
              <w:rPr>
                <w:rFonts w:ascii="Arial" w:hAnsi="Arial" w:cs="Arial"/>
                <w:color w:val="000000" w:themeColor="text1"/>
                <w:sz w:val="16"/>
                <w:szCs w:val="16"/>
                <w:lang w:val="es-ES_tradnl" w:eastAsia="es-ES"/>
              </w:rPr>
            </w:pPr>
            <w:r w:rsidRPr="00404C61">
              <w:rPr>
                <w:rFonts w:ascii="Arial" w:hAnsi="Arial" w:cs="Arial"/>
                <w:color w:val="000000" w:themeColor="text1"/>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404C61" w:rsidR="006A55EE" w:rsidP="00DF76A2" w:rsidRDefault="00C05A61" w14:paraId="7180A172" w14:textId="0C386423">
            <w:pPr>
              <w:jc w:val="both"/>
              <w:rPr>
                <w:rFonts w:ascii="Arial" w:hAnsi="Arial" w:cs="Arial"/>
                <w:color w:val="000000" w:themeColor="text1"/>
                <w:sz w:val="16"/>
                <w:szCs w:val="16"/>
                <w:lang w:val="es-ES_tradnl" w:eastAsia="es-ES"/>
              </w:rPr>
            </w:pPr>
            <w:r w:rsidRPr="00404C61">
              <w:rPr>
                <w:rFonts w:ascii="Arial" w:hAnsi="Arial" w:cs="Arial"/>
                <w:color w:val="000000" w:themeColor="text1"/>
                <w:sz w:val="16"/>
                <w:szCs w:val="16"/>
                <w:lang w:val="es-ES_tradnl" w:eastAsia="es-ES"/>
              </w:rPr>
              <w:t xml:space="preserve">Jorge </w:t>
            </w:r>
            <w:r w:rsidR="000D3FA0">
              <w:rPr>
                <w:rFonts w:ascii="Arial" w:hAnsi="Arial" w:cs="Arial"/>
                <w:color w:val="000000" w:themeColor="text1"/>
                <w:sz w:val="16"/>
                <w:szCs w:val="16"/>
                <w:lang w:val="es-ES_tradnl" w:eastAsia="es-ES"/>
              </w:rPr>
              <w:t xml:space="preserve">Augusto </w:t>
            </w:r>
            <w:r w:rsidRPr="00404C61">
              <w:rPr>
                <w:rFonts w:ascii="Arial" w:hAnsi="Arial" w:cs="Arial"/>
                <w:color w:val="000000" w:themeColor="text1"/>
                <w:sz w:val="16"/>
                <w:szCs w:val="16"/>
                <w:lang w:val="es-ES_tradnl" w:eastAsia="es-ES"/>
              </w:rPr>
              <w:t>Tirado Navarro</w:t>
            </w:r>
          </w:p>
          <w:p w:rsidRPr="00404C61" w:rsidR="00DD5B04" w:rsidP="00DF76A2" w:rsidRDefault="00DD5B04" w14:paraId="1ADC483B" w14:textId="77CBA2AF">
            <w:pPr>
              <w:jc w:val="both"/>
              <w:rPr>
                <w:rFonts w:ascii="Arial" w:hAnsi="Arial" w:cs="Arial"/>
                <w:color w:val="000000" w:themeColor="text1"/>
                <w:sz w:val="16"/>
                <w:szCs w:val="16"/>
                <w:lang w:val="es-ES_tradnl" w:eastAsia="es-ES"/>
              </w:rPr>
            </w:pPr>
            <w:r w:rsidRPr="00404C61">
              <w:rPr>
                <w:rFonts w:ascii="Arial" w:hAnsi="Arial" w:cs="Arial"/>
                <w:color w:val="000000" w:themeColor="text1"/>
                <w:sz w:val="16"/>
                <w:szCs w:val="16"/>
                <w:lang w:val="es-ES_tradnl" w:eastAsia="es-ES"/>
              </w:rPr>
              <w:t>Subdirector de Gestión Contractual</w:t>
            </w:r>
          </w:p>
        </w:tc>
      </w:tr>
    </w:tbl>
    <w:p w:rsidRPr="00404C61" w:rsidR="00746E08" w:rsidP="00215B8E" w:rsidRDefault="00746E08" w14:paraId="35B56F46" w14:textId="77777777">
      <w:pPr>
        <w:jc w:val="both"/>
        <w:rPr>
          <w:rFonts w:ascii="Arial" w:hAnsi="Arial" w:cs="Arial"/>
          <w:lang w:val="es-ES_tradnl"/>
        </w:rPr>
      </w:pPr>
    </w:p>
    <w:sectPr w:rsidRPr="00404C61" w:rsidR="00746E08" w:rsidSect="005D791B">
      <w:headerReference w:type="default" r:id="rId12"/>
      <w:footerReference w:type="default" r:id="rId13"/>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25AE3" w:rsidRDefault="00C25AE3" w14:paraId="0B9F933B" w14:textId="77777777">
      <w:r>
        <w:separator/>
      </w:r>
    </w:p>
  </w:endnote>
  <w:endnote w:type="continuationSeparator" w:id="0">
    <w:p w:rsidR="00C25AE3" w:rsidRDefault="00C25AE3" w14:paraId="4369D122" w14:textId="77777777">
      <w:r>
        <w:continuationSeparator/>
      </w:r>
    </w:p>
  </w:endnote>
  <w:endnote w:type="continuationNotice" w:id="1">
    <w:p w:rsidR="00C25AE3" w:rsidRDefault="00C25AE3" w14:paraId="1654931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6A59DE" w:rsidP="00322937" w:rsidRDefault="006A59DE" w14:paraId="62F02A34" w14:textId="77777777">
    <w:pPr>
      <w:pStyle w:val="Sinespaciado"/>
      <w:jc w:val="right"/>
      <w:rPr>
        <w:rFonts w:ascii="Arial" w:hAnsi="Arial" w:cs="Arial"/>
        <w:sz w:val="18"/>
        <w:szCs w:val="18"/>
      </w:rPr>
    </w:pPr>
  </w:p>
  <w:p w:rsidRPr="008217B7" w:rsidR="006A59DE" w:rsidP="00FE42ED" w:rsidRDefault="006A59DE" w14:paraId="7A3785F3" w14:textId="2EF2846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rsidR="006A59DE" w:rsidP="00322937" w:rsidRDefault="006A59DE" w14:paraId="48FC6A04" w14:textId="5FD1A7C9">
    <w:pPr>
      <w:pStyle w:val="Piedepgina"/>
      <w:jc w:val="center"/>
      <w:rPr>
        <w:lang w:val="es-ES"/>
      </w:rPr>
    </w:pPr>
    <w:r w:rsidR="571A483F">
      <w:drawing>
        <wp:inline wp14:editId="7C4012A3" wp14:anchorId="608B196D">
          <wp:extent cx="3700130" cy="519139"/>
          <wp:effectExtent l="0" t="0" r="0" b="0"/>
          <wp:docPr id="3" name="Imagen 3" title=""/>
          <wp:cNvGraphicFramePr>
            <a:graphicFrameLocks noChangeAspect="1"/>
          </wp:cNvGraphicFramePr>
          <a:graphic>
            <a:graphicData uri="http://schemas.openxmlformats.org/drawingml/2006/picture">
              <pic:pic>
                <pic:nvPicPr>
                  <pic:cNvPr id="0" name="Imagen 3"/>
                  <pic:cNvPicPr/>
                </pic:nvPicPr>
                <pic:blipFill>
                  <a:blip r:embed="R07624395f68a420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6A59DE" w:rsidP="007B0854" w:rsidRDefault="006A59DE" w14:paraId="5D0E988C" w14:textId="77777777">
    <w:pPr>
      <w:pStyle w:val="Piedepgina"/>
      <w:jc w:val="center"/>
      <w:rPr>
        <w:lang w:val="es-ES"/>
      </w:rPr>
    </w:pPr>
  </w:p>
  <w:p w:rsidRPr="007B0854" w:rsidR="006A59DE" w:rsidP="007B0854" w:rsidRDefault="006A59DE"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25AE3" w:rsidRDefault="00C25AE3" w14:paraId="700D4EF5" w14:textId="77777777">
      <w:r>
        <w:separator/>
      </w:r>
    </w:p>
  </w:footnote>
  <w:footnote w:type="continuationSeparator" w:id="0">
    <w:p w:rsidR="00C25AE3" w:rsidRDefault="00C25AE3" w14:paraId="59683DD4" w14:textId="77777777">
      <w:r>
        <w:continuationSeparator/>
      </w:r>
    </w:p>
  </w:footnote>
  <w:footnote w:type="continuationNotice" w:id="1">
    <w:p w:rsidR="00C25AE3" w:rsidRDefault="00C25AE3" w14:paraId="46F3F47F" w14:textId="77777777"/>
  </w:footnote>
  <w:footnote w:id="2">
    <w:p w:rsidRPr="0033016F" w:rsidR="00990701" w:rsidP="00990701" w:rsidRDefault="00990701" w14:paraId="24897E72" w14:textId="77777777">
      <w:pPr>
        <w:pStyle w:val="Textonotapie"/>
        <w:ind w:firstLine="709"/>
        <w:jc w:val="both"/>
        <w:rPr>
          <w:rFonts w:ascii="Arial" w:hAnsi="Arial" w:cs="Arial"/>
          <w:sz w:val="19"/>
          <w:szCs w:val="19"/>
          <w:lang w:val="es-ES"/>
        </w:rPr>
      </w:pPr>
      <w:r w:rsidRPr="0033016F">
        <w:rPr>
          <w:rStyle w:val="Refdenotaalpie"/>
          <w:rFonts w:ascii="Arial" w:hAnsi="Arial" w:cs="Arial"/>
          <w:sz w:val="19"/>
          <w:szCs w:val="19"/>
        </w:rPr>
        <w:footnoteRef/>
      </w:r>
      <w:r w:rsidRPr="0033016F">
        <w:rPr>
          <w:rFonts w:ascii="Arial" w:hAnsi="Arial" w:cs="Arial"/>
          <w:sz w:val="19"/>
          <w:szCs w:val="19"/>
        </w:rPr>
        <w:t xml:space="preserve"> </w:t>
      </w:r>
      <w:r w:rsidRPr="0033016F">
        <w:rPr>
          <w:rFonts w:ascii="Arial" w:hAnsi="Arial" w:cs="Arial"/>
          <w:sz w:val="19"/>
          <w:szCs w:val="19"/>
          <w:lang w:val="es-ES"/>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rsidRPr="0033016F" w:rsidR="00990701" w:rsidP="00990701" w:rsidRDefault="00990701" w14:paraId="49C4AB10" w14:textId="77777777">
      <w:pPr>
        <w:pStyle w:val="Textonotapie"/>
        <w:ind w:firstLine="709"/>
        <w:jc w:val="both"/>
        <w:rPr>
          <w:rFonts w:ascii="Arial" w:hAnsi="Arial" w:cs="Arial"/>
          <w:sz w:val="19"/>
          <w:szCs w:val="19"/>
          <w:lang w:val="es-ES"/>
        </w:rPr>
      </w:pPr>
      <w:r w:rsidRPr="0033016F">
        <w:rPr>
          <w:rFonts w:ascii="Arial" w:hAnsi="Arial" w:cs="Arial"/>
          <w:sz w:val="19"/>
          <w:szCs w:val="19"/>
          <w:lang w:val="es-ES"/>
        </w:rPr>
        <w:t xml:space="preserve">»Sin embargo, en otros negocios, como la obra pública, la concesión y la consultoría, el Estado está acostumbrado a que se desglosen intensamente los costos, exigiendo no sólo el precio total sino una distinción entre los </w:t>
      </w:r>
      <w:r w:rsidRPr="0033016F">
        <w:rPr>
          <w:rFonts w:ascii="Arial" w:hAnsi="Arial" w:cs="Arial"/>
          <w:i/>
          <w:iCs/>
          <w:sz w:val="19"/>
          <w:szCs w:val="19"/>
          <w:lang w:val="es-ES"/>
        </w:rPr>
        <w:t>costos directos</w:t>
      </w:r>
      <w:r w:rsidRPr="0033016F">
        <w:rPr>
          <w:rFonts w:ascii="Arial" w:hAnsi="Arial" w:cs="Arial"/>
          <w:sz w:val="19"/>
          <w:szCs w:val="19"/>
          <w:lang w:val="es-ES"/>
        </w:rPr>
        <w:t xml:space="preserve"> y los</w:t>
      </w:r>
      <w:r w:rsidRPr="0033016F">
        <w:rPr>
          <w:rFonts w:ascii="Arial" w:hAnsi="Arial" w:cs="Arial"/>
          <w:i/>
          <w:iCs/>
          <w:sz w:val="19"/>
          <w:szCs w:val="19"/>
          <w:lang w:val="es-ES"/>
        </w:rPr>
        <w:t xml:space="preserve"> costos indirectos</w:t>
      </w:r>
      <w:r w:rsidRPr="0033016F">
        <w:rPr>
          <w:rFonts w:ascii="Arial" w:hAnsi="Arial" w:cs="Arial"/>
          <w:sz w:val="19"/>
          <w:szCs w:val="19"/>
          <w:lang w:val="es-ES"/>
        </w:rPr>
        <w:t xml:space="preserve">.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w:t>
      </w:r>
      <w:r w:rsidRPr="0033016F">
        <w:rPr>
          <w:rFonts w:ascii="Arial" w:hAnsi="Arial" w:cs="Arial"/>
          <w:i/>
          <w:iCs/>
          <w:sz w:val="19"/>
          <w:szCs w:val="19"/>
          <w:lang w:val="es-ES"/>
        </w:rPr>
        <w:t>ítems</w:t>
      </w:r>
      <w:r w:rsidRPr="0033016F">
        <w:rPr>
          <w:rFonts w:ascii="Arial" w:hAnsi="Arial" w:cs="Arial"/>
          <w:sz w:val="19"/>
          <w:szCs w:val="19"/>
          <w:lang w:val="es-ES"/>
        </w:rPr>
        <w:t xml:space="preserve"> que componen el contrato–. Los costos </w:t>
      </w:r>
      <w:r w:rsidRPr="0033016F">
        <w:rPr>
          <w:rFonts w:ascii="Arial" w:hAnsi="Arial" w:cs="Arial"/>
          <w:i/>
          <w:iCs/>
          <w:sz w:val="19"/>
          <w:szCs w:val="19"/>
          <w:lang w:val="es-ES"/>
        </w:rPr>
        <w:t>indirectos</w:t>
      </w:r>
      <w:r w:rsidRPr="0033016F">
        <w:rPr>
          <w:rFonts w:ascii="Arial" w:hAnsi="Arial" w:cs="Arial"/>
          <w:sz w:val="19"/>
          <w:szCs w:val="19"/>
          <w:lang w:val="es-ES"/>
        </w:rPr>
        <w:t xml:space="preserve">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3">
    <w:p w:rsidRPr="0033016F" w:rsidR="00990701" w:rsidP="00990701" w:rsidRDefault="00990701" w14:paraId="18E361E0" w14:textId="77777777">
      <w:pPr>
        <w:pStyle w:val="Textonotapie"/>
        <w:ind w:firstLine="708"/>
        <w:jc w:val="both"/>
        <w:rPr>
          <w:rFonts w:ascii="Arial" w:hAnsi="Arial" w:cs="Arial"/>
          <w:sz w:val="19"/>
          <w:szCs w:val="19"/>
        </w:rPr>
      </w:pPr>
      <w:r w:rsidRPr="0033016F">
        <w:rPr>
          <w:rStyle w:val="Refdenotaalpie"/>
          <w:rFonts w:ascii="Arial" w:hAnsi="Arial" w:cs="Arial"/>
          <w:sz w:val="19"/>
          <w:szCs w:val="19"/>
        </w:rPr>
        <w:footnoteRef/>
      </w:r>
      <w:r w:rsidRPr="0033016F">
        <w:rPr>
          <w:rFonts w:ascii="Arial" w:hAnsi="Arial" w:cs="Arial"/>
          <w:sz w:val="19"/>
          <w:szCs w:val="19"/>
        </w:rPr>
        <w:t xml:space="preserve"> Consejo de Estado. Sección Tercera. Subsección B. Sentencia del 14 de octubre de 2011. Exp. 20811, C.P. Ruth Stella Correa Palacio.</w:t>
      </w:r>
    </w:p>
    <w:p w:rsidRPr="0033016F" w:rsidR="00990701" w:rsidP="00990701" w:rsidRDefault="00990701" w14:paraId="662E98C7" w14:textId="77777777">
      <w:pPr>
        <w:pStyle w:val="Textonotapie"/>
        <w:jc w:val="both"/>
        <w:rPr>
          <w:rFonts w:ascii="Arial" w:hAnsi="Arial" w:cs="Arial"/>
          <w:sz w:val="19"/>
          <w:szCs w:val="19"/>
          <w:lang w:val="es-ES"/>
        </w:rPr>
      </w:pPr>
    </w:p>
  </w:footnote>
  <w:footnote w:id="4">
    <w:p w:rsidRPr="0033016F" w:rsidR="00990701" w:rsidP="00990701" w:rsidRDefault="00990701" w14:paraId="24A7F24C" w14:textId="77777777">
      <w:pPr>
        <w:pStyle w:val="Textonotapie"/>
        <w:ind w:firstLine="708"/>
        <w:jc w:val="both"/>
        <w:rPr>
          <w:rFonts w:ascii="Arial" w:hAnsi="Arial" w:cs="Arial"/>
          <w:sz w:val="19"/>
          <w:szCs w:val="19"/>
        </w:rPr>
      </w:pPr>
      <w:r w:rsidRPr="0033016F">
        <w:rPr>
          <w:rStyle w:val="Refdenotaalpie"/>
          <w:rFonts w:ascii="Arial" w:hAnsi="Arial" w:cs="Arial"/>
          <w:sz w:val="19"/>
          <w:szCs w:val="19"/>
        </w:rPr>
        <w:footnoteRef/>
      </w:r>
      <w:r w:rsidRPr="0033016F">
        <w:rPr>
          <w:rFonts w:ascii="Arial" w:hAnsi="Arial" w:cs="Arial"/>
          <w:sz w:val="19"/>
          <w:szCs w:val="19"/>
        </w:rPr>
        <w:t xml:space="preserve"> Consejo de Estado. Sala de Consulta y Servicio Civil. Concepto del 5 de septiembre de 2018, radicado No. 11001-03-06-000-2018-00124-00 C.P. Édgar González López.</w:t>
      </w:r>
    </w:p>
    <w:p w:rsidRPr="0033016F" w:rsidR="00990701" w:rsidP="00990701" w:rsidRDefault="00990701" w14:paraId="5A070594" w14:textId="77777777">
      <w:pPr>
        <w:pStyle w:val="Textonotapie"/>
        <w:jc w:val="both"/>
        <w:rPr>
          <w:rFonts w:ascii="Arial" w:hAnsi="Arial" w:cs="Arial"/>
          <w:sz w:val="19"/>
          <w:szCs w:val="19"/>
          <w:lang w:val="es-ES"/>
        </w:rPr>
      </w:pPr>
    </w:p>
  </w:footnote>
  <w:footnote w:id="5">
    <w:p w:rsidRPr="0033016F" w:rsidR="00990701" w:rsidP="00990701" w:rsidRDefault="00990701" w14:paraId="5A6DF2E7" w14:textId="77777777">
      <w:pPr>
        <w:pStyle w:val="Textonotapie"/>
        <w:ind w:firstLine="708"/>
        <w:jc w:val="both"/>
        <w:rPr>
          <w:rFonts w:ascii="Arial" w:hAnsi="Arial" w:cs="Arial"/>
          <w:sz w:val="19"/>
          <w:szCs w:val="19"/>
        </w:rPr>
      </w:pPr>
      <w:r w:rsidRPr="0033016F">
        <w:rPr>
          <w:rStyle w:val="Refdenotaalpie"/>
          <w:rFonts w:ascii="Arial" w:hAnsi="Arial" w:cs="Arial"/>
          <w:sz w:val="19"/>
          <w:szCs w:val="19"/>
        </w:rPr>
        <w:footnoteRef/>
      </w:r>
      <w:r w:rsidRPr="0033016F">
        <w:rPr>
          <w:rFonts w:ascii="Arial" w:hAnsi="Arial" w:cs="Arial"/>
          <w:sz w:val="19"/>
          <w:szCs w:val="19"/>
        </w:rPr>
        <w:t xml:space="preserve"> «Los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p>
    <w:p w:rsidRPr="0033016F" w:rsidR="00990701" w:rsidP="00990701" w:rsidRDefault="00990701" w14:paraId="470C7696" w14:textId="77777777">
      <w:pPr>
        <w:pStyle w:val="Textonotapie"/>
        <w:ind w:firstLine="708"/>
        <w:jc w:val="both"/>
        <w:rPr>
          <w:rFonts w:ascii="Arial" w:hAnsi="Arial" w:cs="Arial"/>
          <w:sz w:val="19"/>
          <w:szCs w:val="19"/>
          <w:lang w:val="es-ES"/>
        </w:rPr>
      </w:pPr>
    </w:p>
  </w:footnote>
  <w:footnote w:id="6">
    <w:p w:rsidRPr="0033016F" w:rsidR="00990701" w:rsidP="00990701" w:rsidRDefault="00990701" w14:paraId="442E3D32" w14:textId="77777777">
      <w:pPr>
        <w:pStyle w:val="Textonotapie"/>
        <w:ind w:firstLine="708"/>
        <w:jc w:val="both"/>
        <w:rPr>
          <w:rFonts w:ascii="Arial" w:hAnsi="Arial" w:cs="Arial"/>
          <w:sz w:val="19"/>
          <w:szCs w:val="19"/>
        </w:rPr>
      </w:pPr>
      <w:r w:rsidRPr="0033016F">
        <w:rPr>
          <w:rStyle w:val="Refdenotaalpie"/>
          <w:rFonts w:ascii="Arial" w:hAnsi="Arial" w:cs="Arial"/>
          <w:sz w:val="19"/>
          <w:szCs w:val="19"/>
        </w:rPr>
        <w:footnoteRef/>
      </w:r>
      <w:r w:rsidRPr="0033016F">
        <w:rPr>
          <w:rFonts w:ascii="Arial" w:hAnsi="Arial" w:cs="Arial"/>
          <w:sz w:val="19"/>
          <w:szCs w:val="19"/>
        </w:rPr>
        <w:t xml:space="preserve"> «</w:t>
      </w:r>
      <w:r w:rsidRPr="0033016F">
        <w:rPr>
          <w:rFonts w:ascii="Arial" w:hAnsi="Arial" w:eastAsia="Times New Roman" w:cs="Arial"/>
          <w:sz w:val="19"/>
          <w:szCs w:val="19"/>
          <w:lang w:eastAsia="es-ES"/>
        </w:rPr>
        <w:t>…la utilidad es el beneficio económico que pretende percibir el contratista por la ejecución del contrato y por costos de administración se han tenido como tales los que constituyen costos indirectos para la operación del contrato, tales como los gastos de disponibilidad de la organización del contratista; el porcentaje para imprevistos, como su nombre lo indica, está destinado a cubrir los gastos con los que no se contaba y que se presenten durante la ejecución del contrato</w:t>
      </w:r>
      <w:r w:rsidRPr="0033016F">
        <w:rPr>
          <w:rFonts w:ascii="Arial" w:hAnsi="Arial" w:cs="Arial"/>
          <w:sz w:val="19"/>
          <w:szCs w:val="19"/>
        </w:rPr>
        <w:t>» (</w:t>
      </w:r>
      <w:r w:rsidRPr="0033016F">
        <w:rPr>
          <w:rFonts w:ascii="Arial" w:hAnsi="Arial" w:cs="Arial"/>
          <w:sz w:val="19"/>
          <w:szCs w:val="19"/>
          <w:lang w:val="es-CO"/>
        </w:rPr>
        <w:t>Consejo de Estado. Sección Tercera. Consejero Ponente: Ramiro Saavedra Becerra. Sentencia del 28 de agosto de 2003. Radicado: 17.554).</w:t>
      </w:r>
      <w:r w:rsidRPr="0033016F">
        <w:rPr>
          <w:rFonts w:ascii="Arial" w:hAnsi="Arial" w:cs="Arial"/>
          <w:sz w:val="19"/>
          <w:szCs w:val="19"/>
        </w:rPr>
        <w:t xml:space="preserve"> </w:t>
      </w:r>
    </w:p>
    <w:p w:rsidRPr="0033016F" w:rsidR="00990701" w:rsidP="00990701" w:rsidRDefault="00990701" w14:paraId="3CEE85CD" w14:textId="77777777">
      <w:pPr>
        <w:pStyle w:val="Textonotapie"/>
        <w:ind w:firstLine="708"/>
        <w:jc w:val="both"/>
        <w:rPr>
          <w:rFonts w:ascii="Arial" w:hAnsi="Arial" w:cs="Arial"/>
          <w:sz w:val="19"/>
          <w:szCs w:val="19"/>
          <w:lang w:val="es-CO"/>
        </w:rPr>
      </w:pPr>
    </w:p>
  </w:footnote>
  <w:footnote w:id="7">
    <w:p w:rsidRPr="0033016F" w:rsidR="00990701" w:rsidP="00990701" w:rsidRDefault="00990701" w14:paraId="258FCCC3" w14:textId="77777777">
      <w:pPr>
        <w:pStyle w:val="Textonotapie"/>
        <w:ind w:firstLine="709"/>
        <w:jc w:val="both"/>
        <w:rPr>
          <w:rFonts w:ascii="Arial" w:hAnsi="Arial" w:cs="Arial"/>
          <w:sz w:val="19"/>
          <w:szCs w:val="19"/>
          <w:lang w:val="es-ES"/>
        </w:rPr>
      </w:pPr>
      <w:r w:rsidRPr="0033016F">
        <w:rPr>
          <w:rStyle w:val="Refdenotaalpie"/>
          <w:rFonts w:ascii="Arial" w:hAnsi="Arial" w:cs="Arial"/>
          <w:sz w:val="19"/>
          <w:szCs w:val="19"/>
        </w:rPr>
        <w:footnoteRef/>
      </w:r>
      <w:r w:rsidRPr="0033016F">
        <w:rPr>
          <w:rFonts w:ascii="Arial" w:hAnsi="Arial" w:cs="Arial"/>
          <w:sz w:val="19"/>
          <w:szCs w:val="19"/>
        </w:rPr>
        <w:t xml:space="preserve"> </w:t>
      </w:r>
      <w:r w:rsidRPr="0033016F">
        <w:rPr>
          <w:rFonts w:ascii="Arial" w:hAnsi="Arial" w:cs="Arial"/>
          <w:sz w:val="19"/>
          <w:szCs w:val="19"/>
          <w:lang w:val="es-ES"/>
        </w:rPr>
        <w:t xml:space="preserve">MARÍN, </w:t>
      </w:r>
      <w:r w:rsidRPr="0033016F">
        <w:rPr>
          <w:rFonts w:ascii="Arial" w:hAnsi="Arial" w:cs="Arial"/>
          <w:sz w:val="19"/>
          <w:szCs w:val="19"/>
          <w:lang w:val="es-ES"/>
        </w:rPr>
        <w:t>Op. Cit., pp. 64-65.</w:t>
      </w:r>
    </w:p>
    <w:p w:rsidRPr="0033016F" w:rsidR="00990701" w:rsidP="00990701" w:rsidRDefault="00990701" w14:paraId="18AF0CAA" w14:textId="77777777">
      <w:pPr>
        <w:pStyle w:val="Textonotapie"/>
        <w:ind w:firstLine="709"/>
        <w:jc w:val="both"/>
        <w:rPr>
          <w:rFonts w:ascii="Arial" w:hAnsi="Arial" w:cs="Arial"/>
          <w:sz w:val="19"/>
          <w:szCs w:val="19"/>
          <w:lang w:val="es-ES"/>
        </w:rPr>
      </w:pPr>
    </w:p>
  </w:footnote>
  <w:footnote w:id="8">
    <w:p w:rsidRPr="0033016F" w:rsidR="00990701" w:rsidP="00990701" w:rsidRDefault="00990701" w14:paraId="0E85959A" w14:textId="77777777">
      <w:pPr>
        <w:pStyle w:val="Textonotapie"/>
        <w:ind w:firstLine="709"/>
        <w:jc w:val="both"/>
        <w:rPr>
          <w:rFonts w:ascii="Arial" w:hAnsi="Arial" w:cs="Arial"/>
          <w:sz w:val="19"/>
          <w:szCs w:val="19"/>
          <w:lang w:val="es-ES"/>
        </w:rPr>
      </w:pPr>
      <w:r w:rsidRPr="0033016F">
        <w:rPr>
          <w:rStyle w:val="Refdenotaalpie"/>
          <w:rFonts w:ascii="Arial" w:hAnsi="Arial" w:cs="Arial"/>
          <w:sz w:val="19"/>
          <w:szCs w:val="19"/>
        </w:rPr>
        <w:footnoteRef/>
      </w:r>
      <w:r w:rsidRPr="0033016F">
        <w:rPr>
          <w:rFonts w:ascii="Arial" w:hAnsi="Arial" w:cs="Arial"/>
          <w:sz w:val="19"/>
          <w:szCs w:val="19"/>
        </w:rPr>
        <w:t xml:space="preserve"> </w:t>
      </w:r>
      <w:r w:rsidRPr="0033016F">
        <w:rPr>
          <w:rFonts w:ascii="Arial" w:hAnsi="Arial" w:cs="Arial"/>
          <w:sz w:val="19"/>
          <w:szCs w:val="19"/>
          <w:lang w:val="es-ES"/>
        </w:rPr>
        <w:t>Ibíd., p. 66.</w:t>
      </w:r>
    </w:p>
  </w:footnote>
  <w:footnote w:id="9">
    <w:p w:rsidRPr="0033016F" w:rsidR="00990701" w:rsidP="00990701" w:rsidRDefault="00990701" w14:paraId="35C8DF22" w14:textId="77777777">
      <w:pPr>
        <w:pStyle w:val="Textonotapie"/>
        <w:ind w:firstLine="708"/>
        <w:jc w:val="both"/>
        <w:rPr>
          <w:rFonts w:ascii="Arial" w:hAnsi="Arial" w:cs="Arial"/>
          <w:bCs/>
          <w:sz w:val="19"/>
          <w:szCs w:val="19"/>
          <w:lang w:val="es-ES_tradnl"/>
        </w:rPr>
      </w:pPr>
      <w:r w:rsidRPr="0033016F">
        <w:rPr>
          <w:rStyle w:val="Refdenotaalpie"/>
          <w:rFonts w:ascii="Arial" w:hAnsi="Arial" w:cs="Arial"/>
          <w:sz w:val="19"/>
          <w:szCs w:val="19"/>
        </w:rPr>
        <w:footnoteRef/>
      </w:r>
      <w:r w:rsidRPr="0033016F">
        <w:rPr>
          <w:rFonts w:ascii="Arial" w:hAnsi="Arial" w:cs="Arial"/>
          <w:sz w:val="19"/>
          <w:szCs w:val="19"/>
        </w:rPr>
        <w:t xml:space="preserve"> </w:t>
      </w:r>
      <w:r w:rsidRPr="0033016F">
        <w:rPr>
          <w:rFonts w:ascii="Arial" w:hAnsi="Arial" w:cs="Arial"/>
          <w:bCs/>
          <w:sz w:val="19"/>
          <w:szCs w:val="19"/>
          <w:lang w:val="es-ES_tradnl"/>
        </w:rPr>
        <w:t>«Que el porcentaje sea superior o inferior, o que para una empresa sea mayor o menor que para otra, depende de muchas razones, por ejemplo: del personal que se requiera en la obra –unas empresas emplean más o menos que otras–; de la magnitud del trabajo; de las cargas administrativas que cada empresa tienen –pensionados, convenciones colectivas y otros; del tamaño de la misma –mientras más grande es la A tiende a ser mayor; del costo de los campamentos; del transporte del personal; del sitio de las obras –si la empresa tiene un domicilio en el lugar del trabajo su A tiende a ser menor, y si se encuentra en otra ciudad tiende a subir, por ejemplo porque el salario de los ingenieros se incrementa por los viáticos–». (</w:t>
      </w:r>
      <w:r w:rsidRPr="0033016F">
        <w:rPr>
          <w:rFonts w:ascii="Arial" w:hAnsi="Arial" w:cs="Arial"/>
          <w:bCs/>
          <w:sz w:val="19"/>
          <w:szCs w:val="19"/>
          <w:lang w:val="es-ES_tradnl"/>
        </w:rPr>
        <w:t>Ibíd, p. 76).</w:t>
      </w:r>
    </w:p>
    <w:p w:rsidRPr="0033016F" w:rsidR="00990701" w:rsidP="00990701" w:rsidRDefault="00990701" w14:paraId="7624D8F1" w14:textId="77777777">
      <w:pPr>
        <w:pStyle w:val="Textonotapie"/>
        <w:ind w:firstLine="708"/>
        <w:jc w:val="both"/>
        <w:rPr>
          <w:rFonts w:ascii="Arial" w:hAnsi="Arial" w:cs="Arial"/>
          <w:sz w:val="19"/>
          <w:szCs w:val="19"/>
          <w:lang w:val="es-CO"/>
        </w:rPr>
      </w:pPr>
    </w:p>
  </w:footnote>
  <w:footnote w:id="10">
    <w:p w:rsidRPr="0033016F" w:rsidR="00990701" w:rsidP="00990701" w:rsidRDefault="00990701" w14:paraId="7EA37B3A" w14:textId="77777777">
      <w:pPr>
        <w:pStyle w:val="Textonotapie"/>
        <w:ind w:firstLine="708"/>
        <w:jc w:val="both"/>
        <w:rPr>
          <w:rFonts w:ascii="Arial" w:hAnsi="Arial" w:cs="Arial"/>
          <w:sz w:val="19"/>
          <w:szCs w:val="19"/>
        </w:rPr>
      </w:pPr>
      <w:r w:rsidRPr="0033016F">
        <w:rPr>
          <w:rStyle w:val="Refdenotaalpie"/>
          <w:rFonts w:ascii="Arial" w:hAnsi="Arial" w:cs="Arial"/>
          <w:sz w:val="19"/>
          <w:szCs w:val="19"/>
        </w:rPr>
        <w:footnoteRef/>
      </w:r>
      <w:r w:rsidRPr="0033016F">
        <w:rPr>
          <w:rFonts w:ascii="Arial" w:hAnsi="Arial" w:cs="Arial"/>
          <w:sz w:val="19"/>
          <w:szCs w:val="19"/>
        </w:rPr>
        <w:t xml:space="preserve"> Lo anterior, sin perjuicio de las fórmulas de reajuste que se establezcan en el contrato y lo establecido en el artículo 27 de la Ley 80 de 1993.</w:t>
      </w:r>
      <w:r>
        <w:rPr>
          <w:rFonts w:ascii="Arial" w:hAnsi="Arial" w:cs="Arial"/>
          <w:sz w:val="19"/>
          <w:szCs w:val="19"/>
        </w:rPr>
        <w:t xml:space="preserve"> En tal sentido,</w:t>
      </w:r>
      <w:r w:rsidRPr="001A1FF0">
        <w:rPr>
          <w:rFonts w:ascii="Arial" w:hAnsi="Arial" w:cs="Arial"/>
          <w:sz w:val="19"/>
          <w:szCs w:val="19"/>
        </w:rPr>
        <w:t xml:space="preserve"> en los casos de desequilibrio económico, porque los costos indirectos en los que incurre el contratista exceden el </w:t>
      </w:r>
      <w:r>
        <w:rPr>
          <w:rFonts w:ascii="Arial" w:hAnsi="Arial" w:cs="Arial"/>
          <w:sz w:val="19"/>
          <w:szCs w:val="19"/>
        </w:rPr>
        <w:t>a</w:t>
      </w:r>
      <w:r w:rsidRPr="001A1FF0">
        <w:rPr>
          <w:rFonts w:ascii="Arial" w:hAnsi="Arial" w:cs="Arial"/>
          <w:sz w:val="19"/>
          <w:szCs w:val="19"/>
        </w:rPr>
        <w:t>lea normal, es decir, le causan una afectación grave de su economía, podría exigirle a la entidad que le pague más de lo que se estipuló en la A o en la I, siendo esta una circunstancia extraordinaria.</w:t>
      </w:r>
    </w:p>
    <w:p w:rsidRPr="001A1FF0" w:rsidR="00990701" w:rsidP="00990701" w:rsidRDefault="00990701" w14:paraId="60BB4CA4" w14:textId="77777777">
      <w:pPr>
        <w:pStyle w:val="Textonotapie"/>
        <w:ind w:firstLine="708"/>
        <w:jc w:val="both"/>
        <w:rPr>
          <w:rFonts w:ascii="Arial" w:hAnsi="Arial" w:cs="Arial"/>
          <w:sz w:val="19"/>
          <w:szCs w:val="19"/>
        </w:rPr>
      </w:pPr>
    </w:p>
  </w:footnote>
  <w:footnote w:id="11">
    <w:p w:rsidR="00990701" w:rsidP="00990701" w:rsidRDefault="00990701" w14:paraId="0C781110" w14:textId="77777777">
      <w:pPr>
        <w:pStyle w:val="Textonotapie"/>
        <w:ind w:firstLine="708"/>
        <w:jc w:val="both"/>
        <w:rPr>
          <w:rFonts w:ascii="Arial" w:hAnsi="Arial" w:cs="Arial"/>
          <w:sz w:val="19"/>
          <w:szCs w:val="19"/>
        </w:rPr>
      </w:pPr>
      <w:r w:rsidRPr="0033016F">
        <w:rPr>
          <w:rStyle w:val="Refdenotaalpie"/>
          <w:rFonts w:ascii="Arial" w:hAnsi="Arial" w:cs="Arial"/>
          <w:sz w:val="19"/>
          <w:szCs w:val="19"/>
        </w:rPr>
        <w:footnoteRef/>
      </w:r>
      <w:r w:rsidRPr="0033016F">
        <w:rPr>
          <w:rFonts w:ascii="Arial" w:hAnsi="Arial" w:cs="Arial"/>
          <w:sz w:val="19"/>
          <w:szCs w:val="19"/>
        </w:rPr>
        <w:t xml:space="preserve"> Ibíd, p. 77. </w:t>
      </w:r>
    </w:p>
    <w:p w:rsidRPr="0033016F" w:rsidR="00990701" w:rsidP="00990701" w:rsidRDefault="00990701" w14:paraId="75335259" w14:textId="77777777">
      <w:pPr>
        <w:pStyle w:val="Textonotapie"/>
        <w:ind w:firstLine="708"/>
        <w:jc w:val="both"/>
        <w:rPr>
          <w:rFonts w:ascii="Arial" w:hAnsi="Arial" w:cs="Arial"/>
          <w:sz w:val="19"/>
          <w:szCs w:val="19"/>
          <w:lang w:val="es-CO"/>
        </w:rPr>
      </w:pPr>
    </w:p>
  </w:footnote>
  <w:footnote w:id="12">
    <w:p w:rsidRPr="003C3AA9" w:rsidR="00990701" w:rsidP="00990701" w:rsidRDefault="00990701" w14:paraId="4CEB21BC" w14:textId="77777777">
      <w:pPr>
        <w:pStyle w:val="Textonotapie"/>
        <w:ind w:firstLine="708"/>
        <w:jc w:val="both"/>
        <w:rPr>
          <w:lang w:val="es-CO"/>
        </w:rPr>
      </w:pPr>
      <w:r>
        <w:rPr>
          <w:rStyle w:val="Refdenotaalpie"/>
        </w:rPr>
        <w:footnoteRef/>
      </w:r>
      <w:r>
        <w:t xml:space="preserve"> </w:t>
      </w:r>
      <w:r w:rsidRPr="0033016F">
        <w:rPr>
          <w:rFonts w:ascii="Arial" w:hAnsi="Arial" w:cs="Arial"/>
          <w:sz w:val="19"/>
          <w:szCs w:val="19"/>
        </w:rPr>
        <w:t>Lo anterior, sin perjuicio de las fórmulas de reajuste que se establezcan en el contrato y lo establecido en el artículo 27 de la Ley 80 de 1993.</w:t>
      </w:r>
      <w:r>
        <w:rPr>
          <w:rFonts w:ascii="Arial" w:hAnsi="Arial" w:cs="Arial"/>
          <w:sz w:val="19"/>
          <w:szCs w:val="19"/>
        </w:rPr>
        <w:t xml:space="preserve"> En tal sentido,</w:t>
      </w:r>
      <w:r w:rsidRPr="001A1FF0">
        <w:rPr>
          <w:rFonts w:ascii="Arial" w:hAnsi="Arial" w:cs="Arial"/>
          <w:sz w:val="19"/>
          <w:szCs w:val="19"/>
        </w:rPr>
        <w:t xml:space="preserve"> en los casos de desequilibrio económico, porque los costos indirectos en los que incurre el contratista exceden el </w:t>
      </w:r>
      <w:r>
        <w:rPr>
          <w:rFonts w:ascii="Arial" w:hAnsi="Arial" w:cs="Arial"/>
          <w:sz w:val="19"/>
          <w:szCs w:val="19"/>
        </w:rPr>
        <w:t>a</w:t>
      </w:r>
      <w:r w:rsidRPr="001A1FF0">
        <w:rPr>
          <w:rFonts w:ascii="Arial" w:hAnsi="Arial" w:cs="Arial"/>
          <w:sz w:val="19"/>
          <w:szCs w:val="19"/>
        </w:rPr>
        <w:t>lea normal, es decir, le causan una afectación grave de su economía, podría exigirle a la entidad que le pague más de lo que se estipuló en la A o en la I, siendo esta una circunstancia extraordinaria</w:t>
      </w:r>
      <w:r>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6A59DE" w:rsidRDefault="006A59DE" w14:paraId="6520770B" w14:textId="1A2BB94C">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571A483F">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hybrid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hybrid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hybridMultilevel"/>
    <w:tmpl w:val="A99C5180"/>
    <w:lvl w:ilvl="0">
      <w:start w:val="1"/>
      <w:numFmt w:val="decimal"/>
      <w:lvlText w:val="%1."/>
      <w:lvlJc w:val="left"/>
      <w:pPr>
        <w:ind w:left="660" w:hanging="360"/>
      </w:pPr>
      <w:rPr>
        <w:rFonts w:hint="default" w:ascii="Arial" w:hAnsi="Arial" w:eastAsia="Arial" w:cs="Arial"/>
        <w:b/>
        <w:bCs/>
        <w:color w:val="auto"/>
        <w:spacing w:val="-8"/>
        <w:w w:val="100"/>
        <w:sz w:val="22"/>
        <w:szCs w:val="22"/>
        <w:lang w:val="es-ES" w:eastAsia="en-US" w:bidi="ar-SA"/>
      </w:rPr>
    </w:lvl>
    <w:lvl w:ilvl="1">
      <w:start w:val="1"/>
      <w:numFmt w:val="decimal"/>
      <w:lvlText w:val="%1.%2"/>
      <w:lvlJc w:val="left"/>
      <w:pPr>
        <w:ind w:left="665" w:hanging="365"/>
      </w:pPr>
      <w:rPr>
        <w:rFonts w:hint="default" w:ascii="Arial" w:hAnsi="Arial" w:eastAsia="Arial" w:cs="Arial"/>
        <w:b/>
        <w:bCs/>
        <w:color w:val="auto"/>
        <w:spacing w:val="-1"/>
        <w:w w:val="100"/>
        <w:sz w:val="22"/>
        <w:szCs w:val="22"/>
        <w:lang w:val="es-ES" w:eastAsia="en-US" w:bidi="ar-SA"/>
      </w:rPr>
    </w:lvl>
    <w:lvl w:ilvl="2">
      <w:start w:val="1"/>
      <w:numFmt w:val="decimal"/>
      <w:lvlText w:val="%3)"/>
      <w:lvlJc w:val="left"/>
      <w:pPr>
        <w:ind w:left="1008" w:hanging="265"/>
      </w:pPr>
      <w:rPr>
        <w:rFonts w:hint="default" w:ascii="Arial" w:hAnsi="Arial" w:eastAsia="Arial" w:cs="Arial"/>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3" w15:restartNumberingAfterBreak="0">
    <w:nsid w:val="4923772D"/>
    <w:multiLevelType w:val="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hybrid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68FA17E7"/>
    <w:multiLevelType w:val="hybrid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72FA202B"/>
    <w:multiLevelType w:val="hybridMultilevel"/>
    <w:tmpl w:val="510EE350"/>
    <w:lvl w:ilvl="0" w:tplc="EBCEC2A2">
      <w:start w:val="232"/>
      <w:numFmt w:val="bullet"/>
      <w:lvlText w:val="-"/>
      <w:lvlJc w:val="left"/>
      <w:pPr>
        <w:ind w:left="720" w:hanging="360"/>
      </w:pPr>
      <w:rPr>
        <w:rFonts w:hint="default" w:ascii="Arial" w:hAnsi="Arial" w:cs="Arial" w:eastAsiaTheme="minorHAnsi"/>
      </w:rPr>
    </w:lvl>
    <w:lvl w:ilvl="1" w:tplc="240A0003">
      <w:start w:val="1"/>
      <w:numFmt w:val="bullet"/>
      <w:lvlText w:val="o"/>
      <w:lvlJc w:val="left"/>
      <w:pPr>
        <w:ind w:left="1440" w:hanging="360"/>
      </w:pPr>
      <w:rPr>
        <w:rFonts w:hint="default" w:ascii="Courier New" w:hAnsi="Courier New" w:cs="Courier New"/>
      </w:rPr>
    </w:lvl>
    <w:lvl w:ilvl="2" w:tplc="240A0005">
      <w:start w:val="1"/>
      <w:numFmt w:val="bullet"/>
      <w:lvlText w:val=""/>
      <w:lvlJc w:val="left"/>
      <w:pPr>
        <w:ind w:left="2160" w:hanging="360"/>
      </w:pPr>
      <w:rPr>
        <w:rFonts w:hint="default" w:ascii="Wingdings" w:hAnsi="Wingdings"/>
      </w:rPr>
    </w:lvl>
    <w:lvl w:ilvl="3" w:tplc="240A0001">
      <w:start w:val="1"/>
      <w:numFmt w:val="bullet"/>
      <w:lvlText w:val=""/>
      <w:lvlJc w:val="left"/>
      <w:pPr>
        <w:ind w:left="2880" w:hanging="360"/>
      </w:pPr>
      <w:rPr>
        <w:rFonts w:hint="default" w:ascii="Symbol" w:hAnsi="Symbol"/>
      </w:rPr>
    </w:lvl>
    <w:lvl w:ilvl="4" w:tplc="240A0003">
      <w:start w:val="1"/>
      <w:numFmt w:val="bullet"/>
      <w:lvlText w:val="o"/>
      <w:lvlJc w:val="left"/>
      <w:pPr>
        <w:ind w:left="3600" w:hanging="360"/>
      </w:pPr>
      <w:rPr>
        <w:rFonts w:hint="default" w:ascii="Courier New" w:hAnsi="Courier New" w:cs="Courier New"/>
      </w:rPr>
    </w:lvl>
    <w:lvl w:ilvl="5" w:tplc="240A0005">
      <w:start w:val="1"/>
      <w:numFmt w:val="bullet"/>
      <w:lvlText w:val=""/>
      <w:lvlJc w:val="left"/>
      <w:pPr>
        <w:ind w:left="4320" w:hanging="360"/>
      </w:pPr>
      <w:rPr>
        <w:rFonts w:hint="default" w:ascii="Wingdings" w:hAnsi="Wingdings"/>
      </w:rPr>
    </w:lvl>
    <w:lvl w:ilvl="6" w:tplc="240A0001">
      <w:start w:val="1"/>
      <w:numFmt w:val="bullet"/>
      <w:lvlText w:val=""/>
      <w:lvlJc w:val="left"/>
      <w:pPr>
        <w:ind w:left="5040" w:hanging="360"/>
      </w:pPr>
      <w:rPr>
        <w:rFonts w:hint="default" w:ascii="Symbol" w:hAnsi="Symbol"/>
      </w:rPr>
    </w:lvl>
    <w:lvl w:ilvl="7" w:tplc="240A0003">
      <w:start w:val="1"/>
      <w:numFmt w:val="bullet"/>
      <w:lvlText w:val="o"/>
      <w:lvlJc w:val="left"/>
      <w:pPr>
        <w:ind w:left="5760" w:hanging="360"/>
      </w:pPr>
      <w:rPr>
        <w:rFonts w:hint="default" w:ascii="Courier New" w:hAnsi="Courier New" w:cs="Courier New"/>
      </w:rPr>
    </w:lvl>
    <w:lvl w:ilvl="8" w:tplc="240A0005">
      <w:start w:val="1"/>
      <w:numFmt w:val="bullet"/>
      <w:lvlText w:val=""/>
      <w:lvlJc w:val="left"/>
      <w:pPr>
        <w:ind w:left="6480" w:hanging="360"/>
      </w:pPr>
      <w:rPr>
        <w:rFonts w:hint="default" w:ascii="Wingdings" w:hAnsi="Wingdings"/>
      </w:rPr>
    </w:lvl>
  </w:abstractNum>
  <w:abstractNum w:abstractNumId="20" w15:restartNumberingAfterBreak="0">
    <w:nsid w:val="736A0777"/>
    <w:multiLevelType w:val="multilevel"/>
    <w:tmpl w:val="510EE350"/>
    <w:lvl w:ilvl="0">
      <w:start w:val="232"/>
      <w:numFmt w:val="bullet"/>
      <w:lvlText w:val="-"/>
      <w:lvlJc w:val="left"/>
      <w:pPr>
        <w:ind w:left="720" w:hanging="360"/>
      </w:pPr>
      <w:rPr>
        <w:rFonts w:hint="default" w:ascii="Arial" w:hAnsi="Arial" w:cs="Arial" w:eastAsiaTheme="minorHAnsi"/>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1"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13"/>
  </w:num>
  <w:num w:numId="19">
    <w:abstractNumId w:val="2"/>
  </w:num>
  <w:num w:numId="20">
    <w:abstractNumId w:val="20"/>
  </w:num>
  <w:num w:numId="21">
    <w:abstractNumId w:val="14"/>
  </w:num>
  <w:num w:numId="22">
    <w:abstractNumId w:val="5"/>
  </w:num>
  <w:num w:numId="23">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91"/>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C5C"/>
    <w:rsid w:val="000040D7"/>
    <w:rsid w:val="000051AF"/>
    <w:rsid w:val="000059D3"/>
    <w:rsid w:val="0000600A"/>
    <w:rsid w:val="00006081"/>
    <w:rsid w:val="00007750"/>
    <w:rsid w:val="000077FD"/>
    <w:rsid w:val="00007E37"/>
    <w:rsid w:val="00010C40"/>
    <w:rsid w:val="000112B4"/>
    <w:rsid w:val="00011DCC"/>
    <w:rsid w:val="00012532"/>
    <w:rsid w:val="00012B9E"/>
    <w:rsid w:val="00012FBA"/>
    <w:rsid w:val="00013C6B"/>
    <w:rsid w:val="0001406B"/>
    <w:rsid w:val="000143F8"/>
    <w:rsid w:val="00014624"/>
    <w:rsid w:val="00015B44"/>
    <w:rsid w:val="00016081"/>
    <w:rsid w:val="000165AC"/>
    <w:rsid w:val="00016651"/>
    <w:rsid w:val="000171A2"/>
    <w:rsid w:val="00017B65"/>
    <w:rsid w:val="00020158"/>
    <w:rsid w:val="000207E0"/>
    <w:rsid w:val="00020F8F"/>
    <w:rsid w:val="00021A95"/>
    <w:rsid w:val="0002256F"/>
    <w:rsid w:val="00023DAE"/>
    <w:rsid w:val="00024896"/>
    <w:rsid w:val="000263F0"/>
    <w:rsid w:val="00026407"/>
    <w:rsid w:val="00026608"/>
    <w:rsid w:val="00027787"/>
    <w:rsid w:val="000315E1"/>
    <w:rsid w:val="0003236E"/>
    <w:rsid w:val="0003339A"/>
    <w:rsid w:val="000341F2"/>
    <w:rsid w:val="00036E03"/>
    <w:rsid w:val="0004094D"/>
    <w:rsid w:val="00041029"/>
    <w:rsid w:val="0004149B"/>
    <w:rsid w:val="00042961"/>
    <w:rsid w:val="00042C25"/>
    <w:rsid w:val="00042D03"/>
    <w:rsid w:val="00043086"/>
    <w:rsid w:val="000430A0"/>
    <w:rsid w:val="00043D3B"/>
    <w:rsid w:val="0004418C"/>
    <w:rsid w:val="00044204"/>
    <w:rsid w:val="000449D4"/>
    <w:rsid w:val="00046717"/>
    <w:rsid w:val="00046A63"/>
    <w:rsid w:val="00046C09"/>
    <w:rsid w:val="0004716A"/>
    <w:rsid w:val="00047385"/>
    <w:rsid w:val="000473E8"/>
    <w:rsid w:val="000504DE"/>
    <w:rsid w:val="00051074"/>
    <w:rsid w:val="00052EA0"/>
    <w:rsid w:val="000536E3"/>
    <w:rsid w:val="0005474D"/>
    <w:rsid w:val="00055CB9"/>
    <w:rsid w:val="00056F66"/>
    <w:rsid w:val="0005702F"/>
    <w:rsid w:val="00061D06"/>
    <w:rsid w:val="00062CDD"/>
    <w:rsid w:val="000640AF"/>
    <w:rsid w:val="00064CAE"/>
    <w:rsid w:val="00064DB7"/>
    <w:rsid w:val="00064FA7"/>
    <w:rsid w:val="00065195"/>
    <w:rsid w:val="00070AF1"/>
    <w:rsid w:val="000714DE"/>
    <w:rsid w:val="0007254F"/>
    <w:rsid w:val="00073C30"/>
    <w:rsid w:val="00074305"/>
    <w:rsid w:val="00074B2A"/>
    <w:rsid w:val="00075B3E"/>
    <w:rsid w:val="00076456"/>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3"/>
    <w:rsid w:val="00086B2A"/>
    <w:rsid w:val="00086ED2"/>
    <w:rsid w:val="000914D6"/>
    <w:rsid w:val="00091569"/>
    <w:rsid w:val="000942EB"/>
    <w:rsid w:val="00095B70"/>
    <w:rsid w:val="0009617E"/>
    <w:rsid w:val="000979CF"/>
    <w:rsid w:val="000A03C8"/>
    <w:rsid w:val="000A06C4"/>
    <w:rsid w:val="000A0861"/>
    <w:rsid w:val="000A12DB"/>
    <w:rsid w:val="000A17C8"/>
    <w:rsid w:val="000A2128"/>
    <w:rsid w:val="000A362F"/>
    <w:rsid w:val="000A3B49"/>
    <w:rsid w:val="000A5AAF"/>
    <w:rsid w:val="000A5F97"/>
    <w:rsid w:val="000A648E"/>
    <w:rsid w:val="000A73BB"/>
    <w:rsid w:val="000A7EF4"/>
    <w:rsid w:val="000B0A15"/>
    <w:rsid w:val="000B103F"/>
    <w:rsid w:val="000B1437"/>
    <w:rsid w:val="000B1470"/>
    <w:rsid w:val="000B2B86"/>
    <w:rsid w:val="000B3051"/>
    <w:rsid w:val="000B419B"/>
    <w:rsid w:val="000B5781"/>
    <w:rsid w:val="000C0185"/>
    <w:rsid w:val="000C0F81"/>
    <w:rsid w:val="000C128D"/>
    <w:rsid w:val="000C17A3"/>
    <w:rsid w:val="000C1D4B"/>
    <w:rsid w:val="000C3260"/>
    <w:rsid w:val="000C3B77"/>
    <w:rsid w:val="000C4984"/>
    <w:rsid w:val="000C4F49"/>
    <w:rsid w:val="000C5861"/>
    <w:rsid w:val="000C639D"/>
    <w:rsid w:val="000C6DBC"/>
    <w:rsid w:val="000C6F79"/>
    <w:rsid w:val="000C7476"/>
    <w:rsid w:val="000C7711"/>
    <w:rsid w:val="000C7AA2"/>
    <w:rsid w:val="000D0462"/>
    <w:rsid w:val="000D053D"/>
    <w:rsid w:val="000D0ED2"/>
    <w:rsid w:val="000D1CEB"/>
    <w:rsid w:val="000D20C2"/>
    <w:rsid w:val="000D2563"/>
    <w:rsid w:val="000D25BF"/>
    <w:rsid w:val="000D3A1A"/>
    <w:rsid w:val="000D3FA0"/>
    <w:rsid w:val="000D3FDC"/>
    <w:rsid w:val="000D4E38"/>
    <w:rsid w:val="000D50DB"/>
    <w:rsid w:val="000D6288"/>
    <w:rsid w:val="000D7541"/>
    <w:rsid w:val="000D75E1"/>
    <w:rsid w:val="000E22CF"/>
    <w:rsid w:val="000E30AC"/>
    <w:rsid w:val="000E3B46"/>
    <w:rsid w:val="000E3E11"/>
    <w:rsid w:val="000E4596"/>
    <w:rsid w:val="000E5768"/>
    <w:rsid w:val="000E5843"/>
    <w:rsid w:val="000E6139"/>
    <w:rsid w:val="000E6BE1"/>
    <w:rsid w:val="000E7E0B"/>
    <w:rsid w:val="000F078A"/>
    <w:rsid w:val="000F122D"/>
    <w:rsid w:val="000F1450"/>
    <w:rsid w:val="000F14E8"/>
    <w:rsid w:val="000F1BBD"/>
    <w:rsid w:val="000F4403"/>
    <w:rsid w:val="000F4E17"/>
    <w:rsid w:val="000F6578"/>
    <w:rsid w:val="000F7E8F"/>
    <w:rsid w:val="000F7FBB"/>
    <w:rsid w:val="001000FB"/>
    <w:rsid w:val="00102605"/>
    <w:rsid w:val="00102686"/>
    <w:rsid w:val="00103915"/>
    <w:rsid w:val="00103EA0"/>
    <w:rsid w:val="001051E5"/>
    <w:rsid w:val="00105A74"/>
    <w:rsid w:val="00105ACB"/>
    <w:rsid w:val="00105AEF"/>
    <w:rsid w:val="00106259"/>
    <w:rsid w:val="001078CE"/>
    <w:rsid w:val="00110F61"/>
    <w:rsid w:val="001111BD"/>
    <w:rsid w:val="0011165A"/>
    <w:rsid w:val="00112774"/>
    <w:rsid w:val="00112B2E"/>
    <w:rsid w:val="00113003"/>
    <w:rsid w:val="00113062"/>
    <w:rsid w:val="00113705"/>
    <w:rsid w:val="00113975"/>
    <w:rsid w:val="00113CFC"/>
    <w:rsid w:val="00113FEA"/>
    <w:rsid w:val="00114E9D"/>
    <w:rsid w:val="0011507B"/>
    <w:rsid w:val="00116328"/>
    <w:rsid w:val="001174C9"/>
    <w:rsid w:val="00117E69"/>
    <w:rsid w:val="00121103"/>
    <w:rsid w:val="00121BAB"/>
    <w:rsid w:val="00121E3C"/>
    <w:rsid w:val="00122B23"/>
    <w:rsid w:val="00122B7E"/>
    <w:rsid w:val="00123FB5"/>
    <w:rsid w:val="0012400F"/>
    <w:rsid w:val="001249DC"/>
    <w:rsid w:val="0012572D"/>
    <w:rsid w:val="00125BED"/>
    <w:rsid w:val="00125C59"/>
    <w:rsid w:val="00125D4F"/>
    <w:rsid w:val="00127AF2"/>
    <w:rsid w:val="00127EDC"/>
    <w:rsid w:val="00127F6D"/>
    <w:rsid w:val="00130355"/>
    <w:rsid w:val="00131B5A"/>
    <w:rsid w:val="00132EFD"/>
    <w:rsid w:val="00133AED"/>
    <w:rsid w:val="0013695C"/>
    <w:rsid w:val="00136BF7"/>
    <w:rsid w:val="001378B9"/>
    <w:rsid w:val="00137FFA"/>
    <w:rsid w:val="00140109"/>
    <w:rsid w:val="0014029B"/>
    <w:rsid w:val="00140A4F"/>
    <w:rsid w:val="001413AB"/>
    <w:rsid w:val="00144335"/>
    <w:rsid w:val="0014502F"/>
    <w:rsid w:val="00145282"/>
    <w:rsid w:val="001453B0"/>
    <w:rsid w:val="001454D9"/>
    <w:rsid w:val="00145D8E"/>
    <w:rsid w:val="00146083"/>
    <w:rsid w:val="001462F7"/>
    <w:rsid w:val="00150005"/>
    <w:rsid w:val="00151B99"/>
    <w:rsid w:val="001521B2"/>
    <w:rsid w:val="00153491"/>
    <w:rsid w:val="0015361C"/>
    <w:rsid w:val="0015372F"/>
    <w:rsid w:val="00153BFB"/>
    <w:rsid w:val="0015407E"/>
    <w:rsid w:val="0015448E"/>
    <w:rsid w:val="00154A6F"/>
    <w:rsid w:val="00155D08"/>
    <w:rsid w:val="00156BE5"/>
    <w:rsid w:val="00157232"/>
    <w:rsid w:val="00160401"/>
    <w:rsid w:val="00161E62"/>
    <w:rsid w:val="00161F1C"/>
    <w:rsid w:val="0016200B"/>
    <w:rsid w:val="00163D7A"/>
    <w:rsid w:val="00164281"/>
    <w:rsid w:val="001676A9"/>
    <w:rsid w:val="00167A50"/>
    <w:rsid w:val="00167DF5"/>
    <w:rsid w:val="00170001"/>
    <w:rsid w:val="00172198"/>
    <w:rsid w:val="00172612"/>
    <w:rsid w:val="00172817"/>
    <w:rsid w:val="001734E3"/>
    <w:rsid w:val="001742BF"/>
    <w:rsid w:val="00175E49"/>
    <w:rsid w:val="001805C1"/>
    <w:rsid w:val="001813AF"/>
    <w:rsid w:val="001829CD"/>
    <w:rsid w:val="00182F01"/>
    <w:rsid w:val="0018519B"/>
    <w:rsid w:val="00185AFE"/>
    <w:rsid w:val="00185E78"/>
    <w:rsid w:val="00187177"/>
    <w:rsid w:val="00187ABD"/>
    <w:rsid w:val="0019087A"/>
    <w:rsid w:val="00191C5A"/>
    <w:rsid w:val="00191CEB"/>
    <w:rsid w:val="00191E63"/>
    <w:rsid w:val="00192D68"/>
    <w:rsid w:val="0019388B"/>
    <w:rsid w:val="001946AE"/>
    <w:rsid w:val="001946D5"/>
    <w:rsid w:val="00194E8C"/>
    <w:rsid w:val="001962EC"/>
    <w:rsid w:val="001963DD"/>
    <w:rsid w:val="00196DC9"/>
    <w:rsid w:val="001A0236"/>
    <w:rsid w:val="001A18D5"/>
    <w:rsid w:val="001A1D4A"/>
    <w:rsid w:val="001A3011"/>
    <w:rsid w:val="001A4DAF"/>
    <w:rsid w:val="001A66DF"/>
    <w:rsid w:val="001A67D0"/>
    <w:rsid w:val="001A7591"/>
    <w:rsid w:val="001A75B1"/>
    <w:rsid w:val="001B0366"/>
    <w:rsid w:val="001B0444"/>
    <w:rsid w:val="001B096B"/>
    <w:rsid w:val="001B0F9F"/>
    <w:rsid w:val="001B123C"/>
    <w:rsid w:val="001B1A0D"/>
    <w:rsid w:val="001B1BF1"/>
    <w:rsid w:val="001B2456"/>
    <w:rsid w:val="001B449C"/>
    <w:rsid w:val="001B4AA2"/>
    <w:rsid w:val="001B4ADE"/>
    <w:rsid w:val="001B5EF8"/>
    <w:rsid w:val="001C07C6"/>
    <w:rsid w:val="001C19CD"/>
    <w:rsid w:val="001C22D5"/>
    <w:rsid w:val="001C2515"/>
    <w:rsid w:val="001C26FB"/>
    <w:rsid w:val="001C33C1"/>
    <w:rsid w:val="001C3E30"/>
    <w:rsid w:val="001C3E5C"/>
    <w:rsid w:val="001C5072"/>
    <w:rsid w:val="001C5B2A"/>
    <w:rsid w:val="001C600B"/>
    <w:rsid w:val="001C6898"/>
    <w:rsid w:val="001C6DD8"/>
    <w:rsid w:val="001D068D"/>
    <w:rsid w:val="001D12D1"/>
    <w:rsid w:val="001D15DF"/>
    <w:rsid w:val="001D31A0"/>
    <w:rsid w:val="001D338E"/>
    <w:rsid w:val="001D56E9"/>
    <w:rsid w:val="001D796A"/>
    <w:rsid w:val="001D7A84"/>
    <w:rsid w:val="001D7C79"/>
    <w:rsid w:val="001E1CC4"/>
    <w:rsid w:val="001E1D38"/>
    <w:rsid w:val="001E4258"/>
    <w:rsid w:val="001E70FB"/>
    <w:rsid w:val="001E780A"/>
    <w:rsid w:val="001F0FA0"/>
    <w:rsid w:val="001F1349"/>
    <w:rsid w:val="001F1863"/>
    <w:rsid w:val="001F2356"/>
    <w:rsid w:val="001F2A68"/>
    <w:rsid w:val="001F4773"/>
    <w:rsid w:val="001F5008"/>
    <w:rsid w:val="001F56AA"/>
    <w:rsid w:val="001F58AA"/>
    <w:rsid w:val="001F5EF6"/>
    <w:rsid w:val="001F657F"/>
    <w:rsid w:val="001F6FB6"/>
    <w:rsid w:val="001F7978"/>
    <w:rsid w:val="001F7A0E"/>
    <w:rsid w:val="0020022E"/>
    <w:rsid w:val="0020054E"/>
    <w:rsid w:val="00201F1E"/>
    <w:rsid w:val="0020299B"/>
    <w:rsid w:val="00202E44"/>
    <w:rsid w:val="002037AA"/>
    <w:rsid w:val="00203FE3"/>
    <w:rsid w:val="002042D8"/>
    <w:rsid w:val="00204515"/>
    <w:rsid w:val="00204E6B"/>
    <w:rsid w:val="002058D4"/>
    <w:rsid w:val="0020632A"/>
    <w:rsid w:val="002110EB"/>
    <w:rsid w:val="00211338"/>
    <w:rsid w:val="00211388"/>
    <w:rsid w:val="0021148C"/>
    <w:rsid w:val="00211694"/>
    <w:rsid w:val="0021201A"/>
    <w:rsid w:val="00213A1F"/>
    <w:rsid w:val="00213C63"/>
    <w:rsid w:val="00214502"/>
    <w:rsid w:val="00214741"/>
    <w:rsid w:val="0021539A"/>
    <w:rsid w:val="00215852"/>
    <w:rsid w:val="00215B8E"/>
    <w:rsid w:val="00216264"/>
    <w:rsid w:val="002176B6"/>
    <w:rsid w:val="0021792D"/>
    <w:rsid w:val="00217DB8"/>
    <w:rsid w:val="002221CE"/>
    <w:rsid w:val="00222BE8"/>
    <w:rsid w:val="00223102"/>
    <w:rsid w:val="002232CB"/>
    <w:rsid w:val="00226055"/>
    <w:rsid w:val="0022613F"/>
    <w:rsid w:val="00226236"/>
    <w:rsid w:val="002270C9"/>
    <w:rsid w:val="00227A8B"/>
    <w:rsid w:val="0023146B"/>
    <w:rsid w:val="002315A0"/>
    <w:rsid w:val="00231EC7"/>
    <w:rsid w:val="00232E15"/>
    <w:rsid w:val="00233079"/>
    <w:rsid w:val="0023382C"/>
    <w:rsid w:val="00233977"/>
    <w:rsid w:val="00233C58"/>
    <w:rsid w:val="00233C71"/>
    <w:rsid w:val="002345B6"/>
    <w:rsid w:val="00234B84"/>
    <w:rsid w:val="00236016"/>
    <w:rsid w:val="00237065"/>
    <w:rsid w:val="00237589"/>
    <w:rsid w:val="0023758D"/>
    <w:rsid w:val="002375A7"/>
    <w:rsid w:val="0024019A"/>
    <w:rsid w:val="0024131D"/>
    <w:rsid w:val="00242D62"/>
    <w:rsid w:val="002431D7"/>
    <w:rsid w:val="00244058"/>
    <w:rsid w:val="00245718"/>
    <w:rsid w:val="00245E07"/>
    <w:rsid w:val="00247712"/>
    <w:rsid w:val="00250EC6"/>
    <w:rsid w:val="00251866"/>
    <w:rsid w:val="00251A9F"/>
    <w:rsid w:val="00252492"/>
    <w:rsid w:val="00252B35"/>
    <w:rsid w:val="0025316D"/>
    <w:rsid w:val="00253894"/>
    <w:rsid w:val="00253A02"/>
    <w:rsid w:val="00253B81"/>
    <w:rsid w:val="002554DE"/>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53A6"/>
    <w:rsid w:val="002661F1"/>
    <w:rsid w:val="002711A4"/>
    <w:rsid w:val="00271F13"/>
    <w:rsid w:val="00274DB5"/>
    <w:rsid w:val="00275BB1"/>
    <w:rsid w:val="00277933"/>
    <w:rsid w:val="00277F8D"/>
    <w:rsid w:val="00277FA7"/>
    <w:rsid w:val="00280F3D"/>
    <w:rsid w:val="0028106A"/>
    <w:rsid w:val="00281EB4"/>
    <w:rsid w:val="0028308E"/>
    <w:rsid w:val="002834E9"/>
    <w:rsid w:val="00283A52"/>
    <w:rsid w:val="00283C5E"/>
    <w:rsid w:val="00283E26"/>
    <w:rsid w:val="0028428F"/>
    <w:rsid w:val="00284CFC"/>
    <w:rsid w:val="00285832"/>
    <w:rsid w:val="00285969"/>
    <w:rsid w:val="0028663B"/>
    <w:rsid w:val="00286CEC"/>
    <w:rsid w:val="002871A9"/>
    <w:rsid w:val="00290781"/>
    <w:rsid w:val="00291784"/>
    <w:rsid w:val="002929BB"/>
    <w:rsid w:val="00294368"/>
    <w:rsid w:val="00294B78"/>
    <w:rsid w:val="00295949"/>
    <w:rsid w:val="0029624A"/>
    <w:rsid w:val="00296922"/>
    <w:rsid w:val="00297098"/>
    <w:rsid w:val="002A05D4"/>
    <w:rsid w:val="002A09FF"/>
    <w:rsid w:val="002A0E60"/>
    <w:rsid w:val="002A1A58"/>
    <w:rsid w:val="002A1B02"/>
    <w:rsid w:val="002A1C53"/>
    <w:rsid w:val="002A28FC"/>
    <w:rsid w:val="002A2B44"/>
    <w:rsid w:val="002A2EA5"/>
    <w:rsid w:val="002A3D94"/>
    <w:rsid w:val="002A4736"/>
    <w:rsid w:val="002A4B1C"/>
    <w:rsid w:val="002A6AFB"/>
    <w:rsid w:val="002A733D"/>
    <w:rsid w:val="002A7E5C"/>
    <w:rsid w:val="002A7F6D"/>
    <w:rsid w:val="002B1342"/>
    <w:rsid w:val="002B27C8"/>
    <w:rsid w:val="002B2A7F"/>
    <w:rsid w:val="002B330B"/>
    <w:rsid w:val="002B39BE"/>
    <w:rsid w:val="002B438C"/>
    <w:rsid w:val="002B48DB"/>
    <w:rsid w:val="002B4B34"/>
    <w:rsid w:val="002B541A"/>
    <w:rsid w:val="002B6407"/>
    <w:rsid w:val="002B6416"/>
    <w:rsid w:val="002B6459"/>
    <w:rsid w:val="002B73B0"/>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D0845"/>
    <w:rsid w:val="002D0933"/>
    <w:rsid w:val="002D1A9B"/>
    <w:rsid w:val="002D22C5"/>
    <w:rsid w:val="002D302A"/>
    <w:rsid w:val="002D36C6"/>
    <w:rsid w:val="002D37C1"/>
    <w:rsid w:val="002D444B"/>
    <w:rsid w:val="002D4A45"/>
    <w:rsid w:val="002D4B42"/>
    <w:rsid w:val="002D5A1B"/>
    <w:rsid w:val="002D65BC"/>
    <w:rsid w:val="002E055C"/>
    <w:rsid w:val="002E1050"/>
    <w:rsid w:val="002E18E5"/>
    <w:rsid w:val="002E1953"/>
    <w:rsid w:val="002E2D7D"/>
    <w:rsid w:val="002E3D76"/>
    <w:rsid w:val="002E40A1"/>
    <w:rsid w:val="002E48EC"/>
    <w:rsid w:val="002E4B44"/>
    <w:rsid w:val="002E4ECB"/>
    <w:rsid w:val="002E7847"/>
    <w:rsid w:val="002F240B"/>
    <w:rsid w:val="002F2F50"/>
    <w:rsid w:val="002F3601"/>
    <w:rsid w:val="002F45F6"/>
    <w:rsid w:val="002F7B66"/>
    <w:rsid w:val="00300CB4"/>
    <w:rsid w:val="00300E24"/>
    <w:rsid w:val="003033BA"/>
    <w:rsid w:val="003043A3"/>
    <w:rsid w:val="00304BD4"/>
    <w:rsid w:val="0030500A"/>
    <w:rsid w:val="003052EB"/>
    <w:rsid w:val="00305FCB"/>
    <w:rsid w:val="003063C3"/>
    <w:rsid w:val="00306B44"/>
    <w:rsid w:val="0031088E"/>
    <w:rsid w:val="00310D01"/>
    <w:rsid w:val="00311376"/>
    <w:rsid w:val="00311A1F"/>
    <w:rsid w:val="00311B47"/>
    <w:rsid w:val="00311D52"/>
    <w:rsid w:val="00312190"/>
    <w:rsid w:val="003125E0"/>
    <w:rsid w:val="0031271D"/>
    <w:rsid w:val="00313447"/>
    <w:rsid w:val="00313748"/>
    <w:rsid w:val="00313EA3"/>
    <w:rsid w:val="00315457"/>
    <w:rsid w:val="003161A4"/>
    <w:rsid w:val="00316955"/>
    <w:rsid w:val="0031720A"/>
    <w:rsid w:val="0031749B"/>
    <w:rsid w:val="003174E5"/>
    <w:rsid w:val="00317C9D"/>
    <w:rsid w:val="00317CD2"/>
    <w:rsid w:val="0032078D"/>
    <w:rsid w:val="0032137B"/>
    <w:rsid w:val="00321FA3"/>
    <w:rsid w:val="003227D3"/>
    <w:rsid w:val="00322937"/>
    <w:rsid w:val="00323881"/>
    <w:rsid w:val="00325D98"/>
    <w:rsid w:val="0032682A"/>
    <w:rsid w:val="00327A5C"/>
    <w:rsid w:val="0033092C"/>
    <w:rsid w:val="0033122A"/>
    <w:rsid w:val="003315AC"/>
    <w:rsid w:val="00331932"/>
    <w:rsid w:val="00333A88"/>
    <w:rsid w:val="00335B15"/>
    <w:rsid w:val="00335B21"/>
    <w:rsid w:val="00336104"/>
    <w:rsid w:val="00336729"/>
    <w:rsid w:val="0033726D"/>
    <w:rsid w:val="00337CA8"/>
    <w:rsid w:val="0034177C"/>
    <w:rsid w:val="00342345"/>
    <w:rsid w:val="00342C27"/>
    <w:rsid w:val="003430C8"/>
    <w:rsid w:val="003432C8"/>
    <w:rsid w:val="003434B3"/>
    <w:rsid w:val="00343536"/>
    <w:rsid w:val="00343EFB"/>
    <w:rsid w:val="00344760"/>
    <w:rsid w:val="0034680A"/>
    <w:rsid w:val="00346C62"/>
    <w:rsid w:val="0034778E"/>
    <w:rsid w:val="003501E2"/>
    <w:rsid w:val="00351E10"/>
    <w:rsid w:val="003536F6"/>
    <w:rsid w:val="00353DD5"/>
    <w:rsid w:val="00355131"/>
    <w:rsid w:val="00361A59"/>
    <w:rsid w:val="00363348"/>
    <w:rsid w:val="00363857"/>
    <w:rsid w:val="00363D59"/>
    <w:rsid w:val="003640F7"/>
    <w:rsid w:val="00365D3A"/>
    <w:rsid w:val="003664FF"/>
    <w:rsid w:val="00366BD2"/>
    <w:rsid w:val="003670B8"/>
    <w:rsid w:val="003706F2"/>
    <w:rsid w:val="0037124F"/>
    <w:rsid w:val="00373827"/>
    <w:rsid w:val="0037401C"/>
    <w:rsid w:val="0037507B"/>
    <w:rsid w:val="00375C7C"/>
    <w:rsid w:val="00377135"/>
    <w:rsid w:val="00380272"/>
    <w:rsid w:val="003805DB"/>
    <w:rsid w:val="0038152A"/>
    <w:rsid w:val="00382BAD"/>
    <w:rsid w:val="00384DF1"/>
    <w:rsid w:val="00384FF3"/>
    <w:rsid w:val="00386456"/>
    <w:rsid w:val="003865A9"/>
    <w:rsid w:val="00390F32"/>
    <w:rsid w:val="0039135E"/>
    <w:rsid w:val="0039319C"/>
    <w:rsid w:val="00393CAE"/>
    <w:rsid w:val="003945F4"/>
    <w:rsid w:val="00394EB5"/>
    <w:rsid w:val="003953B4"/>
    <w:rsid w:val="0039615F"/>
    <w:rsid w:val="00396A29"/>
    <w:rsid w:val="00397FF0"/>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E57"/>
    <w:rsid w:val="003B2EF3"/>
    <w:rsid w:val="003B534F"/>
    <w:rsid w:val="003B5391"/>
    <w:rsid w:val="003B65D7"/>
    <w:rsid w:val="003B65E0"/>
    <w:rsid w:val="003B6BD4"/>
    <w:rsid w:val="003B6F4D"/>
    <w:rsid w:val="003B6FE7"/>
    <w:rsid w:val="003C0D1F"/>
    <w:rsid w:val="003C116A"/>
    <w:rsid w:val="003C1AF4"/>
    <w:rsid w:val="003C1CB8"/>
    <w:rsid w:val="003C2550"/>
    <w:rsid w:val="003C287F"/>
    <w:rsid w:val="003C375A"/>
    <w:rsid w:val="003C4D9F"/>
    <w:rsid w:val="003C622C"/>
    <w:rsid w:val="003C73C7"/>
    <w:rsid w:val="003D050B"/>
    <w:rsid w:val="003D0B98"/>
    <w:rsid w:val="003D0C3C"/>
    <w:rsid w:val="003D0DE5"/>
    <w:rsid w:val="003D1351"/>
    <w:rsid w:val="003D21C1"/>
    <w:rsid w:val="003D3B2E"/>
    <w:rsid w:val="003D484D"/>
    <w:rsid w:val="003D49CB"/>
    <w:rsid w:val="003D6B8F"/>
    <w:rsid w:val="003D7566"/>
    <w:rsid w:val="003E09BB"/>
    <w:rsid w:val="003E159D"/>
    <w:rsid w:val="003E2F55"/>
    <w:rsid w:val="003E34DB"/>
    <w:rsid w:val="003E3833"/>
    <w:rsid w:val="003E3AF9"/>
    <w:rsid w:val="003E4A70"/>
    <w:rsid w:val="003E4C48"/>
    <w:rsid w:val="003E4CD9"/>
    <w:rsid w:val="003E54B3"/>
    <w:rsid w:val="003E5780"/>
    <w:rsid w:val="003E5B9F"/>
    <w:rsid w:val="003E6072"/>
    <w:rsid w:val="003E6AB6"/>
    <w:rsid w:val="003E6E0B"/>
    <w:rsid w:val="003E71CD"/>
    <w:rsid w:val="003E78DA"/>
    <w:rsid w:val="003E7A8B"/>
    <w:rsid w:val="003F0F7F"/>
    <w:rsid w:val="003F300D"/>
    <w:rsid w:val="003F391F"/>
    <w:rsid w:val="003F4599"/>
    <w:rsid w:val="003F45E1"/>
    <w:rsid w:val="003F4678"/>
    <w:rsid w:val="003F4F6C"/>
    <w:rsid w:val="003F559E"/>
    <w:rsid w:val="003F6181"/>
    <w:rsid w:val="003F6D39"/>
    <w:rsid w:val="003F7343"/>
    <w:rsid w:val="00400002"/>
    <w:rsid w:val="00400054"/>
    <w:rsid w:val="004016A3"/>
    <w:rsid w:val="00401B31"/>
    <w:rsid w:val="0040202B"/>
    <w:rsid w:val="00402DE1"/>
    <w:rsid w:val="00402EEB"/>
    <w:rsid w:val="004037C2"/>
    <w:rsid w:val="00404041"/>
    <w:rsid w:val="00404B43"/>
    <w:rsid w:val="00404C61"/>
    <w:rsid w:val="00405487"/>
    <w:rsid w:val="0040602B"/>
    <w:rsid w:val="00407A7A"/>
    <w:rsid w:val="00407ABC"/>
    <w:rsid w:val="00407F1E"/>
    <w:rsid w:val="00410A88"/>
    <w:rsid w:val="00411317"/>
    <w:rsid w:val="00411A9E"/>
    <w:rsid w:val="0041259F"/>
    <w:rsid w:val="00412B4D"/>
    <w:rsid w:val="00412C51"/>
    <w:rsid w:val="00413262"/>
    <w:rsid w:val="0041329C"/>
    <w:rsid w:val="004139F4"/>
    <w:rsid w:val="00413FFA"/>
    <w:rsid w:val="00414D9A"/>
    <w:rsid w:val="00415194"/>
    <w:rsid w:val="00415B88"/>
    <w:rsid w:val="00415D32"/>
    <w:rsid w:val="004160A2"/>
    <w:rsid w:val="004170D7"/>
    <w:rsid w:val="004177A6"/>
    <w:rsid w:val="00417EFD"/>
    <w:rsid w:val="004200EE"/>
    <w:rsid w:val="004209D2"/>
    <w:rsid w:val="00421BD2"/>
    <w:rsid w:val="00421E00"/>
    <w:rsid w:val="00421FCB"/>
    <w:rsid w:val="00422DCA"/>
    <w:rsid w:val="00423F9F"/>
    <w:rsid w:val="00425C43"/>
    <w:rsid w:val="004273FA"/>
    <w:rsid w:val="00430186"/>
    <w:rsid w:val="0043269A"/>
    <w:rsid w:val="004333C2"/>
    <w:rsid w:val="00434787"/>
    <w:rsid w:val="00434C13"/>
    <w:rsid w:val="0043683F"/>
    <w:rsid w:val="00436F40"/>
    <w:rsid w:val="004370FA"/>
    <w:rsid w:val="00440DB0"/>
    <w:rsid w:val="00440FAD"/>
    <w:rsid w:val="004420AB"/>
    <w:rsid w:val="004422D6"/>
    <w:rsid w:val="00442D4D"/>
    <w:rsid w:val="0044374D"/>
    <w:rsid w:val="00443B55"/>
    <w:rsid w:val="00443D27"/>
    <w:rsid w:val="00446037"/>
    <w:rsid w:val="0044642F"/>
    <w:rsid w:val="0044772C"/>
    <w:rsid w:val="00450846"/>
    <w:rsid w:val="00451A52"/>
    <w:rsid w:val="0045271D"/>
    <w:rsid w:val="00452755"/>
    <w:rsid w:val="00452803"/>
    <w:rsid w:val="004529C6"/>
    <w:rsid w:val="00452EAD"/>
    <w:rsid w:val="004534D1"/>
    <w:rsid w:val="00454548"/>
    <w:rsid w:val="00454717"/>
    <w:rsid w:val="00455354"/>
    <w:rsid w:val="0045558D"/>
    <w:rsid w:val="00456970"/>
    <w:rsid w:val="00456BB1"/>
    <w:rsid w:val="00456DDB"/>
    <w:rsid w:val="00460915"/>
    <w:rsid w:val="00460946"/>
    <w:rsid w:val="004614A9"/>
    <w:rsid w:val="00461E97"/>
    <w:rsid w:val="0046268F"/>
    <w:rsid w:val="00462B10"/>
    <w:rsid w:val="00462C04"/>
    <w:rsid w:val="0046320A"/>
    <w:rsid w:val="004638E2"/>
    <w:rsid w:val="00464030"/>
    <w:rsid w:val="004647F8"/>
    <w:rsid w:val="004647FB"/>
    <w:rsid w:val="00465677"/>
    <w:rsid w:val="00466616"/>
    <w:rsid w:val="00466A0C"/>
    <w:rsid w:val="00470A6A"/>
    <w:rsid w:val="00470D92"/>
    <w:rsid w:val="00471DF7"/>
    <w:rsid w:val="004734CF"/>
    <w:rsid w:val="00475C5A"/>
    <w:rsid w:val="00475C9C"/>
    <w:rsid w:val="0047676B"/>
    <w:rsid w:val="0047773C"/>
    <w:rsid w:val="00477C5F"/>
    <w:rsid w:val="00480050"/>
    <w:rsid w:val="004808DE"/>
    <w:rsid w:val="00481AC4"/>
    <w:rsid w:val="00481DC1"/>
    <w:rsid w:val="00482507"/>
    <w:rsid w:val="0048268A"/>
    <w:rsid w:val="004835CA"/>
    <w:rsid w:val="004836F8"/>
    <w:rsid w:val="004836FE"/>
    <w:rsid w:val="00484F0F"/>
    <w:rsid w:val="00484F40"/>
    <w:rsid w:val="0048540C"/>
    <w:rsid w:val="004861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E04"/>
    <w:rsid w:val="004940E3"/>
    <w:rsid w:val="0049530F"/>
    <w:rsid w:val="00496664"/>
    <w:rsid w:val="00496786"/>
    <w:rsid w:val="0049695B"/>
    <w:rsid w:val="00496D8F"/>
    <w:rsid w:val="00497463"/>
    <w:rsid w:val="004A054C"/>
    <w:rsid w:val="004A08D1"/>
    <w:rsid w:val="004A16C1"/>
    <w:rsid w:val="004A1CE2"/>
    <w:rsid w:val="004A34D2"/>
    <w:rsid w:val="004A4301"/>
    <w:rsid w:val="004A58EE"/>
    <w:rsid w:val="004A59B7"/>
    <w:rsid w:val="004A623B"/>
    <w:rsid w:val="004A6A04"/>
    <w:rsid w:val="004A6A52"/>
    <w:rsid w:val="004B0F0B"/>
    <w:rsid w:val="004B2197"/>
    <w:rsid w:val="004B298A"/>
    <w:rsid w:val="004B578D"/>
    <w:rsid w:val="004B5BE7"/>
    <w:rsid w:val="004B5E2D"/>
    <w:rsid w:val="004B6C07"/>
    <w:rsid w:val="004B788E"/>
    <w:rsid w:val="004B7E5D"/>
    <w:rsid w:val="004C22F7"/>
    <w:rsid w:val="004C2B27"/>
    <w:rsid w:val="004C3929"/>
    <w:rsid w:val="004C5EF0"/>
    <w:rsid w:val="004C7226"/>
    <w:rsid w:val="004C74C9"/>
    <w:rsid w:val="004C7D70"/>
    <w:rsid w:val="004D02F9"/>
    <w:rsid w:val="004D03FE"/>
    <w:rsid w:val="004D0446"/>
    <w:rsid w:val="004D0F95"/>
    <w:rsid w:val="004D36AF"/>
    <w:rsid w:val="004D3BD1"/>
    <w:rsid w:val="004D4BA1"/>
    <w:rsid w:val="004D584D"/>
    <w:rsid w:val="004D6826"/>
    <w:rsid w:val="004E023F"/>
    <w:rsid w:val="004E02C8"/>
    <w:rsid w:val="004E0742"/>
    <w:rsid w:val="004E0C64"/>
    <w:rsid w:val="004E0F6B"/>
    <w:rsid w:val="004E1545"/>
    <w:rsid w:val="004E1F1C"/>
    <w:rsid w:val="004E2A35"/>
    <w:rsid w:val="004E40CE"/>
    <w:rsid w:val="004E5736"/>
    <w:rsid w:val="004E5B36"/>
    <w:rsid w:val="004E6045"/>
    <w:rsid w:val="004E6F43"/>
    <w:rsid w:val="004E7200"/>
    <w:rsid w:val="004F0960"/>
    <w:rsid w:val="004F0A5C"/>
    <w:rsid w:val="004F163F"/>
    <w:rsid w:val="004F18A0"/>
    <w:rsid w:val="004F1A08"/>
    <w:rsid w:val="004F3764"/>
    <w:rsid w:val="004F3EEF"/>
    <w:rsid w:val="004F5930"/>
    <w:rsid w:val="004F5F0C"/>
    <w:rsid w:val="004F6121"/>
    <w:rsid w:val="004F6161"/>
    <w:rsid w:val="004F66BC"/>
    <w:rsid w:val="004F6C26"/>
    <w:rsid w:val="004F7AC9"/>
    <w:rsid w:val="0050062F"/>
    <w:rsid w:val="0050284E"/>
    <w:rsid w:val="005075CA"/>
    <w:rsid w:val="0051074C"/>
    <w:rsid w:val="00510DE9"/>
    <w:rsid w:val="005111E2"/>
    <w:rsid w:val="00511231"/>
    <w:rsid w:val="00512C4F"/>
    <w:rsid w:val="00513042"/>
    <w:rsid w:val="00513399"/>
    <w:rsid w:val="00513AF2"/>
    <w:rsid w:val="00514575"/>
    <w:rsid w:val="00514C03"/>
    <w:rsid w:val="00514D67"/>
    <w:rsid w:val="00515515"/>
    <w:rsid w:val="00516C5B"/>
    <w:rsid w:val="00517612"/>
    <w:rsid w:val="00517CFB"/>
    <w:rsid w:val="00520899"/>
    <w:rsid w:val="00520922"/>
    <w:rsid w:val="005209FC"/>
    <w:rsid w:val="005224E5"/>
    <w:rsid w:val="00523903"/>
    <w:rsid w:val="005239B6"/>
    <w:rsid w:val="00523C45"/>
    <w:rsid w:val="005246E7"/>
    <w:rsid w:val="00524FD2"/>
    <w:rsid w:val="00525621"/>
    <w:rsid w:val="00526431"/>
    <w:rsid w:val="00527E57"/>
    <w:rsid w:val="00530405"/>
    <w:rsid w:val="00530522"/>
    <w:rsid w:val="005305E5"/>
    <w:rsid w:val="00530F38"/>
    <w:rsid w:val="00531F26"/>
    <w:rsid w:val="0053277C"/>
    <w:rsid w:val="005327C0"/>
    <w:rsid w:val="00533101"/>
    <w:rsid w:val="00533CA9"/>
    <w:rsid w:val="005346AD"/>
    <w:rsid w:val="00534EFB"/>
    <w:rsid w:val="00534F60"/>
    <w:rsid w:val="00536053"/>
    <w:rsid w:val="005369E6"/>
    <w:rsid w:val="005371AC"/>
    <w:rsid w:val="00537672"/>
    <w:rsid w:val="0053772F"/>
    <w:rsid w:val="00537B77"/>
    <w:rsid w:val="0054275A"/>
    <w:rsid w:val="00542BD7"/>
    <w:rsid w:val="00543084"/>
    <w:rsid w:val="0054413A"/>
    <w:rsid w:val="00544288"/>
    <w:rsid w:val="005446BB"/>
    <w:rsid w:val="00545E30"/>
    <w:rsid w:val="00546C9B"/>
    <w:rsid w:val="00547BF6"/>
    <w:rsid w:val="00551598"/>
    <w:rsid w:val="0055162B"/>
    <w:rsid w:val="00551D68"/>
    <w:rsid w:val="00552B3E"/>
    <w:rsid w:val="005551AA"/>
    <w:rsid w:val="005564CA"/>
    <w:rsid w:val="005568EA"/>
    <w:rsid w:val="00557140"/>
    <w:rsid w:val="00560C87"/>
    <w:rsid w:val="00560F51"/>
    <w:rsid w:val="00561249"/>
    <w:rsid w:val="0056182B"/>
    <w:rsid w:val="00561AF3"/>
    <w:rsid w:val="00561E0B"/>
    <w:rsid w:val="00562141"/>
    <w:rsid w:val="00562D86"/>
    <w:rsid w:val="00564704"/>
    <w:rsid w:val="00564712"/>
    <w:rsid w:val="005657A8"/>
    <w:rsid w:val="00566866"/>
    <w:rsid w:val="00567AB8"/>
    <w:rsid w:val="00570A26"/>
    <w:rsid w:val="00572539"/>
    <w:rsid w:val="0057337D"/>
    <w:rsid w:val="00573504"/>
    <w:rsid w:val="00574708"/>
    <w:rsid w:val="00574D81"/>
    <w:rsid w:val="005756AA"/>
    <w:rsid w:val="0057696F"/>
    <w:rsid w:val="005774FE"/>
    <w:rsid w:val="0058040C"/>
    <w:rsid w:val="00580D6D"/>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91C03"/>
    <w:rsid w:val="00591E2A"/>
    <w:rsid w:val="005923C4"/>
    <w:rsid w:val="00593F75"/>
    <w:rsid w:val="005940A0"/>
    <w:rsid w:val="00596AF7"/>
    <w:rsid w:val="00596CCE"/>
    <w:rsid w:val="005A1976"/>
    <w:rsid w:val="005A2120"/>
    <w:rsid w:val="005A2501"/>
    <w:rsid w:val="005A2C80"/>
    <w:rsid w:val="005A3066"/>
    <w:rsid w:val="005A3B35"/>
    <w:rsid w:val="005A3C4B"/>
    <w:rsid w:val="005A3E5A"/>
    <w:rsid w:val="005A43F3"/>
    <w:rsid w:val="005A496F"/>
    <w:rsid w:val="005A4A56"/>
    <w:rsid w:val="005A5A3D"/>
    <w:rsid w:val="005A6035"/>
    <w:rsid w:val="005A6B75"/>
    <w:rsid w:val="005A6E00"/>
    <w:rsid w:val="005A718A"/>
    <w:rsid w:val="005B12B2"/>
    <w:rsid w:val="005B143B"/>
    <w:rsid w:val="005B198F"/>
    <w:rsid w:val="005B1E45"/>
    <w:rsid w:val="005B21C4"/>
    <w:rsid w:val="005B2A28"/>
    <w:rsid w:val="005B3621"/>
    <w:rsid w:val="005B4948"/>
    <w:rsid w:val="005B501D"/>
    <w:rsid w:val="005B54CC"/>
    <w:rsid w:val="005B74AD"/>
    <w:rsid w:val="005B7E96"/>
    <w:rsid w:val="005C0429"/>
    <w:rsid w:val="005C084F"/>
    <w:rsid w:val="005C0EE9"/>
    <w:rsid w:val="005C1954"/>
    <w:rsid w:val="005C1C0B"/>
    <w:rsid w:val="005C2011"/>
    <w:rsid w:val="005C3EA3"/>
    <w:rsid w:val="005C5011"/>
    <w:rsid w:val="005C529E"/>
    <w:rsid w:val="005C57BA"/>
    <w:rsid w:val="005C5C52"/>
    <w:rsid w:val="005C5D3D"/>
    <w:rsid w:val="005C5F05"/>
    <w:rsid w:val="005C7F3E"/>
    <w:rsid w:val="005D2044"/>
    <w:rsid w:val="005D2917"/>
    <w:rsid w:val="005D2EB2"/>
    <w:rsid w:val="005D2F48"/>
    <w:rsid w:val="005D464B"/>
    <w:rsid w:val="005D466F"/>
    <w:rsid w:val="005D49F0"/>
    <w:rsid w:val="005D51FA"/>
    <w:rsid w:val="005D53E8"/>
    <w:rsid w:val="005D5A9D"/>
    <w:rsid w:val="005D6651"/>
    <w:rsid w:val="005D691D"/>
    <w:rsid w:val="005D6A72"/>
    <w:rsid w:val="005D791B"/>
    <w:rsid w:val="005D7CF2"/>
    <w:rsid w:val="005D7F92"/>
    <w:rsid w:val="005E0D7B"/>
    <w:rsid w:val="005E1595"/>
    <w:rsid w:val="005E1F1D"/>
    <w:rsid w:val="005E273D"/>
    <w:rsid w:val="005E3278"/>
    <w:rsid w:val="005E363B"/>
    <w:rsid w:val="005F305B"/>
    <w:rsid w:val="005F3361"/>
    <w:rsid w:val="005F3B47"/>
    <w:rsid w:val="005F4481"/>
    <w:rsid w:val="005F49AF"/>
    <w:rsid w:val="005F4A58"/>
    <w:rsid w:val="005F5888"/>
    <w:rsid w:val="005F5984"/>
    <w:rsid w:val="005F6CE2"/>
    <w:rsid w:val="005F72E9"/>
    <w:rsid w:val="00600473"/>
    <w:rsid w:val="006013C9"/>
    <w:rsid w:val="00602B45"/>
    <w:rsid w:val="00603499"/>
    <w:rsid w:val="006035F5"/>
    <w:rsid w:val="00603CC2"/>
    <w:rsid w:val="006047D1"/>
    <w:rsid w:val="00604A55"/>
    <w:rsid w:val="00605AC3"/>
    <w:rsid w:val="00606908"/>
    <w:rsid w:val="00607996"/>
    <w:rsid w:val="00607A37"/>
    <w:rsid w:val="00607E9F"/>
    <w:rsid w:val="0061085E"/>
    <w:rsid w:val="00611398"/>
    <w:rsid w:val="00612322"/>
    <w:rsid w:val="00613191"/>
    <w:rsid w:val="006133F9"/>
    <w:rsid w:val="006134B3"/>
    <w:rsid w:val="00613DE1"/>
    <w:rsid w:val="0061401F"/>
    <w:rsid w:val="00614166"/>
    <w:rsid w:val="00614817"/>
    <w:rsid w:val="006149CC"/>
    <w:rsid w:val="006157A9"/>
    <w:rsid w:val="0061591D"/>
    <w:rsid w:val="00615ED0"/>
    <w:rsid w:val="0061604C"/>
    <w:rsid w:val="00616C2B"/>
    <w:rsid w:val="006178D1"/>
    <w:rsid w:val="00620719"/>
    <w:rsid w:val="006212C9"/>
    <w:rsid w:val="00622470"/>
    <w:rsid w:val="00622725"/>
    <w:rsid w:val="006231AA"/>
    <w:rsid w:val="00623482"/>
    <w:rsid w:val="00623AC2"/>
    <w:rsid w:val="006266D7"/>
    <w:rsid w:val="00626D42"/>
    <w:rsid w:val="00626EE3"/>
    <w:rsid w:val="006274AD"/>
    <w:rsid w:val="00627532"/>
    <w:rsid w:val="006302AA"/>
    <w:rsid w:val="006310C3"/>
    <w:rsid w:val="0063161E"/>
    <w:rsid w:val="00631BB5"/>
    <w:rsid w:val="00631DD0"/>
    <w:rsid w:val="00633DBF"/>
    <w:rsid w:val="00634122"/>
    <w:rsid w:val="00635E32"/>
    <w:rsid w:val="006365DE"/>
    <w:rsid w:val="00636BE4"/>
    <w:rsid w:val="00637802"/>
    <w:rsid w:val="00637836"/>
    <w:rsid w:val="00637C26"/>
    <w:rsid w:val="00637F44"/>
    <w:rsid w:val="00641078"/>
    <w:rsid w:val="00641242"/>
    <w:rsid w:val="00642A32"/>
    <w:rsid w:val="006433D5"/>
    <w:rsid w:val="00646B20"/>
    <w:rsid w:val="00646D0F"/>
    <w:rsid w:val="00647DCC"/>
    <w:rsid w:val="00647EFA"/>
    <w:rsid w:val="00650027"/>
    <w:rsid w:val="00651C47"/>
    <w:rsid w:val="00652E70"/>
    <w:rsid w:val="0065339A"/>
    <w:rsid w:val="00653469"/>
    <w:rsid w:val="00654A38"/>
    <w:rsid w:val="00655301"/>
    <w:rsid w:val="00655371"/>
    <w:rsid w:val="00656C4B"/>
    <w:rsid w:val="006573EA"/>
    <w:rsid w:val="00661029"/>
    <w:rsid w:val="0066135A"/>
    <w:rsid w:val="0066272D"/>
    <w:rsid w:val="00662F39"/>
    <w:rsid w:val="006635A0"/>
    <w:rsid w:val="00664351"/>
    <w:rsid w:val="00665968"/>
    <w:rsid w:val="00665BF7"/>
    <w:rsid w:val="00666178"/>
    <w:rsid w:val="0066639E"/>
    <w:rsid w:val="00666C72"/>
    <w:rsid w:val="00666E6C"/>
    <w:rsid w:val="0066707F"/>
    <w:rsid w:val="00667ED8"/>
    <w:rsid w:val="0067064C"/>
    <w:rsid w:val="00670B20"/>
    <w:rsid w:val="00670E12"/>
    <w:rsid w:val="006719A8"/>
    <w:rsid w:val="00672E80"/>
    <w:rsid w:val="006739E4"/>
    <w:rsid w:val="00673ECF"/>
    <w:rsid w:val="0067426B"/>
    <w:rsid w:val="00674A1B"/>
    <w:rsid w:val="006754F8"/>
    <w:rsid w:val="00676127"/>
    <w:rsid w:val="00676AED"/>
    <w:rsid w:val="00677F26"/>
    <w:rsid w:val="006811C9"/>
    <w:rsid w:val="006812CE"/>
    <w:rsid w:val="00682C89"/>
    <w:rsid w:val="006832B8"/>
    <w:rsid w:val="00683800"/>
    <w:rsid w:val="00684C8A"/>
    <w:rsid w:val="00684CF5"/>
    <w:rsid w:val="0068553E"/>
    <w:rsid w:val="00685E7B"/>
    <w:rsid w:val="00686551"/>
    <w:rsid w:val="0068730C"/>
    <w:rsid w:val="00687504"/>
    <w:rsid w:val="00690839"/>
    <w:rsid w:val="006908DB"/>
    <w:rsid w:val="00691DE9"/>
    <w:rsid w:val="00691EAA"/>
    <w:rsid w:val="00693772"/>
    <w:rsid w:val="00694160"/>
    <w:rsid w:val="00695C0C"/>
    <w:rsid w:val="00696A05"/>
    <w:rsid w:val="00697665"/>
    <w:rsid w:val="00697C9A"/>
    <w:rsid w:val="00697E68"/>
    <w:rsid w:val="006A0274"/>
    <w:rsid w:val="006A2A43"/>
    <w:rsid w:val="006A2F9A"/>
    <w:rsid w:val="006A34E4"/>
    <w:rsid w:val="006A3A5A"/>
    <w:rsid w:val="006A44CF"/>
    <w:rsid w:val="006A457D"/>
    <w:rsid w:val="006A55EE"/>
    <w:rsid w:val="006A575B"/>
    <w:rsid w:val="006A59DE"/>
    <w:rsid w:val="006A6655"/>
    <w:rsid w:val="006A7CB5"/>
    <w:rsid w:val="006A7FD0"/>
    <w:rsid w:val="006B025C"/>
    <w:rsid w:val="006B2534"/>
    <w:rsid w:val="006B2CB2"/>
    <w:rsid w:val="006B3E19"/>
    <w:rsid w:val="006B4488"/>
    <w:rsid w:val="006B67AC"/>
    <w:rsid w:val="006B786A"/>
    <w:rsid w:val="006B7E4E"/>
    <w:rsid w:val="006C003A"/>
    <w:rsid w:val="006C2454"/>
    <w:rsid w:val="006C2551"/>
    <w:rsid w:val="006C37CA"/>
    <w:rsid w:val="006C40D2"/>
    <w:rsid w:val="006C5B15"/>
    <w:rsid w:val="006C5D32"/>
    <w:rsid w:val="006C5DCB"/>
    <w:rsid w:val="006C70C4"/>
    <w:rsid w:val="006D04DA"/>
    <w:rsid w:val="006D1544"/>
    <w:rsid w:val="006D1688"/>
    <w:rsid w:val="006D1FF3"/>
    <w:rsid w:val="006D2C65"/>
    <w:rsid w:val="006D32C6"/>
    <w:rsid w:val="006D360E"/>
    <w:rsid w:val="006D3697"/>
    <w:rsid w:val="006D39D2"/>
    <w:rsid w:val="006D3F2A"/>
    <w:rsid w:val="006D4370"/>
    <w:rsid w:val="006D46A3"/>
    <w:rsid w:val="006D6A12"/>
    <w:rsid w:val="006D712D"/>
    <w:rsid w:val="006D7687"/>
    <w:rsid w:val="006D7D1F"/>
    <w:rsid w:val="006D7D8A"/>
    <w:rsid w:val="006E0572"/>
    <w:rsid w:val="006E05D8"/>
    <w:rsid w:val="006E08EE"/>
    <w:rsid w:val="006E155A"/>
    <w:rsid w:val="006E39D1"/>
    <w:rsid w:val="006E437F"/>
    <w:rsid w:val="006E4D5B"/>
    <w:rsid w:val="006E602F"/>
    <w:rsid w:val="006E7275"/>
    <w:rsid w:val="006E77B8"/>
    <w:rsid w:val="006F15CC"/>
    <w:rsid w:val="006F4147"/>
    <w:rsid w:val="006F4315"/>
    <w:rsid w:val="006F4CB0"/>
    <w:rsid w:val="006F4F78"/>
    <w:rsid w:val="006F547E"/>
    <w:rsid w:val="006F5CCF"/>
    <w:rsid w:val="0070138A"/>
    <w:rsid w:val="0070157E"/>
    <w:rsid w:val="007030D4"/>
    <w:rsid w:val="00703B61"/>
    <w:rsid w:val="00703E11"/>
    <w:rsid w:val="00704102"/>
    <w:rsid w:val="0070461C"/>
    <w:rsid w:val="00705631"/>
    <w:rsid w:val="00705F62"/>
    <w:rsid w:val="0070773F"/>
    <w:rsid w:val="00707ED3"/>
    <w:rsid w:val="007101B7"/>
    <w:rsid w:val="00710668"/>
    <w:rsid w:val="007110F4"/>
    <w:rsid w:val="007112B1"/>
    <w:rsid w:val="0071130F"/>
    <w:rsid w:val="00712714"/>
    <w:rsid w:val="007129AB"/>
    <w:rsid w:val="00712B63"/>
    <w:rsid w:val="00713526"/>
    <w:rsid w:val="00713FC5"/>
    <w:rsid w:val="00715BBF"/>
    <w:rsid w:val="00715C29"/>
    <w:rsid w:val="00715CBD"/>
    <w:rsid w:val="00715EAA"/>
    <w:rsid w:val="00716CAD"/>
    <w:rsid w:val="00716F18"/>
    <w:rsid w:val="00717363"/>
    <w:rsid w:val="00717786"/>
    <w:rsid w:val="00717ACB"/>
    <w:rsid w:val="00721BFF"/>
    <w:rsid w:val="007236C4"/>
    <w:rsid w:val="00724635"/>
    <w:rsid w:val="0072554B"/>
    <w:rsid w:val="00725AFD"/>
    <w:rsid w:val="00726603"/>
    <w:rsid w:val="00727DDC"/>
    <w:rsid w:val="00730CD6"/>
    <w:rsid w:val="00730F74"/>
    <w:rsid w:val="0073114B"/>
    <w:rsid w:val="00734952"/>
    <w:rsid w:val="00734990"/>
    <w:rsid w:val="00734FF5"/>
    <w:rsid w:val="00735B78"/>
    <w:rsid w:val="00735DA7"/>
    <w:rsid w:val="007368B4"/>
    <w:rsid w:val="007378E0"/>
    <w:rsid w:val="00740529"/>
    <w:rsid w:val="00741358"/>
    <w:rsid w:val="00741626"/>
    <w:rsid w:val="00742332"/>
    <w:rsid w:val="00742DD2"/>
    <w:rsid w:val="007437C6"/>
    <w:rsid w:val="007441A2"/>
    <w:rsid w:val="00744E80"/>
    <w:rsid w:val="00745035"/>
    <w:rsid w:val="00745547"/>
    <w:rsid w:val="007459D0"/>
    <w:rsid w:val="0074623A"/>
    <w:rsid w:val="00746420"/>
    <w:rsid w:val="00746E08"/>
    <w:rsid w:val="00746E3D"/>
    <w:rsid w:val="007473B9"/>
    <w:rsid w:val="00747C96"/>
    <w:rsid w:val="00750075"/>
    <w:rsid w:val="007502EC"/>
    <w:rsid w:val="00750382"/>
    <w:rsid w:val="0075094E"/>
    <w:rsid w:val="00750FA8"/>
    <w:rsid w:val="00750FB5"/>
    <w:rsid w:val="007522E8"/>
    <w:rsid w:val="00753BAC"/>
    <w:rsid w:val="00754A0B"/>
    <w:rsid w:val="007552DB"/>
    <w:rsid w:val="00755B08"/>
    <w:rsid w:val="00755DD0"/>
    <w:rsid w:val="0075647A"/>
    <w:rsid w:val="00756A2F"/>
    <w:rsid w:val="007573E1"/>
    <w:rsid w:val="0075749E"/>
    <w:rsid w:val="00757B2D"/>
    <w:rsid w:val="00757BAD"/>
    <w:rsid w:val="00757D62"/>
    <w:rsid w:val="00760867"/>
    <w:rsid w:val="00760EB6"/>
    <w:rsid w:val="007616DB"/>
    <w:rsid w:val="0076228A"/>
    <w:rsid w:val="00762440"/>
    <w:rsid w:val="007629B7"/>
    <w:rsid w:val="00762E60"/>
    <w:rsid w:val="007634AD"/>
    <w:rsid w:val="00766ECC"/>
    <w:rsid w:val="007672F3"/>
    <w:rsid w:val="007677B5"/>
    <w:rsid w:val="007678B1"/>
    <w:rsid w:val="007708A8"/>
    <w:rsid w:val="007734E4"/>
    <w:rsid w:val="0077380D"/>
    <w:rsid w:val="00773BC8"/>
    <w:rsid w:val="0077466F"/>
    <w:rsid w:val="007752B7"/>
    <w:rsid w:val="007759A8"/>
    <w:rsid w:val="00775D98"/>
    <w:rsid w:val="00776FE5"/>
    <w:rsid w:val="007774E7"/>
    <w:rsid w:val="0077768C"/>
    <w:rsid w:val="00777696"/>
    <w:rsid w:val="00777FF4"/>
    <w:rsid w:val="00780251"/>
    <w:rsid w:val="007804FE"/>
    <w:rsid w:val="00780F32"/>
    <w:rsid w:val="0078122E"/>
    <w:rsid w:val="00781939"/>
    <w:rsid w:val="00781D29"/>
    <w:rsid w:val="007825EF"/>
    <w:rsid w:val="00782D2C"/>
    <w:rsid w:val="00782FC2"/>
    <w:rsid w:val="00785BBB"/>
    <w:rsid w:val="00786FAD"/>
    <w:rsid w:val="00787D90"/>
    <w:rsid w:val="00787F5E"/>
    <w:rsid w:val="00790164"/>
    <w:rsid w:val="00790A24"/>
    <w:rsid w:val="00790A37"/>
    <w:rsid w:val="00790A60"/>
    <w:rsid w:val="0079146D"/>
    <w:rsid w:val="00791C32"/>
    <w:rsid w:val="00791FF0"/>
    <w:rsid w:val="007923D0"/>
    <w:rsid w:val="007930D3"/>
    <w:rsid w:val="0079381F"/>
    <w:rsid w:val="007948F5"/>
    <w:rsid w:val="00795647"/>
    <w:rsid w:val="007963F6"/>
    <w:rsid w:val="00796E80"/>
    <w:rsid w:val="007979AD"/>
    <w:rsid w:val="00797A9C"/>
    <w:rsid w:val="007A0EAB"/>
    <w:rsid w:val="007A2341"/>
    <w:rsid w:val="007A38A1"/>
    <w:rsid w:val="007A3BBE"/>
    <w:rsid w:val="007B0313"/>
    <w:rsid w:val="007B0854"/>
    <w:rsid w:val="007B1D1B"/>
    <w:rsid w:val="007B303E"/>
    <w:rsid w:val="007B32F7"/>
    <w:rsid w:val="007B3659"/>
    <w:rsid w:val="007B4632"/>
    <w:rsid w:val="007B46A2"/>
    <w:rsid w:val="007B4828"/>
    <w:rsid w:val="007B4B2D"/>
    <w:rsid w:val="007B4D4A"/>
    <w:rsid w:val="007B5428"/>
    <w:rsid w:val="007B6C64"/>
    <w:rsid w:val="007B6EC8"/>
    <w:rsid w:val="007B6F81"/>
    <w:rsid w:val="007B7EA2"/>
    <w:rsid w:val="007C097D"/>
    <w:rsid w:val="007C1672"/>
    <w:rsid w:val="007C3570"/>
    <w:rsid w:val="007C3F3B"/>
    <w:rsid w:val="007C4241"/>
    <w:rsid w:val="007C55FF"/>
    <w:rsid w:val="007C6339"/>
    <w:rsid w:val="007C7C43"/>
    <w:rsid w:val="007C7F0D"/>
    <w:rsid w:val="007D1134"/>
    <w:rsid w:val="007D23F7"/>
    <w:rsid w:val="007D2566"/>
    <w:rsid w:val="007D2C18"/>
    <w:rsid w:val="007D2D74"/>
    <w:rsid w:val="007D3693"/>
    <w:rsid w:val="007D481A"/>
    <w:rsid w:val="007D58C5"/>
    <w:rsid w:val="007D5DE8"/>
    <w:rsid w:val="007D7CFC"/>
    <w:rsid w:val="007E18DF"/>
    <w:rsid w:val="007E2C36"/>
    <w:rsid w:val="007E350D"/>
    <w:rsid w:val="007E5C4A"/>
    <w:rsid w:val="007E64D4"/>
    <w:rsid w:val="007E66E9"/>
    <w:rsid w:val="007E69F2"/>
    <w:rsid w:val="007E7432"/>
    <w:rsid w:val="007E74BF"/>
    <w:rsid w:val="007F14D3"/>
    <w:rsid w:val="007F1D9D"/>
    <w:rsid w:val="007F1E28"/>
    <w:rsid w:val="007F1F63"/>
    <w:rsid w:val="007F22A0"/>
    <w:rsid w:val="007F2F90"/>
    <w:rsid w:val="007F3320"/>
    <w:rsid w:val="007F3AC1"/>
    <w:rsid w:val="007F4976"/>
    <w:rsid w:val="007F5A56"/>
    <w:rsid w:val="007F616E"/>
    <w:rsid w:val="007F6B46"/>
    <w:rsid w:val="007F72CB"/>
    <w:rsid w:val="007F74A9"/>
    <w:rsid w:val="007F7635"/>
    <w:rsid w:val="007F785F"/>
    <w:rsid w:val="007F7E36"/>
    <w:rsid w:val="00800E6D"/>
    <w:rsid w:val="008014D9"/>
    <w:rsid w:val="0080150F"/>
    <w:rsid w:val="0080153A"/>
    <w:rsid w:val="00801A2A"/>
    <w:rsid w:val="00802041"/>
    <w:rsid w:val="008022C9"/>
    <w:rsid w:val="00802F9E"/>
    <w:rsid w:val="00803D9D"/>
    <w:rsid w:val="008059C6"/>
    <w:rsid w:val="00805AD7"/>
    <w:rsid w:val="00805BD6"/>
    <w:rsid w:val="00805DE3"/>
    <w:rsid w:val="00807C35"/>
    <w:rsid w:val="00807F69"/>
    <w:rsid w:val="008100F7"/>
    <w:rsid w:val="00810206"/>
    <w:rsid w:val="00811898"/>
    <w:rsid w:val="008124D8"/>
    <w:rsid w:val="00813A7B"/>
    <w:rsid w:val="00813F04"/>
    <w:rsid w:val="00815DA5"/>
    <w:rsid w:val="00816221"/>
    <w:rsid w:val="0081766B"/>
    <w:rsid w:val="00820705"/>
    <w:rsid w:val="008207B1"/>
    <w:rsid w:val="00820CBF"/>
    <w:rsid w:val="00820FA8"/>
    <w:rsid w:val="008212FD"/>
    <w:rsid w:val="00821489"/>
    <w:rsid w:val="008217B7"/>
    <w:rsid w:val="0082239B"/>
    <w:rsid w:val="0082292E"/>
    <w:rsid w:val="00822D06"/>
    <w:rsid w:val="0082348D"/>
    <w:rsid w:val="008236BE"/>
    <w:rsid w:val="008241CE"/>
    <w:rsid w:val="00825240"/>
    <w:rsid w:val="00827CC0"/>
    <w:rsid w:val="00831026"/>
    <w:rsid w:val="0083119B"/>
    <w:rsid w:val="00831BAE"/>
    <w:rsid w:val="00832216"/>
    <w:rsid w:val="00832CD0"/>
    <w:rsid w:val="00833430"/>
    <w:rsid w:val="0083417F"/>
    <w:rsid w:val="00835143"/>
    <w:rsid w:val="00835741"/>
    <w:rsid w:val="00836E74"/>
    <w:rsid w:val="00836EAB"/>
    <w:rsid w:val="00837673"/>
    <w:rsid w:val="00837937"/>
    <w:rsid w:val="00837D82"/>
    <w:rsid w:val="00840893"/>
    <w:rsid w:val="008423EC"/>
    <w:rsid w:val="00843615"/>
    <w:rsid w:val="00843A4B"/>
    <w:rsid w:val="00843B57"/>
    <w:rsid w:val="00843B60"/>
    <w:rsid w:val="00843D33"/>
    <w:rsid w:val="00844D4F"/>
    <w:rsid w:val="00845AE3"/>
    <w:rsid w:val="008466A0"/>
    <w:rsid w:val="00847535"/>
    <w:rsid w:val="00847B6D"/>
    <w:rsid w:val="0085092D"/>
    <w:rsid w:val="00850D82"/>
    <w:rsid w:val="00850F79"/>
    <w:rsid w:val="0085100B"/>
    <w:rsid w:val="0085304C"/>
    <w:rsid w:val="00856C06"/>
    <w:rsid w:val="0085790B"/>
    <w:rsid w:val="00857C95"/>
    <w:rsid w:val="00857E78"/>
    <w:rsid w:val="00860AEF"/>
    <w:rsid w:val="0086122C"/>
    <w:rsid w:val="00861310"/>
    <w:rsid w:val="00861F53"/>
    <w:rsid w:val="0086394E"/>
    <w:rsid w:val="00863F8A"/>
    <w:rsid w:val="00863FE3"/>
    <w:rsid w:val="00864241"/>
    <w:rsid w:val="0086468A"/>
    <w:rsid w:val="008650BE"/>
    <w:rsid w:val="0086633B"/>
    <w:rsid w:val="00866495"/>
    <w:rsid w:val="00866931"/>
    <w:rsid w:val="00867512"/>
    <w:rsid w:val="0087033C"/>
    <w:rsid w:val="008715ED"/>
    <w:rsid w:val="008717D8"/>
    <w:rsid w:val="00871E3C"/>
    <w:rsid w:val="0087255C"/>
    <w:rsid w:val="00872F97"/>
    <w:rsid w:val="00874607"/>
    <w:rsid w:val="00874915"/>
    <w:rsid w:val="00874B89"/>
    <w:rsid w:val="00875403"/>
    <w:rsid w:val="00875434"/>
    <w:rsid w:val="00876215"/>
    <w:rsid w:val="00876815"/>
    <w:rsid w:val="00877932"/>
    <w:rsid w:val="008808C7"/>
    <w:rsid w:val="0088106B"/>
    <w:rsid w:val="0088107D"/>
    <w:rsid w:val="00881E64"/>
    <w:rsid w:val="00882E39"/>
    <w:rsid w:val="008850EB"/>
    <w:rsid w:val="00886DF2"/>
    <w:rsid w:val="00886FB9"/>
    <w:rsid w:val="00887C79"/>
    <w:rsid w:val="0089107B"/>
    <w:rsid w:val="008913CC"/>
    <w:rsid w:val="008914AE"/>
    <w:rsid w:val="008919CF"/>
    <w:rsid w:val="00891F84"/>
    <w:rsid w:val="008928EC"/>
    <w:rsid w:val="00892E5D"/>
    <w:rsid w:val="008935CF"/>
    <w:rsid w:val="00894BB1"/>
    <w:rsid w:val="0089582D"/>
    <w:rsid w:val="008959C6"/>
    <w:rsid w:val="0089606D"/>
    <w:rsid w:val="00896129"/>
    <w:rsid w:val="0089774F"/>
    <w:rsid w:val="00897875"/>
    <w:rsid w:val="00897B8F"/>
    <w:rsid w:val="008A00D9"/>
    <w:rsid w:val="008A07D5"/>
    <w:rsid w:val="008A0E6C"/>
    <w:rsid w:val="008A2A23"/>
    <w:rsid w:val="008A2AF5"/>
    <w:rsid w:val="008A2B5A"/>
    <w:rsid w:val="008A3F9D"/>
    <w:rsid w:val="008A5474"/>
    <w:rsid w:val="008A5C9A"/>
    <w:rsid w:val="008A6A55"/>
    <w:rsid w:val="008A6F6E"/>
    <w:rsid w:val="008A7888"/>
    <w:rsid w:val="008A796E"/>
    <w:rsid w:val="008B0862"/>
    <w:rsid w:val="008B088C"/>
    <w:rsid w:val="008B1BF5"/>
    <w:rsid w:val="008B263F"/>
    <w:rsid w:val="008B3F8C"/>
    <w:rsid w:val="008B47A6"/>
    <w:rsid w:val="008B672C"/>
    <w:rsid w:val="008C0743"/>
    <w:rsid w:val="008C0B4C"/>
    <w:rsid w:val="008C11F0"/>
    <w:rsid w:val="008C1DBA"/>
    <w:rsid w:val="008C24E7"/>
    <w:rsid w:val="008C2500"/>
    <w:rsid w:val="008C2CAC"/>
    <w:rsid w:val="008C3E2A"/>
    <w:rsid w:val="008C45BD"/>
    <w:rsid w:val="008C4B19"/>
    <w:rsid w:val="008C62D4"/>
    <w:rsid w:val="008C6B89"/>
    <w:rsid w:val="008D18AA"/>
    <w:rsid w:val="008D1A2A"/>
    <w:rsid w:val="008D35D9"/>
    <w:rsid w:val="008D3B85"/>
    <w:rsid w:val="008D462D"/>
    <w:rsid w:val="008D66CA"/>
    <w:rsid w:val="008D69B1"/>
    <w:rsid w:val="008D7338"/>
    <w:rsid w:val="008E0012"/>
    <w:rsid w:val="008E0DF7"/>
    <w:rsid w:val="008E0FAD"/>
    <w:rsid w:val="008E1347"/>
    <w:rsid w:val="008E16E0"/>
    <w:rsid w:val="008E1C15"/>
    <w:rsid w:val="008E28BD"/>
    <w:rsid w:val="008E38B4"/>
    <w:rsid w:val="008E3BA4"/>
    <w:rsid w:val="008E44AB"/>
    <w:rsid w:val="008E5179"/>
    <w:rsid w:val="008E6598"/>
    <w:rsid w:val="008E7884"/>
    <w:rsid w:val="008E7D6E"/>
    <w:rsid w:val="008F1056"/>
    <w:rsid w:val="008F2E8D"/>
    <w:rsid w:val="008F387B"/>
    <w:rsid w:val="008F3DD9"/>
    <w:rsid w:val="008F4814"/>
    <w:rsid w:val="008F4DA6"/>
    <w:rsid w:val="008F538E"/>
    <w:rsid w:val="008F5ABA"/>
    <w:rsid w:val="008F7989"/>
    <w:rsid w:val="00902E5C"/>
    <w:rsid w:val="009046E5"/>
    <w:rsid w:val="009047C5"/>
    <w:rsid w:val="00910683"/>
    <w:rsid w:val="00910E00"/>
    <w:rsid w:val="009116CE"/>
    <w:rsid w:val="00911714"/>
    <w:rsid w:val="009136D4"/>
    <w:rsid w:val="00914B9A"/>
    <w:rsid w:val="00914C3F"/>
    <w:rsid w:val="00914F33"/>
    <w:rsid w:val="00915FCE"/>
    <w:rsid w:val="00916AFE"/>
    <w:rsid w:val="00916FC8"/>
    <w:rsid w:val="009170D3"/>
    <w:rsid w:val="0091759C"/>
    <w:rsid w:val="00920026"/>
    <w:rsid w:val="009203E2"/>
    <w:rsid w:val="00921304"/>
    <w:rsid w:val="00921805"/>
    <w:rsid w:val="00923396"/>
    <w:rsid w:val="00923F56"/>
    <w:rsid w:val="00925743"/>
    <w:rsid w:val="00927E8D"/>
    <w:rsid w:val="00927F23"/>
    <w:rsid w:val="009307CD"/>
    <w:rsid w:val="00931451"/>
    <w:rsid w:val="009314FA"/>
    <w:rsid w:val="0093194F"/>
    <w:rsid w:val="00931BF3"/>
    <w:rsid w:val="00931C55"/>
    <w:rsid w:val="00933333"/>
    <w:rsid w:val="0093349A"/>
    <w:rsid w:val="00933FCB"/>
    <w:rsid w:val="00934E69"/>
    <w:rsid w:val="00937401"/>
    <w:rsid w:val="00937D6B"/>
    <w:rsid w:val="00940477"/>
    <w:rsid w:val="00940876"/>
    <w:rsid w:val="00940A53"/>
    <w:rsid w:val="00940F3C"/>
    <w:rsid w:val="009410E0"/>
    <w:rsid w:val="00942F14"/>
    <w:rsid w:val="009444B4"/>
    <w:rsid w:val="00946A24"/>
    <w:rsid w:val="009470D4"/>
    <w:rsid w:val="00947337"/>
    <w:rsid w:val="00953018"/>
    <w:rsid w:val="009533E2"/>
    <w:rsid w:val="00953554"/>
    <w:rsid w:val="0095385A"/>
    <w:rsid w:val="0095780A"/>
    <w:rsid w:val="009579E4"/>
    <w:rsid w:val="00957AA4"/>
    <w:rsid w:val="00960BDB"/>
    <w:rsid w:val="0096147D"/>
    <w:rsid w:val="00961E5F"/>
    <w:rsid w:val="009625C6"/>
    <w:rsid w:val="009629B5"/>
    <w:rsid w:val="00962A50"/>
    <w:rsid w:val="00964138"/>
    <w:rsid w:val="00964B3F"/>
    <w:rsid w:val="00964C98"/>
    <w:rsid w:val="00971441"/>
    <w:rsid w:val="009715D4"/>
    <w:rsid w:val="0097494E"/>
    <w:rsid w:val="00974B58"/>
    <w:rsid w:val="009761ED"/>
    <w:rsid w:val="0098022F"/>
    <w:rsid w:val="009810DE"/>
    <w:rsid w:val="009822D7"/>
    <w:rsid w:val="009827E6"/>
    <w:rsid w:val="0098427D"/>
    <w:rsid w:val="00984567"/>
    <w:rsid w:val="00986317"/>
    <w:rsid w:val="009865D5"/>
    <w:rsid w:val="00987C77"/>
    <w:rsid w:val="00990345"/>
    <w:rsid w:val="00990701"/>
    <w:rsid w:val="0099119C"/>
    <w:rsid w:val="0099137A"/>
    <w:rsid w:val="0099211C"/>
    <w:rsid w:val="00993B78"/>
    <w:rsid w:val="00995119"/>
    <w:rsid w:val="009953AD"/>
    <w:rsid w:val="0099583D"/>
    <w:rsid w:val="00996992"/>
    <w:rsid w:val="00996E1E"/>
    <w:rsid w:val="00997392"/>
    <w:rsid w:val="0099747C"/>
    <w:rsid w:val="0099771C"/>
    <w:rsid w:val="009A01E4"/>
    <w:rsid w:val="009A0917"/>
    <w:rsid w:val="009A0A33"/>
    <w:rsid w:val="009A1351"/>
    <w:rsid w:val="009A2435"/>
    <w:rsid w:val="009A35DC"/>
    <w:rsid w:val="009A38AB"/>
    <w:rsid w:val="009A3D47"/>
    <w:rsid w:val="009A4D63"/>
    <w:rsid w:val="009A5356"/>
    <w:rsid w:val="009A5468"/>
    <w:rsid w:val="009A5D99"/>
    <w:rsid w:val="009A608C"/>
    <w:rsid w:val="009A6FDF"/>
    <w:rsid w:val="009A76D6"/>
    <w:rsid w:val="009B2E29"/>
    <w:rsid w:val="009B422F"/>
    <w:rsid w:val="009B46BC"/>
    <w:rsid w:val="009B4D1A"/>
    <w:rsid w:val="009B4F98"/>
    <w:rsid w:val="009B558B"/>
    <w:rsid w:val="009B6D21"/>
    <w:rsid w:val="009C181C"/>
    <w:rsid w:val="009C1C7F"/>
    <w:rsid w:val="009C28A2"/>
    <w:rsid w:val="009C3239"/>
    <w:rsid w:val="009C3828"/>
    <w:rsid w:val="009C3E8F"/>
    <w:rsid w:val="009C4987"/>
    <w:rsid w:val="009C523F"/>
    <w:rsid w:val="009C59BF"/>
    <w:rsid w:val="009C5E4F"/>
    <w:rsid w:val="009C5F82"/>
    <w:rsid w:val="009C70F8"/>
    <w:rsid w:val="009C78A3"/>
    <w:rsid w:val="009D0156"/>
    <w:rsid w:val="009D05DA"/>
    <w:rsid w:val="009D1A14"/>
    <w:rsid w:val="009D1E2A"/>
    <w:rsid w:val="009D1FA0"/>
    <w:rsid w:val="009D2BDF"/>
    <w:rsid w:val="009D3736"/>
    <w:rsid w:val="009D4529"/>
    <w:rsid w:val="009D604F"/>
    <w:rsid w:val="009D61BB"/>
    <w:rsid w:val="009D6410"/>
    <w:rsid w:val="009D68BB"/>
    <w:rsid w:val="009D7ADB"/>
    <w:rsid w:val="009E0703"/>
    <w:rsid w:val="009E16DA"/>
    <w:rsid w:val="009E1CD4"/>
    <w:rsid w:val="009E2391"/>
    <w:rsid w:val="009E476A"/>
    <w:rsid w:val="009E4E05"/>
    <w:rsid w:val="009E56FF"/>
    <w:rsid w:val="009E5CB1"/>
    <w:rsid w:val="009E5E56"/>
    <w:rsid w:val="009E61EA"/>
    <w:rsid w:val="009E6990"/>
    <w:rsid w:val="009E6FEE"/>
    <w:rsid w:val="009F060F"/>
    <w:rsid w:val="009F0781"/>
    <w:rsid w:val="009F0850"/>
    <w:rsid w:val="009F1BDF"/>
    <w:rsid w:val="009F1EAE"/>
    <w:rsid w:val="009F369D"/>
    <w:rsid w:val="009F36FE"/>
    <w:rsid w:val="009F4F25"/>
    <w:rsid w:val="009F59C2"/>
    <w:rsid w:val="009F7263"/>
    <w:rsid w:val="009F76EA"/>
    <w:rsid w:val="009F78EB"/>
    <w:rsid w:val="009F7FEB"/>
    <w:rsid w:val="00A01852"/>
    <w:rsid w:val="00A0188B"/>
    <w:rsid w:val="00A01E73"/>
    <w:rsid w:val="00A023E7"/>
    <w:rsid w:val="00A02B88"/>
    <w:rsid w:val="00A03160"/>
    <w:rsid w:val="00A036AC"/>
    <w:rsid w:val="00A03C54"/>
    <w:rsid w:val="00A041BC"/>
    <w:rsid w:val="00A046D2"/>
    <w:rsid w:val="00A04A54"/>
    <w:rsid w:val="00A05B4B"/>
    <w:rsid w:val="00A066C3"/>
    <w:rsid w:val="00A06754"/>
    <w:rsid w:val="00A069E0"/>
    <w:rsid w:val="00A06E4A"/>
    <w:rsid w:val="00A078FB"/>
    <w:rsid w:val="00A1036D"/>
    <w:rsid w:val="00A1069F"/>
    <w:rsid w:val="00A10ACA"/>
    <w:rsid w:val="00A10D08"/>
    <w:rsid w:val="00A12355"/>
    <w:rsid w:val="00A127D2"/>
    <w:rsid w:val="00A143EC"/>
    <w:rsid w:val="00A1500F"/>
    <w:rsid w:val="00A15621"/>
    <w:rsid w:val="00A15670"/>
    <w:rsid w:val="00A157A0"/>
    <w:rsid w:val="00A1585B"/>
    <w:rsid w:val="00A15C19"/>
    <w:rsid w:val="00A16809"/>
    <w:rsid w:val="00A17EA2"/>
    <w:rsid w:val="00A20264"/>
    <w:rsid w:val="00A20997"/>
    <w:rsid w:val="00A21454"/>
    <w:rsid w:val="00A22025"/>
    <w:rsid w:val="00A22498"/>
    <w:rsid w:val="00A22571"/>
    <w:rsid w:val="00A24560"/>
    <w:rsid w:val="00A25B0F"/>
    <w:rsid w:val="00A25BBB"/>
    <w:rsid w:val="00A30368"/>
    <w:rsid w:val="00A3043A"/>
    <w:rsid w:val="00A30E02"/>
    <w:rsid w:val="00A30F6A"/>
    <w:rsid w:val="00A31C3E"/>
    <w:rsid w:val="00A34538"/>
    <w:rsid w:val="00A3540F"/>
    <w:rsid w:val="00A35630"/>
    <w:rsid w:val="00A35914"/>
    <w:rsid w:val="00A36189"/>
    <w:rsid w:val="00A37E73"/>
    <w:rsid w:val="00A37FB6"/>
    <w:rsid w:val="00A4104A"/>
    <w:rsid w:val="00A41081"/>
    <w:rsid w:val="00A411CA"/>
    <w:rsid w:val="00A42096"/>
    <w:rsid w:val="00A426F3"/>
    <w:rsid w:val="00A42FDF"/>
    <w:rsid w:val="00A430A9"/>
    <w:rsid w:val="00A431FE"/>
    <w:rsid w:val="00A439E5"/>
    <w:rsid w:val="00A4497A"/>
    <w:rsid w:val="00A44BE8"/>
    <w:rsid w:val="00A44C96"/>
    <w:rsid w:val="00A44F54"/>
    <w:rsid w:val="00A45F9B"/>
    <w:rsid w:val="00A46574"/>
    <w:rsid w:val="00A500B1"/>
    <w:rsid w:val="00A52EE5"/>
    <w:rsid w:val="00A53037"/>
    <w:rsid w:val="00A532B9"/>
    <w:rsid w:val="00A5351D"/>
    <w:rsid w:val="00A53E79"/>
    <w:rsid w:val="00A54031"/>
    <w:rsid w:val="00A54FC2"/>
    <w:rsid w:val="00A55122"/>
    <w:rsid w:val="00A556C3"/>
    <w:rsid w:val="00A56DE7"/>
    <w:rsid w:val="00A57EB2"/>
    <w:rsid w:val="00A6009E"/>
    <w:rsid w:val="00A60B1F"/>
    <w:rsid w:val="00A61C60"/>
    <w:rsid w:val="00A62C3A"/>
    <w:rsid w:val="00A63812"/>
    <w:rsid w:val="00A668BA"/>
    <w:rsid w:val="00A66FA7"/>
    <w:rsid w:val="00A67E16"/>
    <w:rsid w:val="00A703CC"/>
    <w:rsid w:val="00A70C5C"/>
    <w:rsid w:val="00A71EA7"/>
    <w:rsid w:val="00A730AD"/>
    <w:rsid w:val="00A73D64"/>
    <w:rsid w:val="00A74216"/>
    <w:rsid w:val="00A751E3"/>
    <w:rsid w:val="00A75504"/>
    <w:rsid w:val="00A76FF8"/>
    <w:rsid w:val="00A77168"/>
    <w:rsid w:val="00A7723B"/>
    <w:rsid w:val="00A775B0"/>
    <w:rsid w:val="00A80085"/>
    <w:rsid w:val="00A8043B"/>
    <w:rsid w:val="00A81323"/>
    <w:rsid w:val="00A820CB"/>
    <w:rsid w:val="00A82342"/>
    <w:rsid w:val="00A83BEF"/>
    <w:rsid w:val="00A84443"/>
    <w:rsid w:val="00A8487F"/>
    <w:rsid w:val="00A849A3"/>
    <w:rsid w:val="00A84A0E"/>
    <w:rsid w:val="00A86E0B"/>
    <w:rsid w:val="00A90F12"/>
    <w:rsid w:val="00A93101"/>
    <w:rsid w:val="00A93D55"/>
    <w:rsid w:val="00A94293"/>
    <w:rsid w:val="00A9496E"/>
    <w:rsid w:val="00A94BDE"/>
    <w:rsid w:val="00A94FCA"/>
    <w:rsid w:val="00A96C60"/>
    <w:rsid w:val="00A9740B"/>
    <w:rsid w:val="00A9766C"/>
    <w:rsid w:val="00A977F8"/>
    <w:rsid w:val="00AA08E7"/>
    <w:rsid w:val="00AA0A06"/>
    <w:rsid w:val="00AA1351"/>
    <w:rsid w:val="00AA1C84"/>
    <w:rsid w:val="00AA3D7B"/>
    <w:rsid w:val="00AA42A0"/>
    <w:rsid w:val="00AA442B"/>
    <w:rsid w:val="00AA46A4"/>
    <w:rsid w:val="00AA5779"/>
    <w:rsid w:val="00AA58A1"/>
    <w:rsid w:val="00AA61C7"/>
    <w:rsid w:val="00AA669D"/>
    <w:rsid w:val="00AA66ED"/>
    <w:rsid w:val="00AA6BE1"/>
    <w:rsid w:val="00AA7416"/>
    <w:rsid w:val="00AA7A60"/>
    <w:rsid w:val="00AA7B42"/>
    <w:rsid w:val="00AB041C"/>
    <w:rsid w:val="00AB14E8"/>
    <w:rsid w:val="00AB1B1D"/>
    <w:rsid w:val="00AB2216"/>
    <w:rsid w:val="00AB358D"/>
    <w:rsid w:val="00AB37A1"/>
    <w:rsid w:val="00AB3CFD"/>
    <w:rsid w:val="00AB49BC"/>
    <w:rsid w:val="00AB4DEE"/>
    <w:rsid w:val="00AB4E32"/>
    <w:rsid w:val="00AB724B"/>
    <w:rsid w:val="00AB726C"/>
    <w:rsid w:val="00AB72B4"/>
    <w:rsid w:val="00AC02AA"/>
    <w:rsid w:val="00AC0537"/>
    <w:rsid w:val="00AC0A84"/>
    <w:rsid w:val="00AC2A0B"/>
    <w:rsid w:val="00AC2BEE"/>
    <w:rsid w:val="00AC2E53"/>
    <w:rsid w:val="00AC484F"/>
    <w:rsid w:val="00AC4B20"/>
    <w:rsid w:val="00AC56F2"/>
    <w:rsid w:val="00AC71C3"/>
    <w:rsid w:val="00AD1EFA"/>
    <w:rsid w:val="00AD2072"/>
    <w:rsid w:val="00AD2DBD"/>
    <w:rsid w:val="00AD2FBF"/>
    <w:rsid w:val="00AD455D"/>
    <w:rsid w:val="00AD463C"/>
    <w:rsid w:val="00AD4F60"/>
    <w:rsid w:val="00AD5044"/>
    <w:rsid w:val="00AD5114"/>
    <w:rsid w:val="00AD6236"/>
    <w:rsid w:val="00AD7770"/>
    <w:rsid w:val="00AE1990"/>
    <w:rsid w:val="00AE25E8"/>
    <w:rsid w:val="00AE2AD4"/>
    <w:rsid w:val="00AE2CA7"/>
    <w:rsid w:val="00AE2F1D"/>
    <w:rsid w:val="00AE6582"/>
    <w:rsid w:val="00AE6DC5"/>
    <w:rsid w:val="00AE7686"/>
    <w:rsid w:val="00AE799A"/>
    <w:rsid w:val="00AF0E81"/>
    <w:rsid w:val="00AF117A"/>
    <w:rsid w:val="00AF19DF"/>
    <w:rsid w:val="00AF26CF"/>
    <w:rsid w:val="00AF4E92"/>
    <w:rsid w:val="00AF5C9B"/>
    <w:rsid w:val="00AF5D53"/>
    <w:rsid w:val="00AF5E2D"/>
    <w:rsid w:val="00AF644B"/>
    <w:rsid w:val="00AF6CA6"/>
    <w:rsid w:val="00AF6EB6"/>
    <w:rsid w:val="00AF7796"/>
    <w:rsid w:val="00B011A9"/>
    <w:rsid w:val="00B024ED"/>
    <w:rsid w:val="00B033F8"/>
    <w:rsid w:val="00B03C1E"/>
    <w:rsid w:val="00B04400"/>
    <w:rsid w:val="00B04835"/>
    <w:rsid w:val="00B05A55"/>
    <w:rsid w:val="00B05DE1"/>
    <w:rsid w:val="00B06595"/>
    <w:rsid w:val="00B10109"/>
    <w:rsid w:val="00B1085E"/>
    <w:rsid w:val="00B10FD1"/>
    <w:rsid w:val="00B12735"/>
    <w:rsid w:val="00B1390D"/>
    <w:rsid w:val="00B13C48"/>
    <w:rsid w:val="00B13C5F"/>
    <w:rsid w:val="00B13E35"/>
    <w:rsid w:val="00B13EC0"/>
    <w:rsid w:val="00B14102"/>
    <w:rsid w:val="00B14D32"/>
    <w:rsid w:val="00B1557C"/>
    <w:rsid w:val="00B155DC"/>
    <w:rsid w:val="00B15766"/>
    <w:rsid w:val="00B1666A"/>
    <w:rsid w:val="00B1686D"/>
    <w:rsid w:val="00B17447"/>
    <w:rsid w:val="00B1771D"/>
    <w:rsid w:val="00B17B91"/>
    <w:rsid w:val="00B20209"/>
    <w:rsid w:val="00B203C9"/>
    <w:rsid w:val="00B208FF"/>
    <w:rsid w:val="00B22E22"/>
    <w:rsid w:val="00B22F5F"/>
    <w:rsid w:val="00B23813"/>
    <w:rsid w:val="00B23FD9"/>
    <w:rsid w:val="00B24591"/>
    <w:rsid w:val="00B245D5"/>
    <w:rsid w:val="00B24C36"/>
    <w:rsid w:val="00B24F94"/>
    <w:rsid w:val="00B25126"/>
    <w:rsid w:val="00B25A52"/>
    <w:rsid w:val="00B25FC3"/>
    <w:rsid w:val="00B27875"/>
    <w:rsid w:val="00B3008D"/>
    <w:rsid w:val="00B30E11"/>
    <w:rsid w:val="00B30EEB"/>
    <w:rsid w:val="00B31423"/>
    <w:rsid w:val="00B323E0"/>
    <w:rsid w:val="00B32DC0"/>
    <w:rsid w:val="00B3346C"/>
    <w:rsid w:val="00B33C23"/>
    <w:rsid w:val="00B345B4"/>
    <w:rsid w:val="00B348B1"/>
    <w:rsid w:val="00B34A28"/>
    <w:rsid w:val="00B35046"/>
    <w:rsid w:val="00B35B6A"/>
    <w:rsid w:val="00B37657"/>
    <w:rsid w:val="00B37B07"/>
    <w:rsid w:val="00B4046F"/>
    <w:rsid w:val="00B41D39"/>
    <w:rsid w:val="00B422C0"/>
    <w:rsid w:val="00B426CA"/>
    <w:rsid w:val="00B426E1"/>
    <w:rsid w:val="00B4387A"/>
    <w:rsid w:val="00B44746"/>
    <w:rsid w:val="00B44854"/>
    <w:rsid w:val="00B458D0"/>
    <w:rsid w:val="00B4792C"/>
    <w:rsid w:val="00B50CAE"/>
    <w:rsid w:val="00B512AD"/>
    <w:rsid w:val="00B5196C"/>
    <w:rsid w:val="00B525CB"/>
    <w:rsid w:val="00B52697"/>
    <w:rsid w:val="00B54D8F"/>
    <w:rsid w:val="00B55857"/>
    <w:rsid w:val="00B55C69"/>
    <w:rsid w:val="00B56851"/>
    <w:rsid w:val="00B56D6E"/>
    <w:rsid w:val="00B572F7"/>
    <w:rsid w:val="00B57B9D"/>
    <w:rsid w:val="00B57DAF"/>
    <w:rsid w:val="00B6015F"/>
    <w:rsid w:val="00B6022C"/>
    <w:rsid w:val="00B614F8"/>
    <w:rsid w:val="00B61994"/>
    <w:rsid w:val="00B61FD4"/>
    <w:rsid w:val="00B62880"/>
    <w:rsid w:val="00B63872"/>
    <w:rsid w:val="00B63CB2"/>
    <w:rsid w:val="00B64246"/>
    <w:rsid w:val="00B64EDB"/>
    <w:rsid w:val="00B65938"/>
    <w:rsid w:val="00B65C8A"/>
    <w:rsid w:val="00B65CE2"/>
    <w:rsid w:val="00B66109"/>
    <w:rsid w:val="00B66349"/>
    <w:rsid w:val="00B67FBF"/>
    <w:rsid w:val="00B72B91"/>
    <w:rsid w:val="00B73019"/>
    <w:rsid w:val="00B7315F"/>
    <w:rsid w:val="00B7323A"/>
    <w:rsid w:val="00B7353B"/>
    <w:rsid w:val="00B737FB"/>
    <w:rsid w:val="00B7423D"/>
    <w:rsid w:val="00B74D05"/>
    <w:rsid w:val="00B7609D"/>
    <w:rsid w:val="00B777FA"/>
    <w:rsid w:val="00B77850"/>
    <w:rsid w:val="00B7796B"/>
    <w:rsid w:val="00B80C72"/>
    <w:rsid w:val="00B81964"/>
    <w:rsid w:val="00B81E6F"/>
    <w:rsid w:val="00B82123"/>
    <w:rsid w:val="00B8225B"/>
    <w:rsid w:val="00B82BB5"/>
    <w:rsid w:val="00B83182"/>
    <w:rsid w:val="00B851E4"/>
    <w:rsid w:val="00B854CE"/>
    <w:rsid w:val="00B85681"/>
    <w:rsid w:val="00B857EB"/>
    <w:rsid w:val="00B86162"/>
    <w:rsid w:val="00B8620D"/>
    <w:rsid w:val="00B86877"/>
    <w:rsid w:val="00B8695D"/>
    <w:rsid w:val="00B86E66"/>
    <w:rsid w:val="00B873BA"/>
    <w:rsid w:val="00B8746F"/>
    <w:rsid w:val="00B8760D"/>
    <w:rsid w:val="00B87706"/>
    <w:rsid w:val="00B91B8E"/>
    <w:rsid w:val="00B92531"/>
    <w:rsid w:val="00B92618"/>
    <w:rsid w:val="00B92B69"/>
    <w:rsid w:val="00B92CC6"/>
    <w:rsid w:val="00B935C9"/>
    <w:rsid w:val="00B93E3D"/>
    <w:rsid w:val="00B95464"/>
    <w:rsid w:val="00B95E3D"/>
    <w:rsid w:val="00B9691F"/>
    <w:rsid w:val="00B96EEC"/>
    <w:rsid w:val="00B97392"/>
    <w:rsid w:val="00B976C7"/>
    <w:rsid w:val="00BA0C54"/>
    <w:rsid w:val="00BA1382"/>
    <w:rsid w:val="00BA20D8"/>
    <w:rsid w:val="00BA22FC"/>
    <w:rsid w:val="00BA2F30"/>
    <w:rsid w:val="00BA4771"/>
    <w:rsid w:val="00BA5027"/>
    <w:rsid w:val="00BA7370"/>
    <w:rsid w:val="00BA778B"/>
    <w:rsid w:val="00BB0888"/>
    <w:rsid w:val="00BB0E9B"/>
    <w:rsid w:val="00BB2841"/>
    <w:rsid w:val="00BB300F"/>
    <w:rsid w:val="00BB32C9"/>
    <w:rsid w:val="00BB35C5"/>
    <w:rsid w:val="00BB4C8E"/>
    <w:rsid w:val="00BB57ED"/>
    <w:rsid w:val="00BB65C3"/>
    <w:rsid w:val="00BB662E"/>
    <w:rsid w:val="00BB6C01"/>
    <w:rsid w:val="00BB7942"/>
    <w:rsid w:val="00BB7CD1"/>
    <w:rsid w:val="00BC0F33"/>
    <w:rsid w:val="00BC14A7"/>
    <w:rsid w:val="00BC17CC"/>
    <w:rsid w:val="00BC2898"/>
    <w:rsid w:val="00BC2928"/>
    <w:rsid w:val="00BC2BB1"/>
    <w:rsid w:val="00BC34A3"/>
    <w:rsid w:val="00BC3FF9"/>
    <w:rsid w:val="00BC4834"/>
    <w:rsid w:val="00BC4A97"/>
    <w:rsid w:val="00BC5A25"/>
    <w:rsid w:val="00BC5FDD"/>
    <w:rsid w:val="00BC68B4"/>
    <w:rsid w:val="00BD0140"/>
    <w:rsid w:val="00BD02CC"/>
    <w:rsid w:val="00BD2063"/>
    <w:rsid w:val="00BD33D9"/>
    <w:rsid w:val="00BD38C5"/>
    <w:rsid w:val="00BD3DEA"/>
    <w:rsid w:val="00BD3E97"/>
    <w:rsid w:val="00BD40E4"/>
    <w:rsid w:val="00BD52FE"/>
    <w:rsid w:val="00BD62CF"/>
    <w:rsid w:val="00BD78FE"/>
    <w:rsid w:val="00BE0149"/>
    <w:rsid w:val="00BE0767"/>
    <w:rsid w:val="00BE12D7"/>
    <w:rsid w:val="00BE1372"/>
    <w:rsid w:val="00BE1775"/>
    <w:rsid w:val="00BE18DA"/>
    <w:rsid w:val="00BE26C0"/>
    <w:rsid w:val="00BE3442"/>
    <w:rsid w:val="00BE47B2"/>
    <w:rsid w:val="00BE48C7"/>
    <w:rsid w:val="00BE4F66"/>
    <w:rsid w:val="00BE5238"/>
    <w:rsid w:val="00BE6074"/>
    <w:rsid w:val="00BE7257"/>
    <w:rsid w:val="00BF020D"/>
    <w:rsid w:val="00BF1DD2"/>
    <w:rsid w:val="00BF23A3"/>
    <w:rsid w:val="00BF2A7E"/>
    <w:rsid w:val="00BF3331"/>
    <w:rsid w:val="00BF3A45"/>
    <w:rsid w:val="00BF436F"/>
    <w:rsid w:val="00BF5C05"/>
    <w:rsid w:val="00BF6FC6"/>
    <w:rsid w:val="00BF7C52"/>
    <w:rsid w:val="00BF7F99"/>
    <w:rsid w:val="00C00713"/>
    <w:rsid w:val="00C009A0"/>
    <w:rsid w:val="00C01F74"/>
    <w:rsid w:val="00C02558"/>
    <w:rsid w:val="00C02586"/>
    <w:rsid w:val="00C0285F"/>
    <w:rsid w:val="00C03305"/>
    <w:rsid w:val="00C03515"/>
    <w:rsid w:val="00C03738"/>
    <w:rsid w:val="00C037A6"/>
    <w:rsid w:val="00C043F5"/>
    <w:rsid w:val="00C044E3"/>
    <w:rsid w:val="00C04BDB"/>
    <w:rsid w:val="00C052C6"/>
    <w:rsid w:val="00C05A61"/>
    <w:rsid w:val="00C06CCF"/>
    <w:rsid w:val="00C1159D"/>
    <w:rsid w:val="00C1233E"/>
    <w:rsid w:val="00C12FB3"/>
    <w:rsid w:val="00C13D85"/>
    <w:rsid w:val="00C14E82"/>
    <w:rsid w:val="00C14FF6"/>
    <w:rsid w:val="00C1641B"/>
    <w:rsid w:val="00C165FC"/>
    <w:rsid w:val="00C176D5"/>
    <w:rsid w:val="00C2082C"/>
    <w:rsid w:val="00C20EB0"/>
    <w:rsid w:val="00C21005"/>
    <w:rsid w:val="00C220B6"/>
    <w:rsid w:val="00C22D7C"/>
    <w:rsid w:val="00C22DDE"/>
    <w:rsid w:val="00C2338B"/>
    <w:rsid w:val="00C238F4"/>
    <w:rsid w:val="00C23A99"/>
    <w:rsid w:val="00C245EE"/>
    <w:rsid w:val="00C24B8D"/>
    <w:rsid w:val="00C24BD7"/>
    <w:rsid w:val="00C25813"/>
    <w:rsid w:val="00C25AE3"/>
    <w:rsid w:val="00C27143"/>
    <w:rsid w:val="00C27490"/>
    <w:rsid w:val="00C27D37"/>
    <w:rsid w:val="00C309E8"/>
    <w:rsid w:val="00C32017"/>
    <w:rsid w:val="00C325CD"/>
    <w:rsid w:val="00C3322E"/>
    <w:rsid w:val="00C33B90"/>
    <w:rsid w:val="00C34B5F"/>
    <w:rsid w:val="00C358D4"/>
    <w:rsid w:val="00C36785"/>
    <w:rsid w:val="00C3711C"/>
    <w:rsid w:val="00C37256"/>
    <w:rsid w:val="00C37A7B"/>
    <w:rsid w:val="00C37FFE"/>
    <w:rsid w:val="00C40B50"/>
    <w:rsid w:val="00C413A2"/>
    <w:rsid w:val="00C419E3"/>
    <w:rsid w:val="00C41E6A"/>
    <w:rsid w:val="00C42247"/>
    <w:rsid w:val="00C439BE"/>
    <w:rsid w:val="00C4539B"/>
    <w:rsid w:val="00C45466"/>
    <w:rsid w:val="00C455C1"/>
    <w:rsid w:val="00C4581D"/>
    <w:rsid w:val="00C47472"/>
    <w:rsid w:val="00C500F0"/>
    <w:rsid w:val="00C504A7"/>
    <w:rsid w:val="00C506C9"/>
    <w:rsid w:val="00C50A16"/>
    <w:rsid w:val="00C51C9A"/>
    <w:rsid w:val="00C52C68"/>
    <w:rsid w:val="00C52D98"/>
    <w:rsid w:val="00C53D24"/>
    <w:rsid w:val="00C54640"/>
    <w:rsid w:val="00C547A6"/>
    <w:rsid w:val="00C54A3A"/>
    <w:rsid w:val="00C55C32"/>
    <w:rsid w:val="00C56A67"/>
    <w:rsid w:val="00C56CC2"/>
    <w:rsid w:val="00C57498"/>
    <w:rsid w:val="00C5763C"/>
    <w:rsid w:val="00C5780C"/>
    <w:rsid w:val="00C5796B"/>
    <w:rsid w:val="00C619A1"/>
    <w:rsid w:val="00C62370"/>
    <w:rsid w:val="00C6305F"/>
    <w:rsid w:val="00C6325B"/>
    <w:rsid w:val="00C63E99"/>
    <w:rsid w:val="00C64A64"/>
    <w:rsid w:val="00C65151"/>
    <w:rsid w:val="00C66119"/>
    <w:rsid w:val="00C66292"/>
    <w:rsid w:val="00C672A3"/>
    <w:rsid w:val="00C672F1"/>
    <w:rsid w:val="00C673D0"/>
    <w:rsid w:val="00C6742E"/>
    <w:rsid w:val="00C70012"/>
    <w:rsid w:val="00C71E2A"/>
    <w:rsid w:val="00C733BA"/>
    <w:rsid w:val="00C760DC"/>
    <w:rsid w:val="00C8082B"/>
    <w:rsid w:val="00C81A88"/>
    <w:rsid w:val="00C81D46"/>
    <w:rsid w:val="00C82298"/>
    <w:rsid w:val="00C833B4"/>
    <w:rsid w:val="00C84284"/>
    <w:rsid w:val="00C84E33"/>
    <w:rsid w:val="00C85FFC"/>
    <w:rsid w:val="00C861FC"/>
    <w:rsid w:val="00C86C87"/>
    <w:rsid w:val="00C9005E"/>
    <w:rsid w:val="00C90111"/>
    <w:rsid w:val="00C90CA9"/>
    <w:rsid w:val="00C915F2"/>
    <w:rsid w:val="00C917B1"/>
    <w:rsid w:val="00C9193C"/>
    <w:rsid w:val="00C91B77"/>
    <w:rsid w:val="00C920E2"/>
    <w:rsid w:val="00C93765"/>
    <w:rsid w:val="00C93877"/>
    <w:rsid w:val="00C93D8C"/>
    <w:rsid w:val="00C946CC"/>
    <w:rsid w:val="00C959BD"/>
    <w:rsid w:val="00C95F44"/>
    <w:rsid w:val="00C96D1B"/>
    <w:rsid w:val="00CA0031"/>
    <w:rsid w:val="00CA0413"/>
    <w:rsid w:val="00CA043A"/>
    <w:rsid w:val="00CA1691"/>
    <w:rsid w:val="00CA41E7"/>
    <w:rsid w:val="00CA5812"/>
    <w:rsid w:val="00CA5BD4"/>
    <w:rsid w:val="00CA5C14"/>
    <w:rsid w:val="00CA76FC"/>
    <w:rsid w:val="00CA7E7B"/>
    <w:rsid w:val="00CB0236"/>
    <w:rsid w:val="00CB2C3A"/>
    <w:rsid w:val="00CB2D38"/>
    <w:rsid w:val="00CB4137"/>
    <w:rsid w:val="00CB52D0"/>
    <w:rsid w:val="00CB5578"/>
    <w:rsid w:val="00CB5671"/>
    <w:rsid w:val="00CB591C"/>
    <w:rsid w:val="00CB5943"/>
    <w:rsid w:val="00CB61B3"/>
    <w:rsid w:val="00CB6F83"/>
    <w:rsid w:val="00CB72AE"/>
    <w:rsid w:val="00CC00CD"/>
    <w:rsid w:val="00CC0579"/>
    <w:rsid w:val="00CC0AF3"/>
    <w:rsid w:val="00CC0BC6"/>
    <w:rsid w:val="00CC0E68"/>
    <w:rsid w:val="00CC2514"/>
    <w:rsid w:val="00CC2F69"/>
    <w:rsid w:val="00CC315F"/>
    <w:rsid w:val="00CC3D38"/>
    <w:rsid w:val="00CC40C3"/>
    <w:rsid w:val="00CC4E5D"/>
    <w:rsid w:val="00CC50AE"/>
    <w:rsid w:val="00CC61CA"/>
    <w:rsid w:val="00CC69EC"/>
    <w:rsid w:val="00CC71D3"/>
    <w:rsid w:val="00CC743D"/>
    <w:rsid w:val="00CD050A"/>
    <w:rsid w:val="00CD205D"/>
    <w:rsid w:val="00CD2A22"/>
    <w:rsid w:val="00CD2B50"/>
    <w:rsid w:val="00CD4506"/>
    <w:rsid w:val="00CD520B"/>
    <w:rsid w:val="00CD5982"/>
    <w:rsid w:val="00CD5A1A"/>
    <w:rsid w:val="00CD7EFA"/>
    <w:rsid w:val="00CE020E"/>
    <w:rsid w:val="00CE0566"/>
    <w:rsid w:val="00CE1CD4"/>
    <w:rsid w:val="00CE2761"/>
    <w:rsid w:val="00CE314E"/>
    <w:rsid w:val="00CE3D5C"/>
    <w:rsid w:val="00CE3E14"/>
    <w:rsid w:val="00CE44C7"/>
    <w:rsid w:val="00CE53CC"/>
    <w:rsid w:val="00CE65A7"/>
    <w:rsid w:val="00CE68FE"/>
    <w:rsid w:val="00CE6EC4"/>
    <w:rsid w:val="00CE7F26"/>
    <w:rsid w:val="00CF1ABB"/>
    <w:rsid w:val="00CF1E1D"/>
    <w:rsid w:val="00CF24FE"/>
    <w:rsid w:val="00CF35D0"/>
    <w:rsid w:val="00CF3DD5"/>
    <w:rsid w:val="00CF4AF7"/>
    <w:rsid w:val="00CF4D20"/>
    <w:rsid w:val="00CF73F8"/>
    <w:rsid w:val="00CF7928"/>
    <w:rsid w:val="00CF7CA2"/>
    <w:rsid w:val="00D00A8E"/>
    <w:rsid w:val="00D00DE0"/>
    <w:rsid w:val="00D00F79"/>
    <w:rsid w:val="00D012BF"/>
    <w:rsid w:val="00D01760"/>
    <w:rsid w:val="00D0368E"/>
    <w:rsid w:val="00D03D2D"/>
    <w:rsid w:val="00D03E7B"/>
    <w:rsid w:val="00D0401A"/>
    <w:rsid w:val="00D04FFB"/>
    <w:rsid w:val="00D058E9"/>
    <w:rsid w:val="00D0612A"/>
    <w:rsid w:val="00D1060D"/>
    <w:rsid w:val="00D10E7C"/>
    <w:rsid w:val="00D11182"/>
    <w:rsid w:val="00D11807"/>
    <w:rsid w:val="00D11DB3"/>
    <w:rsid w:val="00D12D82"/>
    <w:rsid w:val="00D1306E"/>
    <w:rsid w:val="00D134CD"/>
    <w:rsid w:val="00D14B5F"/>
    <w:rsid w:val="00D14E13"/>
    <w:rsid w:val="00D14F23"/>
    <w:rsid w:val="00D16740"/>
    <w:rsid w:val="00D16A8B"/>
    <w:rsid w:val="00D16E39"/>
    <w:rsid w:val="00D17AD8"/>
    <w:rsid w:val="00D20D63"/>
    <w:rsid w:val="00D2104A"/>
    <w:rsid w:val="00D21BB5"/>
    <w:rsid w:val="00D21FFC"/>
    <w:rsid w:val="00D223B6"/>
    <w:rsid w:val="00D223E8"/>
    <w:rsid w:val="00D22DC8"/>
    <w:rsid w:val="00D2531C"/>
    <w:rsid w:val="00D2576E"/>
    <w:rsid w:val="00D2742F"/>
    <w:rsid w:val="00D2754F"/>
    <w:rsid w:val="00D279D9"/>
    <w:rsid w:val="00D312DC"/>
    <w:rsid w:val="00D31B84"/>
    <w:rsid w:val="00D31C6A"/>
    <w:rsid w:val="00D31EDF"/>
    <w:rsid w:val="00D31FF9"/>
    <w:rsid w:val="00D32149"/>
    <w:rsid w:val="00D32256"/>
    <w:rsid w:val="00D32A27"/>
    <w:rsid w:val="00D32ABC"/>
    <w:rsid w:val="00D34F4E"/>
    <w:rsid w:val="00D357F3"/>
    <w:rsid w:val="00D35C0E"/>
    <w:rsid w:val="00D373A8"/>
    <w:rsid w:val="00D401BE"/>
    <w:rsid w:val="00D4043A"/>
    <w:rsid w:val="00D40DB0"/>
    <w:rsid w:val="00D41858"/>
    <w:rsid w:val="00D422DB"/>
    <w:rsid w:val="00D42AC2"/>
    <w:rsid w:val="00D4498E"/>
    <w:rsid w:val="00D4515F"/>
    <w:rsid w:val="00D466C9"/>
    <w:rsid w:val="00D47275"/>
    <w:rsid w:val="00D51E15"/>
    <w:rsid w:val="00D52B7E"/>
    <w:rsid w:val="00D52E2F"/>
    <w:rsid w:val="00D52F59"/>
    <w:rsid w:val="00D53E3E"/>
    <w:rsid w:val="00D55904"/>
    <w:rsid w:val="00D5616F"/>
    <w:rsid w:val="00D57940"/>
    <w:rsid w:val="00D60327"/>
    <w:rsid w:val="00D61526"/>
    <w:rsid w:val="00D61F81"/>
    <w:rsid w:val="00D62BE6"/>
    <w:rsid w:val="00D63766"/>
    <w:rsid w:val="00D63912"/>
    <w:rsid w:val="00D63923"/>
    <w:rsid w:val="00D6451B"/>
    <w:rsid w:val="00D64B57"/>
    <w:rsid w:val="00D65DEA"/>
    <w:rsid w:val="00D67BC7"/>
    <w:rsid w:val="00D705D3"/>
    <w:rsid w:val="00D70E00"/>
    <w:rsid w:val="00D715AC"/>
    <w:rsid w:val="00D71851"/>
    <w:rsid w:val="00D718CF"/>
    <w:rsid w:val="00D72E9D"/>
    <w:rsid w:val="00D73249"/>
    <w:rsid w:val="00D73419"/>
    <w:rsid w:val="00D73CA9"/>
    <w:rsid w:val="00D751B7"/>
    <w:rsid w:val="00D7524B"/>
    <w:rsid w:val="00D75396"/>
    <w:rsid w:val="00D759C0"/>
    <w:rsid w:val="00D75E99"/>
    <w:rsid w:val="00D766C7"/>
    <w:rsid w:val="00D7692B"/>
    <w:rsid w:val="00D7734F"/>
    <w:rsid w:val="00D8044C"/>
    <w:rsid w:val="00D805D6"/>
    <w:rsid w:val="00D80D4C"/>
    <w:rsid w:val="00D8184D"/>
    <w:rsid w:val="00D81A7B"/>
    <w:rsid w:val="00D8223C"/>
    <w:rsid w:val="00D82B57"/>
    <w:rsid w:val="00D82CE5"/>
    <w:rsid w:val="00D8342C"/>
    <w:rsid w:val="00D85494"/>
    <w:rsid w:val="00D85D61"/>
    <w:rsid w:val="00D8616D"/>
    <w:rsid w:val="00D8711B"/>
    <w:rsid w:val="00D90683"/>
    <w:rsid w:val="00D915C8"/>
    <w:rsid w:val="00D9310B"/>
    <w:rsid w:val="00D93726"/>
    <w:rsid w:val="00D93F3E"/>
    <w:rsid w:val="00D9405B"/>
    <w:rsid w:val="00D94942"/>
    <w:rsid w:val="00D95145"/>
    <w:rsid w:val="00D967CB"/>
    <w:rsid w:val="00D96EE0"/>
    <w:rsid w:val="00D97BD1"/>
    <w:rsid w:val="00DA06B8"/>
    <w:rsid w:val="00DA286D"/>
    <w:rsid w:val="00DA2969"/>
    <w:rsid w:val="00DA29B7"/>
    <w:rsid w:val="00DA4842"/>
    <w:rsid w:val="00DA5989"/>
    <w:rsid w:val="00DA5AB1"/>
    <w:rsid w:val="00DA5F9D"/>
    <w:rsid w:val="00DA6372"/>
    <w:rsid w:val="00DA69B2"/>
    <w:rsid w:val="00DA7462"/>
    <w:rsid w:val="00DA7AD0"/>
    <w:rsid w:val="00DB00D8"/>
    <w:rsid w:val="00DB03CC"/>
    <w:rsid w:val="00DB12D4"/>
    <w:rsid w:val="00DB14F0"/>
    <w:rsid w:val="00DB1745"/>
    <w:rsid w:val="00DB1AFF"/>
    <w:rsid w:val="00DB219A"/>
    <w:rsid w:val="00DB3573"/>
    <w:rsid w:val="00DB4292"/>
    <w:rsid w:val="00DB6E46"/>
    <w:rsid w:val="00DB7117"/>
    <w:rsid w:val="00DB7760"/>
    <w:rsid w:val="00DB7DD4"/>
    <w:rsid w:val="00DC00B4"/>
    <w:rsid w:val="00DC0954"/>
    <w:rsid w:val="00DC15BA"/>
    <w:rsid w:val="00DC18CD"/>
    <w:rsid w:val="00DC1A68"/>
    <w:rsid w:val="00DC30B8"/>
    <w:rsid w:val="00DC478F"/>
    <w:rsid w:val="00DC62E5"/>
    <w:rsid w:val="00DC6F33"/>
    <w:rsid w:val="00DC7349"/>
    <w:rsid w:val="00DD14D8"/>
    <w:rsid w:val="00DD1599"/>
    <w:rsid w:val="00DD1B03"/>
    <w:rsid w:val="00DD2A62"/>
    <w:rsid w:val="00DD2F2F"/>
    <w:rsid w:val="00DD2F7A"/>
    <w:rsid w:val="00DD3885"/>
    <w:rsid w:val="00DD5808"/>
    <w:rsid w:val="00DD5946"/>
    <w:rsid w:val="00DD5B04"/>
    <w:rsid w:val="00DD5EC6"/>
    <w:rsid w:val="00DD605F"/>
    <w:rsid w:val="00DD72A0"/>
    <w:rsid w:val="00DD735D"/>
    <w:rsid w:val="00DE0159"/>
    <w:rsid w:val="00DE064A"/>
    <w:rsid w:val="00DE082D"/>
    <w:rsid w:val="00DE3119"/>
    <w:rsid w:val="00DE3FF0"/>
    <w:rsid w:val="00DE4105"/>
    <w:rsid w:val="00DE5189"/>
    <w:rsid w:val="00DE7108"/>
    <w:rsid w:val="00DE78D1"/>
    <w:rsid w:val="00DF0263"/>
    <w:rsid w:val="00DF1E36"/>
    <w:rsid w:val="00DF236B"/>
    <w:rsid w:val="00DF2A91"/>
    <w:rsid w:val="00DF3889"/>
    <w:rsid w:val="00DF3CC9"/>
    <w:rsid w:val="00DF4451"/>
    <w:rsid w:val="00DF49FF"/>
    <w:rsid w:val="00DF4FFB"/>
    <w:rsid w:val="00DF5236"/>
    <w:rsid w:val="00DF651F"/>
    <w:rsid w:val="00DF6F43"/>
    <w:rsid w:val="00DF752F"/>
    <w:rsid w:val="00DF76A2"/>
    <w:rsid w:val="00E00B7A"/>
    <w:rsid w:val="00E02186"/>
    <w:rsid w:val="00E026BB"/>
    <w:rsid w:val="00E027C5"/>
    <w:rsid w:val="00E03124"/>
    <w:rsid w:val="00E03951"/>
    <w:rsid w:val="00E03DB8"/>
    <w:rsid w:val="00E05E70"/>
    <w:rsid w:val="00E064BC"/>
    <w:rsid w:val="00E07225"/>
    <w:rsid w:val="00E109DD"/>
    <w:rsid w:val="00E11229"/>
    <w:rsid w:val="00E114CA"/>
    <w:rsid w:val="00E1397F"/>
    <w:rsid w:val="00E13AB8"/>
    <w:rsid w:val="00E1482E"/>
    <w:rsid w:val="00E16382"/>
    <w:rsid w:val="00E1699C"/>
    <w:rsid w:val="00E16E75"/>
    <w:rsid w:val="00E2012A"/>
    <w:rsid w:val="00E205A2"/>
    <w:rsid w:val="00E20B69"/>
    <w:rsid w:val="00E20BA4"/>
    <w:rsid w:val="00E23137"/>
    <w:rsid w:val="00E241E9"/>
    <w:rsid w:val="00E257C3"/>
    <w:rsid w:val="00E25CB3"/>
    <w:rsid w:val="00E25DA4"/>
    <w:rsid w:val="00E26CB8"/>
    <w:rsid w:val="00E26FCF"/>
    <w:rsid w:val="00E27165"/>
    <w:rsid w:val="00E3044A"/>
    <w:rsid w:val="00E31A4A"/>
    <w:rsid w:val="00E3344A"/>
    <w:rsid w:val="00E33B29"/>
    <w:rsid w:val="00E33B62"/>
    <w:rsid w:val="00E3403D"/>
    <w:rsid w:val="00E34E6C"/>
    <w:rsid w:val="00E353E2"/>
    <w:rsid w:val="00E36345"/>
    <w:rsid w:val="00E36C86"/>
    <w:rsid w:val="00E36CEB"/>
    <w:rsid w:val="00E37A28"/>
    <w:rsid w:val="00E40430"/>
    <w:rsid w:val="00E40690"/>
    <w:rsid w:val="00E4143A"/>
    <w:rsid w:val="00E424C8"/>
    <w:rsid w:val="00E4251D"/>
    <w:rsid w:val="00E43D00"/>
    <w:rsid w:val="00E445E4"/>
    <w:rsid w:val="00E457CB"/>
    <w:rsid w:val="00E45D47"/>
    <w:rsid w:val="00E45DE4"/>
    <w:rsid w:val="00E45E63"/>
    <w:rsid w:val="00E50A7B"/>
    <w:rsid w:val="00E50B0B"/>
    <w:rsid w:val="00E510FE"/>
    <w:rsid w:val="00E51E25"/>
    <w:rsid w:val="00E521AE"/>
    <w:rsid w:val="00E53BCA"/>
    <w:rsid w:val="00E53F02"/>
    <w:rsid w:val="00E54534"/>
    <w:rsid w:val="00E548C3"/>
    <w:rsid w:val="00E54F27"/>
    <w:rsid w:val="00E55FF1"/>
    <w:rsid w:val="00E56090"/>
    <w:rsid w:val="00E565B9"/>
    <w:rsid w:val="00E5733B"/>
    <w:rsid w:val="00E601BE"/>
    <w:rsid w:val="00E60B5F"/>
    <w:rsid w:val="00E613AE"/>
    <w:rsid w:val="00E61ABB"/>
    <w:rsid w:val="00E623E6"/>
    <w:rsid w:val="00E630C0"/>
    <w:rsid w:val="00E634E6"/>
    <w:rsid w:val="00E63DCE"/>
    <w:rsid w:val="00E64700"/>
    <w:rsid w:val="00E65074"/>
    <w:rsid w:val="00E65E70"/>
    <w:rsid w:val="00E66087"/>
    <w:rsid w:val="00E66D79"/>
    <w:rsid w:val="00E66FF9"/>
    <w:rsid w:val="00E67856"/>
    <w:rsid w:val="00E679C8"/>
    <w:rsid w:val="00E724E7"/>
    <w:rsid w:val="00E729D5"/>
    <w:rsid w:val="00E72B41"/>
    <w:rsid w:val="00E7347B"/>
    <w:rsid w:val="00E73D03"/>
    <w:rsid w:val="00E77AF5"/>
    <w:rsid w:val="00E823F9"/>
    <w:rsid w:val="00E82C1F"/>
    <w:rsid w:val="00E83671"/>
    <w:rsid w:val="00E84A71"/>
    <w:rsid w:val="00E86556"/>
    <w:rsid w:val="00E86D35"/>
    <w:rsid w:val="00E86DC2"/>
    <w:rsid w:val="00E86E32"/>
    <w:rsid w:val="00E8732E"/>
    <w:rsid w:val="00E9011F"/>
    <w:rsid w:val="00E906EB"/>
    <w:rsid w:val="00E9241E"/>
    <w:rsid w:val="00E92460"/>
    <w:rsid w:val="00E92E62"/>
    <w:rsid w:val="00E93804"/>
    <w:rsid w:val="00E95434"/>
    <w:rsid w:val="00E96467"/>
    <w:rsid w:val="00E96948"/>
    <w:rsid w:val="00E9737B"/>
    <w:rsid w:val="00E97A3F"/>
    <w:rsid w:val="00E97F0A"/>
    <w:rsid w:val="00EA0100"/>
    <w:rsid w:val="00EA0BCE"/>
    <w:rsid w:val="00EA1026"/>
    <w:rsid w:val="00EA2744"/>
    <w:rsid w:val="00EA37B9"/>
    <w:rsid w:val="00EA39F7"/>
    <w:rsid w:val="00EA3DC2"/>
    <w:rsid w:val="00EA434E"/>
    <w:rsid w:val="00EA4757"/>
    <w:rsid w:val="00EA560B"/>
    <w:rsid w:val="00EA5669"/>
    <w:rsid w:val="00EA63EF"/>
    <w:rsid w:val="00EB0A89"/>
    <w:rsid w:val="00EB1573"/>
    <w:rsid w:val="00EB1910"/>
    <w:rsid w:val="00EB2E97"/>
    <w:rsid w:val="00EB4AE1"/>
    <w:rsid w:val="00EB52F4"/>
    <w:rsid w:val="00EB5779"/>
    <w:rsid w:val="00EB67F1"/>
    <w:rsid w:val="00EB72CD"/>
    <w:rsid w:val="00EB749A"/>
    <w:rsid w:val="00EB76B6"/>
    <w:rsid w:val="00EB7D8A"/>
    <w:rsid w:val="00EC05E2"/>
    <w:rsid w:val="00EC0E84"/>
    <w:rsid w:val="00EC16E2"/>
    <w:rsid w:val="00EC1CE7"/>
    <w:rsid w:val="00EC26F1"/>
    <w:rsid w:val="00EC3C94"/>
    <w:rsid w:val="00EC44DF"/>
    <w:rsid w:val="00EC4FB9"/>
    <w:rsid w:val="00EC5393"/>
    <w:rsid w:val="00EC5741"/>
    <w:rsid w:val="00EC5DA3"/>
    <w:rsid w:val="00EC6014"/>
    <w:rsid w:val="00EC6B3E"/>
    <w:rsid w:val="00EC73DE"/>
    <w:rsid w:val="00EC7637"/>
    <w:rsid w:val="00EC7CF2"/>
    <w:rsid w:val="00ED046C"/>
    <w:rsid w:val="00ED053A"/>
    <w:rsid w:val="00ED1F03"/>
    <w:rsid w:val="00ED2D27"/>
    <w:rsid w:val="00ED3347"/>
    <w:rsid w:val="00ED43A2"/>
    <w:rsid w:val="00ED4967"/>
    <w:rsid w:val="00ED5140"/>
    <w:rsid w:val="00ED538C"/>
    <w:rsid w:val="00ED5771"/>
    <w:rsid w:val="00ED587F"/>
    <w:rsid w:val="00ED5964"/>
    <w:rsid w:val="00ED623F"/>
    <w:rsid w:val="00ED72E9"/>
    <w:rsid w:val="00ED732E"/>
    <w:rsid w:val="00ED77F0"/>
    <w:rsid w:val="00ED7FBC"/>
    <w:rsid w:val="00EE0253"/>
    <w:rsid w:val="00EE0297"/>
    <w:rsid w:val="00EE13DA"/>
    <w:rsid w:val="00EE1668"/>
    <w:rsid w:val="00EE1930"/>
    <w:rsid w:val="00EE366D"/>
    <w:rsid w:val="00EE59B5"/>
    <w:rsid w:val="00EE5FB7"/>
    <w:rsid w:val="00EE7B54"/>
    <w:rsid w:val="00EE7C88"/>
    <w:rsid w:val="00EE7C8B"/>
    <w:rsid w:val="00EF0209"/>
    <w:rsid w:val="00EF0EA4"/>
    <w:rsid w:val="00EF1E97"/>
    <w:rsid w:val="00EF2547"/>
    <w:rsid w:val="00EF2B2B"/>
    <w:rsid w:val="00EF2E1C"/>
    <w:rsid w:val="00EF2FD6"/>
    <w:rsid w:val="00EF326A"/>
    <w:rsid w:val="00EF427A"/>
    <w:rsid w:val="00EF45DF"/>
    <w:rsid w:val="00EF4952"/>
    <w:rsid w:val="00EF498F"/>
    <w:rsid w:val="00EF4A42"/>
    <w:rsid w:val="00EF510C"/>
    <w:rsid w:val="00EF55C4"/>
    <w:rsid w:val="00EF57BC"/>
    <w:rsid w:val="00EF6784"/>
    <w:rsid w:val="00EF688A"/>
    <w:rsid w:val="00EF6A03"/>
    <w:rsid w:val="00EF6DC2"/>
    <w:rsid w:val="00EF7BF4"/>
    <w:rsid w:val="00F0030F"/>
    <w:rsid w:val="00F00674"/>
    <w:rsid w:val="00F01657"/>
    <w:rsid w:val="00F02744"/>
    <w:rsid w:val="00F02BFD"/>
    <w:rsid w:val="00F02D25"/>
    <w:rsid w:val="00F04580"/>
    <w:rsid w:val="00F04ECA"/>
    <w:rsid w:val="00F06E19"/>
    <w:rsid w:val="00F06F84"/>
    <w:rsid w:val="00F076E7"/>
    <w:rsid w:val="00F07AA1"/>
    <w:rsid w:val="00F105AE"/>
    <w:rsid w:val="00F10618"/>
    <w:rsid w:val="00F1108B"/>
    <w:rsid w:val="00F11768"/>
    <w:rsid w:val="00F11951"/>
    <w:rsid w:val="00F12262"/>
    <w:rsid w:val="00F12AF8"/>
    <w:rsid w:val="00F12C52"/>
    <w:rsid w:val="00F148B7"/>
    <w:rsid w:val="00F15505"/>
    <w:rsid w:val="00F15BFF"/>
    <w:rsid w:val="00F213A0"/>
    <w:rsid w:val="00F21D54"/>
    <w:rsid w:val="00F23113"/>
    <w:rsid w:val="00F23255"/>
    <w:rsid w:val="00F23759"/>
    <w:rsid w:val="00F24644"/>
    <w:rsid w:val="00F26F33"/>
    <w:rsid w:val="00F300A8"/>
    <w:rsid w:val="00F30400"/>
    <w:rsid w:val="00F3079E"/>
    <w:rsid w:val="00F3399B"/>
    <w:rsid w:val="00F346ED"/>
    <w:rsid w:val="00F34945"/>
    <w:rsid w:val="00F34E1E"/>
    <w:rsid w:val="00F3570C"/>
    <w:rsid w:val="00F368FF"/>
    <w:rsid w:val="00F37068"/>
    <w:rsid w:val="00F37F3F"/>
    <w:rsid w:val="00F40992"/>
    <w:rsid w:val="00F41596"/>
    <w:rsid w:val="00F41D8B"/>
    <w:rsid w:val="00F42121"/>
    <w:rsid w:val="00F424B3"/>
    <w:rsid w:val="00F428B1"/>
    <w:rsid w:val="00F428B4"/>
    <w:rsid w:val="00F4345D"/>
    <w:rsid w:val="00F4387B"/>
    <w:rsid w:val="00F45B91"/>
    <w:rsid w:val="00F46639"/>
    <w:rsid w:val="00F50183"/>
    <w:rsid w:val="00F50D92"/>
    <w:rsid w:val="00F51765"/>
    <w:rsid w:val="00F51A51"/>
    <w:rsid w:val="00F51CB4"/>
    <w:rsid w:val="00F52324"/>
    <w:rsid w:val="00F52950"/>
    <w:rsid w:val="00F52C9D"/>
    <w:rsid w:val="00F533F1"/>
    <w:rsid w:val="00F55679"/>
    <w:rsid w:val="00F561E3"/>
    <w:rsid w:val="00F565E6"/>
    <w:rsid w:val="00F56AFA"/>
    <w:rsid w:val="00F575E2"/>
    <w:rsid w:val="00F579FF"/>
    <w:rsid w:val="00F600E0"/>
    <w:rsid w:val="00F605EC"/>
    <w:rsid w:val="00F60F60"/>
    <w:rsid w:val="00F612CE"/>
    <w:rsid w:val="00F624A7"/>
    <w:rsid w:val="00F62AB6"/>
    <w:rsid w:val="00F65A3C"/>
    <w:rsid w:val="00F67D8B"/>
    <w:rsid w:val="00F70961"/>
    <w:rsid w:val="00F71397"/>
    <w:rsid w:val="00F72389"/>
    <w:rsid w:val="00F72516"/>
    <w:rsid w:val="00F735E5"/>
    <w:rsid w:val="00F73E80"/>
    <w:rsid w:val="00F7469C"/>
    <w:rsid w:val="00F7492E"/>
    <w:rsid w:val="00F74945"/>
    <w:rsid w:val="00F749A3"/>
    <w:rsid w:val="00F74AE8"/>
    <w:rsid w:val="00F76C11"/>
    <w:rsid w:val="00F77021"/>
    <w:rsid w:val="00F77E61"/>
    <w:rsid w:val="00F815AC"/>
    <w:rsid w:val="00F83B33"/>
    <w:rsid w:val="00F840BF"/>
    <w:rsid w:val="00F843DF"/>
    <w:rsid w:val="00F84899"/>
    <w:rsid w:val="00F85585"/>
    <w:rsid w:val="00F859F0"/>
    <w:rsid w:val="00F85CC1"/>
    <w:rsid w:val="00F86B5D"/>
    <w:rsid w:val="00F87634"/>
    <w:rsid w:val="00F87C13"/>
    <w:rsid w:val="00F87C5A"/>
    <w:rsid w:val="00F87E29"/>
    <w:rsid w:val="00F87F18"/>
    <w:rsid w:val="00F87F68"/>
    <w:rsid w:val="00F90C4D"/>
    <w:rsid w:val="00F9167D"/>
    <w:rsid w:val="00F91CB2"/>
    <w:rsid w:val="00F9289C"/>
    <w:rsid w:val="00F93DBC"/>
    <w:rsid w:val="00F94644"/>
    <w:rsid w:val="00F9537B"/>
    <w:rsid w:val="00F963FC"/>
    <w:rsid w:val="00FA015F"/>
    <w:rsid w:val="00FA0FAC"/>
    <w:rsid w:val="00FA1DA2"/>
    <w:rsid w:val="00FA3414"/>
    <w:rsid w:val="00FA347A"/>
    <w:rsid w:val="00FA3CDE"/>
    <w:rsid w:val="00FA49B7"/>
    <w:rsid w:val="00FA5043"/>
    <w:rsid w:val="00FA6F8B"/>
    <w:rsid w:val="00FA7A30"/>
    <w:rsid w:val="00FB033F"/>
    <w:rsid w:val="00FB1570"/>
    <w:rsid w:val="00FB193B"/>
    <w:rsid w:val="00FB27B7"/>
    <w:rsid w:val="00FB35E3"/>
    <w:rsid w:val="00FB583C"/>
    <w:rsid w:val="00FB630E"/>
    <w:rsid w:val="00FB6738"/>
    <w:rsid w:val="00FB691B"/>
    <w:rsid w:val="00FB731C"/>
    <w:rsid w:val="00FC05A0"/>
    <w:rsid w:val="00FC0811"/>
    <w:rsid w:val="00FC1196"/>
    <w:rsid w:val="00FC15EB"/>
    <w:rsid w:val="00FC18DC"/>
    <w:rsid w:val="00FC2471"/>
    <w:rsid w:val="00FC2AC4"/>
    <w:rsid w:val="00FC2F73"/>
    <w:rsid w:val="00FC3A9B"/>
    <w:rsid w:val="00FC3AE1"/>
    <w:rsid w:val="00FC3DFC"/>
    <w:rsid w:val="00FC3EF4"/>
    <w:rsid w:val="00FC431B"/>
    <w:rsid w:val="00FC434C"/>
    <w:rsid w:val="00FC4FDF"/>
    <w:rsid w:val="00FC5CF4"/>
    <w:rsid w:val="00FC6A39"/>
    <w:rsid w:val="00FC79AB"/>
    <w:rsid w:val="00FC7DAC"/>
    <w:rsid w:val="00FD04AE"/>
    <w:rsid w:val="00FD1890"/>
    <w:rsid w:val="00FD1994"/>
    <w:rsid w:val="00FD3508"/>
    <w:rsid w:val="00FD393C"/>
    <w:rsid w:val="00FD43BB"/>
    <w:rsid w:val="00FD4AF3"/>
    <w:rsid w:val="00FD798D"/>
    <w:rsid w:val="00FE141E"/>
    <w:rsid w:val="00FE144E"/>
    <w:rsid w:val="00FE2560"/>
    <w:rsid w:val="00FE35D0"/>
    <w:rsid w:val="00FE42ED"/>
    <w:rsid w:val="00FE55A7"/>
    <w:rsid w:val="00FE5C5A"/>
    <w:rsid w:val="00FE6432"/>
    <w:rsid w:val="00FE72A0"/>
    <w:rsid w:val="00FF0050"/>
    <w:rsid w:val="00FF045F"/>
    <w:rsid w:val="00FF13D4"/>
    <w:rsid w:val="00FF3B37"/>
    <w:rsid w:val="00FF3D6F"/>
    <w:rsid w:val="00FF4BD8"/>
    <w:rsid w:val="00FF4D11"/>
    <w:rsid w:val="00FF5214"/>
    <w:rsid w:val="00FF5B59"/>
    <w:rsid w:val="00FF5BFD"/>
    <w:rsid w:val="00FF6095"/>
    <w:rsid w:val="00FF62FE"/>
    <w:rsid w:val="00FF6553"/>
    <w:rsid w:val="00FF7A39"/>
    <w:rsid w:val="36C20BFF"/>
    <w:rsid w:val="571A483F"/>
    <w:rsid w:val="58A8F057"/>
    <w:rsid w:val="791E485F"/>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54FC2"/>
    <w:pPr>
      <w:spacing w:after="0" w:line="240" w:lineRule="auto"/>
    </w:pPr>
    <w:rPr>
      <w:rFonts w:ascii="Times New Roman" w:hAnsi="Times New Roman" w:eastAsia="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hAnsi="Arial" w:eastAsia="Arial" w:cs="Arial"/>
      <w:b/>
      <w:bCs/>
      <w:sz w:val="22"/>
      <w:szCs w:val="22"/>
      <w:lang w:val="es-ES" w:eastAsia="en-U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hAnsiTheme="minorHAnsi" w:eastAsiaTheme="minorHAnsi" w:cstheme="minorBidi"/>
      <w:szCs w:val="22"/>
      <w:lang w:val="es-MX" w:eastAsia="en-US"/>
    </w:r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eastAsiaTheme="minorHAnsi"/>
      <w:sz w:val="16"/>
      <w:szCs w:val="16"/>
      <w:lang w:val="es-MX" w:eastAsia="en-US"/>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hAnsiTheme="minorHAnsi" w:eastAsiaTheme="minorHAnsi" w:cstheme="minorBidi"/>
      <w:szCs w:val="22"/>
      <w:lang w:val="es-MX" w:eastAsia="en-US"/>
    </w:r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hAnsiTheme="minorHAnsi" w:eastAsia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hAnsiTheme="minorHAnsi" w:eastAsiaTheme="minorHAnsi" w:cstheme="minorBidi"/>
      <w:sz w:val="20"/>
      <w:szCs w:val="20"/>
      <w:lang w:val="es-MX" w:eastAsia="en-US"/>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rFonts w:asciiTheme="minorHAnsi" w:hAnsiTheme="minorHAnsi" w:eastAsiaTheme="minorHAnsi" w:cstheme="minorBidi"/>
      <w:sz w:val="20"/>
      <w:szCs w:val="20"/>
      <w:lang w:val="es-MX" w:eastAsia="en-US"/>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hAnsiTheme="minorHAnsi" w:eastAsiaTheme="minorEastAsia" w:cstheme="minorBidi"/>
      <w:sz w:val="22"/>
      <w:szCs w:val="22"/>
      <w:lang w:eastAsia="es-CO"/>
    </w:rPr>
  </w:style>
  <w:style w:type="character" w:styleId="TextoindependienteCar" w:customStyle="1">
    <w:name w:val="Texto independiente Car"/>
    <w:basedOn w:val="Fuentedeprrafopredeter"/>
    <w:link w:val="Textoindependiente"/>
    <w:uiPriority w:val="99"/>
    <w:rsid w:val="00F1108B"/>
    <w:rPr>
      <w:rFonts w:eastAsiaTheme="minorEastAsia"/>
      <w:lang w:eastAsia="es-CO"/>
    </w:rPr>
  </w:style>
  <w:style w:type="character" w:styleId="Mencinsinresolver1" w:customStyle="1">
    <w:name w:val="Mención sin resolver1"/>
    <w:basedOn w:val="Fuentedeprrafopredeter"/>
    <w:uiPriority w:val="99"/>
    <w:semiHidden/>
    <w:unhideWhenUsed/>
    <w:rsid w:val="00247712"/>
    <w:rPr>
      <w:color w:val="605E5C"/>
      <w:shd w:val="clear" w:color="auto" w:fill="E1DFDD"/>
    </w:rPr>
  </w:style>
  <w:style w:type="character" w:styleId="Mencinsinresolver2" w:customStyle="1">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styleId="Default" w:customStyle="1">
    <w:name w:val="Default"/>
    <w:rsid w:val="008919CF"/>
    <w:pPr>
      <w:autoSpaceDE w:val="0"/>
      <w:autoSpaceDN w:val="0"/>
      <w:adjustRightInd w:val="0"/>
      <w:spacing w:after="0" w:line="240" w:lineRule="auto"/>
    </w:pPr>
    <w:rPr>
      <w:rFonts w:ascii="Arial" w:hAnsi="Arial" w:cs="Arial"/>
      <w:color w:val="000000"/>
      <w:sz w:val="24"/>
      <w:szCs w:val="24"/>
    </w:rPr>
  </w:style>
  <w:style w:type="paragraph" w:styleId="paragraph" w:customStyle="1">
    <w:name w:val="paragraph"/>
    <w:basedOn w:val="Normal"/>
    <w:rsid w:val="00DD5B04"/>
    <w:pPr>
      <w:spacing w:before="100" w:beforeAutospacing="1" w:after="100" w:afterAutospacing="1"/>
    </w:pPr>
    <w:rPr>
      <w:lang w:eastAsia="es-CO"/>
    </w:rPr>
  </w:style>
  <w:style w:type="character" w:styleId="textrun" w:customStyle="1">
    <w:name w:val="textrun"/>
    <w:basedOn w:val="Fuentedeprrafopredeter"/>
    <w:rsid w:val="00DD5B04"/>
  </w:style>
  <w:style w:type="character" w:styleId="normaltextrun" w:customStyle="1">
    <w:name w:val="normaltextrun"/>
    <w:basedOn w:val="Fuentedeprrafopredeter"/>
    <w:rsid w:val="00DD5B04"/>
  </w:style>
  <w:style w:type="character" w:styleId="eop" w:customStyle="1">
    <w:name w:val="eop"/>
    <w:basedOn w:val="Fuentedeprrafopredeter"/>
    <w:rsid w:val="00DD5B04"/>
  </w:style>
  <w:style w:type="character" w:styleId="spellingerror" w:customStyle="1">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styleId="Ttulo1Car" w:customStyle="1">
    <w:name w:val="Título 1 Car"/>
    <w:basedOn w:val="Fuentedeprrafopredeter"/>
    <w:link w:val="Ttulo1"/>
    <w:uiPriority w:val="1"/>
    <w:rsid w:val="006D712D"/>
    <w:rPr>
      <w:rFonts w:ascii="Arial" w:hAnsi="Arial" w:eastAsia="Arial" w:cs="Arial"/>
      <w:b/>
      <w:bCs/>
      <w:lang w:val="es-ES"/>
    </w:rPr>
  </w:style>
  <w:style w:type="paragraph" w:styleId="Appelnotedebasde" w:customStyle="1">
    <w:name w:val="Appel note de bas de..."/>
    <w:basedOn w:val="Normal"/>
    <w:link w:val="Refdenotaalpie"/>
    <w:uiPriority w:val="99"/>
    <w:rsid w:val="00477C5F"/>
    <w:pPr>
      <w:spacing w:after="160" w:line="240" w:lineRule="exact"/>
    </w:pPr>
    <w:rPr>
      <w:rFonts w:asciiTheme="minorHAnsi" w:hAnsiTheme="minorHAnsi" w:eastAsia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hAnsiTheme="minorHAnsi" w:eastAsiaTheme="minorHAnsi" w:cstheme="minorBidi"/>
      <w:szCs w:val="22"/>
      <w:lang w:val="es-MX" w:eastAsia="en-US"/>
    </w:rPr>
  </w:style>
  <w:style w:type="character" w:styleId="SangradetextonormalCar" w:customStyle="1">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styleId="NormalWebCar" w:customStyle="1">
    <w:name w:val="Normal (Web) Car"/>
    <w:link w:val="NormalWeb"/>
    <w:uiPriority w:val="99"/>
    <w:rsid w:val="00F3570C"/>
    <w:rPr>
      <w:rFonts w:ascii="Times New Roman" w:hAnsi="Times New Roman" w:eastAsia="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3.png" Id="Rc01b8976797e4a31" /></Relationships>
</file>

<file path=word/_rels/footer1.xml.rels>&#65279;<?xml version="1.0" encoding="utf-8"?><Relationships xmlns="http://schemas.openxmlformats.org/package/2006/relationships"><Relationship Type="http://schemas.openxmlformats.org/officeDocument/2006/relationships/image" Target="/media/image4.png" Id="R07624395f68a4206"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C:\Users\ximena.cabezas\AppData\Local\Microsoft\Windows\INetCache\Content.Outlook\N37DCYCK\Respuesta a consultas.dotm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64</revision>
  <lastPrinted>2020-01-30T15:05:00.0000000Z</lastPrinted>
  <dcterms:created xsi:type="dcterms:W3CDTF">2020-12-14T01:39:00.0000000Z</dcterms:created>
  <dcterms:modified xsi:type="dcterms:W3CDTF">2021-01-12T16:02:01.6308850Z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