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545A4" w14:textId="77777777" w:rsidR="003C0AC4" w:rsidRPr="00BB73C5" w:rsidRDefault="003C0AC4" w:rsidP="003C0AC4">
      <w:pPr>
        <w:spacing w:after="0" w:line="240" w:lineRule="auto"/>
        <w:jc w:val="both"/>
        <w:rPr>
          <w:rFonts w:ascii="Verdana" w:hAnsi="Verdana" w:cs="Arial"/>
          <w:b/>
          <w:lang w:val="es-MX"/>
        </w:rPr>
      </w:pPr>
      <w:r w:rsidRPr="00BB73C5">
        <w:rPr>
          <w:rFonts w:ascii="Verdana" w:hAnsi="Verdana" w:cs="Arial"/>
          <w:b/>
          <w:lang w:val="es-MX"/>
        </w:rPr>
        <w:t xml:space="preserve">INHABILIDADES E INCOMPATIBILIDADES ─ Definición ─ fundamento – clases </w:t>
      </w:r>
    </w:p>
    <w:p w14:paraId="453D50B6" w14:textId="77777777" w:rsidR="003C0AC4" w:rsidRDefault="003C0AC4" w:rsidP="003C0AC4">
      <w:pPr>
        <w:spacing w:after="0" w:line="240" w:lineRule="auto"/>
        <w:jc w:val="both"/>
        <w:rPr>
          <w:rFonts w:ascii="Verdana" w:hAnsi="Verdana" w:cs="Arial"/>
          <w:b/>
          <w:lang w:val="es-MX"/>
        </w:rPr>
      </w:pPr>
    </w:p>
    <w:p w14:paraId="5C4E2F6E" w14:textId="77777777" w:rsidR="003C0AC4" w:rsidRPr="00BB73C5" w:rsidRDefault="003C0AC4" w:rsidP="003C0AC4">
      <w:pPr>
        <w:spacing w:after="0" w:line="240" w:lineRule="auto"/>
        <w:jc w:val="both"/>
        <w:rPr>
          <w:rFonts w:ascii="Verdana" w:hAnsi="Verdana" w:cs="Arial"/>
          <w:sz w:val="20"/>
          <w:lang w:val="es-MX"/>
        </w:rPr>
      </w:pPr>
      <w:r w:rsidRPr="00BB73C5">
        <w:rPr>
          <w:rFonts w:ascii="Verdana" w:hAnsi="Verdana" w:cs="Arial"/>
          <w:sz w:val="20"/>
          <w:lang w:val="es-MX"/>
        </w:rPr>
        <w:t>Las inhabilidades e incompatibilidades pueden enfocarse en varios asuntos: en primer lugar, se encuentran las inhabilidades e incompatibilidades que impiden que u</w:t>
      </w:r>
      <w:proofErr w:type="spellStart"/>
      <w:r w:rsidRPr="00BB73C5">
        <w:rPr>
          <w:rFonts w:ascii="Verdana" w:hAnsi="Verdana" w:cs="Arial"/>
          <w:sz w:val="20"/>
        </w:rPr>
        <w:t>na</w:t>
      </w:r>
      <w:proofErr w:type="spellEnd"/>
      <w:r w:rsidRPr="00BB73C5">
        <w:rPr>
          <w:rFonts w:ascii="Verdana" w:hAnsi="Verdana" w:cs="Arial"/>
          <w:sz w:val="20"/>
        </w:rPr>
        <w:t xml:space="preserve">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BB73C5">
        <w:rPr>
          <w:rFonts w:ascii="Verdana" w:hAnsi="Verdana" w:cs="Arial"/>
          <w:sz w:val="20"/>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w:t>
      </w:r>
      <w:proofErr w:type="gramStart"/>
      <w:r w:rsidRPr="00BB73C5">
        <w:rPr>
          <w:rFonts w:ascii="Verdana" w:hAnsi="Verdana" w:cs="Arial"/>
          <w:sz w:val="20"/>
          <w:lang w:val="es-MX"/>
        </w:rPr>
        <w:t>De acuerdo a</w:t>
      </w:r>
      <w:proofErr w:type="gramEnd"/>
      <w:r w:rsidRPr="00BB73C5">
        <w:rPr>
          <w:rFonts w:ascii="Verdana" w:hAnsi="Verdana" w:cs="Arial"/>
          <w:sz w:val="20"/>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3E7E880C" w14:textId="77777777" w:rsidR="003C0AC4" w:rsidRPr="00BB73C5" w:rsidRDefault="003C0AC4" w:rsidP="003C0AC4">
      <w:pPr>
        <w:spacing w:after="0" w:line="240" w:lineRule="auto"/>
        <w:jc w:val="both"/>
        <w:rPr>
          <w:rFonts w:ascii="Verdana" w:hAnsi="Verdana" w:cs="Arial"/>
          <w:b/>
          <w:lang w:val="es-MX"/>
        </w:rPr>
      </w:pPr>
    </w:p>
    <w:p w14:paraId="1735FC38" w14:textId="77777777" w:rsidR="003C0AC4" w:rsidRPr="00BB73C5" w:rsidRDefault="003C0AC4" w:rsidP="003C0AC4">
      <w:pPr>
        <w:spacing w:after="0" w:line="240" w:lineRule="auto"/>
        <w:jc w:val="both"/>
        <w:rPr>
          <w:rFonts w:ascii="Verdana" w:hAnsi="Verdana" w:cs="Arial"/>
          <w:b/>
          <w:lang w:val="es-MX"/>
        </w:rPr>
      </w:pPr>
      <w:r w:rsidRPr="00BB73C5">
        <w:rPr>
          <w:rFonts w:ascii="Verdana" w:hAnsi="Verdana" w:cs="Arial"/>
          <w:b/>
          <w:lang w:val="es-MX"/>
        </w:rPr>
        <w:t xml:space="preserve">INHABILIDADES E INCOMPATIBILIDADES - Finalidad ─ Limitación capacidad contractual </w:t>
      </w:r>
    </w:p>
    <w:p w14:paraId="0D19AB3E" w14:textId="77777777" w:rsidR="003C0AC4" w:rsidRDefault="003C0AC4" w:rsidP="003C0AC4">
      <w:pPr>
        <w:spacing w:after="0" w:line="240" w:lineRule="auto"/>
        <w:jc w:val="both"/>
        <w:rPr>
          <w:rFonts w:ascii="Verdana" w:hAnsi="Verdana" w:cs="Arial"/>
          <w:b/>
          <w:lang w:val="es-MX"/>
        </w:rPr>
      </w:pPr>
    </w:p>
    <w:p w14:paraId="2CCB1429" w14:textId="77777777" w:rsidR="003C0AC4" w:rsidRPr="00B23D14" w:rsidRDefault="003C0AC4" w:rsidP="003C0AC4">
      <w:pPr>
        <w:spacing w:after="0" w:line="240" w:lineRule="auto"/>
        <w:jc w:val="both"/>
        <w:rPr>
          <w:rFonts w:ascii="Verdana" w:eastAsia="Calibri" w:hAnsi="Verdana" w:cs="Arial"/>
          <w:sz w:val="20"/>
          <w:lang w:val="es-MX"/>
        </w:rPr>
      </w:pPr>
      <w:r w:rsidRPr="00B23D14">
        <w:rPr>
          <w:rFonts w:ascii="Verdana" w:eastAsia="Calibri" w:hAnsi="Verdana" w:cs="Arial"/>
          <w:sz w:val="20"/>
          <w:lang w:val="es-MX"/>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05D129F0" w14:textId="77777777" w:rsidR="003C0AC4" w:rsidRPr="00BB73C5" w:rsidRDefault="003C0AC4" w:rsidP="003C0AC4">
      <w:pPr>
        <w:spacing w:after="0" w:line="240" w:lineRule="auto"/>
        <w:jc w:val="both"/>
        <w:rPr>
          <w:rFonts w:ascii="Verdana" w:hAnsi="Verdana" w:cs="Arial"/>
          <w:b/>
          <w:lang w:val="es-MX"/>
        </w:rPr>
      </w:pPr>
    </w:p>
    <w:p w14:paraId="444282C7" w14:textId="77777777" w:rsidR="003C0AC4" w:rsidRPr="00BB73C5" w:rsidRDefault="003C0AC4" w:rsidP="003C0AC4">
      <w:pPr>
        <w:spacing w:after="0" w:line="240" w:lineRule="auto"/>
        <w:jc w:val="both"/>
        <w:rPr>
          <w:rFonts w:ascii="Verdana" w:hAnsi="Verdana" w:cs="Arial"/>
          <w:b/>
          <w:lang w:val="es-ES_tradnl"/>
        </w:rPr>
      </w:pPr>
      <w:r w:rsidRPr="00BB73C5">
        <w:rPr>
          <w:rFonts w:ascii="Verdana" w:hAnsi="Verdana" w:cs="Arial"/>
          <w:b/>
          <w:lang w:val="es-ES_tradnl"/>
        </w:rPr>
        <w:t>INHABILIDADES – Taxatividad – Principio de legalidad – Interpretación restrictiva</w:t>
      </w:r>
      <w:r w:rsidRPr="00BB73C5" w:rsidDel="00A75E55">
        <w:rPr>
          <w:rFonts w:ascii="Verdana" w:hAnsi="Verdana" w:cs="Arial"/>
          <w:b/>
          <w:lang w:val="es-ES_tradnl"/>
        </w:rPr>
        <w:t xml:space="preserve"> </w:t>
      </w:r>
    </w:p>
    <w:p w14:paraId="469FD4AC" w14:textId="77777777" w:rsidR="003C0AC4" w:rsidRDefault="003C0AC4" w:rsidP="003C0AC4">
      <w:pPr>
        <w:spacing w:after="0" w:line="240" w:lineRule="auto"/>
        <w:jc w:val="both"/>
        <w:rPr>
          <w:rFonts w:ascii="Verdana" w:hAnsi="Verdana" w:cs="Arial"/>
          <w:b/>
          <w:lang w:val="es-ES_tradnl"/>
        </w:rPr>
      </w:pPr>
    </w:p>
    <w:p w14:paraId="7CAEB627" w14:textId="77777777" w:rsidR="003C0AC4" w:rsidRDefault="003C0AC4" w:rsidP="003C0AC4">
      <w:pPr>
        <w:spacing w:after="0" w:line="240" w:lineRule="auto"/>
        <w:jc w:val="both"/>
        <w:rPr>
          <w:rFonts w:ascii="Verdana" w:hAnsi="Verdana" w:cs="Arial"/>
          <w:sz w:val="20"/>
          <w:lang w:val="es-ES_tradnl"/>
        </w:rPr>
      </w:pPr>
      <w:r w:rsidRPr="00B23D14">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B23D14">
        <w:rPr>
          <w:rFonts w:ascii="Verdana" w:hAnsi="Verdana" w:cs="Arial"/>
          <w:i/>
          <w:iCs/>
          <w:sz w:val="20"/>
          <w:lang w:val="es-ES_tradnl"/>
        </w:rPr>
        <w:t xml:space="preserve">restrictiva, </w:t>
      </w:r>
      <w:r w:rsidRPr="00B23D14">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558EF70B" w14:textId="77777777" w:rsidR="003C0AC4" w:rsidRPr="00B23D14" w:rsidRDefault="003C0AC4" w:rsidP="003C0AC4">
      <w:pPr>
        <w:spacing w:after="0" w:line="240" w:lineRule="auto"/>
        <w:jc w:val="both"/>
        <w:rPr>
          <w:rFonts w:ascii="Verdana" w:hAnsi="Verdana" w:cs="Arial"/>
          <w:sz w:val="20"/>
          <w:lang w:val="es-ES_tradnl"/>
        </w:rPr>
      </w:pPr>
    </w:p>
    <w:p w14:paraId="68A84B04" w14:textId="77777777" w:rsidR="003C0AC4" w:rsidRDefault="003C0AC4" w:rsidP="003C0AC4">
      <w:pPr>
        <w:spacing w:after="0" w:line="240" w:lineRule="auto"/>
        <w:jc w:val="both"/>
        <w:rPr>
          <w:rFonts w:ascii="Verdana" w:hAnsi="Verdana" w:cs="Arial"/>
          <w:sz w:val="20"/>
          <w:lang w:val="es-ES_tradnl"/>
        </w:rPr>
      </w:pPr>
      <w:r w:rsidRPr="00B23D14">
        <w:rPr>
          <w:rFonts w:ascii="Verdana" w:hAnsi="Verdana" w:cs="Arial"/>
          <w:sz w:val="20"/>
          <w:lang w:val="es-ES_tradnl"/>
        </w:rPr>
        <w:t xml:space="preserve">En efecto, el máximo tribunal constitucional ha indicado, al tratar de precisar el sentido de este tipo de normas, que “[…] el intérprete de las disposiciones legislativas en la </w:t>
      </w:r>
      <w:r w:rsidRPr="00B23D14">
        <w:rPr>
          <w:rFonts w:ascii="Verdana" w:hAnsi="Verdana" w:cs="Arial"/>
          <w:sz w:val="20"/>
          <w:lang w:val="es-ES_tradnl"/>
        </w:rPr>
        <w:lastRenderedPageBreak/>
        <w:t>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hAnsi="Verdana" w:cs="Arial"/>
          <w:sz w:val="20"/>
          <w:lang w:val="es-ES_tradnl"/>
        </w:rPr>
        <w:t>.</w:t>
      </w:r>
    </w:p>
    <w:p w14:paraId="3E0729BF" w14:textId="77777777" w:rsidR="003C0AC4" w:rsidRDefault="003C0AC4" w:rsidP="00D81E8E">
      <w:pPr>
        <w:spacing w:after="0"/>
        <w:rPr>
          <w:rFonts w:ascii="Verdana" w:hAnsi="Verdana"/>
          <w:lang w:val="es-ES_tradnl"/>
        </w:rPr>
      </w:pPr>
    </w:p>
    <w:p w14:paraId="0F6C5FEC" w14:textId="77777777" w:rsidR="003C0AC4" w:rsidRPr="00F30327" w:rsidRDefault="003C0AC4" w:rsidP="00F30327">
      <w:pPr>
        <w:spacing w:after="0" w:line="240" w:lineRule="auto"/>
        <w:jc w:val="both"/>
        <w:rPr>
          <w:rFonts w:ascii="Verdana" w:hAnsi="Verdana" w:cs="Arial"/>
          <w:b/>
          <w:color w:val="000000" w:themeColor="text1"/>
          <w:lang w:val="es-ES" w:eastAsia="es-ES"/>
        </w:rPr>
      </w:pPr>
      <w:r w:rsidRPr="00F30327">
        <w:rPr>
          <w:rFonts w:ascii="Verdana" w:hAnsi="Verdana" w:cs="Arial"/>
          <w:b/>
          <w:lang w:val="es-ES" w:eastAsia="es-ES"/>
        </w:rPr>
        <w:t xml:space="preserve">CONSORCIOS Y UNIONES TEMPORALES – Capacidad para contratar – Participación en varios procesos </w:t>
      </w:r>
    </w:p>
    <w:p w14:paraId="35A7FFF6" w14:textId="1DEE3D72" w:rsidR="003C0AC4" w:rsidRDefault="003C0AC4" w:rsidP="00F30327">
      <w:pPr>
        <w:spacing w:after="0" w:line="240" w:lineRule="auto"/>
        <w:jc w:val="both"/>
        <w:rPr>
          <w:rFonts w:ascii="Verdana" w:hAnsi="Verdana" w:cs="Arial"/>
          <w:color w:val="000000" w:themeColor="text1"/>
          <w:lang w:val="es-ES" w:eastAsia="es-ES"/>
        </w:rPr>
      </w:pPr>
    </w:p>
    <w:p w14:paraId="5403B3A7" w14:textId="77777777" w:rsidR="00F30327" w:rsidRPr="00F30327" w:rsidRDefault="00F30327" w:rsidP="00F30327">
      <w:pPr>
        <w:spacing w:after="0" w:line="240" w:lineRule="auto"/>
        <w:jc w:val="both"/>
        <w:rPr>
          <w:rFonts w:ascii="Verdana" w:hAnsi="Verdana" w:cs="Arial"/>
          <w:color w:val="000000" w:themeColor="text1"/>
          <w:sz w:val="20"/>
        </w:rPr>
      </w:pPr>
      <w:r w:rsidRPr="00F30327">
        <w:rPr>
          <w:rFonts w:ascii="Verdana" w:hAnsi="Verdana" w:cs="Arial"/>
          <w:color w:val="000000" w:themeColor="text1"/>
          <w:sz w:val="20"/>
        </w:rPr>
        <w:t xml:space="preserve">En este contexto, se aclara que </w:t>
      </w:r>
      <w:r w:rsidRPr="00F30327">
        <w:rPr>
          <w:rFonts w:ascii="Verdana" w:hAnsi="Verdana" w:cs="Arial"/>
          <w:sz w:val="20"/>
          <w:szCs w:val="24"/>
          <w:lang w:eastAsia="es-ES_tradnl"/>
        </w:rPr>
        <w:t xml:space="preserve">esta Subdirección en el Concepto CU-636 del 2 de julio de 2025 unifica la línea doctrinal en este tema, reiterando la posición expuesta en los conceptos </w:t>
      </w:r>
      <w:r w:rsidRPr="00F30327">
        <w:rPr>
          <w:rFonts w:ascii="Verdana" w:hAnsi="Verdana" w:cs="Arial"/>
          <w:color w:val="000000" w:themeColor="text1"/>
          <w:sz w:val="20"/>
        </w:rPr>
        <w:t xml:space="preserve">C-727 del 28 de octubre de 2024, C-016 del 11 de febrero de 2025, C-046 del 30 de enero de 2025, C-226 del 26 de marzo de 2025 y C-295 del 15 de abril de 2025, en el sentido de indicar que </w:t>
      </w:r>
      <w:r w:rsidRPr="00F30327">
        <w:rPr>
          <w:rFonts w:ascii="Verdana" w:hAnsi="Verdana" w:cs="Arial"/>
          <w:sz w:val="20"/>
          <w:szCs w:val="24"/>
          <w:lang w:eastAsia="es-ES_tradnl"/>
        </w:rPr>
        <w:t xml:space="preserve">es </w:t>
      </w:r>
      <w:r w:rsidRPr="00F30327">
        <w:rPr>
          <w:rFonts w:ascii="Verdana" w:hAnsi="Verdana" w:cs="Arial"/>
          <w:color w:val="000000" w:themeColor="text1"/>
          <w:sz w:val="20"/>
        </w:rPr>
        <w:t xml:space="preserve">jurídicamente viable que los proponentes plurales presenten propuestas para la adjudicación, celebración y ejecución de contratos estatales con </w:t>
      </w:r>
      <w:r w:rsidRPr="00F30327">
        <w:rPr>
          <w:rFonts w:ascii="Verdana" w:hAnsi="Verdana" w:cs="Arial"/>
          <w:i/>
          <w:iCs/>
          <w:color w:val="000000" w:themeColor="text1"/>
          <w:sz w:val="20"/>
        </w:rPr>
        <w:t>una o varias</w:t>
      </w:r>
      <w:r w:rsidRPr="00F30327">
        <w:rPr>
          <w:rFonts w:ascii="Verdana" w:hAnsi="Verdana" w:cs="Arial"/>
          <w:color w:val="000000" w:themeColor="text1"/>
          <w:sz w:val="20"/>
        </w:rPr>
        <w:t xml:space="preserve"> entidades, lo anterior, en concordancia con el cumplimiento de los supuestos previamente descritos. En ese orden, las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w:t>
      </w:r>
    </w:p>
    <w:p w14:paraId="662C2F50" w14:textId="77777777" w:rsidR="00F30327" w:rsidRDefault="00F30327" w:rsidP="00F30327">
      <w:pPr>
        <w:spacing w:after="0" w:line="240" w:lineRule="auto"/>
        <w:jc w:val="both"/>
        <w:rPr>
          <w:rFonts w:ascii="Verdana" w:eastAsia="Calibri" w:hAnsi="Verdana" w:cs="Arial"/>
          <w:sz w:val="20"/>
        </w:rPr>
      </w:pPr>
    </w:p>
    <w:p w14:paraId="2D0FF48C" w14:textId="3DBF1241" w:rsidR="00F30327" w:rsidRPr="00F30327" w:rsidRDefault="00F30327" w:rsidP="00F30327">
      <w:pPr>
        <w:spacing w:after="0" w:line="240" w:lineRule="auto"/>
        <w:jc w:val="both"/>
        <w:rPr>
          <w:rFonts w:ascii="Verdana" w:eastAsia="Calibri" w:hAnsi="Verdana" w:cs="Arial"/>
          <w:sz w:val="20"/>
        </w:rPr>
      </w:pPr>
      <w:r w:rsidRPr="00F30327">
        <w:rPr>
          <w:rFonts w:ascii="Verdana" w:eastAsia="Calibri" w:hAnsi="Verdana" w:cs="Arial"/>
          <w:sz w:val="20"/>
        </w:rPr>
        <w:t xml:space="preserve">Esta interpretación es la que más se ajusta al contenido de </w:t>
      </w:r>
      <w:r w:rsidRPr="00F30327">
        <w:rPr>
          <w:rFonts w:ascii="Verdana" w:hAnsi="Verdana" w:cs="Arial"/>
          <w:color w:val="000000" w:themeColor="text1"/>
          <w:sz w:val="20"/>
        </w:rPr>
        <w:t>los numerales 6 y 7 del artículo 7 de la Ley 80 de 1993</w:t>
      </w:r>
      <w:r w:rsidRPr="00F30327">
        <w:rPr>
          <w:rFonts w:ascii="Verdana" w:eastAsia="Calibri" w:hAnsi="Verdana" w:cs="Arial"/>
          <w:sz w:val="20"/>
        </w:rPr>
        <w:t>, en la medida en que en estos no se establece ninguna limitación respecto al número de contratos en los que un consorcio o unión temporal puede participar. Lo anterior, en armonía con la libertad de asociación de los consorcios y uniones temporales que permite que estos puedan organizarse libremente y acordar participar en más de un proceso contractual, mientras cumplan los requisitos legales. Aceptar la tesis contraría, implicaría aplicar una limitación de su participación restringiendo sin sustento legal su libertad de asociación y contratación.</w:t>
      </w:r>
    </w:p>
    <w:p w14:paraId="57B7F004" w14:textId="77777777" w:rsidR="00F30327" w:rsidRPr="00F30327" w:rsidRDefault="00F30327" w:rsidP="00F30327">
      <w:pPr>
        <w:spacing w:after="0" w:line="240" w:lineRule="auto"/>
        <w:jc w:val="both"/>
        <w:rPr>
          <w:rFonts w:ascii="Verdana" w:hAnsi="Verdana" w:cs="Arial"/>
          <w:color w:val="000000" w:themeColor="text1"/>
          <w:lang w:eastAsia="es-ES"/>
        </w:rPr>
      </w:pPr>
    </w:p>
    <w:p w14:paraId="4191169D" w14:textId="59567CB3" w:rsidR="003C0AC4" w:rsidRPr="00F30327" w:rsidRDefault="003C0AC4" w:rsidP="003C0AC4">
      <w:pPr>
        <w:spacing w:after="0"/>
        <w:jc w:val="both"/>
        <w:rPr>
          <w:rFonts w:ascii="Verdana" w:hAnsi="Verdana" w:cs="Arial"/>
          <w:b/>
          <w:color w:val="000000" w:themeColor="text1"/>
          <w:lang w:val="es-ES" w:eastAsia="es-ES"/>
        </w:rPr>
      </w:pPr>
      <w:r w:rsidRPr="00F30327">
        <w:rPr>
          <w:rFonts w:ascii="Verdana" w:hAnsi="Verdana" w:cs="Arial"/>
          <w:b/>
          <w:color w:val="000000" w:themeColor="text1"/>
          <w:lang w:val="es-ES" w:eastAsia="es-ES"/>
        </w:rPr>
        <w:t xml:space="preserve">CAUSALES DE RECHAZO – Alcance </w:t>
      </w:r>
    </w:p>
    <w:p w14:paraId="74F2D3AA" w14:textId="6B5C2C36" w:rsidR="003C0AC4" w:rsidRDefault="003C0AC4" w:rsidP="003C0AC4">
      <w:pPr>
        <w:spacing w:after="0"/>
        <w:jc w:val="both"/>
        <w:rPr>
          <w:rFonts w:ascii="Verdana" w:hAnsi="Verdana" w:cs="Arial"/>
          <w:b/>
          <w:color w:val="000000" w:themeColor="text1"/>
          <w:lang w:val="es-ES" w:eastAsia="es-ES"/>
        </w:rPr>
      </w:pPr>
    </w:p>
    <w:p w14:paraId="33873F16" w14:textId="77777777" w:rsidR="00F30327" w:rsidRPr="00F30327" w:rsidRDefault="00F30327" w:rsidP="00F30327">
      <w:pPr>
        <w:spacing w:after="0"/>
        <w:jc w:val="both"/>
        <w:rPr>
          <w:rFonts w:ascii="Verdana" w:hAnsi="Verdana" w:cs="Arial"/>
          <w:color w:val="000000" w:themeColor="text1"/>
          <w:sz w:val="20"/>
          <w:szCs w:val="20"/>
          <w:lang w:val="es-ES" w:eastAsia="es-ES"/>
        </w:rPr>
      </w:pPr>
      <w:r w:rsidRPr="00F30327">
        <w:rPr>
          <w:rFonts w:ascii="Verdana" w:hAnsi="Verdana" w:cs="Arial"/>
          <w:color w:val="000000" w:themeColor="text1"/>
          <w:sz w:val="20"/>
          <w:szCs w:val="20"/>
          <w:lang w:val="es-ES" w:eastAsia="es-E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4A1903EF" w14:textId="77777777" w:rsidR="00F30327" w:rsidRPr="003C0AC4" w:rsidRDefault="00F30327" w:rsidP="003C0AC4">
      <w:pPr>
        <w:spacing w:after="0"/>
        <w:jc w:val="both"/>
        <w:rPr>
          <w:rFonts w:ascii="Verdana" w:hAnsi="Verdana" w:cs="Arial"/>
          <w:b/>
          <w:color w:val="000000" w:themeColor="text1"/>
          <w:lang w:val="es-ES" w:eastAsia="es-ES"/>
        </w:rPr>
      </w:pPr>
    </w:p>
    <w:p w14:paraId="2DE67A77" w14:textId="17C999A0" w:rsidR="003C0AC4" w:rsidRPr="003C0AC4" w:rsidRDefault="003C0AC4" w:rsidP="003C0AC4">
      <w:pPr>
        <w:spacing w:after="0"/>
        <w:jc w:val="both"/>
        <w:rPr>
          <w:rFonts w:ascii="Verdana" w:hAnsi="Verdana" w:cs="Arial"/>
          <w:b/>
          <w:color w:val="000000" w:themeColor="text1"/>
          <w:lang w:val="es-ES" w:eastAsia="es-ES"/>
        </w:rPr>
      </w:pPr>
      <w:r w:rsidRPr="003C0AC4">
        <w:rPr>
          <w:rFonts w:ascii="Verdana" w:hAnsi="Verdana" w:cs="Arial"/>
          <w:b/>
          <w:color w:val="000000" w:themeColor="text1"/>
          <w:lang w:val="es-ES" w:eastAsia="es-ES"/>
        </w:rPr>
        <w:t xml:space="preserve">CAUSALES DE RECHAZO –Prácticas anticompetitivas –colusión – pliegos de condiciones – miembros de proponentes plurales – proceso de contratación.  </w:t>
      </w:r>
    </w:p>
    <w:p w14:paraId="0A346A0A" w14:textId="20F9F1B1" w:rsidR="003C0AC4" w:rsidRDefault="003C0AC4" w:rsidP="00D81E8E">
      <w:pPr>
        <w:spacing w:after="0"/>
        <w:rPr>
          <w:rFonts w:ascii="Verdana" w:hAnsi="Verdana" w:cs="Arial"/>
          <w:color w:val="000000" w:themeColor="text1"/>
          <w:lang w:val="es-ES" w:eastAsia="es-ES"/>
        </w:rPr>
      </w:pPr>
    </w:p>
    <w:p w14:paraId="4DC12C2A" w14:textId="6070DC5B" w:rsidR="003C0AC4" w:rsidRDefault="003C0AC4" w:rsidP="003C0AC4">
      <w:pPr>
        <w:spacing w:after="0" w:line="240" w:lineRule="auto"/>
        <w:jc w:val="both"/>
        <w:rPr>
          <w:rFonts w:ascii="Verdana" w:hAnsi="Verdana"/>
          <w:bCs/>
          <w:sz w:val="20"/>
          <w:szCs w:val="20"/>
        </w:rPr>
      </w:pPr>
      <w:r w:rsidRPr="003C0AC4">
        <w:rPr>
          <w:rFonts w:ascii="Verdana" w:hAnsi="Verdana"/>
          <w:bCs/>
          <w:sz w:val="20"/>
          <w:szCs w:val="20"/>
        </w:rPr>
        <w:t xml:space="preserve">En este escenario, la persona natural o jurídica que actúa como miembro un proponente plural –consorcio o unión temporal- podría afectar el proceso de contratación mediante conductas colusorias, teniendo en cuenta algunos aspectos: i) la capacidad de influir en las decisiones, favoreciendo a uno de estos en desmedro de los demás; </w:t>
      </w:r>
      <w:proofErr w:type="spellStart"/>
      <w:r w:rsidRPr="003C0AC4">
        <w:rPr>
          <w:rFonts w:ascii="Verdana" w:hAnsi="Verdana"/>
          <w:bCs/>
          <w:sz w:val="20"/>
          <w:szCs w:val="20"/>
        </w:rPr>
        <w:t>ii</w:t>
      </w:r>
      <w:proofErr w:type="spellEnd"/>
      <w:r w:rsidRPr="003C0AC4">
        <w:rPr>
          <w:rFonts w:ascii="Verdana" w:hAnsi="Verdana"/>
          <w:bCs/>
          <w:sz w:val="20"/>
          <w:szCs w:val="20"/>
        </w:rPr>
        <w:t xml:space="preserve">) la limitación </w:t>
      </w:r>
      <w:r w:rsidRPr="003C0AC4">
        <w:rPr>
          <w:rFonts w:ascii="Verdana" w:hAnsi="Verdana"/>
          <w:bCs/>
          <w:sz w:val="20"/>
          <w:szCs w:val="20"/>
        </w:rPr>
        <w:lastRenderedPageBreak/>
        <w:t xml:space="preserve">de la competencia, en el sentido que puede reducir la cantidad de proponentes u oferentes independientes, lo cual puede implicar una disminución en las ofertas que se presenten; </w:t>
      </w:r>
      <w:proofErr w:type="spellStart"/>
      <w:r w:rsidRPr="003C0AC4">
        <w:rPr>
          <w:rFonts w:ascii="Verdana" w:hAnsi="Verdana"/>
          <w:bCs/>
          <w:sz w:val="20"/>
          <w:szCs w:val="20"/>
        </w:rPr>
        <w:t>iii</w:t>
      </w:r>
      <w:proofErr w:type="spellEnd"/>
      <w:r w:rsidRPr="003C0AC4">
        <w:rPr>
          <w:rFonts w:ascii="Verdana" w:hAnsi="Verdana"/>
          <w:bCs/>
          <w:sz w:val="20"/>
          <w:szCs w:val="20"/>
        </w:rPr>
        <w:t xml:space="preserve">) demás conductas que le permitan tener una ventaja como miembro de los proponentes plurales. </w:t>
      </w:r>
    </w:p>
    <w:p w14:paraId="64C27E66" w14:textId="77777777" w:rsidR="003C0AC4" w:rsidRPr="003C0AC4" w:rsidRDefault="003C0AC4" w:rsidP="003C0AC4">
      <w:pPr>
        <w:spacing w:after="0" w:line="240" w:lineRule="auto"/>
        <w:jc w:val="both"/>
        <w:rPr>
          <w:rFonts w:ascii="Verdana" w:hAnsi="Verdana"/>
          <w:bCs/>
          <w:sz w:val="20"/>
          <w:szCs w:val="20"/>
        </w:rPr>
      </w:pPr>
    </w:p>
    <w:p w14:paraId="6E6248FC" w14:textId="7F44CA64" w:rsidR="003C0AC4" w:rsidRPr="003C0AC4" w:rsidRDefault="003C0AC4" w:rsidP="003C0AC4">
      <w:pPr>
        <w:spacing w:after="0" w:line="240" w:lineRule="auto"/>
        <w:jc w:val="both"/>
        <w:rPr>
          <w:rFonts w:ascii="Verdana" w:hAnsi="Verdana"/>
          <w:bCs/>
          <w:i/>
          <w:iCs/>
          <w:sz w:val="20"/>
          <w:szCs w:val="20"/>
        </w:rPr>
      </w:pPr>
      <w:r w:rsidRPr="003C0AC4">
        <w:rPr>
          <w:rFonts w:ascii="Verdana" w:hAnsi="Verdana"/>
          <w:bCs/>
          <w:sz w:val="20"/>
          <w:szCs w:val="20"/>
        </w:rPr>
        <w:t xml:space="preserve">A modo de ejemplo, se destaca una de las causales de rechazo de los Documentos Tipo expedidos por esta Agencia, que incluye en el numeral 1.15, literal b, que indica: </w:t>
      </w:r>
      <w:r w:rsidRPr="003C0AC4">
        <w:rPr>
          <w:rFonts w:ascii="Verdana" w:hAnsi="Verdana"/>
          <w:bCs/>
          <w:i/>
          <w:iCs/>
          <w:sz w:val="20"/>
          <w:szCs w:val="20"/>
        </w:rPr>
        <w:t>“</w:t>
      </w:r>
      <w:r w:rsidRPr="003C0AC4">
        <w:rPr>
          <w:rFonts w:ascii="Verdana" w:hAnsi="Verdana"/>
          <w:bCs/>
          <w:iCs/>
          <w:sz w:val="20"/>
          <w:szCs w:val="20"/>
          <w:lang w:val="es-MX"/>
        </w:rPr>
        <w:t>[…]</w:t>
      </w:r>
      <w:r w:rsidRPr="003C0AC4">
        <w:rPr>
          <w:rFonts w:ascii="Verdana" w:hAnsi="Verdana"/>
          <w:bCs/>
          <w:i/>
          <w:iCs/>
          <w:sz w:val="20"/>
          <w:szCs w:val="20"/>
        </w:rPr>
        <w:t xml:space="preserve"> </w:t>
      </w:r>
      <w:r w:rsidRPr="003C0AC4">
        <w:rPr>
          <w:rFonts w:ascii="Verdana" w:hAnsi="Verdana"/>
          <w:bCs/>
          <w:iCs/>
          <w:sz w:val="20"/>
          <w:szCs w:val="20"/>
        </w:rPr>
        <w:t xml:space="preserve">b. </w:t>
      </w:r>
      <w:r w:rsidRPr="003C0AC4">
        <w:rPr>
          <w:rFonts w:ascii="Verdana" w:hAnsi="Verdana"/>
          <w:bCs/>
          <w:iCs/>
          <w:sz w:val="20"/>
          <w:szCs w:val="20"/>
          <w:lang w:val="es-MX"/>
        </w:rPr>
        <w:t>Cuando una misma persona natural o jurídica, o integrante de un proponente plural presente o haga parte en más de una propuesta para el presente Proceso de Contratación.</w:t>
      </w:r>
      <w:r w:rsidRPr="003C0AC4">
        <w:rPr>
          <w:rFonts w:ascii="Verdana" w:hAnsi="Verdana"/>
          <w:bCs/>
          <w:i/>
          <w:iCs/>
          <w:sz w:val="20"/>
          <w:szCs w:val="20"/>
          <w:lang w:val="es-MX"/>
        </w:rPr>
        <w:t xml:space="preserve"> </w:t>
      </w:r>
      <w:r w:rsidRPr="003C0AC4">
        <w:rPr>
          <w:rFonts w:ascii="Verdana" w:hAnsi="Verdana"/>
          <w:bCs/>
          <w:iCs/>
          <w:sz w:val="20"/>
          <w:szCs w:val="20"/>
          <w:lang w:val="es-MX"/>
        </w:rPr>
        <w:t xml:space="preserve">[Reemplazar el texto anterior por el siguiente, cuando el proceso es estructurado por lotes o segmentos: Cuando una misma persona natural o jurídica, o integrante de un proponente plural presente o haga parte en más de una propuesta para el mismo lote o segmento del presente Proceso de Contratación] </w:t>
      </w:r>
    </w:p>
    <w:p w14:paraId="4B96E5E8" w14:textId="77777777" w:rsidR="003C0AC4" w:rsidRPr="003C0AC4" w:rsidRDefault="003C0AC4" w:rsidP="003C0AC4">
      <w:pPr>
        <w:spacing w:after="0" w:line="240" w:lineRule="auto"/>
        <w:jc w:val="both"/>
        <w:rPr>
          <w:rFonts w:ascii="Verdana" w:hAnsi="Verdana"/>
          <w:b/>
          <w:bCs/>
          <w:i/>
          <w:iCs/>
          <w:sz w:val="20"/>
          <w:szCs w:val="20"/>
          <w:lang w:val="es-MX"/>
        </w:rPr>
      </w:pPr>
    </w:p>
    <w:p w14:paraId="76FEC095" w14:textId="07592028" w:rsidR="003C0AC4" w:rsidRDefault="003C0AC4" w:rsidP="003C0AC4">
      <w:pPr>
        <w:spacing w:after="0" w:line="240" w:lineRule="auto"/>
        <w:jc w:val="both"/>
        <w:rPr>
          <w:rFonts w:ascii="Verdana" w:hAnsi="Verdana"/>
          <w:bCs/>
          <w:i/>
          <w:iCs/>
          <w:sz w:val="20"/>
          <w:szCs w:val="20"/>
        </w:rPr>
      </w:pPr>
      <w:r w:rsidRPr="003C0AC4">
        <w:rPr>
          <w:rFonts w:ascii="Verdana" w:hAnsi="Verdana"/>
          <w:bCs/>
          <w:iCs/>
          <w:sz w:val="20"/>
          <w:szCs w:val="20"/>
          <w:lang w:val="es-ES_tradnl"/>
        </w:rPr>
        <w:t xml:space="preserve">En esta causal se regulan dos (2) supuestos: i) en los procesos se rechazará la oferta si la misma persona presenta o hace parte en más de una propuesta y </w:t>
      </w:r>
      <w:proofErr w:type="spellStart"/>
      <w:r w:rsidRPr="003C0AC4">
        <w:rPr>
          <w:rFonts w:ascii="Verdana" w:hAnsi="Verdana"/>
          <w:bCs/>
          <w:iCs/>
          <w:sz w:val="20"/>
          <w:szCs w:val="20"/>
          <w:lang w:val="es-ES_tradnl"/>
        </w:rPr>
        <w:t>ii</w:t>
      </w:r>
      <w:proofErr w:type="spellEnd"/>
      <w:r w:rsidRPr="003C0AC4">
        <w:rPr>
          <w:rFonts w:ascii="Verdana" w:hAnsi="Verdana"/>
          <w:bCs/>
          <w:iCs/>
          <w:sz w:val="20"/>
          <w:szCs w:val="20"/>
          <w:lang w:val="es-ES_tradnl"/>
        </w:rPr>
        <w:t xml:space="preserve">) en los procesos estructurados por lote se rechazará la oferta si se presentan oferentes para un mismo lote o grupo. El único supuesto dirigido a los procesos estructurados por lotes es el segundo, mientras que el primero procederá en aquellos procesos que no estén estructurados por lotes. </w:t>
      </w:r>
      <w:r w:rsidRPr="003C0AC4">
        <w:rPr>
          <w:rFonts w:ascii="Verdana" w:hAnsi="Verdana"/>
          <w:bCs/>
          <w:iCs/>
          <w:sz w:val="20"/>
          <w:szCs w:val="20"/>
        </w:rPr>
        <w:t>De este modo, con esta prohibición, lo que se busca es garantizar la imparcialidad y competencia leal, y así evitar conflictos de interés o ventajas indebidas.</w:t>
      </w:r>
      <w:r w:rsidRPr="003C0AC4">
        <w:rPr>
          <w:rFonts w:ascii="Verdana" w:hAnsi="Verdana"/>
          <w:bCs/>
          <w:i/>
          <w:iCs/>
          <w:sz w:val="20"/>
          <w:szCs w:val="20"/>
        </w:rPr>
        <w:t xml:space="preserve"> </w:t>
      </w:r>
    </w:p>
    <w:p w14:paraId="2601CCA3" w14:textId="77777777" w:rsidR="00F30327" w:rsidRDefault="00F30327" w:rsidP="00F30327">
      <w:pPr>
        <w:spacing w:after="0" w:line="240" w:lineRule="auto"/>
        <w:jc w:val="both"/>
        <w:rPr>
          <w:rFonts w:ascii="Verdana" w:hAnsi="Verdana"/>
          <w:bCs/>
          <w:iCs/>
          <w:sz w:val="20"/>
          <w:szCs w:val="20"/>
        </w:rPr>
      </w:pPr>
    </w:p>
    <w:p w14:paraId="03622E9D" w14:textId="7E372E8D" w:rsidR="00F30327" w:rsidRPr="00F30327" w:rsidRDefault="00F30327" w:rsidP="00F30327">
      <w:pPr>
        <w:spacing w:after="0" w:line="240" w:lineRule="auto"/>
        <w:jc w:val="both"/>
        <w:rPr>
          <w:rFonts w:ascii="Verdana" w:hAnsi="Verdana"/>
          <w:bCs/>
          <w:iCs/>
          <w:sz w:val="20"/>
          <w:szCs w:val="20"/>
          <w:lang w:val="es-ES"/>
        </w:rPr>
      </w:pPr>
      <w:r w:rsidRPr="00F30327">
        <w:rPr>
          <w:rFonts w:ascii="Verdana" w:hAnsi="Verdana"/>
          <w:bCs/>
          <w:iCs/>
          <w:sz w:val="20"/>
          <w:szCs w:val="20"/>
          <w:lang w:val="es-ES"/>
        </w:rPr>
        <w:t>En ese orden de ideas, es importante evitar dentro de los procesos de contratación prácticas anticompetitivas que vulneren los principios de la contratación estatal; por lo cual, en virtud de la libre competencia y transparencia, es necesario que, en los pliegos de condiciones de cada proceso, se incluyan causales de rechazo o reglas que limiten conductas colusorias. En conclusión, aunque no existe una prohibición general para que una persona natural o jurídica sea miembros de varios consorcios o uniones temporales dentro de un mismo proceso de contratación, es necesario analizar cada caso, para determinar la procedencia de la fijación de causales de rechazo que eviten este tipo de prácticas.</w:t>
      </w:r>
    </w:p>
    <w:p w14:paraId="08E38FFD" w14:textId="77777777" w:rsidR="00F30327" w:rsidRPr="00F30327" w:rsidRDefault="00F30327" w:rsidP="003C0AC4">
      <w:pPr>
        <w:spacing w:after="0" w:line="240" w:lineRule="auto"/>
        <w:jc w:val="both"/>
        <w:rPr>
          <w:rFonts w:ascii="Verdana" w:hAnsi="Verdana"/>
          <w:bCs/>
          <w:i/>
          <w:iCs/>
          <w:sz w:val="20"/>
          <w:szCs w:val="20"/>
          <w:lang w:val="es-ES"/>
        </w:rPr>
      </w:pPr>
    </w:p>
    <w:p w14:paraId="4DB03243" w14:textId="77777777" w:rsidR="00F30327" w:rsidRDefault="00F30327" w:rsidP="00D81E8E">
      <w:pPr>
        <w:spacing w:after="0"/>
        <w:rPr>
          <w:rFonts w:ascii="Verdana" w:hAnsi="Verdana"/>
        </w:rPr>
      </w:pPr>
    </w:p>
    <w:p w14:paraId="6E8CB963" w14:textId="77777777" w:rsidR="00F30327" w:rsidRDefault="00F30327" w:rsidP="00D81E8E">
      <w:pPr>
        <w:spacing w:after="0"/>
        <w:rPr>
          <w:rFonts w:ascii="Verdana" w:hAnsi="Verdana"/>
        </w:rPr>
      </w:pPr>
    </w:p>
    <w:p w14:paraId="483F5547" w14:textId="77777777" w:rsidR="00F30327" w:rsidRDefault="00F30327" w:rsidP="00D81E8E">
      <w:pPr>
        <w:spacing w:after="0"/>
        <w:rPr>
          <w:rFonts w:ascii="Verdana" w:hAnsi="Verdana"/>
        </w:rPr>
      </w:pPr>
    </w:p>
    <w:p w14:paraId="2018AC64" w14:textId="77777777" w:rsidR="00F30327" w:rsidRDefault="00F30327" w:rsidP="00D81E8E">
      <w:pPr>
        <w:spacing w:after="0"/>
        <w:rPr>
          <w:rFonts w:ascii="Verdana" w:hAnsi="Verdana"/>
        </w:rPr>
      </w:pPr>
    </w:p>
    <w:p w14:paraId="39A1EE20" w14:textId="77777777" w:rsidR="00F30327" w:rsidRDefault="00F30327" w:rsidP="00D81E8E">
      <w:pPr>
        <w:spacing w:after="0"/>
        <w:rPr>
          <w:rFonts w:ascii="Verdana" w:hAnsi="Verdana"/>
        </w:rPr>
      </w:pPr>
    </w:p>
    <w:p w14:paraId="0EC9A09C" w14:textId="77777777" w:rsidR="00F30327" w:rsidRDefault="00F30327" w:rsidP="00D81E8E">
      <w:pPr>
        <w:spacing w:after="0"/>
        <w:rPr>
          <w:rFonts w:ascii="Verdana" w:hAnsi="Verdana"/>
        </w:rPr>
      </w:pPr>
    </w:p>
    <w:p w14:paraId="60C21E8E" w14:textId="77777777" w:rsidR="00F30327" w:rsidRDefault="00F30327" w:rsidP="00D81E8E">
      <w:pPr>
        <w:spacing w:after="0"/>
        <w:rPr>
          <w:rFonts w:ascii="Verdana" w:hAnsi="Verdana"/>
        </w:rPr>
      </w:pPr>
    </w:p>
    <w:p w14:paraId="3F55201D" w14:textId="77777777" w:rsidR="00F30327" w:rsidRDefault="00F30327" w:rsidP="00D81E8E">
      <w:pPr>
        <w:spacing w:after="0"/>
        <w:rPr>
          <w:rFonts w:ascii="Verdana" w:hAnsi="Verdana"/>
        </w:rPr>
      </w:pPr>
    </w:p>
    <w:p w14:paraId="194C02E0" w14:textId="77777777" w:rsidR="00F30327" w:rsidRDefault="00F30327" w:rsidP="00D81E8E">
      <w:pPr>
        <w:spacing w:after="0"/>
        <w:rPr>
          <w:rFonts w:ascii="Verdana" w:hAnsi="Verdana"/>
        </w:rPr>
      </w:pPr>
    </w:p>
    <w:p w14:paraId="3FDA700B" w14:textId="77777777" w:rsidR="00F30327" w:rsidRDefault="00F30327" w:rsidP="00D81E8E">
      <w:pPr>
        <w:spacing w:after="0"/>
        <w:rPr>
          <w:rFonts w:ascii="Verdana" w:hAnsi="Verdana"/>
        </w:rPr>
      </w:pPr>
    </w:p>
    <w:p w14:paraId="6D03BF0A" w14:textId="77777777" w:rsidR="00F30327" w:rsidRDefault="00F30327" w:rsidP="00D81E8E">
      <w:pPr>
        <w:spacing w:after="0"/>
        <w:rPr>
          <w:rFonts w:ascii="Verdana" w:hAnsi="Verdana"/>
        </w:rPr>
      </w:pPr>
    </w:p>
    <w:p w14:paraId="0BE0FCCF" w14:textId="77777777" w:rsidR="00F30327" w:rsidRDefault="00F30327" w:rsidP="00D81E8E">
      <w:pPr>
        <w:spacing w:after="0"/>
        <w:rPr>
          <w:rFonts w:ascii="Verdana" w:hAnsi="Verdana"/>
        </w:rPr>
      </w:pPr>
    </w:p>
    <w:p w14:paraId="2B6B8346" w14:textId="08DB0613" w:rsidR="00D81E8E" w:rsidRPr="00D81E8E" w:rsidRDefault="003C0AC4" w:rsidP="00D81E8E">
      <w:pPr>
        <w:spacing w:after="0"/>
        <w:rPr>
          <w:rFonts w:ascii="Verdana" w:hAnsi="Verdana"/>
        </w:rPr>
      </w:pPr>
      <w:r>
        <w:rPr>
          <w:rFonts w:ascii="Verdana" w:hAnsi="Verdana"/>
        </w:rPr>
        <w:lastRenderedPageBreak/>
        <w:t>Bogotá D.C., 17 de julio de 2025</w:t>
      </w:r>
      <w:r w:rsidR="00D81E8E" w:rsidRPr="00D81E8E">
        <w:rPr>
          <w:rFonts w:ascii="Verdana" w:hAnsi="Verdana"/>
        </w:rPr>
        <w:tab/>
      </w:r>
    </w:p>
    <w:p w14:paraId="5697CCDA" w14:textId="1319FAF6" w:rsidR="00D81E8E" w:rsidRPr="00D81E8E" w:rsidRDefault="003C0AC4" w:rsidP="00D81E8E">
      <w:pPr>
        <w:spacing w:after="0"/>
        <w:rPr>
          <w:rFonts w:ascii="Verdana" w:hAnsi="Verdana"/>
        </w:rPr>
      </w:pPr>
      <w:r w:rsidRPr="003C0AC4">
        <w:rPr>
          <w:rFonts w:ascii="Verdana" w:hAnsi="Verdana"/>
          <w:noProof/>
          <w:lang w:val="en-US"/>
        </w:rPr>
        <w:drawing>
          <wp:anchor distT="0" distB="0" distL="114300" distR="114300" simplePos="0" relativeHeight="251658240" behindDoc="0" locked="0" layoutInCell="1" allowOverlap="1" wp14:anchorId="4F7522E6" wp14:editId="199D1EFB">
            <wp:simplePos x="0" y="0"/>
            <wp:positionH relativeFrom="column">
              <wp:posOffset>2789555</wp:posOffset>
            </wp:positionH>
            <wp:positionV relativeFrom="paragraph">
              <wp:posOffset>27305</wp:posOffset>
            </wp:positionV>
            <wp:extent cx="2854325" cy="790575"/>
            <wp:effectExtent l="0" t="0" r="317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432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9AA6CE" w14:textId="77777777" w:rsidR="00D81E8E" w:rsidRPr="00D81E8E" w:rsidRDefault="00D81E8E" w:rsidP="00D81E8E">
      <w:pPr>
        <w:spacing w:after="0"/>
        <w:rPr>
          <w:rFonts w:ascii="Verdana" w:hAnsi="Verdana"/>
        </w:rPr>
      </w:pPr>
    </w:p>
    <w:p w14:paraId="7FFDFDFB" w14:textId="3DDFFBFA" w:rsidR="00D81E8E" w:rsidRPr="00D81E8E" w:rsidRDefault="00D81E8E" w:rsidP="00D81E8E">
      <w:pPr>
        <w:spacing w:after="0" w:line="240" w:lineRule="auto"/>
        <w:rPr>
          <w:rFonts w:ascii="Verdana" w:eastAsia="Calibri" w:hAnsi="Verdana" w:cs="Times New Roman"/>
          <w:lang w:val="es-MX"/>
        </w:rPr>
      </w:pPr>
      <w:r w:rsidRPr="00D81E8E">
        <w:rPr>
          <w:rFonts w:ascii="Verdana" w:eastAsia="Calibri" w:hAnsi="Verdana" w:cs="Times New Roman"/>
          <w:lang w:val="es-MX"/>
        </w:rPr>
        <w:t>Señora</w:t>
      </w:r>
    </w:p>
    <w:p w14:paraId="4E057B85" w14:textId="77777777" w:rsidR="00D81E8E" w:rsidRPr="00D81E8E" w:rsidRDefault="00D81E8E" w:rsidP="00D81E8E">
      <w:pPr>
        <w:spacing w:after="0" w:line="240" w:lineRule="auto"/>
        <w:rPr>
          <w:rFonts w:ascii="Verdana" w:eastAsia="Calibri" w:hAnsi="Verdana" w:cs="Times New Roman"/>
          <w:b/>
        </w:rPr>
      </w:pPr>
      <w:r w:rsidRPr="00D81E8E">
        <w:rPr>
          <w:rFonts w:ascii="Verdana" w:eastAsia="Calibri" w:hAnsi="Verdana" w:cs="Times New Roman"/>
          <w:b/>
        </w:rPr>
        <w:t>Yeimy Romero</w:t>
      </w:r>
    </w:p>
    <w:p w14:paraId="4360888A" w14:textId="10E09753" w:rsidR="00D81E8E" w:rsidRPr="00D81E8E" w:rsidRDefault="00D81E8E" w:rsidP="00D81E8E">
      <w:pPr>
        <w:spacing w:after="0" w:line="240" w:lineRule="auto"/>
        <w:rPr>
          <w:rFonts w:ascii="Verdana" w:eastAsia="Calibri" w:hAnsi="Verdana" w:cs="Times New Roman"/>
          <w:b/>
        </w:rPr>
      </w:pPr>
      <w:hyperlink r:id="rId12" w:history="1">
        <w:r w:rsidRPr="00D81E8E">
          <w:rPr>
            <w:rFonts w:ascii="Verdana" w:eastAsia="Calibri" w:hAnsi="Verdana" w:cs="Times New Roman"/>
            <w:b/>
            <w:color w:val="0000FF"/>
            <w:u w:val="single"/>
          </w:rPr>
          <w:t>yeimy.romero@hotmail.com</w:t>
        </w:r>
      </w:hyperlink>
      <w:r w:rsidRPr="00D81E8E">
        <w:rPr>
          <w:rFonts w:ascii="Verdana" w:eastAsia="Calibri" w:hAnsi="Verdana" w:cs="Times New Roman"/>
          <w:b/>
        </w:rPr>
        <w:t xml:space="preserve"> </w:t>
      </w:r>
    </w:p>
    <w:p w14:paraId="6962ED33" w14:textId="77777777" w:rsidR="00D81E8E" w:rsidRPr="00D81E8E" w:rsidRDefault="00D81E8E" w:rsidP="00D81E8E">
      <w:pPr>
        <w:spacing w:after="0" w:line="240" w:lineRule="auto"/>
        <w:rPr>
          <w:rFonts w:ascii="Verdana" w:eastAsia="Calibri" w:hAnsi="Verdana" w:cs="Times New Roman"/>
        </w:rPr>
      </w:pPr>
      <w:r w:rsidRPr="00D81E8E">
        <w:rPr>
          <w:rFonts w:ascii="Verdana" w:eastAsia="Calibri" w:hAnsi="Verdana" w:cs="Times New Roman"/>
        </w:rPr>
        <w:t xml:space="preserve">Bogotá D.C. </w:t>
      </w:r>
    </w:p>
    <w:p w14:paraId="133299EB" w14:textId="77777777" w:rsidR="00D81E8E" w:rsidRPr="00D81E8E" w:rsidRDefault="00D81E8E" w:rsidP="00D81E8E">
      <w:pPr>
        <w:spacing w:after="0" w:line="240" w:lineRule="auto"/>
        <w:rPr>
          <w:rFonts w:ascii="Verdana" w:eastAsia="Calibri" w:hAnsi="Verdana" w:cs="Times New Roman"/>
        </w:rPr>
      </w:pPr>
    </w:p>
    <w:p w14:paraId="17477E6D" w14:textId="77777777" w:rsidR="00D81E8E" w:rsidRPr="00D81E8E" w:rsidRDefault="00D81E8E" w:rsidP="00D81E8E">
      <w:pPr>
        <w:spacing w:after="0" w:line="240" w:lineRule="auto"/>
        <w:rPr>
          <w:rFonts w:ascii="Verdana" w:eastAsia="Calibri" w:hAnsi="Verdana" w:cs="Times New Roman"/>
        </w:rPr>
      </w:pPr>
    </w:p>
    <w:p w14:paraId="2CC9DBF6" w14:textId="77777777" w:rsidR="00D81E8E" w:rsidRPr="00D81E8E" w:rsidRDefault="00D81E8E" w:rsidP="00D81E8E">
      <w:pPr>
        <w:spacing w:after="0" w:line="240" w:lineRule="auto"/>
        <w:rPr>
          <w:rFonts w:ascii="Verdana" w:eastAsia="Calibri" w:hAnsi="Verdana" w:cs="Times New Roman"/>
          <w:b/>
          <w:bCs/>
          <w:lang w:val="es-ES"/>
        </w:rPr>
      </w:pPr>
      <w:r w:rsidRPr="00D81E8E">
        <w:rPr>
          <w:rFonts w:ascii="Verdana" w:eastAsia="Calibri" w:hAnsi="Verdana" w:cs="Times New Roman"/>
          <w:b/>
          <w:bCs/>
        </w:rPr>
        <w:t xml:space="preserve">                                    </w:t>
      </w:r>
      <w:r w:rsidRPr="00D81E8E">
        <w:rPr>
          <w:rFonts w:ascii="Verdana" w:eastAsia="Calibri" w:hAnsi="Verdana" w:cs="Times New Roman"/>
          <w:b/>
          <w:bCs/>
          <w:lang w:val="es-ES"/>
        </w:rPr>
        <w:t>Concepto C–732 de 2025</w:t>
      </w:r>
    </w:p>
    <w:p w14:paraId="57084754" w14:textId="77777777" w:rsidR="00D81E8E" w:rsidRPr="00D81E8E" w:rsidRDefault="00D81E8E" w:rsidP="00D81E8E">
      <w:pPr>
        <w:spacing w:after="0" w:line="240" w:lineRule="auto"/>
        <w:rPr>
          <w:rFonts w:ascii="Verdana" w:eastAsia="Calibri" w:hAnsi="Verdana" w:cs="Times New Roman"/>
          <w:lang w:val="es-ES_tradnl"/>
        </w:rPr>
      </w:pPr>
    </w:p>
    <w:tbl>
      <w:tblPr>
        <w:tblStyle w:val="Tablaconcuadrcula11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D81E8E" w:rsidRPr="00D81E8E" w14:paraId="6E97CBAA" w14:textId="77777777" w:rsidTr="003167B7">
        <w:trPr>
          <w:trHeight w:val="884"/>
        </w:trPr>
        <w:tc>
          <w:tcPr>
            <w:tcW w:w="2685" w:type="dxa"/>
            <w:hideMark/>
          </w:tcPr>
          <w:p w14:paraId="73A54EFC" w14:textId="77777777" w:rsidR="00D81E8E" w:rsidRPr="00D81E8E" w:rsidRDefault="00D81E8E" w:rsidP="00D81E8E">
            <w:pPr>
              <w:rPr>
                <w:rFonts w:ascii="Verdana" w:hAnsi="Verdana"/>
                <w:b/>
                <w:bCs/>
                <w:lang w:val="es-ES_tradnl"/>
              </w:rPr>
            </w:pPr>
            <w:r w:rsidRPr="00D81E8E">
              <w:rPr>
                <w:rFonts w:ascii="Verdana" w:hAnsi="Verdana"/>
                <w:b/>
                <w:bCs/>
                <w:lang w:val="es-ES_tradnl"/>
              </w:rPr>
              <w:t xml:space="preserve">Temas:                   </w:t>
            </w:r>
          </w:p>
        </w:tc>
        <w:tc>
          <w:tcPr>
            <w:tcW w:w="6241" w:type="dxa"/>
            <w:hideMark/>
          </w:tcPr>
          <w:p w14:paraId="27D401D9" w14:textId="77777777" w:rsidR="00D81E8E" w:rsidRPr="00D81E8E" w:rsidRDefault="00D81E8E" w:rsidP="00D81E8E">
            <w:pPr>
              <w:spacing w:line="276" w:lineRule="auto"/>
              <w:jc w:val="both"/>
              <w:rPr>
                <w:rFonts w:ascii="Verdana" w:hAnsi="Verdana" w:cs="Arial"/>
                <w:lang w:val="es-ES_tradnl"/>
              </w:rPr>
            </w:pPr>
            <w:r w:rsidRPr="00D81E8E">
              <w:rPr>
                <w:rFonts w:ascii="Verdana" w:hAnsi="Verdana" w:cs="Arial"/>
                <w:lang w:val="es-MX"/>
              </w:rPr>
              <w:t xml:space="preserve">INHABILIDADES ─ Definición ─ Finalidad ─ Limitación capacidad contractual </w:t>
            </w:r>
            <w:r w:rsidRPr="00D81E8E">
              <w:rPr>
                <w:rFonts w:ascii="Verdana" w:hAnsi="Verdana" w:cs="Arial"/>
                <w:lang w:val="es-ES_tradnl"/>
              </w:rPr>
              <w:t>/ INHABILIDADES – Taxatividad – Principio de legalidad – Interpretación restrictiva</w:t>
            </w:r>
            <w:r w:rsidRPr="00D81E8E" w:rsidDel="00A75E55">
              <w:rPr>
                <w:rFonts w:ascii="Verdana" w:hAnsi="Verdana" w:cs="Arial"/>
                <w:lang w:val="es-ES_tradnl"/>
              </w:rPr>
              <w:t xml:space="preserve"> </w:t>
            </w:r>
            <w:r w:rsidRPr="00D81E8E">
              <w:rPr>
                <w:rFonts w:ascii="Verdana" w:hAnsi="Verdana" w:cs="Arial"/>
                <w:lang w:val="es-ES_tradnl"/>
              </w:rPr>
              <w:t xml:space="preserve">/ </w:t>
            </w:r>
            <w:r w:rsidRPr="00D81E8E">
              <w:rPr>
                <w:rFonts w:ascii="Verdana" w:hAnsi="Verdana" w:cs="Arial"/>
                <w:lang w:val="es-ES" w:eastAsia="es-ES"/>
              </w:rPr>
              <w:t xml:space="preserve">CONSORCIOS Y UNIONES TEMPORALES – Capacidad para contratar – Participación en varios procesos </w:t>
            </w:r>
            <w:r w:rsidRPr="00D81E8E">
              <w:rPr>
                <w:rFonts w:ascii="Verdana" w:hAnsi="Verdana" w:cs="Arial"/>
                <w:color w:val="000000" w:themeColor="text1"/>
                <w:lang w:val="es-ES" w:eastAsia="es-ES"/>
              </w:rPr>
              <w:t xml:space="preserve">/ CAUSALES DE RECHAZO – Alcance – Proponentes plurales / CAUSALES DE RECHAZO –Prácticas anticompetitivas –colusión – pliegos de condiciones – miembros de proponentes plurales – proceso de contratación.  </w:t>
            </w:r>
          </w:p>
          <w:p w14:paraId="0B57B5AE" w14:textId="77777777" w:rsidR="00D81E8E" w:rsidRPr="00D81E8E" w:rsidRDefault="00D81E8E" w:rsidP="00D81E8E">
            <w:pPr>
              <w:spacing w:line="276" w:lineRule="auto"/>
              <w:jc w:val="both"/>
              <w:rPr>
                <w:rFonts w:ascii="Verdana" w:hAnsi="Verdana" w:cs="Arial"/>
                <w:lang w:val="es-ES_tradnl"/>
              </w:rPr>
            </w:pPr>
          </w:p>
        </w:tc>
        <w:tc>
          <w:tcPr>
            <w:tcW w:w="6237" w:type="dxa"/>
          </w:tcPr>
          <w:p w14:paraId="3EE19181" w14:textId="77777777" w:rsidR="00D81E8E" w:rsidRPr="00D81E8E" w:rsidRDefault="00D81E8E" w:rsidP="00D81E8E">
            <w:pPr>
              <w:rPr>
                <w:rFonts w:ascii="Verdana" w:hAnsi="Verdana"/>
              </w:rPr>
            </w:pPr>
          </w:p>
        </w:tc>
      </w:tr>
      <w:tr w:rsidR="00D81E8E" w:rsidRPr="00D81E8E" w14:paraId="0C551BC6" w14:textId="77777777" w:rsidTr="003167B7">
        <w:tc>
          <w:tcPr>
            <w:tcW w:w="2685" w:type="dxa"/>
          </w:tcPr>
          <w:p w14:paraId="506D35BD" w14:textId="77777777" w:rsidR="00D81E8E" w:rsidRPr="00D81E8E" w:rsidRDefault="00D81E8E" w:rsidP="00D81E8E">
            <w:pPr>
              <w:rPr>
                <w:rFonts w:ascii="Verdana" w:hAnsi="Verdana"/>
                <w:lang w:val="es-ES_tradnl"/>
              </w:rPr>
            </w:pPr>
          </w:p>
          <w:p w14:paraId="08B36C9B" w14:textId="77777777" w:rsidR="00D81E8E" w:rsidRPr="00D81E8E" w:rsidRDefault="00D81E8E" w:rsidP="00D81E8E">
            <w:pPr>
              <w:rPr>
                <w:rFonts w:ascii="Verdana" w:hAnsi="Verdana"/>
                <w:b/>
                <w:bCs/>
                <w:lang w:val="es-ES_tradnl"/>
              </w:rPr>
            </w:pPr>
            <w:r w:rsidRPr="00D81E8E">
              <w:rPr>
                <w:rFonts w:ascii="Verdana" w:hAnsi="Verdana"/>
                <w:b/>
                <w:bCs/>
                <w:lang w:val="es-ES_tradnl"/>
              </w:rPr>
              <w:t xml:space="preserve">Radicación:               </w:t>
            </w:r>
          </w:p>
        </w:tc>
        <w:tc>
          <w:tcPr>
            <w:tcW w:w="6241" w:type="dxa"/>
          </w:tcPr>
          <w:p w14:paraId="665A1AB9" w14:textId="77777777" w:rsidR="00D81E8E" w:rsidRPr="00D81E8E" w:rsidRDefault="00D81E8E" w:rsidP="00D81E8E">
            <w:pPr>
              <w:jc w:val="both"/>
              <w:rPr>
                <w:rFonts w:ascii="Verdana" w:hAnsi="Verdana"/>
                <w:lang w:val="es-ES_tradnl"/>
              </w:rPr>
            </w:pPr>
          </w:p>
          <w:p w14:paraId="29C00FB0" w14:textId="77777777" w:rsidR="00D81E8E" w:rsidRPr="00D81E8E" w:rsidRDefault="00D81E8E" w:rsidP="00D81E8E">
            <w:pPr>
              <w:jc w:val="both"/>
              <w:rPr>
                <w:rFonts w:ascii="Verdana" w:hAnsi="Verdana"/>
              </w:rPr>
            </w:pPr>
            <w:r w:rsidRPr="00D81E8E">
              <w:rPr>
                <w:rFonts w:ascii="Verdana" w:hAnsi="Verdana"/>
                <w:lang w:val="es-ES_tradnl"/>
              </w:rPr>
              <w:t>Respuesta a consulta con radicado No.</w:t>
            </w:r>
            <w:r w:rsidRPr="00D81E8E">
              <w:rPr>
                <w:rFonts w:ascii="Segoe UI" w:hAnsi="Segoe UI" w:cs="Segoe UI"/>
                <w:color w:val="2B2B2B"/>
                <w:sz w:val="27"/>
                <w:szCs w:val="27"/>
                <w:shd w:val="clear" w:color="auto" w:fill="FFFFFF"/>
              </w:rPr>
              <w:t xml:space="preserve"> </w:t>
            </w:r>
            <w:r w:rsidRPr="00D81E8E">
              <w:rPr>
                <w:rFonts w:ascii="Verdana" w:hAnsi="Verdana"/>
              </w:rPr>
              <w:t>1-2025-06-09-005601</w:t>
            </w:r>
            <w:r w:rsidRPr="00D81E8E">
              <w:rPr>
                <w:rFonts w:ascii="Verdana" w:hAnsi="Verdana"/>
                <w:lang w:val="es-ES_tradnl"/>
              </w:rPr>
              <w:t xml:space="preserve"> </w:t>
            </w:r>
          </w:p>
        </w:tc>
        <w:tc>
          <w:tcPr>
            <w:tcW w:w="6237" w:type="dxa"/>
          </w:tcPr>
          <w:p w14:paraId="48269CAB" w14:textId="77777777" w:rsidR="00D81E8E" w:rsidRPr="00D81E8E" w:rsidRDefault="00D81E8E" w:rsidP="00D81E8E">
            <w:pPr>
              <w:rPr>
                <w:rFonts w:ascii="Verdana" w:hAnsi="Verdana"/>
                <w:lang w:val="es-ES_tradnl"/>
              </w:rPr>
            </w:pPr>
          </w:p>
        </w:tc>
      </w:tr>
      <w:tr w:rsidR="00D81E8E" w:rsidRPr="00D81E8E" w14:paraId="386BDC5A" w14:textId="77777777" w:rsidTr="003167B7">
        <w:tc>
          <w:tcPr>
            <w:tcW w:w="2685" w:type="dxa"/>
          </w:tcPr>
          <w:p w14:paraId="381731A1" w14:textId="77777777" w:rsidR="00D81E8E" w:rsidRPr="00D81E8E" w:rsidRDefault="00D81E8E" w:rsidP="00D81E8E">
            <w:pPr>
              <w:rPr>
                <w:rFonts w:ascii="Verdana" w:hAnsi="Verdana"/>
                <w:lang w:val="es-ES_tradnl"/>
              </w:rPr>
            </w:pPr>
          </w:p>
        </w:tc>
        <w:tc>
          <w:tcPr>
            <w:tcW w:w="6241" w:type="dxa"/>
          </w:tcPr>
          <w:p w14:paraId="6CD7B7E4" w14:textId="77777777" w:rsidR="00D81E8E" w:rsidRPr="00D81E8E" w:rsidRDefault="00D81E8E" w:rsidP="00D81E8E">
            <w:pPr>
              <w:jc w:val="both"/>
              <w:rPr>
                <w:rFonts w:ascii="Verdana" w:hAnsi="Verdana"/>
                <w:lang w:val="es-ES_tradnl"/>
              </w:rPr>
            </w:pPr>
          </w:p>
        </w:tc>
        <w:tc>
          <w:tcPr>
            <w:tcW w:w="6237" w:type="dxa"/>
          </w:tcPr>
          <w:p w14:paraId="2AB68DD5" w14:textId="77777777" w:rsidR="00D81E8E" w:rsidRPr="00D81E8E" w:rsidRDefault="00D81E8E" w:rsidP="00D81E8E">
            <w:pPr>
              <w:rPr>
                <w:rFonts w:ascii="Verdana" w:hAnsi="Verdana"/>
                <w:lang w:val="es-ES_tradnl"/>
              </w:rPr>
            </w:pPr>
          </w:p>
        </w:tc>
      </w:tr>
    </w:tbl>
    <w:p w14:paraId="1CF13679" w14:textId="77777777" w:rsidR="00D81E8E" w:rsidRPr="00D81E8E" w:rsidRDefault="00D81E8E" w:rsidP="00D81E8E">
      <w:pPr>
        <w:spacing w:after="0" w:line="256" w:lineRule="auto"/>
        <w:rPr>
          <w:rFonts w:ascii="Verdana" w:eastAsia="Calibri" w:hAnsi="Verdana" w:cs="Times New Roman"/>
          <w:lang w:val="es-ES"/>
        </w:rPr>
      </w:pPr>
      <w:r w:rsidRPr="00D81E8E">
        <w:rPr>
          <w:rFonts w:ascii="Verdana" w:eastAsia="Calibri" w:hAnsi="Verdana" w:cs="Times New Roman"/>
          <w:lang w:val="es-ES"/>
        </w:rPr>
        <w:t xml:space="preserve">Estimado Señora Yeimy: </w:t>
      </w:r>
    </w:p>
    <w:p w14:paraId="6CC38843" w14:textId="77777777" w:rsidR="00D81E8E" w:rsidRPr="00D81E8E" w:rsidRDefault="00D81E8E" w:rsidP="00D81E8E">
      <w:pPr>
        <w:spacing w:after="0" w:line="276" w:lineRule="auto"/>
        <w:rPr>
          <w:rFonts w:ascii="Verdana" w:eastAsia="Calibri" w:hAnsi="Verdana" w:cs="Times New Roman"/>
          <w:lang w:val="es-ES"/>
        </w:rPr>
      </w:pPr>
    </w:p>
    <w:p w14:paraId="244F570C" w14:textId="77777777" w:rsidR="00D81E8E" w:rsidRPr="00D81E8E" w:rsidRDefault="00D81E8E" w:rsidP="00D81E8E">
      <w:pPr>
        <w:spacing w:after="120" w:line="276" w:lineRule="auto"/>
        <w:jc w:val="both"/>
        <w:rPr>
          <w:rFonts w:ascii="Verdana" w:eastAsia="Calibri" w:hAnsi="Verdana" w:cs="Times New Roman"/>
          <w:lang w:val="es-ES"/>
        </w:rPr>
      </w:pPr>
      <w:r w:rsidRPr="00D81E8E">
        <w:rPr>
          <w:rFonts w:ascii="Verdana" w:eastAsia="Calibri" w:hAnsi="Verdana" w:cs="Times New Roman"/>
          <w:lang w:val="es-ES"/>
        </w:rPr>
        <w:t xml:space="preserve">En ejercicio de la competencia otorgada por los artículos 3, numeral 5º, y 11, numeral 8º, del Decreto Ley 4170 de 2011, la Agencia Nacional de Contratación Pública – Colombia Compra Eficiente– responde la solicitud de consulta presentada el 9 de junio de 2025, en la cual manifiesta: </w:t>
      </w:r>
      <w:r w:rsidRPr="00D81E8E">
        <w:rPr>
          <w:rFonts w:ascii="Verdana" w:eastAsia="Calibri" w:hAnsi="Verdana" w:cs="Times New Roman"/>
          <w:bCs/>
        </w:rPr>
        <w:t>“Es una causal de rechazo o inhabilidad que en tres consorcios diferentes que se presentan como proponentes en un mismo proceso licitatorio, se encuentre dentro de la composición accionaria un socio común y este acredite experiencia para los tres proponentes</w:t>
      </w:r>
      <w:r w:rsidRPr="00D81E8E">
        <w:rPr>
          <w:rFonts w:ascii="Verdana" w:eastAsia="Calibri" w:hAnsi="Verdana" w:cs="Times New Roman"/>
        </w:rPr>
        <w:t>”</w:t>
      </w:r>
      <w:r w:rsidRPr="00D81E8E">
        <w:rPr>
          <w:rFonts w:ascii="Verdana" w:eastAsia="Calibri" w:hAnsi="Verdana" w:cs="Times New Roman"/>
          <w:lang w:val="es-ES"/>
        </w:rPr>
        <w:t>.</w:t>
      </w:r>
    </w:p>
    <w:p w14:paraId="12CB1FA2" w14:textId="77777777" w:rsidR="00D81E8E" w:rsidRPr="00D81E8E" w:rsidRDefault="00D81E8E" w:rsidP="00D81E8E">
      <w:pPr>
        <w:spacing w:after="120" w:line="276" w:lineRule="auto"/>
        <w:ind w:firstLine="709"/>
        <w:jc w:val="both"/>
        <w:rPr>
          <w:rFonts w:ascii="Verdana" w:eastAsia="Calibri" w:hAnsi="Verdana" w:cs="Times New Roman"/>
          <w:lang w:val="es-ES"/>
        </w:rPr>
      </w:pPr>
      <w:r w:rsidRPr="00D81E8E">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D81E8E">
        <w:rPr>
          <w:rFonts w:ascii="Verdana" w:eastAsia="Calibri" w:hAnsi="Verdana" w:cs="Times New Roman"/>
          <w:lang w:val="es-ES"/>
        </w:rPr>
        <w:lastRenderedPageBreak/>
        <w:t>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5894D24" w14:textId="77777777" w:rsidR="00D81E8E" w:rsidRPr="00D81E8E" w:rsidRDefault="00D81E8E" w:rsidP="00D81E8E">
      <w:pPr>
        <w:spacing w:after="120" w:line="276" w:lineRule="auto"/>
        <w:ind w:firstLine="708"/>
        <w:jc w:val="both"/>
        <w:rPr>
          <w:rFonts w:ascii="Verdana" w:eastAsia="Calibri" w:hAnsi="Verdana" w:cs="Times New Roman"/>
          <w:lang w:val="es-ES"/>
        </w:rPr>
      </w:pPr>
      <w:r w:rsidRPr="00D81E8E">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F6115E6" w14:textId="77777777" w:rsidR="00D81E8E" w:rsidRPr="00D81E8E" w:rsidRDefault="00D81E8E" w:rsidP="00D81E8E">
      <w:pPr>
        <w:spacing w:after="120" w:line="276" w:lineRule="auto"/>
        <w:rPr>
          <w:rFonts w:ascii="Verdana" w:eastAsia="Calibri" w:hAnsi="Verdana" w:cs="Times New Roman"/>
          <w:lang w:val="es-ES"/>
        </w:rPr>
      </w:pPr>
    </w:p>
    <w:p w14:paraId="5A91FEC1" w14:textId="77777777" w:rsidR="00D81E8E" w:rsidRPr="00D81E8E" w:rsidRDefault="00D81E8E" w:rsidP="00D81E8E">
      <w:pPr>
        <w:numPr>
          <w:ilvl w:val="0"/>
          <w:numId w:val="32"/>
        </w:numPr>
        <w:spacing w:after="0" w:line="276" w:lineRule="auto"/>
        <w:contextualSpacing/>
        <w:rPr>
          <w:rFonts w:ascii="Verdana" w:eastAsia="Calibri" w:hAnsi="Verdana" w:cs="Times New Roman"/>
          <w:b/>
          <w:bCs/>
          <w:lang w:val="es-ES"/>
        </w:rPr>
      </w:pPr>
      <w:r w:rsidRPr="00D81E8E">
        <w:rPr>
          <w:rFonts w:ascii="Verdana" w:eastAsia="Calibri" w:hAnsi="Verdana" w:cs="Times New Roman"/>
          <w:b/>
          <w:bCs/>
          <w:lang w:val="es-ES"/>
        </w:rPr>
        <w:t>Problema planteado:</w:t>
      </w:r>
    </w:p>
    <w:p w14:paraId="2DE72907" w14:textId="77777777" w:rsidR="00D81E8E" w:rsidRPr="00D81E8E" w:rsidRDefault="00D81E8E" w:rsidP="00D81E8E">
      <w:pPr>
        <w:spacing w:after="0" w:line="276" w:lineRule="auto"/>
        <w:rPr>
          <w:rFonts w:ascii="Verdana" w:eastAsia="Calibri" w:hAnsi="Verdana" w:cs="Times New Roman"/>
        </w:rPr>
      </w:pPr>
    </w:p>
    <w:p w14:paraId="181DAF23" w14:textId="77777777" w:rsidR="00D81E8E" w:rsidRPr="00D81E8E" w:rsidRDefault="00D81E8E" w:rsidP="00D81E8E">
      <w:pPr>
        <w:spacing w:after="0" w:line="276" w:lineRule="auto"/>
        <w:jc w:val="both"/>
        <w:rPr>
          <w:rFonts w:ascii="Verdana" w:eastAsia="Calibri" w:hAnsi="Verdana" w:cs="Times New Roman"/>
          <w:bCs/>
        </w:rPr>
      </w:pPr>
      <w:r w:rsidRPr="00D81E8E">
        <w:rPr>
          <w:rFonts w:ascii="Verdana" w:eastAsia="Calibri" w:hAnsi="Verdana" w:cs="Times New Roman"/>
        </w:rPr>
        <w:t xml:space="preserve">De acuerdo con el contenido de su solicitud, esta Agencia procede a resolver el siguiente problema jurídico: ¿Existe una inhabilidad o incompatibilidad o una causal de rechazo cuando </w:t>
      </w:r>
      <w:r w:rsidRPr="00D81E8E">
        <w:rPr>
          <w:rFonts w:ascii="Verdana" w:eastAsia="Calibri" w:hAnsi="Verdana" w:cs="Times New Roman"/>
          <w:bCs/>
        </w:rPr>
        <w:t>una persona natural o jurídica pueda pertenecer como miembro de tres proponentes plurales –consorcio o unión temporal– en un mismo proceso de contratación, y este acredite experiencia para estos?</w:t>
      </w:r>
    </w:p>
    <w:p w14:paraId="45D49107" w14:textId="77777777" w:rsidR="00D81E8E" w:rsidRPr="00D81E8E" w:rsidRDefault="00D81E8E" w:rsidP="00D81E8E">
      <w:pPr>
        <w:spacing w:after="0" w:line="276" w:lineRule="auto"/>
        <w:rPr>
          <w:rFonts w:ascii="Verdana" w:eastAsia="Calibri" w:hAnsi="Verdana" w:cs="Times New Roman"/>
        </w:rPr>
      </w:pPr>
    </w:p>
    <w:p w14:paraId="06CCA60B" w14:textId="77777777" w:rsidR="00D81E8E" w:rsidRPr="00D81E8E" w:rsidRDefault="00D81E8E" w:rsidP="00D81E8E">
      <w:pPr>
        <w:numPr>
          <w:ilvl w:val="0"/>
          <w:numId w:val="32"/>
        </w:numPr>
        <w:spacing w:after="0" w:line="276" w:lineRule="auto"/>
        <w:contextualSpacing/>
        <w:rPr>
          <w:rFonts w:ascii="Verdana" w:eastAsia="Calibri" w:hAnsi="Verdana" w:cs="Times New Roman"/>
          <w:b/>
          <w:bCs/>
          <w:lang w:val="es-ES"/>
        </w:rPr>
      </w:pPr>
      <w:r w:rsidRPr="00D81E8E">
        <w:rPr>
          <w:rFonts w:ascii="Verdana" w:eastAsia="Calibri" w:hAnsi="Verdana" w:cs="Times New Roman"/>
          <w:b/>
          <w:bCs/>
          <w:lang w:val="es-ES"/>
        </w:rPr>
        <w:t>Respuesta:</w:t>
      </w:r>
    </w:p>
    <w:p w14:paraId="740AA812" w14:textId="77777777" w:rsidR="00D81E8E" w:rsidRPr="00D81E8E" w:rsidRDefault="00D81E8E" w:rsidP="00D81E8E">
      <w:pPr>
        <w:spacing w:after="0" w:line="276" w:lineRule="auto"/>
        <w:jc w:val="both"/>
        <w:rPr>
          <w:rFonts w:ascii="Verdana" w:eastAsia="Calibri" w:hAnsi="Verdana" w:cs="Times New Roman"/>
          <w:bCs/>
          <w:lang w:val="es-ES" w:bidi="es-ES"/>
        </w:rPr>
      </w:pPr>
    </w:p>
    <w:tbl>
      <w:tblPr>
        <w:tblStyle w:val="Tablaconcuadrcula112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81E8E" w:rsidRPr="00D81E8E" w14:paraId="753E93AE" w14:textId="77777777" w:rsidTr="003167B7">
        <w:trPr>
          <w:trHeight w:val="870"/>
          <w:jc w:val="center"/>
        </w:trPr>
        <w:tc>
          <w:tcPr>
            <w:tcW w:w="8647" w:type="dxa"/>
          </w:tcPr>
          <w:p w14:paraId="57DE9D98" w14:textId="77777777" w:rsidR="00D81E8E" w:rsidRPr="00D81E8E" w:rsidRDefault="00D81E8E" w:rsidP="00D81E8E">
            <w:pPr>
              <w:spacing w:before="120" w:after="120" w:line="276" w:lineRule="auto"/>
              <w:jc w:val="both"/>
              <w:rPr>
                <w:rFonts w:ascii="Verdana" w:hAnsi="Verdana" w:cs="Arial"/>
                <w:bCs/>
                <w:color w:val="000000" w:themeColor="text1"/>
              </w:rPr>
            </w:pPr>
            <w:proofErr w:type="gramStart"/>
            <w:r w:rsidRPr="00D81E8E">
              <w:rPr>
                <w:rFonts w:ascii="Verdana" w:hAnsi="Verdana" w:cs="Arial"/>
                <w:lang w:val="es-ES"/>
              </w:rPr>
              <w:t>De acuerdo al</w:t>
            </w:r>
            <w:proofErr w:type="gramEnd"/>
            <w:r w:rsidRPr="00D81E8E">
              <w:rPr>
                <w:rFonts w:ascii="Verdana" w:hAnsi="Verdana" w:cs="Arial"/>
                <w:lang w:val="es-ES"/>
              </w:rPr>
              <w:t xml:space="preserve"> problema jurídico, objeto de consulta</w:t>
            </w:r>
            <w:r w:rsidRPr="00D81E8E">
              <w:rPr>
                <w:rFonts w:ascii="Verdana" w:hAnsi="Verdana" w:cs="Arial"/>
                <w:bCs/>
                <w:color w:val="000000" w:themeColor="text1"/>
              </w:rPr>
              <w:t xml:space="preserve">, no existe dentro del sistema de compras y contratación pública una inhabilidad o incompatibilidad que implica una restricción para los consorcios o uniones temporales, así como para el miembro que pertenece a estos dentro del proceso de contratación. Si bien no existe una inhabilidad o incompatibilidad establecida en la Ley para determinar su procedencia, no significa que ante este supuesto planteado no haya una vulneración a la libertad de empresa regulado en el artículo 333 constitucional, y que pueda constituirse como una causal de rechazo dentro de un proceso de contratación. En tal sentido, permitir este tipo de actuaciones, es validar estrategias y herramientas </w:t>
            </w:r>
            <w:r w:rsidRPr="00D81E8E">
              <w:rPr>
                <w:rFonts w:ascii="Verdana" w:hAnsi="Verdana" w:cs="Arial"/>
                <w:bCs/>
                <w:color w:val="000000" w:themeColor="text1"/>
              </w:rPr>
              <w:lastRenderedPageBreak/>
              <w:t xml:space="preserve">desleales e incorrectas que afecten no solo los derechos de la entidad contratante, sino también los derechos de los diferentes proponentes dentro de un proceso de contratación. </w:t>
            </w:r>
          </w:p>
          <w:p w14:paraId="1250AF28" w14:textId="77777777" w:rsidR="00D81E8E" w:rsidRPr="00D81E8E" w:rsidRDefault="00D81E8E" w:rsidP="00D81E8E">
            <w:pPr>
              <w:spacing w:before="120" w:after="120" w:line="276" w:lineRule="auto"/>
              <w:jc w:val="both"/>
              <w:rPr>
                <w:rFonts w:ascii="Verdana" w:hAnsi="Verdana" w:cs="Arial"/>
                <w:bCs/>
                <w:iCs/>
                <w:color w:val="000000" w:themeColor="text1"/>
                <w:lang w:val="es-MX"/>
              </w:rPr>
            </w:pPr>
            <w:r w:rsidRPr="00D81E8E">
              <w:rPr>
                <w:rFonts w:ascii="Verdana" w:hAnsi="Verdana" w:cs="Arial"/>
                <w:bCs/>
                <w:color w:val="000000" w:themeColor="text1"/>
              </w:rPr>
              <w:tab/>
              <w:t xml:space="preserve">De hecho, se destaca que, en los Documentos Tipo anteriores y vigentes, expedidos por esta Agencia se establece como causal de rechazo en el literal b, numeral 1.15 lo siguiente: </w:t>
            </w:r>
            <w:r w:rsidRPr="00D81E8E">
              <w:rPr>
                <w:rFonts w:ascii="Verdana" w:hAnsi="Verdana" w:cs="Arial"/>
                <w:bCs/>
                <w:iCs/>
                <w:color w:val="000000" w:themeColor="text1"/>
              </w:rPr>
              <w:t>“B. Cuando una misma persona natural o jurídica, o integrante de un proponente plural presente o haga parte en más de una propuesta para el presente Proceso de Contratación”.</w:t>
            </w:r>
            <w:r w:rsidRPr="00D81E8E" w:rsidDel="006865EC">
              <w:rPr>
                <w:rFonts w:ascii="Verdana" w:hAnsi="Verdana" w:cs="Arial"/>
                <w:bCs/>
                <w:iCs/>
                <w:color w:val="000000" w:themeColor="text1"/>
              </w:rPr>
              <w:t xml:space="preserve"> </w:t>
            </w:r>
            <w:r w:rsidRPr="00D81E8E">
              <w:rPr>
                <w:rFonts w:ascii="Verdana" w:hAnsi="Verdana" w:cs="Arial"/>
                <w:bCs/>
                <w:iCs/>
                <w:color w:val="000000" w:themeColor="text1"/>
                <w:lang w:val="es-MX"/>
              </w:rPr>
              <w:t xml:space="preserve">[Reemplazar el texto anterior por el siguiente, cuando el proceso es estructurado por lotes o segmentos: Cuando una misma persona natural o jurídica, o integrante de un proponente plural presente o haga parte en más de una propuesta para el mismo lote o segmento del presente Proceso de Contratación] </w:t>
            </w:r>
          </w:p>
          <w:p w14:paraId="3C5C4A54" w14:textId="77777777" w:rsidR="00D81E8E" w:rsidRPr="00D81E8E" w:rsidRDefault="00D81E8E" w:rsidP="00D81E8E">
            <w:pPr>
              <w:spacing w:before="120" w:after="120" w:line="276" w:lineRule="auto"/>
              <w:ind w:firstLine="708"/>
              <w:jc w:val="both"/>
              <w:rPr>
                <w:rFonts w:ascii="Verdana" w:hAnsi="Verdana" w:cs="Arial"/>
                <w:bCs/>
                <w:iCs/>
                <w:color w:val="000000" w:themeColor="text1"/>
                <w:lang w:val="es-ES_tradnl"/>
              </w:rPr>
            </w:pPr>
            <w:r w:rsidRPr="00D81E8E">
              <w:rPr>
                <w:rFonts w:ascii="Verdana" w:hAnsi="Verdana" w:cs="Arial"/>
                <w:bCs/>
                <w:iCs/>
                <w:color w:val="000000" w:themeColor="text1"/>
                <w:lang w:val="es-ES_tradnl"/>
              </w:rPr>
              <w:t xml:space="preserve">En esta causal se regulan dos (2) supuestos: i) en los procesos se rechazará la oferta si la misma persona presenta o hace parte en más de una propuesta y </w:t>
            </w:r>
            <w:proofErr w:type="spellStart"/>
            <w:r w:rsidRPr="00D81E8E">
              <w:rPr>
                <w:rFonts w:ascii="Verdana" w:hAnsi="Verdana" w:cs="Arial"/>
                <w:bCs/>
                <w:iCs/>
                <w:color w:val="000000" w:themeColor="text1"/>
                <w:lang w:val="es-ES_tradnl"/>
              </w:rPr>
              <w:t>ii</w:t>
            </w:r>
            <w:proofErr w:type="spellEnd"/>
            <w:r w:rsidRPr="00D81E8E">
              <w:rPr>
                <w:rFonts w:ascii="Verdana" w:hAnsi="Verdana" w:cs="Arial"/>
                <w:bCs/>
                <w:iCs/>
                <w:color w:val="000000" w:themeColor="text1"/>
                <w:lang w:val="es-ES_tradnl"/>
              </w:rPr>
              <w:t xml:space="preserve">) en los procesos estructurados por lote se rechazará la oferta si se presentan oferentes para un mismo lote o grupo. El único supuesto dirigido a los procesos estructurados por lotes es el segundo, mientras que el primero procederá en aquellos procesos que no estén estructurados por lotes. </w:t>
            </w:r>
            <w:r w:rsidRPr="00D81E8E">
              <w:rPr>
                <w:rFonts w:ascii="Verdana" w:hAnsi="Verdana" w:cs="Arial"/>
                <w:bCs/>
                <w:iCs/>
                <w:color w:val="000000" w:themeColor="text1"/>
              </w:rPr>
              <w:t>De este modo, con esta prohibición, lo que se busca es garantizar la imparcialidad y competencia leal, y así evitar conflictos de interés o ventajas indebidas.</w:t>
            </w:r>
          </w:p>
          <w:p w14:paraId="3B9C4638" w14:textId="77777777" w:rsidR="00D81E8E" w:rsidRPr="00D81E8E" w:rsidRDefault="00D81E8E" w:rsidP="00D81E8E">
            <w:pPr>
              <w:spacing w:before="120" w:after="120" w:line="276" w:lineRule="auto"/>
              <w:ind w:firstLine="708"/>
              <w:jc w:val="both"/>
              <w:rPr>
                <w:rFonts w:ascii="Verdana" w:hAnsi="Verdana" w:cs="Arial"/>
                <w:bCs/>
                <w:color w:val="000000" w:themeColor="text1"/>
                <w:lang w:val="es-ES"/>
              </w:rPr>
            </w:pPr>
            <w:r w:rsidRPr="00D81E8E">
              <w:rPr>
                <w:rFonts w:ascii="Verdana" w:hAnsi="Verdana" w:cs="Arial"/>
                <w:bCs/>
                <w:color w:val="000000" w:themeColor="text1"/>
                <w:lang w:val="es-ES"/>
              </w:rPr>
              <w:t xml:space="preserve">En ese orden de ideas, es importante evitar dentro de los procesos de contratación prácticas anticompetitivas que vulneren los principios de la contratación estatal; así como, en virtud de la libre competencia y transparencia, es necesario que, en los pliegos de condiciones de cada proceso, se incluyan causales de rechazo o reglas que limiten cualquier conducta colusoria o actuaciones que se consideren anticompetitivas. Aunque no existe una prohibición general en la Ley, para que una persona natural o jurídica sea miembros de varios consorcios o uniones temporales dentro de un mismo proceso de contratación, es necesario analizar cada caso, para determinar la procedencia de la fijación de causales de rechazo que eviten este tipo de prácticas. </w:t>
            </w:r>
          </w:p>
        </w:tc>
      </w:tr>
    </w:tbl>
    <w:p w14:paraId="7CB46308" w14:textId="77777777" w:rsidR="00D81E8E" w:rsidRPr="00D81E8E" w:rsidRDefault="00D81E8E" w:rsidP="00D81E8E">
      <w:pPr>
        <w:spacing w:after="0" w:line="276" w:lineRule="auto"/>
        <w:jc w:val="both"/>
        <w:rPr>
          <w:rFonts w:ascii="Verdana" w:eastAsia="Calibri" w:hAnsi="Verdana" w:cs="Arial"/>
          <w:bCs/>
          <w:color w:val="000000" w:themeColor="text1"/>
        </w:rPr>
      </w:pPr>
    </w:p>
    <w:p w14:paraId="2F482E9B" w14:textId="77777777" w:rsidR="00D81E8E" w:rsidRPr="00D81E8E" w:rsidRDefault="00D81E8E" w:rsidP="00D81E8E">
      <w:pPr>
        <w:numPr>
          <w:ilvl w:val="0"/>
          <w:numId w:val="32"/>
        </w:numPr>
        <w:spacing w:after="0" w:line="276" w:lineRule="auto"/>
        <w:contextualSpacing/>
        <w:rPr>
          <w:rFonts w:ascii="Verdana" w:eastAsia="Calibri" w:hAnsi="Verdana" w:cs="Times New Roman"/>
          <w:b/>
          <w:bCs/>
          <w:lang w:val="es-ES"/>
        </w:rPr>
      </w:pPr>
      <w:r w:rsidRPr="00D81E8E">
        <w:rPr>
          <w:rFonts w:ascii="Verdana" w:eastAsia="Calibri" w:hAnsi="Verdana" w:cs="Times New Roman"/>
          <w:b/>
          <w:bCs/>
          <w:lang w:val="es-ES"/>
        </w:rPr>
        <w:t>Razones de la respuesta:</w:t>
      </w:r>
    </w:p>
    <w:p w14:paraId="7F30BE28" w14:textId="77777777" w:rsidR="00D81E8E" w:rsidRPr="00D81E8E" w:rsidRDefault="00D81E8E" w:rsidP="00D81E8E">
      <w:pPr>
        <w:spacing w:after="0" w:line="276" w:lineRule="auto"/>
        <w:rPr>
          <w:rFonts w:ascii="Verdana" w:eastAsia="Calibri" w:hAnsi="Verdana" w:cs="Times New Roman"/>
          <w:b/>
          <w:bCs/>
          <w:lang w:val="es-ES"/>
        </w:rPr>
      </w:pPr>
    </w:p>
    <w:p w14:paraId="0BFBFA2C" w14:textId="77777777" w:rsidR="00D81E8E" w:rsidRPr="00D81E8E" w:rsidRDefault="00D81E8E" w:rsidP="00D81E8E">
      <w:pPr>
        <w:spacing w:after="0" w:line="276" w:lineRule="auto"/>
        <w:jc w:val="both"/>
        <w:rPr>
          <w:rFonts w:ascii="Verdana" w:eastAsia="Calibri" w:hAnsi="Verdana" w:cs="Arial"/>
          <w:lang w:val="es-ES"/>
        </w:rPr>
      </w:pPr>
      <w:r w:rsidRPr="00D81E8E">
        <w:rPr>
          <w:rFonts w:ascii="Verdana" w:eastAsia="Calibri" w:hAnsi="Verdana" w:cs="Arial"/>
          <w:lang w:val="es-ES"/>
        </w:rPr>
        <w:lastRenderedPageBreak/>
        <w:t xml:space="preserve">Lo anterior se sustenta en las siguientes consideraciones: </w:t>
      </w:r>
    </w:p>
    <w:p w14:paraId="5CB9245A" w14:textId="77777777" w:rsidR="00D81E8E" w:rsidRPr="00D81E8E" w:rsidRDefault="00D81E8E" w:rsidP="00D81E8E">
      <w:pPr>
        <w:spacing w:after="0" w:line="276" w:lineRule="auto"/>
        <w:jc w:val="both"/>
        <w:rPr>
          <w:rFonts w:ascii="Verdana" w:eastAsia="Calibri" w:hAnsi="Verdana" w:cs="Arial"/>
          <w:lang w:val="es-MX"/>
        </w:rPr>
      </w:pPr>
    </w:p>
    <w:p w14:paraId="45B47DA4" w14:textId="77777777" w:rsidR="00D81E8E" w:rsidRPr="00D81E8E" w:rsidRDefault="00D81E8E" w:rsidP="00D81E8E">
      <w:pPr>
        <w:spacing w:after="0" w:line="276" w:lineRule="auto"/>
        <w:jc w:val="both"/>
        <w:rPr>
          <w:rFonts w:ascii="Verdana" w:eastAsia="Calibri" w:hAnsi="Verdana" w:cs="Arial"/>
          <w:lang w:val="es-MX"/>
        </w:rPr>
      </w:pPr>
      <w:r w:rsidRPr="00D81E8E">
        <w:rPr>
          <w:rFonts w:ascii="Verdana" w:eastAsia="Calibri" w:hAnsi="Verdana" w:cs="Arial"/>
          <w:lang w:val="es-MX"/>
        </w:rPr>
        <w:t xml:space="preserve">i) Las inhabilidades son circunstancias establecidas por la Constitución o la ley que impiden que personas naturales o jurídicas sean elegidas o designadas en un cargo público, celebren contratos con el Estado, o no puedan ejercer una profesión, con el objetivo de garantizar la idoneidad, imparcialidad, probidad, transparencia y moralidad de la función pública, garantizando el interés general. De igual modo, en torno a la incompatibilidad, la Corte Constitucional ha señalado: </w:t>
      </w:r>
    </w:p>
    <w:p w14:paraId="3844DA77" w14:textId="77777777" w:rsidR="00D81E8E" w:rsidRPr="00D81E8E" w:rsidRDefault="00D81E8E" w:rsidP="00D81E8E">
      <w:pPr>
        <w:spacing w:after="0" w:line="276" w:lineRule="auto"/>
        <w:jc w:val="both"/>
        <w:rPr>
          <w:rFonts w:ascii="Verdana" w:eastAsia="Calibri" w:hAnsi="Verdana" w:cs="Arial"/>
          <w:lang w:val="es-MX"/>
        </w:rPr>
      </w:pPr>
    </w:p>
    <w:p w14:paraId="447DD18F" w14:textId="77777777" w:rsidR="00D81E8E" w:rsidRPr="00D81E8E" w:rsidRDefault="00D81E8E" w:rsidP="00D81E8E">
      <w:pPr>
        <w:spacing w:after="120" w:line="240" w:lineRule="auto"/>
        <w:ind w:left="709" w:right="709"/>
        <w:jc w:val="both"/>
        <w:rPr>
          <w:rFonts w:ascii="Verdana" w:eastAsia="Calibri" w:hAnsi="Verdana" w:cs="Arial"/>
          <w:bCs/>
          <w:iCs/>
          <w:sz w:val="21"/>
          <w:szCs w:val="21"/>
          <w:lang w:val="es-ES_tradnl"/>
        </w:rPr>
      </w:pPr>
      <w:r w:rsidRPr="00D81E8E">
        <w:rPr>
          <w:rFonts w:ascii="Verdana" w:eastAsia="Calibri" w:hAnsi="Verdana" w:cs="Arial"/>
          <w:sz w:val="21"/>
          <w:szCs w:val="21"/>
          <w:lang w:val="es-MX"/>
        </w:rPr>
        <w:t xml:space="preserve"> </w:t>
      </w:r>
      <w:r w:rsidRPr="00D81E8E">
        <w:rPr>
          <w:rFonts w:ascii="Verdana" w:eastAsia="Calibri" w:hAnsi="Verdana" w:cs="Arial"/>
          <w:bCs/>
          <w:iCs/>
          <w:sz w:val="21"/>
          <w:szCs w:val="21"/>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D81E8E">
        <w:rPr>
          <w:rFonts w:ascii="Verdana" w:eastAsia="Calibri" w:hAnsi="Verdana" w:cs="Arial"/>
          <w:bCs/>
          <w:iCs/>
          <w:sz w:val="21"/>
          <w:szCs w:val="21"/>
          <w:vertAlign w:val="superscript"/>
          <w:lang w:val="es-ES"/>
        </w:rPr>
        <w:footnoteReference w:id="2"/>
      </w:r>
      <w:r w:rsidRPr="00D81E8E">
        <w:rPr>
          <w:rFonts w:ascii="Verdana" w:eastAsia="Calibri" w:hAnsi="Verdana" w:cs="Arial"/>
          <w:bCs/>
          <w:iCs/>
          <w:sz w:val="21"/>
          <w:szCs w:val="21"/>
          <w:lang w:val="es-ES"/>
        </w:rPr>
        <w:t>.</w:t>
      </w:r>
    </w:p>
    <w:p w14:paraId="29DD3BFC" w14:textId="77777777" w:rsidR="00D81E8E" w:rsidRPr="00D81E8E" w:rsidRDefault="00D81E8E" w:rsidP="00D81E8E">
      <w:pPr>
        <w:spacing w:after="120" w:line="276" w:lineRule="auto"/>
        <w:jc w:val="both"/>
        <w:rPr>
          <w:rFonts w:ascii="Verdana" w:eastAsia="Calibri" w:hAnsi="Verdana" w:cs="Arial"/>
          <w:lang w:val="es-ES_tradnl"/>
        </w:rPr>
      </w:pPr>
    </w:p>
    <w:p w14:paraId="2752EEA4" w14:textId="77777777" w:rsidR="00D81E8E" w:rsidRPr="00D81E8E" w:rsidRDefault="00D81E8E" w:rsidP="00D81E8E">
      <w:pPr>
        <w:spacing w:after="120" w:line="276" w:lineRule="auto"/>
        <w:ind w:firstLine="709"/>
        <w:jc w:val="both"/>
        <w:rPr>
          <w:rFonts w:ascii="Verdana" w:eastAsia="Calibri" w:hAnsi="Verdana" w:cs="Arial"/>
          <w:lang w:val="es-MX"/>
        </w:rPr>
      </w:pPr>
      <w:r w:rsidRPr="00D81E8E">
        <w:rPr>
          <w:rFonts w:ascii="Verdana" w:eastAsia="Calibri" w:hAnsi="Verdana" w:cs="Arial"/>
          <w:lang w:val="es-MX"/>
        </w:rPr>
        <w:t>Las inhabilidades e incompatibilidades pueden enfocarse en varios asuntos: en primer lugar, se encuentran las inhabilidades e incompatibilidades que impiden que u</w:t>
      </w:r>
      <w:proofErr w:type="spellStart"/>
      <w:r w:rsidRPr="00D81E8E">
        <w:rPr>
          <w:rFonts w:ascii="Verdana" w:eastAsia="Calibri" w:hAnsi="Verdana" w:cs="Arial"/>
        </w:rPr>
        <w:t>na</w:t>
      </w:r>
      <w:proofErr w:type="spellEnd"/>
      <w:r w:rsidRPr="00D81E8E">
        <w:rPr>
          <w:rFonts w:ascii="Verdana" w:eastAsia="Calibri" w:hAnsi="Verdana" w:cs="Arial"/>
        </w:rPr>
        <w:t xml:space="preserve">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D81E8E">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w:t>
      </w:r>
      <w:proofErr w:type="gramStart"/>
      <w:r w:rsidRPr="00D81E8E">
        <w:rPr>
          <w:rFonts w:ascii="Verdana" w:eastAsia="Calibri" w:hAnsi="Verdana" w:cs="Arial"/>
          <w:lang w:val="es-MX"/>
        </w:rPr>
        <w:t>De acuerdo a</w:t>
      </w:r>
      <w:proofErr w:type="gramEnd"/>
      <w:r w:rsidRPr="00D81E8E">
        <w:rPr>
          <w:rFonts w:ascii="Verdana" w:eastAsia="Calibri" w:hAnsi="Verdana" w:cs="Arial"/>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3399D6FB" w14:textId="77777777" w:rsidR="00D81E8E" w:rsidRPr="00D81E8E" w:rsidRDefault="00D81E8E" w:rsidP="00D81E8E">
      <w:pPr>
        <w:spacing w:after="120" w:line="276" w:lineRule="auto"/>
        <w:ind w:firstLine="709"/>
        <w:jc w:val="both"/>
        <w:rPr>
          <w:rFonts w:ascii="Verdana" w:eastAsia="Calibri" w:hAnsi="Verdana" w:cs="Arial"/>
          <w:lang w:val="es-MX"/>
        </w:rPr>
      </w:pPr>
      <w:r w:rsidRPr="00D81E8E">
        <w:rPr>
          <w:rFonts w:ascii="Verdana" w:eastAsia="Calibri" w:hAnsi="Verdana" w:cs="Arial"/>
          <w:lang w:val="es-MX"/>
        </w:rPr>
        <w:lastRenderedPageBreak/>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D81E8E">
        <w:rPr>
          <w:rFonts w:ascii="Verdana" w:eastAsia="Calibri" w:hAnsi="Verdana" w:cs="Arial"/>
          <w:vertAlign w:val="superscript"/>
          <w:lang w:val="es-MX"/>
        </w:rPr>
        <w:footnoteReference w:id="3"/>
      </w:r>
    </w:p>
    <w:p w14:paraId="2FD92703" w14:textId="77777777" w:rsidR="00D81E8E" w:rsidRPr="00D81E8E" w:rsidRDefault="00D81E8E" w:rsidP="00D81E8E">
      <w:pPr>
        <w:spacing w:before="120" w:after="0" w:line="276" w:lineRule="auto"/>
        <w:ind w:firstLine="709"/>
        <w:jc w:val="both"/>
        <w:rPr>
          <w:rFonts w:ascii="Verdana" w:eastAsia="Calibri" w:hAnsi="Verdana" w:cs="Arial"/>
          <w:lang w:val="es-MX"/>
        </w:rPr>
      </w:pPr>
      <w:r w:rsidRPr="00D81E8E">
        <w:rPr>
          <w:rFonts w:ascii="Verdana" w:eastAsia="Calibri" w:hAnsi="Verdana" w:cs="Arial"/>
          <w:lang w:val="es-MX"/>
        </w:rPr>
        <w:t xml:space="preserve">La regulación de las inhabilidades que implican limitaciones a la capacidad jurídica para </w:t>
      </w:r>
      <w:proofErr w:type="gramStart"/>
      <w:r w:rsidRPr="00D81E8E">
        <w:rPr>
          <w:rFonts w:ascii="Verdana" w:eastAsia="Calibri" w:hAnsi="Verdana" w:cs="Arial"/>
          <w:lang w:val="es-MX"/>
        </w:rPr>
        <w:t>contratar,</w:t>
      </w:r>
      <w:proofErr w:type="gramEnd"/>
      <w:r w:rsidRPr="00D81E8E">
        <w:rPr>
          <w:rFonts w:ascii="Verdana" w:eastAsia="Calibri" w:hAnsi="Verdana" w:cs="Arial"/>
          <w:lang w:val="es-MX"/>
        </w:rPr>
        <w:t xml:space="preserve"> desarrolla los principios de la función administrativa consagrados en el artículo 209 de la Constitución Política, con especial énfasis, el de moralidad. Así lo entiende el Consejo de Estado: </w:t>
      </w:r>
    </w:p>
    <w:p w14:paraId="38BA7109" w14:textId="77777777" w:rsidR="00D81E8E" w:rsidRPr="00D81E8E" w:rsidRDefault="00D81E8E" w:rsidP="00D81E8E">
      <w:pPr>
        <w:spacing w:after="0" w:line="276" w:lineRule="auto"/>
        <w:jc w:val="both"/>
        <w:rPr>
          <w:rFonts w:ascii="Verdana" w:eastAsia="Calibri" w:hAnsi="Verdana" w:cs="Arial"/>
          <w:lang w:val="es-MX"/>
        </w:rPr>
      </w:pPr>
    </w:p>
    <w:p w14:paraId="638F4307" w14:textId="77777777" w:rsidR="00D81E8E" w:rsidRPr="00D81E8E" w:rsidRDefault="00D81E8E" w:rsidP="00D81E8E">
      <w:pPr>
        <w:shd w:val="clear" w:color="auto" w:fill="FFFFFF"/>
        <w:spacing w:after="0" w:line="240" w:lineRule="auto"/>
        <w:ind w:left="709" w:right="709"/>
        <w:jc w:val="both"/>
        <w:rPr>
          <w:rFonts w:ascii="Verdana" w:eastAsia="Calibri" w:hAnsi="Verdana" w:cs="Arial"/>
          <w:sz w:val="20"/>
          <w:szCs w:val="20"/>
          <w:lang w:val="es-ES"/>
        </w:rPr>
      </w:pPr>
      <w:r w:rsidRPr="00D81E8E">
        <w:rPr>
          <w:rFonts w:ascii="Verdana" w:eastAsia="Calibri"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0A0B5ECE" w14:textId="77777777" w:rsidR="00D81E8E" w:rsidRPr="00D81E8E" w:rsidRDefault="00D81E8E" w:rsidP="00D81E8E">
      <w:pPr>
        <w:shd w:val="clear" w:color="auto" w:fill="FFFFFF"/>
        <w:spacing w:after="0" w:line="240" w:lineRule="auto"/>
        <w:ind w:left="709" w:right="709"/>
        <w:jc w:val="both"/>
        <w:rPr>
          <w:rFonts w:ascii="Verdana" w:eastAsia="Calibri" w:hAnsi="Verdana" w:cs="Arial"/>
          <w:sz w:val="20"/>
          <w:szCs w:val="20"/>
          <w:lang w:val="es-ES"/>
        </w:rPr>
      </w:pPr>
    </w:p>
    <w:p w14:paraId="7140B097" w14:textId="77777777" w:rsidR="00D81E8E" w:rsidRPr="00D81E8E" w:rsidRDefault="00D81E8E" w:rsidP="00D81E8E">
      <w:pPr>
        <w:shd w:val="clear" w:color="auto" w:fill="FFFFFF"/>
        <w:spacing w:after="0" w:line="240" w:lineRule="auto"/>
        <w:ind w:left="709" w:right="709"/>
        <w:jc w:val="both"/>
        <w:rPr>
          <w:rFonts w:ascii="Verdana" w:eastAsia="Calibri" w:hAnsi="Verdana" w:cs="Arial"/>
          <w:sz w:val="20"/>
          <w:szCs w:val="20"/>
          <w:lang w:val="es-ES"/>
        </w:rPr>
      </w:pPr>
      <w:r w:rsidRPr="00D81E8E">
        <w:rPr>
          <w:rFonts w:ascii="Verdana" w:eastAsia="Calibri"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D81E8E">
        <w:rPr>
          <w:rFonts w:ascii="Verdana" w:eastAsia="Calibri" w:hAnsi="Verdana" w:cs="Arial"/>
          <w:sz w:val="20"/>
          <w:szCs w:val="20"/>
          <w:vertAlign w:val="superscript"/>
          <w:lang w:val="es-ES"/>
        </w:rPr>
        <w:footnoteReference w:id="4"/>
      </w:r>
    </w:p>
    <w:p w14:paraId="59C3940E" w14:textId="77777777" w:rsidR="00D81E8E" w:rsidRPr="00D81E8E" w:rsidRDefault="00D81E8E" w:rsidP="00D81E8E">
      <w:pPr>
        <w:shd w:val="clear" w:color="auto" w:fill="FFFFFF"/>
        <w:spacing w:after="0" w:line="240" w:lineRule="auto"/>
        <w:ind w:left="709" w:right="709"/>
        <w:jc w:val="both"/>
        <w:rPr>
          <w:rFonts w:ascii="Verdana" w:eastAsia="Calibri" w:hAnsi="Verdana" w:cs="Arial"/>
          <w:lang w:val="es-ES"/>
        </w:rPr>
      </w:pPr>
    </w:p>
    <w:p w14:paraId="3F13B906" w14:textId="77777777" w:rsidR="00D81E8E" w:rsidRPr="00D81E8E" w:rsidRDefault="00D81E8E" w:rsidP="00D81E8E">
      <w:pPr>
        <w:spacing w:after="0" w:line="276" w:lineRule="auto"/>
        <w:ind w:firstLine="709"/>
        <w:jc w:val="both"/>
        <w:rPr>
          <w:rFonts w:ascii="Verdana" w:eastAsia="Calibri" w:hAnsi="Verdana" w:cs="Arial"/>
          <w:lang w:val="es-MX"/>
        </w:rPr>
      </w:pPr>
      <w:r w:rsidRPr="00D81E8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72ADF025" w14:textId="77777777" w:rsidR="00D81E8E" w:rsidRPr="00D81E8E" w:rsidRDefault="00D81E8E" w:rsidP="00D81E8E">
      <w:pPr>
        <w:spacing w:after="0" w:line="276" w:lineRule="auto"/>
        <w:rPr>
          <w:rFonts w:ascii="Verdana" w:eastAsia="Times New Roman" w:hAnsi="Verdana" w:cs="Arial"/>
          <w:shd w:val="clear" w:color="auto" w:fill="FFFFFF"/>
          <w:lang w:eastAsia="es-ES_tradnl"/>
        </w:rPr>
      </w:pPr>
    </w:p>
    <w:p w14:paraId="15E2BAE6" w14:textId="77777777" w:rsidR="00D81E8E" w:rsidRPr="00D81E8E" w:rsidRDefault="00D81E8E" w:rsidP="00D81E8E">
      <w:pPr>
        <w:spacing w:after="0" w:line="240" w:lineRule="auto"/>
        <w:ind w:left="709" w:right="709"/>
        <w:jc w:val="both"/>
        <w:rPr>
          <w:rFonts w:ascii="Verdana" w:eastAsia="Calibri" w:hAnsi="Verdana" w:cs="Arial"/>
          <w:sz w:val="20"/>
          <w:szCs w:val="20"/>
          <w:lang w:val="es-MX"/>
        </w:rPr>
      </w:pPr>
      <w:r w:rsidRPr="00D81E8E">
        <w:rPr>
          <w:rFonts w:ascii="Verdana" w:eastAsia="Calibri" w:hAnsi="Verdana" w:cs="Arial"/>
          <w:sz w:val="20"/>
          <w:szCs w:val="20"/>
          <w:lang w:val="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D81E8E">
        <w:rPr>
          <w:rFonts w:ascii="Verdana" w:eastAsia="Calibri" w:hAnsi="Verdana" w:cs="Arial"/>
          <w:sz w:val="20"/>
          <w:szCs w:val="20"/>
          <w:lang w:val="es-MX"/>
        </w:rPr>
        <w:t>incompatibilidades,</w:t>
      </w:r>
      <w:proofErr w:type="gramEnd"/>
      <w:r w:rsidRPr="00D81E8E">
        <w:rPr>
          <w:rFonts w:ascii="Verdana" w:eastAsia="Calibri" w:hAnsi="Verdana" w:cs="Arial"/>
          <w:sz w:val="20"/>
          <w:szCs w:val="20"/>
          <w:lang w:val="es-MX"/>
        </w:rPr>
        <w:t xml:space="preserve"> se erige en causal de nulidad del contrato celebrado en esas condiciones (ley 80 de 1993, art. 44).</w:t>
      </w:r>
    </w:p>
    <w:p w14:paraId="3628BBFB" w14:textId="77777777" w:rsidR="00D81E8E" w:rsidRPr="00D81E8E" w:rsidRDefault="00D81E8E" w:rsidP="00D81E8E">
      <w:pPr>
        <w:spacing w:after="0" w:line="240" w:lineRule="auto"/>
        <w:ind w:left="709" w:right="709"/>
        <w:jc w:val="both"/>
        <w:rPr>
          <w:rFonts w:ascii="Verdana" w:eastAsia="Calibri" w:hAnsi="Verdana" w:cs="Arial"/>
          <w:sz w:val="20"/>
          <w:szCs w:val="20"/>
          <w:lang w:val="es-MX"/>
        </w:rPr>
      </w:pPr>
    </w:p>
    <w:p w14:paraId="53C06F63" w14:textId="77777777" w:rsidR="00D81E8E" w:rsidRPr="00D81E8E" w:rsidRDefault="00D81E8E" w:rsidP="00D81E8E">
      <w:pPr>
        <w:spacing w:after="0" w:line="240" w:lineRule="auto"/>
        <w:ind w:left="709" w:right="709"/>
        <w:jc w:val="both"/>
        <w:rPr>
          <w:rFonts w:ascii="Verdana" w:eastAsia="Calibri" w:hAnsi="Verdana" w:cs="Arial"/>
          <w:sz w:val="20"/>
          <w:szCs w:val="20"/>
          <w:lang w:val="es-MX"/>
        </w:rPr>
      </w:pPr>
      <w:r w:rsidRPr="00D81E8E">
        <w:rPr>
          <w:rFonts w:ascii="Verdana" w:eastAsia="Calibri" w:hAnsi="Verdana" w:cs="Arial"/>
          <w:sz w:val="20"/>
          <w:szCs w:val="20"/>
          <w:lang w:val="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D81E8E">
        <w:rPr>
          <w:rFonts w:ascii="Verdana" w:eastAsia="Calibri" w:hAnsi="Verdana" w:cs="Arial"/>
          <w:sz w:val="20"/>
          <w:szCs w:val="20"/>
          <w:vertAlign w:val="superscript"/>
          <w:lang w:val="es-MX"/>
        </w:rPr>
        <w:footnoteReference w:id="5"/>
      </w:r>
      <w:r w:rsidRPr="00D81E8E">
        <w:rPr>
          <w:rFonts w:ascii="Verdana" w:eastAsia="Calibri" w:hAnsi="Verdana" w:cs="Arial"/>
          <w:sz w:val="20"/>
          <w:szCs w:val="20"/>
          <w:lang w:val="es-MX"/>
        </w:rPr>
        <w:t xml:space="preserve">. </w:t>
      </w:r>
    </w:p>
    <w:p w14:paraId="187E15B0" w14:textId="77777777" w:rsidR="00D81E8E" w:rsidRPr="00D81E8E" w:rsidRDefault="00D81E8E" w:rsidP="00D81E8E">
      <w:pPr>
        <w:spacing w:after="0" w:line="276" w:lineRule="auto"/>
        <w:ind w:right="709"/>
        <w:jc w:val="both"/>
        <w:rPr>
          <w:rFonts w:ascii="Verdana" w:eastAsia="Calibri" w:hAnsi="Verdana" w:cs="Arial"/>
          <w:lang w:val="es-MX"/>
        </w:rPr>
      </w:pPr>
    </w:p>
    <w:p w14:paraId="3812C9EB" w14:textId="77777777" w:rsidR="00D81E8E" w:rsidRPr="00D81E8E" w:rsidRDefault="00D81E8E" w:rsidP="00D81E8E">
      <w:pPr>
        <w:spacing w:after="0" w:line="276" w:lineRule="auto"/>
        <w:ind w:firstLine="709"/>
        <w:jc w:val="both"/>
        <w:rPr>
          <w:rFonts w:ascii="Verdana" w:eastAsia="Calibri" w:hAnsi="Verdana" w:cs="Arial"/>
          <w:lang w:val="es-MX"/>
        </w:rPr>
      </w:pPr>
      <w:r w:rsidRPr="00D81E8E">
        <w:rPr>
          <w:rFonts w:ascii="Verdana" w:eastAsia="Calibri" w:hAnsi="Verdana" w:cs="Arial"/>
          <w:lang w:val="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43D91310" w14:textId="77777777" w:rsidR="00D81E8E" w:rsidRPr="00D81E8E" w:rsidRDefault="00D81E8E" w:rsidP="00D81E8E">
      <w:pPr>
        <w:tabs>
          <w:tab w:val="left" w:pos="1532"/>
        </w:tabs>
        <w:spacing w:after="0" w:line="276" w:lineRule="auto"/>
        <w:jc w:val="both"/>
        <w:rPr>
          <w:rFonts w:ascii="Verdana" w:eastAsia="Calibri" w:hAnsi="Verdana" w:cs="Arial"/>
          <w:lang w:val="es-MX"/>
        </w:rPr>
      </w:pPr>
    </w:p>
    <w:p w14:paraId="79BD2CB8" w14:textId="77777777" w:rsidR="00D81E8E" w:rsidRPr="00D81E8E" w:rsidRDefault="00D81E8E" w:rsidP="00D81E8E">
      <w:pPr>
        <w:spacing w:after="0" w:line="240" w:lineRule="auto"/>
        <w:ind w:left="709" w:right="709"/>
        <w:jc w:val="both"/>
        <w:rPr>
          <w:rFonts w:ascii="Verdana" w:eastAsia="Calibri" w:hAnsi="Verdana" w:cs="Arial"/>
          <w:sz w:val="20"/>
          <w:szCs w:val="20"/>
          <w:lang w:val="es-MX"/>
        </w:rPr>
      </w:pPr>
      <w:r w:rsidRPr="00D81E8E">
        <w:rPr>
          <w:rFonts w:ascii="Verdana" w:eastAsia="Calibri" w:hAnsi="Verdana" w:cs="Arial"/>
          <w:sz w:val="20"/>
          <w:szCs w:val="20"/>
          <w:lang w:val="es-MX"/>
        </w:rPr>
        <w:t xml:space="preserve">Las limitaciones y restricciones que se contienen en el citado estatuto, predicables de la relación Estado-particulares y que afectan los diversos </w:t>
      </w:r>
      <w:r w:rsidRPr="00D81E8E">
        <w:rPr>
          <w:rFonts w:ascii="Verdana" w:eastAsia="Calibri" w:hAnsi="Verdana" w:cs="Arial"/>
          <w:sz w:val="20"/>
          <w:szCs w:val="20"/>
          <w:lang w:val="es-MX"/>
        </w:rPr>
        <w:lastRenderedPageBreak/>
        <w:t xml:space="preserve">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D81E8E">
        <w:rPr>
          <w:rFonts w:ascii="Verdana" w:eastAsia="Calibri" w:hAnsi="Verdana" w:cs="Arial"/>
          <w:sz w:val="20"/>
          <w:szCs w:val="20"/>
          <w:lang w:val="es-MX"/>
        </w:rPr>
        <w:t>libertate</w:t>
      </w:r>
      <w:proofErr w:type="spellEnd"/>
      <w:r w:rsidRPr="00D81E8E">
        <w:rPr>
          <w:rFonts w:ascii="Verdana" w:eastAsia="Calibri" w:hAnsi="Verdana" w:cs="Arial"/>
          <w:sz w:val="20"/>
          <w:szCs w:val="20"/>
          <w:lang w:val="es-MX"/>
        </w:rPr>
        <w:t xml:space="preserve">, sino el de legalidad, el que ordena que la función pública debe someterse estrictamente a lo que disponga la Constitución y la ley (CP art. 6). </w:t>
      </w:r>
    </w:p>
    <w:p w14:paraId="69697BDD" w14:textId="77777777" w:rsidR="00D81E8E" w:rsidRPr="00D81E8E" w:rsidRDefault="00D81E8E" w:rsidP="00D81E8E">
      <w:pPr>
        <w:spacing w:after="0" w:line="240" w:lineRule="auto"/>
        <w:ind w:left="709" w:right="709"/>
        <w:jc w:val="both"/>
        <w:rPr>
          <w:rFonts w:ascii="Verdana" w:eastAsia="Calibri" w:hAnsi="Verdana" w:cs="Arial"/>
          <w:sz w:val="20"/>
          <w:szCs w:val="20"/>
          <w:lang w:val="es-MX"/>
        </w:rPr>
      </w:pPr>
      <w:r w:rsidRPr="00D81E8E">
        <w:rPr>
          <w:rFonts w:ascii="Verdana" w:eastAsia="Calibri" w:hAnsi="Verdana" w:cs="Arial"/>
          <w:sz w:val="20"/>
          <w:szCs w:val="20"/>
          <w:lang w:val="es-MX"/>
        </w:rPr>
        <w:t xml:space="preserve">[…] </w:t>
      </w:r>
    </w:p>
    <w:p w14:paraId="0EC1B238" w14:textId="77777777" w:rsidR="00D81E8E" w:rsidRPr="00D81E8E" w:rsidRDefault="00D81E8E" w:rsidP="00D81E8E">
      <w:pPr>
        <w:spacing w:after="0" w:line="240" w:lineRule="auto"/>
        <w:ind w:left="709" w:right="709"/>
        <w:jc w:val="both"/>
        <w:rPr>
          <w:rFonts w:ascii="Verdana" w:eastAsia="Calibri" w:hAnsi="Verdana" w:cs="Arial"/>
          <w:sz w:val="20"/>
          <w:szCs w:val="20"/>
          <w:lang w:val="es-MX"/>
        </w:rPr>
      </w:pPr>
      <w:r w:rsidRPr="00D81E8E">
        <w:rPr>
          <w:rFonts w:ascii="Verdana" w:eastAsia="Calibri" w:hAnsi="Verdana" w:cs="Arial"/>
          <w:sz w:val="20"/>
          <w:szCs w:val="20"/>
          <w:lang w:val="es-MX"/>
        </w:rPr>
        <w:t xml:space="preserve">Se comprende con facilidad que el régimen de inhabilidades e </w:t>
      </w:r>
      <w:proofErr w:type="gramStart"/>
      <w:r w:rsidRPr="00D81E8E">
        <w:rPr>
          <w:rFonts w:ascii="Verdana" w:eastAsia="Calibri" w:hAnsi="Verdana" w:cs="Arial"/>
          <w:sz w:val="20"/>
          <w:szCs w:val="20"/>
          <w:lang w:val="es-MX"/>
        </w:rPr>
        <w:t>incompatibilidades,</w:t>
      </w:r>
      <w:proofErr w:type="gramEnd"/>
      <w:r w:rsidRPr="00D81E8E">
        <w:rPr>
          <w:rFonts w:ascii="Verdana" w:eastAsia="Calibri" w:hAnsi="Verdana" w:cs="Arial"/>
          <w:sz w:val="20"/>
          <w:szCs w:val="20"/>
          <w:lang w:val="es-MX"/>
        </w:rPr>
        <w:t xml:space="preserve"> corresponde a una materia de normal y obligada inclusión en un estatuto contractual. El legislador, a quien se ha confiado expedir el indicado estatuto, tiene, pues, competencia para establecerlo (CP art. 150)</w:t>
      </w:r>
      <w:r w:rsidRPr="00D81E8E">
        <w:rPr>
          <w:rFonts w:ascii="Verdana" w:eastAsia="Calibri" w:hAnsi="Verdana" w:cs="Arial"/>
          <w:sz w:val="20"/>
          <w:szCs w:val="20"/>
          <w:vertAlign w:val="superscript"/>
          <w:lang w:val="es-MX"/>
        </w:rPr>
        <w:footnoteReference w:id="6"/>
      </w:r>
      <w:r w:rsidRPr="00D81E8E">
        <w:rPr>
          <w:rFonts w:ascii="Verdana" w:eastAsia="Calibri" w:hAnsi="Verdana" w:cs="Arial"/>
          <w:sz w:val="20"/>
          <w:szCs w:val="20"/>
          <w:lang w:val="es-MX"/>
        </w:rPr>
        <w:t>.</w:t>
      </w:r>
    </w:p>
    <w:p w14:paraId="37DEB528" w14:textId="77777777" w:rsidR="00D81E8E" w:rsidRPr="00D81E8E" w:rsidRDefault="00D81E8E" w:rsidP="00D81E8E">
      <w:pPr>
        <w:spacing w:after="0" w:line="276" w:lineRule="auto"/>
        <w:ind w:left="709" w:right="709"/>
        <w:jc w:val="both"/>
        <w:rPr>
          <w:rFonts w:ascii="Verdana" w:eastAsia="Calibri" w:hAnsi="Verdana" w:cs="Arial"/>
          <w:lang w:val="es-MX"/>
        </w:rPr>
      </w:pPr>
    </w:p>
    <w:p w14:paraId="75D89CD0" w14:textId="77777777" w:rsidR="00D81E8E" w:rsidRPr="00D81E8E" w:rsidRDefault="00D81E8E" w:rsidP="00D81E8E">
      <w:pPr>
        <w:spacing w:after="120" w:line="276" w:lineRule="auto"/>
        <w:ind w:firstLine="709"/>
        <w:jc w:val="both"/>
        <w:rPr>
          <w:rFonts w:ascii="Verdana" w:eastAsia="Calibri" w:hAnsi="Verdana" w:cs="Arial"/>
          <w:lang w:val="es-MX"/>
        </w:rPr>
      </w:pPr>
      <w:r w:rsidRPr="00D81E8E">
        <w:rPr>
          <w:rFonts w:ascii="Verdana" w:eastAsia="Calibri" w:hAnsi="Verdana" w:cs="Arial"/>
          <w:lang w:val="es-MX"/>
        </w:rPr>
        <w:t xml:space="preserve">Conviene también distinguir las fuentes de las inhabilidades, las cuales han sido clasificadas en dos (2) grupos: i) inhabilidades-sanción y </w:t>
      </w:r>
      <w:proofErr w:type="spellStart"/>
      <w:r w:rsidRPr="00D81E8E">
        <w:rPr>
          <w:rFonts w:ascii="Verdana" w:eastAsia="Calibri" w:hAnsi="Verdana" w:cs="Arial"/>
          <w:lang w:val="es-MX"/>
        </w:rPr>
        <w:t>ii</w:t>
      </w:r>
      <w:proofErr w:type="spellEnd"/>
      <w:r w:rsidRPr="00D81E8E">
        <w:rPr>
          <w:rFonts w:ascii="Verdana" w:eastAsia="Calibri" w:hAnsi="Verdana" w:cs="Arial"/>
          <w:lang w:val="es-MX"/>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D81E8E">
        <w:rPr>
          <w:rFonts w:ascii="Verdana" w:eastAsia="Calibri" w:hAnsi="Verdana" w:cs="Arial"/>
          <w:vertAlign w:val="superscript"/>
          <w:lang w:val="es-MX"/>
        </w:rPr>
        <w:footnoteReference w:id="7"/>
      </w:r>
      <w:r w:rsidRPr="00D81E8E">
        <w:rPr>
          <w:rFonts w:ascii="Verdana" w:eastAsia="Calibri" w:hAnsi="Verdana" w:cs="Arial"/>
          <w:lang w:val="es-MX"/>
        </w:rPr>
        <w:t>.</w:t>
      </w:r>
    </w:p>
    <w:p w14:paraId="1204DD3D" w14:textId="77777777" w:rsidR="00D81E8E" w:rsidRPr="00D81E8E" w:rsidRDefault="00D81E8E" w:rsidP="00D81E8E">
      <w:pPr>
        <w:spacing w:before="120" w:after="120" w:line="276" w:lineRule="auto"/>
        <w:ind w:firstLine="708"/>
        <w:jc w:val="both"/>
        <w:rPr>
          <w:rFonts w:ascii="Verdana" w:eastAsia="Calibri" w:hAnsi="Verdana" w:cs="Arial"/>
          <w:lang w:val="es-MX"/>
        </w:rPr>
      </w:pPr>
      <w:r w:rsidRPr="00D81E8E">
        <w:rPr>
          <w:rFonts w:ascii="Verdana" w:eastAsia="Calibri" w:hAnsi="Verdana" w:cs="Arial"/>
          <w:lang w:val="es-MX"/>
        </w:rPr>
        <w:t>A manera de ejemplo, en materia contractual, los literales c), d) y j) del numeral 1 del artículo 8 de la Ley 80 de 1993</w:t>
      </w:r>
      <w:r w:rsidRPr="00D81E8E">
        <w:rPr>
          <w:rFonts w:ascii="Verdana" w:eastAsia="Calibri" w:hAnsi="Verdana" w:cs="Arial"/>
          <w:vertAlign w:val="superscript"/>
          <w:lang w:val="es-MX"/>
        </w:rPr>
        <w:footnoteReference w:id="8"/>
      </w:r>
      <w:r w:rsidRPr="00D81E8E">
        <w:rPr>
          <w:rFonts w:ascii="Verdana" w:eastAsia="Calibri" w:hAnsi="Verdana" w:cs="Arial"/>
          <w:lang w:val="es-MX"/>
        </w:rPr>
        <w:t xml:space="preserve"> establecen inhabilidades-sanción, </w:t>
      </w:r>
      <w:r w:rsidRPr="00D81E8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5FA8226F" w14:textId="77777777" w:rsidR="00D81E8E" w:rsidRPr="00D81E8E" w:rsidRDefault="00D81E8E" w:rsidP="00D81E8E">
      <w:pPr>
        <w:spacing w:before="120" w:after="120" w:line="276" w:lineRule="auto"/>
        <w:ind w:firstLine="709"/>
        <w:jc w:val="both"/>
        <w:rPr>
          <w:rFonts w:ascii="Verdana" w:eastAsia="Calibri" w:hAnsi="Verdana" w:cs="Arial"/>
          <w:lang w:val="es-MX"/>
        </w:rPr>
      </w:pPr>
      <w:r w:rsidRPr="00D81E8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503DDBC8" w14:textId="77777777" w:rsidR="00D81E8E" w:rsidRPr="00D81E8E" w:rsidRDefault="00D81E8E" w:rsidP="00D81E8E">
      <w:pPr>
        <w:spacing w:before="120" w:after="120" w:line="276" w:lineRule="auto"/>
        <w:ind w:firstLine="709"/>
        <w:jc w:val="both"/>
        <w:rPr>
          <w:rFonts w:ascii="Verdana" w:eastAsia="Calibri" w:hAnsi="Verdana" w:cs="Arial"/>
          <w:lang w:val="es-ES_tradnl"/>
        </w:rPr>
      </w:pPr>
      <w:r w:rsidRPr="00D81E8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D81E8E">
        <w:rPr>
          <w:rFonts w:ascii="Verdana" w:eastAsia="Calibri" w:hAnsi="Verdana" w:cs="Arial"/>
          <w:i/>
          <w:iCs/>
          <w:lang w:val="es-ES_tradnl"/>
        </w:rPr>
        <w:t>restrictiva</w:t>
      </w:r>
      <w:r w:rsidRPr="00D81E8E">
        <w:rPr>
          <w:rFonts w:ascii="Verdana" w:eastAsia="Calibri" w:hAnsi="Verdana" w:cs="Arial"/>
          <w:i/>
          <w:iCs/>
          <w:vertAlign w:val="superscript"/>
          <w:lang w:val="es-ES_tradnl"/>
        </w:rPr>
        <w:footnoteReference w:id="9"/>
      </w:r>
      <w:r w:rsidRPr="00D81E8E">
        <w:rPr>
          <w:rFonts w:ascii="Verdana" w:eastAsia="Calibri" w:hAnsi="Verdana" w:cs="Arial"/>
          <w:i/>
          <w:iCs/>
          <w:lang w:val="es-ES_tradnl"/>
        </w:rPr>
        <w:t xml:space="preserve">, </w:t>
      </w:r>
      <w:r w:rsidRPr="00D81E8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7025713A" w14:textId="77777777" w:rsidR="00D81E8E" w:rsidRPr="00D81E8E" w:rsidRDefault="00D81E8E" w:rsidP="00D81E8E">
      <w:pPr>
        <w:spacing w:after="120" w:line="276" w:lineRule="auto"/>
        <w:ind w:firstLine="709"/>
        <w:jc w:val="both"/>
        <w:rPr>
          <w:rFonts w:ascii="Verdana" w:eastAsia="Calibri" w:hAnsi="Verdana" w:cs="Arial"/>
          <w:lang w:val="es-ES_tradnl"/>
        </w:rPr>
      </w:pPr>
      <w:r w:rsidRPr="00D81E8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D81E8E">
        <w:rPr>
          <w:rFonts w:ascii="Verdana" w:eastAsia="Calibri" w:hAnsi="Verdana" w:cs="Arial"/>
          <w:vertAlign w:val="superscript"/>
          <w:lang w:val="es-ES_tradnl"/>
        </w:rPr>
        <w:footnoteReference w:id="10"/>
      </w:r>
      <w:r w:rsidRPr="00D81E8E">
        <w:rPr>
          <w:rFonts w:ascii="Verdana" w:eastAsia="Calibri" w:hAnsi="Verdana" w:cs="Arial"/>
          <w:lang w:val="es-ES_tradnl"/>
        </w:rPr>
        <w:t xml:space="preserve">. </w:t>
      </w:r>
    </w:p>
    <w:p w14:paraId="6775BBA6" w14:textId="77777777" w:rsidR="00D81E8E" w:rsidRPr="00D81E8E" w:rsidRDefault="00D81E8E" w:rsidP="00D81E8E">
      <w:pPr>
        <w:spacing w:after="0" w:line="276" w:lineRule="auto"/>
        <w:ind w:firstLine="709"/>
        <w:jc w:val="both"/>
        <w:rPr>
          <w:rFonts w:ascii="Verdana" w:eastAsia="Calibri" w:hAnsi="Verdana" w:cs="Arial"/>
          <w:lang w:val="es-ES_tradnl"/>
        </w:rPr>
      </w:pPr>
      <w:r w:rsidRPr="00D81E8E">
        <w:rPr>
          <w:rFonts w:ascii="Verdana" w:eastAsia="Calibri" w:hAnsi="Verdana" w:cs="Arial"/>
          <w:lang w:val="es-ES_tradnl"/>
        </w:rPr>
        <w:t xml:space="preserve">Por su parte, el Consejo de Estado ha acogido también este criterio, considerando –como expresa la Sala de Consulta y Servicio Civil–, que “La </w:t>
      </w:r>
      <w:r w:rsidRPr="00D81E8E">
        <w:rPr>
          <w:rFonts w:ascii="Verdana" w:eastAsia="Calibri" w:hAnsi="Verdana" w:cs="Arial"/>
          <w:lang w:val="es-ES_tradnl"/>
        </w:rPr>
        <w:lastRenderedPageBreak/>
        <w:t>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D81E8E">
        <w:rPr>
          <w:rFonts w:ascii="Verdana" w:eastAsia="Calibri" w:hAnsi="Verdana" w:cs="Arial"/>
          <w:vertAlign w:val="superscript"/>
          <w:lang w:val="es-ES_tradnl"/>
        </w:rPr>
        <w:footnoteReference w:id="11"/>
      </w:r>
      <w:r w:rsidRPr="00D81E8E">
        <w:rPr>
          <w:rFonts w:ascii="Verdana" w:eastAsia="Calibri" w:hAnsi="Verdana" w:cs="Arial"/>
          <w:lang w:val="es-ES_tradnl"/>
        </w:rPr>
        <w:t>. En tal sentido, la Sección Tercera ha señalado que:</w:t>
      </w:r>
    </w:p>
    <w:p w14:paraId="2AACB9A1" w14:textId="77777777" w:rsidR="00D81E8E" w:rsidRPr="00D81E8E" w:rsidRDefault="00D81E8E" w:rsidP="00D81E8E">
      <w:pPr>
        <w:spacing w:after="0" w:line="276" w:lineRule="auto"/>
        <w:ind w:firstLine="709"/>
        <w:jc w:val="both"/>
        <w:rPr>
          <w:rFonts w:ascii="Verdana" w:eastAsia="Calibri" w:hAnsi="Verdana" w:cs="Arial"/>
          <w:lang w:val="es-ES_tradnl"/>
        </w:rPr>
      </w:pPr>
    </w:p>
    <w:p w14:paraId="3F5A25A9" w14:textId="77777777" w:rsidR="00D81E8E" w:rsidRPr="00D81E8E" w:rsidRDefault="00D81E8E" w:rsidP="00D81E8E">
      <w:pPr>
        <w:spacing w:after="0" w:line="240" w:lineRule="auto"/>
        <w:ind w:left="709" w:right="709"/>
        <w:jc w:val="both"/>
        <w:rPr>
          <w:rFonts w:ascii="Verdana" w:eastAsia="Calibri" w:hAnsi="Verdana" w:cs="Arial"/>
          <w:sz w:val="20"/>
          <w:szCs w:val="20"/>
          <w:lang w:val="es-ES_tradnl"/>
        </w:rPr>
      </w:pPr>
      <w:r w:rsidRPr="00D81E8E">
        <w:rPr>
          <w:rFonts w:ascii="Verdana" w:eastAsia="Calibri" w:hAnsi="Verdana" w:cs="Arial"/>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D81E8E">
        <w:rPr>
          <w:rFonts w:ascii="Verdana" w:eastAsia="Calibri" w:hAnsi="Verdana" w:cs="Arial"/>
          <w:sz w:val="20"/>
          <w:szCs w:val="20"/>
          <w:vertAlign w:val="superscript"/>
          <w:lang w:val="es-ES_tradnl"/>
        </w:rPr>
        <w:footnoteReference w:id="12"/>
      </w:r>
      <w:r w:rsidRPr="00D81E8E">
        <w:rPr>
          <w:rFonts w:ascii="Verdana" w:eastAsia="Calibri" w:hAnsi="Verdana" w:cs="Arial"/>
          <w:sz w:val="20"/>
          <w:szCs w:val="20"/>
          <w:lang w:val="es-ES_tradnl"/>
        </w:rPr>
        <w:t>.</w:t>
      </w:r>
    </w:p>
    <w:p w14:paraId="0063ABE0" w14:textId="77777777" w:rsidR="00D81E8E" w:rsidRPr="00D81E8E" w:rsidRDefault="00D81E8E" w:rsidP="00D81E8E">
      <w:pPr>
        <w:spacing w:after="0" w:line="240" w:lineRule="auto"/>
        <w:ind w:firstLine="709"/>
        <w:jc w:val="both"/>
        <w:rPr>
          <w:rFonts w:ascii="Verdana" w:eastAsia="Calibri" w:hAnsi="Verdana" w:cs="Arial"/>
          <w:sz w:val="20"/>
          <w:szCs w:val="20"/>
          <w:lang w:val="es-ES_tradnl"/>
        </w:rPr>
      </w:pPr>
    </w:p>
    <w:p w14:paraId="0AC55DEF" w14:textId="77777777" w:rsidR="00D81E8E" w:rsidRPr="00D81E8E" w:rsidRDefault="00D81E8E" w:rsidP="00D81E8E">
      <w:pPr>
        <w:spacing w:after="0" w:line="240" w:lineRule="auto"/>
        <w:ind w:firstLine="709"/>
        <w:jc w:val="both"/>
        <w:rPr>
          <w:rFonts w:ascii="Verdana" w:eastAsia="Calibri" w:hAnsi="Verdana" w:cs="Arial"/>
          <w:sz w:val="20"/>
          <w:szCs w:val="20"/>
          <w:lang w:val="es-ES_tradnl"/>
        </w:rPr>
      </w:pPr>
      <w:r w:rsidRPr="00D81E8E">
        <w:rPr>
          <w:rFonts w:ascii="Verdana" w:eastAsia="Calibri" w:hAnsi="Verdana" w:cs="Arial"/>
          <w:sz w:val="20"/>
          <w:szCs w:val="20"/>
          <w:lang w:val="es-ES_tradnl"/>
        </w:rPr>
        <w:t>También ha dicho que:</w:t>
      </w:r>
    </w:p>
    <w:p w14:paraId="50B15E16" w14:textId="77777777" w:rsidR="00D81E8E" w:rsidRPr="00D81E8E" w:rsidRDefault="00D81E8E" w:rsidP="00D81E8E">
      <w:pPr>
        <w:spacing w:after="0" w:line="240" w:lineRule="auto"/>
        <w:ind w:left="709" w:right="616"/>
        <w:jc w:val="both"/>
        <w:rPr>
          <w:rFonts w:ascii="Verdana" w:eastAsia="Calibri" w:hAnsi="Verdana" w:cs="Arial"/>
          <w:sz w:val="20"/>
          <w:szCs w:val="20"/>
          <w:lang w:val="es-ES"/>
        </w:rPr>
      </w:pPr>
      <w:r w:rsidRPr="00D81E8E">
        <w:rPr>
          <w:rFonts w:ascii="Verdana" w:eastAsia="Calibri" w:hAnsi="Verdana" w:cs="Arial"/>
          <w:sz w:val="20"/>
          <w:szCs w:val="20"/>
          <w:lang w:val="es-ES"/>
        </w:rPr>
        <w:t xml:space="preserve">[…] la aplicación de estos preceptos exige una interpretación restrictiva, dado que según el principio hermenéutico </w:t>
      </w:r>
      <w:r w:rsidRPr="00D81E8E">
        <w:rPr>
          <w:rFonts w:ascii="Verdana" w:eastAsia="Calibri" w:hAnsi="Verdana" w:cs="Arial"/>
          <w:i/>
          <w:iCs/>
          <w:sz w:val="20"/>
          <w:szCs w:val="20"/>
          <w:lang w:val="es-ES"/>
        </w:rPr>
        <w:t xml:space="preserve">pro </w:t>
      </w:r>
      <w:proofErr w:type="spellStart"/>
      <w:r w:rsidRPr="00D81E8E">
        <w:rPr>
          <w:rFonts w:ascii="Verdana" w:eastAsia="Calibri" w:hAnsi="Verdana" w:cs="Arial"/>
          <w:i/>
          <w:iCs/>
          <w:sz w:val="20"/>
          <w:szCs w:val="20"/>
          <w:lang w:val="es-ES"/>
        </w:rPr>
        <w:t>libertate</w:t>
      </w:r>
      <w:proofErr w:type="spellEnd"/>
      <w:r w:rsidRPr="00D81E8E">
        <w:rPr>
          <w:rFonts w:ascii="Verdana" w:eastAsia="Calibri" w:hAnsi="Verdana"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D81E8E">
        <w:rPr>
          <w:rFonts w:ascii="Verdana" w:eastAsia="Calibri" w:hAnsi="Verdana" w:cs="Arial"/>
          <w:sz w:val="20"/>
          <w:szCs w:val="20"/>
          <w:vertAlign w:val="superscript"/>
          <w:lang w:val="es-ES"/>
        </w:rPr>
        <w:footnoteReference w:id="13"/>
      </w:r>
      <w:r w:rsidRPr="00D81E8E">
        <w:rPr>
          <w:rFonts w:ascii="Verdana" w:eastAsia="Calibri" w:hAnsi="Verdana" w:cs="Arial"/>
          <w:sz w:val="20"/>
          <w:szCs w:val="20"/>
          <w:lang w:val="es-ES"/>
        </w:rPr>
        <w:t>.</w:t>
      </w:r>
    </w:p>
    <w:p w14:paraId="3F73460D" w14:textId="77777777" w:rsidR="00D81E8E" w:rsidRPr="00D81E8E" w:rsidRDefault="00D81E8E" w:rsidP="00D81E8E">
      <w:pPr>
        <w:spacing w:after="0" w:line="276" w:lineRule="auto"/>
        <w:jc w:val="both"/>
        <w:rPr>
          <w:rFonts w:ascii="Verdana" w:eastAsia="Arial" w:hAnsi="Verdana" w:cs="Arial"/>
          <w:color w:val="000000"/>
          <w:lang w:val="es-ES_tradnl"/>
        </w:rPr>
      </w:pPr>
    </w:p>
    <w:p w14:paraId="445349FF" w14:textId="77777777" w:rsidR="00D81E8E" w:rsidRPr="00D81E8E" w:rsidRDefault="00D81E8E" w:rsidP="00D81E8E">
      <w:pPr>
        <w:spacing w:after="120" w:line="276" w:lineRule="auto"/>
        <w:ind w:firstLine="708"/>
        <w:jc w:val="both"/>
        <w:rPr>
          <w:rFonts w:ascii="Verdana" w:eastAsia="Calibri" w:hAnsi="Verdana" w:cs="Arial"/>
          <w:color w:val="000000"/>
          <w:lang w:val="es-MX"/>
        </w:rPr>
      </w:pPr>
      <w:r w:rsidRPr="00D81E8E">
        <w:rPr>
          <w:rFonts w:ascii="Verdana" w:eastAsia="Arial" w:hAnsi="Verdana" w:cs="Arial"/>
          <w:color w:val="000000"/>
          <w:lang w:val="es-ES_tradnl"/>
        </w:rPr>
        <w:t xml:space="preserve">Como se aprecia, el principio </w:t>
      </w:r>
      <w:r w:rsidRPr="00D81E8E">
        <w:rPr>
          <w:rFonts w:ascii="Verdana" w:eastAsia="Arial" w:hAnsi="Verdana" w:cs="Arial"/>
          <w:i/>
          <w:iCs/>
          <w:color w:val="000000"/>
          <w:lang w:val="es-ES_tradnl"/>
        </w:rPr>
        <w:t xml:space="preserve">pro </w:t>
      </w:r>
      <w:proofErr w:type="spellStart"/>
      <w:r w:rsidRPr="00D81E8E">
        <w:rPr>
          <w:rFonts w:ascii="Verdana" w:eastAsia="Arial" w:hAnsi="Verdana" w:cs="Arial"/>
          <w:i/>
          <w:iCs/>
          <w:color w:val="000000"/>
          <w:lang w:val="es-ES_tradnl"/>
        </w:rPr>
        <w:t>libertate</w:t>
      </w:r>
      <w:proofErr w:type="spellEnd"/>
      <w:r w:rsidRPr="00D81E8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D81E8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w:t>
      </w:r>
      <w:r w:rsidRPr="00D81E8E">
        <w:rPr>
          <w:rFonts w:ascii="Verdana" w:eastAsia="Calibri" w:hAnsi="Verdana" w:cs="Arial"/>
          <w:color w:val="000000"/>
          <w:lang w:val="es-MX"/>
        </w:rPr>
        <w:lastRenderedPageBreak/>
        <w:t>conforme al artículo 150 de la Constitución Política, y que en esta materia rige el principio de legalidad</w:t>
      </w:r>
      <w:r w:rsidRPr="00D81E8E">
        <w:rPr>
          <w:rFonts w:ascii="Verdana" w:eastAsia="Calibri" w:hAnsi="Verdana" w:cs="Arial"/>
          <w:color w:val="000000"/>
          <w:vertAlign w:val="superscript"/>
          <w:lang w:val="es-MX"/>
        </w:rPr>
        <w:footnoteReference w:id="14"/>
      </w:r>
    </w:p>
    <w:p w14:paraId="4A4A9D58" w14:textId="77777777" w:rsidR="00D81E8E" w:rsidRPr="00D81E8E" w:rsidRDefault="00D81E8E" w:rsidP="00D81E8E">
      <w:pPr>
        <w:spacing w:after="120" w:line="276" w:lineRule="auto"/>
        <w:ind w:firstLine="709"/>
        <w:jc w:val="both"/>
        <w:rPr>
          <w:rFonts w:ascii="Verdana" w:eastAsia="MS Mincho" w:hAnsi="Verdana" w:cs="Arial"/>
          <w:color w:val="000000"/>
          <w:shd w:val="clear" w:color="auto" w:fill="FFFFFF"/>
        </w:rPr>
      </w:pPr>
      <w:r w:rsidRPr="00D81E8E">
        <w:rPr>
          <w:rFonts w:ascii="Verdana" w:eastAsia="Calibri" w:hAnsi="Verdana" w:cs="Arial"/>
          <w:shd w:val="clear" w:color="auto" w:fill="FFFFFF"/>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D81E8E">
        <w:rPr>
          <w:rFonts w:ascii="Verdana" w:eastAsia="Calibri" w:hAnsi="Verdana" w:cs="Arial"/>
          <w:shd w:val="clear" w:color="auto" w:fill="FFFFFF"/>
          <w:vertAlign w:val="superscript"/>
          <w:lang w:val="es-MX"/>
        </w:rPr>
        <w:footnoteReference w:id="15"/>
      </w:r>
      <w:r w:rsidRPr="00D81E8E">
        <w:rPr>
          <w:rFonts w:ascii="Verdana" w:eastAsia="Calibri" w:hAnsi="Verdana" w:cs="Arial"/>
          <w:shd w:val="clear" w:color="auto" w:fill="FFFFFF"/>
          <w:lang w:val="es-MX"/>
        </w:rPr>
        <w:t xml:space="preserve"> En similar sentido, la Sala de Consulta y Servicio Civil del Consejo de Estado expresó </w:t>
      </w:r>
      <w:r w:rsidRPr="00D81E8E">
        <w:rPr>
          <w:rFonts w:ascii="Verdana" w:eastAsia="Calibri" w:hAnsi="Verdana" w:cs="Arial"/>
          <w:color w:val="000000"/>
          <w:shd w:val="clear" w:color="auto" w:fill="FFFFFF"/>
          <w:lang w:val="es-MX"/>
        </w:rPr>
        <w:t>que “[…] las causales de inhabilidad e incompatibilidad deben estar expresa y taxativamente establecidas en la Constitución o en la ley y son de aplicación e interpretación restrictivas […]”</w:t>
      </w:r>
      <w:r w:rsidRPr="00D81E8E">
        <w:rPr>
          <w:rFonts w:ascii="Verdana" w:eastAsia="Calibri" w:hAnsi="Verdana" w:cs="Arial"/>
          <w:color w:val="000000"/>
          <w:shd w:val="clear" w:color="auto" w:fill="FFFFFF"/>
          <w:vertAlign w:val="superscript"/>
          <w:lang w:val="es-MX"/>
        </w:rPr>
        <w:footnoteReference w:id="16"/>
      </w:r>
      <w:r w:rsidRPr="00D81E8E">
        <w:rPr>
          <w:rFonts w:ascii="Verdana" w:eastAsia="Calibri" w:hAnsi="Verdana" w:cs="Arial"/>
          <w:color w:val="000000"/>
          <w:shd w:val="clear" w:color="auto" w:fill="FFFFFF"/>
          <w:lang w:val="es-MX"/>
        </w:rPr>
        <w:t xml:space="preserve">. </w:t>
      </w:r>
      <w:r w:rsidRPr="00D81E8E">
        <w:rPr>
          <w:rFonts w:ascii="Verdana" w:eastAsia="MS Mincho" w:hAnsi="Verdana" w:cs="Arial"/>
          <w:color w:val="000000"/>
          <w:shd w:val="clear" w:color="auto" w:fill="FFFFFF"/>
          <w:lang w:val="es-MX"/>
        </w:rPr>
        <w:t xml:space="preserve">Como se observa, </w:t>
      </w:r>
      <w:r w:rsidRPr="00D81E8E">
        <w:rPr>
          <w:rFonts w:ascii="Verdana" w:eastAsia="MS Mincho" w:hAnsi="Verdana" w:cs="Arial"/>
          <w:color w:val="000000"/>
          <w:shd w:val="clear" w:color="auto" w:fill="FFFFFF"/>
        </w:rPr>
        <w:t>existe consenso, incluso como lo ha expresado esta Agencia en ocasiones anteriores, que la creación de inhabilidades o incompatibilidades está reservada al constituyente o al legislador.</w:t>
      </w:r>
    </w:p>
    <w:p w14:paraId="2B830D6A" w14:textId="77777777" w:rsidR="00D81E8E" w:rsidRPr="00D81E8E" w:rsidRDefault="00D81E8E" w:rsidP="00D81E8E">
      <w:pPr>
        <w:spacing w:after="0" w:line="276" w:lineRule="auto"/>
        <w:ind w:firstLine="709"/>
        <w:jc w:val="both"/>
        <w:rPr>
          <w:rFonts w:ascii="Verdana" w:hAnsi="Verdana" w:cs="Arial"/>
          <w:bCs/>
          <w:color w:val="000000" w:themeColor="text1"/>
        </w:rPr>
      </w:pPr>
      <w:r w:rsidRPr="00D81E8E">
        <w:rPr>
          <w:rFonts w:ascii="Verdana" w:eastAsia="Calibri" w:hAnsi="Verdana" w:cs="Arial"/>
          <w:color w:val="000000"/>
          <w:shd w:val="clear" w:color="auto" w:fill="FFFFFF"/>
          <w:lang w:val="es-MX"/>
        </w:rPr>
        <w:t xml:space="preserve">A partir de estas precisiones expuestas en este aparte, se señala que no existe una inhabilidad o incompatibilidad de una persona natural o jurídica para </w:t>
      </w:r>
      <w:r w:rsidRPr="00D81E8E">
        <w:rPr>
          <w:rFonts w:ascii="Verdana" w:hAnsi="Verdana" w:cs="Arial"/>
          <w:bCs/>
          <w:color w:val="000000" w:themeColor="text1"/>
        </w:rPr>
        <w:t xml:space="preserve">pertenecer como miembro de tres proponentes plurales –consorcio o unión temporal- en un mismo proceso de contratación, y este acredite experiencia para los tres proponentes. En este sentido, de las causales dispuestas en el Sistema de Compras y Contratación Pública, en especial de la Ley 80, no hay una inhabilidad que se enmarque en el supuesto, y que no requiera una interpretación extensiva. </w:t>
      </w:r>
    </w:p>
    <w:p w14:paraId="5DA66A2E" w14:textId="77777777" w:rsidR="00D81E8E" w:rsidRPr="00D81E8E" w:rsidRDefault="00D81E8E" w:rsidP="00D81E8E">
      <w:pPr>
        <w:spacing w:after="0" w:line="276" w:lineRule="auto"/>
        <w:ind w:firstLine="709"/>
        <w:jc w:val="both"/>
        <w:rPr>
          <w:rFonts w:ascii="Verdana" w:eastAsia="Calibri" w:hAnsi="Verdana" w:cs="Arial"/>
        </w:rPr>
      </w:pPr>
    </w:p>
    <w:p w14:paraId="54445C46" w14:textId="77777777" w:rsidR="00D81E8E" w:rsidRPr="00D81E8E" w:rsidRDefault="00D81E8E" w:rsidP="00D81E8E">
      <w:pPr>
        <w:spacing w:before="120" w:after="120" w:line="276" w:lineRule="auto"/>
        <w:jc w:val="both"/>
        <w:rPr>
          <w:rFonts w:ascii="Verdana" w:eastAsia="Calibri" w:hAnsi="Verdana" w:cs="Arial"/>
        </w:rPr>
      </w:pPr>
      <w:proofErr w:type="spellStart"/>
      <w:r w:rsidRPr="00D81E8E">
        <w:rPr>
          <w:rFonts w:ascii="Verdana" w:eastAsia="Calibri" w:hAnsi="Verdana" w:cs="Arial"/>
          <w:lang w:val="es-ES"/>
        </w:rPr>
        <w:t>ii</w:t>
      </w:r>
      <w:proofErr w:type="spellEnd"/>
      <w:r w:rsidRPr="00D81E8E">
        <w:rPr>
          <w:rFonts w:ascii="Verdana" w:eastAsia="Calibri" w:hAnsi="Verdana" w:cs="Arial"/>
          <w:lang w:val="es-ES"/>
        </w:rPr>
        <w:t>)</w:t>
      </w:r>
      <w:r w:rsidRPr="00D81E8E">
        <w:rPr>
          <w:rFonts w:ascii="Verdana" w:eastAsia="Calibri" w:hAnsi="Verdana" w:cs="Arial"/>
          <w:shd w:val="clear" w:color="auto" w:fill="FFFFFF"/>
        </w:rPr>
        <w:t xml:space="preserve"> </w:t>
      </w:r>
      <w:r w:rsidRPr="00D81E8E">
        <w:rPr>
          <w:rFonts w:ascii="Verdana" w:eastAsia="Calibri" w:hAnsi="Verdana" w:cs="Arial"/>
        </w:rPr>
        <w:t xml:space="preserve">El artículo 6 de la Ley 80 de 1993 señala que pueden celebrar contratos con las Entidades Estatales las personas naturales, las personas jurídicas que tengan dentro de su objeto social actividades relacionadas con el objeto a contratar y, por virtud de la ley, los consorcios y uniones temporales. </w:t>
      </w:r>
    </w:p>
    <w:p w14:paraId="5D94C30B" w14:textId="77777777" w:rsidR="00D81E8E" w:rsidRPr="00D81E8E" w:rsidRDefault="00D81E8E" w:rsidP="00D81E8E">
      <w:pPr>
        <w:spacing w:before="120" w:after="120" w:line="276" w:lineRule="auto"/>
        <w:ind w:firstLine="708"/>
        <w:jc w:val="both"/>
        <w:rPr>
          <w:rFonts w:ascii="Verdana" w:eastAsia="Calibri" w:hAnsi="Verdana" w:cs="Arial"/>
          <w:lang w:val="es-MX"/>
        </w:rPr>
      </w:pPr>
      <w:r w:rsidRPr="00D81E8E">
        <w:rPr>
          <w:rFonts w:ascii="Verdana" w:eastAsia="Calibri" w:hAnsi="Verdana" w:cs="Arial"/>
          <w:lang w:val="es-MX"/>
        </w:rPr>
        <w:lastRenderedPageBreak/>
        <w:t>La capacidad para contratar y de realizar actos jurídicamente vinculantes, como la presentación de una oferta en un procedimiento de selección de contratistas, se consideró por mucho tiempo uno de los atributos de la personalidad reservado a las personas jurídicas y naturales. No obstante, el progreso en las formas negociales y asociativas hizo necesario reconocer nuevas estructuras plurales y otorgarles atributos que tradicionalmente habían estado reservados a las personas jurídicas. En este sentido, la Corte Constitucional ha sostenido sobre la capacidad para contratar otorgada a los consorcios y uniones temporales:</w:t>
      </w:r>
    </w:p>
    <w:p w14:paraId="2F0B6021" w14:textId="77777777" w:rsidR="00D81E8E" w:rsidRPr="00D81E8E" w:rsidRDefault="00D81E8E" w:rsidP="00D81E8E">
      <w:pPr>
        <w:spacing w:after="0" w:line="276" w:lineRule="auto"/>
        <w:ind w:firstLine="709"/>
        <w:jc w:val="both"/>
        <w:rPr>
          <w:rFonts w:ascii="Verdana" w:eastAsia="Calibri" w:hAnsi="Verdana" w:cs="Arial"/>
          <w:lang w:val="es-MX"/>
        </w:rPr>
      </w:pPr>
    </w:p>
    <w:p w14:paraId="62739160" w14:textId="77777777" w:rsidR="00D81E8E" w:rsidRPr="00D81E8E" w:rsidRDefault="00D81E8E" w:rsidP="00D81E8E">
      <w:pPr>
        <w:spacing w:after="0" w:line="240" w:lineRule="auto"/>
        <w:ind w:left="709" w:right="709"/>
        <w:jc w:val="both"/>
        <w:rPr>
          <w:rFonts w:ascii="Verdana" w:eastAsia="Calibri" w:hAnsi="Verdana" w:cs="Arial"/>
          <w:sz w:val="20"/>
          <w:szCs w:val="20"/>
        </w:rPr>
      </w:pPr>
      <w:r w:rsidRPr="00D81E8E">
        <w:rPr>
          <w:rFonts w:ascii="Verdana" w:eastAsia="Calibri" w:hAnsi="Verdana" w:cs="Arial"/>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069D0358" w14:textId="77777777" w:rsidR="00D81E8E" w:rsidRPr="00D81E8E" w:rsidRDefault="00D81E8E" w:rsidP="00D81E8E">
      <w:pPr>
        <w:spacing w:after="0" w:line="240" w:lineRule="auto"/>
        <w:ind w:left="709" w:right="709"/>
        <w:jc w:val="both"/>
        <w:rPr>
          <w:rFonts w:ascii="Verdana" w:eastAsia="Calibri" w:hAnsi="Verdana" w:cs="Arial"/>
          <w:sz w:val="20"/>
          <w:szCs w:val="20"/>
        </w:rPr>
      </w:pPr>
      <w:r w:rsidRPr="00D81E8E">
        <w:rPr>
          <w:rFonts w:ascii="Verdana" w:eastAsia="Calibri" w:hAnsi="Verdana" w:cs="Arial"/>
          <w:sz w:val="20"/>
          <w:szCs w:val="20"/>
        </w:rPr>
        <w:t>[…]</w:t>
      </w:r>
    </w:p>
    <w:p w14:paraId="5095F6EC" w14:textId="77777777" w:rsidR="00D81E8E" w:rsidRPr="00D81E8E" w:rsidRDefault="00D81E8E" w:rsidP="00D81E8E">
      <w:pPr>
        <w:spacing w:after="0" w:line="240" w:lineRule="auto"/>
        <w:ind w:left="709" w:right="709"/>
        <w:jc w:val="both"/>
        <w:rPr>
          <w:rFonts w:ascii="Verdana" w:eastAsia="Calibri" w:hAnsi="Verdana" w:cs="Arial"/>
          <w:sz w:val="20"/>
          <w:szCs w:val="20"/>
        </w:rPr>
      </w:pPr>
    </w:p>
    <w:p w14:paraId="242E9F2B" w14:textId="77777777" w:rsidR="00D81E8E" w:rsidRPr="00D81E8E" w:rsidRDefault="00D81E8E" w:rsidP="00D81E8E">
      <w:pPr>
        <w:spacing w:after="0" w:line="240" w:lineRule="auto"/>
        <w:ind w:left="709" w:right="709"/>
        <w:jc w:val="both"/>
        <w:rPr>
          <w:rFonts w:ascii="Verdana" w:eastAsia="Calibri" w:hAnsi="Verdana" w:cs="Arial"/>
          <w:sz w:val="20"/>
          <w:szCs w:val="20"/>
        </w:rPr>
      </w:pPr>
      <w:r w:rsidRPr="00D81E8E">
        <w:rPr>
          <w:rFonts w:ascii="Verdana" w:eastAsia="Calibri" w:hAnsi="Verdana" w:cs="Arial"/>
          <w:sz w:val="20"/>
          <w:szCs w:val="20"/>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D81E8E">
        <w:rPr>
          <w:rFonts w:ascii="Verdana" w:eastAsia="Calibri" w:hAnsi="Verdana" w:cs="Arial"/>
          <w:sz w:val="20"/>
          <w:szCs w:val="20"/>
          <w:vertAlign w:val="superscript"/>
        </w:rPr>
        <w:footnoteReference w:id="17"/>
      </w:r>
      <w:r w:rsidRPr="00D81E8E">
        <w:rPr>
          <w:rFonts w:ascii="Verdana" w:eastAsia="Calibri" w:hAnsi="Verdana" w:cs="Arial"/>
          <w:sz w:val="20"/>
          <w:szCs w:val="20"/>
        </w:rPr>
        <w:t>.</w:t>
      </w:r>
    </w:p>
    <w:p w14:paraId="2B9CE986" w14:textId="77777777" w:rsidR="00D81E8E" w:rsidRPr="00D81E8E" w:rsidRDefault="00D81E8E" w:rsidP="00D81E8E">
      <w:pPr>
        <w:spacing w:after="0" w:line="240" w:lineRule="auto"/>
        <w:ind w:left="709" w:right="709"/>
        <w:jc w:val="both"/>
        <w:rPr>
          <w:rFonts w:ascii="Verdana" w:eastAsia="Calibri" w:hAnsi="Verdana" w:cs="Arial"/>
          <w:sz w:val="20"/>
          <w:szCs w:val="20"/>
        </w:rPr>
      </w:pPr>
    </w:p>
    <w:p w14:paraId="3DB7764C" w14:textId="77777777" w:rsidR="00D81E8E" w:rsidRPr="00D81E8E" w:rsidRDefault="00D81E8E" w:rsidP="00D81E8E">
      <w:pPr>
        <w:spacing w:before="120" w:after="120" w:line="276" w:lineRule="auto"/>
        <w:ind w:firstLine="708"/>
        <w:jc w:val="both"/>
        <w:rPr>
          <w:rFonts w:ascii="Verdana" w:eastAsia="Calibri" w:hAnsi="Verdana"/>
        </w:rPr>
      </w:pPr>
      <w:r w:rsidRPr="00D81E8E">
        <w:rPr>
          <w:rFonts w:ascii="Verdana" w:eastAsia="Calibri" w:hAnsi="Verdana"/>
        </w:rPr>
        <w:t>De un lado, la Corte Constitucional destaca que las estructuras plurales son el reconocimiento de una realidad negocial en materia de contratación estatal, de otro, resalta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w:t>
      </w:r>
    </w:p>
    <w:p w14:paraId="4242196D" w14:textId="77777777" w:rsidR="00D81E8E" w:rsidRPr="00D81E8E" w:rsidRDefault="00D81E8E" w:rsidP="00D81E8E">
      <w:pPr>
        <w:spacing w:before="120" w:after="120" w:line="276" w:lineRule="auto"/>
        <w:ind w:firstLine="708"/>
        <w:jc w:val="both"/>
        <w:rPr>
          <w:rFonts w:ascii="Verdana" w:eastAsia="Calibri" w:hAnsi="Verdana" w:cs="Arial"/>
        </w:rPr>
      </w:pPr>
      <w:r w:rsidRPr="00D81E8E">
        <w:rPr>
          <w:rFonts w:ascii="Verdana" w:eastAsia="Calibri" w:hAnsi="Verdana" w:cs="Arial"/>
        </w:rPr>
        <w:lastRenderedPageBreak/>
        <w:t>En línea con lo anterior, los consorcios y las uniones temporales no son personas jurídicas, pero su creación depende de un acuerdo en el que concurre la voluntad de sus integrantes para determinar su objeto, la participación de los miembros, las obligaciones frente al proyecto, su responsabilidad, la forma en que regirán sus relaciones internas y el relacionamiento con la entidad contratante, mediante la designación de un representante. Al respecto, el parágrafo 1 del artículo 7 de la Ley 80 de 1993 dispone que:</w:t>
      </w:r>
    </w:p>
    <w:p w14:paraId="7CD63FF0" w14:textId="77777777" w:rsidR="00D81E8E" w:rsidRPr="00D81E8E" w:rsidRDefault="00D81E8E" w:rsidP="00D81E8E">
      <w:pPr>
        <w:spacing w:after="0" w:line="276" w:lineRule="auto"/>
        <w:ind w:firstLine="709"/>
        <w:jc w:val="both"/>
        <w:rPr>
          <w:rFonts w:ascii="Verdana" w:eastAsia="Calibri" w:hAnsi="Verdana" w:cs="Arial"/>
        </w:rPr>
      </w:pPr>
    </w:p>
    <w:p w14:paraId="425FD61E" w14:textId="77777777" w:rsidR="00D81E8E" w:rsidRPr="00D81E8E" w:rsidRDefault="00D81E8E" w:rsidP="00D81E8E">
      <w:pPr>
        <w:spacing w:after="0" w:line="240" w:lineRule="auto"/>
        <w:ind w:left="709" w:right="616"/>
        <w:contextualSpacing/>
        <w:jc w:val="both"/>
        <w:rPr>
          <w:rFonts w:ascii="Verdana" w:eastAsia="Calibri" w:hAnsi="Verdana" w:cs="Arial"/>
          <w:sz w:val="20"/>
          <w:szCs w:val="20"/>
          <w:lang w:val="es-MX"/>
        </w:rPr>
      </w:pPr>
      <w:r w:rsidRPr="00D81E8E">
        <w:rPr>
          <w:rFonts w:ascii="Verdana" w:eastAsia="Calibri" w:hAnsi="Verdana" w:cs="Arial"/>
          <w:bCs/>
          <w:color w:val="000000" w:themeColor="text1"/>
          <w:sz w:val="20"/>
          <w:szCs w:val="20"/>
          <w:lang w:val="es-MX"/>
        </w:rPr>
        <w:t>“</w:t>
      </w:r>
      <w:r w:rsidRPr="00D81E8E">
        <w:rPr>
          <w:rFonts w:ascii="Verdana" w:eastAsia="Calibri" w:hAnsi="Verdana" w:cs="Arial"/>
          <w:sz w:val="20"/>
          <w:szCs w:val="20"/>
          <w:lang w:val="es-MX"/>
        </w:rPr>
        <w:t xml:space="preserve">Para los efectos de esta Ley se entiende </w:t>
      </w:r>
      <w:proofErr w:type="gramStart"/>
      <w:r w:rsidRPr="00D81E8E">
        <w:rPr>
          <w:rFonts w:ascii="Verdana" w:eastAsia="Calibri" w:hAnsi="Verdana" w:cs="Arial"/>
          <w:sz w:val="20"/>
          <w:szCs w:val="20"/>
          <w:lang w:val="es-MX"/>
        </w:rPr>
        <w:t>por:[</w:t>
      </w:r>
      <w:proofErr w:type="gramEnd"/>
      <w:r w:rsidRPr="00D81E8E">
        <w:rPr>
          <w:rFonts w:ascii="Verdana" w:eastAsia="Calibri" w:hAnsi="Verdana" w:cs="Arial"/>
          <w:sz w:val="20"/>
          <w:szCs w:val="20"/>
          <w:lang w:val="es-MX"/>
        </w:rPr>
        <w:t>…]</w:t>
      </w:r>
    </w:p>
    <w:p w14:paraId="71A62785" w14:textId="77777777" w:rsidR="00D81E8E" w:rsidRPr="00D81E8E" w:rsidRDefault="00D81E8E" w:rsidP="00D81E8E">
      <w:pPr>
        <w:spacing w:after="0" w:line="240" w:lineRule="auto"/>
        <w:ind w:left="709" w:right="616"/>
        <w:contextualSpacing/>
        <w:jc w:val="both"/>
        <w:rPr>
          <w:rFonts w:ascii="Verdana" w:eastAsia="Calibri" w:hAnsi="Verdana" w:cs="Arial"/>
          <w:sz w:val="20"/>
          <w:szCs w:val="20"/>
          <w:lang w:val="es-MX"/>
        </w:rPr>
      </w:pPr>
    </w:p>
    <w:p w14:paraId="0E47055E" w14:textId="77777777" w:rsidR="00D81E8E" w:rsidRPr="00D81E8E" w:rsidRDefault="00D81E8E" w:rsidP="00D81E8E">
      <w:pPr>
        <w:spacing w:after="120" w:line="240" w:lineRule="auto"/>
        <w:ind w:left="709" w:right="616"/>
        <w:contextualSpacing/>
        <w:jc w:val="both"/>
        <w:rPr>
          <w:rFonts w:ascii="Verdana" w:eastAsia="Calibri" w:hAnsi="Verdana" w:cs="Arial"/>
          <w:sz w:val="20"/>
          <w:szCs w:val="20"/>
          <w:lang w:val="es-MX"/>
        </w:rPr>
      </w:pPr>
      <w:r w:rsidRPr="00D81E8E">
        <w:rPr>
          <w:rFonts w:ascii="Verdana" w:eastAsia="Calibri" w:hAnsi="Verdana" w:cs="Arial"/>
          <w:sz w:val="20"/>
          <w:szCs w:val="20"/>
          <w:lang w:val="es-MX"/>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55A597ED" w14:textId="77777777" w:rsidR="00D81E8E" w:rsidRPr="00D81E8E" w:rsidRDefault="00D81E8E" w:rsidP="00D81E8E">
      <w:pPr>
        <w:spacing w:after="120" w:line="240" w:lineRule="auto"/>
        <w:ind w:left="709" w:right="616"/>
        <w:contextualSpacing/>
        <w:jc w:val="both"/>
        <w:rPr>
          <w:rFonts w:ascii="Verdana" w:eastAsia="Calibri" w:hAnsi="Verdana" w:cs="Arial"/>
          <w:sz w:val="20"/>
          <w:szCs w:val="20"/>
          <w:lang w:val="es-MX"/>
        </w:rPr>
      </w:pPr>
    </w:p>
    <w:p w14:paraId="4CC24274" w14:textId="77777777" w:rsidR="00D81E8E" w:rsidRPr="00D81E8E" w:rsidRDefault="00D81E8E" w:rsidP="00D81E8E">
      <w:pPr>
        <w:spacing w:after="0" w:line="240" w:lineRule="auto"/>
        <w:ind w:left="709" w:right="616"/>
        <w:contextualSpacing/>
        <w:jc w:val="both"/>
        <w:rPr>
          <w:rFonts w:ascii="Verdana" w:eastAsia="Calibri" w:hAnsi="Verdana" w:cs="Arial"/>
          <w:sz w:val="20"/>
          <w:szCs w:val="20"/>
          <w:lang w:val="es-MX"/>
        </w:rPr>
      </w:pPr>
      <w:r w:rsidRPr="00D81E8E">
        <w:rPr>
          <w:rFonts w:ascii="Verdana" w:eastAsia="Calibri" w:hAnsi="Verdana" w:cs="Arial"/>
          <w:sz w:val="20"/>
          <w:szCs w:val="20"/>
          <w:lang w:val="es-MX"/>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537C306F" w14:textId="77777777" w:rsidR="00D81E8E" w:rsidRPr="00D81E8E" w:rsidRDefault="00D81E8E" w:rsidP="00D81E8E">
      <w:pPr>
        <w:spacing w:after="0" w:line="240" w:lineRule="auto"/>
        <w:ind w:left="709" w:right="616"/>
        <w:contextualSpacing/>
        <w:jc w:val="both"/>
        <w:rPr>
          <w:rFonts w:ascii="Verdana" w:eastAsia="Calibri" w:hAnsi="Verdana" w:cs="Arial"/>
          <w:bCs/>
          <w:color w:val="000000" w:themeColor="text1"/>
          <w:sz w:val="20"/>
          <w:szCs w:val="20"/>
          <w:lang w:val="es-MX"/>
        </w:rPr>
      </w:pPr>
      <w:r w:rsidRPr="00D81E8E">
        <w:rPr>
          <w:rFonts w:ascii="Verdana" w:eastAsia="Calibri" w:hAnsi="Verdana" w:cs="Arial"/>
          <w:bCs/>
          <w:color w:val="000000" w:themeColor="text1"/>
          <w:sz w:val="20"/>
          <w:szCs w:val="20"/>
          <w:lang w:val="es-MX"/>
        </w:rPr>
        <w:t>[…]</w:t>
      </w:r>
    </w:p>
    <w:p w14:paraId="5E5AF96D" w14:textId="77777777" w:rsidR="00D81E8E" w:rsidRPr="00D81E8E" w:rsidRDefault="00D81E8E" w:rsidP="00D81E8E">
      <w:pPr>
        <w:spacing w:after="0" w:line="240" w:lineRule="auto"/>
        <w:ind w:left="709" w:right="616"/>
        <w:contextualSpacing/>
        <w:jc w:val="both"/>
        <w:rPr>
          <w:rFonts w:ascii="Verdana" w:eastAsia="Calibri" w:hAnsi="Verdana" w:cs="Arial"/>
          <w:bCs/>
          <w:color w:val="000000" w:themeColor="text1"/>
          <w:sz w:val="20"/>
          <w:szCs w:val="20"/>
          <w:lang w:val="es-MX"/>
        </w:rPr>
      </w:pPr>
    </w:p>
    <w:p w14:paraId="631FA20A" w14:textId="77777777" w:rsidR="00D81E8E" w:rsidRPr="00D81E8E" w:rsidRDefault="00D81E8E" w:rsidP="00D81E8E">
      <w:pPr>
        <w:spacing w:after="0" w:line="240" w:lineRule="auto"/>
        <w:ind w:left="709" w:right="616"/>
        <w:contextualSpacing/>
        <w:jc w:val="both"/>
        <w:rPr>
          <w:rFonts w:ascii="Verdana" w:eastAsia="Calibri" w:hAnsi="Verdana" w:cs="Arial"/>
          <w:bCs/>
          <w:color w:val="000000" w:themeColor="text1"/>
          <w:sz w:val="20"/>
          <w:szCs w:val="20"/>
          <w:lang w:val="es-MX"/>
        </w:rPr>
      </w:pPr>
      <w:r w:rsidRPr="00D81E8E">
        <w:rPr>
          <w:rFonts w:ascii="Verdana" w:eastAsia="Calibri" w:hAnsi="Verdana" w:cs="Arial"/>
          <w:bCs/>
          <w:color w:val="000000" w:themeColor="text1"/>
          <w:sz w:val="20"/>
          <w:szCs w:val="20"/>
          <w:lang w:val="es-MX"/>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4F98327F" w14:textId="77777777" w:rsidR="00D81E8E" w:rsidRPr="00D81E8E" w:rsidRDefault="00D81E8E" w:rsidP="00D81E8E">
      <w:pPr>
        <w:spacing w:after="0" w:line="240" w:lineRule="auto"/>
        <w:ind w:left="709" w:right="616"/>
        <w:contextualSpacing/>
        <w:jc w:val="both"/>
        <w:rPr>
          <w:rFonts w:ascii="Verdana" w:eastAsia="Calibri" w:hAnsi="Verdana" w:cs="Arial"/>
          <w:bCs/>
          <w:color w:val="000000" w:themeColor="text1"/>
          <w:sz w:val="20"/>
          <w:szCs w:val="20"/>
          <w:lang w:val="es-MX"/>
        </w:rPr>
      </w:pPr>
    </w:p>
    <w:p w14:paraId="1CD61C50" w14:textId="77777777" w:rsidR="00D81E8E" w:rsidRPr="00D81E8E" w:rsidRDefault="00D81E8E" w:rsidP="00D81E8E">
      <w:pPr>
        <w:spacing w:after="0" w:line="240" w:lineRule="auto"/>
        <w:ind w:left="709" w:right="616"/>
        <w:contextualSpacing/>
        <w:jc w:val="both"/>
        <w:rPr>
          <w:rFonts w:ascii="Verdana" w:eastAsia="Calibri" w:hAnsi="Verdana" w:cs="Arial"/>
          <w:bCs/>
          <w:color w:val="000000" w:themeColor="text1"/>
          <w:sz w:val="20"/>
          <w:szCs w:val="20"/>
          <w:lang w:val="es-MX"/>
        </w:rPr>
      </w:pPr>
      <w:r w:rsidRPr="00D81E8E">
        <w:rPr>
          <w:rFonts w:ascii="Verdana" w:eastAsia="Calibri" w:hAnsi="Verdana" w:cs="Arial"/>
          <w:bCs/>
          <w:color w:val="000000" w:themeColor="text1"/>
          <w:sz w:val="20"/>
          <w:szCs w:val="20"/>
          <w:lang w:val="es-MX"/>
        </w:rPr>
        <w:t>Los miembros del consorcio y de la unión temporal deberán designar la persona que, para todos los efectos, representará al consorcio o unión temporal y señalarán las reglas básicas que regulen las relaciones entre ellos y su responsabilidad.</w:t>
      </w:r>
    </w:p>
    <w:p w14:paraId="5D08EB4C" w14:textId="77777777" w:rsidR="00D81E8E" w:rsidRPr="00D81E8E" w:rsidRDefault="00D81E8E" w:rsidP="00D81E8E">
      <w:pPr>
        <w:spacing w:after="0" w:line="240" w:lineRule="auto"/>
        <w:ind w:left="709" w:right="616"/>
        <w:contextualSpacing/>
        <w:jc w:val="both"/>
        <w:rPr>
          <w:rFonts w:ascii="Verdana" w:eastAsia="Calibri" w:hAnsi="Verdana" w:cs="Arial"/>
          <w:sz w:val="20"/>
          <w:szCs w:val="20"/>
          <w:lang w:val="es-MX"/>
        </w:rPr>
      </w:pPr>
      <w:r w:rsidRPr="00D81E8E">
        <w:rPr>
          <w:rFonts w:ascii="Verdana" w:eastAsia="Calibri" w:hAnsi="Verdana" w:cs="Arial"/>
          <w:bCs/>
          <w:color w:val="000000" w:themeColor="text1"/>
          <w:sz w:val="20"/>
          <w:szCs w:val="20"/>
          <w:lang w:val="es-MX"/>
        </w:rPr>
        <w:t>[…]”.</w:t>
      </w:r>
    </w:p>
    <w:p w14:paraId="3A37B254" w14:textId="77777777" w:rsidR="00D81E8E" w:rsidRPr="00D81E8E" w:rsidRDefault="00D81E8E" w:rsidP="00D81E8E">
      <w:pPr>
        <w:spacing w:after="0" w:line="276" w:lineRule="auto"/>
        <w:ind w:firstLine="709"/>
        <w:jc w:val="both"/>
        <w:rPr>
          <w:rFonts w:ascii="Verdana" w:eastAsia="Calibri" w:hAnsi="Verdana" w:cs="Arial"/>
          <w:sz w:val="20"/>
          <w:szCs w:val="20"/>
        </w:rPr>
      </w:pPr>
    </w:p>
    <w:p w14:paraId="05C113B1" w14:textId="77777777" w:rsidR="00D81E8E" w:rsidRPr="00D81E8E" w:rsidRDefault="00D81E8E" w:rsidP="00D81E8E">
      <w:pPr>
        <w:spacing w:after="120" w:line="276" w:lineRule="auto"/>
        <w:ind w:firstLine="708"/>
        <w:jc w:val="both"/>
        <w:rPr>
          <w:rFonts w:ascii="Verdana" w:hAnsi="Verdana" w:cs="Arial"/>
          <w:color w:val="000000" w:themeColor="text1"/>
        </w:rPr>
      </w:pPr>
      <w:r w:rsidRPr="00D81E8E">
        <w:rPr>
          <w:rFonts w:ascii="Verdana" w:hAnsi="Verdana" w:cs="Arial"/>
          <w:color w:val="000000" w:themeColor="text1"/>
        </w:rPr>
        <w:t xml:space="preserve">Como se observa, 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 y ejecución de los contratos estatales depende de que los integrantes </w:t>
      </w:r>
      <w:r w:rsidRPr="00D81E8E">
        <w:rPr>
          <w:rFonts w:ascii="Verdana" w:hAnsi="Verdana" w:cs="Arial"/>
          <w:color w:val="000000" w:themeColor="text1"/>
        </w:rPr>
        <w:lastRenderedPageBreak/>
        <w:t xml:space="preserve">de la estructura plural adopten la decisión conjunta de presentar una misma propuesta al proceso de selección. Como existe una relación de medio – fin, sin la entrega de la oferta no surge la habilitación legal para todo lo demás. </w:t>
      </w:r>
    </w:p>
    <w:p w14:paraId="5B1D123D" w14:textId="77777777" w:rsidR="00D81E8E" w:rsidRPr="00D81E8E" w:rsidRDefault="00D81E8E" w:rsidP="00D81E8E">
      <w:pPr>
        <w:spacing w:after="120" w:line="276" w:lineRule="auto"/>
        <w:ind w:firstLine="708"/>
        <w:jc w:val="both"/>
        <w:rPr>
          <w:rFonts w:ascii="Verdana" w:hAnsi="Verdana" w:cs="Arial"/>
          <w:color w:val="000000" w:themeColor="text1"/>
        </w:rPr>
      </w:pPr>
      <w:r w:rsidRPr="00D81E8E">
        <w:rPr>
          <w:rFonts w:ascii="Verdana" w:hAnsi="Verdana" w:cs="Arial"/>
          <w:color w:val="000000" w:themeColor="text1"/>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05519D0F" w14:textId="77777777" w:rsidR="00D81E8E" w:rsidRPr="00D81E8E" w:rsidRDefault="00D81E8E" w:rsidP="00D81E8E">
      <w:pPr>
        <w:spacing w:after="120" w:line="276" w:lineRule="auto"/>
        <w:ind w:firstLine="708"/>
        <w:jc w:val="both"/>
        <w:rPr>
          <w:rFonts w:ascii="Verdana" w:hAnsi="Verdana" w:cs="Arial"/>
          <w:color w:val="000000" w:themeColor="text1"/>
        </w:rPr>
      </w:pPr>
      <w:r w:rsidRPr="00D81E8E">
        <w:rPr>
          <w:rFonts w:ascii="Verdana" w:hAnsi="Verdana" w:cs="Arial"/>
          <w:color w:val="000000" w:themeColor="text1"/>
        </w:rPr>
        <w:t xml:space="preserve">Ahora bien, para entender un poco de las particularidades de estas instituciones, el Concepto CU -636 del 2 de julio de 2025 precisa que, es necesario tener en cuenta las posturas que se han sustentado en torno a la posibilidad de que los proponentes plurales puedan </w:t>
      </w:r>
      <w:r w:rsidRPr="00D81E8E">
        <w:rPr>
          <w:rFonts w:ascii="Verdana" w:eastAsia="Century Gothic" w:hAnsi="Verdana" w:cs="Century Gothic"/>
        </w:rPr>
        <w:t>participar en varios procesos de contratación pública</w:t>
      </w:r>
      <w:r w:rsidRPr="00D81E8E">
        <w:rPr>
          <w:rFonts w:ascii="Verdana" w:hAnsi="Verdana" w:cs="Arial"/>
          <w:color w:val="000000" w:themeColor="text1"/>
        </w:rPr>
        <w:t>. Así, en concepto C-627 del 7 de octubre de 2024, se sostuvo que no era posible que estos proponentes participaran en varios procesos debido a que “</w:t>
      </w:r>
      <w:r w:rsidRPr="00D81E8E">
        <w:rPr>
          <w:rFonts w:ascii="Verdana" w:eastAsia="Calibri" w:hAnsi="Verdana" w:cs="Arial"/>
        </w:rPr>
        <w:t xml:space="preserve">la definición de estos convenios hace especial precisión en que la creación de estos tiene un fin claro y es la facultad de ser adjudicatarios de un contrato estatal”. De esta manera, se argumentó que “la Ley 80 de 1993 se refiere al contrato en singular no por casualidad, sino en virtud del objeto de estos convenios que se realizan de manera temporal para un proceso de selección en el que requieran aunar fuerzas para poder ser adjudicatarios de un contrato estatal”. En tal sentido, debido a que la creación de los proponentes plurales tiene un fin de ser adjudicatarios de </w:t>
      </w:r>
      <w:r w:rsidRPr="00D81E8E">
        <w:rPr>
          <w:rFonts w:ascii="Verdana" w:eastAsia="Calibri" w:hAnsi="Verdana" w:cs="Arial"/>
          <w:i/>
          <w:iCs/>
        </w:rPr>
        <w:t>un contrato estatal</w:t>
      </w:r>
      <w:r w:rsidRPr="00D81E8E">
        <w:rPr>
          <w:rFonts w:ascii="Verdana" w:eastAsia="Calibri" w:hAnsi="Verdana" w:cs="Arial"/>
        </w:rPr>
        <w:t xml:space="preserve">, se concluía que no podían participar en varios procesos de contratación. </w:t>
      </w:r>
    </w:p>
    <w:p w14:paraId="2702F555" w14:textId="77777777" w:rsidR="00D81E8E" w:rsidRPr="00D81E8E" w:rsidRDefault="00D81E8E" w:rsidP="00D81E8E">
      <w:pPr>
        <w:spacing w:after="120" w:line="276" w:lineRule="auto"/>
        <w:ind w:firstLine="708"/>
        <w:jc w:val="both"/>
        <w:rPr>
          <w:rFonts w:ascii="Verdana" w:eastAsia="Calibri" w:hAnsi="Verdana" w:cs="Arial"/>
        </w:rPr>
      </w:pPr>
      <w:r w:rsidRPr="00D81E8E">
        <w:rPr>
          <w:rFonts w:ascii="Verdana" w:hAnsi="Verdana" w:cs="Arial"/>
          <w:color w:val="000000" w:themeColor="text1"/>
        </w:rPr>
        <w:t>No obstante, posteriormente, en el concepto C-727 del 28 de octubre de 2024, reiterado en los conceptos C-805 del 25 de noviembre de 2024, C-016 del 11 de febrero de 2025, C-046 del 30 de enero de 2025, C-226 del 26 de marzo de 2025 y C-295 del 15 de abril de 2025 se cambió la postura de esta Subdirección al determinar la viabilidad jurídica para que</w:t>
      </w:r>
      <w:r w:rsidRPr="00D81E8E">
        <w:rPr>
          <w:rFonts w:ascii="Verdana" w:eastAsia="Calibri" w:hAnsi="Verdana" w:cs="Arial"/>
          <w:lang w:val="es-ES" w:eastAsia="es-ES"/>
        </w:rPr>
        <w:t xml:space="preserve"> los</w:t>
      </w:r>
      <w:r w:rsidRPr="00D81E8E">
        <w:rPr>
          <w:rFonts w:ascii="Verdana" w:hAnsi="Verdana" w:cs="Arial"/>
          <w:color w:val="000000" w:themeColor="text1"/>
        </w:rPr>
        <w:t xml:space="preserve"> proponentes plurales presenten propuestas para la adjudicación, celebración y ejecución de contratos estatales con una o varias entidades. El argumento que apoya esta </w:t>
      </w:r>
      <w:r w:rsidRPr="00D81E8E">
        <w:rPr>
          <w:rFonts w:ascii="Verdana" w:hAnsi="Verdana" w:cs="Arial"/>
          <w:color w:val="000000" w:themeColor="text1"/>
        </w:rPr>
        <w:lastRenderedPageBreak/>
        <w:t xml:space="preserve">tesis se sustenta en que, de acuerdo con lo señalado en los numerales 6 y 7 del artículo 7 de la Ley 80 de 1993, la capacidad de los consorcios y uniones temporales para participar en la adjudicación, celebración y ejecución de </w:t>
      </w:r>
      <w:r w:rsidRPr="00D81E8E">
        <w:rPr>
          <w:rFonts w:ascii="Verdana" w:hAnsi="Verdana" w:cs="Arial"/>
          <w:i/>
          <w:iCs/>
          <w:color w:val="000000" w:themeColor="text1"/>
        </w:rPr>
        <w:t xml:space="preserve">uno o varios </w:t>
      </w:r>
      <w:r w:rsidRPr="00D81E8E">
        <w:rPr>
          <w:rFonts w:ascii="Verdana" w:hAnsi="Verdana" w:cs="Arial"/>
          <w:color w:val="000000" w:themeColor="text1"/>
        </w:rPr>
        <w:t xml:space="preserve">contratos estatales dependerá de dos aspectos: “i) que los integrantes de la estructural plural adopten la decisión conjunta de presentar una misma propuesta al proceso de selección; y </w:t>
      </w:r>
      <w:proofErr w:type="spellStart"/>
      <w:r w:rsidRPr="00D81E8E">
        <w:rPr>
          <w:rFonts w:ascii="Verdana" w:hAnsi="Verdana" w:cs="Arial"/>
          <w:color w:val="000000" w:themeColor="text1"/>
        </w:rPr>
        <w:t>ii</w:t>
      </w:r>
      <w:proofErr w:type="spellEnd"/>
      <w:r w:rsidRPr="00D81E8E">
        <w:rPr>
          <w:rFonts w:ascii="Verdana" w:hAnsi="Verdana" w:cs="Arial"/>
          <w:color w:val="000000" w:themeColor="text1"/>
        </w:rPr>
        <w:t xml:space="preserve">) que el objeto del consorcio o unión temporal se encuentre alineado con las actividades a desarrollar en un determinado proceso”. Así, </w:t>
      </w:r>
      <w:r w:rsidRPr="00D81E8E">
        <w:rPr>
          <w:rFonts w:ascii="Verdana" w:eastAsia="Calibri" w:hAnsi="Verdana" w:cs="Arial"/>
        </w:rPr>
        <w:t>no existe impedimento o prohibición alguna que limite la actividad de los consorcios o uniones temporales a un solo contrato.</w:t>
      </w:r>
    </w:p>
    <w:p w14:paraId="378A9027" w14:textId="77777777" w:rsidR="00D81E8E" w:rsidRPr="00D81E8E" w:rsidRDefault="00D81E8E" w:rsidP="00D81E8E">
      <w:pPr>
        <w:spacing w:after="120" w:line="276" w:lineRule="auto"/>
        <w:ind w:firstLine="709"/>
        <w:jc w:val="both"/>
        <w:rPr>
          <w:rFonts w:ascii="Verdana" w:hAnsi="Verdana" w:cs="Arial"/>
          <w:color w:val="000000" w:themeColor="text1"/>
        </w:rPr>
      </w:pPr>
      <w:r w:rsidRPr="00D81E8E">
        <w:rPr>
          <w:rFonts w:ascii="Verdana" w:hAnsi="Verdana" w:cs="Arial"/>
          <w:color w:val="000000" w:themeColor="text1"/>
        </w:rPr>
        <w:t xml:space="preserve">En este contexto, se aclara que </w:t>
      </w:r>
      <w:r w:rsidRPr="00D81E8E">
        <w:rPr>
          <w:rFonts w:ascii="Verdana" w:hAnsi="Verdana" w:cs="Arial"/>
          <w:szCs w:val="24"/>
          <w:lang w:eastAsia="es-ES_tradnl"/>
        </w:rPr>
        <w:t xml:space="preserve">esta Subdirección en el Concepto CU-636 del 2 de julio de 2025 unifica la línea doctrinal en este tema, reiterando la posición expuesta en los conceptos </w:t>
      </w:r>
      <w:r w:rsidRPr="00D81E8E">
        <w:rPr>
          <w:rFonts w:ascii="Verdana" w:hAnsi="Verdana" w:cs="Arial"/>
          <w:color w:val="000000" w:themeColor="text1"/>
        </w:rPr>
        <w:t xml:space="preserve">C-727 del 28 de octubre de 2024, C-016 del 11 de febrero de 2025, C-046 del 30 de enero de 2025, C-226 del 26 de marzo de 2025 y C-295 del 15 de abril de 2025, en el sentido de indicar que </w:t>
      </w:r>
      <w:r w:rsidRPr="00D81E8E">
        <w:rPr>
          <w:rFonts w:ascii="Verdana" w:hAnsi="Verdana" w:cs="Arial"/>
          <w:szCs w:val="24"/>
          <w:lang w:eastAsia="es-ES_tradnl"/>
        </w:rPr>
        <w:t xml:space="preserve">es </w:t>
      </w:r>
      <w:r w:rsidRPr="00D81E8E">
        <w:rPr>
          <w:rFonts w:ascii="Verdana" w:hAnsi="Verdana" w:cs="Arial"/>
          <w:color w:val="000000" w:themeColor="text1"/>
        </w:rPr>
        <w:t xml:space="preserve">jurídicamente viable que los proponentes plurales presenten propuestas para la adjudicación, celebración y ejecución de contratos estatales con </w:t>
      </w:r>
      <w:r w:rsidRPr="00D81E8E">
        <w:rPr>
          <w:rFonts w:ascii="Verdana" w:hAnsi="Verdana" w:cs="Arial"/>
          <w:i/>
          <w:iCs/>
          <w:color w:val="000000" w:themeColor="text1"/>
        </w:rPr>
        <w:t>una o varias</w:t>
      </w:r>
      <w:r w:rsidRPr="00D81E8E">
        <w:rPr>
          <w:rFonts w:ascii="Verdana" w:hAnsi="Verdana" w:cs="Arial"/>
          <w:color w:val="000000" w:themeColor="text1"/>
        </w:rPr>
        <w:t xml:space="preserve"> entidades, lo anterior, en concordancia con el cumplimiento de los supuestos previamente descritos. En ese orden, las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w:t>
      </w:r>
    </w:p>
    <w:p w14:paraId="59C8EC94" w14:textId="77777777" w:rsidR="00D81E8E" w:rsidRPr="00D81E8E" w:rsidRDefault="00D81E8E" w:rsidP="00D81E8E">
      <w:pPr>
        <w:spacing w:after="120" w:line="276" w:lineRule="auto"/>
        <w:ind w:firstLine="708"/>
        <w:jc w:val="both"/>
        <w:rPr>
          <w:rFonts w:ascii="Verdana" w:eastAsia="Calibri" w:hAnsi="Verdana" w:cs="Arial"/>
        </w:rPr>
      </w:pPr>
      <w:r w:rsidRPr="00D81E8E">
        <w:rPr>
          <w:rFonts w:ascii="Verdana" w:eastAsia="Calibri" w:hAnsi="Verdana" w:cs="Arial"/>
        </w:rPr>
        <w:t xml:space="preserve">Esta interpretación es la que más se ajusta al contenido de </w:t>
      </w:r>
      <w:r w:rsidRPr="00D81E8E">
        <w:rPr>
          <w:rFonts w:ascii="Verdana" w:hAnsi="Verdana" w:cs="Arial"/>
          <w:color w:val="000000" w:themeColor="text1"/>
        </w:rPr>
        <w:t>los numerales 6 y 7 del artículo 7 de la Ley 80 de 1993</w:t>
      </w:r>
      <w:r w:rsidRPr="00D81E8E">
        <w:rPr>
          <w:rFonts w:ascii="Verdana" w:eastAsia="Calibri" w:hAnsi="Verdana" w:cs="Arial"/>
        </w:rPr>
        <w:t>, en la medida en que en estos no se establece ninguna limitación respecto al número de contratos en los que un consorcio o unión temporal puede participar. Lo anterior, en armonía con la libertad de asociación de los consorcios y uniones temporales que permite que estos puedan organizarse libremente y acordar participar en más de un proceso contractual, mientras cumplan los requisitos legales. Aceptar la tesis contraría, implicaría aplicar una limitación de su participación restringiendo sin sustento legal su libertad de asociación y contratación.</w:t>
      </w:r>
    </w:p>
    <w:p w14:paraId="0C28BD64" w14:textId="77777777" w:rsidR="00D81E8E" w:rsidRPr="00D81E8E" w:rsidRDefault="00D81E8E" w:rsidP="00D81E8E">
      <w:pPr>
        <w:spacing w:after="120" w:line="276" w:lineRule="auto"/>
        <w:jc w:val="both"/>
        <w:rPr>
          <w:rFonts w:ascii="Verdana" w:eastAsia="Verdana" w:hAnsi="Verdana" w:cs="Verdana"/>
        </w:rPr>
      </w:pPr>
    </w:p>
    <w:p w14:paraId="11F64DB8" w14:textId="77777777" w:rsidR="00D81E8E" w:rsidRPr="00D81E8E" w:rsidRDefault="00D81E8E" w:rsidP="00D81E8E">
      <w:pPr>
        <w:spacing w:after="120" w:line="276" w:lineRule="auto"/>
        <w:jc w:val="both"/>
        <w:rPr>
          <w:rFonts w:ascii="Verdana" w:eastAsia="Century Gothic" w:hAnsi="Verdana" w:cs="Century Gothic"/>
        </w:rPr>
      </w:pPr>
      <w:proofErr w:type="spellStart"/>
      <w:r w:rsidRPr="00D81E8E">
        <w:rPr>
          <w:rFonts w:ascii="Verdana" w:eastAsia="Verdana" w:hAnsi="Verdana" w:cs="Verdana"/>
        </w:rPr>
        <w:t>iii</w:t>
      </w:r>
      <w:proofErr w:type="spellEnd"/>
      <w:r w:rsidRPr="00D81E8E">
        <w:rPr>
          <w:rFonts w:ascii="Verdana" w:eastAsia="Verdana" w:hAnsi="Verdana" w:cs="Verdana"/>
        </w:rPr>
        <w:t xml:space="preserve">) Finalmente, es importante resaltar que </w:t>
      </w:r>
      <w:r w:rsidRPr="00D81E8E">
        <w:rPr>
          <w:rFonts w:ascii="Verdana" w:eastAsia="Century Gothic" w:hAnsi="Verdana" w:cs="Century Gothic"/>
        </w:rPr>
        <w:t xml:space="preserve">las causales de rechazo son las establecidas en la ley y las fijadas por la Entidad Estatal en los pliegos de condiciones. No obstante, en el ejercicio de esta facultad las entidades no deben </w:t>
      </w:r>
      <w:r w:rsidRPr="00D81E8E">
        <w:rPr>
          <w:rFonts w:ascii="Verdana" w:eastAsia="Century Gothic" w:hAnsi="Verdana" w:cs="Century Gothic"/>
        </w:rPr>
        <w:lastRenderedPageBreak/>
        <w:t>establecer causales de rechazo que afecten la selección objetiva en la contratación. Sobre el particular, el Consejo de Estado</w:t>
      </w:r>
      <w:r w:rsidRPr="00D81E8E">
        <w:rPr>
          <w:rFonts w:ascii="Verdana" w:eastAsia="Century Gothic" w:hAnsi="Verdana" w:cs="Century Gothic"/>
          <w:vertAlign w:val="superscript"/>
        </w:rPr>
        <w:footnoteReference w:id="18"/>
      </w:r>
      <w:r w:rsidRPr="00D81E8E">
        <w:rPr>
          <w:rFonts w:ascii="Verdana" w:eastAsia="Century Gothic" w:hAnsi="Verdana" w:cs="Century Gothic"/>
        </w:rPr>
        <w:t xml:space="preserve"> señala:</w:t>
      </w:r>
    </w:p>
    <w:p w14:paraId="31103BA6" w14:textId="77777777" w:rsidR="00D81E8E" w:rsidRPr="00D81E8E" w:rsidRDefault="00D81E8E" w:rsidP="00D81E8E">
      <w:pPr>
        <w:spacing w:after="0" w:line="240" w:lineRule="auto"/>
        <w:jc w:val="both"/>
        <w:rPr>
          <w:rFonts w:ascii="Verdana" w:eastAsia="Century Gothic" w:hAnsi="Verdana" w:cs="Century Gothic"/>
        </w:rPr>
      </w:pPr>
    </w:p>
    <w:p w14:paraId="56CD24CC" w14:textId="77777777" w:rsidR="00D81E8E" w:rsidRPr="00D81E8E" w:rsidRDefault="00D81E8E" w:rsidP="00D81E8E">
      <w:pPr>
        <w:spacing w:after="0" w:line="240" w:lineRule="auto"/>
        <w:ind w:left="567" w:right="618"/>
        <w:jc w:val="both"/>
        <w:rPr>
          <w:rFonts w:ascii="Verdana" w:eastAsia="Calibri" w:hAnsi="Verdana" w:cs="Arial"/>
          <w:sz w:val="20"/>
          <w:szCs w:val="20"/>
        </w:rPr>
      </w:pPr>
      <w:r w:rsidRPr="00D81E8E">
        <w:rPr>
          <w:rFonts w:ascii="Verdana" w:eastAsia="Century Gothic" w:hAnsi="Verdana" w:cs="Century Gothic"/>
          <w:sz w:val="20"/>
          <w:szCs w:val="20"/>
        </w:rPr>
        <w:t>“</w:t>
      </w:r>
      <w:r w:rsidRPr="00D81E8E">
        <w:rPr>
          <w:rFonts w:ascii="Verdana" w:eastAsia="Calibri"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D81E8E">
        <w:rPr>
          <w:rFonts w:ascii="Verdana" w:eastAsia="Calibri" w:hAnsi="Verdana" w:cs="Arial"/>
          <w:sz w:val="20"/>
          <w:szCs w:val="20"/>
        </w:rPr>
        <w:t>ope</w:t>
      </w:r>
      <w:proofErr w:type="spellEnd"/>
      <w:r w:rsidRPr="00D81E8E">
        <w:rPr>
          <w:rFonts w:ascii="Verdana" w:eastAsia="Calibri" w:hAnsi="Verdana" w:cs="Arial"/>
          <w:sz w:val="20"/>
          <w:szCs w:val="20"/>
        </w:rPr>
        <w:t xml:space="preserve"> </w:t>
      </w:r>
      <w:proofErr w:type="spellStart"/>
      <w:r w:rsidRPr="00D81E8E">
        <w:rPr>
          <w:rFonts w:ascii="Verdana" w:eastAsia="Calibri" w:hAnsi="Verdana" w:cs="Arial"/>
          <w:sz w:val="20"/>
          <w:szCs w:val="20"/>
        </w:rPr>
        <w:t>legis</w:t>
      </w:r>
      <w:proofErr w:type="spellEnd"/>
      <w:r w:rsidRPr="00D81E8E">
        <w:rPr>
          <w:rFonts w:ascii="Verdana" w:eastAsia="Calibri" w:hAnsi="Verdana"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1709899E" w14:textId="77777777" w:rsidR="00D81E8E" w:rsidRPr="00D81E8E" w:rsidRDefault="00D81E8E" w:rsidP="00D81E8E">
      <w:pPr>
        <w:spacing w:after="0" w:line="276" w:lineRule="auto"/>
        <w:ind w:firstLine="709"/>
        <w:jc w:val="both"/>
        <w:rPr>
          <w:rFonts w:ascii="Verdana" w:eastAsia="Century Gothic" w:hAnsi="Verdana" w:cs="Century Gothic"/>
        </w:rPr>
      </w:pPr>
    </w:p>
    <w:p w14:paraId="63F12E44" w14:textId="77777777" w:rsidR="00D81E8E" w:rsidRPr="00D81E8E" w:rsidRDefault="00D81E8E" w:rsidP="00D81E8E">
      <w:pPr>
        <w:spacing w:after="120" w:line="276" w:lineRule="auto"/>
        <w:ind w:firstLine="709"/>
        <w:jc w:val="both"/>
        <w:rPr>
          <w:rFonts w:ascii="Verdana" w:eastAsia="Century Gothic" w:hAnsi="Verdana" w:cs="Century Gothic"/>
        </w:rPr>
      </w:pPr>
      <w:r w:rsidRPr="00D81E8E">
        <w:rPr>
          <w:rFonts w:ascii="Verdana" w:eastAsia="Century Gothic" w:hAnsi="Verdana" w:cs="Century Gothic"/>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D81E8E">
        <w:rPr>
          <w:rFonts w:ascii="Verdana" w:eastAsia="Century Gothic" w:hAnsi="Verdana" w:cs="Century Gothic"/>
          <w:vertAlign w:val="superscript"/>
        </w:rPr>
        <w:footnoteReference w:id="19"/>
      </w:r>
      <w:r w:rsidRPr="00D81E8E">
        <w:rPr>
          <w:rFonts w:ascii="Verdana" w:eastAsia="Century Gothic" w:hAnsi="Verdana" w:cs="Century Gothic"/>
        </w:rPr>
        <w:t xml:space="preserve"> sostuvo:</w:t>
      </w:r>
    </w:p>
    <w:p w14:paraId="3688C590" w14:textId="77777777" w:rsidR="00D81E8E" w:rsidRPr="00D81E8E" w:rsidRDefault="00D81E8E" w:rsidP="00D81E8E">
      <w:pPr>
        <w:spacing w:after="0" w:line="276" w:lineRule="auto"/>
        <w:ind w:firstLine="709"/>
        <w:jc w:val="both"/>
        <w:rPr>
          <w:rFonts w:ascii="Verdana" w:eastAsia="Century Gothic" w:hAnsi="Verdana" w:cs="Century Gothic"/>
        </w:rPr>
      </w:pPr>
    </w:p>
    <w:p w14:paraId="380FFD81" w14:textId="77777777" w:rsidR="00D81E8E" w:rsidRPr="00D81E8E" w:rsidRDefault="00D81E8E" w:rsidP="00D81E8E">
      <w:pPr>
        <w:tabs>
          <w:tab w:val="left" w:pos="8222"/>
        </w:tabs>
        <w:spacing w:after="0" w:line="240" w:lineRule="auto"/>
        <w:ind w:left="567" w:right="618"/>
        <w:jc w:val="both"/>
        <w:rPr>
          <w:rFonts w:ascii="Verdana" w:eastAsia="Calibri" w:hAnsi="Verdana" w:cs="Arial"/>
          <w:sz w:val="20"/>
          <w:szCs w:val="20"/>
        </w:rPr>
      </w:pPr>
      <w:r w:rsidRPr="00D81E8E">
        <w:rPr>
          <w:rFonts w:ascii="Verdana" w:eastAsia="Century Gothic" w:hAnsi="Verdana" w:cs="Century Gothic"/>
          <w:sz w:val="20"/>
          <w:szCs w:val="20"/>
        </w:rPr>
        <w:t>“</w:t>
      </w:r>
      <w:r w:rsidRPr="00D81E8E">
        <w:rPr>
          <w:rFonts w:ascii="Verdana" w:eastAsia="Calibri" w:hAnsi="Verdana" w:cs="Arial"/>
          <w:sz w:val="20"/>
          <w:szCs w:val="20"/>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587D0FAF" w14:textId="77777777" w:rsidR="00D81E8E" w:rsidRPr="00D81E8E" w:rsidRDefault="00D81E8E" w:rsidP="00D81E8E">
      <w:pPr>
        <w:spacing w:after="0" w:line="276" w:lineRule="auto"/>
        <w:ind w:firstLine="709"/>
        <w:jc w:val="both"/>
        <w:rPr>
          <w:rFonts w:ascii="Verdana" w:eastAsia="Calibri" w:hAnsi="Verdana" w:cs="Arial"/>
          <w:lang w:val="es-ES"/>
        </w:rPr>
      </w:pPr>
    </w:p>
    <w:p w14:paraId="50CF93E6" w14:textId="77777777" w:rsidR="00D81E8E" w:rsidRPr="00D81E8E" w:rsidRDefault="00D81E8E" w:rsidP="00D81E8E">
      <w:pPr>
        <w:spacing w:before="120" w:after="120" w:line="276" w:lineRule="auto"/>
        <w:ind w:firstLine="708"/>
        <w:jc w:val="both"/>
        <w:rPr>
          <w:rFonts w:ascii="Verdana" w:eastAsia="Calibri" w:hAnsi="Verdana" w:cs="Arial"/>
          <w:lang w:val="es-ES"/>
        </w:rPr>
      </w:pPr>
      <w:r w:rsidRPr="00D81E8E">
        <w:rPr>
          <w:rFonts w:ascii="Verdana" w:eastAsia="Calibri" w:hAnsi="Verdana" w:cs="Arial"/>
          <w:lang w:val="es-E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4669CAE7" w14:textId="77777777" w:rsidR="00D81E8E" w:rsidRPr="00D81E8E" w:rsidRDefault="00D81E8E" w:rsidP="00D81E8E">
      <w:pPr>
        <w:spacing w:before="120" w:after="120" w:line="276" w:lineRule="auto"/>
        <w:ind w:firstLine="708"/>
        <w:jc w:val="both"/>
        <w:rPr>
          <w:rFonts w:ascii="Verdana" w:eastAsia="Calibri" w:hAnsi="Verdana" w:cs="Arial"/>
          <w:lang w:val="es-ES"/>
        </w:rPr>
      </w:pPr>
      <w:r w:rsidRPr="00D81E8E">
        <w:rPr>
          <w:rFonts w:ascii="Verdana" w:eastAsia="Arial" w:hAnsi="Verdana" w:cs="Arial"/>
          <w:color w:val="000000"/>
        </w:rPr>
        <w:t xml:space="preserve">Por otra parte, es importante señalar que, uno de los principios transversales de los procedimientos de selección es el de </w:t>
      </w:r>
      <w:r w:rsidRPr="00D81E8E">
        <w:rPr>
          <w:rFonts w:ascii="Verdana" w:eastAsia="Arial" w:hAnsi="Verdana" w:cs="Arial"/>
          <w:i/>
          <w:color w:val="000000"/>
        </w:rPr>
        <w:t>selección objetiva</w:t>
      </w:r>
      <w:r w:rsidRPr="00D81E8E">
        <w:rPr>
          <w:rFonts w:ascii="Verdana" w:eastAsia="Arial" w:hAnsi="Verdana" w:cs="Arial"/>
          <w:color w:val="000000"/>
        </w:rPr>
        <w:t>. Se trata del postulado que exige que la escogencia de la oferta ganadora deba fundamentarse en factores objetivos, de carácter técnico, jurídico y financiero, y no en criterios subjetivos, como el afecto, la amistad, el ánimo de ayuda, el interés personal, entre otros. Si bien dentro de la historia de la contratación pública en Colombia se vislumbran antecedentes normativos que consagraban dicho principio</w:t>
      </w:r>
      <w:r w:rsidRPr="00D81E8E">
        <w:rPr>
          <w:rFonts w:ascii="Aptos" w:eastAsia="Aptos" w:hAnsi="Aptos" w:cs="Times New Roman"/>
          <w:sz w:val="24"/>
          <w:szCs w:val="24"/>
          <w:vertAlign w:val="superscript"/>
        </w:rPr>
        <w:footnoteReference w:id="20"/>
      </w:r>
      <w:r w:rsidRPr="00D81E8E">
        <w:rPr>
          <w:rFonts w:ascii="Verdana" w:eastAsia="Arial" w:hAnsi="Verdana" w:cs="Arial"/>
          <w:color w:val="000000"/>
        </w:rPr>
        <w:t>, en la actualidad la disposición legal que lo prevé de manera más clara y contundente es el artículo 5 de la Ley 1150 de 2007, modificado por el artículo 88 de la Ley 1474 de 2011 y por el artículo 5 de la Ley 1882 de 2018.</w:t>
      </w:r>
    </w:p>
    <w:p w14:paraId="6399CC6B" w14:textId="77777777" w:rsidR="00D81E8E" w:rsidRPr="00D81E8E" w:rsidRDefault="00D81E8E" w:rsidP="00D81E8E">
      <w:pPr>
        <w:spacing w:before="120" w:after="120" w:line="276" w:lineRule="auto"/>
        <w:ind w:firstLine="708"/>
        <w:jc w:val="both"/>
        <w:rPr>
          <w:rFonts w:ascii="Verdana" w:eastAsia="Calibri" w:hAnsi="Verdana" w:cs="Arial"/>
          <w:lang w:val="es-ES"/>
        </w:rPr>
      </w:pPr>
      <w:r w:rsidRPr="00D81E8E">
        <w:rPr>
          <w:rFonts w:ascii="Verdana" w:eastAsia="Arial" w:hAnsi="Verdana" w:cs="Arial"/>
          <w:color w:val="000000"/>
        </w:rPr>
        <w:t xml:space="preserve">Para garantizar la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la selección objetiva se encuentra ligada a la obligación que tienen las entidades estatales de permitir la subsanación de los requisitos de participación, bajo las condiciones indicadas en la ley, antes de </w:t>
      </w:r>
      <w:r w:rsidRPr="00D81E8E">
        <w:rPr>
          <w:rFonts w:ascii="Verdana" w:eastAsia="Arial" w:hAnsi="Verdana" w:cs="Arial"/>
          <w:color w:val="000000"/>
        </w:rPr>
        <w:lastRenderedPageBreak/>
        <w:t>tomar la decisión de rechazar las propuestas que hayan omitido la observancia de requisitos no necesarios para la comparación de las ofertas.</w:t>
      </w:r>
    </w:p>
    <w:p w14:paraId="1E44102C" w14:textId="77777777" w:rsidR="00D81E8E" w:rsidRPr="00D81E8E" w:rsidRDefault="00D81E8E" w:rsidP="00D81E8E">
      <w:pPr>
        <w:spacing w:before="120" w:after="120" w:line="276" w:lineRule="auto"/>
        <w:ind w:firstLine="708"/>
        <w:jc w:val="both"/>
        <w:rPr>
          <w:rFonts w:ascii="Verdana" w:hAnsi="Verdana" w:cs="Arial"/>
          <w:bCs/>
          <w:color w:val="000000" w:themeColor="text1"/>
        </w:rPr>
      </w:pPr>
      <w:r w:rsidRPr="00D81E8E">
        <w:rPr>
          <w:rFonts w:ascii="Verdana" w:eastAsia="Arial" w:hAnsi="Verdana" w:cs="Arial"/>
          <w:color w:val="000000"/>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r w:rsidRPr="00D81E8E">
        <w:rPr>
          <w:rFonts w:ascii="Verdana" w:hAnsi="Verdana" w:cs="Arial"/>
          <w:bCs/>
          <w:color w:val="000000" w:themeColor="text1"/>
        </w:rPr>
        <w:t xml:space="preserve"> En ese orden de ideas, el rechazo de las ofertas debe provenir entre otros factores, de la imposibilidad de hacer una escogencia favorable a la entidad estatal y a los fines que ella busca en cumplimiento del deber de selección objetiva, que garantiza la libertad de competencia regulado en el artículo 333 constitucional.</w:t>
      </w:r>
    </w:p>
    <w:p w14:paraId="342D1FA8" w14:textId="77777777" w:rsidR="00D81E8E" w:rsidRPr="00D81E8E" w:rsidRDefault="00D81E8E" w:rsidP="00D81E8E">
      <w:pPr>
        <w:spacing w:before="120" w:after="120" w:line="276" w:lineRule="auto"/>
        <w:ind w:firstLine="708"/>
        <w:jc w:val="both"/>
        <w:rPr>
          <w:rFonts w:ascii="Verdana" w:hAnsi="Verdana" w:cs="Arial"/>
          <w:bCs/>
          <w:color w:val="000000" w:themeColor="text1"/>
        </w:rPr>
      </w:pPr>
      <w:r w:rsidRPr="00D81E8E">
        <w:rPr>
          <w:rFonts w:ascii="Verdana" w:hAnsi="Verdana" w:cs="Arial"/>
          <w:bCs/>
          <w:color w:val="000000" w:themeColor="text1"/>
        </w:rPr>
        <w:t xml:space="preserve">Teniendo en cuenta lo expuesto, es menester analizar el problema jurídico planteado en la petición, la cual se enfoca en analizar la procedencia de si una persona natural o jurídica puede pertenecer como miembro de tres proponentes plurales –consorcio o unión temporal- en un mismo proceso de contratación, y este acredite experiencia para los tres proponentes. En torno a este supuesto no existe una inhabilidad o incompatibilidad que implica una restricción para el consorcio o unión temporal, así como para el miembro que pertenece a estos dentro del proceso de contratación. </w:t>
      </w:r>
    </w:p>
    <w:p w14:paraId="4224484C" w14:textId="77777777" w:rsidR="00D81E8E" w:rsidRPr="00D81E8E" w:rsidRDefault="00D81E8E" w:rsidP="00D81E8E">
      <w:pPr>
        <w:spacing w:before="120" w:after="120" w:line="276" w:lineRule="auto"/>
        <w:ind w:firstLine="708"/>
        <w:jc w:val="both"/>
        <w:rPr>
          <w:rFonts w:ascii="Verdana" w:hAnsi="Verdana" w:cs="Arial"/>
          <w:bCs/>
          <w:color w:val="000000" w:themeColor="text1"/>
        </w:rPr>
      </w:pPr>
      <w:r w:rsidRPr="00D81E8E">
        <w:rPr>
          <w:rFonts w:ascii="Verdana" w:hAnsi="Verdana" w:cs="Arial"/>
          <w:bCs/>
          <w:color w:val="000000" w:themeColor="text1"/>
        </w:rPr>
        <w:t xml:space="preserve">Si bien no existe una inhabilidad o incompatibilidad establecida en la Ley para determinar su procedencia, no significa que ante este supuesto planteado no haya una vulneración a la libertad de empresa. En tal sentido, permitir este tipo de actuaciones, es validar estrategias y herramientas desleales e incorrectas que afecten no solo los derechos de la entidad contratante, sino también los derechos de los diferentes proponentes dentro de un proceso de contratación. Para ello, hay que tener en cuenta lo expresado por la Doctrina en torno a la libertad de empresa: </w:t>
      </w:r>
    </w:p>
    <w:p w14:paraId="04F66467" w14:textId="77777777" w:rsidR="00D81E8E" w:rsidRPr="00D81E8E" w:rsidRDefault="00D81E8E" w:rsidP="00D81E8E">
      <w:pPr>
        <w:spacing w:before="120" w:after="120" w:line="276" w:lineRule="auto"/>
        <w:ind w:firstLine="708"/>
        <w:jc w:val="both"/>
        <w:rPr>
          <w:rFonts w:ascii="Verdana" w:hAnsi="Verdana" w:cs="Arial"/>
          <w:bCs/>
          <w:color w:val="000000" w:themeColor="text1"/>
        </w:rPr>
      </w:pPr>
    </w:p>
    <w:p w14:paraId="7B768042" w14:textId="77777777" w:rsidR="00D81E8E" w:rsidRPr="00D81E8E" w:rsidRDefault="00D81E8E" w:rsidP="00D81E8E">
      <w:pPr>
        <w:spacing w:after="0" w:line="240" w:lineRule="auto"/>
        <w:ind w:left="709" w:right="709"/>
        <w:jc w:val="both"/>
        <w:rPr>
          <w:rFonts w:ascii="Verdana" w:hAnsi="Verdana" w:cs="Arial"/>
          <w:bCs/>
          <w:color w:val="000000" w:themeColor="text1"/>
          <w:sz w:val="21"/>
          <w:szCs w:val="21"/>
        </w:rPr>
      </w:pPr>
      <w:r w:rsidRPr="00D81E8E">
        <w:rPr>
          <w:rFonts w:ascii="Verdana" w:hAnsi="Verdana" w:cs="Arial"/>
          <w:bCs/>
          <w:color w:val="000000" w:themeColor="text1"/>
          <w:sz w:val="21"/>
          <w:szCs w:val="21"/>
        </w:rPr>
        <w:t xml:space="preserve">La libre competencia, o en algunos casos también referida como ’derecho antimonopolios’ tiene en esencia dos funciones: una correctiva y otra preventiva. La primera de ella está encargada de reprender la realización de ciertas prácticas de grupo (v.gr. abuso de la posición dominante o actos que no requieren posición de dominio), a través de sanciones normalmente administrativas; mientras que la </w:t>
      </w:r>
      <w:r w:rsidRPr="00D81E8E">
        <w:rPr>
          <w:rFonts w:ascii="Verdana" w:hAnsi="Verdana" w:cs="Arial"/>
          <w:bCs/>
          <w:color w:val="000000" w:themeColor="text1"/>
          <w:sz w:val="21"/>
          <w:szCs w:val="21"/>
        </w:rPr>
        <w:lastRenderedPageBreak/>
        <w:t>segunda, propugna por evitar que se incurran en estas prácticas a través de la autorización en las integraciones empresariales, y la intervención de las autoridades</w:t>
      </w:r>
      <w:r w:rsidRPr="00D81E8E">
        <w:rPr>
          <w:rFonts w:ascii="Verdana" w:hAnsi="Verdana" w:cs="Arial"/>
          <w:bCs/>
          <w:color w:val="000000" w:themeColor="text1"/>
          <w:sz w:val="21"/>
          <w:szCs w:val="21"/>
          <w:vertAlign w:val="superscript"/>
        </w:rPr>
        <w:footnoteReference w:id="21"/>
      </w:r>
      <w:r w:rsidRPr="00D81E8E">
        <w:rPr>
          <w:rFonts w:ascii="Verdana" w:hAnsi="Verdana" w:cs="Arial"/>
          <w:bCs/>
          <w:color w:val="000000" w:themeColor="text1"/>
          <w:sz w:val="21"/>
          <w:szCs w:val="21"/>
        </w:rPr>
        <w:t xml:space="preserve">.  </w:t>
      </w:r>
    </w:p>
    <w:p w14:paraId="0C2350B3" w14:textId="77777777" w:rsidR="00D81E8E" w:rsidRPr="00D81E8E" w:rsidRDefault="00D81E8E" w:rsidP="00D81E8E">
      <w:pPr>
        <w:spacing w:before="120" w:after="120" w:line="276" w:lineRule="auto"/>
        <w:jc w:val="both"/>
        <w:rPr>
          <w:rFonts w:ascii="Verdana" w:hAnsi="Verdana" w:cs="Arial"/>
          <w:bCs/>
          <w:color w:val="000000" w:themeColor="text1"/>
        </w:rPr>
      </w:pPr>
    </w:p>
    <w:p w14:paraId="41DBAC15" w14:textId="77777777" w:rsidR="00D81E8E" w:rsidRPr="00D81E8E" w:rsidRDefault="00D81E8E" w:rsidP="00D81E8E">
      <w:pPr>
        <w:spacing w:before="120" w:after="120" w:line="276" w:lineRule="auto"/>
        <w:jc w:val="both"/>
        <w:rPr>
          <w:rFonts w:ascii="Verdana" w:hAnsi="Verdana" w:cs="Arial"/>
          <w:bCs/>
          <w:color w:val="000000" w:themeColor="text1"/>
        </w:rPr>
      </w:pPr>
      <w:r w:rsidRPr="00D81E8E">
        <w:rPr>
          <w:rFonts w:ascii="Verdana" w:hAnsi="Verdana" w:cs="Arial"/>
          <w:bCs/>
          <w:color w:val="000000" w:themeColor="text1"/>
        </w:rPr>
        <w:tab/>
        <w:t>Como lo expresa Barreto Moreno, la libre competencia en el mercado de la contratación y compra pública se circunscribe en la regulación y control de aquellas prácticas y actuaciones que sean contrarias en monopsonio, colusión, corrupción, asimetría de la información, entre otras, que pueden ser perjudiciales para los recursos del Estado</w:t>
      </w:r>
      <w:r w:rsidRPr="00D81E8E">
        <w:rPr>
          <w:rFonts w:ascii="Verdana" w:hAnsi="Verdana" w:cs="Arial"/>
          <w:bCs/>
          <w:color w:val="000000" w:themeColor="text1"/>
          <w:vertAlign w:val="superscript"/>
        </w:rPr>
        <w:footnoteReference w:id="22"/>
      </w:r>
      <w:r w:rsidRPr="00D81E8E">
        <w:rPr>
          <w:rFonts w:ascii="Verdana" w:hAnsi="Verdana" w:cs="Arial"/>
          <w:bCs/>
          <w:color w:val="000000" w:themeColor="text1"/>
        </w:rPr>
        <w:t xml:space="preserve">. En este escenario, la persona natural o jurídica que actúa como miembro un proponente plural –consorcio o unión temporal- podría afectar el proceso de contratación mediante conductas colusorias, teniendo en cuenta algunos aspectos: i) la capacidad de influir en las decisiones, favoreciendo a uno de estos en desmedro de los demás; </w:t>
      </w:r>
      <w:proofErr w:type="spellStart"/>
      <w:r w:rsidRPr="00D81E8E">
        <w:rPr>
          <w:rFonts w:ascii="Verdana" w:hAnsi="Verdana" w:cs="Arial"/>
          <w:bCs/>
          <w:color w:val="000000" w:themeColor="text1"/>
        </w:rPr>
        <w:t>ii</w:t>
      </w:r>
      <w:proofErr w:type="spellEnd"/>
      <w:r w:rsidRPr="00D81E8E">
        <w:rPr>
          <w:rFonts w:ascii="Verdana" w:hAnsi="Verdana" w:cs="Arial"/>
          <w:bCs/>
          <w:color w:val="000000" w:themeColor="text1"/>
        </w:rPr>
        <w:t xml:space="preserve">) la limitación de la competencia, en el sentido que puede reducir la cantidad de proponentes u oferentes independientes, lo cual puede implicar una disminución en las ofertas que se presenten; </w:t>
      </w:r>
      <w:proofErr w:type="spellStart"/>
      <w:r w:rsidRPr="00D81E8E">
        <w:rPr>
          <w:rFonts w:ascii="Verdana" w:hAnsi="Verdana" w:cs="Arial"/>
          <w:bCs/>
          <w:color w:val="000000" w:themeColor="text1"/>
        </w:rPr>
        <w:t>iii</w:t>
      </w:r>
      <w:proofErr w:type="spellEnd"/>
      <w:r w:rsidRPr="00D81E8E">
        <w:rPr>
          <w:rFonts w:ascii="Verdana" w:hAnsi="Verdana" w:cs="Arial"/>
          <w:bCs/>
          <w:color w:val="000000" w:themeColor="text1"/>
        </w:rPr>
        <w:t xml:space="preserve">) demás conductas que le permitan tener una ventaja como miembro de los proponentes plurales. </w:t>
      </w:r>
    </w:p>
    <w:p w14:paraId="23657F4B" w14:textId="77777777" w:rsidR="00D81E8E" w:rsidRPr="00D81E8E" w:rsidRDefault="00D81E8E" w:rsidP="00D81E8E">
      <w:pPr>
        <w:spacing w:before="120" w:after="120" w:line="276" w:lineRule="auto"/>
        <w:ind w:firstLine="708"/>
        <w:jc w:val="both"/>
        <w:rPr>
          <w:rFonts w:ascii="Verdana" w:hAnsi="Verdana" w:cs="Arial"/>
          <w:bCs/>
          <w:i/>
          <w:iCs/>
          <w:color w:val="000000" w:themeColor="text1"/>
        </w:rPr>
      </w:pPr>
      <w:r w:rsidRPr="00D81E8E">
        <w:rPr>
          <w:rFonts w:ascii="Verdana" w:hAnsi="Verdana" w:cs="Arial"/>
          <w:bCs/>
          <w:color w:val="000000" w:themeColor="text1"/>
        </w:rPr>
        <w:t>A modo de ejemplo, se destaca una de las causales de rechazo de los Documentos Tipo expedidos por esta Agencia</w:t>
      </w:r>
      <w:r w:rsidRPr="00D81E8E">
        <w:rPr>
          <w:rFonts w:ascii="Verdana" w:hAnsi="Verdana" w:cs="Arial"/>
          <w:bCs/>
          <w:color w:val="000000" w:themeColor="text1"/>
          <w:vertAlign w:val="superscript"/>
        </w:rPr>
        <w:footnoteReference w:id="23"/>
      </w:r>
      <w:r w:rsidRPr="00D81E8E">
        <w:rPr>
          <w:rFonts w:ascii="Verdana" w:hAnsi="Verdana" w:cs="Arial"/>
          <w:bCs/>
          <w:color w:val="000000" w:themeColor="text1"/>
        </w:rPr>
        <w:t xml:space="preserve">, que incluye en el numeral 1.15, literal b, que indica: </w:t>
      </w:r>
      <w:r w:rsidRPr="00D81E8E">
        <w:rPr>
          <w:rFonts w:ascii="Verdana" w:hAnsi="Verdana" w:cs="Arial"/>
          <w:bCs/>
          <w:i/>
          <w:iCs/>
          <w:color w:val="000000" w:themeColor="text1"/>
        </w:rPr>
        <w:t>“</w:t>
      </w:r>
    </w:p>
    <w:p w14:paraId="07D115AC" w14:textId="77777777" w:rsidR="00D81E8E" w:rsidRPr="00D81E8E" w:rsidRDefault="00D81E8E" w:rsidP="00D81E8E">
      <w:pPr>
        <w:spacing w:before="120" w:after="120" w:line="276" w:lineRule="auto"/>
        <w:ind w:firstLine="708"/>
        <w:jc w:val="both"/>
        <w:rPr>
          <w:rFonts w:ascii="Verdana" w:hAnsi="Verdana" w:cs="Arial"/>
          <w:bCs/>
          <w:i/>
          <w:iCs/>
          <w:color w:val="000000" w:themeColor="text1"/>
        </w:rPr>
      </w:pPr>
    </w:p>
    <w:p w14:paraId="7B392E83" w14:textId="77777777" w:rsidR="00D81E8E" w:rsidRPr="00D81E8E" w:rsidRDefault="00D81E8E" w:rsidP="00D81E8E">
      <w:pPr>
        <w:spacing w:after="0" w:line="276" w:lineRule="auto"/>
        <w:ind w:left="709" w:right="709"/>
        <w:jc w:val="both"/>
        <w:rPr>
          <w:rFonts w:ascii="Verdana" w:hAnsi="Verdana" w:cs="Arial"/>
          <w:b/>
          <w:bCs/>
          <w:iCs/>
          <w:color w:val="000000" w:themeColor="text1"/>
          <w:sz w:val="21"/>
          <w:szCs w:val="21"/>
          <w:lang w:val="es-MX"/>
        </w:rPr>
      </w:pPr>
      <w:bookmarkStart w:id="0" w:name="_Toc176242637"/>
      <w:r w:rsidRPr="00D81E8E">
        <w:rPr>
          <w:rFonts w:ascii="Verdana" w:hAnsi="Verdana" w:cs="Arial"/>
          <w:b/>
          <w:bCs/>
          <w:iCs/>
          <w:color w:val="000000" w:themeColor="text1"/>
          <w:sz w:val="21"/>
          <w:szCs w:val="21"/>
          <w:lang w:val="es-MX"/>
        </w:rPr>
        <w:t>1.15. CAUSALES DE RECHAZO</w:t>
      </w:r>
      <w:bookmarkEnd w:id="0"/>
    </w:p>
    <w:p w14:paraId="5BBA5F49" w14:textId="77777777" w:rsidR="00D81E8E" w:rsidRPr="00D81E8E" w:rsidRDefault="00D81E8E" w:rsidP="00D81E8E">
      <w:pPr>
        <w:spacing w:after="0" w:line="276" w:lineRule="auto"/>
        <w:ind w:left="709" w:right="709"/>
        <w:jc w:val="both"/>
        <w:rPr>
          <w:rFonts w:ascii="Verdana" w:hAnsi="Verdana" w:cs="Arial"/>
          <w:bCs/>
          <w:iCs/>
          <w:color w:val="000000" w:themeColor="text1"/>
          <w:sz w:val="21"/>
          <w:szCs w:val="21"/>
          <w:lang w:val="es-MX"/>
        </w:rPr>
      </w:pPr>
    </w:p>
    <w:p w14:paraId="17E64B90" w14:textId="77777777" w:rsidR="00D81E8E" w:rsidRPr="00D81E8E" w:rsidRDefault="00D81E8E" w:rsidP="00D81E8E">
      <w:pPr>
        <w:spacing w:after="0" w:line="276" w:lineRule="auto"/>
        <w:ind w:left="709" w:right="709"/>
        <w:jc w:val="both"/>
        <w:rPr>
          <w:rFonts w:ascii="Verdana" w:hAnsi="Verdana" w:cs="Arial"/>
          <w:bCs/>
          <w:iCs/>
          <w:color w:val="000000" w:themeColor="text1"/>
          <w:sz w:val="21"/>
          <w:szCs w:val="21"/>
          <w:lang w:val="es-MX"/>
        </w:rPr>
      </w:pPr>
      <w:r w:rsidRPr="00D81E8E">
        <w:rPr>
          <w:rFonts w:ascii="Verdana" w:hAnsi="Verdana" w:cs="Arial"/>
          <w:bCs/>
          <w:iCs/>
          <w:color w:val="000000" w:themeColor="text1"/>
          <w:sz w:val="21"/>
          <w:szCs w:val="21"/>
          <w:lang w:val="es-MX"/>
        </w:rPr>
        <w:t>Son causales de rechazo de las propuestas las siguientes [Las entidades no podrán incluir causales de rechazo distintas a las señaladas en la presente sección]:</w:t>
      </w:r>
    </w:p>
    <w:p w14:paraId="78ED9732" w14:textId="77777777" w:rsidR="00D81E8E" w:rsidRPr="00D81E8E" w:rsidRDefault="00D81E8E" w:rsidP="00D81E8E">
      <w:pPr>
        <w:spacing w:after="0" w:line="276" w:lineRule="auto"/>
        <w:ind w:left="709" w:right="709"/>
        <w:jc w:val="both"/>
        <w:rPr>
          <w:rFonts w:ascii="Verdana" w:hAnsi="Verdana" w:cs="Arial"/>
          <w:bCs/>
          <w:iCs/>
          <w:color w:val="000000" w:themeColor="text1"/>
          <w:sz w:val="21"/>
          <w:szCs w:val="21"/>
          <w:lang w:val="es-MX"/>
        </w:rPr>
      </w:pPr>
      <w:r w:rsidRPr="00D81E8E">
        <w:rPr>
          <w:rFonts w:ascii="Verdana" w:hAnsi="Verdana" w:cs="Arial"/>
          <w:bCs/>
          <w:iCs/>
          <w:color w:val="000000" w:themeColor="text1"/>
          <w:sz w:val="21"/>
          <w:szCs w:val="21"/>
          <w:lang w:val="es-MX"/>
        </w:rPr>
        <w:t>[…]</w:t>
      </w:r>
    </w:p>
    <w:p w14:paraId="4DCE48BB" w14:textId="77777777" w:rsidR="00D81E8E" w:rsidRPr="00D81E8E" w:rsidRDefault="00D81E8E" w:rsidP="00D81E8E">
      <w:pPr>
        <w:spacing w:after="0" w:line="276" w:lineRule="auto"/>
        <w:ind w:left="709" w:right="709"/>
        <w:jc w:val="both"/>
        <w:rPr>
          <w:rFonts w:ascii="Verdana" w:hAnsi="Verdana" w:cs="Arial"/>
          <w:bCs/>
          <w:iCs/>
          <w:color w:val="000000" w:themeColor="text1"/>
          <w:sz w:val="21"/>
          <w:szCs w:val="21"/>
          <w:lang w:val="es-MX"/>
        </w:rPr>
      </w:pPr>
      <w:r w:rsidRPr="00D81E8E">
        <w:rPr>
          <w:rFonts w:ascii="Verdana" w:hAnsi="Verdana" w:cs="Arial"/>
          <w:bCs/>
          <w:iCs/>
          <w:color w:val="000000" w:themeColor="text1"/>
          <w:sz w:val="21"/>
          <w:szCs w:val="21"/>
        </w:rPr>
        <w:t xml:space="preserve">b. </w:t>
      </w:r>
      <w:r w:rsidRPr="00D81E8E">
        <w:rPr>
          <w:rFonts w:ascii="Verdana" w:hAnsi="Verdana" w:cs="Arial"/>
          <w:bCs/>
          <w:iCs/>
          <w:color w:val="000000" w:themeColor="text1"/>
          <w:sz w:val="21"/>
          <w:szCs w:val="21"/>
          <w:lang w:val="es-MX"/>
        </w:rPr>
        <w:t>Cuando una misma persona natural o jurídica, o integrante de un proponente plural presente o haga parte en más de una propuesta para el presente Proceso de Contratación.</w:t>
      </w:r>
    </w:p>
    <w:p w14:paraId="7DC9199A" w14:textId="77777777" w:rsidR="00D81E8E" w:rsidRPr="00D81E8E" w:rsidRDefault="00D81E8E" w:rsidP="00D81E8E">
      <w:pPr>
        <w:spacing w:after="0" w:line="276" w:lineRule="auto"/>
        <w:ind w:left="709" w:right="709"/>
        <w:jc w:val="both"/>
        <w:rPr>
          <w:rFonts w:ascii="Verdana" w:hAnsi="Verdana" w:cs="Arial"/>
          <w:bCs/>
          <w:iCs/>
          <w:color w:val="000000" w:themeColor="text1"/>
          <w:sz w:val="21"/>
          <w:szCs w:val="21"/>
          <w:lang w:val="es-MX"/>
        </w:rPr>
      </w:pPr>
    </w:p>
    <w:p w14:paraId="26E829D3" w14:textId="77777777" w:rsidR="00D81E8E" w:rsidRPr="00D81E8E" w:rsidRDefault="00D81E8E" w:rsidP="00D81E8E">
      <w:pPr>
        <w:spacing w:after="0" w:line="276" w:lineRule="auto"/>
        <w:ind w:left="709" w:right="709"/>
        <w:jc w:val="both"/>
        <w:rPr>
          <w:rFonts w:ascii="Verdana" w:hAnsi="Verdana" w:cs="Arial"/>
          <w:bCs/>
          <w:iCs/>
          <w:color w:val="000000" w:themeColor="text1"/>
          <w:sz w:val="21"/>
          <w:szCs w:val="21"/>
          <w:lang w:val="es-MX"/>
        </w:rPr>
      </w:pPr>
      <w:r w:rsidRPr="00D81E8E">
        <w:rPr>
          <w:rFonts w:ascii="Verdana" w:hAnsi="Verdana" w:cs="Arial"/>
          <w:bCs/>
          <w:iCs/>
          <w:color w:val="000000" w:themeColor="text1"/>
          <w:sz w:val="21"/>
          <w:szCs w:val="21"/>
          <w:lang w:val="es-MX"/>
        </w:rPr>
        <w:lastRenderedPageBreak/>
        <w:t xml:space="preserve">[Reemplazar el texto anterior por el siguiente, cuando el proceso es estructurado por lotes o segmentos: Cuando una misma persona natural o jurídica, o integrante de un proponente plural presente o haga parte en más de una propuesta para el mismo lote o segmento del presente Proceso de Contratación] </w:t>
      </w:r>
    </w:p>
    <w:p w14:paraId="33994750" w14:textId="77777777" w:rsidR="00D81E8E" w:rsidRPr="00D81E8E" w:rsidRDefault="00D81E8E" w:rsidP="00D81E8E">
      <w:pPr>
        <w:spacing w:before="120" w:after="120" w:line="276" w:lineRule="auto"/>
        <w:jc w:val="both"/>
        <w:rPr>
          <w:rFonts w:ascii="Verdana" w:hAnsi="Verdana" w:cs="Arial"/>
          <w:b/>
          <w:bCs/>
          <w:i/>
          <w:iCs/>
          <w:color w:val="000000" w:themeColor="text1"/>
          <w:lang w:val="es-MX"/>
        </w:rPr>
      </w:pPr>
    </w:p>
    <w:p w14:paraId="1A51A2BA" w14:textId="77777777" w:rsidR="00D81E8E" w:rsidRPr="00D81E8E" w:rsidRDefault="00D81E8E" w:rsidP="00D81E8E">
      <w:pPr>
        <w:spacing w:before="120" w:after="120" w:line="276" w:lineRule="auto"/>
        <w:ind w:firstLine="708"/>
        <w:jc w:val="both"/>
        <w:rPr>
          <w:rFonts w:ascii="Verdana" w:hAnsi="Verdana" w:cs="Arial"/>
          <w:bCs/>
          <w:i/>
          <w:iCs/>
          <w:color w:val="000000" w:themeColor="text1"/>
        </w:rPr>
      </w:pPr>
      <w:r w:rsidRPr="00D81E8E">
        <w:rPr>
          <w:rFonts w:ascii="Verdana" w:hAnsi="Verdana" w:cs="Arial"/>
          <w:bCs/>
          <w:iCs/>
          <w:color w:val="000000" w:themeColor="text1"/>
          <w:lang w:val="es-ES_tradnl"/>
        </w:rPr>
        <w:t xml:space="preserve">En esta causal se regulan dos (2) supuestos: i) en los procesos se rechazará la oferta si la misma persona presenta o hace parte en más de una propuesta y </w:t>
      </w:r>
      <w:proofErr w:type="spellStart"/>
      <w:r w:rsidRPr="00D81E8E">
        <w:rPr>
          <w:rFonts w:ascii="Verdana" w:hAnsi="Verdana" w:cs="Arial"/>
          <w:bCs/>
          <w:iCs/>
          <w:color w:val="000000" w:themeColor="text1"/>
          <w:lang w:val="es-ES_tradnl"/>
        </w:rPr>
        <w:t>ii</w:t>
      </w:r>
      <w:proofErr w:type="spellEnd"/>
      <w:r w:rsidRPr="00D81E8E">
        <w:rPr>
          <w:rFonts w:ascii="Verdana" w:hAnsi="Verdana" w:cs="Arial"/>
          <w:bCs/>
          <w:iCs/>
          <w:color w:val="000000" w:themeColor="text1"/>
          <w:lang w:val="es-ES_tradnl"/>
        </w:rPr>
        <w:t xml:space="preserve">) en los procesos estructurados por lote se rechazará la oferta si se presentan oferentes para un mismo lote o grupo. El único supuesto dirigido a los procesos estructurados por lotes es el segundo, mientras que el primero procederá en aquellos procesos que no estén estructurados por lotes. </w:t>
      </w:r>
      <w:r w:rsidRPr="00D81E8E">
        <w:rPr>
          <w:rFonts w:ascii="Verdana" w:hAnsi="Verdana" w:cs="Arial"/>
          <w:bCs/>
          <w:iCs/>
          <w:color w:val="000000" w:themeColor="text1"/>
        </w:rPr>
        <w:t>De este modo, con esta prohibición, lo que se busca es garantizar la imparcialidad y competencia leal, y así evitar conflictos de interés o ventajas indebidas.</w:t>
      </w:r>
      <w:r w:rsidRPr="00D81E8E">
        <w:rPr>
          <w:rFonts w:ascii="Verdana" w:hAnsi="Verdana" w:cs="Arial"/>
          <w:bCs/>
          <w:i/>
          <w:iCs/>
          <w:color w:val="000000" w:themeColor="text1"/>
        </w:rPr>
        <w:t xml:space="preserve"> </w:t>
      </w:r>
    </w:p>
    <w:p w14:paraId="48DC8B2B" w14:textId="77777777" w:rsidR="00D81E8E" w:rsidRPr="00D81E8E" w:rsidRDefault="00D81E8E" w:rsidP="00D81E8E">
      <w:pPr>
        <w:spacing w:before="120" w:after="120" w:line="276" w:lineRule="auto"/>
        <w:ind w:firstLine="708"/>
        <w:jc w:val="both"/>
        <w:rPr>
          <w:rFonts w:ascii="Verdana" w:hAnsi="Verdana" w:cs="Arial"/>
          <w:bCs/>
          <w:color w:val="000000" w:themeColor="text1"/>
        </w:rPr>
      </w:pPr>
      <w:r w:rsidRPr="00D81E8E">
        <w:rPr>
          <w:rFonts w:ascii="Verdana" w:hAnsi="Verdana" w:cs="Arial"/>
          <w:bCs/>
          <w:color w:val="000000" w:themeColor="text1"/>
        </w:rPr>
        <w:t>En línea con lo anterior, la Agencia Nacional de Contratación Pública – Colombia Compra Eficiente ha expedido la “Guía de competencia en las compras públicas”</w:t>
      </w:r>
      <w:r w:rsidRPr="00D81E8E">
        <w:rPr>
          <w:rFonts w:ascii="Verdana" w:hAnsi="Verdana" w:cs="Arial"/>
          <w:bCs/>
          <w:color w:val="000000" w:themeColor="text1"/>
          <w:vertAlign w:val="superscript"/>
        </w:rPr>
        <w:footnoteReference w:id="24"/>
      </w:r>
      <w:r w:rsidRPr="00D81E8E">
        <w:rPr>
          <w:rFonts w:ascii="Verdana" w:hAnsi="Verdana" w:cs="Arial"/>
          <w:bCs/>
          <w:color w:val="000000" w:themeColor="text1"/>
        </w:rPr>
        <w:t>, para promover la generación de competencia efectiva en los procesos de compra y contratación pública adelantados por las entidades estatales, ya que el buen uso de los recursos en el sistema de compra pública permite generar una mejor gestión estatal y un mejor desempeño en la ejecución de las políticas públicas. Este buen uso se traduce en la generación de valor por dinero.</w:t>
      </w:r>
    </w:p>
    <w:p w14:paraId="4FD3C30B" w14:textId="77777777" w:rsidR="00D81E8E" w:rsidRPr="00D81E8E" w:rsidRDefault="00D81E8E" w:rsidP="00D81E8E">
      <w:pPr>
        <w:spacing w:before="120" w:after="120" w:line="276" w:lineRule="auto"/>
        <w:ind w:firstLine="708"/>
        <w:jc w:val="both"/>
        <w:rPr>
          <w:rFonts w:ascii="Verdana" w:hAnsi="Verdana" w:cs="Arial"/>
          <w:bCs/>
          <w:color w:val="000000" w:themeColor="text1"/>
        </w:rPr>
      </w:pPr>
      <w:r w:rsidRPr="00D81E8E">
        <w:rPr>
          <w:rFonts w:ascii="Verdana" w:hAnsi="Verdana" w:cs="Arial"/>
          <w:bCs/>
          <w:color w:val="000000" w:themeColor="text1"/>
        </w:rPr>
        <w:t xml:space="preserve">La mencionada Guía consagra tres (3) estrategias en la estructuración de los procesos de compra pública para que las Entidades Estatales puedan generar mayores incentivos para competir: i) la caracterización de la necesidad y del mercado relacionado; </w:t>
      </w:r>
      <w:proofErr w:type="spellStart"/>
      <w:r w:rsidRPr="00D81E8E">
        <w:rPr>
          <w:rFonts w:ascii="Verdana" w:hAnsi="Verdana" w:cs="Arial"/>
          <w:bCs/>
          <w:color w:val="000000" w:themeColor="text1"/>
        </w:rPr>
        <w:t>ii</w:t>
      </w:r>
      <w:proofErr w:type="spellEnd"/>
      <w:r w:rsidRPr="00D81E8E">
        <w:rPr>
          <w:rFonts w:ascii="Verdana" w:hAnsi="Verdana" w:cs="Arial"/>
          <w:bCs/>
          <w:color w:val="000000" w:themeColor="text1"/>
        </w:rPr>
        <w:t xml:space="preserve">) la evaluación de los requisitos y; </w:t>
      </w:r>
      <w:proofErr w:type="spellStart"/>
      <w:r w:rsidRPr="00D81E8E">
        <w:rPr>
          <w:rFonts w:ascii="Verdana" w:hAnsi="Verdana" w:cs="Arial"/>
          <w:bCs/>
          <w:color w:val="000000" w:themeColor="text1"/>
        </w:rPr>
        <w:t>iii</w:t>
      </w:r>
      <w:proofErr w:type="spellEnd"/>
      <w:r w:rsidRPr="00D81E8E">
        <w:rPr>
          <w:rFonts w:ascii="Verdana" w:hAnsi="Verdana" w:cs="Arial"/>
          <w:bCs/>
          <w:color w:val="000000" w:themeColor="text1"/>
        </w:rPr>
        <w:t xml:space="preserve">) el uso de herramientas electrónicas. De igual modo, la Guía dispone que si existe baja participación la entidad estatal podrá establecer </w:t>
      </w:r>
      <w:r w:rsidRPr="00D81E8E">
        <w:rPr>
          <w:rFonts w:ascii="Verdana" w:hAnsi="Verdana" w:cs="Arial"/>
          <w:bCs/>
          <w:i/>
          <w:iCs/>
          <w:color w:val="000000" w:themeColor="text1"/>
        </w:rPr>
        <w:t>diálogos abiertos</w:t>
      </w:r>
      <w:r w:rsidRPr="00D81E8E">
        <w:rPr>
          <w:rFonts w:ascii="Verdana" w:hAnsi="Verdana" w:cs="Arial"/>
          <w:bCs/>
          <w:color w:val="000000" w:themeColor="text1"/>
        </w:rPr>
        <w:t xml:space="preserve"> con proveedores potenciales, tales como: i) proveedores del bien o servicio que no se han presentado en procesos de compra pública; </w:t>
      </w:r>
      <w:proofErr w:type="spellStart"/>
      <w:r w:rsidRPr="00D81E8E">
        <w:rPr>
          <w:rFonts w:ascii="Verdana" w:hAnsi="Verdana" w:cs="Arial"/>
          <w:bCs/>
          <w:color w:val="000000" w:themeColor="text1"/>
        </w:rPr>
        <w:t>ii</w:t>
      </w:r>
      <w:proofErr w:type="spellEnd"/>
      <w:r w:rsidRPr="00D81E8E">
        <w:rPr>
          <w:rFonts w:ascii="Verdana" w:hAnsi="Verdana" w:cs="Arial"/>
          <w:bCs/>
          <w:color w:val="000000" w:themeColor="text1"/>
        </w:rPr>
        <w:t xml:space="preserve">) proveedores de bienes o servicios sustitutos que pueden satisfacer la necesidad de la entidad; </w:t>
      </w:r>
      <w:proofErr w:type="spellStart"/>
      <w:r w:rsidRPr="00D81E8E">
        <w:rPr>
          <w:rFonts w:ascii="Verdana" w:hAnsi="Verdana" w:cs="Arial"/>
          <w:bCs/>
          <w:color w:val="000000" w:themeColor="text1"/>
        </w:rPr>
        <w:t>iii</w:t>
      </w:r>
      <w:proofErr w:type="spellEnd"/>
      <w:r w:rsidRPr="00D81E8E">
        <w:rPr>
          <w:rFonts w:ascii="Verdana" w:hAnsi="Verdana" w:cs="Arial"/>
          <w:bCs/>
          <w:color w:val="000000" w:themeColor="text1"/>
        </w:rPr>
        <w:t xml:space="preserve">) proveedores pasados que dejaron de participar como proponentes; </w:t>
      </w:r>
      <w:proofErr w:type="spellStart"/>
      <w:r w:rsidRPr="00D81E8E">
        <w:rPr>
          <w:rFonts w:ascii="Verdana" w:hAnsi="Verdana" w:cs="Arial"/>
          <w:bCs/>
          <w:color w:val="000000" w:themeColor="text1"/>
        </w:rPr>
        <w:t>iv</w:t>
      </w:r>
      <w:proofErr w:type="spellEnd"/>
      <w:r w:rsidRPr="00D81E8E">
        <w:rPr>
          <w:rFonts w:ascii="Verdana" w:hAnsi="Verdana" w:cs="Arial"/>
          <w:bCs/>
          <w:color w:val="000000" w:themeColor="text1"/>
        </w:rPr>
        <w:t xml:space="preserve">) proveedores del bien o servicio en otras zonas del país, y v) proveedores </w:t>
      </w:r>
      <w:r w:rsidRPr="00D81E8E">
        <w:rPr>
          <w:rFonts w:ascii="Verdana" w:hAnsi="Verdana" w:cs="Arial"/>
          <w:bCs/>
          <w:color w:val="000000" w:themeColor="text1"/>
        </w:rPr>
        <w:lastRenderedPageBreak/>
        <w:t xml:space="preserve">extranjeros. Así las cosas, se observa que la “Guía de competencia en las compras públicas” señala la posibilidad de establecer diálogos con potenciales proveedores, con miras a promover una mayor participación en los Procesos de Contratación, por lo cual no se podría concluir </w:t>
      </w:r>
      <w:r w:rsidRPr="00D81E8E">
        <w:rPr>
          <w:rFonts w:ascii="Verdana" w:hAnsi="Verdana" w:cs="Arial"/>
          <w:bCs/>
          <w:i/>
          <w:iCs/>
          <w:color w:val="000000" w:themeColor="text1"/>
        </w:rPr>
        <w:t xml:space="preserve">a priori </w:t>
      </w:r>
      <w:r w:rsidRPr="00D81E8E">
        <w:rPr>
          <w:rFonts w:ascii="Verdana" w:hAnsi="Verdana" w:cs="Arial"/>
          <w:bCs/>
          <w:color w:val="000000" w:themeColor="text1"/>
        </w:rPr>
        <w:t xml:space="preserve">que la participación de un potencial proveedor en los estudios del mercado que realice una Entidad Estatal es un impedimento para que en el futuro participe de un proceso de contratación, máxime cuando indagar en el mercado los posibles proveedores de un bien o servicios puede significar promover una mayor participación en un proceso de contratación como se explicará a continuación. </w:t>
      </w:r>
    </w:p>
    <w:p w14:paraId="09EE4F59" w14:textId="77777777" w:rsidR="00D81E8E" w:rsidRPr="00D81E8E" w:rsidRDefault="00D81E8E" w:rsidP="00D81E8E">
      <w:pPr>
        <w:spacing w:before="120" w:after="120" w:line="276" w:lineRule="auto"/>
        <w:ind w:firstLine="708"/>
        <w:jc w:val="both"/>
        <w:rPr>
          <w:rFonts w:ascii="Verdana" w:hAnsi="Verdana" w:cs="Arial"/>
          <w:bCs/>
          <w:color w:val="000000" w:themeColor="text1"/>
        </w:rPr>
      </w:pPr>
      <w:r w:rsidRPr="00D81E8E">
        <w:rPr>
          <w:rFonts w:ascii="Verdana" w:hAnsi="Verdana" w:cs="Arial"/>
          <w:bCs/>
          <w:color w:val="000000" w:themeColor="text1"/>
        </w:rPr>
        <w:t xml:space="preserve">Finalmente, la “Guía de competencia en las compras públicas” establece que dentro de los factores que pueden facilitar la aparición de prácticas anticompetitivas, están: i) el número reducido de participantes en el mercado; </w:t>
      </w:r>
      <w:proofErr w:type="spellStart"/>
      <w:r w:rsidRPr="00D81E8E">
        <w:rPr>
          <w:rFonts w:ascii="Verdana" w:hAnsi="Verdana" w:cs="Arial"/>
          <w:bCs/>
          <w:color w:val="000000" w:themeColor="text1"/>
        </w:rPr>
        <w:t>ii</w:t>
      </w:r>
      <w:proofErr w:type="spellEnd"/>
      <w:r w:rsidRPr="00D81E8E">
        <w:rPr>
          <w:rFonts w:ascii="Verdana" w:hAnsi="Verdana" w:cs="Arial"/>
          <w:bCs/>
          <w:color w:val="000000" w:themeColor="text1"/>
        </w:rPr>
        <w:t xml:space="preserve">) las altas barreras de entrada: </w:t>
      </w:r>
      <w:proofErr w:type="spellStart"/>
      <w:r w:rsidRPr="00D81E8E">
        <w:rPr>
          <w:rFonts w:ascii="Verdana" w:hAnsi="Verdana" w:cs="Arial"/>
          <w:bCs/>
          <w:color w:val="000000" w:themeColor="text1"/>
        </w:rPr>
        <w:t>iii</w:t>
      </w:r>
      <w:proofErr w:type="spellEnd"/>
      <w:r w:rsidRPr="00D81E8E">
        <w:rPr>
          <w:rFonts w:ascii="Verdana" w:hAnsi="Verdana" w:cs="Arial"/>
          <w:bCs/>
          <w:color w:val="000000" w:themeColor="text1"/>
        </w:rPr>
        <w:t>) la estabilidad en las condiciones de los procesos de compra; vi) la estabilidad de la demanda, y v) la ausencia de cambio tecnológico o innovación. Las Entidades Estatales, al tener diálogos abiertos con proveedores diferentes pueden identificar condiciones que dificultan la participación en sus procesos de compra, a la vez que difunden información sobre las oportunidades de negocio que representan sus procesos de adquisición en el sector privado. Si la Entidad Estatal, de acuerdo con la normativa aplicable, ajusta las condiciones adversas para la participación de proponentes, posibilitará la generación de más competencia y mayor valor por dinero en sus adquisiciones.</w:t>
      </w:r>
    </w:p>
    <w:p w14:paraId="1666AE59" w14:textId="77777777" w:rsidR="00D81E8E" w:rsidRPr="00D81E8E" w:rsidRDefault="00D81E8E" w:rsidP="00D81E8E">
      <w:pPr>
        <w:spacing w:before="120" w:after="120" w:line="276" w:lineRule="auto"/>
        <w:ind w:firstLine="708"/>
        <w:jc w:val="both"/>
        <w:rPr>
          <w:rFonts w:ascii="Verdana" w:hAnsi="Verdana" w:cs="Arial"/>
          <w:bCs/>
          <w:color w:val="000000" w:themeColor="text1"/>
        </w:rPr>
      </w:pPr>
      <w:r w:rsidRPr="00D81E8E">
        <w:rPr>
          <w:rFonts w:ascii="Verdana" w:hAnsi="Verdana" w:cs="Arial"/>
          <w:bCs/>
          <w:color w:val="000000" w:themeColor="text1"/>
        </w:rPr>
        <w:t xml:space="preserve">Así mismo, dentro de las estrategias que señala la Guía que pueden implementar las Entidades Estatales para promover la participación se encuentra la generación de inventivos que faciliten la participación de </w:t>
      </w:r>
      <w:proofErr w:type="spellStart"/>
      <w:r w:rsidRPr="00D81E8E">
        <w:rPr>
          <w:rFonts w:ascii="Verdana" w:hAnsi="Verdana" w:cs="Arial"/>
          <w:bCs/>
          <w:color w:val="000000" w:themeColor="text1"/>
        </w:rPr>
        <w:t>Mipymes</w:t>
      </w:r>
      <w:proofErr w:type="spellEnd"/>
      <w:r w:rsidRPr="00D81E8E">
        <w:rPr>
          <w:rFonts w:ascii="Verdana" w:hAnsi="Verdana" w:cs="Arial"/>
          <w:bCs/>
          <w:color w:val="000000" w:themeColor="text1"/>
        </w:rPr>
        <w:t xml:space="preserve">, teniendo en cuenta que, en Colombia, el sector empresarial está conformado principalmente por micro, pequeñas y medianas empresas. Dentro de las medidas posibles para lograr este objetivo, está involucrar a </w:t>
      </w:r>
      <w:proofErr w:type="spellStart"/>
      <w:r w:rsidRPr="00D81E8E">
        <w:rPr>
          <w:rFonts w:ascii="Verdana" w:hAnsi="Verdana" w:cs="Arial"/>
          <w:bCs/>
          <w:color w:val="000000" w:themeColor="text1"/>
        </w:rPr>
        <w:t>Mipypes</w:t>
      </w:r>
      <w:proofErr w:type="spellEnd"/>
      <w:r w:rsidRPr="00D81E8E">
        <w:rPr>
          <w:rFonts w:ascii="Verdana" w:hAnsi="Verdana" w:cs="Arial"/>
          <w:bCs/>
          <w:color w:val="000000" w:themeColor="text1"/>
        </w:rPr>
        <w:t xml:space="preserve"> en los diálogos abiertos con el sector privado realizados en la fase de planeación del proceso, por lo cual, en principio, esta participación en la etapa de planeación de una </w:t>
      </w:r>
      <w:proofErr w:type="spellStart"/>
      <w:r w:rsidRPr="00D81E8E">
        <w:rPr>
          <w:rFonts w:ascii="Verdana" w:hAnsi="Verdana" w:cs="Arial"/>
          <w:bCs/>
          <w:color w:val="000000" w:themeColor="text1"/>
        </w:rPr>
        <w:t>Mipyme</w:t>
      </w:r>
      <w:proofErr w:type="spellEnd"/>
      <w:r w:rsidRPr="00D81E8E">
        <w:rPr>
          <w:rFonts w:ascii="Verdana" w:hAnsi="Verdana" w:cs="Arial"/>
          <w:bCs/>
          <w:color w:val="000000" w:themeColor="text1"/>
        </w:rPr>
        <w:t xml:space="preserve"> tampoco constituirá una práctica anticompetitiva. </w:t>
      </w:r>
    </w:p>
    <w:p w14:paraId="7C3B5BD4" w14:textId="77777777" w:rsidR="00D81E8E" w:rsidRPr="00D81E8E" w:rsidRDefault="00D81E8E" w:rsidP="00D81E8E">
      <w:pPr>
        <w:spacing w:before="120" w:after="120" w:line="276" w:lineRule="auto"/>
        <w:ind w:firstLine="708"/>
        <w:jc w:val="both"/>
        <w:rPr>
          <w:rFonts w:ascii="Verdana" w:hAnsi="Verdana" w:cs="Arial"/>
          <w:bCs/>
          <w:color w:val="000000" w:themeColor="text1"/>
        </w:rPr>
      </w:pPr>
      <w:r w:rsidRPr="00D81E8E">
        <w:rPr>
          <w:rFonts w:ascii="Verdana" w:hAnsi="Verdana" w:cs="Arial"/>
          <w:bCs/>
          <w:color w:val="000000" w:themeColor="text1"/>
        </w:rPr>
        <w:t xml:space="preserve">No obstante, le corresponde a cada entidad estatal, en el marco de los procesos de contratación que desarrolla evaluar si se están presentando prácticas anticompetitivas o de colusión. De este modo, no puede perderse de vista que en Colombia las prácticas anticompetitivas en compras públicas componen una infracción administrativa y un delito penal, por lo cual la Entidad </w:t>
      </w:r>
      <w:r w:rsidRPr="00D81E8E">
        <w:rPr>
          <w:rFonts w:ascii="Verdana" w:hAnsi="Verdana" w:cs="Arial"/>
          <w:bCs/>
          <w:color w:val="000000" w:themeColor="text1"/>
        </w:rPr>
        <w:lastRenderedPageBreak/>
        <w:t>Estatal debe denunciar actividades irregulares a las autoridades competentes, e iniciar una estrategia de generación de competencia en el mercado que podrá encontrar en el numeral “</w:t>
      </w:r>
      <w:proofErr w:type="spellStart"/>
      <w:r w:rsidRPr="00D81E8E">
        <w:rPr>
          <w:rFonts w:ascii="Verdana" w:hAnsi="Verdana" w:cs="Arial"/>
          <w:bCs/>
          <w:color w:val="000000" w:themeColor="text1"/>
        </w:rPr>
        <w:t>iv</w:t>
      </w:r>
      <w:proofErr w:type="spellEnd"/>
      <w:r w:rsidRPr="00D81E8E">
        <w:rPr>
          <w:rFonts w:ascii="Verdana" w:hAnsi="Verdana" w:cs="Arial"/>
          <w:bCs/>
          <w:color w:val="000000" w:themeColor="text1"/>
        </w:rPr>
        <w:t>) Estrategias para incrementar la competencia en las compras públicas”, de la “Guía de competencia en las compras públicas”. Por último, la Superintendencia de Industria y Comercio puso a disposición de la comunidad y de los entes estatales la “Guía práctica para combatir la colusión en las licitaciones”</w:t>
      </w:r>
      <w:r w:rsidRPr="00D81E8E">
        <w:rPr>
          <w:rFonts w:ascii="Verdana" w:hAnsi="Verdana" w:cs="Arial"/>
          <w:bCs/>
          <w:color w:val="000000" w:themeColor="text1"/>
          <w:vertAlign w:val="superscript"/>
        </w:rPr>
        <w:footnoteReference w:id="25"/>
      </w:r>
      <w:r w:rsidRPr="00D81E8E">
        <w:rPr>
          <w:rFonts w:ascii="Verdana" w:hAnsi="Verdana" w:cs="Arial"/>
          <w:bCs/>
          <w:color w:val="000000" w:themeColor="text1"/>
        </w:rPr>
        <w:t xml:space="preserve"> como respuesta a los actos de corrupción que se presenta en el país, por lo que en el numeral “3.4 ¿Cómo poder identificar una conducta </w:t>
      </w:r>
      <w:proofErr w:type="spellStart"/>
      <w:r w:rsidRPr="00D81E8E">
        <w:rPr>
          <w:rFonts w:ascii="Verdana" w:hAnsi="Verdana" w:cs="Arial"/>
          <w:bCs/>
          <w:color w:val="000000" w:themeColor="text1"/>
        </w:rPr>
        <w:t>colusiva</w:t>
      </w:r>
      <w:proofErr w:type="spellEnd"/>
      <w:r w:rsidRPr="00D81E8E">
        <w:rPr>
          <w:rFonts w:ascii="Verdana" w:hAnsi="Verdana" w:cs="Arial"/>
          <w:bCs/>
          <w:color w:val="000000" w:themeColor="text1"/>
        </w:rPr>
        <w:t>?”, podrá encontrar el paso a paso de la identificación de conductas colusorias.</w:t>
      </w:r>
    </w:p>
    <w:p w14:paraId="0C3EC982" w14:textId="77777777" w:rsidR="00D81E8E" w:rsidRPr="00D81E8E" w:rsidRDefault="00D81E8E" w:rsidP="00D81E8E">
      <w:pPr>
        <w:spacing w:before="120" w:after="120" w:line="276" w:lineRule="auto"/>
        <w:ind w:firstLine="708"/>
        <w:jc w:val="both"/>
        <w:rPr>
          <w:rFonts w:ascii="Verdana" w:hAnsi="Verdana" w:cs="Arial"/>
          <w:i/>
          <w:color w:val="000000" w:themeColor="text1"/>
        </w:rPr>
      </w:pPr>
      <w:r w:rsidRPr="00D81E8E">
        <w:rPr>
          <w:rFonts w:ascii="Verdana" w:hAnsi="Verdana" w:cs="Arial"/>
          <w:bCs/>
          <w:color w:val="000000" w:themeColor="text1"/>
        </w:rPr>
        <w:t>De acuerdo con lo anterior, tal y como se expuso en líneas anteriores el concepto colusión, significa “Pacto ilícito en daño de un tercero”, de manera que lo que se castiga es el pacto para desfavorecer a un tercero. Conforme lo dispuesto en el artículo 1 de la Ley 155 de 1959 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 En el mismo sentido, de acuerdo con el numeral 9 del artículo 47 del Decreto 2153 de 1992 son acuerdos contrarios a la libre competencia los que tengan por objeto la colusión en las licitaciones o concursos o los que tengan como efecto la distribución de adjudicaciones de contratos, distribución de concursos o fijación de términos de las propuestas.</w:t>
      </w:r>
    </w:p>
    <w:p w14:paraId="5FC52C82" w14:textId="77777777" w:rsidR="00D81E8E" w:rsidRPr="00D81E8E" w:rsidRDefault="00D81E8E" w:rsidP="00D81E8E">
      <w:pPr>
        <w:spacing w:before="120" w:after="120" w:line="276" w:lineRule="auto"/>
        <w:ind w:firstLine="708"/>
        <w:jc w:val="both"/>
        <w:rPr>
          <w:rFonts w:ascii="Verdana" w:hAnsi="Verdana" w:cs="Arial"/>
          <w:bCs/>
          <w:color w:val="000000" w:themeColor="text1"/>
        </w:rPr>
      </w:pPr>
      <w:r w:rsidRPr="00D81E8E">
        <w:rPr>
          <w:rFonts w:ascii="Verdana" w:hAnsi="Verdana" w:cs="Arial"/>
          <w:bCs/>
          <w:color w:val="000000" w:themeColor="text1"/>
          <w:lang w:val="es-ES"/>
        </w:rPr>
        <w:t>Sin embargo, le corresponde a cada Entidad Estatal, en el marco de los Procesos de Contratación que desarrolla evaluar si se están presentando prácticas anticompetitivas o de colusión. De este modo, no puede perderse de vista que en Colombia las prácticas anticompetitivas en compras públicas componen una infracción administrativa y un tipo penal, por lo cual la Entidad Estatal debe denunciar actividades irregulares a las autoridades competentes, e iniciar una estrategia de generación de competencia en el mercado que podrá encontrar en el numeral “</w:t>
      </w:r>
      <w:proofErr w:type="spellStart"/>
      <w:r w:rsidRPr="00D81E8E">
        <w:rPr>
          <w:rFonts w:ascii="Verdana" w:hAnsi="Verdana" w:cs="Arial"/>
          <w:bCs/>
          <w:color w:val="000000" w:themeColor="text1"/>
          <w:lang w:val="es-ES"/>
        </w:rPr>
        <w:t>iv</w:t>
      </w:r>
      <w:proofErr w:type="spellEnd"/>
      <w:r w:rsidRPr="00D81E8E">
        <w:rPr>
          <w:rFonts w:ascii="Verdana" w:hAnsi="Verdana" w:cs="Arial"/>
          <w:bCs/>
          <w:color w:val="000000" w:themeColor="text1"/>
          <w:lang w:val="es-ES"/>
        </w:rPr>
        <w:t xml:space="preserve">) Estrategias para incrementar la competencia en las compras públicas”, de la “Guía de competencia en las compras públicas”. </w:t>
      </w:r>
    </w:p>
    <w:p w14:paraId="2A495E7B" w14:textId="77777777" w:rsidR="00D81E8E" w:rsidRPr="00D81E8E" w:rsidRDefault="00D81E8E" w:rsidP="00D81E8E">
      <w:pPr>
        <w:spacing w:line="276" w:lineRule="auto"/>
        <w:ind w:firstLine="708"/>
        <w:jc w:val="both"/>
        <w:rPr>
          <w:rFonts w:ascii="Verdana" w:hAnsi="Verdana" w:cs="Arial"/>
          <w:bCs/>
          <w:color w:val="000000" w:themeColor="text1"/>
          <w:lang w:val="es-ES"/>
        </w:rPr>
      </w:pPr>
      <w:r w:rsidRPr="00D81E8E">
        <w:rPr>
          <w:rFonts w:ascii="Verdana" w:hAnsi="Verdana" w:cs="Arial"/>
          <w:bCs/>
          <w:color w:val="000000" w:themeColor="text1"/>
          <w:lang w:val="es-ES"/>
        </w:rPr>
        <w:lastRenderedPageBreak/>
        <w:t>Por último, la Superintendencia de Industria y Comercio puso a disposición de la comunidad y de los entes estatales la “Guía práctica para combatir la colusión en las licitaciones”</w:t>
      </w:r>
      <w:r w:rsidRPr="00D81E8E">
        <w:rPr>
          <w:rFonts w:ascii="Verdana" w:hAnsi="Verdana" w:cs="Arial"/>
          <w:bCs/>
          <w:color w:val="000000" w:themeColor="text1"/>
          <w:vertAlign w:val="superscript"/>
          <w:lang w:val="es-ES"/>
        </w:rPr>
        <w:footnoteReference w:id="26"/>
      </w:r>
      <w:r w:rsidRPr="00D81E8E">
        <w:rPr>
          <w:rFonts w:ascii="Verdana" w:hAnsi="Verdana" w:cs="Arial"/>
          <w:bCs/>
          <w:color w:val="000000" w:themeColor="text1"/>
          <w:lang w:val="es-ES"/>
        </w:rPr>
        <w:t xml:space="preserve"> como respuesta a los actos de corrupción que se presenta en el país, por lo que en el numeral “3.4 ¿Cómo poder identificar una conducta </w:t>
      </w:r>
      <w:proofErr w:type="spellStart"/>
      <w:r w:rsidRPr="00D81E8E">
        <w:rPr>
          <w:rFonts w:ascii="Verdana" w:hAnsi="Verdana" w:cs="Arial"/>
          <w:bCs/>
          <w:color w:val="000000" w:themeColor="text1"/>
          <w:lang w:val="es-ES"/>
        </w:rPr>
        <w:t>colusiva</w:t>
      </w:r>
      <w:proofErr w:type="spellEnd"/>
      <w:r w:rsidRPr="00D81E8E">
        <w:rPr>
          <w:rFonts w:ascii="Verdana" w:hAnsi="Verdana" w:cs="Arial"/>
          <w:bCs/>
          <w:color w:val="000000" w:themeColor="text1"/>
          <w:lang w:val="es-ES"/>
        </w:rPr>
        <w:t>?”, podrá encontrar el paso a paso de la identificación de conductas colusorias.</w:t>
      </w:r>
    </w:p>
    <w:p w14:paraId="5BBA53B2" w14:textId="77777777" w:rsidR="00D81E8E" w:rsidRPr="00D81E8E" w:rsidRDefault="00D81E8E" w:rsidP="00D81E8E">
      <w:pPr>
        <w:spacing w:line="276" w:lineRule="auto"/>
        <w:ind w:firstLine="708"/>
        <w:jc w:val="both"/>
        <w:rPr>
          <w:rFonts w:ascii="Verdana" w:hAnsi="Verdana" w:cs="Arial"/>
          <w:bCs/>
          <w:color w:val="000000" w:themeColor="text1"/>
          <w:lang w:val="es-ES"/>
        </w:rPr>
      </w:pPr>
      <w:r w:rsidRPr="00D81E8E">
        <w:rPr>
          <w:rFonts w:ascii="Verdana" w:hAnsi="Verdana" w:cs="Arial"/>
          <w:bCs/>
          <w:color w:val="000000" w:themeColor="text1"/>
          <w:lang w:val="es-ES"/>
        </w:rPr>
        <w:t>En ese orden de ideas, es importante evitar dentro de los procesos de contratación prácticas anticompetitivas que vulneren los principios de la contratación estatal; por lo cual, en virtud de la libre competencia y transparencia, es necesario que, en los pliegos de condiciones de cada proceso, se incluyan causales de rechazo o reglas que limiten conductas colusorias. En conclusión, aunque no existe una prohibición general para que una persona natural o jurídica sea miembros de varios consorcios o uniones temporales dentro de un mismo proceso de contratación, es necesario analizar cada caso, para determinar la procedencia de la fijación de causales de rechazo que eviten este tipo de prácticas.</w:t>
      </w:r>
    </w:p>
    <w:p w14:paraId="1629CAA7" w14:textId="77777777" w:rsidR="00D81E8E" w:rsidRPr="00D81E8E" w:rsidRDefault="00D81E8E" w:rsidP="00D81E8E">
      <w:pPr>
        <w:spacing w:line="276" w:lineRule="auto"/>
        <w:ind w:firstLine="708"/>
        <w:jc w:val="both"/>
        <w:rPr>
          <w:rFonts w:ascii="Verdana" w:hAnsi="Verdana" w:cs="Arial"/>
          <w:bCs/>
          <w:color w:val="000000" w:themeColor="text1"/>
          <w:lang w:val="es-ES_tradnl"/>
        </w:rPr>
      </w:pPr>
      <w:r w:rsidRPr="00D81E8E">
        <w:rPr>
          <w:rFonts w:ascii="Verdana" w:hAnsi="Verdana" w:cs="Arial"/>
          <w:bCs/>
          <w:color w:val="000000" w:themeColor="text1"/>
        </w:rPr>
        <w:t>En todo caso, es la Entidad Estatal quién determinará en los documentos del proceso las circunstancias que no permitan admitir una propuesta u oferta en un proceso de contratación. En otras palabras, en el ejercicio de esta facultad, las entidades deben respetar el deber de selección objetiva, de manera que las causales de rechazo que dispongan no impongan barreras injustificadas a la participación, y respondan a criterios de proporcionalidad y razonabilidad, con el fin de garantizar la pluralidad de oferentes y la participación en el respectivo proceso.</w:t>
      </w:r>
    </w:p>
    <w:p w14:paraId="5C502D3A" w14:textId="77777777" w:rsidR="00D81E8E" w:rsidRPr="00D81E8E" w:rsidRDefault="00D81E8E" w:rsidP="00D81E8E">
      <w:pPr>
        <w:spacing w:after="0" w:line="276" w:lineRule="auto"/>
        <w:jc w:val="both"/>
        <w:rPr>
          <w:rFonts w:ascii="Verdana" w:eastAsia="Arial" w:hAnsi="Verdana" w:cs="Arial"/>
          <w:lang w:val="es-ES_tradnl"/>
        </w:rPr>
      </w:pPr>
    </w:p>
    <w:p w14:paraId="0AE3EBA1" w14:textId="77777777" w:rsidR="00D81E8E" w:rsidRPr="00D81E8E" w:rsidRDefault="00D81E8E" w:rsidP="00D81E8E">
      <w:pPr>
        <w:numPr>
          <w:ilvl w:val="0"/>
          <w:numId w:val="31"/>
        </w:numPr>
        <w:spacing w:after="0" w:line="276" w:lineRule="auto"/>
        <w:contextualSpacing/>
        <w:rPr>
          <w:rFonts w:ascii="Verdana" w:eastAsia="Calibri" w:hAnsi="Verdana" w:cs="Times New Roman"/>
          <w:b/>
          <w:bCs/>
          <w:lang w:val="es-ES"/>
        </w:rPr>
      </w:pPr>
      <w:r w:rsidRPr="00D81E8E">
        <w:rPr>
          <w:rFonts w:ascii="Verdana" w:eastAsia="Calibri" w:hAnsi="Verdana" w:cs="Times New Roman"/>
          <w:b/>
          <w:bCs/>
          <w:lang w:val="es-ES"/>
        </w:rPr>
        <w:t>Referencias normativas, jurisprudenciales y otras fuentes:</w:t>
      </w:r>
    </w:p>
    <w:p w14:paraId="64D345FE" w14:textId="77777777" w:rsidR="00D81E8E" w:rsidRPr="00D81E8E" w:rsidRDefault="00D81E8E" w:rsidP="00D81E8E">
      <w:pPr>
        <w:widowControl w:val="0"/>
        <w:autoSpaceDE w:val="0"/>
        <w:autoSpaceDN w:val="0"/>
        <w:spacing w:after="0" w:line="276" w:lineRule="auto"/>
        <w:jc w:val="both"/>
        <w:rPr>
          <w:rFonts w:ascii="Verdana" w:hAnsi="Verdana" w:cs="Arial"/>
        </w:rPr>
      </w:pPr>
    </w:p>
    <w:tbl>
      <w:tblPr>
        <w:tblStyle w:val="Tablaconcuadrcula112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81E8E" w:rsidRPr="00D81E8E" w14:paraId="17A3AAF9" w14:textId="77777777" w:rsidTr="003167B7">
        <w:trPr>
          <w:trHeight w:val="487"/>
          <w:jc w:val="center"/>
        </w:trPr>
        <w:tc>
          <w:tcPr>
            <w:tcW w:w="8647" w:type="dxa"/>
          </w:tcPr>
          <w:p w14:paraId="18311E8E"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Ley 155 de 1959. Artículo 1.</w:t>
            </w:r>
          </w:p>
          <w:p w14:paraId="2F6DFC0A"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Decreto 2153 de 1992. Artículo 47 numeral 9.</w:t>
            </w:r>
          </w:p>
          <w:p w14:paraId="296AC5EE"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Ley 80 de 1993, artículos 6, 7, 8. 9. </w:t>
            </w:r>
          </w:p>
          <w:p w14:paraId="0037FB14"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rPr>
              <w:t xml:space="preserve">Ley 1150 de 2007, artículo 5º, modificado por la Ley 1474 de 2011 y la Ley 1882 de 2018. </w:t>
            </w:r>
          </w:p>
          <w:p w14:paraId="7EA7E9E8"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lastRenderedPageBreak/>
              <w:t>CONSEJO DE ESTADO. Sala de Consulta y Servicio Civil. Concepto del 29 de abril de 1998. Rad. 1097. C.P. Augusto Trejos Jaramillo.</w:t>
            </w:r>
          </w:p>
          <w:p w14:paraId="0AC5599B"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CONSEJO DE ESTADO. Sala de Consulta y Servicio Civil. Concepto del 10 de agosto de 2006. </w:t>
            </w:r>
            <w:proofErr w:type="spellStart"/>
            <w:r w:rsidRPr="00D81E8E">
              <w:rPr>
                <w:rFonts w:ascii="Verdana" w:hAnsi="Verdana" w:cs="Arial"/>
                <w:lang w:val="es-ES"/>
              </w:rPr>
              <w:t>Exp</w:t>
            </w:r>
            <w:proofErr w:type="spellEnd"/>
            <w:r w:rsidRPr="00D81E8E">
              <w:rPr>
                <w:rFonts w:ascii="Verdana" w:hAnsi="Verdana" w:cs="Arial"/>
                <w:lang w:val="es-ES"/>
              </w:rPr>
              <w:t xml:space="preserve">. 1.767. C.P. Luis Fernando Álvarez Jaramillo. </w:t>
            </w:r>
          </w:p>
          <w:p w14:paraId="500B3599"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CONSEJO DE ESTADO. Concepto del 23 de marzo de 2011. </w:t>
            </w:r>
            <w:proofErr w:type="spellStart"/>
            <w:r w:rsidRPr="00D81E8E">
              <w:rPr>
                <w:rFonts w:ascii="Verdana" w:hAnsi="Verdana" w:cs="Arial"/>
                <w:lang w:val="es-ES"/>
              </w:rPr>
              <w:t>Exp</w:t>
            </w:r>
            <w:proofErr w:type="spellEnd"/>
            <w:r w:rsidRPr="00D81E8E">
              <w:rPr>
                <w:rFonts w:ascii="Verdana" w:hAnsi="Verdana" w:cs="Arial"/>
                <w:lang w:val="es-ES"/>
              </w:rPr>
              <w:t xml:space="preserve">. 2.045. C.P. Enrique José Arboleda Perdomo. </w:t>
            </w:r>
          </w:p>
          <w:p w14:paraId="59140174"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CONSEJO DE ESTADO. Sección Tercera. Subsección C. Sentencia del 22 de mayo de 2013. Rad. 24.057. C.P. Olga Mélida Valle De </w:t>
            </w:r>
            <w:proofErr w:type="spellStart"/>
            <w:r w:rsidRPr="00D81E8E">
              <w:rPr>
                <w:rFonts w:ascii="Verdana" w:hAnsi="Verdana" w:cs="Arial"/>
                <w:lang w:val="es-ES"/>
              </w:rPr>
              <w:t>De</w:t>
            </w:r>
            <w:proofErr w:type="spellEnd"/>
            <w:r w:rsidRPr="00D81E8E">
              <w:rPr>
                <w:rFonts w:ascii="Verdana" w:hAnsi="Verdana" w:cs="Arial"/>
                <w:lang w:val="es-ES"/>
              </w:rPr>
              <w:t xml:space="preserve"> La Hoz.</w:t>
            </w:r>
          </w:p>
          <w:p w14:paraId="6F8894EE"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CONSEJO DE ESTADO. Sección Tercera. Subsección A. Sentencia del 13 de noviembre de 2013. Rad. 25.646. C.P. Mauricio Fajardo Gómez.  </w:t>
            </w:r>
          </w:p>
          <w:p w14:paraId="65C66DD6"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CONSEJO DE ESTADO. Sala de Consulta y Servicio Civil. Concepto del 30 de abril de 2015. </w:t>
            </w:r>
            <w:proofErr w:type="spellStart"/>
            <w:r w:rsidRPr="00D81E8E">
              <w:rPr>
                <w:rFonts w:ascii="Verdana" w:hAnsi="Verdana" w:cs="Arial"/>
                <w:lang w:val="es-ES"/>
              </w:rPr>
              <w:t>Exp</w:t>
            </w:r>
            <w:proofErr w:type="spellEnd"/>
            <w:r w:rsidRPr="00D81E8E">
              <w:rPr>
                <w:rFonts w:ascii="Verdana" w:hAnsi="Verdana" w:cs="Arial"/>
                <w:lang w:val="es-ES"/>
              </w:rPr>
              <w:t xml:space="preserve">. 2251. C.P. Álvaro </w:t>
            </w:r>
            <w:proofErr w:type="spellStart"/>
            <w:r w:rsidRPr="00D81E8E">
              <w:rPr>
                <w:rFonts w:ascii="Verdana" w:hAnsi="Verdana" w:cs="Arial"/>
                <w:lang w:val="es-ES"/>
              </w:rPr>
              <w:t>Namén</w:t>
            </w:r>
            <w:proofErr w:type="spellEnd"/>
            <w:r w:rsidRPr="00D81E8E">
              <w:rPr>
                <w:rFonts w:ascii="Verdana" w:hAnsi="Verdana" w:cs="Arial"/>
                <w:lang w:val="es-ES"/>
              </w:rPr>
              <w:t xml:space="preserve"> Vargas.</w:t>
            </w:r>
          </w:p>
          <w:p w14:paraId="0870A2DB"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CONSEJO DE ESTADO. Sección Tercera. Subsección A. Sentencia del 24 de junio de 2015. </w:t>
            </w:r>
            <w:proofErr w:type="spellStart"/>
            <w:r w:rsidRPr="00D81E8E">
              <w:rPr>
                <w:rFonts w:ascii="Verdana" w:hAnsi="Verdana" w:cs="Arial"/>
                <w:lang w:val="es-ES"/>
              </w:rPr>
              <w:t>Exp</w:t>
            </w:r>
            <w:proofErr w:type="spellEnd"/>
            <w:r w:rsidRPr="00D81E8E">
              <w:rPr>
                <w:rFonts w:ascii="Verdana" w:hAnsi="Verdana" w:cs="Arial"/>
                <w:lang w:val="es-ES"/>
              </w:rPr>
              <w:t>. 40.635. C.P. Hernán Andrade Rincón (E).</w:t>
            </w:r>
          </w:p>
          <w:p w14:paraId="6424658D"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CONSEJO DE ESTADO. Sección Tercera. Subsección B. Sentencia del 12 de diciembre de 2014. </w:t>
            </w:r>
            <w:proofErr w:type="spellStart"/>
            <w:r w:rsidRPr="00D81E8E">
              <w:rPr>
                <w:rFonts w:ascii="Verdana" w:hAnsi="Verdana" w:cs="Arial"/>
                <w:lang w:val="es-ES"/>
              </w:rPr>
              <w:t>Exp</w:t>
            </w:r>
            <w:proofErr w:type="spellEnd"/>
            <w:r w:rsidRPr="00D81E8E">
              <w:rPr>
                <w:rFonts w:ascii="Verdana" w:hAnsi="Verdana" w:cs="Arial"/>
                <w:lang w:val="es-ES"/>
              </w:rPr>
              <w:t>. 26496. C.P. Ramiro Pazos Guerrero.</w:t>
            </w:r>
          </w:p>
          <w:p w14:paraId="6358C2B0"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CORTE CONSTITUCIONAL. Sentencia C-415 de 1994. M.P. Eduardo Cifuentes Muñoz.</w:t>
            </w:r>
          </w:p>
          <w:p w14:paraId="5F31CC6D"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CORTE CONSTITUCIONAL. Sentencia C-181 de 1997. M.P. Fabio Morón Díaz. </w:t>
            </w:r>
          </w:p>
          <w:p w14:paraId="147C606B"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eastAsia="Calibri" w:hAnsi="Verdana" w:cs="Times New Roman"/>
                <w:lang w:val="es-MX"/>
              </w:rPr>
              <w:t xml:space="preserve">CORTE CONSTITUCIONAL. Sentencia C-949 del 5 de septiembre de 2001. M.P. Clara Inés Vargas Hernández.  </w:t>
            </w:r>
          </w:p>
          <w:p w14:paraId="028BB527"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CORTE CONSTITUCIONAL. Sentencia C-780 de 2001. M.P. Jaime Córdoba Triviño. </w:t>
            </w:r>
          </w:p>
          <w:p w14:paraId="44B14932"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 xml:space="preserve">CORTE CONSTITUCIONAL. Sentencia T-1039 de 2006. M.P. Humberto Sierra Porto. </w:t>
            </w:r>
          </w:p>
          <w:p w14:paraId="6051ED90"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CORTE CONSTITUCIONAL. Sentencia C-903 de 2008. M.P. Jaime Araujo Rentería.</w:t>
            </w:r>
          </w:p>
          <w:p w14:paraId="42139B75"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t>CORTE CONSTITUCIONAL. Sentencia C-1016 de 2012. M.P. Jorge Iván Palacio.</w:t>
            </w:r>
          </w:p>
          <w:p w14:paraId="053FB1CC"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hAnsi="Verdana" w:cs="Arial"/>
                <w:lang w:val="es-ES"/>
              </w:rPr>
              <w:lastRenderedPageBreak/>
              <w:t>CORTE CONSTITUCIONAL. Sentencia C-101 de 2018. M.P. Gloria Stella Ortiz Delgado.</w:t>
            </w:r>
          </w:p>
          <w:p w14:paraId="77948DDD"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eastAsia="Calibri" w:hAnsi="Verdana" w:cs="Arial"/>
                <w:lang w:val="es-MX"/>
              </w:rPr>
              <w:t>AGENCIA NACIONAL DE CONTRATACIÓN PÚBLICA –COLOMBIA COMPRA EFICIENTE. “G</w:t>
            </w:r>
            <w:r w:rsidRPr="00D81E8E">
              <w:rPr>
                <w:rFonts w:ascii="Verdana" w:eastAsia="Times New Roman" w:hAnsi="Verdana" w:cs="Arial"/>
                <w:lang w:val="es-MX" w:eastAsia="es-ES_tradnl"/>
              </w:rPr>
              <w:t>uía de competencia en las compras públicas” disponible en:</w:t>
            </w:r>
            <w:r w:rsidRPr="00D81E8E">
              <w:rPr>
                <w:rFonts w:ascii="Verdana" w:eastAsia="Calibri" w:hAnsi="Verdana" w:cs="Times New Roman"/>
                <w:lang w:val="es-MX"/>
              </w:rPr>
              <w:t xml:space="preserve"> </w:t>
            </w:r>
            <w:r w:rsidRPr="00D81E8E">
              <w:rPr>
                <w:rFonts w:ascii="Verdana" w:eastAsia="Times New Roman" w:hAnsi="Verdana" w:cs="Arial"/>
                <w:lang w:val="es-MX" w:eastAsia="es-ES_tradnl"/>
              </w:rPr>
              <w:t xml:space="preserve">https://www.colombiacompra.gov.co/archivos/manual/guia-de-competencia-en-las-compras-publicas </w:t>
            </w:r>
          </w:p>
          <w:p w14:paraId="19133E50"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eastAsia="Calibri" w:hAnsi="Verdana" w:cs="Arial"/>
                <w:lang w:val="es-MX"/>
              </w:rPr>
              <w:t xml:space="preserve">BARRETO MORENO, Antonio Alejandro. El derecho de la compra pública. Bogotá: Legis y Universidad de la Sabana, 2019. p.95. </w:t>
            </w:r>
          </w:p>
          <w:p w14:paraId="124A539D" w14:textId="77777777" w:rsidR="00D81E8E" w:rsidRPr="00D81E8E" w:rsidRDefault="00D81E8E" w:rsidP="00D81E8E">
            <w:pPr>
              <w:numPr>
                <w:ilvl w:val="0"/>
                <w:numId w:val="26"/>
              </w:numPr>
              <w:spacing w:line="276" w:lineRule="auto"/>
              <w:ind w:left="731"/>
              <w:contextualSpacing/>
              <w:jc w:val="both"/>
              <w:rPr>
                <w:rFonts w:ascii="Verdana" w:hAnsi="Verdana" w:cs="Arial"/>
                <w:lang w:val="es-ES"/>
              </w:rPr>
            </w:pPr>
            <w:r w:rsidRPr="00D81E8E">
              <w:rPr>
                <w:rFonts w:ascii="Verdana" w:hAnsi="Verdana" w:cs="Arial"/>
                <w:lang w:val="es-ES"/>
              </w:rPr>
              <w:t>DAVILA VINUEZA, Luis Guillermo Régimen jurídico de la contratación estatal: aproximación crítica a Ley 80 de 1993. 3ª ed. Bogotá: Legis, 2016.</w:t>
            </w:r>
          </w:p>
          <w:p w14:paraId="48766BA0" w14:textId="77777777" w:rsidR="00D81E8E" w:rsidRPr="00D81E8E" w:rsidRDefault="00D81E8E" w:rsidP="00D81E8E">
            <w:pPr>
              <w:numPr>
                <w:ilvl w:val="0"/>
                <w:numId w:val="26"/>
              </w:numPr>
              <w:spacing w:before="120" w:after="120" w:line="276" w:lineRule="auto"/>
              <w:ind w:left="640" w:hanging="357"/>
              <w:jc w:val="both"/>
              <w:rPr>
                <w:rFonts w:ascii="Verdana" w:hAnsi="Verdana" w:cs="Arial"/>
                <w:lang w:val="es-ES"/>
              </w:rPr>
            </w:pPr>
            <w:r w:rsidRPr="00D81E8E">
              <w:rPr>
                <w:rFonts w:ascii="Verdana" w:eastAsia="Calibri" w:hAnsi="Verdana" w:cs="Arial"/>
                <w:lang w:val="es-MX"/>
              </w:rPr>
              <w:t xml:space="preserve">SUPERINTENDENCIA DE INDUSTRIA Y </w:t>
            </w:r>
            <w:proofErr w:type="gramStart"/>
            <w:r w:rsidRPr="00D81E8E">
              <w:rPr>
                <w:rFonts w:ascii="Verdana" w:eastAsia="Calibri" w:hAnsi="Verdana" w:cs="Arial"/>
                <w:lang w:val="es-MX"/>
              </w:rPr>
              <w:t>COMERCIO</w:t>
            </w:r>
            <w:r w:rsidRPr="00D81E8E" w:rsidDel="00207FAD">
              <w:rPr>
                <w:rFonts w:ascii="Verdana" w:eastAsia="Calibri" w:hAnsi="Verdana" w:cs="Arial"/>
                <w:lang w:val="es-MX"/>
              </w:rPr>
              <w:t xml:space="preserve"> </w:t>
            </w:r>
            <w:r w:rsidRPr="00D81E8E">
              <w:rPr>
                <w:rFonts w:ascii="Verdana" w:eastAsia="Calibri" w:hAnsi="Verdana" w:cs="Arial"/>
                <w:lang w:val="es-MX"/>
              </w:rPr>
              <w:t xml:space="preserve"> “</w:t>
            </w:r>
            <w:proofErr w:type="gramEnd"/>
            <w:r w:rsidRPr="00D81E8E">
              <w:rPr>
                <w:rFonts w:ascii="Verdana" w:eastAsia="Times New Roman" w:hAnsi="Verdana" w:cs="Arial"/>
                <w:lang w:val="es-MX" w:eastAsia="es-ES_tradnl"/>
              </w:rPr>
              <w:t>Guía práctica para combatir la colusión en las licitaciones</w:t>
            </w:r>
            <w:r w:rsidRPr="00D81E8E">
              <w:rPr>
                <w:rFonts w:ascii="Verdana" w:eastAsia="Calibri" w:hAnsi="Verdana" w:cs="Arial"/>
                <w:lang w:val="es-MX"/>
              </w:rPr>
              <w:t xml:space="preserve">” se encuentra disponible: </w:t>
            </w:r>
            <w:hyperlink r:id="rId13" w:history="1">
              <w:r w:rsidRPr="00D81E8E">
                <w:rPr>
                  <w:rFonts w:ascii="Verdana" w:eastAsia="Calibri" w:hAnsi="Verdana" w:cs="Arial"/>
                  <w:color w:val="0000FF"/>
                  <w:u w:val="single"/>
                  <w:lang w:val="es-MX"/>
                </w:rPr>
                <w:t>https://www.sic.gov.co/recursos_user/documentos/articulos/2010/Guia_Contratacion.pdf</w:t>
              </w:r>
            </w:hyperlink>
          </w:p>
          <w:p w14:paraId="020BBECF" w14:textId="77777777" w:rsidR="00D81E8E" w:rsidRPr="00D81E8E" w:rsidRDefault="00D81E8E" w:rsidP="00D81E8E">
            <w:pPr>
              <w:spacing w:line="276" w:lineRule="auto"/>
              <w:ind w:left="731"/>
              <w:contextualSpacing/>
              <w:jc w:val="both"/>
              <w:rPr>
                <w:rFonts w:ascii="Verdana" w:hAnsi="Verdana" w:cs="Arial"/>
                <w:lang w:val="es-ES"/>
              </w:rPr>
            </w:pPr>
          </w:p>
        </w:tc>
      </w:tr>
    </w:tbl>
    <w:p w14:paraId="7CE2C688" w14:textId="77777777" w:rsidR="00D81E8E" w:rsidRPr="00D81E8E" w:rsidRDefault="00D81E8E" w:rsidP="00D81E8E">
      <w:pPr>
        <w:spacing w:after="0" w:line="276" w:lineRule="auto"/>
        <w:ind w:left="360"/>
        <w:contextualSpacing/>
        <w:rPr>
          <w:rFonts w:ascii="Verdana" w:eastAsia="Calibri" w:hAnsi="Verdana" w:cs="Times New Roman"/>
          <w:b/>
          <w:bCs/>
          <w:lang w:val="es-ES"/>
        </w:rPr>
      </w:pPr>
    </w:p>
    <w:p w14:paraId="22E74977" w14:textId="77777777" w:rsidR="00D81E8E" w:rsidRPr="00D81E8E" w:rsidRDefault="00D81E8E" w:rsidP="00D81E8E">
      <w:pPr>
        <w:numPr>
          <w:ilvl w:val="0"/>
          <w:numId w:val="32"/>
        </w:numPr>
        <w:spacing w:after="0" w:line="276" w:lineRule="auto"/>
        <w:contextualSpacing/>
        <w:rPr>
          <w:rFonts w:ascii="Verdana" w:eastAsia="Calibri" w:hAnsi="Verdana" w:cs="Times New Roman"/>
          <w:b/>
          <w:bCs/>
          <w:lang w:val="es-ES"/>
        </w:rPr>
      </w:pPr>
      <w:r w:rsidRPr="00D81E8E">
        <w:rPr>
          <w:rFonts w:ascii="Verdana" w:eastAsia="Calibri" w:hAnsi="Verdana" w:cs="Times New Roman"/>
          <w:b/>
          <w:bCs/>
          <w:lang w:val="es-ES"/>
        </w:rPr>
        <w:t>Doctrina de la Agencia Nacional de Contratación Pública:</w:t>
      </w:r>
    </w:p>
    <w:p w14:paraId="1DFA3007" w14:textId="77777777" w:rsidR="00D81E8E" w:rsidRPr="00D81E8E" w:rsidRDefault="00D81E8E" w:rsidP="00D81E8E">
      <w:pPr>
        <w:spacing w:after="0" w:line="276" w:lineRule="auto"/>
        <w:rPr>
          <w:rFonts w:ascii="Verdana" w:eastAsia="Calibri" w:hAnsi="Verdana" w:cs="Times New Roman"/>
          <w:lang w:val="es-ES"/>
        </w:rPr>
      </w:pPr>
    </w:p>
    <w:p w14:paraId="22112F32" w14:textId="77777777" w:rsidR="00D81E8E" w:rsidRPr="00D81E8E" w:rsidRDefault="00D81E8E" w:rsidP="00D81E8E">
      <w:pPr>
        <w:widowControl w:val="0"/>
        <w:autoSpaceDE w:val="0"/>
        <w:autoSpaceDN w:val="0"/>
        <w:spacing w:after="0" w:line="276" w:lineRule="auto"/>
        <w:jc w:val="both"/>
        <w:rPr>
          <w:rFonts w:ascii="Verdana" w:hAnsi="Verdana" w:cs="Arial"/>
          <w:shd w:val="clear" w:color="auto" w:fill="FFFFFF"/>
          <w:lang w:val="es-ES"/>
        </w:rPr>
      </w:pPr>
      <w:r w:rsidRPr="00D81E8E">
        <w:rPr>
          <w:rFonts w:ascii="Verdana" w:hAnsi="Verdana" w:cs="Arial"/>
          <w:shd w:val="clear" w:color="auto" w:fill="FFFFFF"/>
          <w:lang w:val="es-ES"/>
        </w:rPr>
        <w:t>Esta Subdirección se ha pronunciado sobre el régimen de inhabilidades e incompatibilidades en algunos conceptos, tales como:</w:t>
      </w:r>
      <w:r w:rsidRPr="00D81E8E">
        <w:rPr>
          <w:rFonts w:ascii="Arial" w:eastAsia="Calibri" w:hAnsi="Arial" w:cs="Arial"/>
          <w:lang w:val="es-MX"/>
        </w:rPr>
        <w:t xml:space="preserve"> </w:t>
      </w:r>
      <w:r w:rsidRPr="00D81E8E">
        <w:rPr>
          <w:rFonts w:ascii="Verdana" w:hAnsi="Verdana" w:cs="Arial"/>
          <w:shd w:val="clear" w:color="auto" w:fill="FFFFFF"/>
          <w:lang w:val="es-MX"/>
        </w:rPr>
        <w:t xml:space="preserve">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C-293 del 28 de </w:t>
      </w:r>
      <w:r w:rsidRPr="00D81E8E">
        <w:rPr>
          <w:rFonts w:ascii="Verdana" w:hAnsi="Verdana" w:cs="Arial"/>
          <w:shd w:val="clear" w:color="auto" w:fill="FFFFFF"/>
          <w:lang w:val="es-MX"/>
        </w:rPr>
        <w:lastRenderedPageBreak/>
        <w:t xml:space="preserve">agosto de 2021, </w:t>
      </w:r>
      <w:r w:rsidRPr="00D81E8E">
        <w:rPr>
          <w:rFonts w:ascii="Verdana" w:hAnsi="Verdana" w:cs="Arial"/>
          <w:shd w:val="clear" w:color="auto" w:fill="FFFFFF"/>
          <w:lang w:val="es-ES"/>
        </w:rPr>
        <w:t>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C-039 del 23 de abril de 2024, C-041 del 29 de mayo de 2024, C-067 del 16 de mayo de 2024, C-078 del 4 de junio de 2024, C-289 del 15 de agosto de 2023, C-172 de 25 de julio de 2024, C-271 del 22 de julio de 2024, C-904 del 9 de diciembre de 2024, C-170 del 19 de marzo de 2025, C-392 del 8 de mayo de 2025, C-632 del 2 de julio de 2025, entre otros. Sobre la</w:t>
      </w:r>
      <w:r w:rsidRPr="00D81E8E">
        <w:rPr>
          <w:rFonts w:ascii="Verdana" w:hAnsi="Verdana" w:cs="Arial"/>
          <w:shd w:val="clear" w:color="auto" w:fill="FFFFFF"/>
        </w:rPr>
        <w:t xml:space="preserve"> posibilidad de que los proponentes plurales puedan participar en varios procesos de contratación pública</w:t>
      </w:r>
      <w:r w:rsidRPr="00D81E8E">
        <w:rPr>
          <w:rFonts w:ascii="Verdana" w:hAnsi="Verdana" w:cs="Arial"/>
          <w:shd w:val="clear" w:color="auto" w:fill="FFFFFF"/>
          <w:lang w:val="es-ES"/>
        </w:rPr>
        <w:t xml:space="preserve"> esta Subdirección se ha pronunciado</w:t>
      </w:r>
      <w:r w:rsidRPr="00D81E8E">
        <w:rPr>
          <w:rFonts w:ascii="Verdana" w:hAnsi="Verdana" w:cs="Arial"/>
          <w:shd w:val="clear" w:color="auto" w:fill="FFFFFF"/>
        </w:rPr>
        <w:t xml:space="preserve"> en los conceptos C-727 del 28 de octubre de 2024, C-016 del 11 de febrero de 2025, C-046 del 30 de enero de 2025, C-226 del 26 de marzo de 2025, C-295 del 15 de abril de 2025, CU-636 del 2 de julio de 2025. En torno a las causales de rechazo en torno a Consorcios y Uniones Temporales, se han expedido los siguientes conceptos C-226 del 26 de marzo de 2025, C-295 del 15 de abril de 2025, CU-636 del 2 de julio de 2025</w:t>
      </w:r>
      <w:r w:rsidRPr="00D81E8E">
        <w:rPr>
          <w:rFonts w:ascii="Verdana" w:hAnsi="Verdana" w:cs="Arial"/>
          <w:shd w:val="clear" w:color="auto" w:fill="FFFFFF"/>
          <w:lang w:val="es-ES"/>
        </w:rPr>
        <w:t xml:space="preserve"> Por último, frente a las conductas colusorias como prácticas anticompetitivas se han expedido los Conceptos C- 235 del 5 de julio de 2025, C-429 del 16 de septiembre de 2024, C-200 del 25 de marzo de 2025. </w:t>
      </w:r>
    </w:p>
    <w:p w14:paraId="084C62EA" w14:textId="77777777" w:rsidR="00D81E8E" w:rsidRPr="00D81E8E" w:rsidRDefault="00D81E8E" w:rsidP="00D81E8E">
      <w:pPr>
        <w:widowControl w:val="0"/>
        <w:autoSpaceDE w:val="0"/>
        <w:autoSpaceDN w:val="0"/>
        <w:spacing w:after="0" w:line="276" w:lineRule="auto"/>
        <w:jc w:val="both"/>
        <w:rPr>
          <w:rFonts w:ascii="Verdana" w:hAnsi="Verdana" w:cs="Arial"/>
          <w:shd w:val="clear" w:color="auto" w:fill="FFFFFF"/>
          <w:lang w:val="es-ES"/>
        </w:rPr>
      </w:pPr>
    </w:p>
    <w:p w14:paraId="757B6500" w14:textId="77777777" w:rsidR="00D81E8E" w:rsidRPr="00D81E8E" w:rsidRDefault="00D81E8E" w:rsidP="00D81E8E">
      <w:pPr>
        <w:widowControl w:val="0"/>
        <w:autoSpaceDE w:val="0"/>
        <w:autoSpaceDN w:val="0"/>
        <w:spacing w:after="0" w:line="276" w:lineRule="auto"/>
        <w:jc w:val="both"/>
        <w:rPr>
          <w:rFonts w:ascii="Verdana" w:eastAsia="Calibri" w:hAnsi="Verdana" w:cs="Times New Roman"/>
        </w:rPr>
      </w:pPr>
      <w:r w:rsidRPr="00D81E8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9DEA178" w14:textId="77777777" w:rsidR="00D81E8E" w:rsidRPr="00D81E8E" w:rsidRDefault="00D81E8E" w:rsidP="00D81E8E">
      <w:pPr>
        <w:spacing w:after="0" w:line="276" w:lineRule="auto"/>
        <w:jc w:val="both"/>
        <w:rPr>
          <w:rFonts w:ascii="Verdana" w:eastAsia="Calibri" w:hAnsi="Verdana" w:cs="Times New Roman"/>
        </w:rPr>
      </w:pPr>
      <w:hyperlink r:id="rId14" w:history="1">
        <w:r w:rsidRPr="00D81E8E">
          <w:rPr>
            <w:rFonts w:ascii="Verdana" w:eastAsia="Calibri" w:hAnsi="Verdana" w:cs="Times New Roman"/>
            <w:color w:val="0000FF"/>
            <w:u w:val="single"/>
            <w:lang w:val="es-ES"/>
          </w:rPr>
          <w:t>https://relatoria.colombiacompra.gov.co/busqueda/conceptos</w:t>
        </w:r>
      </w:hyperlink>
      <w:r w:rsidRPr="00D81E8E">
        <w:rPr>
          <w:rFonts w:ascii="Verdana" w:eastAsia="Calibri" w:hAnsi="Verdana" w:cs="Times New Roman"/>
        </w:rPr>
        <w:t xml:space="preserve">. </w:t>
      </w:r>
    </w:p>
    <w:p w14:paraId="0CE544CD" w14:textId="77777777" w:rsidR="00D81E8E" w:rsidRPr="00D81E8E" w:rsidRDefault="00D81E8E" w:rsidP="00D81E8E">
      <w:pPr>
        <w:spacing w:after="0" w:line="276" w:lineRule="auto"/>
        <w:jc w:val="both"/>
        <w:rPr>
          <w:rFonts w:ascii="Verdana" w:eastAsia="Calibri" w:hAnsi="Verdana" w:cs="Times New Roman"/>
        </w:rPr>
      </w:pPr>
    </w:p>
    <w:p w14:paraId="528D1588" w14:textId="77777777" w:rsidR="00D81E8E" w:rsidRPr="00D81E8E" w:rsidRDefault="00D81E8E" w:rsidP="00D81E8E">
      <w:pPr>
        <w:spacing w:after="0" w:line="276" w:lineRule="auto"/>
        <w:jc w:val="both"/>
        <w:rPr>
          <w:rFonts w:ascii="Verdana" w:hAnsi="Verdana"/>
        </w:rPr>
      </w:pPr>
      <w:r w:rsidRPr="00D81E8E">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97FF0EE" w14:textId="77777777" w:rsidR="00D81E8E" w:rsidRPr="00D81E8E" w:rsidRDefault="00D81E8E" w:rsidP="00D81E8E">
      <w:pPr>
        <w:spacing w:after="0" w:line="276" w:lineRule="auto"/>
        <w:jc w:val="both"/>
        <w:rPr>
          <w:rFonts w:ascii="Verdana" w:hAnsi="Verdana"/>
        </w:rPr>
      </w:pPr>
    </w:p>
    <w:p w14:paraId="0C4A8ADE" w14:textId="77777777" w:rsidR="00D81E8E" w:rsidRPr="00D81E8E" w:rsidRDefault="00D81E8E" w:rsidP="00D81E8E">
      <w:pPr>
        <w:numPr>
          <w:ilvl w:val="0"/>
          <w:numId w:val="15"/>
        </w:numPr>
        <w:spacing w:after="0" w:line="276" w:lineRule="auto"/>
        <w:contextualSpacing/>
        <w:jc w:val="both"/>
        <w:rPr>
          <w:rFonts w:ascii="Verdana" w:hAnsi="Verdana"/>
          <w:lang w:val="es-ES"/>
        </w:rPr>
      </w:pPr>
      <w:r w:rsidRPr="00D81E8E">
        <w:rPr>
          <w:rFonts w:ascii="Verdana" w:hAnsi="Verdana"/>
          <w:lang w:val="es-ES"/>
        </w:rPr>
        <w:t>Línea nacional gratuita o servicio a la ciudadanía: 01800 0520808</w:t>
      </w:r>
    </w:p>
    <w:p w14:paraId="22BE272A" w14:textId="77777777" w:rsidR="00D81E8E" w:rsidRPr="00D81E8E" w:rsidRDefault="00D81E8E" w:rsidP="00D81E8E">
      <w:pPr>
        <w:numPr>
          <w:ilvl w:val="0"/>
          <w:numId w:val="15"/>
        </w:numPr>
        <w:spacing w:after="0" w:line="276" w:lineRule="auto"/>
        <w:contextualSpacing/>
        <w:jc w:val="both"/>
        <w:rPr>
          <w:rFonts w:ascii="Verdana" w:hAnsi="Verdana"/>
          <w:lang w:val="es-ES"/>
        </w:rPr>
      </w:pPr>
      <w:r w:rsidRPr="00D81E8E">
        <w:rPr>
          <w:rFonts w:ascii="Verdana" w:hAnsi="Verdana"/>
          <w:lang w:val="es-ES"/>
        </w:rPr>
        <w:t>Línea en Bogotá (Mesa de servicio): +57 601 7456788</w:t>
      </w:r>
    </w:p>
    <w:p w14:paraId="73F138CB" w14:textId="77777777" w:rsidR="00D81E8E" w:rsidRPr="00D81E8E" w:rsidRDefault="00D81E8E" w:rsidP="00D81E8E">
      <w:pPr>
        <w:numPr>
          <w:ilvl w:val="0"/>
          <w:numId w:val="15"/>
        </w:numPr>
        <w:spacing w:after="0" w:line="276" w:lineRule="auto"/>
        <w:contextualSpacing/>
        <w:jc w:val="both"/>
        <w:rPr>
          <w:rFonts w:ascii="Verdana" w:hAnsi="Verdana"/>
          <w:lang w:val="es-ES"/>
        </w:rPr>
      </w:pPr>
      <w:r w:rsidRPr="00D81E8E">
        <w:rPr>
          <w:rFonts w:ascii="Verdana" w:hAnsi="Verdana"/>
          <w:lang w:val="es-ES"/>
        </w:rPr>
        <w:t>Línea de servicio y atención al ciudadano: +57 601 7956600</w:t>
      </w:r>
    </w:p>
    <w:p w14:paraId="081CA8FA" w14:textId="77777777" w:rsidR="00D81E8E" w:rsidRPr="00D81E8E" w:rsidRDefault="00D81E8E" w:rsidP="00D81E8E">
      <w:pPr>
        <w:numPr>
          <w:ilvl w:val="0"/>
          <w:numId w:val="15"/>
        </w:numPr>
        <w:spacing w:after="0" w:line="276" w:lineRule="auto"/>
        <w:contextualSpacing/>
        <w:jc w:val="both"/>
        <w:rPr>
          <w:rFonts w:ascii="Verdana" w:hAnsi="Verdana"/>
          <w:lang w:val="es-ES"/>
        </w:rPr>
      </w:pPr>
      <w:r w:rsidRPr="00D81E8E">
        <w:rPr>
          <w:rFonts w:ascii="Verdana" w:hAnsi="Verdana"/>
          <w:lang w:val="es-ES"/>
        </w:rPr>
        <w:t xml:space="preserve">Página web: </w:t>
      </w:r>
      <w:hyperlink r:id="rId15" w:history="1">
        <w:r w:rsidRPr="00D81E8E">
          <w:rPr>
            <w:rFonts w:ascii="Verdana" w:hAnsi="Verdana"/>
            <w:color w:val="0000FF"/>
            <w:u w:val="single"/>
            <w:lang w:val="es-ES"/>
          </w:rPr>
          <w:t>www.colombiacompra.gov.co</w:t>
        </w:r>
      </w:hyperlink>
    </w:p>
    <w:p w14:paraId="4E8B4195" w14:textId="77777777" w:rsidR="00D81E8E" w:rsidRPr="00D81E8E" w:rsidRDefault="00D81E8E" w:rsidP="00D81E8E">
      <w:pPr>
        <w:spacing w:after="0" w:line="276" w:lineRule="auto"/>
        <w:ind w:left="785"/>
        <w:contextualSpacing/>
        <w:jc w:val="both"/>
        <w:rPr>
          <w:rFonts w:ascii="Verdana" w:hAnsi="Verdana"/>
          <w:lang w:val="es-ES"/>
        </w:rPr>
      </w:pPr>
    </w:p>
    <w:p w14:paraId="4F5FC4E6" w14:textId="77777777" w:rsidR="00D81E8E" w:rsidRPr="00D81E8E" w:rsidRDefault="00D81E8E" w:rsidP="00D81E8E">
      <w:pPr>
        <w:spacing w:after="0" w:line="276" w:lineRule="auto"/>
        <w:jc w:val="both"/>
        <w:rPr>
          <w:rFonts w:ascii="Verdana" w:hAnsi="Verdana"/>
        </w:rPr>
      </w:pPr>
      <w:r w:rsidRPr="00D81E8E">
        <w:rPr>
          <w:rFonts w:ascii="Verdana" w:hAnsi="Verdana"/>
        </w:rPr>
        <w:t xml:space="preserve">Por último, lo invitamos a seguirnos en las redes sociales en las cuales se difunde información institucional: </w:t>
      </w:r>
    </w:p>
    <w:p w14:paraId="2811883E" w14:textId="77777777" w:rsidR="00D81E8E" w:rsidRPr="00D81E8E" w:rsidRDefault="00D81E8E" w:rsidP="00D81E8E">
      <w:pPr>
        <w:spacing w:after="0" w:line="276" w:lineRule="auto"/>
        <w:jc w:val="both"/>
        <w:rPr>
          <w:rFonts w:ascii="Verdana" w:hAnsi="Verdana"/>
        </w:rPr>
      </w:pPr>
    </w:p>
    <w:p w14:paraId="43A48073" w14:textId="77777777" w:rsidR="00D81E8E" w:rsidRPr="00D81E8E" w:rsidRDefault="00D81E8E" w:rsidP="00D81E8E">
      <w:pPr>
        <w:spacing w:after="0" w:line="276" w:lineRule="auto"/>
        <w:jc w:val="both"/>
        <w:rPr>
          <w:rFonts w:ascii="Verdana" w:hAnsi="Verdana"/>
        </w:rPr>
      </w:pPr>
      <w:r w:rsidRPr="00D81E8E">
        <w:rPr>
          <w:rFonts w:ascii="Verdana" w:hAnsi="Verdana"/>
        </w:rPr>
        <w:t xml:space="preserve">Twitter: </w:t>
      </w:r>
      <w:r w:rsidRPr="00D81E8E">
        <w:rPr>
          <w:rFonts w:ascii="Verdana" w:hAnsi="Verdana"/>
          <w:color w:val="0000FF"/>
          <w:u w:val="single"/>
        </w:rPr>
        <w:t>@colombiacompra</w:t>
      </w:r>
      <w:r w:rsidRPr="00D81E8E">
        <w:rPr>
          <w:rFonts w:ascii="Verdana" w:hAnsi="Verdana"/>
        </w:rPr>
        <w:t xml:space="preserve"> </w:t>
      </w:r>
    </w:p>
    <w:p w14:paraId="18E09206" w14:textId="77777777" w:rsidR="00D81E8E" w:rsidRPr="00D81E8E" w:rsidRDefault="00D81E8E" w:rsidP="00D81E8E">
      <w:pPr>
        <w:spacing w:after="0" w:line="276" w:lineRule="auto"/>
        <w:jc w:val="both"/>
        <w:rPr>
          <w:rFonts w:ascii="Verdana" w:hAnsi="Verdana"/>
        </w:rPr>
      </w:pPr>
      <w:r w:rsidRPr="00D81E8E">
        <w:rPr>
          <w:rFonts w:ascii="Verdana" w:hAnsi="Verdana"/>
        </w:rPr>
        <w:t xml:space="preserve">Facebook: </w:t>
      </w:r>
      <w:proofErr w:type="spellStart"/>
      <w:r w:rsidRPr="00D81E8E">
        <w:rPr>
          <w:rFonts w:ascii="Verdana" w:hAnsi="Verdana"/>
          <w:color w:val="0000FF"/>
          <w:u w:val="single"/>
        </w:rPr>
        <w:t>ColombiaCompraEficiente</w:t>
      </w:r>
      <w:proofErr w:type="spellEnd"/>
    </w:p>
    <w:p w14:paraId="7A4EA646" w14:textId="77777777" w:rsidR="00D81E8E" w:rsidRPr="00D81E8E" w:rsidRDefault="00D81E8E" w:rsidP="00D81E8E">
      <w:pPr>
        <w:spacing w:after="0" w:line="276" w:lineRule="auto"/>
        <w:jc w:val="both"/>
        <w:rPr>
          <w:rFonts w:ascii="Verdana" w:hAnsi="Verdana"/>
        </w:rPr>
      </w:pPr>
      <w:r w:rsidRPr="00D81E8E">
        <w:rPr>
          <w:rFonts w:ascii="Verdana" w:hAnsi="Verdana"/>
        </w:rPr>
        <w:t xml:space="preserve">LinkedIn: </w:t>
      </w:r>
      <w:r w:rsidRPr="00D81E8E">
        <w:rPr>
          <w:rFonts w:ascii="Verdana" w:hAnsi="Verdana"/>
          <w:color w:val="0000FF"/>
          <w:u w:val="single"/>
        </w:rPr>
        <w:t>Agencia Nacional de Contratación Pública - Colombia Compra Eficiente</w:t>
      </w:r>
      <w:r w:rsidRPr="00D81E8E">
        <w:rPr>
          <w:rFonts w:ascii="Verdana" w:hAnsi="Verdana"/>
        </w:rPr>
        <w:t xml:space="preserve"> Instagram: </w:t>
      </w:r>
      <w:r w:rsidRPr="00D81E8E">
        <w:rPr>
          <w:rFonts w:ascii="Verdana" w:hAnsi="Verdana"/>
          <w:color w:val="0000FF"/>
          <w:u w:val="single"/>
        </w:rPr>
        <w:t>@colombiacompraeficiente_cce</w:t>
      </w:r>
    </w:p>
    <w:p w14:paraId="364DD12D" w14:textId="77777777" w:rsidR="00D81E8E" w:rsidRPr="00D81E8E" w:rsidRDefault="00D81E8E" w:rsidP="00D81E8E">
      <w:pPr>
        <w:spacing w:after="0" w:line="276" w:lineRule="auto"/>
        <w:jc w:val="both"/>
        <w:rPr>
          <w:rFonts w:ascii="Verdana" w:hAnsi="Verdana"/>
        </w:rPr>
      </w:pPr>
    </w:p>
    <w:p w14:paraId="625E8E07" w14:textId="77777777" w:rsidR="00D81E8E" w:rsidRPr="00D81E8E" w:rsidRDefault="00D81E8E" w:rsidP="00D81E8E">
      <w:pPr>
        <w:spacing w:after="0" w:line="276" w:lineRule="auto"/>
        <w:jc w:val="both"/>
        <w:rPr>
          <w:rFonts w:ascii="Verdana" w:eastAsia="Calibri" w:hAnsi="Verdana" w:cs="Times New Roman"/>
          <w:bCs/>
          <w:lang w:val="es-ES_tradnl"/>
        </w:rPr>
      </w:pPr>
      <w:r w:rsidRPr="00D81E8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07B84D9" w14:textId="77777777" w:rsidR="00D81E8E" w:rsidRPr="00D81E8E" w:rsidRDefault="00D81E8E" w:rsidP="00D81E8E">
      <w:pPr>
        <w:spacing w:after="0" w:line="276" w:lineRule="auto"/>
        <w:jc w:val="both"/>
        <w:rPr>
          <w:rFonts w:ascii="Verdana" w:eastAsia="Calibri" w:hAnsi="Verdana" w:cs="Times New Roman"/>
          <w:lang w:val="es-ES_tradnl"/>
        </w:rPr>
      </w:pPr>
    </w:p>
    <w:p w14:paraId="7DA45EA8" w14:textId="77777777" w:rsidR="00D81E8E" w:rsidRPr="00D81E8E" w:rsidRDefault="00D81E8E" w:rsidP="00D81E8E">
      <w:pPr>
        <w:spacing w:after="0" w:line="276" w:lineRule="auto"/>
        <w:jc w:val="both"/>
        <w:rPr>
          <w:rFonts w:ascii="Verdana" w:hAnsi="Verdana"/>
          <w:lang w:val="es-MX"/>
        </w:rPr>
      </w:pPr>
      <w:r w:rsidRPr="00D81E8E">
        <w:rPr>
          <w:rFonts w:ascii="Verdana" w:hAnsi="Verdana"/>
          <w:lang w:val="es-MX"/>
        </w:rPr>
        <w:t>Cordialmente,</w:t>
      </w:r>
    </w:p>
    <w:p w14:paraId="25D04D77" w14:textId="77777777" w:rsidR="00D81E8E" w:rsidRPr="00D81E8E" w:rsidRDefault="00D81E8E" w:rsidP="00D81E8E">
      <w:pPr>
        <w:spacing w:after="0"/>
        <w:jc w:val="both"/>
        <w:rPr>
          <w:rFonts w:ascii="Verdana" w:hAnsi="Verdana"/>
        </w:rPr>
      </w:pPr>
    </w:p>
    <w:p w14:paraId="4338A094" w14:textId="00B3B655" w:rsidR="00D81E8E" w:rsidRPr="00D81E8E" w:rsidRDefault="00F30327" w:rsidP="00D81E8E">
      <w:pPr>
        <w:spacing w:after="0" w:line="240" w:lineRule="auto"/>
        <w:jc w:val="center"/>
        <w:rPr>
          <w:rFonts w:ascii="Verdana" w:hAnsi="Verdana"/>
          <w:b/>
          <w:bCs/>
          <w:lang w:val="es-MX"/>
        </w:rPr>
      </w:pPr>
      <w:r w:rsidRPr="002C3AD6">
        <w:rPr>
          <w:rFonts w:ascii="Century Gothic" w:hAnsi="Century Gothic"/>
          <w:noProof/>
          <w:lang w:val="en-US"/>
        </w:rPr>
        <w:drawing>
          <wp:inline distT="0" distB="0" distL="0" distR="0" wp14:anchorId="09667868" wp14:editId="3B25D0A0">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6E751924" w14:textId="77777777" w:rsidR="00D81E8E" w:rsidRPr="00D81E8E" w:rsidRDefault="00D81E8E" w:rsidP="00D81E8E">
      <w:pPr>
        <w:spacing w:after="0" w:line="240" w:lineRule="auto"/>
        <w:rPr>
          <w:rFonts w:ascii="Verdana" w:hAnsi="Verdana"/>
          <w:b/>
          <w:bCs/>
          <w:lang w:val="es-MX"/>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81E8E" w:rsidRPr="00D81E8E" w14:paraId="28CD0CEB" w14:textId="77777777" w:rsidTr="003167B7">
        <w:trPr>
          <w:trHeight w:val="409"/>
        </w:trPr>
        <w:tc>
          <w:tcPr>
            <w:tcW w:w="817" w:type="dxa"/>
            <w:tcBorders>
              <w:top w:val="nil"/>
              <w:left w:val="nil"/>
              <w:bottom w:val="nil"/>
              <w:right w:val="nil"/>
            </w:tcBorders>
            <w:vAlign w:val="center"/>
            <w:hideMark/>
          </w:tcPr>
          <w:p w14:paraId="1D526FF1" w14:textId="77777777" w:rsidR="00D81E8E" w:rsidRPr="00D81E8E" w:rsidRDefault="00D81E8E" w:rsidP="00D81E8E">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E9D3FBF" w14:textId="77777777" w:rsidR="00D81E8E" w:rsidRPr="00D81E8E" w:rsidRDefault="00D81E8E" w:rsidP="00D81E8E">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José Luis Sánchez Cardona</w:t>
            </w:r>
          </w:p>
          <w:p w14:paraId="71A3825D" w14:textId="77777777" w:rsidR="00D81E8E" w:rsidRPr="00D81E8E" w:rsidRDefault="00D81E8E" w:rsidP="00D81E8E">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Contratista de la Subdirección de Gestión Contractual</w:t>
            </w:r>
          </w:p>
        </w:tc>
      </w:tr>
      <w:tr w:rsidR="00D81E8E" w:rsidRPr="00D81E8E" w14:paraId="695E465B" w14:textId="77777777" w:rsidTr="003167B7">
        <w:trPr>
          <w:trHeight w:val="409"/>
        </w:trPr>
        <w:tc>
          <w:tcPr>
            <w:tcW w:w="817" w:type="dxa"/>
            <w:tcBorders>
              <w:top w:val="nil"/>
              <w:left w:val="nil"/>
              <w:bottom w:val="nil"/>
              <w:right w:val="nil"/>
            </w:tcBorders>
            <w:vAlign w:val="center"/>
            <w:hideMark/>
          </w:tcPr>
          <w:p w14:paraId="5D7552D5" w14:textId="77777777" w:rsidR="00D81E8E" w:rsidRPr="00D81E8E" w:rsidRDefault="00D81E8E" w:rsidP="00D81E8E">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8F7AFCF" w14:textId="77777777" w:rsidR="00D81E8E" w:rsidRPr="00D81E8E" w:rsidRDefault="00D81E8E" w:rsidP="00D81E8E">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Alejandro Sarmiento Cantillo</w:t>
            </w:r>
          </w:p>
          <w:p w14:paraId="512090C2" w14:textId="77777777" w:rsidR="00D81E8E" w:rsidRPr="00D81E8E" w:rsidRDefault="00D81E8E" w:rsidP="00D81E8E">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Gestor T1-15 de la Subdirección de Gestión Contractual </w:t>
            </w:r>
          </w:p>
        </w:tc>
      </w:tr>
      <w:tr w:rsidR="00D81E8E" w:rsidRPr="00D81E8E" w14:paraId="5358DF6C" w14:textId="77777777" w:rsidTr="003167B7">
        <w:trPr>
          <w:trHeight w:val="389"/>
        </w:trPr>
        <w:tc>
          <w:tcPr>
            <w:tcW w:w="817" w:type="dxa"/>
            <w:tcBorders>
              <w:top w:val="nil"/>
              <w:left w:val="nil"/>
              <w:bottom w:val="nil"/>
              <w:right w:val="nil"/>
            </w:tcBorders>
            <w:vAlign w:val="center"/>
            <w:hideMark/>
          </w:tcPr>
          <w:p w14:paraId="60BDEFC4" w14:textId="77777777" w:rsidR="00D81E8E" w:rsidRPr="00D81E8E" w:rsidRDefault="00D81E8E" w:rsidP="00D81E8E">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1A422D1" w14:textId="77777777" w:rsidR="00D81E8E" w:rsidRPr="00D81E8E" w:rsidRDefault="00D81E8E" w:rsidP="00D81E8E">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 xml:space="preserve">Carolina Quintero </w:t>
            </w:r>
            <w:proofErr w:type="spellStart"/>
            <w:r w:rsidRPr="00D81E8E">
              <w:rPr>
                <w:rFonts w:ascii="Verdana" w:eastAsia="Calibri" w:hAnsi="Verdana" w:cs="Times New Roman"/>
                <w:sz w:val="16"/>
                <w:szCs w:val="16"/>
              </w:rPr>
              <w:t>Gacharná</w:t>
            </w:r>
            <w:proofErr w:type="spellEnd"/>
          </w:p>
          <w:p w14:paraId="40D8AC5A" w14:textId="77777777" w:rsidR="00D81E8E" w:rsidRPr="00D81E8E" w:rsidRDefault="00D81E8E" w:rsidP="00D81E8E">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Subdirectora de Gestión Contractual ANCP – CCE</w:t>
            </w:r>
          </w:p>
        </w:tc>
      </w:tr>
    </w:tbl>
    <w:p w14:paraId="13800D33" w14:textId="77777777" w:rsidR="00D81E8E" w:rsidRPr="00D81E8E" w:rsidRDefault="00D81E8E" w:rsidP="00D81E8E">
      <w:pPr>
        <w:rPr>
          <w:rFonts w:ascii="Verdana" w:hAnsi="Verdana"/>
        </w:rPr>
      </w:pPr>
    </w:p>
    <w:p w14:paraId="328724A3" w14:textId="77777777" w:rsidR="00D81E8E" w:rsidRPr="00D81E8E" w:rsidRDefault="00D81E8E" w:rsidP="00D81E8E">
      <w:pPr>
        <w:rPr>
          <w:rFonts w:ascii="Verdana" w:hAnsi="Verdana"/>
          <w:lang w:val="es-ES"/>
        </w:rPr>
      </w:pPr>
    </w:p>
    <w:p w14:paraId="05954328" w14:textId="77777777" w:rsidR="00D81E8E" w:rsidRPr="00D81E8E" w:rsidRDefault="00D81E8E" w:rsidP="00D81E8E">
      <w:pPr>
        <w:rPr>
          <w:lang w:val="es-ES"/>
        </w:rPr>
      </w:pPr>
    </w:p>
    <w:p w14:paraId="0F293BF4" w14:textId="2EFE84B2" w:rsidR="00127233" w:rsidRPr="00D81E8E" w:rsidRDefault="00127233" w:rsidP="00D81E8E">
      <w:pPr>
        <w:rPr>
          <w:lang w:val="es-ES"/>
        </w:rPr>
      </w:pPr>
    </w:p>
    <w:sectPr w:rsidR="00127233" w:rsidRPr="00D81E8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F7FDC" w14:textId="77777777" w:rsidR="000F5D26" w:rsidRDefault="000F5D26" w:rsidP="004A1847">
      <w:pPr>
        <w:spacing w:after="0" w:line="240" w:lineRule="auto"/>
      </w:pPr>
      <w:r>
        <w:separator/>
      </w:r>
    </w:p>
  </w:endnote>
  <w:endnote w:type="continuationSeparator" w:id="0">
    <w:p w14:paraId="5A17AD4F" w14:textId="77777777" w:rsidR="000F5D26" w:rsidRDefault="000F5D26" w:rsidP="004A1847">
      <w:pPr>
        <w:spacing w:after="0" w:line="240" w:lineRule="auto"/>
      </w:pPr>
      <w:r>
        <w:continuationSeparator/>
      </w:r>
    </w:p>
  </w:endnote>
  <w:endnote w:type="continuationNotice" w:id="1">
    <w:p w14:paraId="68219DF3" w14:textId="77777777" w:rsidR="000F5D26" w:rsidRDefault="000F5D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E0677" w:rsidRDefault="003E0677">
    <w:pPr>
      <w:pStyle w:val="Piedepgina"/>
    </w:pPr>
  </w:p>
  <w:p w14:paraId="594D6D9F" w14:textId="58DDD393" w:rsidR="003E0677" w:rsidRPr="00174B77" w:rsidRDefault="003E067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80552">
      <w:rPr>
        <w:rFonts w:ascii="Verdana" w:eastAsia="MS Gothic" w:hAnsi="Verdana" w:cs="Times New Roman"/>
        <w:b/>
        <w:bCs/>
        <w:sz w:val="16"/>
        <w:szCs w:val="16"/>
        <w:lang w:val="es-ES"/>
      </w:rPr>
      <w:t xml:space="preserve">pág. </w:t>
    </w:r>
    <w:r w:rsidRPr="00380552">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380552">
      <w:rPr>
        <w:rFonts w:ascii="Verdana" w:eastAsia="MS Mincho" w:hAnsi="Verdana"/>
        <w:b/>
        <w:bCs/>
        <w:sz w:val="16"/>
        <w:szCs w:val="16"/>
      </w:rPr>
      <w:fldChar w:fldCharType="separate"/>
    </w:r>
    <w:r w:rsidR="00F30327" w:rsidRPr="00F30327">
      <w:rPr>
        <w:rFonts w:ascii="Verdana" w:eastAsia="MS Mincho" w:hAnsi="Verdana"/>
        <w:b/>
        <w:bCs/>
        <w:noProof/>
        <w:sz w:val="16"/>
        <w:szCs w:val="16"/>
      </w:rPr>
      <w:t>1</w:t>
    </w:r>
    <w:r w:rsidRPr="00380552">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E0677" w:rsidRDefault="003E067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E0677" w:rsidRPr="00E41027" w:rsidRDefault="003E0677"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865EC" w:rsidRDefault="006865EC">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84AF5" w14:textId="77777777" w:rsidR="000F5D26" w:rsidRDefault="000F5D26" w:rsidP="004A1847">
      <w:pPr>
        <w:spacing w:after="0" w:line="240" w:lineRule="auto"/>
      </w:pPr>
      <w:r>
        <w:separator/>
      </w:r>
    </w:p>
  </w:footnote>
  <w:footnote w:type="continuationSeparator" w:id="0">
    <w:p w14:paraId="1BE9B411" w14:textId="77777777" w:rsidR="000F5D26" w:rsidRDefault="000F5D26" w:rsidP="004A1847">
      <w:pPr>
        <w:spacing w:after="0" w:line="240" w:lineRule="auto"/>
      </w:pPr>
      <w:r>
        <w:continuationSeparator/>
      </w:r>
    </w:p>
  </w:footnote>
  <w:footnote w:type="continuationNotice" w:id="1">
    <w:p w14:paraId="7315D337" w14:textId="77777777" w:rsidR="000F5D26" w:rsidRDefault="000F5D26">
      <w:pPr>
        <w:spacing w:after="0" w:line="240" w:lineRule="auto"/>
      </w:pPr>
    </w:p>
  </w:footnote>
  <w:footnote w:id="2">
    <w:p w14:paraId="39AD0231" w14:textId="77777777" w:rsidR="00D81E8E" w:rsidRPr="000A5EAC" w:rsidRDefault="00D81E8E" w:rsidP="00D81E8E">
      <w:pPr>
        <w:pStyle w:val="Textonotapie"/>
        <w:ind w:firstLine="708"/>
        <w:jc w:val="both"/>
        <w:rPr>
          <w:rFonts w:ascii="Verdana" w:hAnsi="Verdana"/>
          <w:sz w:val="16"/>
          <w:szCs w:val="16"/>
        </w:rPr>
      </w:pPr>
      <w:r w:rsidRPr="000A5EAC">
        <w:rPr>
          <w:rFonts w:ascii="Verdana" w:hAnsi="Verdana"/>
          <w:sz w:val="16"/>
          <w:szCs w:val="16"/>
          <w:vertAlign w:val="superscript"/>
        </w:rPr>
        <w:footnoteRef/>
      </w:r>
      <w:r w:rsidRPr="000A5EAC">
        <w:rPr>
          <w:rFonts w:ascii="Verdana" w:hAnsi="Verdana"/>
          <w:sz w:val="16"/>
          <w:szCs w:val="16"/>
        </w:rPr>
        <w:t xml:space="preserve"> CORTE CONSTITUCIONAL. Sentencia C-181 de 1997. M.P. Fabio Morón Díaz. Ver también las Sentencias C-540 de 2001, C-893 de 2003 y C-903 de 2008, entre otras.</w:t>
      </w:r>
    </w:p>
  </w:footnote>
  <w:footnote w:id="3">
    <w:p w14:paraId="3D39E86B" w14:textId="77777777" w:rsidR="00D81E8E" w:rsidRPr="000A5EAC" w:rsidRDefault="00D81E8E" w:rsidP="00D81E8E">
      <w:pPr>
        <w:pStyle w:val="Textonotapie"/>
        <w:ind w:firstLine="708"/>
        <w:jc w:val="both"/>
        <w:rPr>
          <w:rFonts w:ascii="Verdana" w:hAnsi="Verdana"/>
          <w:sz w:val="16"/>
          <w:szCs w:val="16"/>
          <w:lang w:val="pt-BR"/>
        </w:rPr>
      </w:pPr>
      <w:r w:rsidRPr="000A5EAC">
        <w:rPr>
          <w:rStyle w:val="Refdenotaalpie"/>
          <w:rFonts w:ascii="Verdana" w:hAnsi="Verdana"/>
          <w:sz w:val="16"/>
          <w:szCs w:val="16"/>
        </w:rPr>
        <w:footnoteRef/>
      </w:r>
      <w:r w:rsidRPr="000A5EAC">
        <w:rPr>
          <w:rFonts w:ascii="Verdana" w:hAnsi="Verdana"/>
          <w:sz w:val="16"/>
          <w:szCs w:val="16"/>
          <w:lang w:val="pt-BR"/>
        </w:rPr>
        <w:t xml:space="preserve"> CORTE CONSTITUCIONAL. Sentencia C-1016 de 2012. M.P. Jorge Iván Palacio.</w:t>
      </w:r>
    </w:p>
  </w:footnote>
  <w:footnote w:id="4">
    <w:p w14:paraId="719629CF" w14:textId="77777777" w:rsidR="00D81E8E" w:rsidRPr="000A5EAC" w:rsidRDefault="00D81E8E" w:rsidP="00D81E8E">
      <w:pPr>
        <w:pStyle w:val="Textonotapie"/>
        <w:ind w:firstLine="708"/>
        <w:jc w:val="both"/>
        <w:rPr>
          <w:rFonts w:ascii="Verdana" w:hAnsi="Verdana"/>
          <w:sz w:val="16"/>
          <w:szCs w:val="16"/>
          <w:lang w:val="pt-BR"/>
        </w:rPr>
      </w:pPr>
      <w:r w:rsidRPr="000A5EAC">
        <w:rPr>
          <w:rStyle w:val="Refdenotaalpie"/>
          <w:rFonts w:ascii="Verdana" w:hAnsi="Verdana"/>
          <w:sz w:val="16"/>
          <w:szCs w:val="16"/>
        </w:rPr>
        <w:footnoteRef/>
      </w:r>
      <w:r w:rsidRPr="000A5EAC">
        <w:rPr>
          <w:rFonts w:ascii="Verdana" w:hAnsi="Verdana"/>
          <w:sz w:val="16"/>
          <w:szCs w:val="16"/>
        </w:rPr>
        <w:t xml:space="preserve"> CONSEJO DE ESTADO. Sección Tercera. Subsección A. Sentencia del 13 de noviembre de 2013. </w:t>
      </w:r>
      <w:r w:rsidRPr="000A5EAC">
        <w:rPr>
          <w:rFonts w:ascii="Verdana" w:hAnsi="Verdana"/>
          <w:sz w:val="16"/>
          <w:szCs w:val="16"/>
          <w:lang w:val="pt-BR"/>
        </w:rPr>
        <w:t xml:space="preserve">Rad. 25.646. C.P. Mauricio Fajardo Gómez.  </w:t>
      </w:r>
    </w:p>
    <w:p w14:paraId="28CEDB58" w14:textId="77777777" w:rsidR="00D81E8E" w:rsidRPr="000A5EAC" w:rsidRDefault="00D81E8E" w:rsidP="00D81E8E">
      <w:pPr>
        <w:pStyle w:val="Textonotapie"/>
        <w:jc w:val="both"/>
        <w:rPr>
          <w:rFonts w:ascii="Verdana" w:hAnsi="Verdana"/>
          <w:sz w:val="16"/>
          <w:szCs w:val="16"/>
          <w:lang w:val="pt-BR"/>
        </w:rPr>
      </w:pPr>
    </w:p>
  </w:footnote>
  <w:footnote w:id="5">
    <w:p w14:paraId="22C17D3C" w14:textId="77777777" w:rsidR="00D81E8E" w:rsidRDefault="00D81E8E" w:rsidP="00D81E8E">
      <w:pPr>
        <w:pStyle w:val="Textonotapie"/>
        <w:ind w:firstLine="708"/>
        <w:jc w:val="both"/>
        <w:rPr>
          <w:rFonts w:ascii="Verdana" w:hAnsi="Verdana"/>
          <w:sz w:val="16"/>
          <w:szCs w:val="16"/>
          <w:lang w:val="pt-BR"/>
        </w:rPr>
      </w:pPr>
      <w:r w:rsidRPr="000A5EAC">
        <w:rPr>
          <w:rStyle w:val="Refdenotaalpie"/>
          <w:rFonts w:ascii="Verdana" w:hAnsi="Verdana"/>
          <w:sz w:val="16"/>
          <w:szCs w:val="16"/>
        </w:rPr>
        <w:footnoteRef/>
      </w:r>
      <w:r w:rsidRPr="000A5EAC">
        <w:rPr>
          <w:rFonts w:ascii="Verdana" w:hAnsi="Verdana"/>
          <w:sz w:val="16"/>
          <w:szCs w:val="16"/>
          <w:lang w:val="pt-BR"/>
        </w:rPr>
        <w:t xml:space="preserve"> CORTE CONSTITUCIONAL. Sentencia C-415 de 1994. M.P. Eduardo </w:t>
      </w:r>
      <w:proofErr w:type="spellStart"/>
      <w:r w:rsidRPr="000A5EAC">
        <w:rPr>
          <w:rFonts w:ascii="Verdana" w:hAnsi="Verdana"/>
          <w:sz w:val="16"/>
          <w:szCs w:val="16"/>
          <w:lang w:val="pt-BR"/>
        </w:rPr>
        <w:t>Cifuentes</w:t>
      </w:r>
      <w:proofErr w:type="spellEnd"/>
      <w:r w:rsidRPr="000A5EAC">
        <w:rPr>
          <w:rFonts w:ascii="Verdana" w:hAnsi="Verdana"/>
          <w:sz w:val="16"/>
          <w:szCs w:val="16"/>
          <w:lang w:val="pt-BR"/>
        </w:rPr>
        <w:t xml:space="preserve"> </w:t>
      </w:r>
      <w:proofErr w:type="spellStart"/>
      <w:r w:rsidRPr="000A5EAC">
        <w:rPr>
          <w:rFonts w:ascii="Verdana" w:hAnsi="Verdana"/>
          <w:sz w:val="16"/>
          <w:szCs w:val="16"/>
          <w:lang w:val="pt-BR"/>
        </w:rPr>
        <w:t>Muñoz</w:t>
      </w:r>
      <w:proofErr w:type="spellEnd"/>
      <w:r w:rsidRPr="000A5EAC">
        <w:rPr>
          <w:rFonts w:ascii="Verdana" w:hAnsi="Verdana"/>
          <w:sz w:val="16"/>
          <w:szCs w:val="16"/>
          <w:lang w:val="pt-BR"/>
        </w:rPr>
        <w:t>.</w:t>
      </w:r>
    </w:p>
    <w:p w14:paraId="73EE3E76" w14:textId="77777777" w:rsidR="00D81E8E" w:rsidRPr="000A5EAC" w:rsidRDefault="00D81E8E" w:rsidP="00D81E8E">
      <w:pPr>
        <w:pStyle w:val="Textonotapie"/>
        <w:ind w:firstLine="708"/>
        <w:jc w:val="both"/>
        <w:rPr>
          <w:rFonts w:ascii="Verdana" w:hAnsi="Verdana"/>
          <w:sz w:val="16"/>
          <w:szCs w:val="16"/>
          <w:lang w:val="pt-BR"/>
        </w:rPr>
      </w:pPr>
    </w:p>
  </w:footnote>
  <w:footnote w:id="6">
    <w:p w14:paraId="15DF22A4" w14:textId="77777777" w:rsidR="00D81E8E" w:rsidRPr="000A5EAC" w:rsidRDefault="00D81E8E" w:rsidP="00D81E8E">
      <w:pPr>
        <w:pStyle w:val="Textonotapie"/>
        <w:ind w:firstLine="708"/>
        <w:jc w:val="both"/>
        <w:rPr>
          <w:rFonts w:ascii="Verdana" w:hAnsi="Verdana"/>
          <w:sz w:val="16"/>
          <w:szCs w:val="16"/>
          <w:lang w:val="pt-BR"/>
        </w:rPr>
      </w:pPr>
      <w:r w:rsidRPr="000A5EAC">
        <w:rPr>
          <w:rStyle w:val="Refdenotaalpie"/>
          <w:rFonts w:ascii="Verdana" w:hAnsi="Verdana"/>
          <w:sz w:val="16"/>
          <w:szCs w:val="16"/>
        </w:rPr>
        <w:footnoteRef/>
      </w:r>
      <w:r w:rsidRPr="000A5EAC">
        <w:rPr>
          <w:rFonts w:ascii="Verdana" w:hAnsi="Verdana"/>
          <w:sz w:val="16"/>
          <w:szCs w:val="16"/>
          <w:lang w:val="pt-BR"/>
        </w:rPr>
        <w:t xml:space="preserve"> </w:t>
      </w:r>
      <w:proofErr w:type="spellStart"/>
      <w:r w:rsidRPr="000A5EAC">
        <w:rPr>
          <w:rFonts w:ascii="Verdana" w:hAnsi="Verdana"/>
          <w:sz w:val="16"/>
          <w:szCs w:val="16"/>
          <w:lang w:val="pt-BR"/>
        </w:rPr>
        <w:t>Ibídem</w:t>
      </w:r>
      <w:proofErr w:type="spellEnd"/>
      <w:r w:rsidRPr="000A5EAC">
        <w:rPr>
          <w:rFonts w:ascii="Verdana" w:hAnsi="Verdana"/>
          <w:sz w:val="16"/>
          <w:szCs w:val="16"/>
          <w:lang w:val="pt-BR"/>
        </w:rPr>
        <w:t>.</w:t>
      </w:r>
    </w:p>
    <w:p w14:paraId="2C40A51A" w14:textId="77777777" w:rsidR="00D81E8E" w:rsidRPr="000A5EAC" w:rsidRDefault="00D81E8E" w:rsidP="00D81E8E">
      <w:pPr>
        <w:pStyle w:val="Textonotapie"/>
        <w:jc w:val="both"/>
        <w:rPr>
          <w:rFonts w:ascii="Verdana" w:hAnsi="Verdana"/>
          <w:sz w:val="16"/>
          <w:szCs w:val="16"/>
          <w:lang w:val="pt-BR"/>
        </w:rPr>
      </w:pPr>
    </w:p>
  </w:footnote>
  <w:footnote w:id="7">
    <w:p w14:paraId="470AA0C6" w14:textId="77777777" w:rsidR="00D81E8E" w:rsidRPr="000A5EAC" w:rsidRDefault="00D81E8E" w:rsidP="00D81E8E">
      <w:pPr>
        <w:pStyle w:val="Textonotapie"/>
        <w:ind w:firstLine="708"/>
        <w:jc w:val="both"/>
        <w:rPr>
          <w:rFonts w:ascii="Verdana" w:hAnsi="Verdana"/>
          <w:sz w:val="16"/>
          <w:szCs w:val="16"/>
          <w:lang w:val="es-CO"/>
        </w:rPr>
      </w:pPr>
      <w:r w:rsidRPr="000A5EAC">
        <w:rPr>
          <w:rStyle w:val="Refdenotaalpie"/>
          <w:rFonts w:ascii="Verdana" w:hAnsi="Verdana"/>
          <w:sz w:val="16"/>
          <w:szCs w:val="16"/>
        </w:rPr>
        <w:footnoteRef/>
      </w:r>
      <w:r w:rsidRPr="000A5EAC">
        <w:rPr>
          <w:rFonts w:ascii="Verdana" w:hAnsi="Verdana"/>
          <w:sz w:val="16"/>
          <w:szCs w:val="16"/>
          <w:lang w:val="pt-BR"/>
        </w:rPr>
        <w:t xml:space="preserve"> CORTE CONSTITUCIONAL. </w:t>
      </w:r>
      <w:r w:rsidRPr="000A5EAC">
        <w:rPr>
          <w:rFonts w:ascii="Verdana" w:hAnsi="Verdana"/>
          <w:sz w:val="16"/>
          <w:szCs w:val="16"/>
        </w:rPr>
        <w:t xml:space="preserve">Sentencia C-780 de 2001. </w:t>
      </w:r>
      <w:r w:rsidRPr="000A5EAC">
        <w:rPr>
          <w:rFonts w:ascii="Verdana" w:hAnsi="Verdana"/>
          <w:sz w:val="16"/>
          <w:szCs w:val="16"/>
          <w:lang w:val="es-CO"/>
        </w:rPr>
        <w:t xml:space="preserve">M.P. Jaime Córdoba Triviño. </w:t>
      </w:r>
    </w:p>
    <w:p w14:paraId="7DC6ACF5" w14:textId="77777777" w:rsidR="00D81E8E" w:rsidRPr="000A5EAC" w:rsidRDefault="00D81E8E" w:rsidP="00D81E8E">
      <w:pPr>
        <w:pStyle w:val="Textonotapie"/>
        <w:jc w:val="both"/>
        <w:rPr>
          <w:rFonts w:ascii="Verdana" w:hAnsi="Verdana"/>
          <w:sz w:val="16"/>
          <w:szCs w:val="16"/>
          <w:lang w:val="es-CO"/>
        </w:rPr>
      </w:pPr>
    </w:p>
  </w:footnote>
  <w:footnote w:id="8">
    <w:p w14:paraId="49E63BD3" w14:textId="77777777" w:rsidR="00D81E8E" w:rsidRPr="000A5EAC" w:rsidRDefault="00D81E8E" w:rsidP="00D81E8E">
      <w:pPr>
        <w:pStyle w:val="NormalWeb"/>
        <w:spacing w:before="0" w:beforeAutospacing="0" w:after="0" w:afterAutospacing="0"/>
        <w:ind w:firstLine="708"/>
        <w:jc w:val="both"/>
        <w:rPr>
          <w:rFonts w:ascii="Verdana" w:eastAsia="Calibri" w:hAnsi="Verdana" w:cs="Arial"/>
          <w:sz w:val="16"/>
          <w:szCs w:val="16"/>
          <w:lang w:val="es-ES" w:eastAsia="en-US"/>
        </w:rPr>
      </w:pPr>
      <w:r w:rsidRPr="000A5EAC">
        <w:rPr>
          <w:rStyle w:val="Refdenotaalpie"/>
          <w:rFonts w:ascii="Verdana" w:hAnsi="Verdana"/>
          <w:sz w:val="16"/>
          <w:szCs w:val="16"/>
        </w:rPr>
        <w:footnoteRef/>
      </w:r>
      <w:r w:rsidRPr="000A5EAC">
        <w:rPr>
          <w:rFonts w:ascii="Verdana" w:hAnsi="Verdana"/>
          <w:sz w:val="16"/>
          <w:szCs w:val="16"/>
        </w:rPr>
        <w:t xml:space="preserve"> </w:t>
      </w:r>
      <w:r w:rsidRPr="000A5EAC">
        <w:rPr>
          <w:rFonts w:ascii="Verdana" w:eastAsia="Calibri" w:hAnsi="Verdana" w:cs="Arial"/>
          <w:sz w:val="16"/>
          <w:szCs w:val="16"/>
          <w:lang w:val="es-ES" w:eastAsia="en-US"/>
        </w:rPr>
        <w:t>Ley 80 de 1993: “Artículo 8: 1o. Son inhábiles para participar en licitaciones o concursos y para celebrar contratos con las entidades estatales: </w:t>
      </w:r>
    </w:p>
    <w:p w14:paraId="2091DB35"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a) Las personas que se hallen inhabilitadas para contratar por la Constitución y las leyes. </w:t>
      </w:r>
    </w:p>
    <w:p w14:paraId="169333A8"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b) Quienes participaron en las licitaciones o concursos o celebraron los contratos de que trata el literal anterior estando inhabilitados. </w:t>
      </w:r>
    </w:p>
    <w:p w14:paraId="28317EBD"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c) Quienes dieron lugar a la declaratoria de caducidad. </w:t>
      </w:r>
    </w:p>
    <w:p w14:paraId="0DD7CFD0"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d) Quienes en sentencia judicial hayan sido condenados a la pena accesoria de interdicción de derechos y funciones públicas y quienes hayan sido sancionados disciplinariamente con destitución. </w:t>
      </w:r>
    </w:p>
    <w:p w14:paraId="2B4C060D"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e) Quienes sin justa causa se abstengan de suscribir el contrato estatal adjudicado. </w:t>
      </w:r>
    </w:p>
    <w:p w14:paraId="1E90F000"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f) Los servidores públicos. </w:t>
      </w:r>
    </w:p>
    <w:p w14:paraId="3953EA38"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634D455A" w14:textId="77777777" w:rsidR="00D81E8E" w:rsidRPr="000A5EAC" w:rsidRDefault="00D81E8E" w:rsidP="00D81E8E">
      <w:pPr>
        <w:pStyle w:val="NormalWeb"/>
        <w:spacing w:before="0" w:beforeAutospacing="0" w:after="0" w:afterAutospacing="0"/>
        <w:ind w:firstLine="708"/>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266A73D3"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i) Los socios de sociedades de personas a las cuales se haya declarado la caducidad, así como las sociedades de personas de las que aquellos formen parte con posterioridad a dicha declaratoria. </w:t>
      </w:r>
    </w:p>
    <w:p w14:paraId="5CEA2F3B"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1F22D283"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15F2AA88"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0A5EAC">
        <w:rPr>
          <w:rFonts w:ascii="Verdana" w:eastAsia="Calibr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0A5EAC">
        <w:rPr>
          <w:rFonts w:ascii="Verdana" w:eastAsia="Calibr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0A5EAC">
        <w:rPr>
          <w:rFonts w:ascii="Verdana" w:eastAsia="Calibri" w:hAnsi="Verdana" w:cs="Arial"/>
          <w:sz w:val="16"/>
          <w:szCs w:val="16"/>
          <w:lang w:val="es-ES" w:eastAsia="en-US"/>
        </w:rPr>
        <w:softHyphen/>
        <w:t>nería jurídica en los términos de ley, o cuyos representantes legales, ad</w:t>
      </w:r>
      <w:r w:rsidRPr="000A5EAC">
        <w:rPr>
          <w:rFonts w:ascii="Verdana" w:eastAsia="Calibr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0A5EAC">
        <w:rPr>
          <w:rFonts w:ascii="Verdana" w:eastAsia="Calibr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1984ED10"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w:t>
      </w:r>
    </w:p>
    <w:p w14:paraId="1B87477F" w14:textId="77777777" w:rsidR="00D81E8E" w:rsidRPr="000A5EAC" w:rsidRDefault="00D81E8E" w:rsidP="00D81E8E">
      <w:pPr>
        <w:pStyle w:val="NormalWeb"/>
        <w:spacing w:before="0" w:beforeAutospacing="0" w:after="0" w:afterAutospacing="0"/>
        <w:ind w:firstLine="708"/>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2o. Tampoco podrán participar en licitaciones o concursos ni celebrar contratos estatales con la entidad respectiva: </w:t>
      </w:r>
    </w:p>
    <w:p w14:paraId="2FCE8DF5"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2228BA09"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0F75B06E"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30FE388A"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23CBD20A" w14:textId="77777777" w:rsidR="00D81E8E" w:rsidRPr="000A5EAC" w:rsidRDefault="00D81E8E" w:rsidP="00D81E8E">
      <w:pPr>
        <w:pStyle w:val="NormalWeb"/>
        <w:spacing w:before="0" w:beforeAutospacing="0" w:after="0" w:afterAutospacing="0"/>
        <w:jc w:val="both"/>
        <w:rPr>
          <w:rFonts w:ascii="Verdana" w:eastAsia="Calibri" w:hAnsi="Verdana" w:cs="Arial"/>
          <w:sz w:val="16"/>
          <w:szCs w:val="16"/>
          <w:lang w:val="es-ES" w:eastAsia="en-US"/>
        </w:rPr>
      </w:pPr>
      <w:r w:rsidRPr="000A5EAC">
        <w:rPr>
          <w:rFonts w:ascii="Verdana" w:eastAsia="Calibri" w:hAnsi="Verdana" w:cs="Arial"/>
          <w:sz w:val="16"/>
          <w:szCs w:val="16"/>
          <w:lang w:val="es-ES" w:eastAsia="en-US"/>
        </w:rPr>
        <w:t>  </w:t>
      </w:r>
      <w:r w:rsidRPr="000A5EAC">
        <w:rPr>
          <w:rFonts w:ascii="Verdana" w:eastAsia="Calibri" w:hAnsi="Verdana" w:cs="Arial"/>
          <w:sz w:val="16"/>
          <w:szCs w:val="16"/>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5D457D2F" w14:textId="77777777" w:rsidR="00D81E8E" w:rsidRPr="000A5EAC" w:rsidRDefault="00D81E8E" w:rsidP="00D81E8E">
      <w:pPr>
        <w:pStyle w:val="NormalWeb"/>
        <w:spacing w:before="0" w:beforeAutospacing="0" w:after="0" w:afterAutospacing="0"/>
        <w:ind w:firstLine="708"/>
        <w:jc w:val="both"/>
        <w:rPr>
          <w:rFonts w:ascii="Verdana" w:eastAsia="Calibri" w:hAnsi="Verdana" w:cs="Arial"/>
          <w:sz w:val="16"/>
          <w:szCs w:val="16"/>
          <w:lang w:val="pt-BR" w:eastAsia="en-US"/>
        </w:rPr>
      </w:pPr>
      <w:r w:rsidRPr="000A5EAC">
        <w:rPr>
          <w:rFonts w:ascii="Verdana" w:eastAsia="Calibri" w:hAnsi="Verdana" w:cs="Arial"/>
          <w:sz w:val="16"/>
          <w:szCs w:val="16"/>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proofErr w:type="gramStart"/>
      <w:r w:rsidRPr="000A5EAC">
        <w:rPr>
          <w:rFonts w:ascii="Verdana" w:eastAsia="Calibri" w:hAnsi="Verdana" w:cs="Arial"/>
          <w:sz w:val="16"/>
          <w:szCs w:val="16"/>
          <w:lang w:val="es-ES" w:eastAsia="en-US"/>
        </w:rPr>
        <w:t>ex empleado</w:t>
      </w:r>
      <w:proofErr w:type="gramEnd"/>
      <w:r w:rsidRPr="000A5EAC">
        <w:rPr>
          <w:rFonts w:ascii="Verdana" w:eastAsia="Calibri" w:hAnsi="Verdana" w:cs="Arial"/>
          <w:sz w:val="16"/>
          <w:szCs w:val="16"/>
          <w:lang w:val="es-ES" w:eastAsia="en-US"/>
        </w:rPr>
        <w:t xml:space="preserve"> público”. </w:t>
      </w:r>
      <w:r w:rsidRPr="000A5EAC">
        <w:rPr>
          <w:rFonts w:ascii="Verdana" w:eastAsia="Calibri" w:hAnsi="Verdana" w:cs="Arial"/>
          <w:sz w:val="16"/>
          <w:szCs w:val="16"/>
          <w:lang w:val="pt-BR" w:eastAsia="en-US"/>
        </w:rPr>
        <w:t xml:space="preserve">(…). </w:t>
      </w:r>
    </w:p>
    <w:p w14:paraId="4DE04CB7" w14:textId="77777777" w:rsidR="00D81E8E" w:rsidRPr="000A5EAC" w:rsidRDefault="00D81E8E" w:rsidP="00D81E8E">
      <w:pPr>
        <w:pStyle w:val="Textonotapie"/>
        <w:jc w:val="both"/>
        <w:rPr>
          <w:rFonts w:ascii="Verdana" w:hAnsi="Verdana"/>
          <w:sz w:val="16"/>
          <w:szCs w:val="16"/>
          <w:lang w:val="pt-BR"/>
        </w:rPr>
      </w:pPr>
    </w:p>
  </w:footnote>
  <w:footnote w:id="9">
    <w:p w14:paraId="30EBDDC0" w14:textId="77777777" w:rsidR="00D81E8E" w:rsidRPr="000A5EAC" w:rsidRDefault="00D81E8E" w:rsidP="00D81E8E">
      <w:pPr>
        <w:pStyle w:val="Textonotapie"/>
        <w:ind w:firstLine="708"/>
        <w:jc w:val="both"/>
        <w:rPr>
          <w:rFonts w:ascii="Verdana" w:hAnsi="Verdana"/>
          <w:sz w:val="16"/>
          <w:szCs w:val="16"/>
          <w:lang w:val="pt-BR"/>
        </w:rPr>
      </w:pPr>
      <w:r w:rsidRPr="000A5EAC">
        <w:rPr>
          <w:rStyle w:val="Refdenotaalpie"/>
          <w:rFonts w:ascii="Verdana" w:hAnsi="Verdana"/>
          <w:sz w:val="16"/>
          <w:szCs w:val="16"/>
        </w:rPr>
        <w:footnoteRef/>
      </w:r>
      <w:r w:rsidRPr="000A5EAC">
        <w:rPr>
          <w:rFonts w:ascii="Verdana" w:hAnsi="Verdana"/>
          <w:sz w:val="16"/>
          <w:szCs w:val="16"/>
          <w:lang w:val="pt-BR"/>
        </w:rPr>
        <w:t xml:space="preserve"> </w:t>
      </w:r>
      <w:proofErr w:type="spellStart"/>
      <w:r w:rsidRPr="000A5EAC">
        <w:rPr>
          <w:rFonts w:ascii="Verdana" w:hAnsi="Verdana" w:cs="Arial"/>
          <w:sz w:val="16"/>
          <w:szCs w:val="16"/>
          <w:lang w:val="pt-BR"/>
        </w:rPr>
        <w:t>Ibídem</w:t>
      </w:r>
      <w:proofErr w:type="spellEnd"/>
      <w:r w:rsidRPr="000A5EAC">
        <w:rPr>
          <w:rFonts w:ascii="Verdana" w:hAnsi="Verdana" w:cs="Arial"/>
          <w:sz w:val="16"/>
          <w:szCs w:val="16"/>
          <w:lang w:val="pt-BR"/>
        </w:rPr>
        <w:t>. p. 69.</w:t>
      </w:r>
    </w:p>
  </w:footnote>
  <w:footnote w:id="10">
    <w:p w14:paraId="63A6DD59" w14:textId="77777777" w:rsidR="00D81E8E" w:rsidRPr="000A5EAC" w:rsidRDefault="00D81E8E" w:rsidP="00D81E8E">
      <w:pPr>
        <w:pStyle w:val="Textonotapie"/>
        <w:ind w:firstLine="708"/>
        <w:jc w:val="both"/>
        <w:rPr>
          <w:rFonts w:ascii="Verdana" w:hAnsi="Verdana" w:cs="Arial"/>
          <w:sz w:val="16"/>
          <w:szCs w:val="16"/>
          <w:lang w:val="es-ES"/>
        </w:rPr>
      </w:pPr>
      <w:r w:rsidRPr="000A5EAC">
        <w:rPr>
          <w:rStyle w:val="Refdenotaalpie"/>
          <w:rFonts w:ascii="Verdana" w:hAnsi="Verdana"/>
          <w:sz w:val="16"/>
          <w:szCs w:val="16"/>
        </w:rPr>
        <w:footnoteRef/>
      </w:r>
      <w:r w:rsidRPr="000A5EAC">
        <w:rPr>
          <w:rFonts w:ascii="Verdana" w:hAnsi="Verdana"/>
          <w:sz w:val="16"/>
          <w:szCs w:val="16"/>
          <w:lang w:val="pt-BR"/>
        </w:rPr>
        <w:t xml:space="preserve"> </w:t>
      </w:r>
      <w:r w:rsidRPr="000A5EAC">
        <w:rPr>
          <w:rFonts w:ascii="Verdana" w:hAnsi="Verdana" w:cs="Arial"/>
          <w:sz w:val="16"/>
          <w:szCs w:val="16"/>
          <w:lang w:val="pt-BR"/>
        </w:rPr>
        <w:t xml:space="preserve">CORTE CONSTITUCIONAL. Sentencia T-1039 de 2006. M.P. Humberto </w:t>
      </w:r>
      <w:proofErr w:type="spellStart"/>
      <w:r w:rsidRPr="000A5EAC">
        <w:rPr>
          <w:rFonts w:ascii="Verdana" w:hAnsi="Verdana" w:cs="Arial"/>
          <w:sz w:val="16"/>
          <w:szCs w:val="16"/>
          <w:lang w:val="pt-BR"/>
        </w:rPr>
        <w:t>Sierra</w:t>
      </w:r>
      <w:proofErr w:type="spellEnd"/>
      <w:r w:rsidRPr="000A5EAC">
        <w:rPr>
          <w:rFonts w:ascii="Verdana" w:hAnsi="Verdana" w:cs="Arial"/>
          <w:sz w:val="16"/>
          <w:szCs w:val="16"/>
          <w:lang w:val="pt-BR"/>
        </w:rPr>
        <w:t xml:space="preserve"> Porto. </w:t>
      </w:r>
      <w:r w:rsidRPr="000A5EAC">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p w14:paraId="13868DEE" w14:textId="77777777" w:rsidR="00D81E8E" w:rsidRPr="000A5EAC" w:rsidRDefault="00D81E8E" w:rsidP="00D81E8E">
      <w:pPr>
        <w:pStyle w:val="Textonotapie"/>
        <w:jc w:val="both"/>
        <w:rPr>
          <w:rFonts w:ascii="Verdana" w:hAnsi="Verdana" w:cs="Arial"/>
          <w:sz w:val="16"/>
          <w:szCs w:val="16"/>
          <w:lang w:val="es-ES"/>
        </w:rPr>
      </w:pPr>
    </w:p>
  </w:footnote>
  <w:footnote w:id="11">
    <w:p w14:paraId="2BFF9AD6" w14:textId="77777777" w:rsidR="00D81E8E" w:rsidRPr="000A5EAC" w:rsidRDefault="00D81E8E" w:rsidP="00D81E8E">
      <w:pPr>
        <w:pStyle w:val="Textonotapie"/>
        <w:ind w:firstLine="708"/>
        <w:jc w:val="both"/>
        <w:rPr>
          <w:rFonts w:ascii="Verdana" w:hAnsi="Verdana" w:cs="Arial"/>
          <w:sz w:val="16"/>
          <w:szCs w:val="16"/>
          <w:lang w:val="es-ES"/>
        </w:rPr>
      </w:pPr>
      <w:r w:rsidRPr="000A5EAC">
        <w:rPr>
          <w:rStyle w:val="Refdenotaalpie"/>
          <w:rFonts w:ascii="Verdana" w:hAnsi="Verdana"/>
          <w:sz w:val="16"/>
          <w:szCs w:val="16"/>
        </w:rPr>
        <w:footnoteRef/>
      </w:r>
      <w:r w:rsidRPr="000A5EAC">
        <w:rPr>
          <w:rFonts w:ascii="Verdana" w:hAnsi="Verdana"/>
          <w:sz w:val="16"/>
          <w:szCs w:val="16"/>
        </w:rPr>
        <w:t xml:space="preserve"> </w:t>
      </w:r>
      <w:r w:rsidRPr="000A5EAC">
        <w:rPr>
          <w:rFonts w:ascii="Verdana" w:hAnsi="Verdana" w:cs="Arial"/>
          <w:sz w:val="16"/>
          <w:szCs w:val="16"/>
          <w:lang w:val="es-ES"/>
        </w:rPr>
        <w:t xml:space="preserve">CONSEJO DE ESTADO. Sala de Consulta y Servicio Civil. Concepto del 30 de abril de 2015. </w:t>
      </w:r>
      <w:proofErr w:type="spellStart"/>
      <w:r w:rsidRPr="000A5EAC">
        <w:rPr>
          <w:rFonts w:ascii="Verdana" w:hAnsi="Verdana" w:cs="Arial"/>
          <w:sz w:val="16"/>
          <w:szCs w:val="16"/>
          <w:lang w:val="es-ES"/>
        </w:rPr>
        <w:t>Exp</w:t>
      </w:r>
      <w:proofErr w:type="spellEnd"/>
      <w:r w:rsidRPr="000A5EAC">
        <w:rPr>
          <w:rFonts w:ascii="Verdana" w:hAnsi="Verdana" w:cs="Arial"/>
          <w:sz w:val="16"/>
          <w:szCs w:val="16"/>
          <w:lang w:val="es-ES"/>
        </w:rPr>
        <w:t xml:space="preserve">. 2251. C.P. Álvaro </w:t>
      </w:r>
      <w:proofErr w:type="spellStart"/>
      <w:r w:rsidRPr="000A5EAC">
        <w:rPr>
          <w:rFonts w:ascii="Verdana" w:hAnsi="Verdana" w:cs="Arial"/>
          <w:sz w:val="16"/>
          <w:szCs w:val="16"/>
          <w:lang w:val="es-ES"/>
        </w:rPr>
        <w:t>Namén</w:t>
      </w:r>
      <w:proofErr w:type="spellEnd"/>
      <w:r w:rsidRPr="000A5EAC">
        <w:rPr>
          <w:rFonts w:ascii="Verdana" w:hAnsi="Verdana" w:cs="Arial"/>
          <w:sz w:val="16"/>
          <w:szCs w:val="16"/>
          <w:lang w:val="es-ES"/>
        </w:rPr>
        <w:t xml:space="preserve"> Vargas.</w:t>
      </w:r>
    </w:p>
    <w:p w14:paraId="07E3C023" w14:textId="77777777" w:rsidR="00D81E8E" w:rsidRPr="000A5EAC" w:rsidRDefault="00D81E8E" w:rsidP="00D81E8E">
      <w:pPr>
        <w:pStyle w:val="Textonotapie"/>
        <w:jc w:val="both"/>
        <w:rPr>
          <w:rFonts w:ascii="Verdana" w:hAnsi="Verdana"/>
          <w:sz w:val="16"/>
          <w:szCs w:val="16"/>
          <w:lang w:val="es-ES_tradnl"/>
        </w:rPr>
      </w:pPr>
    </w:p>
  </w:footnote>
  <w:footnote w:id="12">
    <w:p w14:paraId="474EC1A0" w14:textId="77777777" w:rsidR="00D81E8E" w:rsidRPr="000A5EAC" w:rsidRDefault="00D81E8E" w:rsidP="00D81E8E">
      <w:pPr>
        <w:pStyle w:val="Textonotapie"/>
        <w:ind w:firstLine="708"/>
        <w:jc w:val="both"/>
        <w:rPr>
          <w:rFonts w:ascii="Verdana" w:hAnsi="Verdana" w:cs="Arial"/>
          <w:sz w:val="16"/>
          <w:szCs w:val="16"/>
        </w:rPr>
      </w:pPr>
      <w:r w:rsidRPr="000A5EAC">
        <w:rPr>
          <w:rStyle w:val="Refdenotaalpie"/>
          <w:rFonts w:ascii="Verdana" w:hAnsi="Verdana"/>
          <w:sz w:val="16"/>
          <w:szCs w:val="16"/>
        </w:rPr>
        <w:footnoteRef/>
      </w:r>
      <w:r w:rsidRPr="000A5EAC">
        <w:rPr>
          <w:rFonts w:ascii="Verdana" w:hAnsi="Verdana"/>
          <w:sz w:val="16"/>
          <w:szCs w:val="16"/>
        </w:rPr>
        <w:t xml:space="preserve"> </w:t>
      </w:r>
      <w:r w:rsidRPr="000A5EAC">
        <w:rPr>
          <w:rFonts w:ascii="Verdana" w:hAnsi="Verdana" w:cs="Arial"/>
          <w:sz w:val="16"/>
          <w:szCs w:val="16"/>
        </w:rPr>
        <w:t xml:space="preserve">CONSEJO DE ESTADO. Sección Tercera. Subsección A. Sentencia del 24 de junio de 2015. </w:t>
      </w:r>
      <w:proofErr w:type="spellStart"/>
      <w:r w:rsidRPr="000A5EAC">
        <w:rPr>
          <w:rFonts w:ascii="Verdana" w:hAnsi="Verdana" w:cs="Arial"/>
          <w:sz w:val="16"/>
          <w:szCs w:val="16"/>
        </w:rPr>
        <w:t>Exp</w:t>
      </w:r>
      <w:proofErr w:type="spellEnd"/>
      <w:r w:rsidRPr="000A5EAC">
        <w:rPr>
          <w:rFonts w:ascii="Verdana" w:hAnsi="Verdana" w:cs="Arial"/>
          <w:sz w:val="16"/>
          <w:szCs w:val="16"/>
        </w:rPr>
        <w:t>. 40.635. C.P. Hernán Andrade Rincón (E).</w:t>
      </w:r>
    </w:p>
    <w:p w14:paraId="3366F8D5" w14:textId="77777777" w:rsidR="00D81E8E" w:rsidRPr="000A5EAC" w:rsidRDefault="00D81E8E" w:rsidP="00D81E8E">
      <w:pPr>
        <w:pStyle w:val="Textonotapie"/>
        <w:jc w:val="both"/>
        <w:rPr>
          <w:rFonts w:ascii="Verdana" w:hAnsi="Verdana"/>
          <w:sz w:val="16"/>
          <w:szCs w:val="16"/>
          <w:lang w:val="es-ES_tradnl"/>
        </w:rPr>
      </w:pPr>
    </w:p>
  </w:footnote>
  <w:footnote w:id="13">
    <w:p w14:paraId="1064D7D4" w14:textId="77777777" w:rsidR="00D81E8E" w:rsidRDefault="00D81E8E" w:rsidP="00D81E8E">
      <w:pPr>
        <w:pStyle w:val="Textonotapie"/>
        <w:ind w:firstLine="708"/>
        <w:jc w:val="both"/>
        <w:rPr>
          <w:rFonts w:ascii="Verdana" w:hAnsi="Verdana" w:cs="Arial"/>
          <w:sz w:val="16"/>
          <w:szCs w:val="16"/>
        </w:rPr>
      </w:pPr>
      <w:r w:rsidRPr="000A5EAC">
        <w:rPr>
          <w:rStyle w:val="Refdenotaalpie"/>
          <w:rFonts w:ascii="Verdana" w:hAnsi="Verdana"/>
          <w:sz w:val="16"/>
          <w:szCs w:val="16"/>
        </w:rPr>
        <w:footnoteRef/>
      </w:r>
      <w:r w:rsidRPr="000A5EAC">
        <w:rPr>
          <w:rFonts w:ascii="Verdana" w:hAnsi="Verdana"/>
          <w:sz w:val="16"/>
          <w:szCs w:val="16"/>
        </w:rPr>
        <w:t xml:space="preserve"> </w:t>
      </w:r>
      <w:r w:rsidRPr="000A5EAC">
        <w:rPr>
          <w:rFonts w:ascii="Verdana" w:hAnsi="Verdana" w:cs="Arial"/>
          <w:sz w:val="16"/>
          <w:szCs w:val="16"/>
        </w:rPr>
        <w:t xml:space="preserve">CONSEJO DE ESTADO. Sección Tercera. Subsección C. Sentencia del 22 de mayo de 2013. Rad. 24.057. C.P. Olga Mélida Valle De </w:t>
      </w:r>
      <w:proofErr w:type="spellStart"/>
      <w:r w:rsidRPr="000A5EAC">
        <w:rPr>
          <w:rFonts w:ascii="Verdana" w:hAnsi="Verdana" w:cs="Arial"/>
          <w:sz w:val="16"/>
          <w:szCs w:val="16"/>
        </w:rPr>
        <w:t>De</w:t>
      </w:r>
      <w:proofErr w:type="spellEnd"/>
      <w:r w:rsidRPr="000A5EAC">
        <w:rPr>
          <w:rFonts w:ascii="Verdana" w:hAnsi="Verdana" w:cs="Arial"/>
          <w:sz w:val="16"/>
          <w:szCs w:val="16"/>
        </w:rPr>
        <w:t xml:space="preserve"> La Hoz.</w:t>
      </w:r>
    </w:p>
    <w:p w14:paraId="07B88855" w14:textId="77777777" w:rsidR="00D81E8E" w:rsidRPr="000A5EAC" w:rsidRDefault="00D81E8E" w:rsidP="00D81E8E">
      <w:pPr>
        <w:pStyle w:val="Textonotapie"/>
        <w:ind w:firstLine="708"/>
        <w:jc w:val="both"/>
        <w:rPr>
          <w:rFonts w:ascii="Verdana" w:hAnsi="Verdana"/>
          <w:sz w:val="16"/>
          <w:szCs w:val="16"/>
          <w:lang w:val="es-ES_tradnl"/>
        </w:rPr>
      </w:pPr>
    </w:p>
  </w:footnote>
  <w:footnote w:id="14">
    <w:p w14:paraId="4D52CDB7" w14:textId="77777777" w:rsidR="00D81E8E" w:rsidRPr="000A5EAC" w:rsidRDefault="00D81E8E" w:rsidP="00D81E8E">
      <w:pPr>
        <w:pStyle w:val="Textonotapie"/>
        <w:ind w:firstLine="708"/>
        <w:jc w:val="both"/>
        <w:rPr>
          <w:rFonts w:ascii="Verdana" w:hAnsi="Verdana" w:cs="Arial"/>
          <w:sz w:val="16"/>
          <w:szCs w:val="16"/>
          <w:lang w:val="pt-BR"/>
        </w:rPr>
      </w:pPr>
      <w:r w:rsidRPr="000A5EAC">
        <w:rPr>
          <w:rStyle w:val="Refdenotaalpie"/>
          <w:rFonts w:ascii="Verdana" w:hAnsi="Verdana"/>
          <w:sz w:val="16"/>
          <w:szCs w:val="16"/>
        </w:rPr>
        <w:footnoteRef/>
      </w:r>
      <w:r w:rsidRPr="000A5EAC">
        <w:rPr>
          <w:rFonts w:ascii="Verdana" w:hAnsi="Verdana"/>
          <w:sz w:val="16"/>
          <w:szCs w:val="16"/>
          <w:lang w:val="pt-BR"/>
        </w:rPr>
        <w:t xml:space="preserve"> </w:t>
      </w:r>
      <w:r w:rsidRPr="000A5EAC">
        <w:rPr>
          <w:rFonts w:ascii="Verdana" w:hAnsi="Verdana" w:cs="Arial"/>
          <w:sz w:val="16"/>
          <w:szCs w:val="16"/>
          <w:lang w:val="pt-BR"/>
        </w:rPr>
        <w:t xml:space="preserve">CORTE CONSTITUCIONAL. Sentencia C-415 de 1994. M.P. Eduardo </w:t>
      </w:r>
      <w:proofErr w:type="spellStart"/>
      <w:r w:rsidRPr="000A5EAC">
        <w:rPr>
          <w:rFonts w:ascii="Verdana" w:hAnsi="Verdana" w:cs="Arial"/>
          <w:sz w:val="16"/>
          <w:szCs w:val="16"/>
          <w:lang w:val="pt-BR"/>
        </w:rPr>
        <w:t>Cifuentes</w:t>
      </w:r>
      <w:proofErr w:type="spellEnd"/>
      <w:r w:rsidRPr="000A5EAC">
        <w:rPr>
          <w:rFonts w:ascii="Verdana" w:hAnsi="Verdana" w:cs="Arial"/>
          <w:sz w:val="16"/>
          <w:szCs w:val="16"/>
          <w:lang w:val="pt-BR"/>
        </w:rPr>
        <w:t xml:space="preserve"> </w:t>
      </w:r>
      <w:proofErr w:type="spellStart"/>
      <w:r w:rsidRPr="000A5EAC">
        <w:rPr>
          <w:rFonts w:ascii="Verdana" w:hAnsi="Verdana" w:cs="Arial"/>
          <w:sz w:val="16"/>
          <w:szCs w:val="16"/>
          <w:lang w:val="pt-BR"/>
        </w:rPr>
        <w:t>Muñoz</w:t>
      </w:r>
      <w:proofErr w:type="spellEnd"/>
      <w:r w:rsidRPr="000A5EAC">
        <w:rPr>
          <w:rFonts w:ascii="Verdana" w:hAnsi="Verdana" w:cs="Arial"/>
          <w:sz w:val="16"/>
          <w:szCs w:val="16"/>
          <w:lang w:val="pt-BR"/>
        </w:rPr>
        <w:t>.</w:t>
      </w:r>
    </w:p>
    <w:p w14:paraId="7CAABF17" w14:textId="77777777" w:rsidR="00D81E8E" w:rsidRPr="000A5EAC" w:rsidRDefault="00D81E8E" w:rsidP="00D81E8E">
      <w:pPr>
        <w:pStyle w:val="Textonotapie"/>
        <w:jc w:val="both"/>
        <w:rPr>
          <w:rFonts w:ascii="Verdana" w:hAnsi="Verdana"/>
          <w:sz w:val="16"/>
          <w:szCs w:val="16"/>
          <w:lang w:val="pt-BR"/>
        </w:rPr>
      </w:pPr>
    </w:p>
  </w:footnote>
  <w:footnote w:id="15">
    <w:p w14:paraId="3D71DED9" w14:textId="77777777" w:rsidR="00D81E8E" w:rsidRPr="000A5EAC" w:rsidRDefault="00D81E8E" w:rsidP="00D81E8E">
      <w:pPr>
        <w:pStyle w:val="Textonotapie"/>
        <w:ind w:firstLine="708"/>
        <w:jc w:val="both"/>
        <w:rPr>
          <w:rFonts w:ascii="Verdana" w:hAnsi="Verdana" w:cs="Arial"/>
          <w:color w:val="000000"/>
          <w:sz w:val="16"/>
          <w:szCs w:val="16"/>
        </w:rPr>
      </w:pPr>
      <w:r w:rsidRPr="000A5EAC">
        <w:rPr>
          <w:rStyle w:val="Refdenotaalpie"/>
          <w:rFonts w:ascii="Verdana" w:hAnsi="Verdana"/>
          <w:sz w:val="16"/>
          <w:szCs w:val="16"/>
        </w:rPr>
        <w:footnoteRef/>
      </w:r>
      <w:r w:rsidRPr="000A5EAC">
        <w:rPr>
          <w:rFonts w:ascii="Verdana" w:hAnsi="Verdana"/>
          <w:sz w:val="16"/>
          <w:szCs w:val="16"/>
          <w:lang w:val="pt-BR"/>
        </w:rPr>
        <w:t xml:space="preserve"> </w:t>
      </w:r>
      <w:r w:rsidRPr="000A5EAC">
        <w:rPr>
          <w:rFonts w:ascii="Verdana" w:hAnsi="Verdana" w:cs="Arial"/>
          <w:color w:val="000000"/>
          <w:sz w:val="16"/>
          <w:szCs w:val="16"/>
          <w:lang w:val="pt-BR"/>
        </w:rPr>
        <w:t xml:space="preserve">CONSEJO DE ESTADO. </w:t>
      </w:r>
      <w:proofErr w:type="spellStart"/>
      <w:r w:rsidRPr="000A5EAC">
        <w:rPr>
          <w:rFonts w:ascii="Verdana" w:hAnsi="Verdana" w:cs="Arial"/>
          <w:color w:val="000000"/>
          <w:sz w:val="16"/>
          <w:szCs w:val="16"/>
          <w:lang w:val="pt-BR"/>
        </w:rPr>
        <w:t>S</w:t>
      </w:r>
      <w:r>
        <w:rPr>
          <w:rFonts w:ascii="Verdana" w:hAnsi="Verdana" w:cs="Arial"/>
          <w:color w:val="000000"/>
          <w:sz w:val="16"/>
          <w:szCs w:val="16"/>
          <w:lang w:val="pt-BR"/>
        </w:rPr>
        <w:t>ección</w:t>
      </w:r>
      <w:proofErr w:type="spellEnd"/>
      <w:r>
        <w:rPr>
          <w:rFonts w:ascii="Verdana" w:hAnsi="Verdana" w:cs="Arial"/>
          <w:color w:val="000000"/>
          <w:sz w:val="16"/>
          <w:szCs w:val="16"/>
          <w:lang w:val="pt-BR"/>
        </w:rPr>
        <w:t xml:space="preserve"> Tercera</w:t>
      </w:r>
      <w:r w:rsidRPr="000A5EAC">
        <w:rPr>
          <w:rFonts w:ascii="Verdana" w:hAnsi="Verdana" w:cs="Arial"/>
          <w:color w:val="000000"/>
          <w:sz w:val="16"/>
          <w:szCs w:val="16"/>
          <w:lang w:val="pt-BR"/>
        </w:rPr>
        <w:t>.</w:t>
      </w:r>
      <w:r>
        <w:rPr>
          <w:rFonts w:ascii="Verdana" w:hAnsi="Verdana" w:cs="Arial"/>
          <w:color w:val="000000"/>
          <w:sz w:val="16"/>
          <w:szCs w:val="16"/>
          <w:lang w:val="pt-BR"/>
        </w:rPr>
        <w:t xml:space="preserve"> </w:t>
      </w:r>
      <w:proofErr w:type="spellStart"/>
      <w:r>
        <w:rPr>
          <w:rFonts w:ascii="Verdana" w:hAnsi="Verdana" w:cs="Arial"/>
          <w:color w:val="000000"/>
          <w:sz w:val="16"/>
          <w:szCs w:val="16"/>
          <w:lang w:val="pt-BR"/>
        </w:rPr>
        <w:t>Subsección</w:t>
      </w:r>
      <w:proofErr w:type="spellEnd"/>
      <w:r>
        <w:rPr>
          <w:rFonts w:ascii="Verdana" w:hAnsi="Verdana" w:cs="Arial"/>
          <w:color w:val="000000"/>
          <w:sz w:val="16"/>
          <w:szCs w:val="16"/>
          <w:lang w:val="pt-BR"/>
        </w:rPr>
        <w:t xml:space="preserve"> B.</w:t>
      </w:r>
      <w:r w:rsidRPr="000A5EAC">
        <w:rPr>
          <w:rFonts w:ascii="Verdana" w:hAnsi="Verdana" w:cs="Arial"/>
          <w:color w:val="000000"/>
          <w:sz w:val="16"/>
          <w:szCs w:val="16"/>
          <w:lang w:val="pt-BR"/>
        </w:rPr>
        <w:t xml:space="preserve"> Sentencia </w:t>
      </w:r>
      <w:proofErr w:type="spellStart"/>
      <w:r w:rsidRPr="000A5EAC">
        <w:rPr>
          <w:rFonts w:ascii="Verdana" w:hAnsi="Verdana" w:cs="Arial"/>
          <w:color w:val="000000"/>
          <w:sz w:val="16"/>
          <w:szCs w:val="16"/>
          <w:lang w:val="pt-BR"/>
        </w:rPr>
        <w:t>del</w:t>
      </w:r>
      <w:proofErr w:type="spellEnd"/>
      <w:r w:rsidRPr="000A5EAC">
        <w:rPr>
          <w:rFonts w:ascii="Verdana" w:hAnsi="Verdana" w:cs="Arial"/>
          <w:color w:val="000000"/>
          <w:sz w:val="16"/>
          <w:szCs w:val="16"/>
          <w:lang w:val="pt-BR"/>
        </w:rPr>
        <w:t xml:space="preserve"> 12 de </w:t>
      </w:r>
      <w:proofErr w:type="spellStart"/>
      <w:r w:rsidRPr="000A5EAC">
        <w:rPr>
          <w:rFonts w:ascii="Verdana" w:hAnsi="Verdana" w:cs="Arial"/>
          <w:color w:val="000000"/>
          <w:sz w:val="16"/>
          <w:szCs w:val="16"/>
          <w:lang w:val="pt-BR"/>
        </w:rPr>
        <w:t>diciembre</w:t>
      </w:r>
      <w:proofErr w:type="spellEnd"/>
      <w:r w:rsidRPr="000A5EAC">
        <w:rPr>
          <w:rFonts w:ascii="Verdana" w:hAnsi="Verdana" w:cs="Arial"/>
          <w:color w:val="000000"/>
          <w:sz w:val="16"/>
          <w:szCs w:val="16"/>
          <w:lang w:val="pt-BR"/>
        </w:rPr>
        <w:t xml:space="preserve"> de 2014. Exp. 26496. C.P. Ramiro Pazos Guerrero. </w:t>
      </w:r>
      <w:r w:rsidRPr="000A5EAC">
        <w:rPr>
          <w:rFonts w:ascii="Verdana" w:hAnsi="Verdana" w:cs="Arial"/>
          <w:color w:val="000000"/>
          <w:sz w:val="16"/>
          <w:szCs w:val="16"/>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547F10A9" w14:textId="77777777" w:rsidR="00D81E8E" w:rsidRPr="000A5EAC" w:rsidRDefault="00D81E8E" w:rsidP="00D81E8E">
      <w:pPr>
        <w:pStyle w:val="Textonotapie"/>
        <w:jc w:val="both"/>
        <w:rPr>
          <w:rFonts w:ascii="Verdana" w:hAnsi="Verdana"/>
          <w:sz w:val="16"/>
          <w:szCs w:val="16"/>
          <w:lang w:val="es-ES_tradnl"/>
        </w:rPr>
      </w:pPr>
    </w:p>
  </w:footnote>
  <w:footnote w:id="16">
    <w:p w14:paraId="29AEF777" w14:textId="77777777" w:rsidR="00D81E8E" w:rsidRPr="000A5EAC" w:rsidRDefault="00D81E8E" w:rsidP="00D81E8E">
      <w:pPr>
        <w:pStyle w:val="Textonotapie"/>
        <w:ind w:firstLine="708"/>
        <w:jc w:val="both"/>
        <w:rPr>
          <w:rFonts w:ascii="Verdana" w:hAnsi="Verdana"/>
          <w:sz w:val="16"/>
          <w:szCs w:val="16"/>
          <w:lang w:val="es-ES_tradnl"/>
        </w:rPr>
      </w:pPr>
      <w:r w:rsidRPr="000A5EAC">
        <w:rPr>
          <w:rStyle w:val="Refdenotaalpie"/>
          <w:rFonts w:ascii="Verdana" w:hAnsi="Verdana"/>
          <w:sz w:val="16"/>
          <w:szCs w:val="16"/>
        </w:rPr>
        <w:footnoteRef/>
      </w:r>
      <w:r w:rsidRPr="000A5EAC">
        <w:rPr>
          <w:rFonts w:ascii="Verdana" w:hAnsi="Verdana"/>
          <w:sz w:val="16"/>
          <w:szCs w:val="16"/>
        </w:rPr>
        <w:t xml:space="preserve"> </w:t>
      </w:r>
      <w:r w:rsidRPr="000A5EAC">
        <w:rPr>
          <w:rFonts w:ascii="Verdana" w:hAnsi="Verdana" w:cs="Arial"/>
          <w:color w:val="000000"/>
          <w:sz w:val="16"/>
          <w:szCs w:val="16"/>
        </w:rPr>
        <w:t>CONSEJO DE ESTADO. Sala de Consulta y Servicio Civil. Concepto del 29 de abril de 1998. Rad. 1097. C.P. Augusto Trejos Jaramillo.</w:t>
      </w:r>
    </w:p>
  </w:footnote>
  <w:footnote w:id="17">
    <w:p w14:paraId="3858626D" w14:textId="77777777" w:rsidR="00D81E8E" w:rsidRPr="000A5EAC" w:rsidRDefault="00D81E8E" w:rsidP="00D81E8E">
      <w:pPr>
        <w:pStyle w:val="Textonotapie"/>
        <w:ind w:firstLine="708"/>
        <w:jc w:val="both"/>
        <w:rPr>
          <w:rFonts w:ascii="Verdana" w:hAnsi="Verdana"/>
          <w:sz w:val="16"/>
          <w:szCs w:val="16"/>
          <w:lang w:val="es-ES"/>
        </w:rPr>
      </w:pPr>
      <w:r w:rsidRPr="000A5EAC">
        <w:rPr>
          <w:rStyle w:val="Refdenotaalpie"/>
          <w:rFonts w:ascii="Verdana" w:hAnsi="Verdana"/>
          <w:sz w:val="16"/>
          <w:szCs w:val="16"/>
        </w:rPr>
        <w:footnoteRef/>
      </w:r>
      <w:r w:rsidRPr="000A5EAC">
        <w:rPr>
          <w:rFonts w:ascii="Verdana" w:hAnsi="Verdana"/>
          <w:sz w:val="16"/>
          <w:szCs w:val="16"/>
        </w:rPr>
        <w:t xml:space="preserve"> CORTE CONSTITUCIONAL. Sentencia C-949 del 5 de septiembre de 2001. M.P. Clara Inés Vargas Hernández.  </w:t>
      </w:r>
    </w:p>
  </w:footnote>
  <w:footnote w:id="18">
    <w:p w14:paraId="31C4D367" w14:textId="77777777" w:rsidR="00D81E8E" w:rsidRPr="000A5EAC" w:rsidRDefault="00D81E8E" w:rsidP="00D81E8E">
      <w:pPr>
        <w:pStyle w:val="Textonotapie"/>
        <w:ind w:firstLine="708"/>
        <w:jc w:val="both"/>
        <w:rPr>
          <w:rFonts w:ascii="Verdana" w:hAnsi="Verdana"/>
          <w:sz w:val="16"/>
          <w:szCs w:val="16"/>
          <w:lang w:val="es-ES"/>
        </w:rPr>
      </w:pPr>
      <w:r w:rsidRPr="000A5EAC">
        <w:rPr>
          <w:rStyle w:val="Refdenotaalpie"/>
          <w:rFonts w:ascii="Verdana" w:hAnsi="Verdana"/>
          <w:sz w:val="16"/>
          <w:szCs w:val="16"/>
        </w:rPr>
        <w:footnoteRef/>
      </w:r>
      <w:r w:rsidRPr="000A5EAC">
        <w:rPr>
          <w:rFonts w:ascii="Verdana" w:hAnsi="Verdana"/>
          <w:sz w:val="16"/>
          <w:szCs w:val="16"/>
        </w:rPr>
        <w:t xml:space="preserve"> CONSEJO DE ESTADO. Sección Tercera. </w:t>
      </w:r>
      <w:r>
        <w:rPr>
          <w:rFonts w:ascii="Verdana" w:hAnsi="Verdana"/>
          <w:sz w:val="16"/>
          <w:szCs w:val="16"/>
        </w:rPr>
        <w:t xml:space="preserve">Subsección B. </w:t>
      </w:r>
      <w:r w:rsidRPr="000A5EAC">
        <w:rPr>
          <w:rFonts w:ascii="Verdana" w:hAnsi="Verdana"/>
          <w:sz w:val="16"/>
          <w:szCs w:val="16"/>
        </w:rPr>
        <w:t xml:space="preserve">Sentencia del 27 de abril de 2011. </w:t>
      </w:r>
      <w:proofErr w:type="spellStart"/>
      <w:r w:rsidRPr="000A5EAC">
        <w:rPr>
          <w:rFonts w:ascii="Verdana" w:hAnsi="Verdana"/>
          <w:sz w:val="16"/>
          <w:szCs w:val="16"/>
        </w:rPr>
        <w:t>Exp</w:t>
      </w:r>
      <w:proofErr w:type="spellEnd"/>
      <w:r w:rsidRPr="000A5EAC">
        <w:rPr>
          <w:rFonts w:ascii="Verdana" w:hAnsi="Verdana"/>
          <w:sz w:val="16"/>
          <w:szCs w:val="16"/>
        </w:rPr>
        <w:t>. 18.293. C.P. Ruth Stella Correa Palacio.</w:t>
      </w:r>
    </w:p>
  </w:footnote>
  <w:footnote w:id="19">
    <w:p w14:paraId="66EEEE28" w14:textId="77777777" w:rsidR="00D81E8E" w:rsidRDefault="00D81E8E" w:rsidP="00D81E8E">
      <w:pPr>
        <w:pStyle w:val="Textonotapie"/>
        <w:ind w:firstLine="708"/>
        <w:jc w:val="both"/>
        <w:rPr>
          <w:rFonts w:ascii="Verdana" w:hAnsi="Verdana"/>
          <w:sz w:val="16"/>
          <w:szCs w:val="16"/>
        </w:rPr>
      </w:pPr>
      <w:r w:rsidRPr="000A5EAC">
        <w:rPr>
          <w:rStyle w:val="Refdenotaalpie"/>
          <w:rFonts w:ascii="Verdana" w:hAnsi="Verdana"/>
          <w:sz w:val="16"/>
          <w:szCs w:val="16"/>
        </w:rPr>
        <w:footnoteRef/>
      </w:r>
      <w:r w:rsidRPr="000A5EAC">
        <w:rPr>
          <w:rFonts w:ascii="Verdana" w:hAnsi="Verdana"/>
          <w:sz w:val="16"/>
          <w:szCs w:val="16"/>
        </w:rPr>
        <w:t xml:space="preserve"> CONSEJO DE ESTADO. Sección Tercera. </w:t>
      </w:r>
      <w:r>
        <w:rPr>
          <w:rFonts w:ascii="Verdana" w:hAnsi="Verdana"/>
          <w:sz w:val="16"/>
          <w:szCs w:val="16"/>
        </w:rPr>
        <w:t xml:space="preserve">Subsección A. </w:t>
      </w:r>
      <w:r w:rsidRPr="000A5EAC">
        <w:rPr>
          <w:rFonts w:ascii="Verdana" w:hAnsi="Verdana"/>
          <w:sz w:val="16"/>
          <w:szCs w:val="16"/>
        </w:rPr>
        <w:t xml:space="preserve">Sentencia del 21 de noviembre de 2013 </w:t>
      </w:r>
      <w:proofErr w:type="spellStart"/>
      <w:r w:rsidRPr="000A5EAC">
        <w:rPr>
          <w:rFonts w:ascii="Verdana" w:hAnsi="Verdana"/>
          <w:sz w:val="16"/>
          <w:szCs w:val="16"/>
        </w:rPr>
        <w:t>Exp</w:t>
      </w:r>
      <w:proofErr w:type="spellEnd"/>
      <w:r w:rsidRPr="000A5EAC">
        <w:rPr>
          <w:rFonts w:ascii="Verdana" w:hAnsi="Verdana"/>
          <w:sz w:val="16"/>
          <w:szCs w:val="16"/>
        </w:rPr>
        <w:t>. 25397. C.P. Carlos Alberto Zambrano Barrera.</w:t>
      </w:r>
    </w:p>
    <w:p w14:paraId="77336944" w14:textId="77777777" w:rsidR="00D81E8E" w:rsidRPr="007E5CE5" w:rsidRDefault="00D81E8E" w:rsidP="00D81E8E">
      <w:pPr>
        <w:pStyle w:val="Textonotapie"/>
        <w:ind w:firstLine="708"/>
        <w:jc w:val="both"/>
        <w:rPr>
          <w:rFonts w:ascii="Verdana" w:hAnsi="Verdana"/>
          <w:sz w:val="16"/>
          <w:szCs w:val="16"/>
          <w:lang w:val="es-ES"/>
        </w:rPr>
      </w:pPr>
    </w:p>
  </w:footnote>
  <w:footnote w:id="20">
    <w:p w14:paraId="0A5A55C2" w14:textId="77777777" w:rsidR="00D81E8E" w:rsidRPr="000A5EAC" w:rsidRDefault="00D81E8E" w:rsidP="00D81E8E">
      <w:pPr>
        <w:spacing w:after="0" w:line="240" w:lineRule="auto"/>
        <w:ind w:firstLine="708"/>
        <w:jc w:val="both"/>
        <w:rPr>
          <w:rFonts w:ascii="Verdana" w:eastAsia="Arial" w:hAnsi="Verdana" w:cs="Arial"/>
          <w:color w:val="000000"/>
          <w:sz w:val="16"/>
          <w:szCs w:val="16"/>
        </w:rPr>
      </w:pPr>
      <w:r w:rsidRPr="000A5EAC">
        <w:rPr>
          <w:rFonts w:ascii="Verdana" w:hAnsi="Verdana" w:cs="Arial"/>
          <w:sz w:val="16"/>
          <w:szCs w:val="16"/>
          <w:vertAlign w:val="superscript"/>
        </w:rPr>
        <w:footnoteRef/>
      </w:r>
      <w:r w:rsidRPr="000A5EAC">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4698B749" w14:textId="77777777" w:rsidR="00D81E8E" w:rsidRPr="000A5EAC" w:rsidRDefault="00D81E8E" w:rsidP="00D81E8E">
      <w:pPr>
        <w:spacing w:after="0" w:line="240" w:lineRule="auto"/>
        <w:ind w:firstLine="708"/>
        <w:jc w:val="both"/>
        <w:rPr>
          <w:rFonts w:ascii="Verdana" w:eastAsia="Arial" w:hAnsi="Verdana" w:cs="Arial"/>
          <w:color w:val="000000"/>
          <w:sz w:val="16"/>
          <w:szCs w:val="16"/>
        </w:rPr>
      </w:pPr>
      <w:r w:rsidRPr="000A5EAC">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6BBC541E" w14:textId="77777777" w:rsidR="00D81E8E" w:rsidRPr="000A5EAC" w:rsidRDefault="00D81E8E" w:rsidP="00D81E8E">
      <w:pPr>
        <w:spacing w:after="0" w:line="240" w:lineRule="auto"/>
        <w:ind w:firstLine="708"/>
        <w:jc w:val="both"/>
        <w:rPr>
          <w:rFonts w:ascii="Verdana" w:eastAsia="Arial" w:hAnsi="Verdana" w:cs="Arial"/>
          <w:color w:val="000000"/>
          <w:sz w:val="16"/>
          <w:szCs w:val="16"/>
        </w:rPr>
      </w:pPr>
      <w:r w:rsidRPr="000A5EAC">
        <w:rPr>
          <w:rFonts w:ascii="Verdana" w:eastAsia="Arial" w:hAnsi="Verdana" w:cs="Arial"/>
          <w:color w:val="000000"/>
          <w:sz w:val="16"/>
          <w:szCs w:val="16"/>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0A5EAC">
        <w:rPr>
          <w:rFonts w:ascii="Verdana" w:eastAsia="Arial" w:hAnsi="Verdana" w:cs="Arial"/>
          <w:color w:val="000000"/>
          <w:sz w:val="16"/>
          <w:szCs w:val="16"/>
        </w:rPr>
        <w:t>pliegos,</w:t>
      </w:r>
      <w:proofErr w:type="gramEnd"/>
      <w:r w:rsidRPr="000A5EAC">
        <w:rPr>
          <w:rFonts w:ascii="Verdana" w:eastAsia="Arial" w:hAnsi="Verdana" w:cs="Arial"/>
          <w:color w:val="000000"/>
          <w:sz w:val="16"/>
          <w:szCs w:val="16"/>
        </w:rPr>
        <w:t xml:space="preserve"> no será objeto de evaluación”.</w:t>
      </w:r>
    </w:p>
    <w:p w14:paraId="32F3F29E" w14:textId="77777777" w:rsidR="00D81E8E" w:rsidRPr="000A5EAC" w:rsidRDefault="00D81E8E" w:rsidP="00D81E8E">
      <w:pPr>
        <w:spacing w:after="0" w:line="240" w:lineRule="auto"/>
        <w:ind w:firstLine="708"/>
        <w:jc w:val="both"/>
        <w:rPr>
          <w:rFonts w:ascii="Verdana" w:eastAsia="Arial" w:hAnsi="Verdana" w:cs="Arial"/>
          <w:color w:val="000000"/>
          <w:sz w:val="16"/>
          <w:szCs w:val="16"/>
        </w:rPr>
      </w:pPr>
      <w:r w:rsidRPr="000A5EAC">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53AF6AA5" w14:textId="77777777" w:rsidR="00D81E8E" w:rsidRPr="000A5EAC" w:rsidRDefault="00D81E8E" w:rsidP="00D81E8E">
      <w:pPr>
        <w:spacing w:after="0" w:line="240" w:lineRule="auto"/>
        <w:jc w:val="both"/>
        <w:rPr>
          <w:rFonts w:ascii="Verdana" w:eastAsia="Arial" w:hAnsi="Verdana" w:cs="Arial"/>
          <w:color w:val="000000"/>
          <w:sz w:val="16"/>
          <w:szCs w:val="16"/>
        </w:rPr>
      </w:pPr>
      <w:r w:rsidRPr="000A5EAC">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21">
    <w:p w14:paraId="0B9B0E37" w14:textId="77777777" w:rsidR="00D81E8E" w:rsidRDefault="00D81E8E" w:rsidP="00D81E8E">
      <w:pPr>
        <w:pStyle w:val="Textonotapie"/>
        <w:ind w:firstLine="708"/>
        <w:jc w:val="both"/>
        <w:rPr>
          <w:rFonts w:ascii="Verdana" w:hAnsi="Verdana" w:cs="Arial"/>
          <w:sz w:val="16"/>
          <w:szCs w:val="16"/>
        </w:rPr>
      </w:pPr>
      <w:r w:rsidRPr="000A5EAC">
        <w:rPr>
          <w:rStyle w:val="Refdenotaalpie"/>
          <w:rFonts w:ascii="Verdana" w:hAnsi="Verdana" w:cs="Arial"/>
          <w:sz w:val="16"/>
          <w:szCs w:val="16"/>
        </w:rPr>
        <w:footnoteRef/>
      </w:r>
      <w:r w:rsidRPr="000A5EAC">
        <w:rPr>
          <w:rFonts w:ascii="Verdana" w:hAnsi="Verdana" w:cs="Arial"/>
          <w:sz w:val="16"/>
          <w:szCs w:val="16"/>
        </w:rPr>
        <w:t xml:space="preserve"> BARRETO MORENO, Antonio Alejandro. El derecho de la compra pública. Bogotá: Legis y Universidad de la Sabana, 2019. p.95. </w:t>
      </w:r>
    </w:p>
    <w:p w14:paraId="567D1864" w14:textId="77777777" w:rsidR="00D81E8E" w:rsidRPr="000A5EAC" w:rsidRDefault="00D81E8E" w:rsidP="00D81E8E">
      <w:pPr>
        <w:pStyle w:val="Textonotapie"/>
        <w:ind w:firstLine="708"/>
        <w:jc w:val="both"/>
        <w:rPr>
          <w:rFonts w:ascii="Verdana" w:hAnsi="Verdana" w:cs="Arial"/>
          <w:sz w:val="16"/>
          <w:szCs w:val="16"/>
        </w:rPr>
      </w:pPr>
    </w:p>
  </w:footnote>
  <w:footnote w:id="22">
    <w:p w14:paraId="181D87F3" w14:textId="77777777" w:rsidR="00D81E8E" w:rsidRPr="007E5CE5" w:rsidRDefault="00D81E8E" w:rsidP="00D81E8E">
      <w:pPr>
        <w:pStyle w:val="Textonotapie"/>
        <w:ind w:firstLine="708"/>
        <w:jc w:val="both"/>
        <w:rPr>
          <w:rFonts w:ascii="Verdana" w:hAnsi="Verdana"/>
          <w:sz w:val="16"/>
          <w:szCs w:val="16"/>
        </w:rPr>
      </w:pPr>
      <w:r w:rsidRPr="000A5EAC">
        <w:rPr>
          <w:rStyle w:val="Refdenotaalpie"/>
          <w:rFonts w:ascii="Verdana" w:hAnsi="Verdana"/>
          <w:sz w:val="16"/>
          <w:szCs w:val="16"/>
        </w:rPr>
        <w:footnoteRef/>
      </w:r>
      <w:r w:rsidRPr="000A5EAC">
        <w:rPr>
          <w:rFonts w:ascii="Verdana" w:hAnsi="Verdana"/>
          <w:sz w:val="16"/>
          <w:szCs w:val="16"/>
        </w:rPr>
        <w:t xml:space="preserve"> </w:t>
      </w:r>
      <w:proofErr w:type="spellStart"/>
      <w:r w:rsidRPr="000A5EAC">
        <w:rPr>
          <w:rFonts w:ascii="Verdana" w:hAnsi="Verdana"/>
          <w:sz w:val="16"/>
          <w:szCs w:val="16"/>
        </w:rPr>
        <w:t>Ibídem</w:t>
      </w:r>
      <w:proofErr w:type="spellEnd"/>
      <w:r w:rsidRPr="000A5EAC">
        <w:rPr>
          <w:rFonts w:ascii="Verdana" w:hAnsi="Verdana"/>
          <w:sz w:val="16"/>
          <w:szCs w:val="16"/>
        </w:rPr>
        <w:t>., p. 95.</w:t>
      </w:r>
      <w:r w:rsidRPr="007E5CE5">
        <w:rPr>
          <w:rFonts w:ascii="Verdana" w:hAnsi="Verdana"/>
          <w:sz w:val="16"/>
          <w:szCs w:val="16"/>
        </w:rPr>
        <w:t xml:space="preserve"> </w:t>
      </w:r>
    </w:p>
  </w:footnote>
  <w:footnote w:id="23">
    <w:p w14:paraId="3FF54407" w14:textId="77777777" w:rsidR="00D81E8E" w:rsidRPr="007E5CE5" w:rsidRDefault="00D81E8E" w:rsidP="00D81E8E">
      <w:pPr>
        <w:pStyle w:val="Textonotapie"/>
        <w:ind w:firstLine="708"/>
        <w:jc w:val="both"/>
        <w:rPr>
          <w:sz w:val="16"/>
          <w:szCs w:val="16"/>
        </w:rPr>
      </w:pPr>
      <w:r w:rsidRPr="007E5CE5">
        <w:rPr>
          <w:rStyle w:val="Refdenotaalpie"/>
          <w:rFonts w:ascii="Verdana" w:hAnsi="Verdana"/>
          <w:sz w:val="16"/>
          <w:szCs w:val="16"/>
        </w:rPr>
        <w:footnoteRef/>
      </w:r>
      <w:r w:rsidRPr="007E5CE5">
        <w:rPr>
          <w:rFonts w:ascii="Verdana" w:hAnsi="Verdana"/>
          <w:sz w:val="16"/>
          <w:szCs w:val="16"/>
        </w:rPr>
        <w:t xml:space="preserve"> Dicha causal de rechazo ha estado en los Documentos Base que hacen parte de los Documentos tipo anteriores y vigentes, como los Documento Tipo de Infraestructura de Transporte, Documentos Tipo de Infraestructura de agua potable y saneamiento básico, Documentos Tipo de Licitación de Obra de Infraestructura Social, entre otros. </w:t>
      </w:r>
    </w:p>
  </w:footnote>
  <w:footnote w:id="24">
    <w:p w14:paraId="3F3F96B6" w14:textId="77777777" w:rsidR="00D81E8E" w:rsidRPr="007E5CE5" w:rsidRDefault="00D81E8E" w:rsidP="00D81E8E">
      <w:pPr>
        <w:pStyle w:val="Textonotapie"/>
        <w:ind w:firstLine="708"/>
        <w:contextualSpacing/>
        <w:jc w:val="both"/>
        <w:rPr>
          <w:rFonts w:ascii="Arial" w:hAnsi="Arial" w:cs="Arial"/>
          <w:sz w:val="16"/>
          <w:szCs w:val="16"/>
        </w:rPr>
      </w:pPr>
      <w:r w:rsidRPr="007E5CE5">
        <w:rPr>
          <w:rStyle w:val="Refdenotaalpie"/>
          <w:rFonts w:ascii="Arial" w:hAnsi="Arial" w:cs="Arial"/>
          <w:sz w:val="16"/>
          <w:szCs w:val="16"/>
        </w:rPr>
        <w:footnoteRef/>
      </w:r>
      <w:r w:rsidRPr="007E5CE5">
        <w:rPr>
          <w:rFonts w:ascii="Arial" w:hAnsi="Arial" w:cs="Arial"/>
          <w:sz w:val="16"/>
          <w:szCs w:val="16"/>
        </w:rPr>
        <w:t xml:space="preserve"> AGENCIA NACIONAL DE CONTRATACIÓN PÚBLICA –COLOMBIA COMPRA EFICIENTE. “G</w:t>
      </w:r>
      <w:r w:rsidRPr="007E5CE5">
        <w:rPr>
          <w:rFonts w:ascii="Arial" w:eastAsia="Times New Roman" w:hAnsi="Arial" w:cs="Arial"/>
          <w:sz w:val="16"/>
          <w:szCs w:val="16"/>
          <w:lang w:eastAsia="es-ES_tradnl"/>
        </w:rPr>
        <w:t>uía de competencia en las compras públicas” disponible en:</w:t>
      </w:r>
      <w:r w:rsidRPr="007E5CE5">
        <w:rPr>
          <w:sz w:val="16"/>
          <w:szCs w:val="16"/>
        </w:rPr>
        <w:t xml:space="preserve"> </w:t>
      </w:r>
      <w:r w:rsidRPr="007E5CE5">
        <w:rPr>
          <w:rFonts w:ascii="Arial" w:eastAsia="Times New Roman" w:hAnsi="Arial" w:cs="Arial"/>
          <w:sz w:val="16"/>
          <w:szCs w:val="16"/>
          <w:lang w:eastAsia="es-ES_tradnl"/>
        </w:rPr>
        <w:t xml:space="preserve">https://www.colombiacompra.gov.co/archivos/manual/guia-de-competencia-en-las-compras-publicas </w:t>
      </w:r>
    </w:p>
  </w:footnote>
  <w:footnote w:id="25">
    <w:p w14:paraId="0585999D" w14:textId="77777777" w:rsidR="00D81E8E" w:rsidRPr="007E5CE5" w:rsidRDefault="00D81E8E" w:rsidP="00D81E8E">
      <w:pPr>
        <w:pStyle w:val="Textonotapie"/>
        <w:ind w:firstLine="851"/>
        <w:contextualSpacing/>
        <w:jc w:val="both"/>
        <w:rPr>
          <w:rFonts w:ascii="Arial" w:hAnsi="Arial" w:cs="Arial"/>
          <w:sz w:val="16"/>
          <w:szCs w:val="16"/>
        </w:rPr>
      </w:pPr>
      <w:r w:rsidRPr="007E5CE5">
        <w:rPr>
          <w:rStyle w:val="Refdenotaalpie"/>
          <w:rFonts w:ascii="Arial" w:hAnsi="Arial" w:cs="Arial"/>
          <w:sz w:val="16"/>
          <w:szCs w:val="16"/>
        </w:rPr>
        <w:footnoteRef/>
      </w:r>
      <w:r w:rsidRPr="007E5CE5">
        <w:rPr>
          <w:rFonts w:ascii="Arial" w:hAnsi="Arial" w:cs="Arial"/>
          <w:sz w:val="16"/>
          <w:szCs w:val="16"/>
        </w:rPr>
        <w:t xml:space="preserve"> </w:t>
      </w:r>
      <w:r w:rsidRPr="007E5CE5">
        <w:rPr>
          <w:rFonts w:ascii="Verdana" w:hAnsi="Verdana" w:cs="Arial"/>
          <w:sz w:val="16"/>
          <w:szCs w:val="16"/>
        </w:rPr>
        <w:t xml:space="preserve">SUPERINTENDENCIA DE INDUSTRIA Y </w:t>
      </w:r>
      <w:proofErr w:type="gramStart"/>
      <w:r w:rsidRPr="007E5CE5">
        <w:rPr>
          <w:rFonts w:ascii="Verdana" w:hAnsi="Verdana" w:cs="Arial"/>
          <w:sz w:val="16"/>
          <w:szCs w:val="16"/>
        </w:rPr>
        <w:t>COMERCIO</w:t>
      </w:r>
      <w:r w:rsidRPr="007E5CE5" w:rsidDel="00207FAD">
        <w:rPr>
          <w:rFonts w:ascii="Arial" w:hAnsi="Arial" w:cs="Arial"/>
          <w:sz w:val="16"/>
          <w:szCs w:val="16"/>
        </w:rPr>
        <w:t xml:space="preserve"> </w:t>
      </w:r>
      <w:r w:rsidRPr="007E5CE5">
        <w:rPr>
          <w:rFonts w:ascii="Arial" w:hAnsi="Arial" w:cs="Arial"/>
          <w:sz w:val="16"/>
          <w:szCs w:val="16"/>
        </w:rPr>
        <w:t xml:space="preserve"> “</w:t>
      </w:r>
      <w:proofErr w:type="gramEnd"/>
      <w:r w:rsidRPr="007E5CE5">
        <w:rPr>
          <w:rFonts w:ascii="Arial" w:eastAsia="Times New Roman" w:hAnsi="Arial" w:cs="Arial"/>
          <w:sz w:val="16"/>
          <w:szCs w:val="16"/>
          <w:lang w:eastAsia="es-ES_tradnl"/>
        </w:rPr>
        <w:t>Guía práctica para combatir la colusión en las licitaciones</w:t>
      </w:r>
      <w:r w:rsidRPr="007E5CE5">
        <w:rPr>
          <w:rFonts w:ascii="Arial" w:hAnsi="Arial" w:cs="Arial"/>
          <w:sz w:val="16"/>
          <w:szCs w:val="16"/>
        </w:rPr>
        <w:t xml:space="preserve">” se encuentra disponible: </w:t>
      </w:r>
      <w:hyperlink r:id="rId1" w:history="1">
        <w:r w:rsidRPr="007E5CE5">
          <w:rPr>
            <w:rStyle w:val="Hipervnculo"/>
            <w:rFonts w:ascii="Arial" w:hAnsi="Arial" w:cs="Arial"/>
            <w:sz w:val="16"/>
            <w:szCs w:val="16"/>
          </w:rPr>
          <w:t>https://www.sic.gov.co/recursos_user/documentos/articulos/2010/Guia_Contratacion.pdf</w:t>
        </w:r>
      </w:hyperlink>
    </w:p>
    <w:p w14:paraId="7162D92D" w14:textId="77777777" w:rsidR="00D81E8E" w:rsidRPr="007E5CE5" w:rsidRDefault="00D81E8E" w:rsidP="00D81E8E">
      <w:pPr>
        <w:pStyle w:val="Textonotapie"/>
        <w:ind w:firstLine="851"/>
        <w:contextualSpacing/>
        <w:jc w:val="both"/>
        <w:rPr>
          <w:rFonts w:ascii="Arial" w:hAnsi="Arial" w:cs="Arial"/>
          <w:sz w:val="16"/>
          <w:szCs w:val="16"/>
          <w:lang w:val="es-ES"/>
        </w:rPr>
      </w:pPr>
    </w:p>
  </w:footnote>
  <w:footnote w:id="26">
    <w:p w14:paraId="78327593" w14:textId="77777777" w:rsidR="00D81E8E" w:rsidRPr="00D1189A" w:rsidRDefault="00D81E8E" w:rsidP="00D81E8E">
      <w:pPr>
        <w:pStyle w:val="Textonotapie"/>
        <w:ind w:firstLine="851"/>
        <w:contextualSpacing/>
        <w:jc w:val="both"/>
        <w:rPr>
          <w:rFonts w:ascii="Verdana" w:hAnsi="Verdana" w:cs="Arial"/>
          <w:sz w:val="14"/>
          <w:szCs w:val="14"/>
          <w:lang w:val="es-ES"/>
        </w:rPr>
      </w:pPr>
      <w:r w:rsidRPr="007E5CE5">
        <w:rPr>
          <w:rStyle w:val="Refdenotaalpie"/>
          <w:rFonts w:ascii="Verdana" w:hAnsi="Verdana" w:cs="Arial"/>
          <w:sz w:val="16"/>
          <w:szCs w:val="16"/>
        </w:rPr>
        <w:footnoteRef/>
      </w:r>
      <w:r w:rsidRPr="007E5CE5">
        <w:rPr>
          <w:rFonts w:ascii="Verdana" w:hAnsi="Verdana" w:cs="Arial"/>
          <w:sz w:val="16"/>
          <w:szCs w:val="16"/>
        </w:rPr>
        <w:t xml:space="preserve"> </w:t>
      </w:r>
      <w:proofErr w:type="spellStart"/>
      <w:r w:rsidRPr="007E5CE5">
        <w:rPr>
          <w:rFonts w:ascii="Verdana" w:hAnsi="Verdana" w:cs="Arial"/>
          <w:sz w:val="16"/>
          <w:szCs w:val="16"/>
        </w:rPr>
        <w:t>Ibídem</w:t>
      </w:r>
      <w:proofErr w:type="spellEnd"/>
      <w:r w:rsidRPr="007E5CE5">
        <w:rPr>
          <w:rFonts w:ascii="Verdana" w:hAnsi="Verdana" w:cs="Arial"/>
          <w:sz w:val="16"/>
          <w:szCs w:val="16"/>
        </w:rPr>
        <w:t>.</w:t>
      </w:r>
      <w:r>
        <w:rPr>
          <w:rFonts w:ascii="Verdana" w:hAnsi="Verdana" w:cs="Arial"/>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E0677" w:rsidRDefault="003E0677">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E0677" w:rsidRDefault="003E0677">
    <w:pPr>
      <w:pStyle w:val="Encabezado"/>
    </w:pPr>
  </w:p>
  <w:p w14:paraId="3079FC11" w14:textId="77777777" w:rsidR="003E0677" w:rsidRDefault="003E0677" w:rsidP="004A305D">
    <w:pPr>
      <w:spacing w:after="0"/>
      <w:rPr>
        <w:rFonts w:ascii="Verdana" w:hAnsi="Verdana"/>
        <w:b/>
        <w:bCs/>
      </w:rPr>
    </w:pPr>
  </w:p>
  <w:p w14:paraId="5E18350A" w14:textId="705F7B76" w:rsidR="003E0677" w:rsidRPr="004A305D" w:rsidRDefault="003E0677" w:rsidP="00B01B1A">
    <w:pPr>
      <w:spacing w:after="0" w:line="120" w:lineRule="auto"/>
      <w:rPr>
        <w:rFonts w:ascii="Century Gothic" w:eastAsia="Geo" w:hAnsi="Century Gothic" w:cs="Geo"/>
        <w:sz w:val="16"/>
        <w:szCs w:val="16"/>
        <w:lang w:eastAsia="es-CO"/>
      </w:rPr>
    </w:pPr>
  </w:p>
  <w:p w14:paraId="1FD1C243" w14:textId="6D74A3CF" w:rsidR="003E0677" w:rsidRDefault="003E067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C76B7C"/>
    <w:multiLevelType w:val="multilevel"/>
    <w:tmpl w:val="71A0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3C40D6E"/>
    <w:multiLevelType w:val="hybridMultilevel"/>
    <w:tmpl w:val="0A3E263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5E21BE"/>
    <w:multiLevelType w:val="multilevel"/>
    <w:tmpl w:val="722C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A27DCB"/>
    <w:multiLevelType w:val="hybridMultilevel"/>
    <w:tmpl w:val="738E6B9C"/>
    <w:lvl w:ilvl="0" w:tplc="FDA4112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1B65755"/>
    <w:multiLevelType w:val="hybridMultilevel"/>
    <w:tmpl w:val="608691EE"/>
    <w:lvl w:ilvl="0" w:tplc="B9AA48F0">
      <w:start w:val="1"/>
      <w:numFmt w:val="decimal"/>
      <w:lvlText w:val="%1."/>
      <w:lvlJc w:val="left"/>
      <w:pPr>
        <w:ind w:left="720" w:hanging="360"/>
      </w:pPr>
      <w:rPr>
        <w:b w:val="0"/>
        <w:i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1" w15:restartNumberingAfterBreak="0">
    <w:nsid w:val="51CA6956"/>
    <w:multiLevelType w:val="multilevel"/>
    <w:tmpl w:val="A942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8F3FFF"/>
    <w:multiLevelType w:val="hybridMultilevel"/>
    <w:tmpl w:val="78B2E9F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5" w15:restartNumberingAfterBreak="0">
    <w:nsid w:val="68777C0E"/>
    <w:multiLevelType w:val="multilevel"/>
    <w:tmpl w:val="E128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FF2165"/>
    <w:multiLevelType w:val="hybridMultilevel"/>
    <w:tmpl w:val="29D2DDFA"/>
    <w:lvl w:ilvl="0" w:tplc="45C278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0C52A0"/>
    <w:multiLevelType w:val="hybridMultilevel"/>
    <w:tmpl w:val="8BB63156"/>
    <w:lvl w:ilvl="0" w:tplc="A6F4693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751AF3"/>
    <w:multiLevelType w:val="multilevel"/>
    <w:tmpl w:val="1B90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516895836">
    <w:abstractNumId w:val="15"/>
  </w:num>
  <w:num w:numId="2" w16cid:durableId="182131795">
    <w:abstractNumId w:val="2"/>
  </w:num>
  <w:num w:numId="3" w16cid:durableId="2077893493">
    <w:abstractNumId w:val="11"/>
  </w:num>
  <w:num w:numId="4" w16cid:durableId="18128644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4387127">
    <w:abstractNumId w:val="2"/>
  </w:num>
  <w:num w:numId="6" w16cid:durableId="1446728984">
    <w:abstractNumId w:val="30"/>
  </w:num>
  <w:num w:numId="7" w16cid:durableId="596987530">
    <w:abstractNumId w:val="14"/>
  </w:num>
  <w:num w:numId="8" w16cid:durableId="125857338">
    <w:abstractNumId w:val="29"/>
  </w:num>
  <w:num w:numId="9" w16cid:durableId="1093818005">
    <w:abstractNumId w:val="16"/>
  </w:num>
  <w:num w:numId="10" w16cid:durableId="713386159">
    <w:abstractNumId w:val="27"/>
  </w:num>
  <w:num w:numId="11" w16cid:durableId="181166001">
    <w:abstractNumId w:val="17"/>
  </w:num>
  <w:num w:numId="12" w16cid:durableId="1995595984">
    <w:abstractNumId w:val="1"/>
  </w:num>
  <w:num w:numId="13" w16cid:durableId="512959728">
    <w:abstractNumId w:val="7"/>
  </w:num>
  <w:num w:numId="14" w16cid:durableId="799760270">
    <w:abstractNumId w:val="31"/>
  </w:num>
  <w:num w:numId="15" w16cid:durableId="810364353">
    <w:abstractNumId w:val="24"/>
  </w:num>
  <w:num w:numId="16" w16cid:durableId="55682166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6895837">
    <w:abstractNumId w:val="5"/>
  </w:num>
  <w:num w:numId="18" w16cid:durableId="1774282381">
    <w:abstractNumId w:val="23"/>
  </w:num>
  <w:num w:numId="19" w16cid:durableId="1427381385">
    <w:abstractNumId w:val="10"/>
  </w:num>
  <w:num w:numId="20" w16cid:durableId="532690941">
    <w:abstractNumId w:val="18"/>
  </w:num>
  <w:num w:numId="21" w16cid:durableId="1528832455">
    <w:abstractNumId w:val="33"/>
  </w:num>
  <w:num w:numId="22" w16cid:durableId="2028095259">
    <w:abstractNumId w:val="20"/>
  </w:num>
  <w:num w:numId="23" w16cid:durableId="1457262860">
    <w:abstractNumId w:val="22"/>
  </w:num>
  <w:num w:numId="24" w16cid:durableId="1209729785">
    <w:abstractNumId w:val="9"/>
  </w:num>
  <w:num w:numId="25" w16cid:durableId="983386769">
    <w:abstractNumId w:val="13"/>
  </w:num>
  <w:num w:numId="26" w16cid:durableId="1210340914">
    <w:abstractNumId w:val="3"/>
  </w:num>
  <w:num w:numId="27" w16cid:durableId="803237074">
    <w:abstractNumId w:val="6"/>
  </w:num>
  <w:num w:numId="28" w16cid:durableId="631060455">
    <w:abstractNumId w:val="25"/>
  </w:num>
  <w:num w:numId="29" w16cid:durableId="821115141">
    <w:abstractNumId w:val="32"/>
  </w:num>
  <w:num w:numId="30" w16cid:durableId="1105492421">
    <w:abstractNumId w:val="12"/>
  </w:num>
  <w:num w:numId="31" w16cid:durableId="566574578">
    <w:abstractNumId w:val="28"/>
  </w:num>
  <w:num w:numId="32" w16cid:durableId="640771005">
    <w:abstractNumId w:val="26"/>
  </w:num>
  <w:num w:numId="33" w16cid:durableId="1831602259">
    <w:abstractNumId w:val="19"/>
  </w:num>
  <w:num w:numId="34" w16cid:durableId="1203783968">
    <w:abstractNumId w:val="21"/>
  </w:num>
  <w:num w:numId="35" w16cid:durableId="237522378">
    <w:abstractNumId w:val="4"/>
  </w:num>
  <w:num w:numId="36" w16cid:durableId="11297854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FA0"/>
    <w:rsid w:val="000039A2"/>
    <w:rsid w:val="000062F3"/>
    <w:rsid w:val="0000797D"/>
    <w:rsid w:val="0001328B"/>
    <w:rsid w:val="000224F2"/>
    <w:rsid w:val="00022D5C"/>
    <w:rsid w:val="00023C3E"/>
    <w:rsid w:val="0002653B"/>
    <w:rsid w:val="00034BFA"/>
    <w:rsid w:val="00041860"/>
    <w:rsid w:val="0004434A"/>
    <w:rsid w:val="0005281E"/>
    <w:rsid w:val="0005682C"/>
    <w:rsid w:val="00056D71"/>
    <w:rsid w:val="00061B2A"/>
    <w:rsid w:val="00062BAF"/>
    <w:rsid w:val="000630B9"/>
    <w:rsid w:val="000635D0"/>
    <w:rsid w:val="000643B2"/>
    <w:rsid w:val="00065E80"/>
    <w:rsid w:val="0007022C"/>
    <w:rsid w:val="00071DE6"/>
    <w:rsid w:val="00077439"/>
    <w:rsid w:val="000774B8"/>
    <w:rsid w:val="00082362"/>
    <w:rsid w:val="0008328D"/>
    <w:rsid w:val="00091409"/>
    <w:rsid w:val="0009387A"/>
    <w:rsid w:val="0009387B"/>
    <w:rsid w:val="000963C6"/>
    <w:rsid w:val="0009762F"/>
    <w:rsid w:val="000A31B9"/>
    <w:rsid w:val="000A3330"/>
    <w:rsid w:val="000A3D63"/>
    <w:rsid w:val="000A5EAC"/>
    <w:rsid w:val="000A683A"/>
    <w:rsid w:val="000A683E"/>
    <w:rsid w:val="000B19B9"/>
    <w:rsid w:val="000C2889"/>
    <w:rsid w:val="000C60BD"/>
    <w:rsid w:val="000D0152"/>
    <w:rsid w:val="000D0334"/>
    <w:rsid w:val="000D1D6A"/>
    <w:rsid w:val="000D25D7"/>
    <w:rsid w:val="000D3B29"/>
    <w:rsid w:val="000E06F4"/>
    <w:rsid w:val="000E4CE4"/>
    <w:rsid w:val="000F5D26"/>
    <w:rsid w:val="000F6486"/>
    <w:rsid w:val="000F669F"/>
    <w:rsid w:val="001063B3"/>
    <w:rsid w:val="00107ACA"/>
    <w:rsid w:val="00110744"/>
    <w:rsid w:val="001114A9"/>
    <w:rsid w:val="00111979"/>
    <w:rsid w:val="00116537"/>
    <w:rsid w:val="00120766"/>
    <w:rsid w:val="001240BD"/>
    <w:rsid w:val="00125105"/>
    <w:rsid w:val="00127233"/>
    <w:rsid w:val="001356E0"/>
    <w:rsid w:val="00143E81"/>
    <w:rsid w:val="00143FD9"/>
    <w:rsid w:val="00145047"/>
    <w:rsid w:val="00146C57"/>
    <w:rsid w:val="00154A14"/>
    <w:rsid w:val="0016332F"/>
    <w:rsid w:val="001717E9"/>
    <w:rsid w:val="0017238A"/>
    <w:rsid w:val="00174D83"/>
    <w:rsid w:val="00180790"/>
    <w:rsid w:val="00180A30"/>
    <w:rsid w:val="00185EE9"/>
    <w:rsid w:val="0018792C"/>
    <w:rsid w:val="00187F79"/>
    <w:rsid w:val="00192712"/>
    <w:rsid w:val="00197274"/>
    <w:rsid w:val="001A237A"/>
    <w:rsid w:val="001A26CF"/>
    <w:rsid w:val="001A2919"/>
    <w:rsid w:val="001A7C4C"/>
    <w:rsid w:val="001B2CFE"/>
    <w:rsid w:val="001C1C8C"/>
    <w:rsid w:val="001C222E"/>
    <w:rsid w:val="001C22F9"/>
    <w:rsid w:val="001D1C29"/>
    <w:rsid w:val="001E3C06"/>
    <w:rsid w:val="001E4177"/>
    <w:rsid w:val="001F41A2"/>
    <w:rsid w:val="001F4EFD"/>
    <w:rsid w:val="001F5E13"/>
    <w:rsid w:val="001F6D11"/>
    <w:rsid w:val="001F7DC6"/>
    <w:rsid w:val="00202886"/>
    <w:rsid w:val="00207FAD"/>
    <w:rsid w:val="00215CEF"/>
    <w:rsid w:val="00217A08"/>
    <w:rsid w:val="00220B77"/>
    <w:rsid w:val="00221D27"/>
    <w:rsid w:val="00237233"/>
    <w:rsid w:val="002421BB"/>
    <w:rsid w:val="00242EEA"/>
    <w:rsid w:val="002467FC"/>
    <w:rsid w:val="00246A81"/>
    <w:rsid w:val="00251A5F"/>
    <w:rsid w:val="002521F5"/>
    <w:rsid w:val="0025796E"/>
    <w:rsid w:val="002603E5"/>
    <w:rsid w:val="002638B2"/>
    <w:rsid w:val="002660F2"/>
    <w:rsid w:val="002664BB"/>
    <w:rsid w:val="002707A2"/>
    <w:rsid w:val="002715B9"/>
    <w:rsid w:val="0027455C"/>
    <w:rsid w:val="002835A6"/>
    <w:rsid w:val="002844ED"/>
    <w:rsid w:val="002951A0"/>
    <w:rsid w:val="002962BC"/>
    <w:rsid w:val="002A093D"/>
    <w:rsid w:val="002A0DD0"/>
    <w:rsid w:val="002A0FFE"/>
    <w:rsid w:val="002A49AC"/>
    <w:rsid w:val="002A64FD"/>
    <w:rsid w:val="002A6BBF"/>
    <w:rsid w:val="002B0867"/>
    <w:rsid w:val="002B1E57"/>
    <w:rsid w:val="002B1F7F"/>
    <w:rsid w:val="002B290B"/>
    <w:rsid w:val="002C110E"/>
    <w:rsid w:val="002C379A"/>
    <w:rsid w:val="002C765E"/>
    <w:rsid w:val="002C7A84"/>
    <w:rsid w:val="002D13A1"/>
    <w:rsid w:val="002D3F0D"/>
    <w:rsid w:val="002D7ED6"/>
    <w:rsid w:val="002E1D98"/>
    <w:rsid w:val="002E2C3F"/>
    <w:rsid w:val="002E4FD9"/>
    <w:rsid w:val="002E6F15"/>
    <w:rsid w:val="002F13FD"/>
    <w:rsid w:val="002F6876"/>
    <w:rsid w:val="002F722F"/>
    <w:rsid w:val="00303544"/>
    <w:rsid w:val="003039C1"/>
    <w:rsid w:val="00310DBE"/>
    <w:rsid w:val="0031430F"/>
    <w:rsid w:val="00320BBD"/>
    <w:rsid w:val="00322A85"/>
    <w:rsid w:val="00324168"/>
    <w:rsid w:val="0033032A"/>
    <w:rsid w:val="00334C6A"/>
    <w:rsid w:val="00336C05"/>
    <w:rsid w:val="00342675"/>
    <w:rsid w:val="00343512"/>
    <w:rsid w:val="003448F4"/>
    <w:rsid w:val="00345330"/>
    <w:rsid w:val="00350BE1"/>
    <w:rsid w:val="003528DF"/>
    <w:rsid w:val="00352C12"/>
    <w:rsid w:val="00354BCA"/>
    <w:rsid w:val="00356E47"/>
    <w:rsid w:val="003636FA"/>
    <w:rsid w:val="0036594E"/>
    <w:rsid w:val="003665EE"/>
    <w:rsid w:val="0037010E"/>
    <w:rsid w:val="003734F4"/>
    <w:rsid w:val="00374F5E"/>
    <w:rsid w:val="00377357"/>
    <w:rsid w:val="00377E3E"/>
    <w:rsid w:val="00380552"/>
    <w:rsid w:val="003815E8"/>
    <w:rsid w:val="00392A49"/>
    <w:rsid w:val="003A26D1"/>
    <w:rsid w:val="003A3B30"/>
    <w:rsid w:val="003A6DA4"/>
    <w:rsid w:val="003A779E"/>
    <w:rsid w:val="003B005A"/>
    <w:rsid w:val="003C0AC4"/>
    <w:rsid w:val="003C1BFE"/>
    <w:rsid w:val="003C3FA5"/>
    <w:rsid w:val="003D0F4D"/>
    <w:rsid w:val="003D5B0D"/>
    <w:rsid w:val="003E0499"/>
    <w:rsid w:val="003E0677"/>
    <w:rsid w:val="003E31C9"/>
    <w:rsid w:val="003E40F2"/>
    <w:rsid w:val="003E41BE"/>
    <w:rsid w:val="003F3941"/>
    <w:rsid w:val="00400676"/>
    <w:rsid w:val="004008A9"/>
    <w:rsid w:val="00406575"/>
    <w:rsid w:val="00406F3F"/>
    <w:rsid w:val="00407C75"/>
    <w:rsid w:val="00410906"/>
    <w:rsid w:val="004154CC"/>
    <w:rsid w:val="0041655A"/>
    <w:rsid w:val="00424FD2"/>
    <w:rsid w:val="00426FD7"/>
    <w:rsid w:val="0042722E"/>
    <w:rsid w:val="00427DA0"/>
    <w:rsid w:val="00440391"/>
    <w:rsid w:val="004428CD"/>
    <w:rsid w:val="00442C7F"/>
    <w:rsid w:val="0044528D"/>
    <w:rsid w:val="00450920"/>
    <w:rsid w:val="00454D48"/>
    <w:rsid w:val="004554F9"/>
    <w:rsid w:val="0046004D"/>
    <w:rsid w:val="004633DE"/>
    <w:rsid w:val="00465E71"/>
    <w:rsid w:val="00467DFC"/>
    <w:rsid w:val="004734BD"/>
    <w:rsid w:val="00481707"/>
    <w:rsid w:val="00482608"/>
    <w:rsid w:val="00483749"/>
    <w:rsid w:val="00484809"/>
    <w:rsid w:val="00484BB1"/>
    <w:rsid w:val="004A0980"/>
    <w:rsid w:val="004A0B8B"/>
    <w:rsid w:val="004A1847"/>
    <w:rsid w:val="004A305D"/>
    <w:rsid w:val="004A30F4"/>
    <w:rsid w:val="004A3312"/>
    <w:rsid w:val="004A6135"/>
    <w:rsid w:val="004B740F"/>
    <w:rsid w:val="004C4B37"/>
    <w:rsid w:val="004D026D"/>
    <w:rsid w:val="004D3A9E"/>
    <w:rsid w:val="004E0477"/>
    <w:rsid w:val="004E221E"/>
    <w:rsid w:val="004E2892"/>
    <w:rsid w:val="004E4C0B"/>
    <w:rsid w:val="004E505B"/>
    <w:rsid w:val="004F21C4"/>
    <w:rsid w:val="004F3012"/>
    <w:rsid w:val="004F5559"/>
    <w:rsid w:val="004F613D"/>
    <w:rsid w:val="004F685F"/>
    <w:rsid w:val="004F7EC9"/>
    <w:rsid w:val="0050075F"/>
    <w:rsid w:val="005031CB"/>
    <w:rsid w:val="00504CBE"/>
    <w:rsid w:val="005062F6"/>
    <w:rsid w:val="00514598"/>
    <w:rsid w:val="005163B5"/>
    <w:rsid w:val="0051745C"/>
    <w:rsid w:val="0052543A"/>
    <w:rsid w:val="0052785C"/>
    <w:rsid w:val="00533E1B"/>
    <w:rsid w:val="005372B2"/>
    <w:rsid w:val="00540C2D"/>
    <w:rsid w:val="00541793"/>
    <w:rsid w:val="00552502"/>
    <w:rsid w:val="005566E8"/>
    <w:rsid w:val="005567AB"/>
    <w:rsid w:val="00560CB5"/>
    <w:rsid w:val="00564F8B"/>
    <w:rsid w:val="00574122"/>
    <w:rsid w:val="00574867"/>
    <w:rsid w:val="00577D09"/>
    <w:rsid w:val="0058087F"/>
    <w:rsid w:val="00591460"/>
    <w:rsid w:val="00592628"/>
    <w:rsid w:val="00595D70"/>
    <w:rsid w:val="00597C75"/>
    <w:rsid w:val="005A0868"/>
    <w:rsid w:val="005A0CFB"/>
    <w:rsid w:val="005A282F"/>
    <w:rsid w:val="005A2AC9"/>
    <w:rsid w:val="005A2F9B"/>
    <w:rsid w:val="005A3BB2"/>
    <w:rsid w:val="005B1187"/>
    <w:rsid w:val="005B2C3C"/>
    <w:rsid w:val="005B2CCE"/>
    <w:rsid w:val="005B496D"/>
    <w:rsid w:val="005B58C1"/>
    <w:rsid w:val="005B6033"/>
    <w:rsid w:val="005C3777"/>
    <w:rsid w:val="005C5CDC"/>
    <w:rsid w:val="005C6832"/>
    <w:rsid w:val="005C7629"/>
    <w:rsid w:val="005D17C8"/>
    <w:rsid w:val="005D2649"/>
    <w:rsid w:val="005D2B2B"/>
    <w:rsid w:val="005D476C"/>
    <w:rsid w:val="005D5F91"/>
    <w:rsid w:val="005D7B25"/>
    <w:rsid w:val="005E42A9"/>
    <w:rsid w:val="005E666F"/>
    <w:rsid w:val="005E67A9"/>
    <w:rsid w:val="005F1F84"/>
    <w:rsid w:val="005F7C43"/>
    <w:rsid w:val="0060163E"/>
    <w:rsid w:val="00605A00"/>
    <w:rsid w:val="00610812"/>
    <w:rsid w:val="00612CE7"/>
    <w:rsid w:val="006219F8"/>
    <w:rsid w:val="0062426D"/>
    <w:rsid w:val="006244CF"/>
    <w:rsid w:val="0063165E"/>
    <w:rsid w:val="0063166A"/>
    <w:rsid w:val="00632C08"/>
    <w:rsid w:val="00637381"/>
    <w:rsid w:val="00650FF7"/>
    <w:rsid w:val="00665D70"/>
    <w:rsid w:val="00667199"/>
    <w:rsid w:val="00671DAC"/>
    <w:rsid w:val="006747C7"/>
    <w:rsid w:val="006752CF"/>
    <w:rsid w:val="006827AC"/>
    <w:rsid w:val="006859A3"/>
    <w:rsid w:val="006865EC"/>
    <w:rsid w:val="006900D9"/>
    <w:rsid w:val="00697AAA"/>
    <w:rsid w:val="006A0008"/>
    <w:rsid w:val="006A10DF"/>
    <w:rsid w:val="006A3147"/>
    <w:rsid w:val="006C0240"/>
    <w:rsid w:val="006C1E81"/>
    <w:rsid w:val="006C5595"/>
    <w:rsid w:val="006D12F8"/>
    <w:rsid w:val="006D59A1"/>
    <w:rsid w:val="006D69F7"/>
    <w:rsid w:val="006D7281"/>
    <w:rsid w:val="006F0D40"/>
    <w:rsid w:val="006F2501"/>
    <w:rsid w:val="0070266A"/>
    <w:rsid w:val="00704D9B"/>
    <w:rsid w:val="00705E5F"/>
    <w:rsid w:val="00706C16"/>
    <w:rsid w:val="00711C85"/>
    <w:rsid w:val="0071458F"/>
    <w:rsid w:val="0071627C"/>
    <w:rsid w:val="00723A7F"/>
    <w:rsid w:val="00725B23"/>
    <w:rsid w:val="007312C3"/>
    <w:rsid w:val="00737C53"/>
    <w:rsid w:val="00737DFA"/>
    <w:rsid w:val="00756841"/>
    <w:rsid w:val="00762AA9"/>
    <w:rsid w:val="007649AB"/>
    <w:rsid w:val="00771D0C"/>
    <w:rsid w:val="007833AC"/>
    <w:rsid w:val="0078358E"/>
    <w:rsid w:val="00784D58"/>
    <w:rsid w:val="00786FBF"/>
    <w:rsid w:val="00790AB7"/>
    <w:rsid w:val="00791769"/>
    <w:rsid w:val="00796340"/>
    <w:rsid w:val="007A23EA"/>
    <w:rsid w:val="007A5189"/>
    <w:rsid w:val="007B0D88"/>
    <w:rsid w:val="007B268C"/>
    <w:rsid w:val="007B4067"/>
    <w:rsid w:val="007B7171"/>
    <w:rsid w:val="007B7D02"/>
    <w:rsid w:val="007C0C0F"/>
    <w:rsid w:val="007C3DC2"/>
    <w:rsid w:val="007D0457"/>
    <w:rsid w:val="007D43C9"/>
    <w:rsid w:val="007E5497"/>
    <w:rsid w:val="007F28CA"/>
    <w:rsid w:val="007F52A4"/>
    <w:rsid w:val="007F60FB"/>
    <w:rsid w:val="007F7B94"/>
    <w:rsid w:val="00804981"/>
    <w:rsid w:val="00806F5F"/>
    <w:rsid w:val="008163D7"/>
    <w:rsid w:val="00820278"/>
    <w:rsid w:val="00834554"/>
    <w:rsid w:val="00834B31"/>
    <w:rsid w:val="00840ADC"/>
    <w:rsid w:val="0084194D"/>
    <w:rsid w:val="00841BAD"/>
    <w:rsid w:val="00843BF7"/>
    <w:rsid w:val="00844950"/>
    <w:rsid w:val="008449B3"/>
    <w:rsid w:val="008453A4"/>
    <w:rsid w:val="00846276"/>
    <w:rsid w:val="00850E23"/>
    <w:rsid w:val="00851137"/>
    <w:rsid w:val="00853978"/>
    <w:rsid w:val="0085432F"/>
    <w:rsid w:val="00862DCC"/>
    <w:rsid w:val="008641C4"/>
    <w:rsid w:val="00864209"/>
    <w:rsid w:val="0087325B"/>
    <w:rsid w:val="008777D3"/>
    <w:rsid w:val="00881ABA"/>
    <w:rsid w:val="008843B6"/>
    <w:rsid w:val="00886C89"/>
    <w:rsid w:val="00891928"/>
    <w:rsid w:val="00894B8B"/>
    <w:rsid w:val="0089556C"/>
    <w:rsid w:val="008A00A4"/>
    <w:rsid w:val="008A446D"/>
    <w:rsid w:val="008A7A64"/>
    <w:rsid w:val="008A7F08"/>
    <w:rsid w:val="008B0AE4"/>
    <w:rsid w:val="008B2F0E"/>
    <w:rsid w:val="008B30C2"/>
    <w:rsid w:val="008B5A2E"/>
    <w:rsid w:val="008D180B"/>
    <w:rsid w:val="008D7227"/>
    <w:rsid w:val="008D7786"/>
    <w:rsid w:val="008E1F92"/>
    <w:rsid w:val="008E7333"/>
    <w:rsid w:val="008E7B09"/>
    <w:rsid w:val="008F0EA7"/>
    <w:rsid w:val="008F7BB9"/>
    <w:rsid w:val="009029F9"/>
    <w:rsid w:val="00904692"/>
    <w:rsid w:val="00910097"/>
    <w:rsid w:val="00911C7C"/>
    <w:rsid w:val="00913DBA"/>
    <w:rsid w:val="0091561E"/>
    <w:rsid w:val="00923EEF"/>
    <w:rsid w:val="009411F5"/>
    <w:rsid w:val="009419F9"/>
    <w:rsid w:val="00950618"/>
    <w:rsid w:val="0095118C"/>
    <w:rsid w:val="00953AA4"/>
    <w:rsid w:val="00955305"/>
    <w:rsid w:val="0095685E"/>
    <w:rsid w:val="009572D9"/>
    <w:rsid w:val="009600D2"/>
    <w:rsid w:val="00961409"/>
    <w:rsid w:val="00961B09"/>
    <w:rsid w:val="00962300"/>
    <w:rsid w:val="00965334"/>
    <w:rsid w:val="00966254"/>
    <w:rsid w:val="0097093E"/>
    <w:rsid w:val="00976025"/>
    <w:rsid w:val="00976D9A"/>
    <w:rsid w:val="009800BE"/>
    <w:rsid w:val="00982E41"/>
    <w:rsid w:val="00984649"/>
    <w:rsid w:val="009858BE"/>
    <w:rsid w:val="009A0DFA"/>
    <w:rsid w:val="009A3C2C"/>
    <w:rsid w:val="009A4A40"/>
    <w:rsid w:val="009A5F11"/>
    <w:rsid w:val="009B2D26"/>
    <w:rsid w:val="009B76B2"/>
    <w:rsid w:val="009B780F"/>
    <w:rsid w:val="009C00CC"/>
    <w:rsid w:val="009C2DD0"/>
    <w:rsid w:val="009C3AC7"/>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0610"/>
    <w:rsid w:val="00A02465"/>
    <w:rsid w:val="00A03415"/>
    <w:rsid w:val="00A04A81"/>
    <w:rsid w:val="00A122D3"/>
    <w:rsid w:val="00A14D3D"/>
    <w:rsid w:val="00A17F13"/>
    <w:rsid w:val="00A20739"/>
    <w:rsid w:val="00A211D0"/>
    <w:rsid w:val="00A23361"/>
    <w:rsid w:val="00A24433"/>
    <w:rsid w:val="00A2443A"/>
    <w:rsid w:val="00A332DD"/>
    <w:rsid w:val="00A339A9"/>
    <w:rsid w:val="00A33C78"/>
    <w:rsid w:val="00A34B38"/>
    <w:rsid w:val="00A34D87"/>
    <w:rsid w:val="00A35538"/>
    <w:rsid w:val="00A37BC4"/>
    <w:rsid w:val="00A40843"/>
    <w:rsid w:val="00A42050"/>
    <w:rsid w:val="00A43292"/>
    <w:rsid w:val="00A445C0"/>
    <w:rsid w:val="00A56FCA"/>
    <w:rsid w:val="00A6004A"/>
    <w:rsid w:val="00A613C2"/>
    <w:rsid w:val="00A74DE6"/>
    <w:rsid w:val="00A8086A"/>
    <w:rsid w:val="00A80F32"/>
    <w:rsid w:val="00A87F7D"/>
    <w:rsid w:val="00A9244C"/>
    <w:rsid w:val="00A94D14"/>
    <w:rsid w:val="00AB0ADB"/>
    <w:rsid w:val="00AB3FD1"/>
    <w:rsid w:val="00AB7439"/>
    <w:rsid w:val="00AC0EAB"/>
    <w:rsid w:val="00AC4701"/>
    <w:rsid w:val="00AC49A2"/>
    <w:rsid w:val="00AC6FA5"/>
    <w:rsid w:val="00AD09C7"/>
    <w:rsid w:val="00AD26A6"/>
    <w:rsid w:val="00AD73E2"/>
    <w:rsid w:val="00AE2631"/>
    <w:rsid w:val="00AF1854"/>
    <w:rsid w:val="00AF1BEC"/>
    <w:rsid w:val="00B009B8"/>
    <w:rsid w:val="00B01B1A"/>
    <w:rsid w:val="00B07FA5"/>
    <w:rsid w:val="00B14E03"/>
    <w:rsid w:val="00B26B98"/>
    <w:rsid w:val="00B35ADC"/>
    <w:rsid w:val="00B37C24"/>
    <w:rsid w:val="00B40FBC"/>
    <w:rsid w:val="00B46F27"/>
    <w:rsid w:val="00B47FD7"/>
    <w:rsid w:val="00B51F75"/>
    <w:rsid w:val="00B52674"/>
    <w:rsid w:val="00B53E27"/>
    <w:rsid w:val="00B558AF"/>
    <w:rsid w:val="00B615BA"/>
    <w:rsid w:val="00B62D8B"/>
    <w:rsid w:val="00B64162"/>
    <w:rsid w:val="00B661EE"/>
    <w:rsid w:val="00B72CD3"/>
    <w:rsid w:val="00B72FFF"/>
    <w:rsid w:val="00B73993"/>
    <w:rsid w:val="00B75F3C"/>
    <w:rsid w:val="00B76CEB"/>
    <w:rsid w:val="00B8257D"/>
    <w:rsid w:val="00B82B8B"/>
    <w:rsid w:val="00B86FE2"/>
    <w:rsid w:val="00B87F69"/>
    <w:rsid w:val="00B91186"/>
    <w:rsid w:val="00B93423"/>
    <w:rsid w:val="00B97D74"/>
    <w:rsid w:val="00BA2EF4"/>
    <w:rsid w:val="00BB09B8"/>
    <w:rsid w:val="00BC0036"/>
    <w:rsid w:val="00BC05A6"/>
    <w:rsid w:val="00BC3D36"/>
    <w:rsid w:val="00BC4B34"/>
    <w:rsid w:val="00BD13D2"/>
    <w:rsid w:val="00BD7F72"/>
    <w:rsid w:val="00BE03BC"/>
    <w:rsid w:val="00BE0A18"/>
    <w:rsid w:val="00BE12F9"/>
    <w:rsid w:val="00BE6779"/>
    <w:rsid w:val="00BE6F43"/>
    <w:rsid w:val="00BF1201"/>
    <w:rsid w:val="00BF1D4A"/>
    <w:rsid w:val="00BF230F"/>
    <w:rsid w:val="00C002E3"/>
    <w:rsid w:val="00C012CC"/>
    <w:rsid w:val="00C015B1"/>
    <w:rsid w:val="00C03510"/>
    <w:rsid w:val="00C04FB3"/>
    <w:rsid w:val="00C10179"/>
    <w:rsid w:val="00C147D0"/>
    <w:rsid w:val="00C159C1"/>
    <w:rsid w:val="00C16346"/>
    <w:rsid w:val="00C20C65"/>
    <w:rsid w:val="00C21B15"/>
    <w:rsid w:val="00C32523"/>
    <w:rsid w:val="00C330EB"/>
    <w:rsid w:val="00C371C9"/>
    <w:rsid w:val="00C40E9F"/>
    <w:rsid w:val="00C41481"/>
    <w:rsid w:val="00C42469"/>
    <w:rsid w:val="00C46D91"/>
    <w:rsid w:val="00C47A07"/>
    <w:rsid w:val="00C57281"/>
    <w:rsid w:val="00C65D65"/>
    <w:rsid w:val="00C67703"/>
    <w:rsid w:val="00C7173F"/>
    <w:rsid w:val="00C730B6"/>
    <w:rsid w:val="00C74E08"/>
    <w:rsid w:val="00C754BE"/>
    <w:rsid w:val="00C76466"/>
    <w:rsid w:val="00C76B1C"/>
    <w:rsid w:val="00C870AD"/>
    <w:rsid w:val="00C878D1"/>
    <w:rsid w:val="00C915DD"/>
    <w:rsid w:val="00C91B94"/>
    <w:rsid w:val="00CA6A9D"/>
    <w:rsid w:val="00CA7F6B"/>
    <w:rsid w:val="00CA7FB6"/>
    <w:rsid w:val="00CB6357"/>
    <w:rsid w:val="00CC0FA3"/>
    <w:rsid w:val="00CC1B26"/>
    <w:rsid w:val="00CC49F7"/>
    <w:rsid w:val="00CC54DB"/>
    <w:rsid w:val="00CD087D"/>
    <w:rsid w:val="00CD41CB"/>
    <w:rsid w:val="00CD5EE0"/>
    <w:rsid w:val="00CE4397"/>
    <w:rsid w:val="00CE509A"/>
    <w:rsid w:val="00CE5414"/>
    <w:rsid w:val="00CF7826"/>
    <w:rsid w:val="00D0157A"/>
    <w:rsid w:val="00D036D8"/>
    <w:rsid w:val="00D038ED"/>
    <w:rsid w:val="00D06D26"/>
    <w:rsid w:val="00D10B75"/>
    <w:rsid w:val="00D11906"/>
    <w:rsid w:val="00D13351"/>
    <w:rsid w:val="00D13D25"/>
    <w:rsid w:val="00D15E25"/>
    <w:rsid w:val="00D20368"/>
    <w:rsid w:val="00D22361"/>
    <w:rsid w:val="00D22598"/>
    <w:rsid w:val="00D26924"/>
    <w:rsid w:val="00D413F6"/>
    <w:rsid w:val="00D4231B"/>
    <w:rsid w:val="00D423A2"/>
    <w:rsid w:val="00D520D8"/>
    <w:rsid w:val="00D52844"/>
    <w:rsid w:val="00D52961"/>
    <w:rsid w:val="00D55048"/>
    <w:rsid w:val="00D55978"/>
    <w:rsid w:val="00D57FA4"/>
    <w:rsid w:val="00D62DE7"/>
    <w:rsid w:val="00D63AC2"/>
    <w:rsid w:val="00D665B4"/>
    <w:rsid w:val="00D70578"/>
    <w:rsid w:val="00D7383B"/>
    <w:rsid w:val="00D7609E"/>
    <w:rsid w:val="00D81A63"/>
    <w:rsid w:val="00D81D25"/>
    <w:rsid w:val="00D81E8E"/>
    <w:rsid w:val="00D85C60"/>
    <w:rsid w:val="00D94C40"/>
    <w:rsid w:val="00D95416"/>
    <w:rsid w:val="00DA231B"/>
    <w:rsid w:val="00DA23A0"/>
    <w:rsid w:val="00DA71C9"/>
    <w:rsid w:val="00DA7F66"/>
    <w:rsid w:val="00DB0922"/>
    <w:rsid w:val="00DB186F"/>
    <w:rsid w:val="00DC39FC"/>
    <w:rsid w:val="00DC4385"/>
    <w:rsid w:val="00DC484F"/>
    <w:rsid w:val="00DC4C27"/>
    <w:rsid w:val="00DC51BC"/>
    <w:rsid w:val="00DC793F"/>
    <w:rsid w:val="00DE4629"/>
    <w:rsid w:val="00DF0502"/>
    <w:rsid w:val="00DF11FD"/>
    <w:rsid w:val="00DF5254"/>
    <w:rsid w:val="00E12426"/>
    <w:rsid w:val="00E16408"/>
    <w:rsid w:val="00E20894"/>
    <w:rsid w:val="00E245AB"/>
    <w:rsid w:val="00E24E36"/>
    <w:rsid w:val="00E26239"/>
    <w:rsid w:val="00E2764C"/>
    <w:rsid w:val="00E27F2E"/>
    <w:rsid w:val="00E413EA"/>
    <w:rsid w:val="00E4419D"/>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CD8"/>
    <w:rsid w:val="00EA1D7B"/>
    <w:rsid w:val="00EA393B"/>
    <w:rsid w:val="00EA39A5"/>
    <w:rsid w:val="00EA7CFB"/>
    <w:rsid w:val="00EB2C4B"/>
    <w:rsid w:val="00EB7E00"/>
    <w:rsid w:val="00EC1A2C"/>
    <w:rsid w:val="00EC1FE1"/>
    <w:rsid w:val="00EC38A7"/>
    <w:rsid w:val="00ED042A"/>
    <w:rsid w:val="00ED0D4A"/>
    <w:rsid w:val="00EE1AA8"/>
    <w:rsid w:val="00EF26C3"/>
    <w:rsid w:val="00EF419E"/>
    <w:rsid w:val="00EF489F"/>
    <w:rsid w:val="00F11213"/>
    <w:rsid w:val="00F11BAA"/>
    <w:rsid w:val="00F1445A"/>
    <w:rsid w:val="00F177C1"/>
    <w:rsid w:val="00F238F2"/>
    <w:rsid w:val="00F260AA"/>
    <w:rsid w:val="00F27B26"/>
    <w:rsid w:val="00F30327"/>
    <w:rsid w:val="00F31EDC"/>
    <w:rsid w:val="00F34D02"/>
    <w:rsid w:val="00F34E84"/>
    <w:rsid w:val="00F36447"/>
    <w:rsid w:val="00F4036E"/>
    <w:rsid w:val="00F40BAD"/>
    <w:rsid w:val="00F43C1A"/>
    <w:rsid w:val="00F462B3"/>
    <w:rsid w:val="00F46F38"/>
    <w:rsid w:val="00F51119"/>
    <w:rsid w:val="00F5184B"/>
    <w:rsid w:val="00F51862"/>
    <w:rsid w:val="00F5258B"/>
    <w:rsid w:val="00F55081"/>
    <w:rsid w:val="00F55168"/>
    <w:rsid w:val="00F5664F"/>
    <w:rsid w:val="00F626C4"/>
    <w:rsid w:val="00F64D9E"/>
    <w:rsid w:val="00F65C51"/>
    <w:rsid w:val="00F665D0"/>
    <w:rsid w:val="00F666C4"/>
    <w:rsid w:val="00F72B23"/>
    <w:rsid w:val="00F7684C"/>
    <w:rsid w:val="00F76AFC"/>
    <w:rsid w:val="00F80CBE"/>
    <w:rsid w:val="00F85198"/>
    <w:rsid w:val="00F85A91"/>
    <w:rsid w:val="00F939CB"/>
    <w:rsid w:val="00F9479C"/>
    <w:rsid w:val="00F965EE"/>
    <w:rsid w:val="00F97949"/>
    <w:rsid w:val="00FA1110"/>
    <w:rsid w:val="00FA358D"/>
    <w:rsid w:val="00FA47C0"/>
    <w:rsid w:val="00FA4EC2"/>
    <w:rsid w:val="00FB4425"/>
    <w:rsid w:val="00FB5615"/>
    <w:rsid w:val="00FB5DD1"/>
    <w:rsid w:val="00FB5F87"/>
    <w:rsid w:val="00FC07B5"/>
    <w:rsid w:val="00FC2B5D"/>
    <w:rsid w:val="00FD00E9"/>
    <w:rsid w:val="00FD03E3"/>
    <w:rsid w:val="00FE122A"/>
    <w:rsid w:val="00FE20E6"/>
    <w:rsid w:val="00FE429F"/>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30E684-DB60-426D-84E6-93EBF4523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60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EA7CFB"/>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table" w:customStyle="1" w:styleId="Tablaconcuadrcula11">
    <w:name w:val="Tabla con cuadrícula11"/>
    <w:basedOn w:val="Tablanormal"/>
    <w:next w:val="Tablaconcuadrcula"/>
    <w:uiPriority w:val="39"/>
    <w:qFormat/>
    <w:rsid w:val="006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60163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39"/>
    <w:qFormat/>
    <w:rsid w:val="007B40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
    <w:name w:val="Tabla con cuadrícula1111"/>
    <w:basedOn w:val="Tablanormal"/>
    <w:next w:val="Tablaconcuadrcula"/>
    <w:uiPriority w:val="39"/>
    <w:qFormat/>
    <w:rsid w:val="007B406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next w:val="Tablaconcuadrcula"/>
    <w:uiPriority w:val="39"/>
    <w:qFormat/>
    <w:rsid w:val="00D81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
    <w:name w:val="Tabla con cuadrícula11111"/>
    <w:basedOn w:val="Tablanormal"/>
    <w:next w:val="Tablaconcuadrcula"/>
    <w:uiPriority w:val="39"/>
    <w:qFormat/>
    <w:rsid w:val="00D81E8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22073">
      <w:bodyDiv w:val="1"/>
      <w:marLeft w:val="0"/>
      <w:marRight w:val="0"/>
      <w:marTop w:val="0"/>
      <w:marBottom w:val="0"/>
      <w:divBdr>
        <w:top w:val="none" w:sz="0" w:space="0" w:color="auto"/>
        <w:left w:val="none" w:sz="0" w:space="0" w:color="auto"/>
        <w:bottom w:val="none" w:sz="0" w:space="0" w:color="auto"/>
        <w:right w:val="none" w:sz="0" w:space="0" w:color="auto"/>
      </w:divBdr>
      <w:divsChild>
        <w:div w:id="1639719766">
          <w:marLeft w:val="0"/>
          <w:marRight w:val="0"/>
          <w:marTop w:val="0"/>
          <w:marBottom w:val="0"/>
          <w:divBdr>
            <w:top w:val="none" w:sz="0" w:space="0" w:color="auto"/>
            <w:left w:val="none" w:sz="0" w:space="0" w:color="auto"/>
            <w:bottom w:val="none" w:sz="0" w:space="0" w:color="auto"/>
            <w:right w:val="none" w:sz="0" w:space="0" w:color="auto"/>
          </w:divBdr>
          <w:divsChild>
            <w:div w:id="58484095">
              <w:marLeft w:val="0"/>
              <w:marRight w:val="0"/>
              <w:marTop w:val="0"/>
              <w:marBottom w:val="0"/>
              <w:divBdr>
                <w:top w:val="none" w:sz="0" w:space="0" w:color="auto"/>
                <w:left w:val="none" w:sz="0" w:space="0" w:color="auto"/>
                <w:bottom w:val="none" w:sz="0" w:space="0" w:color="auto"/>
                <w:right w:val="none" w:sz="0" w:space="0" w:color="auto"/>
              </w:divBdr>
              <w:divsChild>
                <w:div w:id="1244685309">
                  <w:marLeft w:val="0"/>
                  <w:marRight w:val="0"/>
                  <w:marTop w:val="0"/>
                  <w:marBottom w:val="0"/>
                  <w:divBdr>
                    <w:top w:val="none" w:sz="0" w:space="0" w:color="auto"/>
                    <w:left w:val="none" w:sz="0" w:space="0" w:color="auto"/>
                    <w:bottom w:val="none" w:sz="0" w:space="0" w:color="auto"/>
                    <w:right w:val="none" w:sz="0" w:space="0" w:color="auto"/>
                  </w:divBdr>
                  <w:divsChild>
                    <w:div w:id="57022721">
                      <w:marLeft w:val="0"/>
                      <w:marRight w:val="0"/>
                      <w:marTop w:val="0"/>
                      <w:marBottom w:val="0"/>
                      <w:divBdr>
                        <w:top w:val="none" w:sz="0" w:space="0" w:color="auto"/>
                        <w:left w:val="none" w:sz="0" w:space="0" w:color="auto"/>
                        <w:bottom w:val="none" w:sz="0" w:space="0" w:color="auto"/>
                        <w:right w:val="none" w:sz="0" w:space="0" w:color="auto"/>
                      </w:divBdr>
                      <w:divsChild>
                        <w:div w:id="1234119897">
                          <w:marLeft w:val="0"/>
                          <w:marRight w:val="0"/>
                          <w:marTop w:val="0"/>
                          <w:marBottom w:val="0"/>
                          <w:divBdr>
                            <w:top w:val="none" w:sz="0" w:space="0" w:color="auto"/>
                            <w:left w:val="none" w:sz="0" w:space="0" w:color="auto"/>
                            <w:bottom w:val="none" w:sz="0" w:space="0" w:color="auto"/>
                            <w:right w:val="none" w:sz="0" w:space="0" w:color="auto"/>
                          </w:divBdr>
                          <w:divsChild>
                            <w:div w:id="136610446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579024888">
                      <w:marLeft w:val="0"/>
                      <w:marRight w:val="0"/>
                      <w:marTop w:val="0"/>
                      <w:marBottom w:val="0"/>
                      <w:divBdr>
                        <w:top w:val="none" w:sz="0" w:space="0" w:color="auto"/>
                        <w:left w:val="none" w:sz="0" w:space="0" w:color="auto"/>
                        <w:bottom w:val="none" w:sz="0" w:space="0" w:color="auto"/>
                        <w:right w:val="none" w:sz="0" w:space="0" w:color="auto"/>
                      </w:divBdr>
                      <w:divsChild>
                        <w:div w:id="267547290">
                          <w:marLeft w:val="0"/>
                          <w:marRight w:val="0"/>
                          <w:marTop w:val="0"/>
                          <w:marBottom w:val="0"/>
                          <w:divBdr>
                            <w:top w:val="none" w:sz="0" w:space="0" w:color="auto"/>
                            <w:left w:val="none" w:sz="0" w:space="0" w:color="auto"/>
                            <w:bottom w:val="none" w:sz="0" w:space="0" w:color="auto"/>
                            <w:right w:val="none" w:sz="0" w:space="0" w:color="auto"/>
                          </w:divBdr>
                          <w:divsChild>
                            <w:div w:id="538325032">
                              <w:marLeft w:val="-420"/>
                              <w:marRight w:val="0"/>
                              <w:marTop w:val="0"/>
                              <w:marBottom w:val="0"/>
                              <w:divBdr>
                                <w:top w:val="none" w:sz="0" w:space="0" w:color="auto"/>
                                <w:left w:val="none" w:sz="0" w:space="0" w:color="auto"/>
                                <w:bottom w:val="none" w:sz="0" w:space="0" w:color="auto"/>
                                <w:right w:val="none" w:sz="0" w:space="0" w:color="auto"/>
                              </w:divBdr>
                              <w:divsChild>
                                <w:div w:id="486167876">
                                  <w:marLeft w:val="0"/>
                                  <w:marRight w:val="0"/>
                                  <w:marTop w:val="0"/>
                                  <w:marBottom w:val="0"/>
                                  <w:divBdr>
                                    <w:top w:val="none" w:sz="0" w:space="0" w:color="auto"/>
                                    <w:left w:val="none" w:sz="0" w:space="0" w:color="auto"/>
                                    <w:bottom w:val="none" w:sz="0" w:space="0" w:color="auto"/>
                                    <w:right w:val="none" w:sz="0" w:space="0" w:color="auto"/>
                                  </w:divBdr>
                                  <w:divsChild>
                                    <w:div w:id="51581977">
                                      <w:marLeft w:val="0"/>
                                      <w:marRight w:val="0"/>
                                      <w:marTop w:val="0"/>
                                      <w:marBottom w:val="0"/>
                                      <w:divBdr>
                                        <w:top w:val="none" w:sz="0" w:space="0" w:color="auto"/>
                                        <w:left w:val="none" w:sz="0" w:space="0" w:color="auto"/>
                                        <w:bottom w:val="none" w:sz="0" w:space="0" w:color="auto"/>
                                        <w:right w:val="none" w:sz="0" w:space="0" w:color="auto"/>
                                      </w:divBdr>
                                      <w:divsChild>
                                        <w:div w:id="1295060565">
                                          <w:marLeft w:val="0"/>
                                          <w:marRight w:val="0"/>
                                          <w:marTop w:val="0"/>
                                          <w:marBottom w:val="0"/>
                                          <w:divBdr>
                                            <w:top w:val="none" w:sz="0" w:space="0" w:color="auto"/>
                                            <w:left w:val="none" w:sz="0" w:space="0" w:color="auto"/>
                                            <w:bottom w:val="none" w:sz="0" w:space="0" w:color="auto"/>
                                            <w:right w:val="none" w:sz="0" w:space="0" w:color="auto"/>
                                          </w:divBdr>
                                        </w:div>
                                        <w:div w:id="131671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357406">
                              <w:marLeft w:val="-420"/>
                              <w:marRight w:val="0"/>
                              <w:marTop w:val="0"/>
                              <w:marBottom w:val="0"/>
                              <w:divBdr>
                                <w:top w:val="none" w:sz="0" w:space="0" w:color="auto"/>
                                <w:left w:val="none" w:sz="0" w:space="0" w:color="auto"/>
                                <w:bottom w:val="none" w:sz="0" w:space="0" w:color="auto"/>
                                <w:right w:val="none" w:sz="0" w:space="0" w:color="auto"/>
                              </w:divBdr>
                              <w:divsChild>
                                <w:div w:id="1116869027">
                                  <w:marLeft w:val="0"/>
                                  <w:marRight w:val="0"/>
                                  <w:marTop w:val="0"/>
                                  <w:marBottom w:val="0"/>
                                  <w:divBdr>
                                    <w:top w:val="none" w:sz="0" w:space="0" w:color="auto"/>
                                    <w:left w:val="none" w:sz="0" w:space="0" w:color="auto"/>
                                    <w:bottom w:val="none" w:sz="0" w:space="0" w:color="auto"/>
                                    <w:right w:val="none" w:sz="0" w:space="0" w:color="auto"/>
                                  </w:divBdr>
                                  <w:divsChild>
                                    <w:div w:id="1277828607">
                                      <w:marLeft w:val="0"/>
                                      <w:marRight w:val="0"/>
                                      <w:marTop w:val="0"/>
                                      <w:marBottom w:val="0"/>
                                      <w:divBdr>
                                        <w:top w:val="none" w:sz="0" w:space="0" w:color="auto"/>
                                        <w:left w:val="none" w:sz="0" w:space="0" w:color="auto"/>
                                        <w:bottom w:val="none" w:sz="0" w:space="0" w:color="auto"/>
                                        <w:right w:val="none" w:sz="0" w:space="0" w:color="auto"/>
                                      </w:divBdr>
                                      <w:divsChild>
                                        <w:div w:id="1502086597">
                                          <w:marLeft w:val="0"/>
                                          <w:marRight w:val="0"/>
                                          <w:marTop w:val="0"/>
                                          <w:marBottom w:val="0"/>
                                          <w:divBdr>
                                            <w:top w:val="none" w:sz="0" w:space="0" w:color="auto"/>
                                            <w:left w:val="none" w:sz="0" w:space="0" w:color="auto"/>
                                            <w:bottom w:val="none" w:sz="0" w:space="0" w:color="auto"/>
                                            <w:right w:val="none" w:sz="0" w:space="0" w:color="auto"/>
                                          </w:divBdr>
                                        </w:div>
                                        <w:div w:id="184335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952">
                              <w:marLeft w:val="-420"/>
                              <w:marRight w:val="0"/>
                              <w:marTop w:val="0"/>
                              <w:marBottom w:val="0"/>
                              <w:divBdr>
                                <w:top w:val="none" w:sz="0" w:space="0" w:color="auto"/>
                                <w:left w:val="none" w:sz="0" w:space="0" w:color="auto"/>
                                <w:bottom w:val="none" w:sz="0" w:space="0" w:color="auto"/>
                                <w:right w:val="none" w:sz="0" w:space="0" w:color="auto"/>
                              </w:divBdr>
                              <w:divsChild>
                                <w:div w:id="961422397">
                                  <w:marLeft w:val="0"/>
                                  <w:marRight w:val="0"/>
                                  <w:marTop w:val="0"/>
                                  <w:marBottom w:val="0"/>
                                  <w:divBdr>
                                    <w:top w:val="none" w:sz="0" w:space="0" w:color="auto"/>
                                    <w:left w:val="none" w:sz="0" w:space="0" w:color="auto"/>
                                    <w:bottom w:val="none" w:sz="0" w:space="0" w:color="auto"/>
                                    <w:right w:val="none" w:sz="0" w:space="0" w:color="auto"/>
                                  </w:divBdr>
                                  <w:divsChild>
                                    <w:div w:id="329718844">
                                      <w:marLeft w:val="0"/>
                                      <w:marRight w:val="0"/>
                                      <w:marTop w:val="0"/>
                                      <w:marBottom w:val="0"/>
                                      <w:divBdr>
                                        <w:top w:val="none" w:sz="0" w:space="0" w:color="auto"/>
                                        <w:left w:val="none" w:sz="0" w:space="0" w:color="auto"/>
                                        <w:bottom w:val="none" w:sz="0" w:space="0" w:color="auto"/>
                                        <w:right w:val="none" w:sz="0" w:space="0" w:color="auto"/>
                                      </w:divBdr>
                                      <w:divsChild>
                                        <w:div w:id="650451145">
                                          <w:marLeft w:val="0"/>
                                          <w:marRight w:val="0"/>
                                          <w:marTop w:val="0"/>
                                          <w:marBottom w:val="0"/>
                                          <w:divBdr>
                                            <w:top w:val="none" w:sz="0" w:space="0" w:color="auto"/>
                                            <w:left w:val="none" w:sz="0" w:space="0" w:color="auto"/>
                                            <w:bottom w:val="none" w:sz="0" w:space="0" w:color="auto"/>
                                            <w:right w:val="none" w:sz="0" w:space="0" w:color="auto"/>
                                          </w:divBdr>
                                        </w:div>
                                        <w:div w:id="188240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04275">
                              <w:marLeft w:val="-420"/>
                              <w:marRight w:val="0"/>
                              <w:marTop w:val="0"/>
                              <w:marBottom w:val="0"/>
                              <w:divBdr>
                                <w:top w:val="none" w:sz="0" w:space="0" w:color="auto"/>
                                <w:left w:val="none" w:sz="0" w:space="0" w:color="auto"/>
                                <w:bottom w:val="none" w:sz="0" w:space="0" w:color="auto"/>
                                <w:right w:val="none" w:sz="0" w:space="0" w:color="auto"/>
                              </w:divBdr>
                              <w:divsChild>
                                <w:div w:id="1183129901">
                                  <w:marLeft w:val="0"/>
                                  <w:marRight w:val="0"/>
                                  <w:marTop w:val="0"/>
                                  <w:marBottom w:val="0"/>
                                  <w:divBdr>
                                    <w:top w:val="none" w:sz="0" w:space="0" w:color="auto"/>
                                    <w:left w:val="none" w:sz="0" w:space="0" w:color="auto"/>
                                    <w:bottom w:val="none" w:sz="0" w:space="0" w:color="auto"/>
                                    <w:right w:val="none" w:sz="0" w:space="0" w:color="auto"/>
                                  </w:divBdr>
                                  <w:divsChild>
                                    <w:div w:id="1768650876">
                                      <w:marLeft w:val="0"/>
                                      <w:marRight w:val="0"/>
                                      <w:marTop w:val="0"/>
                                      <w:marBottom w:val="0"/>
                                      <w:divBdr>
                                        <w:top w:val="none" w:sz="0" w:space="0" w:color="auto"/>
                                        <w:left w:val="none" w:sz="0" w:space="0" w:color="auto"/>
                                        <w:bottom w:val="none" w:sz="0" w:space="0" w:color="auto"/>
                                        <w:right w:val="none" w:sz="0" w:space="0" w:color="auto"/>
                                      </w:divBdr>
                                      <w:divsChild>
                                        <w:div w:id="485511393">
                                          <w:marLeft w:val="0"/>
                                          <w:marRight w:val="0"/>
                                          <w:marTop w:val="0"/>
                                          <w:marBottom w:val="0"/>
                                          <w:divBdr>
                                            <w:top w:val="none" w:sz="0" w:space="0" w:color="auto"/>
                                            <w:left w:val="none" w:sz="0" w:space="0" w:color="auto"/>
                                            <w:bottom w:val="none" w:sz="0" w:space="0" w:color="auto"/>
                                            <w:right w:val="none" w:sz="0" w:space="0" w:color="auto"/>
                                          </w:divBdr>
                                        </w:div>
                                        <w:div w:id="122953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537127">
                      <w:marLeft w:val="0"/>
                      <w:marRight w:val="0"/>
                      <w:marTop w:val="0"/>
                      <w:marBottom w:val="0"/>
                      <w:divBdr>
                        <w:top w:val="none" w:sz="0" w:space="0" w:color="auto"/>
                        <w:left w:val="none" w:sz="0" w:space="0" w:color="auto"/>
                        <w:bottom w:val="none" w:sz="0" w:space="0" w:color="auto"/>
                        <w:right w:val="none" w:sz="0" w:space="0" w:color="auto"/>
                      </w:divBdr>
                      <w:divsChild>
                        <w:div w:id="1055785415">
                          <w:marLeft w:val="0"/>
                          <w:marRight w:val="0"/>
                          <w:marTop w:val="0"/>
                          <w:marBottom w:val="0"/>
                          <w:divBdr>
                            <w:top w:val="none" w:sz="0" w:space="0" w:color="auto"/>
                            <w:left w:val="none" w:sz="0" w:space="0" w:color="auto"/>
                            <w:bottom w:val="none" w:sz="0" w:space="0" w:color="auto"/>
                            <w:right w:val="none" w:sz="0" w:space="0" w:color="auto"/>
                          </w:divBdr>
                          <w:divsChild>
                            <w:div w:id="654140363">
                              <w:marLeft w:val="-420"/>
                              <w:marRight w:val="0"/>
                              <w:marTop w:val="0"/>
                              <w:marBottom w:val="0"/>
                              <w:divBdr>
                                <w:top w:val="none" w:sz="0" w:space="0" w:color="auto"/>
                                <w:left w:val="none" w:sz="0" w:space="0" w:color="auto"/>
                                <w:bottom w:val="none" w:sz="0" w:space="0" w:color="auto"/>
                                <w:right w:val="none" w:sz="0" w:space="0" w:color="auto"/>
                              </w:divBdr>
                              <w:divsChild>
                                <w:div w:id="1842429320">
                                  <w:marLeft w:val="0"/>
                                  <w:marRight w:val="0"/>
                                  <w:marTop w:val="0"/>
                                  <w:marBottom w:val="0"/>
                                  <w:divBdr>
                                    <w:top w:val="none" w:sz="0" w:space="0" w:color="auto"/>
                                    <w:left w:val="none" w:sz="0" w:space="0" w:color="auto"/>
                                    <w:bottom w:val="none" w:sz="0" w:space="0" w:color="auto"/>
                                    <w:right w:val="none" w:sz="0" w:space="0" w:color="auto"/>
                                  </w:divBdr>
                                  <w:divsChild>
                                    <w:div w:id="1581478719">
                                      <w:marLeft w:val="0"/>
                                      <w:marRight w:val="0"/>
                                      <w:marTop w:val="0"/>
                                      <w:marBottom w:val="0"/>
                                      <w:divBdr>
                                        <w:top w:val="none" w:sz="0" w:space="0" w:color="auto"/>
                                        <w:left w:val="none" w:sz="0" w:space="0" w:color="auto"/>
                                        <w:bottom w:val="none" w:sz="0" w:space="0" w:color="auto"/>
                                        <w:right w:val="none" w:sz="0" w:space="0" w:color="auto"/>
                                      </w:divBdr>
                                      <w:divsChild>
                                        <w:div w:id="1163010313">
                                          <w:marLeft w:val="0"/>
                                          <w:marRight w:val="0"/>
                                          <w:marTop w:val="0"/>
                                          <w:marBottom w:val="0"/>
                                          <w:divBdr>
                                            <w:top w:val="none" w:sz="0" w:space="0" w:color="auto"/>
                                            <w:left w:val="none" w:sz="0" w:space="0" w:color="auto"/>
                                            <w:bottom w:val="none" w:sz="0" w:space="0" w:color="auto"/>
                                            <w:right w:val="none" w:sz="0" w:space="0" w:color="auto"/>
                                          </w:divBdr>
                                        </w:div>
                                        <w:div w:id="15119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146640">
                              <w:marLeft w:val="-420"/>
                              <w:marRight w:val="0"/>
                              <w:marTop w:val="0"/>
                              <w:marBottom w:val="0"/>
                              <w:divBdr>
                                <w:top w:val="none" w:sz="0" w:space="0" w:color="auto"/>
                                <w:left w:val="none" w:sz="0" w:space="0" w:color="auto"/>
                                <w:bottom w:val="none" w:sz="0" w:space="0" w:color="auto"/>
                                <w:right w:val="none" w:sz="0" w:space="0" w:color="auto"/>
                              </w:divBdr>
                              <w:divsChild>
                                <w:div w:id="2082094679">
                                  <w:marLeft w:val="0"/>
                                  <w:marRight w:val="0"/>
                                  <w:marTop w:val="0"/>
                                  <w:marBottom w:val="0"/>
                                  <w:divBdr>
                                    <w:top w:val="none" w:sz="0" w:space="0" w:color="auto"/>
                                    <w:left w:val="none" w:sz="0" w:space="0" w:color="auto"/>
                                    <w:bottom w:val="none" w:sz="0" w:space="0" w:color="auto"/>
                                    <w:right w:val="none" w:sz="0" w:space="0" w:color="auto"/>
                                  </w:divBdr>
                                  <w:divsChild>
                                    <w:div w:id="103156857">
                                      <w:marLeft w:val="0"/>
                                      <w:marRight w:val="0"/>
                                      <w:marTop w:val="0"/>
                                      <w:marBottom w:val="0"/>
                                      <w:divBdr>
                                        <w:top w:val="none" w:sz="0" w:space="0" w:color="auto"/>
                                        <w:left w:val="none" w:sz="0" w:space="0" w:color="auto"/>
                                        <w:bottom w:val="none" w:sz="0" w:space="0" w:color="auto"/>
                                        <w:right w:val="none" w:sz="0" w:space="0" w:color="auto"/>
                                      </w:divBdr>
                                      <w:divsChild>
                                        <w:div w:id="586621567">
                                          <w:marLeft w:val="0"/>
                                          <w:marRight w:val="0"/>
                                          <w:marTop w:val="0"/>
                                          <w:marBottom w:val="0"/>
                                          <w:divBdr>
                                            <w:top w:val="none" w:sz="0" w:space="0" w:color="auto"/>
                                            <w:left w:val="none" w:sz="0" w:space="0" w:color="auto"/>
                                            <w:bottom w:val="none" w:sz="0" w:space="0" w:color="auto"/>
                                            <w:right w:val="none" w:sz="0" w:space="0" w:color="auto"/>
                                          </w:divBdr>
                                        </w:div>
                                        <w:div w:id="214022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097699">
                              <w:marLeft w:val="-420"/>
                              <w:marRight w:val="0"/>
                              <w:marTop w:val="0"/>
                              <w:marBottom w:val="0"/>
                              <w:divBdr>
                                <w:top w:val="none" w:sz="0" w:space="0" w:color="auto"/>
                                <w:left w:val="none" w:sz="0" w:space="0" w:color="auto"/>
                                <w:bottom w:val="none" w:sz="0" w:space="0" w:color="auto"/>
                                <w:right w:val="none" w:sz="0" w:space="0" w:color="auto"/>
                              </w:divBdr>
                              <w:divsChild>
                                <w:div w:id="252518279">
                                  <w:marLeft w:val="0"/>
                                  <w:marRight w:val="0"/>
                                  <w:marTop w:val="0"/>
                                  <w:marBottom w:val="0"/>
                                  <w:divBdr>
                                    <w:top w:val="none" w:sz="0" w:space="0" w:color="auto"/>
                                    <w:left w:val="none" w:sz="0" w:space="0" w:color="auto"/>
                                    <w:bottom w:val="none" w:sz="0" w:space="0" w:color="auto"/>
                                    <w:right w:val="none" w:sz="0" w:space="0" w:color="auto"/>
                                  </w:divBdr>
                                  <w:divsChild>
                                    <w:div w:id="1695302771">
                                      <w:marLeft w:val="0"/>
                                      <w:marRight w:val="0"/>
                                      <w:marTop w:val="0"/>
                                      <w:marBottom w:val="0"/>
                                      <w:divBdr>
                                        <w:top w:val="none" w:sz="0" w:space="0" w:color="auto"/>
                                        <w:left w:val="none" w:sz="0" w:space="0" w:color="auto"/>
                                        <w:bottom w:val="none" w:sz="0" w:space="0" w:color="auto"/>
                                        <w:right w:val="none" w:sz="0" w:space="0" w:color="auto"/>
                                      </w:divBdr>
                                      <w:divsChild>
                                        <w:div w:id="153885083">
                                          <w:marLeft w:val="0"/>
                                          <w:marRight w:val="0"/>
                                          <w:marTop w:val="0"/>
                                          <w:marBottom w:val="0"/>
                                          <w:divBdr>
                                            <w:top w:val="none" w:sz="0" w:space="0" w:color="auto"/>
                                            <w:left w:val="none" w:sz="0" w:space="0" w:color="auto"/>
                                            <w:bottom w:val="none" w:sz="0" w:space="0" w:color="auto"/>
                                            <w:right w:val="none" w:sz="0" w:space="0" w:color="auto"/>
                                          </w:divBdr>
                                        </w:div>
                                        <w:div w:id="45556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193598">
                      <w:marLeft w:val="0"/>
                      <w:marRight w:val="0"/>
                      <w:marTop w:val="0"/>
                      <w:marBottom w:val="0"/>
                      <w:divBdr>
                        <w:top w:val="none" w:sz="0" w:space="0" w:color="auto"/>
                        <w:left w:val="none" w:sz="0" w:space="0" w:color="auto"/>
                        <w:bottom w:val="none" w:sz="0" w:space="0" w:color="auto"/>
                        <w:right w:val="none" w:sz="0" w:space="0" w:color="auto"/>
                      </w:divBdr>
                      <w:divsChild>
                        <w:div w:id="1636830414">
                          <w:marLeft w:val="0"/>
                          <w:marRight w:val="0"/>
                          <w:marTop w:val="0"/>
                          <w:marBottom w:val="0"/>
                          <w:divBdr>
                            <w:top w:val="none" w:sz="0" w:space="0" w:color="auto"/>
                            <w:left w:val="none" w:sz="0" w:space="0" w:color="auto"/>
                            <w:bottom w:val="none" w:sz="0" w:space="0" w:color="auto"/>
                            <w:right w:val="none" w:sz="0" w:space="0" w:color="auto"/>
                          </w:divBdr>
                          <w:divsChild>
                            <w:div w:id="18033081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50261619">
                      <w:marLeft w:val="0"/>
                      <w:marRight w:val="0"/>
                      <w:marTop w:val="0"/>
                      <w:marBottom w:val="0"/>
                      <w:divBdr>
                        <w:top w:val="none" w:sz="0" w:space="0" w:color="auto"/>
                        <w:left w:val="none" w:sz="0" w:space="0" w:color="auto"/>
                        <w:bottom w:val="none" w:sz="0" w:space="0" w:color="auto"/>
                        <w:right w:val="none" w:sz="0" w:space="0" w:color="auto"/>
                      </w:divBdr>
                      <w:divsChild>
                        <w:div w:id="631250488">
                          <w:marLeft w:val="0"/>
                          <w:marRight w:val="0"/>
                          <w:marTop w:val="0"/>
                          <w:marBottom w:val="0"/>
                          <w:divBdr>
                            <w:top w:val="none" w:sz="0" w:space="0" w:color="auto"/>
                            <w:left w:val="none" w:sz="0" w:space="0" w:color="auto"/>
                            <w:bottom w:val="none" w:sz="0" w:space="0" w:color="auto"/>
                            <w:right w:val="none" w:sz="0" w:space="0" w:color="auto"/>
                          </w:divBdr>
                          <w:divsChild>
                            <w:div w:id="15062421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9116549">
                      <w:marLeft w:val="0"/>
                      <w:marRight w:val="0"/>
                      <w:marTop w:val="0"/>
                      <w:marBottom w:val="0"/>
                      <w:divBdr>
                        <w:top w:val="none" w:sz="0" w:space="0" w:color="auto"/>
                        <w:left w:val="none" w:sz="0" w:space="0" w:color="auto"/>
                        <w:bottom w:val="none" w:sz="0" w:space="0" w:color="auto"/>
                        <w:right w:val="none" w:sz="0" w:space="0" w:color="auto"/>
                      </w:divBdr>
                      <w:divsChild>
                        <w:div w:id="968587262">
                          <w:marLeft w:val="0"/>
                          <w:marRight w:val="0"/>
                          <w:marTop w:val="0"/>
                          <w:marBottom w:val="0"/>
                          <w:divBdr>
                            <w:top w:val="none" w:sz="0" w:space="0" w:color="auto"/>
                            <w:left w:val="none" w:sz="0" w:space="0" w:color="auto"/>
                            <w:bottom w:val="none" w:sz="0" w:space="0" w:color="auto"/>
                            <w:right w:val="none" w:sz="0" w:space="0" w:color="auto"/>
                          </w:divBdr>
                          <w:divsChild>
                            <w:div w:id="11334493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00642757">
      <w:bodyDiv w:val="1"/>
      <w:marLeft w:val="0"/>
      <w:marRight w:val="0"/>
      <w:marTop w:val="0"/>
      <w:marBottom w:val="0"/>
      <w:divBdr>
        <w:top w:val="none" w:sz="0" w:space="0" w:color="auto"/>
        <w:left w:val="none" w:sz="0" w:space="0" w:color="auto"/>
        <w:bottom w:val="none" w:sz="0" w:space="0" w:color="auto"/>
        <w:right w:val="none" w:sz="0" w:space="0" w:color="auto"/>
      </w:divBdr>
    </w:div>
    <w:div w:id="501817005">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84882449">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33375842">
          <w:marLeft w:val="0"/>
          <w:marRight w:val="0"/>
          <w:marTop w:val="0"/>
          <w:marBottom w:val="160"/>
          <w:divBdr>
            <w:top w:val="none" w:sz="0" w:space="0" w:color="auto"/>
            <w:left w:val="none" w:sz="0" w:space="0" w:color="auto"/>
            <w:bottom w:val="none" w:sz="0" w:space="0" w:color="auto"/>
            <w:right w:val="none" w:sz="0" w:space="0" w:color="auto"/>
          </w:divBdr>
        </w:div>
        <w:div w:id="1665283950">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6407195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522205550">
          <w:marLeft w:val="0"/>
          <w:marRight w:val="0"/>
          <w:marTop w:val="0"/>
          <w:marBottom w:val="160"/>
          <w:divBdr>
            <w:top w:val="none" w:sz="0" w:space="0" w:color="auto"/>
            <w:left w:val="none" w:sz="0" w:space="0" w:color="auto"/>
            <w:bottom w:val="none" w:sz="0" w:space="0" w:color="auto"/>
            <w:right w:val="none" w:sz="0" w:space="0" w:color="auto"/>
          </w:divBdr>
        </w:div>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08920230">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179394306">
          <w:marLeft w:val="0"/>
          <w:marRight w:val="0"/>
          <w:marTop w:val="0"/>
          <w:marBottom w:val="160"/>
          <w:divBdr>
            <w:top w:val="none" w:sz="0" w:space="0" w:color="auto"/>
            <w:left w:val="none" w:sz="0" w:space="0" w:color="auto"/>
            <w:bottom w:val="none" w:sz="0" w:space="0" w:color="auto"/>
            <w:right w:val="none" w:sz="0" w:space="0" w:color="auto"/>
          </w:divBdr>
        </w:div>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ic.gov.co/recursos_user/documentos/articulos/2010/Guia_Contratacion.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yeimy.romero@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ic.gov.co/recursos_user/documentos/articulos/2010/Guia_Contratacion.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386D2C4E-52D5-4986-A059-DC3A2B6D8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9973</Words>
  <Characters>54855</Characters>
  <Application>Microsoft Office Word</Application>
  <DocSecurity>0</DocSecurity>
  <Lines>457</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2025-07-18T01:57:00Z</dcterms:created>
  <dcterms:modified xsi:type="dcterms:W3CDTF">2025-07-18T01:57:00Z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