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9D2B4" w14:textId="77777777" w:rsidR="00986D6F" w:rsidRPr="00C95C66" w:rsidRDefault="00986D6F" w:rsidP="00986D6F">
      <w:pPr>
        <w:jc w:val="right"/>
        <w:rPr>
          <w:rFonts w:ascii="Arial" w:hAnsi="Arial" w:cs="Arial"/>
          <w:b/>
          <w:sz w:val="16"/>
          <w:szCs w:val="16"/>
          <w:lang w:eastAsia="es-ES"/>
        </w:rPr>
      </w:pPr>
      <w:bookmarkStart w:id="0" w:name="_Hlk29548183"/>
      <w:bookmarkStart w:id="1" w:name="_Hlk28946138"/>
      <w:r w:rsidRPr="00C95C66">
        <w:rPr>
          <w:rFonts w:ascii="Arial" w:hAnsi="Arial" w:cs="Arial"/>
          <w:b/>
          <w:sz w:val="16"/>
          <w:szCs w:val="16"/>
          <w:lang w:eastAsia="es-ES"/>
        </w:rPr>
        <w:t>CCE-DES-FM-17</w:t>
      </w:r>
      <w:bookmarkEnd w:id="0"/>
      <w:bookmarkEnd w:id="1"/>
    </w:p>
    <w:p w14:paraId="03B4F346" w14:textId="77777777" w:rsidR="00986D6F" w:rsidRPr="00C95C66" w:rsidRDefault="00986D6F" w:rsidP="00986D6F">
      <w:pPr>
        <w:jc w:val="right"/>
        <w:rPr>
          <w:rFonts w:ascii="Arial" w:hAnsi="Arial" w:cs="Arial"/>
          <w:b/>
          <w:sz w:val="16"/>
          <w:szCs w:val="16"/>
          <w:lang w:eastAsia="es-ES"/>
        </w:rPr>
      </w:pPr>
    </w:p>
    <w:p w14:paraId="4FE57A87" w14:textId="77777777" w:rsidR="00986D6F" w:rsidRPr="00C95C66" w:rsidRDefault="00986D6F" w:rsidP="00986D6F">
      <w:pPr>
        <w:pStyle w:val="Prrafodelista"/>
        <w:tabs>
          <w:tab w:val="left" w:pos="0"/>
        </w:tabs>
        <w:ind w:left="0"/>
        <w:jc w:val="both"/>
        <w:rPr>
          <w:rFonts w:ascii="Arial" w:eastAsia="Calibri" w:hAnsi="Arial" w:cs="Arial"/>
          <w:b/>
          <w:sz w:val="22"/>
          <w:lang w:val="es-ES"/>
        </w:rPr>
      </w:pPr>
      <w:r w:rsidRPr="00C95C66">
        <w:rPr>
          <w:rFonts w:ascii="Arial" w:eastAsia="Calibri" w:hAnsi="Arial" w:cs="Arial"/>
          <w:b/>
          <w:sz w:val="22"/>
          <w:lang w:val="es-ES"/>
        </w:rPr>
        <w:t xml:space="preserve">PROCESO DE MÍNIMA CUANTÍA </w:t>
      </w:r>
      <w:r w:rsidRPr="00C95C66">
        <w:rPr>
          <w:rFonts w:ascii="Arial" w:eastAsia="Calibri" w:hAnsi="Arial" w:cs="Arial"/>
          <w:b/>
          <w:sz w:val="22"/>
        </w:rPr>
        <w:t>–</w:t>
      </w:r>
      <w:r w:rsidRPr="00C95C66">
        <w:rPr>
          <w:rFonts w:ascii="Arial" w:eastAsia="Calibri" w:hAnsi="Arial" w:cs="Arial"/>
          <w:b/>
          <w:sz w:val="22"/>
          <w:lang w:val="es-ES"/>
        </w:rPr>
        <w:t xml:space="preserve"> Término para publicar la invitación </w:t>
      </w:r>
      <w:r w:rsidRPr="00C95C66">
        <w:rPr>
          <w:rFonts w:ascii="Arial" w:eastAsia="Calibri" w:hAnsi="Arial" w:cs="Arial"/>
          <w:b/>
          <w:sz w:val="22"/>
        </w:rPr>
        <w:t>–</w:t>
      </w:r>
      <w:r w:rsidRPr="00C95C66">
        <w:rPr>
          <w:rFonts w:ascii="Arial" w:eastAsia="Calibri" w:hAnsi="Arial" w:cs="Arial"/>
          <w:b/>
          <w:sz w:val="22"/>
          <w:lang w:val="es-ES"/>
        </w:rPr>
        <w:t xml:space="preserve"> Plazo para presentar ofertas</w:t>
      </w:r>
    </w:p>
    <w:p w14:paraId="319A6C6E" w14:textId="77777777" w:rsidR="00986D6F" w:rsidRPr="00C95C66" w:rsidRDefault="00986D6F" w:rsidP="00986D6F">
      <w:pPr>
        <w:pStyle w:val="Prrafodelista"/>
        <w:tabs>
          <w:tab w:val="left" w:pos="0"/>
        </w:tabs>
        <w:ind w:left="0"/>
        <w:jc w:val="both"/>
        <w:rPr>
          <w:rFonts w:ascii="Arial" w:eastAsia="Calibri" w:hAnsi="Arial" w:cs="Arial"/>
          <w:b/>
          <w:sz w:val="20"/>
          <w:szCs w:val="20"/>
          <w:lang w:val="es-ES"/>
        </w:rPr>
      </w:pPr>
    </w:p>
    <w:p w14:paraId="22FC308F" w14:textId="77777777" w:rsidR="00344047" w:rsidRPr="00344047" w:rsidRDefault="00344047" w:rsidP="00344047">
      <w:pPr>
        <w:tabs>
          <w:tab w:val="left" w:pos="0"/>
        </w:tabs>
        <w:jc w:val="both"/>
        <w:rPr>
          <w:rFonts w:ascii="Arial" w:eastAsia="Calibri" w:hAnsi="Arial" w:cs="Arial"/>
          <w:bCs/>
          <w:sz w:val="20"/>
          <w:szCs w:val="20"/>
          <w:lang w:val="es-ES"/>
        </w:rPr>
      </w:pPr>
      <w:r w:rsidRPr="00344047">
        <w:rPr>
          <w:rFonts w:ascii="Arial" w:eastAsia="Calibri" w:hAnsi="Arial" w:cs="Arial"/>
          <w:bCs/>
          <w:sz w:val="20"/>
          <w:szCs w:val="20"/>
          <w:lang w:val="es-ES"/>
        </w:rPr>
        <w:t xml:space="preserve">En principio, el artículo 2, numeral 5, literales a) y b), de la Ley 1150 de 2007, al regularlos en literales distintos parece diferenciar el término de publicación de la «invitación para ofertar» del plazo previsto para «presentar ofertas». Sin embargo, ello no quiere decir que no puedan coincidir, en la medida en que la finalidad de tal regulación es evitar que en la invitación a ofertar se prevea un plazo para presentar </w:t>
      </w:r>
      <w:proofErr w:type="gramStart"/>
      <w:r w:rsidRPr="00344047">
        <w:rPr>
          <w:rFonts w:ascii="Arial" w:eastAsia="Calibri" w:hAnsi="Arial" w:cs="Arial"/>
          <w:bCs/>
          <w:sz w:val="20"/>
          <w:szCs w:val="20"/>
          <w:lang w:val="es-ES"/>
        </w:rPr>
        <w:t>ofertas inferior</w:t>
      </w:r>
      <w:proofErr w:type="gramEnd"/>
      <w:r w:rsidRPr="00344047">
        <w:rPr>
          <w:rFonts w:ascii="Arial" w:eastAsia="Calibri" w:hAnsi="Arial" w:cs="Arial"/>
          <w:bCs/>
          <w:sz w:val="20"/>
          <w:szCs w:val="20"/>
          <w:lang w:val="es-ES"/>
        </w:rPr>
        <w:t xml:space="preserve"> al término durante el cual se mantiene publicada la invitación. </w:t>
      </w:r>
    </w:p>
    <w:p w14:paraId="6CFA4ED5" w14:textId="77777777" w:rsidR="00344047" w:rsidRPr="00344047" w:rsidRDefault="00344047" w:rsidP="00344047">
      <w:pPr>
        <w:pStyle w:val="Prrafodelista"/>
        <w:tabs>
          <w:tab w:val="left" w:pos="0"/>
        </w:tabs>
        <w:ind w:left="0"/>
        <w:contextualSpacing w:val="0"/>
        <w:jc w:val="both"/>
        <w:rPr>
          <w:rFonts w:ascii="Arial" w:eastAsia="Calibri" w:hAnsi="Arial" w:cs="Arial"/>
          <w:bCs/>
          <w:sz w:val="20"/>
          <w:szCs w:val="20"/>
          <w:lang w:val="es-ES"/>
        </w:rPr>
      </w:pPr>
    </w:p>
    <w:p w14:paraId="67E52A5E" w14:textId="4C86DDDD" w:rsidR="00344047" w:rsidRPr="00344047" w:rsidRDefault="00344047" w:rsidP="00344047">
      <w:pPr>
        <w:pStyle w:val="Prrafodelista"/>
        <w:tabs>
          <w:tab w:val="left" w:pos="0"/>
        </w:tabs>
        <w:ind w:left="0"/>
        <w:contextualSpacing w:val="0"/>
        <w:jc w:val="both"/>
        <w:rPr>
          <w:rFonts w:ascii="Arial" w:hAnsi="Arial" w:cs="Arial"/>
          <w:sz w:val="20"/>
          <w:szCs w:val="20"/>
        </w:rPr>
      </w:pPr>
      <w:r w:rsidRPr="00344047">
        <w:rPr>
          <w:rFonts w:ascii="Arial" w:eastAsia="Calibri" w:hAnsi="Arial" w:cs="Arial"/>
          <w:bCs/>
          <w:sz w:val="20"/>
          <w:szCs w:val="20"/>
          <w:lang w:val="es-ES"/>
        </w:rPr>
        <w:t>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w:t>
      </w:r>
      <w:proofErr w:type="gramStart"/>
      <w:r w:rsidRPr="00344047">
        <w:rPr>
          <w:rFonts w:ascii="Arial" w:eastAsia="Calibri" w:hAnsi="Arial" w:cs="Arial"/>
          <w:bCs/>
          <w:sz w:val="20"/>
          <w:szCs w:val="20"/>
          <w:lang w:val="es-ES"/>
        </w:rPr>
        <w:t>»:</w:t>
      </w:r>
      <w:r w:rsidRPr="00344047">
        <w:rPr>
          <w:rFonts w:ascii="Arial" w:hAnsi="Arial" w:cs="Arial"/>
          <w:sz w:val="20"/>
          <w:szCs w:val="20"/>
        </w:rPr>
        <w:t>Los</w:t>
      </w:r>
      <w:proofErr w:type="gramEnd"/>
      <w:r w:rsidRPr="00344047">
        <w:rPr>
          <w:rFonts w:ascii="Arial" w:hAnsi="Arial" w:cs="Arial"/>
          <w:sz w:val="20"/>
          <w:szCs w:val="20"/>
        </w:rPr>
        <w:t xml:space="preserve">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 </w:t>
      </w:r>
    </w:p>
    <w:p w14:paraId="46E6FD05" w14:textId="77777777" w:rsidR="00986D6F" w:rsidRPr="00C95C66" w:rsidRDefault="00986D6F" w:rsidP="00986D6F">
      <w:pPr>
        <w:tabs>
          <w:tab w:val="left" w:pos="0"/>
        </w:tabs>
        <w:jc w:val="both"/>
        <w:rPr>
          <w:rFonts w:ascii="Arial" w:eastAsia="Calibri" w:hAnsi="Arial" w:cs="Arial"/>
          <w:bCs/>
          <w:sz w:val="20"/>
          <w:szCs w:val="20"/>
          <w:lang w:val="es-ES"/>
        </w:rPr>
      </w:pPr>
    </w:p>
    <w:p w14:paraId="26857C83" w14:textId="77777777" w:rsidR="00986D6F" w:rsidRPr="00C95C66" w:rsidRDefault="00986D6F" w:rsidP="00986D6F">
      <w:pPr>
        <w:pStyle w:val="Prrafodelista"/>
        <w:tabs>
          <w:tab w:val="left" w:pos="0"/>
        </w:tabs>
        <w:ind w:left="0"/>
        <w:jc w:val="both"/>
        <w:rPr>
          <w:rFonts w:ascii="Arial" w:eastAsia="Calibri" w:hAnsi="Arial" w:cs="Arial"/>
          <w:b/>
          <w:sz w:val="22"/>
          <w:lang w:val="es-ES"/>
        </w:rPr>
      </w:pPr>
      <w:r w:rsidRPr="00C95C66">
        <w:rPr>
          <w:rFonts w:ascii="Arial" w:eastAsia="Calibri" w:hAnsi="Arial" w:cs="Arial"/>
          <w:b/>
          <w:sz w:val="22"/>
          <w:lang w:val="es-ES"/>
        </w:rPr>
        <w:t xml:space="preserve">PROCESO DE MÍNIMA CUANTÍA </w:t>
      </w:r>
      <w:r w:rsidRPr="00C95C66">
        <w:rPr>
          <w:rFonts w:ascii="Arial" w:eastAsia="Calibri" w:hAnsi="Arial" w:cs="Arial"/>
          <w:b/>
          <w:sz w:val="22"/>
        </w:rPr>
        <w:t>–</w:t>
      </w:r>
      <w:r w:rsidRPr="00C95C66">
        <w:rPr>
          <w:rFonts w:ascii="Arial" w:eastAsia="Calibri" w:hAnsi="Arial" w:cs="Arial"/>
          <w:b/>
          <w:sz w:val="22"/>
          <w:lang w:val="es-ES"/>
        </w:rPr>
        <w:t xml:space="preserve"> Tiempo límite mínimo</w:t>
      </w:r>
    </w:p>
    <w:p w14:paraId="6A06834E" w14:textId="77777777" w:rsidR="00986D6F" w:rsidRPr="00C95C66" w:rsidRDefault="00986D6F" w:rsidP="00986D6F">
      <w:pPr>
        <w:tabs>
          <w:tab w:val="left" w:pos="0"/>
        </w:tabs>
        <w:jc w:val="both"/>
        <w:rPr>
          <w:rFonts w:ascii="Arial" w:eastAsia="Calibri" w:hAnsi="Arial" w:cs="Arial"/>
          <w:bCs/>
          <w:sz w:val="20"/>
          <w:szCs w:val="20"/>
          <w:lang w:val="es-ES"/>
        </w:rPr>
      </w:pPr>
    </w:p>
    <w:p w14:paraId="66E25841" w14:textId="7710B612" w:rsidR="00986D6F" w:rsidRDefault="00344047" w:rsidP="00986D6F">
      <w:pPr>
        <w:tabs>
          <w:tab w:val="left" w:pos="0"/>
        </w:tabs>
        <w:jc w:val="both"/>
        <w:rPr>
          <w:rFonts w:ascii="Arial" w:eastAsia="Calibri" w:hAnsi="Arial" w:cs="Arial"/>
          <w:bCs/>
          <w:sz w:val="20"/>
          <w:szCs w:val="20"/>
          <w:lang w:val="es-ES"/>
        </w:rPr>
      </w:pPr>
      <w:r w:rsidRPr="00344047">
        <w:rPr>
          <w:rFonts w:ascii="Arial" w:eastAsia="Calibri" w:hAnsi="Arial" w:cs="Arial"/>
          <w:bCs/>
          <w:sz w:val="20"/>
          <w:szCs w:val="20"/>
          <w:lang w:val="es-ES"/>
        </w:rPr>
        <w:t>Conviene insistir en que el día hábil al que se refiere la ley es un tiempo mínimo, ya que las entidades tienen la facultad de estructurar procesos con plazos mayores para presentar ofertas, comoquiera que la ley no determina un tiempo máximo, lo cual resulta recomendable para la concurrencia de oferentes, sin perjuicio de la finalidad de esta modalidad de selección, que tiene como objetivo la provisión pronta y ágil de los bienes solicitados por las entidades estatales.</w:t>
      </w:r>
    </w:p>
    <w:p w14:paraId="6EF98FDB" w14:textId="77777777" w:rsidR="00344047" w:rsidRPr="00C95C66" w:rsidRDefault="00344047" w:rsidP="00986D6F">
      <w:pPr>
        <w:tabs>
          <w:tab w:val="left" w:pos="0"/>
        </w:tabs>
        <w:jc w:val="both"/>
        <w:rPr>
          <w:rFonts w:ascii="Arial" w:eastAsia="Calibri" w:hAnsi="Arial" w:cs="Arial"/>
          <w:bCs/>
          <w:sz w:val="20"/>
          <w:szCs w:val="20"/>
          <w:lang w:val="es-ES"/>
        </w:rPr>
      </w:pPr>
    </w:p>
    <w:p w14:paraId="14609599" w14:textId="77777777" w:rsidR="00986D6F" w:rsidRPr="00C95C66" w:rsidRDefault="00986D6F" w:rsidP="00986D6F">
      <w:pPr>
        <w:tabs>
          <w:tab w:val="left" w:pos="0"/>
        </w:tabs>
        <w:jc w:val="both"/>
        <w:rPr>
          <w:rFonts w:ascii="Arial" w:eastAsia="Calibri" w:hAnsi="Arial" w:cs="Arial"/>
          <w:b/>
          <w:sz w:val="22"/>
          <w:lang w:val="es-ES"/>
        </w:rPr>
      </w:pPr>
      <w:r w:rsidRPr="00C95C66">
        <w:rPr>
          <w:rFonts w:ascii="Arial" w:eastAsia="Calibri" w:hAnsi="Arial" w:cs="Arial"/>
          <w:b/>
          <w:sz w:val="22"/>
          <w:lang w:val="es-ES"/>
        </w:rPr>
        <w:t xml:space="preserve">DÍAS HÁBILES </w:t>
      </w:r>
      <w:r w:rsidRPr="00C95C66">
        <w:rPr>
          <w:rFonts w:ascii="Arial" w:eastAsia="Calibri" w:hAnsi="Arial" w:cs="Arial"/>
          <w:b/>
          <w:sz w:val="22"/>
        </w:rPr>
        <w:t xml:space="preserve">– </w:t>
      </w:r>
      <w:r w:rsidRPr="00C95C66">
        <w:rPr>
          <w:rFonts w:ascii="Arial" w:eastAsia="Calibri" w:hAnsi="Arial" w:cs="Arial"/>
          <w:b/>
          <w:sz w:val="22"/>
          <w:lang w:val="es-ES"/>
        </w:rPr>
        <w:t xml:space="preserve">Concepto </w:t>
      </w:r>
      <w:r w:rsidRPr="00C95C66">
        <w:rPr>
          <w:rFonts w:ascii="Arial" w:eastAsia="Calibri" w:hAnsi="Arial" w:cs="Arial"/>
          <w:b/>
          <w:sz w:val="22"/>
        </w:rPr>
        <w:t>–</w:t>
      </w:r>
      <w:r w:rsidRPr="00C95C66">
        <w:rPr>
          <w:rFonts w:ascii="Arial" w:eastAsia="Calibri" w:hAnsi="Arial" w:cs="Arial"/>
          <w:b/>
          <w:sz w:val="22"/>
          <w:lang w:val="es-ES"/>
        </w:rPr>
        <w:t xml:space="preserve"> Cómputo de términos</w:t>
      </w:r>
    </w:p>
    <w:p w14:paraId="5857DC35" w14:textId="77777777" w:rsidR="00986D6F" w:rsidRPr="00C95C66" w:rsidRDefault="00986D6F" w:rsidP="00986D6F">
      <w:pPr>
        <w:tabs>
          <w:tab w:val="left" w:pos="0"/>
        </w:tabs>
        <w:jc w:val="both"/>
        <w:rPr>
          <w:rFonts w:ascii="Arial" w:eastAsia="Calibri" w:hAnsi="Arial" w:cs="Arial"/>
          <w:bCs/>
          <w:sz w:val="20"/>
          <w:szCs w:val="20"/>
          <w:lang w:val="es-ES"/>
        </w:rPr>
      </w:pPr>
    </w:p>
    <w:p w14:paraId="3DA7BDFD" w14:textId="4DEDD259" w:rsidR="00986D6F" w:rsidRPr="00344047" w:rsidRDefault="00344047" w:rsidP="00344047">
      <w:pPr>
        <w:tabs>
          <w:tab w:val="left" w:pos="0"/>
        </w:tabs>
        <w:spacing w:after="120"/>
        <w:jc w:val="both"/>
        <w:rPr>
          <w:rFonts w:ascii="Arial" w:eastAsia="Calibri" w:hAnsi="Arial" w:cs="Arial"/>
          <w:bCs/>
          <w:sz w:val="20"/>
          <w:szCs w:val="20"/>
          <w:lang w:val="es-ES"/>
        </w:rPr>
      </w:pPr>
      <w:r w:rsidRPr="00C95C66">
        <w:rPr>
          <w:rFonts w:ascii="Arial" w:eastAsia="Calibri" w:hAnsi="Arial" w:cs="Arial"/>
          <w:bCs/>
          <w:sz w:val="22"/>
          <w:lang w:val="es-ES"/>
        </w:rPr>
        <w:t xml:space="preserve">A pesar de no existir una definición legal, existen normas supletivas que tienen como </w:t>
      </w:r>
      <w:r w:rsidRPr="00344047">
        <w:rPr>
          <w:rFonts w:ascii="Arial" w:eastAsia="Calibri" w:hAnsi="Arial" w:cs="Arial"/>
          <w:bCs/>
          <w:sz w:val="20"/>
          <w:szCs w:val="20"/>
          <w:lang w:val="es-ES"/>
        </w:rPr>
        <w:t>función servir de pautas para el cómputo de términos previstos en la ley, cuando no ha sido regulado de forma específica por las disposiciones que consagran dichos plazos</w:t>
      </w:r>
      <w:r w:rsidRPr="00344047">
        <w:rPr>
          <w:rFonts w:ascii="Arial" w:eastAsia="Calibri" w:hAnsi="Arial" w:cs="Arial"/>
          <w:bCs/>
          <w:sz w:val="20"/>
          <w:szCs w:val="20"/>
          <w:lang w:val="es-ES"/>
        </w:rPr>
        <w:t xml:space="preserve"> </w:t>
      </w:r>
      <w:r w:rsidR="00986D6F" w:rsidRPr="00344047">
        <w:rPr>
          <w:rFonts w:ascii="Arial" w:eastAsia="Calibri" w:hAnsi="Arial" w:cs="Arial"/>
          <w:bCs/>
          <w:sz w:val="20"/>
          <w:szCs w:val="20"/>
          <w:lang w:val="es-ES"/>
        </w:rPr>
        <w:t xml:space="preserve">[…] </w:t>
      </w:r>
      <w:r w:rsidRPr="00344047">
        <w:rPr>
          <w:rFonts w:ascii="Arial" w:eastAsia="Calibri" w:hAnsi="Arial" w:cs="Arial"/>
          <w:bCs/>
          <w:sz w:val="20"/>
          <w:szCs w:val="20"/>
          <w:lang w:val="es-ES"/>
        </w:rPr>
        <w:t xml:space="preserve">El artículo 59 establece que los plazos a los que se haga mención en la ley terminan a la medianoche, y que por </w:t>
      </w:r>
      <w:r w:rsidRPr="00344047">
        <w:rPr>
          <w:rFonts w:ascii="Arial" w:eastAsia="Calibri" w:hAnsi="Arial" w:cs="Arial"/>
          <w:bCs/>
          <w:i/>
          <w:iCs/>
          <w:sz w:val="20"/>
          <w:szCs w:val="20"/>
          <w:lang w:val="es-ES"/>
        </w:rPr>
        <w:t xml:space="preserve">día </w:t>
      </w:r>
      <w:r w:rsidRPr="00344047">
        <w:rPr>
          <w:rFonts w:ascii="Arial" w:eastAsia="Calibri" w:hAnsi="Arial" w:cs="Arial"/>
          <w:bCs/>
          <w:sz w:val="20"/>
          <w:szCs w:val="20"/>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entienden los días </w:t>
      </w:r>
      <w:proofErr w:type="spellStart"/>
      <w:r w:rsidRPr="00344047">
        <w:rPr>
          <w:rFonts w:ascii="Arial" w:eastAsia="Calibri" w:hAnsi="Arial" w:cs="Arial"/>
          <w:bCs/>
          <w:sz w:val="20"/>
          <w:szCs w:val="20"/>
          <w:lang w:val="es-ES"/>
        </w:rPr>
        <w:t>laborables</w:t>
      </w:r>
      <w:r w:rsidRPr="00344047">
        <w:rPr>
          <w:rFonts w:ascii="Arial" w:eastAsia="Calibri" w:hAnsi="Arial" w:cs="Arial"/>
          <w:bCs/>
          <w:sz w:val="20"/>
          <w:szCs w:val="20"/>
          <w:lang w:val="es-ES"/>
        </w:rPr>
        <w:t>s</w:t>
      </w:r>
      <w:proofErr w:type="spellEnd"/>
      <w:r w:rsidR="00986D6F" w:rsidRPr="00344047">
        <w:rPr>
          <w:rFonts w:ascii="Arial" w:eastAsia="Calibri" w:hAnsi="Arial" w:cs="Arial"/>
          <w:bCs/>
          <w:sz w:val="20"/>
          <w:szCs w:val="20"/>
          <w:lang w:val="es-ES"/>
        </w:rPr>
        <w:t>.</w:t>
      </w:r>
      <w:r w:rsidR="00986D6F" w:rsidRPr="00344047">
        <w:rPr>
          <w:rFonts w:ascii="Arial" w:eastAsia="Calibri" w:hAnsi="Arial" w:cs="Arial"/>
          <w:bCs/>
          <w:sz w:val="20"/>
          <w:szCs w:val="20"/>
          <w:lang w:val="es-ES"/>
        </w:rPr>
        <w:tab/>
      </w:r>
    </w:p>
    <w:p w14:paraId="6730597E" w14:textId="7D311711" w:rsidR="00986D6F" w:rsidRPr="00344047" w:rsidRDefault="00986D6F" w:rsidP="00344047">
      <w:pPr>
        <w:tabs>
          <w:tab w:val="left" w:pos="0"/>
        </w:tabs>
        <w:jc w:val="both"/>
        <w:rPr>
          <w:rFonts w:ascii="Arial" w:eastAsia="Calibri" w:hAnsi="Arial" w:cs="Arial"/>
          <w:bCs/>
          <w:sz w:val="20"/>
          <w:szCs w:val="20"/>
          <w:lang w:val="es-ES"/>
        </w:rPr>
      </w:pPr>
      <w:r w:rsidRPr="00344047">
        <w:rPr>
          <w:rFonts w:ascii="Arial" w:eastAsia="Calibri" w:hAnsi="Arial" w:cs="Arial"/>
          <w:bCs/>
          <w:sz w:val="20"/>
          <w:szCs w:val="20"/>
          <w:lang w:val="es-ES"/>
        </w:rPr>
        <w:t xml:space="preserve">[…] </w:t>
      </w:r>
      <w:r w:rsidR="00344047" w:rsidRPr="00344047">
        <w:rPr>
          <w:rFonts w:ascii="Arial" w:eastAsia="Calibri" w:hAnsi="Arial" w:cs="Arial"/>
          <w:bCs/>
          <w:sz w:val="20"/>
          <w:szCs w:val="20"/>
          <w:lang w:val="es-ES"/>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w:t>
      </w:r>
      <w:r w:rsidR="00344047" w:rsidRPr="00344047">
        <w:rPr>
          <w:rFonts w:ascii="Arial" w:eastAsia="Calibri" w:hAnsi="Arial" w:cs="Arial"/>
          <w:bCs/>
          <w:sz w:val="20"/>
          <w:szCs w:val="20"/>
          <w:lang w:val="es-ES"/>
        </w:rPr>
        <w:lastRenderedPageBreak/>
        <w:t>descansan un día de la semana ―usualmente el miércoles―» , ejemplo donde los días laborables o hábiles son todos los de la semana, con excepción del miércoles.</w:t>
      </w:r>
    </w:p>
    <w:p w14:paraId="44E614A9" w14:textId="77777777" w:rsidR="00986D6F" w:rsidRPr="00C95C66" w:rsidRDefault="00986D6F" w:rsidP="00986D6F">
      <w:pPr>
        <w:tabs>
          <w:tab w:val="left" w:pos="0"/>
        </w:tabs>
        <w:jc w:val="both"/>
        <w:rPr>
          <w:rFonts w:ascii="Arial" w:eastAsia="Calibri" w:hAnsi="Arial" w:cs="Arial"/>
          <w:bCs/>
          <w:sz w:val="20"/>
          <w:szCs w:val="20"/>
          <w:lang w:val="es-ES"/>
        </w:rPr>
      </w:pPr>
    </w:p>
    <w:p w14:paraId="49B361B9" w14:textId="77777777" w:rsidR="00986D6F" w:rsidRPr="00C95C66" w:rsidRDefault="00986D6F" w:rsidP="00986D6F">
      <w:pPr>
        <w:tabs>
          <w:tab w:val="left" w:pos="0"/>
        </w:tabs>
        <w:jc w:val="both"/>
        <w:rPr>
          <w:rFonts w:ascii="Arial" w:eastAsia="Calibri" w:hAnsi="Arial" w:cs="Arial"/>
          <w:b/>
          <w:sz w:val="22"/>
          <w:lang w:val="es-ES"/>
        </w:rPr>
      </w:pPr>
      <w:r w:rsidRPr="00C95C66">
        <w:rPr>
          <w:rFonts w:ascii="Arial" w:eastAsia="Calibri" w:hAnsi="Arial" w:cs="Arial"/>
          <w:b/>
          <w:sz w:val="22"/>
          <w:lang w:val="es-ES"/>
        </w:rPr>
        <w:t xml:space="preserve">PROCESO DE MINIMA CUANTÍA </w:t>
      </w:r>
      <w:r w:rsidRPr="00C95C66">
        <w:rPr>
          <w:rFonts w:ascii="Arial" w:eastAsia="Calibri" w:hAnsi="Arial" w:cs="Arial"/>
          <w:b/>
          <w:sz w:val="22"/>
        </w:rPr>
        <w:t>–</w:t>
      </w:r>
      <w:r w:rsidRPr="00C95C66">
        <w:rPr>
          <w:rFonts w:ascii="Arial" w:eastAsia="Calibri" w:hAnsi="Arial" w:cs="Arial"/>
          <w:b/>
          <w:sz w:val="22"/>
          <w:lang w:val="es-ES"/>
        </w:rPr>
        <w:t xml:space="preserve"> Plazo para presentar ofertas </w:t>
      </w:r>
      <w:r w:rsidRPr="00C95C66">
        <w:rPr>
          <w:rFonts w:ascii="Arial" w:eastAsia="Calibri" w:hAnsi="Arial" w:cs="Arial"/>
          <w:b/>
          <w:sz w:val="22"/>
        </w:rPr>
        <w:t>–</w:t>
      </w:r>
      <w:r w:rsidRPr="00C95C66">
        <w:rPr>
          <w:rFonts w:ascii="Arial" w:eastAsia="Calibri" w:hAnsi="Arial" w:cs="Arial"/>
          <w:b/>
          <w:sz w:val="22"/>
          <w:lang w:val="es-ES"/>
        </w:rPr>
        <w:t xml:space="preserve"> Días hábiles </w:t>
      </w:r>
      <w:r w:rsidRPr="00C95C66">
        <w:rPr>
          <w:rFonts w:ascii="Arial" w:eastAsia="Calibri" w:hAnsi="Arial" w:cs="Arial"/>
          <w:b/>
          <w:sz w:val="22"/>
        </w:rPr>
        <w:t>–</w:t>
      </w:r>
      <w:r w:rsidRPr="00C95C66">
        <w:rPr>
          <w:rFonts w:ascii="Arial" w:eastAsia="Calibri" w:hAnsi="Arial" w:cs="Arial"/>
          <w:b/>
          <w:sz w:val="22"/>
          <w:lang w:val="es-ES"/>
        </w:rPr>
        <w:t xml:space="preserve"> Regla interpretativa</w:t>
      </w:r>
    </w:p>
    <w:p w14:paraId="01B8D73E" w14:textId="77777777" w:rsidR="00986D6F" w:rsidRPr="00C95C66" w:rsidRDefault="00986D6F" w:rsidP="00986D6F">
      <w:pPr>
        <w:tabs>
          <w:tab w:val="left" w:pos="0"/>
        </w:tabs>
        <w:jc w:val="both"/>
        <w:rPr>
          <w:rFonts w:ascii="Arial" w:eastAsia="Calibri" w:hAnsi="Arial" w:cs="Arial"/>
          <w:bCs/>
          <w:sz w:val="20"/>
          <w:szCs w:val="20"/>
          <w:lang w:val="es-ES"/>
        </w:rPr>
      </w:pPr>
    </w:p>
    <w:p w14:paraId="3816F301" w14:textId="77777777" w:rsidR="00644A29" w:rsidRDefault="00986D6F" w:rsidP="00644A29">
      <w:pPr>
        <w:tabs>
          <w:tab w:val="left" w:pos="0"/>
        </w:tabs>
        <w:jc w:val="both"/>
        <w:rPr>
          <w:rFonts w:ascii="Arial" w:eastAsia="Calibri" w:hAnsi="Arial" w:cs="Arial"/>
          <w:bCs/>
          <w:sz w:val="20"/>
          <w:szCs w:val="20"/>
          <w:lang w:val="es-ES"/>
        </w:rPr>
      </w:pPr>
      <w:r w:rsidRPr="00C95C66">
        <w:rPr>
          <w:rFonts w:ascii="Arial" w:eastAsia="Calibri" w:hAnsi="Arial" w:cs="Arial"/>
          <w:bCs/>
          <w:sz w:val="20"/>
          <w:szCs w:val="20"/>
          <w:lang w:val="es-ES"/>
        </w:rPr>
        <w:t xml:space="preserve">En ese sentido, </w:t>
      </w:r>
      <w:r w:rsidR="00344047" w:rsidRPr="00344047">
        <w:rPr>
          <w:rFonts w:ascii="Arial" w:eastAsia="Calibri" w:hAnsi="Arial" w:cs="Arial"/>
          <w:bCs/>
          <w:sz w:val="20"/>
          <w:szCs w:val="20"/>
          <w:lang w:val="es-ES"/>
        </w:rPr>
        <w:t>el hecho de que el proceso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w:t>
      </w:r>
      <w:r w:rsidR="00644A29">
        <w:rPr>
          <w:rFonts w:ascii="Arial" w:eastAsia="Calibri" w:hAnsi="Arial" w:cs="Arial"/>
          <w:bCs/>
          <w:sz w:val="20"/>
          <w:szCs w:val="20"/>
          <w:lang w:val="es-ES"/>
        </w:rPr>
        <w:t xml:space="preserve"> </w:t>
      </w:r>
    </w:p>
    <w:p w14:paraId="26085E41" w14:textId="77777777" w:rsidR="00644A29" w:rsidRDefault="00644A29" w:rsidP="00644A29">
      <w:pPr>
        <w:tabs>
          <w:tab w:val="left" w:pos="0"/>
        </w:tabs>
        <w:jc w:val="both"/>
        <w:rPr>
          <w:rFonts w:ascii="Arial" w:eastAsia="Calibri" w:hAnsi="Arial" w:cs="Arial"/>
          <w:bCs/>
          <w:sz w:val="20"/>
          <w:szCs w:val="20"/>
          <w:lang w:val="es-ES"/>
        </w:rPr>
      </w:pPr>
    </w:p>
    <w:p w14:paraId="746ACE36" w14:textId="77777777" w:rsidR="00644A29" w:rsidRDefault="00644A29" w:rsidP="00644A29">
      <w:pPr>
        <w:tabs>
          <w:tab w:val="left" w:pos="0"/>
        </w:tabs>
        <w:jc w:val="both"/>
        <w:rPr>
          <w:rFonts w:ascii="Arial" w:eastAsia="Calibri" w:hAnsi="Arial" w:cs="Arial"/>
          <w:bCs/>
          <w:sz w:val="20"/>
          <w:szCs w:val="20"/>
          <w:lang w:val="es-ES"/>
        </w:rPr>
      </w:pPr>
    </w:p>
    <w:p w14:paraId="0753E17D" w14:textId="77777777" w:rsidR="00644A29" w:rsidRDefault="00644A29" w:rsidP="00644A29">
      <w:pPr>
        <w:tabs>
          <w:tab w:val="left" w:pos="0"/>
        </w:tabs>
        <w:jc w:val="both"/>
        <w:rPr>
          <w:rFonts w:ascii="Arial" w:eastAsia="Calibri" w:hAnsi="Arial" w:cs="Arial"/>
          <w:bCs/>
          <w:sz w:val="20"/>
          <w:szCs w:val="20"/>
          <w:lang w:val="es-ES"/>
        </w:rPr>
      </w:pPr>
    </w:p>
    <w:p w14:paraId="2C371D07" w14:textId="77777777" w:rsidR="00644A29" w:rsidRDefault="00644A29" w:rsidP="00644A29">
      <w:pPr>
        <w:tabs>
          <w:tab w:val="left" w:pos="0"/>
        </w:tabs>
        <w:jc w:val="both"/>
        <w:rPr>
          <w:rFonts w:ascii="Arial" w:eastAsia="Calibri" w:hAnsi="Arial" w:cs="Arial"/>
          <w:bCs/>
          <w:sz w:val="20"/>
          <w:szCs w:val="20"/>
          <w:lang w:val="es-ES"/>
        </w:rPr>
      </w:pPr>
    </w:p>
    <w:p w14:paraId="075752AB" w14:textId="77777777" w:rsidR="00644A29" w:rsidRDefault="00644A29" w:rsidP="00644A29">
      <w:pPr>
        <w:tabs>
          <w:tab w:val="left" w:pos="0"/>
        </w:tabs>
        <w:jc w:val="both"/>
        <w:rPr>
          <w:rFonts w:ascii="Arial" w:eastAsia="Calibri" w:hAnsi="Arial" w:cs="Arial"/>
          <w:bCs/>
          <w:sz w:val="20"/>
          <w:szCs w:val="20"/>
          <w:lang w:val="es-ES"/>
        </w:rPr>
      </w:pPr>
    </w:p>
    <w:p w14:paraId="487138F6" w14:textId="4D9DACF5" w:rsidR="00FD19D9" w:rsidRPr="00FD19D9" w:rsidRDefault="002B7551" w:rsidP="00644A29">
      <w:pPr>
        <w:tabs>
          <w:tab w:val="left" w:pos="0"/>
        </w:tabs>
        <w:jc w:val="both"/>
        <w:rPr>
          <w:rFonts w:ascii="Arial" w:hAnsi="Arial" w:cs="Arial"/>
          <w:color w:val="000000"/>
          <w:sz w:val="22"/>
          <w:lang w:val="es-CO"/>
        </w:rPr>
      </w:pPr>
      <w:r>
        <w:rPr>
          <w:rFonts w:ascii="Arial" w:eastAsia="Calibri" w:hAnsi="Arial" w:cs="Arial"/>
          <w:bCs/>
          <w:sz w:val="20"/>
          <w:szCs w:val="20"/>
          <w:lang w:val="es-ES"/>
        </w:rPr>
        <w:br w:type="page"/>
      </w:r>
      <w:bookmarkStart w:id="2" w:name="_Hlk59003862"/>
      <w:r w:rsidR="00FD19D9" w:rsidRPr="00FD19D9">
        <w:rPr>
          <w:rFonts w:ascii="Arial" w:hAnsi="Arial" w:cs="Arial"/>
          <w:color w:val="000000"/>
          <w:sz w:val="22"/>
          <w:lang w:val="es-CO"/>
        </w:rPr>
        <w:lastRenderedPageBreak/>
        <w:t xml:space="preserve">Bogotá D.C., </w:t>
      </w:r>
      <w:r w:rsidR="00FD19D9" w:rsidRPr="00FD19D9">
        <w:rPr>
          <w:rFonts w:ascii="Arial" w:hAnsi="Arial" w:cs="Arial"/>
          <w:b/>
          <w:bCs/>
          <w:color w:val="000000"/>
          <w:sz w:val="22"/>
          <w:lang w:val="es-CO"/>
        </w:rPr>
        <w:t xml:space="preserve">16/12/2020 Hora 9:48:54s </w:t>
      </w:r>
    </w:p>
    <w:p w14:paraId="0B1947E3" w14:textId="2C966C7F" w:rsidR="002B7551" w:rsidRDefault="00FD19D9" w:rsidP="00FD19D9">
      <w:pPr>
        <w:jc w:val="right"/>
        <w:rPr>
          <w:rFonts w:ascii="Arial" w:hAnsi="Arial" w:cs="Arial"/>
          <w:b/>
          <w:bCs/>
          <w:color w:val="000000"/>
          <w:sz w:val="22"/>
          <w:lang w:val="es-CO"/>
        </w:rPr>
      </w:pPr>
      <w:proofErr w:type="spellStart"/>
      <w:r w:rsidRPr="00FD19D9">
        <w:rPr>
          <w:rFonts w:ascii="Arial" w:hAnsi="Arial" w:cs="Arial"/>
          <w:b/>
          <w:bCs/>
          <w:color w:val="000000"/>
          <w:sz w:val="22"/>
          <w:lang w:val="es-CO"/>
        </w:rPr>
        <w:t>N°</w:t>
      </w:r>
      <w:proofErr w:type="spellEnd"/>
      <w:r w:rsidRPr="00FD19D9">
        <w:rPr>
          <w:rFonts w:ascii="Arial" w:hAnsi="Arial" w:cs="Arial"/>
          <w:b/>
          <w:bCs/>
          <w:color w:val="000000"/>
          <w:sz w:val="22"/>
          <w:lang w:val="es-CO"/>
        </w:rPr>
        <w:t xml:space="preserve"> Radicado: 2202013000012027</w:t>
      </w:r>
    </w:p>
    <w:p w14:paraId="2E3F368C" w14:textId="77777777" w:rsidR="00FD19D9" w:rsidRPr="00FD19D9" w:rsidRDefault="00FD19D9" w:rsidP="00FD19D9">
      <w:pPr>
        <w:autoSpaceDE w:val="0"/>
        <w:autoSpaceDN w:val="0"/>
        <w:adjustRightInd w:val="0"/>
        <w:rPr>
          <w:rFonts w:ascii="Arial" w:hAnsi="Arial" w:cs="Arial"/>
          <w:color w:val="000000"/>
          <w:sz w:val="22"/>
          <w:lang w:val="es-CO"/>
        </w:rPr>
      </w:pPr>
      <w:r w:rsidRPr="00FD19D9">
        <w:rPr>
          <w:rFonts w:ascii="Arial" w:hAnsi="Arial" w:cs="Arial"/>
          <w:color w:val="000000"/>
          <w:szCs w:val="24"/>
          <w:lang w:val="es-CO"/>
        </w:rPr>
        <w:t xml:space="preserve"> </w:t>
      </w:r>
      <w:r w:rsidRPr="00FD19D9">
        <w:rPr>
          <w:rFonts w:ascii="Arial" w:hAnsi="Arial" w:cs="Arial"/>
          <w:color w:val="000000"/>
          <w:sz w:val="22"/>
          <w:lang w:val="es-CO"/>
        </w:rPr>
        <w:t xml:space="preserve">Bogotá D.C., </w:t>
      </w:r>
      <w:r w:rsidRPr="00FD19D9">
        <w:rPr>
          <w:rFonts w:ascii="Arial" w:hAnsi="Arial" w:cs="Arial"/>
          <w:b/>
          <w:bCs/>
          <w:color w:val="000000"/>
          <w:sz w:val="22"/>
          <w:lang w:val="es-CO"/>
        </w:rPr>
        <w:t xml:space="preserve">16/12/2020 Hora 9:53:1s </w:t>
      </w:r>
    </w:p>
    <w:p w14:paraId="44FB9930" w14:textId="3D8C8D38" w:rsidR="002B7551" w:rsidRDefault="00FD19D9" w:rsidP="00FD19D9">
      <w:pPr>
        <w:jc w:val="right"/>
        <w:rPr>
          <w:rFonts w:ascii="Arial" w:hAnsi="Arial" w:cs="Arial"/>
          <w:b/>
          <w:bCs/>
          <w:color w:val="000000"/>
          <w:sz w:val="22"/>
          <w:lang w:val="es-CO"/>
        </w:rPr>
      </w:pPr>
      <w:proofErr w:type="spellStart"/>
      <w:r w:rsidRPr="00FD19D9">
        <w:rPr>
          <w:rFonts w:ascii="Arial" w:hAnsi="Arial" w:cs="Arial"/>
          <w:b/>
          <w:bCs/>
          <w:color w:val="000000"/>
          <w:sz w:val="22"/>
          <w:lang w:val="es-CO"/>
        </w:rPr>
        <w:t>N°</w:t>
      </w:r>
      <w:proofErr w:type="spellEnd"/>
      <w:r w:rsidRPr="00FD19D9">
        <w:rPr>
          <w:rFonts w:ascii="Arial" w:hAnsi="Arial" w:cs="Arial"/>
          <w:b/>
          <w:bCs/>
          <w:color w:val="000000"/>
          <w:sz w:val="22"/>
          <w:lang w:val="es-CO"/>
        </w:rPr>
        <w:t xml:space="preserve"> Radicado: 2202013000012028</w:t>
      </w:r>
    </w:p>
    <w:p w14:paraId="5412771B" w14:textId="77777777" w:rsidR="007A07C2" w:rsidRDefault="007A07C2" w:rsidP="00FD19D9">
      <w:pPr>
        <w:jc w:val="right"/>
        <w:rPr>
          <w:rFonts w:ascii="Arial" w:hAnsi="Arial" w:cs="Arial"/>
          <w:b/>
          <w:bCs/>
          <w:color w:val="000000"/>
          <w:sz w:val="22"/>
          <w:lang w:val="es-CO"/>
        </w:rPr>
      </w:pPr>
    </w:p>
    <w:p w14:paraId="1AAC8846" w14:textId="2C193A29" w:rsidR="00FD19D9" w:rsidRDefault="007A07C2" w:rsidP="007A07C2">
      <w:pPr>
        <w:rPr>
          <w:rFonts w:ascii="Arial" w:hAnsi="Arial" w:cs="Arial"/>
          <w:b/>
          <w:bCs/>
          <w:color w:val="000000"/>
          <w:sz w:val="22"/>
          <w:lang w:val="es-CO"/>
        </w:rPr>
      </w:pPr>
      <w:r>
        <w:rPr>
          <w:rFonts w:ascii="ArialMT" w:hAnsi="ArialMT" w:cs="ArialMT"/>
          <w:color w:val="4E4D4D"/>
          <w:sz w:val="22"/>
          <w:lang w:val="es-CO"/>
        </w:rPr>
        <w:t xml:space="preserve">Bogotá, 16 </w:t>
      </w:r>
      <w:proofErr w:type="gramStart"/>
      <w:r>
        <w:rPr>
          <w:rFonts w:ascii="ArialMT" w:hAnsi="ArialMT" w:cs="ArialMT"/>
          <w:color w:val="4E4D4D"/>
          <w:sz w:val="22"/>
          <w:lang w:val="es-CO"/>
        </w:rPr>
        <w:t>Diciembre</w:t>
      </w:r>
      <w:proofErr w:type="gramEnd"/>
      <w:r>
        <w:rPr>
          <w:rFonts w:ascii="ArialMT" w:hAnsi="ArialMT" w:cs="ArialMT"/>
          <w:color w:val="4E4D4D"/>
          <w:sz w:val="22"/>
          <w:lang w:val="es-CO"/>
        </w:rPr>
        <w:t xml:space="preserve"> 2020</w:t>
      </w:r>
    </w:p>
    <w:p w14:paraId="2DD16B7F" w14:textId="1569615C" w:rsidR="00FD19D9" w:rsidRDefault="007A07C2" w:rsidP="00FD19D9">
      <w:pPr>
        <w:jc w:val="right"/>
        <w:rPr>
          <w:rFonts w:ascii="Arial" w:eastAsia="Calibri" w:hAnsi="Arial" w:cs="Arial"/>
          <w:sz w:val="22"/>
        </w:rPr>
      </w:pPr>
      <w:r>
        <w:rPr>
          <w:rFonts w:ascii="Arial" w:eastAsia="Calibri" w:hAnsi="Arial" w:cs="Arial"/>
          <w:noProof/>
          <w:sz w:val="22"/>
        </w:rPr>
        <w:drawing>
          <wp:inline distT="0" distB="0" distL="0" distR="0" wp14:anchorId="101FB2A8" wp14:editId="75F2943E">
            <wp:extent cx="1991032" cy="592506"/>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567" cy="610521"/>
                    </a:xfrm>
                    <a:prstGeom prst="rect">
                      <a:avLst/>
                    </a:prstGeom>
                    <a:noFill/>
                    <a:ln>
                      <a:noFill/>
                    </a:ln>
                  </pic:spPr>
                </pic:pic>
              </a:graphicData>
            </a:graphic>
          </wp:inline>
        </w:drawing>
      </w:r>
    </w:p>
    <w:p w14:paraId="20DDCFCF" w14:textId="71F71A06" w:rsidR="00FD19D9" w:rsidRDefault="00FD19D9" w:rsidP="00986D6F">
      <w:pPr>
        <w:rPr>
          <w:rFonts w:ascii="Arial" w:eastAsia="Calibri" w:hAnsi="Arial" w:cs="Arial"/>
          <w:sz w:val="22"/>
        </w:rPr>
      </w:pPr>
    </w:p>
    <w:p w14:paraId="2FAE4341" w14:textId="4B56DDD1" w:rsidR="00FD19D9" w:rsidRDefault="00FD19D9" w:rsidP="00986D6F">
      <w:pPr>
        <w:rPr>
          <w:rFonts w:ascii="Arial" w:eastAsia="Calibri" w:hAnsi="Arial" w:cs="Arial"/>
          <w:sz w:val="22"/>
        </w:rPr>
      </w:pPr>
    </w:p>
    <w:p w14:paraId="5E888685" w14:textId="77777777" w:rsidR="00FD19D9" w:rsidRDefault="00FD19D9" w:rsidP="00986D6F">
      <w:pPr>
        <w:rPr>
          <w:rFonts w:ascii="Arial" w:eastAsia="Calibri" w:hAnsi="Arial" w:cs="Arial"/>
          <w:sz w:val="22"/>
        </w:rPr>
      </w:pPr>
    </w:p>
    <w:p w14:paraId="30B7C063" w14:textId="63E78C3B" w:rsidR="00986D6F" w:rsidRPr="00C95C66" w:rsidRDefault="00986D6F" w:rsidP="00986D6F">
      <w:pPr>
        <w:rPr>
          <w:rFonts w:ascii="Arial" w:eastAsia="Calibri" w:hAnsi="Arial" w:cs="Arial"/>
          <w:sz w:val="22"/>
        </w:rPr>
      </w:pPr>
      <w:r w:rsidRPr="00C95C66">
        <w:rPr>
          <w:rFonts w:ascii="Arial" w:eastAsia="Calibri" w:hAnsi="Arial" w:cs="Arial"/>
          <w:sz w:val="22"/>
        </w:rPr>
        <w:t>Señor</w:t>
      </w:r>
    </w:p>
    <w:p w14:paraId="5C1896FD" w14:textId="3159DBDF" w:rsidR="00C95430" w:rsidRPr="00C95C66" w:rsidRDefault="00C95430" w:rsidP="00986D6F">
      <w:pPr>
        <w:rPr>
          <w:rFonts w:ascii="Arial" w:eastAsia="Calibri" w:hAnsi="Arial" w:cs="Arial"/>
          <w:b/>
          <w:sz w:val="22"/>
        </w:rPr>
      </w:pPr>
      <w:r w:rsidRPr="00C95C66">
        <w:rPr>
          <w:rFonts w:ascii="Arial" w:eastAsia="Calibri" w:hAnsi="Arial" w:cs="Arial"/>
          <w:b/>
          <w:sz w:val="22"/>
        </w:rPr>
        <w:t>Hugo Armando Granja</w:t>
      </w:r>
    </w:p>
    <w:p w14:paraId="3714FC36" w14:textId="55B9977D" w:rsidR="00986D6F" w:rsidRPr="00C95C66" w:rsidRDefault="00C95430" w:rsidP="00986D6F">
      <w:pPr>
        <w:rPr>
          <w:rFonts w:ascii="Arial" w:eastAsia="Calibri" w:hAnsi="Arial" w:cs="Arial"/>
          <w:sz w:val="22"/>
        </w:rPr>
      </w:pPr>
      <w:r w:rsidRPr="00C95C66">
        <w:rPr>
          <w:rFonts w:ascii="Arial" w:eastAsia="Calibri" w:hAnsi="Arial" w:cs="Arial"/>
          <w:sz w:val="22"/>
        </w:rPr>
        <w:t>Pasto, Nariño</w:t>
      </w:r>
      <w:r w:rsidR="00986D6F" w:rsidRPr="00C95C66">
        <w:rPr>
          <w:rFonts w:ascii="Arial" w:eastAsia="Calibri" w:hAnsi="Arial" w:cs="Arial"/>
          <w:sz w:val="22"/>
        </w:rPr>
        <w:t>.</w:t>
      </w:r>
    </w:p>
    <w:p w14:paraId="3B1C6A80" w14:textId="77777777" w:rsidR="00986D6F" w:rsidRPr="00C95C66" w:rsidRDefault="00986D6F" w:rsidP="00986D6F">
      <w:pPr>
        <w:rPr>
          <w:rFonts w:ascii="Arial" w:eastAsia="Calibri" w:hAnsi="Arial" w:cs="Arial"/>
          <w:sz w:val="22"/>
        </w:rPr>
      </w:pPr>
    </w:p>
    <w:p w14:paraId="4C2E83E5" w14:textId="6DF8E5E7" w:rsidR="00986D6F" w:rsidRPr="00C95C66" w:rsidRDefault="002B7551" w:rsidP="002B29CC">
      <w:pPr>
        <w:rPr>
          <w:rFonts w:ascii="Arial" w:eastAsia="Calibri" w:hAnsi="Arial" w:cs="Arial"/>
          <w:b/>
          <w:sz w:val="22"/>
        </w:rPr>
      </w:pPr>
      <w:r>
        <w:rPr>
          <w:rFonts w:ascii="Arial" w:eastAsia="Calibri" w:hAnsi="Arial" w:cs="Arial"/>
          <w:b/>
          <w:sz w:val="22"/>
        </w:rPr>
        <w:t xml:space="preserve">                                            </w:t>
      </w:r>
      <w:r w:rsidR="00986D6F" w:rsidRPr="00C95C66">
        <w:rPr>
          <w:rFonts w:ascii="Arial" w:eastAsia="Calibri" w:hAnsi="Arial" w:cs="Arial"/>
          <w:b/>
          <w:sz w:val="22"/>
        </w:rPr>
        <w:t xml:space="preserve">Concepto C </w:t>
      </w:r>
      <w:r>
        <w:rPr>
          <w:rFonts w:ascii="Arial" w:eastAsia="Calibri" w:hAnsi="Arial" w:cs="Arial"/>
          <w:b/>
          <w:sz w:val="22"/>
        </w:rPr>
        <w:t>–</w:t>
      </w:r>
      <w:r w:rsidR="00986D6F" w:rsidRPr="00C95C66">
        <w:rPr>
          <w:rFonts w:ascii="Arial" w:eastAsia="Calibri" w:hAnsi="Arial" w:cs="Arial"/>
          <w:b/>
          <w:sz w:val="22"/>
        </w:rPr>
        <w:t xml:space="preserve"> </w:t>
      </w:r>
      <w:r w:rsidRPr="002B29CC">
        <w:rPr>
          <w:rFonts w:ascii="Arial" w:eastAsia="Calibri" w:hAnsi="Arial" w:cs="Arial"/>
          <w:b/>
          <w:sz w:val="22"/>
        </w:rPr>
        <w:t>734</w:t>
      </w:r>
      <w:r w:rsidR="00986D6F" w:rsidRPr="00C95C66">
        <w:rPr>
          <w:rFonts w:ascii="Arial" w:eastAsia="Calibri" w:hAnsi="Arial" w:cs="Arial"/>
          <w:b/>
          <w:sz w:val="22"/>
        </w:rPr>
        <w:t xml:space="preserve"> de 2020</w:t>
      </w:r>
    </w:p>
    <w:p w14:paraId="60C2D395" w14:textId="77777777" w:rsidR="00986D6F" w:rsidRPr="00C95C66" w:rsidRDefault="00986D6F" w:rsidP="00986D6F">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95C66" w:rsidRPr="00C95C66" w14:paraId="5DD17198" w14:textId="77777777" w:rsidTr="00FB0BC1">
        <w:tc>
          <w:tcPr>
            <w:tcW w:w="2689" w:type="dxa"/>
            <w:hideMark/>
          </w:tcPr>
          <w:p w14:paraId="2D3BF5DD" w14:textId="77777777" w:rsidR="00986D6F" w:rsidRPr="00C95C66" w:rsidRDefault="00986D6F" w:rsidP="00FB0BC1">
            <w:pPr>
              <w:rPr>
                <w:rFonts w:ascii="Arial" w:eastAsia="Calibri" w:hAnsi="Arial" w:cs="Arial"/>
                <w:sz w:val="22"/>
              </w:rPr>
            </w:pPr>
            <w:r w:rsidRPr="00C95C66">
              <w:rPr>
                <w:rFonts w:ascii="Arial" w:eastAsia="Calibri" w:hAnsi="Arial" w:cs="Arial"/>
                <w:b/>
                <w:sz w:val="22"/>
              </w:rPr>
              <w:t>Temas:</w:t>
            </w:r>
            <w:r w:rsidRPr="00C95C66">
              <w:rPr>
                <w:rFonts w:ascii="Arial" w:eastAsia="Calibri" w:hAnsi="Arial" w:cs="Arial"/>
                <w:sz w:val="22"/>
              </w:rPr>
              <w:t xml:space="preserve">              </w:t>
            </w:r>
          </w:p>
        </w:tc>
        <w:tc>
          <w:tcPr>
            <w:tcW w:w="6237" w:type="dxa"/>
            <w:hideMark/>
          </w:tcPr>
          <w:p w14:paraId="7053E6FD" w14:textId="77777777" w:rsidR="00986D6F" w:rsidRPr="00C95C66" w:rsidRDefault="00986D6F" w:rsidP="002B29CC">
            <w:pPr>
              <w:spacing w:after="120"/>
              <w:jc w:val="both"/>
              <w:rPr>
                <w:rFonts w:ascii="Arial" w:eastAsia="Calibri" w:hAnsi="Arial" w:cs="Arial"/>
                <w:sz w:val="22"/>
              </w:rPr>
            </w:pPr>
            <w:r w:rsidRPr="00C95C66">
              <w:rPr>
                <w:rFonts w:ascii="Arial" w:eastAsia="Calibri" w:hAnsi="Arial" w:cs="Arial"/>
                <w:sz w:val="22"/>
              </w:rPr>
              <w:t>MÍNIMA CUANTÍA ― Término para publicar la invitación ― Plazo para presentar ofertas ― Tiempo límite mínimo / DÍAS HÁBILES ― Concepto ― Cómputo de términos — Regla interpretativa</w:t>
            </w:r>
          </w:p>
        </w:tc>
      </w:tr>
      <w:tr w:rsidR="00C95C66" w:rsidRPr="00C95C66" w14:paraId="0E12FA87" w14:textId="77777777" w:rsidTr="00FB0BC1">
        <w:trPr>
          <w:trHeight w:val="225"/>
        </w:trPr>
        <w:tc>
          <w:tcPr>
            <w:tcW w:w="2689" w:type="dxa"/>
          </w:tcPr>
          <w:p w14:paraId="46FFAD75" w14:textId="77777777" w:rsidR="00986D6F" w:rsidRPr="00C95C66" w:rsidRDefault="00986D6F" w:rsidP="00FB0BC1">
            <w:pPr>
              <w:rPr>
                <w:rFonts w:ascii="Arial" w:eastAsia="Calibri" w:hAnsi="Arial" w:cs="Arial"/>
                <w:b/>
                <w:sz w:val="22"/>
              </w:rPr>
            </w:pPr>
            <w:r w:rsidRPr="00C95C66">
              <w:rPr>
                <w:rFonts w:ascii="Arial" w:eastAsia="Calibri" w:hAnsi="Arial" w:cs="Arial"/>
                <w:b/>
                <w:sz w:val="22"/>
              </w:rPr>
              <w:t>Radicación:</w:t>
            </w:r>
            <w:r w:rsidRPr="00C95C66">
              <w:rPr>
                <w:rFonts w:ascii="Arial" w:eastAsia="Calibri" w:hAnsi="Arial" w:cs="Arial"/>
                <w:sz w:val="22"/>
              </w:rPr>
              <w:t xml:space="preserve">                              </w:t>
            </w:r>
          </w:p>
        </w:tc>
        <w:tc>
          <w:tcPr>
            <w:tcW w:w="6237" w:type="dxa"/>
          </w:tcPr>
          <w:p w14:paraId="59AE4828" w14:textId="2B69DEF4" w:rsidR="00986D6F" w:rsidRPr="00C95C66" w:rsidRDefault="00986D6F" w:rsidP="00FB0BC1">
            <w:pPr>
              <w:jc w:val="both"/>
              <w:rPr>
                <w:rFonts w:ascii="Arial" w:eastAsia="Calibri" w:hAnsi="Arial" w:cs="Arial"/>
                <w:sz w:val="22"/>
              </w:rPr>
            </w:pPr>
            <w:r w:rsidRPr="00C95C66">
              <w:rPr>
                <w:rFonts w:ascii="Arial" w:eastAsia="Calibri" w:hAnsi="Arial" w:cs="Arial"/>
                <w:sz w:val="22"/>
              </w:rPr>
              <w:t xml:space="preserve">Respuesta </w:t>
            </w:r>
            <w:r w:rsidR="00591FA1">
              <w:rPr>
                <w:rFonts w:ascii="Arial" w:eastAsia="Calibri" w:hAnsi="Arial" w:cs="Arial"/>
                <w:sz w:val="22"/>
              </w:rPr>
              <w:t xml:space="preserve">a las </w:t>
            </w:r>
            <w:r w:rsidRPr="00C95C66">
              <w:rPr>
                <w:rFonts w:ascii="Arial" w:eastAsia="Calibri" w:hAnsi="Arial" w:cs="Arial"/>
                <w:sz w:val="22"/>
              </w:rPr>
              <w:t>consulta</w:t>
            </w:r>
            <w:r w:rsidR="00591FA1">
              <w:rPr>
                <w:rFonts w:ascii="Arial" w:eastAsia="Calibri" w:hAnsi="Arial" w:cs="Arial"/>
                <w:sz w:val="22"/>
              </w:rPr>
              <w:t>s</w:t>
            </w:r>
            <w:r w:rsidRPr="00C95C66">
              <w:rPr>
                <w:rFonts w:ascii="Arial" w:eastAsia="Calibri" w:hAnsi="Arial" w:cs="Arial"/>
                <w:sz w:val="22"/>
              </w:rPr>
              <w:t xml:space="preserve"> # </w:t>
            </w:r>
            <w:r w:rsidR="00E865DF" w:rsidRPr="00C95C66">
              <w:rPr>
                <w:rFonts w:ascii="Arial" w:eastAsia="Calibri" w:hAnsi="Arial" w:cs="Arial"/>
                <w:sz w:val="22"/>
              </w:rPr>
              <w:t>4202013000009993</w:t>
            </w:r>
            <w:r w:rsidR="00077A92">
              <w:rPr>
                <w:rFonts w:ascii="Arial" w:eastAsia="Calibri" w:hAnsi="Arial" w:cs="Arial"/>
                <w:sz w:val="22"/>
              </w:rPr>
              <w:t xml:space="preserve">, </w:t>
            </w:r>
            <w:r w:rsidR="00E865DF" w:rsidRPr="00C95C66">
              <w:rPr>
                <w:rFonts w:ascii="Arial" w:eastAsia="Calibri" w:hAnsi="Arial" w:cs="Arial"/>
                <w:sz w:val="22"/>
              </w:rPr>
              <w:t>4202013000010000</w:t>
            </w:r>
            <w:r w:rsidR="00077A92">
              <w:rPr>
                <w:rFonts w:ascii="Arial" w:eastAsia="Calibri" w:hAnsi="Arial" w:cs="Arial"/>
                <w:sz w:val="22"/>
              </w:rPr>
              <w:t xml:space="preserve"> y </w:t>
            </w:r>
            <w:r w:rsidR="00077A92" w:rsidRPr="00077A92">
              <w:rPr>
                <w:rFonts w:ascii="Arial" w:eastAsia="Calibri" w:hAnsi="Arial" w:cs="Arial"/>
                <w:sz w:val="22"/>
              </w:rPr>
              <w:t>P20201202000318</w:t>
            </w:r>
            <w:r w:rsidR="00C95C66">
              <w:rPr>
                <w:rFonts w:ascii="Arial" w:eastAsia="Calibri" w:hAnsi="Arial" w:cs="Arial"/>
                <w:sz w:val="22"/>
              </w:rPr>
              <w:t xml:space="preserve"> </w:t>
            </w:r>
            <w:r w:rsidR="00591FA1">
              <w:rPr>
                <w:rFonts w:ascii="Arial" w:eastAsia="Calibri" w:hAnsi="Arial" w:cs="Arial"/>
                <w:sz w:val="22"/>
              </w:rPr>
              <w:t>–</w:t>
            </w:r>
            <w:r w:rsidR="00C95C66">
              <w:rPr>
                <w:rFonts w:ascii="Arial" w:eastAsia="Calibri" w:hAnsi="Arial" w:cs="Arial"/>
                <w:sz w:val="22"/>
              </w:rPr>
              <w:t>Acumulados</w:t>
            </w:r>
            <w:r w:rsidR="00591FA1">
              <w:rPr>
                <w:rFonts w:ascii="Arial" w:eastAsia="Calibri" w:hAnsi="Arial" w:cs="Arial"/>
                <w:sz w:val="22"/>
              </w:rPr>
              <w:t>–</w:t>
            </w:r>
          </w:p>
        </w:tc>
      </w:tr>
    </w:tbl>
    <w:p w14:paraId="3E1D8F04" w14:textId="3EA98FA5" w:rsidR="002B7551" w:rsidRDefault="002B7551" w:rsidP="002B29CC">
      <w:pPr>
        <w:spacing w:line="276" w:lineRule="auto"/>
        <w:rPr>
          <w:rFonts w:ascii="Arial" w:eastAsia="Calibri" w:hAnsi="Arial" w:cs="Arial"/>
          <w:sz w:val="22"/>
        </w:rPr>
      </w:pPr>
    </w:p>
    <w:p w14:paraId="377055EF" w14:textId="77777777" w:rsidR="002B7551" w:rsidRDefault="002B7551" w:rsidP="002B29CC">
      <w:pPr>
        <w:spacing w:line="276" w:lineRule="auto"/>
        <w:rPr>
          <w:rFonts w:ascii="Arial" w:eastAsia="Calibri" w:hAnsi="Arial" w:cs="Arial"/>
          <w:sz w:val="22"/>
        </w:rPr>
      </w:pPr>
    </w:p>
    <w:p w14:paraId="0921D846" w14:textId="0F046A57" w:rsidR="00986D6F" w:rsidRPr="00C95C66" w:rsidRDefault="00986D6F" w:rsidP="002B29CC">
      <w:pPr>
        <w:spacing w:line="276" w:lineRule="auto"/>
        <w:rPr>
          <w:rFonts w:ascii="Arial" w:eastAsia="Calibri" w:hAnsi="Arial" w:cs="Arial"/>
          <w:sz w:val="22"/>
        </w:rPr>
      </w:pPr>
      <w:r w:rsidRPr="00C95C66">
        <w:rPr>
          <w:rFonts w:ascii="Arial" w:eastAsia="Calibri" w:hAnsi="Arial" w:cs="Arial"/>
          <w:sz w:val="22"/>
        </w:rPr>
        <w:t xml:space="preserve">Estimado señor </w:t>
      </w:r>
      <w:r w:rsidR="00E865DF" w:rsidRPr="00C95C66">
        <w:rPr>
          <w:rFonts w:ascii="Arial" w:eastAsia="Calibri" w:hAnsi="Arial" w:cs="Arial"/>
          <w:sz w:val="22"/>
        </w:rPr>
        <w:t>Granja</w:t>
      </w:r>
      <w:r w:rsidRPr="00C95C66">
        <w:rPr>
          <w:rFonts w:ascii="Arial" w:eastAsia="Calibri" w:hAnsi="Arial" w:cs="Arial"/>
          <w:sz w:val="22"/>
        </w:rPr>
        <w:t>,</w:t>
      </w:r>
    </w:p>
    <w:p w14:paraId="7272B6FD" w14:textId="77777777" w:rsidR="00986D6F" w:rsidRPr="00C95C66" w:rsidRDefault="00986D6F" w:rsidP="00986D6F">
      <w:pPr>
        <w:spacing w:line="276" w:lineRule="auto"/>
        <w:jc w:val="both"/>
        <w:rPr>
          <w:rFonts w:ascii="Arial" w:eastAsia="Calibri" w:hAnsi="Arial" w:cs="Arial"/>
          <w:sz w:val="22"/>
        </w:rPr>
      </w:pPr>
    </w:p>
    <w:p w14:paraId="35E305A4" w14:textId="46425C10" w:rsidR="00986D6F" w:rsidRPr="00C95C66" w:rsidRDefault="00986D6F" w:rsidP="00986D6F">
      <w:pPr>
        <w:spacing w:line="276" w:lineRule="auto"/>
        <w:jc w:val="both"/>
        <w:rPr>
          <w:rFonts w:ascii="Arial" w:eastAsia="Calibri" w:hAnsi="Arial" w:cs="Arial"/>
          <w:sz w:val="22"/>
        </w:rPr>
      </w:pPr>
      <w:r w:rsidRPr="00C95C66">
        <w:rPr>
          <w:rFonts w:ascii="Arial" w:eastAsia="Calibri" w:hAnsi="Arial" w:cs="Arial"/>
          <w:sz w:val="22"/>
        </w:rPr>
        <w:t>La Agencia Nacional de Contratación Pública — Colombia Compra Eficiente responde sus consultas de</w:t>
      </w:r>
      <w:r w:rsidR="006964F1" w:rsidRPr="00C95C66">
        <w:rPr>
          <w:rFonts w:ascii="Arial" w:eastAsia="Calibri" w:hAnsi="Arial" w:cs="Arial"/>
          <w:sz w:val="22"/>
        </w:rPr>
        <w:t>l</w:t>
      </w:r>
      <w:r w:rsidRPr="00C95C66">
        <w:rPr>
          <w:rFonts w:ascii="Arial" w:eastAsia="Calibri" w:hAnsi="Arial" w:cs="Arial"/>
          <w:sz w:val="22"/>
        </w:rPr>
        <w:t xml:space="preserve"> </w:t>
      </w:r>
      <w:r w:rsidR="006964F1" w:rsidRPr="00C95C66">
        <w:rPr>
          <w:rFonts w:ascii="Arial" w:eastAsia="Calibri" w:hAnsi="Arial" w:cs="Arial"/>
          <w:sz w:val="22"/>
        </w:rPr>
        <w:t>4</w:t>
      </w:r>
      <w:r w:rsidRPr="00C95C66">
        <w:rPr>
          <w:rFonts w:ascii="Arial" w:eastAsia="Calibri" w:hAnsi="Arial" w:cs="Arial"/>
          <w:sz w:val="22"/>
        </w:rPr>
        <w:t xml:space="preserve"> de </w:t>
      </w:r>
      <w:r w:rsidR="006964F1" w:rsidRPr="00C95C66">
        <w:rPr>
          <w:rFonts w:ascii="Arial" w:eastAsia="Calibri" w:hAnsi="Arial" w:cs="Arial"/>
          <w:sz w:val="22"/>
        </w:rPr>
        <w:t xml:space="preserve">noviembre </w:t>
      </w:r>
      <w:r w:rsidR="00077A92">
        <w:rPr>
          <w:rFonts w:ascii="Arial" w:eastAsia="Calibri" w:hAnsi="Arial" w:cs="Arial"/>
          <w:sz w:val="22"/>
        </w:rPr>
        <w:t>y 1 de diciembre de</w:t>
      </w:r>
      <w:r w:rsidRPr="00C95C66">
        <w:rPr>
          <w:rFonts w:ascii="Arial" w:eastAsia="Calibri" w:hAnsi="Arial" w:cs="Arial"/>
          <w:sz w:val="22"/>
        </w:rPr>
        <w:t xml:space="preserve"> 2020, en ejercicio de la competencia otorgada por el numeral 5 del artículo 3 y por el numeral 8 del artículo 11 del Decreto 4170 de 2011.</w:t>
      </w:r>
    </w:p>
    <w:p w14:paraId="615C369F" w14:textId="77777777" w:rsidR="00986D6F" w:rsidRPr="00C95C66" w:rsidRDefault="00986D6F" w:rsidP="00986D6F">
      <w:pPr>
        <w:spacing w:line="276" w:lineRule="auto"/>
        <w:jc w:val="both"/>
        <w:rPr>
          <w:rFonts w:ascii="Arial" w:eastAsia="Calibri" w:hAnsi="Arial" w:cs="Arial"/>
          <w:sz w:val="22"/>
        </w:rPr>
      </w:pPr>
    </w:p>
    <w:p w14:paraId="29A86DFF" w14:textId="77777777" w:rsidR="00986D6F" w:rsidRPr="00C95C66" w:rsidRDefault="00986D6F" w:rsidP="00986D6F">
      <w:pPr>
        <w:pStyle w:val="Prrafodelista"/>
        <w:numPr>
          <w:ilvl w:val="0"/>
          <w:numId w:val="8"/>
        </w:numPr>
        <w:tabs>
          <w:tab w:val="left" w:pos="284"/>
        </w:tabs>
        <w:spacing w:line="276" w:lineRule="auto"/>
        <w:ind w:left="0" w:firstLine="0"/>
        <w:rPr>
          <w:rFonts w:ascii="Arial" w:eastAsia="Calibri" w:hAnsi="Arial" w:cs="Arial"/>
          <w:b/>
          <w:sz w:val="22"/>
        </w:rPr>
      </w:pPr>
      <w:r w:rsidRPr="00C95C66">
        <w:rPr>
          <w:rFonts w:ascii="Arial" w:eastAsia="Calibri" w:hAnsi="Arial" w:cs="Arial"/>
          <w:b/>
          <w:sz w:val="22"/>
        </w:rPr>
        <w:t>Problemas planteados</w:t>
      </w:r>
    </w:p>
    <w:p w14:paraId="3D908942" w14:textId="4317701D" w:rsidR="00986D6F" w:rsidRPr="00C95C66" w:rsidRDefault="00645221" w:rsidP="00986D6F">
      <w:pPr>
        <w:spacing w:before="120" w:line="276" w:lineRule="auto"/>
        <w:jc w:val="both"/>
        <w:rPr>
          <w:rFonts w:ascii="Arial" w:eastAsia="Calibri" w:hAnsi="Arial" w:cs="Arial"/>
          <w:sz w:val="22"/>
        </w:rPr>
      </w:pPr>
      <w:r w:rsidRPr="00C95C66">
        <w:rPr>
          <w:rFonts w:ascii="Arial" w:eastAsia="Calibri" w:hAnsi="Arial" w:cs="Arial"/>
          <w:sz w:val="22"/>
        </w:rPr>
        <w:t>En la consulta remitida con radicado No. 4202013000009993, se plantea el siguiente interrogante:</w:t>
      </w:r>
    </w:p>
    <w:p w14:paraId="6CEE769A" w14:textId="77777777" w:rsidR="00986D6F" w:rsidRPr="00C95C66" w:rsidRDefault="00986D6F" w:rsidP="00986D6F">
      <w:pPr>
        <w:spacing w:line="276" w:lineRule="auto"/>
        <w:ind w:left="709" w:right="709"/>
        <w:jc w:val="both"/>
        <w:rPr>
          <w:rFonts w:ascii="Arial" w:eastAsia="Calibri" w:hAnsi="Arial" w:cs="Arial"/>
          <w:sz w:val="21"/>
          <w:szCs w:val="21"/>
        </w:rPr>
      </w:pPr>
    </w:p>
    <w:p w14:paraId="1348D2AE" w14:textId="65DDD82E" w:rsidR="00986D6F" w:rsidRPr="00C95C66" w:rsidRDefault="00986D6F" w:rsidP="00986D6F">
      <w:pPr>
        <w:spacing w:line="276" w:lineRule="auto"/>
        <w:ind w:left="709" w:right="709"/>
        <w:jc w:val="both"/>
        <w:rPr>
          <w:rFonts w:ascii="Arial" w:eastAsia="Calibri" w:hAnsi="Arial" w:cs="Arial"/>
          <w:sz w:val="21"/>
          <w:szCs w:val="21"/>
        </w:rPr>
      </w:pPr>
      <w:r w:rsidRPr="00C95C66">
        <w:rPr>
          <w:rFonts w:ascii="Arial" w:eastAsia="Calibri" w:hAnsi="Arial" w:cs="Arial"/>
          <w:sz w:val="21"/>
          <w:szCs w:val="21"/>
        </w:rPr>
        <w:t>«</w:t>
      </w:r>
      <w:r w:rsidR="00960A4A" w:rsidRPr="00C95C66">
        <w:rPr>
          <w:rFonts w:ascii="Arial" w:eastAsia="Calibri" w:hAnsi="Arial" w:cs="Arial"/>
          <w:sz w:val="21"/>
          <w:szCs w:val="21"/>
        </w:rPr>
        <w:t xml:space="preserve">[…] </w:t>
      </w:r>
      <w:r w:rsidR="006964F1" w:rsidRPr="00C95C66">
        <w:rPr>
          <w:rFonts w:ascii="Arial" w:eastAsia="Calibri" w:hAnsi="Arial" w:cs="Arial"/>
          <w:sz w:val="21"/>
          <w:szCs w:val="21"/>
        </w:rPr>
        <w:t xml:space="preserve">El artículo 2.2.1.2.1.5.2 del Decreto 1082 de 2015 establece que la invitación pública de mínima cuantía debe hacerse por un término no inferior a un día hábil. Si una invitación pública se publica en SECOP en un día hábil a las 5:00 </w:t>
      </w:r>
      <w:proofErr w:type="spellStart"/>
      <w:r w:rsidR="006964F1" w:rsidRPr="00C95C66">
        <w:rPr>
          <w:rFonts w:ascii="Arial" w:eastAsia="Calibri" w:hAnsi="Arial" w:cs="Arial"/>
          <w:sz w:val="21"/>
          <w:szCs w:val="21"/>
        </w:rPr>
        <w:t>p.m</w:t>
      </w:r>
      <w:proofErr w:type="spellEnd"/>
      <w:r w:rsidR="006964F1" w:rsidRPr="00C95C66">
        <w:rPr>
          <w:rFonts w:ascii="Arial" w:eastAsia="Calibri" w:hAnsi="Arial" w:cs="Arial"/>
          <w:sz w:val="21"/>
          <w:szCs w:val="21"/>
        </w:rPr>
        <w:t xml:space="preserve"> y en el cronograma se establece que la recepción de ofertas tendrá lugar hasta el día siguiente a las 6:00 p.m., se entendería que se cumple con ese requisito del día hábil como término mínimo para presentar propuestas en </w:t>
      </w:r>
      <w:r w:rsidR="006964F1" w:rsidRPr="00C95C66">
        <w:rPr>
          <w:rFonts w:ascii="Arial" w:eastAsia="Calibri" w:hAnsi="Arial" w:cs="Arial"/>
          <w:sz w:val="21"/>
          <w:szCs w:val="21"/>
        </w:rPr>
        <w:lastRenderedPageBreak/>
        <w:t xml:space="preserve">los procesos de mínima cuantía de que trata el Decreto 1082 de </w:t>
      </w:r>
      <w:proofErr w:type="gramStart"/>
      <w:r w:rsidR="006964F1" w:rsidRPr="00C95C66">
        <w:rPr>
          <w:rFonts w:ascii="Arial" w:eastAsia="Calibri" w:hAnsi="Arial" w:cs="Arial"/>
          <w:sz w:val="21"/>
          <w:szCs w:val="21"/>
        </w:rPr>
        <w:t>2015?.</w:t>
      </w:r>
      <w:proofErr w:type="gramEnd"/>
      <w:r w:rsidR="006964F1" w:rsidRPr="00C95C66">
        <w:rPr>
          <w:rFonts w:ascii="Arial" w:eastAsia="Calibri" w:hAnsi="Arial" w:cs="Arial"/>
          <w:sz w:val="21"/>
          <w:szCs w:val="21"/>
        </w:rPr>
        <w:t xml:space="preserve"> Lo anterior, teniendo en cuenta que la Ley 4 de 1913 establece que se entiende por día hábil un espacio de 24 horas</w:t>
      </w:r>
      <w:r w:rsidR="00960A4A" w:rsidRPr="00C95C66">
        <w:rPr>
          <w:rFonts w:ascii="Arial" w:eastAsia="Calibri" w:hAnsi="Arial" w:cs="Arial"/>
          <w:sz w:val="21"/>
          <w:szCs w:val="21"/>
        </w:rPr>
        <w:t xml:space="preserve"> […]</w:t>
      </w:r>
      <w:r w:rsidRPr="00C95C66">
        <w:rPr>
          <w:rFonts w:ascii="Arial" w:eastAsia="Calibri" w:hAnsi="Arial" w:cs="Arial"/>
          <w:sz w:val="21"/>
          <w:szCs w:val="21"/>
        </w:rPr>
        <w:t>».</w:t>
      </w:r>
    </w:p>
    <w:p w14:paraId="79FC157D" w14:textId="56D14589" w:rsidR="00645221" w:rsidRPr="00C95C66" w:rsidRDefault="00645221" w:rsidP="00986D6F">
      <w:pPr>
        <w:spacing w:line="276" w:lineRule="auto"/>
        <w:ind w:left="709" w:right="709"/>
        <w:jc w:val="both"/>
        <w:rPr>
          <w:rFonts w:ascii="Arial" w:eastAsia="Calibri" w:hAnsi="Arial" w:cs="Arial"/>
          <w:sz w:val="21"/>
          <w:szCs w:val="21"/>
        </w:rPr>
      </w:pPr>
    </w:p>
    <w:p w14:paraId="35656C9E" w14:textId="4FA99FF6" w:rsidR="00645221" w:rsidRPr="004F501F" w:rsidRDefault="00645221" w:rsidP="004F501F">
      <w:pPr>
        <w:spacing w:line="276" w:lineRule="auto"/>
        <w:ind w:right="709" w:firstLine="708"/>
        <w:jc w:val="both"/>
        <w:rPr>
          <w:rFonts w:ascii="Arial" w:eastAsia="Calibri" w:hAnsi="Arial" w:cs="Arial"/>
          <w:sz w:val="22"/>
        </w:rPr>
      </w:pPr>
      <w:r w:rsidRPr="004F501F">
        <w:rPr>
          <w:rFonts w:ascii="Arial" w:eastAsia="Calibri" w:hAnsi="Arial" w:cs="Arial"/>
          <w:sz w:val="22"/>
        </w:rPr>
        <w:t>Por otro lado, en el radicado No. 4202013000010000, pregunta</w:t>
      </w:r>
      <w:r w:rsidR="00591FA1">
        <w:rPr>
          <w:rFonts w:ascii="Arial" w:eastAsia="Calibri" w:hAnsi="Arial" w:cs="Arial"/>
          <w:sz w:val="22"/>
        </w:rPr>
        <w:t xml:space="preserve"> lo siguiente</w:t>
      </w:r>
      <w:r w:rsidRPr="004F501F">
        <w:rPr>
          <w:rFonts w:ascii="Arial" w:eastAsia="Calibri" w:hAnsi="Arial" w:cs="Arial"/>
          <w:sz w:val="22"/>
        </w:rPr>
        <w:t>:</w:t>
      </w:r>
    </w:p>
    <w:p w14:paraId="330BBD4B" w14:textId="6469A4E2" w:rsidR="00645221" w:rsidRPr="00C95C66" w:rsidRDefault="00645221" w:rsidP="00986D6F">
      <w:pPr>
        <w:spacing w:line="276" w:lineRule="auto"/>
        <w:ind w:left="709" w:right="709"/>
        <w:jc w:val="both"/>
        <w:rPr>
          <w:rFonts w:ascii="Arial" w:eastAsia="Calibri" w:hAnsi="Arial" w:cs="Arial"/>
          <w:sz w:val="22"/>
        </w:rPr>
      </w:pPr>
    </w:p>
    <w:p w14:paraId="4B3DCFFB" w14:textId="0ABB3C06" w:rsidR="00645221" w:rsidRPr="00C95C66" w:rsidRDefault="00645221" w:rsidP="00645221">
      <w:pPr>
        <w:spacing w:line="276" w:lineRule="auto"/>
        <w:ind w:left="709" w:right="709"/>
        <w:jc w:val="both"/>
        <w:rPr>
          <w:rFonts w:ascii="Arial" w:eastAsia="Calibri" w:hAnsi="Arial" w:cs="Arial"/>
          <w:sz w:val="21"/>
          <w:szCs w:val="21"/>
        </w:rPr>
      </w:pPr>
      <w:r w:rsidRPr="00C95C66">
        <w:rPr>
          <w:rFonts w:ascii="Arial" w:hAnsi="Arial" w:cs="Arial"/>
          <w:sz w:val="21"/>
          <w:szCs w:val="21"/>
          <w:lang w:val="es-CO"/>
        </w:rPr>
        <w:t>«[…]</w:t>
      </w:r>
      <w:r w:rsidR="00960A4A" w:rsidRPr="00C95C66">
        <w:rPr>
          <w:rFonts w:ascii="Arial" w:hAnsi="Arial" w:cs="Arial"/>
          <w:sz w:val="21"/>
          <w:szCs w:val="21"/>
          <w:lang w:val="es-CO"/>
        </w:rPr>
        <w:t xml:space="preserve"> </w:t>
      </w:r>
      <w:r w:rsidRPr="00C95C66">
        <w:rPr>
          <w:rFonts w:ascii="Arial" w:hAnsi="Arial" w:cs="Arial"/>
          <w:sz w:val="21"/>
          <w:szCs w:val="21"/>
          <w:lang w:val="es-CO"/>
        </w:rPr>
        <w:t xml:space="preserve">Teniendo en cuenta lo establecido por la Ley 4 de 1913 según la cual se entiende por día hábil el espacio de 24 horas, en concordancia con el Decreto 082 de 2015 que plantea en el artículo 2.2.1.2.1.5.2 que en las invitaciones de mínima cuantía debe darse un término no inferior a un día hábil para la presentación de las propuestas, podría entenderse entonces que el plazo mínimo de la fecha de cierre en las invitaciones de mínima cuantía es el día hábil siguiente a la fecha de publicación de la invitación en SECOP?, o por el contrario la fecha de cierre es día hábil subsiguiente al de la publicación de la invitación, teniendo en cuenta que debe dejarse un día hábil completo de 24 horas como mínimo para el cierre del proceso de contratación? </w:t>
      </w:r>
      <w:r w:rsidR="00792836" w:rsidRPr="00C95C66">
        <w:rPr>
          <w:rFonts w:ascii="Arial" w:hAnsi="Arial" w:cs="Arial"/>
          <w:sz w:val="21"/>
          <w:szCs w:val="21"/>
          <w:lang w:val="es-CO"/>
        </w:rPr>
        <w:t>[…]».</w:t>
      </w:r>
    </w:p>
    <w:p w14:paraId="4DB0859B" w14:textId="229DB49D" w:rsidR="006964F1" w:rsidRDefault="006964F1" w:rsidP="00986D6F">
      <w:pPr>
        <w:spacing w:line="276" w:lineRule="auto"/>
        <w:ind w:left="709" w:right="709"/>
        <w:jc w:val="both"/>
        <w:rPr>
          <w:rFonts w:ascii="Arial" w:eastAsia="Calibri" w:hAnsi="Arial" w:cs="Arial"/>
          <w:sz w:val="21"/>
          <w:szCs w:val="21"/>
        </w:rPr>
      </w:pPr>
    </w:p>
    <w:p w14:paraId="17269D17" w14:textId="29A9268C" w:rsidR="00077A92" w:rsidRPr="00077A92" w:rsidRDefault="00077A92" w:rsidP="00077A92">
      <w:pPr>
        <w:spacing w:line="276" w:lineRule="auto"/>
        <w:ind w:firstLine="708"/>
        <w:jc w:val="both"/>
        <w:rPr>
          <w:rFonts w:ascii="Arial" w:eastAsia="Calibri" w:hAnsi="Arial" w:cs="Arial"/>
          <w:sz w:val="22"/>
        </w:rPr>
      </w:pPr>
      <w:r w:rsidRPr="00077A92">
        <w:rPr>
          <w:rFonts w:ascii="Arial" w:eastAsia="Calibri" w:hAnsi="Arial" w:cs="Arial"/>
          <w:sz w:val="22"/>
        </w:rPr>
        <w:t xml:space="preserve">De otra parte, mediante el radicado </w:t>
      </w:r>
      <w:r w:rsidRPr="00077A92">
        <w:rPr>
          <w:rFonts w:ascii="Arial" w:eastAsia="Calibri" w:hAnsi="Arial" w:cs="Arial"/>
          <w:sz w:val="22"/>
        </w:rPr>
        <w:t>P20201202000318</w:t>
      </w:r>
      <w:r w:rsidRPr="00077A92">
        <w:rPr>
          <w:rFonts w:ascii="Arial" w:eastAsia="Calibri" w:hAnsi="Arial" w:cs="Arial"/>
          <w:sz w:val="22"/>
        </w:rPr>
        <w:t xml:space="preserve"> la Procuraduría General de la Nación remitió por competencia la siguiente pregunta elevada por el peticionario</w:t>
      </w:r>
      <w:r>
        <w:rPr>
          <w:rFonts w:ascii="Arial" w:eastAsia="Calibri" w:hAnsi="Arial" w:cs="Arial"/>
          <w:sz w:val="22"/>
        </w:rPr>
        <w:t>:</w:t>
      </w:r>
    </w:p>
    <w:p w14:paraId="7F44DC98" w14:textId="77777777" w:rsidR="00077A92" w:rsidRDefault="00077A92" w:rsidP="00986D6F">
      <w:pPr>
        <w:spacing w:line="276" w:lineRule="auto"/>
        <w:ind w:left="709" w:right="709"/>
        <w:jc w:val="both"/>
      </w:pPr>
    </w:p>
    <w:p w14:paraId="71AC0331" w14:textId="7EE19D20" w:rsidR="00077A92" w:rsidRPr="00077A92" w:rsidRDefault="00077A92" w:rsidP="00986D6F">
      <w:pPr>
        <w:spacing w:line="276" w:lineRule="auto"/>
        <w:ind w:left="709" w:right="709"/>
        <w:jc w:val="both"/>
        <w:rPr>
          <w:rFonts w:ascii="Arial" w:eastAsia="Calibri" w:hAnsi="Arial" w:cs="Arial"/>
          <w:sz w:val="21"/>
          <w:szCs w:val="21"/>
        </w:rPr>
      </w:pPr>
      <w:r w:rsidRPr="00077A92">
        <w:rPr>
          <w:rFonts w:ascii="Arial" w:hAnsi="Arial" w:cs="Arial"/>
          <w:sz w:val="21"/>
          <w:szCs w:val="21"/>
        </w:rPr>
        <w:t>«[</w:t>
      </w:r>
      <w:r w:rsidRPr="00077A92">
        <w:rPr>
          <w:rFonts w:ascii="Arial" w:hAnsi="Arial" w:cs="Arial"/>
          <w:sz w:val="21"/>
          <w:szCs w:val="21"/>
        </w:rPr>
        <w:t>…</w:t>
      </w:r>
      <w:r w:rsidRPr="00077A92">
        <w:rPr>
          <w:rFonts w:ascii="Arial" w:hAnsi="Arial" w:cs="Arial"/>
          <w:sz w:val="21"/>
          <w:szCs w:val="21"/>
        </w:rPr>
        <w:t xml:space="preserve">] </w:t>
      </w:r>
      <w:r w:rsidRPr="00077A92">
        <w:rPr>
          <w:rFonts w:ascii="Arial" w:hAnsi="Arial" w:cs="Arial"/>
          <w:sz w:val="21"/>
          <w:szCs w:val="21"/>
        </w:rPr>
        <w:t xml:space="preserve">EL ARTICULO 2.2.1.2.1.5.2 DEL DECRETO 1082 DE 2015 ESTABLECE QUE EN LA INVITACION PUBLICA DE MINIMA CUANTIA DEBE EXISTIR UN TERMINO NO INFERIOR A UN DIA HABIL ENTRE LA FECHA DE PUBLICACION DE LA INVITACION EN LA PLATAFORMA SECOP Y LA FECHA DE CIERRE DEL PROCESO DE CONTRATACION. EN CONCORDANCIA CON ELLO LA LEY 4 DE 1913 ESTABLECE QUE SE ENTIENDE POR DIA HABIL EL ESPACIO DE 24 HORAS. EN ESE ENTENDIDO, SERIA LEGAL POR EJEMPLO, QUE UNA ENTIDAD PUBLIQUE EL DIA DE HOY A LAS 5 PM UNA INVITACION DE MINIMA CUANTIA Y EXIJE QUE LAS PROPUESTAS SEAN PRESENTADAS HASTA MAXIMO EL DIA DE MAÑANA A LAS 6 </w:t>
      </w:r>
      <w:proofErr w:type="gramStart"/>
      <w:r w:rsidRPr="00077A92">
        <w:rPr>
          <w:rFonts w:ascii="Arial" w:hAnsi="Arial" w:cs="Arial"/>
          <w:sz w:val="21"/>
          <w:szCs w:val="21"/>
        </w:rPr>
        <w:t>PM?.</w:t>
      </w:r>
      <w:proofErr w:type="gramEnd"/>
      <w:r w:rsidRPr="00077A92">
        <w:rPr>
          <w:rFonts w:ascii="Arial" w:hAnsi="Arial" w:cs="Arial"/>
          <w:sz w:val="21"/>
          <w:szCs w:val="21"/>
        </w:rPr>
        <w:t xml:space="preserve"> </w:t>
      </w:r>
      <w:proofErr w:type="gramStart"/>
      <w:r w:rsidRPr="00077A92">
        <w:rPr>
          <w:rFonts w:ascii="Arial" w:hAnsi="Arial" w:cs="Arial"/>
          <w:sz w:val="21"/>
          <w:szCs w:val="21"/>
        </w:rPr>
        <w:t>EN OTRAS PALABRAS, SE ENTIENDE QUE LA FECHA DE CIERRE MINIMA PARA LAS INVITACIONES DE MINIMA CUANTIA ES EL DIA HABIL SIGUIENTE A LA FECHA DE PUBLICACION DE LA INVITACION, O POR EL CONTRARIO ES EL DIA HABIL SUBSIGUIENTE, TENIENDO EN CUENTA QUE DEBE PASAR UN LAPSO MAXIMO DE 24 HORAS, SIN CONTAR EL DIA DE LA PUBLICACION DE LA INVITACION DE MINIMA CUANTIA?</w:t>
      </w:r>
      <w:proofErr w:type="gramEnd"/>
      <w:r w:rsidRPr="00077A92">
        <w:rPr>
          <w:rFonts w:ascii="Arial" w:hAnsi="Arial" w:cs="Arial"/>
          <w:sz w:val="21"/>
          <w:szCs w:val="21"/>
        </w:rPr>
        <w:t xml:space="preserve"> </w:t>
      </w:r>
      <w:r w:rsidRPr="00077A92">
        <w:rPr>
          <w:rFonts w:ascii="Arial" w:hAnsi="Arial" w:cs="Arial"/>
          <w:sz w:val="21"/>
          <w:szCs w:val="21"/>
        </w:rPr>
        <w:t>[</w:t>
      </w:r>
      <w:r w:rsidRPr="00077A92">
        <w:rPr>
          <w:rFonts w:ascii="Arial" w:hAnsi="Arial" w:cs="Arial"/>
          <w:sz w:val="21"/>
          <w:szCs w:val="21"/>
        </w:rPr>
        <w:t>…</w:t>
      </w:r>
      <w:r w:rsidRPr="00077A92">
        <w:rPr>
          <w:rFonts w:ascii="Arial" w:hAnsi="Arial" w:cs="Arial"/>
          <w:sz w:val="21"/>
          <w:szCs w:val="21"/>
        </w:rPr>
        <w:t>]</w:t>
      </w:r>
      <w:r w:rsidRPr="00077A92">
        <w:rPr>
          <w:rFonts w:ascii="Arial" w:hAnsi="Arial" w:cs="Arial"/>
          <w:sz w:val="21"/>
          <w:szCs w:val="21"/>
        </w:rPr>
        <w:t>” (Sic)</w:t>
      </w:r>
      <w:r w:rsidRPr="00077A92">
        <w:rPr>
          <w:rFonts w:ascii="Arial" w:hAnsi="Arial" w:cs="Arial"/>
          <w:sz w:val="21"/>
          <w:szCs w:val="21"/>
        </w:rPr>
        <w:t xml:space="preserve"> […]»</w:t>
      </w:r>
      <w:r>
        <w:rPr>
          <w:rFonts w:ascii="Arial" w:hAnsi="Arial" w:cs="Arial"/>
          <w:sz w:val="21"/>
          <w:szCs w:val="21"/>
        </w:rPr>
        <w:t>.</w:t>
      </w:r>
    </w:p>
    <w:p w14:paraId="7A43F190" w14:textId="77777777" w:rsidR="007A07C2" w:rsidRPr="00C95C66" w:rsidRDefault="007A07C2" w:rsidP="00986D6F">
      <w:pPr>
        <w:spacing w:line="276" w:lineRule="auto"/>
        <w:ind w:left="709" w:right="709"/>
        <w:jc w:val="both"/>
        <w:rPr>
          <w:rFonts w:ascii="Arial" w:eastAsia="Calibri" w:hAnsi="Arial" w:cs="Arial"/>
          <w:sz w:val="21"/>
          <w:szCs w:val="21"/>
        </w:rPr>
      </w:pPr>
    </w:p>
    <w:p w14:paraId="6BC723DE" w14:textId="77777777" w:rsidR="00986D6F" w:rsidRPr="00C95C66" w:rsidRDefault="00986D6F" w:rsidP="00986D6F">
      <w:pPr>
        <w:pStyle w:val="Prrafodelista"/>
        <w:numPr>
          <w:ilvl w:val="0"/>
          <w:numId w:val="8"/>
        </w:numPr>
        <w:tabs>
          <w:tab w:val="left" w:pos="284"/>
        </w:tabs>
        <w:spacing w:line="276" w:lineRule="auto"/>
        <w:ind w:left="0" w:firstLine="0"/>
        <w:rPr>
          <w:rFonts w:ascii="Arial" w:eastAsia="Calibri" w:hAnsi="Arial" w:cs="Arial"/>
          <w:b/>
          <w:sz w:val="22"/>
        </w:rPr>
      </w:pPr>
      <w:r w:rsidRPr="00C95C66">
        <w:rPr>
          <w:rFonts w:ascii="Arial" w:eastAsia="Calibri" w:hAnsi="Arial" w:cs="Arial"/>
          <w:b/>
          <w:sz w:val="22"/>
        </w:rPr>
        <w:t>Consideraciones</w:t>
      </w:r>
    </w:p>
    <w:p w14:paraId="51B7E080" w14:textId="77777777" w:rsidR="00986D6F" w:rsidRPr="00C95C66" w:rsidRDefault="00986D6F" w:rsidP="00986D6F">
      <w:pPr>
        <w:spacing w:line="276" w:lineRule="auto"/>
        <w:jc w:val="both"/>
        <w:rPr>
          <w:rFonts w:ascii="Arial" w:eastAsia="Calibri" w:hAnsi="Arial" w:cs="Arial"/>
          <w:sz w:val="22"/>
        </w:rPr>
      </w:pPr>
    </w:p>
    <w:p w14:paraId="162C7B39" w14:textId="77777777" w:rsidR="00986D6F" w:rsidRPr="00C95C66" w:rsidRDefault="00986D6F" w:rsidP="00986D6F">
      <w:pPr>
        <w:spacing w:after="120" w:line="276" w:lineRule="auto"/>
        <w:jc w:val="both"/>
        <w:rPr>
          <w:rFonts w:ascii="Arial" w:hAnsi="Arial" w:cs="Arial"/>
          <w:sz w:val="22"/>
        </w:rPr>
      </w:pPr>
      <w:r w:rsidRPr="00C95C66">
        <w:rPr>
          <w:rFonts w:ascii="Arial" w:hAnsi="Arial" w:cs="Arial"/>
          <w:sz w:val="22"/>
        </w:rPr>
        <w:t xml:space="preserve">Para responder los interrogantes se realizarán algunas consideraciones en torno a: i) la modalidad de selección de mínima cuantía, su regulación y características del </w:t>
      </w:r>
      <w:r w:rsidRPr="00C95C66">
        <w:rPr>
          <w:rFonts w:ascii="Arial" w:hAnsi="Arial" w:cs="Arial"/>
          <w:sz w:val="22"/>
        </w:rPr>
        <w:lastRenderedPageBreak/>
        <w:t xml:space="preserve">procedimiento; y </w:t>
      </w:r>
      <w:proofErr w:type="spellStart"/>
      <w:r w:rsidRPr="00C95C66">
        <w:rPr>
          <w:rFonts w:ascii="Arial" w:hAnsi="Arial" w:cs="Arial"/>
          <w:sz w:val="22"/>
        </w:rPr>
        <w:t>ii</w:t>
      </w:r>
      <w:proofErr w:type="spellEnd"/>
      <w:r w:rsidRPr="00C95C66">
        <w:rPr>
          <w:rFonts w:ascii="Arial" w:hAnsi="Arial" w:cs="Arial"/>
          <w:sz w:val="22"/>
        </w:rPr>
        <w:t>) el cómputo de los términos de publicidad de la invitación y presentación de ofertas en los procesos de mínima cuantía.</w:t>
      </w:r>
    </w:p>
    <w:p w14:paraId="438002B0" w14:textId="18D83CF8" w:rsidR="00986D6F" w:rsidRPr="00C95C66" w:rsidRDefault="00986D6F" w:rsidP="00986D6F">
      <w:pPr>
        <w:pStyle w:val="Prrafodelista"/>
        <w:spacing w:before="120" w:line="276" w:lineRule="auto"/>
        <w:ind w:left="0" w:firstLine="709"/>
        <w:jc w:val="both"/>
        <w:rPr>
          <w:rFonts w:ascii="Arial" w:hAnsi="Arial" w:cs="Arial"/>
          <w:b/>
          <w:bCs/>
          <w:sz w:val="22"/>
        </w:rPr>
      </w:pPr>
      <w:r w:rsidRPr="00C95C66">
        <w:rPr>
          <w:rFonts w:ascii="Arial" w:hAnsi="Arial" w:cs="Arial"/>
          <w:sz w:val="22"/>
          <w:lang w:val="es-ES_tradnl"/>
        </w:rPr>
        <w:t xml:space="preserve">Para responder a sus preguntas, se tomarán algunas consideraciones realizadas por la </w:t>
      </w:r>
      <w:r w:rsidRPr="00C95C66">
        <w:rPr>
          <w:rFonts w:ascii="Arial" w:eastAsia="Calibri" w:hAnsi="Arial" w:cs="Arial"/>
          <w:sz w:val="22"/>
        </w:rPr>
        <w:t xml:space="preserve">Agencia Nacional de Contratación Pública </w:t>
      </w:r>
      <w:r w:rsidR="004F501F">
        <w:rPr>
          <w:rFonts w:ascii="Arial" w:eastAsia="Calibri" w:hAnsi="Arial" w:cs="Arial"/>
          <w:sz w:val="22"/>
        </w:rPr>
        <w:t>–</w:t>
      </w:r>
      <w:r w:rsidRPr="00C95C66">
        <w:rPr>
          <w:rFonts w:ascii="Arial" w:eastAsia="Calibri" w:hAnsi="Arial" w:cs="Arial"/>
          <w:sz w:val="22"/>
        </w:rPr>
        <w:t xml:space="preserve"> Colombia Compra Eficiente en respuesta </w:t>
      </w:r>
      <w:r w:rsidRPr="00C95C66">
        <w:rPr>
          <w:rFonts w:ascii="Arial" w:hAnsi="Arial" w:cs="Arial"/>
          <w:sz w:val="22"/>
          <w:lang w:val="es-ES_tradnl"/>
        </w:rPr>
        <w:t>a las consultas con radicados C</w:t>
      </w:r>
      <w:r w:rsidR="004F501F">
        <w:rPr>
          <w:rFonts w:ascii="Arial" w:hAnsi="Arial" w:cs="Arial"/>
          <w:sz w:val="22"/>
          <w:lang w:val="es-ES_tradnl"/>
        </w:rPr>
        <w:t>-</w:t>
      </w:r>
      <w:r w:rsidRPr="00C95C66">
        <w:rPr>
          <w:rFonts w:ascii="Arial" w:hAnsi="Arial" w:cs="Arial"/>
          <w:sz w:val="22"/>
          <w:lang w:val="es-ES_tradnl"/>
        </w:rPr>
        <w:t>108 de 6 de febrero de 2020</w:t>
      </w:r>
      <w:r w:rsidR="00960A4A" w:rsidRPr="00C95C66">
        <w:rPr>
          <w:rFonts w:ascii="Arial" w:hAnsi="Arial" w:cs="Arial"/>
          <w:sz w:val="22"/>
          <w:lang w:val="es-ES_tradnl"/>
        </w:rPr>
        <w:t>,</w:t>
      </w:r>
      <w:r w:rsidRPr="00C95C66">
        <w:rPr>
          <w:rFonts w:ascii="Arial" w:hAnsi="Arial" w:cs="Arial"/>
          <w:sz w:val="22"/>
          <w:lang w:val="es-ES_tradnl"/>
        </w:rPr>
        <w:t xml:space="preserve"> C</w:t>
      </w:r>
      <w:r w:rsidR="004F501F">
        <w:rPr>
          <w:rFonts w:ascii="Arial" w:hAnsi="Arial" w:cs="Arial"/>
          <w:sz w:val="22"/>
          <w:lang w:val="es-ES_tradnl"/>
        </w:rPr>
        <w:t>-</w:t>
      </w:r>
      <w:r w:rsidRPr="00C95C66">
        <w:rPr>
          <w:rFonts w:ascii="Arial" w:hAnsi="Arial" w:cs="Arial"/>
          <w:sz w:val="22"/>
          <w:lang w:val="es-ES_tradnl"/>
        </w:rPr>
        <w:t>121 de 12 de febrero de 2020</w:t>
      </w:r>
      <w:r w:rsidR="002B29CC">
        <w:rPr>
          <w:rFonts w:ascii="Arial" w:hAnsi="Arial" w:cs="Arial"/>
          <w:sz w:val="22"/>
          <w:lang w:val="es-ES_tradnl"/>
        </w:rPr>
        <w:t>,</w:t>
      </w:r>
      <w:r w:rsidR="00960A4A" w:rsidRPr="00C95C66">
        <w:rPr>
          <w:rFonts w:ascii="Arial" w:hAnsi="Arial" w:cs="Arial"/>
          <w:sz w:val="22"/>
          <w:lang w:val="es-ES_tradnl"/>
        </w:rPr>
        <w:t xml:space="preserve"> C</w:t>
      </w:r>
      <w:r w:rsidR="004F501F">
        <w:rPr>
          <w:rFonts w:ascii="Arial" w:hAnsi="Arial" w:cs="Arial"/>
          <w:sz w:val="22"/>
          <w:lang w:val="es-ES_tradnl"/>
        </w:rPr>
        <w:t>-</w:t>
      </w:r>
      <w:r w:rsidR="00960A4A" w:rsidRPr="00C95C66">
        <w:rPr>
          <w:rFonts w:ascii="Arial" w:hAnsi="Arial" w:cs="Arial"/>
          <w:sz w:val="22"/>
          <w:lang w:val="es-ES_tradnl"/>
        </w:rPr>
        <w:t xml:space="preserve">160 del </w:t>
      </w:r>
      <w:r w:rsidR="007D4812" w:rsidRPr="00C95C66">
        <w:rPr>
          <w:rFonts w:ascii="Arial" w:hAnsi="Arial" w:cs="Arial"/>
          <w:sz w:val="22"/>
          <w:lang w:val="es-ES_tradnl"/>
        </w:rPr>
        <w:t>3 de abril de 2020,</w:t>
      </w:r>
      <w:r w:rsidR="002B29CC">
        <w:rPr>
          <w:rFonts w:ascii="Arial" w:hAnsi="Arial" w:cs="Arial"/>
          <w:sz w:val="22"/>
          <w:lang w:val="es-ES_tradnl"/>
        </w:rPr>
        <w:t xml:space="preserve"> </w:t>
      </w:r>
      <w:r w:rsidR="002B29CC" w:rsidRPr="002B29CC">
        <w:rPr>
          <w:rFonts w:ascii="Arial" w:hAnsi="Arial" w:cs="Arial"/>
          <w:sz w:val="22"/>
          <w:lang w:val="es-ES_tradnl"/>
        </w:rPr>
        <w:t>C-213 del 3 de junio de 2020, C-419 del 15 de julio de 2020, C-465 del 27 de julio de 2020, C-500 del 3 de agosto de 2020 y C-557 del 21 de agosto de 2020</w:t>
      </w:r>
      <w:r w:rsidR="002B29CC">
        <w:rPr>
          <w:rFonts w:ascii="Arial" w:hAnsi="Arial" w:cs="Arial"/>
          <w:sz w:val="22"/>
          <w:lang w:val="es-ES_tradnl"/>
        </w:rPr>
        <w:t>,</w:t>
      </w:r>
      <w:r w:rsidRPr="00C95C66">
        <w:rPr>
          <w:rFonts w:ascii="Arial" w:hAnsi="Arial" w:cs="Arial"/>
          <w:sz w:val="22"/>
          <w:lang w:val="es-ES_tradnl"/>
        </w:rPr>
        <w:t xml:space="preserve"> en las que se abordaron temas relativos a la modalidad de selección de mínima cuantía</w:t>
      </w:r>
      <w:r w:rsidR="007D4812" w:rsidRPr="00C95C66">
        <w:rPr>
          <w:rFonts w:ascii="Arial" w:hAnsi="Arial" w:cs="Arial"/>
          <w:sz w:val="22"/>
          <w:lang w:val="es-ES_tradnl"/>
        </w:rPr>
        <w:t>,</w:t>
      </w:r>
      <w:r w:rsidRPr="00C95C66">
        <w:rPr>
          <w:rFonts w:ascii="Arial" w:hAnsi="Arial" w:cs="Arial"/>
          <w:sz w:val="22"/>
          <w:lang w:val="es-ES_tradnl"/>
        </w:rPr>
        <w:t xml:space="preserve"> su regulación</w:t>
      </w:r>
      <w:r w:rsidR="007D4812" w:rsidRPr="00C95C66">
        <w:rPr>
          <w:rFonts w:ascii="Arial" w:hAnsi="Arial" w:cs="Arial"/>
          <w:sz w:val="22"/>
          <w:lang w:val="es-ES_tradnl"/>
        </w:rPr>
        <w:t xml:space="preserve"> y la contabilización del término para presentar ofertas. </w:t>
      </w:r>
      <w:r w:rsidRPr="00C95C66">
        <w:rPr>
          <w:rFonts w:ascii="Arial" w:hAnsi="Arial" w:cs="Arial"/>
          <w:sz w:val="22"/>
          <w:lang w:val="es-ES_tradnl"/>
        </w:rPr>
        <w:t xml:space="preserve"> </w:t>
      </w:r>
    </w:p>
    <w:p w14:paraId="0C504B41" w14:textId="77777777" w:rsidR="002B29CC" w:rsidRPr="00C95C66" w:rsidRDefault="002B29CC" w:rsidP="00986D6F">
      <w:pPr>
        <w:pStyle w:val="Prrafodelista"/>
        <w:spacing w:line="276" w:lineRule="auto"/>
        <w:ind w:left="0"/>
        <w:jc w:val="both"/>
        <w:rPr>
          <w:rFonts w:ascii="Arial" w:hAnsi="Arial" w:cs="Arial"/>
          <w:b/>
          <w:bCs/>
          <w:sz w:val="22"/>
        </w:rPr>
      </w:pPr>
    </w:p>
    <w:p w14:paraId="5D391BE5" w14:textId="7BD7E71E" w:rsidR="00986D6F" w:rsidRPr="00C95C66" w:rsidRDefault="00986D6F" w:rsidP="000F3F86">
      <w:pPr>
        <w:pStyle w:val="Prrafodelista"/>
        <w:spacing w:line="276" w:lineRule="auto"/>
        <w:ind w:left="0"/>
        <w:jc w:val="both"/>
        <w:rPr>
          <w:rFonts w:ascii="Arial" w:eastAsia="Calibri" w:hAnsi="Arial" w:cs="Arial"/>
          <w:b/>
          <w:sz w:val="22"/>
          <w:lang w:val="es-ES"/>
        </w:rPr>
      </w:pPr>
      <w:r w:rsidRPr="00C95C66">
        <w:rPr>
          <w:rFonts w:ascii="Arial" w:hAnsi="Arial" w:cs="Arial"/>
          <w:b/>
          <w:bCs/>
          <w:sz w:val="22"/>
        </w:rPr>
        <w:t xml:space="preserve">2.1. </w:t>
      </w:r>
      <w:r w:rsidRPr="00C95C66">
        <w:rPr>
          <w:rFonts w:ascii="Arial" w:eastAsia="Calibri" w:hAnsi="Arial" w:cs="Arial"/>
          <w:b/>
          <w:sz w:val="22"/>
          <w:lang w:val="es-ES"/>
        </w:rPr>
        <w:t xml:space="preserve"> Cómputo de los términos de publicidad de la invitación y presentación de ofertas en los procesos de mínima cuantía</w:t>
      </w:r>
    </w:p>
    <w:p w14:paraId="72EFFAED" w14:textId="77777777" w:rsidR="00986D6F" w:rsidRPr="00C95C66" w:rsidRDefault="00986D6F" w:rsidP="00986D6F">
      <w:pPr>
        <w:pStyle w:val="Prrafodelista"/>
        <w:tabs>
          <w:tab w:val="left" w:pos="0"/>
        </w:tabs>
        <w:spacing w:line="276" w:lineRule="auto"/>
        <w:ind w:left="0"/>
        <w:contextualSpacing w:val="0"/>
        <w:jc w:val="both"/>
        <w:rPr>
          <w:rFonts w:ascii="Arial" w:eastAsia="Calibri" w:hAnsi="Arial" w:cs="Arial"/>
          <w:bCs/>
          <w:sz w:val="22"/>
          <w:lang w:val="es-ES"/>
        </w:rPr>
      </w:pPr>
    </w:p>
    <w:p w14:paraId="7B7A5506" w14:textId="752C4FA6" w:rsidR="00986D6F" w:rsidRPr="00C95C66" w:rsidRDefault="00986D6F" w:rsidP="00986D6F">
      <w:pPr>
        <w:pStyle w:val="Prrafodelista"/>
        <w:tabs>
          <w:tab w:val="left" w:pos="0"/>
        </w:tabs>
        <w:spacing w:after="120" w:line="276" w:lineRule="auto"/>
        <w:ind w:left="0"/>
        <w:contextualSpacing w:val="0"/>
        <w:jc w:val="both"/>
        <w:rPr>
          <w:rFonts w:ascii="Arial" w:eastAsia="Calibri" w:hAnsi="Arial" w:cs="Arial"/>
          <w:bCs/>
          <w:sz w:val="22"/>
          <w:lang w:val="es-ES"/>
        </w:rPr>
      </w:pPr>
      <w:r w:rsidRPr="00C95C66">
        <w:rPr>
          <w:rFonts w:ascii="Arial" w:eastAsia="Calibri" w:hAnsi="Arial" w:cs="Arial"/>
          <w:bCs/>
          <w:sz w:val="22"/>
          <w:lang w:val="es-ES"/>
        </w:rPr>
        <w:t xml:space="preserve">El numeral 5 del artículo 2 de la Ley 1150 de 2007, adicionado por el artículo el artículo 94 de la Ley 1474 de 2011, al regular </w:t>
      </w:r>
      <w:r w:rsidR="000F3F86" w:rsidRPr="00C95C66">
        <w:rPr>
          <w:rFonts w:ascii="Arial" w:eastAsia="Calibri" w:hAnsi="Arial" w:cs="Arial"/>
          <w:bCs/>
          <w:sz w:val="22"/>
          <w:lang w:val="es-ES"/>
        </w:rPr>
        <w:t>la</w:t>
      </w:r>
      <w:r w:rsidRPr="00C95C66">
        <w:rPr>
          <w:rFonts w:ascii="Arial" w:eastAsia="Calibri" w:hAnsi="Arial" w:cs="Arial"/>
          <w:bCs/>
          <w:sz w:val="22"/>
          <w:lang w:val="es-ES"/>
        </w:rPr>
        <w:t xml:space="preserve"> modalidad de selección</w:t>
      </w:r>
      <w:r w:rsidR="000F3F86" w:rsidRPr="00C95C66">
        <w:rPr>
          <w:rFonts w:ascii="Arial" w:eastAsia="Calibri" w:hAnsi="Arial" w:cs="Arial"/>
          <w:bCs/>
          <w:sz w:val="22"/>
          <w:lang w:val="es-ES"/>
        </w:rPr>
        <w:t xml:space="preserve"> de mínima cuantía</w:t>
      </w:r>
      <w:r w:rsidRPr="00C95C66">
        <w:rPr>
          <w:rFonts w:ascii="Arial" w:eastAsia="Calibri" w:hAnsi="Arial" w:cs="Arial"/>
          <w:bCs/>
          <w:sz w:val="22"/>
          <w:lang w:val="es-ES"/>
        </w:rPr>
        <w:t>,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w:t>
      </w:r>
      <w:r w:rsidRPr="00C95C66">
        <w:rPr>
          <w:rStyle w:val="Refdenotaalpie"/>
          <w:rFonts w:ascii="Arial" w:eastAsia="Calibri" w:hAnsi="Arial" w:cs="Arial"/>
          <w:bCs/>
          <w:sz w:val="22"/>
          <w:lang w:val="es-ES"/>
        </w:rPr>
        <w:footnoteReference w:id="2"/>
      </w:r>
      <w:r w:rsidRPr="00C95C66">
        <w:rPr>
          <w:rFonts w:ascii="Arial" w:eastAsia="Calibri" w:hAnsi="Arial" w:cs="Arial"/>
          <w:bCs/>
          <w:sz w:val="22"/>
          <w:lang w:val="es-ES"/>
        </w:rPr>
        <w:t xml:space="preserve">. </w:t>
      </w:r>
    </w:p>
    <w:p w14:paraId="1F1CBBFF" w14:textId="77777777" w:rsidR="00986D6F" w:rsidRPr="00C95C66" w:rsidRDefault="00986D6F" w:rsidP="00986D6F">
      <w:pPr>
        <w:pStyle w:val="Prrafodelista"/>
        <w:tabs>
          <w:tab w:val="left" w:pos="0"/>
        </w:tabs>
        <w:spacing w:after="120" w:line="276" w:lineRule="auto"/>
        <w:ind w:left="0"/>
        <w:contextualSpacing w:val="0"/>
        <w:jc w:val="both"/>
        <w:rPr>
          <w:rFonts w:ascii="Arial" w:eastAsia="Calibri" w:hAnsi="Arial" w:cs="Arial"/>
          <w:bCs/>
          <w:sz w:val="22"/>
          <w:lang w:val="es-ES"/>
        </w:rPr>
      </w:pPr>
      <w:r w:rsidRPr="00C95C66">
        <w:rPr>
          <w:rFonts w:ascii="Arial" w:eastAsia="Calibri" w:hAnsi="Arial" w:cs="Arial"/>
          <w:bCs/>
          <w:sz w:val="22"/>
          <w:lang w:val="es-ES"/>
        </w:rPr>
        <w:tab/>
        <w:t>Por su parte, el artículo 2.2.1.2.1.5.2 del Decreto 1082 de 2015, al reglamentar el procedimiento de esta modalidad de escogencia, establece, en el numeral 3, que «la invitación se hará por un término no inferior a un (1) día hábil»</w:t>
      </w:r>
      <w:r w:rsidRPr="00C95C66">
        <w:rPr>
          <w:rStyle w:val="Refdenotaalpie"/>
          <w:rFonts w:ascii="Arial" w:eastAsia="Calibri" w:hAnsi="Arial" w:cs="Arial"/>
          <w:bCs/>
          <w:sz w:val="22"/>
          <w:lang w:val="es-ES"/>
        </w:rPr>
        <w:footnoteReference w:id="3"/>
      </w:r>
      <w:r w:rsidRPr="00C95C66">
        <w:rPr>
          <w:rFonts w:ascii="Arial" w:eastAsia="Calibri" w:hAnsi="Arial" w:cs="Arial"/>
          <w:bCs/>
          <w:sz w:val="22"/>
          <w:lang w:val="es-ES"/>
        </w:rPr>
        <w:t>.</w:t>
      </w:r>
    </w:p>
    <w:p w14:paraId="2C64E002" w14:textId="43C99A71" w:rsidR="00986D6F" w:rsidRPr="00C95C66" w:rsidRDefault="00986D6F" w:rsidP="00986D6F">
      <w:pPr>
        <w:pStyle w:val="Prrafodelista"/>
        <w:tabs>
          <w:tab w:val="left" w:pos="0"/>
        </w:tabs>
        <w:spacing w:after="120" w:line="276" w:lineRule="auto"/>
        <w:ind w:left="0"/>
        <w:contextualSpacing w:val="0"/>
        <w:jc w:val="both"/>
        <w:rPr>
          <w:rFonts w:ascii="Arial" w:eastAsia="Calibri" w:hAnsi="Arial" w:cs="Arial"/>
          <w:bCs/>
          <w:sz w:val="22"/>
          <w:lang w:val="es-ES"/>
        </w:rPr>
      </w:pPr>
      <w:r w:rsidRPr="00C95C66">
        <w:rPr>
          <w:rFonts w:ascii="Arial" w:eastAsia="Calibri" w:hAnsi="Arial" w:cs="Arial"/>
          <w:bCs/>
          <w:sz w:val="22"/>
          <w:lang w:val="es-ES"/>
        </w:rPr>
        <w:lastRenderedPageBreak/>
        <w:tab/>
        <w:t>En principio, el artículo 2, numeral 5, literales a) y b), de la Ley 1150 de 2007, al regularlos en literales distintos parece diferenciar el término de publicación de la «invitación para ofertar» del plazo previsto para «presentar ofertas»</w:t>
      </w:r>
      <w:r w:rsidR="00592289">
        <w:rPr>
          <w:rFonts w:ascii="Arial" w:eastAsia="Calibri" w:hAnsi="Arial" w:cs="Arial"/>
          <w:bCs/>
          <w:sz w:val="22"/>
          <w:lang w:val="es-ES"/>
        </w:rPr>
        <w:t>.</w:t>
      </w:r>
      <w:r w:rsidR="002B4D1B">
        <w:rPr>
          <w:rFonts w:ascii="Arial" w:eastAsia="Calibri" w:hAnsi="Arial" w:cs="Arial"/>
          <w:bCs/>
          <w:sz w:val="22"/>
          <w:lang w:val="es-ES"/>
        </w:rPr>
        <w:t xml:space="preserve"> </w:t>
      </w:r>
      <w:r w:rsidR="00592289">
        <w:rPr>
          <w:rFonts w:ascii="Arial" w:eastAsia="Calibri" w:hAnsi="Arial" w:cs="Arial"/>
          <w:bCs/>
          <w:sz w:val="22"/>
          <w:lang w:val="es-ES"/>
        </w:rPr>
        <w:t>S</w:t>
      </w:r>
      <w:r w:rsidRPr="00C95C66">
        <w:rPr>
          <w:rFonts w:ascii="Arial" w:eastAsia="Calibri" w:hAnsi="Arial" w:cs="Arial"/>
          <w:bCs/>
          <w:sz w:val="22"/>
          <w:lang w:val="es-ES"/>
        </w:rPr>
        <w:t xml:space="preserve">in embargo, </w:t>
      </w:r>
      <w:r w:rsidR="00EB3D5B" w:rsidRPr="00C95C66">
        <w:rPr>
          <w:rFonts w:ascii="Arial" w:eastAsia="Calibri" w:hAnsi="Arial" w:cs="Arial"/>
          <w:bCs/>
          <w:sz w:val="22"/>
          <w:lang w:val="es-ES"/>
        </w:rPr>
        <w:t xml:space="preserve">ello </w:t>
      </w:r>
      <w:r w:rsidRPr="00C95C66">
        <w:rPr>
          <w:rFonts w:ascii="Arial" w:eastAsia="Calibri" w:hAnsi="Arial" w:cs="Arial"/>
          <w:bCs/>
          <w:sz w:val="22"/>
          <w:lang w:val="es-ES"/>
        </w:rPr>
        <w:t xml:space="preserve">no quiere decir que no puedan coincidir, en la medida en que la finalidad de tal regulación es evitar que en la invitación a ofertar se prevea un plazo para presentar </w:t>
      </w:r>
      <w:proofErr w:type="gramStart"/>
      <w:r w:rsidRPr="00C95C66">
        <w:rPr>
          <w:rFonts w:ascii="Arial" w:eastAsia="Calibri" w:hAnsi="Arial" w:cs="Arial"/>
          <w:bCs/>
          <w:sz w:val="22"/>
          <w:lang w:val="es-ES"/>
        </w:rPr>
        <w:t>ofertas inferior</w:t>
      </w:r>
      <w:proofErr w:type="gramEnd"/>
      <w:r w:rsidRPr="00C95C66">
        <w:rPr>
          <w:rFonts w:ascii="Arial" w:eastAsia="Calibri" w:hAnsi="Arial" w:cs="Arial"/>
          <w:bCs/>
          <w:sz w:val="22"/>
          <w:lang w:val="es-ES"/>
        </w:rPr>
        <w:t xml:space="preserve"> al término durante el cual se mantiene publicada la invitación. </w:t>
      </w:r>
    </w:p>
    <w:p w14:paraId="34F2734F" w14:textId="77777777" w:rsidR="00986D6F" w:rsidRPr="00C95C66" w:rsidRDefault="00986D6F" w:rsidP="00986D6F">
      <w:pPr>
        <w:pStyle w:val="Prrafodelista"/>
        <w:tabs>
          <w:tab w:val="left" w:pos="0"/>
        </w:tabs>
        <w:spacing w:line="276" w:lineRule="auto"/>
        <w:ind w:left="0"/>
        <w:contextualSpacing w:val="0"/>
        <w:jc w:val="both"/>
        <w:rPr>
          <w:rFonts w:ascii="Arial" w:eastAsia="Calibri" w:hAnsi="Arial" w:cs="Arial"/>
          <w:bCs/>
          <w:sz w:val="22"/>
          <w:lang w:val="es-ES"/>
        </w:rPr>
      </w:pPr>
      <w:r w:rsidRPr="00C95C66">
        <w:rPr>
          <w:rFonts w:ascii="Arial" w:eastAsia="Calibri" w:hAnsi="Arial" w:cs="Arial"/>
          <w:bCs/>
          <w:sz w:val="22"/>
          <w:lang w:val="es-ES"/>
        </w:rPr>
        <w:tab/>
        <w:t>En ese orden, el término para presentar ofertas deberá contarse a partir de la publicación de la invitación, el cual, conforme lo determinan las normas señaladas, no podrá ser inferior a un (1) día hábil. Así lo interpretó esta Agencia, en el «Manual de la Modalidad de Selección de Mínima Cuantía»:</w:t>
      </w:r>
    </w:p>
    <w:p w14:paraId="543E7B95" w14:textId="77777777" w:rsidR="00986D6F" w:rsidRPr="00C95C66" w:rsidRDefault="00986D6F" w:rsidP="00986D6F">
      <w:pPr>
        <w:pStyle w:val="Prrafodelista"/>
        <w:tabs>
          <w:tab w:val="left" w:pos="0"/>
        </w:tabs>
        <w:spacing w:line="276" w:lineRule="auto"/>
        <w:ind w:left="0"/>
        <w:contextualSpacing w:val="0"/>
        <w:jc w:val="both"/>
        <w:rPr>
          <w:rFonts w:ascii="Arial" w:eastAsia="Calibri" w:hAnsi="Arial" w:cs="Arial"/>
          <w:bCs/>
          <w:sz w:val="22"/>
          <w:lang w:val="es-ES"/>
        </w:rPr>
      </w:pPr>
      <w:r w:rsidRPr="00C95C66">
        <w:rPr>
          <w:rFonts w:ascii="Arial" w:eastAsia="Calibri" w:hAnsi="Arial" w:cs="Arial"/>
          <w:bCs/>
          <w:sz w:val="22"/>
          <w:lang w:val="es-ES"/>
        </w:rPr>
        <w:tab/>
      </w:r>
    </w:p>
    <w:p w14:paraId="7C17F3D1" w14:textId="77777777" w:rsidR="00986D6F" w:rsidRPr="00C95C66" w:rsidRDefault="00986D6F" w:rsidP="00986D6F">
      <w:pPr>
        <w:pStyle w:val="Prrafodelista"/>
        <w:tabs>
          <w:tab w:val="left" w:pos="0"/>
        </w:tabs>
        <w:ind w:left="709" w:right="709"/>
        <w:contextualSpacing w:val="0"/>
        <w:jc w:val="both"/>
        <w:rPr>
          <w:rFonts w:ascii="Arial" w:hAnsi="Arial" w:cs="Arial"/>
          <w:sz w:val="21"/>
          <w:szCs w:val="21"/>
        </w:rPr>
      </w:pPr>
      <w:r w:rsidRPr="00C95C66">
        <w:rPr>
          <w:rFonts w:ascii="Arial" w:hAnsi="Arial" w:cs="Arial"/>
          <w:sz w:val="21"/>
          <w:szCs w:val="21"/>
        </w:rPr>
        <w:t>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r w:rsidRPr="00C95C66">
        <w:rPr>
          <w:rStyle w:val="Refdenotaalpie"/>
          <w:rFonts w:ascii="Arial" w:hAnsi="Arial" w:cs="Arial"/>
          <w:sz w:val="21"/>
          <w:szCs w:val="21"/>
        </w:rPr>
        <w:footnoteReference w:id="4"/>
      </w:r>
      <w:r w:rsidRPr="00C95C66">
        <w:rPr>
          <w:rFonts w:ascii="Arial" w:hAnsi="Arial" w:cs="Arial"/>
          <w:sz w:val="21"/>
          <w:szCs w:val="21"/>
        </w:rPr>
        <w:t xml:space="preserve">. </w:t>
      </w:r>
    </w:p>
    <w:p w14:paraId="3DF1A052" w14:textId="77777777" w:rsidR="00986D6F" w:rsidRPr="00C95C66" w:rsidRDefault="00986D6F" w:rsidP="00986D6F">
      <w:pPr>
        <w:pStyle w:val="Prrafodelista"/>
        <w:tabs>
          <w:tab w:val="left" w:pos="0"/>
        </w:tabs>
        <w:ind w:left="709" w:right="709"/>
        <w:contextualSpacing w:val="0"/>
        <w:jc w:val="both"/>
        <w:rPr>
          <w:rFonts w:ascii="Arial" w:eastAsia="Calibri" w:hAnsi="Arial" w:cs="Arial"/>
          <w:bCs/>
          <w:sz w:val="21"/>
          <w:szCs w:val="21"/>
          <w:lang w:val="es-ES"/>
        </w:rPr>
      </w:pPr>
    </w:p>
    <w:p w14:paraId="79A04C51" w14:textId="0195F102"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Conviene insistir en que el día hábil al que se refiere la ley es un tiempo mínimo, </w:t>
      </w:r>
      <w:r w:rsidR="00EB3D5B" w:rsidRPr="00C95C66">
        <w:rPr>
          <w:rFonts w:ascii="Arial" w:eastAsia="Calibri" w:hAnsi="Arial" w:cs="Arial"/>
          <w:bCs/>
          <w:sz w:val="22"/>
          <w:lang w:val="es-ES"/>
        </w:rPr>
        <w:t>ya que</w:t>
      </w:r>
      <w:r w:rsidRPr="00C95C66">
        <w:rPr>
          <w:rFonts w:ascii="Arial" w:eastAsia="Calibri" w:hAnsi="Arial" w:cs="Arial"/>
          <w:bCs/>
          <w:sz w:val="22"/>
          <w:lang w:val="es-ES"/>
        </w:rPr>
        <w:t xml:space="preserve"> las entidades tienen la facultad de estructurar procesos con plazos mayores para presentar ofertas, </w:t>
      </w:r>
      <w:r w:rsidR="004D19B5" w:rsidRPr="00C95C66">
        <w:rPr>
          <w:rFonts w:ascii="Arial" w:eastAsia="Calibri" w:hAnsi="Arial" w:cs="Arial"/>
          <w:bCs/>
          <w:sz w:val="22"/>
          <w:lang w:val="es-ES"/>
        </w:rPr>
        <w:t>comoquiera</w:t>
      </w:r>
      <w:r w:rsidRPr="00C95C66">
        <w:rPr>
          <w:rFonts w:ascii="Arial" w:eastAsia="Calibri" w:hAnsi="Arial" w:cs="Arial"/>
          <w:bCs/>
          <w:sz w:val="22"/>
          <w:lang w:val="es-ES"/>
        </w:rPr>
        <w:t xml:space="preserve"> </w:t>
      </w:r>
      <w:r w:rsidR="004D19B5" w:rsidRPr="00C95C66">
        <w:rPr>
          <w:rFonts w:ascii="Arial" w:eastAsia="Calibri" w:hAnsi="Arial" w:cs="Arial"/>
          <w:bCs/>
          <w:sz w:val="22"/>
          <w:lang w:val="es-ES"/>
        </w:rPr>
        <w:t>que</w:t>
      </w:r>
      <w:r w:rsidRPr="00C95C66">
        <w:rPr>
          <w:rFonts w:ascii="Arial" w:eastAsia="Calibri" w:hAnsi="Arial" w:cs="Arial"/>
          <w:bCs/>
          <w:sz w:val="22"/>
          <w:lang w:val="es-ES"/>
        </w:rPr>
        <w:t xml:space="preserve"> la </w:t>
      </w:r>
      <w:r w:rsidR="00552C2A" w:rsidRPr="00C95C66">
        <w:rPr>
          <w:rFonts w:ascii="Arial" w:eastAsia="Calibri" w:hAnsi="Arial" w:cs="Arial"/>
          <w:bCs/>
          <w:sz w:val="22"/>
          <w:lang w:val="es-ES"/>
        </w:rPr>
        <w:t>ley no</w:t>
      </w:r>
      <w:r w:rsidR="004D19B5" w:rsidRPr="00C95C66">
        <w:rPr>
          <w:rFonts w:ascii="Arial" w:eastAsia="Calibri" w:hAnsi="Arial" w:cs="Arial"/>
          <w:bCs/>
          <w:sz w:val="22"/>
          <w:lang w:val="es-ES"/>
        </w:rPr>
        <w:t xml:space="preserve"> determina </w:t>
      </w:r>
      <w:r w:rsidRPr="00C95C66">
        <w:rPr>
          <w:rFonts w:ascii="Arial" w:eastAsia="Calibri" w:hAnsi="Arial" w:cs="Arial"/>
          <w:bCs/>
          <w:sz w:val="22"/>
          <w:lang w:val="es-ES"/>
        </w:rPr>
        <w:t xml:space="preserve">un tiempo máximo, lo cual resulta recomendable para la concurrencia de oferentes, sin perjuicio de la finalidad de esta </w:t>
      </w:r>
      <w:r w:rsidRPr="00C95C66">
        <w:rPr>
          <w:rFonts w:ascii="Arial" w:eastAsia="Calibri" w:hAnsi="Arial" w:cs="Arial"/>
          <w:bCs/>
          <w:sz w:val="22"/>
          <w:lang w:val="es-ES"/>
        </w:rPr>
        <w:lastRenderedPageBreak/>
        <w:t xml:space="preserve">modalidad de selección, que </w:t>
      </w:r>
      <w:r w:rsidR="00552C2A">
        <w:rPr>
          <w:rFonts w:ascii="Arial" w:eastAsia="Calibri" w:hAnsi="Arial" w:cs="Arial"/>
          <w:bCs/>
          <w:sz w:val="22"/>
          <w:lang w:val="es-ES"/>
        </w:rPr>
        <w:t>tiene como objetivo</w:t>
      </w:r>
      <w:r w:rsidRPr="00C95C66">
        <w:rPr>
          <w:rFonts w:ascii="Arial" w:eastAsia="Calibri" w:hAnsi="Arial" w:cs="Arial"/>
          <w:bCs/>
          <w:sz w:val="22"/>
          <w:lang w:val="es-ES"/>
        </w:rPr>
        <w:t xml:space="preserve"> la provisión pronta y ágil de los bienes </w:t>
      </w:r>
      <w:r w:rsidR="00552C2A">
        <w:rPr>
          <w:rFonts w:ascii="Arial" w:eastAsia="Calibri" w:hAnsi="Arial" w:cs="Arial"/>
          <w:bCs/>
          <w:sz w:val="22"/>
          <w:lang w:val="es-ES"/>
        </w:rPr>
        <w:t>solicitados</w:t>
      </w:r>
      <w:r w:rsidR="00552C2A" w:rsidRPr="00C95C66">
        <w:rPr>
          <w:rFonts w:ascii="Arial" w:eastAsia="Calibri" w:hAnsi="Arial" w:cs="Arial"/>
          <w:bCs/>
          <w:sz w:val="22"/>
          <w:lang w:val="es-ES"/>
        </w:rPr>
        <w:t xml:space="preserve"> </w:t>
      </w:r>
      <w:r w:rsidR="004D19B5" w:rsidRPr="00C95C66">
        <w:rPr>
          <w:rFonts w:ascii="Arial" w:eastAsia="Calibri" w:hAnsi="Arial" w:cs="Arial"/>
          <w:bCs/>
          <w:sz w:val="22"/>
          <w:lang w:val="es-ES"/>
        </w:rPr>
        <w:t>por</w:t>
      </w:r>
      <w:r w:rsidRPr="00C95C66">
        <w:rPr>
          <w:rFonts w:ascii="Arial" w:eastAsia="Calibri" w:hAnsi="Arial" w:cs="Arial"/>
          <w:bCs/>
          <w:sz w:val="22"/>
          <w:lang w:val="es-ES"/>
        </w:rPr>
        <w:t xml:space="preserve"> las entidades estatales.</w:t>
      </w:r>
    </w:p>
    <w:p w14:paraId="159CBA29" w14:textId="5540E74D" w:rsidR="00986D6F" w:rsidRPr="00C95C66" w:rsidRDefault="00986D6F" w:rsidP="00986D6F">
      <w:pPr>
        <w:tabs>
          <w:tab w:val="left" w:pos="0"/>
        </w:tabs>
        <w:spacing w:before="120" w:after="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  </w:t>
      </w:r>
      <w:r w:rsidR="009006B0">
        <w:rPr>
          <w:rFonts w:ascii="Arial" w:eastAsia="Calibri" w:hAnsi="Arial" w:cs="Arial"/>
          <w:bCs/>
          <w:sz w:val="22"/>
          <w:lang w:val="es-ES"/>
        </w:rPr>
        <w:t xml:space="preserve">Debe reconocerse que </w:t>
      </w:r>
      <w:r w:rsidR="00F6598A">
        <w:rPr>
          <w:rFonts w:ascii="Arial" w:eastAsia="Calibri" w:hAnsi="Arial" w:cs="Arial"/>
          <w:bCs/>
          <w:sz w:val="22"/>
          <w:lang w:val="es-ES"/>
        </w:rPr>
        <w:t>no existe una acepción unívoca de</w:t>
      </w:r>
      <w:r w:rsidRPr="00C95C66">
        <w:rPr>
          <w:rFonts w:ascii="Arial" w:eastAsia="Calibri" w:hAnsi="Arial" w:cs="Arial"/>
          <w:bCs/>
          <w:sz w:val="22"/>
          <w:lang w:val="es-ES"/>
        </w:rPr>
        <w:t xml:space="preserve"> día hábil</w:t>
      </w:r>
      <w:r w:rsidR="00EE2642">
        <w:rPr>
          <w:rFonts w:ascii="Arial" w:eastAsia="Calibri" w:hAnsi="Arial" w:cs="Arial"/>
          <w:bCs/>
          <w:sz w:val="22"/>
          <w:lang w:val="es-ES"/>
        </w:rPr>
        <w:t>, pues</w:t>
      </w:r>
      <w:r w:rsidRPr="00C95C66">
        <w:rPr>
          <w:rFonts w:ascii="Arial" w:eastAsia="Calibri" w:hAnsi="Arial" w:cs="Arial"/>
          <w:bCs/>
          <w:sz w:val="22"/>
          <w:lang w:val="es-ES"/>
        </w:rPr>
        <w:t xml:space="preserve"> no existe </w:t>
      </w:r>
      <w:r w:rsidR="00C971DF">
        <w:rPr>
          <w:rFonts w:ascii="Arial" w:eastAsia="Calibri" w:hAnsi="Arial" w:cs="Arial"/>
          <w:bCs/>
          <w:sz w:val="22"/>
          <w:lang w:val="es-ES"/>
        </w:rPr>
        <w:t>certidumbre</w:t>
      </w:r>
      <w:r w:rsidRPr="00C95C66">
        <w:rPr>
          <w:rFonts w:ascii="Arial" w:eastAsia="Calibri" w:hAnsi="Arial" w:cs="Arial"/>
          <w:bCs/>
          <w:sz w:val="22"/>
          <w:lang w:val="es-ES"/>
        </w:rPr>
        <w:t xml:space="preserve"> de cuáles son los días de la semana que pueden entenderse </w:t>
      </w:r>
      <w:r w:rsidR="00C971DF">
        <w:rPr>
          <w:rFonts w:ascii="Arial" w:eastAsia="Calibri" w:hAnsi="Arial" w:cs="Arial"/>
          <w:bCs/>
          <w:sz w:val="22"/>
          <w:lang w:val="es-ES"/>
        </w:rPr>
        <w:t xml:space="preserve">como </w:t>
      </w:r>
      <w:r w:rsidRPr="00C95C66">
        <w:rPr>
          <w:rFonts w:ascii="Arial" w:eastAsia="Calibri" w:hAnsi="Arial" w:cs="Arial"/>
          <w:bCs/>
          <w:sz w:val="22"/>
          <w:lang w:val="es-ES"/>
        </w:rPr>
        <w:t xml:space="preserve">hábiles, </w:t>
      </w:r>
      <w:r w:rsidR="00BA7FDC">
        <w:rPr>
          <w:rFonts w:ascii="Arial" w:eastAsia="Calibri" w:hAnsi="Arial" w:cs="Arial"/>
          <w:bCs/>
          <w:sz w:val="22"/>
          <w:lang w:val="es-ES"/>
        </w:rPr>
        <w:t xml:space="preserve">y ello </w:t>
      </w:r>
      <w:r w:rsidRPr="00C95C66">
        <w:rPr>
          <w:rFonts w:ascii="Arial" w:eastAsia="Calibri" w:hAnsi="Arial" w:cs="Arial"/>
          <w:bCs/>
          <w:sz w:val="22"/>
          <w:lang w:val="es-ES"/>
        </w:rPr>
        <w:t xml:space="preserve">en principio posibilita que las entidades regulen de manera disímil los términos de la modalidad de selección que aquí se trata. </w:t>
      </w:r>
    </w:p>
    <w:p w14:paraId="389E7EC0" w14:textId="44010155" w:rsidR="00986D6F" w:rsidRPr="00C95C66" w:rsidRDefault="00986D6F" w:rsidP="00986D6F">
      <w:pPr>
        <w:tabs>
          <w:tab w:val="left" w:pos="0"/>
        </w:tabs>
        <w:spacing w:before="120" w:after="120" w:line="276" w:lineRule="auto"/>
        <w:jc w:val="both"/>
        <w:rPr>
          <w:rFonts w:ascii="Arial" w:eastAsia="Calibri" w:hAnsi="Arial" w:cs="Arial"/>
          <w:bCs/>
          <w:sz w:val="22"/>
          <w:lang w:val="es-ES"/>
        </w:rPr>
      </w:pPr>
      <w:r w:rsidRPr="00C95C66">
        <w:rPr>
          <w:rFonts w:ascii="Arial" w:eastAsia="Calibri" w:hAnsi="Arial" w:cs="Arial"/>
          <w:bCs/>
          <w:sz w:val="22"/>
          <w:lang w:val="es-ES"/>
        </w:rPr>
        <w:tab/>
        <w:t>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C95C66">
        <w:rPr>
          <w:rStyle w:val="Refdenotaalpie"/>
          <w:rFonts w:ascii="Arial" w:eastAsia="Calibri" w:hAnsi="Arial" w:cs="Arial"/>
          <w:bCs/>
          <w:sz w:val="22"/>
          <w:lang w:val="es-ES"/>
        </w:rPr>
        <w:footnoteReference w:id="5"/>
      </w:r>
      <w:r w:rsidRPr="00C95C66">
        <w:rPr>
          <w:rFonts w:ascii="Arial" w:eastAsia="Calibri" w:hAnsi="Arial" w:cs="Arial"/>
          <w:bCs/>
          <w:sz w:val="22"/>
          <w:lang w:val="es-ES"/>
        </w:rPr>
        <w:t>. La última acepción se ajusta al entendimiento normativo</w:t>
      </w:r>
      <w:r w:rsidR="008F104E">
        <w:rPr>
          <w:rFonts w:ascii="Arial" w:eastAsia="Calibri" w:hAnsi="Arial" w:cs="Arial"/>
          <w:bCs/>
          <w:sz w:val="22"/>
          <w:lang w:val="es-ES"/>
        </w:rPr>
        <w:t>.</w:t>
      </w:r>
      <w:r w:rsidRPr="00C95C66">
        <w:rPr>
          <w:rFonts w:ascii="Arial" w:eastAsia="Calibri" w:hAnsi="Arial" w:cs="Arial"/>
          <w:bCs/>
          <w:sz w:val="22"/>
          <w:lang w:val="es-ES"/>
        </w:rPr>
        <w:t xml:space="preserve"> </w:t>
      </w:r>
      <w:r w:rsidR="008F104E">
        <w:rPr>
          <w:rFonts w:ascii="Arial" w:eastAsia="Calibri" w:hAnsi="Arial" w:cs="Arial"/>
          <w:bCs/>
          <w:sz w:val="22"/>
          <w:lang w:val="es-ES"/>
        </w:rPr>
        <w:t>S</w:t>
      </w:r>
      <w:r w:rsidRPr="00C95C66">
        <w:rPr>
          <w:rFonts w:ascii="Arial" w:eastAsia="Calibri" w:hAnsi="Arial" w:cs="Arial"/>
          <w:bCs/>
          <w:sz w:val="22"/>
          <w:lang w:val="es-ES"/>
        </w:rPr>
        <w:t>in embargo, no es suficiente para absolver lo que se indaga, en la medida en que corresponde al ordenamiento jurídico establecer cuáles son los días válidos para realizar las actuaciones.</w:t>
      </w:r>
      <w:r w:rsidRPr="00C95C66">
        <w:rPr>
          <w:rFonts w:ascii="Arial" w:eastAsia="Calibri" w:hAnsi="Arial" w:cs="Arial"/>
          <w:bCs/>
          <w:sz w:val="22"/>
          <w:lang w:val="es-ES"/>
        </w:rPr>
        <w:tab/>
      </w:r>
    </w:p>
    <w:p w14:paraId="33716D02" w14:textId="77777777" w:rsidR="00986D6F" w:rsidRPr="00C95C66" w:rsidRDefault="00986D6F" w:rsidP="00986D6F">
      <w:pPr>
        <w:tabs>
          <w:tab w:val="left" w:pos="0"/>
        </w:tabs>
        <w:spacing w:before="120" w:line="276" w:lineRule="auto"/>
        <w:jc w:val="both"/>
        <w:rPr>
          <w:rFonts w:ascii="Arial" w:eastAsia="Calibri" w:hAnsi="Arial" w:cs="Arial"/>
          <w:bCs/>
          <w:sz w:val="22"/>
          <w:lang w:val="es-ES"/>
        </w:rPr>
      </w:pPr>
      <w:r w:rsidRPr="00C95C66">
        <w:rPr>
          <w:rFonts w:ascii="Arial" w:eastAsia="Calibri" w:hAnsi="Arial" w:cs="Arial"/>
          <w:bCs/>
          <w:sz w:val="22"/>
          <w:lang w:val="es-ES"/>
        </w:rPr>
        <w:tab/>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determinan:</w:t>
      </w:r>
    </w:p>
    <w:p w14:paraId="216FB6BA" w14:textId="77777777" w:rsidR="00986D6F" w:rsidRPr="00C95C66" w:rsidRDefault="00986D6F" w:rsidP="00986D6F">
      <w:pPr>
        <w:tabs>
          <w:tab w:val="left" w:pos="0"/>
        </w:tabs>
        <w:spacing w:line="276" w:lineRule="auto"/>
        <w:jc w:val="both"/>
        <w:rPr>
          <w:rFonts w:ascii="Arial" w:eastAsia="Calibri" w:hAnsi="Arial" w:cs="Arial"/>
          <w:bCs/>
          <w:sz w:val="22"/>
          <w:lang w:val="es-ES"/>
        </w:rPr>
      </w:pPr>
    </w:p>
    <w:p w14:paraId="55C1BE9B" w14:textId="77777777" w:rsidR="00986D6F" w:rsidRPr="00C95C66" w:rsidRDefault="00986D6F" w:rsidP="00986D6F">
      <w:pPr>
        <w:tabs>
          <w:tab w:val="left" w:pos="0"/>
        </w:tabs>
        <w:ind w:left="709" w:right="709"/>
        <w:jc w:val="both"/>
        <w:rPr>
          <w:rFonts w:ascii="Arial" w:hAnsi="Arial" w:cs="Arial"/>
          <w:sz w:val="21"/>
          <w:szCs w:val="21"/>
        </w:rPr>
      </w:pPr>
      <w:r w:rsidRPr="00C95C66">
        <w:rPr>
          <w:rStyle w:val="Textoennegrita"/>
          <w:rFonts w:ascii="Arial" w:hAnsi="Arial" w:cs="Arial"/>
          <w:b w:val="0"/>
          <w:bCs w:val="0"/>
          <w:sz w:val="21"/>
          <w:szCs w:val="21"/>
        </w:rPr>
        <w:t>Artículo 59.</w:t>
      </w:r>
      <w:r w:rsidRPr="00C95C66">
        <w:rPr>
          <w:rFonts w:ascii="Arial" w:hAnsi="Arial" w:cs="Arial"/>
          <w:sz w:val="21"/>
          <w:szCs w:val="21"/>
        </w:rPr>
        <w:t> 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7F906CB1" w14:textId="77777777" w:rsidR="00C33A92" w:rsidRPr="00C95C66" w:rsidRDefault="00C33A92" w:rsidP="00986D6F">
      <w:pPr>
        <w:tabs>
          <w:tab w:val="left" w:pos="0"/>
        </w:tabs>
        <w:ind w:left="709" w:right="709"/>
        <w:jc w:val="both"/>
        <w:rPr>
          <w:rFonts w:ascii="Arial" w:hAnsi="Arial" w:cs="Arial"/>
          <w:sz w:val="21"/>
          <w:szCs w:val="21"/>
        </w:rPr>
      </w:pPr>
    </w:p>
    <w:p w14:paraId="04BA33A1" w14:textId="310DF583" w:rsidR="00986D6F" w:rsidRPr="00C95C66" w:rsidRDefault="00986D6F" w:rsidP="00986D6F">
      <w:pPr>
        <w:tabs>
          <w:tab w:val="left" w:pos="0"/>
        </w:tabs>
        <w:ind w:left="709" w:right="709"/>
        <w:jc w:val="both"/>
        <w:rPr>
          <w:rFonts w:ascii="Arial" w:hAnsi="Arial" w:cs="Arial"/>
          <w:sz w:val="21"/>
          <w:szCs w:val="21"/>
        </w:rPr>
      </w:pPr>
      <w:r w:rsidRPr="00C95C66">
        <w:rPr>
          <w:rFonts w:ascii="Arial" w:hAnsi="Arial" w:cs="Arial"/>
          <w:sz w:val="21"/>
          <w:szCs w:val="21"/>
        </w:rPr>
        <w:t>[…]</w:t>
      </w:r>
    </w:p>
    <w:p w14:paraId="765B4981" w14:textId="77777777" w:rsidR="00986D6F" w:rsidRPr="00C95C66" w:rsidRDefault="00986D6F" w:rsidP="00986D6F">
      <w:pPr>
        <w:tabs>
          <w:tab w:val="left" w:pos="0"/>
        </w:tabs>
        <w:ind w:left="709" w:right="709"/>
        <w:jc w:val="both"/>
        <w:rPr>
          <w:rFonts w:ascii="Arial" w:hAnsi="Arial" w:cs="Arial"/>
          <w:sz w:val="21"/>
          <w:szCs w:val="21"/>
        </w:rPr>
      </w:pPr>
      <w:r w:rsidRPr="00C95C66">
        <w:rPr>
          <w:rFonts w:ascii="Arial" w:hAnsi="Arial" w:cs="Arial"/>
          <w:b/>
          <w:bCs/>
          <w:sz w:val="21"/>
          <w:szCs w:val="21"/>
        </w:rPr>
        <w:br/>
      </w:r>
      <w:r w:rsidRPr="00C95C66">
        <w:rPr>
          <w:rStyle w:val="Textoennegrita"/>
          <w:rFonts w:ascii="Arial" w:hAnsi="Arial" w:cs="Arial"/>
          <w:b w:val="0"/>
          <w:bCs w:val="0"/>
          <w:sz w:val="21"/>
          <w:szCs w:val="21"/>
        </w:rPr>
        <w:t>Artículo 62.</w:t>
      </w:r>
      <w:r w:rsidRPr="00C95C66">
        <w:rPr>
          <w:rFonts w:ascii="Arial" w:hAnsi="Arial"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271FC589" w14:textId="77777777" w:rsidR="00986D6F" w:rsidRPr="00C95C66" w:rsidRDefault="00986D6F" w:rsidP="00986D6F">
      <w:pPr>
        <w:tabs>
          <w:tab w:val="left" w:pos="0"/>
        </w:tabs>
        <w:spacing w:line="276" w:lineRule="auto"/>
        <w:jc w:val="both"/>
        <w:rPr>
          <w:rFonts w:ascii="Arial" w:eastAsia="Calibri" w:hAnsi="Arial" w:cs="Arial"/>
          <w:bCs/>
          <w:sz w:val="22"/>
          <w:lang w:val="es-ES"/>
        </w:rPr>
      </w:pPr>
    </w:p>
    <w:p w14:paraId="08E9F35D" w14:textId="49E07AD5"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El artículo 59 establece que los plazos a los que se haga mención en la ley terminan a la medianoche, y que por </w:t>
      </w:r>
      <w:r w:rsidRPr="00C95C66">
        <w:rPr>
          <w:rFonts w:ascii="Arial" w:eastAsia="Calibri" w:hAnsi="Arial" w:cs="Arial"/>
          <w:bCs/>
          <w:i/>
          <w:iCs/>
          <w:sz w:val="22"/>
          <w:lang w:val="es-ES"/>
        </w:rPr>
        <w:t xml:space="preserve">día </w:t>
      </w:r>
      <w:r w:rsidRPr="00C95C66">
        <w:rPr>
          <w:rFonts w:ascii="Arial" w:eastAsia="Calibri" w:hAnsi="Arial" w:cs="Arial"/>
          <w:bCs/>
          <w:sz w:val="22"/>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w:t>
      </w:r>
      <w:r w:rsidRPr="00C95C66">
        <w:rPr>
          <w:rFonts w:ascii="Arial" w:eastAsia="Calibri" w:hAnsi="Arial" w:cs="Arial"/>
          <w:bCs/>
          <w:sz w:val="22"/>
          <w:lang w:val="es-ES"/>
        </w:rPr>
        <w:lastRenderedPageBreak/>
        <w:t>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w:t>
      </w:r>
      <w:r w:rsidR="008F0DEE" w:rsidRPr="00C95C66">
        <w:rPr>
          <w:rFonts w:ascii="Arial" w:eastAsia="Calibri" w:hAnsi="Arial" w:cs="Arial"/>
          <w:bCs/>
          <w:sz w:val="22"/>
          <w:lang w:val="es-ES"/>
        </w:rPr>
        <w:t>n</w:t>
      </w:r>
      <w:r w:rsidRPr="00C95C66">
        <w:rPr>
          <w:rFonts w:ascii="Arial" w:eastAsia="Calibri" w:hAnsi="Arial" w:cs="Arial"/>
          <w:bCs/>
          <w:sz w:val="22"/>
          <w:lang w:val="es-ES"/>
        </w:rPr>
        <w:t xml:space="preserve"> los días laborables</w:t>
      </w:r>
      <w:r w:rsidRPr="00C95C66">
        <w:rPr>
          <w:rStyle w:val="Refdenotaalpie"/>
          <w:rFonts w:ascii="Arial" w:eastAsia="Calibri" w:hAnsi="Arial" w:cs="Arial"/>
          <w:bCs/>
          <w:sz w:val="22"/>
          <w:lang w:val="es-ES"/>
        </w:rPr>
        <w:footnoteReference w:id="6"/>
      </w:r>
      <w:r w:rsidRPr="00C95C66">
        <w:rPr>
          <w:rFonts w:ascii="Arial" w:eastAsia="Calibri" w:hAnsi="Arial" w:cs="Arial"/>
          <w:bCs/>
          <w:sz w:val="22"/>
          <w:lang w:val="es-ES"/>
        </w:rPr>
        <w:t>.</w:t>
      </w:r>
    </w:p>
    <w:p w14:paraId="1229DB0E" w14:textId="759CE81A" w:rsidR="00986D6F" w:rsidRPr="00C95C66" w:rsidRDefault="00740ABA" w:rsidP="00986D6F">
      <w:pPr>
        <w:tabs>
          <w:tab w:val="left" w:pos="0"/>
        </w:tabs>
        <w:spacing w:line="276" w:lineRule="auto"/>
        <w:jc w:val="both"/>
        <w:rPr>
          <w:rFonts w:ascii="Arial" w:eastAsia="Calibri" w:hAnsi="Arial" w:cs="Arial"/>
          <w:bCs/>
          <w:sz w:val="22"/>
          <w:lang w:val="es-ES"/>
        </w:rPr>
      </w:pPr>
      <w:r>
        <w:rPr>
          <w:rFonts w:ascii="Arial" w:eastAsia="Calibri" w:hAnsi="Arial" w:cs="Arial"/>
          <w:bCs/>
          <w:sz w:val="22"/>
          <w:lang w:val="es-ES"/>
        </w:rPr>
        <w:tab/>
      </w:r>
      <w:r w:rsidR="00986D6F" w:rsidRPr="00C95C66">
        <w:rPr>
          <w:rFonts w:ascii="Arial" w:eastAsia="Calibri" w:hAnsi="Arial" w:cs="Arial"/>
          <w:bCs/>
          <w:sz w:val="22"/>
          <w:lang w:val="es-ES"/>
        </w:rPr>
        <w:t xml:space="preserve">Con ello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w:t>
      </w:r>
      <w:r w:rsidR="008F0DEE" w:rsidRPr="00C95C66">
        <w:rPr>
          <w:rFonts w:ascii="Arial" w:eastAsia="Calibri" w:hAnsi="Arial" w:cs="Arial"/>
          <w:bCs/>
          <w:sz w:val="22"/>
          <w:lang w:val="es-ES"/>
        </w:rPr>
        <w:t>está</w:t>
      </w:r>
      <w:r w:rsidR="00986D6F" w:rsidRPr="00C95C66">
        <w:rPr>
          <w:rFonts w:ascii="Arial" w:eastAsia="Calibri" w:hAnsi="Arial" w:cs="Arial"/>
          <w:bCs/>
          <w:sz w:val="22"/>
          <w:lang w:val="es-ES"/>
        </w:rPr>
        <w:t xml:space="preserve"> relacionado con el espacio de tiempo durante el cual las entidades públicas desarrollan sus funciones administrativas y están abiertas para la atención al público. Así, por ejemplo, en la sentencia del 12 de abril de 1978 se expresó:</w:t>
      </w:r>
    </w:p>
    <w:p w14:paraId="6AC55843" w14:textId="77777777" w:rsidR="00986D6F" w:rsidRPr="00C95C66" w:rsidRDefault="00986D6F" w:rsidP="00986D6F">
      <w:pPr>
        <w:tabs>
          <w:tab w:val="left" w:pos="0"/>
        </w:tabs>
        <w:ind w:left="709" w:right="709"/>
        <w:jc w:val="both"/>
        <w:rPr>
          <w:rFonts w:ascii="Arial" w:hAnsi="Arial" w:cs="Arial"/>
          <w:sz w:val="21"/>
          <w:szCs w:val="21"/>
          <w:lang w:val="es-ES"/>
        </w:rPr>
      </w:pPr>
    </w:p>
    <w:p w14:paraId="2FD7FAAD" w14:textId="77777777" w:rsidR="00986D6F" w:rsidRPr="00C95C66" w:rsidRDefault="00986D6F" w:rsidP="00986D6F">
      <w:pPr>
        <w:tabs>
          <w:tab w:val="left" w:pos="0"/>
        </w:tabs>
        <w:ind w:left="709" w:right="709"/>
        <w:jc w:val="both"/>
        <w:rPr>
          <w:rFonts w:ascii="Arial" w:eastAsia="Calibri" w:hAnsi="Arial" w:cs="Arial"/>
          <w:bCs/>
          <w:sz w:val="21"/>
          <w:szCs w:val="21"/>
          <w:lang w:val="es-ES"/>
        </w:rPr>
      </w:pPr>
      <w:r w:rsidRPr="00C95C66">
        <w:rPr>
          <w:rFonts w:ascii="Arial" w:hAnsi="Arial" w:cs="Arial"/>
          <w:sz w:val="21"/>
          <w:szCs w:val="21"/>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w:t>
      </w:r>
      <w:proofErr w:type="gramStart"/>
      <w:r w:rsidRPr="00C95C66">
        <w:rPr>
          <w:rFonts w:ascii="Arial" w:hAnsi="Arial" w:cs="Arial"/>
          <w:sz w:val="21"/>
          <w:szCs w:val="21"/>
        </w:rPr>
        <w:t>tanto</w:t>
      </w:r>
      <w:proofErr w:type="gramEnd"/>
      <w:r w:rsidRPr="00C95C66">
        <w:rPr>
          <w:rFonts w:ascii="Arial" w:hAnsi="Arial" w:cs="Arial"/>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C95C66">
        <w:rPr>
          <w:rFonts w:ascii="Arial" w:hAnsi="Arial" w:cs="Arial"/>
          <w:sz w:val="21"/>
          <w:szCs w:val="21"/>
        </w:rPr>
        <w:t>lunes,</w:t>
      </w:r>
      <w:proofErr w:type="gramEnd"/>
      <w:r w:rsidRPr="00C95C66">
        <w:rPr>
          <w:rFonts w:ascii="Arial" w:hAnsi="Arial" w:cs="Arial"/>
          <w:sz w:val="21"/>
          <w:szCs w:val="21"/>
        </w:rPr>
        <w:t xml:space="preserve"> tienen la virtud y fuerza suficientes para producir o causar todos los efectos, aunque las sesiones no se hayan realizado efectivamente</w:t>
      </w:r>
      <w:r w:rsidRPr="00C95C66">
        <w:rPr>
          <w:rStyle w:val="Refdenotaalpie"/>
          <w:rFonts w:ascii="Arial" w:hAnsi="Arial" w:cs="Arial"/>
          <w:sz w:val="21"/>
          <w:szCs w:val="21"/>
        </w:rPr>
        <w:footnoteReference w:id="7"/>
      </w:r>
      <w:r w:rsidRPr="00C95C66">
        <w:rPr>
          <w:rFonts w:ascii="Arial" w:hAnsi="Arial" w:cs="Arial"/>
          <w:sz w:val="21"/>
          <w:szCs w:val="21"/>
        </w:rPr>
        <w:t>.</w:t>
      </w:r>
    </w:p>
    <w:p w14:paraId="0BB88DE7" w14:textId="77777777" w:rsidR="00986D6F" w:rsidRPr="00C95C66" w:rsidRDefault="00986D6F" w:rsidP="00986D6F">
      <w:pPr>
        <w:tabs>
          <w:tab w:val="left" w:pos="0"/>
        </w:tabs>
        <w:spacing w:line="276" w:lineRule="auto"/>
        <w:jc w:val="both"/>
        <w:rPr>
          <w:rFonts w:ascii="Arial" w:eastAsia="Calibri" w:hAnsi="Arial" w:cs="Arial"/>
          <w:bCs/>
          <w:sz w:val="22"/>
          <w:lang w:val="es-ES"/>
        </w:rPr>
      </w:pPr>
    </w:p>
    <w:p w14:paraId="42287C3C" w14:textId="77777777" w:rsidR="00986D6F" w:rsidRPr="00C95C66" w:rsidRDefault="00986D6F" w:rsidP="00986D6F">
      <w:pPr>
        <w:tabs>
          <w:tab w:val="left" w:pos="0"/>
        </w:tabs>
        <w:spacing w:line="276" w:lineRule="auto"/>
        <w:jc w:val="both"/>
        <w:rPr>
          <w:rFonts w:ascii="Arial" w:eastAsia="Calibri" w:hAnsi="Arial" w:cs="Arial"/>
          <w:bCs/>
          <w:sz w:val="22"/>
          <w:lang w:val="es-ES"/>
        </w:rPr>
      </w:pPr>
      <w:r w:rsidRPr="00C95C66">
        <w:rPr>
          <w:rFonts w:ascii="Arial" w:eastAsia="Calibri" w:hAnsi="Arial" w:cs="Arial"/>
          <w:bCs/>
          <w:sz w:val="22"/>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2632CECF" w14:textId="77777777" w:rsidR="00986D6F" w:rsidRPr="00C95C66" w:rsidRDefault="00986D6F" w:rsidP="00986D6F">
      <w:pPr>
        <w:jc w:val="both"/>
        <w:rPr>
          <w:rFonts w:ascii="Arial" w:eastAsia="Times New Roman" w:hAnsi="Arial" w:cs="Arial"/>
          <w:sz w:val="21"/>
          <w:szCs w:val="21"/>
          <w:lang w:val="es-ES" w:eastAsia="es-CO"/>
        </w:rPr>
      </w:pPr>
    </w:p>
    <w:p w14:paraId="063499D8" w14:textId="77777777" w:rsidR="00986D6F" w:rsidRPr="00C95C66" w:rsidRDefault="00986D6F" w:rsidP="00986D6F">
      <w:pPr>
        <w:ind w:left="709" w:right="709"/>
        <w:jc w:val="both"/>
        <w:rPr>
          <w:rFonts w:ascii="Arial" w:eastAsia="Times New Roman" w:hAnsi="Arial" w:cs="Arial"/>
          <w:sz w:val="21"/>
          <w:szCs w:val="21"/>
          <w:lang w:val="es-CO" w:eastAsia="es-CO"/>
        </w:rPr>
      </w:pPr>
      <w:r w:rsidRPr="00C95C66">
        <w:rPr>
          <w:rFonts w:ascii="Arial" w:eastAsia="Times New Roman" w:hAnsi="Arial" w:cs="Arial"/>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2AFEA140" w14:textId="77777777" w:rsidR="00986D6F" w:rsidRPr="00C95C66" w:rsidRDefault="00986D6F" w:rsidP="00986D6F">
      <w:pPr>
        <w:ind w:left="709" w:right="709"/>
        <w:jc w:val="both"/>
        <w:rPr>
          <w:rFonts w:ascii="Arial" w:eastAsia="Times New Roman" w:hAnsi="Arial" w:cs="Arial"/>
          <w:sz w:val="21"/>
          <w:szCs w:val="21"/>
          <w:lang w:val="es-CO" w:eastAsia="es-CO"/>
        </w:rPr>
      </w:pPr>
    </w:p>
    <w:p w14:paraId="057CED6B" w14:textId="77777777" w:rsidR="00986D6F" w:rsidRPr="00C95C66" w:rsidRDefault="00986D6F" w:rsidP="00986D6F">
      <w:pPr>
        <w:ind w:left="709" w:right="709"/>
        <w:jc w:val="both"/>
        <w:rPr>
          <w:rFonts w:ascii="Arial" w:eastAsia="Times New Roman" w:hAnsi="Arial" w:cs="Arial"/>
          <w:sz w:val="21"/>
          <w:szCs w:val="21"/>
          <w:lang w:val="es-CO" w:eastAsia="es-CO"/>
        </w:rPr>
      </w:pPr>
      <w:r w:rsidRPr="00C95C66">
        <w:rPr>
          <w:rFonts w:ascii="Arial" w:eastAsia="Times New Roman" w:hAnsi="Arial" w:cs="Arial"/>
          <w:sz w:val="21"/>
          <w:szCs w:val="21"/>
          <w:lang w:val="es-CO" w:eastAsia="es-CO"/>
        </w:rPr>
        <w:t xml:space="preserve">Así, el criterio que determina el carácter de hábil de los días, para el cómputo de los términos legales, es el de su </w:t>
      </w:r>
      <w:proofErr w:type="spellStart"/>
      <w:r w:rsidRPr="00C95C66">
        <w:rPr>
          <w:rFonts w:ascii="Arial" w:eastAsia="Times New Roman" w:hAnsi="Arial" w:cs="Arial"/>
          <w:sz w:val="21"/>
          <w:szCs w:val="21"/>
          <w:lang w:val="es-CO" w:eastAsia="es-CO"/>
        </w:rPr>
        <w:t>laborabilidad</w:t>
      </w:r>
      <w:proofErr w:type="spellEnd"/>
      <w:r w:rsidRPr="00C95C66">
        <w:rPr>
          <w:rFonts w:ascii="Arial" w:eastAsia="Times New Roman" w:hAnsi="Arial" w:cs="Arial"/>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w:t>
      </w:r>
      <w:r w:rsidRPr="00C95C66">
        <w:rPr>
          <w:rFonts w:ascii="Arial" w:eastAsia="Times New Roman" w:hAnsi="Arial" w:cs="Arial"/>
          <w:sz w:val="21"/>
          <w:szCs w:val="21"/>
          <w:lang w:val="es-CO" w:eastAsia="es-CO"/>
        </w:rPr>
        <w:lastRenderedPageBreak/>
        <w:t xml:space="preserve">descanso remunerado; tales son los domingos, los previstos por el artículo </w:t>
      </w:r>
      <w:proofErr w:type="gramStart"/>
      <w:r w:rsidRPr="00C95C66">
        <w:rPr>
          <w:rFonts w:ascii="Arial" w:eastAsia="Times New Roman" w:hAnsi="Arial" w:cs="Arial"/>
          <w:sz w:val="21"/>
          <w:szCs w:val="21"/>
          <w:lang w:val="es-CO" w:eastAsia="es-CO"/>
        </w:rPr>
        <w:t>1.°</w:t>
      </w:r>
      <w:proofErr w:type="gramEnd"/>
      <w:r w:rsidRPr="00C95C66">
        <w:rPr>
          <w:rFonts w:ascii="Arial" w:eastAsia="Times New Roman" w:hAnsi="Arial" w:cs="Arial"/>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C95C66">
        <w:rPr>
          <w:rStyle w:val="Refdenotaalpie"/>
          <w:rFonts w:ascii="Arial" w:eastAsia="Times New Roman" w:hAnsi="Arial" w:cs="Arial"/>
          <w:sz w:val="21"/>
          <w:szCs w:val="21"/>
          <w:lang w:val="es-CO" w:eastAsia="es-CO"/>
        </w:rPr>
        <w:footnoteReference w:id="8"/>
      </w:r>
      <w:r w:rsidRPr="00C95C66">
        <w:rPr>
          <w:rFonts w:ascii="Arial" w:eastAsia="Times New Roman" w:hAnsi="Arial" w:cs="Arial"/>
          <w:sz w:val="21"/>
          <w:szCs w:val="21"/>
          <w:lang w:val="es-CO" w:eastAsia="es-CO"/>
        </w:rPr>
        <w:t>.</w:t>
      </w:r>
    </w:p>
    <w:p w14:paraId="24ACDB31" w14:textId="77777777" w:rsidR="00986D6F" w:rsidRPr="00C95C66" w:rsidRDefault="00986D6F" w:rsidP="00986D6F">
      <w:pPr>
        <w:tabs>
          <w:tab w:val="left" w:pos="0"/>
        </w:tabs>
        <w:spacing w:line="276" w:lineRule="auto"/>
        <w:jc w:val="both"/>
        <w:rPr>
          <w:rFonts w:ascii="Arial" w:eastAsia="Calibri" w:hAnsi="Arial" w:cs="Arial"/>
          <w:bCs/>
          <w:sz w:val="22"/>
          <w:lang w:val="es-ES"/>
        </w:rPr>
      </w:pPr>
      <w:r w:rsidRPr="00C95C66">
        <w:rPr>
          <w:rFonts w:ascii="Arial" w:eastAsia="Calibri" w:hAnsi="Arial" w:cs="Arial"/>
          <w:bCs/>
          <w:sz w:val="22"/>
          <w:lang w:val="es-ES"/>
        </w:rPr>
        <w:t xml:space="preserve"> </w:t>
      </w:r>
    </w:p>
    <w:p w14:paraId="1661BEEB" w14:textId="77777777"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tab/>
        <w:t>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C95C66">
        <w:rPr>
          <w:rStyle w:val="Refdenotaalpie"/>
          <w:rFonts w:ascii="Arial" w:eastAsia="Calibri" w:hAnsi="Arial" w:cs="Arial"/>
          <w:bCs/>
          <w:sz w:val="22"/>
          <w:lang w:val="es-ES"/>
        </w:rPr>
        <w:footnoteReference w:id="9"/>
      </w:r>
      <w:r w:rsidRPr="00C95C66">
        <w:rPr>
          <w:rFonts w:ascii="Arial" w:eastAsia="Calibri" w:hAnsi="Arial" w:cs="Arial"/>
          <w:bCs/>
          <w:sz w:val="22"/>
          <w:lang w:val="es-ES"/>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C95C66">
        <w:rPr>
          <w:rStyle w:val="Refdenotaalpie"/>
          <w:rFonts w:ascii="Arial" w:eastAsia="Calibri" w:hAnsi="Arial" w:cs="Arial"/>
          <w:bCs/>
          <w:sz w:val="22"/>
          <w:lang w:val="es-ES"/>
        </w:rPr>
        <w:footnoteReference w:id="10"/>
      </w:r>
      <w:r w:rsidRPr="00C95C66">
        <w:rPr>
          <w:rFonts w:ascii="Arial" w:eastAsia="Calibri" w:hAnsi="Arial" w:cs="Arial"/>
          <w:bCs/>
          <w:sz w:val="22"/>
          <w:lang w:val="es-ES"/>
        </w:rPr>
        <w:t xml:space="preserve">, ejemplo donde los días laborables o hábiles son todos los de la semana, con excepción del miércoles. </w:t>
      </w:r>
    </w:p>
    <w:p w14:paraId="3EE6083A" w14:textId="77777777" w:rsidR="00986D6F" w:rsidRPr="00C95C66" w:rsidRDefault="00986D6F" w:rsidP="00986D6F">
      <w:pPr>
        <w:tabs>
          <w:tab w:val="left" w:pos="0"/>
        </w:tabs>
        <w:spacing w:before="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Lo anterior implica, respecto del término para publicar la invitación y para la presentación de ofertas en procedimientos de mínima cuantía, que deberá transcurrir dentro de los días definidos por cada entidad estatal como laborables en su correspondiente reglamento o manual de funciones. </w:t>
      </w:r>
    </w:p>
    <w:p w14:paraId="19D65E28" w14:textId="77777777" w:rsidR="00986D6F" w:rsidRPr="00C95C66" w:rsidRDefault="00986D6F" w:rsidP="00986D6F">
      <w:pPr>
        <w:tabs>
          <w:tab w:val="left" w:pos="0"/>
        </w:tabs>
        <w:spacing w:before="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Esto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C95C66">
        <w:rPr>
          <w:rFonts w:ascii="Arial" w:eastAsia="Calibri" w:hAnsi="Arial" w:cs="Arial"/>
          <w:bCs/>
          <w:sz w:val="22"/>
          <w:lang w:val="es-ES"/>
        </w:rPr>
        <w:t>ii</w:t>
      </w:r>
      <w:proofErr w:type="spellEnd"/>
      <w:r w:rsidRPr="00C95C66">
        <w:rPr>
          <w:rFonts w:ascii="Arial" w:eastAsia="Calibri" w:hAnsi="Arial" w:cs="Arial"/>
          <w:bCs/>
          <w:sz w:val="22"/>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w:t>
      </w:r>
      <w:proofErr w:type="spellStart"/>
      <w:r w:rsidRPr="00C95C66">
        <w:rPr>
          <w:rFonts w:ascii="Arial" w:eastAsia="Calibri" w:hAnsi="Arial" w:cs="Arial"/>
          <w:bCs/>
          <w:sz w:val="22"/>
          <w:lang w:val="es-ES"/>
        </w:rPr>
        <w:t>iii</w:t>
      </w:r>
      <w:proofErr w:type="spellEnd"/>
      <w:r w:rsidRPr="00C95C66">
        <w:rPr>
          <w:rFonts w:ascii="Arial" w:eastAsia="Calibri" w:hAnsi="Arial" w:cs="Arial"/>
          <w:bCs/>
          <w:sz w:val="22"/>
          <w:lang w:val="es-ES"/>
        </w:rPr>
        <w:t xml:space="preserve">) que el término de un día hábil está constituido </w:t>
      </w:r>
      <w:r w:rsidRPr="00C95C66">
        <w:rPr>
          <w:rFonts w:ascii="Arial" w:eastAsia="Calibri" w:hAnsi="Arial" w:cs="Arial"/>
          <w:bCs/>
          <w:sz w:val="22"/>
          <w:lang w:val="es-ES"/>
        </w:rPr>
        <w:lastRenderedPageBreak/>
        <w:t xml:space="preserve">por las veinticuatro horas que conforman uno de los días laborables definidos por la entidad, empezando a las 00:00 horas y terminando a las 23:59 de dicho día. </w:t>
      </w:r>
    </w:p>
    <w:p w14:paraId="4FE6EA24" w14:textId="77777777" w:rsidR="00986D6F" w:rsidRPr="00C95C66" w:rsidRDefault="00986D6F" w:rsidP="00986D6F">
      <w:pPr>
        <w:tabs>
          <w:tab w:val="left" w:pos="0"/>
        </w:tabs>
        <w:spacing w:before="120" w:after="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w:t>
      </w:r>
    </w:p>
    <w:p w14:paraId="68B13719" w14:textId="1F811F90" w:rsidR="00986D6F" w:rsidRPr="00C95C66" w:rsidRDefault="00986D6F" w:rsidP="00986D6F">
      <w:pPr>
        <w:tabs>
          <w:tab w:val="left" w:pos="0"/>
        </w:tabs>
        <w:spacing w:before="120" w:after="120" w:line="276" w:lineRule="auto"/>
        <w:jc w:val="both"/>
        <w:rPr>
          <w:rFonts w:ascii="Arial" w:hAnsi="Arial" w:cs="Arial"/>
          <w:sz w:val="22"/>
        </w:rPr>
      </w:pPr>
      <w:r w:rsidRPr="00C95C66">
        <w:rPr>
          <w:rFonts w:ascii="Arial" w:eastAsia="Calibri" w:hAnsi="Arial" w:cs="Arial"/>
          <w:bCs/>
          <w:sz w:val="22"/>
          <w:lang w:val="es-ES"/>
        </w:rPr>
        <w:tab/>
        <w:t xml:space="preserve">La Agencia Nacional de Contratación Pública </w:t>
      </w:r>
      <w:r w:rsidR="00FF4D60">
        <w:rPr>
          <w:rFonts w:ascii="Arial" w:eastAsia="Calibri" w:hAnsi="Arial" w:cs="Arial"/>
          <w:bCs/>
          <w:sz w:val="22"/>
          <w:lang w:val="es-ES"/>
        </w:rPr>
        <w:t>–</w:t>
      </w:r>
      <w:r w:rsidRPr="00C95C66">
        <w:rPr>
          <w:rFonts w:ascii="Arial" w:eastAsia="Calibri" w:hAnsi="Arial" w:cs="Arial"/>
          <w:bCs/>
          <w:sz w:val="22"/>
          <w:lang w:val="es-ES"/>
        </w:rPr>
        <w:t xml:space="preserve"> Colombia Compra Eficiente, en el «Manual de la Modalidad de Selección de Mínima Cuantía», recomienda que «</w:t>
      </w:r>
      <w:r w:rsidRPr="00C95C66">
        <w:rPr>
          <w:rFonts w:ascii="Arial" w:hAnsi="Arial" w:cs="Arial"/>
          <w:sz w:val="22"/>
        </w:rPr>
        <w:t xml:space="preserve">la publicación de los Documentos del Proceso se haga a primera hora del día hábil en el cual se adelanta la actuación respectiva para ser consistente con la extensión de los términos previstos para esta modalidad de selección». En ese sentido, esta Agencia estima que las entidades, para cumplir el plazo mínimo de un día hábil, necesariamente deben fijar los extremos de este dentro un mismo día solar laborable. </w:t>
      </w:r>
    </w:p>
    <w:p w14:paraId="719BB9FB" w14:textId="77777777"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hAnsi="Arial" w:cs="Arial"/>
          <w:sz w:val="22"/>
        </w:rPr>
        <w:tab/>
        <w:t xml:space="preserve">Conforme a esto,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C95C66">
        <w:rPr>
          <w:rFonts w:ascii="Arial" w:eastAsia="Calibri" w:hAnsi="Arial" w:cs="Arial"/>
          <w:bCs/>
          <w:sz w:val="22"/>
          <w:lang w:val="es-ES"/>
        </w:rPr>
        <w:t>A esto se suma el hecho de que las entidades no suelen tener horarios de atención al público de veinticuatro horas diarias, comoquiera que solo están obligadas a garantizar la atención durante cuarenta horas semanales</w:t>
      </w:r>
      <w:r w:rsidRPr="00C95C66">
        <w:rPr>
          <w:rStyle w:val="Refdenotaalpie"/>
          <w:rFonts w:ascii="Arial" w:eastAsia="Calibri" w:hAnsi="Arial" w:cs="Arial"/>
          <w:bCs/>
          <w:sz w:val="22"/>
          <w:lang w:val="es-ES"/>
        </w:rPr>
        <w:footnoteReference w:id="11"/>
      </w:r>
      <w:r w:rsidRPr="00C95C66">
        <w:rPr>
          <w:rFonts w:ascii="Arial" w:eastAsia="Calibri" w:hAnsi="Arial" w:cs="Arial"/>
          <w:bCs/>
          <w:sz w:val="22"/>
          <w:lang w:val="es-ES"/>
        </w:rPr>
        <w:t>.</w:t>
      </w:r>
    </w:p>
    <w:p w14:paraId="7E3AD4B5" w14:textId="77777777"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1945B801" w14:textId="37A4A35E" w:rsidR="00FF4D60"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lastRenderedPageBreak/>
        <w:tab/>
        <w:t xml:space="preserve">En ese sentido, el hecho de que el proceso de selección se lleve a cabo recibiendo ofertas en físico, publicándose la documentación contractual en SECOP I; </w:t>
      </w:r>
      <w:r w:rsidR="00FF4D60" w:rsidRPr="00C95C66">
        <w:rPr>
          <w:rFonts w:ascii="Arial" w:eastAsia="Calibri" w:hAnsi="Arial" w:cs="Arial"/>
          <w:bCs/>
          <w:sz w:val="22"/>
          <w:lang w:val="es-ES"/>
        </w:rPr>
        <w:t>o que</w:t>
      </w:r>
      <w:r w:rsidRPr="00C95C66">
        <w:rPr>
          <w:rFonts w:ascii="Arial" w:eastAsia="Calibri" w:hAnsi="Arial" w:cs="Arial"/>
          <w:bCs/>
          <w:sz w:val="22"/>
          <w:lang w:val="es-ES"/>
        </w:rPr>
        <w:t xml:space="preserv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31FF0DC7" w14:textId="22B0B823" w:rsidR="00986D6F" w:rsidRPr="00C95C66" w:rsidRDefault="00FF4D60" w:rsidP="00986D6F">
      <w:pPr>
        <w:tabs>
          <w:tab w:val="left" w:pos="0"/>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986D6F" w:rsidRPr="00C95C66">
        <w:rPr>
          <w:rFonts w:ascii="Arial" w:eastAsia="Calibri" w:hAnsi="Arial" w:cs="Arial"/>
          <w:bCs/>
          <w:sz w:val="22"/>
          <w:lang w:val="es-ES"/>
        </w:rPr>
        <w:t xml:space="preserve">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univoca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 </w:t>
      </w:r>
    </w:p>
    <w:p w14:paraId="20C06609" w14:textId="77777777" w:rsidR="00986D6F" w:rsidRPr="00C95C66" w:rsidRDefault="00986D6F" w:rsidP="00986D6F">
      <w:pPr>
        <w:tabs>
          <w:tab w:val="left" w:pos="0"/>
        </w:tabs>
        <w:spacing w:line="276" w:lineRule="auto"/>
        <w:jc w:val="both"/>
        <w:rPr>
          <w:rFonts w:ascii="Arial" w:eastAsia="Calibri" w:hAnsi="Arial" w:cs="Arial"/>
          <w:bCs/>
          <w:sz w:val="22"/>
          <w:lang w:val="es-ES"/>
        </w:rPr>
      </w:pPr>
      <w:r w:rsidRPr="00C95C66">
        <w:rPr>
          <w:rFonts w:ascii="Arial" w:eastAsia="Calibri" w:hAnsi="Arial" w:cs="Arial"/>
          <w:bCs/>
          <w:sz w:val="22"/>
          <w:lang w:val="es-ES"/>
        </w:rPr>
        <w:tab/>
        <w:t>Ahora, de conformidad con los mandatos derivados del principio de transparencia, consagrado en el artículo 24 de la Ley 80 de 1993, y lo dispuesto en el artículo 2.2.1.1.2.1.3 del Decreto 1082 de 2015</w:t>
      </w:r>
      <w:r w:rsidRPr="00C95C66">
        <w:rPr>
          <w:rStyle w:val="Refdenotaalpie"/>
          <w:rFonts w:ascii="Arial" w:eastAsia="Calibri" w:hAnsi="Arial" w:cs="Arial"/>
          <w:bCs/>
          <w:sz w:val="22"/>
          <w:lang w:val="es-ES"/>
        </w:rPr>
        <w:footnoteReference w:id="12"/>
      </w:r>
      <w:r w:rsidRPr="00C95C66">
        <w:rPr>
          <w:rFonts w:ascii="Arial" w:eastAsia="Calibri" w:hAnsi="Arial" w:cs="Arial"/>
          <w:bCs/>
          <w:sz w:val="22"/>
          <w:lang w:val="es-ES"/>
        </w:rPr>
        <w:t xml:space="preserve">, en el pliego de condiciones deben definirse «las reglas aplicables a la presentación de las ofertas, su evaluación y a la adjudicación del contrato», así como el cronograma del proceso de selección, lo que implica que para dar aplicación a la anterior regla las entidades deberán establecer, en el respectivo pliego, el lapso durante el cual recibirán ofertas, definiendo expresamente la hora hasta la cual recibirán las ofertas, de tal manera que este pueda ser conocido con anticipación por los interesados en participar.    </w:t>
      </w:r>
    </w:p>
    <w:p w14:paraId="1017197A" w14:textId="77777777" w:rsidR="00986D6F" w:rsidRPr="00C95C66" w:rsidRDefault="00986D6F" w:rsidP="00986D6F">
      <w:pPr>
        <w:pStyle w:val="Prrafodelista"/>
        <w:tabs>
          <w:tab w:val="left" w:pos="0"/>
        </w:tabs>
        <w:spacing w:line="276" w:lineRule="auto"/>
        <w:ind w:left="0"/>
        <w:contextualSpacing w:val="0"/>
        <w:jc w:val="both"/>
        <w:rPr>
          <w:sz w:val="22"/>
        </w:rPr>
      </w:pPr>
      <w:r w:rsidRPr="00C95C66">
        <w:rPr>
          <w:rFonts w:ascii="Arial" w:eastAsia="Calibri" w:hAnsi="Arial" w:cs="Arial"/>
          <w:bCs/>
          <w:sz w:val="22"/>
          <w:lang w:val="es-ES"/>
        </w:rPr>
        <w:tab/>
      </w:r>
    </w:p>
    <w:p w14:paraId="61390541" w14:textId="77777777" w:rsidR="00986D6F" w:rsidRPr="00C95C66" w:rsidRDefault="00986D6F" w:rsidP="00986D6F">
      <w:pPr>
        <w:pStyle w:val="Prrafodelista"/>
        <w:numPr>
          <w:ilvl w:val="0"/>
          <w:numId w:val="8"/>
        </w:numPr>
        <w:tabs>
          <w:tab w:val="left" w:pos="284"/>
        </w:tabs>
        <w:spacing w:line="276" w:lineRule="auto"/>
        <w:ind w:left="0" w:firstLine="0"/>
        <w:rPr>
          <w:rFonts w:ascii="Arial" w:eastAsia="Calibri" w:hAnsi="Arial" w:cs="Arial"/>
          <w:b/>
          <w:sz w:val="22"/>
        </w:rPr>
      </w:pPr>
      <w:r w:rsidRPr="00C95C66">
        <w:rPr>
          <w:rFonts w:ascii="Arial" w:eastAsia="Calibri" w:hAnsi="Arial" w:cs="Arial"/>
          <w:b/>
          <w:sz w:val="22"/>
        </w:rPr>
        <w:t>Respuesta</w:t>
      </w:r>
    </w:p>
    <w:p w14:paraId="1B3BA2D7" w14:textId="77777777" w:rsidR="002371F2" w:rsidRDefault="002371F2" w:rsidP="002371F2">
      <w:pPr>
        <w:tabs>
          <w:tab w:val="left" w:pos="0"/>
        </w:tabs>
        <w:spacing w:line="276" w:lineRule="auto"/>
        <w:jc w:val="both"/>
        <w:rPr>
          <w:rFonts w:ascii="Arial" w:eastAsia="Calibri" w:hAnsi="Arial" w:cs="Arial"/>
          <w:bCs/>
          <w:sz w:val="22"/>
          <w:lang w:val="es-ES"/>
        </w:rPr>
      </w:pPr>
    </w:p>
    <w:p w14:paraId="186B8A92" w14:textId="1C0231C2" w:rsidR="00986D6F" w:rsidRPr="00C95C66" w:rsidRDefault="00986D6F" w:rsidP="00986D6F">
      <w:pPr>
        <w:tabs>
          <w:tab w:val="left" w:pos="0"/>
        </w:tabs>
        <w:spacing w:after="120" w:line="276" w:lineRule="auto"/>
        <w:jc w:val="both"/>
        <w:rPr>
          <w:rFonts w:ascii="Arial" w:eastAsia="Calibri" w:hAnsi="Arial" w:cs="Arial"/>
          <w:bCs/>
          <w:sz w:val="22"/>
          <w:lang w:val="es-ES"/>
        </w:rPr>
      </w:pPr>
      <w:r w:rsidRPr="00C95C66">
        <w:rPr>
          <w:rFonts w:ascii="Arial" w:eastAsia="Calibri" w:hAnsi="Arial" w:cs="Arial"/>
          <w:bCs/>
          <w:sz w:val="22"/>
          <w:lang w:val="es-ES"/>
        </w:rPr>
        <w:t xml:space="preserve">En los procesos de contratación adelantados en la modalidad de selección de mínima cuantía, el término para presentar ofertas debe contarse a partir de la publicación de la invitación, sin que el tiempo durante el que se mantiene publicada esta y el que se determine para presentar las ofertas sea inferior a un día hábil, de tal manera que siempre que las entidades opten por publicar invitaciones y recibir ofertas por el tiempo mínimo de un día </w:t>
      </w:r>
      <w:r w:rsidRPr="00C95C66">
        <w:rPr>
          <w:rFonts w:ascii="Arial" w:eastAsia="Calibri" w:hAnsi="Arial" w:cs="Arial"/>
          <w:bCs/>
          <w:sz w:val="22"/>
          <w:lang w:val="es-ES"/>
        </w:rPr>
        <w:lastRenderedPageBreak/>
        <w:t>hábil, previsto en el artículo 2, numeral 5, literales a) y b), de la Ley 1150 de 2007, el término de publicación será el mismo plazo para ofertar.</w:t>
      </w:r>
    </w:p>
    <w:p w14:paraId="2418A82A" w14:textId="0B6DBEF0" w:rsidR="00986D6F" w:rsidRPr="00C95C66" w:rsidRDefault="00986D6F" w:rsidP="00B52A5B">
      <w:pPr>
        <w:tabs>
          <w:tab w:val="left" w:pos="0"/>
        </w:tabs>
        <w:spacing w:before="120" w:after="120" w:line="276" w:lineRule="auto"/>
        <w:jc w:val="both"/>
        <w:rPr>
          <w:rFonts w:ascii="Arial" w:eastAsia="Calibri" w:hAnsi="Arial" w:cs="Arial"/>
          <w:bCs/>
          <w:sz w:val="22"/>
          <w:lang w:val="es-ES"/>
        </w:rPr>
      </w:pPr>
      <w:r w:rsidRPr="00C95C66">
        <w:rPr>
          <w:rFonts w:ascii="Arial" w:eastAsia="Calibri" w:hAnsi="Arial" w:cs="Arial"/>
          <w:bCs/>
          <w:sz w:val="22"/>
          <w:lang w:val="es-ES"/>
        </w:rPr>
        <w:tab/>
        <w:t xml:space="preserve">En el caso de las entidades que adelantan sus procesos de selección a través de SECOP I, por días hábiles deben entenderse los establecidos como laborables en las normas que regulen el ejercicio de las funciones de la entidad, en ese sentido, solo deberán recibirse ofertas durante las horas laborables o de atención al público fijadas en dichas normas.  Por su parte, en los procesos de selección adelantados en la modalidad de mínima cuantía, mediante la plataforma SECOP II, el plazo para la presentación de ofertas deberá extenderse durante las veinticuatro (24) horas de un día solar laborable para la respectiva entidad. Lo anterior, sin perjuicio de la posibilidad de que las entidades fijen plazos superiores para presentar las ofertas, siempre que se cumpla con el mínimo de un día hábil.   </w:t>
      </w:r>
    </w:p>
    <w:p w14:paraId="60F81C76" w14:textId="5CCB7143" w:rsidR="00986D6F" w:rsidRPr="00C95C66" w:rsidRDefault="002F2CD7" w:rsidP="00986D6F">
      <w:pPr>
        <w:spacing w:line="276" w:lineRule="auto"/>
        <w:jc w:val="both"/>
        <w:rPr>
          <w:rFonts w:ascii="Arial" w:hAnsi="Arial" w:cs="Arial"/>
          <w:sz w:val="22"/>
          <w:lang w:val="es-ES"/>
        </w:rPr>
      </w:pPr>
      <w:r w:rsidRPr="00C95C66">
        <w:rPr>
          <w:rFonts w:ascii="Arial" w:hAnsi="Arial" w:cs="Arial"/>
          <w:sz w:val="22"/>
          <w:lang w:val="es-ES"/>
        </w:rPr>
        <w:tab/>
        <w:t xml:space="preserve">En ese sentido, la posibilidad de recibir ofertas en el lapso comprendido entre las 5:00 pm </w:t>
      </w:r>
      <w:r w:rsidR="004335DD" w:rsidRPr="00C95C66">
        <w:rPr>
          <w:rFonts w:ascii="Arial" w:hAnsi="Arial" w:cs="Arial"/>
          <w:sz w:val="22"/>
          <w:lang w:val="es-ES"/>
        </w:rPr>
        <w:t xml:space="preserve">y las 6:00 pm del día siguiente, no se ajusta a la </w:t>
      </w:r>
      <w:r w:rsidR="00800A8E" w:rsidRPr="00C95C66">
        <w:rPr>
          <w:rFonts w:ascii="Arial" w:hAnsi="Arial" w:cs="Arial"/>
          <w:sz w:val="22"/>
          <w:lang w:val="es-ES"/>
        </w:rPr>
        <w:t>definición de día hábil estudiada en el presente concepto, ni para</w:t>
      </w:r>
      <w:r w:rsidR="00D755F9" w:rsidRPr="00C95C66">
        <w:rPr>
          <w:rFonts w:ascii="Arial" w:hAnsi="Arial" w:cs="Arial"/>
          <w:sz w:val="22"/>
          <w:lang w:val="es-ES"/>
        </w:rPr>
        <w:t xml:space="preserve"> los</w:t>
      </w:r>
      <w:r w:rsidR="00800A8E" w:rsidRPr="00C95C66">
        <w:rPr>
          <w:rFonts w:ascii="Arial" w:hAnsi="Arial" w:cs="Arial"/>
          <w:sz w:val="22"/>
          <w:lang w:val="es-ES"/>
        </w:rPr>
        <w:t xml:space="preserve"> procesos </w:t>
      </w:r>
      <w:r w:rsidR="00D755F9" w:rsidRPr="00C95C66">
        <w:rPr>
          <w:rFonts w:ascii="Arial" w:hAnsi="Arial" w:cs="Arial"/>
          <w:sz w:val="22"/>
          <w:lang w:val="es-ES"/>
        </w:rPr>
        <w:t xml:space="preserve">que deben adelantarse recibiendo ofertas en medio físico y luego publicarlas </w:t>
      </w:r>
      <w:r w:rsidR="00334FC2" w:rsidRPr="00C95C66">
        <w:rPr>
          <w:rFonts w:ascii="Arial" w:hAnsi="Arial" w:cs="Arial"/>
          <w:sz w:val="22"/>
          <w:lang w:val="es-ES"/>
        </w:rPr>
        <w:t xml:space="preserve">en </w:t>
      </w:r>
      <w:r w:rsidR="00D755F9" w:rsidRPr="00C95C66">
        <w:rPr>
          <w:rFonts w:ascii="Arial" w:hAnsi="Arial" w:cs="Arial"/>
          <w:sz w:val="22"/>
          <w:lang w:val="es-ES"/>
        </w:rPr>
        <w:t>SECOP I</w:t>
      </w:r>
      <w:r w:rsidR="00334FC2" w:rsidRPr="00C95C66">
        <w:rPr>
          <w:rFonts w:ascii="Arial" w:hAnsi="Arial" w:cs="Arial"/>
          <w:sz w:val="22"/>
          <w:lang w:val="es-ES"/>
        </w:rPr>
        <w:t xml:space="preserve">, ni en los procesos que deben adelantarse mediante SECOP II, comoquiera que </w:t>
      </w:r>
      <w:r w:rsidR="00296F5A" w:rsidRPr="00C95C66">
        <w:rPr>
          <w:rFonts w:ascii="Arial" w:hAnsi="Arial" w:cs="Arial"/>
          <w:sz w:val="22"/>
          <w:lang w:val="es-ES"/>
        </w:rPr>
        <w:t>tal planteamient</w:t>
      </w:r>
      <w:r w:rsidR="00AD4EF0" w:rsidRPr="00C95C66">
        <w:rPr>
          <w:rFonts w:ascii="Arial" w:hAnsi="Arial" w:cs="Arial"/>
          <w:sz w:val="22"/>
          <w:lang w:val="es-ES"/>
        </w:rPr>
        <w:t>o no garant</w:t>
      </w:r>
      <w:r w:rsidR="00FF4D60">
        <w:rPr>
          <w:rFonts w:ascii="Arial" w:hAnsi="Arial" w:cs="Arial"/>
          <w:sz w:val="22"/>
          <w:lang w:val="es-ES"/>
        </w:rPr>
        <w:t>iza</w:t>
      </w:r>
      <w:r w:rsidR="00AD4EF0" w:rsidRPr="00C95C66">
        <w:rPr>
          <w:rFonts w:ascii="Arial" w:hAnsi="Arial" w:cs="Arial"/>
          <w:sz w:val="22"/>
          <w:lang w:val="es-ES"/>
        </w:rPr>
        <w:t xml:space="preserve"> que se cumpla con el tiempo mínimo de un</w:t>
      </w:r>
      <w:r w:rsidR="008223C3" w:rsidRPr="00C95C66">
        <w:rPr>
          <w:rFonts w:ascii="Arial" w:hAnsi="Arial" w:cs="Arial"/>
          <w:sz w:val="22"/>
          <w:lang w:val="es-ES"/>
        </w:rPr>
        <w:t xml:space="preserve"> único</w:t>
      </w:r>
      <w:r w:rsidR="00AD4EF0" w:rsidRPr="00C95C66">
        <w:rPr>
          <w:rFonts w:ascii="Arial" w:hAnsi="Arial" w:cs="Arial"/>
          <w:sz w:val="22"/>
          <w:lang w:val="es-ES"/>
        </w:rPr>
        <w:t xml:space="preserve"> día hábil establecido en el</w:t>
      </w:r>
      <w:r w:rsidR="008D366C" w:rsidRPr="00C95C66">
        <w:rPr>
          <w:rFonts w:ascii="Arial" w:hAnsi="Arial" w:cs="Arial"/>
          <w:sz w:val="22"/>
          <w:lang w:val="es-ES"/>
        </w:rPr>
        <w:t xml:space="preserve"> numeral 3 del</w:t>
      </w:r>
      <w:r w:rsidR="00AD4EF0" w:rsidRPr="00C95C66">
        <w:rPr>
          <w:rFonts w:ascii="Arial" w:hAnsi="Arial" w:cs="Arial"/>
          <w:sz w:val="22"/>
          <w:lang w:val="es-ES"/>
        </w:rPr>
        <w:t xml:space="preserve"> artículo</w:t>
      </w:r>
      <w:r w:rsidR="008D366C" w:rsidRPr="00C95C66">
        <w:rPr>
          <w:rFonts w:ascii="Arial" w:hAnsi="Arial" w:cs="Arial"/>
          <w:sz w:val="22"/>
          <w:lang w:val="es-ES"/>
        </w:rPr>
        <w:t xml:space="preserve"> 2.2.1.2.1.5.2 del Decreto 1082 de 2015,</w:t>
      </w:r>
      <w:r w:rsidR="005F76F1" w:rsidRPr="00C95C66">
        <w:rPr>
          <w:rFonts w:ascii="Arial" w:hAnsi="Arial" w:cs="Arial"/>
          <w:sz w:val="22"/>
          <w:lang w:val="es-ES"/>
        </w:rPr>
        <w:t xml:space="preserve"> al corresponder a veinticinco (25) horas fraccionadas en dos días</w:t>
      </w:r>
      <w:r w:rsidR="00D347A2" w:rsidRPr="00C95C66">
        <w:rPr>
          <w:rFonts w:ascii="Arial" w:hAnsi="Arial" w:cs="Arial"/>
          <w:sz w:val="22"/>
          <w:lang w:val="es-ES"/>
        </w:rPr>
        <w:t xml:space="preserve"> y no </w:t>
      </w:r>
      <w:r w:rsidR="001D724C" w:rsidRPr="00C95C66">
        <w:rPr>
          <w:rFonts w:ascii="Arial" w:hAnsi="Arial" w:cs="Arial"/>
          <w:sz w:val="22"/>
          <w:lang w:val="es-ES"/>
        </w:rPr>
        <w:t xml:space="preserve">al concepto de día hábil </w:t>
      </w:r>
      <w:r w:rsidR="00B811AA" w:rsidRPr="00C95C66">
        <w:rPr>
          <w:rFonts w:ascii="Arial" w:hAnsi="Arial" w:cs="Arial"/>
          <w:sz w:val="22"/>
          <w:lang w:val="es-ES"/>
        </w:rPr>
        <w:t>que surge de la interpretación armónica de los artículo</w:t>
      </w:r>
      <w:r w:rsidR="000A2B7C">
        <w:rPr>
          <w:rFonts w:ascii="Arial" w:hAnsi="Arial" w:cs="Arial"/>
          <w:sz w:val="22"/>
          <w:lang w:val="es-ES"/>
        </w:rPr>
        <w:t>s</w:t>
      </w:r>
      <w:r w:rsidR="00B811AA" w:rsidRPr="00C95C66">
        <w:rPr>
          <w:rFonts w:ascii="Arial" w:hAnsi="Arial" w:cs="Arial"/>
          <w:sz w:val="22"/>
          <w:lang w:val="es-ES"/>
        </w:rPr>
        <w:t xml:space="preserve"> 59 y 62 de la Ley 4 de 1913</w:t>
      </w:r>
      <w:r w:rsidR="00891061">
        <w:rPr>
          <w:rFonts w:ascii="Arial" w:hAnsi="Arial" w:cs="Arial"/>
          <w:sz w:val="22"/>
          <w:lang w:val="es-ES"/>
        </w:rPr>
        <w:t>, y que debe aplica</w:t>
      </w:r>
      <w:r w:rsidR="00FF4D60">
        <w:rPr>
          <w:rFonts w:ascii="Arial" w:hAnsi="Arial" w:cs="Arial"/>
          <w:sz w:val="22"/>
          <w:lang w:val="es-ES"/>
        </w:rPr>
        <w:t>rse</w:t>
      </w:r>
      <w:r w:rsidR="00891061">
        <w:rPr>
          <w:rFonts w:ascii="Arial" w:hAnsi="Arial" w:cs="Arial"/>
          <w:sz w:val="22"/>
          <w:lang w:val="es-ES"/>
        </w:rPr>
        <w:t xml:space="preserve"> conforme a la regla interpretativa explicada en el presente </w:t>
      </w:r>
      <w:r w:rsidR="00FF4D60">
        <w:rPr>
          <w:rFonts w:ascii="Arial" w:hAnsi="Arial" w:cs="Arial"/>
          <w:sz w:val="22"/>
          <w:lang w:val="es-ES"/>
        </w:rPr>
        <w:t>oficio</w:t>
      </w:r>
      <w:r w:rsidR="00891061">
        <w:rPr>
          <w:rFonts w:ascii="Arial" w:hAnsi="Arial" w:cs="Arial"/>
          <w:sz w:val="22"/>
          <w:lang w:val="es-ES"/>
        </w:rPr>
        <w:t>.</w:t>
      </w:r>
    </w:p>
    <w:p w14:paraId="2EA9D205" w14:textId="77777777" w:rsidR="00AA572E" w:rsidRDefault="00AA572E" w:rsidP="00AA572E">
      <w:pPr>
        <w:spacing w:line="276" w:lineRule="auto"/>
        <w:jc w:val="both"/>
        <w:rPr>
          <w:rFonts w:ascii="Arial" w:eastAsia="Calibri" w:hAnsi="Arial" w:cs="Arial"/>
          <w:sz w:val="22"/>
        </w:rPr>
      </w:pPr>
    </w:p>
    <w:p w14:paraId="5D3C08AD" w14:textId="58F44938" w:rsidR="00C8030C" w:rsidRPr="00C95C66" w:rsidRDefault="00986D6F" w:rsidP="00C8030C">
      <w:pPr>
        <w:spacing w:after="120" w:line="276" w:lineRule="auto"/>
        <w:jc w:val="both"/>
        <w:rPr>
          <w:rFonts w:ascii="Arial" w:eastAsia="Calibri" w:hAnsi="Arial" w:cs="Arial"/>
          <w:sz w:val="22"/>
        </w:rPr>
      </w:pPr>
      <w:r w:rsidRPr="00C95C66">
        <w:rPr>
          <w:rFonts w:ascii="Arial" w:eastAsia="Calibri" w:hAnsi="Arial" w:cs="Arial"/>
          <w:sz w:val="22"/>
        </w:rPr>
        <w:t>Este concepto tiene el alcance previsto en el artículo 28 del Código de Procedimiento Administrativo y de lo Contencioso Administrativo.</w:t>
      </w:r>
    </w:p>
    <w:p w14:paraId="6325B401" w14:textId="718B4A30" w:rsidR="00C8030C" w:rsidRPr="00C95C66" w:rsidRDefault="00C8030C" w:rsidP="00C8030C">
      <w:pPr>
        <w:jc w:val="both"/>
        <w:rPr>
          <w:rFonts w:ascii="Arial" w:eastAsia="Calibri" w:hAnsi="Arial" w:cs="Arial"/>
          <w:sz w:val="22"/>
        </w:rPr>
      </w:pPr>
      <w:r w:rsidRPr="00C95C66">
        <w:rPr>
          <w:noProof/>
        </w:rPr>
        <mc:AlternateContent>
          <mc:Choice Requires="wps">
            <w:drawing>
              <wp:anchor distT="0" distB="0" distL="114300" distR="114300" simplePos="0" relativeHeight="251659264" behindDoc="0" locked="0" layoutInCell="1" allowOverlap="1" wp14:anchorId="55536044" wp14:editId="07AA13C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FF274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8777E6E" w14:textId="77777777" w:rsidR="00C8030C" w:rsidRPr="00C95C66" w:rsidRDefault="00C8030C" w:rsidP="00C8030C">
      <w:pPr>
        <w:spacing w:line="276" w:lineRule="auto"/>
        <w:jc w:val="both"/>
        <w:rPr>
          <w:rFonts w:ascii="Arial" w:hAnsi="Arial" w:cs="Arial"/>
          <w:szCs w:val="20"/>
        </w:rPr>
      </w:pPr>
      <w:bookmarkStart w:id="3" w:name="_Hlk50370367"/>
      <w:r w:rsidRPr="00C95C66">
        <w:rPr>
          <w:rFonts w:ascii="Arial" w:hAnsi="Arial" w:cs="Arial"/>
          <w:sz w:val="22"/>
          <w:lang w:eastAsia="es-CO"/>
        </w:rPr>
        <w:t>Atentamente</w:t>
      </w:r>
      <w:r w:rsidRPr="00C95C66">
        <w:rPr>
          <w:rFonts w:ascii="Arial" w:hAnsi="Arial" w:cs="Arial"/>
          <w:lang w:eastAsia="es-CO"/>
        </w:rPr>
        <w:t>,</w:t>
      </w:r>
    </w:p>
    <w:bookmarkEnd w:id="3"/>
    <w:p w14:paraId="53847C4C" w14:textId="22C60C11" w:rsidR="00C8030C" w:rsidRPr="00C95C66" w:rsidRDefault="007A07C2" w:rsidP="00C8030C">
      <w:pPr>
        <w:spacing w:after="18"/>
        <w:jc w:val="center"/>
        <w:rPr>
          <w:rFonts w:ascii="Arial" w:hAnsi="Arial" w:cs="Arial"/>
          <w:lang w:eastAsia="es-CO"/>
        </w:rPr>
      </w:pPr>
      <w:r>
        <w:rPr>
          <w:noProof/>
        </w:rPr>
        <w:drawing>
          <wp:inline distT="0" distB="0" distL="0" distR="0" wp14:anchorId="22C9C04B" wp14:editId="30E2C81A">
            <wp:extent cx="2514600" cy="1112520"/>
            <wp:effectExtent l="0" t="0" r="0" b="0"/>
            <wp:docPr id="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2520"/>
                    </a:xfrm>
                    <a:prstGeom prst="rect">
                      <a:avLst/>
                    </a:prstGeom>
                  </pic:spPr>
                </pic:pic>
              </a:graphicData>
            </a:graphic>
          </wp:inline>
        </w:drawing>
      </w:r>
    </w:p>
    <w:p w14:paraId="1EC2D685" w14:textId="77777777" w:rsidR="00C8030C" w:rsidRPr="00C95C66" w:rsidRDefault="00C8030C" w:rsidP="00C8030C">
      <w:pPr>
        <w:spacing w:after="18"/>
        <w:jc w:val="center"/>
        <w:rPr>
          <w:rFonts w:ascii="Arial" w:hAnsi="Arial" w:cs="Arial"/>
          <w:lang w:eastAsia="es-CO"/>
        </w:rPr>
      </w:pPr>
    </w:p>
    <w:p w14:paraId="33AC7034" w14:textId="77777777" w:rsidR="00C8030C" w:rsidRPr="00C95C66" w:rsidRDefault="00C8030C" w:rsidP="00C8030C">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C95C66" w:rsidRPr="00C95C66" w14:paraId="3D116E50" w14:textId="77777777" w:rsidTr="00F74A5B">
        <w:trPr>
          <w:trHeight w:val="286"/>
        </w:trPr>
        <w:tc>
          <w:tcPr>
            <w:tcW w:w="817" w:type="dxa"/>
            <w:vAlign w:val="center"/>
            <w:hideMark/>
          </w:tcPr>
          <w:p w14:paraId="79594418"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Elaboró:</w:t>
            </w:r>
          </w:p>
        </w:tc>
        <w:tc>
          <w:tcPr>
            <w:tcW w:w="3988" w:type="dxa"/>
            <w:tcBorders>
              <w:top w:val="nil"/>
              <w:left w:val="nil"/>
              <w:bottom w:val="dotted" w:sz="4" w:space="0" w:color="7F7F7F"/>
              <w:right w:val="nil"/>
            </w:tcBorders>
            <w:vAlign w:val="center"/>
            <w:hideMark/>
          </w:tcPr>
          <w:p w14:paraId="70963850"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Alejandro Sarmiento Cantillo</w:t>
            </w:r>
          </w:p>
          <w:p w14:paraId="4DFB4EF8"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Gestor T1-11 de la Subdirección de Gestión Contractual</w:t>
            </w:r>
          </w:p>
        </w:tc>
      </w:tr>
      <w:tr w:rsidR="00C95C66" w:rsidRPr="00C95C66" w14:paraId="1EF2B830" w14:textId="77777777" w:rsidTr="00F74A5B">
        <w:trPr>
          <w:trHeight w:val="299"/>
        </w:trPr>
        <w:tc>
          <w:tcPr>
            <w:tcW w:w="817" w:type="dxa"/>
            <w:vAlign w:val="center"/>
            <w:hideMark/>
          </w:tcPr>
          <w:p w14:paraId="60C1D451"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06FB1ECA" w14:textId="6DC16EEE"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Juan David Montoya Penagos</w:t>
            </w:r>
          </w:p>
          <w:p w14:paraId="6AD8EC6B"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Gestor T1-15 de la Subdirección de Gestión Contractual</w:t>
            </w:r>
          </w:p>
        </w:tc>
      </w:tr>
      <w:tr w:rsidR="00C95C66" w:rsidRPr="00C95C66" w14:paraId="14ED74F3" w14:textId="77777777" w:rsidTr="00F74A5B">
        <w:trPr>
          <w:trHeight w:val="272"/>
        </w:trPr>
        <w:tc>
          <w:tcPr>
            <w:tcW w:w="817" w:type="dxa"/>
            <w:vAlign w:val="center"/>
            <w:hideMark/>
          </w:tcPr>
          <w:p w14:paraId="6090D1E4"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2ED10A78" w14:textId="7777777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Jorge Augusto Tirado Navarro</w:t>
            </w:r>
          </w:p>
          <w:p w14:paraId="248B73FD" w14:textId="38169337" w:rsidR="00C8030C" w:rsidRPr="00C95C66" w:rsidRDefault="00C8030C" w:rsidP="00F74A5B">
            <w:pPr>
              <w:rPr>
                <w:rFonts w:ascii="Arial" w:hAnsi="Arial" w:cs="Arial"/>
                <w:sz w:val="14"/>
                <w:szCs w:val="14"/>
                <w:lang w:eastAsia="es-ES"/>
              </w:rPr>
            </w:pPr>
            <w:r w:rsidRPr="00C95C66">
              <w:rPr>
                <w:rFonts w:ascii="Arial" w:hAnsi="Arial" w:cs="Arial"/>
                <w:sz w:val="14"/>
                <w:szCs w:val="14"/>
                <w:lang w:eastAsia="es-ES"/>
              </w:rPr>
              <w:t xml:space="preserve">Subdirector de Gestión Contractual </w:t>
            </w:r>
            <w:r w:rsidR="00FF4D60">
              <w:rPr>
                <w:rFonts w:ascii="Arial" w:hAnsi="Arial" w:cs="Arial"/>
                <w:sz w:val="14"/>
                <w:szCs w:val="14"/>
                <w:lang w:eastAsia="es-ES"/>
              </w:rPr>
              <w:t>ANCP - CCE</w:t>
            </w:r>
          </w:p>
        </w:tc>
      </w:tr>
    </w:tbl>
    <w:p w14:paraId="74AC3F0E" w14:textId="77777777" w:rsidR="00C8030C" w:rsidRPr="00C95C66" w:rsidRDefault="00C8030C" w:rsidP="00C8030C">
      <w:pPr>
        <w:rPr>
          <w:rFonts w:ascii="Arial" w:hAnsi="Arial" w:cs="Arial"/>
          <w:lang w:eastAsia="es-ES"/>
        </w:rPr>
      </w:pPr>
    </w:p>
    <w:p w14:paraId="0EFBDF72" w14:textId="77777777" w:rsidR="00C8030C" w:rsidRPr="00C95C66" w:rsidRDefault="00C8030C" w:rsidP="00C8030C">
      <w:pPr>
        <w:rPr>
          <w:rFonts w:ascii="Arial" w:hAnsi="Arial" w:cs="Arial"/>
          <w:lang w:eastAsia="es-ES"/>
        </w:rPr>
      </w:pPr>
    </w:p>
    <w:p w14:paraId="6FB7C67E" w14:textId="77777777" w:rsidR="00C8030C" w:rsidRPr="00C95C66" w:rsidRDefault="00C8030C" w:rsidP="00C8030C">
      <w:pPr>
        <w:rPr>
          <w:rFonts w:ascii="Arial" w:hAnsi="Arial" w:cs="Arial"/>
          <w:lang w:eastAsia="es-ES"/>
        </w:rPr>
      </w:pPr>
    </w:p>
    <w:bookmarkEnd w:id="2"/>
    <w:p w14:paraId="35B56F46" w14:textId="4DF92EE9" w:rsidR="00746E08" w:rsidRPr="00C95C66" w:rsidRDefault="00746E08" w:rsidP="00C8030C">
      <w:pPr>
        <w:spacing w:line="276" w:lineRule="auto"/>
        <w:jc w:val="both"/>
      </w:pPr>
    </w:p>
    <w:sectPr w:rsidR="00746E08" w:rsidRPr="00C95C66" w:rsidSect="00981AEC">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A4C36" w14:textId="77777777" w:rsidR="0053218E" w:rsidRDefault="0053218E">
      <w:r>
        <w:separator/>
      </w:r>
    </w:p>
  </w:endnote>
  <w:endnote w:type="continuationSeparator" w:id="0">
    <w:p w14:paraId="5ED82050" w14:textId="77777777" w:rsidR="0053218E" w:rsidRDefault="0053218E">
      <w:r>
        <w:continuationSeparator/>
      </w:r>
    </w:p>
  </w:endnote>
  <w:endnote w:type="continuationNotice" w:id="1">
    <w:p w14:paraId="0D862859" w14:textId="77777777" w:rsidR="0053218E" w:rsidRDefault="005321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10353" w:rsidRPr="005151A2" w:rsidRDefault="00B10353" w:rsidP="00322937">
    <w:pPr>
      <w:pStyle w:val="Sinespaciado"/>
      <w:jc w:val="right"/>
      <w:rPr>
        <w:rFonts w:ascii="Arial" w:hAnsi="Arial" w:cs="Arial"/>
        <w:sz w:val="16"/>
        <w:szCs w:val="16"/>
      </w:rPr>
    </w:pPr>
  </w:p>
  <w:p w14:paraId="7A3785F3" w14:textId="41545CD1" w:rsidR="00B10353" w:rsidRPr="008217B7" w:rsidRDefault="00B1035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6369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63695">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B10353" w:rsidRDefault="00B10353"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B10353" w:rsidRPr="005151A2" w:rsidRDefault="00B10353" w:rsidP="007B0854">
    <w:pPr>
      <w:pStyle w:val="Piedepgina"/>
      <w:jc w:val="center"/>
      <w:rPr>
        <w:sz w:val="20"/>
        <w:szCs w:val="20"/>
        <w:lang w:val="es-ES"/>
      </w:rPr>
    </w:pPr>
  </w:p>
  <w:p w14:paraId="6C0EFC49" w14:textId="77777777" w:rsidR="00B10353" w:rsidRPr="005151A2" w:rsidRDefault="00B10353"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AE45E" w14:textId="77777777" w:rsidR="0053218E" w:rsidRDefault="0053218E">
      <w:r>
        <w:separator/>
      </w:r>
    </w:p>
  </w:footnote>
  <w:footnote w:type="continuationSeparator" w:id="0">
    <w:p w14:paraId="0EBD1FB9" w14:textId="77777777" w:rsidR="0053218E" w:rsidRDefault="0053218E">
      <w:r>
        <w:continuationSeparator/>
      </w:r>
    </w:p>
  </w:footnote>
  <w:footnote w:type="continuationNotice" w:id="1">
    <w:p w14:paraId="4F779921" w14:textId="77777777" w:rsidR="0053218E" w:rsidRDefault="0053218E"/>
  </w:footnote>
  <w:footnote w:id="2">
    <w:p w14:paraId="249818A1"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1150 de 2007: «Artículo 2 […] </w:t>
      </w:r>
      <w:proofErr w:type="gramStart"/>
      <w:r w:rsidRPr="00E85B58">
        <w:rPr>
          <w:rFonts w:ascii="Arial" w:hAnsi="Arial" w:cs="Arial"/>
          <w:color w:val="000000" w:themeColor="text1"/>
          <w:sz w:val="18"/>
          <w:szCs w:val="18"/>
        </w:rPr>
        <w:t>5.Contratación</w:t>
      </w:r>
      <w:proofErr w:type="gramEnd"/>
      <w:r w:rsidRPr="00E85B58">
        <w:rPr>
          <w:rFonts w:ascii="Arial" w:hAnsi="Arial" w:cs="Arial"/>
          <w:color w:val="000000" w:themeColor="text1"/>
          <w:sz w:val="18"/>
          <w:szCs w:val="18"/>
        </w:rPr>
        <w:t xml:space="preserve"> mínima Cuantía. La contratación cuyo valor no excede del 10 por ciento de la menor cuantía de la entidad independientemente de su objeto, se efectuará de conformidad con las siguientes reglas:  </w:t>
      </w:r>
    </w:p>
    <w:p w14:paraId="79F595DA" w14:textId="77777777" w:rsidR="00986D6F" w:rsidRPr="00E85B58" w:rsidRDefault="00986D6F" w:rsidP="00986D6F">
      <w:pPr>
        <w:pStyle w:val="Textonotapie"/>
        <w:ind w:firstLine="708"/>
        <w:jc w:val="both"/>
        <w:rPr>
          <w:rFonts w:ascii="Arial" w:hAnsi="Arial" w:cs="Arial"/>
          <w:color w:val="000000" w:themeColor="text1"/>
          <w:sz w:val="18"/>
          <w:szCs w:val="18"/>
        </w:rPr>
      </w:pPr>
      <w:proofErr w:type="gramStart"/>
      <w:r w:rsidRPr="00E85B58">
        <w:rPr>
          <w:rFonts w:ascii="Arial" w:hAnsi="Arial" w:cs="Arial"/>
          <w:color w:val="000000" w:themeColor="text1"/>
          <w:sz w:val="18"/>
          <w:szCs w:val="18"/>
        </w:rPr>
        <w:t>»a</w:t>
      </w:r>
      <w:proofErr w:type="gramEnd"/>
      <w:r w:rsidRPr="00E85B58">
        <w:rPr>
          <w:rFonts w:ascii="Arial" w:hAnsi="Arial" w:cs="Arial"/>
          <w:color w:val="000000" w:themeColor="text1"/>
          <w:sz w:val="18"/>
          <w:szCs w:val="18"/>
        </w:rPr>
        <w:t xml:space="preserve">) Se publicará una invitación, por un término no inferior a un día hábil, en la cual se señalará el objeto a contratar, el presupuesto destinado para tal fin, así como las condiciones técnicas exigidas;  </w:t>
      </w:r>
    </w:p>
    <w:p w14:paraId="5D82C354" w14:textId="77777777" w:rsidR="00986D6F" w:rsidRPr="00E85B58" w:rsidRDefault="00986D6F" w:rsidP="00986D6F">
      <w:pPr>
        <w:pStyle w:val="Textonotapie"/>
        <w:ind w:firstLine="708"/>
        <w:jc w:val="both"/>
        <w:rPr>
          <w:rFonts w:ascii="Arial" w:hAnsi="Arial" w:cs="Arial"/>
          <w:color w:val="000000" w:themeColor="text1"/>
          <w:sz w:val="18"/>
          <w:szCs w:val="18"/>
        </w:rPr>
      </w:pPr>
      <w:proofErr w:type="gramStart"/>
      <w:r w:rsidRPr="00E85B58">
        <w:rPr>
          <w:rFonts w:ascii="Arial" w:hAnsi="Arial" w:cs="Arial"/>
          <w:color w:val="000000" w:themeColor="text1"/>
          <w:sz w:val="18"/>
          <w:szCs w:val="18"/>
        </w:rPr>
        <w:t>»b</w:t>
      </w:r>
      <w:proofErr w:type="gramEnd"/>
      <w:r w:rsidRPr="00E85B58">
        <w:rPr>
          <w:rFonts w:ascii="Arial" w:hAnsi="Arial" w:cs="Arial"/>
          <w:color w:val="000000" w:themeColor="text1"/>
          <w:sz w:val="18"/>
          <w:szCs w:val="18"/>
        </w:rPr>
        <w:t xml:space="preserve">) El término previsto en la invitación para presentar la oferta no podrá ser inferior a un día hábil;  </w:t>
      </w:r>
    </w:p>
    <w:p w14:paraId="7C8C6685"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»c) La entidad seleccionará, mediante comunicación de aceptación de la oferta, la propuesta con el menor precio, siempre y cuando cumpla con las condiciones exigidas;  </w:t>
      </w:r>
    </w:p>
    <w:p w14:paraId="314609EF" w14:textId="77777777" w:rsidR="00986D6F" w:rsidRPr="00E85B58" w:rsidRDefault="00986D6F" w:rsidP="00986D6F">
      <w:pPr>
        <w:pStyle w:val="Textonotapie"/>
        <w:ind w:firstLine="708"/>
        <w:jc w:val="both"/>
        <w:rPr>
          <w:rFonts w:ascii="Arial" w:hAnsi="Arial" w:cs="Arial"/>
          <w:color w:val="000000" w:themeColor="text1"/>
          <w:sz w:val="18"/>
          <w:szCs w:val="18"/>
        </w:rPr>
      </w:pPr>
      <w:proofErr w:type="gramStart"/>
      <w:r w:rsidRPr="00E85B58">
        <w:rPr>
          <w:rFonts w:ascii="Arial" w:hAnsi="Arial" w:cs="Arial"/>
          <w:color w:val="000000" w:themeColor="text1"/>
          <w:sz w:val="18"/>
          <w:szCs w:val="18"/>
        </w:rPr>
        <w:t>»d</w:t>
      </w:r>
      <w:proofErr w:type="gramEnd"/>
      <w:r w:rsidRPr="00E85B58">
        <w:rPr>
          <w:rFonts w:ascii="Arial" w:hAnsi="Arial" w:cs="Arial"/>
          <w:color w:val="000000" w:themeColor="text1"/>
          <w:sz w:val="18"/>
          <w:szCs w:val="18"/>
        </w:rPr>
        <w:t xml:space="preserve">) La comunicación de aceptación junto con la oferta constituyen para todos los efectos el contrato celebrado, con base en lo cual se efectuará el respectivo registro presupuestal.  </w:t>
      </w:r>
    </w:p>
    <w:p w14:paraId="66F7D4FD" w14:textId="77777777" w:rsidR="00986D6F" w:rsidRPr="00E85B58" w:rsidRDefault="00986D6F" w:rsidP="00986D6F">
      <w:pPr>
        <w:pStyle w:val="Textonotapie"/>
        <w:ind w:firstLine="708"/>
        <w:jc w:val="both"/>
        <w:rPr>
          <w:rFonts w:ascii="Arial" w:hAnsi="Arial" w:cs="Arial"/>
          <w:color w:val="000000" w:themeColor="text1"/>
          <w:sz w:val="18"/>
          <w:szCs w:val="18"/>
        </w:rPr>
      </w:pPr>
      <w:proofErr w:type="gramStart"/>
      <w:r w:rsidRPr="00E85B58">
        <w:rPr>
          <w:rFonts w:ascii="Arial" w:hAnsi="Arial" w:cs="Arial"/>
          <w:color w:val="000000" w:themeColor="text1"/>
          <w:sz w:val="18"/>
          <w:szCs w:val="18"/>
        </w:rPr>
        <w:t>»Parágrafo</w:t>
      </w:r>
      <w:proofErr w:type="gramEnd"/>
      <w:r w:rsidRPr="00E85B58">
        <w:rPr>
          <w:rFonts w:ascii="Arial" w:hAnsi="Arial" w:cs="Arial"/>
          <w:color w:val="000000" w:themeColor="text1"/>
          <w:sz w:val="18"/>
          <w:szCs w:val="18"/>
        </w:rPr>
        <w:t xml:space="preserve">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  </w:t>
      </w:r>
    </w:p>
    <w:p w14:paraId="4CB2CC78"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proofErr w:type="gramStart"/>
      <w:r w:rsidRPr="00E85B58">
        <w:rPr>
          <w:rFonts w:ascii="Arial" w:hAnsi="Arial" w:cs="Arial"/>
          <w:color w:val="000000" w:themeColor="text1"/>
          <w:sz w:val="18"/>
          <w:szCs w:val="18"/>
        </w:rPr>
        <w:t>»Parágrafo</w:t>
      </w:r>
      <w:proofErr w:type="gramEnd"/>
      <w:r w:rsidRPr="00E85B58">
        <w:rPr>
          <w:rFonts w:ascii="Arial" w:hAnsi="Arial" w:cs="Arial"/>
          <w:color w:val="000000" w:themeColor="text1"/>
          <w:sz w:val="18"/>
          <w:szCs w:val="18"/>
        </w:rPr>
        <w:t xml:space="preserve"> 2°.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3">
    <w:p w14:paraId="025AFA47" w14:textId="77777777" w:rsidR="00986D6F" w:rsidRPr="00E85B58" w:rsidRDefault="00986D6F" w:rsidP="00986D6F">
      <w:pPr>
        <w:pStyle w:val="Textonotapie"/>
        <w:ind w:firstLine="708"/>
        <w:jc w:val="both"/>
        <w:rPr>
          <w:rFonts w:ascii="Arial" w:hAnsi="Arial" w:cs="Arial"/>
          <w:color w:val="000000" w:themeColor="text1"/>
          <w:sz w:val="18"/>
          <w:szCs w:val="18"/>
        </w:rPr>
      </w:pPr>
    </w:p>
    <w:p w14:paraId="774031BC"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Decreto 1082 de 2015: «Artículo 2.2.1.2.1.5.2. Procedimiento para la contratación de mínima cuantía. Las siguientes reglas son aplicables a la contratación cuyo valor no excede del 10% de la menor cuantía de la Entidad Estatal, independientemente de su objeto: </w:t>
      </w:r>
    </w:p>
    <w:p w14:paraId="74C0DF20"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263CB9B3"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»2. La Entidad Estatal puede exigir una capacidad financiera mínima cuando no hace el pago contra entrega a satisfacción de los bienes, obras o servicios. Si la Entidad Estatal exige capacidad financiera debe indicar cómo hará la verificación correspondiente. </w:t>
      </w:r>
    </w:p>
    <w:p w14:paraId="02ACD13D"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»3. La invitación se hará por un término no inferior a un (1) día hábil. Si los interesados formulan observaciones o comentarios a la invitación, estos serán contestados por la Entidad Estatal antes del vencimiento del plazo para presentar ofertas. </w:t>
      </w:r>
    </w:p>
    <w:p w14:paraId="3AE3B008"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 </w:t>
      </w:r>
    </w:p>
    <w:p w14:paraId="4BE4F674"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 Entidad Estatal debe publicar el informe de evaluación durante un (1) día hábil. </w:t>
      </w:r>
    </w:p>
    <w:p w14:paraId="29CF9EED"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 </w:t>
      </w:r>
    </w:p>
    <w:p w14:paraId="1D10BB53"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»7. En caso de empate, la Entidad Estatal aceptará la oferta que haya sido presentada primero en el tiempo. </w:t>
      </w:r>
    </w:p>
    <w:p w14:paraId="25EF0EBC"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»8. La oferta y su aceptación constituyen el contrato».</w:t>
      </w:r>
    </w:p>
  </w:footnote>
  <w:footnote w:id="4">
    <w:p w14:paraId="5F1502E2" w14:textId="236916D7" w:rsidR="00986D6F" w:rsidRDefault="00986D6F" w:rsidP="00986D6F">
      <w:pPr>
        <w:pStyle w:val="Textonotapie"/>
        <w:ind w:firstLine="708"/>
        <w:jc w:val="both"/>
        <w:rPr>
          <w:rStyle w:val="Hipervnculo"/>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Agencia Nacional de Contratación Pública ―Colombia Compra Eficiente. Manual de la Modalidad de Selección de Mínima Cuantía M-MSMC-03. Disponible en: </w:t>
      </w:r>
      <w:hyperlink r:id="rId1" w:history="1">
        <w:r w:rsidRPr="00E85B58">
          <w:rPr>
            <w:rStyle w:val="Hipervnculo"/>
            <w:rFonts w:ascii="Arial" w:hAnsi="Arial" w:cs="Arial"/>
            <w:color w:val="000000" w:themeColor="text1"/>
            <w:sz w:val="18"/>
            <w:szCs w:val="18"/>
          </w:rPr>
          <w:t>https://www.colombiacompra.gov.co/sites/cce_public/files/cce_documents/manual_de_la_modalidad_de_seleccion_de_minima_cuantia.pdf</w:t>
        </w:r>
      </w:hyperlink>
    </w:p>
    <w:p w14:paraId="119E02AF" w14:textId="77777777" w:rsidR="00EB3D5B" w:rsidRPr="00E85B58" w:rsidRDefault="00EB3D5B" w:rsidP="00986D6F">
      <w:pPr>
        <w:pStyle w:val="Textonotapie"/>
        <w:ind w:firstLine="708"/>
        <w:jc w:val="both"/>
        <w:rPr>
          <w:rFonts w:ascii="Arial" w:hAnsi="Arial" w:cs="Arial"/>
          <w:color w:val="000000" w:themeColor="text1"/>
          <w:sz w:val="18"/>
          <w:szCs w:val="18"/>
          <w:lang w:val="es-CO"/>
        </w:rPr>
      </w:pPr>
    </w:p>
  </w:footnote>
  <w:footnote w:id="5">
    <w:p w14:paraId="441C87F8"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Real Academia Española de la Lengua. Diccionario de la Lengua Española. Edición Tricentenario. Disponible en: </w:t>
      </w:r>
      <w:hyperlink r:id="rId2" w:history="1">
        <w:r w:rsidRPr="00E85B58">
          <w:rPr>
            <w:rStyle w:val="Hipervnculo"/>
            <w:rFonts w:ascii="Arial" w:hAnsi="Arial" w:cs="Arial"/>
            <w:color w:val="000000" w:themeColor="text1"/>
            <w:sz w:val="18"/>
            <w:szCs w:val="18"/>
          </w:rPr>
          <w:t>https://dle.rae.es/h%C3%A1bil</w:t>
        </w:r>
      </w:hyperlink>
      <w:r w:rsidRPr="00E85B58">
        <w:rPr>
          <w:rFonts w:ascii="Arial" w:hAnsi="Arial" w:cs="Arial"/>
          <w:color w:val="000000" w:themeColor="text1"/>
          <w:sz w:val="18"/>
          <w:szCs w:val="18"/>
          <w:lang w:val="es-CO"/>
        </w:rPr>
        <w:t xml:space="preserve"> </w:t>
      </w:r>
    </w:p>
  </w:footnote>
  <w:footnote w:id="6">
    <w:p w14:paraId="15991634" w14:textId="77777777" w:rsidR="00986D6F" w:rsidRPr="00E85B58" w:rsidRDefault="00986D6F" w:rsidP="00986D6F">
      <w:pPr>
        <w:pStyle w:val="Textonotapie"/>
        <w:ind w:firstLine="708"/>
        <w:rPr>
          <w:rFonts w:ascii="Arial" w:hAnsi="Arial" w:cs="Arial"/>
          <w:color w:val="000000" w:themeColor="text1"/>
          <w:sz w:val="18"/>
          <w:szCs w:val="18"/>
        </w:rPr>
      </w:pPr>
      <w:r w:rsidRPr="00E85B58">
        <w:rPr>
          <w:rStyle w:val="Refdenotaalpie"/>
          <w:color w:val="000000" w:themeColor="text1"/>
        </w:rPr>
        <w:footnoteRef/>
      </w:r>
      <w:r w:rsidRPr="00E85B58">
        <w:rPr>
          <w:color w:val="000000" w:themeColor="text1"/>
        </w:rPr>
        <w:t xml:space="preserve"> </w:t>
      </w:r>
      <w:r w:rsidRPr="00E85B58">
        <w:rPr>
          <w:rFonts w:ascii="Arial" w:hAnsi="Arial" w:cs="Arial"/>
          <w:color w:val="000000" w:themeColor="text1"/>
          <w:sz w:val="18"/>
          <w:szCs w:val="18"/>
        </w:rPr>
        <w:t>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p w14:paraId="2CF58BF4" w14:textId="77777777" w:rsidR="00986D6F" w:rsidRPr="00E85B58" w:rsidRDefault="00986D6F" w:rsidP="00986D6F">
      <w:pPr>
        <w:pStyle w:val="Textonotapie"/>
        <w:rPr>
          <w:color w:val="000000" w:themeColor="text1"/>
          <w:lang w:val="es-CO"/>
        </w:rPr>
      </w:pPr>
    </w:p>
  </w:footnote>
  <w:footnote w:id="7">
    <w:p w14:paraId="6306D8EB"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Consejo de Estado. </w:t>
      </w:r>
      <w:r w:rsidRPr="00E85B58">
        <w:rPr>
          <w:rFonts w:ascii="Arial" w:hAnsi="Arial" w:cs="Arial"/>
          <w:color w:val="000000" w:themeColor="text1"/>
          <w:sz w:val="18"/>
          <w:szCs w:val="18"/>
        </w:rPr>
        <w:t xml:space="preserve">Sala Plena de lo Contencioso Administrativo. Sentencia del 12 de abril de 1978. C.P. Carlos Portocarrero Mutis. </w:t>
      </w:r>
      <w:proofErr w:type="spellStart"/>
      <w:r w:rsidRPr="00E85B58">
        <w:rPr>
          <w:rFonts w:ascii="Arial" w:hAnsi="Arial" w:cs="Arial"/>
          <w:color w:val="000000" w:themeColor="text1"/>
          <w:sz w:val="18"/>
          <w:szCs w:val="18"/>
        </w:rPr>
        <w:t>Exp</w:t>
      </w:r>
      <w:proofErr w:type="spellEnd"/>
      <w:r w:rsidRPr="00E85B58">
        <w:rPr>
          <w:rFonts w:ascii="Arial" w:hAnsi="Arial" w:cs="Arial"/>
          <w:color w:val="000000" w:themeColor="text1"/>
          <w:sz w:val="18"/>
          <w:szCs w:val="18"/>
        </w:rPr>
        <w:t>. 355.</w:t>
      </w:r>
    </w:p>
  </w:footnote>
  <w:footnote w:id="8">
    <w:p w14:paraId="18BCA1F0"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Consejo de Estado. Sección Cuarta. Auto del 26 de febrero de 1983.</w:t>
      </w:r>
    </w:p>
  </w:footnote>
  <w:footnote w:id="9">
    <w:p w14:paraId="179D439D" w14:textId="77777777" w:rsidR="00986D6F" w:rsidRPr="00E85B58" w:rsidRDefault="00986D6F" w:rsidP="00986D6F">
      <w:pPr>
        <w:pStyle w:val="Textonotapie"/>
        <w:ind w:firstLine="708"/>
        <w:jc w:val="both"/>
        <w:rPr>
          <w:rFonts w:ascii="Arial" w:hAnsi="Arial" w:cs="Arial"/>
          <w:color w:val="000000" w:themeColor="text1"/>
          <w:sz w:val="18"/>
          <w:szCs w:val="18"/>
        </w:rPr>
      </w:pPr>
    </w:p>
    <w:p w14:paraId="0737A632"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footnote>
  <w:footnote w:id="10">
    <w:p w14:paraId="7CEF7C90" w14:textId="77777777" w:rsidR="00986D6F" w:rsidRPr="00E85B58" w:rsidRDefault="00986D6F" w:rsidP="00986D6F">
      <w:pPr>
        <w:pStyle w:val="Textonotapie"/>
        <w:ind w:firstLine="708"/>
        <w:jc w:val="both"/>
        <w:rPr>
          <w:rFonts w:ascii="Arial" w:hAnsi="Arial" w:cs="Arial"/>
          <w:color w:val="000000" w:themeColor="text1"/>
          <w:sz w:val="18"/>
          <w:szCs w:val="18"/>
        </w:rPr>
      </w:pPr>
    </w:p>
    <w:p w14:paraId="0A8AAD8E"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i/>
          <w:iCs/>
          <w:color w:val="000000" w:themeColor="text1"/>
          <w:sz w:val="18"/>
          <w:szCs w:val="18"/>
        </w:rPr>
        <w:t>Ibídem.</w:t>
      </w:r>
      <w:r w:rsidRPr="00E85B58">
        <w:rPr>
          <w:rFonts w:ascii="Arial" w:hAnsi="Arial" w:cs="Arial"/>
          <w:color w:val="000000" w:themeColor="text1"/>
          <w:sz w:val="18"/>
          <w:szCs w:val="18"/>
        </w:rPr>
        <w:t xml:space="preserve"> </w:t>
      </w:r>
    </w:p>
  </w:footnote>
  <w:footnote w:id="11">
    <w:p w14:paraId="0530E333"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Ley 1437 de 2011: «Artículo 7°. Deberes de las autoridades en la atención al público. Las autoridades tendrán, frente a las personas que ante ellas acudan y en relación con los asuntos que tramiten, los siguientes deberes: </w:t>
      </w:r>
    </w:p>
    <w:p w14:paraId="3F88E15C" w14:textId="77777777" w:rsidR="00986D6F" w:rsidRPr="00E85B58" w:rsidRDefault="00986D6F" w:rsidP="00986D6F">
      <w:pPr>
        <w:pStyle w:val="Textonotapie"/>
        <w:jc w:val="both"/>
        <w:rPr>
          <w:rFonts w:ascii="Arial" w:hAnsi="Arial" w:cs="Arial"/>
          <w:color w:val="000000" w:themeColor="text1"/>
          <w:sz w:val="18"/>
          <w:szCs w:val="18"/>
        </w:rPr>
      </w:pP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rPr>
        <w:tab/>
        <w:t>[…]</w:t>
      </w:r>
    </w:p>
    <w:p w14:paraId="013A6B5B" w14:textId="77777777" w:rsidR="00986D6F" w:rsidRPr="00E85B58" w:rsidRDefault="00986D6F" w:rsidP="00986D6F">
      <w:pPr>
        <w:pStyle w:val="Textonotapie"/>
        <w:ind w:firstLine="708"/>
        <w:jc w:val="both"/>
        <w:rPr>
          <w:rFonts w:ascii="Arial" w:hAnsi="Arial" w:cs="Arial"/>
          <w:color w:val="000000" w:themeColor="text1"/>
          <w:sz w:val="18"/>
          <w:szCs w:val="18"/>
          <w:lang w:val="es-CO"/>
        </w:rPr>
      </w:pPr>
      <w:r w:rsidRPr="00E85B58">
        <w:rPr>
          <w:rFonts w:ascii="Arial" w:hAnsi="Arial" w:cs="Arial"/>
          <w:color w:val="000000" w:themeColor="text1"/>
          <w:sz w:val="18"/>
          <w:szCs w:val="18"/>
        </w:rPr>
        <w:t>»2. Garantizar atención personal al público, como mínimo durante cuarenta (40) horas a la semana, las cuales se distribuirán en horarios que satisfagan las necesidades del servicio […]».</w:t>
      </w:r>
    </w:p>
  </w:footnote>
  <w:footnote w:id="12">
    <w:p w14:paraId="393528DF" w14:textId="77777777" w:rsidR="00986D6F" w:rsidRPr="00E85B58" w:rsidRDefault="00986D6F" w:rsidP="00986D6F">
      <w:pPr>
        <w:pStyle w:val="Textonotapie"/>
        <w:ind w:firstLine="708"/>
        <w:rPr>
          <w:color w:val="000000" w:themeColor="text1"/>
        </w:rPr>
      </w:pPr>
    </w:p>
    <w:p w14:paraId="476DD04C"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«Artículo 2.2.1.1.2.1.3. Pliegos de condiciones. Los pliegos de condiciones deben contener por lo menos la siguiente información: </w:t>
      </w:r>
    </w:p>
    <w:p w14:paraId="5ADCDE62"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664C2938"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 xml:space="preserve">5. Las reglas aplicables a la presentación de las ofertas, su evaluación y a la adjudicación del contrato. </w:t>
      </w:r>
    </w:p>
    <w:p w14:paraId="12D63E76" w14:textId="77777777" w:rsidR="00986D6F" w:rsidRPr="00E85B58" w:rsidRDefault="00986D6F" w:rsidP="00986D6F">
      <w:pPr>
        <w:pStyle w:val="Textonotapie"/>
        <w:ind w:firstLine="708"/>
        <w:jc w:val="both"/>
        <w:rPr>
          <w:rFonts w:ascii="Arial" w:hAnsi="Arial" w:cs="Arial"/>
          <w:color w:val="000000" w:themeColor="text1"/>
          <w:sz w:val="18"/>
          <w:szCs w:val="18"/>
        </w:rPr>
      </w:pPr>
      <w:r w:rsidRPr="00E85B58">
        <w:rPr>
          <w:rFonts w:ascii="Arial" w:hAnsi="Arial" w:cs="Arial"/>
          <w:color w:val="000000" w:themeColor="text1"/>
          <w:sz w:val="18"/>
          <w:szCs w:val="18"/>
        </w:rPr>
        <w:t>[…]</w:t>
      </w:r>
    </w:p>
    <w:p w14:paraId="4026E4AC" w14:textId="77777777" w:rsidR="00986D6F" w:rsidRPr="00E85B58" w:rsidRDefault="00986D6F" w:rsidP="00986D6F">
      <w:pPr>
        <w:pStyle w:val="Textonotapie"/>
        <w:ind w:firstLine="708"/>
        <w:jc w:val="both"/>
        <w:rPr>
          <w:color w:val="000000" w:themeColor="text1"/>
          <w:lang w:val="es-CO"/>
        </w:rPr>
      </w:pPr>
      <w:r w:rsidRPr="00E85B58">
        <w:rPr>
          <w:rFonts w:ascii="Arial" w:hAnsi="Arial" w:cs="Arial"/>
          <w:color w:val="000000" w:themeColor="text1"/>
          <w:sz w:val="18"/>
          <w:szCs w:val="18"/>
        </w:rPr>
        <w:t>14. El Cronograma».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10353" w:rsidRDefault="00B1035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5"/>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C6B"/>
    <w:rsid w:val="00003F7C"/>
    <w:rsid w:val="000048CA"/>
    <w:rsid w:val="00004DBF"/>
    <w:rsid w:val="00004F00"/>
    <w:rsid w:val="0000655E"/>
    <w:rsid w:val="000078A0"/>
    <w:rsid w:val="00007D2A"/>
    <w:rsid w:val="0001127D"/>
    <w:rsid w:val="000130DF"/>
    <w:rsid w:val="00013780"/>
    <w:rsid w:val="000142C6"/>
    <w:rsid w:val="000142E3"/>
    <w:rsid w:val="0001453F"/>
    <w:rsid w:val="0001500A"/>
    <w:rsid w:val="000152E6"/>
    <w:rsid w:val="000155B8"/>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77A92"/>
    <w:rsid w:val="00080157"/>
    <w:rsid w:val="00080692"/>
    <w:rsid w:val="0008096C"/>
    <w:rsid w:val="000816EA"/>
    <w:rsid w:val="00082A48"/>
    <w:rsid w:val="00082EFF"/>
    <w:rsid w:val="00084B97"/>
    <w:rsid w:val="0008657D"/>
    <w:rsid w:val="000865F6"/>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7C"/>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128A"/>
    <w:rsid w:val="000D22FB"/>
    <w:rsid w:val="000D343E"/>
    <w:rsid w:val="000D479C"/>
    <w:rsid w:val="000D4C50"/>
    <w:rsid w:val="000D5515"/>
    <w:rsid w:val="000D5B32"/>
    <w:rsid w:val="000D6318"/>
    <w:rsid w:val="000D65F5"/>
    <w:rsid w:val="000D6AFB"/>
    <w:rsid w:val="000E0A73"/>
    <w:rsid w:val="000E0D1E"/>
    <w:rsid w:val="000E14F6"/>
    <w:rsid w:val="000E15ED"/>
    <w:rsid w:val="000E3937"/>
    <w:rsid w:val="000E3FB0"/>
    <w:rsid w:val="000E43A0"/>
    <w:rsid w:val="000E4D78"/>
    <w:rsid w:val="000E4DFD"/>
    <w:rsid w:val="000E4F7B"/>
    <w:rsid w:val="000F0697"/>
    <w:rsid w:val="000F07CE"/>
    <w:rsid w:val="000F09BB"/>
    <w:rsid w:val="000F0D68"/>
    <w:rsid w:val="000F0F07"/>
    <w:rsid w:val="000F14E8"/>
    <w:rsid w:val="000F2436"/>
    <w:rsid w:val="000F3F8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65B0"/>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208"/>
    <w:rsid w:val="001868F6"/>
    <w:rsid w:val="00186FD1"/>
    <w:rsid w:val="00187267"/>
    <w:rsid w:val="001876F7"/>
    <w:rsid w:val="0019180F"/>
    <w:rsid w:val="00193107"/>
    <w:rsid w:val="001945BB"/>
    <w:rsid w:val="00194762"/>
    <w:rsid w:val="00195D3C"/>
    <w:rsid w:val="00195EB8"/>
    <w:rsid w:val="00195F16"/>
    <w:rsid w:val="00196172"/>
    <w:rsid w:val="00196766"/>
    <w:rsid w:val="00196F5B"/>
    <w:rsid w:val="001A0C18"/>
    <w:rsid w:val="001A1BA8"/>
    <w:rsid w:val="001A21C4"/>
    <w:rsid w:val="001A23EA"/>
    <w:rsid w:val="001A284A"/>
    <w:rsid w:val="001A3705"/>
    <w:rsid w:val="001A3E11"/>
    <w:rsid w:val="001A50BF"/>
    <w:rsid w:val="001A5222"/>
    <w:rsid w:val="001A534A"/>
    <w:rsid w:val="001A59AC"/>
    <w:rsid w:val="001A5BD9"/>
    <w:rsid w:val="001A6036"/>
    <w:rsid w:val="001A650A"/>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D724C"/>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4C2C"/>
    <w:rsid w:val="00215255"/>
    <w:rsid w:val="00216F80"/>
    <w:rsid w:val="0021710C"/>
    <w:rsid w:val="0022149D"/>
    <w:rsid w:val="0022247B"/>
    <w:rsid w:val="002225BB"/>
    <w:rsid w:val="002238F9"/>
    <w:rsid w:val="00224F1E"/>
    <w:rsid w:val="00226077"/>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371F2"/>
    <w:rsid w:val="00240C53"/>
    <w:rsid w:val="00240E16"/>
    <w:rsid w:val="00240E19"/>
    <w:rsid w:val="00241AEF"/>
    <w:rsid w:val="0024375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6F5A"/>
    <w:rsid w:val="00297C23"/>
    <w:rsid w:val="002A0043"/>
    <w:rsid w:val="002A0D45"/>
    <w:rsid w:val="002A2269"/>
    <w:rsid w:val="002A23F7"/>
    <w:rsid w:val="002A5185"/>
    <w:rsid w:val="002A5C49"/>
    <w:rsid w:val="002A6616"/>
    <w:rsid w:val="002B0068"/>
    <w:rsid w:val="002B0C19"/>
    <w:rsid w:val="002B1137"/>
    <w:rsid w:val="002B1235"/>
    <w:rsid w:val="002B16D4"/>
    <w:rsid w:val="002B1D91"/>
    <w:rsid w:val="002B26D6"/>
    <w:rsid w:val="002B29CC"/>
    <w:rsid w:val="002B2E33"/>
    <w:rsid w:val="002B353D"/>
    <w:rsid w:val="002B4D1B"/>
    <w:rsid w:val="002B53B8"/>
    <w:rsid w:val="002B56A6"/>
    <w:rsid w:val="002B5A46"/>
    <w:rsid w:val="002B690C"/>
    <w:rsid w:val="002B69EA"/>
    <w:rsid w:val="002B7551"/>
    <w:rsid w:val="002B763B"/>
    <w:rsid w:val="002C00F3"/>
    <w:rsid w:val="002C0F45"/>
    <w:rsid w:val="002C119D"/>
    <w:rsid w:val="002C1446"/>
    <w:rsid w:val="002C1B67"/>
    <w:rsid w:val="002C1D5F"/>
    <w:rsid w:val="002C2452"/>
    <w:rsid w:val="002C24D5"/>
    <w:rsid w:val="002C2C00"/>
    <w:rsid w:val="002C3900"/>
    <w:rsid w:val="002C3D43"/>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CD7"/>
    <w:rsid w:val="002F2F1D"/>
    <w:rsid w:val="002F4849"/>
    <w:rsid w:val="002F4F42"/>
    <w:rsid w:val="002F605B"/>
    <w:rsid w:val="002F6B43"/>
    <w:rsid w:val="002F7BEF"/>
    <w:rsid w:val="002F7F83"/>
    <w:rsid w:val="0030041A"/>
    <w:rsid w:val="003033BA"/>
    <w:rsid w:val="00303F20"/>
    <w:rsid w:val="003049D5"/>
    <w:rsid w:val="003057B2"/>
    <w:rsid w:val="0030664E"/>
    <w:rsid w:val="00307459"/>
    <w:rsid w:val="00310F6E"/>
    <w:rsid w:val="00312877"/>
    <w:rsid w:val="00313382"/>
    <w:rsid w:val="003138FF"/>
    <w:rsid w:val="0031396A"/>
    <w:rsid w:val="00313A60"/>
    <w:rsid w:val="00317691"/>
    <w:rsid w:val="0032017B"/>
    <w:rsid w:val="003204D3"/>
    <w:rsid w:val="00320603"/>
    <w:rsid w:val="0032115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4FC2"/>
    <w:rsid w:val="00335F0E"/>
    <w:rsid w:val="00336712"/>
    <w:rsid w:val="00336897"/>
    <w:rsid w:val="003372A9"/>
    <w:rsid w:val="00337945"/>
    <w:rsid w:val="0034177C"/>
    <w:rsid w:val="0034268A"/>
    <w:rsid w:val="00344047"/>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3BF"/>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18A"/>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F9D"/>
    <w:rsid w:val="00423AD3"/>
    <w:rsid w:val="00423F9F"/>
    <w:rsid w:val="00425CA8"/>
    <w:rsid w:val="00426DF2"/>
    <w:rsid w:val="00430285"/>
    <w:rsid w:val="00431738"/>
    <w:rsid w:val="00432555"/>
    <w:rsid w:val="004335DD"/>
    <w:rsid w:val="0043379B"/>
    <w:rsid w:val="0043379F"/>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4D45"/>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72F9"/>
    <w:rsid w:val="004C7664"/>
    <w:rsid w:val="004C7D8B"/>
    <w:rsid w:val="004D19B5"/>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01F"/>
    <w:rsid w:val="004F5FFC"/>
    <w:rsid w:val="004F71B4"/>
    <w:rsid w:val="004F74A8"/>
    <w:rsid w:val="004F7652"/>
    <w:rsid w:val="004F778C"/>
    <w:rsid w:val="0050096C"/>
    <w:rsid w:val="00500B28"/>
    <w:rsid w:val="00500E46"/>
    <w:rsid w:val="005010D1"/>
    <w:rsid w:val="0050147A"/>
    <w:rsid w:val="00501B72"/>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1A2"/>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18E"/>
    <w:rsid w:val="0053299A"/>
    <w:rsid w:val="0053339B"/>
    <w:rsid w:val="00533C19"/>
    <w:rsid w:val="005355A1"/>
    <w:rsid w:val="00537521"/>
    <w:rsid w:val="00540751"/>
    <w:rsid w:val="00540A4F"/>
    <w:rsid w:val="00541058"/>
    <w:rsid w:val="00541E29"/>
    <w:rsid w:val="00541F5C"/>
    <w:rsid w:val="00542157"/>
    <w:rsid w:val="00542D06"/>
    <w:rsid w:val="005440DB"/>
    <w:rsid w:val="0054413A"/>
    <w:rsid w:val="005443DD"/>
    <w:rsid w:val="00544C5B"/>
    <w:rsid w:val="00544EF8"/>
    <w:rsid w:val="00546363"/>
    <w:rsid w:val="005472FD"/>
    <w:rsid w:val="00552C2A"/>
    <w:rsid w:val="00554B18"/>
    <w:rsid w:val="005564CA"/>
    <w:rsid w:val="005570A8"/>
    <w:rsid w:val="0055743D"/>
    <w:rsid w:val="00557C62"/>
    <w:rsid w:val="00557FDD"/>
    <w:rsid w:val="0056055D"/>
    <w:rsid w:val="00560C72"/>
    <w:rsid w:val="0056182B"/>
    <w:rsid w:val="0056283E"/>
    <w:rsid w:val="00563695"/>
    <w:rsid w:val="00563A5C"/>
    <w:rsid w:val="00564FC2"/>
    <w:rsid w:val="00565877"/>
    <w:rsid w:val="00567928"/>
    <w:rsid w:val="00571E06"/>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1FA1"/>
    <w:rsid w:val="00592289"/>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0D9D"/>
    <w:rsid w:val="005B15CA"/>
    <w:rsid w:val="005B1993"/>
    <w:rsid w:val="005B3CD8"/>
    <w:rsid w:val="005B4756"/>
    <w:rsid w:val="005B5AD6"/>
    <w:rsid w:val="005B5B57"/>
    <w:rsid w:val="005B7021"/>
    <w:rsid w:val="005C0AE8"/>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5F76F1"/>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E6"/>
    <w:rsid w:val="0064058D"/>
    <w:rsid w:val="006441E9"/>
    <w:rsid w:val="00644A29"/>
    <w:rsid w:val="00644ADC"/>
    <w:rsid w:val="00645221"/>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3314"/>
    <w:rsid w:val="0066452D"/>
    <w:rsid w:val="00664556"/>
    <w:rsid w:val="00664EBA"/>
    <w:rsid w:val="00665553"/>
    <w:rsid w:val="006660FA"/>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3C20"/>
    <w:rsid w:val="0068678E"/>
    <w:rsid w:val="00690195"/>
    <w:rsid w:val="006905C1"/>
    <w:rsid w:val="006905D6"/>
    <w:rsid w:val="00691277"/>
    <w:rsid w:val="00693363"/>
    <w:rsid w:val="00693EB0"/>
    <w:rsid w:val="00694390"/>
    <w:rsid w:val="00694523"/>
    <w:rsid w:val="00695596"/>
    <w:rsid w:val="00695B23"/>
    <w:rsid w:val="006964F1"/>
    <w:rsid w:val="00696669"/>
    <w:rsid w:val="006966AB"/>
    <w:rsid w:val="0069763C"/>
    <w:rsid w:val="00697665"/>
    <w:rsid w:val="006A0BB2"/>
    <w:rsid w:val="006A0BC3"/>
    <w:rsid w:val="006A0F37"/>
    <w:rsid w:val="006A14C3"/>
    <w:rsid w:val="006A1B54"/>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CB6"/>
    <w:rsid w:val="00733F5A"/>
    <w:rsid w:val="00734286"/>
    <w:rsid w:val="00734F7F"/>
    <w:rsid w:val="00735685"/>
    <w:rsid w:val="00735C4B"/>
    <w:rsid w:val="00736DE3"/>
    <w:rsid w:val="0073748A"/>
    <w:rsid w:val="00737765"/>
    <w:rsid w:val="00740500"/>
    <w:rsid w:val="007407BE"/>
    <w:rsid w:val="00740ABA"/>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2C77"/>
    <w:rsid w:val="0077377C"/>
    <w:rsid w:val="0077470A"/>
    <w:rsid w:val="00775007"/>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2836"/>
    <w:rsid w:val="007934AE"/>
    <w:rsid w:val="0079381B"/>
    <w:rsid w:val="00793EC8"/>
    <w:rsid w:val="00794171"/>
    <w:rsid w:val="00795647"/>
    <w:rsid w:val="007963B2"/>
    <w:rsid w:val="007A05B2"/>
    <w:rsid w:val="007A07C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4812"/>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758C"/>
    <w:rsid w:val="007F0CE8"/>
    <w:rsid w:val="007F12AC"/>
    <w:rsid w:val="007F1C03"/>
    <w:rsid w:val="007F2250"/>
    <w:rsid w:val="007F2386"/>
    <w:rsid w:val="007F316B"/>
    <w:rsid w:val="007F3369"/>
    <w:rsid w:val="007F3386"/>
    <w:rsid w:val="007F5252"/>
    <w:rsid w:val="007F6728"/>
    <w:rsid w:val="007F6B46"/>
    <w:rsid w:val="007F6B96"/>
    <w:rsid w:val="007F6BC0"/>
    <w:rsid w:val="007F72CB"/>
    <w:rsid w:val="007F737B"/>
    <w:rsid w:val="00800380"/>
    <w:rsid w:val="008007F7"/>
    <w:rsid w:val="00800A8E"/>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23C3"/>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34CF"/>
    <w:rsid w:val="00843A94"/>
    <w:rsid w:val="00843B34"/>
    <w:rsid w:val="00844611"/>
    <w:rsid w:val="00845FC8"/>
    <w:rsid w:val="008502CC"/>
    <w:rsid w:val="008502F9"/>
    <w:rsid w:val="0085092D"/>
    <w:rsid w:val="00850F79"/>
    <w:rsid w:val="0085136E"/>
    <w:rsid w:val="0085187A"/>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39D"/>
    <w:rsid w:val="00890A55"/>
    <w:rsid w:val="00890A9A"/>
    <w:rsid w:val="00891061"/>
    <w:rsid w:val="00891993"/>
    <w:rsid w:val="00891DEC"/>
    <w:rsid w:val="00894248"/>
    <w:rsid w:val="008948DF"/>
    <w:rsid w:val="00894E41"/>
    <w:rsid w:val="00895565"/>
    <w:rsid w:val="00895A22"/>
    <w:rsid w:val="00896B8A"/>
    <w:rsid w:val="0089774F"/>
    <w:rsid w:val="008977E5"/>
    <w:rsid w:val="00897CFE"/>
    <w:rsid w:val="008A0392"/>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4146"/>
    <w:rsid w:val="008C66F3"/>
    <w:rsid w:val="008C73D8"/>
    <w:rsid w:val="008C75C7"/>
    <w:rsid w:val="008C7FE6"/>
    <w:rsid w:val="008D294A"/>
    <w:rsid w:val="008D366C"/>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0DEE"/>
    <w:rsid w:val="008F104E"/>
    <w:rsid w:val="008F1E12"/>
    <w:rsid w:val="008F25EF"/>
    <w:rsid w:val="008F331A"/>
    <w:rsid w:val="008F3623"/>
    <w:rsid w:val="008F4074"/>
    <w:rsid w:val="008F534C"/>
    <w:rsid w:val="008F538E"/>
    <w:rsid w:val="008F5BE0"/>
    <w:rsid w:val="008F5BFC"/>
    <w:rsid w:val="009006B0"/>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0A4A"/>
    <w:rsid w:val="00961252"/>
    <w:rsid w:val="0096275E"/>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77E80"/>
    <w:rsid w:val="00980899"/>
    <w:rsid w:val="00980FE9"/>
    <w:rsid w:val="00981341"/>
    <w:rsid w:val="00981AEC"/>
    <w:rsid w:val="009836D0"/>
    <w:rsid w:val="0098580C"/>
    <w:rsid w:val="00985B0D"/>
    <w:rsid w:val="009865B6"/>
    <w:rsid w:val="0098671F"/>
    <w:rsid w:val="00986D6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A0089B"/>
    <w:rsid w:val="00A01EAA"/>
    <w:rsid w:val="00A02035"/>
    <w:rsid w:val="00A02AD6"/>
    <w:rsid w:val="00A03AEC"/>
    <w:rsid w:val="00A04EE8"/>
    <w:rsid w:val="00A054E0"/>
    <w:rsid w:val="00A06104"/>
    <w:rsid w:val="00A11AF8"/>
    <w:rsid w:val="00A11E7B"/>
    <w:rsid w:val="00A13947"/>
    <w:rsid w:val="00A14083"/>
    <w:rsid w:val="00A147D1"/>
    <w:rsid w:val="00A14C37"/>
    <w:rsid w:val="00A16471"/>
    <w:rsid w:val="00A16841"/>
    <w:rsid w:val="00A16A18"/>
    <w:rsid w:val="00A170C9"/>
    <w:rsid w:val="00A211E3"/>
    <w:rsid w:val="00A219D9"/>
    <w:rsid w:val="00A22FBC"/>
    <w:rsid w:val="00A24560"/>
    <w:rsid w:val="00A24CA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03"/>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304E"/>
    <w:rsid w:val="00AA3312"/>
    <w:rsid w:val="00AA3615"/>
    <w:rsid w:val="00AA3648"/>
    <w:rsid w:val="00AA3E1F"/>
    <w:rsid w:val="00AA442B"/>
    <w:rsid w:val="00AA44AF"/>
    <w:rsid w:val="00AA572E"/>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4542"/>
    <w:rsid w:val="00AD4EF0"/>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A5B"/>
    <w:rsid w:val="00B52E18"/>
    <w:rsid w:val="00B53385"/>
    <w:rsid w:val="00B53868"/>
    <w:rsid w:val="00B5535C"/>
    <w:rsid w:val="00B5621C"/>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11AA"/>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A7FDC"/>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4368"/>
    <w:rsid w:val="00C252EE"/>
    <w:rsid w:val="00C25D13"/>
    <w:rsid w:val="00C260FC"/>
    <w:rsid w:val="00C30364"/>
    <w:rsid w:val="00C30E74"/>
    <w:rsid w:val="00C313BC"/>
    <w:rsid w:val="00C325DC"/>
    <w:rsid w:val="00C3362A"/>
    <w:rsid w:val="00C33983"/>
    <w:rsid w:val="00C33A9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E43"/>
    <w:rsid w:val="00C6620B"/>
    <w:rsid w:val="00C6688A"/>
    <w:rsid w:val="00C6755C"/>
    <w:rsid w:val="00C718C1"/>
    <w:rsid w:val="00C73E8A"/>
    <w:rsid w:val="00C8030C"/>
    <w:rsid w:val="00C8034E"/>
    <w:rsid w:val="00C80665"/>
    <w:rsid w:val="00C80741"/>
    <w:rsid w:val="00C81223"/>
    <w:rsid w:val="00C82114"/>
    <w:rsid w:val="00C82E66"/>
    <w:rsid w:val="00C84E96"/>
    <w:rsid w:val="00C854BD"/>
    <w:rsid w:val="00C87152"/>
    <w:rsid w:val="00C87C7E"/>
    <w:rsid w:val="00C91051"/>
    <w:rsid w:val="00C91609"/>
    <w:rsid w:val="00C917EA"/>
    <w:rsid w:val="00C91A60"/>
    <w:rsid w:val="00C9247E"/>
    <w:rsid w:val="00C940BE"/>
    <w:rsid w:val="00C95430"/>
    <w:rsid w:val="00C95C66"/>
    <w:rsid w:val="00C95E8B"/>
    <w:rsid w:val="00C9605A"/>
    <w:rsid w:val="00C964EC"/>
    <w:rsid w:val="00C966DA"/>
    <w:rsid w:val="00C96CF7"/>
    <w:rsid w:val="00C9701D"/>
    <w:rsid w:val="00C971DF"/>
    <w:rsid w:val="00CA0620"/>
    <w:rsid w:val="00CA1BB7"/>
    <w:rsid w:val="00CA2ADB"/>
    <w:rsid w:val="00CA30D7"/>
    <w:rsid w:val="00CA3113"/>
    <w:rsid w:val="00CA3A50"/>
    <w:rsid w:val="00CA3BB4"/>
    <w:rsid w:val="00CA4180"/>
    <w:rsid w:val="00CA4715"/>
    <w:rsid w:val="00CA6FE9"/>
    <w:rsid w:val="00CA74A2"/>
    <w:rsid w:val="00CA7C99"/>
    <w:rsid w:val="00CB0879"/>
    <w:rsid w:val="00CB1BDC"/>
    <w:rsid w:val="00CB2348"/>
    <w:rsid w:val="00CB68F4"/>
    <w:rsid w:val="00CB7402"/>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5E86"/>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7D4A"/>
    <w:rsid w:val="00D07FC4"/>
    <w:rsid w:val="00D100F4"/>
    <w:rsid w:val="00D10F1C"/>
    <w:rsid w:val="00D11160"/>
    <w:rsid w:val="00D1196A"/>
    <w:rsid w:val="00D11CEB"/>
    <w:rsid w:val="00D11DF5"/>
    <w:rsid w:val="00D12D94"/>
    <w:rsid w:val="00D133FD"/>
    <w:rsid w:val="00D13892"/>
    <w:rsid w:val="00D13920"/>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6ABE"/>
    <w:rsid w:val="00D27895"/>
    <w:rsid w:val="00D310A9"/>
    <w:rsid w:val="00D31281"/>
    <w:rsid w:val="00D331A2"/>
    <w:rsid w:val="00D334D9"/>
    <w:rsid w:val="00D3476C"/>
    <w:rsid w:val="00D347A2"/>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605"/>
    <w:rsid w:val="00D67081"/>
    <w:rsid w:val="00D67B67"/>
    <w:rsid w:val="00D67ED5"/>
    <w:rsid w:val="00D702F9"/>
    <w:rsid w:val="00D7064D"/>
    <w:rsid w:val="00D71B8E"/>
    <w:rsid w:val="00D71FCE"/>
    <w:rsid w:val="00D72332"/>
    <w:rsid w:val="00D72E9D"/>
    <w:rsid w:val="00D7355B"/>
    <w:rsid w:val="00D7365B"/>
    <w:rsid w:val="00D74178"/>
    <w:rsid w:val="00D744C2"/>
    <w:rsid w:val="00D7509A"/>
    <w:rsid w:val="00D755F9"/>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172C"/>
    <w:rsid w:val="00DB1AE2"/>
    <w:rsid w:val="00DB2C59"/>
    <w:rsid w:val="00DB2F4B"/>
    <w:rsid w:val="00DB3B0B"/>
    <w:rsid w:val="00DB40E0"/>
    <w:rsid w:val="00DB45AB"/>
    <w:rsid w:val="00DB47B5"/>
    <w:rsid w:val="00DB4937"/>
    <w:rsid w:val="00DB52FA"/>
    <w:rsid w:val="00DB5D13"/>
    <w:rsid w:val="00DB618D"/>
    <w:rsid w:val="00DB6B13"/>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18DB"/>
    <w:rsid w:val="00E026BB"/>
    <w:rsid w:val="00E060C4"/>
    <w:rsid w:val="00E06860"/>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11BA"/>
    <w:rsid w:val="00E314E6"/>
    <w:rsid w:val="00E31A9F"/>
    <w:rsid w:val="00E31D3A"/>
    <w:rsid w:val="00E32180"/>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841"/>
    <w:rsid w:val="00E81A62"/>
    <w:rsid w:val="00E81A75"/>
    <w:rsid w:val="00E830A2"/>
    <w:rsid w:val="00E8343C"/>
    <w:rsid w:val="00E84207"/>
    <w:rsid w:val="00E85098"/>
    <w:rsid w:val="00E85B58"/>
    <w:rsid w:val="00E85D4E"/>
    <w:rsid w:val="00E85ECA"/>
    <w:rsid w:val="00E865DF"/>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3271"/>
    <w:rsid w:val="00EA40A3"/>
    <w:rsid w:val="00EA4CA9"/>
    <w:rsid w:val="00EA5137"/>
    <w:rsid w:val="00EA572E"/>
    <w:rsid w:val="00EA5C4C"/>
    <w:rsid w:val="00EA63D2"/>
    <w:rsid w:val="00EA666F"/>
    <w:rsid w:val="00EB0DE5"/>
    <w:rsid w:val="00EB27F2"/>
    <w:rsid w:val="00EB340D"/>
    <w:rsid w:val="00EB3D5B"/>
    <w:rsid w:val="00EB5921"/>
    <w:rsid w:val="00EB5CEA"/>
    <w:rsid w:val="00EB7A25"/>
    <w:rsid w:val="00EC628B"/>
    <w:rsid w:val="00EC7EFE"/>
    <w:rsid w:val="00ED068F"/>
    <w:rsid w:val="00ED149A"/>
    <w:rsid w:val="00ED2BE0"/>
    <w:rsid w:val="00ED41B2"/>
    <w:rsid w:val="00ED52D1"/>
    <w:rsid w:val="00ED5626"/>
    <w:rsid w:val="00ED60DF"/>
    <w:rsid w:val="00EE00DA"/>
    <w:rsid w:val="00EE044A"/>
    <w:rsid w:val="00EE1009"/>
    <w:rsid w:val="00EE14A5"/>
    <w:rsid w:val="00EE2642"/>
    <w:rsid w:val="00EE2774"/>
    <w:rsid w:val="00EE2F7B"/>
    <w:rsid w:val="00EE4B65"/>
    <w:rsid w:val="00EE4C00"/>
    <w:rsid w:val="00EE55B9"/>
    <w:rsid w:val="00EE59B5"/>
    <w:rsid w:val="00EE5A06"/>
    <w:rsid w:val="00EE5D43"/>
    <w:rsid w:val="00EE62A0"/>
    <w:rsid w:val="00EF000D"/>
    <w:rsid w:val="00EF0F3E"/>
    <w:rsid w:val="00EF14B9"/>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5A81"/>
    <w:rsid w:val="00F460D4"/>
    <w:rsid w:val="00F47665"/>
    <w:rsid w:val="00F51091"/>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598A"/>
    <w:rsid w:val="00F675BE"/>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19D9"/>
    <w:rsid w:val="00FD365C"/>
    <w:rsid w:val="00FD458C"/>
    <w:rsid w:val="00FD4943"/>
    <w:rsid w:val="00FD4B00"/>
    <w:rsid w:val="00FD5759"/>
    <w:rsid w:val="00FD63FB"/>
    <w:rsid w:val="00FD699E"/>
    <w:rsid w:val="00FD6A5D"/>
    <w:rsid w:val="00FD7F5B"/>
    <w:rsid w:val="00FE08A6"/>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4D60"/>
    <w:rsid w:val="00FF543C"/>
    <w:rsid w:val="00FF5A12"/>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2E793E26-5EAA-4B1F-8013-5F1743D5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6773440">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88025029">
      <w:bodyDiv w:val="1"/>
      <w:marLeft w:val="0"/>
      <w:marRight w:val="0"/>
      <w:marTop w:val="0"/>
      <w:marBottom w:val="0"/>
      <w:divBdr>
        <w:top w:val="none" w:sz="0" w:space="0" w:color="auto"/>
        <w:left w:val="none" w:sz="0" w:space="0" w:color="auto"/>
        <w:bottom w:val="none" w:sz="0" w:space="0" w:color="auto"/>
        <w:right w:val="none" w:sz="0" w:space="0" w:color="auto"/>
      </w:divBdr>
      <w:divsChild>
        <w:div w:id="1107773925">
          <w:marLeft w:val="0"/>
          <w:marRight w:val="0"/>
          <w:marTop w:val="0"/>
          <w:marBottom w:val="0"/>
          <w:divBdr>
            <w:top w:val="none" w:sz="0" w:space="0" w:color="auto"/>
            <w:left w:val="none" w:sz="0" w:space="0" w:color="auto"/>
            <w:bottom w:val="none" w:sz="0" w:space="0" w:color="auto"/>
            <w:right w:val="none" w:sz="0" w:space="0" w:color="auto"/>
          </w:divBdr>
        </w:div>
      </w:divsChild>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h%C3%A1bil" TargetMode="External"/><Relationship Id="rId1" Type="http://schemas.openxmlformats.org/officeDocument/2006/relationships/hyperlink" Target="https://www.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C64139-35D6-45B0-8FD0-B30D2956A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65954C-4DAC-4837-9F93-810FDED631E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F32FC7B-A0FB-46E2-AC18-D3F2FB433660}">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TotalTime>
  <Pages>12</Pages>
  <Words>4174</Words>
  <Characters>22959</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27079</CharactersWithSpaces>
  <SharedDoc>false</SharedDoc>
  <HLinks>
    <vt:vector size="12" baseType="variant">
      <vt:variant>
        <vt:i4>1638409</vt:i4>
      </vt:variant>
      <vt:variant>
        <vt:i4>3</vt:i4>
      </vt:variant>
      <vt:variant>
        <vt:i4>0</vt:i4>
      </vt:variant>
      <vt:variant>
        <vt:i4>5</vt:i4>
      </vt:variant>
      <vt:variant>
        <vt:lpwstr>https://dle.rae.es/h%C3%A1bil</vt:lpwstr>
      </vt:variant>
      <vt:variant>
        <vt:lpwstr/>
      </vt:variant>
      <vt:variant>
        <vt:i4>7471209</vt:i4>
      </vt:variant>
      <vt:variant>
        <vt:i4>0</vt:i4>
      </vt:variant>
      <vt:variant>
        <vt:i4>0</vt:i4>
      </vt:variant>
      <vt:variant>
        <vt:i4>5</vt:i4>
      </vt:variant>
      <vt:variant>
        <vt:lpwstr>https://www.colombiacompra.gov.co/sites/cce_public/files/cce_documents/manual_de_la_modalidad_de_seleccion_de_minima_cuantia.pdf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Alejandro Sarmiento</cp:lastModifiedBy>
  <cp:revision>4</cp:revision>
  <cp:lastPrinted>2020-01-30T18:05:00Z</cp:lastPrinted>
  <dcterms:created xsi:type="dcterms:W3CDTF">2020-12-16T15:18:00Z</dcterms:created>
  <dcterms:modified xsi:type="dcterms:W3CDTF">2020-12-16T15:38:00Z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