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E6BC2" w14:textId="77777777" w:rsidR="009E3AC0" w:rsidRPr="00A5537E" w:rsidRDefault="00622B0F">
      <w:pPr>
        <w:rPr>
          <w:rFonts w:ascii="Arial" w:eastAsia="Arial" w:hAnsi="Arial" w:cs="Arial"/>
          <w:b/>
          <w:sz w:val="22"/>
          <w:szCs w:val="22"/>
        </w:rPr>
      </w:pPr>
      <w:bookmarkStart w:id="0" w:name="_gjdgxs" w:colFirst="0" w:colLast="0"/>
      <w:bookmarkEnd w:id="0"/>
      <w:r w:rsidRPr="00A5537E">
        <w:rPr>
          <w:rFonts w:ascii="Arial" w:eastAsia="Arial" w:hAnsi="Arial" w:cs="Arial"/>
          <w:b/>
          <w:sz w:val="22"/>
          <w:szCs w:val="22"/>
        </w:rPr>
        <w:t>LEY DE GARANTÍAS ELECTORALES – Finalidad</w:t>
      </w:r>
    </w:p>
    <w:p w14:paraId="193957DA" w14:textId="77777777" w:rsidR="009E3AC0" w:rsidRPr="00A5537E" w:rsidRDefault="00622B0F">
      <w:pPr>
        <w:tabs>
          <w:tab w:val="left" w:pos="426"/>
        </w:tabs>
        <w:spacing w:after="0" w:line="240" w:lineRule="auto"/>
        <w:rPr>
          <w:rFonts w:ascii="Arial" w:eastAsia="Arial" w:hAnsi="Arial" w:cs="Arial"/>
          <w:sz w:val="20"/>
          <w:szCs w:val="20"/>
        </w:rPr>
      </w:pPr>
      <w:bookmarkStart w:id="1" w:name="_30j0zll" w:colFirst="0" w:colLast="0"/>
      <w:bookmarkEnd w:id="1"/>
      <w:r w:rsidRPr="00A5537E">
        <w:rPr>
          <w:rFonts w:ascii="Arial" w:eastAsia="Arial" w:hAnsi="Arial" w:cs="Arial"/>
          <w:sz w:val="20"/>
          <w:szCs w:val="20"/>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 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14:paraId="47EBFDA4" w14:textId="77777777" w:rsidR="009E3AC0" w:rsidRPr="00A5537E" w:rsidRDefault="009E3AC0">
      <w:pPr>
        <w:tabs>
          <w:tab w:val="left" w:pos="426"/>
        </w:tabs>
        <w:spacing w:after="0" w:line="240" w:lineRule="auto"/>
        <w:rPr>
          <w:rFonts w:ascii="Arial" w:eastAsia="Arial" w:hAnsi="Arial" w:cs="Arial"/>
          <w:sz w:val="20"/>
          <w:szCs w:val="20"/>
        </w:rPr>
      </w:pPr>
      <w:bookmarkStart w:id="2" w:name="_1fob9te" w:colFirst="0" w:colLast="0"/>
      <w:bookmarkEnd w:id="2"/>
    </w:p>
    <w:p w14:paraId="436E664D" w14:textId="77777777" w:rsidR="009E3AC0" w:rsidRPr="002942DE" w:rsidRDefault="00622B0F">
      <w:pPr>
        <w:tabs>
          <w:tab w:val="left" w:pos="426"/>
        </w:tabs>
        <w:spacing w:after="0" w:line="240" w:lineRule="auto"/>
        <w:rPr>
          <w:rFonts w:ascii="Arial" w:eastAsia="Arial" w:hAnsi="Arial" w:cs="Arial"/>
          <w:b/>
          <w:sz w:val="22"/>
          <w:szCs w:val="22"/>
        </w:rPr>
      </w:pPr>
      <w:bookmarkStart w:id="3" w:name="_3znysh7" w:colFirst="0" w:colLast="0"/>
      <w:bookmarkEnd w:id="3"/>
      <w:r w:rsidRPr="002942DE">
        <w:rPr>
          <w:rFonts w:ascii="Arial" w:eastAsia="Arial" w:hAnsi="Arial" w:cs="Arial"/>
          <w:b/>
          <w:sz w:val="22"/>
          <w:szCs w:val="22"/>
        </w:rPr>
        <w:t xml:space="preserve">LEY DE GARANTÍAS ELECTORALES ‒ Tipos de restricciones ‒ Ámbito temporal </w:t>
      </w:r>
    </w:p>
    <w:p w14:paraId="7D577D1F" w14:textId="77777777" w:rsidR="009E3AC0" w:rsidRPr="00A5537E" w:rsidRDefault="009E3AC0">
      <w:pPr>
        <w:tabs>
          <w:tab w:val="left" w:pos="426"/>
        </w:tabs>
        <w:spacing w:after="0" w:line="240" w:lineRule="auto"/>
        <w:rPr>
          <w:rFonts w:ascii="Arial" w:eastAsia="Arial" w:hAnsi="Arial" w:cs="Arial"/>
          <w:b/>
          <w:sz w:val="20"/>
          <w:szCs w:val="20"/>
        </w:rPr>
      </w:pPr>
    </w:p>
    <w:p w14:paraId="206816B5" w14:textId="77777777" w:rsidR="009E3AC0" w:rsidRPr="00A5537E" w:rsidRDefault="00622B0F">
      <w:pPr>
        <w:tabs>
          <w:tab w:val="left" w:pos="426"/>
        </w:tabs>
        <w:spacing w:after="0" w:line="240" w:lineRule="auto"/>
        <w:rPr>
          <w:rFonts w:ascii="Arial" w:eastAsia="Arial" w:hAnsi="Arial" w:cs="Arial"/>
          <w:sz w:val="20"/>
          <w:szCs w:val="20"/>
        </w:rPr>
      </w:pPr>
      <w:r w:rsidRPr="00A5537E">
        <w:rPr>
          <w:rFonts w:ascii="Arial" w:eastAsia="Arial" w:hAnsi="Arial" w:cs="Arial"/>
          <w:sz w:val="20"/>
          <w:szCs w:val="20"/>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543BEEC0" w14:textId="77777777" w:rsidR="009E3AC0" w:rsidRPr="002942DE" w:rsidRDefault="009E3AC0">
      <w:pPr>
        <w:tabs>
          <w:tab w:val="left" w:pos="426"/>
        </w:tabs>
        <w:spacing w:after="0" w:line="240" w:lineRule="auto"/>
        <w:rPr>
          <w:rFonts w:ascii="Arial" w:eastAsia="Arial" w:hAnsi="Arial" w:cs="Arial"/>
          <w:sz w:val="22"/>
          <w:szCs w:val="22"/>
        </w:rPr>
      </w:pPr>
    </w:p>
    <w:p w14:paraId="1A432327" w14:textId="77777777" w:rsidR="009E3AC0" w:rsidRPr="002942DE" w:rsidRDefault="00622B0F">
      <w:pPr>
        <w:tabs>
          <w:tab w:val="left" w:pos="426"/>
        </w:tabs>
        <w:spacing w:after="0" w:line="240" w:lineRule="auto"/>
        <w:rPr>
          <w:rFonts w:ascii="Arial" w:eastAsia="Arial" w:hAnsi="Arial" w:cs="Arial"/>
          <w:b/>
          <w:sz w:val="22"/>
          <w:szCs w:val="22"/>
        </w:rPr>
      </w:pPr>
      <w:bookmarkStart w:id="4" w:name="_2et92p0" w:colFirst="0" w:colLast="0"/>
      <w:bookmarkEnd w:id="4"/>
      <w:r w:rsidRPr="002942DE">
        <w:rPr>
          <w:rFonts w:ascii="Arial" w:eastAsia="Arial" w:hAnsi="Arial" w:cs="Arial"/>
          <w:b/>
          <w:sz w:val="22"/>
          <w:szCs w:val="22"/>
        </w:rPr>
        <w:t xml:space="preserve">LEY DE GARANTÍAS ELECTORALES ─ Prohibición ‒ Contratación directa ‒ Alcance </w:t>
      </w:r>
    </w:p>
    <w:p w14:paraId="1CA85C1F" w14:textId="77777777" w:rsidR="009E3AC0" w:rsidRPr="00A5537E" w:rsidRDefault="009E3AC0">
      <w:pPr>
        <w:tabs>
          <w:tab w:val="left" w:pos="426"/>
        </w:tabs>
        <w:spacing w:after="0" w:line="240" w:lineRule="auto"/>
        <w:rPr>
          <w:rFonts w:ascii="Arial" w:eastAsia="Arial" w:hAnsi="Arial" w:cs="Arial"/>
          <w:sz w:val="20"/>
          <w:szCs w:val="20"/>
        </w:rPr>
      </w:pPr>
    </w:p>
    <w:p w14:paraId="01E2D9A6" w14:textId="77777777" w:rsidR="009E3AC0" w:rsidRPr="00A5537E" w:rsidRDefault="00622B0F">
      <w:pPr>
        <w:tabs>
          <w:tab w:val="left" w:pos="426"/>
        </w:tabs>
        <w:spacing w:after="0" w:line="240" w:lineRule="auto"/>
        <w:rPr>
          <w:rFonts w:ascii="Arial" w:eastAsia="Arial" w:hAnsi="Arial" w:cs="Arial"/>
          <w:sz w:val="20"/>
          <w:szCs w:val="20"/>
        </w:rPr>
      </w:pPr>
      <w:r w:rsidRPr="00A5537E">
        <w:rPr>
          <w:rFonts w:ascii="Arial" w:eastAsia="Arial" w:hAnsi="Arial" w:cs="Arial"/>
          <w:sz w:val="20"/>
          <w:szCs w:val="20"/>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76C4543F" w14:textId="77777777" w:rsidR="009E3AC0" w:rsidRPr="002942DE" w:rsidRDefault="00622B0F">
      <w:pPr>
        <w:tabs>
          <w:tab w:val="left" w:pos="426"/>
        </w:tabs>
        <w:spacing w:after="0" w:line="240" w:lineRule="auto"/>
        <w:rPr>
          <w:rFonts w:ascii="Arial" w:eastAsia="Arial" w:hAnsi="Arial" w:cs="Arial"/>
          <w:sz w:val="22"/>
          <w:szCs w:val="22"/>
        </w:rPr>
      </w:pPr>
      <w:r w:rsidRPr="00A5537E">
        <w:rPr>
          <w:rFonts w:ascii="Arial" w:eastAsia="Arial" w:hAnsi="Arial" w:cs="Arial"/>
          <w:sz w:val="20"/>
          <w:szCs w:val="20"/>
        </w:rPr>
        <w:t xml:space="preserve">  </w:t>
      </w:r>
    </w:p>
    <w:p w14:paraId="64E0F5C4" w14:textId="419D6BFC" w:rsidR="009E3AC0" w:rsidRPr="002942DE" w:rsidRDefault="00622B0F">
      <w:pPr>
        <w:shd w:val="clear" w:color="auto" w:fill="FFFFFF"/>
        <w:spacing w:after="0" w:line="240" w:lineRule="auto"/>
        <w:rPr>
          <w:rFonts w:ascii="Arial" w:eastAsia="Arial" w:hAnsi="Arial" w:cs="Arial"/>
          <w:sz w:val="22"/>
          <w:szCs w:val="22"/>
        </w:rPr>
      </w:pPr>
      <w:bookmarkStart w:id="5" w:name="_tyjcwt" w:colFirst="0" w:colLast="0"/>
      <w:bookmarkEnd w:id="5"/>
      <w:r w:rsidRPr="002942DE">
        <w:rPr>
          <w:rFonts w:ascii="Arial" w:eastAsia="Arial" w:hAnsi="Arial" w:cs="Arial"/>
          <w:b/>
          <w:sz w:val="22"/>
          <w:szCs w:val="22"/>
        </w:rPr>
        <w:t>LEY DE GARANTÍAS ELECTORALES ‒ Excepciones</w:t>
      </w:r>
      <w:r w:rsidRPr="002942DE">
        <w:rPr>
          <w:rFonts w:ascii="Arial" w:eastAsia="Arial" w:hAnsi="Arial" w:cs="Arial"/>
          <w:sz w:val="22"/>
          <w:szCs w:val="22"/>
        </w:rPr>
        <w:t xml:space="preserve"> </w:t>
      </w:r>
    </w:p>
    <w:p w14:paraId="4F447D0F" w14:textId="77777777" w:rsidR="002942DE" w:rsidRPr="00A5537E" w:rsidRDefault="002942DE">
      <w:pPr>
        <w:shd w:val="clear" w:color="auto" w:fill="FFFFFF"/>
        <w:spacing w:after="0" w:line="240" w:lineRule="auto"/>
        <w:rPr>
          <w:rFonts w:ascii="Arial" w:eastAsia="Arial" w:hAnsi="Arial" w:cs="Arial"/>
          <w:sz w:val="20"/>
          <w:szCs w:val="20"/>
        </w:rPr>
      </w:pPr>
    </w:p>
    <w:p w14:paraId="25413AF1" w14:textId="77777777" w:rsidR="009E3AC0" w:rsidRPr="00A5537E" w:rsidRDefault="00622B0F">
      <w:pPr>
        <w:tabs>
          <w:tab w:val="left" w:pos="426"/>
        </w:tabs>
        <w:spacing w:after="0" w:line="240" w:lineRule="auto"/>
        <w:rPr>
          <w:rFonts w:ascii="Arial" w:eastAsia="Arial" w:hAnsi="Arial" w:cs="Arial"/>
          <w:sz w:val="20"/>
          <w:szCs w:val="20"/>
        </w:rPr>
      </w:pPr>
      <w:r w:rsidRPr="00A5537E">
        <w:rPr>
          <w:rFonts w:ascii="Arial" w:eastAsia="Arial" w:hAnsi="Arial" w:cs="Arial"/>
          <w:sz w:val="20"/>
          <w:szCs w:val="20"/>
        </w:rPr>
        <w:t>[…]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527F081D" w14:textId="77777777" w:rsidR="009E3AC0" w:rsidRPr="00A5537E" w:rsidRDefault="009E3AC0">
      <w:pPr>
        <w:tabs>
          <w:tab w:val="left" w:pos="426"/>
        </w:tabs>
        <w:spacing w:after="0" w:line="240" w:lineRule="auto"/>
        <w:rPr>
          <w:rFonts w:ascii="Arial" w:eastAsia="Arial" w:hAnsi="Arial" w:cs="Arial"/>
          <w:sz w:val="20"/>
          <w:szCs w:val="20"/>
        </w:rPr>
      </w:pPr>
    </w:p>
    <w:p w14:paraId="6E673532" w14:textId="77777777" w:rsidR="009E3AC0" w:rsidRPr="002942DE" w:rsidRDefault="00622B0F">
      <w:pPr>
        <w:spacing w:after="0" w:line="240" w:lineRule="auto"/>
        <w:rPr>
          <w:rFonts w:ascii="Arial" w:eastAsia="Arial" w:hAnsi="Arial" w:cs="Arial"/>
          <w:b/>
          <w:sz w:val="22"/>
          <w:szCs w:val="22"/>
        </w:rPr>
      </w:pPr>
      <w:bookmarkStart w:id="6" w:name="_3dy6vkm" w:colFirst="0" w:colLast="0"/>
      <w:bookmarkEnd w:id="6"/>
      <w:r w:rsidRPr="002942DE">
        <w:rPr>
          <w:rFonts w:ascii="Arial" w:eastAsia="Arial" w:hAnsi="Arial" w:cs="Arial"/>
          <w:b/>
          <w:sz w:val="22"/>
          <w:szCs w:val="22"/>
        </w:rPr>
        <w:t>LEY DE GARANTÍAS ELECTORALES ‒ Prohibición del artículo 33 de la Ley de garantías ‒ Destinatarios</w:t>
      </w:r>
    </w:p>
    <w:p w14:paraId="0870B840" w14:textId="77777777" w:rsidR="009E3AC0" w:rsidRPr="00A5537E" w:rsidRDefault="009E3AC0">
      <w:pPr>
        <w:tabs>
          <w:tab w:val="left" w:pos="426"/>
        </w:tabs>
        <w:spacing w:after="0" w:line="240" w:lineRule="auto"/>
        <w:rPr>
          <w:rFonts w:ascii="Arial" w:eastAsia="Arial" w:hAnsi="Arial" w:cs="Arial"/>
          <w:sz w:val="20"/>
          <w:szCs w:val="20"/>
        </w:rPr>
      </w:pPr>
    </w:p>
    <w:p w14:paraId="6759371B" w14:textId="77777777" w:rsidR="009E3AC0" w:rsidRPr="00A5537E" w:rsidRDefault="00622B0F">
      <w:pPr>
        <w:tabs>
          <w:tab w:val="left" w:pos="426"/>
        </w:tabs>
        <w:spacing w:after="0" w:line="240" w:lineRule="auto"/>
        <w:rPr>
          <w:rFonts w:ascii="Arial" w:eastAsia="Arial" w:hAnsi="Arial" w:cs="Arial"/>
          <w:sz w:val="20"/>
          <w:szCs w:val="20"/>
        </w:rPr>
      </w:pPr>
      <w:r w:rsidRPr="00A5537E">
        <w:rPr>
          <w:rFonts w:ascii="Arial" w:eastAsia="Arial" w:hAnsi="Arial" w:cs="Arial"/>
          <w:sz w:val="20"/>
          <w:szCs w:val="20"/>
        </w:rPr>
        <w:lastRenderedPageBreak/>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64A3E810" w14:textId="77777777" w:rsidR="009E3AC0" w:rsidRPr="002942DE" w:rsidRDefault="009E3AC0">
      <w:pPr>
        <w:tabs>
          <w:tab w:val="left" w:pos="426"/>
        </w:tabs>
        <w:spacing w:after="0" w:line="240" w:lineRule="auto"/>
        <w:rPr>
          <w:rFonts w:ascii="Arial" w:eastAsia="Arial" w:hAnsi="Arial" w:cs="Arial"/>
          <w:sz w:val="22"/>
          <w:szCs w:val="22"/>
        </w:rPr>
      </w:pPr>
    </w:p>
    <w:p w14:paraId="7F0AA52B" w14:textId="77777777" w:rsidR="009E3AC0" w:rsidRPr="002942DE" w:rsidRDefault="00622B0F">
      <w:pPr>
        <w:tabs>
          <w:tab w:val="left" w:pos="426"/>
        </w:tabs>
        <w:spacing w:after="0" w:line="240" w:lineRule="auto"/>
        <w:rPr>
          <w:rFonts w:ascii="Arial" w:eastAsia="Arial" w:hAnsi="Arial" w:cs="Arial"/>
          <w:b/>
          <w:sz w:val="22"/>
          <w:szCs w:val="22"/>
        </w:rPr>
      </w:pPr>
      <w:r w:rsidRPr="002942DE">
        <w:rPr>
          <w:rFonts w:ascii="Arial" w:eastAsia="Arial" w:hAnsi="Arial" w:cs="Arial"/>
          <w:b/>
          <w:sz w:val="22"/>
          <w:szCs w:val="22"/>
        </w:rPr>
        <w:t>LEY DE GARANTÍAS ELECTORALES ‒ Prohibición comicios cargos de elección popular – Convenios y contratos interadministrativos</w:t>
      </w:r>
    </w:p>
    <w:p w14:paraId="566F7062" w14:textId="77777777" w:rsidR="009E3AC0" w:rsidRPr="00A5537E" w:rsidRDefault="009E3AC0">
      <w:pPr>
        <w:tabs>
          <w:tab w:val="left" w:pos="426"/>
        </w:tabs>
        <w:spacing w:after="0" w:line="240" w:lineRule="auto"/>
        <w:rPr>
          <w:rFonts w:ascii="Arial" w:eastAsia="Arial" w:hAnsi="Arial" w:cs="Arial"/>
          <w:sz w:val="20"/>
          <w:szCs w:val="20"/>
        </w:rPr>
      </w:pPr>
    </w:p>
    <w:p w14:paraId="0C3752EB" w14:textId="77777777" w:rsidR="009E3AC0" w:rsidRPr="00A5537E" w:rsidRDefault="00622B0F">
      <w:pPr>
        <w:tabs>
          <w:tab w:val="left" w:pos="426"/>
        </w:tabs>
        <w:spacing w:after="0" w:line="240" w:lineRule="auto"/>
        <w:rPr>
          <w:rFonts w:ascii="Arial" w:eastAsia="Arial" w:hAnsi="Arial" w:cs="Arial"/>
          <w:sz w:val="20"/>
          <w:szCs w:val="20"/>
        </w:rPr>
      </w:pPr>
      <w:r w:rsidRPr="00A5537E">
        <w:rPr>
          <w:rFonts w:ascii="Arial" w:eastAsia="Arial" w:hAnsi="Arial" w:cs="Arial"/>
          <w:sz w:val="20"/>
          <w:szCs w:val="20"/>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14:paraId="4174C9C1" w14:textId="77777777" w:rsidR="009E3AC0" w:rsidRPr="002942DE" w:rsidRDefault="009E3AC0">
      <w:pPr>
        <w:spacing w:after="0" w:line="240" w:lineRule="auto"/>
        <w:rPr>
          <w:rFonts w:ascii="Arial" w:eastAsia="Arial" w:hAnsi="Arial" w:cs="Arial"/>
          <w:b/>
          <w:color w:val="000000"/>
          <w:sz w:val="22"/>
          <w:szCs w:val="22"/>
        </w:rPr>
      </w:pPr>
    </w:p>
    <w:p w14:paraId="386CB66C" w14:textId="77777777" w:rsidR="009E3AC0" w:rsidRPr="002942DE" w:rsidRDefault="00622B0F">
      <w:pPr>
        <w:spacing w:after="0" w:line="240" w:lineRule="auto"/>
        <w:rPr>
          <w:rFonts w:ascii="Arial" w:eastAsia="Arial" w:hAnsi="Arial" w:cs="Arial"/>
          <w:b/>
          <w:color w:val="000000"/>
          <w:sz w:val="22"/>
          <w:szCs w:val="22"/>
        </w:rPr>
      </w:pPr>
      <w:r w:rsidRPr="002942DE">
        <w:rPr>
          <w:rFonts w:ascii="Arial" w:eastAsia="Arial" w:hAnsi="Arial" w:cs="Arial"/>
          <w:b/>
          <w:color w:val="000000"/>
          <w:sz w:val="22"/>
          <w:szCs w:val="22"/>
        </w:rPr>
        <w:t xml:space="preserve">CONTRATOS Y CONVENIOS INTERADMINISTRATIVOS – Definición – Criterio orgánico </w:t>
      </w:r>
    </w:p>
    <w:p w14:paraId="3D9F27C0" w14:textId="77777777" w:rsidR="009E3AC0" w:rsidRPr="00A5537E" w:rsidRDefault="009E3AC0">
      <w:pPr>
        <w:spacing w:after="0" w:line="240" w:lineRule="auto"/>
        <w:rPr>
          <w:rFonts w:ascii="Arial" w:eastAsia="Arial" w:hAnsi="Arial" w:cs="Arial"/>
          <w:color w:val="000000"/>
          <w:sz w:val="20"/>
          <w:szCs w:val="20"/>
        </w:rPr>
      </w:pPr>
    </w:p>
    <w:p w14:paraId="1DC4B46A" w14:textId="77777777" w:rsidR="009E3AC0" w:rsidRPr="00A5537E" w:rsidRDefault="00622B0F">
      <w:pPr>
        <w:spacing w:after="0" w:line="240" w:lineRule="auto"/>
        <w:rPr>
          <w:rFonts w:ascii="Arial" w:eastAsia="Arial" w:hAnsi="Arial" w:cs="Arial"/>
          <w:color w:val="000000"/>
          <w:sz w:val="20"/>
          <w:szCs w:val="20"/>
        </w:rPr>
      </w:pPr>
      <w:r w:rsidRPr="00A5537E">
        <w:rPr>
          <w:rFonts w:ascii="Arial" w:eastAsia="Arial" w:hAnsi="Arial" w:cs="Arial"/>
          <w:color w:val="000000"/>
          <w:sz w:val="20"/>
          <w:szCs w:val="20"/>
        </w:rPr>
        <w:t>[…]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1E49FACF" w14:textId="77777777" w:rsidR="009E3AC0" w:rsidRPr="00A5537E" w:rsidRDefault="009E3AC0">
      <w:pPr>
        <w:spacing w:after="0" w:line="240" w:lineRule="auto"/>
        <w:rPr>
          <w:rFonts w:ascii="Arial" w:eastAsia="Arial" w:hAnsi="Arial" w:cs="Arial"/>
          <w:color w:val="000000"/>
          <w:sz w:val="20"/>
          <w:szCs w:val="20"/>
        </w:rPr>
      </w:pPr>
    </w:p>
    <w:p w14:paraId="1727A8CD" w14:textId="77777777" w:rsidR="009E3AC0" w:rsidRPr="002942DE" w:rsidRDefault="00622B0F">
      <w:pPr>
        <w:spacing w:after="0" w:line="240" w:lineRule="auto"/>
        <w:rPr>
          <w:rFonts w:ascii="Arial" w:eastAsia="Arial" w:hAnsi="Arial" w:cs="Arial"/>
          <w:b/>
          <w:color w:val="000000"/>
          <w:sz w:val="22"/>
          <w:szCs w:val="22"/>
        </w:rPr>
      </w:pPr>
      <w:bookmarkStart w:id="7" w:name="_1t3h5sf" w:colFirst="0" w:colLast="0"/>
      <w:bookmarkEnd w:id="7"/>
      <w:r w:rsidRPr="002942DE">
        <w:rPr>
          <w:rFonts w:ascii="Arial" w:eastAsia="Arial" w:hAnsi="Arial" w:cs="Arial"/>
          <w:b/>
          <w:color w:val="000000"/>
          <w:sz w:val="22"/>
          <w:szCs w:val="22"/>
        </w:rPr>
        <w:t>CONTRATOS Y CONVENIOS INTERADMINISTRATIVOS – Entidades con régimen especial de contratación – Procedencia</w:t>
      </w:r>
    </w:p>
    <w:p w14:paraId="67836C87" w14:textId="77777777" w:rsidR="009E3AC0" w:rsidRPr="00A5537E" w:rsidRDefault="009E3AC0">
      <w:pPr>
        <w:spacing w:after="0" w:line="240" w:lineRule="auto"/>
        <w:rPr>
          <w:rFonts w:ascii="Arial" w:eastAsia="Arial" w:hAnsi="Arial" w:cs="Arial"/>
          <w:color w:val="000000"/>
          <w:sz w:val="20"/>
          <w:szCs w:val="20"/>
        </w:rPr>
      </w:pPr>
    </w:p>
    <w:p w14:paraId="37E76FC1" w14:textId="77777777" w:rsidR="009E3AC0" w:rsidRPr="00A5537E" w:rsidRDefault="00622B0F">
      <w:pPr>
        <w:tabs>
          <w:tab w:val="left" w:pos="426"/>
        </w:tabs>
        <w:spacing w:after="0" w:line="240" w:lineRule="auto"/>
        <w:rPr>
          <w:rFonts w:ascii="Arial" w:eastAsia="Arial" w:hAnsi="Arial" w:cs="Arial"/>
          <w:sz w:val="20"/>
          <w:szCs w:val="20"/>
        </w:rPr>
      </w:pPr>
      <w:r w:rsidRPr="00A5537E">
        <w:rPr>
          <w:rFonts w:ascii="Arial" w:eastAsia="Arial" w:hAnsi="Arial" w:cs="Arial"/>
          <w:color w:val="000000"/>
          <w:sz w:val="20"/>
          <w:szCs w:val="20"/>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44B70A7E" w14:textId="77777777" w:rsidR="009E3AC0" w:rsidRPr="002942DE" w:rsidRDefault="009E3AC0">
      <w:pPr>
        <w:spacing w:after="0" w:line="240" w:lineRule="auto"/>
        <w:rPr>
          <w:rFonts w:ascii="Arial" w:eastAsia="Arial" w:hAnsi="Arial" w:cs="Arial"/>
          <w:b/>
          <w:color w:val="000000"/>
          <w:sz w:val="22"/>
          <w:szCs w:val="22"/>
        </w:rPr>
      </w:pPr>
    </w:p>
    <w:p w14:paraId="3D1A5346" w14:textId="77777777" w:rsidR="009E3AC0" w:rsidRPr="002942DE" w:rsidRDefault="00622B0F">
      <w:pPr>
        <w:spacing w:after="0" w:line="240" w:lineRule="auto"/>
        <w:rPr>
          <w:rFonts w:ascii="Arial" w:eastAsia="Arial" w:hAnsi="Arial" w:cs="Arial"/>
          <w:b/>
          <w:color w:val="000000"/>
          <w:sz w:val="22"/>
          <w:szCs w:val="22"/>
        </w:rPr>
      </w:pPr>
      <w:r w:rsidRPr="002942DE">
        <w:rPr>
          <w:rFonts w:ascii="Arial" w:eastAsia="Arial" w:hAnsi="Arial" w:cs="Arial"/>
          <w:b/>
          <w:color w:val="000000"/>
          <w:sz w:val="22"/>
          <w:szCs w:val="22"/>
        </w:rPr>
        <w:t>CONTRATOS Y CONVENIOS INTERADMINISTRATIVOS – Modalidad de selección</w:t>
      </w:r>
    </w:p>
    <w:p w14:paraId="35F9738E" w14:textId="77777777" w:rsidR="009E3AC0" w:rsidRPr="00A5537E" w:rsidRDefault="009E3AC0">
      <w:pPr>
        <w:spacing w:after="0" w:line="240" w:lineRule="auto"/>
        <w:rPr>
          <w:rFonts w:ascii="Arial" w:eastAsia="Arial" w:hAnsi="Arial" w:cs="Arial"/>
          <w:b/>
          <w:color w:val="000000"/>
          <w:sz w:val="20"/>
          <w:szCs w:val="20"/>
        </w:rPr>
      </w:pPr>
    </w:p>
    <w:p w14:paraId="3DD2E13B" w14:textId="77777777" w:rsidR="009E3AC0" w:rsidRPr="00A5537E" w:rsidRDefault="00622B0F">
      <w:pPr>
        <w:spacing w:after="0" w:line="240" w:lineRule="auto"/>
        <w:rPr>
          <w:rFonts w:ascii="Arial" w:eastAsia="Arial" w:hAnsi="Arial" w:cs="Arial"/>
          <w:color w:val="000000"/>
          <w:sz w:val="20"/>
          <w:szCs w:val="20"/>
        </w:rPr>
      </w:pPr>
      <w:r w:rsidRPr="00A5537E">
        <w:rPr>
          <w:rFonts w:ascii="Arial" w:eastAsia="Arial" w:hAnsi="Arial" w:cs="Arial"/>
          <w:color w:val="000000"/>
          <w:sz w:val="20"/>
          <w:szCs w:val="20"/>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p w14:paraId="5E177BAF" w14:textId="77777777" w:rsidR="009E3AC0" w:rsidRPr="00A5537E" w:rsidRDefault="009E3AC0">
      <w:pPr>
        <w:spacing w:after="0" w:line="240" w:lineRule="auto"/>
        <w:rPr>
          <w:rFonts w:ascii="Arial" w:eastAsia="Arial" w:hAnsi="Arial" w:cs="Arial"/>
          <w:color w:val="000000"/>
          <w:sz w:val="20"/>
          <w:szCs w:val="20"/>
        </w:rPr>
      </w:pPr>
    </w:p>
    <w:p w14:paraId="45F0CDF4" w14:textId="77777777" w:rsidR="009E3AC0" w:rsidRPr="002942DE" w:rsidRDefault="00622B0F">
      <w:pPr>
        <w:tabs>
          <w:tab w:val="left" w:pos="426"/>
        </w:tabs>
        <w:spacing w:after="0" w:line="240" w:lineRule="auto"/>
        <w:rPr>
          <w:rFonts w:ascii="Arial" w:eastAsia="Arial" w:hAnsi="Arial" w:cs="Arial"/>
          <w:b/>
          <w:sz w:val="22"/>
          <w:szCs w:val="22"/>
        </w:rPr>
      </w:pPr>
      <w:bookmarkStart w:id="8" w:name="_4d34og8" w:colFirst="0" w:colLast="0"/>
      <w:bookmarkEnd w:id="8"/>
      <w:r w:rsidRPr="002942DE">
        <w:rPr>
          <w:rFonts w:ascii="Arial" w:eastAsia="Arial" w:hAnsi="Arial" w:cs="Arial"/>
          <w:b/>
          <w:sz w:val="22"/>
          <w:szCs w:val="22"/>
        </w:rPr>
        <w:lastRenderedPageBreak/>
        <w:t xml:space="preserve">LEY DE GARANTÍAS ELECTORALES – Prohibición – Celebración convenios o contratos interadministrativos – Orden judicial </w:t>
      </w:r>
    </w:p>
    <w:p w14:paraId="4219DA43" w14:textId="77777777" w:rsidR="009E3AC0" w:rsidRPr="00A5537E" w:rsidRDefault="009E3AC0">
      <w:pPr>
        <w:spacing w:after="0" w:line="240" w:lineRule="auto"/>
        <w:rPr>
          <w:rFonts w:ascii="Arial" w:eastAsia="Arial" w:hAnsi="Arial" w:cs="Arial"/>
          <w:sz w:val="20"/>
          <w:szCs w:val="20"/>
        </w:rPr>
      </w:pPr>
    </w:p>
    <w:p w14:paraId="74D72742" w14:textId="77777777" w:rsidR="009E3AC0" w:rsidRPr="00A5537E" w:rsidRDefault="00622B0F">
      <w:pPr>
        <w:spacing w:after="0" w:line="240" w:lineRule="auto"/>
        <w:rPr>
          <w:rFonts w:ascii="Arial" w:eastAsia="Arial" w:hAnsi="Arial" w:cs="Arial"/>
          <w:sz w:val="20"/>
          <w:szCs w:val="20"/>
        </w:rPr>
      </w:pPr>
      <w:r w:rsidRPr="00A5537E">
        <w:rPr>
          <w:rFonts w:ascii="Arial" w:eastAsia="Arial" w:hAnsi="Arial" w:cs="Arial"/>
          <w:sz w:val="20"/>
          <w:szCs w:val="20"/>
        </w:rPr>
        <w:t xml:space="preserve">[…] 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 </w:t>
      </w:r>
    </w:p>
    <w:p w14:paraId="7D0A16E5" w14:textId="77777777" w:rsidR="009E3AC0" w:rsidRPr="00A5537E" w:rsidRDefault="009E3AC0">
      <w:pPr>
        <w:spacing w:after="0" w:line="240" w:lineRule="auto"/>
        <w:rPr>
          <w:rFonts w:ascii="Arial" w:eastAsia="Arial" w:hAnsi="Arial" w:cs="Arial"/>
          <w:sz w:val="20"/>
          <w:szCs w:val="20"/>
        </w:rPr>
      </w:pPr>
    </w:p>
    <w:p w14:paraId="071D3C37" w14:textId="77777777" w:rsidR="009E3AC0" w:rsidRPr="002942DE" w:rsidRDefault="00622B0F">
      <w:pPr>
        <w:spacing w:after="0" w:line="240" w:lineRule="auto"/>
        <w:rPr>
          <w:rFonts w:ascii="Arial" w:eastAsia="Arial" w:hAnsi="Arial" w:cs="Arial"/>
          <w:b/>
          <w:sz w:val="22"/>
          <w:szCs w:val="22"/>
        </w:rPr>
      </w:pPr>
      <w:r w:rsidRPr="002942DE">
        <w:rPr>
          <w:rFonts w:ascii="Arial" w:eastAsia="Arial" w:hAnsi="Arial" w:cs="Arial"/>
          <w:b/>
          <w:sz w:val="22"/>
          <w:szCs w:val="22"/>
        </w:rPr>
        <w:t>MODIFICACIÓN DE LA LEY 2159 DE 2021 – Ley Anual de Presupuesto - parágrafo del artículo 38 de la Ley de Garantías – transitoriedad</w:t>
      </w:r>
    </w:p>
    <w:p w14:paraId="079BC88D" w14:textId="77777777" w:rsidR="009E3AC0" w:rsidRPr="00A5537E" w:rsidRDefault="009E3AC0">
      <w:pPr>
        <w:spacing w:after="0" w:line="240" w:lineRule="auto"/>
        <w:rPr>
          <w:rFonts w:ascii="Arial" w:eastAsia="Arial" w:hAnsi="Arial" w:cs="Arial"/>
          <w:b/>
          <w:sz w:val="20"/>
          <w:szCs w:val="20"/>
        </w:rPr>
      </w:pPr>
    </w:p>
    <w:p w14:paraId="7E697008" w14:textId="77777777" w:rsidR="009E3AC0" w:rsidRPr="00A5537E" w:rsidRDefault="00622B0F">
      <w:pPr>
        <w:shd w:val="clear" w:color="auto" w:fill="FFFFFF"/>
        <w:spacing w:after="0" w:line="240" w:lineRule="auto"/>
        <w:rPr>
          <w:rFonts w:ascii="Arial" w:eastAsia="Arial" w:hAnsi="Arial" w:cs="Arial"/>
          <w:sz w:val="20"/>
          <w:szCs w:val="20"/>
        </w:rPr>
      </w:pPr>
      <w:r w:rsidRPr="00A5537E">
        <w:rPr>
          <w:rFonts w:ascii="Arial" w:eastAsia="Arial" w:hAnsi="Arial" w:cs="Arial"/>
          <w:sz w:val="20"/>
          <w:szCs w:val="20"/>
        </w:rPr>
        <w:t>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de la prohibición, 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2DFBE68F" w14:textId="77777777" w:rsidR="009E3AC0" w:rsidRPr="00A5537E" w:rsidRDefault="009E3AC0">
      <w:pPr>
        <w:shd w:val="clear" w:color="auto" w:fill="FFFFFF"/>
        <w:spacing w:after="0" w:line="240" w:lineRule="auto"/>
        <w:rPr>
          <w:rFonts w:ascii="Arial" w:eastAsia="Arial" w:hAnsi="Arial" w:cs="Arial"/>
          <w:sz w:val="20"/>
          <w:szCs w:val="20"/>
        </w:rPr>
      </w:pPr>
    </w:p>
    <w:p w14:paraId="33C8B4F9" w14:textId="77777777" w:rsidR="009E3AC0" w:rsidRPr="002942DE" w:rsidRDefault="00622B0F">
      <w:pPr>
        <w:spacing w:after="0" w:line="240" w:lineRule="auto"/>
        <w:rPr>
          <w:rFonts w:ascii="Arial" w:eastAsia="Arial" w:hAnsi="Arial" w:cs="Arial"/>
          <w:b/>
          <w:sz w:val="22"/>
          <w:szCs w:val="22"/>
        </w:rPr>
      </w:pPr>
      <w:r w:rsidRPr="002942DE">
        <w:rPr>
          <w:rFonts w:ascii="Arial" w:eastAsia="Arial" w:hAnsi="Arial" w:cs="Arial"/>
          <w:b/>
          <w:sz w:val="22"/>
          <w:szCs w:val="22"/>
        </w:rPr>
        <w:t>MODIFICACIÓN DE LA LEY 2159 DE 2021 – Ley Anual de Presupuesto - parágrafo del artículo 38 de la Ley de Garantías</w:t>
      </w:r>
    </w:p>
    <w:p w14:paraId="35D370B3" w14:textId="77777777" w:rsidR="009E3AC0" w:rsidRPr="00A5537E" w:rsidRDefault="009E3AC0">
      <w:pPr>
        <w:spacing w:after="0" w:line="240" w:lineRule="auto"/>
        <w:rPr>
          <w:rFonts w:ascii="Arial" w:eastAsia="Arial" w:hAnsi="Arial" w:cs="Arial"/>
          <w:sz w:val="20"/>
          <w:szCs w:val="20"/>
        </w:rPr>
      </w:pPr>
    </w:p>
    <w:p w14:paraId="0B975E5E" w14:textId="77777777" w:rsidR="009E3AC0" w:rsidRPr="00A5537E" w:rsidRDefault="00622B0F">
      <w:pPr>
        <w:shd w:val="clear" w:color="auto" w:fill="FFFFFF"/>
        <w:spacing w:after="0" w:line="240" w:lineRule="auto"/>
        <w:rPr>
          <w:rFonts w:ascii="Arial" w:eastAsia="Arial" w:hAnsi="Arial" w:cs="Arial"/>
          <w:sz w:val="20"/>
          <w:szCs w:val="20"/>
        </w:rPr>
      </w:pPr>
      <w:r w:rsidRPr="00A5537E">
        <w:rPr>
          <w:rFonts w:ascii="Arial" w:eastAsia="Arial" w:hAnsi="Arial" w:cs="Arial"/>
          <w:sz w:val="20"/>
          <w:szCs w:val="20"/>
        </w:rPr>
        <w:t>[…] la Ley 2159 de 2021 -Ley del Presupuesto- modificó parcial y transitoriamente al parágrafo del artículo 38 de la Ley 996 de 2005, en aspectos temporales, subjetivos, materiales o teleológicos y procedimentales o de control, suspendiendo, en dichos aspectos, la prohibición de celebración de convenios y contratos interadministrativos contenida en el parágrafo del artículo 38, siempre y cuando tales acuerdos se suscriban entre entes del orden nacional y entidades territoriales, dentro de la vigencia fiscal del año 2022 y para la ejecución de programas o proyectos correspondientes al Presupuesto General de la Nación. Es de anotar […] que la modificación de la ley del Presupuesto se genera, únicamente, frente al parágrafo del artículo 38, y no frente a las prohibiciones del artículo 33 que, como se dijo, resultan ser distintas, aunque concurrentes, a las del parágrafo, por lo cual, las restricciones a la contratación directa dentro del periodo preelectoral presidencial y vicepresidencial, se mantiene invariado a partir de la publicación de la Ley del Presupuesto.</w:t>
      </w:r>
    </w:p>
    <w:p w14:paraId="490BFFBC" w14:textId="77777777" w:rsidR="009E3AC0" w:rsidRPr="00A5537E" w:rsidRDefault="009E3AC0">
      <w:pPr>
        <w:shd w:val="clear" w:color="auto" w:fill="FFFFFF"/>
        <w:spacing w:after="0" w:line="240" w:lineRule="auto"/>
        <w:rPr>
          <w:rFonts w:ascii="Arial" w:eastAsia="Arial" w:hAnsi="Arial" w:cs="Arial"/>
          <w:sz w:val="20"/>
          <w:szCs w:val="20"/>
        </w:rPr>
      </w:pPr>
    </w:p>
    <w:p w14:paraId="6C5EA2FD" w14:textId="77777777" w:rsidR="009E3AC0" w:rsidRPr="002942DE" w:rsidRDefault="00622B0F">
      <w:pPr>
        <w:spacing w:after="0" w:line="240" w:lineRule="auto"/>
        <w:rPr>
          <w:rFonts w:ascii="Arial" w:eastAsia="Arial" w:hAnsi="Arial" w:cs="Arial"/>
          <w:b/>
          <w:sz w:val="22"/>
          <w:szCs w:val="22"/>
        </w:rPr>
      </w:pPr>
      <w:r w:rsidRPr="002942DE">
        <w:rPr>
          <w:rFonts w:ascii="Arial" w:eastAsia="Arial" w:hAnsi="Arial" w:cs="Arial"/>
          <w:b/>
          <w:sz w:val="22"/>
          <w:szCs w:val="22"/>
        </w:rPr>
        <w:t>MODIFICACIÓN DE LA LEY 2159 DE 2021 – Ley Anual de Presupuesto - parágrafo del artículo 38 de la Ley de Garantías – Nación – entidades descentralizadas</w:t>
      </w:r>
    </w:p>
    <w:p w14:paraId="059FBFFF" w14:textId="77777777" w:rsidR="009E3AC0" w:rsidRPr="00A5537E" w:rsidRDefault="009E3AC0">
      <w:pPr>
        <w:spacing w:after="0" w:line="240" w:lineRule="auto"/>
        <w:rPr>
          <w:rFonts w:ascii="Arial" w:eastAsia="Arial" w:hAnsi="Arial" w:cs="Arial"/>
          <w:sz w:val="20"/>
          <w:szCs w:val="20"/>
        </w:rPr>
      </w:pPr>
    </w:p>
    <w:p w14:paraId="5C954552" w14:textId="77777777" w:rsidR="009E3AC0" w:rsidRPr="00A5537E" w:rsidRDefault="00622B0F">
      <w:pPr>
        <w:spacing w:after="0" w:line="240" w:lineRule="auto"/>
        <w:rPr>
          <w:rFonts w:ascii="Arial" w:eastAsia="Arial" w:hAnsi="Arial" w:cs="Arial"/>
          <w:sz w:val="20"/>
          <w:szCs w:val="20"/>
        </w:rPr>
      </w:pPr>
      <w:r w:rsidRPr="00A5537E">
        <w:rPr>
          <w:rFonts w:ascii="Arial" w:eastAsia="Arial" w:hAnsi="Arial" w:cs="Arial"/>
          <w:sz w:val="20"/>
          <w:szCs w:val="20"/>
        </w:rPr>
        <w:t xml:space="preserve">[…] la expresión «Nación» utilizada por la Ley 2159 de 2021 hace referencia a las entidades públicas del sector central de la rama ejecutiva y de las demás ramas del poder público, así como a los órganos autónomos e independientes que se han previsto por la Constitución Política para el cumplimiento de las demás funciones del Estado, los cua les cuentan con capacidad para celebrar contratos en nombre de ella, pues comparten su personería jurídica. En caso contrario, esto es, </w:t>
      </w:r>
      <w:r w:rsidRPr="00A5537E">
        <w:rPr>
          <w:rFonts w:ascii="Arial" w:eastAsia="Arial" w:hAnsi="Arial" w:cs="Arial"/>
          <w:sz w:val="20"/>
          <w:szCs w:val="20"/>
        </w:rPr>
        <w:lastRenderedPageBreak/>
        <w:t>cuando la entidad tenga personería jurídica propia y, por tanto, no celebre contratos en nombre de la Nación, permanecerá incólume la prohibición establecida en el parágrafo del artículo 38 de la Ley de Garantías Electorales.</w:t>
      </w:r>
    </w:p>
    <w:p w14:paraId="659130A8" w14:textId="77777777" w:rsidR="009E3AC0" w:rsidRPr="00A5537E" w:rsidRDefault="009E3AC0">
      <w:pPr>
        <w:spacing w:after="0" w:line="240" w:lineRule="auto"/>
        <w:rPr>
          <w:rFonts w:ascii="Arial" w:eastAsia="Arial" w:hAnsi="Arial" w:cs="Arial"/>
          <w:sz w:val="20"/>
          <w:szCs w:val="20"/>
        </w:rPr>
      </w:pPr>
    </w:p>
    <w:p w14:paraId="0E047D05" w14:textId="05F42E92" w:rsidR="009E3AC0" w:rsidRPr="00A5537E" w:rsidRDefault="00622B0F" w:rsidP="00A5537E">
      <w:pPr>
        <w:spacing w:after="0" w:line="240" w:lineRule="auto"/>
        <w:rPr>
          <w:rFonts w:ascii="Arial" w:eastAsia="Arial" w:hAnsi="Arial" w:cs="Arial"/>
          <w:b/>
          <w:sz w:val="22"/>
          <w:szCs w:val="22"/>
        </w:rPr>
      </w:pPr>
      <w:r w:rsidRPr="00A5537E">
        <w:rPr>
          <w:rFonts w:ascii="Arial" w:eastAsia="Arial" w:hAnsi="Arial" w:cs="Arial"/>
          <w:b/>
          <w:sz w:val="22"/>
          <w:szCs w:val="22"/>
        </w:rPr>
        <w:t xml:space="preserve">MODIFICACIÓN DE LA LEY 2159 DE 2021 – Entidades territoriales </w:t>
      </w:r>
    </w:p>
    <w:p w14:paraId="5D3CD014" w14:textId="77777777" w:rsidR="009E3AC0" w:rsidRPr="00A5537E" w:rsidRDefault="009E3AC0" w:rsidP="00A5537E">
      <w:pPr>
        <w:spacing w:after="0" w:line="240" w:lineRule="auto"/>
        <w:rPr>
          <w:rFonts w:ascii="Arial" w:eastAsia="Arial" w:hAnsi="Arial" w:cs="Arial"/>
          <w:sz w:val="22"/>
          <w:szCs w:val="22"/>
        </w:rPr>
      </w:pPr>
    </w:p>
    <w:p w14:paraId="38DBBED0" w14:textId="2A431A55" w:rsidR="00A5537E" w:rsidRPr="00A5537E" w:rsidRDefault="00A5537E" w:rsidP="00A5537E">
      <w:pPr>
        <w:shd w:val="clear" w:color="auto" w:fill="FFFFFF"/>
        <w:spacing w:after="0" w:line="240" w:lineRule="auto"/>
        <w:rPr>
          <w:rFonts w:ascii="Arial" w:eastAsia="Arial" w:hAnsi="Arial" w:cs="Arial"/>
          <w:sz w:val="20"/>
          <w:szCs w:val="20"/>
        </w:rPr>
      </w:pPr>
      <w:r w:rsidRPr="00A5537E">
        <w:rPr>
          <w:rFonts w:ascii="Arial" w:eastAsia="Arial" w:hAnsi="Arial" w:cs="Arial"/>
          <w:sz w:val="20"/>
          <w:szCs w:val="20"/>
        </w:rPr>
        <w:t>[…] la administración territorial también está compuesta por entidades tanto del nivel central como descentralizado y estas últimas pueden ser producto o bien de la descentralización directa o de primer nivel o de la de segundo nivel o indirecta. Sin embargo, en la medida que la norma del artículo 124 de la Ley 2159 de 2021 no diferencia ni se refiere expresamente a las entidades descentralizadas del orden territorial,</w:t>
      </w:r>
      <w:r>
        <w:rPr>
          <w:rFonts w:ascii="Arial" w:eastAsia="Arial" w:hAnsi="Arial" w:cs="Arial"/>
          <w:sz w:val="20"/>
          <w:szCs w:val="20"/>
        </w:rPr>
        <w:t xml:space="preserve"> […] </w:t>
      </w:r>
      <w:r w:rsidRPr="00A5537E">
        <w:rPr>
          <w:rFonts w:ascii="Arial" w:eastAsia="Arial" w:hAnsi="Arial" w:cs="Arial"/>
          <w:sz w:val="20"/>
          <w:szCs w:val="20"/>
        </w:rPr>
        <w:t xml:space="preserve">debe entenderse que la expresión «entidades territoriales» contenida en dicha disposición, incluye únicamente a las establecidas en el artículo 286 de la Constitución Política, que prescribe: «Son entidades territoriales los departamentos, los distritos, los municipios y los territorios indígenas». Lo anterior también se fundamenta en que el artículo 124 realiza una excepción a una prohibición, por lo que corresponde realizar una interpretación estricta. De esta manera, es importante tener en cuenta que en el contexto del parágrafo del artículo 38 de la Ley 996 de 2005, la prohibición se encuentra dirigida a: «Los gobernadores, alcaldes municipales y/o distritales, secretarios, gerentes y directores de entidades descentralizadas del orden municipal, departamental o distrital»; pese a ello, el artículo 124 de la Ley 2159 únicamente opta por incluir en la excepción a las «entidades territoriales», sin hacer referencia a las entidades descentralizadas. Incluso, resulta importante destacar cómo la misma Ley 2159 de 2021 en otras disposiciones opta por incluir expresamente a las entidades descentralizadas del orden territorial como parte del ámbito de aplicación de su contenido normativo, lo que no sucede con el artículo 124. Adicionalmente, los elementos anteriores respaldan el argumento de acudir al artículo 286 de la Constitución, para efectos de interpretar el concepto de «entidades territoriales». </w:t>
      </w:r>
    </w:p>
    <w:p w14:paraId="15607696" w14:textId="77777777" w:rsidR="009E3AC0" w:rsidRPr="00A5537E" w:rsidRDefault="009E3AC0">
      <w:pPr>
        <w:spacing w:after="0" w:line="240" w:lineRule="auto"/>
        <w:rPr>
          <w:rFonts w:ascii="Arial" w:eastAsia="Arial" w:hAnsi="Arial" w:cs="Arial"/>
          <w:b/>
          <w:sz w:val="20"/>
          <w:szCs w:val="20"/>
        </w:rPr>
      </w:pPr>
    </w:p>
    <w:p w14:paraId="30B21004" w14:textId="77777777" w:rsidR="009E3AC0" w:rsidRPr="002942DE" w:rsidRDefault="00622B0F">
      <w:pPr>
        <w:spacing w:after="0" w:line="240" w:lineRule="auto"/>
        <w:rPr>
          <w:rFonts w:ascii="Arial" w:eastAsia="Arial" w:hAnsi="Arial" w:cs="Arial"/>
          <w:b/>
          <w:sz w:val="22"/>
          <w:szCs w:val="22"/>
        </w:rPr>
      </w:pPr>
      <w:r w:rsidRPr="002942DE">
        <w:rPr>
          <w:rFonts w:ascii="Arial" w:eastAsia="Arial" w:hAnsi="Arial" w:cs="Arial"/>
          <w:b/>
          <w:sz w:val="22"/>
          <w:szCs w:val="22"/>
        </w:rPr>
        <w:t>MODIFICACIÓN DE LA LEY 2159 DE 2021 – Ley Anual de Presupuesto - parágrafo del artículo 38 de la Ley de Garantías – gastos de inversión - proyectos y programas de inversión – Plan Nacional de Desarrollo</w:t>
      </w:r>
    </w:p>
    <w:p w14:paraId="3A1D3F49" w14:textId="77777777" w:rsidR="009E3AC0" w:rsidRPr="00A5537E" w:rsidRDefault="009E3AC0">
      <w:pPr>
        <w:spacing w:after="0" w:line="240" w:lineRule="auto"/>
        <w:rPr>
          <w:rFonts w:ascii="Arial" w:eastAsia="Arial" w:hAnsi="Arial" w:cs="Arial"/>
          <w:b/>
          <w:sz w:val="20"/>
          <w:szCs w:val="20"/>
        </w:rPr>
      </w:pPr>
    </w:p>
    <w:p w14:paraId="0F119CD7" w14:textId="77777777" w:rsidR="009E3AC0" w:rsidRPr="00A5537E" w:rsidRDefault="00622B0F">
      <w:pPr>
        <w:shd w:val="clear" w:color="auto" w:fill="FFFFFF"/>
        <w:spacing w:after="0" w:line="240" w:lineRule="auto"/>
        <w:rPr>
          <w:rFonts w:ascii="Arial" w:eastAsia="Arial" w:hAnsi="Arial" w:cs="Arial"/>
          <w:sz w:val="20"/>
          <w:szCs w:val="20"/>
        </w:rPr>
      </w:pPr>
      <w:r w:rsidRPr="00A5537E">
        <w:rPr>
          <w:rFonts w:ascii="Arial" w:eastAsia="Arial" w:hAnsi="Arial" w:cs="Arial"/>
          <w:sz w:val="20"/>
          <w:szCs w:val="20"/>
        </w:rPr>
        <w:t>En lo que respecta al elemento teleológico o material de la reforma incluida en el artículo 124 de la  2159 de 2021, consistente en que los convenios sean celebrados con el fin de ejecutar programas o proyectos que correspondan al Presupuesto General de la Nación, […] partiendo de las consideraciones contenidas en el acápite 2.5. del presente concepto y dados en relación con la estructura y contenido de la ley anual del presupuesto general de la Nación, […] aquel elemento hace referencia a los programas y proyectos de inversión nacional contenidos en el rubro de gastos de inversión de la ley de apropiaciones, y que corresponderán a los determinados como tales en el Plan Nacional de Inversiones incluido en el plan Nacional de Desarrollo.</w:t>
      </w:r>
    </w:p>
    <w:p w14:paraId="31BAA0A6" w14:textId="77777777" w:rsidR="009E3AC0" w:rsidRPr="00A5537E" w:rsidRDefault="009E3AC0">
      <w:pPr>
        <w:shd w:val="clear" w:color="auto" w:fill="FFFFFF"/>
        <w:spacing w:after="0"/>
        <w:rPr>
          <w:rFonts w:ascii="Arial" w:eastAsia="Arial" w:hAnsi="Arial" w:cs="Arial"/>
          <w:b/>
          <w:sz w:val="22"/>
          <w:szCs w:val="22"/>
        </w:rPr>
      </w:pPr>
    </w:p>
    <w:p w14:paraId="5FB1D127" w14:textId="77777777" w:rsidR="009E3AC0" w:rsidRPr="00A5537E" w:rsidRDefault="00622B0F">
      <w:pPr>
        <w:rPr>
          <w:rFonts w:ascii="Arial" w:eastAsia="Arial" w:hAnsi="Arial" w:cs="Arial"/>
          <w:b/>
          <w:sz w:val="22"/>
          <w:szCs w:val="22"/>
        </w:rPr>
      </w:pPr>
      <w:r w:rsidRPr="00A5537E">
        <w:br w:type="page"/>
      </w:r>
    </w:p>
    <w:p w14:paraId="43B19EA2" w14:textId="2C377327" w:rsidR="009E3AC0" w:rsidRPr="00A5537E" w:rsidRDefault="00976C8A" w:rsidP="00976C8A">
      <w:pPr>
        <w:spacing w:after="0"/>
        <w:jc w:val="right"/>
        <w:rPr>
          <w:rFonts w:ascii="Arial" w:eastAsia="Arial" w:hAnsi="Arial" w:cs="Arial"/>
          <w:b/>
          <w:sz w:val="22"/>
          <w:szCs w:val="22"/>
        </w:rPr>
      </w:pPr>
      <w:r>
        <w:rPr>
          <w:noProof/>
        </w:rPr>
        <w:lastRenderedPageBreak/>
        <w:drawing>
          <wp:inline distT="0" distB="0" distL="0" distR="0" wp14:anchorId="66496992" wp14:editId="03565CE0">
            <wp:extent cx="2686050" cy="1171575"/>
            <wp:effectExtent l="0" t="0" r="0" b="9525"/>
            <wp:docPr id="5" name="Imagen 5"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10;&#10;Descripción generada automáticamente"/>
                    <pic:cNvPicPr/>
                  </pic:nvPicPr>
                  <pic:blipFill>
                    <a:blip r:embed="rId9"/>
                    <a:stretch>
                      <a:fillRect/>
                    </a:stretch>
                  </pic:blipFill>
                  <pic:spPr>
                    <a:xfrm>
                      <a:off x="0" y="0"/>
                      <a:ext cx="2686050" cy="1171575"/>
                    </a:xfrm>
                    <a:prstGeom prst="rect">
                      <a:avLst/>
                    </a:prstGeom>
                  </pic:spPr>
                </pic:pic>
              </a:graphicData>
            </a:graphic>
          </wp:inline>
        </w:drawing>
      </w:r>
    </w:p>
    <w:p w14:paraId="23CCCDFE" w14:textId="77777777" w:rsidR="009E3AC0" w:rsidRPr="00A5537E" w:rsidRDefault="009E3AC0">
      <w:pPr>
        <w:tabs>
          <w:tab w:val="left" w:pos="3374"/>
        </w:tabs>
        <w:spacing w:after="0"/>
        <w:rPr>
          <w:rFonts w:ascii="Arial" w:eastAsia="Arial" w:hAnsi="Arial" w:cs="Arial"/>
          <w:sz w:val="22"/>
          <w:szCs w:val="22"/>
        </w:rPr>
      </w:pPr>
      <w:bookmarkStart w:id="9" w:name="_2s8eyo1" w:colFirst="0" w:colLast="0"/>
      <w:bookmarkEnd w:id="9"/>
    </w:p>
    <w:p w14:paraId="24EE5354" w14:textId="40AAB3B4" w:rsidR="009E3AC0" w:rsidRDefault="00976C8A">
      <w:pPr>
        <w:spacing w:after="0"/>
        <w:rPr>
          <w:rFonts w:ascii="Arial" w:hAnsi="Arial" w:cs="Arial"/>
          <w:color w:val="4E4D4D"/>
          <w:sz w:val="22"/>
          <w:szCs w:val="22"/>
          <w:lang w:val="es-CO"/>
        </w:rPr>
      </w:pPr>
      <w:r>
        <w:rPr>
          <w:rFonts w:ascii="Arial" w:hAnsi="Arial" w:cs="Arial"/>
          <w:color w:val="4E4D4D"/>
          <w:sz w:val="22"/>
          <w:szCs w:val="22"/>
          <w:lang w:val="es-CO"/>
        </w:rPr>
        <w:t xml:space="preserve">Bogotá, 31 </w:t>
      </w:r>
      <w:proofErr w:type="gramStart"/>
      <w:r>
        <w:rPr>
          <w:rFonts w:ascii="Arial" w:hAnsi="Arial" w:cs="Arial"/>
          <w:color w:val="4E4D4D"/>
          <w:sz w:val="22"/>
          <w:szCs w:val="22"/>
          <w:lang w:val="es-CO"/>
        </w:rPr>
        <w:t>Enero</w:t>
      </w:r>
      <w:proofErr w:type="gramEnd"/>
      <w:r>
        <w:rPr>
          <w:rFonts w:ascii="Arial" w:hAnsi="Arial" w:cs="Arial"/>
          <w:color w:val="4E4D4D"/>
          <w:sz w:val="22"/>
          <w:szCs w:val="22"/>
          <w:lang w:val="es-CO"/>
        </w:rPr>
        <w:t xml:space="preserve"> 2022</w:t>
      </w:r>
    </w:p>
    <w:p w14:paraId="6FBCD821" w14:textId="77777777" w:rsidR="00976C8A" w:rsidRPr="00A5537E" w:rsidRDefault="00976C8A">
      <w:pPr>
        <w:spacing w:after="0"/>
        <w:rPr>
          <w:rFonts w:ascii="Arial" w:eastAsia="Arial" w:hAnsi="Arial" w:cs="Arial"/>
          <w:sz w:val="22"/>
          <w:szCs w:val="22"/>
        </w:rPr>
      </w:pPr>
    </w:p>
    <w:p w14:paraId="65FF85AB" w14:textId="77777777" w:rsidR="009E3AC0" w:rsidRPr="00A5537E" w:rsidRDefault="009E3AC0">
      <w:pPr>
        <w:spacing w:after="0"/>
        <w:rPr>
          <w:rFonts w:ascii="Arial" w:eastAsia="Arial" w:hAnsi="Arial" w:cs="Arial"/>
          <w:sz w:val="22"/>
          <w:szCs w:val="22"/>
        </w:rPr>
      </w:pPr>
    </w:p>
    <w:p w14:paraId="16B7EE41" w14:textId="77777777" w:rsidR="009E3AC0" w:rsidRPr="00A5537E" w:rsidRDefault="00622B0F">
      <w:pPr>
        <w:spacing w:after="0"/>
        <w:rPr>
          <w:rFonts w:ascii="Arial" w:eastAsia="Arial" w:hAnsi="Arial" w:cs="Arial"/>
          <w:sz w:val="22"/>
          <w:szCs w:val="22"/>
        </w:rPr>
      </w:pPr>
      <w:r w:rsidRPr="00A5537E">
        <w:rPr>
          <w:rFonts w:ascii="Arial" w:eastAsia="Arial" w:hAnsi="Arial" w:cs="Arial"/>
          <w:sz w:val="22"/>
          <w:szCs w:val="22"/>
        </w:rPr>
        <w:t>Señora</w:t>
      </w:r>
    </w:p>
    <w:p w14:paraId="293BF421" w14:textId="77777777" w:rsidR="009E3AC0" w:rsidRPr="00A5537E" w:rsidRDefault="00622B0F">
      <w:pPr>
        <w:spacing w:after="0"/>
        <w:rPr>
          <w:rFonts w:ascii="Arial" w:eastAsia="Arial" w:hAnsi="Arial" w:cs="Arial"/>
          <w:b/>
          <w:sz w:val="22"/>
          <w:szCs w:val="22"/>
        </w:rPr>
      </w:pPr>
      <w:r w:rsidRPr="00A5537E">
        <w:rPr>
          <w:rFonts w:ascii="Arial" w:eastAsia="Arial" w:hAnsi="Arial" w:cs="Arial"/>
          <w:b/>
          <w:sz w:val="22"/>
          <w:szCs w:val="22"/>
        </w:rPr>
        <w:t>Laura Daniela Londoño Fandiño</w:t>
      </w:r>
    </w:p>
    <w:p w14:paraId="7C115885" w14:textId="77777777" w:rsidR="009E3AC0" w:rsidRPr="00A5537E" w:rsidRDefault="00622B0F">
      <w:pPr>
        <w:spacing w:after="0"/>
        <w:rPr>
          <w:rFonts w:ascii="Arial" w:eastAsia="Arial" w:hAnsi="Arial" w:cs="Arial"/>
          <w:sz w:val="22"/>
          <w:szCs w:val="22"/>
        </w:rPr>
      </w:pPr>
      <w:r w:rsidRPr="00A5537E">
        <w:rPr>
          <w:rFonts w:ascii="Arial" w:eastAsia="Arial" w:hAnsi="Arial" w:cs="Arial"/>
          <w:sz w:val="22"/>
          <w:szCs w:val="22"/>
        </w:rPr>
        <w:t>Bogotá D.C.</w:t>
      </w:r>
    </w:p>
    <w:p w14:paraId="407DF1E8" w14:textId="77777777" w:rsidR="009E3AC0" w:rsidRPr="00A5537E" w:rsidRDefault="009E3AC0">
      <w:pPr>
        <w:spacing w:after="0"/>
        <w:rPr>
          <w:rFonts w:ascii="Arial" w:eastAsia="Arial" w:hAnsi="Arial" w:cs="Arial"/>
          <w:sz w:val="22"/>
          <w:szCs w:val="22"/>
        </w:rPr>
      </w:pPr>
    </w:p>
    <w:p w14:paraId="3AB63A68" w14:textId="77777777" w:rsidR="009E3AC0" w:rsidRPr="00A5537E" w:rsidRDefault="009E3AC0">
      <w:pPr>
        <w:spacing w:after="0"/>
        <w:rPr>
          <w:rFonts w:ascii="Arial" w:eastAsia="Arial" w:hAnsi="Arial" w:cs="Arial"/>
          <w:sz w:val="22"/>
          <w:szCs w:val="22"/>
        </w:rPr>
      </w:pPr>
    </w:p>
    <w:p w14:paraId="7BEB7B8C" w14:textId="77777777" w:rsidR="009E3AC0" w:rsidRPr="00A5537E" w:rsidRDefault="00622B0F">
      <w:pPr>
        <w:spacing w:after="0"/>
        <w:rPr>
          <w:rFonts w:ascii="Arial" w:eastAsia="Arial" w:hAnsi="Arial" w:cs="Arial"/>
          <w:sz w:val="22"/>
          <w:szCs w:val="22"/>
        </w:rPr>
      </w:pPr>
      <w:r w:rsidRPr="00A5537E">
        <w:rPr>
          <w:rFonts w:ascii="Arial" w:eastAsia="Arial" w:hAnsi="Arial" w:cs="Arial"/>
          <w:sz w:val="22"/>
          <w:szCs w:val="22"/>
        </w:rPr>
        <w:t xml:space="preserve">                                            </w:t>
      </w:r>
      <w:r w:rsidRPr="00A5537E">
        <w:rPr>
          <w:rFonts w:ascii="Arial" w:eastAsia="Arial" w:hAnsi="Arial" w:cs="Arial"/>
          <w:b/>
          <w:sz w:val="22"/>
          <w:szCs w:val="22"/>
        </w:rPr>
        <w:t>Concepto C –736 de 2022</w:t>
      </w:r>
      <w:r w:rsidRPr="00A5537E">
        <w:rPr>
          <w:rFonts w:ascii="Arial" w:eastAsia="Arial" w:hAnsi="Arial" w:cs="Arial"/>
          <w:sz w:val="22"/>
          <w:szCs w:val="22"/>
        </w:rPr>
        <w:t xml:space="preserve"> </w:t>
      </w:r>
    </w:p>
    <w:p w14:paraId="13EFACE9" w14:textId="77777777" w:rsidR="009E3AC0" w:rsidRPr="00A5537E" w:rsidRDefault="009E3AC0">
      <w:pPr>
        <w:spacing w:after="0"/>
        <w:rPr>
          <w:rFonts w:ascii="Arial" w:eastAsia="Arial" w:hAnsi="Arial" w:cs="Arial"/>
          <w:b/>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9E3AC0" w:rsidRPr="00A5537E" w14:paraId="2CC8CC28" w14:textId="77777777">
        <w:trPr>
          <w:trHeight w:val="1038"/>
        </w:trPr>
        <w:tc>
          <w:tcPr>
            <w:tcW w:w="2689" w:type="dxa"/>
          </w:tcPr>
          <w:p w14:paraId="6CC934A4" w14:textId="77777777" w:rsidR="009E3AC0" w:rsidRPr="00A5537E" w:rsidRDefault="00622B0F">
            <w:pPr>
              <w:spacing w:line="276" w:lineRule="auto"/>
              <w:rPr>
                <w:rFonts w:ascii="Arial" w:eastAsia="Arial" w:hAnsi="Arial" w:cs="Arial"/>
              </w:rPr>
            </w:pPr>
            <w:r w:rsidRPr="00A5537E">
              <w:rPr>
                <w:rFonts w:ascii="Arial" w:eastAsia="Arial" w:hAnsi="Arial" w:cs="Arial"/>
                <w:b/>
              </w:rPr>
              <w:t>Temas:</w:t>
            </w:r>
            <w:r w:rsidRPr="00A5537E">
              <w:rPr>
                <w:rFonts w:ascii="Arial" w:eastAsia="Arial" w:hAnsi="Arial" w:cs="Arial"/>
              </w:rPr>
              <w:t xml:space="preserve">        </w:t>
            </w:r>
          </w:p>
        </w:tc>
        <w:tc>
          <w:tcPr>
            <w:tcW w:w="6237" w:type="dxa"/>
          </w:tcPr>
          <w:p w14:paraId="7DF57B26" w14:textId="49FED078" w:rsidR="009E3AC0" w:rsidRPr="00A5537E" w:rsidRDefault="00622B0F">
            <w:pPr>
              <w:jc w:val="both"/>
              <w:rPr>
                <w:rFonts w:ascii="Arial" w:eastAsia="Arial" w:hAnsi="Arial" w:cs="Arial"/>
                <w:b/>
                <w:sz w:val="20"/>
                <w:szCs w:val="20"/>
              </w:rPr>
            </w:pPr>
            <w:r w:rsidRPr="00A5537E">
              <w:rPr>
                <w:rFonts w:ascii="Arial" w:eastAsia="Arial" w:hAnsi="Arial" w:cs="Arial"/>
                <w:sz w:val="20"/>
                <w:szCs w:val="20"/>
              </w:rPr>
              <w:t xml:space="preserve">LEY DE GARANTÍAS ELECTORALES – Finalidad / LEY DE GARANTÍAS ELECTORALES ‒ Tipos de restricciones ‒ Ámbito temporal / LEY DE GARANTÍAS ELECTORALES ─ Prohibición ‒ Contratación directa ‒ Alcance / LEY DE GARANTÍAS ELECTORALES ‒ Excepciones / LEY DE GARANTÍAS ELECTORALES ‒ Prohibición del artículo 33 de la Ley de garantías ‒ Destinatarios / LEY DE GARANTÍAS ELECTORALES ‒ Prohibición comicios cargos de elección popular – Convenios y contratos interadministrativos / </w:t>
            </w:r>
            <w:r w:rsidRPr="00A5537E">
              <w:rPr>
                <w:rFonts w:ascii="Arial" w:eastAsia="Arial" w:hAnsi="Arial" w:cs="Arial"/>
                <w:color w:val="000000"/>
                <w:sz w:val="20"/>
                <w:szCs w:val="20"/>
              </w:rPr>
              <w:t>CONTRATOS Y CONVENIOS INTERADMINISTRATIVOS – Definición – Criterio orgánico / CONTRATOS Y CONVENIOS INTERADMINISTRATIVOS – Entidades con régimen especial de contratación – Procedencia</w:t>
            </w:r>
            <w:r w:rsidRPr="00A5537E">
              <w:rPr>
                <w:rFonts w:ascii="Arial" w:eastAsia="Arial" w:hAnsi="Arial" w:cs="Arial"/>
                <w:sz w:val="20"/>
                <w:szCs w:val="20"/>
              </w:rPr>
              <w:t xml:space="preserve"> / </w:t>
            </w:r>
            <w:r w:rsidRPr="00A5537E">
              <w:rPr>
                <w:rFonts w:ascii="Arial" w:eastAsia="Arial" w:hAnsi="Arial" w:cs="Arial"/>
                <w:color w:val="000000"/>
                <w:sz w:val="20"/>
                <w:szCs w:val="20"/>
              </w:rPr>
              <w:t>CONTRATOS Y CONVENIOS INTERADMINISTRATIVOS – Modalidad de selección</w:t>
            </w:r>
            <w:r w:rsidRPr="00A5537E">
              <w:rPr>
                <w:rFonts w:ascii="Arial" w:eastAsia="Arial" w:hAnsi="Arial" w:cs="Arial"/>
                <w:sz w:val="20"/>
                <w:szCs w:val="20"/>
              </w:rPr>
              <w:t xml:space="preserve"> / LEY DE GARANTÍAS ELECTORALES – Prohibición – Celebración convenios o contratos interadministrativos – Orden judicial –  / MODIFICACIÓN DE LA LEY 2159 DE 2021- Entidades territoriales / MODIFICACIÓN DE LA LEY 2159 DE 2021 – Ley Anual de Presupuesto - parágrafo del artículo 38 de la Ley de Garantías </w:t>
            </w:r>
          </w:p>
          <w:p w14:paraId="3FD1CB80" w14:textId="77777777" w:rsidR="009E3AC0" w:rsidRPr="00A5537E" w:rsidRDefault="009E3AC0">
            <w:pPr>
              <w:jc w:val="both"/>
              <w:rPr>
                <w:rFonts w:ascii="Arial" w:eastAsia="Arial" w:hAnsi="Arial" w:cs="Arial"/>
              </w:rPr>
            </w:pPr>
          </w:p>
          <w:p w14:paraId="6E78D679" w14:textId="77777777" w:rsidR="009E3AC0" w:rsidRPr="00A5537E" w:rsidRDefault="009E3AC0">
            <w:pPr>
              <w:spacing w:after="120" w:line="276" w:lineRule="auto"/>
              <w:jc w:val="both"/>
              <w:rPr>
                <w:rFonts w:ascii="Arial" w:eastAsia="Arial" w:hAnsi="Arial" w:cs="Arial"/>
              </w:rPr>
            </w:pPr>
          </w:p>
        </w:tc>
      </w:tr>
      <w:tr w:rsidR="009E3AC0" w:rsidRPr="00A5537E" w14:paraId="626CFE43" w14:textId="77777777">
        <w:tc>
          <w:tcPr>
            <w:tcW w:w="2689" w:type="dxa"/>
          </w:tcPr>
          <w:p w14:paraId="2E4CD919" w14:textId="77777777" w:rsidR="009E3AC0" w:rsidRPr="00A5537E" w:rsidRDefault="00622B0F">
            <w:pPr>
              <w:spacing w:line="276" w:lineRule="auto"/>
              <w:rPr>
                <w:rFonts w:ascii="Arial" w:eastAsia="Arial" w:hAnsi="Arial" w:cs="Arial"/>
                <w:b/>
                <w:sz w:val="22"/>
                <w:szCs w:val="22"/>
              </w:rPr>
            </w:pPr>
            <w:r w:rsidRPr="00A5537E">
              <w:rPr>
                <w:rFonts w:ascii="Arial" w:eastAsia="Arial" w:hAnsi="Arial" w:cs="Arial"/>
                <w:b/>
                <w:sz w:val="22"/>
                <w:szCs w:val="22"/>
              </w:rPr>
              <w:t>Radicación:</w:t>
            </w:r>
            <w:r w:rsidRPr="00A5537E">
              <w:rPr>
                <w:rFonts w:ascii="Arial" w:eastAsia="Arial" w:hAnsi="Arial" w:cs="Arial"/>
                <w:sz w:val="22"/>
                <w:szCs w:val="22"/>
              </w:rPr>
              <w:t xml:space="preserve">                              </w:t>
            </w:r>
          </w:p>
        </w:tc>
        <w:tc>
          <w:tcPr>
            <w:tcW w:w="6237" w:type="dxa"/>
          </w:tcPr>
          <w:p w14:paraId="55316142" w14:textId="77777777" w:rsidR="009E3AC0" w:rsidRPr="00A5537E" w:rsidRDefault="00622B0F">
            <w:pPr>
              <w:spacing w:line="276" w:lineRule="auto"/>
              <w:jc w:val="both"/>
              <w:rPr>
                <w:rFonts w:ascii="Arial" w:eastAsia="Arial" w:hAnsi="Arial" w:cs="Arial"/>
                <w:sz w:val="22"/>
                <w:szCs w:val="22"/>
              </w:rPr>
            </w:pPr>
            <w:r w:rsidRPr="00A5537E">
              <w:rPr>
                <w:rFonts w:ascii="Arial" w:eastAsia="Arial" w:hAnsi="Arial" w:cs="Arial"/>
                <w:sz w:val="22"/>
                <w:szCs w:val="22"/>
              </w:rPr>
              <w:t>Respuesta a consulta P20211217011583</w:t>
            </w:r>
          </w:p>
        </w:tc>
      </w:tr>
    </w:tbl>
    <w:p w14:paraId="0A632FA7" w14:textId="77777777" w:rsidR="009E3AC0" w:rsidRPr="00A5537E" w:rsidRDefault="009E3AC0">
      <w:pPr>
        <w:spacing w:after="0"/>
        <w:rPr>
          <w:rFonts w:ascii="Arial" w:eastAsia="Arial" w:hAnsi="Arial" w:cs="Arial"/>
          <w:sz w:val="22"/>
          <w:szCs w:val="22"/>
        </w:rPr>
      </w:pPr>
    </w:p>
    <w:p w14:paraId="1A27CEF2" w14:textId="77777777" w:rsidR="009E3AC0" w:rsidRPr="00A5537E" w:rsidRDefault="009E3AC0">
      <w:pPr>
        <w:spacing w:after="0"/>
        <w:rPr>
          <w:rFonts w:ascii="Arial" w:eastAsia="Arial" w:hAnsi="Arial" w:cs="Arial"/>
          <w:sz w:val="22"/>
          <w:szCs w:val="22"/>
        </w:rPr>
      </w:pPr>
    </w:p>
    <w:p w14:paraId="043AD303" w14:textId="77777777" w:rsidR="009E3AC0" w:rsidRPr="00A5537E" w:rsidRDefault="00622B0F">
      <w:pPr>
        <w:spacing w:after="0"/>
        <w:rPr>
          <w:rFonts w:ascii="Arial" w:eastAsia="Arial" w:hAnsi="Arial" w:cs="Arial"/>
          <w:sz w:val="22"/>
          <w:szCs w:val="22"/>
        </w:rPr>
      </w:pPr>
      <w:r w:rsidRPr="00A5537E">
        <w:rPr>
          <w:rFonts w:ascii="Arial" w:eastAsia="Arial" w:hAnsi="Arial" w:cs="Arial"/>
          <w:sz w:val="22"/>
          <w:szCs w:val="22"/>
        </w:rPr>
        <w:t>Estimada señora Londoño:</w:t>
      </w:r>
    </w:p>
    <w:p w14:paraId="5FBDDD4D" w14:textId="77777777" w:rsidR="009E3AC0" w:rsidRPr="00A5537E" w:rsidRDefault="009E3AC0">
      <w:pPr>
        <w:spacing w:after="0"/>
        <w:ind w:firstLine="709"/>
        <w:rPr>
          <w:rFonts w:ascii="Arial" w:eastAsia="Arial" w:hAnsi="Arial" w:cs="Arial"/>
          <w:sz w:val="22"/>
          <w:szCs w:val="22"/>
        </w:rPr>
      </w:pPr>
    </w:p>
    <w:p w14:paraId="11DFAA31" w14:textId="77777777" w:rsidR="009E3AC0" w:rsidRPr="00A5537E" w:rsidRDefault="00622B0F">
      <w:pPr>
        <w:spacing w:after="0"/>
        <w:ind w:right="51"/>
        <w:rPr>
          <w:rFonts w:ascii="Arial" w:eastAsia="Arial" w:hAnsi="Arial" w:cs="Arial"/>
          <w:sz w:val="22"/>
          <w:szCs w:val="22"/>
        </w:rPr>
      </w:pPr>
      <w:r w:rsidRPr="00A5537E">
        <w:rPr>
          <w:rFonts w:ascii="Arial" w:eastAsia="Arial" w:hAnsi="Arial" w:cs="Arial"/>
          <w:sz w:val="22"/>
          <w:szCs w:val="22"/>
        </w:rPr>
        <w:t xml:space="preserve">En ejercicio de la competencia otorgada por el numeral 8 del artículo 11 y el numeral 5 del artículo 3 del Decreto Ley 4170 de 2011, la Agencia Nacional de Contratación Pública – Colombia Compra Eficiente responde la consulta realizada el 13 de diciembre de 2021. </w:t>
      </w:r>
    </w:p>
    <w:p w14:paraId="4C90DDC3" w14:textId="77777777" w:rsidR="009E3AC0" w:rsidRPr="00A5537E" w:rsidRDefault="009E3AC0">
      <w:pPr>
        <w:spacing w:after="0"/>
        <w:rPr>
          <w:rFonts w:ascii="Arial" w:eastAsia="Arial" w:hAnsi="Arial" w:cs="Arial"/>
          <w:sz w:val="22"/>
          <w:szCs w:val="22"/>
        </w:rPr>
      </w:pPr>
    </w:p>
    <w:p w14:paraId="6C985203" w14:textId="77777777" w:rsidR="009E3AC0" w:rsidRPr="00A5537E" w:rsidRDefault="00622B0F">
      <w:pPr>
        <w:tabs>
          <w:tab w:val="left" w:pos="284"/>
        </w:tabs>
        <w:spacing w:after="0"/>
        <w:rPr>
          <w:rFonts w:ascii="Arial" w:eastAsia="Arial" w:hAnsi="Arial" w:cs="Arial"/>
          <w:b/>
          <w:sz w:val="22"/>
          <w:szCs w:val="22"/>
        </w:rPr>
      </w:pPr>
      <w:r w:rsidRPr="00A5537E">
        <w:rPr>
          <w:rFonts w:ascii="Arial" w:eastAsia="Arial" w:hAnsi="Arial" w:cs="Arial"/>
          <w:b/>
          <w:sz w:val="22"/>
          <w:szCs w:val="22"/>
        </w:rPr>
        <w:t xml:space="preserve">1. Problema planteado </w:t>
      </w:r>
    </w:p>
    <w:p w14:paraId="2A8F2491" w14:textId="64AC54ED" w:rsidR="009E3AC0" w:rsidRPr="00A5537E" w:rsidRDefault="00622B0F">
      <w:pPr>
        <w:pBdr>
          <w:top w:val="nil"/>
          <w:left w:val="nil"/>
          <w:bottom w:val="nil"/>
          <w:right w:val="nil"/>
          <w:between w:val="nil"/>
        </w:pBdr>
        <w:shd w:val="clear" w:color="auto" w:fill="FFFFFF"/>
        <w:rPr>
          <w:rFonts w:ascii="Times New Roman" w:eastAsia="Times New Roman" w:hAnsi="Times New Roman" w:cs="Times New Roman"/>
          <w:color w:val="000000"/>
        </w:rPr>
      </w:pPr>
      <w:bookmarkStart w:id="10" w:name="_17dp8vu" w:colFirst="0" w:colLast="0"/>
      <w:bookmarkEnd w:id="10"/>
      <w:r w:rsidRPr="00A5537E">
        <w:rPr>
          <w:rFonts w:ascii="Arial" w:eastAsia="Arial" w:hAnsi="Arial" w:cs="Arial"/>
          <w:color w:val="000000"/>
          <w:sz w:val="22"/>
          <w:szCs w:val="22"/>
        </w:rPr>
        <w:t>Usted solicita a la Agencia que se emita concepto «relacionado a la facultad de suscribir convenios o contratos interadministrativos entre la nación y las sociedad [sic] de economía mixta indirecta, del orden municipal, de segundo grado para la vigencia 2022».</w:t>
      </w:r>
      <w:r w:rsidRPr="00A5537E">
        <w:rPr>
          <w:color w:val="000000"/>
          <w:sz w:val="20"/>
          <w:szCs w:val="20"/>
        </w:rPr>
        <w:t xml:space="preserve"> </w:t>
      </w:r>
    </w:p>
    <w:p w14:paraId="507AA2AB" w14:textId="77777777" w:rsidR="009E3AC0" w:rsidRPr="00A5537E" w:rsidRDefault="00622B0F">
      <w:pPr>
        <w:tabs>
          <w:tab w:val="left" w:pos="284"/>
        </w:tabs>
        <w:spacing w:after="0"/>
        <w:rPr>
          <w:rFonts w:ascii="Arial" w:eastAsia="Arial" w:hAnsi="Arial" w:cs="Arial"/>
          <w:b/>
          <w:sz w:val="22"/>
          <w:szCs w:val="22"/>
        </w:rPr>
      </w:pPr>
      <w:r w:rsidRPr="00A5537E">
        <w:rPr>
          <w:rFonts w:ascii="Arial" w:eastAsia="Arial" w:hAnsi="Arial" w:cs="Arial"/>
          <w:b/>
          <w:sz w:val="22"/>
          <w:szCs w:val="22"/>
        </w:rPr>
        <w:t>2. Consideraciones</w:t>
      </w:r>
    </w:p>
    <w:p w14:paraId="0BBF6BB7" w14:textId="77777777" w:rsidR="009E3AC0" w:rsidRPr="00A5537E" w:rsidRDefault="009E3AC0">
      <w:pPr>
        <w:tabs>
          <w:tab w:val="left" w:pos="426"/>
        </w:tabs>
        <w:spacing w:after="0"/>
        <w:ind w:firstLine="709"/>
        <w:rPr>
          <w:rFonts w:ascii="Arial" w:eastAsia="Arial" w:hAnsi="Arial" w:cs="Arial"/>
          <w:sz w:val="22"/>
          <w:szCs w:val="22"/>
        </w:rPr>
      </w:pPr>
    </w:p>
    <w:p w14:paraId="49940D0B" w14:textId="77777777" w:rsidR="009E3AC0" w:rsidRPr="00A5537E" w:rsidRDefault="00622B0F">
      <w:pPr>
        <w:spacing w:after="120"/>
        <w:rPr>
          <w:rFonts w:ascii="Arial" w:eastAsia="Arial" w:hAnsi="Arial" w:cs="Arial"/>
          <w:sz w:val="22"/>
          <w:szCs w:val="22"/>
        </w:rPr>
      </w:pPr>
      <w:r w:rsidRPr="00A5537E">
        <w:rPr>
          <w:rFonts w:ascii="Arial" w:eastAsia="Arial" w:hAnsi="Arial" w:cs="Arial"/>
          <w:sz w:val="22"/>
          <w:szCs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A5537E">
        <w:rPr>
          <w:rFonts w:ascii="Arial" w:eastAsia="Arial" w:hAnsi="Arial" w:cs="Arial"/>
          <w:sz w:val="22"/>
          <w:szCs w:val="22"/>
          <w:vertAlign w:val="superscript"/>
        </w:rPr>
        <w:footnoteReference w:id="1"/>
      </w:r>
      <w:r w:rsidRPr="00A5537E">
        <w:rPr>
          <w:rFonts w:ascii="Arial" w:eastAsia="Arial" w:hAnsi="Arial" w:cs="Arial"/>
          <w:sz w:val="22"/>
          <w:szCs w:val="22"/>
        </w:rPr>
        <w:t>.</w:t>
      </w:r>
    </w:p>
    <w:p w14:paraId="4FC5365D" w14:textId="77777777" w:rsidR="009E3AC0" w:rsidRPr="00A5537E" w:rsidRDefault="00622B0F">
      <w:pPr>
        <w:tabs>
          <w:tab w:val="left" w:pos="426"/>
        </w:tabs>
        <w:spacing w:after="120"/>
        <w:rPr>
          <w:rFonts w:ascii="Arial" w:eastAsia="Arial" w:hAnsi="Arial" w:cs="Arial"/>
          <w:sz w:val="22"/>
          <w:szCs w:val="22"/>
        </w:rPr>
      </w:pPr>
      <w:bookmarkStart w:id="12" w:name="_3rdcrjn" w:colFirst="0" w:colLast="0"/>
      <w:bookmarkEnd w:id="12"/>
      <w:r w:rsidRPr="00A5537E">
        <w:rPr>
          <w:rFonts w:ascii="Arial" w:eastAsia="Arial" w:hAnsi="Arial" w:cs="Arial"/>
          <w:color w:val="000000"/>
          <w:sz w:val="22"/>
          <w:szCs w:val="22"/>
        </w:rPr>
        <w:tab/>
      </w:r>
      <w:r w:rsidRPr="00A5537E">
        <w:rPr>
          <w:rFonts w:ascii="Arial" w:eastAsia="Arial" w:hAnsi="Arial" w:cs="Arial"/>
          <w:color w:val="000000"/>
          <w:sz w:val="22"/>
          <w:szCs w:val="22"/>
        </w:rPr>
        <w:tab/>
        <w:t>Por ello, esta Subdirección –dentro de los límites de sus atribuciones</w:t>
      </w:r>
      <w:r w:rsidRPr="00A5537E">
        <w:rPr>
          <w:rFonts w:ascii="Arial" w:eastAsia="Arial" w:hAnsi="Arial" w:cs="Arial"/>
          <w:color w:val="000000"/>
          <w:sz w:val="22"/>
          <w:szCs w:val="22"/>
          <w:vertAlign w:val="superscript"/>
        </w:rPr>
        <w:footnoteReference w:id="2"/>
      </w:r>
      <w:r w:rsidRPr="00A5537E">
        <w:rPr>
          <w:rFonts w:ascii="Arial" w:eastAsia="Arial" w:hAnsi="Arial" w:cs="Arial"/>
          <w:color w:val="000000"/>
          <w:sz w:val="22"/>
          <w:szCs w:val="22"/>
        </w:rPr>
        <w:t>– resolverá la consulta conforme a las normas generales en materia de contratación estatal. Con este objetivo se analizarán los siguientes temas:</w:t>
      </w:r>
      <w:r w:rsidRPr="00A5537E">
        <w:rPr>
          <w:rFonts w:ascii="Arial" w:eastAsia="Arial" w:hAnsi="Arial" w:cs="Arial"/>
          <w:sz w:val="22"/>
          <w:szCs w:val="22"/>
        </w:rPr>
        <w:t xml:space="preserve"> i) definición y finalidad de la Ley de Garantías Electorales, ii) restricciones para elecciones presidenciales, iii) destinatarios de la prohibición del artículo 33 de la Ley 996 de 2005, iv) las restricciones en los comicios de cargos de elección popular y v) las modificaciones de la Ley de Garantías Electorales realizadas por la ley anual del presupuesto de la vigencia fiscal 2022. </w:t>
      </w:r>
    </w:p>
    <w:p w14:paraId="5BC35FAE" w14:textId="67A6A36C" w:rsidR="009E3AC0" w:rsidRPr="00A5537E" w:rsidRDefault="00622B0F">
      <w:pPr>
        <w:tabs>
          <w:tab w:val="left" w:pos="426"/>
        </w:tabs>
        <w:spacing w:after="0"/>
        <w:ind w:firstLine="709"/>
        <w:rPr>
          <w:rFonts w:ascii="Arial" w:eastAsia="Arial" w:hAnsi="Arial" w:cs="Arial"/>
          <w:sz w:val="22"/>
          <w:szCs w:val="22"/>
        </w:rPr>
      </w:pPr>
      <w:r w:rsidRPr="00A5537E">
        <w:rPr>
          <w:rFonts w:ascii="Arial" w:eastAsia="Arial" w:hAnsi="Arial" w:cs="Arial"/>
          <w:sz w:val="22"/>
          <w:szCs w:val="22"/>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w:t>
      </w:r>
      <w:r w:rsidRPr="00A5537E">
        <w:rPr>
          <w:rFonts w:ascii="Arial" w:eastAsia="Arial" w:hAnsi="Arial" w:cs="Arial"/>
          <w:sz w:val="22"/>
          <w:szCs w:val="22"/>
        </w:rPr>
        <w:lastRenderedPageBreak/>
        <w:t>6 de septiembre de 2019, 2201913000006639 del 9 de septiembre de 2019, 2201913000007430 del 7 de octubre de 2019, 2201913000007565 del 10 de octubre de 2019, 2201913000008259 del 6 de noviembre de 2019, C-227 de 2021 del 5 de mayo de 2021, C-296 del 22 de junio de 2021</w:t>
      </w:r>
      <w:r w:rsidRPr="00A5537E">
        <w:t xml:space="preserve"> </w:t>
      </w:r>
      <w:r w:rsidRPr="00A5537E">
        <w:rPr>
          <w:rFonts w:ascii="Arial" w:eastAsia="Arial" w:hAnsi="Arial" w:cs="Arial"/>
          <w:sz w:val="22"/>
          <w:szCs w:val="22"/>
        </w:rPr>
        <w:t>y C-381 del 02 de julio de 2021. Por otro lado, la Agencia se ha referido a los alcances de las modificaciones realizadas por la Ley 2159 de 2021, entre otros, a través de los conceptos C-674 de 2021, C-723 del 28 de diciembre de 2021, C-693 del 9 de diciembre de 2021 y C-726 del 24 de enero de 2022. Las tesis desarrolladas en estos conceptos se reiteran y complementan a continuación:</w:t>
      </w:r>
    </w:p>
    <w:p w14:paraId="713A8481" w14:textId="77777777" w:rsidR="009E3AC0" w:rsidRPr="00A5537E" w:rsidRDefault="009E3AC0">
      <w:pPr>
        <w:tabs>
          <w:tab w:val="left" w:pos="426"/>
        </w:tabs>
        <w:spacing w:after="0"/>
        <w:ind w:firstLine="709"/>
        <w:rPr>
          <w:rFonts w:ascii="Arial" w:eastAsia="Arial" w:hAnsi="Arial" w:cs="Arial"/>
          <w:b/>
          <w:sz w:val="22"/>
          <w:szCs w:val="22"/>
        </w:rPr>
      </w:pPr>
    </w:p>
    <w:p w14:paraId="6CFA3116" w14:textId="77777777" w:rsidR="009E3AC0" w:rsidRPr="00A5537E" w:rsidRDefault="00622B0F">
      <w:pPr>
        <w:tabs>
          <w:tab w:val="left" w:pos="426"/>
        </w:tabs>
        <w:spacing w:after="0"/>
        <w:rPr>
          <w:rFonts w:ascii="Arial" w:eastAsia="Arial" w:hAnsi="Arial" w:cs="Arial"/>
          <w:b/>
          <w:sz w:val="22"/>
          <w:szCs w:val="22"/>
        </w:rPr>
      </w:pPr>
      <w:r w:rsidRPr="00A5537E">
        <w:rPr>
          <w:rFonts w:ascii="Arial" w:eastAsia="Arial" w:hAnsi="Arial" w:cs="Arial"/>
          <w:b/>
          <w:sz w:val="22"/>
          <w:szCs w:val="22"/>
        </w:rPr>
        <w:t>2.1. Definición y finalidad de la Ley de Garantías Electorales: alcance de las restricciones</w:t>
      </w:r>
    </w:p>
    <w:p w14:paraId="553A0C4E" w14:textId="77777777" w:rsidR="009E3AC0" w:rsidRPr="00A5537E" w:rsidRDefault="009E3AC0">
      <w:pPr>
        <w:tabs>
          <w:tab w:val="left" w:pos="426"/>
        </w:tabs>
        <w:spacing w:after="0"/>
        <w:ind w:firstLine="709"/>
        <w:rPr>
          <w:rFonts w:ascii="Arial" w:eastAsia="Arial" w:hAnsi="Arial" w:cs="Arial"/>
          <w:sz w:val="22"/>
          <w:szCs w:val="22"/>
        </w:rPr>
      </w:pPr>
    </w:p>
    <w:p w14:paraId="2EF6FB28" w14:textId="77777777" w:rsidR="009E3AC0" w:rsidRPr="00A5537E" w:rsidRDefault="00622B0F">
      <w:pPr>
        <w:tabs>
          <w:tab w:val="left" w:pos="426"/>
        </w:tabs>
        <w:spacing w:after="120"/>
        <w:rPr>
          <w:rFonts w:ascii="Arial" w:eastAsia="Arial" w:hAnsi="Arial" w:cs="Arial"/>
          <w:sz w:val="22"/>
          <w:szCs w:val="22"/>
        </w:rPr>
      </w:pPr>
      <w:r w:rsidRPr="00A5537E">
        <w:rPr>
          <w:rFonts w:ascii="Arial" w:eastAsia="Arial" w:hAnsi="Arial" w:cs="Arial"/>
          <w:sz w:val="22"/>
          <w:szCs w:val="22"/>
        </w:rPr>
        <w:t>El ordenamiento jurídico colombiano contempla previsiones claras para evitar la obtención de beneficios personales en asuntos propios de la administración pública</w:t>
      </w:r>
      <w:r w:rsidRPr="00A5537E">
        <w:rPr>
          <w:rFonts w:ascii="Arial" w:eastAsia="Arial" w:hAnsi="Arial" w:cs="Arial"/>
          <w:i/>
          <w:sz w:val="22"/>
          <w:szCs w:val="22"/>
        </w:rPr>
        <w:t xml:space="preserve">. </w:t>
      </w:r>
      <w:r w:rsidRPr="00A5537E">
        <w:rPr>
          <w:rFonts w:ascii="Arial" w:eastAsia="Arial" w:hAnsi="Arial" w:cs="Arial"/>
          <w:sz w:val="22"/>
          <w:szCs w:val="22"/>
        </w:rPr>
        <w:t>Por ejemplo, el artículo 127 de la Constitución Política establece una prohibición contractual a los servidores públicos y en cuanto a aspectos políticos establece restricciones a ciertos empleados del Estado, incluso en época no electoral</w:t>
      </w:r>
      <w:r w:rsidRPr="00A5537E">
        <w:rPr>
          <w:rFonts w:ascii="Arial" w:eastAsia="Arial" w:hAnsi="Arial" w:cs="Arial"/>
          <w:sz w:val="22"/>
          <w:szCs w:val="22"/>
          <w:vertAlign w:val="superscript"/>
        </w:rPr>
        <w:footnoteReference w:id="3"/>
      </w:r>
      <w:r w:rsidRPr="00A5537E">
        <w:rPr>
          <w:rFonts w:ascii="Arial" w:eastAsia="Arial" w:hAnsi="Arial" w:cs="Arial"/>
          <w:sz w:val="22"/>
          <w:szCs w:val="22"/>
        </w:rPr>
        <w:t xml:space="preserve">. </w:t>
      </w:r>
    </w:p>
    <w:p w14:paraId="540DF9CF" w14:textId="77777777" w:rsidR="009E3AC0" w:rsidRPr="00A5537E" w:rsidRDefault="00622B0F">
      <w:pPr>
        <w:tabs>
          <w:tab w:val="left" w:pos="426"/>
        </w:tabs>
        <w:spacing w:after="0"/>
        <w:ind w:firstLine="709"/>
        <w:rPr>
          <w:rFonts w:ascii="Arial" w:eastAsia="Arial" w:hAnsi="Arial" w:cs="Arial"/>
          <w:sz w:val="22"/>
          <w:szCs w:val="22"/>
        </w:rPr>
      </w:pPr>
      <w:r w:rsidRPr="00A5537E">
        <w:rPr>
          <w:rFonts w:ascii="Arial" w:eastAsia="Arial" w:hAnsi="Arial" w:cs="Arial"/>
          <w:sz w:val="22"/>
          <w:szCs w:val="22"/>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A5537E">
        <w:rPr>
          <w:rFonts w:ascii="Arial" w:eastAsia="Arial" w:hAnsi="Arial" w:cs="Arial"/>
          <w:sz w:val="22"/>
          <w:szCs w:val="22"/>
          <w:vertAlign w:val="superscript"/>
        </w:rPr>
        <w:footnoteReference w:id="4"/>
      </w:r>
      <w:r w:rsidRPr="00A5537E">
        <w:rPr>
          <w:rFonts w:ascii="Arial" w:eastAsia="Arial" w:hAnsi="Arial" w:cs="Arial"/>
          <w:sz w:val="22"/>
          <w:szCs w:val="22"/>
        </w:rPr>
        <w:t>. En esta medida, introduce limitaciones para realizar nombramientos, postulaciones, contrataciones o cualquier otro tipo de actividad que implique destinación de recursos públicos bajo el devenir propio de las entidades estatales. En armonía con lo anterior, la Corte Constitucional ha abordado la definición de la Ley de Garantías Electorales. De esta manera, explica que tiene como propósito:</w:t>
      </w:r>
    </w:p>
    <w:p w14:paraId="37355098" w14:textId="77777777" w:rsidR="009E3AC0" w:rsidRPr="00A5537E" w:rsidRDefault="009E3AC0">
      <w:pPr>
        <w:spacing w:after="0"/>
        <w:ind w:right="709"/>
        <w:rPr>
          <w:rFonts w:ascii="Arial" w:eastAsia="Arial" w:hAnsi="Arial" w:cs="Arial"/>
          <w:sz w:val="21"/>
          <w:szCs w:val="21"/>
        </w:rPr>
      </w:pPr>
    </w:p>
    <w:p w14:paraId="13619B42" w14:textId="77777777" w:rsidR="009E3AC0" w:rsidRPr="00A5537E" w:rsidRDefault="00622B0F">
      <w:pPr>
        <w:spacing w:after="0" w:line="240" w:lineRule="auto"/>
        <w:ind w:left="709" w:right="709"/>
        <w:rPr>
          <w:rFonts w:ascii="Arial" w:eastAsia="Arial" w:hAnsi="Arial" w:cs="Arial"/>
          <w:sz w:val="21"/>
          <w:szCs w:val="21"/>
        </w:rPr>
      </w:pPr>
      <w:r w:rsidRPr="00A5537E">
        <w:rPr>
          <w:rFonts w:ascii="Arial" w:eastAsia="Arial" w:hAnsi="Arial" w:cs="Arial"/>
          <w:sz w:val="21"/>
          <w:szCs w:val="21"/>
        </w:rPr>
        <w:t>[…] la definición de reglas claras que permitan acceder a los canales de expresión democrática de manera efectiva e igualitaria. El objetivo de una ley de garantías es definir esas reglas.</w:t>
      </w:r>
    </w:p>
    <w:p w14:paraId="228DE3C2" w14:textId="77777777" w:rsidR="009E3AC0" w:rsidRPr="00A5537E" w:rsidRDefault="00622B0F">
      <w:pPr>
        <w:spacing w:before="120" w:after="0" w:line="240" w:lineRule="auto"/>
        <w:ind w:left="709" w:right="709"/>
        <w:rPr>
          <w:rFonts w:ascii="Arial" w:eastAsia="Arial" w:hAnsi="Arial" w:cs="Arial"/>
          <w:sz w:val="21"/>
          <w:szCs w:val="21"/>
        </w:rPr>
      </w:pPr>
      <w:r w:rsidRPr="00A5537E">
        <w:rPr>
          <w:rFonts w:ascii="Arial" w:eastAsia="Arial" w:hAnsi="Arial" w:cs="Arial"/>
          <w:sz w:val="21"/>
          <w:szCs w:val="21"/>
        </w:rPr>
        <w:lastRenderedPageBreak/>
        <w:t xml:space="preserve">[…] </w:t>
      </w:r>
    </w:p>
    <w:p w14:paraId="38674678" w14:textId="7ED855F3" w:rsidR="009E3AC0" w:rsidRPr="00A5537E" w:rsidRDefault="00622B0F">
      <w:pPr>
        <w:spacing w:before="120" w:after="0" w:line="240" w:lineRule="auto"/>
        <w:ind w:left="709" w:right="709"/>
        <w:rPr>
          <w:rFonts w:ascii="Arial" w:eastAsia="Arial" w:hAnsi="Arial" w:cs="Arial"/>
          <w:sz w:val="21"/>
          <w:szCs w:val="21"/>
        </w:rPr>
      </w:pPr>
      <w:r w:rsidRPr="00A5537E">
        <w:rPr>
          <w:rFonts w:ascii="Arial" w:eastAsia="Arial" w:hAnsi="Arial" w:cs="Arial"/>
          <w:sz w:val="21"/>
          <w:szCs w:val="21"/>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A5537E">
        <w:rPr>
          <w:rFonts w:ascii="Arial" w:eastAsia="Arial" w:hAnsi="Arial" w:cs="Arial"/>
          <w:sz w:val="20"/>
          <w:szCs w:val="20"/>
          <w:vertAlign w:val="superscript"/>
        </w:rPr>
        <w:footnoteReference w:id="5"/>
      </w:r>
      <w:r w:rsidRPr="00A5537E">
        <w:rPr>
          <w:rFonts w:ascii="Arial" w:eastAsia="Arial" w:hAnsi="Arial" w:cs="Arial"/>
          <w:sz w:val="21"/>
          <w:szCs w:val="21"/>
        </w:rPr>
        <w:t>.</w:t>
      </w:r>
    </w:p>
    <w:p w14:paraId="6D073DE3" w14:textId="77777777" w:rsidR="009E3AC0" w:rsidRPr="00A5537E" w:rsidRDefault="009E3AC0">
      <w:pPr>
        <w:spacing w:after="0"/>
        <w:ind w:left="709" w:right="709"/>
        <w:rPr>
          <w:rFonts w:ascii="Arial" w:eastAsia="Arial" w:hAnsi="Arial" w:cs="Arial"/>
          <w:sz w:val="21"/>
          <w:szCs w:val="21"/>
        </w:rPr>
      </w:pPr>
    </w:p>
    <w:p w14:paraId="49DE1491" w14:textId="77777777" w:rsidR="009E3AC0" w:rsidRPr="00A5537E" w:rsidRDefault="00622B0F">
      <w:pPr>
        <w:spacing w:after="0"/>
        <w:ind w:firstLine="709"/>
        <w:rPr>
          <w:rFonts w:ascii="Arial" w:eastAsia="Arial" w:hAnsi="Arial" w:cs="Arial"/>
          <w:sz w:val="22"/>
          <w:szCs w:val="22"/>
        </w:rPr>
      </w:pPr>
      <w:bookmarkStart w:id="14" w:name="_26in1rg" w:colFirst="0" w:colLast="0"/>
      <w:bookmarkEnd w:id="14"/>
      <w:r w:rsidRPr="00A5537E">
        <w:rPr>
          <w:rFonts w:ascii="Arial" w:eastAsia="Arial" w:hAnsi="Arial" w:cs="Arial"/>
          <w:sz w:val="22"/>
          <w:szCs w:val="22"/>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67C7D61D" w14:textId="77777777" w:rsidR="009E3AC0" w:rsidRPr="00A5537E" w:rsidRDefault="009E3AC0">
      <w:pPr>
        <w:spacing w:after="0"/>
        <w:ind w:firstLine="709"/>
        <w:rPr>
          <w:rFonts w:ascii="Arial" w:eastAsia="Arial" w:hAnsi="Arial" w:cs="Arial"/>
          <w:sz w:val="22"/>
          <w:szCs w:val="22"/>
        </w:rPr>
      </w:pPr>
    </w:p>
    <w:p w14:paraId="786E15C3" w14:textId="77777777" w:rsidR="009E3AC0" w:rsidRPr="00A5537E" w:rsidRDefault="00622B0F">
      <w:pPr>
        <w:spacing w:after="120" w:line="240" w:lineRule="auto"/>
        <w:ind w:left="709" w:right="709"/>
        <w:rPr>
          <w:rFonts w:ascii="Arial" w:eastAsia="Arial" w:hAnsi="Arial" w:cs="Arial"/>
          <w:sz w:val="21"/>
          <w:szCs w:val="21"/>
        </w:rPr>
      </w:pPr>
      <w:r w:rsidRPr="00A5537E">
        <w:rPr>
          <w:rFonts w:ascii="Arial" w:eastAsia="Arial" w:hAnsi="Arial" w:cs="Arial"/>
          <w:sz w:val="21"/>
          <w:szCs w:val="21"/>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245C404" w14:textId="77777777" w:rsidR="009E3AC0" w:rsidRPr="00A5537E" w:rsidRDefault="00622B0F">
      <w:pPr>
        <w:spacing w:after="0" w:line="240" w:lineRule="auto"/>
        <w:ind w:left="709" w:right="709"/>
        <w:rPr>
          <w:rFonts w:ascii="Arial" w:eastAsia="Arial" w:hAnsi="Arial" w:cs="Arial"/>
          <w:sz w:val="21"/>
          <w:szCs w:val="21"/>
        </w:rPr>
      </w:pPr>
      <w:r w:rsidRPr="00A5537E">
        <w:rPr>
          <w:rFonts w:ascii="Arial" w:eastAsia="Arial" w:hAnsi="Arial" w:cs="Arial"/>
          <w:sz w:val="21"/>
          <w:szCs w:val="21"/>
        </w:rPr>
        <w:t>La jurisprudencia de la Corte Constitucional</w:t>
      </w:r>
      <w:r w:rsidRPr="00A5537E">
        <w:rPr>
          <w:rFonts w:ascii="Arial" w:eastAsia="Arial" w:hAnsi="Arial" w:cs="Arial"/>
          <w:sz w:val="21"/>
          <w:szCs w:val="21"/>
          <w:vertAlign w:val="superscript"/>
        </w:rPr>
        <w:footnoteReference w:id="6"/>
      </w:r>
      <w:r w:rsidRPr="00A5537E">
        <w:rPr>
          <w:rFonts w:ascii="Arial" w:eastAsia="Arial" w:hAnsi="Arial" w:cs="Arial"/>
          <w:sz w:val="21"/>
          <w:szCs w:val="21"/>
        </w:rPr>
        <w:t> y del Consejo de Estado</w:t>
      </w:r>
      <w:r w:rsidRPr="00A5537E">
        <w:rPr>
          <w:rFonts w:ascii="Arial" w:eastAsia="Arial" w:hAnsi="Arial" w:cs="Arial"/>
          <w:sz w:val="21"/>
          <w:szCs w:val="21"/>
          <w:vertAlign w:val="superscript"/>
        </w:rPr>
        <w:footnoteReference w:id="7"/>
      </w:r>
      <w:r w:rsidRPr="00A5537E">
        <w:rPr>
          <w:rFonts w:ascii="Arial" w:eastAsia="Arial" w:hAnsi="Arial" w:cs="Arial"/>
          <w:sz w:val="21"/>
          <w:szCs w:val="21"/>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w:t>
      </w:r>
      <w:r w:rsidRPr="00A5537E">
        <w:rPr>
          <w:rFonts w:ascii="Arial" w:eastAsia="Arial" w:hAnsi="Arial" w:cs="Arial"/>
          <w:sz w:val="21"/>
          <w:szCs w:val="21"/>
        </w:rPr>
        <w:lastRenderedPageBreak/>
        <w:t>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A5537E">
        <w:rPr>
          <w:rFonts w:ascii="Arial" w:eastAsia="Arial" w:hAnsi="Arial" w:cs="Arial"/>
          <w:sz w:val="22"/>
          <w:szCs w:val="22"/>
          <w:vertAlign w:val="superscript"/>
        </w:rPr>
        <w:footnoteReference w:id="8"/>
      </w:r>
      <w:r w:rsidRPr="00A5537E">
        <w:rPr>
          <w:rFonts w:ascii="Arial" w:eastAsia="Arial" w:hAnsi="Arial" w:cs="Arial"/>
          <w:sz w:val="21"/>
          <w:szCs w:val="21"/>
        </w:rPr>
        <w:t>.</w:t>
      </w:r>
    </w:p>
    <w:p w14:paraId="397D8FC4" w14:textId="77777777" w:rsidR="009E3AC0" w:rsidRPr="00A5537E" w:rsidRDefault="009E3AC0">
      <w:pPr>
        <w:spacing w:after="0"/>
        <w:ind w:right="709"/>
        <w:rPr>
          <w:rFonts w:ascii="Arial" w:eastAsia="Arial" w:hAnsi="Arial" w:cs="Arial"/>
          <w:sz w:val="21"/>
          <w:szCs w:val="21"/>
        </w:rPr>
      </w:pPr>
    </w:p>
    <w:p w14:paraId="21012287" w14:textId="77777777" w:rsidR="009E3AC0" w:rsidRPr="00A5537E" w:rsidRDefault="00622B0F">
      <w:pPr>
        <w:spacing w:after="120"/>
        <w:rPr>
          <w:rFonts w:ascii="Arial" w:eastAsia="Arial" w:hAnsi="Arial" w:cs="Arial"/>
          <w:sz w:val="22"/>
          <w:szCs w:val="22"/>
        </w:rPr>
      </w:pPr>
      <w:bookmarkStart w:id="15" w:name="_lnxbz9" w:colFirst="0" w:colLast="0"/>
      <w:bookmarkEnd w:id="15"/>
      <w:r w:rsidRPr="00A5537E">
        <w:rPr>
          <w:rFonts w:ascii="Arial" w:eastAsia="Arial" w:hAnsi="Arial" w:cs="Arial"/>
          <w:sz w:val="22"/>
          <w:szCs w:val="22"/>
        </w:rPr>
        <w:tab/>
        <w:t>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43966418" w14:textId="77777777" w:rsidR="009E3AC0" w:rsidRPr="00A5537E" w:rsidRDefault="00622B0F">
      <w:pPr>
        <w:spacing w:after="120"/>
        <w:ind w:firstLine="708"/>
        <w:rPr>
          <w:rFonts w:ascii="Arial" w:eastAsia="Arial" w:hAnsi="Arial" w:cs="Arial"/>
          <w:sz w:val="22"/>
          <w:szCs w:val="22"/>
        </w:rPr>
      </w:pPr>
      <w:r w:rsidRPr="00A5537E">
        <w:rPr>
          <w:rFonts w:ascii="Arial" w:eastAsia="Arial" w:hAnsi="Arial" w:cs="Arial"/>
          <w:sz w:val="22"/>
          <w:szCs w:val="22"/>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A5537E">
        <w:rPr>
          <w:rFonts w:ascii="Arial" w:eastAsia="Arial" w:hAnsi="Arial" w:cs="Arial"/>
          <w:sz w:val="22"/>
          <w:szCs w:val="22"/>
          <w:vertAlign w:val="superscript"/>
        </w:rPr>
        <w:footnoteReference w:id="9"/>
      </w:r>
      <w:r w:rsidRPr="00A5537E">
        <w:rPr>
          <w:rFonts w:ascii="Arial" w:eastAsia="Arial" w:hAnsi="Arial" w:cs="Arial"/>
          <w:sz w:val="22"/>
          <w:szCs w:val="22"/>
        </w:rPr>
        <w:t>.</w:t>
      </w:r>
    </w:p>
    <w:p w14:paraId="7B8AB865" w14:textId="77777777" w:rsidR="009E3AC0" w:rsidRPr="00A5537E" w:rsidRDefault="00622B0F">
      <w:pPr>
        <w:widowControl w:val="0"/>
        <w:spacing w:after="0"/>
        <w:ind w:right="113" w:firstLine="708"/>
        <w:rPr>
          <w:rFonts w:ascii="Arial" w:eastAsia="Arial" w:hAnsi="Arial" w:cs="Arial"/>
          <w:sz w:val="22"/>
          <w:szCs w:val="22"/>
        </w:rPr>
      </w:pPr>
      <w:r w:rsidRPr="00A5537E">
        <w:rPr>
          <w:rFonts w:ascii="Arial" w:eastAsia="Arial" w:hAnsi="Arial" w:cs="Arial"/>
          <w:sz w:val="22"/>
          <w:szCs w:val="22"/>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A5537E">
        <w:rPr>
          <w:rFonts w:ascii="Arial" w:eastAsia="Arial" w:hAnsi="Arial" w:cs="Arial"/>
          <w:sz w:val="19"/>
          <w:szCs w:val="19"/>
        </w:rPr>
        <w:t>»</w:t>
      </w:r>
      <w:r w:rsidRPr="00A5537E">
        <w:rPr>
          <w:rFonts w:ascii="Arial" w:eastAsia="Arial" w:hAnsi="Arial" w:cs="Arial"/>
          <w:sz w:val="19"/>
          <w:szCs w:val="19"/>
          <w:vertAlign w:val="superscript"/>
        </w:rPr>
        <w:footnoteReference w:id="10"/>
      </w:r>
      <w:r w:rsidRPr="00A5537E">
        <w:rPr>
          <w:rFonts w:ascii="Arial" w:eastAsia="Arial" w:hAnsi="Arial" w:cs="Arial"/>
          <w:sz w:val="22"/>
          <w:szCs w:val="22"/>
        </w:rPr>
        <w:t xml:space="preserve">. La Sala de Consulta y Servicio Civil del Consejo de Estado ha aclarado la </w:t>
      </w:r>
      <w:r w:rsidRPr="00A5537E">
        <w:rPr>
          <w:rFonts w:ascii="Arial" w:eastAsia="Arial" w:hAnsi="Arial" w:cs="Arial"/>
          <w:sz w:val="22"/>
          <w:szCs w:val="22"/>
        </w:rPr>
        <w:lastRenderedPageBreak/>
        <w:t>distinción en la aplicación de las prohibiciones de la Ley 996 de 2005, dependiendo del tipo de elección que se trate. Al respecto, considera que:</w:t>
      </w:r>
    </w:p>
    <w:p w14:paraId="13D0E611" w14:textId="77777777" w:rsidR="009E3AC0" w:rsidRPr="00A5537E" w:rsidRDefault="009E3AC0">
      <w:pPr>
        <w:widowControl w:val="0"/>
        <w:spacing w:after="0"/>
        <w:ind w:left="805" w:right="812"/>
        <w:rPr>
          <w:rFonts w:ascii="Arial" w:eastAsia="Arial" w:hAnsi="Arial" w:cs="Arial"/>
          <w:sz w:val="22"/>
          <w:szCs w:val="22"/>
        </w:rPr>
      </w:pPr>
    </w:p>
    <w:p w14:paraId="5016D8E4" w14:textId="77777777" w:rsidR="009E3AC0" w:rsidRPr="00A5537E" w:rsidRDefault="00622B0F">
      <w:pPr>
        <w:widowControl w:val="0"/>
        <w:spacing w:after="0" w:line="240" w:lineRule="auto"/>
        <w:ind w:left="709" w:right="709"/>
        <w:rPr>
          <w:rFonts w:ascii="Arial" w:eastAsia="Arial" w:hAnsi="Arial" w:cs="Arial"/>
          <w:sz w:val="21"/>
          <w:szCs w:val="21"/>
        </w:rPr>
      </w:pPr>
      <w:bookmarkStart w:id="18" w:name="_35nkun2" w:colFirst="0" w:colLast="0"/>
      <w:bookmarkEnd w:id="18"/>
      <w:r w:rsidRPr="00A5537E">
        <w:rPr>
          <w:rFonts w:ascii="Arial" w:eastAsia="Arial" w:hAnsi="Arial" w:cs="Arial"/>
          <w:sz w:val="21"/>
          <w:szCs w:val="21"/>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A5537E">
        <w:rPr>
          <w:rFonts w:ascii="Arial" w:eastAsia="Arial" w:hAnsi="Arial" w:cs="Arial"/>
          <w:sz w:val="21"/>
          <w:szCs w:val="21"/>
          <w:vertAlign w:val="superscript"/>
        </w:rPr>
        <w:footnoteReference w:id="11"/>
      </w:r>
    </w:p>
    <w:p w14:paraId="178B7DF2" w14:textId="77777777" w:rsidR="009E3AC0" w:rsidRPr="00A5537E" w:rsidRDefault="009E3AC0">
      <w:pPr>
        <w:widowControl w:val="0"/>
        <w:spacing w:before="8" w:after="0"/>
        <w:jc w:val="left"/>
        <w:rPr>
          <w:rFonts w:ascii="Arial" w:eastAsia="Arial" w:hAnsi="Arial" w:cs="Arial"/>
          <w:sz w:val="26"/>
          <w:szCs w:val="26"/>
        </w:rPr>
      </w:pPr>
    </w:p>
    <w:p w14:paraId="5D6B5B98" w14:textId="77777777" w:rsidR="009E3AC0" w:rsidRPr="00A5537E" w:rsidRDefault="00622B0F">
      <w:pPr>
        <w:spacing w:after="120"/>
        <w:ind w:firstLine="709"/>
        <w:rPr>
          <w:rFonts w:ascii="Arial" w:eastAsia="Arial" w:hAnsi="Arial" w:cs="Arial"/>
          <w:sz w:val="22"/>
          <w:szCs w:val="22"/>
        </w:rPr>
      </w:pPr>
      <w:bookmarkStart w:id="20" w:name="_1ksv4uv" w:colFirst="0" w:colLast="0"/>
      <w:bookmarkEnd w:id="20"/>
      <w:r w:rsidRPr="00A5537E">
        <w:rPr>
          <w:rFonts w:ascii="Arial" w:eastAsia="Arial" w:hAnsi="Arial" w:cs="Arial"/>
          <w:sz w:val="22"/>
          <w:szCs w:val="22"/>
        </w:rPr>
        <w:t xml:space="preserve">De conformidad con lo anterior, la Ley 996 de 2005 establece dos (2) tipos de restricciones en materia de contratación, las cuales coinciden parcialmente. </w:t>
      </w:r>
      <w:r w:rsidRPr="00A5537E">
        <w:rPr>
          <w:rFonts w:ascii="Arial" w:eastAsia="Arial" w:hAnsi="Arial" w:cs="Arial"/>
          <w:i/>
          <w:sz w:val="22"/>
          <w:szCs w:val="22"/>
        </w:rPr>
        <w:t>En primer lugar</w:t>
      </w:r>
      <w:r w:rsidRPr="00A5537E">
        <w:rPr>
          <w:rFonts w:ascii="Arial" w:eastAsia="Arial" w:hAnsi="Arial" w:cs="Arial"/>
          <w:sz w:val="22"/>
          <w:szCs w:val="22"/>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A5537E">
        <w:rPr>
          <w:rFonts w:ascii="Arial" w:eastAsia="Arial" w:hAnsi="Arial" w:cs="Arial"/>
          <w:i/>
          <w:sz w:val="22"/>
          <w:szCs w:val="22"/>
        </w:rPr>
        <w:t>En segundo lugar</w:t>
      </w:r>
      <w:r w:rsidRPr="00A5537E">
        <w:rPr>
          <w:rFonts w:ascii="Arial" w:eastAsia="Arial" w:hAnsi="Arial" w:cs="Arial"/>
          <w:sz w:val="22"/>
          <w:szCs w:val="22"/>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7AA5B646" w14:textId="77777777" w:rsidR="009E3AC0" w:rsidRPr="00A5537E" w:rsidRDefault="00622B0F">
      <w:pPr>
        <w:spacing w:after="120"/>
        <w:ind w:firstLine="709"/>
        <w:rPr>
          <w:rFonts w:ascii="Arial" w:eastAsia="Arial" w:hAnsi="Arial" w:cs="Arial"/>
          <w:sz w:val="22"/>
          <w:szCs w:val="22"/>
        </w:rPr>
      </w:pPr>
      <w:r w:rsidRPr="00A5537E">
        <w:rPr>
          <w:rFonts w:ascii="Arial" w:eastAsia="Arial" w:hAnsi="Arial" w:cs="Arial"/>
          <w:sz w:val="22"/>
          <w:szCs w:val="22"/>
        </w:rPr>
        <w:lastRenderedPageBreak/>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424E9663" w14:textId="77777777" w:rsidR="009E3AC0" w:rsidRPr="00A5537E" w:rsidRDefault="00622B0F">
      <w:pPr>
        <w:spacing w:after="0"/>
        <w:ind w:firstLine="708"/>
        <w:rPr>
          <w:rFonts w:ascii="Arial" w:eastAsia="Arial" w:hAnsi="Arial" w:cs="Arial"/>
          <w:sz w:val="22"/>
          <w:szCs w:val="22"/>
        </w:rPr>
      </w:pPr>
      <w:r w:rsidRPr="00A5537E">
        <w:rPr>
          <w:rFonts w:ascii="Arial" w:eastAsia="Arial" w:hAnsi="Arial" w:cs="Arial"/>
          <w:sz w:val="22"/>
          <w:szCs w:val="22"/>
        </w:rPr>
        <w:t xml:space="preserve">La Corte Constitucional, en la Sentencia C-1153 del 11 de noviembre de 2005, señaló que, para que la garantía sea plena, era necesario que la prohibición se aplicara para el Presidente o el Vicepresidente desde que estos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5BEC30A6" w14:textId="77777777" w:rsidR="009E3AC0" w:rsidRPr="00A5537E" w:rsidRDefault="009E3AC0">
      <w:pPr>
        <w:spacing w:after="0"/>
        <w:rPr>
          <w:rFonts w:ascii="Arial" w:eastAsia="Arial" w:hAnsi="Arial" w:cs="Arial"/>
          <w:sz w:val="22"/>
          <w:szCs w:val="22"/>
        </w:rPr>
      </w:pPr>
    </w:p>
    <w:p w14:paraId="0F134499" w14:textId="0A6AAB05" w:rsidR="009E3AC0" w:rsidRPr="00A5537E" w:rsidRDefault="00622B0F">
      <w:pPr>
        <w:spacing w:after="0"/>
        <w:rPr>
          <w:rFonts w:ascii="Arial" w:eastAsia="Arial" w:hAnsi="Arial" w:cs="Arial"/>
          <w:b/>
          <w:sz w:val="22"/>
          <w:szCs w:val="22"/>
        </w:rPr>
      </w:pPr>
      <w:r w:rsidRPr="00A5537E">
        <w:rPr>
          <w:rFonts w:ascii="Arial" w:eastAsia="Arial" w:hAnsi="Arial" w:cs="Arial"/>
          <w:b/>
          <w:sz w:val="22"/>
          <w:szCs w:val="22"/>
        </w:rPr>
        <w:t>2.2. Restricciones en elecciones presidenciales: prohibición del artículo 33 de la Ley 996 de 2005</w:t>
      </w:r>
    </w:p>
    <w:p w14:paraId="713B5175" w14:textId="77777777" w:rsidR="009E3AC0" w:rsidRPr="00A5537E" w:rsidRDefault="009E3AC0">
      <w:pPr>
        <w:spacing w:after="0"/>
        <w:rPr>
          <w:rFonts w:ascii="Arial" w:eastAsia="Arial" w:hAnsi="Arial" w:cs="Arial"/>
          <w:sz w:val="22"/>
          <w:szCs w:val="22"/>
        </w:rPr>
      </w:pPr>
    </w:p>
    <w:p w14:paraId="0BB0F855" w14:textId="77777777" w:rsidR="009E3AC0" w:rsidRPr="00A5537E" w:rsidRDefault="00622B0F">
      <w:pPr>
        <w:spacing w:after="0"/>
        <w:rPr>
          <w:rFonts w:ascii="Arial" w:eastAsia="Arial" w:hAnsi="Arial" w:cs="Arial"/>
          <w:sz w:val="22"/>
          <w:szCs w:val="22"/>
        </w:rPr>
      </w:pPr>
      <w:bookmarkStart w:id="21" w:name="_44sinio" w:colFirst="0" w:colLast="0"/>
      <w:bookmarkEnd w:id="21"/>
      <w:r w:rsidRPr="00A5537E">
        <w:rPr>
          <w:rFonts w:ascii="Arial" w:eastAsia="Arial" w:hAnsi="Arial" w:cs="Arial"/>
          <w:sz w:val="22"/>
          <w:szCs w:val="22"/>
        </w:rPr>
        <w:t xml:space="preserve">El ámbito material de la prohibición contenida en el artículo 33 de la ley 996 de 2005 está delimitado por la expresión </w:t>
      </w:r>
      <w:r w:rsidRPr="00A5537E">
        <w:rPr>
          <w:rFonts w:ascii="Arial" w:eastAsia="Arial" w:hAnsi="Arial" w:cs="Arial"/>
          <w:sz w:val="20"/>
          <w:szCs w:val="20"/>
        </w:rPr>
        <w:t>«</w:t>
      </w:r>
      <w:r w:rsidRPr="00A5537E">
        <w:rPr>
          <w:rFonts w:ascii="Arial" w:eastAsia="Arial" w:hAnsi="Arial" w:cs="Arial"/>
          <w:sz w:val="22"/>
          <w:szCs w:val="22"/>
        </w:rPr>
        <w:t>queda prohibida la contratación directa</w:t>
      </w:r>
      <w:r w:rsidRPr="00A5537E">
        <w:rPr>
          <w:rFonts w:ascii="Arial" w:eastAsia="Arial" w:hAnsi="Arial" w:cs="Arial"/>
          <w:sz w:val="20"/>
          <w:szCs w:val="20"/>
        </w:rPr>
        <w:t>»</w:t>
      </w:r>
      <w:r w:rsidRPr="00A5537E">
        <w:rPr>
          <w:rFonts w:ascii="Arial" w:eastAsia="Arial" w:hAnsi="Arial" w:cs="Arial"/>
          <w:sz w:val="22"/>
          <w:szCs w:val="22"/>
        </w:rPr>
        <w:t>.  A propósito de esta restricción de la Ley de Garantías Electorales, la Sala de Consulta y Servicio Civil del Consejo de Estado ha considerado que:</w:t>
      </w:r>
    </w:p>
    <w:p w14:paraId="1F338E0D" w14:textId="77777777" w:rsidR="009E3AC0" w:rsidRPr="00A5537E" w:rsidRDefault="009E3AC0">
      <w:pPr>
        <w:spacing w:after="0"/>
        <w:ind w:left="708" w:right="709"/>
        <w:rPr>
          <w:rFonts w:ascii="Arial" w:eastAsia="Arial" w:hAnsi="Arial" w:cs="Arial"/>
          <w:sz w:val="21"/>
          <w:szCs w:val="21"/>
        </w:rPr>
      </w:pPr>
    </w:p>
    <w:p w14:paraId="17DD52E8" w14:textId="77777777" w:rsidR="009E3AC0" w:rsidRPr="00A5537E" w:rsidRDefault="00622B0F">
      <w:pPr>
        <w:spacing w:after="120" w:line="240" w:lineRule="auto"/>
        <w:ind w:left="709" w:right="709"/>
        <w:rPr>
          <w:rFonts w:ascii="Arial" w:eastAsia="Arial" w:hAnsi="Arial" w:cs="Arial"/>
          <w:sz w:val="21"/>
          <w:szCs w:val="21"/>
        </w:rPr>
      </w:pPr>
      <w:r w:rsidRPr="00A5537E">
        <w:rPr>
          <w:rFonts w:ascii="Arial" w:eastAsia="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A5537E">
        <w:rPr>
          <w:rFonts w:ascii="Arial" w:eastAsia="Arial" w:hAnsi="Arial" w:cs="Arial"/>
          <w:sz w:val="22"/>
          <w:szCs w:val="22"/>
          <w:vertAlign w:val="superscript"/>
        </w:rPr>
        <w:footnoteReference w:id="12"/>
      </w:r>
      <w:r w:rsidRPr="00A5537E">
        <w:rPr>
          <w:rFonts w:ascii="Arial" w:eastAsia="Arial" w:hAnsi="Arial" w:cs="Arial"/>
          <w:sz w:val="21"/>
          <w:szCs w:val="21"/>
        </w:rPr>
        <w:t>.</w:t>
      </w:r>
    </w:p>
    <w:p w14:paraId="20C23B04" w14:textId="77777777" w:rsidR="009E3AC0" w:rsidRPr="00A5537E" w:rsidRDefault="00622B0F">
      <w:pPr>
        <w:spacing w:after="0" w:line="240" w:lineRule="auto"/>
        <w:ind w:left="708" w:right="709"/>
        <w:rPr>
          <w:rFonts w:ascii="Arial" w:eastAsia="Arial" w:hAnsi="Arial" w:cs="Arial"/>
          <w:sz w:val="21"/>
          <w:szCs w:val="21"/>
        </w:rPr>
      </w:pPr>
      <w:bookmarkStart w:id="24" w:name="_2jxsxqh" w:colFirst="0" w:colLast="0"/>
      <w:bookmarkEnd w:id="24"/>
      <w:r w:rsidRPr="00A5537E">
        <w:rPr>
          <w:rFonts w:ascii="Arial" w:eastAsia="Arial" w:hAnsi="Arial" w:cs="Arial"/>
          <w:sz w:val="21"/>
          <w:szCs w:val="21"/>
        </w:rPr>
        <w:t xml:space="preserve">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w:t>
      </w:r>
      <w:r w:rsidRPr="00A5537E">
        <w:rPr>
          <w:rFonts w:ascii="Arial" w:eastAsia="Arial" w:hAnsi="Arial" w:cs="Arial"/>
          <w:sz w:val="21"/>
          <w:szCs w:val="21"/>
        </w:rPr>
        <w:lastRenderedPageBreak/>
        <w:t>de un proceso de licitación pública o concurso</w:t>
      </w:r>
      <w:r w:rsidRPr="00A5537E">
        <w:rPr>
          <w:rFonts w:ascii="Arial" w:eastAsia="Arial" w:hAnsi="Arial" w:cs="Arial"/>
          <w:sz w:val="21"/>
          <w:szCs w:val="21"/>
          <w:vertAlign w:val="superscript"/>
        </w:rPr>
        <w:footnoteReference w:id="13"/>
      </w:r>
      <w:r w:rsidRPr="00A5537E">
        <w:rPr>
          <w:rFonts w:ascii="Arial" w:eastAsia="Arial" w:hAnsi="Arial" w:cs="Arial"/>
          <w:sz w:val="21"/>
          <w:szCs w:val="21"/>
          <w:vertAlign w:val="superscript"/>
        </w:rPr>
        <w:t>.</w:t>
      </w:r>
      <w:r w:rsidRPr="00A5537E">
        <w:rPr>
          <w:rFonts w:ascii="Arial" w:eastAsia="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A5537E">
        <w:rPr>
          <w:rFonts w:ascii="Arial" w:eastAsia="Arial" w:hAnsi="Arial" w:cs="Arial"/>
          <w:sz w:val="22"/>
          <w:szCs w:val="22"/>
          <w:vertAlign w:val="superscript"/>
        </w:rPr>
        <w:footnoteReference w:id="14"/>
      </w:r>
      <w:r w:rsidRPr="00A5537E">
        <w:rPr>
          <w:rFonts w:ascii="Arial" w:eastAsia="Arial" w:hAnsi="Arial" w:cs="Arial"/>
          <w:sz w:val="21"/>
          <w:szCs w:val="21"/>
        </w:rPr>
        <w:t xml:space="preserve"> .</w:t>
      </w:r>
    </w:p>
    <w:p w14:paraId="565ECCC9" w14:textId="77777777" w:rsidR="009E3AC0" w:rsidRPr="00A5537E" w:rsidRDefault="009E3AC0">
      <w:pPr>
        <w:shd w:val="clear" w:color="auto" w:fill="FFFFFF"/>
        <w:spacing w:after="0"/>
        <w:ind w:firstLine="709"/>
        <w:rPr>
          <w:rFonts w:ascii="Arial" w:eastAsia="Arial" w:hAnsi="Arial" w:cs="Arial"/>
          <w:sz w:val="22"/>
          <w:szCs w:val="22"/>
        </w:rPr>
      </w:pPr>
    </w:p>
    <w:p w14:paraId="0DE32E0A" w14:textId="15C42BAF" w:rsidR="009E3AC0" w:rsidRPr="00A5537E" w:rsidRDefault="00622B0F">
      <w:pPr>
        <w:spacing w:after="120"/>
        <w:ind w:firstLine="708"/>
        <w:rPr>
          <w:rFonts w:ascii="Arial" w:eastAsia="Arial" w:hAnsi="Arial" w:cs="Arial"/>
          <w:sz w:val="22"/>
          <w:szCs w:val="22"/>
        </w:rPr>
      </w:pPr>
      <w:bookmarkStart w:id="26" w:name="_z337ya" w:colFirst="0" w:colLast="0"/>
      <w:bookmarkEnd w:id="26"/>
      <w:r w:rsidRPr="00A5537E">
        <w:rPr>
          <w:rFonts w:ascii="Arial" w:eastAsia="Arial" w:hAnsi="Arial" w:cs="Arial"/>
          <w:sz w:val="22"/>
          <w:szCs w:val="22"/>
        </w:rPr>
        <w:t xml:space="preserve">De conformidad con el citado concepto, la prohibición del artículo 33 de la Ley de Garantías Electorales se refiere a </w:t>
      </w:r>
      <w:r w:rsidRPr="00A5537E">
        <w:rPr>
          <w:rFonts w:ascii="Arial" w:eastAsia="Arial" w:hAnsi="Arial" w:cs="Arial"/>
          <w:sz w:val="19"/>
          <w:szCs w:val="19"/>
        </w:rPr>
        <w:t>«</w:t>
      </w:r>
      <w:r w:rsidRPr="00A5537E">
        <w:rPr>
          <w:rFonts w:ascii="Arial" w:eastAsia="Arial" w:hAnsi="Arial" w:cs="Arial"/>
          <w:sz w:val="22"/>
          <w:szCs w:val="22"/>
        </w:rPr>
        <w:t>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w:t>
      </w:r>
      <w:r w:rsidRPr="00A5537E">
        <w:rPr>
          <w:rFonts w:ascii="Arial" w:eastAsia="Arial" w:hAnsi="Arial" w:cs="Arial"/>
          <w:sz w:val="22"/>
          <w:szCs w:val="22"/>
          <w:vertAlign w:val="superscript"/>
        </w:rPr>
        <w:footnoteReference w:id="15"/>
      </w:r>
      <w:r w:rsidRPr="00A5537E">
        <w:rPr>
          <w:rFonts w:ascii="Arial" w:eastAsia="Arial" w:hAnsi="Arial" w:cs="Arial"/>
          <w:sz w:val="22"/>
          <w:szCs w:val="22"/>
        </w:rPr>
        <w:t xml:space="preserve"> y sistematizó las causales de contratación directa</w:t>
      </w:r>
      <w:r w:rsidRPr="00A5537E">
        <w:rPr>
          <w:rFonts w:ascii="Arial" w:eastAsia="Arial" w:hAnsi="Arial" w:cs="Arial"/>
          <w:sz w:val="22"/>
          <w:szCs w:val="22"/>
          <w:vertAlign w:val="superscript"/>
        </w:rPr>
        <w:footnoteReference w:id="16"/>
      </w:r>
      <w:r w:rsidRPr="00A5537E">
        <w:rPr>
          <w:rFonts w:ascii="Arial" w:eastAsia="Arial" w:hAnsi="Arial" w:cs="Arial"/>
          <w:sz w:val="22"/>
          <w:szCs w:val="22"/>
        </w:rPr>
        <w:t xml:space="preserve">, además lo es con la posterior creación de la modalidad de mínima cuantía establecida actualmente en el numeral 5 del artículo 2 de la Ley 1150 de 2007, de acuerdo con las modificaciones realizadas por leyes posteriores. </w:t>
      </w:r>
    </w:p>
    <w:p w14:paraId="5F69E223" w14:textId="40A10F53" w:rsidR="009E3AC0" w:rsidRPr="00A5537E" w:rsidRDefault="00622B0F">
      <w:pPr>
        <w:spacing w:after="120"/>
        <w:ind w:firstLine="708"/>
        <w:rPr>
          <w:rFonts w:ascii="Arial" w:eastAsia="Arial" w:hAnsi="Arial" w:cs="Arial"/>
          <w:sz w:val="22"/>
          <w:szCs w:val="22"/>
        </w:rPr>
      </w:pPr>
      <w:r w:rsidRPr="00A5537E">
        <w:rPr>
          <w:rFonts w:ascii="Arial" w:eastAsia="Arial" w:hAnsi="Arial" w:cs="Arial"/>
          <w:sz w:val="22"/>
          <w:szCs w:val="22"/>
        </w:rPr>
        <w:t xml:space="preserve">De esta forma, con fundamento en la evolución normativa de la contratación pública, se ha depurado la noción de </w:t>
      </w:r>
      <w:r w:rsidRPr="00A5537E">
        <w:rPr>
          <w:rFonts w:ascii="Arial" w:eastAsia="Arial" w:hAnsi="Arial" w:cs="Arial"/>
          <w:sz w:val="19"/>
          <w:szCs w:val="19"/>
        </w:rPr>
        <w:t>«</w:t>
      </w:r>
      <w:r w:rsidRPr="00A5537E">
        <w:rPr>
          <w:rFonts w:ascii="Arial" w:eastAsia="Arial" w:hAnsi="Arial" w:cs="Arial"/>
          <w:sz w:val="22"/>
          <w:szCs w:val="22"/>
        </w:rPr>
        <w:t>contratación directa»,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A5537E">
        <w:rPr>
          <w:rFonts w:ascii="Arial" w:eastAsia="Arial" w:hAnsi="Arial" w:cs="Arial"/>
          <w:sz w:val="22"/>
          <w:szCs w:val="22"/>
          <w:vertAlign w:val="superscript"/>
        </w:rPr>
        <w:footnoteReference w:id="17"/>
      </w:r>
      <w:r w:rsidRPr="00A5537E">
        <w:rPr>
          <w:rFonts w:ascii="Arial" w:eastAsia="Arial" w:hAnsi="Arial" w:cs="Arial"/>
          <w:sz w:val="22"/>
          <w:szCs w:val="22"/>
        </w:rPr>
        <w:t xml:space="preserve">, han establecido sistemas de contratación que implican convocatoria pública y participación de varios oferentes». </w:t>
      </w:r>
    </w:p>
    <w:p w14:paraId="7C1554DE" w14:textId="77777777" w:rsidR="009E3AC0" w:rsidRPr="00A5537E" w:rsidRDefault="00622B0F">
      <w:pPr>
        <w:spacing w:after="120"/>
        <w:ind w:firstLine="708"/>
        <w:rPr>
          <w:rFonts w:ascii="Arial" w:eastAsia="Arial" w:hAnsi="Arial" w:cs="Arial"/>
          <w:sz w:val="22"/>
          <w:szCs w:val="22"/>
        </w:rPr>
      </w:pPr>
      <w:bookmarkStart w:id="29" w:name="_3j2qqm3" w:colFirst="0" w:colLast="0"/>
      <w:bookmarkEnd w:id="29"/>
      <w:r w:rsidRPr="00A5537E">
        <w:rPr>
          <w:rFonts w:ascii="Arial" w:eastAsia="Arial" w:hAnsi="Arial" w:cs="Arial"/>
          <w:sz w:val="22"/>
          <w:szCs w:val="22"/>
        </w:rPr>
        <w:t xml:space="preserve">En efecto, vale la pena mencionar que, en algunos sistemas de contratación, utilizados por entidades públicas con regímenes especiales, o sujetas al derecho privado, la convocatoria o invitación para contratar puede limitarse a aquellas personas que </w:t>
      </w:r>
      <w:r w:rsidRPr="00A5537E">
        <w:rPr>
          <w:rFonts w:ascii="Arial" w:eastAsia="Arial" w:hAnsi="Arial" w:cs="Arial"/>
          <w:sz w:val="22"/>
          <w:szCs w:val="22"/>
        </w:rPr>
        <w:lastRenderedPageBreak/>
        <w:t>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A5537E">
        <w:rPr>
          <w:rFonts w:ascii="Arial" w:eastAsia="Arial" w:hAnsi="Arial" w:cs="Arial"/>
          <w:sz w:val="22"/>
          <w:szCs w:val="22"/>
          <w:vertAlign w:val="superscript"/>
        </w:rPr>
        <w:footnoteReference w:id="18"/>
      </w:r>
      <w:r w:rsidRPr="00A5537E">
        <w:rPr>
          <w:rFonts w:ascii="Arial" w:eastAsia="Arial" w:hAnsi="Arial" w:cs="Arial"/>
          <w:sz w:val="22"/>
          <w:szCs w:val="22"/>
        </w:rPr>
        <w:t xml:space="preserve">. </w:t>
      </w:r>
    </w:p>
    <w:p w14:paraId="5965C806" w14:textId="7DD5B5A5" w:rsidR="009E3AC0" w:rsidRPr="00A5537E" w:rsidRDefault="00622B0F">
      <w:pPr>
        <w:spacing w:after="120"/>
        <w:ind w:firstLine="708"/>
        <w:rPr>
          <w:rFonts w:ascii="Arial" w:eastAsia="Arial" w:hAnsi="Arial" w:cs="Arial"/>
          <w:sz w:val="22"/>
          <w:szCs w:val="22"/>
        </w:rPr>
      </w:pPr>
      <w:r w:rsidRPr="00A5537E">
        <w:rPr>
          <w:rFonts w:ascii="Arial" w:eastAsia="Arial" w:hAnsi="Arial" w:cs="Arial"/>
          <w:sz w:val="22"/>
          <w:szCs w:val="22"/>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«contratación directa».</w:t>
      </w:r>
    </w:p>
    <w:p w14:paraId="30B7864A" w14:textId="0AA67A9F" w:rsidR="009E3AC0" w:rsidRPr="00A5537E" w:rsidRDefault="00622B0F">
      <w:pPr>
        <w:spacing w:after="120"/>
        <w:ind w:firstLine="708"/>
        <w:rPr>
          <w:rFonts w:ascii="Arial" w:eastAsia="Arial" w:hAnsi="Arial" w:cs="Arial"/>
          <w:sz w:val="22"/>
          <w:szCs w:val="22"/>
        </w:rPr>
      </w:pPr>
      <w:bookmarkStart w:id="30" w:name="_1y810tw" w:colFirst="0" w:colLast="0"/>
      <w:bookmarkEnd w:id="30"/>
      <w:r w:rsidRPr="00A5537E">
        <w:rPr>
          <w:rFonts w:ascii="Arial" w:eastAsia="Arial" w:hAnsi="Arial" w:cs="Arial"/>
          <w:sz w:val="22"/>
          <w:szCs w:val="22"/>
        </w:rPr>
        <w:t xml:space="preserve"> Así las cosas, ha de entenderse que, para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A5537E">
        <w:rPr>
          <w:rFonts w:ascii="Arial" w:eastAsia="Arial" w:hAnsi="Arial" w:cs="Arial"/>
          <w:sz w:val="22"/>
          <w:szCs w:val="22"/>
          <w:vertAlign w:val="superscript"/>
        </w:rPr>
        <w:footnoteReference w:id="19"/>
      </w:r>
      <w:r w:rsidRPr="00A5537E">
        <w:rPr>
          <w:rFonts w:ascii="Arial" w:eastAsia="Arial" w:hAnsi="Arial" w:cs="Arial"/>
          <w:sz w:val="22"/>
          <w:szCs w:val="22"/>
        </w:rPr>
        <w:t>.</w:t>
      </w:r>
      <w:r w:rsidRPr="00A5537E">
        <w:rPr>
          <w:rFonts w:ascii="Arial" w:eastAsia="Arial" w:hAnsi="Arial" w:cs="Arial"/>
          <w:sz w:val="22"/>
          <w:szCs w:val="22"/>
          <w:vertAlign w:val="superscript"/>
        </w:rPr>
        <w:t xml:space="preserve"> </w:t>
      </w:r>
    </w:p>
    <w:p w14:paraId="0BA7A53E" w14:textId="3123A8B1" w:rsidR="009E3AC0" w:rsidRPr="00A5537E" w:rsidRDefault="00622B0F">
      <w:pPr>
        <w:spacing w:after="120"/>
        <w:ind w:firstLine="708"/>
        <w:rPr>
          <w:rFonts w:ascii="Arial" w:eastAsia="Arial" w:hAnsi="Arial" w:cs="Arial"/>
          <w:sz w:val="22"/>
          <w:szCs w:val="22"/>
        </w:rPr>
      </w:pPr>
      <w:r w:rsidRPr="00A5537E">
        <w:rPr>
          <w:rFonts w:ascii="Arial" w:eastAsia="Arial" w:hAnsi="Arial" w:cs="Arial"/>
          <w:sz w:val="22"/>
          <w:szCs w:val="22"/>
        </w:rPr>
        <w:t>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estas modalidades.</w:t>
      </w:r>
    </w:p>
    <w:p w14:paraId="397B05A1" w14:textId="77777777" w:rsidR="009E3AC0" w:rsidRPr="00A5537E" w:rsidRDefault="00622B0F">
      <w:pPr>
        <w:spacing w:after="120"/>
        <w:ind w:firstLine="708"/>
        <w:rPr>
          <w:rFonts w:ascii="Arial" w:eastAsia="Arial" w:hAnsi="Arial" w:cs="Arial"/>
          <w:sz w:val="22"/>
          <w:szCs w:val="22"/>
        </w:rPr>
      </w:pPr>
      <w:bookmarkStart w:id="31" w:name="_4i7ojhp" w:colFirst="0" w:colLast="0"/>
      <w:bookmarkEnd w:id="31"/>
      <w:r w:rsidRPr="00A5537E">
        <w:rPr>
          <w:rFonts w:ascii="Arial" w:eastAsia="Arial" w:hAnsi="Arial" w:cs="Arial"/>
          <w:sz w:val="22"/>
          <w:szCs w:val="22"/>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3F93BD9E" w14:textId="400B59E7" w:rsidR="009E3AC0" w:rsidRPr="00A5537E" w:rsidRDefault="00622B0F">
      <w:pPr>
        <w:spacing w:after="120"/>
        <w:ind w:firstLine="708"/>
        <w:rPr>
          <w:rFonts w:ascii="Arial" w:eastAsia="Arial" w:hAnsi="Arial" w:cs="Arial"/>
          <w:sz w:val="22"/>
          <w:szCs w:val="22"/>
        </w:rPr>
      </w:pPr>
      <w:r w:rsidRPr="00A5537E">
        <w:rPr>
          <w:rFonts w:ascii="Arial" w:eastAsia="Arial" w:hAnsi="Arial" w:cs="Arial"/>
          <w:sz w:val="22"/>
          <w:szCs w:val="22"/>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w:t>
      </w:r>
      <w:r w:rsidRPr="00A5537E">
        <w:rPr>
          <w:rFonts w:ascii="Arial" w:eastAsia="Arial" w:hAnsi="Arial" w:cs="Arial"/>
          <w:sz w:val="22"/>
          <w:szCs w:val="22"/>
        </w:rPr>
        <w:lastRenderedPageBreak/>
        <w:t>encuentran consagradas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1DE1EDB" w14:textId="77777777" w:rsidR="009E3AC0" w:rsidRPr="00A5537E" w:rsidRDefault="00622B0F" w:rsidP="00A5537E">
      <w:pPr>
        <w:spacing w:after="120"/>
        <w:ind w:firstLine="709"/>
      </w:pPr>
      <w:r w:rsidRPr="00A5537E">
        <w:rPr>
          <w:rFonts w:ascii="Arial" w:eastAsia="Arial" w:hAnsi="Arial" w:cs="Arial"/>
          <w:sz w:val="22"/>
          <w:szCs w:val="22"/>
        </w:rPr>
        <w:t>En esta labor es importante tener en cuenta, como lo anotó la Corte Constitucional, en Sentencia C-1153 de noviembre 11 de 2005</w:t>
      </w:r>
      <w:r w:rsidRPr="00A5537E">
        <w:rPr>
          <w:vertAlign w:val="superscript"/>
        </w:rPr>
        <w:t>,</w:t>
      </w:r>
      <w:r w:rsidRPr="00A5537E">
        <w:rPr>
          <w:rFonts w:ascii="Arial" w:eastAsia="Arial" w:hAnsi="Arial" w:cs="Arial"/>
          <w:sz w:val="22"/>
          <w:szCs w:val="22"/>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A5537E">
        <w:rPr>
          <w:rFonts w:ascii="Arial" w:eastAsia="Arial" w:hAnsi="Arial" w:cs="Arial"/>
          <w:sz w:val="22"/>
          <w:szCs w:val="22"/>
          <w:vertAlign w:val="superscript"/>
        </w:rPr>
        <w:footnoteReference w:id="20"/>
      </w:r>
      <w:r w:rsidRPr="00A5537E">
        <w:rPr>
          <w:rFonts w:ascii="Arial" w:eastAsia="Arial" w:hAnsi="Arial" w:cs="Arial"/>
          <w:sz w:val="22"/>
          <w:szCs w:val="22"/>
        </w:rPr>
        <w:t>. De ahí que la Corte hizo hincapié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32" w:name="_2xcytpi" w:colFirst="0" w:colLast="0"/>
      <w:bookmarkEnd w:id="32"/>
    </w:p>
    <w:p w14:paraId="615283D5" w14:textId="77777777" w:rsidR="009E3AC0" w:rsidRPr="00A5537E" w:rsidRDefault="00622B0F">
      <w:pPr>
        <w:spacing w:after="0"/>
        <w:ind w:firstLine="708"/>
        <w:rPr>
          <w:rFonts w:ascii="Arial" w:eastAsia="Arial" w:hAnsi="Arial" w:cs="Arial"/>
          <w:sz w:val="22"/>
          <w:szCs w:val="22"/>
        </w:rPr>
      </w:pPr>
      <w:r w:rsidRPr="00A5537E">
        <w:rPr>
          <w:rFonts w:ascii="Arial" w:eastAsia="Arial" w:hAnsi="Arial" w:cs="Arial"/>
          <w:sz w:val="22"/>
          <w:szCs w:val="22"/>
        </w:rPr>
        <w:t>De conformidad con lo expuesto, se concluye que durante los cuatro (4) meses anteriores a la elección presidencial y hasta la realización de la elección en la segunda vuelta, queda prohibida la contratación directa por parte de todos los entes del Estado, entendido el término contratación directa como cualquier sistema de selección o procedimiento de contratación utilizado por las entidades estatales que no incluya la convocatoria pública en alguna de sus etapas, ni permita la participación de una pluralidad de oferentes. Lo anterior, sin perjuicio de las excepciones contempladas en el ordenamiento jurídico.</w:t>
      </w:r>
    </w:p>
    <w:p w14:paraId="35987F23" w14:textId="77777777" w:rsidR="009E3AC0" w:rsidRPr="00A5537E" w:rsidRDefault="009E3AC0">
      <w:pPr>
        <w:spacing w:after="0"/>
        <w:ind w:firstLine="708"/>
        <w:rPr>
          <w:rFonts w:ascii="Arial" w:eastAsia="Arial" w:hAnsi="Arial" w:cs="Arial"/>
          <w:sz w:val="22"/>
          <w:szCs w:val="22"/>
        </w:rPr>
      </w:pPr>
    </w:p>
    <w:p w14:paraId="365225C0" w14:textId="77777777" w:rsidR="009E3AC0" w:rsidRPr="00A5537E" w:rsidRDefault="00622B0F">
      <w:pPr>
        <w:spacing w:after="0"/>
        <w:rPr>
          <w:rFonts w:ascii="Arial" w:eastAsia="Arial" w:hAnsi="Arial" w:cs="Arial"/>
          <w:b/>
          <w:sz w:val="22"/>
          <w:szCs w:val="22"/>
        </w:rPr>
      </w:pPr>
      <w:r w:rsidRPr="00A5537E">
        <w:rPr>
          <w:rFonts w:ascii="Arial" w:eastAsia="Arial" w:hAnsi="Arial" w:cs="Arial"/>
          <w:b/>
          <w:sz w:val="22"/>
          <w:szCs w:val="22"/>
        </w:rPr>
        <w:t>2.3.  Destinatarios de la restricción del artículo 33 de la Ley 996 de 2005</w:t>
      </w:r>
    </w:p>
    <w:p w14:paraId="087F0DE5" w14:textId="77777777" w:rsidR="009E3AC0" w:rsidRPr="00A5537E" w:rsidRDefault="009E3AC0">
      <w:pPr>
        <w:spacing w:after="0"/>
        <w:rPr>
          <w:rFonts w:ascii="Arial" w:eastAsia="Arial" w:hAnsi="Arial" w:cs="Arial"/>
          <w:sz w:val="22"/>
          <w:szCs w:val="22"/>
        </w:rPr>
      </w:pPr>
    </w:p>
    <w:p w14:paraId="0D44C730" w14:textId="77777777" w:rsidR="009E3AC0" w:rsidRPr="00A5537E" w:rsidRDefault="00622B0F">
      <w:pPr>
        <w:spacing w:after="0"/>
        <w:rPr>
          <w:rFonts w:ascii="Arial" w:eastAsia="Arial" w:hAnsi="Arial" w:cs="Arial"/>
          <w:sz w:val="22"/>
          <w:szCs w:val="22"/>
        </w:rPr>
      </w:pPr>
      <w:bookmarkStart w:id="33" w:name="_1ci93xb" w:colFirst="0" w:colLast="0"/>
      <w:bookmarkEnd w:id="33"/>
      <w:r w:rsidRPr="00A5537E">
        <w:rPr>
          <w:rFonts w:ascii="Arial" w:eastAsia="Arial" w:hAnsi="Arial" w:cs="Arial"/>
          <w:sz w:val="22"/>
          <w:szCs w:val="22"/>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A5537E">
        <w:t xml:space="preserve"> </w:t>
      </w:r>
      <w:r w:rsidRPr="00A5537E">
        <w:rPr>
          <w:rFonts w:ascii="Arial" w:eastAsia="Arial" w:hAnsi="Arial" w:cs="Arial"/>
          <w:sz w:val="22"/>
          <w:szCs w:val="22"/>
        </w:rPr>
        <w:t>En efecto, tal como lo ha sostenido el Consejo de Estado, el vocablo «todos» utilizado por el legislador comprende</w:t>
      </w:r>
      <w:r w:rsidRPr="00A5537E">
        <w:t xml:space="preserve"> </w:t>
      </w:r>
      <w:r w:rsidRPr="00A5537E">
        <w:rPr>
          <w:rFonts w:ascii="Arial" w:eastAsia="Arial" w:hAnsi="Arial" w:cs="Arial"/>
          <w:sz w:val="22"/>
          <w:szCs w:val="22"/>
        </w:rPr>
        <w:t xml:space="preserve">a la totalidad de los entes del Estado, sin distinción del régimen </w:t>
      </w:r>
      <w:r w:rsidRPr="00A5537E">
        <w:rPr>
          <w:rFonts w:ascii="Arial" w:eastAsia="Arial" w:hAnsi="Arial" w:cs="Arial"/>
          <w:sz w:val="22"/>
          <w:szCs w:val="22"/>
        </w:rPr>
        <w:lastRenderedPageBreak/>
        <w:t xml:space="preserve">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229A2A5F" w14:textId="77777777" w:rsidR="009E3AC0" w:rsidRPr="00A5537E" w:rsidRDefault="009E3AC0">
      <w:pPr>
        <w:spacing w:after="0"/>
        <w:ind w:firstLine="708"/>
        <w:rPr>
          <w:rFonts w:ascii="Arial" w:eastAsia="Arial" w:hAnsi="Arial" w:cs="Arial"/>
          <w:sz w:val="22"/>
          <w:szCs w:val="22"/>
        </w:rPr>
      </w:pPr>
    </w:p>
    <w:p w14:paraId="0F583F41" w14:textId="77777777" w:rsidR="009E3AC0" w:rsidRPr="00A5537E" w:rsidRDefault="00622B0F">
      <w:pPr>
        <w:spacing w:after="0" w:line="240" w:lineRule="auto"/>
        <w:ind w:left="708" w:right="709"/>
        <w:rPr>
          <w:rFonts w:ascii="Arial" w:eastAsia="Arial" w:hAnsi="Arial" w:cs="Arial"/>
          <w:sz w:val="21"/>
          <w:szCs w:val="21"/>
        </w:rPr>
      </w:pPr>
      <w:bookmarkStart w:id="34" w:name="_3whwml4" w:colFirst="0" w:colLast="0"/>
      <w:bookmarkEnd w:id="34"/>
      <w:r w:rsidRPr="00A5537E">
        <w:rPr>
          <w:rFonts w:ascii="Arial" w:eastAsia="Arial" w:hAnsi="Arial" w:cs="Arial"/>
          <w:sz w:val="21"/>
          <w:szCs w:val="21"/>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A5537E">
        <w:rPr>
          <w:rFonts w:ascii="Arial" w:eastAsia="Arial" w:hAnsi="Arial" w:cs="Arial"/>
          <w:sz w:val="21"/>
          <w:szCs w:val="21"/>
          <w:vertAlign w:val="superscript"/>
        </w:rPr>
        <w:footnoteReference w:id="21"/>
      </w:r>
      <w:r w:rsidRPr="00A5537E">
        <w:rPr>
          <w:rFonts w:ascii="Arial" w:eastAsia="Arial" w:hAnsi="Arial" w:cs="Arial"/>
          <w:sz w:val="21"/>
          <w:szCs w:val="21"/>
        </w:rPr>
        <w:t xml:space="preserve">. </w:t>
      </w:r>
    </w:p>
    <w:p w14:paraId="477F51B1" w14:textId="77777777" w:rsidR="009E3AC0" w:rsidRPr="00A5537E" w:rsidRDefault="009E3AC0">
      <w:pPr>
        <w:spacing w:after="0"/>
        <w:ind w:firstLine="708"/>
        <w:rPr>
          <w:rFonts w:ascii="Arial" w:eastAsia="Arial" w:hAnsi="Arial" w:cs="Arial"/>
          <w:sz w:val="22"/>
          <w:szCs w:val="22"/>
        </w:rPr>
      </w:pPr>
    </w:p>
    <w:p w14:paraId="7A6DCC2A" w14:textId="77777777" w:rsidR="009E3AC0" w:rsidRPr="00A5537E" w:rsidRDefault="00622B0F">
      <w:pPr>
        <w:spacing w:after="0"/>
        <w:ind w:firstLine="708"/>
        <w:rPr>
          <w:rFonts w:ascii="Arial" w:eastAsia="Arial" w:hAnsi="Arial" w:cs="Arial"/>
          <w:sz w:val="22"/>
          <w:szCs w:val="22"/>
        </w:rPr>
      </w:pPr>
      <w:bookmarkStart w:id="36" w:name="_2bn6wsx" w:colFirst="0" w:colLast="0"/>
      <w:bookmarkEnd w:id="36"/>
      <w:r w:rsidRPr="00A5537E">
        <w:rPr>
          <w:rFonts w:ascii="Arial" w:eastAsia="Arial" w:hAnsi="Arial" w:cs="Arial"/>
          <w:sz w:val="22"/>
          <w:szCs w:val="22"/>
        </w:rPr>
        <w:t>De igual forma, 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A5537E">
        <w:rPr>
          <w:rFonts w:ascii="Arial" w:eastAsia="Arial" w:hAnsi="Arial" w:cs="Arial"/>
          <w:vertAlign w:val="superscript"/>
        </w:rPr>
        <w:footnoteReference w:id="22"/>
      </w:r>
      <w:r w:rsidRPr="00A5537E">
        <w:rPr>
          <w:rFonts w:ascii="Arial" w:eastAsia="Arial" w:hAnsi="Arial" w:cs="Arial"/>
          <w:sz w:val="22"/>
          <w:szCs w:val="22"/>
        </w:rPr>
        <w:t>. Sin embargo, debe precisarse el siguiente aspecto que distinguió la Sala de Consulta y Servicio Civil:</w:t>
      </w:r>
    </w:p>
    <w:p w14:paraId="613E516E" w14:textId="77777777" w:rsidR="009E3AC0" w:rsidRPr="00A5537E" w:rsidRDefault="009E3AC0">
      <w:pPr>
        <w:spacing w:after="0"/>
        <w:rPr>
          <w:rFonts w:ascii="Arial" w:eastAsia="Arial" w:hAnsi="Arial" w:cs="Arial"/>
          <w:sz w:val="22"/>
          <w:szCs w:val="22"/>
        </w:rPr>
      </w:pPr>
    </w:p>
    <w:p w14:paraId="2EC6D1A3" w14:textId="77777777" w:rsidR="009E3AC0" w:rsidRPr="00A5537E" w:rsidRDefault="00622B0F">
      <w:pPr>
        <w:spacing w:after="0" w:line="240" w:lineRule="auto"/>
        <w:ind w:left="708" w:right="709"/>
        <w:rPr>
          <w:rFonts w:ascii="Arial" w:eastAsia="Arial" w:hAnsi="Arial" w:cs="Arial"/>
          <w:sz w:val="21"/>
          <w:szCs w:val="21"/>
        </w:rPr>
      </w:pPr>
      <w:bookmarkStart w:id="38" w:name="_qsh70q" w:colFirst="0" w:colLast="0"/>
      <w:bookmarkEnd w:id="38"/>
      <w:r w:rsidRPr="00A5537E">
        <w:rPr>
          <w:rFonts w:ascii="Arial" w:eastAsia="Arial" w:hAnsi="Arial" w:cs="Arial"/>
          <w:sz w:val="21"/>
          <w:szCs w:val="21"/>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w:t>
      </w:r>
      <w:r w:rsidRPr="00A5537E">
        <w:rPr>
          <w:rFonts w:ascii="Arial" w:eastAsia="Arial" w:hAnsi="Arial" w:cs="Arial"/>
          <w:sz w:val="21"/>
          <w:szCs w:val="21"/>
        </w:rPr>
        <w:lastRenderedPageBreak/>
        <w:t>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A5537E">
        <w:rPr>
          <w:rFonts w:ascii="Arial" w:eastAsia="Arial" w:hAnsi="Arial" w:cs="Arial"/>
          <w:vertAlign w:val="superscript"/>
        </w:rPr>
        <w:footnoteReference w:id="23"/>
      </w:r>
      <w:r w:rsidRPr="00A5537E">
        <w:rPr>
          <w:rFonts w:ascii="Arial" w:eastAsia="Arial" w:hAnsi="Arial" w:cs="Arial"/>
          <w:sz w:val="22"/>
          <w:szCs w:val="22"/>
        </w:rPr>
        <w:t>.</w:t>
      </w:r>
    </w:p>
    <w:p w14:paraId="1C652A8A" w14:textId="77777777" w:rsidR="009E3AC0" w:rsidRPr="00A5537E" w:rsidRDefault="009E3AC0">
      <w:pPr>
        <w:spacing w:after="0"/>
        <w:rPr>
          <w:rFonts w:ascii="Arial" w:eastAsia="Arial" w:hAnsi="Arial" w:cs="Arial"/>
          <w:sz w:val="22"/>
          <w:szCs w:val="22"/>
        </w:rPr>
      </w:pPr>
    </w:p>
    <w:p w14:paraId="701DBF2E" w14:textId="0E84D753" w:rsidR="009E3AC0" w:rsidRPr="00A5537E" w:rsidRDefault="00622B0F">
      <w:pPr>
        <w:spacing w:after="120"/>
        <w:ind w:firstLine="709"/>
        <w:rPr>
          <w:rFonts w:ascii="Arial" w:eastAsia="Arial" w:hAnsi="Arial" w:cs="Arial"/>
          <w:sz w:val="22"/>
          <w:szCs w:val="22"/>
        </w:rPr>
      </w:pPr>
      <w:bookmarkStart w:id="39" w:name="_3as4poj" w:colFirst="0" w:colLast="0"/>
      <w:bookmarkEnd w:id="39"/>
      <w:r w:rsidRPr="00A5537E">
        <w:rPr>
          <w:rFonts w:ascii="Arial" w:eastAsia="Arial" w:hAnsi="Arial" w:cs="Arial"/>
          <w:sz w:val="22"/>
          <w:szCs w:val="22"/>
        </w:rPr>
        <w:t>Aplicando este razonamiento,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r w:rsidRPr="00A5537E">
        <w:rPr>
          <w:rFonts w:ascii="Arial" w:eastAsia="Arial" w:hAnsi="Arial" w:cs="Arial"/>
          <w:vertAlign w:val="superscript"/>
        </w:rPr>
        <w:t xml:space="preserve"> </w:t>
      </w:r>
      <w:r w:rsidRPr="00A5537E">
        <w:rPr>
          <w:rFonts w:ascii="Arial" w:eastAsia="Arial" w:hAnsi="Arial" w:cs="Arial"/>
          <w:sz w:val="22"/>
          <w:szCs w:val="22"/>
          <w:vertAlign w:val="superscript"/>
        </w:rPr>
        <w:footnoteReference w:id="24"/>
      </w:r>
      <w:r w:rsidRPr="00A5537E">
        <w:rPr>
          <w:rFonts w:ascii="Arial" w:eastAsia="Arial" w:hAnsi="Arial" w:cs="Arial"/>
          <w:sz w:val="22"/>
          <w:szCs w:val="22"/>
        </w:rPr>
        <w:t>.</w:t>
      </w:r>
    </w:p>
    <w:p w14:paraId="403C39C1" w14:textId="77777777" w:rsidR="009E3AC0" w:rsidRPr="00A5537E" w:rsidRDefault="00622B0F">
      <w:pPr>
        <w:spacing w:after="0"/>
        <w:ind w:firstLine="708"/>
        <w:rPr>
          <w:rFonts w:ascii="Arial" w:eastAsia="Arial" w:hAnsi="Arial" w:cs="Arial"/>
          <w:sz w:val="22"/>
          <w:szCs w:val="22"/>
        </w:rPr>
      </w:pPr>
      <w:bookmarkStart w:id="40" w:name="_1pxezwc" w:colFirst="0" w:colLast="0"/>
      <w:bookmarkEnd w:id="40"/>
      <w:r w:rsidRPr="00A5537E">
        <w:rPr>
          <w:rFonts w:ascii="Arial" w:eastAsia="Arial" w:hAnsi="Arial" w:cs="Arial"/>
          <w:sz w:val="22"/>
          <w:szCs w:val="22"/>
        </w:rPr>
        <w:t>Por lo tanto, la restricción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61806645" w14:textId="77777777" w:rsidR="009E3AC0" w:rsidRPr="00A5537E" w:rsidRDefault="009E3AC0">
      <w:pPr>
        <w:spacing w:after="0"/>
        <w:rPr>
          <w:rFonts w:ascii="Arial" w:eastAsia="Arial" w:hAnsi="Arial" w:cs="Arial"/>
          <w:sz w:val="22"/>
          <w:szCs w:val="22"/>
        </w:rPr>
      </w:pPr>
    </w:p>
    <w:p w14:paraId="15E05802" w14:textId="19454DEB" w:rsidR="009E3AC0" w:rsidRPr="00A5537E" w:rsidRDefault="00622B0F">
      <w:pPr>
        <w:rPr>
          <w:rFonts w:ascii="Arial" w:eastAsia="Arial" w:hAnsi="Arial" w:cs="Arial"/>
          <w:b/>
          <w:sz w:val="22"/>
          <w:szCs w:val="22"/>
        </w:rPr>
      </w:pPr>
      <w:bookmarkStart w:id="41" w:name="_49x2ik5" w:colFirst="0" w:colLast="0"/>
      <w:bookmarkEnd w:id="41"/>
      <w:r w:rsidRPr="00A5537E">
        <w:rPr>
          <w:rFonts w:ascii="Arial" w:eastAsia="Arial" w:hAnsi="Arial" w:cs="Arial"/>
          <w:b/>
          <w:sz w:val="22"/>
          <w:szCs w:val="22"/>
        </w:rPr>
        <w:t>2.4. Restricciones para la celebración de contratos y convenios interadministrativos en los comicios de cargos de elección popular: prohibición del parágrafo del artículo 38 de la Ley 996 de 2005</w:t>
      </w:r>
    </w:p>
    <w:p w14:paraId="5A9D10A1" w14:textId="77777777" w:rsidR="009E3AC0" w:rsidRPr="00A5537E" w:rsidRDefault="00622B0F">
      <w:pPr>
        <w:tabs>
          <w:tab w:val="left" w:pos="426"/>
        </w:tabs>
        <w:spacing w:after="120"/>
        <w:rPr>
          <w:rFonts w:ascii="Arial" w:eastAsia="Arial" w:hAnsi="Arial" w:cs="Arial"/>
          <w:sz w:val="22"/>
          <w:szCs w:val="22"/>
        </w:rPr>
      </w:pPr>
      <w:r w:rsidRPr="00A5537E">
        <w:rPr>
          <w:rFonts w:ascii="Arial" w:eastAsia="Arial" w:hAnsi="Arial" w:cs="Arial"/>
          <w:sz w:val="22"/>
          <w:szCs w:val="22"/>
        </w:rPr>
        <w:t xml:space="preserve">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Los convenios o contratos interadministrativos que se restringen en el parágrafo del artículo 38 de la Ley 996 de 2005, son únicamente aquellos </w:t>
      </w:r>
      <w:r w:rsidRPr="00A5537E">
        <w:rPr>
          <w:rFonts w:ascii="Arial" w:eastAsia="Arial" w:hAnsi="Arial" w:cs="Arial"/>
          <w:sz w:val="22"/>
          <w:szCs w:val="22"/>
        </w:rPr>
        <w:lastRenderedPageBreak/>
        <w:t>en que se dispone la ejecución de recursos públicos, para evitar que mediante la suscripción de estos se comprometa el erario con fines políticos o partidistas</w:t>
      </w:r>
      <w:r w:rsidRPr="00A5537E">
        <w:rPr>
          <w:rFonts w:ascii="Arial" w:eastAsia="Arial" w:hAnsi="Arial" w:cs="Arial"/>
          <w:sz w:val="22"/>
          <w:szCs w:val="22"/>
          <w:vertAlign w:val="superscript"/>
        </w:rPr>
        <w:footnoteReference w:id="25"/>
      </w:r>
      <w:r w:rsidRPr="00A5537E">
        <w:rPr>
          <w:rFonts w:ascii="Arial" w:eastAsia="Arial" w:hAnsi="Arial" w:cs="Arial"/>
          <w:sz w:val="22"/>
          <w:szCs w:val="22"/>
        </w:rPr>
        <w:t>.</w:t>
      </w:r>
      <w:r w:rsidRPr="00A5537E">
        <w:rPr>
          <w:rFonts w:ascii="Arial" w:eastAsia="Arial" w:hAnsi="Arial" w:cs="Arial"/>
        </w:rPr>
        <w:t xml:space="preserve"> </w:t>
      </w:r>
    </w:p>
    <w:p w14:paraId="5693CA67" w14:textId="77777777" w:rsidR="009E3AC0" w:rsidRPr="00A5537E" w:rsidRDefault="00622B0F">
      <w:pPr>
        <w:widowControl w:val="0"/>
        <w:pBdr>
          <w:top w:val="nil"/>
          <w:left w:val="nil"/>
          <w:bottom w:val="nil"/>
          <w:right w:val="nil"/>
          <w:between w:val="nil"/>
        </w:pBdr>
        <w:spacing w:after="120"/>
        <w:ind w:firstLine="707"/>
        <w:rPr>
          <w:rFonts w:ascii="Arial" w:eastAsia="Arial" w:hAnsi="Arial" w:cs="Arial"/>
          <w:color w:val="000000"/>
          <w:sz w:val="22"/>
          <w:szCs w:val="22"/>
        </w:rPr>
      </w:pPr>
      <w:bookmarkStart w:id="42" w:name="_2p2csry" w:colFirst="0" w:colLast="0"/>
      <w:bookmarkEnd w:id="42"/>
      <w:r w:rsidRPr="00A5537E">
        <w:rPr>
          <w:rFonts w:ascii="Arial" w:eastAsia="Arial" w:hAnsi="Arial" w:cs="Arial"/>
          <w:color w:val="000000"/>
          <w:sz w:val="22"/>
          <w:szCs w:val="22"/>
        </w:rPr>
        <w:t>Ahora bien,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w:t>
      </w:r>
      <w:r w:rsidRPr="00A5537E">
        <w:rPr>
          <w:rFonts w:ascii="Arial" w:eastAsia="Arial" w:hAnsi="Arial" w:cs="Arial"/>
          <w:color w:val="000000"/>
          <w:sz w:val="22"/>
          <w:szCs w:val="22"/>
          <w:vertAlign w:val="superscript"/>
        </w:rPr>
        <w:footnoteReference w:id="26"/>
      </w:r>
      <w:r w:rsidRPr="00A5537E">
        <w:rPr>
          <w:rFonts w:ascii="Arial" w:eastAsia="Arial" w:hAnsi="Arial" w:cs="Arial"/>
          <w:color w:val="000000"/>
          <w:sz w:val="22"/>
          <w:szCs w:val="22"/>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7EC8AA0E" w14:textId="77777777" w:rsidR="009E3AC0" w:rsidRPr="00A5537E" w:rsidRDefault="00622B0F">
      <w:pPr>
        <w:widowControl w:val="0"/>
        <w:pBdr>
          <w:top w:val="nil"/>
          <w:left w:val="nil"/>
          <w:bottom w:val="nil"/>
          <w:right w:val="nil"/>
          <w:between w:val="nil"/>
        </w:pBdr>
        <w:spacing w:before="117" w:after="120"/>
        <w:ind w:firstLine="707"/>
        <w:rPr>
          <w:rFonts w:ascii="Arial" w:eastAsia="Arial" w:hAnsi="Arial" w:cs="Arial"/>
          <w:color w:val="000000"/>
          <w:sz w:val="22"/>
          <w:szCs w:val="22"/>
        </w:rPr>
      </w:pPr>
      <w:bookmarkStart w:id="43" w:name="_147n2zr" w:colFirst="0" w:colLast="0"/>
      <w:bookmarkEnd w:id="43"/>
      <w:r w:rsidRPr="00A5537E">
        <w:rPr>
          <w:rFonts w:ascii="Arial" w:eastAsia="Arial" w:hAnsi="Arial" w:cs="Arial"/>
          <w:color w:val="000000"/>
          <w:sz w:val="22"/>
          <w:szCs w:val="22"/>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7330D6B7" w14:textId="77777777" w:rsidR="009E3AC0" w:rsidRPr="00A5537E" w:rsidRDefault="00622B0F">
      <w:pPr>
        <w:widowControl w:val="0"/>
        <w:pBdr>
          <w:top w:val="nil"/>
          <w:left w:val="nil"/>
          <w:bottom w:val="nil"/>
          <w:right w:val="nil"/>
          <w:between w:val="nil"/>
        </w:pBdr>
        <w:spacing w:before="121" w:after="120"/>
        <w:ind w:firstLine="707"/>
        <w:rPr>
          <w:rFonts w:ascii="Arial" w:eastAsia="Arial" w:hAnsi="Arial" w:cs="Arial"/>
          <w:color w:val="000000"/>
          <w:sz w:val="22"/>
          <w:szCs w:val="22"/>
        </w:rPr>
      </w:pPr>
      <w:r w:rsidRPr="00A5537E">
        <w:rPr>
          <w:rFonts w:ascii="Arial" w:eastAsia="Arial" w:hAnsi="Arial" w:cs="Arial"/>
          <w:color w:val="000000"/>
          <w:sz w:val="22"/>
          <w:szCs w:val="22"/>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A5537E">
        <w:rPr>
          <w:rFonts w:ascii="Arial" w:eastAsia="Arial" w:hAnsi="Arial" w:cs="Arial"/>
          <w:color w:val="000000"/>
          <w:sz w:val="22"/>
          <w:szCs w:val="22"/>
          <w:vertAlign w:val="superscript"/>
        </w:rPr>
        <w:footnoteReference w:id="27"/>
      </w:r>
      <w:r w:rsidRPr="00A5537E">
        <w:rPr>
          <w:rFonts w:ascii="Arial" w:eastAsia="Arial" w:hAnsi="Arial" w:cs="Arial"/>
          <w:color w:val="000000"/>
          <w:sz w:val="22"/>
          <w:szCs w:val="22"/>
        </w:rPr>
        <w:t xml:space="preserve">. Nótese que, en este caso, lo que cambia es la modalidad de </w:t>
      </w:r>
      <w:r w:rsidRPr="00A5537E">
        <w:rPr>
          <w:rFonts w:ascii="Arial" w:eastAsia="Arial" w:hAnsi="Arial" w:cs="Arial"/>
          <w:color w:val="000000"/>
          <w:sz w:val="22"/>
          <w:szCs w:val="22"/>
        </w:rPr>
        <w:lastRenderedPageBreak/>
        <w:t>selección y no la naturaleza de contrato interadministrativo.</w:t>
      </w:r>
    </w:p>
    <w:p w14:paraId="33AA1F98" w14:textId="77777777" w:rsidR="009E3AC0" w:rsidRPr="00A5537E" w:rsidRDefault="00622B0F">
      <w:pPr>
        <w:widowControl w:val="0"/>
        <w:pBdr>
          <w:top w:val="nil"/>
          <w:left w:val="nil"/>
          <w:bottom w:val="nil"/>
          <w:right w:val="nil"/>
          <w:between w:val="nil"/>
        </w:pBdr>
        <w:spacing w:before="114" w:after="0"/>
        <w:ind w:firstLine="707"/>
        <w:rPr>
          <w:rFonts w:ascii="Arial" w:eastAsia="Arial" w:hAnsi="Arial" w:cs="Arial"/>
          <w:color w:val="000000"/>
          <w:sz w:val="22"/>
          <w:szCs w:val="22"/>
        </w:rPr>
      </w:pPr>
      <w:r w:rsidRPr="00A5537E">
        <w:rPr>
          <w:rFonts w:ascii="Arial" w:eastAsia="Arial" w:hAnsi="Arial" w:cs="Arial"/>
          <w:color w:val="000000"/>
          <w:sz w:val="22"/>
          <w:szCs w:val="22"/>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208AE077" w14:textId="77777777" w:rsidR="009E3AC0" w:rsidRPr="00A5537E" w:rsidRDefault="009E3AC0">
      <w:pPr>
        <w:widowControl w:val="0"/>
        <w:pBdr>
          <w:top w:val="nil"/>
          <w:left w:val="nil"/>
          <w:bottom w:val="nil"/>
          <w:right w:val="nil"/>
          <w:between w:val="nil"/>
        </w:pBdr>
        <w:spacing w:after="0"/>
        <w:ind w:firstLine="707"/>
        <w:rPr>
          <w:rFonts w:ascii="Arial" w:eastAsia="Arial" w:hAnsi="Arial" w:cs="Arial"/>
          <w:color w:val="000000"/>
          <w:sz w:val="22"/>
          <w:szCs w:val="22"/>
        </w:rPr>
      </w:pPr>
    </w:p>
    <w:p w14:paraId="0AD1EB55" w14:textId="77777777" w:rsidR="009E3AC0" w:rsidRPr="00A5537E" w:rsidRDefault="00622B0F">
      <w:pPr>
        <w:spacing w:after="0" w:line="240" w:lineRule="auto"/>
        <w:ind w:left="709" w:right="709"/>
        <w:rPr>
          <w:rFonts w:ascii="Arial" w:eastAsia="Arial" w:hAnsi="Arial" w:cs="Arial"/>
          <w:sz w:val="21"/>
          <w:szCs w:val="21"/>
        </w:rPr>
      </w:pPr>
      <w:r w:rsidRPr="00A5537E">
        <w:rPr>
          <w:rFonts w:ascii="Arial" w:eastAsia="Arial" w:hAnsi="Arial" w:cs="Arial"/>
          <w:sz w:val="21"/>
          <w:szCs w:val="21"/>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A5537E">
        <w:rPr>
          <w:rFonts w:ascii="Arial" w:eastAsia="Arial" w:hAnsi="Arial" w:cs="Arial"/>
          <w:sz w:val="21"/>
          <w:szCs w:val="21"/>
          <w:vertAlign w:val="superscript"/>
        </w:rPr>
        <w:footnoteReference w:id="28"/>
      </w:r>
      <w:r w:rsidRPr="00A5537E">
        <w:rPr>
          <w:rFonts w:ascii="Arial" w:eastAsia="Arial" w:hAnsi="Arial" w:cs="Arial"/>
          <w:sz w:val="21"/>
          <w:szCs w:val="21"/>
        </w:rPr>
        <w:t>.</w:t>
      </w:r>
    </w:p>
    <w:p w14:paraId="323DD4E7" w14:textId="77777777" w:rsidR="009E3AC0" w:rsidRPr="00A5537E" w:rsidRDefault="009E3AC0">
      <w:pPr>
        <w:spacing w:after="0"/>
        <w:ind w:left="709" w:right="709"/>
        <w:rPr>
          <w:sz w:val="22"/>
          <w:szCs w:val="22"/>
        </w:rPr>
      </w:pPr>
    </w:p>
    <w:p w14:paraId="091D5E2A" w14:textId="77777777" w:rsidR="009E3AC0" w:rsidRPr="00A5537E" w:rsidRDefault="00622B0F">
      <w:pPr>
        <w:widowControl w:val="0"/>
        <w:pBdr>
          <w:top w:val="nil"/>
          <w:left w:val="nil"/>
          <w:bottom w:val="nil"/>
          <w:right w:val="nil"/>
          <w:between w:val="nil"/>
        </w:pBdr>
        <w:spacing w:after="120"/>
        <w:ind w:firstLine="707"/>
        <w:rPr>
          <w:rFonts w:ascii="Arial" w:eastAsia="Arial" w:hAnsi="Arial" w:cs="Arial"/>
          <w:color w:val="000000"/>
          <w:sz w:val="22"/>
          <w:szCs w:val="22"/>
        </w:rPr>
      </w:pPr>
      <w:r w:rsidRPr="00A5537E">
        <w:rPr>
          <w:rFonts w:ascii="Arial" w:eastAsia="Arial" w:hAnsi="Arial" w:cs="Arial"/>
          <w:color w:val="000000"/>
          <w:sz w:val="22"/>
          <w:szCs w:val="22"/>
        </w:rPr>
        <w:t>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46B2263B" w14:textId="77777777" w:rsidR="009E3AC0" w:rsidRPr="00A5537E" w:rsidRDefault="00622B0F">
      <w:pPr>
        <w:widowControl w:val="0"/>
        <w:pBdr>
          <w:top w:val="nil"/>
          <w:left w:val="nil"/>
          <w:bottom w:val="nil"/>
          <w:right w:val="nil"/>
          <w:between w:val="nil"/>
        </w:pBdr>
        <w:spacing w:before="119" w:after="120"/>
        <w:ind w:firstLine="707"/>
        <w:rPr>
          <w:rFonts w:ascii="Arial" w:eastAsia="Arial" w:hAnsi="Arial" w:cs="Arial"/>
          <w:color w:val="000000"/>
          <w:sz w:val="22"/>
          <w:szCs w:val="22"/>
        </w:rPr>
      </w:pPr>
      <w:r w:rsidRPr="00A5537E">
        <w:rPr>
          <w:rFonts w:ascii="Arial" w:eastAsia="Arial" w:hAnsi="Arial" w:cs="Arial"/>
          <w:color w:val="000000"/>
          <w:sz w:val="22"/>
          <w:szCs w:val="22"/>
        </w:rPr>
        <w:t xml:space="preserve">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w:t>
      </w:r>
      <w:r w:rsidRPr="00A5537E">
        <w:rPr>
          <w:rFonts w:ascii="Arial" w:eastAsia="Arial" w:hAnsi="Arial" w:cs="Arial"/>
          <w:color w:val="000000"/>
          <w:sz w:val="22"/>
          <w:szCs w:val="22"/>
        </w:rPr>
        <w:lastRenderedPageBreak/>
        <w:t>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 estatales.</w:t>
      </w:r>
    </w:p>
    <w:p w14:paraId="3B718F62" w14:textId="77777777" w:rsidR="009E3AC0" w:rsidRPr="00A5537E" w:rsidRDefault="00622B0F">
      <w:pPr>
        <w:widowControl w:val="0"/>
        <w:pBdr>
          <w:top w:val="nil"/>
          <w:left w:val="nil"/>
          <w:bottom w:val="nil"/>
          <w:right w:val="nil"/>
          <w:between w:val="nil"/>
        </w:pBdr>
        <w:spacing w:before="120"/>
        <w:ind w:firstLine="709"/>
        <w:rPr>
          <w:rFonts w:ascii="Arial" w:eastAsia="Arial" w:hAnsi="Arial" w:cs="Arial"/>
          <w:color w:val="000000"/>
          <w:sz w:val="22"/>
          <w:szCs w:val="22"/>
        </w:rPr>
      </w:pPr>
      <w:r w:rsidRPr="00A5537E">
        <w:rPr>
          <w:rFonts w:ascii="Arial" w:eastAsia="Arial" w:hAnsi="Arial" w:cs="Arial"/>
          <w:color w:val="000000"/>
          <w:sz w:val="22"/>
          <w:szCs w:val="22"/>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p>
    <w:p w14:paraId="0E96764D" w14:textId="77777777" w:rsidR="009E3AC0" w:rsidRPr="00A5537E" w:rsidRDefault="00622B0F">
      <w:pPr>
        <w:widowControl w:val="0"/>
        <w:pBdr>
          <w:top w:val="nil"/>
          <w:left w:val="nil"/>
          <w:bottom w:val="nil"/>
          <w:right w:val="nil"/>
          <w:between w:val="nil"/>
        </w:pBdr>
        <w:spacing w:before="122" w:after="120"/>
        <w:ind w:firstLine="708"/>
        <w:rPr>
          <w:rFonts w:ascii="Arial" w:eastAsia="Arial" w:hAnsi="Arial" w:cs="Arial"/>
          <w:color w:val="000000"/>
          <w:sz w:val="22"/>
          <w:szCs w:val="22"/>
        </w:rPr>
      </w:pPr>
      <w:r w:rsidRPr="00A5537E">
        <w:rPr>
          <w:rFonts w:ascii="Arial" w:eastAsia="Arial" w:hAnsi="Arial" w:cs="Arial"/>
          <w:color w:val="000000"/>
          <w:sz w:val="22"/>
          <w:szCs w:val="22"/>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3D451754" w14:textId="77777777" w:rsidR="009E3AC0" w:rsidRPr="00A5537E" w:rsidRDefault="00622B0F">
      <w:pPr>
        <w:widowControl w:val="0"/>
        <w:pBdr>
          <w:top w:val="nil"/>
          <w:left w:val="nil"/>
          <w:bottom w:val="nil"/>
          <w:right w:val="nil"/>
          <w:between w:val="nil"/>
        </w:pBdr>
        <w:spacing w:after="0"/>
        <w:ind w:firstLine="708"/>
        <w:rPr>
          <w:rFonts w:ascii="Arial" w:eastAsia="Arial" w:hAnsi="Arial" w:cs="Arial"/>
          <w:color w:val="000000"/>
          <w:sz w:val="22"/>
          <w:szCs w:val="22"/>
        </w:rPr>
      </w:pPr>
      <w:bookmarkStart w:id="44" w:name="_3o7alnk" w:colFirst="0" w:colLast="0"/>
      <w:bookmarkEnd w:id="44"/>
      <w:r w:rsidRPr="00A5537E">
        <w:rPr>
          <w:rFonts w:ascii="Arial" w:eastAsia="Arial" w:hAnsi="Arial" w:cs="Arial"/>
          <w:color w:val="000000"/>
          <w:sz w:val="22"/>
          <w:szCs w:val="22"/>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 […]»</w:t>
      </w:r>
      <w:r w:rsidRPr="00A5537E">
        <w:rPr>
          <w:rFonts w:ascii="Arial" w:eastAsia="Arial" w:hAnsi="Arial" w:cs="Arial"/>
          <w:color w:val="000000"/>
          <w:sz w:val="22"/>
          <w:szCs w:val="22"/>
          <w:vertAlign w:val="superscript"/>
        </w:rPr>
        <w:footnoteReference w:id="29"/>
      </w:r>
      <w:r w:rsidRPr="00A5537E">
        <w:rPr>
          <w:rFonts w:ascii="Arial" w:eastAsia="Arial" w:hAnsi="Arial" w:cs="Arial"/>
          <w:color w:val="000000"/>
          <w:sz w:val="22"/>
          <w:szCs w:val="22"/>
        </w:rPr>
        <w:t>.</w:t>
      </w:r>
    </w:p>
    <w:p w14:paraId="1E9CC391" w14:textId="12CADDC8" w:rsidR="009E3AC0" w:rsidRPr="00A5537E" w:rsidRDefault="00622B0F">
      <w:pPr>
        <w:widowControl w:val="0"/>
        <w:pBdr>
          <w:top w:val="nil"/>
          <w:left w:val="nil"/>
          <w:bottom w:val="nil"/>
          <w:right w:val="nil"/>
          <w:between w:val="nil"/>
        </w:pBdr>
        <w:spacing w:before="122"/>
        <w:ind w:firstLine="709"/>
        <w:rPr>
          <w:rFonts w:ascii="Arial" w:eastAsia="Arial" w:hAnsi="Arial" w:cs="Arial"/>
          <w:color w:val="000000"/>
          <w:sz w:val="22"/>
          <w:szCs w:val="22"/>
        </w:rPr>
      </w:pPr>
      <w:r w:rsidRPr="00A5537E">
        <w:rPr>
          <w:rFonts w:ascii="Arial" w:eastAsia="Arial" w:hAnsi="Arial" w:cs="Arial"/>
          <w:color w:val="000000"/>
          <w:sz w:val="22"/>
          <w:szCs w:val="22"/>
        </w:rPr>
        <w:lastRenderedPageBreak/>
        <w:t>Sin perjuicio de lo anterior, vale la pena tener en cuenta que un sector de la doctrina y la jurisprudencia ha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7F07412D" w14:textId="77777777" w:rsidR="009E3AC0" w:rsidRPr="00A5537E" w:rsidRDefault="00622B0F">
      <w:pPr>
        <w:spacing w:after="0" w:line="240" w:lineRule="auto"/>
        <w:ind w:left="709" w:right="709"/>
        <w:rPr>
          <w:rFonts w:ascii="Arial" w:eastAsia="Arial" w:hAnsi="Arial" w:cs="Arial"/>
          <w:sz w:val="21"/>
          <w:szCs w:val="21"/>
        </w:rPr>
      </w:pPr>
      <w:r w:rsidRPr="00A5537E">
        <w:rPr>
          <w:rFonts w:ascii="Arial" w:eastAsia="Arial" w:hAnsi="Arial" w:cs="Arial"/>
          <w:sz w:val="21"/>
          <w:szCs w:val="21"/>
        </w:rPr>
        <w:t>La Sala de Consulta y Servicio Civil</w:t>
      </w:r>
      <w:r w:rsidRPr="00A5537E">
        <w:rPr>
          <w:rFonts w:ascii="Arial" w:eastAsia="Arial" w:hAnsi="Arial" w:cs="Arial"/>
          <w:sz w:val="21"/>
          <w:szCs w:val="21"/>
          <w:vertAlign w:val="superscript"/>
        </w:rPr>
        <w:footnoteReference w:id="30"/>
      </w:r>
      <w:r w:rsidRPr="00A5537E">
        <w:rPr>
          <w:rFonts w:ascii="Arial" w:eastAsia="Arial" w:hAnsi="Arial" w:cs="Arial"/>
          <w:sz w:val="21"/>
          <w:szCs w:val="21"/>
        </w:rPr>
        <w:t xml:space="preserve"> de esta Corporación se ha referido a los </w:t>
      </w:r>
      <w:r w:rsidRPr="00A5537E">
        <w:rPr>
          <w:rFonts w:ascii="Arial" w:eastAsia="Arial" w:hAnsi="Arial" w:cs="Arial"/>
          <w:i/>
          <w:sz w:val="21"/>
          <w:szCs w:val="21"/>
        </w:rPr>
        <w:t>“convenios interadministrativos”</w:t>
      </w:r>
      <w:r w:rsidRPr="00A5537E">
        <w:rPr>
          <w:rFonts w:ascii="Arial" w:eastAsia="Arial" w:hAnsi="Arial" w:cs="Arial"/>
          <w:sz w:val="21"/>
          <w:szCs w:val="21"/>
        </w:rPr>
        <w:t xml:space="preserve"> a los cuales alude el artículo 95 de la Ley 489 de 1998, calificándolos de </w:t>
      </w:r>
      <w:r w:rsidRPr="00A5537E">
        <w:rPr>
          <w:rFonts w:ascii="Arial" w:eastAsia="Arial" w:hAnsi="Arial" w:cs="Arial"/>
          <w:i/>
          <w:sz w:val="21"/>
          <w:szCs w:val="21"/>
        </w:rPr>
        <w:t xml:space="preserve">“puros” </w:t>
      </w:r>
      <w:r w:rsidRPr="00A5537E">
        <w:rPr>
          <w:rFonts w:ascii="Arial" w:eastAsia="Arial" w:hAnsi="Arial" w:cs="Arial"/>
          <w:sz w:val="21"/>
          <w:szCs w:val="21"/>
        </w:rPr>
        <w:t xml:space="preserve">y entendiendo que estos, además de perseguir la finalidad de cooperación antes indicada, no implican intereses contrapuestos ni tampoco se circunscriben a un </w:t>
      </w:r>
      <w:r w:rsidRPr="00A5537E">
        <w:rPr>
          <w:rFonts w:ascii="Arial" w:eastAsia="Arial" w:hAnsi="Arial" w:cs="Arial"/>
          <w:i/>
          <w:sz w:val="21"/>
          <w:szCs w:val="21"/>
        </w:rPr>
        <w:t>“intercambio patrimonial”</w:t>
      </w:r>
      <w:r w:rsidRPr="00A5537E">
        <w:rPr>
          <w:rFonts w:ascii="Arial" w:eastAsia="Arial" w:hAnsi="Arial" w:cs="Arial"/>
          <w:sz w:val="21"/>
          <w:szCs w:val="21"/>
        </w:rPr>
        <w:t>. Sin perjuicio de lo anterior, en otra oportunidad, la misma Sala</w:t>
      </w:r>
      <w:r w:rsidRPr="00A5537E">
        <w:rPr>
          <w:rFonts w:ascii="Arial" w:eastAsia="Arial" w:hAnsi="Arial" w:cs="Arial"/>
          <w:sz w:val="21"/>
          <w:szCs w:val="21"/>
          <w:vertAlign w:val="superscript"/>
        </w:rPr>
        <w:footnoteReference w:id="31"/>
      </w:r>
      <w:r w:rsidRPr="00A5537E">
        <w:rPr>
          <w:rFonts w:ascii="Arial" w:eastAsia="Arial" w:hAnsi="Arial" w:cs="Arial"/>
          <w:sz w:val="21"/>
          <w:szCs w:val="21"/>
        </w:rPr>
        <w:t xml:space="preserve"> había indicado que, si bien en dichos convenios no se daba un </w:t>
      </w:r>
      <w:r w:rsidRPr="00A5537E">
        <w:rPr>
          <w:rFonts w:ascii="Arial" w:eastAsia="Arial" w:hAnsi="Arial" w:cs="Arial"/>
          <w:i/>
          <w:sz w:val="21"/>
          <w:szCs w:val="21"/>
        </w:rPr>
        <w:t>“verdadero intercambio de bienes o servicios (contrato conmutativo)”</w:t>
      </w:r>
      <w:r w:rsidRPr="00A5537E">
        <w:rPr>
          <w:rFonts w:ascii="Arial" w:eastAsia="Arial" w:hAnsi="Arial" w:cs="Arial"/>
          <w:sz w:val="21"/>
          <w:szCs w:val="21"/>
        </w:rPr>
        <w:t>, ello no impedía que se conviniera una remuneración a cargo de alguna(s) entidad(es).</w:t>
      </w:r>
    </w:p>
    <w:p w14:paraId="545C61B1" w14:textId="77777777" w:rsidR="009E3AC0" w:rsidRPr="00A5537E" w:rsidRDefault="009E3AC0">
      <w:pPr>
        <w:spacing w:after="0" w:line="240" w:lineRule="auto"/>
        <w:ind w:left="709" w:right="709"/>
        <w:rPr>
          <w:rFonts w:ascii="Arial" w:eastAsia="Arial" w:hAnsi="Arial" w:cs="Arial"/>
          <w:sz w:val="21"/>
          <w:szCs w:val="21"/>
        </w:rPr>
      </w:pPr>
    </w:p>
    <w:p w14:paraId="771CB75D" w14:textId="77777777" w:rsidR="009E3AC0" w:rsidRPr="00A5537E" w:rsidRDefault="00622B0F">
      <w:pPr>
        <w:widowControl w:val="0"/>
        <w:pBdr>
          <w:top w:val="nil"/>
          <w:left w:val="nil"/>
          <w:bottom w:val="nil"/>
          <w:right w:val="nil"/>
          <w:between w:val="nil"/>
        </w:pBdr>
        <w:spacing w:after="0" w:line="240" w:lineRule="auto"/>
        <w:ind w:left="709" w:right="709"/>
        <w:rPr>
          <w:rFonts w:ascii="Arial" w:eastAsia="Arial" w:hAnsi="Arial" w:cs="Arial"/>
          <w:color w:val="000000"/>
          <w:sz w:val="21"/>
          <w:szCs w:val="21"/>
        </w:rPr>
      </w:pPr>
      <w:r w:rsidRPr="00A5537E">
        <w:rPr>
          <w:rFonts w:ascii="Arial" w:eastAsia="Arial" w:hAnsi="Arial" w:cs="Arial"/>
          <w:color w:val="000000"/>
          <w:sz w:val="21"/>
          <w:szCs w:val="21"/>
        </w:rPr>
        <w:t xml:space="preserve">Lo expuesto evidencia que, en general, las interpretaciones en torno a los </w:t>
      </w:r>
      <w:r w:rsidRPr="00A5537E">
        <w:rPr>
          <w:rFonts w:ascii="Arial" w:eastAsia="Arial" w:hAnsi="Arial" w:cs="Arial"/>
          <w:i/>
          <w:color w:val="000000"/>
          <w:sz w:val="21"/>
          <w:szCs w:val="21"/>
        </w:rPr>
        <w:t>“convenios interadministrativos”</w:t>
      </w:r>
      <w:r w:rsidRPr="00A5537E">
        <w:rPr>
          <w:rFonts w:ascii="Arial" w:eastAsia="Arial" w:hAnsi="Arial" w:cs="Arial"/>
          <w:color w:val="000000"/>
          <w:sz w:val="21"/>
          <w:szCs w:val="21"/>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A5537E">
        <w:rPr>
          <w:rFonts w:ascii="Arial" w:eastAsia="Arial" w:hAnsi="Arial" w:cs="Arial"/>
          <w:color w:val="000000"/>
          <w:sz w:val="21"/>
          <w:szCs w:val="21"/>
          <w:vertAlign w:val="superscript"/>
        </w:rPr>
        <w:footnoteReference w:id="32"/>
      </w:r>
      <w:r w:rsidRPr="00A5537E">
        <w:rPr>
          <w:rFonts w:ascii="Arial" w:eastAsia="Arial" w:hAnsi="Arial" w:cs="Arial"/>
          <w:color w:val="000000"/>
          <w:sz w:val="21"/>
          <w:szCs w:val="21"/>
          <w:vertAlign w:val="superscript"/>
        </w:rPr>
        <w:footnoteReference w:id="33"/>
      </w:r>
      <w:r w:rsidRPr="00A5537E">
        <w:rPr>
          <w:rFonts w:ascii="Arial" w:eastAsia="Arial" w:hAnsi="Arial" w:cs="Arial"/>
          <w:color w:val="000000"/>
          <w:sz w:val="21"/>
          <w:szCs w:val="21"/>
        </w:rPr>
        <w:t>.</w:t>
      </w:r>
    </w:p>
    <w:p w14:paraId="23B3527D" w14:textId="77777777" w:rsidR="009E3AC0" w:rsidRPr="00A5537E" w:rsidRDefault="009E3AC0">
      <w:pPr>
        <w:widowControl w:val="0"/>
        <w:pBdr>
          <w:top w:val="nil"/>
          <w:left w:val="nil"/>
          <w:bottom w:val="nil"/>
          <w:right w:val="nil"/>
          <w:between w:val="nil"/>
        </w:pBdr>
        <w:spacing w:after="0" w:line="240" w:lineRule="auto"/>
        <w:rPr>
          <w:rFonts w:ascii="Arial" w:eastAsia="Arial" w:hAnsi="Arial" w:cs="Arial"/>
          <w:color w:val="000000"/>
          <w:sz w:val="22"/>
          <w:szCs w:val="22"/>
        </w:rPr>
      </w:pPr>
    </w:p>
    <w:p w14:paraId="317047DF" w14:textId="38F8261C" w:rsidR="009E3AC0" w:rsidRPr="00A5537E" w:rsidRDefault="00622B0F">
      <w:pPr>
        <w:widowControl w:val="0"/>
        <w:pBdr>
          <w:top w:val="nil"/>
          <w:left w:val="nil"/>
          <w:bottom w:val="nil"/>
          <w:right w:val="nil"/>
          <w:between w:val="nil"/>
        </w:pBdr>
        <w:spacing w:after="120"/>
        <w:rPr>
          <w:rFonts w:ascii="Arial" w:eastAsia="Arial" w:hAnsi="Arial" w:cs="Arial"/>
          <w:color w:val="000000"/>
          <w:sz w:val="22"/>
          <w:szCs w:val="22"/>
        </w:rPr>
      </w:pPr>
      <w:r w:rsidRPr="00A5537E">
        <w:rPr>
          <w:rFonts w:ascii="Arial" w:eastAsia="Arial" w:hAnsi="Arial" w:cs="Arial"/>
          <w:color w:val="000000"/>
          <w:sz w:val="22"/>
          <w:szCs w:val="22"/>
        </w:rPr>
        <w:tab/>
        <w:t xml:space="preserve">Sin perjuicio de lo indicado, debe reiterarse que el ordenamiento jurídico, en distintas ocasiones, utiliza de forma indistinta los conceptos de contrato o convenio para referirse a </w:t>
      </w:r>
      <w:r w:rsidRPr="00A5537E">
        <w:rPr>
          <w:rFonts w:ascii="Arial" w:eastAsia="Arial" w:hAnsi="Arial" w:cs="Arial"/>
          <w:color w:val="000000"/>
          <w:sz w:val="22"/>
          <w:szCs w:val="22"/>
        </w:rPr>
        <w:lastRenderedPageBreak/>
        <w:t>la misma institución jurídica</w:t>
      </w:r>
      <w:r w:rsidRPr="00A5537E">
        <w:rPr>
          <w:rFonts w:ascii="Arial" w:eastAsia="Arial" w:hAnsi="Arial" w:cs="Arial"/>
          <w:color w:val="000000"/>
          <w:sz w:val="22"/>
          <w:szCs w:val="22"/>
          <w:vertAlign w:val="superscript"/>
        </w:rPr>
        <w:footnoteReference w:id="34"/>
      </w:r>
      <w:r w:rsidRPr="00A5537E">
        <w:rPr>
          <w:rFonts w:ascii="Arial" w:eastAsia="Arial" w:hAnsi="Arial" w:cs="Arial"/>
          <w:color w:val="000000"/>
          <w:sz w:val="22"/>
          <w:szCs w:val="22"/>
        </w:rPr>
        <w:t>. Incluso vale la pena tener en cuenta cómo la Corte Constitucional fundamenta la posibilidad de celebrar convenios interadministrativos de forma directa, con fundamento en la causal establecida en la Ley 1150 de 2007 respecto a los contratos interadministrativos</w:t>
      </w:r>
      <w:r w:rsidRPr="00A5537E">
        <w:rPr>
          <w:rFonts w:ascii="Arial" w:eastAsia="Arial" w:hAnsi="Arial" w:cs="Arial"/>
          <w:color w:val="000000"/>
          <w:sz w:val="22"/>
          <w:szCs w:val="22"/>
          <w:vertAlign w:val="superscript"/>
        </w:rPr>
        <w:footnoteReference w:id="35"/>
      </w:r>
      <w:r w:rsidRPr="00A5537E">
        <w:rPr>
          <w:rFonts w:ascii="Arial" w:eastAsia="Arial" w:hAnsi="Arial" w:cs="Arial"/>
          <w:color w:val="000000"/>
          <w:sz w:val="22"/>
          <w:szCs w:val="22"/>
        </w:rPr>
        <w:t>.</w:t>
      </w:r>
    </w:p>
    <w:p w14:paraId="3B821446" w14:textId="22DAD66B" w:rsidR="009E3AC0" w:rsidRPr="00A5537E" w:rsidRDefault="00622B0F">
      <w:pPr>
        <w:widowControl w:val="0"/>
        <w:pBdr>
          <w:top w:val="nil"/>
          <w:left w:val="nil"/>
          <w:bottom w:val="nil"/>
          <w:right w:val="nil"/>
          <w:between w:val="nil"/>
        </w:pBdr>
        <w:spacing w:after="0"/>
        <w:rPr>
          <w:rFonts w:ascii="Arial" w:eastAsia="Arial" w:hAnsi="Arial" w:cs="Arial"/>
          <w:color w:val="000000"/>
          <w:sz w:val="22"/>
          <w:szCs w:val="22"/>
        </w:rPr>
      </w:pPr>
      <w:r w:rsidRPr="00A5537E">
        <w:rPr>
          <w:rFonts w:ascii="Arial" w:eastAsia="Arial" w:hAnsi="Arial" w:cs="Arial"/>
          <w:color w:val="000000"/>
          <w:sz w:val="22"/>
          <w:szCs w:val="22"/>
        </w:rPr>
        <w:tab/>
        <w:t>En desarrollo de lo anterior, es importante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0850883E" w14:textId="77777777" w:rsidR="009E3AC0" w:rsidRPr="00A5537E" w:rsidRDefault="009E3AC0">
      <w:pPr>
        <w:widowControl w:val="0"/>
        <w:pBdr>
          <w:top w:val="nil"/>
          <w:left w:val="nil"/>
          <w:bottom w:val="nil"/>
          <w:right w:val="nil"/>
          <w:between w:val="nil"/>
        </w:pBdr>
        <w:spacing w:after="0"/>
        <w:rPr>
          <w:rFonts w:ascii="Arial" w:eastAsia="Arial" w:hAnsi="Arial" w:cs="Arial"/>
          <w:color w:val="000000"/>
          <w:sz w:val="22"/>
          <w:szCs w:val="22"/>
        </w:rPr>
      </w:pPr>
    </w:p>
    <w:p w14:paraId="14875897" w14:textId="77777777" w:rsidR="009E3AC0" w:rsidRPr="00A5537E" w:rsidRDefault="00622B0F">
      <w:pPr>
        <w:spacing w:after="0" w:line="240" w:lineRule="auto"/>
        <w:ind w:left="709" w:right="709"/>
        <w:rPr>
          <w:rFonts w:ascii="Arial" w:eastAsia="Arial" w:hAnsi="Arial" w:cs="Arial"/>
          <w:sz w:val="21"/>
          <w:szCs w:val="21"/>
        </w:rPr>
      </w:pPr>
      <w:r w:rsidRPr="00A5537E">
        <w:rPr>
          <w:rFonts w:ascii="Arial" w:eastAsia="Arial" w:hAnsi="Arial" w:cs="Arial"/>
          <w:sz w:val="21"/>
          <w:szCs w:val="21"/>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275E56D3" w14:textId="77777777" w:rsidR="009E3AC0" w:rsidRPr="00A5537E" w:rsidRDefault="009E3AC0">
      <w:pPr>
        <w:spacing w:after="0" w:line="240" w:lineRule="auto"/>
        <w:ind w:left="709" w:right="709"/>
        <w:rPr>
          <w:rFonts w:ascii="Arial" w:eastAsia="Arial" w:hAnsi="Arial" w:cs="Arial"/>
          <w:sz w:val="21"/>
          <w:szCs w:val="21"/>
        </w:rPr>
      </w:pPr>
    </w:p>
    <w:p w14:paraId="69359871" w14:textId="77777777" w:rsidR="009E3AC0" w:rsidRPr="00A5537E" w:rsidRDefault="00622B0F">
      <w:pPr>
        <w:spacing w:after="0" w:line="240" w:lineRule="auto"/>
        <w:ind w:left="709" w:right="709"/>
        <w:rPr>
          <w:rFonts w:ascii="Arial" w:eastAsia="Arial" w:hAnsi="Arial" w:cs="Arial"/>
          <w:sz w:val="21"/>
          <w:szCs w:val="21"/>
        </w:rPr>
      </w:pPr>
      <w:r w:rsidRPr="00A5537E">
        <w:rPr>
          <w:rFonts w:ascii="Arial" w:eastAsia="Arial"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4826254E" w14:textId="77777777" w:rsidR="009E3AC0" w:rsidRPr="00A5537E" w:rsidRDefault="009E3AC0">
      <w:pPr>
        <w:spacing w:after="0" w:line="240" w:lineRule="auto"/>
        <w:ind w:left="709" w:right="709"/>
        <w:rPr>
          <w:rFonts w:ascii="Arial" w:eastAsia="Arial" w:hAnsi="Arial" w:cs="Arial"/>
          <w:sz w:val="21"/>
          <w:szCs w:val="21"/>
        </w:rPr>
      </w:pPr>
    </w:p>
    <w:p w14:paraId="7A71FDA5" w14:textId="77777777" w:rsidR="009E3AC0" w:rsidRPr="00A5537E" w:rsidRDefault="00622B0F">
      <w:pPr>
        <w:spacing w:after="0" w:line="240" w:lineRule="auto"/>
        <w:ind w:left="709" w:right="709"/>
      </w:pPr>
      <w:r w:rsidRPr="00A5537E">
        <w:rPr>
          <w:rFonts w:ascii="Arial" w:eastAsia="Arial"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021C9AC1" w14:textId="77777777" w:rsidR="009E3AC0" w:rsidRPr="00A5537E" w:rsidRDefault="009E3AC0">
      <w:pPr>
        <w:widowControl w:val="0"/>
        <w:pBdr>
          <w:top w:val="nil"/>
          <w:left w:val="nil"/>
          <w:bottom w:val="nil"/>
          <w:right w:val="nil"/>
          <w:between w:val="nil"/>
        </w:pBdr>
        <w:spacing w:before="3" w:after="0" w:line="240" w:lineRule="auto"/>
        <w:rPr>
          <w:rFonts w:ascii="Arial" w:eastAsia="Arial" w:hAnsi="Arial" w:cs="Arial"/>
          <w:color w:val="000000"/>
          <w:sz w:val="25"/>
          <w:szCs w:val="25"/>
        </w:rPr>
      </w:pPr>
    </w:p>
    <w:p w14:paraId="1E69A2AD" w14:textId="77777777" w:rsidR="009E3AC0" w:rsidRPr="00A5537E" w:rsidRDefault="00622B0F">
      <w:pPr>
        <w:widowControl w:val="0"/>
        <w:pBdr>
          <w:top w:val="nil"/>
          <w:left w:val="nil"/>
          <w:bottom w:val="nil"/>
          <w:right w:val="nil"/>
          <w:between w:val="nil"/>
        </w:pBdr>
        <w:spacing w:after="120"/>
        <w:rPr>
          <w:rFonts w:ascii="Arial" w:eastAsia="Arial" w:hAnsi="Arial" w:cs="Arial"/>
          <w:color w:val="000000"/>
          <w:sz w:val="22"/>
          <w:szCs w:val="22"/>
        </w:rPr>
      </w:pPr>
      <w:r w:rsidRPr="00A5537E">
        <w:rPr>
          <w:rFonts w:ascii="Arial" w:eastAsia="Arial" w:hAnsi="Arial" w:cs="Arial"/>
          <w:color w:val="000000"/>
          <w:sz w:val="25"/>
          <w:szCs w:val="25"/>
        </w:rPr>
        <w:tab/>
      </w:r>
      <w:r w:rsidRPr="00A5537E">
        <w:rPr>
          <w:rFonts w:ascii="Arial" w:eastAsia="Arial" w:hAnsi="Arial" w:cs="Arial"/>
          <w:color w:val="000000"/>
          <w:sz w:val="22"/>
          <w:szCs w:val="22"/>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p>
    <w:p w14:paraId="5592820B" w14:textId="77777777" w:rsidR="009E3AC0" w:rsidRPr="00A5537E" w:rsidRDefault="00622B0F">
      <w:pPr>
        <w:tabs>
          <w:tab w:val="left" w:pos="426"/>
        </w:tabs>
        <w:spacing w:after="120"/>
        <w:ind w:firstLine="709"/>
        <w:rPr>
          <w:rFonts w:ascii="Arial" w:eastAsia="Arial" w:hAnsi="Arial" w:cs="Arial"/>
          <w:sz w:val="22"/>
          <w:szCs w:val="22"/>
        </w:rPr>
      </w:pPr>
      <w:r w:rsidRPr="00A5537E">
        <w:rPr>
          <w:rFonts w:ascii="Arial" w:eastAsia="Arial" w:hAnsi="Arial" w:cs="Arial"/>
          <w:sz w:val="22"/>
          <w:szCs w:val="22"/>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A5537E">
        <w:rPr>
          <w:rFonts w:ascii="Arial" w:eastAsia="Arial" w:hAnsi="Arial" w:cs="Arial"/>
          <w:i/>
          <w:sz w:val="22"/>
          <w:szCs w:val="22"/>
        </w:rPr>
        <w:t>ibidem</w:t>
      </w:r>
      <w:r w:rsidRPr="00A5537E">
        <w:rPr>
          <w:rFonts w:ascii="Arial" w:eastAsia="Arial" w:hAnsi="Arial" w:cs="Arial"/>
          <w:sz w:val="22"/>
          <w:szCs w:val="22"/>
        </w:rPr>
        <w:t xml:space="preserve">,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 </w:t>
      </w:r>
    </w:p>
    <w:p w14:paraId="7093BD81" w14:textId="50A7157A" w:rsidR="009E3AC0" w:rsidRPr="00A5537E" w:rsidRDefault="00622B0F" w:rsidP="00A5537E">
      <w:pPr>
        <w:widowControl w:val="0"/>
        <w:pBdr>
          <w:top w:val="nil"/>
          <w:left w:val="nil"/>
          <w:bottom w:val="nil"/>
          <w:right w:val="nil"/>
          <w:between w:val="nil"/>
        </w:pBdr>
      </w:pPr>
      <w:r w:rsidRPr="00A5537E">
        <w:rPr>
          <w:rFonts w:ascii="Arial" w:eastAsia="Arial" w:hAnsi="Arial" w:cs="Arial"/>
          <w:color w:val="000000"/>
          <w:sz w:val="22"/>
          <w:szCs w:val="22"/>
        </w:rPr>
        <w:tab/>
        <w:t>Ahora bien, es importante señalar que de acuerdo con la Ley 489 de 1998, las sociedades de economía mixta son organismos autorizados por la ley, constituidos como sociedades comerciales con aportes de capital público y privado. Así lo estableció el artículo 97 en los siguientes términos:</w:t>
      </w:r>
    </w:p>
    <w:p w14:paraId="3A28B89E" w14:textId="77777777" w:rsidR="009E3AC0" w:rsidRPr="00A5537E" w:rsidRDefault="00622B0F" w:rsidP="00A5537E">
      <w:pPr>
        <w:spacing w:before="1" w:line="240" w:lineRule="auto"/>
        <w:ind w:left="709" w:right="709"/>
      </w:pPr>
      <w:r w:rsidRPr="00A5537E">
        <w:rPr>
          <w:rFonts w:ascii="Arial" w:eastAsia="Arial" w:hAnsi="Arial" w:cs="Arial"/>
          <w:sz w:val="21"/>
          <w:szCs w:val="21"/>
        </w:rPr>
        <w:t>Artículo 97. Las sociedades de economía mixta son organismos autorizados por la ley, constituidos bajo la forma de sociedades comerciales con aportes estatales y de capital privado, que desarrollan actividades de naturaleza industrial o comercial conforme a las reglas de Derecho Privado, salvo las excepciones que consagra la ley.</w:t>
      </w:r>
    </w:p>
    <w:p w14:paraId="473F46A9" w14:textId="37EF7246" w:rsidR="009E3AC0" w:rsidRPr="00A5537E" w:rsidRDefault="00622B0F" w:rsidP="00A5537E">
      <w:pPr>
        <w:widowControl w:val="0"/>
        <w:pBdr>
          <w:top w:val="nil"/>
          <w:left w:val="nil"/>
          <w:bottom w:val="nil"/>
          <w:right w:val="nil"/>
          <w:between w:val="nil"/>
        </w:pBdr>
        <w:ind w:left="100" w:right="107" w:firstLine="608"/>
      </w:pPr>
      <w:r w:rsidRPr="00A5537E">
        <w:rPr>
          <w:rFonts w:ascii="Arial" w:eastAsia="Arial" w:hAnsi="Arial" w:cs="Arial"/>
          <w:color w:val="000000"/>
          <w:sz w:val="22"/>
          <w:szCs w:val="22"/>
        </w:rPr>
        <w:t xml:space="preserve">La Ley 489 de 1998 clasifica a las sociedades de economía mixta como entidades descentralizadas por servicios, con personería jurídica, autonomía administrativa y </w:t>
      </w:r>
      <w:r w:rsidRPr="00A5537E">
        <w:rPr>
          <w:rFonts w:ascii="Arial" w:eastAsia="Arial" w:hAnsi="Arial" w:cs="Arial"/>
          <w:color w:val="000000"/>
          <w:sz w:val="22"/>
          <w:szCs w:val="22"/>
        </w:rPr>
        <w:lastRenderedPageBreak/>
        <w:t>patrimonio propio</w:t>
      </w:r>
      <w:r w:rsidRPr="00A5537E">
        <w:rPr>
          <w:rFonts w:ascii="Arial" w:eastAsia="Arial" w:hAnsi="Arial" w:cs="Arial"/>
          <w:color w:val="000000"/>
          <w:sz w:val="22"/>
          <w:szCs w:val="22"/>
          <w:vertAlign w:val="superscript"/>
        </w:rPr>
        <w:footnoteReference w:id="36"/>
      </w:r>
      <w:r w:rsidRPr="00A5537E">
        <w:rPr>
          <w:rFonts w:ascii="Arial" w:eastAsia="Arial" w:hAnsi="Arial" w:cs="Arial"/>
          <w:color w:val="000000"/>
          <w:sz w:val="22"/>
          <w:szCs w:val="22"/>
        </w:rPr>
        <w:t>, que pueden ser del orden nacional, departamental o municipal, según su órgano de creación</w:t>
      </w:r>
      <w:r w:rsidRPr="00A5537E">
        <w:rPr>
          <w:rFonts w:ascii="Arial" w:eastAsia="Arial" w:hAnsi="Arial" w:cs="Arial"/>
          <w:color w:val="000000"/>
          <w:sz w:val="22"/>
          <w:szCs w:val="22"/>
          <w:vertAlign w:val="superscript"/>
        </w:rPr>
        <w:footnoteReference w:id="37"/>
      </w:r>
      <w:r w:rsidRPr="00A5537E">
        <w:rPr>
          <w:rFonts w:ascii="Arial" w:eastAsia="Arial" w:hAnsi="Arial" w:cs="Arial"/>
          <w:color w:val="000000"/>
          <w:sz w:val="22"/>
          <w:szCs w:val="22"/>
        </w:rPr>
        <w:t>. Al respecto, la Corte Constitucional en sentencia C–737 del 19 de septiembre de 2019, consideró las siguientes características de las sociedades de economía mixta:</w:t>
      </w:r>
    </w:p>
    <w:p w14:paraId="6186A340" w14:textId="28C05016" w:rsidR="009E3AC0" w:rsidRPr="00A5537E" w:rsidRDefault="00622B0F" w:rsidP="00A5537E">
      <w:pPr>
        <w:widowControl w:val="0"/>
        <w:pBdr>
          <w:top w:val="nil"/>
          <w:left w:val="nil"/>
          <w:bottom w:val="nil"/>
          <w:right w:val="nil"/>
          <w:between w:val="nil"/>
        </w:pBdr>
        <w:spacing w:line="240" w:lineRule="auto"/>
        <w:ind w:left="808" w:right="533"/>
        <w:rPr>
          <w:sz w:val="22"/>
          <w:szCs w:val="22"/>
        </w:rPr>
      </w:pPr>
      <w:r w:rsidRPr="00A5537E">
        <w:rPr>
          <w:rFonts w:ascii="Arial" w:eastAsia="Arial" w:hAnsi="Arial" w:cs="Arial"/>
          <w:color w:val="000000"/>
          <w:sz w:val="21"/>
          <w:szCs w:val="21"/>
        </w:rPr>
        <w:t>Ahora bien, la vinculación de las sociedades de economía mixta a la Rama Ejecutiva, y su condición de entidades descentralizadas, implica consecuencias que emergen de la propia Constitución cuales son particularmente las siguientes: (i) que están sujetas un control fiscal en cabeza de la Contraloría General de la República, que toma pie en lo reglado por el artículo 267 de la Constitución, y que incluye el ejercicio de un control financiero, de gestión y de resultados; (ii) que están sujetas a un control político, que ejerce directamente el Congreso de la República en virtud de lo reglado por el último inciso del artículo 208 de la Constitución Política, (iii) que de conformidad con lo prescrito por el artículo 150 numeral 7, según el cual al Congreso le corresponde “crear o autorizar la constitución de … sociedades de economía mixta” del orden nacional, su creación o autorización tiene que producirse mediante ley. Correlativamente, en los órdenes departamental y municipal esta misma facultad se le reconoce a las asambleas y concejos, según lo prescriben lo artículos 300 numeral 7 y 313 numeral 6, respectivamente, por cual en dichos niveles las empresas de servicios públicos que asumieran la forma de sociedades de economía mixta deben ser creadas o autorizadas mediante ordenanza o acuerdo, según sea el caso; (iv) que les son aplicables las inhabilidades para la integración de órganos directivos a que aluden los artículos 180- 3, 292 y 323 de la Carta; (v) que en materia presupuestal quedan sujetas a las reglas de la ley orgánica del presupuesto; (vi) que en materia contable quedan sujetas a las reglas de contabilidad oficial</w:t>
      </w:r>
      <w:r w:rsidRPr="00A5537E">
        <w:rPr>
          <w:rFonts w:ascii="Arial" w:eastAsia="Arial" w:hAnsi="Arial" w:cs="Arial"/>
          <w:color w:val="000000"/>
          <w:sz w:val="21"/>
          <w:szCs w:val="21"/>
          <w:vertAlign w:val="superscript"/>
        </w:rPr>
        <w:footnoteReference w:id="38"/>
      </w:r>
    </w:p>
    <w:p w14:paraId="0531B0A2" w14:textId="0C4D6172" w:rsidR="009E3AC0" w:rsidRPr="00A5537E" w:rsidRDefault="00622B0F" w:rsidP="00A5537E">
      <w:pPr>
        <w:widowControl w:val="0"/>
        <w:pBdr>
          <w:top w:val="nil"/>
          <w:left w:val="nil"/>
          <w:bottom w:val="nil"/>
          <w:right w:val="nil"/>
          <w:between w:val="nil"/>
        </w:pBdr>
        <w:ind w:left="100" w:right="107" w:firstLine="608"/>
      </w:pPr>
      <w:r w:rsidRPr="00A5537E">
        <w:rPr>
          <w:rFonts w:ascii="Arial" w:eastAsia="Arial" w:hAnsi="Arial" w:cs="Arial"/>
          <w:color w:val="000000"/>
          <w:sz w:val="22"/>
          <w:szCs w:val="22"/>
        </w:rPr>
        <w:t>Así mismo, esta Corporación, en sentencia C–529 del 12 de julio de 2006, se pronunció sobre las sociedades de economía mixta como entidades descentralizadas, expresando:</w:t>
      </w:r>
    </w:p>
    <w:p w14:paraId="5E51FD48" w14:textId="77777777" w:rsidR="009E3AC0" w:rsidRPr="00A5537E" w:rsidRDefault="00622B0F" w:rsidP="00A5537E">
      <w:pPr>
        <w:widowControl w:val="0"/>
        <w:pBdr>
          <w:top w:val="nil"/>
          <w:left w:val="nil"/>
          <w:bottom w:val="nil"/>
          <w:right w:val="nil"/>
          <w:between w:val="nil"/>
        </w:pBdr>
        <w:spacing w:line="240" w:lineRule="auto"/>
        <w:ind w:left="808" w:right="537"/>
        <w:rPr>
          <w:sz w:val="22"/>
          <w:szCs w:val="22"/>
        </w:rPr>
      </w:pPr>
      <w:r w:rsidRPr="00A5537E">
        <w:rPr>
          <w:rFonts w:ascii="Arial" w:eastAsia="Arial" w:hAnsi="Arial" w:cs="Arial"/>
          <w:color w:val="000000"/>
          <w:sz w:val="21"/>
          <w:szCs w:val="21"/>
        </w:rPr>
        <w:t xml:space="preserve">es posible concluir que las sociedades de economía mixta, pese su naturaleza jurídica específica (regulación basada en las normas del derecho privado, </w:t>
      </w:r>
      <w:r w:rsidRPr="00A5537E">
        <w:rPr>
          <w:rFonts w:ascii="Arial" w:eastAsia="Arial" w:hAnsi="Arial" w:cs="Arial"/>
          <w:color w:val="000000"/>
          <w:sz w:val="21"/>
          <w:szCs w:val="21"/>
        </w:rPr>
        <w:lastRenderedPageBreak/>
        <w:t>ejecución de actividades industriales o comerciales, ánimo de lucro, entre otros aspectos) no pierden su carácter de expresiones de la actividad estatal, amén del aporte público en la constitución del capital social y la consiguiente pertenencia a la administración pública, en la condición de entidades descentralizadas</w:t>
      </w:r>
      <w:r w:rsidRPr="00A5537E">
        <w:rPr>
          <w:rFonts w:ascii="Arial" w:eastAsia="Arial" w:hAnsi="Arial" w:cs="Arial"/>
          <w:color w:val="000000"/>
          <w:sz w:val="21"/>
          <w:szCs w:val="21"/>
          <w:vertAlign w:val="superscript"/>
        </w:rPr>
        <w:footnoteReference w:id="39"/>
      </w:r>
      <w:r w:rsidRPr="00A5537E">
        <w:rPr>
          <w:rFonts w:ascii="Arial" w:eastAsia="Arial" w:hAnsi="Arial" w:cs="Arial"/>
          <w:color w:val="000000"/>
          <w:sz w:val="21"/>
          <w:szCs w:val="21"/>
        </w:rPr>
        <w:t>.</w:t>
      </w:r>
    </w:p>
    <w:p w14:paraId="0A6EA979" w14:textId="0FA00598" w:rsidR="009E3AC0" w:rsidRPr="00A5537E" w:rsidRDefault="00622B0F">
      <w:pPr>
        <w:widowControl w:val="0"/>
        <w:pBdr>
          <w:top w:val="nil"/>
          <w:left w:val="nil"/>
          <w:bottom w:val="nil"/>
          <w:right w:val="nil"/>
          <w:between w:val="nil"/>
        </w:pBdr>
        <w:ind w:left="100" w:right="105" w:firstLine="608"/>
        <w:rPr>
          <w:rFonts w:ascii="Arial" w:eastAsia="Arial" w:hAnsi="Arial" w:cs="Arial"/>
          <w:color w:val="000000"/>
          <w:sz w:val="22"/>
          <w:szCs w:val="22"/>
        </w:rPr>
      </w:pPr>
      <w:r w:rsidRPr="00A5537E">
        <w:rPr>
          <w:rFonts w:ascii="Arial" w:eastAsia="Arial" w:hAnsi="Arial" w:cs="Arial"/>
          <w:color w:val="000000"/>
          <w:sz w:val="22"/>
          <w:szCs w:val="22"/>
        </w:rPr>
        <w:t xml:space="preserve">En este orden de ideas, si bien las sociedades de economía mixta tienen personería jurídica, autonomía administrativa y patrimonio propio, esto no significa que pierdan su características de ser entidades descentralizadas, que hacen parte de la rama ejecutiva y, por lo tanto, cuando se trate de una sociedad de economía mixta departamental o municipal, no podrá celebrar dentro de los cuatro (4) meses anteriores a las elecciones territoriales, contratos y convenios interadministrativos por tratarse de una entidad descentralizada del nivel territorial, haciendo parte de las incluidas en el parágrafo del artículo 38 de la Ley de Garantías Electorales. </w:t>
      </w:r>
    </w:p>
    <w:p w14:paraId="5268332A" w14:textId="77777777" w:rsidR="009E3AC0" w:rsidRPr="00A5537E" w:rsidRDefault="00622B0F">
      <w:pPr>
        <w:widowControl w:val="0"/>
        <w:pBdr>
          <w:top w:val="nil"/>
          <w:left w:val="nil"/>
          <w:bottom w:val="nil"/>
          <w:right w:val="nil"/>
          <w:between w:val="nil"/>
        </w:pBdr>
        <w:spacing w:after="0"/>
        <w:ind w:firstLine="709"/>
        <w:rPr>
          <w:rFonts w:ascii="Arial" w:eastAsia="Arial" w:hAnsi="Arial" w:cs="Arial"/>
          <w:color w:val="000000"/>
          <w:sz w:val="22"/>
          <w:szCs w:val="22"/>
        </w:rPr>
      </w:pPr>
      <w:bookmarkStart w:id="45" w:name="_23ckvvd" w:colFirst="0" w:colLast="0"/>
      <w:bookmarkEnd w:id="45"/>
      <w:r w:rsidRPr="00A5537E">
        <w:rPr>
          <w:rFonts w:ascii="Arial" w:eastAsia="Arial" w:hAnsi="Arial" w:cs="Arial"/>
          <w:color w:val="000000"/>
          <w:sz w:val="22"/>
          <w:szCs w:val="22"/>
        </w:rPr>
        <w:t>En todo caso, es importante resaltar que la Sala de Consulta y Servicio Civil del Consejo de Estado se ha pronunciado en el sentido de que 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r w:rsidRPr="00A5537E">
        <w:rPr>
          <w:rFonts w:ascii="Arial" w:eastAsia="Arial" w:hAnsi="Arial" w:cs="Arial"/>
          <w:color w:val="000000"/>
          <w:sz w:val="22"/>
          <w:szCs w:val="22"/>
          <w:vertAlign w:val="superscript"/>
        </w:rPr>
        <w:footnoteReference w:id="40"/>
      </w:r>
      <w:r w:rsidRPr="00A5537E">
        <w:rPr>
          <w:rFonts w:ascii="Arial" w:eastAsia="Arial" w:hAnsi="Arial" w:cs="Arial"/>
          <w:color w:val="000000"/>
          <w:sz w:val="22"/>
          <w:szCs w:val="22"/>
        </w:rPr>
        <w:t>.</w:t>
      </w:r>
    </w:p>
    <w:p w14:paraId="027FB28B" w14:textId="77777777" w:rsidR="009E3AC0" w:rsidRPr="00A5537E" w:rsidRDefault="009E3AC0">
      <w:pPr>
        <w:widowControl w:val="0"/>
        <w:pBdr>
          <w:top w:val="nil"/>
          <w:left w:val="nil"/>
          <w:bottom w:val="nil"/>
          <w:right w:val="nil"/>
          <w:between w:val="nil"/>
        </w:pBdr>
        <w:spacing w:after="0"/>
        <w:rPr>
          <w:rFonts w:ascii="Arial" w:eastAsia="Arial" w:hAnsi="Arial" w:cs="Arial"/>
          <w:color w:val="000000"/>
          <w:sz w:val="22"/>
          <w:szCs w:val="22"/>
        </w:rPr>
      </w:pPr>
    </w:p>
    <w:p w14:paraId="77F141A1" w14:textId="09034E05" w:rsidR="009E3AC0" w:rsidRPr="00A5537E" w:rsidRDefault="00622B0F">
      <w:pPr>
        <w:shd w:val="clear" w:color="auto" w:fill="FFFFFF"/>
        <w:spacing w:after="0"/>
        <w:rPr>
          <w:rFonts w:ascii="Arial" w:eastAsia="Arial" w:hAnsi="Arial" w:cs="Arial"/>
          <w:sz w:val="22"/>
          <w:szCs w:val="22"/>
        </w:rPr>
      </w:pPr>
      <w:r w:rsidRPr="00A5537E">
        <w:rPr>
          <w:rFonts w:ascii="Arial" w:eastAsia="Arial" w:hAnsi="Arial" w:cs="Arial"/>
          <w:b/>
          <w:sz w:val="22"/>
          <w:szCs w:val="22"/>
        </w:rPr>
        <w:t>2.5.</w:t>
      </w:r>
      <w:r w:rsidRPr="00A5537E">
        <w:rPr>
          <w:rFonts w:ascii="Arial" w:eastAsia="Arial" w:hAnsi="Arial" w:cs="Arial"/>
          <w:sz w:val="22"/>
          <w:szCs w:val="22"/>
        </w:rPr>
        <w:tab/>
      </w:r>
      <w:r w:rsidRPr="00A5537E">
        <w:rPr>
          <w:rFonts w:ascii="Arial" w:eastAsia="Arial" w:hAnsi="Arial" w:cs="Arial"/>
          <w:b/>
          <w:sz w:val="22"/>
          <w:szCs w:val="22"/>
        </w:rPr>
        <w:t>Modificaciones realizadas por la Ley Anual del Presupuesto para la vigencia fiscal de 2022 a la Ley de Garantías Electorales</w:t>
      </w:r>
      <w:r w:rsidRPr="00A5537E">
        <w:rPr>
          <w:rFonts w:ascii="Arial" w:eastAsia="Arial" w:hAnsi="Arial" w:cs="Arial"/>
          <w:sz w:val="22"/>
          <w:szCs w:val="22"/>
        </w:rPr>
        <w:t xml:space="preserve"> </w:t>
      </w:r>
    </w:p>
    <w:p w14:paraId="7D6FB419" w14:textId="77777777" w:rsidR="009E3AC0" w:rsidRPr="00A5537E" w:rsidRDefault="009E3AC0">
      <w:pPr>
        <w:shd w:val="clear" w:color="auto" w:fill="FFFFFF"/>
        <w:spacing w:after="0"/>
        <w:rPr>
          <w:rFonts w:ascii="Arial" w:eastAsia="Arial" w:hAnsi="Arial" w:cs="Arial"/>
          <w:sz w:val="22"/>
          <w:szCs w:val="22"/>
        </w:rPr>
      </w:pPr>
    </w:p>
    <w:p w14:paraId="2DE8B037" w14:textId="1C33CD76" w:rsidR="009E3AC0" w:rsidRPr="00A5537E" w:rsidRDefault="00622B0F" w:rsidP="00A5537E">
      <w:pPr>
        <w:shd w:val="clear" w:color="auto" w:fill="FFFFFF"/>
        <w:spacing w:after="0"/>
      </w:pPr>
      <w:r w:rsidRPr="00A5537E">
        <w:rPr>
          <w:rFonts w:ascii="Arial" w:eastAsia="Arial" w:hAnsi="Arial" w:cs="Arial"/>
          <w:sz w:val="22"/>
          <w:szCs w:val="22"/>
        </w:rPr>
        <w:t>El análisis que a continuación se realizará, fue efectuado por esta Agencia en el concepto C-674 del 6 de diciembre de 2021</w:t>
      </w:r>
      <w:r w:rsidRPr="00A5537E">
        <w:rPr>
          <w:rFonts w:ascii="Arial" w:eastAsia="Arial" w:hAnsi="Arial" w:cs="Arial"/>
          <w:sz w:val="22"/>
          <w:szCs w:val="22"/>
          <w:vertAlign w:val="superscript"/>
        </w:rPr>
        <w:footnoteReference w:id="41"/>
      </w:r>
      <w:r w:rsidRPr="00A5537E">
        <w:rPr>
          <w:rFonts w:ascii="Arial" w:eastAsia="Arial" w:hAnsi="Arial" w:cs="Arial"/>
          <w:sz w:val="22"/>
          <w:szCs w:val="22"/>
        </w:rPr>
        <w:t>, por lo que se reiterará dicha postura complementándola con los cuestionamientos formulados por el peticionario. Partiendo de lo anterior, el 12 de noviembre de 2021 el Presidente de la República sancionó la Ley 2159</w:t>
      </w:r>
      <w:r w:rsidRPr="00A5537E">
        <w:rPr>
          <w:rFonts w:ascii="Arial" w:eastAsia="Arial" w:hAnsi="Arial" w:cs="Arial"/>
          <w:sz w:val="22"/>
          <w:szCs w:val="22"/>
          <w:vertAlign w:val="superscript"/>
        </w:rPr>
        <w:footnoteReference w:id="42"/>
      </w:r>
      <w:r w:rsidRPr="00A5537E">
        <w:rPr>
          <w:rFonts w:ascii="Arial" w:eastAsia="Arial" w:hAnsi="Arial" w:cs="Arial"/>
          <w:sz w:val="22"/>
          <w:szCs w:val="22"/>
        </w:rPr>
        <w:t xml:space="preserve">,  por la cual se decreta el presupuesto de rentas y recursos de capital y ley de apropiaciones para la </w:t>
      </w:r>
      <w:r w:rsidRPr="00A5537E">
        <w:rPr>
          <w:rFonts w:ascii="Arial" w:eastAsia="Arial" w:hAnsi="Arial" w:cs="Arial"/>
          <w:sz w:val="22"/>
          <w:szCs w:val="22"/>
        </w:rPr>
        <w:lastRenderedPageBreak/>
        <w:t>vigencia fiscal del 1 de enero al 31 de diciembre de 2022 –Ley Anual del Presupuesto–</w:t>
      </w:r>
      <w:r w:rsidRPr="00A5537E">
        <w:rPr>
          <w:rFonts w:ascii="Arial" w:eastAsia="Arial" w:hAnsi="Arial" w:cs="Arial"/>
          <w:sz w:val="22"/>
          <w:szCs w:val="22"/>
          <w:vertAlign w:val="superscript"/>
        </w:rPr>
        <w:footnoteReference w:id="43"/>
      </w:r>
      <w:r w:rsidRPr="00A5537E">
        <w:rPr>
          <w:rFonts w:ascii="Arial" w:eastAsia="Arial" w:hAnsi="Arial" w:cs="Arial"/>
          <w:sz w:val="22"/>
          <w:szCs w:val="22"/>
        </w:rPr>
        <w:t xml:space="preserve">. </w:t>
      </w:r>
      <w:bookmarkStart w:id="46" w:name="_ihv636" w:colFirst="0" w:colLast="0"/>
      <w:bookmarkEnd w:id="46"/>
      <w:r w:rsidRPr="00A5537E">
        <w:rPr>
          <w:rFonts w:ascii="Arial" w:eastAsia="Arial" w:hAnsi="Arial" w:cs="Arial"/>
          <w:sz w:val="22"/>
          <w:szCs w:val="22"/>
        </w:rPr>
        <w:t xml:space="preserve">Dentro del Capítulo V sobre «disposiciones varias» contenido en la Tercera Parte, «Disposiciones Generales», se destaca la inclusión del artículo 124, a cuyo tenor: </w:t>
      </w:r>
    </w:p>
    <w:p w14:paraId="52BCFA68" w14:textId="77777777" w:rsidR="009E3AC0" w:rsidRPr="00A5537E" w:rsidRDefault="009E3AC0">
      <w:pPr>
        <w:shd w:val="clear" w:color="auto" w:fill="FFFFFF"/>
        <w:spacing w:after="0" w:line="240" w:lineRule="auto"/>
        <w:rPr>
          <w:rFonts w:ascii="Arial" w:eastAsia="Arial" w:hAnsi="Arial" w:cs="Arial"/>
          <w:sz w:val="22"/>
          <w:szCs w:val="22"/>
        </w:rPr>
      </w:pPr>
    </w:p>
    <w:p w14:paraId="36DF4C1C" w14:textId="77777777" w:rsidR="009E3AC0" w:rsidRPr="00A5537E" w:rsidRDefault="00622B0F">
      <w:pPr>
        <w:shd w:val="clear" w:color="auto" w:fill="FFFFFF"/>
        <w:spacing w:after="0" w:line="240" w:lineRule="auto"/>
        <w:ind w:left="709" w:right="709"/>
        <w:rPr>
          <w:rFonts w:ascii="Arial" w:eastAsia="Arial" w:hAnsi="Arial" w:cs="Arial"/>
          <w:sz w:val="21"/>
          <w:szCs w:val="21"/>
        </w:rPr>
      </w:pPr>
      <w:r w:rsidRPr="00A5537E">
        <w:rPr>
          <w:rFonts w:ascii="Arial" w:eastAsia="Arial" w:hAnsi="Arial" w:cs="Arial"/>
          <w:sz w:val="21"/>
          <w:szCs w:val="21"/>
        </w:rPr>
        <w:t xml:space="preserve">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 </w:t>
      </w:r>
    </w:p>
    <w:p w14:paraId="2F77B054" w14:textId="77777777" w:rsidR="009E3AC0" w:rsidRPr="00A5537E" w:rsidRDefault="009E3AC0">
      <w:pPr>
        <w:shd w:val="clear" w:color="auto" w:fill="FFFFFF"/>
        <w:spacing w:after="0" w:line="240" w:lineRule="auto"/>
        <w:ind w:left="709" w:right="709"/>
        <w:rPr>
          <w:rFonts w:ascii="Arial" w:eastAsia="Arial" w:hAnsi="Arial" w:cs="Arial"/>
          <w:sz w:val="21"/>
          <w:szCs w:val="21"/>
        </w:rPr>
      </w:pPr>
    </w:p>
    <w:p w14:paraId="1DB45E69" w14:textId="77777777" w:rsidR="009E3AC0" w:rsidRPr="00A5537E" w:rsidRDefault="00622B0F">
      <w:pPr>
        <w:shd w:val="clear" w:color="auto" w:fill="FFFFFF"/>
        <w:spacing w:after="0" w:line="240" w:lineRule="auto"/>
        <w:ind w:left="709" w:right="709"/>
        <w:rPr>
          <w:rFonts w:ascii="Arial" w:eastAsia="Arial" w:hAnsi="Arial" w:cs="Arial"/>
          <w:sz w:val="21"/>
          <w:szCs w:val="21"/>
        </w:rPr>
      </w:pPr>
      <w:r w:rsidRPr="00A5537E">
        <w:rPr>
          <w:rFonts w:ascii="Arial" w:eastAsia="Arial" w:hAnsi="Arial" w:cs="Arial"/>
          <w:sz w:val="21"/>
          <w:szCs w:val="21"/>
        </w:rPr>
        <w:t xml:space="preserve">La presente disposición modifica únicamente en la parte pertinente el inciso primero del parágrafo del artículo 38 de la Ley 996 de 2005. </w:t>
      </w:r>
    </w:p>
    <w:p w14:paraId="2B969818" w14:textId="77777777" w:rsidR="009E3AC0" w:rsidRPr="00A5537E" w:rsidRDefault="009E3AC0">
      <w:pPr>
        <w:shd w:val="clear" w:color="auto" w:fill="FFFFFF"/>
        <w:spacing w:after="0" w:line="240" w:lineRule="auto"/>
        <w:ind w:left="709" w:right="709"/>
        <w:rPr>
          <w:rFonts w:ascii="Arial" w:eastAsia="Arial" w:hAnsi="Arial" w:cs="Arial"/>
          <w:sz w:val="21"/>
          <w:szCs w:val="21"/>
        </w:rPr>
      </w:pPr>
    </w:p>
    <w:p w14:paraId="4B55A22A" w14:textId="77777777" w:rsidR="009E3AC0" w:rsidRPr="00A5537E" w:rsidRDefault="00622B0F">
      <w:pPr>
        <w:shd w:val="clear" w:color="auto" w:fill="FFFFFF"/>
        <w:spacing w:after="0" w:line="240" w:lineRule="auto"/>
        <w:ind w:left="709" w:right="709"/>
        <w:rPr>
          <w:rFonts w:ascii="Arial" w:eastAsia="Arial" w:hAnsi="Arial" w:cs="Arial"/>
          <w:sz w:val="22"/>
          <w:szCs w:val="22"/>
        </w:rPr>
      </w:pPr>
      <w:r w:rsidRPr="00A5537E">
        <w:rPr>
          <w:rFonts w:ascii="Arial" w:eastAsia="Arial" w:hAnsi="Arial" w:cs="Arial"/>
          <w:sz w:val="21"/>
          <w:szCs w:val="21"/>
        </w:rPr>
        <w:t>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p>
    <w:p w14:paraId="2F3B101B" w14:textId="77777777" w:rsidR="009E3AC0" w:rsidRPr="00A5537E" w:rsidRDefault="009E3AC0">
      <w:pPr>
        <w:shd w:val="clear" w:color="auto" w:fill="FFFFFF"/>
        <w:spacing w:after="0"/>
        <w:rPr>
          <w:rFonts w:ascii="Arial" w:eastAsia="Arial" w:hAnsi="Arial" w:cs="Arial"/>
          <w:sz w:val="22"/>
          <w:szCs w:val="22"/>
        </w:rPr>
      </w:pPr>
    </w:p>
    <w:p w14:paraId="07E5B667" w14:textId="77777777" w:rsidR="009E3AC0" w:rsidRPr="00A5537E" w:rsidRDefault="00622B0F" w:rsidP="00A5537E">
      <w:pPr>
        <w:spacing w:after="120"/>
        <w:ind w:firstLine="709"/>
      </w:pPr>
      <w:r w:rsidRPr="00A5537E">
        <w:rPr>
          <w:rFonts w:ascii="Arial" w:eastAsia="Arial" w:hAnsi="Arial" w:cs="Arial"/>
          <w:sz w:val="22"/>
          <w:szCs w:val="22"/>
        </w:rPr>
        <w:t>Al respecto, es importante señalar que los artículos 345 a 355 de la Constitución Política de 1991 desarrollan los asuntos del presupuesto general</w:t>
      </w:r>
      <w:r w:rsidRPr="00A5537E">
        <w:rPr>
          <w:rFonts w:ascii="Arial" w:eastAsia="Arial" w:hAnsi="Arial" w:cs="Arial"/>
          <w:sz w:val="22"/>
          <w:szCs w:val="22"/>
          <w:vertAlign w:val="superscript"/>
        </w:rPr>
        <w:footnoteReference w:id="44"/>
      </w:r>
      <w:r w:rsidRPr="00A5537E">
        <w:rPr>
          <w:rFonts w:ascii="Arial" w:eastAsia="Arial" w:hAnsi="Arial" w:cs="Arial"/>
          <w:sz w:val="22"/>
          <w:szCs w:val="22"/>
        </w:rPr>
        <w:t xml:space="preserve">. En estas normas se regula lo concerniente a la Ley Anual de presupuesto o Presupuesto de Rentas y Ley de Apropiaciones a expedir por el Congreso de la República, la cual debe contener la estimación de las rentas nacionales y la autorización de los gastos del Estado para la </w:t>
      </w:r>
      <w:r w:rsidRPr="00A5537E">
        <w:rPr>
          <w:rFonts w:ascii="Arial" w:eastAsia="Arial" w:hAnsi="Arial" w:cs="Arial"/>
          <w:sz w:val="22"/>
          <w:szCs w:val="22"/>
        </w:rPr>
        <w:lastRenderedPageBreak/>
        <w:t>respectiva vigencia fiscal anual, comprendida entre el 1° de enero y el 31 de diciembre y guardar correspondencia con el Plan Nacional de Desarrollo.</w:t>
      </w:r>
    </w:p>
    <w:p w14:paraId="33E5DD1E" w14:textId="77777777" w:rsidR="009E3AC0" w:rsidRPr="00A5537E" w:rsidRDefault="00622B0F" w:rsidP="00A5537E">
      <w:pPr>
        <w:spacing w:after="120"/>
        <w:ind w:firstLine="709"/>
      </w:pPr>
      <w:r w:rsidRPr="00A5537E">
        <w:rPr>
          <w:rFonts w:ascii="Arial" w:eastAsia="Arial" w:hAnsi="Arial" w:cs="Arial"/>
          <w:sz w:val="22"/>
          <w:szCs w:val="22"/>
        </w:rPr>
        <w:t>La Ley Anual de presupuesto o Presupuesto de Rentas y Ley de Apropiaciones, no solo responde a un análisis contable de rubros y gastos, sino que también es el resultado de un debate democrático connatural a la discusión, elaboración y aprobación de las leyes por el Congreso de la República, por cuanto con ella se pretende responder a la realidad económica y a las necesidades sociales de los colombianos y materializar las acciones de política pública</w:t>
      </w:r>
      <w:r w:rsidRPr="00A5537E">
        <w:rPr>
          <w:vertAlign w:val="superscript"/>
        </w:rPr>
        <w:footnoteReference w:id="45"/>
      </w:r>
      <w:r w:rsidRPr="00A5537E">
        <w:rPr>
          <w:rFonts w:ascii="Arial" w:eastAsia="Arial" w:hAnsi="Arial" w:cs="Arial"/>
          <w:sz w:val="22"/>
          <w:szCs w:val="22"/>
        </w:rPr>
        <w:t>.</w:t>
      </w:r>
    </w:p>
    <w:p w14:paraId="58FBCEE9" w14:textId="77777777" w:rsidR="009E3AC0" w:rsidRPr="00A5537E" w:rsidRDefault="00622B0F" w:rsidP="00A5537E">
      <w:pPr>
        <w:spacing w:after="120"/>
        <w:ind w:firstLine="709"/>
      </w:pPr>
      <w:r w:rsidRPr="00A5537E">
        <w:rPr>
          <w:rFonts w:ascii="Arial" w:eastAsia="Arial" w:hAnsi="Arial" w:cs="Arial"/>
          <w:sz w:val="22"/>
          <w:szCs w:val="22"/>
        </w:rPr>
        <w:t>En este sentido, es diferente analizar la ley desde la posición que concibe el presupuesto como un mero requisito para la ejecución de las partidas que contempla, a examinarla bajo la concepción de que, con base en las razones expuestas, al presupuesto le corresponde un contenido material propio y una indiscutible fuerza normativa ligada al logro de importantes objetivos económicos y sociales</w:t>
      </w:r>
      <w:r w:rsidRPr="00A5537E">
        <w:rPr>
          <w:rFonts w:ascii="Arial" w:eastAsia="Arial" w:hAnsi="Arial" w:cs="Arial"/>
          <w:sz w:val="22"/>
          <w:szCs w:val="22"/>
          <w:vertAlign w:val="superscript"/>
        </w:rPr>
        <w:footnoteReference w:id="46"/>
      </w:r>
      <w:r w:rsidRPr="00A5537E">
        <w:rPr>
          <w:rFonts w:ascii="Arial" w:eastAsia="Arial" w:hAnsi="Arial" w:cs="Arial"/>
          <w:sz w:val="22"/>
          <w:szCs w:val="22"/>
        </w:rPr>
        <w:t>, que exige atender su trámite en términos de participación democrática directa y representativa. Vista de esta manera, la ley de presupuesto además de su carácter de herramienta macroeconómica, tiene una vocación democrática para el manejo de los recursos, la orientación de su gasto y la ejecución de las políticas públicas</w:t>
      </w:r>
      <w:r w:rsidRPr="00A5537E">
        <w:rPr>
          <w:rFonts w:ascii="Arial" w:eastAsia="Arial" w:hAnsi="Arial" w:cs="Arial"/>
          <w:sz w:val="22"/>
          <w:szCs w:val="22"/>
          <w:vertAlign w:val="superscript"/>
        </w:rPr>
        <w:footnoteReference w:id="47"/>
      </w:r>
      <w:r w:rsidRPr="00A5537E">
        <w:rPr>
          <w:rFonts w:ascii="Arial" w:eastAsia="Arial" w:hAnsi="Arial" w:cs="Arial"/>
          <w:sz w:val="22"/>
          <w:szCs w:val="22"/>
        </w:rPr>
        <w:t>.</w:t>
      </w:r>
    </w:p>
    <w:p w14:paraId="0AE62701" w14:textId="77777777" w:rsidR="009E3AC0" w:rsidRPr="00A5537E" w:rsidRDefault="00622B0F" w:rsidP="00A5537E">
      <w:pPr>
        <w:spacing w:after="120"/>
        <w:ind w:firstLine="709"/>
      </w:pPr>
      <w:r w:rsidRPr="00A5537E">
        <w:rPr>
          <w:rFonts w:ascii="Arial" w:eastAsia="Arial" w:hAnsi="Arial" w:cs="Arial"/>
          <w:sz w:val="22"/>
          <w:szCs w:val="22"/>
        </w:rPr>
        <w:t xml:space="preserve">Desde la perspectiva más amplia, el Presupuesto General de la Nación está conformado por dos grandes rubros: i) el de los ingresos o rentas y ii) el de los gastos o apropiaciones, denominados, respectivamente, como presupuesto de rentas y presupuesto de gastos o ley de apropiaciones. </w:t>
      </w:r>
    </w:p>
    <w:p w14:paraId="6B1D0BCC" w14:textId="4DA3516B" w:rsidR="009E3AC0" w:rsidRPr="00A5537E" w:rsidRDefault="00622B0F" w:rsidP="00A5537E">
      <w:pPr>
        <w:spacing w:after="120"/>
        <w:ind w:firstLine="709"/>
      </w:pPr>
      <w:r w:rsidRPr="00A5537E">
        <w:rPr>
          <w:rFonts w:ascii="Arial" w:eastAsia="Arial" w:hAnsi="Arial" w:cs="Arial"/>
          <w:sz w:val="22"/>
          <w:szCs w:val="22"/>
        </w:rPr>
        <w:t>En lo que refiere al presupuesto de rentas, de conformidad con el artículo 11 del Decreto 111 de 1996</w:t>
      </w:r>
      <w:r w:rsidRPr="00A5537E">
        <w:rPr>
          <w:rFonts w:ascii="Arial" w:eastAsia="Arial" w:hAnsi="Arial" w:cs="Arial"/>
          <w:sz w:val="22"/>
          <w:szCs w:val="22"/>
          <w:vertAlign w:val="superscript"/>
        </w:rPr>
        <w:footnoteReference w:id="48"/>
      </w:r>
      <w:r w:rsidRPr="00A5537E">
        <w:rPr>
          <w:rFonts w:ascii="Arial" w:eastAsia="Arial" w:hAnsi="Arial" w:cs="Arial"/>
          <w:sz w:val="22"/>
          <w:szCs w:val="22"/>
        </w:rPr>
        <w:t xml:space="preserve"> –estatuto orgánico del presupuesto–, aquel está instituido por:</w:t>
      </w:r>
    </w:p>
    <w:p w14:paraId="31D8D7FC" w14:textId="77777777" w:rsidR="009E3AC0" w:rsidRPr="00A5537E" w:rsidRDefault="00622B0F" w:rsidP="00A5537E">
      <w:pPr>
        <w:spacing w:after="120"/>
        <w:ind w:firstLine="709"/>
      </w:pPr>
      <w:r w:rsidRPr="00A5537E">
        <w:rPr>
          <w:rFonts w:ascii="Arial" w:eastAsia="Arial" w:hAnsi="Arial" w:cs="Arial"/>
          <w:sz w:val="22"/>
          <w:szCs w:val="22"/>
        </w:rPr>
        <w:lastRenderedPageBreak/>
        <w:t xml:space="preserve">i) Los ingresos corrientes que, a su turno, se clasifican en tributarios, directos o indirectos, y no tributarios, estos últimos, subclasificados en tasas y multas (art.27); </w:t>
      </w:r>
    </w:p>
    <w:p w14:paraId="220DA80C" w14:textId="77777777" w:rsidR="009E3AC0" w:rsidRPr="00A5537E" w:rsidRDefault="00622B0F" w:rsidP="00A5537E">
      <w:pPr>
        <w:spacing w:after="120"/>
        <w:ind w:firstLine="709"/>
      </w:pPr>
      <w:r w:rsidRPr="00A5537E">
        <w:rPr>
          <w:rFonts w:ascii="Arial" w:eastAsia="Arial" w:hAnsi="Arial" w:cs="Arial"/>
          <w:sz w:val="22"/>
          <w:szCs w:val="22"/>
        </w:rPr>
        <w:t>ii) Las contribuciones parafiscales cuando sean administradas por un órgano que haga parte del presupuesto;</w:t>
      </w:r>
    </w:p>
    <w:p w14:paraId="3FE0D05B" w14:textId="77777777" w:rsidR="009E3AC0" w:rsidRPr="00A5537E" w:rsidRDefault="00622B0F" w:rsidP="00A5537E">
      <w:pPr>
        <w:spacing w:after="120"/>
        <w:ind w:firstLine="709"/>
      </w:pPr>
      <w:r w:rsidRPr="00A5537E">
        <w:rPr>
          <w:rFonts w:ascii="Arial" w:eastAsia="Arial" w:hAnsi="Arial" w:cs="Arial"/>
          <w:sz w:val="22"/>
          <w:szCs w:val="22"/>
        </w:rPr>
        <w:t>iii) Los fondos especiales;</w:t>
      </w:r>
    </w:p>
    <w:p w14:paraId="30FC6B34" w14:textId="77777777" w:rsidR="009E3AC0" w:rsidRPr="00A5537E" w:rsidRDefault="00622B0F" w:rsidP="00A5537E">
      <w:pPr>
        <w:spacing w:after="120"/>
        <w:ind w:firstLine="709"/>
      </w:pPr>
      <w:r w:rsidRPr="00A5537E">
        <w:rPr>
          <w:rFonts w:ascii="Arial" w:eastAsia="Arial" w:hAnsi="Arial" w:cs="Arial"/>
          <w:sz w:val="22"/>
          <w:szCs w:val="22"/>
        </w:rPr>
        <w:t>iv) Los recursos de capital, tales como  los recursos del «balance del tesoro nacional, los recursos del crédito externo e interno con vencimiento mayor a un año de acuerdo con los cupos autorizados por el Congreso de la República, los rendimientos financieros, el diferencial cambiario, las donaciones (art. 33), el excedente financiero de los establecimientos públicos del orden nacional y de las empresas industriales y comerciales del Estado del mismo orden, las utilidades del Banco de la República, entre otros (art. 31), y;</w:t>
      </w:r>
    </w:p>
    <w:p w14:paraId="270A3BCC" w14:textId="77777777" w:rsidR="009E3AC0" w:rsidRPr="00A5537E" w:rsidRDefault="00622B0F" w:rsidP="00A5537E">
      <w:pPr>
        <w:spacing w:after="120"/>
        <w:ind w:firstLine="709"/>
      </w:pPr>
      <w:r w:rsidRPr="00A5537E">
        <w:rPr>
          <w:rFonts w:ascii="Arial" w:eastAsia="Arial" w:hAnsi="Arial" w:cs="Arial"/>
          <w:sz w:val="22"/>
          <w:szCs w:val="22"/>
        </w:rPr>
        <w:t xml:space="preserve">v) Los ingresos de los establecimientos públicos de origen nacional. </w:t>
      </w:r>
    </w:p>
    <w:p w14:paraId="251FF193" w14:textId="77777777" w:rsidR="009E3AC0" w:rsidRPr="00A5537E" w:rsidRDefault="00622B0F" w:rsidP="00A5537E">
      <w:pPr>
        <w:spacing w:after="120"/>
        <w:ind w:firstLine="709"/>
      </w:pPr>
      <w:r w:rsidRPr="00A5537E">
        <w:rPr>
          <w:rFonts w:ascii="Arial" w:eastAsia="Arial" w:hAnsi="Arial" w:cs="Arial"/>
          <w:sz w:val="22"/>
          <w:szCs w:val="22"/>
        </w:rPr>
        <w:t xml:space="preserve">En lo que respecta al presupuesto de gastos o ley de apropiaciones, el mismo Decreto 111 de 1996, en el artículo 23, determina que aquel está configurado por tres grandes rubros: </w:t>
      </w:r>
    </w:p>
    <w:p w14:paraId="286394AC" w14:textId="77777777" w:rsidR="009E3AC0" w:rsidRPr="00A5537E" w:rsidRDefault="00622B0F" w:rsidP="00A5537E">
      <w:pPr>
        <w:spacing w:after="120"/>
        <w:ind w:firstLine="709"/>
      </w:pPr>
      <w:r w:rsidRPr="00A5537E">
        <w:rPr>
          <w:rFonts w:ascii="Arial" w:eastAsia="Arial" w:hAnsi="Arial" w:cs="Arial"/>
          <w:sz w:val="22"/>
          <w:szCs w:val="22"/>
        </w:rPr>
        <w:t>i) Los gastos de funcionamiento que, a su vez, estarán subdivididos en servicios personales, gastos generales y transferencias y gastos de operación;</w:t>
      </w:r>
    </w:p>
    <w:p w14:paraId="55BFCA97" w14:textId="0D7741A1" w:rsidR="009E3AC0" w:rsidRPr="00A5537E" w:rsidRDefault="00622B0F" w:rsidP="00A5537E">
      <w:pPr>
        <w:spacing w:after="120"/>
        <w:ind w:firstLine="709"/>
      </w:pPr>
      <w:r w:rsidRPr="00A5537E">
        <w:rPr>
          <w:rFonts w:ascii="Arial" w:eastAsia="Arial" w:hAnsi="Arial" w:cs="Arial"/>
          <w:sz w:val="22"/>
          <w:szCs w:val="22"/>
        </w:rPr>
        <w:t xml:space="preserve">ii) El servicio a la deuda, conformado por la deuda interna y externa y; </w:t>
      </w:r>
    </w:p>
    <w:p w14:paraId="5BD0367E" w14:textId="77777777" w:rsidR="009E3AC0" w:rsidRPr="00A5537E" w:rsidRDefault="00622B0F" w:rsidP="00A5537E">
      <w:pPr>
        <w:spacing w:after="120"/>
        <w:ind w:firstLine="709"/>
      </w:pPr>
      <w:r w:rsidRPr="00A5537E">
        <w:rPr>
          <w:rFonts w:ascii="Arial" w:eastAsia="Arial" w:hAnsi="Arial" w:cs="Arial"/>
          <w:sz w:val="22"/>
          <w:szCs w:val="22"/>
        </w:rPr>
        <w:t>iii) Los gastos de inversión, dentro de los cuales se incluirá, según el artículo 36 del Estatuto Orgánico, los proyectos establecidos en el «Plan Operativo Anual de Inversión». Este «Plan Operativo Anual de Inversión» al que hace referencia el artículo 36 mencionado, es, junto al presupuesto anual de la Nación, y al Plan Financiero, uno de los componentes del «Sistema Presupuestal» (art. 6)</w:t>
      </w:r>
      <w:r w:rsidRPr="00A5537E">
        <w:rPr>
          <w:rFonts w:ascii="Arial" w:eastAsia="Arial" w:hAnsi="Arial" w:cs="Arial"/>
          <w:sz w:val="22"/>
          <w:szCs w:val="22"/>
          <w:vertAlign w:val="superscript"/>
        </w:rPr>
        <w:footnoteReference w:id="49"/>
      </w:r>
      <w:r w:rsidRPr="00A5537E">
        <w:rPr>
          <w:rFonts w:ascii="Arial" w:eastAsia="Arial" w:hAnsi="Arial" w:cs="Arial"/>
          <w:sz w:val="22"/>
          <w:szCs w:val="22"/>
        </w:rPr>
        <w:t>, y dentro de él se señalarán los proyectos de inversión clasificados por sectores, órganos y programas, siempre en concordancia con el Plan Nacional de Inversiones contenido en el Plan Nacional de Desarrollo</w:t>
      </w:r>
      <w:r w:rsidRPr="00A5537E">
        <w:rPr>
          <w:rFonts w:ascii="Arial" w:eastAsia="Arial" w:hAnsi="Arial" w:cs="Arial"/>
          <w:sz w:val="22"/>
          <w:szCs w:val="22"/>
          <w:vertAlign w:val="superscript"/>
        </w:rPr>
        <w:footnoteReference w:id="50"/>
      </w:r>
      <w:r w:rsidRPr="00A5537E">
        <w:rPr>
          <w:rFonts w:ascii="Arial" w:eastAsia="Arial" w:hAnsi="Arial" w:cs="Arial"/>
          <w:sz w:val="22"/>
          <w:szCs w:val="22"/>
        </w:rPr>
        <w:t xml:space="preserve">. </w:t>
      </w:r>
    </w:p>
    <w:p w14:paraId="44442804" w14:textId="096FBD55" w:rsidR="009E3AC0" w:rsidRPr="00A5537E" w:rsidRDefault="00622B0F" w:rsidP="00A5537E">
      <w:pPr>
        <w:spacing w:after="120"/>
        <w:ind w:firstLine="709"/>
      </w:pPr>
      <w:r w:rsidRPr="00A5537E">
        <w:rPr>
          <w:rFonts w:ascii="Open Sans" w:eastAsia="Open Sans" w:hAnsi="Open Sans" w:cs="Open Sans"/>
          <w:color w:val="4B4949"/>
          <w:sz w:val="18"/>
          <w:szCs w:val="18"/>
        </w:rPr>
        <w:lastRenderedPageBreak/>
        <w:t xml:space="preserve"> </w:t>
      </w:r>
      <w:r w:rsidRPr="00A5537E">
        <w:rPr>
          <w:rFonts w:ascii="Arial" w:eastAsia="Arial" w:hAnsi="Arial" w:cs="Arial"/>
          <w:color w:val="000000"/>
          <w:sz w:val="22"/>
          <w:szCs w:val="22"/>
        </w:rPr>
        <w:t>De acuerdo con el</w:t>
      </w:r>
      <w:r w:rsidRPr="00A5537E">
        <w:rPr>
          <w:rFonts w:ascii="Arial" w:eastAsia="Arial" w:hAnsi="Arial" w:cs="Arial"/>
          <w:color w:val="4B4949"/>
          <w:sz w:val="22"/>
          <w:szCs w:val="22"/>
        </w:rPr>
        <w:t xml:space="preserve"> </w:t>
      </w:r>
      <w:r w:rsidRPr="00A5537E">
        <w:rPr>
          <w:rFonts w:ascii="Arial" w:eastAsia="Arial" w:hAnsi="Arial" w:cs="Arial"/>
          <w:sz w:val="22"/>
          <w:szCs w:val="22"/>
        </w:rPr>
        <w:t>artículo 38 del Estatuto Orgánico del Presupuesto, la ley de gastos o apropiaciones «solo» estará conformada por las apropiaciones que correspondan a los siguientes aspectos:</w:t>
      </w:r>
    </w:p>
    <w:p w14:paraId="32996C97" w14:textId="77777777" w:rsidR="009E3AC0" w:rsidRPr="00A5537E" w:rsidRDefault="00622B0F" w:rsidP="00A5537E">
      <w:pPr>
        <w:spacing w:after="120"/>
        <w:ind w:firstLine="709"/>
      </w:pPr>
      <w:r w:rsidRPr="00A5537E">
        <w:rPr>
          <w:rFonts w:ascii="Arial" w:eastAsia="Arial" w:hAnsi="Arial" w:cs="Arial"/>
          <w:sz w:val="22"/>
          <w:szCs w:val="22"/>
        </w:rPr>
        <w:t>1. Los créditos judicialmente reconocidos;</w:t>
      </w:r>
    </w:p>
    <w:p w14:paraId="4C02B73C" w14:textId="77777777" w:rsidR="009E3AC0" w:rsidRPr="00A5537E" w:rsidRDefault="00622B0F" w:rsidP="00A5537E">
      <w:pPr>
        <w:spacing w:after="120"/>
        <w:ind w:firstLine="709"/>
      </w:pPr>
      <w:r w:rsidRPr="00A5537E">
        <w:rPr>
          <w:rFonts w:ascii="Arial" w:eastAsia="Arial" w:hAnsi="Arial" w:cs="Arial"/>
          <w:sz w:val="22"/>
          <w:szCs w:val="22"/>
        </w:rPr>
        <w:t>2. Los gastos decretados conforme a la ley;</w:t>
      </w:r>
    </w:p>
    <w:p w14:paraId="6A23B2E6" w14:textId="77777777" w:rsidR="009E3AC0" w:rsidRPr="00A5537E" w:rsidRDefault="00622B0F" w:rsidP="00A5537E">
      <w:pPr>
        <w:spacing w:after="120"/>
        <w:ind w:firstLine="709"/>
      </w:pPr>
      <w:r w:rsidRPr="00A5537E">
        <w:rPr>
          <w:rFonts w:ascii="Arial" w:eastAsia="Arial" w:hAnsi="Arial" w:cs="Arial"/>
          <w:i/>
          <w:sz w:val="22"/>
          <w:szCs w:val="22"/>
        </w:rPr>
        <w:t>3. Las destinadas a dar cumplimiento a los planes y programas de desarrollo económico y social y a las obras públicas tratados en los artículos 339 y 341 de la Constitución Política, siempre que hayan sido aprobadas por el Congreso Nacional,</w:t>
      </w:r>
      <w:r w:rsidRPr="00A5537E">
        <w:rPr>
          <w:rFonts w:ascii="Arial" w:eastAsia="Arial" w:hAnsi="Arial" w:cs="Arial"/>
          <w:sz w:val="22"/>
          <w:szCs w:val="22"/>
        </w:rPr>
        <w:t xml:space="preserve"> y;</w:t>
      </w:r>
    </w:p>
    <w:p w14:paraId="03F07342" w14:textId="77777777" w:rsidR="009E3AC0" w:rsidRPr="00A5537E" w:rsidRDefault="00622B0F" w:rsidP="00A5537E">
      <w:pPr>
        <w:spacing w:after="120"/>
        <w:ind w:firstLine="709"/>
      </w:pPr>
      <w:r w:rsidRPr="00A5537E">
        <w:rPr>
          <w:rFonts w:ascii="Arial" w:eastAsia="Arial" w:hAnsi="Arial" w:cs="Arial"/>
          <w:sz w:val="22"/>
          <w:szCs w:val="22"/>
        </w:rPr>
        <w:t xml:space="preserve">4. </w:t>
      </w:r>
      <w:r w:rsidRPr="00A5537E">
        <w:rPr>
          <w:rFonts w:ascii="Arial" w:eastAsia="Arial" w:hAnsi="Arial" w:cs="Arial"/>
          <w:color w:val="333333"/>
          <w:sz w:val="22"/>
          <w:szCs w:val="22"/>
        </w:rPr>
        <w:t>A las leyes que organizan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que constituyen título para incluir en el presupuesto partidas para gastos de funcionamiento, inversión y servicio de la deuda pública.</w:t>
      </w:r>
    </w:p>
    <w:p w14:paraId="369C57BF" w14:textId="77777777" w:rsidR="009E3AC0" w:rsidRPr="00A5537E" w:rsidRDefault="00622B0F" w:rsidP="00A5537E">
      <w:pPr>
        <w:spacing w:after="120"/>
        <w:ind w:firstLine="709"/>
      </w:pPr>
      <w:r w:rsidRPr="00A5537E">
        <w:rPr>
          <w:rFonts w:ascii="Arial" w:eastAsia="Arial" w:hAnsi="Arial" w:cs="Arial"/>
          <w:sz w:val="22"/>
          <w:szCs w:val="22"/>
        </w:rPr>
        <w:t xml:space="preserve">De lo anterior se desprende que uno de los aspectos que deberán figurar dentro de la ley de apropiaciones o gastos, serán las partidas destinadas a dar cumplimiento a los planes y programas de desarrollo económico y social y a las obras públicas regulados en los artículos 339 y 341 de la Constitución. En ese sentido, recuérdese que el Plan Nacional de Desarrollo, de acuerdo con el artículo 339 de la Constitución Política, cuenta con dos grandes apartados: </w:t>
      </w:r>
      <w:r w:rsidRPr="00A5537E">
        <w:rPr>
          <w:rFonts w:ascii="Arial" w:eastAsia="Arial" w:hAnsi="Arial" w:cs="Arial"/>
          <w:i/>
          <w:sz w:val="22"/>
          <w:szCs w:val="22"/>
        </w:rPr>
        <w:t>i)</w:t>
      </w:r>
      <w:r w:rsidRPr="00A5537E">
        <w:rPr>
          <w:rFonts w:ascii="Arial" w:eastAsia="Arial" w:hAnsi="Arial" w:cs="Arial"/>
          <w:sz w:val="22"/>
          <w:szCs w:val="22"/>
        </w:rPr>
        <w:t xml:space="preserve"> una parte general o estratégica y </w:t>
      </w:r>
      <w:r w:rsidRPr="00A5537E">
        <w:rPr>
          <w:rFonts w:ascii="Arial" w:eastAsia="Arial" w:hAnsi="Arial" w:cs="Arial"/>
          <w:i/>
          <w:sz w:val="22"/>
          <w:szCs w:val="22"/>
        </w:rPr>
        <w:t>ii)</w:t>
      </w:r>
      <w:r w:rsidRPr="00A5537E">
        <w:rPr>
          <w:rFonts w:ascii="Arial" w:eastAsia="Arial" w:hAnsi="Arial" w:cs="Arial"/>
          <w:sz w:val="22"/>
          <w:szCs w:val="22"/>
        </w:rPr>
        <w:t xml:space="preserve"> un Plan Nacional de Inversiones de las entidades públicas del orden nacional. </w:t>
      </w:r>
    </w:p>
    <w:p w14:paraId="52E4B71C" w14:textId="77777777" w:rsidR="009E3AC0" w:rsidRPr="00A5537E" w:rsidRDefault="00622B0F" w:rsidP="00A5537E">
      <w:pPr>
        <w:spacing w:after="120"/>
        <w:ind w:firstLine="709"/>
      </w:pPr>
      <w:r w:rsidRPr="00A5537E">
        <w:rPr>
          <w:rFonts w:ascii="Arial" w:eastAsia="Arial" w:hAnsi="Arial" w:cs="Arial"/>
          <w:sz w:val="22"/>
          <w:szCs w:val="22"/>
        </w:rPr>
        <w:t xml:space="preserve">En la primera parte, se señalarán los propósitos y objetivos nacionales de largo plazo, así como las metas y prioridades estatales a mediano plazo y las estrategias generales de la política social, económica y ambiental que adoptará el Gobierno Nacional. Por su parte, el Plan de Inversiones Públicas, contendrá «los presupuestos plurianuales de </w:t>
      </w:r>
      <w:r w:rsidRPr="00A5537E">
        <w:rPr>
          <w:rFonts w:ascii="Arial" w:eastAsia="Arial" w:hAnsi="Arial" w:cs="Arial"/>
          <w:i/>
          <w:sz w:val="22"/>
          <w:szCs w:val="22"/>
        </w:rPr>
        <w:t>los principales programas y proyectos de inversión pública nacional</w:t>
      </w:r>
      <w:r w:rsidRPr="00A5537E">
        <w:rPr>
          <w:rFonts w:ascii="Arial" w:eastAsia="Arial" w:hAnsi="Arial" w:cs="Arial"/>
          <w:sz w:val="22"/>
          <w:szCs w:val="22"/>
        </w:rPr>
        <w:t xml:space="preserve"> y la especificación de los recursos financieros requeridos para su ejecución» (énfasis añadido)</w:t>
      </w:r>
      <w:r w:rsidRPr="00A5537E">
        <w:rPr>
          <w:rFonts w:ascii="Open Sans" w:eastAsia="Open Sans" w:hAnsi="Open Sans" w:cs="Open Sans"/>
          <w:color w:val="4B4949"/>
          <w:sz w:val="18"/>
          <w:szCs w:val="18"/>
        </w:rPr>
        <w:t>.</w:t>
      </w:r>
    </w:p>
    <w:p w14:paraId="72A6C4E5" w14:textId="77777777" w:rsidR="009E3AC0" w:rsidRPr="00A5537E" w:rsidRDefault="00622B0F">
      <w:pPr>
        <w:spacing w:after="0"/>
        <w:rPr>
          <w:rFonts w:ascii="Arial" w:eastAsia="Arial" w:hAnsi="Arial" w:cs="Arial"/>
          <w:sz w:val="22"/>
          <w:szCs w:val="22"/>
        </w:rPr>
      </w:pPr>
      <w:r w:rsidRPr="00A5537E">
        <w:rPr>
          <w:rFonts w:ascii="Arial" w:eastAsia="Arial" w:hAnsi="Arial" w:cs="Arial"/>
          <w:sz w:val="22"/>
          <w:szCs w:val="22"/>
        </w:rPr>
        <w:tab/>
        <w:t xml:space="preserve">Por otra parte, como producto natural de la descentralización territorial y la autonomía de las entidades territoriales que rigen la estructura del Estado colombiano, el inciso 2 del artículo 339 de la Constitución Política, autoriza a las autoridades territoriales para que elaboren y adopten, de manera concertada entre ellas y el Gobierno Nacional, sus propios planes de desarrollo. Al igual que el Plan Nacional de Desarrollo, los planes de desarrollo territoriales estarán constituidos por una primera parte estratégica y una segunda contentiva del plan de inversiones a mediano y corto plazo, en los términos y condiciones </w:t>
      </w:r>
      <w:r w:rsidRPr="00A5537E">
        <w:rPr>
          <w:rFonts w:ascii="Arial" w:eastAsia="Arial" w:hAnsi="Arial" w:cs="Arial"/>
          <w:sz w:val="22"/>
          <w:szCs w:val="22"/>
        </w:rPr>
        <w:lastRenderedPageBreak/>
        <w:t>que, de manera general, establezcan las respectivas asambleas departamentales y concejos municipales o distritales, según el caso</w:t>
      </w:r>
      <w:r w:rsidRPr="00A5537E">
        <w:rPr>
          <w:rFonts w:ascii="Arial" w:eastAsia="Arial" w:hAnsi="Arial" w:cs="Arial"/>
          <w:sz w:val="22"/>
          <w:szCs w:val="22"/>
          <w:vertAlign w:val="superscript"/>
        </w:rPr>
        <w:footnoteReference w:id="51"/>
      </w:r>
      <w:r w:rsidRPr="00A5537E">
        <w:rPr>
          <w:rFonts w:ascii="Arial" w:eastAsia="Arial" w:hAnsi="Arial" w:cs="Arial"/>
          <w:sz w:val="22"/>
          <w:szCs w:val="22"/>
        </w:rPr>
        <w:t xml:space="preserve">. </w:t>
      </w:r>
    </w:p>
    <w:p w14:paraId="02DC840D" w14:textId="77777777" w:rsidR="009E3AC0" w:rsidRPr="00A5537E" w:rsidRDefault="009E3AC0">
      <w:pPr>
        <w:spacing w:after="0"/>
        <w:rPr>
          <w:rFonts w:ascii="Arial" w:eastAsia="Arial" w:hAnsi="Arial" w:cs="Arial"/>
          <w:sz w:val="22"/>
          <w:szCs w:val="22"/>
        </w:rPr>
      </w:pPr>
    </w:p>
    <w:p w14:paraId="60C287C4" w14:textId="77777777" w:rsidR="009E3AC0" w:rsidRPr="00A5537E" w:rsidRDefault="00622B0F">
      <w:pPr>
        <w:spacing w:after="0"/>
        <w:rPr>
          <w:rFonts w:ascii="Arial" w:eastAsia="Arial" w:hAnsi="Arial" w:cs="Arial"/>
          <w:b/>
          <w:sz w:val="22"/>
          <w:szCs w:val="22"/>
        </w:rPr>
      </w:pPr>
      <w:r w:rsidRPr="00A5537E">
        <w:rPr>
          <w:rFonts w:ascii="Arial" w:eastAsia="Arial" w:hAnsi="Arial" w:cs="Arial"/>
          <w:b/>
          <w:sz w:val="22"/>
          <w:szCs w:val="22"/>
        </w:rPr>
        <w:t>2.5.1.</w:t>
      </w:r>
      <w:r w:rsidRPr="00A5537E">
        <w:rPr>
          <w:rFonts w:ascii="Arial" w:eastAsia="Arial" w:hAnsi="Arial" w:cs="Arial"/>
          <w:sz w:val="22"/>
          <w:szCs w:val="22"/>
        </w:rPr>
        <w:t xml:space="preserve"> </w:t>
      </w:r>
      <w:r w:rsidRPr="00A5537E">
        <w:rPr>
          <w:rFonts w:ascii="Arial" w:eastAsia="Arial" w:hAnsi="Arial" w:cs="Arial"/>
          <w:b/>
          <w:sz w:val="22"/>
          <w:szCs w:val="22"/>
        </w:rPr>
        <w:t>Alcances y elementos de la reforma a la Ley de Garantías Electorales</w:t>
      </w:r>
    </w:p>
    <w:p w14:paraId="21DF4805" w14:textId="77777777" w:rsidR="009E3AC0" w:rsidRPr="00A5537E" w:rsidRDefault="009E3AC0" w:rsidP="00A5537E">
      <w:pPr>
        <w:shd w:val="clear" w:color="auto" w:fill="FFFFFF"/>
        <w:spacing w:after="120"/>
      </w:pPr>
    </w:p>
    <w:p w14:paraId="0DDA9BD2" w14:textId="77777777" w:rsidR="009E3AC0" w:rsidRPr="00A5537E" w:rsidRDefault="00622B0F" w:rsidP="00A5537E">
      <w:pPr>
        <w:shd w:val="clear" w:color="auto" w:fill="FFFFFF"/>
        <w:spacing w:after="120"/>
      </w:pPr>
      <w:r w:rsidRPr="00A5537E">
        <w:rPr>
          <w:rFonts w:ascii="Arial" w:eastAsia="Arial" w:hAnsi="Arial" w:cs="Arial"/>
          <w:sz w:val="22"/>
          <w:szCs w:val="22"/>
        </w:rPr>
        <w:t>En este contexto, como se puede apreciar, el artículo 124 de la Ley del Presupuesto para la vigencia fiscal del 2022 que arriba se citó, con la finalidad de promover la reactivación económica y la generación de empleo en las regiones, consagra una autorización a la Nación y a las entidades territoriales para celebrar convenios interadministrativos con el fin de ejecutar programas y proyectos correspondientes al Presupuesto General de la Nación.</w:t>
      </w:r>
    </w:p>
    <w:p w14:paraId="7300BEFE" w14:textId="77777777" w:rsidR="009E3AC0" w:rsidRPr="00A5537E" w:rsidRDefault="00622B0F" w:rsidP="00A5537E">
      <w:pPr>
        <w:shd w:val="clear" w:color="auto" w:fill="FFFFFF"/>
        <w:spacing w:after="120"/>
        <w:ind w:firstLine="708"/>
      </w:pPr>
      <w:r w:rsidRPr="00A5537E">
        <w:rPr>
          <w:rFonts w:ascii="Arial" w:eastAsia="Arial" w:hAnsi="Arial" w:cs="Arial"/>
          <w:sz w:val="22"/>
          <w:szCs w:val="22"/>
        </w:rPr>
        <w:t xml:space="preserve">Se fijan, entonces, ciertas condiciones temporales, subjetivas y materiales o teleológicas para la celebración de los convenios interadministrativos: i) que sean celebrados a partir de la publicación de la Ley del Presupuesto en el Diario Oficial y hasta el término de la vigencia fiscal 2022, es decir, hasta el 31 de diciembre de dicho año, ii) que sean celebrados entre la Nación, por una parte, y las entidades territoriales, por otra, y iii) que los convenios sean celebrados con el fin de ejecutar programas o proyectos que correspondan al Presupuesto General de la Nación. </w:t>
      </w:r>
    </w:p>
    <w:p w14:paraId="298E2796" w14:textId="77777777" w:rsidR="009E3AC0" w:rsidRPr="00A5537E" w:rsidRDefault="00622B0F">
      <w:pPr>
        <w:shd w:val="clear" w:color="auto" w:fill="FFFFFF"/>
        <w:spacing w:after="0"/>
        <w:ind w:firstLine="708"/>
        <w:rPr>
          <w:rFonts w:ascii="Arial" w:eastAsia="Arial" w:hAnsi="Arial" w:cs="Arial"/>
          <w:sz w:val="22"/>
          <w:szCs w:val="22"/>
        </w:rPr>
      </w:pPr>
      <w:r w:rsidRPr="00A5537E">
        <w:rPr>
          <w:rFonts w:ascii="Arial" w:eastAsia="Arial" w:hAnsi="Arial" w:cs="Arial"/>
          <w:sz w:val="22"/>
          <w:szCs w:val="22"/>
        </w:rPr>
        <w:t xml:space="preserve">A continuación, la Agencia se referirá a cada uno de los aspectos o elementos insertos en la mencionada disposición. </w:t>
      </w:r>
    </w:p>
    <w:p w14:paraId="4D9181BA" w14:textId="77777777" w:rsidR="009E3AC0" w:rsidRPr="00A5537E" w:rsidRDefault="009E3AC0">
      <w:pPr>
        <w:shd w:val="clear" w:color="auto" w:fill="FFFFFF"/>
        <w:spacing w:after="0"/>
        <w:rPr>
          <w:rFonts w:ascii="Arial" w:eastAsia="Arial" w:hAnsi="Arial" w:cs="Arial"/>
          <w:sz w:val="22"/>
          <w:szCs w:val="22"/>
        </w:rPr>
      </w:pPr>
    </w:p>
    <w:p w14:paraId="622AAD69" w14:textId="77777777" w:rsidR="009E3AC0" w:rsidRPr="00A5537E" w:rsidRDefault="00622B0F">
      <w:pPr>
        <w:shd w:val="clear" w:color="auto" w:fill="FFFFFF"/>
        <w:spacing w:after="0"/>
        <w:rPr>
          <w:rFonts w:ascii="Arial" w:eastAsia="Arial" w:hAnsi="Arial" w:cs="Arial"/>
          <w:b/>
          <w:sz w:val="22"/>
          <w:szCs w:val="22"/>
        </w:rPr>
      </w:pPr>
      <w:r w:rsidRPr="00A5537E">
        <w:rPr>
          <w:rFonts w:ascii="Arial" w:eastAsia="Arial" w:hAnsi="Arial" w:cs="Arial"/>
          <w:b/>
          <w:sz w:val="22"/>
          <w:szCs w:val="22"/>
        </w:rPr>
        <w:t>2.5.1.1. Aspecto temporal</w:t>
      </w:r>
    </w:p>
    <w:p w14:paraId="1A4B841E" w14:textId="77777777" w:rsidR="009E3AC0" w:rsidRPr="00A5537E" w:rsidRDefault="009E3AC0">
      <w:pPr>
        <w:shd w:val="clear" w:color="auto" w:fill="FFFFFF"/>
        <w:spacing w:after="0"/>
        <w:rPr>
          <w:rFonts w:ascii="Arial" w:eastAsia="Arial" w:hAnsi="Arial" w:cs="Arial"/>
          <w:sz w:val="22"/>
          <w:szCs w:val="22"/>
        </w:rPr>
      </w:pPr>
    </w:p>
    <w:p w14:paraId="5E1826BF" w14:textId="77777777" w:rsidR="009E3AC0" w:rsidRPr="00A5537E" w:rsidRDefault="00622B0F" w:rsidP="00A5537E">
      <w:pPr>
        <w:shd w:val="clear" w:color="auto" w:fill="FFFFFF"/>
        <w:spacing w:after="120"/>
      </w:pPr>
      <w:r w:rsidRPr="00A5537E">
        <w:rPr>
          <w:rFonts w:ascii="Arial" w:eastAsia="Arial" w:hAnsi="Arial" w:cs="Arial"/>
          <w:sz w:val="22"/>
          <w:szCs w:val="22"/>
        </w:rPr>
        <w:t xml:space="preserve">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w:t>
      </w:r>
    </w:p>
    <w:p w14:paraId="341F9FB4" w14:textId="77777777" w:rsidR="009E3AC0" w:rsidRPr="00A5537E" w:rsidRDefault="00622B0F">
      <w:pPr>
        <w:shd w:val="clear" w:color="auto" w:fill="FFFFFF"/>
        <w:spacing w:after="0"/>
        <w:ind w:firstLine="709"/>
        <w:rPr>
          <w:rFonts w:ascii="Arial" w:eastAsia="Arial" w:hAnsi="Arial" w:cs="Arial"/>
          <w:sz w:val="22"/>
          <w:szCs w:val="22"/>
        </w:rPr>
      </w:pPr>
      <w:r w:rsidRPr="00A5537E">
        <w:rPr>
          <w:rFonts w:ascii="Arial" w:eastAsia="Arial" w:hAnsi="Arial" w:cs="Arial"/>
          <w:sz w:val="22"/>
          <w:szCs w:val="22"/>
        </w:rPr>
        <w:t>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y parcial de la prohibición,</w:t>
      </w:r>
      <w:r w:rsidRPr="00A5537E">
        <w:t xml:space="preserve"> </w:t>
      </w:r>
      <w:r w:rsidRPr="00A5537E">
        <w:rPr>
          <w:rFonts w:ascii="Arial" w:eastAsia="Arial" w:hAnsi="Arial" w:cs="Arial"/>
          <w:sz w:val="22"/>
          <w:szCs w:val="22"/>
        </w:rPr>
        <w:t xml:space="preserve">teniendo en cuenta que la norma es de carácter temporal y que en realidad no varía o cambia de forma permanente una norma general prevista en la Ley 996 de 2005, sino que </w:t>
      </w:r>
      <w:r w:rsidRPr="00A5537E">
        <w:rPr>
          <w:rFonts w:ascii="Arial" w:eastAsia="Arial" w:hAnsi="Arial" w:cs="Arial"/>
          <w:sz w:val="22"/>
          <w:szCs w:val="22"/>
        </w:rPr>
        <w:lastRenderedPageBreak/>
        <w:t>prevé su inaplicación desde que comience a regir la Ley de Presupuesto y durante la vigencia fiscal 2022.</w:t>
      </w:r>
    </w:p>
    <w:p w14:paraId="3C3E8C7D" w14:textId="77777777" w:rsidR="009E3AC0" w:rsidRPr="00A5537E" w:rsidRDefault="009E3AC0">
      <w:pPr>
        <w:shd w:val="clear" w:color="auto" w:fill="FFFFFF"/>
        <w:spacing w:after="0"/>
        <w:rPr>
          <w:rFonts w:ascii="Arial" w:eastAsia="Arial" w:hAnsi="Arial" w:cs="Arial"/>
          <w:sz w:val="22"/>
          <w:szCs w:val="22"/>
        </w:rPr>
      </w:pPr>
    </w:p>
    <w:p w14:paraId="46A077EB" w14:textId="77777777" w:rsidR="009E3AC0" w:rsidRPr="00A5537E" w:rsidRDefault="00622B0F">
      <w:pPr>
        <w:shd w:val="clear" w:color="auto" w:fill="FFFFFF"/>
        <w:spacing w:after="0"/>
        <w:rPr>
          <w:rFonts w:ascii="Arial" w:eastAsia="Arial" w:hAnsi="Arial" w:cs="Arial"/>
          <w:b/>
          <w:sz w:val="22"/>
          <w:szCs w:val="22"/>
        </w:rPr>
      </w:pPr>
      <w:r w:rsidRPr="00A5537E">
        <w:rPr>
          <w:rFonts w:ascii="Arial" w:eastAsia="Arial" w:hAnsi="Arial" w:cs="Arial"/>
          <w:b/>
          <w:sz w:val="22"/>
          <w:szCs w:val="22"/>
        </w:rPr>
        <w:t>2.5.1.2. Aspecto subjetivo</w:t>
      </w:r>
    </w:p>
    <w:p w14:paraId="15254A6A" w14:textId="77777777" w:rsidR="009E3AC0" w:rsidRPr="00A5537E" w:rsidRDefault="009E3AC0">
      <w:pPr>
        <w:shd w:val="clear" w:color="auto" w:fill="FFFFFF"/>
        <w:spacing w:after="0"/>
        <w:rPr>
          <w:rFonts w:ascii="Arial" w:eastAsia="Arial" w:hAnsi="Arial" w:cs="Arial"/>
          <w:sz w:val="22"/>
          <w:szCs w:val="22"/>
        </w:rPr>
      </w:pPr>
    </w:p>
    <w:p w14:paraId="52A48864" w14:textId="77777777" w:rsidR="009E3AC0" w:rsidRPr="00A5537E" w:rsidRDefault="00622B0F" w:rsidP="00A5537E">
      <w:pPr>
        <w:shd w:val="clear" w:color="auto" w:fill="FFFFFF"/>
        <w:spacing w:after="120"/>
      </w:pPr>
      <w:r w:rsidRPr="00A5537E">
        <w:rPr>
          <w:rFonts w:ascii="Arial" w:eastAsia="Arial" w:hAnsi="Arial" w:cs="Arial"/>
          <w:sz w:val="22"/>
          <w:szCs w:val="22"/>
        </w:rPr>
        <w:t xml:space="preserve">Ahora bien, según se señaló atrás, el parágrafo del artículo 38 de la Ley 996 de 2005, en su texto original, establece una prohibición dirigida a los alcaldes, gobernadores, secretarios, gerentes y directores de las entidades del orden municipal, departamental o distrital, quienes no podrán celebrar convenios y contratos interadministrativos para la ejecución de recursos públicos durante el periodo establecido en ese mismo parágrafo, sin hacer diferencia alguna con respecto a la modalidad de selección que se utilice, ante lo cual, cabe la posibilidad de que los contratos o convenios interadministrativos sean celebrados entre entidades territoriales o entre entes territoriales y nacionales. </w:t>
      </w:r>
    </w:p>
    <w:p w14:paraId="6CCC63C9" w14:textId="77777777" w:rsidR="009E3AC0" w:rsidRPr="00A5537E" w:rsidRDefault="00622B0F" w:rsidP="00A5537E">
      <w:pPr>
        <w:shd w:val="clear" w:color="auto" w:fill="FFFFFF"/>
        <w:spacing w:after="120"/>
        <w:ind w:firstLine="708"/>
      </w:pPr>
      <w:bookmarkStart w:id="47" w:name="_32hioqz" w:colFirst="0" w:colLast="0"/>
      <w:bookmarkEnd w:id="47"/>
      <w:r w:rsidRPr="00A5537E">
        <w:rPr>
          <w:rFonts w:ascii="Arial" w:eastAsia="Arial" w:hAnsi="Arial" w:cs="Arial"/>
          <w:sz w:val="22"/>
          <w:szCs w:val="22"/>
        </w:rPr>
        <w:t>Como se observa, el artículo 124 de la Ley 2159 de 2021 hace referencia a que la «Nación» podrá celebrar convenios interadministrativos con «las entidades territoriales», razón por la cual en su aplicación resulta relevante el concepto que se tenga de los dos sujetos de derecho autorizados para celebrarlos.</w:t>
      </w:r>
    </w:p>
    <w:p w14:paraId="0DF8E552" w14:textId="77777777" w:rsidR="009E3AC0" w:rsidRPr="00A5537E" w:rsidRDefault="00622B0F" w:rsidP="00A5537E">
      <w:pPr>
        <w:shd w:val="clear" w:color="auto" w:fill="FFFFFF"/>
        <w:spacing w:after="120"/>
        <w:ind w:firstLine="708"/>
      </w:pPr>
      <w:r w:rsidRPr="00A5537E">
        <w:rPr>
          <w:rFonts w:ascii="Arial" w:eastAsia="Arial" w:hAnsi="Arial" w:cs="Arial"/>
          <w:sz w:val="22"/>
          <w:szCs w:val="22"/>
        </w:rPr>
        <w:t xml:space="preserve">En cuanto a las entidades territoriales, el artículo 286 de la Constitución Política establece claramente que son «los departamentos, los distritos, los municipios y los territorios indígenas» y la «ley podrá darles el carácter de entidades territoriales a las regiones y provincias que se constituyan en los términos de la Constitución y de la ley». Es a estas entidades a los que, en opinión de esta Agencia, hace referencia el artículo 124 de la Ley 2159 de 2021 al expresar «las entidades territoriales».  </w:t>
      </w:r>
    </w:p>
    <w:p w14:paraId="3E552B71" w14:textId="77777777" w:rsidR="009E3AC0" w:rsidRPr="00A5537E" w:rsidRDefault="00622B0F" w:rsidP="00A5537E">
      <w:pPr>
        <w:shd w:val="clear" w:color="auto" w:fill="FFFFFF"/>
        <w:spacing w:after="120"/>
        <w:ind w:firstLine="708"/>
      </w:pPr>
      <w:r w:rsidRPr="00A5537E">
        <w:rPr>
          <w:rFonts w:ascii="Arial" w:eastAsia="Arial" w:hAnsi="Arial" w:cs="Arial"/>
          <w:sz w:val="22"/>
          <w:szCs w:val="22"/>
        </w:rPr>
        <w:t>Por su parte, en el derecho constitucional el concepto Nación ha sido de difícil determinación y amplia discusión. La Nación se ha definido de distintas maneras, no obstante, uno de sus sentidos es el que lo identifica con el término de Estado y comprendida en él, es decir, como una estructura política y administrativa</w:t>
      </w:r>
      <w:r w:rsidRPr="00A5537E">
        <w:rPr>
          <w:rFonts w:ascii="Arial" w:eastAsia="Arial" w:hAnsi="Arial" w:cs="Arial"/>
          <w:sz w:val="22"/>
          <w:szCs w:val="22"/>
          <w:vertAlign w:val="superscript"/>
        </w:rPr>
        <w:footnoteReference w:id="52"/>
      </w:r>
      <w:r w:rsidRPr="00A5537E">
        <w:rPr>
          <w:rFonts w:ascii="Arial" w:eastAsia="Arial" w:hAnsi="Arial" w:cs="Arial"/>
          <w:sz w:val="22"/>
          <w:szCs w:val="22"/>
        </w:rPr>
        <w:t xml:space="preserve">. </w:t>
      </w:r>
    </w:p>
    <w:p w14:paraId="6C8D911C" w14:textId="237072EA" w:rsidR="009E3AC0" w:rsidRPr="00A5537E" w:rsidRDefault="00622B0F" w:rsidP="00A5537E">
      <w:pPr>
        <w:shd w:val="clear" w:color="auto" w:fill="FFFFFF"/>
        <w:spacing w:after="120"/>
        <w:ind w:firstLine="708"/>
      </w:pPr>
      <w:r w:rsidRPr="00A5537E">
        <w:rPr>
          <w:rFonts w:ascii="Arial" w:eastAsia="Arial" w:hAnsi="Arial" w:cs="Arial"/>
          <w:sz w:val="22"/>
          <w:szCs w:val="22"/>
        </w:rPr>
        <w:t>Bajo esta óptica, es menester recordar que, conforme al artículo 1 de la Constitución Política, Colombia es un Estado social derecho, organizado en forma de República unitaria pero descentralizada y con autonomía de sus entidades territoriales</w:t>
      </w:r>
      <w:r w:rsidRPr="00A5537E">
        <w:rPr>
          <w:rFonts w:ascii="Arial" w:eastAsia="Arial" w:hAnsi="Arial" w:cs="Arial"/>
          <w:sz w:val="22"/>
          <w:szCs w:val="22"/>
          <w:vertAlign w:val="superscript"/>
        </w:rPr>
        <w:footnoteReference w:id="53"/>
      </w:r>
      <w:r w:rsidRPr="00A5537E">
        <w:rPr>
          <w:rFonts w:ascii="Arial" w:eastAsia="Arial" w:hAnsi="Arial" w:cs="Arial"/>
          <w:sz w:val="22"/>
          <w:szCs w:val="22"/>
        </w:rPr>
        <w:t xml:space="preserve">; y que, precisamente, </w:t>
      </w:r>
      <w:r w:rsidRPr="00A5537E">
        <w:rPr>
          <w:rFonts w:ascii="Arial" w:eastAsia="Arial" w:hAnsi="Arial" w:cs="Arial"/>
          <w:sz w:val="22"/>
          <w:szCs w:val="22"/>
        </w:rPr>
        <w:lastRenderedPageBreak/>
        <w:t>en nuestro ordenamiento jurídico se utiliza la expresión «Nación», en vez de la expresión «Estado», para hacer alusión a las autoridades centrales y diferenciarlas de las autoridades descentralizadas territorialmente y por servicios</w:t>
      </w:r>
      <w:r w:rsidRPr="00A5537E">
        <w:rPr>
          <w:rFonts w:ascii="Arial" w:eastAsia="Arial" w:hAnsi="Arial" w:cs="Arial"/>
          <w:sz w:val="22"/>
          <w:szCs w:val="22"/>
          <w:vertAlign w:val="superscript"/>
        </w:rPr>
        <w:footnoteReference w:id="54"/>
      </w:r>
      <w:r w:rsidRPr="00A5537E">
        <w:rPr>
          <w:rFonts w:ascii="Arial" w:eastAsia="Arial" w:hAnsi="Arial" w:cs="Arial"/>
          <w:sz w:val="22"/>
          <w:szCs w:val="22"/>
        </w:rPr>
        <w:t>. Así lo ha manifestado la Corte Constitucional:</w:t>
      </w:r>
    </w:p>
    <w:p w14:paraId="0E04DC9B" w14:textId="77777777" w:rsidR="009E3AC0" w:rsidRPr="00A5537E" w:rsidRDefault="00622B0F">
      <w:pPr>
        <w:shd w:val="clear" w:color="auto" w:fill="FFFFFF"/>
        <w:spacing w:after="0" w:line="240" w:lineRule="auto"/>
        <w:ind w:left="709" w:right="567"/>
        <w:rPr>
          <w:rFonts w:ascii="Arial" w:eastAsia="Arial" w:hAnsi="Arial" w:cs="Arial"/>
          <w:sz w:val="21"/>
          <w:szCs w:val="21"/>
        </w:rPr>
      </w:pPr>
      <w:r w:rsidRPr="00A5537E">
        <w:rPr>
          <w:rFonts w:ascii="Arial" w:eastAsia="Arial" w:hAnsi="Arial" w:cs="Arial"/>
          <w:sz w:val="21"/>
          <w:szCs w:val="21"/>
        </w:rPr>
        <w:t xml:space="preserve">[E]n general nuestra normatividad </w:t>
      </w:r>
      <w:r w:rsidRPr="00A5537E">
        <w:rPr>
          <w:rFonts w:ascii="Arial" w:eastAsia="Arial" w:hAnsi="Arial" w:cs="Arial"/>
          <w:i/>
          <w:sz w:val="21"/>
          <w:szCs w:val="21"/>
        </w:rPr>
        <w:t>ha reservado la palabra “Nación”</w:t>
      </w:r>
      <w:r w:rsidRPr="00A5537E">
        <w:rPr>
          <w:rFonts w:ascii="Arial" w:eastAsia="Arial" w:hAnsi="Arial" w:cs="Arial"/>
          <w:sz w:val="21"/>
          <w:szCs w:val="21"/>
        </w:rPr>
        <w:t xml:space="preserve">, en vez de la palabra “Estado”, </w:t>
      </w:r>
      <w:r w:rsidRPr="00A5537E">
        <w:rPr>
          <w:rFonts w:ascii="Arial" w:eastAsia="Arial" w:hAnsi="Arial" w:cs="Arial"/>
          <w:i/>
          <w:sz w:val="21"/>
          <w:szCs w:val="21"/>
        </w:rPr>
        <w:t>para hacer referencia a las autoridades centrales y distinguirlas de las autoridades descentralizadas</w:t>
      </w:r>
      <w:r w:rsidRPr="00A5537E">
        <w:rPr>
          <w:rFonts w:ascii="Arial" w:eastAsia="Arial" w:hAnsi="Arial" w:cs="Arial"/>
          <w:sz w:val="21"/>
          <w:szCs w:val="21"/>
        </w:rPr>
        <w:t xml:space="preserve">. Así, el artículo 182 de la Constitución derogada ordenaba a la ley determinar “los servicios a cargo de la Nación y de las entidades descentralizadas”. Ese lenguaje se ha mantenido en la Constitución de 1991, pues </w:t>
      </w:r>
      <w:r w:rsidRPr="00A5537E">
        <w:rPr>
          <w:rFonts w:ascii="Arial" w:eastAsia="Arial" w:hAnsi="Arial" w:cs="Arial"/>
          <w:i/>
          <w:sz w:val="21"/>
          <w:szCs w:val="21"/>
        </w:rPr>
        <w:t>la Carta utiliza la palabra Nación cuando se refiere a las competencias propias de las autoridades centrales, mientras que la palabra Estado denota en general el conjunto de todas las autoridades públicas</w:t>
      </w:r>
      <w:r w:rsidRPr="00A5537E">
        <w:rPr>
          <w:rFonts w:ascii="Arial" w:eastAsia="Arial" w:hAnsi="Arial" w:cs="Arial"/>
          <w:sz w:val="21"/>
          <w:szCs w:val="21"/>
        </w:rPr>
        <w:t>. (Cursiva fuera del texto).</w:t>
      </w:r>
    </w:p>
    <w:p w14:paraId="6B8FDC7B" w14:textId="77777777" w:rsidR="009E3AC0" w:rsidRPr="00A5537E" w:rsidRDefault="009E3AC0" w:rsidP="00A5537E">
      <w:pPr>
        <w:shd w:val="clear" w:color="auto" w:fill="FFFFFF"/>
        <w:spacing w:after="0" w:line="240" w:lineRule="auto"/>
        <w:ind w:left="709" w:right="567"/>
      </w:pPr>
    </w:p>
    <w:p w14:paraId="696DD4E7" w14:textId="77777777" w:rsidR="009E3AC0" w:rsidRPr="00A5537E" w:rsidRDefault="00622B0F" w:rsidP="00A5537E">
      <w:pPr>
        <w:shd w:val="clear" w:color="auto" w:fill="FFFFFF"/>
        <w:spacing w:after="120"/>
        <w:ind w:firstLine="708"/>
      </w:pPr>
      <w:r w:rsidRPr="00A5537E">
        <w:rPr>
          <w:rFonts w:ascii="Arial" w:eastAsia="Arial" w:hAnsi="Arial" w:cs="Arial"/>
          <w:sz w:val="22"/>
          <w:szCs w:val="22"/>
        </w:rPr>
        <w:t>De otro lado, el Estado en su conjunto, esto es, la Nación y otros órganos que realizan las diversas funciones y servicios, actúa en el mundo del Derecho dotado de personalidad jurídica como</w:t>
      </w:r>
      <w:r w:rsidRPr="00A5537E">
        <w:t xml:space="preserve"> </w:t>
      </w:r>
      <w:r w:rsidRPr="00A5537E">
        <w:rPr>
          <w:rFonts w:ascii="Arial" w:eastAsia="Arial" w:hAnsi="Arial" w:cs="Arial"/>
          <w:sz w:val="22"/>
          <w:szCs w:val="22"/>
        </w:rPr>
        <w:t xml:space="preserve">sujeto de derechos y obligaciones. En efecto, el artículo 80 de la Ley 153 de 1887 establece que </w:t>
      </w:r>
      <w:r w:rsidRPr="00A5537E">
        <w:rPr>
          <w:rFonts w:ascii="Arial" w:eastAsia="Arial" w:hAnsi="Arial" w:cs="Arial"/>
          <w:sz w:val="21"/>
          <w:szCs w:val="21"/>
        </w:rPr>
        <w:t>«</w:t>
      </w:r>
      <w:r w:rsidRPr="00A5537E">
        <w:rPr>
          <w:rFonts w:ascii="Arial" w:eastAsia="Arial" w:hAnsi="Arial" w:cs="Arial"/>
          <w:sz w:val="22"/>
          <w:szCs w:val="22"/>
        </w:rPr>
        <w:t>[l]a Nación, los Departamentos, los Municipios, los establecimientos de beneficencia y los de instrucción pública, y las corporaciones creadas o reconocidas por la ley, son personas jurídicas</w:t>
      </w:r>
      <w:r w:rsidRPr="00A5537E">
        <w:rPr>
          <w:rFonts w:ascii="Arial" w:eastAsia="Arial" w:hAnsi="Arial" w:cs="Arial"/>
          <w:sz w:val="21"/>
          <w:szCs w:val="21"/>
        </w:rPr>
        <w:t>»</w:t>
      </w:r>
      <w:r w:rsidRPr="00A5537E">
        <w:rPr>
          <w:rFonts w:ascii="Arial" w:eastAsia="Arial" w:hAnsi="Arial" w:cs="Arial"/>
          <w:sz w:val="22"/>
          <w:szCs w:val="22"/>
        </w:rPr>
        <w:t xml:space="preserve">. </w:t>
      </w:r>
    </w:p>
    <w:p w14:paraId="123017DD" w14:textId="2BF54616" w:rsidR="009E3AC0" w:rsidRPr="00A5537E" w:rsidRDefault="00622B0F" w:rsidP="00A5537E">
      <w:pPr>
        <w:shd w:val="clear" w:color="auto" w:fill="FFFFFF"/>
        <w:spacing w:after="120"/>
        <w:ind w:firstLine="708"/>
      </w:pPr>
      <w:r w:rsidRPr="00A5537E">
        <w:rPr>
          <w:rFonts w:ascii="Arial" w:eastAsia="Arial" w:hAnsi="Arial" w:cs="Arial"/>
          <w:sz w:val="22"/>
          <w:szCs w:val="22"/>
        </w:rPr>
        <w:t>Bajo este esquema constitucional y legal se ha entendido que «las entidades territoriales, así como las entidades descentralizadas por servicios, tienen su propia personería jurídica, al paso que la personalidad jurídica de la Nación cobija a las ramas del poder público, así como a los otros órganos autónomos e independientes que se han previsto por la Constitución para el cumplimiento de las demás funciones del Estado</w:t>
      </w:r>
      <w:r w:rsidRPr="00A5537E">
        <w:rPr>
          <w:rFonts w:ascii="Arial" w:eastAsia="Arial" w:hAnsi="Arial" w:cs="Arial"/>
          <w:sz w:val="21"/>
          <w:szCs w:val="21"/>
        </w:rPr>
        <w:t>»</w:t>
      </w:r>
      <w:r w:rsidRPr="00A5537E">
        <w:rPr>
          <w:rFonts w:ascii="Arial" w:eastAsia="Arial" w:hAnsi="Arial" w:cs="Arial"/>
          <w:sz w:val="21"/>
          <w:szCs w:val="21"/>
          <w:vertAlign w:val="superscript"/>
        </w:rPr>
        <w:footnoteReference w:id="55"/>
      </w:r>
      <w:r w:rsidRPr="00A5537E">
        <w:rPr>
          <w:rFonts w:ascii="Arial" w:eastAsia="Arial" w:hAnsi="Arial" w:cs="Arial"/>
          <w:sz w:val="21"/>
          <w:szCs w:val="21"/>
        </w:rPr>
        <w:t>.</w:t>
      </w:r>
      <w:r w:rsidRPr="00A5537E">
        <w:rPr>
          <w:rFonts w:ascii="Arial" w:eastAsia="Arial" w:hAnsi="Arial" w:cs="Arial"/>
          <w:sz w:val="22"/>
          <w:szCs w:val="22"/>
        </w:rPr>
        <w:t xml:space="preserve">  </w:t>
      </w:r>
    </w:p>
    <w:p w14:paraId="3B6C512C" w14:textId="77777777" w:rsidR="009E3AC0" w:rsidRPr="00A5537E" w:rsidRDefault="00622B0F" w:rsidP="00A5537E">
      <w:pPr>
        <w:shd w:val="clear" w:color="auto" w:fill="FFFFFF"/>
        <w:spacing w:after="120"/>
        <w:ind w:firstLine="708"/>
      </w:pPr>
      <w:r w:rsidRPr="00A5537E">
        <w:rPr>
          <w:rFonts w:ascii="Arial" w:eastAsia="Arial" w:hAnsi="Arial" w:cs="Arial"/>
          <w:sz w:val="22"/>
          <w:szCs w:val="22"/>
        </w:rPr>
        <w:t xml:space="preserve">En particular, la Rama Ejecutiva del Poder público se manifiesta en dos órdenes o niveles, por un lado, el nivel nacional, o «administración nacional» que a su turno puede contar con entidades descentralizadas por servicios, y por el otro, el nivel descentralizado por virtud del territorio, o «administración territorial». En efecto, el artículo 38 de la Ley 489 de 1998, por medio de la cual se dictan normas sobre la organización y funcionamiento de las entidades del orden nacional, se expiden las disposiciones, principios y reglas para el ejercicio de las atribuciones previstas en los numerales 15 y 16 del artículo 189 de la Constitución, al respecto dispone: </w:t>
      </w:r>
    </w:p>
    <w:p w14:paraId="645F24DD" w14:textId="77777777" w:rsidR="009E3AC0" w:rsidRPr="00A5537E" w:rsidRDefault="00622B0F" w:rsidP="00A5537E">
      <w:pPr>
        <w:shd w:val="clear" w:color="auto" w:fill="FFFFFF"/>
        <w:spacing w:after="120" w:line="240" w:lineRule="auto"/>
        <w:ind w:left="709" w:right="709"/>
      </w:pPr>
      <w:r w:rsidRPr="00A5537E">
        <w:rPr>
          <w:rFonts w:ascii="Arial" w:eastAsia="Arial" w:hAnsi="Arial" w:cs="Arial"/>
          <w:sz w:val="21"/>
          <w:szCs w:val="21"/>
        </w:rPr>
        <w:t>La Rama Ejecutiva del Poder Público del orden nacional, está integrada por los siguientes organismos y entidades:</w:t>
      </w:r>
    </w:p>
    <w:p w14:paraId="38A7B918" w14:textId="77777777" w:rsidR="009E3AC0" w:rsidRPr="00A5537E" w:rsidRDefault="00622B0F" w:rsidP="00A5537E">
      <w:pPr>
        <w:shd w:val="clear" w:color="auto" w:fill="FFFFFF"/>
        <w:spacing w:after="120" w:line="240" w:lineRule="auto"/>
        <w:ind w:left="709" w:right="709"/>
      </w:pPr>
      <w:r w:rsidRPr="00A5537E">
        <w:rPr>
          <w:rFonts w:ascii="Arial" w:eastAsia="Arial" w:hAnsi="Arial" w:cs="Arial"/>
          <w:sz w:val="21"/>
          <w:szCs w:val="21"/>
        </w:rPr>
        <w:t>1. Del Sector Central:</w:t>
      </w:r>
    </w:p>
    <w:p w14:paraId="38AE7AB7" w14:textId="77777777" w:rsidR="009E3AC0" w:rsidRPr="00A5537E" w:rsidRDefault="00622B0F" w:rsidP="00A5537E">
      <w:pPr>
        <w:shd w:val="clear" w:color="auto" w:fill="FFFFFF"/>
        <w:spacing w:after="120" w:line="240" w:lineRule="auto"/>
        <w:ind w:left="709" w:right="709"/>
      </w:pPr>
      <w:r w:rsidRPr="00A5537E">
        <w:rPr>
          <w:rFonts w:ascii="Arial" w:eastAsia="Arial" w:hAnsi="Arial" w:cs="Arial"/>
          <w:sz w:val="21"/>
          <w:szCs w:val="21"/>
        </w:rPr>
        <w:t>a) La Presidencia de la República;</w:t>
      </w:r>
    </w:p>
    <w:p w14:paraId="18A68FB5" w14:textId="77777777" w:rsidR="009E3AC0" w:rsidRPr="00A5537E" w:rsidRDefault="00622B0F" w:rsidP="00A5537E">
      <w:pPr>
        <w:shd w:val="clear" w:color="auto" w:fill="FFFFFF"/>
        <w:spacing w:after="120" w:line="240" w:lineRule="auto"/>
        <w:ind w:left="709" w:right="709"/>
      </w:pPr>
      <w:r w:rsidRPr="00A5537E">
        <w:rPr>
          <w:rFonts w:ascii="Arial" w:eastAsia="Arial" w:hAnsi="Arial" w:cs="Arial"/>
          <w:sz w:val="21"/>
          <w:szCs w:val="21"/>
        </w:rPr>
        <w:lastRenderedPageBreak/>
        <w:t>b) La Vicepresidencia de la República;</w:t>
      </w:r>
    </w:p>
    <w:p w14:paraId="48E3C255" w14:textId="7B8E93FA" w:rsidR="009E3AC0" w:rsidRPr="00A5537E" w:rsidRDefault="00622B0F" w:rsidP="00A5537E">
      <w:pPr>
        <w:shd w:val="clear" w:color="auto" w:fill="FFFFFF"/>
        <w:spacing w:after="120" w:line="240" w:lineRule="auto"/>
        <w:ind w:left="709" w:right="709"/>
      </w:pPr>
      <w:r w:rsidRPr="00A5537E">
        <w:rPr>
          <w:rFonts w:ascii="Arial" w:eastAsia="Arial" w:hAnsi="Arial" w:cs="Arial"/>
          <w:sz w:val="21"/>
          <w:szCs w:val="21"/>
        </w:rPr>
        <w:t>c) Los Consejos Superiores de la administración;</w:t>
      </w:r>
    </w:p>
    <w:p w14:paraId="64A31DD4" w14:textId="77777777" w:rsidR="009E3AC0" w:rsidRPr="00A5537E" w:rsidRDefault="00622B0F" w:rsidP="00A5537E">
      <w:pPr>
        <w:shd w:val="clear" w:color="auto" w:fill="FFFFFF"/>
        <w:spacing w:after="120" w:line="240" w:lineRule="auto"/>
        <w:ind w:left="709" w:right="709"/>
      </w:pPr>
      <w:r w:rsidRPr="00A5537E">
        <w:rPr>
          <w:rFonts w:ascii="Arial" w:eastAsia="Arial" w:hAnsi="Arial" w:cs="Arial"/>
          <w:sz w:val="21"/>
          <w:szCs w:val="21"/>
        </w:rPr>
        <w:t>d) Los ministerios y departamentos administrativos;</w:t>
      </w:r>
    </w:p>
    <w:p w14:paraId="60BC3DE2" w14:textId="77777777" w:rsidR="009E3AC0" w:rsidRPr="00A5537E" w:rsidRDefault="00622B0F" w:rsidP="00A5537E">
      <w:pPr>
        <w:shd w:val="clear" w:color="auto" w:fill="FFFFFF"/>
        <w:spacing w:after="120" w:line="240" w:lineRule="auto"/>
        <w:ind w:left="709" w:right="709"/>
      </w:pPr>
      <w:r w:rsidRPr="00A5537E">
        <w:rPr>
          <w:rFonts w:ascii="Arial" w:eastAsia="Arial" w:hAnsi="Arial" w:cs="Arial"/>
          <w:sz w:val="21"/>
          <w:szCs w:val="21"/>
        </w:rPr>
        <w:t>e) Las superintendencias y unidades administrativas especiales sin personería jurídica;</w:t>
      </w:r>
    </w:p>
    <w:p w14:paraId="5B3F22AD" w14:textId="77777777" w:rsidR="009E3AC0" w:rsidRPr="00A5537E" w:rsidRDefault="00622B0F" w:rsidP="00A5537E">
      <w:pPr>
        <w:shd w:val="clear" w:color="auto" w:fill="FFFFFF"/>
        <w:spacing w:after="120" w:line="240" w:lineRule="auto"/>
        <w:ind w:left="709" w:right="709"/>
      </w:pPr>
      <w:r w:rsidRPr="00A5537E">
        <w:rPr>
          <w:rFonts w:ascii="Arial" w:eastAsia="Arial" w:hAnsi="Arial" w:cs="Arial"/>
          <w:sz w:val="21"/>
          <w:szCs w:val="21"/>
        </w:rPr>
        <w:t>2. Del Sector Descentralizado por Servicios:</w:t>
      </w:r>
    </w:p>
    <w:p w14:paraId="5B914BF9" w14:textId="77777777" w:rsidR="009E3AC0" w:rsidRPr="00A5537E" w:rsidRDefault="00622B0F" w:rsidP="00A5537E">
      <w:pPr>
        <w:shd w:val="clear" w:color="auto" w:fill="FFFFFF"/>
        <w:spacing w:after="120" w:line="240" w:lineRule="auto"/>
        <w:ind w:left="709" w:right="709"/>
      </w:pPr>
      <w:r w:rsidRPr="00A5537E">
        <w:rPr>
          <w:rFonts w:ascii="Arial" w:eastAsia="Arial" w:hAnsi="Arial" w:cs="Arial"/>
          <w:sz w:val="21"/>
          <w:szCs w:val="21"/>
        </w:rPr>
        <w:t>a) Los establecimientos públicos;</w:t>
      </w:r>
    </w:p>
    <w:p w14:paraId="701C853E" w14:textId="77777777" w:rsidR="009E3AC0" w:rsidRPr="00A5537E" w:rsidRDefault="00622B0F" w:rsidP="00A5537E">
      <w:pPr>
        <w:shd w:val="clear" w:color="auto" w:fill="FFFFFF"/>
        <w:spacing w:after="120" w:line="240" w:lineRule="auto"/>
        <w:ind w:left="709" w:right="709"/>
      </w:pPr>
      <w:r w:rsidRPr="00A5537E">
        <w:rPr>
          <w:rFonts w:ascii="Arial" w:eastAsia="Arial" w:hAnsi="Arial" w:cs="Arial"/>
          <w:sz w:val="21"/>
          <w:szCs w:val="21"/>
        </w:rPr>
        <w:t>b) Las empresas industriales y comerciales del Estado;</w:t>
      </w:r>
    </w:p>
    <w:p w14:paraId="11308A0C" w14:textId="77777777" w:rsidR="009E3AC0" w:rsidRPr="00A5537E" w:rsidRDefault="00622B0F" w:rsidP="00A5537E">
      <w:pPr>
        <w:shd w:val="clear" w:color="auto" w:fill="FFFFFF"/>
        <w:spacing w:after="120" w:line="240" w:lineRule="auto"/>
        <w:ind w:left="709" w:right="709"/>
      </w:pPr>
      <w:r w:rsidRPr="00A5537E">
        <w:rPr>
          <w:rFonts w:ascii="Arial" w:eastAsia="Arial" w:hAnsi="Arial" w:cs="Arial"/>
          <w:sz w:val="21"/>
          <w:szCs w:val="21"/>
        </w:rPr>
        <w:t>c) Las superintendencias y unidades administrativas especiales con personería jurídica;</w:t>
      </w:r>
    </w:p>
    <w:p w14:paraId="0E2C9ED7" w14:textId="77777777" w:rsidR="009E3AC0" w:rsidRPr="00A5537E" w:rsidRDefault="00622B0F" w:rsidP="00A5537E">
      <w:pPr>
        <w:shd w:val="clear" w:color="auto" w:fill="FFFFFF"/>
        <w:spacing w:after="120" w:line="240" w:lineRule="auto"/>
        <w:ind w:left="709" w:right="709"/>
      </w:pPr>
      <w:r w:rsidRPr="00A5537E">
        <w:rPr>
          <w:rFonts w:ascii="Arial" w:eastAsia="Arial" w:hAnsi="Arial" w:cs="Arial"/>
          <w:sz w:val="21"/>
          <w:szCs w:val="21"/>
        </w:rPr>
        <w:t>d) Las empresas sociales del Estado y las empresas oficiales de servicios públicos domiciliarios;</w:t>
      </w:r>
    </w:p>
    <w:p w14:paraId="60D66596" w14:textId="77777777" w:rsidR="009E3AC0" w:rsidRPr="00A5537E" w:rsidRDefault="00622B0F" w:rsidP="00A5537E">
      <w:pPr>
        <w:shd w:val="clear" w:color="auto" w:fill="FFFFFF"/>
        <w:spacing w:after="120" w:line="240" w:lineRule="auto"/>
        <w:ind w:left="709" w:right="709"/>
      </w:pPr>
      <w:r w:rsidRPr="00A5537E">
        <w:rPr>
          <w:rFonts w:ascii="Arial" w:eastAsia="Arial" w:hAnsi="Arial" w:cs="Arial"/>
          <w:sz w:val="21"/>
          <w:szCs w:val="21"/>
        </w:rPr>
        <w:t>e) Los institutos científicos y tecnológicos;</w:t>
      </w:r>
    </w:p>
    <w:p w14:paraId="1C041046" w14:textId="77777777" w:rsidR="009E3AC0" w:rsidRPr="00A5537E" w:rsidRDefault="00622B0F" w:rsidP="00A5537E">
      <w:pPr>
        <w:shd w:val="clear" w:color="auto" w:fill="FFFFFF"/>
        <w:spacing w:after="120" w:line="240" w:lineRule="auto"/>
        <w:ind w:left="709" w:right="709"/>
      </w:pPr>
      <w:r w:rsidRPr="00A5537E">
        <w:rPr>
          <w:rFonts w:ascii="Arial" w:eastAsia="Arial" w:hAnsi="Arial" w:cs="Arial"/>
          <w:sz w:val="21"/>
          <w:szCs w:val="21"/>
        </w:rPr>
        <w:t>f) Las sociedades públicas y las sociedades de economía mixta;</w:t>
      </w:r>
    </w:p>
    <w:p w14:paraId="62F10CAB" w14:textId="77777777" w:rsidR="009E3AC0" w:rsidRPr="00A5537E" w:rsidRDefault="00622B0F">
      <w:pPr>
        <w:shd w:val="clear" w:color="auto" w:fill="FFFFFF"/>
        <w:spacing w:after="0" w:line="240" w:lineRule="auto"/>
        <w:ind w:left="709" w:right="709"/>
        <w:rPr>
          <w:rFonts w:ascii="Arial" w:eastAsia="Arial" w:hAnsi="Arial" w:cs="Arial"/>
          <w:sz w:val="21"/>
          <w:szCs w:val="21"/>
        </w:rPr>
      </w:pPr>
      <w:r w:rsidRPr="00A5537E">
        <w:rPr>
          <w:rFonts w:ascii="Arial" w:eastAsia="Arial" w:hAnsi="Arial" w:cs="Arial"/>
          <w:sz w:val="21"/>
          <w:szCs w:val="21"/>
        </w:rPr>
        <w:t xml:space="preserve">g) Las demás entidades administrativas nacionales con personería jurídica que cree, organice o autorice la ley para que formen parte de la Rama Ejecutiva del Poder Público. </w:t>
      </w:r>
    </w:p>
    <w:p w14:paraId="547FE1A6" w14:textId="77777777" w:rsidR="009E3AC0" w:rsidRPr="00A5537E" w:rsidRDefault="009E3AC0" w:rsidP="00A5537E">
      <w:pPr>
        <w:shd w:val="clear" w:color="auto" w:fill="FFFFFF"/>
        <w:spacing w:after="0" w:line="240" w:lineRule="auto"/>
        <w:ind w:left="709" w:right="709"/>
      </w:pPr>
    </w:p>
    <w:p w14:paraId="329CAFF8" w14:textId="77777777" w:rsidR="009E3AC0" w:rsidRPr="00A5537E" w:rsidRDefault="00622B0F" w:rsidP="00A5537E">
      <w:pPr>
        <w:shd w:val="clear" w:color="auto" w:fill="FFFFFF"/>
        <w:spacing w:after="120"/>
        <w:ind w:firstLine="708"/>
      </w:pPr>
      <w:r w:rsidRPr="00A5537E">
        <w:rPr>
          <w:rFonts w:ascii="Arial" w:eastAsia="Arial" w:hAnsi="Arial" w:cs="Arial"/>
          <w:sz w:val="22"/>
          <w:szCs w:val="22"/>
        </w:rPr>
        <w:t>Según la norma transcrita, la organización de la Rama Ejecutiva del Poder Público, en su nivel nacional, cuenta con dos sectores: uno central conformado por la Presidencia de la República, la Vicepresidencia, los ministerios, departamentos administrativos, consejos superiores de la administración y las superintendencias y unidades administrativas especiales sin personería jurídica; y otro descentralizado, en el cual se encuentran los establecimientos públicos, las empresas industriales y comerciales del Estado, las sociedades de economía mixta y, en general, las entidades administrativas nacionales que cuenten con personería jurídica diferente a la Nación</w:t>
      </w:r>
      <w:r w:rsidRPr="00A5537E">
        <w:rPr>
          <w:rFonts w:ascii="Arial" w:eastAsia="Arial" w:hAnsi="Arial" w:cs="Arial"/>
          <w:sz w:val="22"/>
          <w:szCs w:val="22"/>
          <w:vertAlign w:val="superscript"/>
        </w:rPr>
        <w:footnoteReference w:id="56"/>
      </w:r>
      <w:r w:rsidRPr="00A5537E">
        <w:rPr>
          <w:rFonts w:ascii="Arial" w:eastAsia="Arial" w:hAnsi="Arial" w:cs="Arial"/>
          <w:sz w:val="22"/>
          <w:szCs w:val="22"/>
        </w:rPr>
        <w:t>.</w:t>
      </w:r>
    </w:p>
    <w:p w14:paraId="7A5A7726" w14:textId="27CFE3CB" w:rsidR="009E3AC0" w:rsidRPr="00A5537E" w:rsidRDefault="00622B0F" w:rsidP="00A5537E">
      <w:pPr>
        <w:shd w:val="clear" w:color="auto" w:fill="FFFFFF"/>
        <w:spacing w:after="120"/>
        <w:ind w:firstLine="708"/>
      </w:pPr>
      <w:r w:rsidRPr="00A5537E">
        <w:rPr>
          <w:rFonts w:ascii="Arial" w:eastAsia="Arial" w:hAnsi="Arial" w:cs="Arial"/>
          <w:sz w:val="22"/>
          <w:szCs w:val="22"/>
        </w:rPr>
        <w:t xml:space="preserve">A este respecto debe recordarse que la descentralización, como forma de organización administrativa que implica el traslado de competencias a favor de autoridades o personas distintas a la Nación, y a la que hace referencia, entre otros, el artículo 1 de la </w:t>
      </w:r>
      <w:r w:rsidRPr="00A5537E">
        <w:rPr>
          <w:rFonts w:ascii="Arial" w:eastAsia="Arial" w:hAnsi="Arial" w:cs="Arial"/>
          <w:sz w:val="22"/>
          <w:szCs w:val="22"/>
        </w:rPr>
        <w:lastRenderedPageBreak/>
        <w:t xml:space="preserve">Constitución arriba aludido, se manifiesta en tres formas o modalidades, a saber: descentralización por territorio, por servicios y por colaboración. </w:t>
      </w:r>
    </w:p>
    <w:p w14:paraId="7B99E55C" w14:textId="77777777" w:rsidR="009E3AC0" w:rsidRPr="00A5537E" w:rsidRDefault="00622B0F" w:rsidP="00A5537E">
      <w:pPr>
        <w:shd w:val="clear" w:color="auto" w:fill="FFFFFF"/>
        <w:spacing w:after="120"/>
        <w:ind w:firstLine="708"/>
      </w:pPr>
      <w:r w:rsidRPr="00A5537E">
        <w:rPr>
          <w:rFonts w:ascii="Arial" w:eastAsia="Arial" w:hAnsi="Arial" w:cs="Arial"/>
          <w:sz w:val="22"/>
          <w:szCs w:val="22"/>
        </w:rPr>
        <w:t xml:space="preserve">La primera, tiene que ver con el traslado de competencias hacia entidades del orden territorial; por su parte, la descentralización especializada o por servicios consiste en la transferencia de competencias a ciertas entidades creadas para ejercer una actividad específica o determinada, mientras que la descentralización por colaboración obedece al otorgamiento de competencias a favor de particulares. </w:t>
      </w:r>
    </w:p>
    <w:p w14:paraId="741CCC8A" w14:textId="77777777" w:rsidR="009E3AC0" w:rsidRPr="00A5537E" w:rsidRDefault="00622B0F" w:rsidP="00A5537E">
      <w:pPr>
        <w:shd w:val="clear" w:color="auto" w:fill="FFFFFF"/>
        <w:spacing w:after="120"/>
        <w:ind w:firstLine="708"/>
      </w:pPr>
      <w:r w:rsidRPr="00A5537E">
        <w:rPr>
          <w:rFonts w:ascii="Arial" w:eastAsia="Arial" w:hAnsi="Arial" w:cs="Arial"/>
          <w:sz w:val="22"/>
          <w:szCs w:val="22"/>
        </w:rPr>
        <w:t>En ese sentido, y de acuerdo a lo ya dicho, en el nivel nacional de la Rama Ejecutiva existe la posibilidad de que existan entidades que pertenezcan o bien al sector central, precisamente, por no encontrarse descentralizadas y hacer parte, por ende, a la Nación como persona jurídica y, por otro lado, un sector nacional descentralizado conformado por personas jurídicas distintas a la Nación a quienes se les han transferido o descentralizado competencias en razón a la especialidad o el servicio para cuya prestación han sido creadas.</w:t>
      </w:r>
    </w:p>
    <w:p w14:paraId="161785CA" w14:textId="77777777" w:rsidR="009E3AC0" w:rsidRPr="00A5537E" w:rsidRDefault="00622B0F" w:rsidP="00A5537E">
      <w:pPr>
        <w:shd w:val="clear" w:color="auto" w:fill="FFFFFF"/>
        <w:spacing w:after="120"/>
        <w:ind w:firstLine="708"/>
      </w:pPr>
      <w:r w:rsidRPr="00A5537E">
        <w:rPr>
          <w:rFonts w:ascii="Arial" w:eastAsia="Arial" w:hAnsi="Arial" w:cs="Arial"/>
          <w:sz w:val="22"/>
          <w:szCs w:val="22"/>
        </w:rPr>
        <w:t xml:space="preserve">A su turno, dentro del sector descentralizado por servicios del nivel nacional existen dos modalidades de descentralización según sea la fuente de creación de la respectiva entidad, a saber: una de carácter directo o de primer grado y otra indirecta o de segundo grado. La primera hace referencia a entidades públicas descentralizadas nacionales cuya creación ha correspondido directamente al Estado, trátese del Congreso de la República o del Gobierno Nacional, según sea el caso, a través de la ley formal o material. </w:t>
      </w:r>
    </w:p>
    <w:p w14:paraId="4D3957F6" w14:textId="77777777" w:rsidR="009E3AC0" w:rsidRPr="00A5537E" w:rsidRDefault="00622B0F" w:rsidP="00A5537E">
      <w:pPr>
        <w:shd w:val="clear" w:color="auto" w:fill="FFFFFF"/>
        <w:spacing w:after="120"/>
        <w:ind w:firstLine="708"/>
      </w:pPr>
      <w:r w:rsidRPr="00A5537E">
        <w:rPr>
          <w:rFonts w:ascii="Arial" w:eastAsia="Arial" w:hAnsi="Arial" w:cs="Arial"/>
          <w:sz w:val="22"/>
          <w:szCs w:val="22"/>
        </w:rPr>
        <w:t>Sin embargo, dichas entidades descentralizadas directamente, por ser personas jurídicas, pueden, a su turno, participar con otras personas en la creación de nuevas entidades, correspondiendo estas, entonces, a las denominadas entidades descentralizadas indirectamente o de segundo grado</w:t>
      </w:r>
      <w:r w:rsidRPr="00A5537E">
        <w:rPr>
          <w:rFonts w:ascii="Arial" w:eastAsia="Arial" w:hAnsi="Arial" w:cs="Arial"/>
          <w:sz w:val="22"/>
          <w:szCs w:val="22"/>
          <w:vertAlign w:val="superscript"/>
        </w:rPr>
        <w:footnoteReference w:id="57"/>
      </w:r>
      <w:r w:rsidRPr="00A5537E">
        <w:rPr>
          <w:rFonts w:ascii="Arial" w:eastAsia="Arial" w:hAnsi="Arial" w:cs="Arial"/>
          <w:sz w:val="22"/>
          <w:szCs w:val="22"/>
        </w:rPr>
        <w:t>. En otras palabras, los entes descentralizados indirectamente son aquellos creados, no por la ley, sino a partir de «la voluntad asociativa de los entes públicos, en unión entre sí o con particulares»</w:t>
      </w:r>
      <w:r w:rsidRPr="00A5537E">
        <w:rPr>
          <w:rFonts w:ascii="Arial" w:eastAsia="Arial" w:hAnsi="Arial" w:cs="Arial"/>
          <w:sz w:val="22"/>
          <w:szCs w:val="22"/>
          <w:vertAlign w:val="superscript"/>
        </w:rPr>
        <w:footnoteReference w:id="58"/>
      </w:r>
      <w:r w:rsidRPr="00A5537E">
        <w:rPr>
          <w:rFonts w:ascii="Arial" w:eastAsia="Arial" w:hAnsi="Arial" w:cs="Arial"/>
          <w:sz w:val="22"/>
          <w:szCs w:val="22"/>
        </w:rPr>
        <w:t xml:space="preserve">. </w:t>
      </w:r>
    </w:p>
    <w:p w14:paraId="3EA56062" w14:textId="77777777" w:rsidR="009E3AC0" w:rsidRPr="00A5537E" w:rsidRDefault="00622B0F" w:rsidP="00A5537E">
      <w:pPr>
        <w:shd w:val="clear" w:color="auto" w:fill="FFFFFF"/>
        <w:spacing w:after="120"/>
        <w:ind w:firstLine="708"/>
      </w:pPr>
      <w:r w:rsidRPr="00A5537E">
        <w:rPr>
          <w:rFonts w:ascii="Arial" w:eastAsia="Arial" w:hAnsi="Arial" w:cs="Arial"/>
          <w:sz w:val="22"/>
          <w:szCs w:val="22"/>
        </w:rPr>
        <w:t xml:space="preserve">En ese orden de ideas, la descentralización indirecta puede expresarse en distintas modalidades, según cual sea la calidad de las entidades participantes. Así, habrán entes descentralizados indirectamente conformados por entidades del nivel nacional y territorial, o por entidades descentralizadas por servicios y nacionales, o por participación de entes </w:t>
      </w:r>
      <w:r w:rsidRPr="00A5537E">
        <w:rPr>
          <w:rFonts w:ascii="Arial" w:eastAsia="Arial" w:hAnsi="Arial" w:cs="Arial"/>
          <w:sz w:val="22"/>
          <w:szCs w:val="22"/>
        </w:rPr>
        <w:lastRenderedPageBreak/>
        <w:t>nacionales, territoriales y descentralizados por servicios, por asociaciones de entidades descentralizadas del nivel nacional etc.</w:t>
      </w:r>
      <w:r w:rsidRPr="00A5537E">
        <w:rPr>
          <w:rFonts w:ascii="Arial" w:eastAsia="Arial" w:hAnsi="Arial" w:cs="Arial"/>
          <w:sz w:val="22"/>
          <w:szCs w:val="22"/>
          <w:vertAlign w:val="superscript"/>
        </w:rPr>
        <w:footnoteReference w:id="59"/>
      </w:r>
      <w:r w:rsidRPr="00A5537E">
        <w:rPr>
          <w:rFonts w:ascii="Arial" w:eastAsia="Arial" w:hAnsi="Arial" w:cs="Arial"/>
          <w:sz w:val="22"/>
          <w:szCs w:val="22"/>
        </w:rPr>
        <w:t xml:space="preserve"> </w:t>
      </w:r>
    </w:p>
    <w:p w14:paraId="6FB1A24D" w14:textId="77777777" w:rsidR="009E3AC0" w:rsidRPr="00A5537E" w:rsidRDefault="00622B0F" w:rsidP="00A5537E">
      <w:pPr>
        <w:shd w:val="clear" w:color="auto" w:fill="FFFFFF"/>
        <w:spacing w:after="120"/>
        <w:ind w:firstLine="708"/>
      </w:pPr>
      <w:r w:rsidRPr="00A5537E">
        <w:rPr>
          <w:rFonts w:ascii="Arial" w:eastAsia="Arial" w:hAnsi="Arial" w:cs="Arial"/>
          <w:sz w:val="22"/>
          <w:szCs w:val="22"/>
        </w:rPr>
        <w:t xml:space="preserve">De conformidad con lo anterior, la Ley 489 de 1998 regula lo concerniente a tres tipos de entidades descentralizadas indirectamente en sus artículos 94, 95 y 96, referidos, respectivamente, a las asociaciones entre empresas industriales y comerciales del Estado, o entre estas y entidades territoriales o descentralizadas, a la conformación de personas jurídicas sin ánimo de lucro entre entidades estatales y a la constitución de asociaciones y fundaciones a través de los convenios de asociación suscritos entre entidades estatales y personas jurídicas particulares. </w:t>
      </w:r>
    </w:p>
    <w:p w14:paraId="4AFC55FF" w14:textId="77777777" w:rsidR="009E3AC0" w:rsidRPr="00A5537E" w:rsidRDefault="00622B0F" w:rsidP="00A5537E">
      <w:pPr>
        <w:spacing w:after="120"/>
        <w:ind w:firstLine="708"/>
      </w:pPr>
      <w:r w:rsidRPr="00A5537E">
        <w:rPr>
          <w:rFonts w:ascii="Arial" w:eastAsia="Arial" w:hAnsi="Arial" w:cs="Arial"/>
          <w:sz w:val="22"/>
          <w:szCs w:val="22"/>
        </w:rPr>
        <w:t xml:space="preserve">Dicho lo anterior, es importante destacar, tal y como lo ha señalado el Consejo de Estado, que las entidades descentralizadas indirectamente, son una especie del género que corresponde a las entidades descentralizadas, y </w:t>
      </w:r>
      <w:r w:rsidRPr="00A5537E">
        <w:rPr>
          <w:rFonts w:ascii="Arial" w:eastAsia="Arial" w:hAnsi="Arial" w:cs="Arial"/>
          <w:color w:val="000000"/>
          <w:sz w:val="22"/>
          <w:szCs w:val="22"/>
        </w:rPr>
        <w:t>«[…] por ello y porque gozan de personería jurídica, autonomía administrativa y patrimonio propio o capital independiente, es decir, reúnen los requisitos establecidos para las entidades descentralizadas por el artículo 68 de la ley 489 de 1998, forman parte del sector descentralizado de la administración pública»</w:t>
      </w:r>
      <w:r w:rsidRPr="00A5537E">
        <w:rPr>
          <w:rFonts w:ascii="Arial" w:eastAsia="Arial" w:hAnsi="Arial" w:cs="Arial"/>
          <w:color w:val="000000"/>
          <w:sz w:val="22"/>
          <w:szCs w:val="22"/>
          <w:vertAlign w:val="superscript"/>
        </w:rPr>
        <w:footnoteReference w:id="60"/>
      </w:r>
      <w:r w:rsidRPr="00A5537E">
        <w:rPr>
          <w:rFonts w:ascii="Arial" w:eastAsia="Arial" w:hAnsi="Arial" w:cs="Arial"/>
          <w:color w:val="000000"/>
          <w:sz w:val="22"/>
          <w:szCs w:val="22"/>
        </w:rPr>
        <w:t xml:space="preserve">. </w:t>
      </w:r>
    </w:p>
    <w:p w14:paraId="2675CC4C" w14:textId="77777777" w:rsidR="009E3AC0" w:rsidRPr="00A5537E" w:rsidRDefault="00622B0F" w:rsidP="00A5537E">
      <w:pPr>
        <w:spacing w:after="120"/>
        <w:ind w:firstLine="709"/>
      </w:pPr>
      <w:r w:rsidRPr="00A5537E">
        <w:rPr>
          <w:rFonts w:ascii="Arial" w:eastAsia="Arial" w:hAnsi="Arial" w:cs="Arial"/>
          <w:color w:val="000000"/>
          <w:sz w:val="22"/>
          <w:szCs w:val="22"/>
        </w:rPr>
        <w:t>Ahora bien, es necesario destacar, por ser propuesto en la consulta que ahora conoce la Agencia, que lo que acaba de decirse con respecto a las entidades administrativas descentralizadas del orden nacional, resulta aplicable a las de la misma naturaleza del nivel territorial. Así lo dispone expresamente el parágrafo del artículo 68 de la Ley 489 de 1998, según el cual «[…] el régimen jurídico aquí previsto para las entidades descentralizadas es aplicable a las de las entidades territoriales sin perjuicio de las competencias asignadas por la Constitución y la ley a las autoridades del orden territorial».</w:t>
      </w:r>
    </w:p>
    <w:p w14:paraId="66956AAB" w14:textId="4797617B" w:rsidR="009E3AC0" w:rsidRPr="00A5537E" w:rsidRDefault="00622B0F" w:rsidP="00A5537E">
      <w:pPr>
        <w:spacing w:after="120"/>
        <w:ind w:firstLine="708"/>
      </w:pPr>
      <w:r w:rsidRPr="00A5537E">
        <w:rPr>
          <w:rFonts w:ascii="Arial" w:eastAsia="Arial" w:hAnsi="Arial" w:cs="Arial"/>
          <w:color w:val="000000"/>
          <w:sz w:val="22"/>
          <w:szCs w:val="22"/>
        </w:rPr>
        <w:t xml:space="preserve">En ese sentido, el artículo 300, numeral 7 de la Constitución Política, determina, entre las funciones de las asambleas departamentales, la de crear a los establecimientos públicos, las empresas industriales y comerciales del estado y sociedades de economía mixta. En igual sentido, pero respecto a los concejos municipales, determina el numeral 6 del artículo 313 </w:t>
      </w:r>
      <w:r w:rsidRPr="00A5537E">
        <w:rPr>
          <w:rFonts w:ascii="Arial" w:eastAsia="Arial" w:hAnsi="Arial" w:cs="Arial"/>
          <w:i/>
          <w:color w:val="000000"/>
          <w:sz w:val="22"/>
          <w:szCs w:val="22"/>
        </w:rPr>
        <w:t>ejusdem</w:t>
      </w:r>
      <w:r w:rsidRPr="00A5537E">
        <w:rPr>
          <w:rFonts w:ascii="Arial" w:eastAsia="Arial" w:hAnsi="Arial" w:cs="Arial"/>
          <w:color w:val="000000"/>
          <w:sz w:val="22"/>
          <w:szCs w:val="22"/>
        </w:rPr>
        <w:t xml:space="preserve">. En el nivel legal, encontramos múltiples normas que, como la Ley 3 de 1986, el Decreto Ley 1221 de 1986, el Decreto Ley 1333 de 1986, entre otras, que se refieren a las entidades descentralizadas del orden departamental y municipal, conforman su régimen jurídico, junto a las normas constitucionales y las respectivas regulaciones territoriales mediante ordenanzas y acuerdos. </w:t>
      </w:r>
    </w:p>
    <w:p w14:paraId="0D2A0B2D" w14:textId="0EBF6D06" w:rsidR="009E3AC0" w:rsidRPr="00A5537E" w:rsidRDefault="00622B0F">
      <w:pPr>
        <w:shd w:val="clear" w:color="auto" w:fill="FFFFFF"/>
        <w:spacing w:after="120"/>
        <w:ind w:firstLine="708"/>
        <w:rPr>
          <w:rFonts w:ascii="Arial" w:eastAsia="Arial" w:hAnsi="Arial" w:cs="Arial"/>
          <w:sz w:val="22"/>
          <w:szCs w:val="22"/>
        </w:rPr>
      </w:pPr>
      <w:r w:rsidRPr="00A5537E">
        <w:rPr>
          <w:rFonts w:ascii="Arial" w:eastAsia="Arial" w:hAnsi="Arial" w:cs="Arial"/>
          <w:sz w:val="22"/>
          <w:szCs w:val="22"/>
        </w:rPr>
        <w:t xml:space="preserve">De esa forma, cabe decirse, por ser relevante de acuerdo con la consulta planteada a la Agencia, que la administración territorial también está compuesta por entidades tanto </w:t>
      </w:r>
      <w:r w:rsidRPr="00A5537E">
        <w:rPr>
          <w:rFonts w:ascii="Arial" w:eastAsia="Arial" w:hAnsi="Arial" w:cs="Arial"/>
          <w:sz w:val="22"/>
          <w:szCs w:val="22"/>
        </w:rPr>
        <w:lastRenderedPageBreak/>
        <w:t>del nivel central como descentralizado y estas últimas pueden ser producto o bien de la descentralización directa o de primer nivel o de la de segundo nivel o indirecta. Sin embargo, en la medida que la norma del artículo 124 de la Ley 2159 de 2021 no diferencia ni se refiere expresamente a las entidades descentralizadas del orden territorial, como se dijo arriba, en opinión de esta Agencia, debe entenderse que la expresión «entidades territoriales» contenida en dicha disposición, incluye únicamente a las establecidas en el artículo 286 de la Constitución Política, que prescribe: «Son entidades territoriales los departamentos, los distritos, los municipios y los territorios indígenas».</w:t>
      </w:r>
    </w:p>
    <w:p w14:paraId="20FB63CA" w14:textId="3091D1AF" w:rsidR="009E3AC0" w:rsidRPr="00A5537E" w:rsidRDefault="00622B0F" w:rsidP="00A5537E">
      <w:pPr>
        <w:shd w:val="clear" w:color="auto" w:fill="FFFFFF"/>
        <w:spacing w:after="120"/>
        <w:ind w:firstLine="708"/>
      </w:pPr>
      <w:r w:rsidRPr="00A5537E">
        <w:rPr>
          <w:rFonts w:ascii="Arial" w:eastAsia="Arial" w:hAnsi="Arial" w:cs="Arial"/>
          <w:sz w:val="22"/>
          <w:szCs w:val="22"/>
        </w:rPr>
        <w:t>Lo anterior también se fundamenta en que el artículo 124 realiza una excepción a una prohibición, por lo que corresponde realizar una interpretación estricta. De esta manera, es importante tener en cuenta que en el contexto del parágrafo del artículo 38 de la Ley 996 de 2005, la prohibición se encuentra dirigida a: «Los gobernadores, alcaldes municipales y/o distritales, secretarios, gerentes y directores de entidades descentralizadas del orden municipal, departamental o distrital»; pese a ello, el artículo 124 de la Ley 2159 únicamente opta por incluir en la excepción a las «entidades territoriales», sin hacer referencia a las entidades descentralizadas. Incluso, resulta importante destacar cómo la misma Ley 2159 de 2021 en otras disposiciones opta por incluir expresamente a las entidades descentralizadas del orden territorial como parte del ámbito de aplicación de su contenido normativo, lo que no sucede con el artículo 124</w:t>
      </w:r>
      <w:r w:rsidRPr="00A5537E">
        <w:rPr>
          <w:rFonts w:ascii="Arial" w:eastAsia="Arial" w:hAnsi="Arial" w:cs="Arial"/>
          <w:sz w:val="22"/>
          <w:szCs w:val="22"/>
          <w:vertAlign w:val="superscript"/>
        </w:rPr>
        <w:footnoteReference w:id="61"/>
      </w:r>
      <w:r w:rsidRPr="00A5537E">
        <w:rPr>
          <w:rFonts w:ascii="Arial" w:eastAsia="Arial" w:hAnsi="Arial" w:cs="Arial"/>
          <w:sz w:val="22"/>
          <w:szCs w:val="22"/>
        </w:rPr>
        <w:t>. Adicionalmente, los elementos anteriores respaldan el argumento de acudir al artículo 286 de la Constitución, para efectos de interpretar el concepto de «entidades territoriales»</w:t>
      </w:r>
      <w:r w:rsidRPr="00A5537E">
        <w:rPr>
          <w:rFonts w:ascii="Arial" w:eastAsia="Arial" w:hAnsi="Arial" w:cs="Arial"/>
          <w:sz w:val="22"/>
          <w:szCs w:val="22"/>
          <w:vertAlign w:val="superscript"/>
        </w:rPr>
        <w:footnoteReference w:id="62"/>
      </w:r>
      <w:r w:rsidRPr="00A5537E">
        <w:rPr>
          <w:rFonts w:ascii="Arial" w:eastAsia="Arial" w:hAnsi="Arial" w:cs="Arial"/>
          <w:sz w:val="22"/>
          <w:szCs w:val="22"/>
        </w:rPr>
        <w:t xml:space="preserve">. </w:t>
      </w:r>
    </w:p>
    <w:p w14:paraId="361CF091" w14:textId="6DBA785F" w:rsidR="009E3AC0" w:rsidRPr="00A5537E" w:rsidRDefault="00622B0F" w:rsidP="00A5537E">
      <w:pPr>
        <w:shd w:val="clear" w:color="auto" w:fill="FFFFFF"/>
        <w:spacing w:after="120"/>
        <w:ind w:firstLine="708"/>
      </w:pPr>
      <w:r w:rsidRPr="00A5537E">
        <w:rPr>
          <w:rFonts w:ascii="Arial" w:eastAsia="Arial" w:hAnsi="Arial" w:cs="Arial"/>
          <w:sz w:val="22"/>
          <w:szCs w:val="22"/>
        </w:rPr>
        <w:t xml:space="preserve">Ahora bien, también resulta importante destacar que la Ley 80 de 1993, Estatuto General de Contratación de Administración Pública –EGCAP–, rompió con la noción ortodoxa que venía del régimen anterior respecto a lo que se entendería como «entidad </w:t>
      </w:r>
      <w:r w:rsidRPr="00A5537E">
        <w:rPr>
          <w:rFonts w:ascii="Arial" w:eastAsia="Arial" w:hAnsi="Arial" w:cs="Arial"/>
          <w:sz w:val="22"/>
          <w:szCs w:val="22"/>
        </w:rPr>
        <w:lastRenderedPageBreak/>
        <w:t>estatal» para efectos de la contratación del Estado, y que se fundaba bajo la égida de la personalidad jurídica como elemento determinante para la capacidad o competencia para contratar. Con el EGCAP se separan tales nociones y se admite la posibilidad de que entidades que no cuenten con personería jurídica, puedan, sin embargo, ostentar capacidad jurídica para celebrar contratos. Esto cobra importancia, toda vez que hay órganos del nivel nacional que no tienen personería jurídica, pero que cuentan con capacidad contractual, como pasará a explicarse más adelante.</w:t>
      </w:r>
    </w:p>
    <w:p w14:paraId="028DEDC2" w14:textId="77777777" w:rsidR="009E3AC0" w:rsidRPr="00A5537E" w:rsidRDefault="00622B0F" w:rsidP="00A5537E">
      <w:pPr>
        <w:shd w:val="clear" w:color="auto" w:fill="FFFFFF"/>
        <w:spacing w:after="120"/>
        <w:ind w:firstLine="708"/>
      </w:pPr>
      <w:r w:rsidRPr="00A5537E">
        <w:rPr>
          <w:rFonts w:ascii="Arial" w:eastAsia="Arial" w:hAnsi="Arial" w:cs="Arial"/>
          <w:sz w:val="22"/>
          <w:szCs w:val="22"/>
        </w:rPr>
        <w:t xml:space="preserve">Así, el artículo 2 de la Ley 80 determinó que ciertas entidades que no tienen personalidad jurídica diferente a la Nación, como por ejemplo, los ministerios, departamentos administrativos, las superintendencias y las unidades administrativas especiales sin personería jurídica pueden celebrar contratos y, en su artículo 11, señaló que los funcionarios con competencia para hacerlo en la entidad respectiva son: los ministros, los directores de los departamentos administrativos, los superintendentes y los presidentes de las unidades administrativas especiales, respectivamente. </w:t>
      </w:r>
    </w:p>
    <w:p w14:paraId="4990E1FA" w14:textId="77777777" w:rsidR="009E3AC0" w:rsidRPr="00A5537E" w:rsidRDefault="00622B0F" w:rsidP="00A5537E">
      <w:pPr>
        <w:shd w:val="clear" w:color="auto" w:fill="FFFFFF"/>
        <w:spacing w:after="120"/>
        <w:ind w:firstLine="708"/>
      </w:pPr>
      <w:bookmarkStart w:id="48" w:name="_1hmsyys" w:colFirst="0" w:colLast="0"/>
      <w:bookmarkEnd w:id="48"/>
      <w:r w:rsidRPr="00A5537E">
        <w:rPr>
          <w:rFonts w:ascii="Arial" w:eastAsia="Arial" w:hAnsi="Arial" w:cs="Arial"/>
          <w:sz w:val="22"/>
          <w:szCs w:val="22"/>
        </w:rPr>
        <w:t>En este punto, como lo ha dicho la Corte Constitucional, «[e]s claro que si la Nación, los departamentos, municipios y distritos, son personas jurídicas, y las entidades estatales a que se refiere la ley 80, no lo son, por fuerza los contratos que estas últimas celebren corresponden a la Nación, a los departamentos o a los municipios»</w:t>
      </w:r>
      <w:r w:rsidRPr="00A5537E">
        <w:rPr>
          <w:rFonts w:ascii="Arial" w:eastAsia="Arial" w:hAnsi="Arial" w:cs="Arial"/>
          <w:sz w:val="22"/>
          <w:szCs w:val="22"/>
          <w:vertAlign w:val="superscript"/>
        </w:rPr>
        <w:footnoteReference w:id="63"/>
      </w:r>
      <w:r w:rsidRPr="00A5537E">
        <w:rPr>
          <w:rFonts w:ascii="Arial" w:eastAsia="Arial" w:hAnsi="Arial" w:cs="Arial"/>
          <w:sz w:val="22"/>
          <w:szCs w:val="22"/>
        </w:rPr>
        <w:t>, lo que implica que la «actuación del funcionario competente, a nombre de la correspondiente entidad estatal, vincula a la Nación, al departamento o al municipio como persona jurídica»</w:t>
      </w:r>
      <w:r w:rsidRPr="00A5537E">
        <w:rPr>
          <w:rFonts w:ascii="Arial" w:eastAsia="Arial" w:hAnsi="Arial" w:cs="Arial"/>
          <w:sz w:val="22"/>
          <w:szCs w:val="22"/>
          <w:vertAlign w:val="superscript"/>
        </w:rPr>
        <w:footnoteReference w:id="64"/>
      </w:r>
      <w:r w:rsidRPr="00A5537E">
        <w:rPr>
          <w:rFonts w:ascii="Arial" w:eastAsia="Arial" w:hAnsi="Arial" w:cs="Arial"/>
          <w:sz w:val="22"/>
          <w:szCs w:val="22"/>
        </w:rPr>
        <w:t xml:space="preserve">, respectivamente.  </w:t>
      </w:r>
    </w:p>
    <w:p w14:paraId="0E08089A" w14:textId="25A8B492" w:rsidR="009E3AC0" w:rsidRPr="00A5537E" w:rsidRDefault="00622B0F" w:rsidP="00A5537E">
      <w:pPr>
        <w:shd w:val="clear" w:color="auto" w:fill="FFFFFF"/>
        <w:spacing w:after="120"/>
        <w:ind w:firstLine="708"/>
      </w:pPr>
      <w:r w:rsidRPr="00A5537E">
        <w:rPr>
          <w:rFonts w:ascii="Arial" w:eastAsia="Arial" w:hAnsi="Arial" w:cs="Arial"/>
          <w:sz w:val="22"/>
          <w:szCs w:val="22"/>
        </w:rPr>
        <w:t>Por ejemplo, cuando la presidencia de la república, o un ministerio o departamento administrativo celebren contratos, lo harán en nombre de la Nación, precisamente, por hacer parte de esta. No sucederá lo mismo cuando el ente respectivo sea una persona jurídica distinta a la Nación, como ocurre con los departamentos, los distritos, los municipios, las entidades descentralizadas por servicios de cualquier orden y demás entes que, por virtud de la norma que los regulan, ostenten este atributo. Estos órganos si bien son parte del Estado, no lo son de la Nación, porque cuentan con personería distinta de esta.</w:t>
      </w:r>
    </w:p>
    <w:p w14:paraId="31C28990" w14:textId="542419C8" w:rsidR="009E3AC0" w:rsidRPr="00A5537E" w:rsidRDefault="00622B0F" w:rsidP="00A5537E">
      <w:pPr>
        <w:shd w:val="clear" w:color="auto" w:fill="FFFFFF"/>
        <w:spacing w:after="120"/>
        <w:ind w:firstLine="708"/>
      </w:pPr>
      <w:r w:rsidRPr="00A5537E">
        <w:rPr>
          <w:rFonts w:ascii="Arial" w:eastAsia="Arial" w:hAnsi="Arial" w:cs="Arial"/>
          <w:sz w:val="22"/>
          <w:szCs w:val="22"/>
        </w:rPr>
        <w:t>Igualmente, en la estructura del Estado colombiano existen órganos que no pertenecen a la rama ejecutiva sino a las otras ramas del poder público (legislativa y judicial), así como organismos autónomos e independientes para el cumplimiento de las demás funciones del Estado</w:t>
      </w:r>
      <w:r w:rsidRPr="00A5537E">
        <w:rPr>
          <w:rFonts w:ascii="Arial" w:eastAsia="Arial" w:hAnsi="Arial" w:cs="Arial"/>
          <w:sz w:val="22"/>
          <w:szCs w:val="22"/>
          <w:vertAlign w:val="superscript"/>
        </w:rPr>
        <w:footnoteReference w:id="65"/>
      </w:r>
      <w:r w:rsidRPr="00A5537E">
        <w:rPr>
          <w:rFonts w:ascii="Arial" w:eastAsia="Arial" w:hAnsi="Arial" w:cs="Arial"/>
          <w:sz w:val="22"/>
          <w:szCs w:val="22"/>
        </w:rPr>
        <w:t xml:space="preserve">, los cuales también hacen parte de la Nación y cuentan con </w:t>
      </w:r>
      <w:r w:rsidRPr="00A5537E">
        <w:rPr>
          <w:rFonts w:ascii="Arial" w:eastAsia="Arial" w:hAnsi="Arial" w:cs="Arial"/>
          <w:sz w:val="22"/>
          <w:szCs w:val="22"/>
        </w:rPr>
        <w:lastRenderedPageBreak/>
        <w:t>capacidad jurídica para contratar, según las normas del EGCAP, por ejemplo, el Senado de la República, el Consejo Superior de la Judicatura, la Fiscalía General de la Nación, la Contraloría General de la República, la Procuraduría General de la Nación, la Registraduría Nacional del Estado Civil y la Auditoría General de la República, entre otros.</w:t>
      </w:r>
    </w:p>
    <w:p w14:paraId="775018EE" w14:textId="77777777" w:rsidR="009E3AC0" w:rsidRPr="00A5537E" w:rsidRDefault="00622B0F">
      <w:pPr>
        <w:shd w:val="clear" w:color="auto" w:fill="FFFFFF"/>
        <w:spacing w:after="0"/>
        <w:ind w:firstLine="708"/>
        <w:rPr>
          <w:rFonts w:ascii="Arial" w:eastAsia="Arial" w:hAnsi="Arial" w:cs="Arial"/>
          <w:sz w:val="22"/>
          <w:szCs w:val="22"/>
        </w:rPr>
      </w:pPr>
      <w:r w:rsidRPr="00A5537E">
        <w:rPr>
          <w:rFonts w:ascii="Arial" w:eastAsia="Arial" w:hAnsi="Arial" w:cs="Arial"/>
          <w:sz w:val="22"/>
          <w:szCs w:val="22"/>
        </w:rPr>
        <w:t>Con fundamento en todo lo dicho, la Agencia considera que la expresión «Nación», utilizada por la Ley 2159 de 2021, hace referencia a las entidades públicas del sector central de la rama ejecutiva y de las demás ramas del poder público, así como a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56D94763" w14:textId="77777777" w:rsidR="009E3AC0" w:rsidRPr="00A5537E" w:rsidRDefault="009E3AC0">
      <w:pPr>
        <w:shd w:val="clear" w:color="auto" w:fill="FFFFFF"/>
        <w:spacing w:after="0"/>
        <w:rPr>
          <w:rFonts w:ascii="Arial" w:eastAsia="Arial" w:hAnsi="Arial" w:cs="Arial"/>
          <w:sz w:val="22"/>
          <w:szCs w:val="22"/>
        </w:rPr>
      </w:pPr>
    </w:p>
    <w:p w14:paraId="68949494" w14:textId="77777777" w:rsidR="009E3AC0" w:rsidRPr="00A5537E" w:rsidRDefault="00622B0F">
      <w:pPr>
        <w:shd w:val="clear" w:color="auto" w:fill="FFFFFF"/>
        <w:spacing w:after="0"/>
        <w:rPr>
          <w:rFonts w:ascii="Arial" w:eastAsia="Arial" w:hAnsi="Arial" w:cs="Arial"/>
          <w:b/>
          <w:sz w:val="22"/>
          <w:szCs w:val="22"/>
        </w:rPr>
      </w:pPr>
      <w:r w:rsidRPr="00A5537E">
        <w:rPr>
          <w:rFonts w:ascii="Arial" w:eastAsia="Arial" w:hAnsi="Arial" w:cs="Arial"/>
          <w:b/>
          <w:sz w:val="22"/>
          <w:szCs w:val="22"/>
        </w:rPr>
        <w:t>2.5.1.3. Aspecto teleológico</w:t>
      </w:r>
    </w:p>
    <w:p w14:paraId="2714D606" w14:textId="77777777" w:rsidR="009E3AC0" w:rsidRPr="00A5537E" w:rsidRDefault="009E3AC0">
      <w:pPr>
        <w:shd w:val="clear" w:color="auto" w:fill="FFFFFF"/>
        <w:spacing w:after="0"/>
        <w:rPr>
          <w:rFonts w:ascii="Arial" w:eastAsia="Arial" w:hAnsi="Arial" w:cs="Arial"/>
          <w:sz w:val="22"/>
          <w:szCs w:val="22"/>
        </w:rPr>
      </w:pPr>
    </w:p>
    <w:p w14:paraId="65635901" w14:textId="77777777" w:rsidR="009E3AC0" w:rsidRPr="00A5537E" w:rsidRDefault="00622B0F" w:rsidP="00A5537E">
      <w:pPr>
        <w:shd w:val="clear" w:color="auto" w:fill="FFFFFF"/>
        <w:spacing w:after="120"/>
      </w:pPr>
      <w:r w:rsidRPr="00A5537E">
        <w:rPr>
          <w:rFonts w:ascii="Arial" w:eastAsia="Arial" w:hAnsi="Arial" w:cs="Arial"/>
          <w:sz w:val="22"/>
          <w:szCs w:val="22"/>
        </w:rPr>
        <w:t>En lo que respecta al elemento teleológico o material de la reforma incluida en el artículo 124 de la ley 2159 de 2021, consistente en que los convenios sean celebrados con el fin de ejecutar programas o proyectos que correspondan al Presupuesto General de la Nación, esta Agencia estima, partiendo de las consideraciones contenidas en el acápite 2.5. del presente concepto y dados en relación con la estructura y contenido de la ley anual del presupuesto general de la Nación, que aquel elemento hace referencia a los programas y proyectos de inversión nacional contenidos en el rubro de gastos de inversión de la ley de apropiaciones, y que corresponderán a los determinados como tales en el Plan Nacional de Inversiones incluido en el plan Nacional de Desarrollo.</w:t>
      </w:r>
    </w:p>
    <w:p w14:paraId="37D6D9D0" w14:textId="3527C7F8" w:rsidR="009E3AC0" w:rsidRPr="00A5537E" w:rsidRDefault="00622B0F" w:rsidP="00A5537E">
      <w:pPr>
        <w:shd w:val="clear" w:color="auto" w:fill="FFFFFF"/>
        <w:spacing w:after="120"/>
        <w:ind w:firstLine="708"/>
      </w:pPr>
      <w:bookmarkStart w:id="49" w:name="_41mghml" w:colFirst="0" w:colLast="0"/>
      <w:bookmarkEnd w:id="49"/>
      <w:r w:rsidRPr="00A5537E">
        <w:rPr>
          <w:rFonts w:ascii="Arial" w:eastAsia="Arial" w:hAnsi="Arial" w:cs="Arial"/>
          <w:sz w:val="22"/>
          <w:szCs w:val="22"/>
        </w:rPr>
        <w:t xml:space="preserve">Como corolario de todo lo anterior, se concluye que la Ley 2159 de 2021 –Ley del Presupuesto– modificó parcial y transitoriamente el parágrafo del artículo 38 de la Ley 996 de 2005, en aspectos temporales, subjetivos, materiales o teleológicos y procedimentales o de control; en particular, suspende la prohibición de celebración de convenios y contratos interadministrativos contenida en el parágrafo del artículo 38, siempre y cuando tales acuerdos se suscriban entre la Nación y las entidades territoriales, dentro de la vigencia fiscal del año 2022 y para la ejecución de programas o proyectos de inversión incluidos en el Presupuesto General de la Nación. </w:t>
      </w:r>
    </w:p>
    <w:p w14:paraId="5F029B7F" w14:textId="77777777" w:rsidR="009E3AC0" w:rsidRPr="00A5537E" w:rsidRDefault="00622B0F" w:rsidP="00A5537E">
      <w:pPr>
        <w:shd w:val="clear" w:color="auto" w:fill="FFFFFF"/>
        <w:spacing w:after="120"/>
        <w:ind w:firstLine="708"/>
      </w:pPr>
      <w:r w:rsidRPr="00A5537E">
        <w:rPr>
          <w:rFonts w:ascii="Arial" w:eastAsia="Arial" w:hAnsi="Arial" w:cs="Arial"/>
          <w:sz w:val="22"/>
          <w:szCs w:val="22"/>
        </w:rPr>
        <w:t>Es de anotar, por ser relevante para la consulta que se resuelve, que la modificación de la ley del Presupuesto opera, únicamente, frente al parágrafo del artículo 38, y no en relación con las prohibiciones del artículo 33 que, como se dijo, resultan ser distintas, aunque concurrentes, a las del parágrafo, por lo cual, las restricciones a la contratación directa dentro del período preelectoral presidencial y vicepresidencial se mantienen invariables a partir de la publicación de la Ley del Presupuesto.</w:t>
      </w:r>
    </w:p>
    <w:p w14:paraId="5B7C9A6E" w14:textId="77777777" w:rsidR="009E3AC0" w:rsidRPr="00A5537E" w:rsidRDefault="00622B0F" w:rsidP="00A5537E">
      <w:pPr>
        <w:shd w:val="clear" w:color="auto" w:fill="FFFFFF"/>
        <w:spacing w:after="120"/>
        <w:ind w:firstLine="708"/>
      </w:pPr>
      <w:r w:rsidRPr="00A5537E">
        <w:rPr>
          <w:rFonts w:ascii="Arial" w:eastAsia="Arial" w:hAnsi="Arial" w:cs="Arial"/>
          <w:sz w:val="22"/>
          <w:szCs w:val="22"/>
        </w:rPr>
        <w:lastRenderedPageBreak/>
        <w:t>En efecto, la Agencia advierte que para el año 2022 están programadas las elecciones para elegir miembros del Congreso de la República, así como las jornadas para la elección del Presidente y Vicepresidente de la República. Las primeras para el domingo 13 de marzo de 2022</w:t>
      </w:r>
      <w:r w:rsidRPr="00A5537E">
        <w:rPr>
          <w:rFonts w:ascii="Arial" w:eastAsia="Arial" w:hAnsi="Arial" w:cs="Arial"/>
          <w:sz w:val="22"/>
          <w:szCs w:val="22"/>
          <w:vertAlign w:val="superscript"/>
        </w:rPr>
        <w:footnoteReference w:id="66"/>
      </w:r>
      <w:r w:rsidRPr="00A5537E">
        <w:rPr>
          <w:rFonts w:ascii="Arial" w:eastAsia="Arial" w:hAnsi="Arial" w:cs="Arial"/>
          <w:sz w:val="22"/>
          <w:szCs w:val="22"/>
        </w:rPr>
        <w:t xml:space="preserve"> y las segundas para el 29 de mayo del mismo año</w:t>
      </w:r>
      <w:r w:rsidRPr="00A5537E">
        <w:rPr>
          <w:rFonts w:ascii="Arial" w:eastAsia="Arial" w:hAnsi="Arial" w:cs="Arial"/>
          <w:sz w:val="22"/>
          <w:szCs w:val="22"/>
          <w:vertAlign w:val="superscript"/>
        </w:rPr>
        <w:footnoteReference w:id="67"/>
      </w:r>
      <w:r w:rsidRPr="00A5537E">
        <w:rPr>
          <w:rFonts w:ascii="Arial" w:eastAsia="Arial" w:hAnsi="Arial" w:cs="Arial"/>
          <w:sz w:val="22"/>
          <w:szCs w:val="22"/>
        </w:rPr>
        <w:t xml:space="preserve">, respectivamente, de manera que resulta palmario que el periodo preelectoral de restricción de cuatro meses anteriores a la correspondiente elección de que tratan los artículos 33 y 38 de la Ley 996, coincidirán parcialmente. En este sentido, las prohibiciones para la contratación directa y para la celebración de convenios y contratos interadministrativos concurren durante la coincidencia de periodos preelectorales. </w:t>
      </w:r>
    </w:p>
    <w:p w14:paraId="0B6AE473" w14:textId="77777777" w:rsidR="009E3AC0" w:rsidRPr="00A5537E" w:rsidRDefault="00622B0F" w:rsidP="00A5537E">
      <w:pPr>
        <w:shd w:val="clear" w:color="auto" w:fill="FFFFFF"/>
        <w:spacing w:after="120"/>
        <w:ind w:firstLine="708"/>
      </w:pPr>
      <w:r w:rsidRPr="00A5537E">
        <w:rPr>
          <w:rFonts w:ascii="Arial" w:eastAsia="Arial" w:hAnsi="Arial" w:cs="Arial"/>
          <w:sz w:val="22"/>
          <w:szCs w:val="22"/>
        </w:rPr>
        <w:t xml:space="preserve">Así, durante el periodo preelectoral de elección al Congreso de la República aplicará, únicamente, la prohibición del parágrafo 38, sin embargo, una vez inicie el periodo preelectoral para la elección de Presidente y Vicepresidente, deberán ser aplicadas ambas restricciones, es decir, la del parágrafo del artículo 38 y la del artículo 33 de la Ley de Garantías. En este punto, atendiendo a la modificación parcial del parágrafo del artículo 38 realizada por la Ley del Presupuesto, cabría preguntarse como se aplicarían las prohibiciones mencionadas. </w:t>
      </w:r>
    </w:p>
    <w:p w14:paraId="6263F549" w14:textId="77777777" w:rsidR="009E3AC0" w:rsidRPr="00A5537E" w:rsidRDefault="00622B0F" w:rsidP="00A5537E">
      <w:pPr>
        <w:shd w:val="clear" w:color="auto" w:fill="FFFFFF"/>
        <w:spacing w:after="120"/>
        <w:ind w:firstLine="708"/>
      </w:pPr>
      <w:r w:rsidRPr="00A5537E">
        <w:rPr>
          <w:rFonts w:ascii="Arial" w:eastAsia="Arial" w:hAnsi="Arial" w:cs="Arial"/>
          <w:sz w:val="22"/>
          <w:szCs w:val="22"/>
        </w:rPr>
        <w:t xml:space="preserve">En opinión de esta Agencia, con el fin de armonizar los textos de los artículos comentados, luego de la modificación realizada por la Ley del Presupuesto, en el evento mencionado en el párrafo anterior se podrán celebrar convenios y contratos interadministrativos, de acuerdo con el parágrafo del artículo 38, siempre y cuando estos se lleven a cabo a través de modalidades de selección que impliquen convocatoria pública y, además, por virtud del artículo 124 de la Ley del Presupuesto cuando dichos contratos y convenios sean suscritos entre entidades del orden nacional y territorial. No sucederá lo mismo cuando sean celebrados entre entidades del orden territorial, en cuyo caso aplicará la prohibición plena sin la modificación en mención. Esto por cuanto, se insiste, la prohibición del artículo 33 de la Ley de Garantías permanece incólume ante la expedición de la Ley del Presupuesto. </w:t>
      </w:r>
    </w:p>
    <w:p w14:paraId="54AC7C59" w14:textId="77777777" w:rsidR="009E3AC0" w:rsidRPr="00A5537E" w:rsidRDefault="00622B0F" w:rsidP="00A5537E">
      <w:pPr>
        <w:shd w:val="clear" w:color="auto" w:fill="FFFFFF"/>
        <w:spacing w:after="120"/>
        <w:ind w:firstLine="708"/>
      </w:pPr>
      <w:r w:rsidRPr="00A5537E">
        <w:rPr>
          <w:rFonts w:ascii="Arial" w:eastAsia="Arial" w:hAnsi="Arial" w:cs="Arial"/>
          <w:sz w:val="22"/>
          <w:szCs w:val="22"/>
        </w:rPr>
        <w:t xml:space="preserve">Por ende, cuando empiece el periodo preelectoral de las elecciones presidenciales, se deberá dar aplicación a la prohibición para la contratación directa contenida en el artículo 33 de la Ley de Garantías, así como a la prohibición del parágrafo del artículo 38 que, como se dijo, resulta aplicable a todo tipo de elección popular. </w:t>
      </w:r>
    </w:p>
    <w:p w14:paraId="2F4E2309" w14:textId="77777777" w:rsidR="009E3AC0" w:rsidRPr="00A5537E" w:rsidRDefault="00622B0F">
      <w:pPr>
        <w:shd w:val="clear" w:color="auto" w:fill="FFFFFF"/>
        <w:spacing w:after="0"/>
        <w:ind w:firstLine="708"/>
        <w:rPr>
          <w:rFonts w:ascii="Arial" w:eastAsia="Arial" w:hAnsi="Arial" w:cs="Arial"/>
          <w:sz w:val="22"/>
          <w:szCs w:val="22"/>
        </w:rPr>
      </w:pPr>
      <w:r w:rsidRPr="00A5537E">
        <w:rPr>
          <w:rFonts w:ascii="Arial" w:eastAsia="Arial" w:hAnsi="Arial" w:cs="Arial"/>
          <w:sz w:val="22"/>
          <w:szCs w:val="22"/>
        </w:rPr>
        <w:t xml:space="preserve">En tal sentido, dentro de los cuatro meses anteriores a las elecciones de presidente y vicepresidente de la república no se podrán celebrar convenios y contratos </w:t>
      </w:r>
      <w:r w:rsidRPr="00A5537E">
        <w:rPr>
          <w:rFonts w:ascii="Arial" w:eastAsia="Arial" w:hAnsi="Arial" w:cs="Arial"/>
          <w:sz w:val="22"/>
          <w:szCs w:val="22"/>
        </w:rPr>
        <w:lastRenderedPageBreak/>
        <w:t xml:space="preserve">interadministrativos a través de contratación directa, y solo podrán ser suscritos a través de mecanismos de selección que impliquen convocatoria pública y, además, siempre que se cumplan con los requisitos establecidos en el artículo 124 de la Ley 2159 de 2021. </w:t>
      </w:r>
    </w:p>
    <w:p w14:paraId="63A2D7D3" w14:textId="77777777" w:rsidR="009E3AC0" w:rsidRPr="00A5537E" w:rsidRDefault="009E3AC0">
      <w:pPr>
        <w:shd w:val="clear" w:color="auto" w:fill="FFFFFF"/>
        <w:spacing w:after="0"/>
        <w:rPr>
          <w:rFonts w:ascii="Arial" w:eastAsia="Arial" w:hAnsi="Arial" w:cs="Arial"/>
          <w:sz w:val="22"/>
          <w:szCs w:val="22"/>
        </w:rPr>
      </w:pPr>
    </w:p>
    <w:p w14:paraId="793EA565" w14:textId="77777777" w:rsidR="009E3AC0" w:rsidRPr="00A5537E" w:rsidRDefault="00622B0F" w:rsidP="00A5537E">
      <w:pPr>
        <w:shd w:val="clear" w:color="auto" w:fill="FFFFFF"/>
        <w:spacing w:after="120"/>
      </w:pPr>
      <w:r w:rsidRPr="00A5537E">
        <w:rPr>
          <w:rFonts w:ascii="Arial" w:eastAsia="Arial" w:hAnsi="Arial" w:cs="Arial"/>
          <w:b/>
          <w:sz w:val="22"/>
          <w:szCs w:val="22"/>
        </w:rPr>
        <w:t>3. Consideración transitoria</w:t>
      </w:r>
    </w:p>
    <w:p w14:paraId="735C1B89" w14:textId="77777777" w:rsidR="009E3AC0" w:rsidRPr="00A5537E" w:rsidRDefault="00622B0F" w:rsidP="00A5537E">
      <w:pPr>
        <w:pBdr>
          <w:top w:val="nil"/>
          <w:left w:val="nil"/>
          <w:bottom w:val="nil"/>
          <w:right w:val="nil"/>
          <w:between w:val="nil"/>
        </w:pBdr>
        <w:spacing w:before="280" w:after="120"/>
        <w:rPr>
          <w:rFonts w:ascii="Times New Roman" w:eastAsia="Times New Roman" w:hAnsi="Times New Roman" w:cs="Times New Roman"/>
        </w:rPr>
      </w:pPr>
      <w:r w:rsidRPr="00A5537E">
        <w:rPr>
          <w:rFonts w:ascii="Arial" w:eastAsia="Arial" w:hAnsi="Arial" w:cs="Arial"/>
          <w:color w:val="000000"/>
          <w:sz w:val="22"/>
          <w:szCs w:val="22"/>
        </w:rPr>
        <w:t>Sin perjuicio de todo lo dicho, debe tenerse en cuenta que en el fallo de tutela proferido dentro del proceso nro. 2021-000324 por parte del Juzgado Tercero Administrativo de Bogotá, se decidió, entre otras cosas:</w:t>
      </w:r>
    </w:p>
    <w:p w14:paraId="2F993CC0" w14:textId="77777777" w:rsidR="009E3AC0" w:rsidRPr="00A5537E" w:rsidRDefault="00622B0F" w:rsidP="00A5537E">
      <w:pPr>
        <w:pBdr>
          <w:top w:val="nil"/>
          <w:left w:val="nil"/>
          <w:bottom w:val="nil"/>
          <w:right w:val="nil"/>
          <w:between w:val="nil"/>
        </w:pBdr>
        <w:spacing w:after="120" w:line="240" w:lineRule="auto"/>
        <w:ind w:left="709" w:right="567"/>
        <w:rPr>
          <w:rFonts w:ascii="Times New Roman" w:eastAsia="Times New Roman" w:hAnsi="Times New Roman" w:cs="Times New Roman"/>
        </w:rPr>
      </w:pPr>
      <w:r w:rsidRPr="00A5537E">
        <w:rPr>
          <w:rFonts w:ascii="Arial" w:eastAsia="Arial" w:hAnsi="Arial" w:cs="Arial"/>
          <w:color w:val="000000"/>
          <w:sz w:val="21"/>
          <w:szCs w:val="21"/>
        </w:rPr>
        <w:t xml:space="preserve">«ORDENAR al presidente de la república y a los representantes legales de las entidades del orden nacional y del sector descentralizado territorialmente, </w:t>
      </w:r>
    </w:p>
    <w:p w14:paraId="24BC4D78" w14:textId="77777777" w:rsidR="009E3AC0" w:rsidRPr="00A5537E" w:rsidRDefault="00622B0F" w:rsidP="00A5537E">
      <w:pPr>
        <w:spacing w:after="120" w:line="240" w:lineRule="auto"/>
        <w:ind w:left="709" w:right="567"/>
      </w:pPr>
      <w:r w:rsidRPr="00A5537E">
        <w:rPr>
          <w:rFonts w:ascii="Arial" w:eastAsia="Arial" w:hAnsi="Arial" w:cs="Arial"/>
          <w:sz w:val="21"/>
          <w:szCs w:val="21"/>
        </w:rPr>
        <w:t xml:space="preserve">abstenerse de dar aplicación a la modificación realizada al parágrafo 38 de la Ley 996 de 2005. </w:t>
      </w:r>
    </w:p>
    <w:p w14:paraId="574A3962" w14:textId="77777777" w:rsidR="009E3AC0" w:rsidRPr="00A5537E" w:rsidRDefault="00622B0F" w:rsidP="00A5537E">
      <w:pPr>
        <w:spacing w:after="120" w:line="240" w:lineRule="auto"/>
        <w:ind w:left="709" w:right="567"/>
      </w:pPr>
      <w:r w:rsidRPr="00A5537E">
        <w:rPr>
          <w:rFonts w:ascii="Arial" w:eastAsia="Arial" w:hAnsi="Arial" w:cs="Arial"/>
          <w:sz w:val="21"/>
          <w:szCs w:val="21"/>
        </w:rPr>
        <w:t xml:space="preserve">La restricción enunciada tiene como efectos garantizar los derechos al debido proceso, igualdad e imparcialidad en el proceso electoral. </w:t>
      </w:r>
    </w:p>
    <w:p w14:paraId="6B3FB3A3" w14:textId="77777777" w:rsidR="009E3AC0" w:rsidRPr="00A5537E" w:rsidRDefault="00622B0F" w:rsidP="00A5537E">
      <w:pPr>
        <w:spacing w:after="120" w:line="240" w:lineRule="auto"/>
        <w:ind w:left="709" w:right="567"/>
      </w:pPr>
      <w:r w:rsidRPr="00A5537E">
        <w:rPr>
          <w:rFonts w:ascii="Arial" w:eastAsia="Arial" w:hAnsi="Arial" w:cs="Arial"/>
          <w:sz w:val="21"/>
          <w:szCs w:val="21"/>
        </w:rPr>
        <w:t xml:space="preserve">La presente restricción solo estará́ vigente hasta que la Corte Constitucional conozca de la demanda de acción pública de inconstitucionalidad que adelantará el señor Miguel Ángel Bravo Gutiérrez o, que, en el ejercicio de ese derecho, radique cualquier ciudadano en los términos que establece el artículo 241 de la Constitución. </w:t>
      </w:r>
    </w:p>
    <w:p w14:paraId="4C817BE6" w14:textId="77777777" w:rsidR="009E3AC0" w:rsidRPr="00A5537E" w:rsidRDefault="00622B0F" w:rsidP="00A5537E">
      <w:pPr>
        <w:spacing w:after="120" w:line="240" w:lineRule="auto"/>
        <w:ind w:left="709" w:right="567"/>
      </w:pPr>
      <w:r w:rsidRPr="00A5537E">
        <w:rPr>
          <w:rFonts w:ascii="Arial" w:eastAsia="Arial" w:hAnsi="Arial" w:cs="Arial"/>
          <w:sz w:val="21"/>
          <w:szCs w:val="21"/>
        </w:rPr>
        <w:t xml:space="preserve">En esa medida el amparo transitorio objeto de esta providencia y la restricción enunciada para la celebración de los convenios interadministrativos, la ejecución de recursos públicos, la no participación, promoción y destinación de recursos públicos de las entidades a su cargo, en la forma que lo establece el parágrafo 38 de la Ley 996 de 2005, estará́ vigente por el término improrrogable de treinta (30) días hábiles siguientes a la publicación de la ley, dentro de los cuales no se computará el periodo que comprende la vacancia judicial45. </w:t>
      </w:r>
    </w:p>
    <w:p w14:paraId="71EFFBA9" w14:textId="77777777" w:rsidR="009E3AC0" w:rsidRPr="00A5537E" w:rsidRDefault="00622B0F" w:rsidP="00A5537E">
      <w:pPr>
        <w:spacing w:after="120" w:line="240" w:lineRule="auto"/>
        <w:ind w:left="709" w:right="567"/>
      </w:pPr>
      <w:r w:rsidRPr="00A5537E">
        <w:rPr>
          <w:rFonts w:ascii="Arial" w:eastAsia="Arial" w:hAnsi="Arial" w:cs="Arial"/>
          <w:sz w:val="21"/>
          <w:szCs w:val="21"/>
        </w:rPr>
        <w:t xml:space="preserve">El término referido tiene como única finalidad que la Corte Constitucional conozca y se pronuncie conforme a sus competencias y facultades relativas a la guarda de la integridad y supremacía de la Constitución, conforme a lo precisado en la parte motiva de esta providencia. </w:t>
      </w:r>
    </w:p>
    <w:p w14:paraId="0C11FC4E" w14:textId="77777777" w:rsidR="009E3AC0" w:rsidRPr="00A5537E" w:rsidRDefault="00622B0F" w:rsidP="00A5537E">
      <w:pPr>
        <w:spacing w:after="120" w:line="240" w:lineRule="auto"/>
        <w:ind w:left="709" w:right="567"/>
      </w:pPr>
      <w:r w:rsidRPr="00A5537E">
        <w:rPr>
          <w:rFonts w:ascii="Arial" w:eastAsia="Arial" w:hAnsi="Arial" w:cs="Arial"/>
          <w:sz w:val="21"/>
          <w:szCs w:val="21"/>
        </w:rPr>
        <w:t xml:space="preserve">Superado el término de los treinta (30) días hábiles, que se computarán en la forma anunciada, si no se acude a la acción pública de inconstitucionalidad por el accionante o por otros ciudadanos, o si la Corte Constitucional no asume conocimiento del estudio del proyecto de ley, en las hipótesis referidas el amparo transitorio perderá́ efectos de manera inmediata. </w:t>
      </w:r>
    </w:p>
    <w:p w14:paraId="577769A3" w14:textId="77777777" w:rsidR="009E3AC0" w:rsidRPr="00A5537E" w:rsidRDefault="00622B0F" w:rsidP="00A5537E">
      <w:pPr>
        <w:spacing w:after="0" w:line="240" w:lineRule="auto"/>
        <w:ind w:left="709" w:right="567"/>
      </w:pPr>
      <w:r w:rsidRPr="00A5537E">
        <w:rPr>
          <w:rFonts w:ascii="Arial" w:eastAsia="Arial" w:hAnsi="Arial" w:cs="Arial"/>
          <w:sz w:val="21"/>
          <w:szCs w:val="21"/>
        </w:rPr>
        <w:t xml:space="preserve">La medida de amparo comprende única y exclusivamente al artículo 125 del trámite legislativo del proyecto de la ley 096 de 2021 Senado y 158 de 2021 </w:t>
      </w:r>
      <w:r w:rsidRPr="00A5537E">
        <w:rPr>
          <w:rFonts w:ascii="Arial" w:eastAsia="Arial" w:hAnsi="Arial" w:cs="Arial"/>
          <w:sz w:val="21"/>
          <w:szCs w:val="21"/>
        </w:rPr>
        <w:lastRenderedPageBreak/>
        <w:t>Cámara, relativo a la modificación del parágrafo del artículo 38 de la Ley Estatutaria 996 de 2005»</w:t>
      </w:r>
      <w:r w:rsidRPr="00A5537E">
        <w:rPr>
          <w:rFonts w:ascii="Arial" w:eastAsia="Arial" w:hAnsi="Arial" w:cs="Arial"/>
          <w:sz w:val="21"/>
          <w:szCs w:val="21"/>
          <w:vertAlign w:val="superscript"/>
        </w:rPr>
        <w:footnoteReference w:id="68"/>
      </w:r>
      <w:r w:rsidRPr="00A5537E">
        <w:rPr>
          <w:rFonts w:ascii="Arial" w:eastAsia="Arial" w:hAnsi="Arial" w:cs="Arial"/>
          <w:sz w:val="21"/>
          <w:szCs w:val="21"/>
        </w:rPr>
        <w:t xml:space="preserve">. </w:t>
      </w:r>
    </w:p>
    <w:p w14:paraId="1B1C7F9D" w14:textId="77777777" w:rsidR="009E3AC0" w:rsidRPr="00A5537E" w:rsidRDefault="009E3AC0">
      <w:pPr>
        <w:shd w:val="clear" w:color="auto" w:fill="FFFFFF"/>
        <w:spacing w:after="0"/>
        <w:rPr>
          <w:rFonts w:ascii="Arial" w:eastAsia="Arial" w:hAnsi="Arial" w:cs="Arial"/>
          <w:sz w:val="22"/>
          <w:szCs w:val="22"/>
        </w:rPr>
      </w:pPr>
    </w:p>
    <w:p w14:paraId="2F586501" w14:textId="77777777" w:rsidR="009E3AC0" w:rsidRPr="00A5537E" w:rsidRDefault="00622B0F" w:rsidP="00A5537E">
      <w:pPr>
        <w:pBdr>
          <w:top w:val="nil"/>
          <w:left w:val="nil"/>
          <w:bottom w:val="nil"/>
          <w:right w:val="nil"/>
          <w:between w:val="nil"/>
        </w:pBdr>
        <w:spacing w:after="120"/>
        <w:ind w:firstLine="709"/>
        <w:rPr>
          <w:rFonts w:ascii="Times New Roman" w:eastAsia="Times New Roman" w:hAnsi="Times New Roman" w:cs="Times New Roman"/>
        </w:rPr>
      </w:pPr>
      <w:r w:rsidRPr="00A5537E">
        <w:rPr>
          <w:rFonts w:ascii="Arial" w:eastAsia="Arial" w:hAnsi="Arial" w:cs="Arial"/>
          <w:color w:val="000000"/>
          <w:sz w:val="22"/>
          <w:szCs w:val="22"/>
        </w:rPr>
        <w:t xml:space="preserve">Sin embargo, posteriormente, el Tribunal Administrativo de Cundinamarca, mediante providencia del 29 de noviembre de 2021, decretó la nulidad de todo lo actuado en el trámite de la acción de tutela mencionada. En consecuencia, ordenó la vinculación del señor Presidente de la República y dio traslado del expediente al Consejo de Estado, por ser el órgano judicial competente, conforme al artículo 1 del Decreto 333 de 2021. </w:t>
      </w:r>
    </w:p>
    <w:p w14:paraId="6D27AF54" w14:textId="77777777" w:rsidR="009E3AC0" w:rsidRPr="00A5537E" w:rsidRDefault="009E3AC0">
      <w:pPr>
        <w:shd w:val="clear" w:color="auto" w:fill="FFFFFF"/>
        <w:spacing w:after="0"/>
        <w:rPr>
          <w:rFonts w:ascii="Arial" w:eastAsia="Arial" w:hAnsi="Arial" w:cs="Arial"/>
          <w:sz w:val="22"/>
          <w:szCs w:val="22"/>
        </w:rPr>
      </w:pPr>
    </w:p>
    <w:p w14:paraId="267E0CCC" w14:textId="77777777" w:rsidR="009E3AC0" w:rsidRPr="00A5537E" w:rsidRDefault="00622B0F">
      <w:pPr>
        <w:tabs>
          <w:tab w:val="left" w:pos="284"/>
        </w:tabs>
        <w:spacing w:after="0"/>
        <w:rPr>
          <w:rFonts w:ascii="Arial" w:eastAsia="Arial" w:hAnsi="Arial" w:cs="Arial"/>
          <w:b/>
          <w:sz w:val="22"/>
          <w:szCs w:val="22"/>
        </w:rPr>
      </w:pPr>
      <w:r w:rsidRPr="00A5537E">
        <w:rPr>
          <w:rFonts w:ascii="Arial" w:eastAsia="Arial" w:hAnsi="Arial" w:cs="Arial"/>
          <w:b/>
          <w:sz w:val="22"/>
          <w:szCs w:val="22"/>
        </w:rPr>
        <w:t>4. Respuesta</w:t>
      </w:r>
    </w:p>
    <w:p w14:paraId="4CBDBB83" w14:textId="77777777" w:rsidR="009E3AC0" w:rsidRPr="00A5537E" w:rsidRDefault="009E3AC0">
      <w:pPr>
        <w:tabs>
          <w:tab w:val="left" w:pos="284"/>
        </w:tabs>
        <w:spacing w:after="0"/>
        <w:rPr>
          <w:rFonts w:ascii="Arial" w:eastAsia="Arial" w:hAnsi="Arial" w:cs="Arial"/>
          <w:b/>
          <w:sz w:val="22"/>
          <w:szCs w:val="22"/>
        </w:rPr>
      </w:pPr>
    </w:p>
    <w:p w14:paraId="1F1947D2" w14:textId="2C3E01AB" w:rsidR="009E3AC0" w:rsidRPr="00A5537E" w:rsidRDefault="00622B0F" w:rsidP="00A5537E">
      <w:pPr>
        <w:spacing w:after="0" w:line="240" w:lineRule="auto"/>
        <w:ind w:left="709" w:right="567"/>
        <w:rPr>
          <w:sz w:val="21"/>
          <w:szCs w:val="21"/>
        </w:rPr>
      </w:pPr>
      <w:r w:rsidRPr="00A5537E">
        <w:rPr>
          <w:rFonts w:ascii="Arial" w:eastAsia="Arial" w:hAnsi="Arial" w:cs="Arial"/>
          <w:b/>
          <w:sz w:val="22"/>
          <w:szCs w:val="22"/>
        </w:rPr>
        <w:t xml:space="preserve">Usted solicita a la Agencia que se emita concepto </w:t>
      </w:r>
      <w:r w:rsidRPr="00A5537E">
        <w:rPr>
          <w:rFonts w:ascii="Arial" w:eastAsia="Arial" w:hAnsi="Arial" w:cs="Arial"/>
          <w:sz w:val="22"/>
          <w:szCs w:val="22"/>
        </w:rPr>
        <w:t xml:space="preserve">«la facultad de suscribir convenios o contratos interadministrativos entre la nación y las sociedad [sic] de economía mixta indirecta [sic], del orden municipal, de segundo grado para la vigencia 2022». </w:t>
      </w:r>
    </w:p>
    <w:p w14:paraId="27E4F9B0" w14:textId="77777777" w:rsidR="009E3AC0" w:rsidRPr="00A5537E" w:rsidRDefault="009E3AC0" w:rsidP="00A5537E">
      <w:pPr>
        <w:spacing w:after="0"/>
      </w:pPr>
    </w:p>
    <w:p w14:paraId="164BA9D6" w14:textId="54C41AD2" w:rsidR="009E3AC0" w:rsidRPr="00A5537E" w:rsidRDefault="00622B0F">
      <w:pPr>
        <w:spacing w:after="120"/>
        <w:rPr>
          <w:rFonts w:ascii="Arial" w:eastAsia="Arial" w:hAnsi="Arial" w:cs="Arial"/>
          <w:sz w:val="22"/>
          <w:szCs w:val="22"/>
        </w:rPr>
      </w:pPr>
      <w:r w:rsidRPr="00A5537E">
        <w:rPr>
          <w:rFonts w:ascii="Arial" w:eastAsia="Arial" w:hAnsi="Arial" w:cs="Arial"/>
          <w:sz w:val="22"/>
          <w:szCs w:val="22"/>
        </w:rPr>
        <w:t>Esta Agencia considera que si bien la administración territorial también está compuesta por entidades tanto del nivel central como descentralizado y estas últimas pueden ser producto o bien de la descentralización directa o de primer nivel o de la de segundo nivel o indirecta, siendo un ejemplo de aquellas las sociedades de economía mixta territoriales, de acuerdo con lo explicado en las consideraciones, el artículo 124 de la Ley 2159 de 2021 no diferencia ni se refiere expresamente a las entidades descentralizadas del orden territorial. Por ello, debe entenderse que la expresión «entidades territoriales» contenida en dicha disposición, incluye únicamente a las establecidas en el artículo 286 de la Constitución Política</w:t>
      </w:r>
      <w:r w:rsidRPr="00A5537E">
        <w:rPr>
          <w:rFonts w:ascii="Arial" w:eastAsia="Arial" w:hAnsi="Arial" w:cs="Arial"/>
          <w:sz w:val="22"/>
          <w:szCs w:val="22"/>
          <w:vertAlign w:val="superscript"/>
        </w:rPr>
        <w:footnoteReference w:id="69"/>
      </w:r>
      <w:r w:rsidRPr="00A5537E">
        <w:rPr>
          <w:rFonts w:ascii="Arial" w:eastAsia="Arial" w:hAnsi="Arial" w:cs="Arial"/>
          <w:sz w:val="22"/>
          <w:szCs w:val="22"/>
        </w:rPr>
        <w:t>, concretamente, los departamentos, los distritos, los municipios y los territorios indígenas.</w:t>
      </w:r>
    </w:p>
    <w:p w14:paraId="765B69AD" w14:textId="3AC015B1" w:rsidR="009E3AC0" w:rsidRPr="00A5537E" w:rsidRDefault="00622B0F" w:rsidP="00A5537E">
      <w:pPr>
        <w:spacing w:after="120"/>
        <w:ind w:firstLine="709"/>
      </w:pPr>
      <w:r w:rsidRPr="00A5537E">
        <w:rPr>
          <w:rFonts w:ascii="Arial" w:eastAsia="Arial" w:hAnsi="Arial" w:cs="Arial"/>
          <w:sz w:val="22"/>
          <w:szCs w:val="22"/>
        </w:rPr>
        <w:t xml:space="preserve">En ese sentido, solo con dichas entidades podrían celebrarse convenios y contratos interadministrativos, siempre y cuando el otro extremo contractual sea la Nación y cumplan los demás requisitos de orden temporal y teleológico exigidos por la norma mencionada y explicados en este concepto. En caso contrario, de no cumplirse cabalmente con tales requerimientos, aplicarán, íntegramente, las prohibiciones establecidas en la Ley de Garantías Electorales. </w:t>
      </w:r>
    </w:p>
    <w:p w14:paraId="2BF21174" w14:textId="77777777" w:rsidR="009E3AC0" w:rsidRPr="00A5537E" w:rsidRDefault="009E3AC0" w:rsidP="00A5537E">
      <w:pPr>
        <w:spacing w:after="120"/>
        <w:ind w:firstLine="709"/>
      </w:pPr>
    </w:p>
    <w:p w14:paraId="00944F82" w14:textId="77777777" w:rsidR="009E3AC0" w:rsidRPr="00A5537E" w:rsidRDefault="00622B0F">
      <w:pPr>
        <w:spacing w:after="120"/>
        <w:rPr>
          <w:rFonts w:ascii="Arial" w:eastAsia="Arial" w:hAnsi="Arial" w:cs="Arial"/>
          <w:sz w:val="22"/>
          <w:szCs w:val="22"/>
        </w:rPr>
      </w:pPr>
      <w:bookmarkStart w:id="50" w:name="_2grqrue" w:colFirst="0" w:colLast="0"/>
      <w:bookmarkEnd w:id="50"/>
      <w:r w:rsidRPr="00A5537E">
        <w:rPr>
          <w:rFonts w:ascii="Arial" w:eastAsia="Arial" w:hAnsi="Arial" w:cs="Arial"/>
          <w:sz w:val="22"/>
          <w:szCs w:val="22"/>
        </w:rPr>
        <w:t>Este concepto tiene el alcance previsto en el artículo 28 del Código de Procedimiento Administrativo y de lo Contencioso Administrativo.</w:t>
      </w:r>
    </w:p>
    <w:p w14:paraId="54BAE2D3" w14:textId="77777777" w:rsidR="009E3AC0" w:rsidRPr="00A5537E" w:rsidRDefault="00622B0F">
      <w:pPr>
        <w:spacing w:after="120"/>
        <w:rPr>
          <w:rFonts w:ascii="Arial" w:eastAsia="Arial" w:hAnsi="Arial" w:cs="Arial"/>
          <w:sz w:val="22"/>
          <w:szCs w:val="22"/>
        </w:rPr>
      </w:pPr>
      <w:r w:rsidRPr="00A5537E">
        <w:rPr>
          <w:noProof/>
        </w:rPr>
        <mc:AlternateContent>
          <mc:Choice Requires="wps">
            <w:drawing>
              <wp:anchor distT="4294967260" distB="4294967260" distL="114300" distR="114300" simplePos="0" relativeHeight="251658240" behindDoc="0" locked="0" layoutInCell="1" hidden="0" allowOverlap="1" wp14:anchorId="4601CB63" wp14:editId="4DE471CD">
                <wp:simplePos x="0" y="0"/>
                <wp:positionH relativeFrom="column">
                  <wp:posOffset>434340</wp:posOffset>
                </wp:positionH>
                <wp:positionV relativeFrom="paragraph">
                  <wp:posOffset>10205</wp:posOffset>
                </wp:positionV>
                <wp:extent cx="4686300" cy="0"/>
                <wp:effectExtent l="0" t="4763" r="0" b="4763"/>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4294967260" distT="4294967260" distL="114300" distR="114300" hidden="0" layoutInCell="1" locked="0" relativeHeight="0" simplePos="0">
                <wp:simplePos x="0" y="0"/>
                <wp:positionH relativeFrom="column">
                  <wp:posOffset>434340</wp:posOffset>
                </wp:positionH>
                <wp:positionV relativeFrom="paragraph">
                  <wp:posOffset>10205</wp:posOffset>
                </wp:positionV>
                <wp:extent cx="4686300" cy="9526"/>
                <wp:effectExtent b="0" l="0" r="0" t="0"/>
                <wp:wrapNone/>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4686300" cy="9526"/>
                        </a:xfrm>
                        <a:prstGeom prst="rect"/>
                        <a:ln/>
                      </pic:spPr>
                    </pic:pic>
                  </a:graphicData>
                </a:graphic>
              </wp:anchor>
            </w:drawing>
          </mc:Fallback>
        </mc:AlternateContent>
      </w:r>
    </w:p>
    <w:p w14:paraId="209CA620" w14:textId="77777777" w:rsidR="009E3AC0" w:rsidRPr="00A5537E" w:rsidRDefault="00622B0F">
      <w:pPr>
        <w:rPr>
          <w:rFonts w:ascii="Arial" w:eastAsia="Arial" w:hAnsi="Arial" w:cs="Arial"/>
          <w:sz w:val="22"/>
          <w:szCs w:val="22"/>
        </w:rPr>
      </w:pPr>
      <w:r w:rsidRPr="00A5537E">
        <w:rPr>
          <w:rFonts w:ascii="Arial" w:eastAsia="Arial" w:hAnsi="Arial" w:cs="Arial"/>
          <w:sz w:val="22"/>
          <w:szCs w:val="22"/>
        </w:rPr>
        <w:t>Atentamente,</w:t>
      </w:r>
    </w:p>
    <w:p w14:paraId="349DE707" w14:textId="0237F26D" w:rsidR="009E3AC0" w:rsidRPr="00A5537E" w:rsidRDefault="00976C8A">
      <w:pPr>
        <w:jc w:val="center"/>
        <w:rPr>
          <w:rFonts w:ascii="Arial" w:eastAsia="Arial" w:hAnsi="Arial" w:cs="Arial"/>
          <w:color w:val="000000"/>
          <w:sz w:val="18"/>
          <w:szCs w:val="18"/>
        </w:rPr>
      </w:pPr>
      <w:r>
        <w:rPr>
          <w:noProof/>
        </w:rPr>
        <w:drawing>
          <wp:inline distT="0" distB="0" distL="0" distR="0" wp14:anchorId="375BE536" wp14:editId="5B752980">
            <wp:extent cx="2514600" cy="1114425"/>
            <wp:effectExtent l="0" t="0" r="0" b="952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9E3AC0" w:rsidRPr="00A5537E" w14:paraId="28514C99" w14:textId="77777777">
        <w:trPr>
          <w:trHeight w:val="315"/>
        </w:trPr>
        <w:tc>
          <w:tcPr>
            <w:tcW w:w="812" w:type="dxa"/>
            <w:vAlign w:val="center"/>
          </w:tcPr>
          <w:p w14:paraId="28B4C35F" w14:textId="77777777" w:rsidR="009E3AC0" w:rsidRPr="00A5537E" w:rsidRDefault="00622B0F">
            <w:pPr>
              <w:spacing w:line="276" w:lineRule="auto"/>
              <w:rPr>
                <w:rFonts w:ascii="Arial" w:eastAsia="Arial" w:hAnsi="Arial" w:cs="Arial"/>
                <w:color w:val="000000"/>
                <w:sz w:val="16"/>
                <w:szCs w:val="16"/>
              </w:rPr>
            </w:pPr>
            <w:r w:rsidRPr="00A5537E">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39B7E675" w14:textId="77777777" w:rsidR="009E3AC0" w:rsidRPr="00A5537E" w:rsidRDefault="00622B0F">
            <w:pPr>
              <w:spacing w:line="276" w:lineRule="auto"/>
              <w:rPr>
                <w:rFonts w:ascii="Arial" w:eastAsia="Arial" w:hAnsi="Arial" w:cs="Arial"/>
                <w:color w:val="000000"/>
                <w:sz w:val="16"/>
                <w:szCs w:val="16"/>
              </w:rPr>
            </w:pPr>
            <w:r w:rsidRPr="00A5537E">
              <w:rPr>
                <w:rFonts w:ascii="Arial" w:eastAsia="Arial" w:hAnsi="Arial" w:cs="Arial"/>
                <w:color w:val="000000"/>
                <w:sz w:val="16"/>
                <w:szCs w:val="16"/>
              </w:rPr>
              <w:t>Álvaro Namén Vargas</w:t>
            </w:r>
          </w:p>
          <w:p w14:paraId="5F10F343" w14:textId="77777777" w:rsidR="009E3AC0" w:rsidRPr="00A5537E" w:rsidRDefault="00622B0F">
            <w:pPr>
              <w:spacing w:line="276" w:lineRule="auto"/>
              <w:rPr>
                <w:rFonts w:ascii="Arial" w:eastAsia="Arial" w:hAnsi="Arial" w:cs="Arial"/>
                <w:color w:val="000000"/>
                <w:sz w:val="16"/>
                <w:szCs w:val="16"/>
              </w:rPr>
            </w:pPr>
            <w:r w:rsidRPr="00A5537E">
              <w:rPr>
                <w:rFonts w:ascii="Arial" w:eastAsia="Arial" w:hAnsi="Arial" w:cs="Arial"/>
                <w:color w:val="000000"/>
                <w:sz w:val="16"/>
                <w:szCs w:val="16"/>
              </w:rPr>
              <w:t>Contratista de la Subdirección de Gestión Contractual</w:t>
            </w:r>
          </w:p>
        </w:tc>
      </w:tr>
      <w:tr w:rsidR="009E3AC0" w:rsidRPr="00A5537E" w14:paraId="0BEF47D4" w14:textId="77777777">
        <w:trPr>
          <w:trHeight w:val="330"/>
        </w:trPr>
        <w:tc>
          <w:tcPr>
            <w:tcW w:w="812" w:type="dxa"/>
            <w:vAlign w:val="center"/>
          </w:tcPr>
          <w:p w14:paraId="51F45BB4" w14:textId="77777777" w:rsidR="009E3AC0" w:rsidRPr="00A5537E" w:rsidRDefault="00622B0F">
            <w:pPr>
              <w:spacing w:line="276" w:lineRule="auto"/>
              <w:rPr>
                <w:rFonts w:ascii="Arial" w:eastAsia="Arial" w:hAnsi="Arial" w:cs="Arial"/>
                <w:color w:val="000000"/>
                <w:sz w:val="16"/>
                <w:szCs w:val="16"/>
              </w:rPr>
            </w:pPr>
            <w:r w:rsidRPr="00A5537E">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266EE53B" w14:textId="77777777" w:rsidR="009E3AC0" w:rsidRPr="00A5537E" w:rsidRDefault="00622B0F">
            <w:pPr>
              <w:spacing w:line="276" w:lineRule="auto"/>
              <w:rPr>
                <w:rFonts w:ascii="Arial" w:eastAsia="Arial" w:hAnsi="Arial" w:cs="Arial"/>
                <w:color w:val="000000"/>
                <w:sz w:val="16"/>
                <w:szCs w:val="16"/>
              </w:rPr>
            </w:pPr>
            <w:r w:rsidRPr="00A5537E">
              <w:rPr>
                <w:rFonts w:ascii="Arial" w:eastAsia="Arial" w:hAnsi="Arial" w:cs="Arial"/>
                <w:color w:val="000000"/>
                <w:sz w:val="16"/>
                <w:szCs w:val="16"/>
              </w:rPr>
              <w:t>Sebastián Ramírez Grisales</w:t>
            </w:r>
          </w:p>
          <w:p w14:paraId="075CBDF0" w14:textId="77777777" w:rsidR="009E3AC0" w:rsidRPr="00A5537E" w:rsidRDefault="00622B0F">
            <w:pPr>
              <w:spacing w:line="276" w:lineRule="auto"/>
              <w:rPr>
                <w:rFonts w:ascii="Arial" w:eastAsia="Arial" w:hAnsi="Arial" w:cs="Arial"/>
                <w:color w:val="000000"/>
                <w:sz w:val="16"/>
                <w:szCs w:val="16"/>
              </w:rPr>
            </w:pPr>
            <w:r w:rsidRPr="00A5537E">
              <w:rPr>
                <w:rFonts w:ascii="Arial" w:eastAsia="Arial" w:hAnsi="Arial" w:cs="Arial"/>
                <w:color w:val="000000"/>
                <w:sz w:val="16"/>
                <w:szCs w:val="16"/>
              </w:rPr>
              <w:t>Contratista de la Subdirección de Gestión Contractual</w:t>
            </w:r>
          </w:p>
        </w:tc>
      </w:tr>
      <w:tr w:rsidR="009E3AC0" w14:paraId="4C5EF60E" w14:textId="77777777">
        <w:trPr>
          <w:trHeight w:val="300"/>
        </w:trPr>
        <w:tc>
          <w:tcPr>
            <w:tcW w:w="812" w:type="dxa"/>
            <w:vAlign w:val="center"/>
          </w:tcPr>
          <w:p w14:paraId="75A346DC" w14:textId="77777777" w:rsidR="009E3AC0" w:rsidRPr="00A5537E" w:rsidRDefault="00622B0F">
            <w:pPr>
              <w:spacing w:line="276" w:lineRule="auto"/>
              <w:rPr>
                <w:rFonts w:ascii="Arial" w:eastAsia="Arial" w:hAnsi="Arial" w:cs="Arial"/>
                <w:color w:val="000000"/>
                <w:sz w:val="16"/>
                <w:szCs w:val="16"/>
              </w:rPr>
            </w:pPr>
            <w:r w:rsidRPr="00A5537E">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13E264A1" w14:textId="77777777" w:rsidR="009E3AC0" w:rsidRPr="00A5537E" w:rsidRDefault="00622B0F">
            <w:pPr>
              <w:spacing w:line="276" w:lineRule="auto"/>
              <w:rPr>
                <w:rFonts w:ascii="Arial" w:eastAsia="Arial" w:hAnsi="Arial" w:cs="Arial"/>
                <w:color w:val="000000"/>
                <w:sz w:val="16"/>
                <w:szCs w:val="16"/>
              </w:rPr>
            </w:pPr>
            <w:r w:rsidRPr="00A5537E">
              <w:rPr>
                <w:rFonts w:ascii="Arial" w:eastAsia="Arial" w:hAnsi="Arial" w:cs="Arial"/>
                <w:color w:val="000000"/>
                <w:sz w:val="16"/>
                <w:szCs w:val="16"/>
              </w:rPr>
              <w:t>Jorge Augusto Tirado Navarro</w:t>
            </w:r>
          </w:p>
          <w:p w14:paraId="6F3B2DF5" w14:textId="77777777" w:rsidR="009E3AC0" w:rsidRDefault="00622B0F">
            <w:pPr>
              <w:spacing w:line="276" w:lineRule="auto"/>
              <w:rPr>
                <w:rFonts w:ascii="Arial" w:eastAsia="Arial" w:hAnsi="Arial" w:cs="Arial"/>
                <w:color w:val="000000"/>
                <w:sz w:val="16"/>
                <w:szCs w:val="16"/>
              </w:rPr>
            </w:pPr>
            <w:r w:rsidRPr="00A5537E">
              <w:rPr>
                <w:rFonts w:ascii="Arial" w:eastAsia="Arial" w:hAnsi="Arial" w:cs="Arial"/>
                <w:color w:val="000000"/>
                <w:sz w:val="16"/>
                <w:szCs w:val="16"/>
              </w:rPr>
              <w:t>Subdirector de Gestión Contractual ANCP – CCE</w:t>
            </w:r>
          </w:p>
        </w:tc>
      </w:tr>
    </w:tbl>
    <w:p w14:paraId="72126035" w14:textId="77777777" w:rsidR="009E3AC0" w:rsidRDefault="009E3AC0">
      <w:pPr>
        <w:spacing w:after="120"/>
        <w:rPr>
          <w:rFonts w:ascii="Arial" w:eastAsia="Arial" w:hAnsi="Arial" w:cs="Arial"/>
          <w:b/>
          <w:sz w:val="20"/>
          <w:szCs w:val="20"/>
        </w:rPr>
      </w:pPr>
    </w:p>
    <w:sectPr w:rsidR="009E3AC0">
      <w:headerReference w:type="default" r:id="rId12"/>
      <w:footerReference w:type="default" r:id="rId13"/>
      <w:pgSz w:w="12240" w:h="15840"/>
      <w:pgMar w:top="408" w:right="1701"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5FA6E" w14:textId="77777777" w:rsidR="006061D3" w:rsidRDefault="006061D3">
      <w:pPr>
        <w:spacing w:after="0" w:line="240" w:lineRule="auto"/>
      </w:pPr>
      <w:r>
        <w:separator/>
      </w:r>
    </w:p>
  </w:endnote>
  <w:endnote w:type="continuationSeparator" w:id="0">
    <w:p w14:paraId="043270F0" w14:textId="77777777" w:rsidR="006061D3" w:rsidRDefault="00606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2F97E" w14:textId="77777777" w:rsidR="009E3AC0" w:rsidRDefault="009E3AC0">
    <w:pPr>
      <w:pBdr>
        <w:top w:val="nil"/>
        <w:left w:val="nil"/>
        <w:bottom w:val="nil"/>
        <w:right w:val="nil"/>
        <w:between w:val="nil"/>
      </w:pBdr>
      <w:spacing w:after="0" w:line="240" w:lineRule="auto"/>
      <w:rPr>
        <w:rFonts w:ascii="Arial" w:eastAsia="Arial" w:hAnsi="Arial" w:cs="Arial"/>
        <w:color w:val="000000"/>
        <w:sz w:val="18"/>
        <w:szCs w:val="18"/>
      </w:rPr>
    </w:pPr>
  </w:p>
  <w:p w14:paraId="5B2A21DA" w14:textId="77777777" w:rsidR="009E3AC0" w:rsidRDefault="00622B0F">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A5537E">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A5537E">
      <w:rPr>
        <w:rFonts w:ascii="Arial" w:eastAsia="Arial" w:hAnsi="Arial" w:cs="Arial"/>
        <w:b/>
        <w:noProof/>
        <w:color w:val="7F7F7F"/>
        <w:sz w:val="16"/>
        <w:szCs w:val="16"/>
      </w:rPr>
      <w:t>2</w:t>
    </w:r>
    <w:r>
      <w:rPr>
        <w:rFonts w:ascii="Arial" w:eastAsia="Arial" w:hAnsi="Arial" w:cs="Arial"/>
        <w:b/>
        <w:color w:val="7F7F7F"/>
        <w:sz w:val="16"/>
        <w:szCs w:val="16"/>
      </w:rPr>
      <w:fldChar w:fldCharType="end"/>
    </w:r>
  </w:p>
  <w:p w14:paraId="7A61822E" w14:textId="77777777" w:rsidR="009E3AC0" w:rsidRDefault="00622B0F">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66635F5D" wp14:editId="0D4E5924">
          <wp:extent cx="4241994" cy="59516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09CC24B0" w14:textId="77777777" w:rsidR="009E3AC0" w:rsidRDefault="009E3AC0">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2285C" w14:textId="77777777" w:rsidR="006061D3" w:rsidRDefault="006061D3">
      <w:pPr>
        <w:spacing w:after="0" w:line="240" w:lineRule="auto"/>
      </w:pPr>
      <w:r>
        <w:separator/>
      </w:r>
    </w:p>
  </w:footnote>
  <w:footnote w:type="continuationSeparator" w:id="0">
    <w:p w14:paraId="5BF21A91" w14:textId="77777777" w:rsidR="006061D3" w:rsidRDefault="006061D3">
      <w:pPr>
        <w:spacing w:after="0" w:line="240" w:lineRule="auto"/>
      </w:pPr>
      <w:r>
        <w:continuationSeparator/>
      </w:r>
    </w:p>
  </w:footnote>
  <w:footnote w:id="1">
    <w:p w14:paraId="11BE7DAB"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976C8A">
        <w:rPr>
          <w:rFonts w:ascii="Arial" w:eastAsia="Arial" w:hAnsi="Arial" w:cs="Arial"/>
          <w:i/>
          <w:color w:val="000000"/>
          <w:sz w:val="18"/>
          <w:szCs w:val="18"/>
        </w:rPr>
        <w:t xml:space="preserve">ibidem </w:t>
      </w:r>
      <w:r w:rsidRPr="00976C8A">
        <w:rPr>
          <w:rFonts w:ascii="Arial" w:eastAsia="Arial" w:hAnsi="Arial" w:cs="Arial"/>
          <w:color w:val="000000"/>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bookmarkStart w:id="11" w:name="_vx1227" w:colFirst="0" w:colLast="0"/>
    <w:bookmarkEnd w:id="11"/>
  </w:footnote>
  <w:footnote w:id="2">
    <w:p w14:paraId="53E7B674"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bookmarkStart w:id="13" w:name="_vx1227" w:colFirst="0" w:colLast="0"/>
      <w:bookmarkEnd w:id="13"/>
      <w:r w:rsidRPr="00976C8A">
        <w:rPr>
          <w:sz w:val="18"/>
          <w:szCs w:val="18"/>
          <w:vertAlign w:val="superscript"/>
        </w:rPr>
        <w:footnoteRef/>
      </w:r>
      <w:r w:rsidRPr="00976C8A">
        <w:rPr>
          <w:rFonts w:ascii="Arial" w:eastAsia="Arial" w:hAnsi="Arial" w:cs="Arial"/>
          <w:color w:val="000000"/>
          <w:sz w:val="18"/>
          <w:szCs w:val="18"/>
        </w:rPr>
        <w:t xml:space="preserve"> Seguidamente, el numeral 8º del artículo 11 Decreto Ley 4170 de 2011 señala que es función de la Subdirección de Gestión Contractual: «[a]bsolver consultas sobre la aplicación de normas de carácter general». Es necesario tener en cuenta que esta entidad solo tiene competencia para responder solicitudes sobre la aplicación de normas de carácter general en materia de compras y contratación pública.</w:t>
      </w:r>
    </w:p>
  </w:footnote>
  <w:footnote w:id="3">
    <w:p w14:paraId="7B4F55DB"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D9DAAF8"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rFonts w:ascii="Arial" w:eastAsia="Arial" w:hAnsi="Arial" w:cs="Arial"/>
          <w:color w:val="000000"/>
          <w:sz w:val="18"/>
          <w:szCs w:val="18"/>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4">
    <w:p w14:paraId="14B4C20A"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Gaceta del Congreso de la República No. 71 del 2005.</w:t>
      </w:r>
    </w:p>
  </w:footnote>
  <w:footnote w:id="5">
    <w:p w14:paraId="7584BA38"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Corte Constitucional, Sentencia C- 1153 de 2005, M.P. Marco Gerardo Monroy Cabra.</w:t>
      </w:r>
    </w:p>
  </w:footnote>
  <w:footnote w:id="6">
    <w:p w14:paraId="7FE8E635"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24D486CD" w14:textId="77777777" w:rsidR="009E3AC0" w:rsidRPr="00976C8A" w:rsidRDefault="009E3AC0">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7">
    <w:p w14:paraId="08443095"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3B0869E5" w14:textId="77777777" w:rsidR="009E3AC0" w:rsidRPr="00976C8A" w:rsidRDefault="009E3AC0">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8">
    <w:p w14:paraId="4CD33EA6"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Consejo de Estado, Sala de Consulta y Servicio Civil de fecha 24 de julio de 2013, radicado 2166, </w:t>
      </w:r>
      <w:r w:rsidRPr="00976C8A">
        <w:rPr>
          <w:rFonts w:ascii="Arial" w:eastAsia="Arial" w:hAnsi="Arial" w:cs="Arial"/>
          <w:color w:val="000000"/>
          <w:sz w:val="18"/>
          <w:szCs w:val="18"/>
        </w:rPr>
        <w:t xml:space="preserve">Consejero Ponente: Álvaro Namén Vargas.  </w:t>
      </w:r>
    </w:p>
  </w:footnote>
  <w:footnote w:id="9">
    <w:p w14:paraId="5F173295" w14:textId="77777777" w:rsidR="009E3AC0" w:rsidRPr="00976C8A" w:rsidRDefault="00622B0F">
      <w:pPr>
        <w:spacing w:after="0" w:line="240" w:lineRule="auto"/>
        <w:ind w:firstLine="709"/>
        <w:rPr>
          <w:rFonts w:ascii="Arial" w:eastAsia="Arial" w:hAnsi="Arial" w:cs="Arial"/>
          <w:sz w:val="18"/>
          <w:szCs w:val="18"/>
        </w:rPr>
      </w:pPr>
      <w:r w:rsidRPr="00976C8A">
        <w:rPr>
          <w:sz w:val="18"/>
          <w:szCs w:val="18"/>
          <w:vertAlign w:val="superscript"/>
        </w:rPr>
        <w:footnoteRef/>
      </w:r>
      <w:r w:rsidRPr="00976C8A">
        <w:rPr>
          <w:rFonts w:ascii="Arial" w:eastAsia="Arial" w:hAnsi="Arial" w:cs="Arial"/>
          <w:sz w:val="18"/>
          <w:szCs w:val="18"/>
        </w:rPr>
        <w:t xml:space="preserve"> </w:t>
      </w:r>
      <w:bookmarkStart w:id="16" w:name="3fwokq0" w:colFirst="0" w:colLast="0"/>
      <w:bookmarkEnd w:id="16"/>
      <w:r w:rsidRPr="00976C8A">
        <w:rPr>
          <w:rFonts w:ascii="Arial" w:eastAsia="Arial" w:hAnsi="Arial" w:cs="Arial"/>
          <w:color w:val="000000"/>
          <w:sz w:val="18"/>
          <w:szCs w:val="18"/>
        </w:rPr>
        <w:t>«</w:t>
      </w:r>
      <w:r w:rsidRPr="00976C8A">
        <w:rPr>
          <w:rFonts w:ascii="Arial" w:eastAsia="Arial" w:hAnsi="Arial" w:cs="Arial"/>
          <w:sz w:val="18"/>
          <w:szCs w:val="18"/>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17FC5486" w14:textId="77777777" w:rsidR="009E3AC0" w:rsidRPr="00976C8A" w:rsidRDefault="00622B0F">
      <w:pPr>
        <w:spacing w:after="0" w:line="240" w:lineRule="auto"/>
        <w:ind w:firstLine="709"/>
        <w:rPr>
          <w:rFonts w:ascii="Arial" w:eastAsia="Arial" w:hAnsi="Arial" w:cs="Arial"/>
          <w:sz w:val="18"/>
          <w:szCs w:val="18"/>
        </w:rPr>
      </w:pPr>
      <w:r w:rsidRPr="00976C8A">
        <w:rPr>
          <w:rFonts w:ascii="Arial" w:eastAsia="Arial" w:hAnsi="Arial" w:cs="Arial"/>
          <w:color w:val="000000"/>
          <w:sz w:val="18"/>
          <w:szCs w:val="18"/>
        </w:rPr>
        <w:t>»</w:t>
      </w:r>
      <w:r w:rsidRPr="00976C8A">
        <w:rPr>
          <w:rFonts w:ascii="Arial" w:eastAsia="Arial" w:hAnsi="Arial" w:cs="Arial"/>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76C8A">
        <w:rPr>
          <w:rFonts w:ascii="Arial" w:eastAsia="Arial" w:hAnsi="Arial" w:cs="Arial"/>
          <w:color w:val="000000"/>
          <w:sz w:val="18"/>
          <w:szCs w:val="18"/>
        </w:rPr>
        <w:t>»</w:t>
      </w:r>
      <w:r w:rsidRPr="00976C8A">
        <w:rPr>
          <w:rFonts w:ascii="Arial" w:eastAsia="Arial" w:hAnsi="Arial" w:cs="Arial"/>
          <w:sz w:val="18"/>
          <w:szCs w:val="18"/>
        </w:rPr>
        <w:t>.</w:t>
      </w:r>
    </w:p>
  </w:footnote>
  <w:footnote w:id="10">
    <w:p w14:paraId="46435CB7"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w:t>
      </w:r>
      <w:bookmarkStart w:id="17" w:name="1v1yuxt" w:colFirst="0" w:colLast="0"/>
      <w:bookmarkEnd w:id="17"/>
      <w:r w:rsidRPr="00976C8A">
        <w:rPr>
          <w:rFonts w:ascii="Arial" w:eastAsia="Arial" w:hAnsi="Arial" w:cs="Arial"/>
          <w:color w:val="000000"/>
          <w:sz w:val="18"/>
          <w:szCs w:val="18"/>
        </w:rPr>
        <w:t>«Artículo 38. Prohibiciones para los servidores públicos. A los empleados del Estado les está prohibido:</w:t>
      </w:r>
    </w:p>
    <w:p w14:paraId="2148AFA0"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rFonts w:ascii="Arial" w:eastAsia="Arial" w:hAnsi="Arial" w:cs="Arial"/>
          <w:color w:val="000000"/>
          <w:sz w:val="18"/>
          <w:szCs w:val="18"/>
        </w:rPr>
        <w:t>» […]</w:t>
      </w:r>
    </w:p>
    <w:p w14:paraId="7C864A1D"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rFonts w:ascii="Arial" w:eastAsia="Arial" w:hAnsi="Arial" w:cs="Arial"/>
          <w:color w:val="000000"/>
          <w:sz w:val="18"/>
          <w:szCs w:val="18"/>
        </w:rPr>
        <w:t>» 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46D63531" w14:textId="77777777" w:rsidR="009E3AC0" w:rsidRPr="00976C8A" w:rsidRDefault="009E3AC0">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11">
    <w:p w14:paraId="22C37FFB" w14:textId="77777777" w:rsidR="009E3AC0" w:rsidRPr="00976C8A" w:rsidRDefault="00622B0F" w:rsidP="00A5537E">
      <w:pPr>
        <w:spacing w:after="0" w:line="240" w:lineRule="auto"/>
        <w:ind w:firstLine="709"/>
        <w:rPr>
          <w:color w:val="000000"/>
          <w:sz w:val="18"/>
          <w:szCs w:val="18"/>
        </w:rPr>
      </w:pPr>
      <w:r w:rsidRPr="00976C8A">
        <w:rPr>
          <w:sz w:val="18"/>
          <w:szCs w:val="18"/>
          <w:vertAlign w:val="superscript"/>
        </w:rPr>
        <w:footnoteRef/>
      </w:r>
      <w:r w:rsidRPr="00976C8A">
        <w:rPr>
          <w:rFonts w:ascii="Arial" w:eastAsia="Arial" w:hAnsi="Arial" w:cs="Arial"/>
          <w:sz w:val="18"/>
          <w:szCs w:val="18"/>
        </w:rPr>
        <w:t xml:space="preserve"> Consejo de Estado. Sala de Consulta y Servicio Civil. Concepto del 17 de febrero de 2015. C.P. William Zambrano Cetina. Radicación No. 11001-03-06-000-2015-00164-00(2269).</w:t>
      </w:r>
    </w:p>
    <w:p w14:paraId="4111783B" w14:textId="77777777" w:rsidR="009E3AC0" w:rsidRPr="00976C8A" w:rsidRDefault="009E3AC0">
      <w:pPr>
        <w:pBdr>
          <w:top w:val="nil"/>
          <w:left w:val="nil"/>
          <w:bottom w:val="nil"/>
          <w:right w:val="nil"/>
          <w:between w:val="nil"/>
        </w:pBdr>
        <w:spacing w:after="0" w:line="240" w:lineRule="auto"/>
        <w:ind w:firstLine="709"/>
        <w:rPr>
          <w:rFonts w:ascii="Arial" w:eastAsia="Arial" w:hAnsi="Arial" w:cs="Arial"/>
          <w:color w:val="000000"/>
          <w:sz w:val="18"/>
          <w:szCs w:val="18"/>
        </w:rPr>
      </w:pPr>
    </w:p>
    <w:bookmarkStart w:id="19" w:name="_4f1mdlm" w:colFirst="0" w:colLast="0"/>
    <w:bookmarkEnd w:id="19"/>
  </w:footnote>
  <w:footnote w:id="12">
    <w:p w14:paraId="563E442D" w14:textId="77777777" w:rsidR="009E3AC0" w:rsidRPr="00976C8A" w:rsidRDefault="00622B0F" w:rsidP="00A5537E">
      <w:pPr>
        <w:pBdr>
          <w:top w:val="nil"/>
          <w:left w:val="nil"/>
          <w:bottom w:val="nil"/>
          <w:right w:val="nil"/>
          <w:between w:val="nil"/>
        </w:pBdr>
        <w:spacing w:after="0" w:line="240" w:lineRule="auto"/>
        <w:ind w:firstLine="709"/>
        <w:rPr>
          <w:sz w:val="18"/>
          <w:szCs w:val="18"/>
        </w:rPr>
      </w:pPr>
      <w:bookmarkStart w:id="22" w:name="_4f1mdlm" w:colFirst="0" w:colLast="0"/>
      <w:bookmarkEnd w:id="22"/>
      <w:r w:rsidRPr="00976C8A">
        <w:rPr>
          <w:sz w:val="18"/>
          <w:szCs w:val="18"/>
          <w:vertAlign w:val="superscript"/>
        </w:rPr>
        <w:footnoteRef/>
      </w:r>
      <w:r w:rsidRPr="00976C8A">
        <w:rPr>
          <w:rFonts w:ascii="Arial" w:eastAsia="Arial" w:hAnsi="Arial" w:cs="Arial"/>
          <w:color w:val="000000"/>
          <w:sz w:val="18"/>
          <w:szCs w:val="18"/>
        </w:rPr>
        <w:t xml:space="preserve"> «[25] Cfr. Consejo de Estado. Sección Tercera. Sentencia de 3 de diciembre de 2007. Radicados: 24.715, 25.206, 25.409, 24.524, 27.834, 25.410, 26.105, 28.244, 31.447 -acumulados-».</w:t>
      </w:r>
    </w:p>
    <w:p w14:paraId="2DCA5CE6" w14:textId="77777777" w:rsidR="009E3AC0" w:rsidRPr="00976C8A" w:rsidRDefault="009E3AC0" w:rsidP="00A5537E">
      <w:pPr>
        <w:pBdr>
          <w:top w:val="nil"/>
          <w:left w:val="nil"/>
          <w:bottom w:val="nil"/>
          <w:right w:val="nil"/>
          <w:between w:val="nil"/>
        </w:pBdr>
        <w:spacing w:after="0" w:line="240" w:lineRule="auto"/>
        <w:ind w:firstLine="709"/>
        <w:rPr>
          <w:sz w:val="18"/>
          <w:szCs w:val="18"/>
        </w:rPr>
      </w:pPr>
    </w:p>
    <w:bookmarkStart w:id="23" w:name="_2u6wntf" w:colFirst="0" w:colLast="0"/>
    <w:bookmarkEnd w:id="23"/>
  </w:footnote>
  <w:footnote w:id="13">
    <w:p w14:paraId="475AA245" w14:textId="77777777" w:rsidR="009E3AC0" w:rsidRPr="00976C8A" w:rsidRDefault="00622B0F" w:rsidP="00A5537E">
      <w:pPr>
        <w:pBdr>
          <w:top w:val="nil"/>
          <w:left w:val="nil"/>
          <w:bottom w:val="nil"/>
          <w:right w:val="nil"/>
          <w:between w:val="nil"/>
        </w:pBdr>
        <w:spacing w:after="0" w:line="240" w:lineRule="auto"/>
        <w:ind w:firstLine="709"/>
        <w:rPr>
          <w:sz w:val="18"/>
          <w:szCs w:val="18"/>
        </w:rPr>
      </w:pPr>
      <w:bookmarkStart w:id="25" w:name="_2u6wntf" w:colFirst="0" w:colLast="0"/>
      <w:bookmarkEnd w:id="25"/>
      <w:r w:rsidRPr="00976C8A">
        <w:rPr>
          <w:sz w:val="18"/>
          <w:szCs w:val="18"/>
          <w:vertAlign w:val="superscript"/>
        </w:rPr>
        <w:footnoteRef/>
      </w:r>
      <w:r w:rsidRPr="00976C8A">
        <w:rPr>
          <w:rFonts w:ascii="Arial" w:eastAsia="Arial" w:hAnsi="Arial" w:cs="Arial"/>
          <w:color w:val="000000"/>
          <w:sz w:val="18"/>
          <w:szCs w:val="18"/>
        </w:rPr>
        <w:t xml:space="preserve"> «[26] Al respecto ver el concepto 1712 de 2 de febrero de 2006. Consejo de Estado Sala de Consulta y Servicio Civil».</w:t>
      </w:r>
    </w:p>
    <w:p w14:paraId="7B100C2D" w14:textId="77777777" w:rsidR="009E3AC0" w:rsidRPr="00976C8A" w:rsidRDefault="009E3AC0" w:rsidP="00A5537E">
      <w:pPr>
        <w:pBdr>
          <w:top w:val="nil"/>
          <w:left w:val="nil"/>
          <w:bottom w:val="nil"/>
          <w:right w:val="nil"/>
          <w:between w:val="nil"/>
        </w:pBdr>
        <w:spacing w:after="0" w:line="240" w:lineRule="auto"/>
        <w:ind w:firstLine="709"/>
        <w:rPr>
          <w:sz w:val="18"/>
          <w:szCs w:val="18"/>
        </w:rPr>
      </w:pPr>
    </w:p>
  </w:footnote>
  <w:footnote w:id="14">
    <w:p w14:paraId="31B015C1"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Consejo de Estado. Sala de Consulta y Servicio Civil. Concepto del 2 de septiembre de 2013. Radicación número: 11001-03-06-000-2013-00412-00 (2168). Consejero Ponente: Álvaro Namén Vargas.</w:t>
      </w:r>
    </w:p>
  </w:footnote>
  <w:footnote w:id="15">
    <w:p w14:paraId="4B3F6D3F"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p>
    <w:p w14:paraId="5B4EE573"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rFonts w:ascii="Arial" w:eastAsia="Arial" w:hAnsi="Arial" w:cs="Arial"/>
          <w:color w:val="000000"/>
          <w:sz w:val="18"/>
          <w:szCs w:val="18"/>
        </w:rPr>
        <w:t xml:space="preserve"> Artículo 2. </w:t>
      </w:r>
    </w:p>
    <w:p w14:paraId="7CC54544" w14:textId="77777777" w:rsidR="009E3AC0" w:rsidRPr="00976C8A" w:rsidRDefault="009E3AC0">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16">
    <w:p w14:paraId="36FF2F66"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w:t>
      </w:r>
      <w:r w:rsidRPr="00976C8A">
        <w:rPr>
          <w:rFonts w:ascii="Arial" w:eastAsia="Arial" w:hAnsi="Arial" w:cs="Arial"/>
          <w:i/>
          <w:color w:val="000000"/>
          <w:sz w:val="18"/>
          <w:szCs w:val="18"/>
        </w:rPr>
        <w:t>Ídem</w:t>
      </w:r>
      <w:r w:rsidRPr="00976C8A">
        <w:rPr>
          <w:rFonts w:ascii="Arial" w:eastAsia="Arial" w:hAnsi="Arial" w:cs="Arial"/>
          <w:color w:val="000000"/>
          <w:sz w:val="18"/>
          <w:szCs w:val="18"/>
        </w:rPr>
        <w:t>.</w:t>
      </w:r>
    </w:p>
    <w:p w14:paraId="76CA32E5" w14:textId="77777777" w:rsidR="009E3AC0" w:rsidRPr="00976C8A" w:rsidRDefault="009E3AC0">
      <w:pPr>
        <w:pBdr>
          <w:top w:val="nil"/>
          <w:left w:val="nil"/>
          <w:bottom w:val="nil"/>
          <w:right w:val="nil"/>
          <w:between w:val="nil"/>
        </w:pBdr>
        <w:spacing w:after="0" w:line="240" w:lineRule="auto"/>
        <w:ind w:firstLine="709"/>
        <w:rPr>
          <w:rFonts w:ascii="Arial" w:eastAsia="Arial" w:hAnsi="Arial" w:cs="Arial"/>
          <w:color w:val="000000"/>
          <w:sz w:val="18"/>
          <w:szCs w:val="18"/>
        </w:rPr>
      </w:pPr>
    </w:p>
    <w:bookmarkStart w:id="27" w:name="_19c6y18" w:colFirst="0" w:colLast="0"/>
    <w:bookmarkEnd w:id="27"/>
  </w:footnote>
  <w:footnote w:id="17">
    <w:p w14:paraId="460F6909"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bookmarkStart w:id="28" w:name="_19c6y18" w:colFirst="0" w:colLast="0"/>
      <w:bookmarkEnd w:id="28"/>
      <w:r w:rsidRPr="00976C8A">
        <w:rPr>
          <w:sz w:val="18"/>
          <w:szCs w:val="18"/>
          <w:vertAlign w:val="superscript"/>
        </w:rPr>
        <w:footnoteRef/>
      </w:r>
      <w:r w:rsidRPr="00976C8A">
        <w:rPr>
          <w:rFonts w:ascii="Arial" w:eastAsia="Arial" w:hAnsi="Arial" w:cs="Arial"/>
          <w:color w:val="000000"/>
          <w:sz w:val="18"/>
          <w:szCs w:val="18"/>
        </w:rPr>
        <w:t xml:space="preserve"> «[…] A este respecto, cabe recordar que el artículo 860 del Código de Comercio regula la licitación en el derecho privado». </w:t>
      </w:r>
    </w:p>
    <w:p w14:paraId="583D6332" w14:textId="77777777" w:rsidR="009E3AC0" w:rsidRPr="00976C8A" w:rsidRDefault="009E3AC0">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18">
    <w:p w14:paraId="461368B4" w14:textId="77777777" w:rsidR="009E3AC0" w:rsidRPr="00976C8A" w:rsidRDefault="00622B0F">
      <w:pPr>
        <w:shd w:val="clear" w:color="auto" w:fill="FFFFFF"/>
        <w:spacing w:after="0" w:line="240" w:lineRule="auto"/>
        <w:ind w:firstLine="709"/>
        <w:rPr>
          <w:rFonts w:ascii="Arial" w:eastAsia="Arial" w:hAnsi="Arial" w:cs="Arial"/>
          <w:sz w:val="18"/>
          <w:szCs w:val="18"/>
        </w:rPr>
      </w:pPr>
      <w:r w:rsidRPr="00976C8A">
        <w:rPr>
          <w:sz w:val="18"/>
          <w:szCs w:val="18"/>
          <w:vertAlign w:val="superscript"/>
        </w:rPr>
        <w:footnoteRef/>
      </w:r>
      <w:r w:rsidRPr="00976C8A">
        <w:rPr>
          <w:rFonts w:ascii="Arial" w:eastAsia="Arial" w:hAnsi="Arial" w:cs="Arial"/>
          <w:sz w:val="18"/>
          <w:szCs w:val="18"/>
        </w:rPr>
        <w:t xml:space="preserve"> Consejo de Estado. Sala de Consulta y Servicio Civil, Concepto de 8 de mayo de 2018. Radicación Número: 11001-03-06-000-2018-00095-00(2382). Consejero Ponente: Álvaro Namén Vargas.</w:t>
      </w:r>
    </w:p>
    <w:p w14:paraId="71A49EAC" w14:textId="77777777" w:rsidR="009E3AC0" w:rsidRPr="00976C8A" w:rsidRDefault="009E3AC0">
      <w:pPr>
        <w:shd w:val="clear" w:color="auto" w:fill="FFFFFF"/>
        <w:spacing w:after="0" w:line="240" w:lineRule="auto"/>
        <w:ind w:firstLine="709"/>
        <w:rPr>
          <w:rFonts w:ascii="Arial" w:eastAsia="Arial" w:hAnsi="Arial" w:cs="Arial"/>
          <w:sz w:val="18"/>
          <w:szCs w:val="18"/>
        </w:rPr>
      </w:pPr>
    </w:p>
  </w:footnote>
  <w:footnote w:id="19">
    <w:p w14:paraId="53683228"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Consejo de Estado. Sala de Consulta y Servicio Civil. Concepto del 08 de mayo de 2018. Exp. 2.382. C.P. Álvaro Namén Vargas.</w:t>
      </w:r>
    </w:p>
  </w:footnote>
  <w:footnote w:id="20">
    <w:p w14:paraId="5F59042B"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14:paraId="7501C514" w14:textId="77777777" w:rsidR="009E3AC0" w:rsidRPr="00976C8A" w:rsidRDefault="00622B0F">
      <w:pPr>
        <w:spacing w:after="0" w:line="240" w:lineRule="auto"/>
        <w:ind w:firstLine="709"/>
        <w:rPr>
          <w:rFonts w:ascii="Arial" w:eastAsia="Arial" w:hAnsi="Arial" w:cs="Arial"/>
          <w:sz w:val="18"/>
          <w:szCs w:val="18"/>
        </w:rPr>
      </w:pPr>
      <w:r w:rsidRPr="00976C8A">
        <w:rPr>
          <w:sz w:val="18"/>
          <w:szCs w:val="18"/>
          <w:vertAlign w:val="superscript"/>
        </w:rPr>
        <w:footnoteRef/>
      </w:r>
      <w:r w:rsidRPr="00976C8A">
        <w:rPr>
          <w:rFonts w:ascii="Arial" w:eastAsia="Arial" w:hAnsi="Arial" w:cs="Arial"/>
          <w:sz w:val="18"/>
          <w:szCs w:val="18"/>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5FF279D7" w14:textId="77777777" w:rsidR="009E3AC0" w:rsidRPr="00976C8A" w:rsidRDefault="009E3AC0">
      <w:pPr>
        <w:spacing w:after="0" w:line="240" w:lineRule="auto"/>
        <w:ind w:firstLine="709"/>
        <w:rPr>
          <w:rFonts w:ascii="Arial" w:eastAsia="Arial" w:hAnsi="Arial" w:cs="Arial"/>
          <w:sz w:val="18"/>
          <w:szCs w:val="18"/>
        </w:rPr>
      </w:pPr>
    </w:p>
    <w:bookmarkStart w:id="35" w:name="_3tbugp1" w:colFirst="0" w:colLast="0"/>
    <w:bookmarkEnd w:id="35"/>
  </w:footnote>
  <w:footnote w:id="22">
    <w:p w14:paraId="74390465" w14:textId="77777777" w:rsidR="009E3AC0" w:rsidRPr="00976C8A" w:rsidRDefault="00622B0F" w:rsidP="00A5537E">
      <w:pPr>
        <w:pBdr>
          <w:top w:val="nil"/>
          <w:left w:val="nil"/>
          <w:bottom w:val="nil"/>
          <w:right w:val="nil"/>
          <w:between w:val="nil"/>
        </w:pBdr>
        <w:spacing w:after="0" w:line="240" w:lineRule="auto"/>
        <w:ind w:firstLine="709"/>
        <w:rPr>
          <w:sz w:val="18"/>
          <w:szCs w:val="18"/>
        </w:rPr>
      </w:pPr>
      <w:bookmarkStart w:id="37" w:name="_3tbugp1" w:colFirst="0" w:colLast="0"/>
      <w:bookmarkEnd w:id="37"/>
      <w:r w:rsidRPr="00976C8A">
        <w:rPr>
          <w:sz w:val="18"/>
          <w:szCs w:val="18"/>
          <w:vertAlign w:val="superscript"/>
        </w:rPr>
        <w:footnoteRef/>
      </w:r>
      <w:r w:rsidRPr="00976C8A">
        <w:rPr>
          <w:rFonts w:ascii="Arial" w:eastAsia="Arial" w:hAnsi="Arial" w:cs="Arial"/>
          <w:color w:val="000000"/>
          <w:sz w:val="18"/>
          <w:szCs w:val="18"/>
        </w:rPr>
        <w:t xml:space="preserve"> Consejo de Estado. Sala de Consulta y Servicio Civil. Concepto de 6 de abril de 2006. Radicación Número: 11001-03-06-000-2006-00038-00(1738). Consejero Ponente: Enrique José Arboleda Perdomo: «Si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p>
  </w:footnote>
  <w:footnote w:id="23">
    <w:p w14:paraId="4A6A87FC" w14:textId="77777777" w:rsidR="009E3AC0" w:rsidRPr="00976C8A" w:rsidRDefault="00622B0F" w:rsidP="00A5537E">
      <w:pPr>
        <w:pBdr>
          <w:top w:val="nil"/>
          <w:left w:val="nil"/>
          <w:bottom w:val="nil"/>
          <w:right w:val="nil"/>
          <w:between w:val="nil"/>
        </w:pBdr>
        <w:spacing w:after="0" w:line="240" w:lineRule="auto"/>
        <w:ind w:firstLine="709"/>
        <w:rPr>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Consejo de Estado. Sala de Consulta y Servicio Civil. Concepto de 6 de abril de 2006. Radicación Número: 11001-03-06-000-2006-00038-00(1738). Consejero Ponente: Enrique José Arboleda Perdomo.</w:t>
      </w:r>
    </w:p>
    <w:p w14:paraId="73EF9A99" w14:textId="77777777" w:rsidR="009E3AC0" w:rsidRPr="00976C8A" w:rsidRDefault="009E3AC0" w:rsidP="00A5537E">
      <w:pPr>
        <w:pBdr>
          <w:top w:val="nil"/>
          <w:left w:val="nil"/>
          <w:bottom w:val="nil"/>
          <w:right w:val="nil"/>
          <w:between w:val="nil"/>
        </w:pBdr>
        <w:spacing w:after="0" w:line="240" w:lineRule="auto"/>
        <w:ind w:firstLine="709"/>
        <w:rPr>
          <w:sz w:val="18"/>
          <w:szCs w:val="18"/>
        </w:rPr>
      </w:pPr>
    </w:p>
  </w:footnote>
  <w:footnote w:id="24">
    <w:p w14:paraId="4A0AC76F" w14:textId="77777777" w:rsidR="009E3AC0" w:rsidRPr="00976C8A" w:rsidRDefault="00622B0F" w:rsidP="00A5537E">
      <w:pPr>
        <w:pBdr>
          <w:top w:val="nil"/>
          <w:left w:val="nil"/>
          <w:bottom w:val="nil"/>
          <w:right w:val="nil"/>
          <w:between w:val="nil"/>
        </w:pBdr>
        <w:spacing w:after="0" w:line="240" w:lineRule="auto"/>
        <w:ind w:firstLine="709"/>
        <w:rPr>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Consejo de Estado. Sala de Consulta y Servicio Civil, ídem.</w:t>
      </w:r>
    </w:p>
  </w:footnote>
  <w:footnote w:id="25">
    <w:p w14:paraId="1A91BDE0"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Consejo de Estado. Sala de Consulta y Servicio Civil. Concepto de 20 de febrero de2006. Radicación 11001-03-06-000-2006-00023-00(1724). Consejero Ponente: Flavio Augusto Rodríguez Arce.</w:t>
      </w:r>
    </w:p>
    <w:p w14:paraId="642DF7F7" w14:textId="77777777" w:rsidR="009E3AC0" w:rsidRPr="00976C8A" w:rsidRDefault="009E3AC0">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26">
    <w:p w14:paraId="528EA468" w14:textId="77777777" w:rsidR="009E3AC0" w:rsidRPr="00976C8A" w:rsidRDefault="00622B0F">
      <w:pPr>
        <w:spacing w:after="0" w:line="240" w:lineRule="auto"/>
        <w:ind w:firstLine="709"/>
        <w:rPr>
          <w:rFonts w:ascii="Arial" w:eastAsia="Arial" w:hAnsi="Arial" w:cs="Arial"/>
          <w:sz w:val="18"/>
          <w:szCs w:val="18"/>
        </w:rPr>
      </w:pPr>
      <w:r w:rsidRPr="00976C8A">
        <w:rPr>
          <w:sz w:val="18"/>
          <w:szCs w:val="18"/>
          <w:vertAlign w:val="superscript"/>
        </w:rPr>
        <w:footnoteRef/>
      </w:r>
      <w:r w:rsidRPr="00976C8A">
        <w:rPr>
          <w:rFonts w:ascii="Arial" w:eastAsia="Arial" w:hAnsi="Arial" w:cs="Arial"/>
          <w:sz w:val="18"/>
          <w:szCs w:val="18"/>
        </w:rPr>
        <w:t xml:space="preserve"> Decreto 1082 de 2015: «Artículo 2.2.1.2.1.4.4. Convenios o contratos interadministrativos. La modalidad de selección para la contratación entre Entidades Estatales es la contratación directa; </w:t>
      </w:r>
      <w:r w:rsidRPr="00976C8A">
        <w:rPr>
          <w:rFonts w:ascii="Arial" w:eastAsia="Arial" w:hAnsi="Arial" w:cs="Arial"/>
          <w:sz w:val="18"/>
          <w:szCs w:val="18"/>
        </w:rPr>
        <w:t>y en consecuencia, le es aplicable lo establecido en el artículo 2.2.1.2.1.4.1 del presente decreto.</w:t>
      </w:r>
    </w:p>
    <w:p w14:paraId="45461647" w14:textId="77777777" w:rsidR="009E3AC0" w:rsidRPr="00976C8A" w:rsidRDefault="00622B0F">
      <w:pPr>
        <w:spacing w:after="0" w:line="240" w:lineRule="auto"/>
        <w:ind w:firstLine="709"/>
        <w:rPr>
          <w:rFonts w:ascii="Arial" w:eastAsia="Arial" w:hAnsi="Arial" w:cs="Arial"/>
          <w:sz w:val="18"/>
          <w:szCs w:val="18"/>
        </w:rPr>
      </w:pPr>
      <w:r w:rsidRPr="00976C8A">
        <w:rPr>
          <w:rFonts w:ascii="Arial" w:eastAsia="Arial" w:hAnsi="Arial"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27">
    <w:p w14:paraId="2CD17C3C" w14:textId="77777777" w:rsidR="009E3AC0" w:rsidRPr="00976C8A" w:rsidRDefault="00622B0F">
      <w:pPr>
        <w:spacing w:after="0" w:line="240" w:lineRule="auto"/>
        <w:ind w:firstLine="709"/>
        <w:rPr>
          <w:rFonts w:ascii="Arial" w:eastAsia="Arial" w:hAnsi="Arial" w:cs="Arial"/>
          <w:sz w:val="18"/>
          <w:szCs w:val="18"/>
        </w:rPr>
      </w:pPr>
      <w:r w:rsidRPr="00976C8A">
        <w:rPr>
          <w:sz w:val="18"/>
          <w:szCs w:val="18"/>
          <w:vertAlign w:val="superscript"/>
        </w:rPr>
        <w:footnoteRef/>
      </w:r>
      <w:r w:rsidRPr="00976C8A">
        <w:rPr>
          <w:rFonts w:ascii="Arial" w:eastAsia="Arial" w:hAnsi="Arial" w:cs="Arial"/>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7B97C67C" w14:textId="77777777" w:rsidR="009E3AC0" w:rsidRPr="00976C8A" w:rsidRDefault="009E3AC0">
      <w:pPr>
        <w:spacing w:after="0" w:line="240" w:lineRule="auto"/>
        <w:ind w:firstLine="709"/>
        <w:rPr>
          <w:rFonts w:ascii="Arial" w:eastAsia="Arial" w:hAnsi="Arial" w:cs="Arial"/>
          <w:sz w:val="18"/>
          <w:szCs w:val="18"/>
        </w:rPr>
      </w:pPr>
    </w:p>
  </w:footnote>
  <w:footnote w:id="28">
    <w:p w14:paraId="08A68833" w14:textId="77777777" w:rsidR="009E3AC0" w:rsidRPr="00976C8A" w:rsidRDefault="00622B0F" w:rsidP="00A5537E">
      <w:pPr>
        <w:spacing w:after="0" w:line="240" w:lineRule="auto"/>
        <w:ind w:firstLine="709"/>
        <w:rPr>
          <w:color w:val="000000"/>
          <w:sz w:val="18"/>
          <w:szCs w:val="18"/>
        </w:rPr>
      </w:pPr>
      <w:r w:rsidRPr="00976C8A">
        <w:rPr>
          <w:sz w:val="18"/>
          <w:szCs w:val="18"/>
          <w:vertAlign w:val="superscript"/>
        </w:rPr>
        <w:footnoteRef/>
      </w:r>
      <w:r w:rsidRPr="00976C8A">
        <w:rPr>
          <w:rFonts w:ascii="Arial" w:eastAsia="Arial" w:hAnsi="Arial" w:cs="Arial"/>
          <w:sz w:val="18"/>
          <w:szCs w:val="18"/>
          <w:vertAlign w:val="superscript"/>
        </w:rPr>
        <w:t xml:space="preserve"> </w:t>
      </w:r>
      <w:r w:rsidRPr="00976C8A">
        <w:rPr>
          <w:rFonts w:ascii="Arial" w:eastAsia="Arial" w:hAnsi="Arial" w:cs="Arial"/>
          <w:sz w:val="18"/>
          <w:szCs w:val="18"/>
        </w:rPr>
        <w:t>Consejo de Estado. Sección Tercera. Sentencia del 23 de junio de 2010. Radicación No. 66001-23-31-000-1998-00261-01(17.860). Consejero Ponente: Mauricio Fajardo Gómez.</w:t>
      </w:r>
    </w:p>
    <w:p w14:paraId="77C3B775" w14:textId="77777777" w:rsidR="009E3AC0" w:rsidRPr="00976C8A" w:rsidRDefault="009E3AC0">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29">
    <w:p w14:paraId="2A6206C8" w14:textId="77777777" w:rsidR="009E3AC0" w:rsidRPr="00976C8A" w:rsidRDefault="00622B0F">
      <w:pPr>
        <w:spacing w:after="0" w:line="240" w:lineRule="auto"/>
        <w:ind w:firstLine="709"/>
        <w:rPr>
          <w:rFonts w:ascii="Arial" w:eastAsia="Arial" w:hAnsi="Arial" w:cs="Arial"/>
          <w:sz w:val="18"/>
          <w:szCs w:val="18"/>
        </w:rPr>
      </w:pPr>
      <w:r w:rsidRPr="00976C8A">
        <w:rPr>
          <w:sz w:val="18"/>
          <w:szCs w:val="18"/>
          <w:vertAlign w:val="superscript"/>
        </w:rPr>
        <w:footnoteRef/>
      </w:r>
      <w:r w:rsidRPr="00976C8A">
        <w:rPr>
          <w:rFonts w:ascii="Arial" w:eastAsia="Arial" w:hAnsi="Arial" w:cs="Arial"/>
          <w:sz w:val="18"/>
          <w:szCs w:val="18"/>
        </w:rPr>
        <w:t xml:space="preserve"> Consejo de Estado. Sección Tercera. Subsección C. Sentencia del 11 de diciembre de 2019. Exp. 46.986. C.P. Jaime Enrique Rodríguez Navas.</w:t>
      </w:r>
    </w:p>
  </w:footnote>
  <w:footnote w:id="30">
    <w:p w14:paraId="0DAAE320"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[Referencia propia de la cita] «CE. SCSC. Concepto de 1 de noviembre de 2016 [Rad. 11001-03-06-000-2016-00125-00(2305)]. MP. Germán Alberto Bula Escobar».</w:t>
      </w:r>
    </w:p>
  </w:footnote>
  <w:footnote w:id="31">
    <w:p w14:paraId="6FD80C80"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[Referencia propia de la cita] «CE. SCSC. Concepto de 30 de abril de 2008 [Rad. 11001-03-06-000-2008-00013-00(1881)]. MP. Enrique José Arboleda Perdomo. En esta oportunidad, la Sala indicó que el contenido </w:t>
      </w:r>
      <w:r w:rsidRPr="00976C8A">
        <w:rPr>
          <w:rFonts w:ascii="Arial" w:eastAsia="Arial" w:hAnsi="Arial" w:cs="Arial"/>
          <w:i/>
          <w:color w:val="000000"/>
          <w:sz w:val="18"/>
          <w:szCs w:val="18"/>
        </w:rPr>
        <w:t>“obligacional”</w:t>
      </w:r>
      <w:r w:rsidRPr="00976C8A">
        <w:rPr>
          <w:rFonts w:ascii="Arial" w:eastAsia="Arial" w:hAnsi="Arial" w:cs="Arial"/>
          <w:color w:val="000000"/>
          <w:sz w:val="18"/>
          <w:szCs w:val="18"/>
        </w:rPr>
        <w:t xml:space="preserve"> de los convenios se estructura definiendo el resultado querido por las partes y los medios que cada entidad despliega para la obtención del respectivo objeto».</w:t>
      </w:r>
    </w:p>
  </w:footnote>
  <w:footnote w:id="32">
    <w:p w14:paraId="4E648E73"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[Referencia propia de la cita] «La normativa vigente del EGCAP </w:t>
      </w:r>
      <w:r w:rsidRPr="00976C8A">
        <w:rPr>
          <w:rFonts w:ascii="Arial" w:eastAsia="Arial" w:hAnsi="Arial" w:cs="Arial"/>
          <w:i/>
          <w:color w:val="000000"/>
          <w:sz w:val="18"/>
          <w:szCs w:val="18"/>
        </w:rPr>
        <w:t>[literal c) del numeral 4. del artículo 2 de la Ley 1150/07]</w:t>
      </w:r>
      <w:r w:rsidRPr="00976C8A">
        <w:rPr>
          <w:rFonts w:ascii="Arial" w:eastAsia="Arial" w:hAnsi="Arial" w:cs="Arial"/>
          <w:color w:val="000000"/>
          <w:sz w:val="18"/>
          <w:szCs w:val="18"/>
        </w:rPr>
        <w:t xml:space="preserve"> se refiere a </w:t>
      </w:r>
      <w:r w:rsidRPr="00976C8A">
        <w:rPr>
          <w:rFonts w:ascii="Arial" w:eastAsia="Arial" w:hAnsi="Arial" w:cs="Arial"/>
          <w:i/>
          <w:color w:val="000000"/>
          <w:sz w:val="18"/>
          <w:szCs w:val="18"/>
        </w:rPr>
        <w:t>“contratos interadministrativos”</w:t>
      </w:r>
      <w:r w:rsidRPr="00976C8A">
        <w:rPr>
          <w:rFonts w:ascii="Arial" w:eastAsia="Arial" w:hAnsi="Arial" w:cs="Arial"/>
          <w:color w:val="000000"/>
          <w:sz w:val="18"/>
          <w:szCs w:val="18"/>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3">
    <w:p w14:paraId="02B9A6AD"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273BE69C" w14:textId="77777777" w:rsidR="009E3AC0" w:rsidRPr="00976C8A" w:rsidRDefault="009E3AC0">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34">
    <w:p w14:paraId="400AA526"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Es lo que sucede, por ejemplo, con el Decreto 092 de 2017, que en su desarrollo hace referencia tanto a los «contratos» como a los «convenios». </w:t>
      </w:r>
    </w:p>
    <w:p w14:paraId="736E6F4E" w14:textId="77777777" w:rsidR="009E3AC0" w:rsidRPr="00976C8A" w:rsidRDefault="009E3AC0">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35">
    <w:p w14:paraId="6EB0EEA1"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6">
    <w:p w14:paraId="14BF9AE4" w14:textId="7A67117C" w:rsidR="009E3AC0" w:rsidRPr="00976C8A" w:rsidRDefault="00622B0F" w:rsidP="00A5537E">
      <w:pPr>
        <w:tabs>
          <w:tab w:val="left" w:pos="933"/>
        </w:tabs>
        <w:spacing w:after="0" w:line="240" w:lineRule="auto"/>
        <w:rPr>
          <w:rFonts w:ascii="Arial" w:eastAsia="Arial" w:hAnsi="Arial" w:cs="Arial"/>
          <w:color w:val="000000"/>
          <w:sz w:val="18"/>
          <w:szCs w:val="18"/>
        </w:rPr>
      </w:pPr>
      <w:r w:rsidRPr="00976C8A">
        <w:rPr>
          <w:sz w:val="18"/>
          <w:szCs w:val="18"/>
          <w:vertAlign w:val="superscript"/>
        </w:rPr>
        <w:footnoteRef/>
      </w:r>
      <w:r w:rsidRPr="00976C8A">
        <w:rPr>
          <w:sz w:val="18"/>
          <w:szCs w:val="18"/>
        </w:rPr>
        <w:tab/>
        <w:t xml:space="preserve"> </w:t>
      </w:r>
      <w:r w:rsidRPr="00976C8A">
        <w:rPr>
          <w:color w:val="4E4D4D"/>
          <w:sz w:val="18"/>
          <w:szCs w:val="18"/>
        </w:rPr>
        <w:t xml:space="preserve">Ley 489 de 1998, artículo 68: </w:t>
      </w:r>
      <w:r w:rsidRPr="00976C8A">
        <w:rPr>
          <w:rFonts w:ascii="Arial" w:eastAsia="Arial" w:hAnsi="Arial" w:cs="Arial"/>
          <w:color w:val="000000"/>
          <w:sz w:val="18"/>
          <w:szCs w:val="18"/>
        </w:rPr>
        <w:t>«</w:t>
      </w:r>
      <w:r w:rsidRPr="00976C8A">
        <w:rPr>
          <w:color w:val="4E4D4D"/>
          <w:sz w:val="18"/>
          <w:szCs w:val="18"/>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976C8A">
        <w:rPr>
          <w:rFonts w:ascii="Arial" w:eastAsia="Arial" w:hAnsi="Arial" w:cs="Arial"/>
          <w:color w:val="000000"/>
          <w:sz w:val="18"/>
          <w:szCs w:val="18"/>
        </w:rPr>
        <w:t>»</w:t>
      </w:r>
      <w:r w:rsidRPr="00976C8A">
        <w:rPr>
          <w:color w:val="4E4D4D"/>
          <w:sz w:val="18"/>
          <w:szCs w:val="18"/>
        </w:rPr>
        <w:t>.</w:t>
      </w:r>
      <w:r w:rsidRPr="00976C8A">
        <w:rPr>
          <w:rFonts w:ascii="Arial" w:eastAsia="Arial" w:hAnsi="Arial" w:cs="Arial"/>
          <w:color w:val="000000"/>
          <w:sz w:val="18"/>
          <w:szCs w:val="18"/>
        </w:rPr>
        <w:t xml:space="preserve"> En similar sentido, ver artículo 38, numeral 2, literal f de la misma ley.</w:t>
      </w:r>
    </w:p>
    <w:p w14:paraId="15A5CECF" w14:textId="77777777" w:rsidR="009E3AC0" w:rsidRPr="00976C8A" w:rsidRDefault="009E3AC0" w:rsidP="00A5537E">
      <w:pPr>
        <w:pBdr>
          <w:top w:val="nil"/>
          <w:left w:val="nil"/>
          <w:bottom w:val="nil"/>
          <w:right w:val="nil"/>
          <w:between w:val="nil"/>
        </w:pBdr>
        <w:spacing w:after="0" w:line="240" w:lineRule="auto"/>
        <w:rPr>
          <w:rFonts w:ascii="Arial" w:eastAsia="Arial" w:hAnsi="Arial" w:cs="Arial"/>
          <w:sz w:val="18"/>
          <w:szCs w:val="18"/>
        </w:rPr>
      </w:pPr>
    </w:p>
  </w:footnote>
  <w:footnote w:id="37">
    <w:p w14:paraId="14FB9499" w14:textId="77777777" w:rsidR="009E3AC0" w:rsidRPr="00976C8A" w:rsidRDefault="00622B0F" w:rsidP="00A5537E">
      <w:pPr>
        <w:pBdr>
          <w:top w:val="nil"/>
          <w:left w:val="nil"/>
          <w:bottom w:val="nil"/>
          <w:right w:val="nil"/>
          <w:between w:val="nil"/>
        </w:pBdr>
        <w:tabs>
          <w:tab w:val="left" w:pos="918"/>
        </w:tabs>
        <w:spacing w:after="0" w:line="240" w:lineRule="auto"/>
        <w:rPr>
          <w:rFonts w:ascii="Arial" w:eastAsia="Arial" w:hAnsi="Arial" w:cs="Arial"/>
          <w:sz w:val="18"/>
          <w:szCs w:val="18"/>
        </w:rPr>
      </w:pPr>
      <w:r w:rsidRPr="00976C8A">
        <w:rPr>
          <w:sz w:val="18"/>
          <w:szCs w:val="18"/>
          <w:vertAlign w:val="superscript"/>
        </w:rPr>
        <w:footnoteRef/>
      </w:r>
      <w:r w:rsidRPr="00976C8A">
        <w:rPr>
          <w:rFonts w:ascii="Arial" w:eastAsia="Arial" w:hAnsi="Arial" w:cs="Arial"/>
          <w:color w:val="000000"/>
          <w:sz w:val="18"/>
          <w:szCs w:val="18"/>
        </w:rPr>
        <w:tab/>
      </w:r>
      <w:r w:rsidRPr="00976C8A">
        <w:rPr>
          <w:color w:val="000000"/>
          <w:sz w:val="18"/>
          <w:szCs w:val="18"/>
        </w:rPr>
        <w:t xml:space="preserve"> </w:t>
      </w:r>
      <w:r w:rsidRPr="00976C8A">
        <w:rPr>
          <w:color w:val="4E4D4D"/>
          <w:sz w:val="18"/>
          <w:szCs w:val="18"/>
        </w:rPr>
        <w:t>Constitución Política de Colombia. Artículo 150, numeral 7; artículo 300, numeral 7; y artículo 313, numeral 6.</w:t>
      </w:r>
    </w:p>
    <w:p w14:paraId="12806A4E" w14:textId="77777777" w:rsidR="009E3AC0" w:rsidRPr="00976C8A" w:rsidRDefault="009E3AC0" w:rsidP="00A5537E">
      <w:pPr>
        <w:pBdr>
          <w:top w:val="nil"/>
          <w:left w:val="nil"/>
          <w:bottom w:val="nil"/>
          <w:right w:val="nil"/>
          <w:between w:val="nil"/>
        </w:pBdr>
        <w:spacing w:after="0" w:line="240" w:lineRule="auto"/>
        <w:rPr>
          <w:rFonts w:ascii="Arial" w:eastAsia="Arial" w:hAnsi="Arial" w:cs="Arial"/>
          <w:sz w:val="18"/>
          <w:szCs w:val="18"/>
        </w:rPr>
      </w:pPr>
    </w:p>
  </w:footnote>
  <w:footnote w:id="38">
    <w:p w14:paraId="637AF911" w14:textId="77777777" w:rsidR="009E3AC0" w:rsidRPr="00976C8A" w:rsidRDefault="00622B0F">
      <w:pPr>
        <w:pBdr>
          <w:top w:val="nil"/>
          <w:left w:val="nil"/>
          <w:bottom w:val="nil"/>
          <w:right w:val="nil"/>
          <w:between w:val="nil"/>
        </w:pBdr>
        <w:rPr>
          <w:color w:val="000000"/>
          <w:sz w:val="18"/>
          <w:szCs w:val="18"/>
        </w:rPr>
      </w:pPr>
      <w:r w:rsidRPr="00976C8A">
        <w:rPr>
          <w:sz w:val="18"/>
          <w:szCs w:val="18"/>
          <w:vertAlign w:val="superscript"/>
        </w:rPr>
        <w:footnoteRef/>
      </w:r>
      <w:r w:rsidRPr="00976C8A">
        <w:rPr>
          <w:color w:val="000000"/>
          <w:sz w:val="18"/>
          <w:szCs w:val="18"/>
        </w:rPr>
        <w:t xml:space="preserve"> Corte Constitucional. Sentencia C–737 del 19 de septiembre de 2019. M.P.  Marco Gerardo Monroy Cabra</w:t>
      </w:r>
      <w:r w:rsidRPr="00976C8A">
        <w:rPr>
          <w:rFonts w:ascii="Arial" w:eastAsia="Arial" w:hAnsi="Arial" w:cs="Arial"/>
          <w:color w:val="000000"/>
          <w:sz w:val="18"/>
          <w:szCs w:val="18"/>
        </w:rPr>
        <w:t>.</w:t>
      </w:r>
    </w:p>
  </w:footnote>
  <w:footnote w:id="39">
    <w:p w14:paraId="7FB1ECFE" w14:textId="77777777" w:rsidR="009E3AC0" w:rsidRPr="00976C8A" w:rsidRDefault="00622B0F">
      <w:pPr>
        <w:pBdr>
          <w:top w:val="nil"/>
          <w:left w:val="nil"/>
          <w:bottom w:val="nil"/>
          <w:right w:val="nil"/>
          <w:between w:val="nil"/>
        </w:pBdr>
        <w:rPr>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Corte Constitucional. S</w:t>
      </w:r>
      <w:r w:rsidRPr="00976C8A">
        <w:rPr>
          <w:color w:val="000000"/>
          <w:sz w:val="18"/>
          <w:szCs w:val="18"/>
        </w:rPr>
        <w:t>entencia C–529 del 12 de julio de 2006. M.P. Jaime Córdoba Triviño</w:t>
      </w:r>
      <w:r w:rsidRPr="00976C8A">
        <w:rPr>
          <w:rFonts w:ascii="Arial" w:eastAsia="Arial" w:hAnsi="Arial" w:cs="Arial"/>
          <w:color w:val="000000"/>
          <w:sz w:val="18"/>
          <w:szCs w:val="18"/>
        </w:rPr>
        <w:t>.</w:t>
      </w:r>
    </w:p>
  </w:footnote>
  <w:footnote w:id="40">
    <w:p w14:paraId="67DDDB16"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Consejo de Estado. Sala de Consulta y Servicio Civil. Concepto del 15 de noviembre de 2007. Expediente número 1863. Consejero Ponente: Luis Fernando Álvarez Jaramillo.</w:t>
      </w:r>
    </w:p>
    <w:p w14:paraId="452ABCEC" w14:textId="77777777" w:rsidR="009E3AC0" w:rsidRPr="00976C8A" w:rsidRDefault="009E3AC0">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41">
    <w:p w14:paraId="139E9316" w14:textId="77777777" w:rsidR="009E3AC0" w:rsidRPr="00976C8A" w:rsidRDefault="00622B0F">
      <w:pPr>
        <w:pBdr>
          <w:top w:val="nil"/>
          <w:left w:val="nil"/>
          <w:bottom w:val="nil"/>
          <w:right w:val="nil"/>
          <w:between w:val="nil"/>
        </w:pBdr>
        <w:rPr>
          <w:color w:val="000000"/>
          <w:sz w:val="18"/>
          <w:szCs w:val="18"/>
        </w:rPr>
      </w:pPr>
      <w:r w:rsidRPr="00976C8A">
        <w:rPr>
          <w:sz w:val="18"/>
          <w:szCs w:val="18"/>
          <w:vertAlign w:val="superscript"/>
        </w:rPr>
        <w:footnoteRef/>
      </w:r>
      <w:r w:rsidRPr="00976C8A">
        <w:rPr>
          <w:color w:val="000000"/>
          <w:sz w:val="18"/>
          <w:szCs w:val="18"/>
        </w:rPr>
        <w:t xml:space="preserve"> Reiterado, entre otros, en el concepto C-699 del 6 de enero de 2022, C-715 del 21 de enero de 2022 y C-724 del 26 de enero de 2022.</w:t>
      </w:r>
    </w:p>
  </w:footnote>
  <w:footnote w:id="42">
    <w:p w14:paraId="457D754E"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Que en su artículo 141 establece: «La presente Ley rige a partir de la feecha de su publicación y surte efectos fiscales a partir del 1 de enero de 2022».</w:t>
      </w:r>
    </w:p>
  </w:footnote>
  <w:footnote w:id="43">
    <w:p w14:paraId="790A01A8"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Correspondiente al Proyecto de Ley 158/21 Cámara y 096/2021 Senado, cuyo texto definitivo fue aprobado en plenaria del Senado de la República el día 19 de octubre de 2021, según la </w:t>
      </w:r>
      <w:r w:rsidRPr="00976C8A">
        <w:rPr>
          <w:rFonts w:ascii="Arial" w:eastAsia="Arial" w:hAnsi="Arial" w:cs="Arial"/>
          <w:color w:val="000000"/>
          <w:sz w:val="18"/>
          <w:szCs w:val="18"/>
        </w:rPr>
        <w:t xml:space="preserve">Gaceta  del Congreso de la República nro. 1496. </w:t>
      </w:r>
    </w:p>
  </w:footnote>
  <w:footnote w:id="44">
    <w:p w14:paraId="0FEE7F72"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En su contenido y trámite el proyecto de ley se sujeta a las siguientes reglas: i) no es posible incluir partida alguna que no corresponda a un crédito judicialmente reconocido, a un gasto decretado conforme a ley anterior, a uno propuesto por el gobierno para atender el funcionamiento de las ramas del poder público, al servicio de la deuda, o a dar cumplimiento al plan nacional de desarrollo (artículo 346 C.P.); ii) el proyecto de ley de apropiaciones deberá contener la totalidad de los gastos que el Estado pretenda realizar durante la vigencia fiscal respectiva (artículo 347 C.P.; iii) si los ingresos legalmente autorizados no fueren suficientes para atender los gastos proyectados, el Gobierno deberá proponer, en forma separada, ante las comisiones encargadas de estudiar el proyecto de presupuesto, la creación de nuevas rentas o la modificación de las existentes para financiar el monto de gastos contemplados (artículo 347 Ibídem); iv) debe contener un componente denominado gasto público social que agrupará las partidas de esa naturaleza (artículo 350 C.P.), iv) el Congreso no puede “aumentar ninguna de las partidas del presupuesto de gastos propuestas por el gobierno, ni incluir una nueva, sino con la aceptación escrita del ministro del ramo” (artículo 351, inciso 1, C.P.). En cambio, el Congreso “podrá eliminar y reducir partidas de gastos propuestas por el gobierno”, con las excepciones que señala el artículo 351 en su inciso segundo; v) recibido el proyecto respectivo en el Congreso, corresponde a las Comisiones de Asuntos Económicos tanto del Senado como de la Cámara discutirlo y aprobarlo en primer debate, para lo cual la Constitución las autoriza sesionar conjuntamente (artículo 346 inciso 2 C.P.); iv) si el Congreso no expide el presupuesto, regirá el presentado por el gobierno en los términos señalados por el artículo 347 Superior, y si el gobierno no lo presenta dentro del plazo constitucional, regirá el del año anterior. Pero el Gobierno podrá reducir gastos, y, en consecuencia, suprimir o refundir empleos, cuando así lo aconsejen los cálculos de rentas del nuevo ejercicio (artículo 348 C.P.).</w:t>
      </w:r>
    </w:p>
  </w:footnote>
  <w:footnote w:id="45">
    <w:p w14:paraId="4B9C042B"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La Corte Constitucional ha precisado que es una especie de «contrato democrático anual sobre la asignación de recursos escasos y la fijación de prioridades, mediante el cual el Estado concreta no sólo un instrumento medular en la dirección de la economía y la política macroeconómica, sino la herramienta jurídica que expresa cuantitativamente el cumplimiento de fines esenciales del Estado y la política social para alcanzarlos. De este modo, el servicio a la comunidad, la promoción de la prosperidad general, la garantía y efectividad de los principios, derechos y deberes consagrados en la Constitución, y el aseguramiento en condiciones de igualdad y equidad de un orden justo, tienen un correlato real y específico en la ley de presupuesto que explican la necesidad de un proceso de creación y reforma calificado que permita la discusión amplia y la mayor participación posible a través de los representantes legítimos del pueblo reunidos en el Congreso.»  (Corte Constitucional. Sentencia C - 1064 de 2001. MPs. Manuel José Cepeda Espinosa y Jaime Córdoba Triviño).</w:t>
      </w:r>
    </w:p>
  </w:footnote>
  <w:footnote w:id="46">
    <w:p w14:paraId="3B58B199"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Corte Constitucional. Sentencia C-1124 de 2008 que analizó la constitucionalidad del artículo 61 de la Ley 1169 de 2007.</w:t>
      </w:r>
    </w:p>
  </w:footnote>
  <w:footnote w:id="47">
    <w:p w14:paraId="54A21B77"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Existe una relación inescindible entre la función democrática, administrativa y política del presupuesto y su carácter de instrumento o herramienta de dirección de la economía y la política macroeconómica. Corte Constitucional, Sentencia C - 438 de 2019, MP: Cristina Pardo Schlesinger.</w:t>
      </w:r>
    </w:p>
  </w:footnote>
  <w:footnote w:id="48">
    <w:p w14:paraId="6A0478BF" w14:textId="77777777" w:rsidR="009E3AC0" w:rsidRPr="00976C8A" w:rsidRDefault="00622B0F">
      <w:pPr>
        <w:pBdr>
          <w:top w:val="nil"/>
          <w:left w:val="nil"/>
          <w:bottom w:val="nil"/>
          <w:right w:val="nil"/>
          <w:between w:val="nil"/>
        </w:pBdr>
        <w:spacing w:after="0" w:line="240" w:lineRule="auto"/>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«Por medio del cual se compilan las leyes 38 de 1989, 179 de 1994 y 225 de 1995 que conforman el estatuto orgánico del presupuesto».</w:t>
      </w:r>
    </w:p>
  </w:footnote>
  <w:footnote w:id="49">
    <w:p w14:paraId="48993365" w14:textId="77777777" w:rsidR="009E3AC0" w:rsidRPr="00976C8A" w:rsidRDefault="00622B0F">
      <w:pPr>
        <w:spacing w:after="0" w:line="240" w:lineRule="auto"/>
        <w:rPr>
          <w:rFonts w:ascii="Arial" w:eastAsia="Arial" w:hAnsi="Arial" w:cs="Arial"/>
          <w:sz w:val="18"/>
          <w:szCs w:val="18"/>
        </w:rPr>
      </w:pPr>
      <w:r w:rsidRPr="00976C8A">
        <w:rPr>
          <w:sz w:val="18"/>
          <w:szCs w:val="18"/>
          <w:vertAlign w:val="superscript"/>
        </w:rPr>
        <w:footnoteRef/>
      </w:r>
      <w:r w:rsidRPr="00976C8A">
        <w:rPr>
          <w:rFonts w:ascii="Arial" w:eastAsia="Arial" w:hAnsi="Arial" w:cs="Arial"/>
          <w:sz w:val="18"/>
          <w:szCs w:val="18"/>
        </w:rPr>
        <w:t xml:space="preserve"> </w:t>
      </w:r>
      <w:r w:rsidRPr="00976C8A">
        <w:rPr>
          <w:rFonts w:ascii="Arial" w:eastAsia="Arial" w:hAnsi="Arial" w:cs="Arial"/>
          <w:color w:val="333333"/>
          <w:sz w:val="18"/>
          <w:szCs w:val="18"/>
        </w:rPr>
        <w:t>ARTÍCULO 6º: «Sistema presupuestal. Está constituido por un plan financiero, por un plan operativo anual de inversiones y por el presupuesto anual de la Nación».</w:t>
      </w:r>
    </w:p>
  </w:footnote>
  <w:footnote w:id="50">
    <w:p w14:paraId="385574C5" w14:textId="77777777" w:rsidR="009E3AC0" w:rsidRPr="00976C8A" w:rsidRDefault="00622B0F">
      <w:pPr>
        <w:spacing w:after="0" w:line="240" w:lineRule="auto"/>
        <w:rPr>
          <w:rFonts w:ascii="Arial" w:eastAsia="Arial" w:hAnsi="Arial" w:cs="Arial"/>
          <w:sz w:val="18"/>
          <w:szCs w:val="18"/>
        </w:rPr>
      </w:pPr>
      <w:r w:rsidRPr="00976C8A">
        <w:rPr>
          <w:sz w:val="18"/>
          <w:szCs w:val="18"/>
          <w:vertAlign w:val="superscript"/>
        </w:rPr>
        <w:footnoteRef/>
      </w:r>
      <w:r w:rsidRPr="00976C8A">
        <w:rPr>
          <w:rFonts w:ascii="Arial" w:eastAsia="Arial" w:hAnsi="Arial" w:cs="Arial"/>
          <w:sz w:val="18"/>
          <w:szCs w:val="18"/>
        </w:rPr>
        <w:t xml:space="preserve"> </w:t>
      </w:r>
      <w:r w:rsidRPr="00976C8A">
        <w:rPr>
          <w:rFonts w:ascii="Arial" w:eastAsia="Arial" w:hAnsi="Arial" w:cs="Arial"/>
          <w:color w:val="333333"/>
          <w:sz w:val="18"/>
          <w:szCs w:val="18"/>
        </w:rPr>
        <w:t xml:space="preserve">ARTÍCULO 8º: «El plan operativo anual de inversiones señalará los proyectos de inversión clasificados por sectores, órganos y programas. Este plan guardará concordancia con el plan nacional de inversiones. El Departamento Nacional de Planeación preparará un informe regional y departamental del presupuesto de inversión para discusión en las comisiones económicas de Senado y Cámara de Representantes». En similar sentido, el artículo 13 del Estatuto Orgánico dispone que «El presupuesto general de la Nación deberá guardar concordancia con los contenidos del plan nacional de desarrollo, del plan nacional de inversiones, del plan financiero y del plan operativo anual de inversiones». </w:t>
      </w:r>
    </w:p>
    <w:p w14:paraId="416D838E" w14:textId="77777777" w:rsidR="009E3AC0" w:rsidRPr="00976C8A" w:rsidRDefault="009E3AC0" w:rsidP="00A5537E">
      <w:pPr>
        <w:spacing w:after="0" w:line="240" w:lineRule="auto"/>
        <w:rPr>
          <w:color w:val="000000"/>
          <w:sz w:val="18"/>
          <w:szCs w:val="18"/>
        </w:rPr>
      </w:pPr>
    </w:p>
    <w:p w14:paraId="215CBE32" w14:textId="77777777" w:rsidR="009E3AC0" w:rsidRPr="00976C8A" w:rsidRDefault="009E3AC0">
      <w:pPr>
        <w:pBdr>
          <w:top w:val="nil"/>
          <w:left w:val="nil"/>
          <w:bottom w:val="nil"/>
          <w:right w:val="nil"/>
          <w:between w:val="nil"/>
        </w:pBdr>
        <w:spacing w:after="0" w:line="240" w:lineRule="auto"/>
        <w:rPr>
          <w:rFonts w:ascii="Arial" w:eastAsia="Arial" w:hAnsi="Arial" w:cs="Arial"/>
          <w:color w:val="000000"/>
          <w:sz w:val="18"/>
          <w:szCs w:val="18"/>
        </w:rPr>
      </w:pPr>
    </w:p>
  </w:footnote>
  <w:footnote w:id="51">
    <w:p w14:paraId="7DF9554F" w14:textId="77777777" w:rsidR="009E3AC0" w:rsidRPr="00976C8A" w:rsidRDefault="00622B0F">
      <w:pPr>
        <w:pBdr>
          <w:top w:val="nil"/>
          <w:left w:val="nil"/>
          <w:bottom w:val="nil"/>
          <w:right w:val="nil"/>
          <w:between w:val="nil"/>
        </w:pBdr>
        <w:spacing w:after="0" w:line="240" w:lineRule="auto"/>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Artículo 31 de la Ley 152 de 1994 -por la cual se establece la Ley Orgánica del Presupuesto-. </w:t>
      </w:r>
    </w:p>
  </w:footnote>
  <w:footnote w:id="52">
    <w:p w14:paraId="614AAD09"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Aunque el Estado sea un concepto más amplio que comprende al conjunto de órganos que realizan las diversas funciones y servicios estatales, ya sea en el orden nacional, o ya sea en los otros niveles territoriales.</w:t>
      </w:r>
    </w:p>
    <w:p w14:paraId="08DD1D7F" w14:textId="77777777" w:rsidR="009E3AC0" w:rsidRPr="00976C8A" w:rsidRDefault="009E3AC0">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53">
    <w:p w14:paraId="25C141D8"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«Artículo 287. Las entidades territoriales gozan de autonomía para la gestión de sus intereses, y dentro de los límites de la Constitución y la ley. En tal virtud tendrán los siguientes derechos: </w:t>
      </w:r>
    </w:p>
    <w:p w14:paraId="0207B17F" w14:textId="5F16C685"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rFonts w:ascii="Arial" w:eastAsia="Arial" w:hAnsi="Arial" w:cs="Arial"/>
          <w:color w:val="000000"/>
          <w:sz w:val="18"/>
          <w:szCs w:val="18"/>
        </w:rPr>
        <w:t xml:space="preserve">»1. Gobernarse por autoridades propias. </w:t>
      </w:r>
    </w:p>
    <w:p w14:paraId="7C31072F" w14:textId="07CABB8E"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rFonts w:ascii="Arial" w:eastAsia="Arial" w:hAnsi="Arial" w:cs="Arial"/>
          <w:color w:val="000000"/>
          <w:sz w:val="18"/>
          <w:szCs w:val="18"/>
        </w:rPr>
        <w:t xml:space="preserve">»2. Ejercer las competencias que les correspondan. </w:t>
      </w:r>
    </w:p>
    <w:p w14:paraId="7FEDA32A" w14:textId="0789E4E5" w:rsidR="009E3AC0" w:rsidRPr="00976C8A" w:rsidRDefault="00622B0F" w:rsidP="00A5537E">
      <w:pPr>
        <w:pBdr>
          <w:top w:val="nil"/>
          <w:left w:val="nil"/>
          <w:bottom w:val="nil"/>
          <w:right w:val="nil"/>
          <w:between w:val="nil"/>
        </w:pBdr>
        <w:spacing w:after="0" w:line="240" w:lineRule="auto"/>
        <w:ind w:firstLine="709"/>
        <w:rPr>
          <w:sz w:val="18"/>
          <w:szCs w:val="18"/>
        </w:rPr>
      </w:pPr>
      <w:r w:rsidRPr="00976C8A">
        <w:rPr>
          <w:rFonts w:ascii="Arial" w:eastAsia="Arial" w:hAnsi="Arial" w:cs="Arial"/>
          <w:color w:val="000000"/>
          <w:sz w:val="18"/>
          <w:szCs w:val="18"/>
        </w:rPr>
        <w:t xml:space="preserve">»3. Administrar los recursos y establecer los tributos necesarios para el cumplimiento de sus funciones. </w:t>
      </w:r>
    </w:p>
    <w:p w14:paraId="5A997439" w14:textId="4BE098FB"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rFonts w:ascii="Arial" w:eastAsia="Arial" w:hAnsi="Arial" w:cs="Arial"/>
          <w:color w:val="000000"/>
          <w:sz w:val="18"/>
          <w:szCs w:val="18"/>
        </w:rPr>
        <w:t>»4. Participar en las rentas nacionales»</w:t>
      </w:r>
    </w:p>
  </w:footnote>
  <w:footnote w:id="54">
    <w:p w14:paraId="4C0C932F"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Corte Constitucional, Sentencia C-221 del 29 de abril de 1997. M.P. Alejandro Martínez Caballero.</w:t>
      </w:r>
    </w:p>
  </w:footnote>
  <w:footnote w:id="55">
    <w:p w14:paraId="1977622B" w14:textId="77777777" w:rsidR="009E3AC0" w:rsidRPr="00976C8A" w:rsidRDefault="00622B0F">
      <w:pPr>
        <w:shd w:val="clear" w:color="auto" w:fill="FFFFFF"/>
        <w:spacing w:after="0" w:line="240" w:lineRule="auto"/>
        <w:ind w:firstLine="709"/>
        <w:rPr>
          <w:rFonts w:ascii="Arial" w:eastAsia="Arial" w:hAnsi="Arial" w:cs="Arial"/>
          <w:sz w:val="18"/>
          <w:szCs w:val="18"/>
        </w:rPr>
      </w:pPr>
      <w:r w:rsidRPr="00976C8A">
        <w:rPr>
          <w:sz w:val="18"/>
          <w:szCs w:val="18"/>
          <w:vertAlign w:val="superscript"/>
        </w:rPr>
        <w:footnoteRef/>
      </w:r>
      <w:r w:rsidRPr="00976C8A">
        <w:rPr>
          <w:rFonts w:ascii="Arial" w:eastAsia="Arial" w:hAnsi="Arial" w:cs="Arial"/>
          <w:sz w:val="18"/>
          <w:szCs w:val="18"/>
        </w:rPr>
        <w:t xml:space="preserve"> Corte Constitucional, Sentencia T-247 del 10 de abril de 2007. M.P. Rodrigo Escobar Gil.</w:t>
      </w:r>
    </w:p>
  </w:footnote>
  <w:footnote w:id="56">
    <w:p w14:paraId="13FDDB46" w14:textId="0259AFED"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El artículo 68 de la Ley 489 de 1998 sobre este sector preceptúa: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footnote>
  <w:footnote w:id="57">
    <w:p w14:paraId="0CD1C321" w14:textId="77777777" w:rsidR="009E3AC0" w:rsidRPr="00976C8A" w:rsidRDefault="00622B0F">
      <w:pPr>
        <w:pBdr>
          <w:top w:val="nil"/>
          <w:left w:val="nil"/>
          <w:bottom w:val="nil"/>
          <w:right w:val="nil"/>
          <w:between w:val="nil"/>
        </w:pBdr>
        <w:spacing w:after="0" w:line="240" w:lineRule="auto"/>
        <w:ind w:firstLine="708"/>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Rodríguez Libardo, Derecho Administrativo, general y colombiano, Editorial Temis, (2015), Bogotá, Colombia, p. 160.</w:t>
      </w:r>
    </w:p>
  </w:footnote>
  <w:footnote w:id="58">
    <w:p w14:paraId="66379364" w14:textId="77777777" w:rsidR="009E3AC0" w:rsidRPr="00976C8A" w:rsidRDefault="00622B0F">
      <w:pPr>
        <w:spacing w:after="0" w:line="240" w:lineRule="auto"/>
        <w:ind w:firstLine="708"/>
        <w:rPr>
          <w:rFonts w:ascii="Arial" w:eastAsia="Arial" w:hAnsi="Arial" w:cs="Arial"/>
          <w:sz w:val="18"/>
          <w:szCs w:val="18"/>
        </w:rPr>
      </w:pPr>
      <w:r w:rsidRPr="00976C8A">
        <w:rPr>
          <w:sz w:val="18"/>
          <w:szCs w:val="18"/>
          <w:vertAlign w:val="superscript"/>
        </w:rPr>
        <w:footnoteRef/>
      </w:r>
      <w:r w:rsidRPr="00976C8A">
        <w:rPr>
          <w:rFonts w:ascii="Arial" w:eastAsia="Arial" w:hAnsi="Arial" w:cs="Arial"/>
          <w:sz w:val="18"/>
          <w:szCs w:val="18"/>
        </w:rPr>
        <w:t xml:space="preserve"> Vidal Perdomo Libardo, Derecho Administrativo, editorial Legis, (2016), Bogotá, Colombia, p. 151. En similar sentido se ha expresado la Sala de Consulta y Servicio Civil del Consejo de Estado al definir a las entidades públicas descentralizadas indirectamente como «[…]</w:t>
      </w:r>
      <w:r w:rsidRPr="00976C8A">
        <w:rPr>
          <w:rFonts w:ascii="Arial" w:eastAsia="Arial" w:hAnsi="Arial" w:cs="Arial"/>
          <w:color w:val="333333"/>
          <w:sz w:val="18"/>
          <w:szCs w:val="18"/>
        </w:rPr>
        <w:t>las que surgen por la voluntad asociativa de los entes públicos entre sí o con la intervención de particulares, previa autorización legal» (Concepto del 26 de octubre de 2000, Rad. 1291, M.P. Augusto Trejos Jaramillo).</w:t>
      </w:r>
    </w:p>
  </w:footnote>
  <w:footnote w:id="59">
    <w:p w14:paraId="7D1E4B53" w14:textId="77777777" w:rsidR="009E3AC0" w:rsidRPr="00976C8A" w:rsidRDefault="00622B0F">
      <w:pPr>
        <w:pBdr>
          <w:top w:val="nil"/>
          <w:left w:val="nil"/>
          <w:bottom w:val="nil"/>
          <w:right w:val="nil"/>
          <w:between w:val="nil"/>
        </w:pBdr>
        <w:spacing w:after="0" w:line="240" w:lineRule="auto"/>
        <w:ind w:firstLine="708"/>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Ver, Tafur Galvis Álvaro, las entidades descentralizadas, Bogotá, Editorial, Montoya y Araujo, (1984), p. 205. </w:t>
      </w:r>
    </w:p>
  </w:footnote>
  <w:footnote w:id="60">
    <w:p w14:paraId="0E3CB3DB" w14:textId="77777777" w:rsidR="009E3AC0" w:rsidRPr="00976C8A" w:rsidRDefault="00622B0F">
      <w:pPr>
        <w:pBdr>
          <w:top w:val="nil"/>
          <w:left w:val="nil"/>
          <w:bottom w:val="nil"/>
          <w:right w:val="nil"/>
          <w:between w:val="nil"/>
        </w:pBdr>
        <w:spacing w:after="0" w:line="240" w:lineRule="auto"/>
        <w:ind w:firstLine="708"/>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Sala de Consulta y Servicio Civil, Concepto Rad 1291, Ob. Cit. </w:t>
      </w:r>
    </w:p>
  </w:footnote>
  <w:footnote w:id="61">
    <w:p w14:paraId="49CC800C" w14:textId="77777777" w:rsidR="009E3AC0" w:rsidRPr="00976C8A" w:rsidRDefault="00622B0F">
      <w:pPr>
        <w:pBdr>
          <w:top w:val="nil"/>
          <w:left w:val="nil"/>
          <w:bottom w:val="nil"/>
          <w:right w:val="nil"/>
          <w:between w:val="nil"/>
        </w:pBdr>
        <w:spacing w:after="0" w:line="240" w:lineRule="auto"/>
        <w:ind w:firstLine="708"/>
        <w:rPr>
          <w:rFonts w:ascii="Arial" w:eastAsia="Arial" w:hAnsi="Arial" w:cs="Arial"/>
          <w:color w:val="000000"/>
          <w:sz w:val="18"/>
          <w:szCs w:val="18"/>
        </w:rPr>
      </w:pPr>
      <w:r w:rsidRPr="00976C8A">
        <w:rPr>
          <w:sz w:val="18"/>
          <w:szCs w:val="18"/>
          <w:vertAlign w:val="superscript"/>
        </w:rPr>
        <w:footnoteRef/>
      </w:r>
      <w:r w:rsidRPr="00976C8A">
        <w:rPr>
          <w:color w:val="000000"/>
          <w:sz w:val="18"/>
          <w:szCs w:val="18"/>
        </w:rPr>
        <w:t xml:space="preserve"> En efecto, por tratarse de la misma ley, resulta importante destacar como, por ejemplo, el artículo 39 de la Ley 2159 de 2021 incluye a las entidades descentralizadas en su regulación, mientras que en el artículo 124 no se realiza dicha inclusión: «Artículo 39. Autorícese a la Nación y sus entidades descentralizadas, para efectuar cruces de cuentas entre sí, con entidades territoriales y sus descentralizadas y con las Empresas de Servicios Públicos con participación estatal, sobre las obligaciones que recíprocamente tengan causadas. Para estos efectos se requerirá acuerdo previo entre las partes […]»</w:t>
      </w:r>
      <w:r w:rsidRPr="00976C8A">
        <w:rPr>
          <w:rFonts w:ascii="Arial" w:eastAsia="Arial" w:hAnsi="Arial" w:cs="Arial"/>
          <w:color w:val="000000"/>
          <w:sz w:val="18"/>
          <w:szCs w:val="18"/>
        </w:rPr>
        <w:t xml:space="preserve"> (Cursiva fuera del original)</w:t>
      </w:r>
      <w:r w:rsidRPr="00976C8A">
        <w:rPr>
          <w:color w:val="000000"/>
          <w:sz w:val="18"/>
          <w:szCs w:val="18"/>
        </w:rPr>
        <w:t>.</w:t>
      </w:r>
    </w:p>
    <w:p w14:paraId="45591BA2" w14:textId="77777777" w:rsidR="009E3AC0" w:rsidRPr="00976C8A" w:rsidRDefault="009E3AC0">
      <w:pPr>
        <w:pBdr>
          <w:top w:val="nil"/>
          <w:left w:val="nil"/>
          <w:bottom w:val="nil"/>
          <w:right w:val="nil"/>
          <w:between w:val="nil"/>
        </w:pBdr>
        <w:rPr>
          <w:color w:val="000000"/>
          <w:sz w:val="18"/>
          <w:szCs w:val="18"/>
        </w:rPr>
      </w:pPr>
    </w:p>
  </w:footnote>
  <w:footnote w:id="62">
    <w:p w14:paraId="0685F670" w14:textId="77777777" w:rsidR="009E3AC0" w:rsidRPr="00976C8A" w:rsidRDefault="00622B0F">
      <w:pPr>
        <w:pBdr>
          <w:top w:val="nil"/>
          <w:left w:val="nil"/>
          <w:bottom w:val="nil"/>
          <w:right w:val="nil"/>
          <w:between w:val="nil"/>
        </w:pBdr>
        <w:spacing w:after="280"/>
        <w:rPr>
          <w:rFonts w:ascii="Open Sans" w:eastAsia="Open Sans" w:hAnsi="Open Sans" w:cs="Open Sans"/>
          <w:color w:val="4B4949"/>
          <w:sz w:val="18"/>
          <w:szCs w:val="18"/>
        </w:rPr>
      </w:pPr>
      <w:r w:rsidRPr="00976C8A">
        <w:rPr>
          <w:sz w:val="18"/>
          <w:szCs w:val="18"/>
          <w:vertAlign w:val="superscript"/>
        </w:rPr>
        <w:footnoteRef/>
      </w:r>
      <w:r w:rsidRPr="00976C8A">
        <w:rPr>
          <w:rFonts w:ascii="Times New Roman" w:eastAsia="Times New Roman" w:hAnsi="Times New Roman" w:cs="Times New Roman"/>
          <w:color w:val="000000"/>
          <w:sz w:val="18"/>
          <w:szCs w:val="18"/>
        </w:rPr>
        <w:t xml:space="preserve"> </w:t>
      </w:r>
      <w:r w:rsidRPr="00976C8A">
        <w:rPr>
          <w:rFonts w:ascii="Arial" w:eastAsia="Arial" w:hAnsi="Arial" w:cs="Arial"/>
          <w:color w:val="000000"/>
          <w:sz w:val="18"/>
          <w:szCs w:val="18"/>
        </w:rPr>
        <w:t>«Artículo</w:t>
      </w:r>
      <w:r w:rsidRPr="00976C8A">
        <w:rPr>
          <w:rFonts w:ascii="Open Sans" w:eastAsia="Open Sans" w:hAnsi="Open Sans" w:cs="Open Sans"/>
          <w:b/>
          <w:color w:val="BE9E55"/>
          <w:sz w:val="18"/>
          <w:szCs w:val="18"/>
        </w:rPr>
        <w:t xml:space="preserve"> 286. </w:t>
      </w:r>
      <w:r w:rsidRPr="00976C8A">
        <w:rPr>
          <w:rFonts w:ascii="Open Sans" w:eastAsia="Open Sans" w:hAnsi="Open Sans" w:cs="Open Sans"/>
          <w:color w:val="4B4949"/>
          <w:sz w:val="18"/>
          <w:szCs w:val="18"/>
        </w:rPr>
        <w:t>Son entidades territoriales los departamentos, los distritos, los municipios y los territorios indígenas.</w:t>
      </w:r>
    </w:p>
    <w:p w14:paraId="5C4BDF55" w14:textId="77777777" w:rsidR="009E3AC0" w:rsidRPr="00976C8A" w:rsidRDefault="00622B0F">
      <w:pPr>
        <w:spacing w:before="280" w:after="280"/>
        <w:rPr>
          <w:rFonts w:ascii="Open Sans" w:eastAsia="Open Sans" w:hAnsi="Open Sans" w:cs="Open Sans"/>
          <w:color w:val="4B4949"/>
          <w:sz w:val="18"/>
          <w:szCs w:val="18"/>
        </w:rPr>
      </w:pPr>
      <w:r w:rsidRPr="00976C8A">
        <w:rPr>
          <w:rFonts w:ascii="Arial" w:eastAsia="Arial" w:hAnsi="Arial" w:cs="Arial"/>
          <w:color w:val="000000"/>
          <w:sz w:val="18"/>
          <w:szCs w:val="18"/>
        </w:rPr>
        <w:t>»</w:t>
      </w:r>
      <w:r w:rsidRPr="00976C8A">
        <w:rPr>
          <w:rFonts w:ascii="Open Sans" w:eastAsia="Open Sans" w:hAnsi="Open Sans" w:cs="Open Sans"/>
          <w:color w:val="4B4949"/>
          <w:sz w:val="18"/>
          <w:szCs w:val="18"/>
        </w:rPr>
        <w:t>La ley podrá darles el carácter de entidades territoriales a las regiones y provincias que se constituyan en los términos de la Constitución y de la ley</w:t>
      </w:r>
      <w:r w:rsidRPr="00976C8A">
        <w:rPr>
          <w:rFonts w:ascii="Arial" w:eastAsia="Arial" w:hAnsi="Arial" w:cs="Arial"/>
          <w:color w:val="000000"/>
          <w:sz w:val="18"/>
          <w:szCs w:val="18"/>
        </w:rPr>
        <w:t>»</w:t>
      </w:r>
      <w:r w:rsidRPr="00976C8A">
        <w:rPr>
          <w:rFonts w:ascii="Open Sans" w:eastAsia="Open Sans" w:hAnsi="Open Sans" w:cs="Open Sans"/>
          <w:color w:val="4B4949"/>
          <w:sz w:val="18"/>
          <w:szCs w:val="18"/>
        </w:rPr>
        <w:t>.</w:t>
      </w:r>
    </w:p>
    <w:p w14:paraId="65C3A601" w14:textId="77777777" w:rsidR="009E3AC0" w:rsidRPr="00976C8A" w:rsidRDefault="009E3AC0">
      <w:pPr>
        <w:pBdr>
          <w:top w:val="nil"/>
          <w:left w:val="nil"/>
          <w:bottom w:val="nil"/>
          <w:right w:val="nil"/>
          <w:between w:val="nil"/>
        </w:pBdr>
        <w:rPr>
          <w:color w:val="000000"/>
          <w:sz w:val="18"/>
          <w:szCs w:val="18"/>
        </w:rPr>
      </w:pPr>
    </w:p>
  </w:footnote>
  <w:footnote w:id="63">
    <w:p w14:paraId="1DC4644F"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Corte Constitucional, Sentencia C-374 del 25 de agosto de 1994, M.P. Jorge Arango Mejía. </w:t>
      </w:r>
    </w:p>
  </w:footnote>
  <w:footnote w:id="64">
    <w:p w14:paraId="12A25D73" w14:textId="433D5D46"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w:t>
      </w:r>
      <w:r w:rsidRPr="00976C8A">
        <w:rPr>
          <w:rFonts w:ascii="Arial" w:eastAsia="Arial" w:hAnsi="Arial" w:cs="Arial"/>
          <w:i/>
          <w:color w:val="000000"/>
          <w:sz w:val="18"/>
          <w:szCs w:val="18"/>
        </w:rPr>
        <w:t>Ibid.</w:t>
      </w:r>
    </w:p>
  </w:footnote>
  <w:footnote w:id="65">
    <w:p w14:paraId="79E7CE6E"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«ARTICULO 113. Son Ramas del Poder Público, la legislativa, la ejecutiva, y la judicial. Además de los órganos que las integran existen otros, autónomos e independientes, para el cumplimiento de las demás funciones del Estado. Los diferentes órganos del Estado tienen funciones </w:t>
      </w:r>
      <w:r w:rsidRPr="00976C8A">
        <w:rPr>
          <w:rFonts w:ascii="Arial" w:eastAsia="Arial" w:hAnsi="Arial" w:cs="Arial"/>
          <w:color w:val="000000"/>
          <w:sz w:val="18"/>
          <w:szCs w:val="18"/>
        </w:rPr>
        <w:t>separadas pero colaboran armónicamente para la realización de sus fines.»</w:t>
      </w:r>
    </w:p>
  </w:footnote>
  <w:footnote w:id="66">
    <w:p w14:paraId="4CE74101"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Registraduría Nacional del Estado Civil, Resolución 2098 del 12 de marzo de 2021, mediante la cual «se fija el calendario electoral del Congreso de la República que se realizarán el 13 de marzo». </w:t>
      </w:r>
    </w:p>
  </w:footnote>
  <w:footnote w:id="67">
    <w:p w14:paraId="5EB5A4B2"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p>
    <w:p w14:paraId="797C18A0"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rFonts w:ascii="Arial" w:eastAsia="Arial" w:hAnsi="Arial" w:cs="Arial"/>
          <w:color w:val="000000"/>
          <w:sz w:val="18"/>
          <w:szCs w:val="18"/>
        </w:rPr>
        <w:t xml:space="preserve"> Registraduría Nacional del Estado Civil, Resolución 4371 del 18 de mayo de 2021, «por la cual se fija el calendario electoral para las elecciones de </w:t>
      </w:r>
      <w:r w:rsidRPr="00976C8A">
        <w:rPr>
          <w:rFonts w:ascii="Arial" w:eastAsia="Arial" w:hAnsi="Arial" w:cs="Arial"/>
          <w:color w:val="000000"/>
          <w:sz w:val="18"/>
          <w:szCs w:val="18"/>
        </w:rPr>
        <w:t>Presidente y Vicepresidente de la República (primera vuelta) para el periodo constitucional 2022-2026.</w:t>
      </w:r>
    </w:p>
  </w:footnote>
  <w:footnote w:id="68">
    <w:p w14:paraId="28C9BBC5" w14:textId="77777777" w:rsidR="009E3AC0" w:rsidRPr="00976C8A" w:rsidRDefault="00622B0F">
      <w:pPr>
        <w:pBdr>
          <w:top w:val="nil"/>
          <w:left w:val="nil"/>
          <w:bottom w:val="nil"/>
          <w:right w:val="nil"/>
          <w:between w:val="nil"/>
        </w:pBdr>
        <w:spacing w:after="0" w:line="240" w:lineRule="auto"/>
        <w:ind w:firstLine="709"/>
        <w:rPr>
          <w:rFonts w:ascii="Arial" w:eastAsia="Arial" w:hAnsi="Arial" w:cs="Arial"/>
          <w:color w:val="000000"/>
          <w:sz w:val="18"/>
          <w:szCs w:val="18"/>
        </w:rPr>
      </w:pPr>
      <w:r w:rsidRPr="00976C8A">
        <w:rPr>
          <w:sz w:val="18"/>
          <w:szCs w:val="18"/>
          <w:vertAlign w:val="superscript"/>
        </w:rPr>
        <w:footnoteRef/>
      </w:r>
      <w:r w:rsidRPr="00976C8A">
        <w:rPr>
          <w:rFonts w:ascii="Arial" w:eastAsia="Arial" w:hAnsi="Arial" w:cs="Arial"/>
          <w:color w:val="000000"/>
          <w:sz w:val="18"/>
          <w:szCs w:val="18"/>
        </w:rPr>
        <w:t xml:space="preserve"> Cuyo texto completo puede ser consultado en el </w:t>
      </w:r>
      <w:r w:rsidRPr="00976C8A">
        <w:rPr>
          <w:rFonts w:ascii="Arial" w:eastAsia="Arial" w:hAnsi="Arial" w:cs="Arial"/>
          <w:color w:val="000000"/>
          <w:sz w:val="18"/>
          <w:szCs w:val="18"/>
        </w:rPr>
        <w:t xml:space="preserve">link https:/Iidm.presidencia.gov.co/Documents/2021-354-Fallo-tutela-primera instancia.pdf </w:t>
      </w:r>
    </w:p>
    <w:p w14:paraId="5E3541F7" w14:textId="77777777" w:rsidR="009E3AC0" w:rsidRPr="00976C8A" w:rsidRDefault="009E3AC0">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69">
    <w:p w14:paraId="3C3092EC" w14:textId="77777777" w:rsidR="009E3AC0" w:rsidRPr="00976C8A" w:rsidRDefault="00622B0F">
      <w:pPr>
        <w:pBdr>
          <w:top w:val="nil"/>
          <w:left w:val="nil"/>
          <w:bottom w:val="nil"/>
          <w:right w:val="nil"/>
          <w:between w:val="nil"/>
        </w:pBdr>
        <w:ind w:firstLine="708"/>
        <w:rPr>
          <w:color w:val="000000"/>
          <w:sz w:val="18"/>
          <w:szCs w:val="18"/>
        </w:rPr>
      </w:pPr>
      <w:r w:rsidRPr="00976C8A">
        <w:rPr>
          <w:sz w:val="18"/>
          <w:szCs w:val="18"/>
          <w:vertAlign w:val="superscript"/>
        </w:rPr>
        <w:footnoteRef/>
      </w:r>
      <w:r w:rsidRPr="00976C8A">
        <w:rPr>
          <w:color w:val="000000"/>
          <w:sz w:val="18"/>
          <w:szCs w:val="18"/>
        </w:rPr>
        <w:t xml:space="preserve"> </w:t>
      </w:r>
      <w:r w:rsidRPr="00976C8A">
        <w:rPr>
          <w:rFonts w:ascii="Arial" w:eastAsia="Arial" w:hAnsi="Arial" w:cs="Arial"/>
          <w:color w:val="000000"/>
          <w:sz w:val="18"/>
          <w:szCs w:val="18"/>
        </w:rPr>
        <w:t>«</w:t>
      </w:r>
      <w:r w:rsidRPr="00976C8A">
        <w:rPr>
          <w:color w:val="000000"/>
          <w:sz w:val="18"/>
          <w:szCs w:val="18"/>
        </w:rPr>
        <w:t>A</w:t>
      </w:r>
      <w:r w:rsidRPr="00976C8A">
        <w:rPr>
          <w:rFonts w:ascii="Arial" w:eastAsia="Arial" w:hAnsi="Arial" w:cs="Arial"/>
          <w:color w:val="000000"/>
          <w:sz w:val="18"/>
          <w:szCs w:val="18"/>
        </w:rPr>
        <w:t>rtículo</w:t>
      </w:r>
      <w:r w:rsidRPr="00976C8A">
        <w:rPr>
          <w:color w:val="000000"/>
          <w:sz w:val="18"/>
          <w:szCs w:val="18"/>
        </w:rPr>
        <w:t xml:space="preserve"> 286. Son entidades territoriales los departamentos, los distritos, los municipios y los territorios indígenas.</w:t>
      </w:r>
    </w:p>
    <w:p w14:paraId="2E813AAE" w14:textId="77777777" w:rsidR="009E3AC0" w:rsidRPr="00976C8A" w:rsidRDefault="00622B0F">
      <w:pPr>
        <w:pBdr>
          <w:top w:val="nil"/>
          <w:left w:val="nil"/>
          <w:bottom w:val="nil"/>
          <w:right w:val="nil"/>
          <w:between w:val="nil"/>
        </w:pBdr>
        <w:rPr>
          <w:color w:val="000000"/>
          <w:sz w:val="18"/>
          <w:szCs w:val="18"/>
        </w:rPr>
      </w:pPr>
      <w:r w:rsidRPr="00976C8A">
        <w:rPr>
          <w:rFonts w:ascii="Arial" w:eastAsia="Arial" w:hAnsi="Arial" w:cs="Arial"/>
          <w:color w:val="000000"/>
          <w:sz w:val="18"/>
          <w:szCs w:val="18"/>
        </w:rPr>
        <w:t>»</w:t>
      </w:r>
      <w:r w:rsidRPr="00976C8A">
        <w:rPr>
          <w:color w:val="000000"/>
          <w:sz w:val="18"/>
          <w:szCs w:val="18"/>
        </w:rPr>
        <w:t>La ley podrá darles el carácter de entidades territoriales a las regiones y provincias que se constituyan en los términos de la Constitución y de la ley</w:t>
      </w:r>
      <w:r w:rsidRPr="00976C8A">
        <w:rPr>
          <w:rFonts w:ascii="Arial" w:eastAsia="Arial" w:hAnsi="Arial" w:cs="Arial"/>
          <w:color w:val="000000"/>
          <w:sz w:val="18"/>
          <w:szCs w:val="18"/>
        </w:rPr>
        <w:t>»</w:t>
      </w:r>
      <w:r w:rsidRPr="00976C8A">
        <w:rPr>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3D7F4" w14:textId="77777777" w:rsidR="009E3AC0" w:rsidRDefault="00622B0F">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7022C5EE" wp14:editId="011038E5">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4D10779E" w14:textId="77777777" w:rsidR="009E3AC0" w:rsidRDefault="009E3AC0">
    <w:pPr>
      <w:pBdr>
        <w:top w:val="nil"/>
        <w:left w:val="nil"/>
        <w:bottom w:val="nil"/>
        <w:right w:val="nil"/>
        <w:between w:val="nil"/>
      </w:pBdr>
      <w:tabs>
        <w:tab w:val="center" w:pos="4252"/>
        <w:tab w:val="right" w:pos="8504"/>
      </w:tabs>
      <w:spacing w:after="0"/>
      <w:rPr>
        <w:color w:val="000000"/>
      </w:rPr>
    </w:pPr>
  </w:p>
  <w:p w14:paraId="0BC9C949" w14:textId="77777777" w:rsidR="009E3AC0" w:rsidRDefault="009E3AC0">
    <w:pPr>
      <w:pBdr>
        <w:top w:val="nil"/>
        <w:left w:val="nil"/>
        <w:bottom w:val="nil"/>
        <w:right w:val="nil"/>
        <w:between w:val="nil"/>
      </w:pBdr>
      <w:tabs>
        <w:tab w:val="center" w:pos="4252"/>
        <w:tab w:val="right" w:pos="8504"/>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AC0"/>
    <w:rsid w:val="002942DE"/>
    <w:rsid w:val="00326177"/>
    <w:rsid w:val="006061D3"/>
    <w:rsid w:val="00622B0F"/>
    <w:rsid w:val="0065593E"/>
    <w:rsid w:val="009571CC"/>
    <w:rsid w:val="00976C8A"/>
    <w:rsid w:val="009E3AC0"/>
    <w:rsid w:val="00A5537E"/>
    <w:rsid w:val="00EB390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A88D0"/>
  <w15:docId w15:val="{E6845EB0-BC12-5C44-B6C7-E6EE3F933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line="240" w:lineRule="auto"/>
      <w:jc w:val="left"/>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spacing w:before="240" w:after="60" w:line="240" w:lineRule="auto"/>
      <w:ind w:left="720"/>
      <w:jc w:val="left"/>
      <w:outlineLvl w:val="1"/>
    </w:pPr>
    <w:rPr>
      <w:rFonts w:ascii="Arial" w:eastAsia="Arial" w:hAnsi="Arial" w:cs="Arial"/>
      <w:b/>
      <w:i/>
      <w:sz w:val="28"/>
      <w:szCs w:val="28"/>
    </w:rPr>
  </w:style>
  <w:style w:type="paragraph" w:styleId="Ttulo3">
    <w:name w:val="heading 3"/>
    <w:basedOn w:val="Normal"/>
    <w:next w:val="Normal"/>
    <w:uiPriority w:val="9"/>
    <w:semiHidden/>
    <w:unhideWhenUsed/>
    <w:qFormat/>
    <w:pPr>
      <w:keepNext/>
      <w:spacing w:before="240" w:after="60" w:line="240" w:lineRule="auto"/>
      <w:ind w:left="1440"/>
      <w:jc w:val="left"/>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line="240" w:lineRule="auto"/>
      <w:ind w:left="2160"/>
      <w:jc w:val="left"/>
      <w:outlineLvl w:val="3"/>
    </w:pPr>
    <w:rPr>
      <w:rFonts w:ascii="Times New Roman" w:eastAsia="Times New Roman" w:hAnsi="Times New Roman" w:cs="Times New Roman"/>
      <w:b/>
      <w:sz w:val="28"/>
      <w:szCs w:val="28"/>
    </w:rPr>
  </w:style>
  <w:style w:type="paragraph" w:styleId="Ttulo5">
    <w:name w:val="heading 5"/>
    <w:basedOn w:val="Normal"/>
    <w:next w:val="Normal"/>
    <w:uiPriority w:val="9"/>
    <w:semiHidden/>
    <w:unhideWhenUsed/>
    <w:qFormat/>
    <w:pPr>
      <w:spacing w:before="240" w:after="60" w:line="240" w:lineRule="auto"/>
      <w:ind w:left="2880"/>
      <w:jc w:val="left"/>
      <w:outlineLvl w:val="4"/>
    </w:pPr>
    <w:rPr>
      <w:rFonts w:ascii="Times New Roman" w:eastAsia="Times New Roman" w:hAnsi="Times New Roman" w:cs="Times New Roman"/>
      <w:b/>
      <w:i/>
      <w:sz w:val="26"/>
      <w:szCs w:val="26"/>
    </w:rPr>
  </w:style>
  <w:style w:type="paragraph" w:styleId="Ttulo6">
    <w:name w:val="heading 6"/>
    <w:basedOn w:val="Normal"/>
    <w:next w:val="Normal"/>
    <w:uiPriority w:val="9"/>
    <w:semiHidden/>
    <w:unhideWhenUsed/>
    <w:qFormat/>
    <w:pPr>
      <w:spacing w:before="240" w:after="60" w:line="240" w:lineRule="auto"/>
      <w:ind w:left="3600"/>
      <w:jc w:val="left"/>
      <w:outlineLvl w:val="5"/>
    </w:pPr>
    <w:rPr>
      <w:rFonts w:ascii="Times New Roman" w:eastAsia="Times New Roman" w:hAnsi="Times New Roman" w:cs="Times New Roman"/>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before="120" w:after="0" w:line="240" w:lineRule="auto"/>
      <w:jc w:val="left"/>
    </w:pPr>
    <w:tblPr>
      <w:tblStyleRowBandSize w:val="1"/>
      <w:tblStyleColBandSize w:val="1"/>
    </w:tblPr>
  </w:style>
  <w:style w:type="table" w:customStyle="1" w:styleId="a0">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251B9A5-408C-4334-80C7-903E5D89372A}">
  <ds:schemaRefs>
    <ds:schemaRef ds:uri="http://schemas.microsoft.com/sharepoint/v3/contenttype/forms"/>
  </ds:schemaRefs>
</ds:datastoreItem>
</file>

<file path=customXml/itemProps2.xml><?xml version="1.0" encoding="utf-8"?>
<ds:datastoreItem xmlns:ds="http://schemas.openxmlformats.org/officeDocument/2006/customXml" ds:itemID="{4C2883CC-6B83-40D9-AAFF-11EA2072B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80CCC0-352E-49C2-8E09-DBA6F7131306}">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15313</Words>
  <Characters>84227</Characters>
  <Application>Microsoft Office Word</Application>
  <DocSecurity>0</DocSecurity>
  <Lines>701</Lines>
  <Paragraphs>198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MORALES</dc:creator>
  <cp:lastModifiedBy>Jorge Eliecer Moran Buitrón</cp:lastModifiedBy>
  <cp:revision>3</cp:revision>
  <dcterms:created xsi:type="dcterms:W3CDTF">2022-02-14T20:52:00Z</dcterms:created>
  <dcterms:modified xsi:type="dcterms:W3CDTF">2022-04-21T15:49:00Z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