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5C993" w14:textId="572DFBCD" w:rsidR="00603FD0" w:rsidRPr="007300CF" w:rsidRDefault="00603FD0" w:rsidP="007300CF">
      <w:pPr>
        <w:spacing w:after="0" w:line="240" w:lineRule="auto"/>
        <w:jc w:val="both"/>
        <w:rPr>
          <w:rFonts w:ascii="Verdana" w:eastAsia="Calibri" w:hAnsi="Verdana" w:cs="Arial"/>
          <w:b/>
          <w:color w:val="000000" w:themeColor="text1"/>
        </w:rPr>
      </w:pPr>
      <w:bookmarkStart w:id="0" w:name="_Hlk143780582"/>
      <w:bookmarkStart w:id="1" w:name="_Hlk202875225"/>
      <w:r w:rsidRPr="007300CF">
        <w:rPr>
          <w:rFonts w:ascii="Verdana" w:eastAsia="Calibri" w:hAnsi="Verdana" w:cs="Arial"/>
          <w:b/>
          <w:color w:val="000000" w:themeColor="text1"/>
        </w:rPr>
        <w:t xml:space="preserve">PLIEGO DE CONDICIONES – </w:t>
      </w:r>
      <w:r w:rsidR="00064651" w:rsidRPr="007300CF">
        <w:rPr>
          <w:rFonts w:ascii="Verdana" w:eastAsia="Calibri" w:hAnsi="Verdana" w:cs="Arial"/>
          <w:b/>
          <w:color w:val="000000" w:themeColor="text1"/>
        </w:rPr>
        <w:t xml:space="preserve">Concepto – PLIEGO DE CONDICIONES - </w:t>
      </w:r>
      <w:r w:rsidRPr="007300CF">
        <w:rPr>
          <w:rFonts w:ascii="Verdana" w:eastAsia="Calibri" w:hAnsi="Verdana" w:cs="Arial"/>
          <w:b/>
          <w:color w:val="000000" w:themeColor="text1"/>
        </w:rPr>
        <w:t xml:space="preserve">Principio de transparencia – PLIEGO DE CONDICIONES - Selección Objetiva – PLIEGO DE CONDICIONES – Contenido del Pliego de Condiciones – Ley 80 de 1993 artículo 24 numeral 5   </w:t>
      </w:r>
    </w:p>
    <w:p w14:paraId="25EC82AB" w14:textId="77777777" w:rsidR="007300CF" w:rsidRPr="007300CF" w:rsidRDefault="007300CF" w:rsidP="007300CF">
      <w:pPr>
        <w:spacing w:after="0" w:line="240" w:lineRule="auto"/>
        <w:jc w:val="both"/>
        <w:rPr>
          <w:rFonts w:ascii="Verdana" w:eastAsia="Calibri" w:hAnsi="Verdana" w:cs="Arial"/>
          <w:bCs/>
          <w:color w:val="000000" w:themeColor="text1"/>
          <w:sz w:val="20"/>
          <w:szCs w:val="20"/>
        </w:rPr>
      </w:pPr>
    </w:p>
    <w:p w14:paraId="3A68A3B1" w14:textId="0E8F2E36" w:rsidR="00603FD0" w:rsidRPr="007300CF" w:rsidRDefault="00603FD0" w:rsidP="007300CF">
      <w:pPr>
        <w:spacing w:after="0" w:line="240" w:lineRule="auto"/>
        <w:jc w:val="both"/>
        <w:rPr>
          <w:rFonts w:ascii="Verdana" w:eastAsia="Calibri" w:hAnsi="Verdana" w:cs="Arial"/>
          <w:sz w:val="20"/>
          <w:szCs w:val="20"/>
        </w:rPr>
      </w:pPr>
      <w:r w:rsidRPr="007300CF">
        <w:rPr>
          <w:rFonts w:ascii="Verdana" w:eastAsia="Calibri" w:hAnsi="Verdana" w:cs="Arial"/>
          <w:bCs/>
          <w:color w:val="000000" w:themeColor="text1"/>
          <w:sz w:val="20"/>
          <w:szCs w:val="20"/>
        </w:rPr>
        <w:t xml:space="preserve">El pliego de condiciones es la hoja de ruta o plan sobre el cual se diseña, estructura y concreta el procedimiento de selección de contratistas. […] De este modo, el pliego de condiciones 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proofErr w:type="spellStart"/>
      <w:r w:rsidRPr="007300CF">
        <w:rPr>
          <w:rFonts w:ascii="Verdana" w:eastAsia="Calibri" w:hAnsi="Verdana" w:cs="Arial"/>
          <w:bCs/>
          <w:i/>
          <w:iCs/>
          <w:color w:val="000000" w:themeColor="text1"/>
          <w:sz w:val="20"/>
          <w:szCs w:val="20"/>
        </w:rPr>
        <w:t>iter</w:t>
      </w:r>
      <w:proofErr w:type="spellEnd"/>
      <w:r w:rsidRPr="007300CF">
        <w:rPr>
          <w:rFonts w:ascii="Verdana" w:eastAsia="Calibri" w:hAnsi="Verdana" w:cs="Arial"/>
          <w:bCs/>
          <w:color w:val="000000" w:themeColor="text1"/>
          <w:sz w:val="20"/>
          <w:szCs w:val="20"/>
        </w:rPr>
        <w:t xml:space="preserve"> contractual. Su contenido está previsto en el numeral 5 del artículo 24 de la Ley 80 de 1993</w:t>
      </w:r>
    </w:p>
    <w:p w14:paraId="3891C5C8" w14:textId="77777777" w:rsidR="007300CF" w:rsidRPr="007300CF" w:rsidRDefault="007300CF" w:rsidP="007300CF">
      <w:pPr>
        <w:spacing w:after="0" w:line="240" w:lineRule="auto"/>
        <w:jc w:val="both"/>
        <w:rPr>
          <w:rFonts w:ascii="Verdana" w:eastAsia="Calibri" w:hAnsi="Verdana" w:cs="Arial"/>
          <w:sz w:val="20"/>
          <w:szCs w:val="20"/>
        </w:rPr>
      </w:pPr>
    </w:p>
    <w:p w14:paraId="5B5C94F7" w14:textId="24B1157B" w:rsidR="00603FD0" w:rsidRPr="007300CF" w:rsidRDefault="00603FD0" w:rsidP="007300CF">
      <w:pPr>
        <w:spacing w:after="0" w:line="240" w:lineRule="auto"/>
        <w:jc w:val="both"/>
        <w:rPr>
          <w:rFonts w:ascii="Verdana" w:eastAsia="Calibri" w:hAnsi="Verdana" w:cs="Arial"/>
          <w:sz w:val="20"/>
          <w:szCs w:val="20"/>
        </w:rPr>
      </w:pPr>
      <w:r w:rsidRPr="007300CF">
        <w:rPr>
          <w:rFonts w:ascii="Verdana" w:eastAsia="Calibri" w:hAnsi="Verdana" w:cs="Arial"/>
          <w:sz w:val="20"/>
          <w:szCs w:val="20"/>
        </w:rPr>
        <w:t xml:space="preserve">De acuerdo con lo anterior, el pliego de condiciones deberá contener aspectos necesarios tendientes a escoger la mejor oferta bajo la aplicación irrestricta del principio de selección objetiva. </w:t>
      </w:r>
    </w:p>
    <w:p w14:paraId="0C83506D" w14:textId="77777777" w:rsidR="007300CF" w:rsidRDefault="007300CF" w:rsidP="007300CF">
      <w:pPr>
        <w:spacing w:after="0" w:line="240" w:lineRule="auto"/>
        <w:jc w:val="both"/>
        <w:rPr>
          <w:rFonts w:ascii="Verdana" w:eastAsia="Calibri" w:hAnsi="Verdana" w:cs="Arial"/>
          <w:b/>
          <w:bCs/>
        </w:rPr>
      </w:pPr>
    </w:p>
    <w:p w14:paraId="782AD959" w14:textId="170920C0" w:rsidR="00064651" w:rsidRPr="007300CF" w:rsidRDefault="00064651" w:rsidP="007300CF">
      <w:pPr>
        <w:spacing w:after="0" w:line="240" w:lineRule="auto"/>
        <w:jc w:val="both"/>
        <w:rPr>
          <w:rFonts w:ascii="Verdana" w:eastAsia="Calibri" w:hAnsi="Verdana" w:cs="Arial"/>
          <w:b/>
          <w:bCs/>
        </w:rPr>
      </w:pPr>
      <w:r w:rsidRPr="007300CF">
        <w:rPr>
          <w:rFonts w:ascii="Verdana" w:eastAsia="Calibri" w:hAnsi="Verdana" w:cs="Arial"/>
          <w:b/>
          <w:bCs/>
        </w:rPr>
        <w:t xml:space="preserve">PRINCIPIO DE SELECCIÓN OBJETIVA – Escogencia del contratista – Evaluación de los requisitos habilitantes y de calificación </w:t>
      </w:r>
    </w:p>
    <w:p w14:paraId="5993873D" w14:textId="77777777" w:rsidR="007300CF" w:rsidRDefault="007300CF" w:rsidP="007300CF">
      <w:pPr>
        <w:spacing w:after="0" w:line="240" w:lineRule="auto"/>
        <w:jc w:val="both"/>
        <w:rPr>
          <w:rFonts w:ascii="Verdana" w:eastAsia="Calibri" w:hAnsi="Verdana" w:cs="Arial"/>
        </w:rPr>
      </w:pPr>
    </w:p>
    <w:p w14:paraId="09CBB581" w14:textId="4B5D690A" w:rsidR="00603FD0" w:rsidRPr="007300CF" w:rsidRDefault="00603FD0" w:rsidP="007300CF">
      <w:pPr>
        <w:spacing w:after="0" w:line="240" w:lineRule="auto"/>
        <w:jc w:val="both"/>
        <w:rPr>
          <w:rFonts w:ascii="Verdana" w:eastAsia="Calibri" w:hAnsi="Verdana" w:cs="Arial"/>
          <w:sz w:val="20"/>
          <w:szCs w:val="20"/>
        </w:rPr>
      </w:pPr>
      <w:r w:rsidRPr="007300CF">
        <w:rPr>
          <w:rFonts w:ascii="Verdana" w:eastAsia="Calibri" w:hAnsi="Verdana" w:cs="Arial"/>
          <w:sz w:val="20"/>
          <w:szCs w:val="20"/>
        </w:rPr>
        <w:t>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2E779416" w14:textId="77777777" w:rsidR="007300CF" w:rsidRDefault="007300CF" w:rsidP="007300CF">
      <w:pPr>
        <w:spacing w:after="0" w:line="240" w:lineRule="auto"/>
        <w:jc w:val="both"/>
        <w:rPr>
          <w:rFonts w:ascii="Verdana" w:eastAsia="Calibri" w:hAnsi="Verdana" w:cs="Arial"/>
          <w:sz w:val="20"/>
          <w:szCs w:val="20"/>
        </w:rPr>
      </w:pPr>
    </w:p>
    <w:p w14:paraId="42E5AC12" w14:textId="0BB80A80" w:rsidR="00064651" w:rsidRPr="007300CF" w:rsidRDefault="00603FD0" w:rsidP="007300CF">
      <w:pPr>
        <w:spacing w:after="0" w:line="240" w:lineRule="auto"/>
        <w:jc w:val="both"/>
        <w:rPr>
          <w:rFonts w:ascii="Verdana" w:eastAsia="Calibri" w:hAnsi="Verdana" w:cs="Arial"/>
          <w:sz w:val="20"/>
          <w:szCs w:val="20"/>
        </w:rPr>
      </w:pPr>
      <w:r w:rsidRPr="007300CF">
        <w:rPr>
          <w:rFonts w:ascii="Verdana" w:eastAsia="Calibri" w:hAnsi="Verdana" w:cs="Arial"/>
          <w:sz w:val="20"/>
          <w:szCs w:val="20"/>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w:t>
      </w:r>
    </w:p>
    <w:p w14:paraId="28498961" w14:textId="77777777" w:rsidR="00064651" w:rsidRPr="007300CF" w:rsidRDefault="00064651" w:rsidP="007300CF">
      <w:pPr>
        <w:spacing w:after="0" w:line="240" w:lineRule="auto"/>
        <w:jc w:val="both"/>
        <w:rPr>
          <w:rFonts w:ascii="Verdana" w:eastAsia="Calibri" w:hAnsi="Verdana" w:cs="Arial"/>
        </w:rPr>
      </w:pPr>
    </w:p>
    <w:p w14:paraId="122F5B53" w14:textId="3CCF4321" w:rsidR="00064651" w:rsidRPr="007300CF" w:rsidRDefault="00064651" w:rsidP="007300CF">
      <w:pPr>
        <w:spacing w:after="0" w:line="240" w:lineRule="auto"/>
        <w:jc w:val="both"/>
        <w:rPr>
          <w:rFonts w:ascii="Verdana" w:eastAsia="Calibri" w:hAnsi="Verdana" w:cs="Arial"/>
          <w:b/>
          <w:bCs/>
        </w:rPr>
      </w:pPr>
      <w:r w:rsidRPr="007300CF">
        <w:rPr>
          <w:rFonts w:ascii="Verdana" w:eastAsia="Calibri" w:hAnsi="Verdana" w:cs="Arial"/>
          <w:b/>
          <w:bCs/>
        </w:rPr>
        <w:t xml:space="preserve">EMPATE – Concepto – Selección objetiva – Ley 2069 de 2020 artículo 35     </w:t>
      </w:r>
    </w:p>
    <w:p w14:paraId="04C3ACA9" w14:textId="77777777" w:rsidR="007300CF" w:rsidRDefault="007300CF" w:rsidP="007300CF">
      <w:pPr>
        <w:spacing w:after="0" w:line="240" w:lineRule="auto"/>
        <w:jc w:val="both"/>
        <w:rPr>
          <w:rFonts w:ascii="Verdana" w:eastAsia="Calibri" w:hAnsi="Verdana" w:cs="Arial"/>
        </w:rPr>
      </w:pPr>
    </w:p>
    <w:p w14:paraId="66FECD4F" w14:textId="01E7DD3E" w:rsidR="00603FD0" w:rsidRPr="007300CF" w:rsidRDefault="00603FD0" w:rsidP="007300CF">
      <w:pPr>
        <w:spacing w:after="0" w:line="240" w:lineRule="auto"/>
        <w:jc w:val="both"/>
        <w:rPr>
          <w:rFonts w:ascii="Verdana" w:eastAsia="Calibri" w:hAnsi="Verdana" w:cs="Arial"/>
          <w:sz w:val="20"/>
          <w:szCs w:val="20"/>
        </w:rPr>
      </w:pPr>
      <w:r w:rsidRPr="007300CF">
        <w:rPr>
          <w:rFonts w:ascii="Verdana" w:eastAsia="Calibri" w:hAnsi="Verdana" w:cs="Arial"/>
          <w:sz w:val="20"/>
          <w:szCs w:val="20"/>
        </w:rPr>
        <w:t xml:space="preserve">Sin embargo, en algunas ocasiones, así se establezcan requisitos habilitantes y factores de calificación óptimos, se presentan circunstancias de empate una vez aplicados los mismos.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w:t>
      </w:r>
      <w:r w:rsidRPr="007300CF">
        <w:rPr>
          <w:rFonts w:ascii="Verdana" w:eastAsia="Calibri" w:hAnsi="Verdana" w:cs="Arial"/>
          <w:sz w:val="20"/>
          <w:szCs w:val="20"/>
        </w:rPr>
        <w:lastRenderedPageBreak/>
        <w:t xml:space="preserve">cual dos o más oferentes alcanzan una puntuación similar, al ponderarse los criterios de calificación que, en principio, aplican al procedimiento contractual. </w:t>
      </w:r>
    </w:p>
    <w:p w14:paraId="23558423" w14:textId="77777777" w:rsidR="007300CF" w:rsidRDefault="007300CF" w:rsidP="007300CF">
      <w:pPr>
        <w:spacing w:after="0" w:line="240" w:lineRule="auto"/>
        <w:jc w:val="both"/>
        <w:rPr>
          <w:rFonts w:ascii="Verdana" w:eastAsia="Calibri" w:hAnsi="Verdana" w:cs="Arial"/>
          <w:sz w:val="20"/>
          <w:szCs w:val="20"/>
        </w:rPr>
      </w:pPr>
    </w:p>
    <w:p w14:paraId="5817396C" w14:textId="61C37B13" w:rsidR="00603FD0" w:rsidRPr="007300CF" w:rsidRDefault="00603FD0" w:rsidP="007300CF">
      <w:pPr>
        <w:spacing w:after="0" w:line="240" w:lineRule="auto"/>
        <w:jc w:val="both"/>
        <w:rPr>
          <w:rFonts w:ascii="Verdana" w:eastAsia="Calibri" w:hAnsi="Verdana" w:cs="Arial"/>
          <w:sz w:val="20"/>
          <w:szCs w:val="20"/>
        </w:rPr>
      </w:pPr>
      <w:r w:rsidRPr="007300CF">
        <w:rPr>
          <w:rFonts w:ascii="Verdana" w:eastAsia="Calibri" w:hAnsi="Verdana" w:cs="Arial"/>
          <w:sz w:val="20"/>
          <w:szCs w:val="20"/>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los que se encuentra el artículo 35 de la Ley 2069 de 2020. </w:t>
      </w:r>
    </w:p>
    <w:p w14:paraId="78096CDD" w14:textId="77777777" w:rsidR="007300CF" w:rsidRDefault="007300CF" w:rsidP="007300CF">
      <w:pPr>
        <w:spacing w:after="0" w:line="240" w:lineRule="auto"/>
        <w:jc w:val="both"/>
        <w:rPr>
          <w:rFonts w:ascii="Verdana" w:eastAsia="Calibri" w:hAnsi="Verdana" w:cs="Arial"/>
          <w:b/>
          <w:lang w:val="es-ES_tradnl" w:eastAsia="es-ES_tradnl"/>
        </w:rPr>
      </w:pPr>
    </w:p>
    <w:p w14:paraId="23AD6D6D" w14:textId="22BAEC56" w:rsidR="00064651" w:rsidRPr="007300CF" w:rsidRDefault="00064651" w:rsidP="007300CF">
      <w:pPr>
        <w:spacing w:after="0" w:line="240" w:lineRule="auto"/>
        <w:jc w:val="both"/>
        <w:rPr>
          <w:rFonts w:ascii="Verdana" w:eastAsia="Calibri" w:hAnsi="Verdana" w:cs="Arial"/>
          <w:b/>
          <w:lang w:val="es-ES_tradnl" w:eastAsia="es-ES_tradnl"/>
        </w:rPr>
      </w:pPr>
      <w:r w:rsidRPr="007300CF">
        <w:rPr>
          <w:rFonts w:ascii="Verdana" w:eastAsia="Calibri" w:hAnsi="Verdana" w:cs="Arial"/>
          <w:b/>
          <w:lang w:val="es-ES_tradnl" w:eastAsia="es-ES_tradnl"/>
        </w:rPr>
        <w:t>FACTORES DE DESEMPATE – Ley 2069 de 2020 – Mujeres cabeza de familia – Mujeres víctimas de violencia intrafamiliar – Participación mayoritaria</w:t>
      </w:r>
    </w:p>
    <w:p w14:paraId="17054649" w14:textId="77777777" w:rsidR="00603FD0" w:rsidRPr="007300CF" w:rsidRDefault="00603FD0" w:rsidP="007300CF">
      <w:pPr>
        <w:spacing w:after="0" w:line="240" w:lineRule="auto"/>
        <w:jc w:val="both"/>
        <w:rPr>
          <w:rFonts w:ascii="Verdana" w:hAnsi="Verdana" w:cs="Arial"/>
          <w:lang w:val="es-ES_tradnl" w:eastAsia="es-CO"/>
        </w:rPr>
      </w:pPr>
    </w:p>
    <w:p w14:paraId="5A11A676" w14:textId="45240AC1" w:rsidR="00603FD0" w:rsidRPr="007300CF" w:rsidRDefault="00603FD0" w:rsidP="007300CF">
      <w:pPr>
        <w:spacing w:after="0" w:line="240" w:lineRule="auto"/>
        <w:jc w:val="both"/>
        <w:rPr>
          <w:rFonts w:ascii="Verdana" w:eastAsia="Calibri" w:hAnsi="Verdana" w:cs="Arial"/>
          <w:sz w:val="20"/>
          <w:szCs w:val="20"/>
        </w:rPr>
      </w:pPr>
      <w:r w:rsidRPr="007300CF">
        <w:rPr>
          <w:rFonts w:ascii="Verdana" w:eastAsia="Calibri" w:hAnsi="Verdana" w:cs="Arial"/>
          <w:sz w:val="20"/>
          <w:szCs w:val="20"/>
        </w:rPr>
        <w:t>El numeral 2 del artículo 35 de la Ley 2069 de 2020 determina un criterio o factor de desempate que beneficia a las mujeres cabeza de familia y/o mujeres víctimas de violencia intrafamiliar</w:t>
      </w:r>
      <w:r w:rsidR="00064651" w:rsidRPr="007300CF">
        <w:rPr>
          <w:rFonts w:ascii="Verdana" w:eastAsia="Calibri" w:hAnsi="Verdana" w:cs="Arial"/>
          <w:sz w:val="20"/>
          <w:szCs w:val="20"/>
        </w:rPr>
        <w:t xml:space="preserve">. </w:t>
      </w:r>
      <w:r w:rsidRPr="007300CF">
        <w:rPr>
          <w:rFonts w:ascii="Verdana" w:eastAsia="Calibri" w:hAnsi="Verdana" w:cs="Arial"/>
          <w:sz w:val="20"/>
          <w:szCs w:val="20"/>
        </w:rPr>
        <w:t xml:space="preserve">Por lo demás, debe destacarse que el Decreto 1860 de 2021 adicionó el artículo </w:t>
      </w:r>
      <w:r w:rsidRPr="007300CF">
        <w:rPr>
          <w:rFonts w:ascii="Verdana" w:hAnsi="Verdana" w:cs="Arial"/>
          <w:sz w:val="20"/>
          <w:szCs w:val="20"/>
          <w:lang w:eastAsia="es-CO"/>
        </w:rPr>
        <w:t xml:space="preserve">2.2.1.2.4.2.17 al Decreto 1082 de 2015, precepto que reglamenta la aplicación del artículo 35 de la Ley 2069 de 2020, estableciendo unos medios de acreditación específicos para cada una de las diferentes circunstancias a las que se refieren los factores de desempate, los cuales deberán aplicarse en los procesos de selección en los que rija el artículo 35 de la Ley de Emprendimiento. </w:t>
      </w:r>
    </w:p>
    <w:p w14:paraId="0566E30B" w14:textId="77777777" w:rsidR="00064651" w:rsidRPr="007300CF" w:rsidRDefault="00064651" w:rsidP="007300CF">
      <w:pPr>
        <w:spacing w:after="0" w:line="240" w:lineRule="auto"/>
        <w:jc w:val="both"/>
        <w:rPr>
          <w:rFonts w:ascii="Verdana" w:eastAsia="Calibri" w:hAnsi="Verdana" w:cs="Arial"/>
        </w:rPr>
      </w:pPr>
    </w:p>
    <w:p w14:paraId="211E414E" w14:textId="7F2E5574" w:rsidR="00064651" w:rsidRPr="007300CF" w:rsidRDefault="00064651" w:rsidP="007300CF">
      <w:pPr>
        <w:spacing w:after="0" w:line="240" w:lineRule="auto"/>
        <w:jc w:val="both"/>
        <w:rPr>
          <w:rFonts w:ascii="Verdana" w:eastAsia="Calibri" w:hAnsi="Verdana" w:cs="Arial"/>
          <w:b/>
          <w:bCs/>
        </w:rPr>
      </w:pPr>
      <w:r w:rsidRPr="007300CF">
        <w:rPr>
          <w:rFonts w:ascii="Verdana" w:eastAsia="Calibri" w:hAnsi="Verdana" w:cs="Arial"/>
          <w:b/>
          <w:bCs/>
        </w:rPr>
        <w:t xml:space="preserve">EMPATE - CONDICIÓN MUJER CABEZA DE FAMILIA </w:t>
      </w:r>
      <w:r w:rsidR="007300CF" w:rsidRPr="007300CF">
        <w:rPr>
          <w:rFonts w:ascii="Verdana" w:eastAsia="Calibri" w:hAnsi="Verdana" w:cs="Arial"/>
          <w:b/>
          <w:bCs/>
        </w:rPr>
        <w:t>–</w:t>
      </w:r>
      <w:r w:rsidRPr="007300CF">
        <w:rPr>
          <w:rFonts w:ascii="Verdana" w:eastAsia="Calibri" w:hAnsi="Verdana" w:cs="Arial"/>
          <w:b/>
          <w:bCs/>
        </w:rPr>
        <w:t xml:space="preserve"> </w:t>
      </w:r>
      <w:r w:rsidR="007300CF" w:rsidRPr="007300CF">
        <w:rPr>
          <w:rFonts w:ascii="Verdana" w:eastAsia="Calibri" w:hAnsi="Verdana" w:cs="Arial"/>
          <w:b/>
          <w:bCs/>
        </w:rPr>
        <w:t xml:space="preserve">Acreditación – Declaración ante notario - Ley 82 de 1993 artículo 2 – Ley 1232 de 2008 artículo 1  </w:t>
      </w:r>
    </w:p>
    <w:p w14:paraId="1C7EB343" w14:textId="77777777" w:rsidR="007300CF" w:rsidRPr="007300CF" w:rsidRDefault="007300CF" w:rsidP="007300CF">
      <w:pPr>
        <w:spacing w:after="0" w:line="240" w:lineRule="auto"/>
        <w:jc w:val="both"/>
        <w:rPr>
          <w:rFonts w:ascii="Verdana" w:eastAsia="Calibri" w:hAnsi="Verdana" w:cs="Arial"/>
          <w:sz w:val="20"/>
          <w:szCs w:val="20"/>
        </w:rPr>
      </w:pPr>
    </w:p>
    <w:p w14:paraId="722BE337" w14:textId="1CA26162" w:rsidR="00603FD0" w:rsidRPr="007300CF" w:rsidRDefault="007300CF" w:rsidP="007300CF">
      <w:pPr>
        <w:spacing w:after="0" w:line="240" w:lineRule="auto"/>
        <w:jc w:val="both"/>
        <w:rPr>
          <w:rFonts w:ascii="Verdana" w:hAnsi="Verdana" w:cs="Arial"/>
          <w:sz w:val="20"/>
          <w:szCs w:val="20"/>
          <w:lang w:eastAsia="es-CO"/>
        </w:rPr>
      </w:pPr>
      <w:r w:rsidRPr="007300CF">
        <w:rPr>
          <w:rFonts w:ascii="Verdana" w:eastAsia="Calibri" w:hAnsi="Verdana" w:cs="Arial"/>
          <w:sz w:val="20"/>
          <w:szCs w:val="20"/>
        </w:rPr>
        <w:t>[…]</w:t>
      </w:r>
      <w:r w:rsidR="00603FD0" w:rsidRPr="007300CF">
        <w:rPr>
          <w:rFonts w:ascii="Verdana" w:eastAsia="Calibri" w:hAnsi="Verdana" w:cs="Arial"/>
          <w:sz w:val="20"/>
          <w:szCs w:val="20"/>
        </w:rPr>
        <w:t xml:space="preserve"> en cuanto a la acreditación de la condición de </w:t>
      </w:r>
      <w:r w:rsidR="00603FD0" w:rsidRPr="007300CF">
        <w:rPr>
          <w:rFonts w:ascii="Verdana" w:hAnsi="Verdana" w:cs="Arial"/>
          <w:sz w:val="20"/>
          <w:szCs w:val="20"/>
          <w:lang w:eastAsia="es-CO"/>
        </w:rPr>
        <w:t>mujer cabeza de familia, el primer inciso del numeral 2, realiza una referencia al artículo </w:t>
      </w:r>
      <w:hyperlink r:id="rId10" w:anchor="2" w:history="1">
        <w:r w:rsidR="00603FD0" w:rsidRPr="007300CF">
          <w:rPr>
            <w:rFonts w:ascii="Verdana" w:hAnsi="Verdana" w:cs="Arial"/>
            <w:sz w:val="20"/>
            <w:szCs w:val="20"/>
            <w:lang w:eastAsia="es-CO"/>
          </w:rPr>
          <w:t>2 </w:t>
        </w:r>
      </w:hyperlink>
      <w:r w:rsidR="00603FD0" w:rsidRPr="007300CF">
        <w:rPr>
          <w:rFonts w:ascii="Verdana" w:hAnsi="Verdana" w:cs="Arial"/>
          <w:sz w:val="20"/>
          <w:szCs w:val="20"/>
          <w:lang w:eastAsia="es-CO"/>
        </w:rPr>
        <w:t>de la Ley 82 de 1993, “</w:t>
      </w:r>
      <w:r w:rsidR="00603FD0" w:rsidRPr="007300CF">
        <w:rPr>
          <w:rFonts w:ascii="Verdana" w:hAnsi="Verdana" w:cs="Arial"/>
          <w:sz w:val="20"/>
          <w:szCs w:val="20"/>
        </w:rPr>
        <w:t>Por la cual se expiden normas para apoyar de manera especial a la mujer cabeza de familia”</w:t>
      </w:r>
      <w:r w:rsidR="00603FD0" w:rsidRPr="007300CF">
        <w:rPr>
          <w:rFonts w:ascii="Verdana" w:hAnsi="Verdana" w:cs="Arial"/>
          <w:sz w:val="20"/>
          <w:szCs w:val="20"/>
          <w:lang w:eastAsia="es-CO"/>
        </w:rPr>
        <w:t>, modificado por el artículo </w:t>
      </w:r>
      <w:hyperlink r:id="rId11" w:anchor="1" w:history="1">
        <w:r w:rsidR="00603FD0" w:rsidRPr="007300CF">
          <w:rPr>
            <w:rFonts w:ascii="Verdana" w:hAnsi="Verdana" w:cs="Arial"/>
            <w:sz w:val="20"/>
            <w:szCs w:val="20"/>
            <w:lang w:eastAsia="es-CO"/>
          </w:rPr>
          <w:t>1 </w:t>
        </w:r>
      </w:hyperlink>
      <w:r w:rsidR="00603FD0" w:rsidRPr="007300CF">
        <w:rPr>
          <w:rFonts w:ascii="Verdana" w:hAnsi="Verdana" w:cs="Arial"/>
          <w:sz w:val="20"/>
          <w:szCs w:val="20"/>
          <w:lang w:eastAsia="es-CO"/>
        </w:rPr>
        <w:t xml:space="preserve">de la Ley 1232 de 2008, disposición que establece la declaración ante notario como mecanismo para demostrar la calidad de mujer cabeza de familia. </w:t>
      </w:r>
    </w:p>
    <w:p w14:paraId="4AC4E496" w14:textId="77777777" w:rsidR="007300CF" w:rsidRDefault="007300CF" w:rsidP="007300CF">
      <w:pPr>
        <w:spacing w:after="0" w:line="240" w:lineRule="auto"/>
        <w:jc w:val="both"/>
        <w:rPr>
          <w:rFonts w:ascii="Verdana" w:hAnsi="Verdana" w:cs="Arial"/>
          <w:b/>
          <w:bCs/>
        </w:rPr>
      </w:pPr>
    </w:p>
    <w:p w14:paraId="48961FA2" w14:textId="21719565" w:rsidR="007300CF" w:rsidRPr="007300CF" w:rsidRDefault="007300CF" w:rsidP="007300CF">
      <w:pPr>
        <w:spacing w:after="0" w:line="240" w:lineRule="auto"/>
        <w:jc w:val="both"/>
        <w:rPr>
          <w:rFonts w:ascii="Verdana" w:hAnsi="Verdana" w:cs="Arial"/>
          <w:b/>
          <w:bCs/>
        </w:rPr>
      </w:pPr>
      <w:r w:rsidRPr="007300CF">
        <w:rPr>
          <w:rFonts w:ascii="Verdana" w:hAnsi="Verdana" w:cs="Arial"/>
          <w:b/>
          <w:bCs/>
        </w:rPr>
        <w:t>EMPATE – CONDICIÓN MU</w:t>
      </w:r>
      <w:r w:rsidR="00E5709B">
        <w:rPr>
          <w:rFonts w:ascii="Verdana" w:hAnsi="Verdana" w:cs="Arial"/>
          <w:b/>
          <w:bCs/>
        </w:rPr>
        <w:t>J</w:t>
      </w:r>
      <w:r w:rsidRPr="007300CF">
        <w:rPr>
          <w:rFonts w:ascii="Verdana" w:hAnsi="Verdana" w:cs="Arial"/>
          <w:b/>
          <w:bCs/>
        </w:rPr>
        <w:t xml:space="preserve">ER CABEZA DE FAMILIA – Acreditación – Personas jurídicas – Proponente plural </w:t>
      </w:r>
    </w:p>
    <w:p w14:paraId="6374697D" w14:textId="77777777" w:rsidR="007300CF" w:rsidRDefault="007300CF" w:rsidP="007300CF">
      <w:pPr>
        <w:spacing w:after="0" w:line="240" w:lineRule="auto"/>
        <w:jc w:val="both"/>
        <w:rPr>
          <w:rFonts w:ascii="Verdana" w:hAnsi="Verdana" w:cs="Arial"/>
        </w:rPr>
      </w:pPr>
    </w:p>
    <w:p w14:paraId="01BDD5CF" w14:textId="7E822FE5" w:rsidR="00603FD0" w:rsidRPr="007300CF" w:rsidRDefault="00603FD0" w:rsidP="007300CF">
      <w:pPr>
        <w:spacing w:after="0" w:line="240" w:lineRule="auto"/>
        <w:jc w:val="both"/>
        <w:rPr>
          <w:rFonts w:ascii="Verdana" w:hAnsi="Verdana" w:cs="Arial"/>
          <w:sz w:val="20"/>
          <w:szCs w:val="20"/>
        </w:rPr>
      </w:pPr>
      <w:r w:rsidRPr="007300CF">
        <w:rPr>
          <w:rFonts w:ascii="Verdana" w:hAnsi="Verdana" w:cs="Arial"/>
          <w:sz w:val="20"/>
          <w:szCs w:val="20"/>
        </w:rPr>
        <w:t xml:space="preserve">Como se desprende del texto del numeral 2 del artículo 35 de la Ley 2069 de 2020, este factor de desempate no aplica únicamente en favor de las personas naturales que acrediten las referidas condiciones, sino también a las personas jurídicas en las que “participen mayoritariamente”. Adicionalmente, dentro del ámbito de aplicación de este factor de desempate también entran los proponentes plurales conformados exclusivamente por personas naturales y/o jurídicas que reúnan alguna de las otras condiciones que aplican a los proponentes singulares. De tal manera que, para poderse beneficiar del factor de desempate, el proponente plural debe estar constituido por: i) </w:t>
      </w:r>
      <w:r w:rsidRPr="007300CF">
        <w:rPr>
          <w:rFonts w:ascii="Verdana" w:hAnsi="Verdana" w:cs="Arial"/>
          <w:sz w:val="20"/>
          <w:szCs w:val="20"/>
        </w:rPr>
        <w:lastRenderedPageBreak/>
        <w:t xml:space="preserve">por mujeres cabeza de familia o mujeres víctimas de violencia intrafamiliar y/o </w:t>
      </w:r>
      <w:proofErr w:type="spellStart"/>
      <w:r w:rsidRPr="007300CF">
        <w:rPr>
          <w:rFonts w:ascii="Verdana" w:hAnsi="Verdana" w:cs="Arial"/>
          <w:sz w:val="20"/>
          <w:szCs w:val="20"/>
        </w:rPr>
        <w:t>ii</w:t>
      </w:r>
      <w:proofErr w:type="spellEnd"/>
      <w:r w:rsidRPr="007300CF">
        <w:rPr>
          <w:rFonts w:ascii="Verdana" w:hAnsi="Verdana" w:cs="Arial"/>
          <w:sz w:val="20"/>
          <w:szCs w:val="20"/>
        </w:rPr>
        <w:t>) por personas jurídicas en las cuales tales mujeres participen mayoritariamente. Como la norma exige que la participación mayoritaria sea en la “persona jurídica”, en caso de existir varias personas jurídicas integrando el proponente plural, cada una de ellas debe acreditar la participación mayoritaria de mujeres cabeza de familia o mujeres víctimas de violencia intrafamiliar.</w:t>
      </w:r>
    </w:p>
    <w:p w14:paraId="00C29184" w14:textId="77777777" w:rsidR="00C07BA9" w:rsidRDefault="00C07BA9" w:rsidP="007300CF">
      <w:pPr>
        <w:spacing w:after="0" w:line="240" w:lineRule="auto"/>
        <w:jc w:val="both"/>
        <w:rPr>
          <w:rFonts w:ascii="Verdana" w:hAnsi="Verdana" w:cs="Arial"/>
          <w:sz w:val="20"/>
          <w:szCs w:val="20"/>
        </w:rPr>
      </w:pPr>
    </w:p>
    <w:p w14:paraId="0D33B963" w14:textId="534E5FEB" w:rsidR="00603FD0" w:rsidRPr="007300CF" w:rsidRDefault="007300CF" w:rsidP="007300CF">
      <w:pPr>
        <w:spacing w:after="0" w:line="240" w:lineRule="auto"/>
        <w:jc w:val="both"/>
        <w:rPr>
          <w:rFonts w:ascii="Verdana" w:hAnsi="Verdana" w:cs="Arial"/>
          <w:sz w:val="20"/>
          <w:szCs w:val="20"/>
        </w:rPr>
      </w:pPr>
      <w:r w:rsidRPr="007300CF">
        <w:rPr>
          <w:rFonts w:ascii="Verdana" w:hAnsi="Verdana" w:cs="Arial"/>
          <w:sz w:val="20"/>
          <w:szCs w:val="20"/>
        </w:rPr>
        <w:t xml:space="preserve">[…] </w:t>
      </w:r>
      <w:r w:rsidR="00603FD0" w:rsidRPr="007300CF">
        <w:rPr>
          <w:rFonts w:ascii="Verdana" w:hAnsi="Verdana" w:cs="Arial"/>
          <w:sz w:val="20"/>
          <w:szCs w:val="20"/>
        </w:rPr>
        <w:t xml:space="preserve">el medio de acreditación de este factor de desempate para las personas jurídicas, indica que el respectivo representante legal o revisor fiscal, deberá presentar </w:t>
      </w:r>
      <w:r w:rsidRPr="007300CF">
        <w:rPr>
          <w:rFonts w:ascii="Verdana" w:hAnsi="Verdana" w:cs="Arial"/>
          <w:sz w:val="20"/>
          <w:szCs w:val="20"/>
        </w:rPr>
        <w:t>“</w:t>
      </w:r>
      <w:r w:rsidR="00603FD0" w:rsidRPr="007300CF">
        <w:rPr>
          <w:rFonts w:ascii="Verdana" w:hAnsi="Verdana" w:cs="Arial"/>
          <w:sz w:val="20"/>
          <w:szCs w:val="20"/>
        </w:rPr>
        <w:t>un certificado, mediante el cual acredita, bajo la gravedad de juramento, que más del cincuenta por ciento (50 %) de la composición accionaria o cuota parte de la persona jurídica está constituida por mujeres cabeza de familia y/o mujeres víctimas de violencia intrafamiliar</w:t>
      </w:r>
      <w:r w:rsidRPr="007300CF">
        <w:rPr>
          <w:rFonts w:ascii="Verdana" w:hAnsi="Verdana" w:cs="Arial"/>
          <w:sz w:val="20"/>
          <w:szCs w:val="20"/>
        </w:rPr>
        <w:t>”</w:t>
      </w:r>
      <w:r w:rsidR="00603FD0" w:rsidRPr="007300CF">
        <w:rPr>
          <w:rFonts w:ascii="Verdana" w:hAnsi="Verdana" w:cs="Arial"/>
          <w:sz w:val="20"/>
          <w:szCs w:val="20"/>
        </w:rPr>
        <w:t xml:space="preserve"> […]</w:t>
      </w:r>
      <w:r w:rsidRPr="007300CF">
        <w:rPr>
          <w:rFonts w:ascii="Verdana" w:hAnsi="Verdana" w:cs="Arial"/>
          <w:sz w:val="20"/>
          <w:szCs w:val="20"/>
        </w:rPr>
        <w:t xml:space="preserve"> </w:t>
      </w:r>
      <w:r w:rsidR="00603FD0" w:rsidRPr="007300CF">
        <w:rPr>
          <w:rFonts w:ascii="Verdana" w:hAnsi="Verdana" w:cs="Arial"/>
          <w:sz w:val="20"/>
          <w:szCs w:val="20"/>
        </w:rPr>
        <w:t>además deberán acreditarse documentos mediante los que se demuestren las condiciones de jefatura de familia o víctima de violencia intrafamiliar, respecto de las  mujeres titulares de la participación de la sociedad, de acuerdo con los incisos primero y segundo del numeral 2 del artículo 2.2.1.2.4.2.17 del Decreto 1082 de 2015, adicionado por el Decreto 1860 de 2021.</w:t>
      </w:r>
    </w:p>
    <w:p w14:paraId="25DCF9A8" w14:textId="77777777" w:rsidR="00603FD0" w:rsidRPr="008E4F36" w:rsidRDefault="00603FD0" w:rsidP="00603FD0">
      <w:pPr>
        <w:spacing w:after="0" w:line="240" w:lineRule="auto"/>
        <w:ind w:firstLine="709"/>
        <w:jc w:val="both"/>
        <w:rPr>
          <w:rFonts w:ascii="Verdana" w:hAnsi="Verdana" w:cs="Arial"/>
        </w:rPr>
      </w:pPr>
    </w:p>
    <w:p w14:paraId="5C68F22C" w14:textId="59D3A94E" w:rsidR="00C07BA9" w:rsidRPr="00C07BA9" w:rsidRDefault="00C07BA9" w:rsidP="00CF1CF1">
      <w:pPr>
        <w:pBdr>
          <w:top w:val="nil"/>
          <w:left w:val="nil"/>
          <w:bottom w:val="nil"/>
          <w:right w:val="nil"/>
          <w:between w:val="nil"/>
        </w:pBdr>
        <w:spacing w:after="0" w:line="240" w:lineRule="auto"/>
        <w:jc w:val="both"/>
        <w:rPr>
          <w:rFonts w:ascii="Verdana" w:hAnsi="Verdana" w:cs="Arial"/>
          <w:b/>
          <w:bCs/>
        </w:rPr>
      </w:pPr>
      <w:r w:rsidRPr="00C07BA9">
        <w:rPr>
          <w:rFonts w:ascii="Verdana" w:hAnsi="Verdana" w:cs="Arial"/>
          <w:b/>
          <w:bCs/>
        </w:rPr>
        <w:t xml:space="preserve">SUBSANABILIDAD </w:t>
      </w:r>
      <w:r w:rsidR="00CF1CF1">
        <w:rPr>
          <w:rFonts w:ascii="Verdana" w:hAnsi="Verdana" w:cs="Arial"/>
          <w:b/>
          <w:bCs/>
        </w:rPr>
        <w:t xml:space="preserve">DE CRITERIOS DE DESEMPATE – Imposibilidad de </w:t>
      </w:r>
      <w:proofErr w:type="spellStart"/>
      <w:r w:rsidR="00CF1CF1">
        <w:rPr>
          <w:rFonts w:ascii="Verdana" w:hAnsi="Verdana" w:cs="Arial"/>
          <w:b/>
          <w:bCs/>
        </w:rPr>
        <w:t>subsanabilidad</w:t>
      </w:r>
      <w:proofErr w:type="spellEnd"/>
      <w:r w:rsidR="00CF1CF1">
        <w:rPr>
          <w:rFonts w:ascii="Verdana" w:hAnsi="Verdana" w:cs="Arial"/>
          <w:b/>
          <w:bCs/>
        </w:rPr>
        <w:t xml:space="preserve"> </w:t>
      </w:r>
    </w:p>
    <w:p w14:paraId="6F0371EE" w14:textId="77777777" w:rsidR="00C07BA9" w:rsidRDefault="00C07BA9" w:rsidP="00CF1CF1">
      <w:pPr>
        <w:pBdr>
          <w:top w:val="nil"/>
          <w:left w:val="nil"/>
          <w:bottom w:val="nil"/>
          <w:right w:val="nil"/>
          <w:between w:val="nil"/>
        </w:pBdr>
        <w:spacing w:after="0" w:line="240" w:lineRule="auto"/>
        <w:jc w:val="both"/>
        <w:rPr>
          <w:rFonts w:ascii="Verdana" w:hAnsi="Verdana" w:cs="Arial"/>
        </w:rPr>
      </w:pPr>
    </w:p>
    <w:p w14:paraId="29625C2D" w14:textId="31A1183C" w:rsidR="00603FD0" w:rsidRPr="00CF1CF1" w:rsidRDefault="00C07BA9" w:rsidP="00CF1CF1">
      <w:pPr>
        <w:pBdr>
          <w:top w:val="nil"/>
          <w:left w:val="nil"/>
          <w:bottom w:val="nil"/>
          <w:right w:val="nil"/>
          <w:between w:val="nil"/>
        </w:pBdr>
        <w:spacing w:after="0" w:line="240" w:lineRule="auto"/>
        <w:jc w:val="both"/>
        <w:rPr>
          <w:rFonts w:ascii="Verdana" w:eastAsia="Arial" w:hAnsi="Verdana" w:cs="Arial"/>
          <w:color w:val="000000"/>
          <w:sz w:val="20"/>
          <w:szCs w:val="20"/>
        </w:rPr>
      </w:pPr>
      <w:r w:rsidRPr="00CF1CF1">
        <w:rPr>
          <w:rFonts w:ascii="Verdana" w:hAnsi="Verdana" w:cs="Arial"/>
          <w:sz w:val="20"/>
          <w:szCs w:val="20"/>
        </w:rPr>
        <w:t xml:space="preserve">[…] </w:t>
      </w:r>
      <w:r w:rsidR="00603FD0" w:rsidRPr="00CF1CF1">
        <w:rPr>
          <w:rFonts w:ascii="Verdana" w:eastAsia="Arial" w:hAnsi="Verdana" w:cs="Arial"/>
          <w:color w:val="000000"/>
          <w:sz w:val="20"/>
          <w:szCs w:val="20"/>
        </w:rPr>
        <w:t xml:space="preserve">por regla general, son subsanables i) la falta de entrega o </w:t>
      </w:r>
      <w:proofErr w:type="spellStart"/>
      <w:r w:rsidR="00603FD0" w:rsidRPr="00CF1CF1">
        <w:rPr>
          <w:rFonts w:ascii="Verdana" w:eastAsia="Arial" w:hAnsi="Verdana" w:cs="Arial"/>
          <w:color w:val="000000"/>
          <w:sz w:val="20"/>
          <w:szCs w:val="20"/>
        </w:rPr>
        <w:t>ii</w:t>
      </w:r>
      <w:proofErr w:type="spellEnd"/>
      <w:r w:rsidR="00603FD0" w:rsidRPr="00CF1CF1">
        <w:rPr>
          <w:rFonts w:ascii="Verdana" w:eastAsia="Arial" w:hAnsi="Verdana" w:cs="Arial"/>
          <w:color w:val="000000"/>
          <w:sz w:val="20"/>
          <w:szCs w:val="20"/>
        </w:rPr>
        <w:t xml:space="preserve">) los defectos de los requisitos habilitantes. La excepción se encuentra en los casos, previstos en la ley, que limitan la </w:t>
      </w:r>
      <w:proofErr w:type="spellStart"/>
      <w:r w:rsidR="00603FD0" w:rsidRPr="00CF1CF1">
        <w:rPr>
          <w:rFonts w:ascii="Verdana" w:eastAsia="Arial" w:hAnsi="Verdana" w:cs="Arial"/>
          <w:color w:val="000000"/>
          <w:sz w:val="20"/>
          <w:szCs w:val="20"/>
        </w:rPr>
        <w:t>subsanabilidad</w:t>
      </w:r>
      <w:proofErr w:type="spellEnd"/>
      <w:r w:rsidR="00603FD0" w:rsidRPr="00CF1CF1">
        <w:rPr>
          <w:rFonts w:ascii="Verdana" w:eastAsia="Arial" w:hAnsi="Verdana" w:cs="Arial"/>
          <w:color w:val="000000"/>
          <w:sz w:val="20"/>
          <w:szCs w:val="20"/>
        </w:rPr>
        <w:t>, es decir, en la prohibición de permitir la entrega de la garantía de seriedad de la oferta que no fue aportada con la propuesta y de valer la acreditación de circunstancias ocurridas con posterioridad al cierre del proceso.  </w:t>
      </w:r>
    </w:p>
    <w:p w14:paraId="4DAA8BB6" w14:textId="77777777" w:rsidR="00C07BA9" w:rsidRPr="00CF1CF1" w:rsidRDefault="00C07BA9" w:rsidP="00CF1CF1">
      <w:pPr>
        <w:spacing w:after="0" w:line="240" w:lineRule="auto"/>
        <w:jc w:val="both"/>
        <w:rPr>
          <w:rFonts w:ascii="Verdana" w:eastAsia="Quattrocento Sans" w:hAnsi="Verdana" w:cs="Quattrocento Sans"/>
          <w:color w:val="000000"/>
          <w:sz w:val="20"/>
          <w:szCs w:val="20"/>
        </w:rPr>
      </w:pPr>
    </w:p>
    <w:p w14:paraId="7AB02681" w14:textId="2C918BE7" w:rsidR="00603FD0" w:rsidRDefault="00CF1CF1" w:rsidP="00CF1CF1">
      <w:pPr>
        <w:spacing w:after="0" w:line="240" w:lineRule="auto"/>
        <w:jc w:val="both"/>
        <w:rPr>
          <w:rFonts w:ascii="Verdana" w:hAnsi="Verdana" w:cs="Arial"/>
          <w:color w:val="000000" w:themeColor="text1"/>
          <w:sz w:val="20"/>
          <w:szCs w:val="20"/>
        </w:rPr>
      </w:pPr>
      <w:r w:rsidRPr="00CF1CF1">
        <w:rPr>
          <w:rFonts w:ascii="Verdana" w:hAnsi="Verdana" w:cs="Arial"/>
          <w:color w:val="000000" w:themeColor="text1"/>
          <w:sz w:val="20"/>
          <w:szCs w:val="20"/>
        </w:rPr>
        <w:t xml:space="preserve">[…] </w:t>
      </w:r>
      <w:r w:rsidR="00603FD0" w:rsidRPr="00CF1CF1">
        <w:rPr>
          <w:rFonts w:ascii="Verdana" w:hAnsi="Verdana" w:cs="Arial"/>
          <w:color w:val="000000" w:themeColor="text1"/>
          <w:sz w:val="20"/>
          <w:szCs w:val="20"/>
        </w:rPr>
        <w:t xml:space="preserve">los criterios de desempate afectan la asignación de puntaje, por lo que los documentos que los acreditan son insubsanables. Estos factores definen la adjudicación del contrato cuando, después de aplicar los criterios de evaluación del pliego de condiciones, dos o más proponentes obtienen resultados similares. De hecho, el primer inciso del artículo 35 de la Ley 2069 de 2020 dispone que los factores de desempate aplican cuando el puntaje total de dos o más ofertas es el mismo. Por tanto, el oferente que resulta adjudicatario es aquel que acredita alguno de esos criterios de desempate, por lo que afectan la asignación de puntaje y deciden el resultado del proceso de selección.  </w:t>
      </w:r>
    </w:p>
    <w:p w14:paraId="6011B97E" w14:textId="77777777" w:rsidR="000D7133" w:rsidRPr="00CF1CF1" w:rsidRDefault="000D7133" w:rsidP="00CF1CF1">
      <w:pPr>
        <w:spacing w:after="0" w:line="240" w:lineRule="auto"/>
        <w:jc w:val="both"/>
        <w:rPr>
          <w:rFonts w:ascii="Verdana" w:hAnsi="Verdana" w:cs="Arial"/>
          <w:color w:val="000000" w:themeColor="text1"/>
          <w:sz w:val="20"/>
          <w:szCs w:val="20"/>
        </w:rPr>
      </w:pPr>
    </w:p>
    <w:p w14:paraId="52C22443" w14:textId="77777777" w:rsidR="00603FD0" w:rsidRPr="00CF1CF1" w:rsidRDefault="00603FD0" w:rsidP="00CF1CF1">
      <w:pPr>
        <w:spacing w:after="0" w:line="240" w:lineRule="auto"/>
        <w:jc w:val="both"/>
        <w:rPr>
          <w:rFonts w:ascii="Verdana" w:hAnsi="Verdana" w:cs="Arial"/>
          <w:color w:val="000000" w:themeColor="text1"/>
          <w:sz w:val="20"/>
          <w:szCs w:val="20"/>
        </w:rPr>
      </w:pPr>
      <w:r w:rsidRPr="00CF1CF1">
        <w:rPr>
          <w:rFonts w:ascii="Verdana" w:hAnsi="Verdana" w:cs="Arial"/>
          <w:color w:val="000000" w:themeColor="text1"/>
          <w:sz w:val="20"/>
          <w:szCs w:val="20"/>
        </w:rPr>
        <w:t xml:space="preserve">Es necesario tener en cuenta que los factores desempate complementan los criterios de evaluación, es decir, si después de aplicar estos últimos, varias propuestas terminan empatadas, aplica el artículo 35 de la Ley de Emprendimiento. En esta medida, los documentos que acreditan cada causal no podrían definirse como “condiciones habilitantes”, ya que –en los términos del artículo 5.1 de la Ley 1150 de 2007– ninguno de ellos está relacionado con la prueba de la capacidad jurídica o la certificación de las condiciones de experiencia, capacidad financiera y de organización de los proponentes. </w:t>
      </w:r>
    </w:p>
    <w:p w14:paraId="1873D4C7" w14:textId="77777777" w:rsidR="000D7133" w:rsidRDefault="000D7133" w:rsidP="00CF1CF1">
      <w:pPr>
        <w:spacing w:after="120" w:line="276" w:lineRule="auto"/>
        <w:jc w:val="both"/>
        <w:rPr>
          <w:rFonts w:ascii="Verdana" w:hAnsi="Verdana" w:cs="Arial"/>
          <w:color w:val="000000" w:themeColor="text1"/>
        </w:rPr>
      </w:pPr>
    </w:p>
    <w:p w14:paraId="62DA47F9" w14:textId="77777777" w:rsidR="00E5709B" w:rsidRDefault="00E5709B" w:rsidP="00CF1CF1">
      <w:pPr>
        <w:spacing w:after="120" w:line="276" w:lineRule="auto"/>
        <w:jc w:val="both"/>
        <w:rPr>
          <w:rFonts w:ascii="Verdana" w:hAnsi="Verdana" w:cs="Arial"/>
          <w:color w:val="000000" w:themeColor="text1"/>
        </w:rPr>
      </w:pPr>
    </w:p>
    <w:p w14:paraId="505D9D1C" w14:textId="1BDCEE7E" w:rsidR="000D7133" w:rsidRDefault="000D7133" w:rsidP="00603FD0">
      <w:pPr>
        <w:spacing w:after="120" w:line="276" w:lineRule="auto"/>
        <w:jc w:val="both"/>
        <w:rPr>
          <w:rFonts w:ascii="Verdana" w:hAnsi="Verdana" w:cs="Arial"/>
          <w:color w:val="000000" w:themeColor="text1"/>
        </w:rPr>
      </w:pPr>
      <w:r w:rsidRPr="000D7133">
        <w:rPr>
          <w:rFonts w:ascii="Verdana" w:hAnsi="Verdana" w:cs="Arial"/>
          <w:b/>
          <w:bCs/>
          <w:color w:val="000000" w:themeColor="text1"/>
        </w:rPr>
        <w:lastRenderedPageBreak/>
        <w:t>MÍNIMA CUANTÍA</w:t>
      </w:r>
      <w:r>
        <w:rPr>
          <w:rFonts w:ascii="Verdana" w:hAnsi="Verdana" w:cs="Arial"/>
          <w:color w:val="000000" w:themeColor="text1"/>
        </w:rPr>
        <w:t xml:space="preserve"> </w:t>
      </w:r>
      <w:r w:rsidRPr="000D7133">
        <w:rPr>
          <w:rFonts w:ascii="Verdana" w:hAnsi="Verdana" w:cs="Arial"/>
          <w:b/>
          <w:bCs/>
          <w:color w:val="000000" w:themeColor="text1"/>
        </w:rPr>
        <w:t xml:space="preserve">– </w:t>
      </w:r>
      <w:r w:rsidR="00CF240C">
        <w:rPr>
          <w:rFonts w:ascii="Verdana" w:hAnsi="Verdana" w:cs="Arial"/>
          <w:b/>
          <w:bCs/>
          <w:color w:val="000000" w:themeColor="text1"/>
        </w:rPr>
        <w:t xml:space="preserve">Modalidad de selección </w:t>
      </w:r>
    </w:p>
    <w:p w14:paraId="4CBB686D" w14:textId="540C7C2A" w:rsidR="00603FD0" w:rsidRPr="000D7133" w:rsidRDefault="000D7133" w:rsidP="000D7133">
      <w:pPr>
        <w:spacing w:after="0" w:line="240" w:lineRule="auto"/>
        <w:jc w:val="both"/>
        <w:rPr>
          <w:rFonts w:ascii="Verdana" w:hAnsi="Verdana" w:cs="Arial"/>
          <w:color w:val="000000" w:themeColor="text1"/>
          <w:sz w:val="20"/>
          <w:szCs w:val="20"/>
        </w:rPr>
      </w:pPr>
      <w:r w:rsidRPr="000D7133">
        <w:rPr>
          <w:rFonts w:ascii="Verdana" w:eastAsia="Calibri" w:hAnsi="Verdana" w:cs="Arial"/>
          <w:sz w:val="20"/>
          <w:szCs w:val="20"/>
          <w:lang w:val="es-ES_tradnl" w:eastAsia="es-MX"/>
        </w:rPr>
        <w:t>L</w:t>
      </w:r>
      <w:r w:rsidR="00603FD0" w:rsidRPr="000D7133">
        <w:rPr>
          <w:rFonts w:ascii="Verdana" w:eastAsia="Calibri" w:hAnsi="Verdana" w:cs="Arial"/>
          <w:sz w:val="20"/>
          <w:szCs w:val="20"/>
          <w:lang w:val="es-ES_tradnl" w:eastAsia="es-MX"/>
        </w:rPr>
        <w:t>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 –que adicionó el 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w:t>
      </w:r>
    </w:p>
    <w:p w14:paraId="4DCD0621" w14:textId="77777777" w:rsidR="000D7133" w:rsidRDefault="000D7133" w:rsidP="000D7133">
      <w:pPr>
        <w:tabs>
          <w:tab w:val="left" w:pos="709"/>
        </w:tabs>
        <w:spacing w:after="0" w:line="240" w:lineRule="auto"/>
        <w:jc w:val="both"/>
        <w:rPr>
          <w:rFonts w:ascii="Verdana" w:eastAsia="Calibri" w:hAnsi="Verdana" w:cs="Arial"/>
          <w:sz w:val="20"/>
          <w:szCs w:val="20"/>
          <w:lang w:val="es-ES_tradnl" w:eastAsia="es-MX"/>
        </w:rPr>
      </w:pPr>
    </w:p>
    <w:p w14:paraId="4CA20C1E" w14:textId="42B76A66" w:rsidR="00603FD0" w:rsidRDefault="00603FD0" w:rsidP="000D7133">
      <w:pPr>
        <w:tabs>
          <w:tab w:val="left" w:pos="709"/>
        </w:tabs>
        <w:spacing w:after="0" w:line="240" w:lineRule="auto"/>
        <w:jc w:val="both"/>
        <w:rPr>
          <w:rFonts w:ascii="Verdana" w:eastAsia="Calibri" w:hAnsi="Verdana" w:cs="Arial"/>
          <w:sz w:val="20"/>
          <w:szCs w:val="20"/>
          <w:lang w:val="es-ES_tradnl" w:eastAsia="es-MX"/>
        </w:rPr>
      </w:pPr>
      <w:r w:rsidRPr="000D7133">
        <w:rPr>
          <w:rFonts w:ascii="Verdana" w:eastAsia="Calibri" w:hAnsi="Verdana" w:cs="Arial"/>
          <w:sz w:val="20"/>
          <w:szCs w:val="20"/>
          <w:lang w:val="es-ES_tradnl" w:eastAsia="es-MX"/>
        </w:rPr>
        <w:t>Dicho de otro modo, la mínima cuantía es un procedimiento de selección “especial”, porque es una excepción a la regla general constituida por la licitación pública. Aunque ambas modalidades implican un llamado general a presentar ofertas, efectuado por la entidad estatal interesada en contratar, la mínima cuantía es distinta de la licitación en otros aspectos, como su conducencia y su procedimiento: lo primero, porque solo procede por razón de una cuantía específica, y lo segundo, porque sus requisitos, etapas y términos son especiales.</w:t>
      </w:r>
    </w:p>
    <w:p w14:paraId="00867EB4" w14:textId="77777777" w:rsidR="000D7133" w:rsidRDefault="000D7133" w:rsidP="000D7133">
      <w:pPr>
        <w:tabs>
          <w:tab w:val="left" w:pos="709"/>
        </w:tabs>
        <w:spacing w:after="0" w:line="240" w:lineRule="auto"/>
        <w:jc w:val="both"/>
        <w:rPr>
          <w:rFonts w:ascii="Verdana" w:eastAsia="Calibri" w:hAnsi="Verdana" w:cs="Arial"/>
          <w:sz w:val="20"/>
          <w:szCs w:val="20"/>
          <w:lang w:val="es-ES_tradnl" w:eastAsia="es-MX"/>
        </w:rPr>
      </w:pPr>
    </w:p>
    <w:p w14:paraId="0EF8D311" w14:textId="77777777" w:rsidR="000D7133" w:rsidRPr="00C926B5" w:rsidRDefault="000D7133" w:rsidP="000D7133">
      <w:pPr>
        <w:spacing w:after="0" w:line="240" w:lineRule="auto"/>
        <w:rPr>
          <w:rFonts w:ascii="Verdana" w:eastAsia="Aptos" w:hAnsi="Verdana" w:cs="Times New Roman"/>
          <w:b/>
          <w:sz w:val="20"/>
          <w:szCs w:val="20"/>
        </w:rPr>
      </w:pPr>
      <w:r w:rsidRPr="00C926B5">
        <w:rPr>
          <w:rFonts w:ascii="Verdana" w:hAnsi="Verdana" w:cs="Arial"/>
          <w:b/>
        </w:rPr>
        <w:t>MÍNIMA CUANTÍA – Factor de selección – Menor precio – Metodología</w:t>
      </w:r>
    </w:p>
    <w:p w14:paraId="14C2C47E" w14:textId="77777777" w:rsidR="000D7133" w:rsidRPr="000D7133" w:rsidRDefault="000D7133" w:rsidP="000D7133">
      <w:pPr>
        <w:tabs>
          <w:tab w:val="left" w:pos="709"/>
        </w:tabs>
        <w:spacing w:after="0" w:line="240" w:lineRule="auto"/>
        <w:jc w:val="both"/>
        <w:rPr>
          <w:rFonts w:ascii="Verdana" w:eastAsia="Calibri" w:hAnsi="Verdana" w:cs="Arial"/>
          <w:sz w:val="20"/>
          <w:szCs w:val="20"/>
          <w:lang w:eastAsia="es-MX"/>
        </w:rPr>
      </w:pPr>
    </w:p>
    <w:p w14:paraId="1E609534" w14:textId="77777777" w:rsidR="00603FD0" w:rsidRPr="000D7133" w:rsidRDefault="00603FD0" w:rsidP="000D7133">
      <w:pPr>
        <w:spacing w:after="0" w:line="240" w:lineRule="auto"/>
        <w:jc w:val="both"/>
        <w:rPr>
          <w:rFonts w:ascii="Verdana" w:eastAsia="Calibri" w:hAnsi="Verdana" w:cs="Arial"/>
          <w:bCs/>
          <w:color w:val="000000"/>
          <w:sz w:val="20"/>
          <w:szCs w:val="20"/>
        </w:rPr>
      </w:pPr>
      <w:r w:rsidRPr="000D7133">
        <w:rPr>
          <w:rFonts w:ascii="Verdana" w:eastAsia="Calibri" w:hAnsi="Verdana" w:cs="Arial"/>
          <w:bCs/>
          <w:color w:val="000000"/>
          <w:sz w:val="20"/>
          <w:szCs w:val="20"/>
        </w:rPr>
        <w:t>En atención a lo señalado, y con base en lo dispuesto en el literal c) del numeral 5 del artículo 2 de la Ley 1150 de 2011, así como en el numeral 5 del artículo 2.2.1.2.1.5.2 del Decreto 1082 de 2015, la selección del contratista en el procedimiento de mínima cuantía deberá recaer en la oferta que presente el menor precio y que cumpla con las condiciones establecidas en la invitación, siendo este –el menor precio– el único factor de escogencia permitido en este tipo de contratación.</w:t>
      </w:r>
    </w:p>
    <w:p w14:paraId="305C3C9A" w14:textId="77777777" w:rsidR="00E5709B" w:rsidRDefault="00E5709B" w:rsidP="00E5709B">
      <w:pPr>
        <w:spacing w:after="0" w:line="240" w:lineRule="auto"/>
        <w:jc w:val="both"/>
        <w:rPr>
          <w:rFonts w:ascii="Verdana" w:hAnsi="Verdana" w:cs="Arial"/>
          <w:b/>
          <w:bCs/>
          <w:lang w:val="es-ES" w:eastAsia="es-ES"/>
        </w:rPr>
      </w:pPr>
    </w:p>
    <w:p w14:paraId="3B16038F" w14:textId="6B0816B6" w:rsidR="000D7133" w:rsidRPr="000D7133" w:rsidRDefault="000D7133" w:rsidP="000D7133">
      <w:pPr>
        <w:spacing w:after="120" w:line="276" w:lineRule="auto"/>
        <w:jc w:val="both"/>
        <w:rPr>
          <w:rFonts w:ascii="Verdana" w:hAnsi="Verdana" w:cs="Arial"/>
          <w:b/>
          <w:bCs/>
          <w:lang w:val="es-ES" w:eastAsia="es-ES"/>
        </w:rPr>
      </w:pPr>
      <w:r w:rsidRPr="000D7133">
        <w:rPr>
          <w:rFonts w:ascii="Verdana" w:hAnsi="Verdana" w:cs="Arial"/>
          <w:b/>
          <w:bCs/>
          <w:lang w:val="es-ES" w:eastAsia="es-ES"/>
        </w:rPr>
        <w:t xml:space="preserve">MÍNIMA CUANTÍA – Factor valor del contrato – Metodología </w:t>
      </w:r>
    </w:p>
    <w:p w14:paraId="4E7B71CE" w14:textId="44E8AC77" w:rsidR="00603FD0" w:rsidRDefault="00603FD0" w:rsidP="00E5709B">
      <w:pPr>
        <w:spacing w:after="0" w:line="240" w:lineRule="auto"/>
        <w:jc w:val="both"/>
        <w:rPr>
          <w:rFonts w:ascii="Verdana" w:hAnsi="Verdana" w:cs="Arial"/>
          <w:sz w:val="20"/>
          <w:szCs w:val="20"/>
          <w:lang w:val="es-ES" w:eastAsia="es-ES"/>
        </w:rPr>
      </w:pPr>
      <w:r w:rsidRPr="00E5709B">
        <w:rPr>
          <w:rFonts w:ascii="Verdana" w:hAnsi="Verdana" w:cs="Arial"/>
          <w:sz w:val="20"/>
          <w:szCs w:val="20"/>
          <w:lang w:val="es-ES" w:eastAsia="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w:t>
      </w:r>
      <w:r w:rsidR="000D7133" w:rsidRPr="00E5709B">
        <w:rPr>
          <w:rFonts w:ascii="Verdana" w:hAnsi="Verdana" w:cs="Arial"/>
          <w:sz w:val="20"/>
          <w:szCs w:val="20"/>
          <w:lang w:val="es-ES" w:eastAsia="es-ES"/>
        </w:rPr>
        <w:t xml:space="preserve"> […]</w:t>
      </w:r>
      <w:r w:rsidRPr="00E5709B">
        <w:rPr>
          <w:rFonts w:ascii="Verdana" w:hAnsi="Verdana" w:cs="Arial"/>
          <w:sz w:val="20"/>
          <w:szCs w:val="20"/>
          <w:lang w:val="es-ES" w:eastAsia="es-ES"/>
        </w:rPr>
        <w:t xml:space="preserve"> Tal metodología generalmente depende del tipo de contrato, pues hay algunas modalidades más comunes en los de obra pública; otras más utilizadas en los de prestación de servicios y otras más indicadas 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w:t>
      </w:r>
    </w:p>
    <w:p w14:paraId="5765D1BD" w14:textId="77777777" w:rsidR="00E5709B" w:rsidRPr="00E5709B" w:rsidRDefault="00E5709B" w:rsidP="00E5709B">
      <w:pPr>
        <w:spacing w:after="0" w:line="240" w:lineRule="auto"/>
        <w:jc w:val="both"/>
        <w:rPr>
          <w:rFonts w:ascii="Verdana" w:hAnsi="Verdana" w:cs="Arial"/>
          <w:sz w:val="20"/>
          <w:szCs w:val="20"/>
          <w:lang w:val="es-ES" w:eastAsia="es-ES"/>
        </w:rPr>
      </w:pPr>
    </w:p>
    <w:p w14:paraId="386943DE" w14:textId="51BD53ED" w:rsidR="00603FD0" w:rsidRDefault="00E5709B" w:rsidP="00E5709B">
      <w:pPr>
        <w:spacing w:after="0" w:line="240" w:lineRule="auto"/>
        <w:jc w:val="both"/>
        <w:rPr>
          <w:rFonts w:ascii="Verdana" w:hAnsi="Verdana" w:cs="Arial"/>
          <w:sz w:val="20"/>
          <w:szCs w:val="20"/>
          <w:lang w:eastAsia="es-ES"/>
        </w:rPr>
      </w:pPr>
      <w:r w:rsidRPr="00E5709B">
        <w:rPr>
          <w:rFonts w:ascii="Verdana" w:hAnsi="Verdana" w:cs="Arial"/>
          <w:sz w:val="20"/>
          <w:szCs w:val="20"/>
          <w:lang w:eastAsia="es-ES"/>
        </w:rPr>
        <w:t xml:space="preserve">[…] </w:t>
      </w:r>
      <w:r w:rsidR="00603FD0" w:rsidRPr="00E5709B">
        <w:rPr>
          <w:rFonts w:ascii="Verdana" w:hAnsi="Verdana" w:cs="Arial"/>
          <w:sz w:val="20"/>
          <w:szCs w:val="20"/>
          <w:lang w:eastAsia="es-ES"/>
        </w:rPr>
        <w:t xml:space="preserve">en el marco de los procesos de contratación por mínima cuantía, las entidades gozan de autonomía para establecer la metodología que consideren más adecuada para determinar el precio o valor del contrato, siempre que esta se sustente en los estudios previos y en el análisis del sector, atendiendo a las particularidades del objeto a contratar, su naturaleza, las obligaciones y los demás aspectos de la contratación. Debido que en la mínima cuantía el único factor de escogencia es el menor precio, la </w:t>
      </w:r>
      <w:r w:rsidR="00603FD0" w:rsidRPr="00E5709B">
        <w:rPr>
          <w:rFonts w:ascii="Verdana" w:hAnsi="Verdana" w:cs="Arial"/>
          <w:sz w:val="20"/>
          <w:szCs w:val="20"/>
          <w:lang w:eastAsia="es-ES"/>
        </w:rPr>
        <w:lastRenderedPageBreak/>
        <w:t xml:space="preserve">metodología escogida por la entidad para definir el precio tiene una incidencia directa en la selección del contratista. </w:t>
      </w:r>
    </w:p>
    <w:p w14:paraId="5145195E" w14:textId="77777777" w:rsidR="00E5709B" w:rsidRPr="00E5709B" w:rsidRDefault="00E5709B" w:rsidP="00E5709B">
      <w:pPr>
        <w:spacing w:after="0" w:line="240" w:lineRule="auto"/>
        <w:jc w:val="both"/>
        <w:rPr>
          <w:rFonts w:ascii="Verdana" w:hAnsi="Verdana" w:cs="Arial"/>
          <w:sz w:val="20"/>
          <w:szCs w:val="20"/>
          <w:lang w:eastAsia="es-ES"/>
        </w:rPr>
      </w:pPr>
    </w:p>
    <w:p w14:paraId="395D68AD" w14:textId="77777777" w:rsidR="00603FD0" w:rsidRPr="00E5709B" w:rsidRDefault="00603FD0" w:rsidP="00E5709B">
      <w:pPr>
        <w:spacing w:after="0" w:line="240" w:lineRule="auto"/>
        <w:jc w:val="both"/>
        <w:rPr>
          <w:rFonts w:ascii="Verdana" w:hAnsi="Verdana" w:cs="Arial"/>
          <w:sz w:val="20"/>
          <w:szCs w:val="20"/>
          <w:lang w:eastAsia="es-ES"/>
        </w:rPr>
      </w:pPr>
      <w:r w:rsidRPr="00E5709B">
        <w:rPr>
          <w:rFonts w:ascii="Verdana" w:hAnsi="Verdana" w:cs="Arial"/>
          <w:sz w:val="20"/>
          <w:szCs w:val="20"/>
          <w:lang w:eastAsia="es-ES"/>
        </w:rPr>
        <w:t xml:space="preserve">En consecuencia, la forma en que se estructure el valor del contrato determina directamente la manera en que serán evaluadas las ofertas económicas, lo que implica que no existe una única metodología para dicha evaluación. Si bien el menor precio es el único factor de selección permitido en la mínima cuantía, la manera en que este se analiza puede variar según el esquema adoptado por la entidad. Por ejemplo, si se opta por un precio global para el bien, obra o servicio a contratar, la evaluación se realizará en relación con el menor valor global ofertado. En cambio, si se establecen precios unitarios como base para determinar el valor del contrato, la entidad podrá definir que la selección se realice con base en la sumatoria total de dichos precios unitarios ofrecidos, lo que impone una revisión de cada precio unitario para determinar la oferta de menor valor. Alternativamente, la entidad podría adoptar un mecanismo basado en un porcentaje de descuento aplicado sobre precios unitarios previamente definidos, siempre que esta metodología conduzca a la selección de la propuesta de menor valor y que el mayor porcentaje de descuento refleje un menor precio final. </w:t>
      </w:r>
    </w:p>
    <w:p w14:paraId="6C8FF690" w14:textId="77777777" w:rsidR="00E5709B" w:rsidRDefault="00E5709B" w:rsidP="00E5709B">
      <w:pPr>
        <w:spacing w:after="120" w:line="276" w:lineRule="auto"/>
        <w:jc w:val="both"/>
        <w:rPr>
          <w:rFonts w:ascii="Verdana" w:hAnsi="Verdana" w:cs="Arial"/>
          <w:lang w:eastAsia="es-ES"/>
        </w:rPr>
      </w:pPr>
    </w:p>
    <w:p w14:paraId="0C11C3AC" w14:textId="77777777" w:rsidR="00603FD0" w:rsidRDefault="00603FD0" w:rsidP="0076150C">
      <w:pPr>
        <w:spacing w:after="0"/>
        <w:rPr>
          <w:rFonts w:ascii="Verdana" w:hAnsi="Verdana" w:cs="Arial"/>
          <w:lang w:eastAsia="es-ES"/>
        </w:rPr>
      </w:pPr>
    </w:p>
    <w:p w14:paraId="271811AB" w14:textId="77777777" w:rsidR="00E5709B" w:rsidRDefault="00E5709B" w:rsidP="0076150C">
      <w:pPr>
        <w:spacing w:after="0"/>
        <w:rPr>
          <w:rFonts w:ascii="Verdana" w:hAnsi="Verdana" w:cs="Arial"/>
          <w:lang w:eastAsia="es-ES"/>
        </w:rPr>
      </w:pPr>
    </w:p>
    <w:p w14:paraId="5243AC2B" w14:textId="77777777" w:rsidR="00E5709B" w:rsidRDefault="00E5709B" w:rsidP="0076150C">
      <w:pPr>
        <w:spacing w:after="0"/>
        <w:rPr>
          <w:rFonts w:ascii="Verdana" w:hAnsi="Verdana" w:cs="Arial"/>
          <w:lang w:eastAsia="es-ES"/>
        </w:rPr>
      </w:pPr>
    </w:p>
    <w:p w14:paraId="329406AF" w14:textId="77777777" w:rsidR="00E5709B" w:rsidRDefault="00E5709B" w:rsidP="0076150C">
      <w:pPr>
        <w:spacing w:after="0"/>
        <w:rPr>
          <w:rFonts w:ascii="Verdana" w:hAnsi="Verdana" w:cs="Arial"/>
          <w:lang w:eastAsia="es-ES"/>
        </w:rPr>
      </w:pPr>
    </w:p>
    <w:p w14:paraId="3A2C9AB2" w14:textId="77777777" w:rsidR="00E5709B" w:rsidRDefault="00E5709B" w:rsidP="0076150C">
      <w:pPr>
        <w:spacing w:after="0"/>
        <w:rPr>
          <w:rFonts w:ascii="Verdana" w:hAnsi="Verdana" w:cs="Arial"/>
          <w:lang w:eastAsia="es-ES"/>
        </w:rPr>
      </w:pPr>
    </w:p>
    <w:p w14:paraId="540EA174" w14:textId="77777777" w:rsidR="00E5709B" w:rsidRDefault="00E5709B" w:rsidP="0076150C">
      <w:pPr>
        <w:spacing w:after="0"/>
        <w:rPr>
          <w:rFonts w:ascii="Verdana" w:hAnsi="Verdana" w:cs="Arial"/>
          <w:lang w:eastAsia="es-ES"/>
        </w:rPr>
      </w:pPr>
    </w:p>
    <w:p w14:paraId="5D3DC75F" w14:textId="77777777" w:rsidR="00E5709B" w:rsidRDefault="00E5709B" w:rsidP="0076150C">
      <w:pPr>
        <w:spacing w:after="0"/>
        <w:rPr>
          <w:rFonts w:ascii="Verdana" w:hAnsi="Verdana" w:cs="Arial"/>
          <w:lang w:eastAsia="es-ES"/>
        </w:rPr>
      </w:pPr>
    </w:p>
    <w:p w14:paraId="4608AFB1" w14:textId="77777777" w:rsidR="00E5709B" w:rsidRDefault="00E5709B" w:rsidP="0076150C">
      <w:pPr>
        <w:spacing w:after="0"/>
        <w:rPr>
          <w:rFonts w:ascii="Verdana" w:hAnsi="Verdana" w:cs="Arial"/>
          <w:lang w:eastAsia="es-ES"/>
        </w:rPr>
      </w:pPr>
    </w:p>
    <w:p w14:paraId="47A47DC0" w14:textId="77777777" w:rsidR="00E5709B" w:rsidRDefault="00E5709B" w:rsidP="0076150C">
      <w:pPr>
        <w:spacing w:after="0"/>
        <w:rPr>
          <w:rFonts w:ascii="Verdana" w:hAnsi="Verdana" w:cs="Arial"/>
          <w:lang w:eastAsia="es-ES"/>
        </w:rPr>
      </w:pPr>
    </w:p>
    <w:p w14:paraId="1A3A1B4E" w14:textId="77777777" w:rsidR="00E5709B" w:rsidRDefault="00E5709B" w:rsidP="0076150C">
      <w:pPr>
        <w:spacing w:after="0"/>
        <w:rPr>
          <w:rFonts w:ascii="Verdana" w:hAnsi="Verdana" w:cs="Arial"/>
          <w:lang w:eastAsia="es-ES"/>
        </w:rPr>
      </w:pPr>
    </w:p>
    <w:p w14:paraId="37EB7D55" w14:textId="77777777" w:rsidR="00E5709B" w:rsidRDefault="00E5709B" w:rsidP="0076150C">
      <w:pPr>
        <w:spacing w:after="0"/>
        <w:rPr>
          <w:rFonts w:ascii="Verdana" w:hAnsi="Verdana" w:cs="Arial"/>
          <w:lang w:eastAsia="es-ES"/>
        </w:rPr>
      </w:pPr>
    </w:p>
    <w:p w14:paraId="46F43B5C" w14:textId="77777777" w:rsidR="00E5709B" w:rsidRDefault="00E5709B" w:rsidP="0076150C">
      <w:pPr>
        <w:spacing w:after="0"/>
        <w:rPr>
          <w:rFonts w:ascii="Verdana" w:hAnsi="Verdana" w:cs="Arial"/>
          <w:lang w:eastAsia="es-ES"/>
        </w:rPr>
      </w:pPr>
    </w:p>
    <w:p w14:paraId="71A66D40" w14:textId="77777777" w:rsidR="00E5709B" w:rsidRDefault="00E5709B" w:rsidP="0076150C">
      <w:pPr>
        <w:spacing w:after="0"/>
        <w:rPr>
          <w:rFonts w:ascii="Verdana" w:hAnsi="Verdana" w:cs="Arial"/>
          <w:lang w:eastAsia="es-ES"/>
        </w:rPr>
      </w:pPr>
    </w:p>
    <w:p w14:paraId="39E763A1" w14:textId="77777777" w:rsidR="00E5709B" w:rsidRDefault="00E5709B" w:rsidP="0076150C">
      <w:pPr>
        <w:spacing w:after="0"/>
        <w:rPr>
          <w:rFonts w:ascii="Verdana" w:hAnsi="Verdana" w:cs="Arial"/>
          <w:lang w:eastAsia="es-ES"/>
        </w:rPr>
      </w:pPr>
    </w:p>
    <w:p w14:paraId="1C25D82A" w14:textId="77777777" w:rsidR="00E5709B" w:rsidRDefault="00E5709B" w:rsidP="0076150C">
      <w:pPr>
        <w:spacing w:after="0"/>
        <w:rPr>
          <w:rFonts w:ascii="Verdana" w:hAnsi="Verdana" w:cs="Arial"/>
          <w:lang w:eastAsia="es-ES"/>
        </w:rPr>
      </w:pPr>
    </w:p>
    <w:p w14:paraId="77983D72" w14:textId="77777777" w:rsidR="00E5709B" w:rsidRDefault="00E5709B" w:rsidP="0076150C">
      <w:pPr>
        <w:spacing w:after="0"/>
        <w:rPr>
          <w:rFonts w:ascii="Verdana" w:hAnsi="Verdana" w:cs="Arial"/>
          <w:lang w:eastAsia="es-ES"/>
        </w:rPr>
      </w:pPr>
    </w:p>
    <w:p w14:paraId="38B01CF1" w14:textId="77777777" w:rsidR="00E5709B" w:rsidRDefault="00E5709B" w:rsidP="0076150C">
      <w:pPr>
        <w:spacing w:after="0"/>
        <w:rPr>
          <w:rFonts w:ascii="Verdana" w:hAnsi="Verdana" w:cs="Arial"/>
          <w:lang w:eastAsia="es-ES"/>
        </w:rPr>
      </w:pPr>
    </w:p>
    <w:p w14:paraId="2B22A945" w14:textId="77777777" w:rsidR="00E5709B" w:rsidRDefault="00E5709B" w:rsidP="0076150C">
      <w:pPr>
        <w:spacing w:after="0"/>
        <w:rPr>
          <w:rFonts w:ascii="Verdana" w:hAnsi="Verdana" w:cs="Arial"/>
          <w:lang w:eastAsia="es-ES"/>
        </w:rPr>
      </w:pPr>
    </w:p>
    <w:p w14:paraId="6D08B5DC" w14:textId="77777777" w:rsidR="00E5709B" w:rsidRDefault="00E5709B" w:rsidP="0076150C">
      <w:pPr>
        <w:spacing w:after="0"/>
        <w:rPr>
          <w:rFonts w:ascii="Verdana" w:hAnsi="Verdana" w:cs="Arial"/>
          <w:lang w:eastAsia="es-ES"/>
        </w:rPr>
      </w:pPr>
    </w:p>
    <w:p w14:paraId="601D689D" w14:textId="77777777" w:rsidR="00E5709B" w:rsidRDefault="00E5709B" w:rsidP="0076150C">
      <w:pPr>
        <w:spacing w:after="0"/>
        <w:rPr>
          <w:rFonts w:ascii="Verdana" w:hAnsi="Verdana" w:cs="Arial"/>
          <w:lang w:eastAsia="es-ES"/>
        </w:rPr>
      </w:pPr>
    </w:p>
    <w:p w14:paraId="263B773F" w14:textId="77777777" w:rsidR="00E5709B" w:rsidRDefault="00E5709B" w:rsidP="0076150C">
      <w:pPr>
        <w:spacing w:after="0"/>
        <w:rPr>
          <w:rFonts w:ascii="Verdana" w:hAnsi="Verdana" w:cs="Arial"/>
          <w:lang w:eastAsia="es-ES"/>
        </w:rPr>
      </w:pPr>
    </w:p>
    <w:p w14:paraId="7128B786" w14:textId="77777777" w:rsidR="00E5709B" w:rsidRDefault="00E5709B" w:rsidP="0076150C">
      <w:pPr>
        <w:spacing w:after="0"/>
        <w:rPr>
          <w:rFonts w:ascii="Verdana" w:hAnsi="Verdana" w:cs="Arial"/>
          <w:lang w:eastAsia="es-ES"/>
        </w:rPr>
      </w:pPr>
    </w:p>
    <w:p w14:paraId="4BE814C5" w14:textId="77777777" w:rsidR="00E5709B" w:rsidRDefault="00E5709B" w:rsidP="0076150C">
      <w:pPr>
        <w:spacing w:after="0"/>
        <w:rPr>
          <w:rFonts w:ascii="Verdana" w:hAnsi="Verdana"/>
        </w:rPr>
      </w:pPr>
    </w:p>
    <w:p w14:paraId="42249DE0" w14:textId="77777777" w:rsidR="00603FD0" w:rsidRDefault="00603FD0" w:rsidP="0076150C">
      <w:pPr>
        <w:spacing w:after="0"/>
        <w:rPr>
          <w:rFonts w:ascii="Verdana" w:hAnsi="Verdana"/>
        </w:rPr>
      </w:pPr>
    </w:p>
    <w:p w14:paraId="3DFEF336" w14:textId="208C51A3" w:rsidR="0076150C" w:rsidRDefault="0076150C" w:rsidP="0076150C">
      <w:pPr>
        <w:spacing w:after="0"/>
        <w:rPr>
          <w:rFonts w:ascii="Verdana" w:hAnsi="Verdana"/>
        </w:rPr>
      </w:pPr>
      <w:r w:rsidRPr="008E4F36">
        <w:rPr>
          <w:rFonts w:ascii="Verdana" w:hAnsi="Verdana"/>
        </w:rPr>
        <w:lastRenderedPageBreak/>
        <w:t xml:space="preserve">Bogotá D.C., </w:t>
      </w:r>
      <w:r w:rsidR="00B83B61">
        <w:rPr>
          <w:rFonts w:ascii="Verdana" w:hAnsi="Verdana"/>
        </w:rPr>
        <w:t xml:space="preserve">18 de julio de 2025 </w:t>
      </w:r>
    </w:p>
    <w:p w14:paraId="5A5B9595" w14:textId="70CADF3C" w:rsidR="00B83B61" w:rsidRPr="008E4F36" w:rsidRDefault="00B83B61" w:rsidP="00B83B61">
      <w:pPr>
        <w:spacing w:after="0"/>
        <w:jc w:val="right"/>
        <w:rPr>
          <w:rFonts w:ascii="Verdana" w:hAnsi="Verdana"/>
        </w:rPr>
      </w:pPr>
      <w:r w:rsidRPr="00B83B61">
        <w:rPr>
          <w:rFonts w:ascii="Verdana" w:hAnsi="Verdana"/>
          <w:noProof/>
        </w:rPr>
        <w:drawing>
          <wp:inline distT="0" distB="0" distL="0" distR="0" wp14:anchorId="31E306EB" wp14:editId="38B6F1FD">
            <wp:extent cx="2997200" cy="952599"/>
            <wp:effectExtent l="0" t="0" r="0" b="0"/>
            <wp:docPr id="3381470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147016" name=""/>
                    <pic:cNvPicPr/>
                  </pic:nvPicPr>
                  <pic:blipFill>
                    <a:blip r:embed="rId12"/>
                    <a:stretch>
                      <a:fillRect/>
                    </a:stretch>
                  </pic:blipFill>
                  <pic:spPr>
                    <a:xfrm>
                      <a:off x="0" y="0"/>
                      <a:ext cx="3016763" cy="958817"/>
                    </a:xfrm>
                    <a:prstGeom prst="rect">
                      <a:avLst/>
                    </a:prstGeom>
                  </pic:spPr>
                </pic:pic>
              </a:graphicData>
            </a:graphic>
          </wp:inline>
        </w:drawing>
      </w:r>
    </w:p>
    <w:p w14:paraId="78C53F32" w14:textId="77777777" w:rsidR="0076150C" w:rsidRPr="008E4F36" w:rsidRDefault="0076150C" w:rsidP="0076150C">
      <w:pPr>
        <w:spacing w:after="0" w:line="240" w:lineRule="auto"/>
        <w:rPr>
          <w:rFonts w:ascii="Verdana" w:eastAsia="Calibri" w:hAnsi="Verdana" w:cs="Arial"/>
          <w:lang w:eastAsia="es-ES"/>
        </w:rPr>
      </w:pPr>
      <w:bookmarkStart w:id="2" w:name="_Hlk197462763"/>
      <w:bookmarkStart w:id="3" w:name="_Hlk197529996"/>
    </w:p>
    <w:p w14:paraId="42166689" w14:textId="77777777" w:rsidR="0076150C" w:rsidRPr="008E4F36" w:rsidRDefault="0076150C" w:rsidP="0076150C">
      <w:pPr>
        <w:spacing w:after="0" w:line="240" w:lineRule="auto"/>
        <w:jc w:val="both"/>
        <w:rPr>
          <w:rFonts w:ascii="Verdana" w:eastAsia="Calibri" w:hAnsi="Verdana" w:cs="Arial"/>
          <w:lang w:eastAsia="es-ES"/>
        </w:rPr>
      </w:pPr>
      <w:r w:rsidRPr="008E4F36">
        <w:rPr>
          <w:rFonts w:ascii="Verdana" w:eastAsia="Calibri" w:hAnsi="Verdana" w:cs="Arial"/>
          <w:lang w:eastAsia="es-ES"/>
        </w:rPr>
        <w:t>Señora</w:t>
      </w:r>
    </w:p>
    <w:p w14:paraId="70687BE5" w14:textId="77777777" w:rsidR="0076150C" w:rsidRPr="008E4F36" w:rsidRDefault="0076150C" w:rsidP="0076150C">
      <w:pPr>
        <w:spacing w:after="0" w:line="240" w:lineRule="auto"/>
        <w:rPr>
          <w:rFonts w:ascii="Verdana" w:eastAsia="Calibri" w:hAnsi="Verdana" w:cs="Arial"/>
          <w:b/>
          <w:lang w:eastAsia="es-ES_tradnl"/>
        </w:rPr>
      </w:pPr>
      <w:r w:rsidRPr="008E4F36">
        <w:rPr>
          <w:rFonts w:ascii="Verdana" w:eastAsia="Calibri" w:hAnsi="Verdana" w:cs="Arial"/>
          <w:b/>
          <w:lang w:eastAsia="es-ES_tradnl"/>
        </w:rPr>
        <w:t>Ana Zulay González Bohórquez</w:t>
      </w:r>
    </w:p>
    <w:p w14:paraId="7365F022" w14:textId="77777777" w:rsidR="0076150C" w:rsidRPr="008E4F36" w:rsidRDefault="0076150C" w:rsidP="0076150C">
      <w:pPr>
        <w:spacing w:after="0" w:line="240" w:lineRule="auto"/>
        <w:rPr>
          <w:rFonts w:ascii="Verdana" w:eastAsia="Calibri" w:hAnsi="Verdana" w:cs="Arial"/>
          <w:bCs/>
          <w:lang w:eastAsia="es-ES_tradnl"/>
        </w:rPr>
      </w:pPr>
      <w:r w:rsidRPr="008E4F36">
        <w:rPr>
          <w:rFonts w:ascii="Verdana" w:eastAsia="Calibri" w:hAnsi="Verdana" w:cs="Arial"/>
          <w:bCs/>
          <w:lang w:eastAsia="es-ES_tradnl"/>
        </w:rPr>
        <w:t>Gerente</w:t>
      </w:r>
    </w:p>
    <w:p w14:paraId="28BA3094" w14:textId="04199044" w:rsidR="0076150C" w:rsidRPr="008E4F36" w:rsidRDefault="00044CB7" w:rsidP="0076150C">
      <w:pPr>
        <w:spacing w:after="0" w:line="240" w:lineRule="auto"/>
        <w:rPr>
          <w:rFonts w:ascii="Verdana" w:eastAsia="Calibri" w:hAnsi="Verdana" w:cs="Arial"/>
          <w:b/>
          <w:lang w:eastAsia="es-ES_tradnl"/>
        </w:rPr>
      </w:pPr>
      <w:r w:rsidRPr="008E4F36">
        <w:rPr>
          <w:rFonts w:ascii="Verdana" w:eastAsia="Calibri" w:hAnsi="Verdana" w:cs="Arial"/>
          <w:b/>
          <w:lang w:eastAsia="es-ES_tradnl"/>
        </w:rPr>
        <w:t>Soluciones Integrales De Oficina</w:t>
      </w:r>
    </w:p>
    <w:p w14:paraId="09E66AB8" w14:textId="77777777" w:rsidR="0076150C" w:rsidRPr="008E4F36" w:rsidRDefault="0076150C" w:rsidP="0076150C">
      <w:pPr>
        <w:spacing w:after="0" w:line="240" w:lineRule="auto"/>
        <w:rPr>
          <w:rFonts w:ascii="Verdana" w:hAnsi="Verdana"/>
          <w:b/>
          <w:bCs/>
        </w:rPr>
      </w:pPr>
      <w:hyperlink r:id="rId13" w:history="1">
        <w:r w:rsidRPr="008E4F36">
          <w:rPr>
            <w:rStyle w:val="Hipervnculo"/>
            <w:rFonts w:ascii="Verdana" w:hAnsi="Verdana"/>
            <w:b/>
            <w:bCs/>
          </w:rPr>
          <w:t>agonzalez@sioltda.com</w:t>
        </w:r>
      </w:hyperlink>
    </w:p>
    <w:p w14:paraId="6798DD39" w14:textId="77777777" w:rsidR="0076150C" w:rsidRDefault="0076150C" w:rsidP="0076150C">
      <w:pPr>
        <w:spacing w:after="0" w:line="240" w:lineRule="auto"/>
        <w:rPr>
          <w:rFonts w:ascii="Verdana" w:hAnsi="Verdana"/>
        </w:rPr>
      </w:pPr>
      <w:r w:rsidRPr="008E4F36">
        <w:rPr>
          <w:rFonts w:ascii="Verdana" w:hAnsi="Verdana"/>
        </w:rPr>
        <w:t>Ciudad</w:t>
      </w:r>
    </w:p>
    <w:p w14:paraId="65A15AC7" w14:textId="77777777" w:rsidR="0076150C" w:rsidRPr="008E4F36" w:rsidRDefault="0076150C" w:rsidP="0076150C">
      <w:pPr>
        <w:spacing w:after="0" w:line="240" w:lineRule="auto"/>
        <w:rPr>
          <w:rFonts w:ascii="Verdana" w:eastAsia="Calibri" w:hAnsi="Verdana" w:cs="Arial"/>
          <w:b/>
          <w:lang w:eastAsia="es-ES_tradnl"/>
        </w:rPr>
      </w:pPr>
    </w:p>
    <w:p w14:paraId="6E6BBF60" w14:textId="77777777" w:rsidR="0076150C" w:rsidRPr="008E4F36" w:rsidRDefault="0076150C" w:rsidP="0076150C">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76150C" w:rsidRPr="008E4F36" w14:paraId="5A188BD0" w14:textId="77777777" w:rsidTr="00A22E60">
        <w:trPr>
          <w:trHeight w:val="162"/>
        </w:trPr>
        <w:tc>
          <w:tcPr>
            <w:tcW w:w="3119" w:type="dxa"/>
          </w:tcPr>
          <w:p w14:paraId="3699C6C1" w14:textId="77777777" w:rsidR="0076150C" w:rsidRPr="008E4F36" w:rsidRDefault="0076150C" w:rsidP="000C1ABA">
            <w:pPr>
              <w:jc w:val="both"/>
              <w:rPr>
                <w:rFonts w:ascii="Verdana" w:eastAsia="Calibri" w:hAnsi="Verdana" w:cs="Arial"/>
                <w:b/>
                <w:bCs/>
                <w:color w:val="7030A0"/>
                <w:lang w:eastAsia="es-ES_tradnl"/>
              </w:rPr>
            </w:pPr>
          </w:p>
        </w:tc>
        <w:tc>
          <w:tcPr>
            <w:tcW w:w="5670" w:type="dxa"/>
          </w:tcPr>
          <w:p w14:paraId="446A9DC6" w14:textId="77777777" w:rsidR="0076150C" w:rsidRPr="008E4F36" w:rsidRDefault="0076150C" w:rsidP="00EF4FE9">
            <w:pPr>
              <w:rPr>
                <w:rFonts w:ascii="Verdana" w:eastAsia="Calibri" w:hAnsi="Verdana" w:cs="Arial"/>
                <w:b/>
                <w:bCs/>
                <w:lang w:eastAsia="es-ES"/>
              </w:rPr>
            </w:pPr>
            <w:r w:rsidRPr="008E4F36">
              <w:rPr>
                <w:rFonts w:ascii="Verdana" w:eastAsia="Calibri" w:hAnsi="Verdana" w:cs="Arial"/>
                <w:b/>
                <w:bCs/>
                <w:lang w:eastAsia="es-ES"/>
              </w:rPr>
              <w:t>Concepto C- 736 de 2025</w:t>
            </w:r>
          </w:p>
          <w:p w14:paraId="49338F98" w14:textId="77777777" w:rsidR="0076150C" w:rsidRPr="008E4F36" w:rsidRDefault="0076150C" w:rsidP="000C1ABA">
            <w:pPr>
              <w:jc w:val="both"/>
              <w:rPr>
                <w:rFonts w:ascii="Verdana" w:eastAsia="Calibri" w:hAnsi="Verdana" w:cs="Arial"/>
                <w:b/>
                <w:bCs/>
                <w:color w:val="7030A0"/>
                <w:lang w:eastAsia="es-ES"/>
              </w:rPr>
            </w:pPr>
          </w:p>
        </w:tc>
      </w:tr>
      <w:tr w:rsidR="0076150C" w:rsidRPr="008E4F36" w14:paraId="2A3D8D3A" w14:textId="77777777" w:rsidTr="00A22E60">
        <w:trPr>
          <w:trHeight w:val="884"/>
        </w:trPr>
        <w:tc>
          <w:tcPr>
            <w:tcW w:w="3119" w:type="dxa"/>
          </w:tcPr>
          <w:p w14:paraId="7AB8A358" w14:textId="77777777" w:rsidR="0076150C" w:rsidRPr="008E4F36" w:rsidRDefault="0076150C" w:rsidP="000C1ABA">
            <w:pPr>
              <w:jc w:val="both"/>
              <w:rPr>
                <w:rFonts w:ascii="Verdana" w:eastAsia="Calibri" w:hAnsi="Verdana" w:cs="Arial"/>
                <w:color w:val="000000"/>
                <w:lang w:eastAsia="es-ES_tradnl"/>
              </w:rPr>
            </w:pPr>
            <w:r w:rsidRPr="008E4F36">
              <w:rPr>
                <w:rFonts w:ascii="Verdana" w:eastAsia="Calibri" w:hAnsi="Verdana" w:cs="Arial"/>
                <w:b/>
                <w:color w:val="000000"/>
                <w:lang w:eastAsia="es-ES_tradnl"/>
              </w:rPr>
              <w:t>Temas:</w:t>
            </w:r>
            <w:r w:rsidRPr="008E4F36">
              <w:rPr>
                <w:rFonts w:ascii="Verdana" w:eastAsia="Calibri" w:hAnsi="Verdana" w:cs="Arial"/>
                <w:color w:val="000000"/>
                <w:lang w:eastAsia="es-ES_tradnl"/>
              </w:rPr>
              <w:t xml:space="preserve">                   </w:t>
            </w:r>
          </w:p>
        </w:tc>
        <w:tc>
          <w:tcPr>
            <w:tcW w:w="5670" w:type="dxa"/>
          </w:tcPr>
          <w:p w14:paraId="185F5FAE" w14:textId="77777777" w:rsidR="0076150C" w:rsidRPr="00231CB8" w:rsidRDefault="0076150C" w:rsidP="000C1ABA">
            <w:pPr>
              <w:jc w:val="both"/>
              <w:rPr>
                <w:rFonts w:ascii="Verdana" w:eastAsia="Calibri" w:hAnsi="Verdana" w:cs="Arial"/>
                <w:lang w:eastAsia="es-ES"/>
              </w:rPr>
            </w:pPr>
            <w:r>
              <w:rPr>
                <w:rFonts w:ascii="Verdana" w:eastAsia="Calibri" w:hAnsi="Verdana" w:cs="Arial"/>
                <w:lang w:val="es-ES" w:eastAsia="es-ES"/>
              </w:rPr>
              <w:t xml:space="preserve">SELECCIÓN OBJETIVA – Contratación estatal – Concepto / FACTORES DE DESEMPATE – Características – Límites / FACTORES DE DESEMPATE – Ley 2069 de 2020 – Decreto 1680 de 2021 – Mujeres cabeza de familia – Participación mayoritaria / APLICACIÓN SUCESIVA Y EXCLUYENTE – Empate – Persistencia /      </w:t>
            </w:r>
            <w:r w:rsidRPr="00231CB8">
              <w:rPr>
                <w:rFonts w:ascii="Verdana" w:eastAsia="Calibri" w:hAnsi="Verdana" w:cs="Arial"/>
                <w:lang w:val="es-ES" w:eastAsia="es-ES"/>
              </w:rPr>
              <w:t xml:space="preserve">PRINCIPIO DE SELECCIÓN OBJETIVA – Fundamento – Alcance / SUBSANABILIDAD – Concepto de unificación – Aplicación – Improcedencia – Circunstancias posteriores – Cierre del proceso / SUBSANABILIDAD – Criterios de desempate </w:t>
            </w:r>
            <w:r>
              <w:rPr>
                <w:rFonts w:ascii="Verdana" w:eastAsia="Calibri" w:hAnsi="Verdana" w:cs="Arial"/>
                <w:lang w:val="es-ES" w:eastAsia="es-ES"/>
              </w:rPr>
              <w:t>–</w:t>
            </w:r>
            <w:r w:rsidRPr="00231CB8">
              <w:rPr>
                <w:rFonts w:ascii="Verdana" w:eastAsia="Calibri" w:hAnsi="Verdana" w:cs="Arial"/>
                <w:lang w:val="es-ES" w:eastAsia="es-ES"/>
              </w:rPr>
              <w:t xml:space="preserve"> </w:t>
            </w:r>
            <w:r>
              <w:rPr>
                <w:rFonts w:ascii="Verdana" w:eastAsia="Calibri" w:hAnsi="Verdana" w:cs="Arial"/>
                <w:lang w:val="es-ES" w:eastAsia="es-ES"/>
              </w:rPr>
              <w:t xml:space="preserve">No subsanables / </w:t>
            </w:r>
            <w:r w:rsidRPr="001B1190">
              <w:rPr>
                <w:rFonts w:ascii="Verdana" w:hAnsi="Verdana" w:cs="Arial"/>
                <w:bCs/>
              </w:rPr>
              <w:t xml:space="preserve">MÍNIMA CUANTÍA – Procedimiento </w:t>
            </w:r>
            <w:r w:rsidRPr="001B1190">
              <w:rPr>
                <w:rFonts w:ascii="Verdana" w:hAnsi="Verdana" w:cs="Arial"/>
                <w:bCs/>
                <w:color w:val="000000" w:themeColor="text1"/>
                <w:lang w:val="es-MX"/>
              </w:rPr>
              <w:t xml:space="preserve">/ </w:t>
            </w:r>
            <w:r w:rsidRPr="001B1190">
              <w:rPr>
                <w:rFonts w:ascii="Verdana" w:hAnsi="Verdana" w:cs="Arial"/>
                <w:bCs/>
              </w:rPr>
              <w:t>MÍNIMA CUANTÍA – Factor de selección – Menor precio – Metodología</w:t>
            </w:r>
            <w:r>
              <w:rPr>
                <w:rFonts w:ascii="Verdana" w:hAnsi="Verdana" w:cs="Arial"/>
                <w:bCs/>
              </w:rPr>
              <w:t xml:space="preserve"> /MÍNIMA CUANTÍA – Porcentaje de descuento </w:t>
            </w:r>
          </w:p>
          <w:p w14:paraId="1DE661AB" w14:textId="77777777" w:rsidR="0076150C" w:rsidRPr="00231CB8" w:rsidRDefault="0076150C" w:rsidP="000C1ABA">
            <w:pPr>
              <w:spacing w:line="276" w:lineRule="auto"/>
              <w:jc w:val="both"/>
              <w:rPr>
                <w:rFonts w:ascii="Verdana" w:eastAsia="Calibri" w:hAnsi="Verdana" w:cs="Arial"/>
                <w:lang w:val="es-ES" w:eastAsia="es-ES"/>
              </w:rPr>
            </w:pPr>
            <w:r>
              <w:rPr>
                <w:rFonts w:ascii="Verdana" w:eastAsia="Calibri" w:hAnsi="Verdana" w:cs="Arial"/>
                <w:lang w:val="es-ES" w:eastAsia="es-ES"/>
              </w:rPr>
              <w:t xml:space="preserve">             </w:t>
            </w:r>
          </w:p>
        </w:tc>
      </w:tr>
      <w:tr w:rsidR="0076150C" w:rsidRPr="008E4F36" w14:paraId="6F1F0F13" w14:textId="77777777" w:rsidTr="000C1ABA">
        <w:tc>
          <w:tcPr>
            <w:tcW w:w="3119" w:type="dxa"/>
          </w:tcPr>
          <w:p w14:paraId="165FB514" w14:textId="77777777" w:rsidR="0076150C" w:rsidRPr="008E4F36" w:rsidRDefault="0076150C" w:rsidP="000C1ABA">
            <w:pPr>
              <w:jc w:val="both"/>
              <w:rPr>
                <w:rFonts w:ascii="Verdana" w:eastAsia="Calibri" w:hAnsi="Verdana" w:cs="Arial"/>
                <w:b/>
                <w:lang w:eastAsia="es-ES_tradnl"/>
              </w:rPr>
            </w:pPr>
            <w:r w:rsidRPr="008E4F36">
              <w:rPr>
                <w:rFonts w:ascii="Verdana" w:eastAsia="Calibri" w:hAnsi="Verdana" w:cs="Arial"/>
                <w:b/>
                <w:lang w:eastAsia="es-ES_tradnl"/>
              </w:rPr>
              <w:t>Radicación:</w:t>
            </w:r>
            <w:r w:rsidRPr="008E4F36">
              <w:rPr>
                <w:rFonts w:ascii="Verdana" w:eastAsia="Calibri" w:hAnsi="Verdana" w:cs="Arial"/>
                <w:lang w:eastAsia="es-ES_tradnl"/>
              </w:rPr>
              <w:t xml:space="preserve">               </w:t>
            </w:r>
          </w:p>
        </w:tc>
        <w:tc>
          <w:tcPr>
            <w:tcW w:w="5670" w:type="dxa"/>
          </w:tcPr>
          <w:p w14:paraId="70B26CEC" w14:textId="77777777" w:rsidR="0076150C" w:rsidRPr="008E4F36" w:rsidRDefault="0076150C" w:rsidP="000C1ABA">
            <w:pPr>
              <w:jc w:val="both"/>
              <w:rPr>
                <w:rFonts w:ascii="Verdana" w:eastAsia="Calibri" w:hAnsi="Verdana" w:cs="Arial"/>
                <w:lang w:eastAsia="es-ES_tradnl"/>
              </w:rPr>
            </w:pPr>
            <w:r w:rsidRPr="008E4F36">
              <w:rPr>
                <w:rFonts w:ascii="Verdana" w:eastAsia="Calibri" w:hAnsi="Verdana" w:cs="Arial"/>
                <w:lang w:eastAsia="es-ES_tradnl"/>
              </w:rPr>
              <w:t>Respuesta a consulta con radicado 1-2025-06-09-005610</w:t>
            </w:r>
          </w:p>
          <w:p w14:paraId="08097D78" w14:textId="77777777" w:rsidR="0076150C" w:rsidRPr="008E4F36" w:rsidRDefault="0076150C" w:rsidP="000C1ABA">
            <w:pPr>
              <w:jc w:val="both"/>
              <w:rPr>
                <w:rFonts w:ascii="Verdana" w:eastAsia="Calibri" w:hAnsi="Verdana" w:cs="Arial"/>
                <w:lang w:eastAsia="es-ES_tradnl"/>
              </w:rPr>
            </w:pPr>
          </w:p>
        </w:tc>
      </w:tr>
    </w:tbl>
    <w:p w14:paraId="15924BBC" w14:textId="77777777" w:rsidR="0076150C" w:rsidRPr="008E4F36" w:rsidRDefault="0076150C" w:rsidP="0076150C">
      <w:pPr>
        <w:spacing w:after="0" w:line="276" w:lineRule="auto"/>
        <w:jc w:val="both"/>
        <w:rPr>
          <w:rFonts w:ascii="Verdana" w:eastAsia="Calibri" w:hAnsi="Verdana" w:cs="Arial"/>
          <w:lang w:eastAsia="es-ES_tradnl"/>
        </w:rPr>
      </w:pPr>
    </w:p>
    <w:p w14:paraId="28701A47" w14:textId="77777777" w:rsidR="0076150C" w:rsidRPr="008E4F36" w:rsidRDefault="0076150C" w:rsidP="0076150C">
      <w:pPr>
        <w:spacing w:after="0" w:line="276" w:lineRule="auto"/>
        <w:jc w:val="both"/>
        <w:rPr>
          <w:rFonts w:ascii="Verdana" w:eastAsia="Calibri" w:hAnsi="Verdana" w:cs="Arial"/>
          <w:lang w:eastAsia="es-ES"/>
        </w:rPr>
      </w:pPr>
      <w:r w:rsidRPr="008E4F36">
        <w:rPr>
          <w:rFonts w:ascii="Verdana" w:eastAsia="Calibri" w:hAnsi="Verdana" w:cs="Arial"/>
          <w:lang w:eastAsia="es-ES"/>
        </w:rPr>
        <w:t xml:space="preserve">Estimada señora Ana Zulay: </w:t>
      </w:r>
    </w:p>
    <w:p w14:paraId="6FACEB5C" w14:textId="77777777" w:rsidR="0076150C" w:rsidRPr="008E4F36" w:rsidRDefault="0076150C" w:rsidP="0076150C">
      <w:pPr>
        <w:tabs>
          <w:tab w:val="left" w:pos="3768"/>
        </w:tabs>
        <w:spacing w:after="0" w:line="276" w:lineRule="auto"/>
        <w:jc w:val="both"/>
        <w:rPr>
          <w:rFonts w:ascii="Verdana" w:eastAsia="Calibri" w:hAnsi="Verdana" w:cs="Arial"/>
          <w:lang w:eastAsia="es-ES"/>
        </w:rPr>
      </w:pPr>
      <w:r w:rsidRPr="008E4F36">
        <w:rPr>
          <w:rFonts w:ascii="Verdana" w:eastAsia="Calibri" w:hAnsi="Verdana" w:cs="Arial"/>
          <w:lang w:eastAsia="es-ES"/>
        </w:rPr>
        <w:tab/>
      </w:r>
    </w:p>
    <w:p w14:paraId="57CE12E5" w14:textId="77777777" w:rsidR="0076150C" w:rsidRPr="008E4F36" w:rsidRDefault="0076150C" w:rsidP="0076150C">
      <w:pPr>
        <w:spacing w:after="0" w:line="276" w:lineRule="auto"/>
        <w:jc w:val="both"/>
        <w:rPr>
          <w:rFonts w:ascii="Verdana" w:eastAsia="Calibri" w:hAnsi="Verdana" w:cs="Arial"/>
          <w:lang w:eastAsia="es-ES"/>
        </w:rPr>
      </w:pPr>
      <w:r w:rsidRPr="008E4F36">
        <w:rPr>
          <w:rFonts w:ascii="Verdana" w:eastAsia="Calibri" w:hAnsi="Verdana" w:cs="Arial"/>
          <w:color w:val="000000" w:themeColor="text1"/>
          <w:lang w:eastAsia="es-ES"/>
        </w:rPr>
        <w:lastRenderedPageBreak/>
        <w:t>En ejercicio de la competencia otorgada por los artículos 3, numeral 5º, y 11, numeral 8º, del Decreto Ley 4170 de 2011,</w:t>
      </w:r>
      <w:r w:rsidRPr="008E4F36">
        <w:rPr>
          <w:rFonts w:ascii="Verdana" w:eastAsia="Arial MT" w:hAnsi="Verdana" w:cs="Arial MT"/>
          <w:lang w:eastAsia="es-ES"/>
        </w:rPr>
        <w:t xml:space="preserve"> </w:t>
      </w:r>
      <w:r w:rsidRPr="008E4F36">
        <w:rPr>
          <w:rFonts w:ascii="Verdana" w:hAnsi="Verdana" w:cs="Arial"/>
        </w:rPr>
        <w:t xml:space="preserve">así como lo establecido en el artículo 4 de la Resolución 1707 de 2018 expedida por esta Entidad, </w:t>
      </w:r>
      <w:r w:rsidRPr="008E4F36">
        <w:rPr>
          <w:rFonts w:ascii="Verdana" w:eastAsia="Calibri" w:hAnsi="Verdana" w:cs="Arial"/>
          <w:color w:val="000000" w:themeColor="text1"/>
          <w:lang w:eastAsia="es-ES"/>
        </w:rPr>
        <w:t xml:space="preserve">la Agencia Nacional de Contratación </w:t>
      </w:r>
      <w:r w:rsidRPr="008E4F36">
        <w:rPr>
          <w:rFonts w:ascii="Verdana" w:eastAsia="Calibri" w:hAnsi="Verdana" w:cs="Arial"/>
          <w:lang w:eastAsia="es-ES"/>
        </w:rPr>
        <w:t xml:space="preserve">Pública – Colombia Compra Eficiente– responde su solicitud de consulta de fecha 9 de junio de 2025, en la cual manifiesta lo siguiente: </w:t>
      </w:r>
    </w:p>
    <w:p w14:paraId="17B7B961" w14:textId="77777777" w:rsidR="0076150C" w:rsidRPr="008E4F36" w:rsidRDefault="0076150C" w:rsidP="0076150C">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lang w:val="es-CO"/>
        </w:rPr>
      </w:pPr>
    </w:p>
    <w:p w14:paraId="7E4F7E13" w14:textId="77777777" w:rsidR="0076150C" w:rsidRPr="008E4F36" w:rsidRDefault="0076150C" w:rsidP="0076150C">
      <w:pPr>
        <w:spacing w:after="0" w:line="240" w:lineRule="auto"/>
        <w:ind w:left="709" w:right="709"/>
        <w:jc w:val="both"/>
        <w:rPr>
          <w:rFonts w:ascii="Verdana" w:eastAsia="Century Gothic" w:hAnsi="Verdana" w:cs="Century Gothic"/>
          <w:sz w:val="20"/>
          <w:szCs w:val="20"/>
        </w:rPr>
      </w:pPr>
      <w:bookmarkStart w:id="4" w:name="_Hlk192699624"/>
      <w:bookmarkStart w:id="5" w:name="_Hlk199394899"/>
      <w:r w:rsidRPr="008E4F36">
        <w:rPr>
          <w:rFonts w:ascii="Verdana" w:eastAsia="Century Gothic" w:hAnsi="Verdana" w:cs="Century Gothic"/>
          <w:sz w:val="20"/>
          <w:szCs w:val="20"/>
        </w:rPr>
        <w:t xml:space="preserve">“(…) </w:t>
      </w:r>
      <w:bookmarkEnd w:id="4"/>
      <w:r w:rsidRPr="008E4F36">
        <w:rPr>
          <w:rFonts w:ascii="Verdana" w:eastAsia="Century Gothic" w:hAnsi="Verdana" w:cs="Century Gothic"/>
          <w:sz w:val="20"/>
          <w:szCs w:val="20"/>
        </w:rPr>
        <w:t xml:space="preserve">1. Respecto de los criterios de desempate en los procesos de contratación que adelanten las entidades del estado colombiano y en lo relativo a la condición de “cabeza de familia” y la forma de acreditación; comedidamente solicito me informen de manera detallada y clara sobre la forma de acreditación, si se debe acreditar y exponer el hecho generador y su fecha de inicio y el momento oportuno de la entrega del documento a la entidad que adelante el proceso, bien sea para efectos de asignación de puntaje o para criterio de desempate. </w:t>
      </w:r>
    </w:p>
    <w:p w14:paraId="4AA495D0" w14:textId="77777777" w:rsidR="0076150C" w:rsidRPr="008E4F36" w:rsidRDefault="0076150C" w:rsidP="0076150C">
      <w:pPr>
        <w:spacing w:after="0" w:line="240" w:lineRule="auto"/>
        <w:ind w:left="709" w:right="709"/>
        <w:jc w:val="both"/>
        <w:rPr>
          <w:rFonts w:ascii="Verdana" w:eastAsia="Century Gothic" w:hAnsi="Verdana" w:cs="Century Gothic"/>
          <w:sz w:val="20"/>
          <w:szCs w:val="20"/>
        </w:rPr>
      </w:pPr>
    </w:p>
    <w:p w14:paraId="27143098" w14:textId="77777777" w:rsidR="0076150C" w:rsidRPr="008E4F36" w:rsidRDefault="0076150C" w:rsidP="0076150C">
      <w:pPr>
        <w:spacing w:after="0" w:line="240" w:lineRule="auto"/>
        <w:ind w:left="709" w:right="709"/>
        <w:jc w:val="both"/>
        <w:rPr>
          <w:rFonts w:ascii="Verdana" w:eastAsia="Century Gothic" w:hAnsi="Verdana" w:cs="Century Gothic"/>
          <w:sz w:val="20"/>
          <w:szCs w:val="20"/>
        </w:rPr>
      </w:pPr>
      <w:r w:rsidRPr="008E4F36">
        <w:rPr>
          <w:rFonts w:ascii="Verdana" w:eastAsia="Century Gothic" w:hAnsi="Verdana" w:cs="Century Gothic"/>
          <w:sz w:val="20"/>
          <w:szCs w:val="20"/>
        </w:rPr>
        <w:t xml:space="preserve">2. En caso (sic) que exista duda de esta condición, cual (sic) es el mecanismo para desvirtuar tal condición, ante qué entidad se debe adelantar y quien goza de legitimidad en la causa para desvirtuarla. </w:t>
      </w:r>
    </w:p>
    <w:p w14:paraId="4C98FD80" w14:textId="77777777" w:rsidR="0076150C" w:rsidRPr="008E4F36" w:rsidRDefault="0076150C" w:rsidP="0076150C">
      <w:pPr>
        <w:spacing w:after="0" w:line="240" w:lineRule="auto"/>
        <w:ind w:left="709" w:right="709"/>
        <w:jc w:val="both"/>
        <w:rPr>
          <w:rFonts w:ascii="Verdana" w:eastAsia="Century Gothic" w:hAnsi="Verdana" w:cs="Century Gothic"/>
          <w:sz w:val="20"/>
          <w:szCs w:val="20"/>
        </w:rPr>
      </w:pPr>
    </w:p>
    <w:p w14:paraId="2441FFE1" w14:textId="77777777" w:rsidR="0076150C" w:rsidRPr="008E4F36" w:rsidRDefault="0076150C" w:rsidP="0076150C">
      <w:pPr>
        <w:spacing w:after="0" w:line="240" w:lineRule="auto"/>
        <w:ind w:left="709" w:right="709"/>
        <w:jc w:val="both"/>
        <w:rPr>
          <w:rFonts w:ascii="Verdana" w:eastAsia="Century Gothic" w:hAnsi="Verdana" w:cs="Century Gothic"/>
          <w:sz w:val="20"/>
          <w:szCs w:val="20"/>
        </w:rPr>
      </w:pPr>
      <w:r w:rsidRPr="008E4F36">
        <w:rPr>
          <w:rFonts w:ascii="Verdana" w:eastAsia="Century Gothic" w:hAnsi="Verdana" w:cs="Century Gothic"/>
          <w:sz w:val="20"/>
          <w:szCs w:val="20"/>
        </w:rPr>
        <w:t xml:space="preserve">3. Entretanto se define su legalidad; (sic) se puede solicitar suspender el proceso? </w:t>
      </w:r>
    </w:p>
    <w:p w14:paraId="018A4C12" w14:textId="77777777" w:rsidR="00F93B13" w:rsidRPr="008E4F36" w:rsidRDefault="00F93B13" w:rsidP="0076150C">
      <w:pPr>
        <w:spacing w:after="0" w:line="240" w:lineRule="auto"/>
        <w:ind w:left="709" w:right="709"/>
        <w:jc w:val="both"/>
        <w:rPr>
          <w:rFonts w:ascii="Verdana" w:eastAsia="Century Gothic" w:hAnsi="Verdana" w:cs="Century Gothic"/>
          <w:sz w:val="20"/>
          <w:szCs w:val="20"/>
        </w:rPr>
      </w:pPr>
    </w:p>
    <w:p w14:paraId="13020F31" w14:textId="77777777" w:rsidR="0076150C" w:rsidRPr="008E4F36" w:rsidRDefault="0076150C" w:rsidP="0076150C">
      <w:pPr>
        <w:spacing w:after="0" w:line="240" w:lineRule="auto"/>
        <w:ind w:left="709" w:right="709"/>
        <w:jc w:val="both"/>
        <w:rPr>
          <w:rFonts w:ascii="Verdana" w:hAnsi="Verdana"/>
          <w:sz w:val="20"/>
          <w:szCs w:val="20"/>
        </w:rPr>
      </w:pPr>
      <w:r w:rsidRPr="008E4F36">
        <w:rPr>
          <w:rFonts w:ascii="Verdana" w:eastAsia="Century Gothic" w:hAnsi="Verdana" w:cs="Century Gothic"/>
          <w:sz w:val="20"/>
          <w:szCs w:val="20"/>
        </w:rPr>
        <w:t>4. De otro lado y para los procesos de mínima cuantía adelantados bajo la Ley 80 de 1993, es legal y adecuado exigir que las ofertas se presenten con % de descuento?</w:t>
      </w:r>
      <w:r w:rsidRPr="008E4F36">
        <w:rPr>
          <w:rFonts w:ascii="Verdana" w:hAnsi="Verdana"/>
          <w:sz w:val="20"/>
          <w:szCs w:val="20"/>
        </w:rPr>
        <w:t xml:space="preserve"> (…)”.</w:t>
      </w:r>
      <w:bookmarkEnd w:id="5"/>
    </w:p>
    <w:p w14:paraId="510D83F8" w14:textId="77777777" w:rsidR="0076150C" w:rsidRPr="00EF4FE9" w:rsidRDefault="0076150C" w:rsidP="0076150C">
      <w:pPr>
        <w:spacing w:after="0" w:line="240" w:lineRule="auto"/>
        <w:ind w:left="709" w:right="709"/>
        <w:jc w:val="both"/>
        <w:rPr>
          <w:rFonts w:ascii="Verdana" w:hAnsi="Verdana"/>
        </w:rPr>
      </w:pPr>
    </w:p>
    <w:p w14:paraId="0E8CB1A4" w14:textId="77777777" w:rsidR="0076150C" w:rsidRPr="008E4F36" w:rsidRDefault="0076150C" w:rsidP="0076150C">
      <w:pPr>
        <w:spacing w:after="12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E4F36">
        <w:rPr>
          <w:rFonts w:ascii="Verdana" w:eastAsia="Calibri" w:hAnsi="Verdana" w:cs="Arial"/>
          <w:color w:val="000000"/>
          <w:szCs w:val="24"/>
          <w:lang w:eastAsia="es-ES_tradnl"/>
        </w:rPr>
        <w:tab/>
      </w:r>
    </w:p>
    <w:p w14:paraId="46878D4F" w14:textId="77777777" w:rsidR="0076150C" w:rsidRPr="008E4F36" w:rsidRDefault="0076150C" w:rsidP="0076150C">
      <w:pPr>
        <w:spacing w:after="0" w:line="276" w:lineRule="auto"/>
        <w:ind w:firstLine="709"/>
        <w:jc w:val="both"/>
        <w:rPr>
          <w:rFonts w:ascii="Verdana" w:eastAsia="Calibri" w:hAnsi="Verdana" w:cs="Arial"/>
          <w:color w:val="000000"/>
          <w:lang w:eastAsia="es-ES"/>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w:t>
      </w:r>
      <w:r w:rsidRPr="008E4F36">
        <w:rPr>
          <w:rFonts w:ascii="Verdana" w:eastAsia="Calibri" w:hAnsi="Verdana" w:cs="Arial"/>
          <w:color w:val="000000"/>
          <w:lang w:eastAsia="es-ES"/>
        </w:rPr>
        <w:lastRenderedPageBreak/>
        <w:t xml:space="preserve">en su petición, pero señalando algunas consideraciones sobre las normas generales relacionadas con los problemas jurídicos de su consulta.  </w:t>
      </w:r>
    </w:p>
    <w:p w14:paraId="6517E1DC" w14:textId="77777777" w:rsidR="009B7485" w:rsidRPr="008E4F36" w:rsidRDefault="009B7485" w:rsidP="00603FD0">
      <w:pPr>
        <w:spacing w:after="0" w:line="276" w:lineRule="auto"/>
        <w:jc w:val="both"/>
        <w:rPr>
          <w:rFonts w:ascii="Verdana" w:eastAsia="Calibri" w:hAnsi="Verdana" w:cs="Arial"/>
          <w:color w:val="000000"/>
          <w:lang w:eastAsia="es-ES"/>
        </w:rPr>
      </w:pPr>
    </w:p>
    <w:p w14:paraId="4646E7B5" w14:textId="77777777" w:rsidR="0076150C" w:rsidRPr="008E4F36" w:rsidRDefault="0076150C" w:rsidP="0076150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8E4F36">
        <w:rPr>
          <w:rFonts w:ascii="Verdana" w:eastAsia="Century Gothic" w:hAnsi="Verdana" w:cs="Century Gothic"/>
          <w:b/>
          <w:bCs/>
          <w:lang w:val="es-CO"/>
        </w:rPr>
        <w:t>Problemas planteados:</w:t>
      </w:r>
    </w:p>
    <w:p w14:paraId="2933DDA0" w14:textId="77777777" w:rsidR="0076150C" w:rsidRPr="008E4F36" w:rsidRDefault="0076150C" w:rsidP="0076150C">
      <w:pPr>
        <w:tabs>
          <w:tab w:val="left" w:pos="426"/>
        </w:tabs>
        <w:spacing w:after="0" w:line="276" w:lineRule="auto"/>
        <w:jc w:val="both"/>
        <w:rPr>
          <w:rFonts w:ascii="Verdana" w:eastAsia="Century Gothic" w:hAnsi="Verdana" w:cs="Century Gothic"/>
        </w:rPr>
      </w:pPr>
    </w:p>
    <w:p w14:paraId="45CA18EB" w14:textId="77777777" w:rsidR="0076150C" w:rsidRPr="008E4F36" w:rsidRDefault="0076150C" w:rsidP="0076150C">
      <w:pPr>
        <w:spacing w:after="0" w:line="276" w:lineRule="auto"/>
        <w:jc w:val="both"/>
        <w:rPr>
          <w:rFonts w:ascii="Verdana" w:eastAsia="Century Gothic" w:hAnsi="Verdana" w:cs="Century Gothic"/>
          <w:color w:val="7030A0"/>
        </w:rPr>
      </w:pPr>
      <w:r w:rsidRPr="008E4F36">
        <w:rPr>
          <w:rFonts w:ascii="Verdana" w:eastAsia="Century Gothic" w:hAnsi="Verdana" w:cs="Century Gothic"/>
        </w:rPr>
        <w:t xml:space="preserve">De acuerdo con el contenido de su solicitud, esta Agencia resolverá los siguientes problemas jurídicos: i) </w:t>
      </w:r>
      <w:proofErr w:type="gramStart"/>
      <w:r w:rsidRPr="008E4F36">
        <w:rPr>
          <w:rFonts w:ascii="Verdana" w:eastAsia="Century Gothic" w:hAnsi="Verdana" w:cs="Century Gothic"/>
        </w:rPr>
        <w:t>¿Cómo se acredita el factor de desempate No.</w:t>
      </w:r>
      <w:proofErr w:type="gramEnd"/>
      <w:r w:rsidRPr="008E4F36">
        <w:rPr>
          <w:rFonts w:ascii="Verdana" w:eastAsia="Century Gothic" w:hAnsi="Verdana" w:cs="Century Gothic"/>
        </w:rPr>
        <w:t xml:space="preserve"> 2 del artículo 2.2.1.2.4.2.17. del Decreto 1082 de 2015 relacionado con la mujer cabeza de familia?  </w:t>
      </w:r>
      <w:proofErr w:type="spellStart"/>
      <w:r w:rsidRPr="008E4F36">
        <w:rPr>
          <w:rFonts w:ascii="Verdana" w:eastAsia="Century Gothic" w:hAnsi="Verdana" w:cs="Century Gothic"/>
        </w:rPr>
        <w:t>ii</w:t>
      </w:r>
      <w:proofErr w:type="spellEnd"/>
      <w:r w:rsidRPr="008E4F36">
        <w:rPr>
          <w:rFonts w:ascii="Verdana" w:eastAsia="Century Gothic" w:hAnsi="Verdana" w:cs="Century Gothic"/>
        </w:rPr>
        <w:t xml:space="preserve">) ¿Los factores de desempate, especialmente el relativo a la “mujer cabeza de familia” del artículo 35 de la Ley de Emprendimiento es subsanable? </w:t>
      </w:r>
      <w:proofErr w:type="spellStart"/>
      <w:r w:rsidRPr="008E4F36">
        <w:rPr>
          <w:rFonts w:ascii="Verdana" w:eastAsia="Century Gothic" w:hAnsi="Verdana" w:cs="Century Gothic"/>
        </w:rPr>
        <w:t>iii</w:t>
      </w:r>
      <w:proofErr w:type="spellEnd"/>
      <w:r w:rsidRPr="008E4F36">
        <w:rPr>
          <w:rFonts w:ascii="Verdana" w:eastAsia="Century Gothic" w:hAnsi="Verdana" w:cs="Century Gothic"/>
        </w:rPr>
        <w:t xml:space="preserve">) ¿En los procesos de mínima cuantía la entidad estatal dentro del proceso de selección puede exigir que las ofertas se presenten con algún porcentaje de descuento?    </w:t>
      </w:r>
      <w:r w:rsidRPr="008E4F36">
        <w:rPr>
          <w:rFonts w:ascii="Verdana" w:eastAsia="Century Gothic" w:hAnsi="Verdana" w:cs="Century Gothic"/>
          <w:color w:val="7030A0"/>
        </w:rPr>
        <w:t xml:space="preserve"> </w:t>
      </w:r>
    </w:p>
    <w:p w14:paraId="752AC862" w14:textId="77777777" w:rsidR="0076150C" w:rsidRPr="008E4F36" w:rsidRDefault="0076150C" w:rsidP="0076150C">
      <w:pPr>
        <w:spacing w:after="0" w:line="276" w:lineRule="auto"/>
        <w:jc w:val="both"/>
        <w:rPr>
          <w:rFonts w:ascii="Verdana" w:hAnsi="Verdana"/>
          <w:sz w:val="20"/>
          <w:szCs w:val="20"/>
        </w:rPr>
      </w:pPr>
    </w:p>
    <w:p w14:paraId="05564FB7" w14:textId="77777777" w:rsidR="0076150C" w:rsidRPr="008E4F36" w:rsidRDefault="0076150C" w:rsidP="0076150C">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5B3CD98C" w14:textId="77777777" w:rsidR="0076150C" w:rsidRPr="008E4F36" w:rsidRDefault="0076150C" w:rsidP="0076150C">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76150C" w:rsidRPr="008E4F36" w14:paraId="7F06EB7F" w14:textId="77777777" w:rsidTr="003A075D">
        <w:tc>
          <w:tcPr>
            <w:tcW w:w="8828" w:type="dxa"/>
          </w:tcPr>
          <w:p w14:paraId="4872C74B" w14:textId="77777777" w:rsidR="0076150C" w:rsidRPr="008E4F36" w:rsidRDefault="0076150C" w:rsidP="003A075D">
            <w:pPr>
              <w:spacing w:after="120" w:line="276" w:lineRule="auto"/>
              <w:jc w:val="both"/>
              <w:rPr>
                <w:rFonts w:ascii="Verdana" w:hAnsi="Verdana" w:cs="Arial"/>
                <w:lang w:eastAsia="es-CO"/>
              </w:rPr>
            </w:pPr>
            <w:r>
              <w:rPr>
                <w:rFonts w:ascii="Verdana" w:eastAsia="Calibri" w:hAnsi="Verdana" w:cs="Arial"/>
              </w:rPr>
              <w:t>i) E</w:t>
            </w:r>
            <w:r w:rsidRPr="008E4F36">
              <w:rPr>
                <w:rFonts w:ascii="Verdana" w:eastAsia="Calibri" w:hAnsi="Verdana" w:cs="Arial"/>
              </w:rPr>
              <w:t xml:space="preserve">n cuanto a la acreditación de la condición de </w:t>
            </w:r>
            <w:r w:rsidRPr="008E4F36">
              <w:rPr>
                <w:rFonts w:ascii="Verdana" w:hAnsi="Verdana" w:cs="Arial"/>
                <w:lang w:eastAsia="es-CO"/>
              </w:rPr>
              <w:t>mujer cabeza de familia, el primer inciso del numeral 2, realiza una referencia al artículo </w:t>
            </w:r>
            <w:hyperlink r:id="rId14" w:anchor="2" w:history="1">
              <w:r w:rsidRPr="008E4F36">
                <w:rPr>
                  <w:rFonts w:ascii="Verdana" w:hAnsi="Verdana" w:cs="Arial"/>
                  <w:lang w:eastAsia="es-CO"/>
                </w:rPr>
                <w:t>2 </w:t>
              </w:r>
            </w:hyperlink>
            <w:r w:rsidRPr="008E4F36">
              <w:rPr>
                <w:rFonts w:ascii="Verdana" w:hAnsi="Verdana" w:cs="Arial"/>
                <w:lang w:eastAsia="es-CO"/>
              </w:rPr>
              <w:t>de la Ley 82 de 1993, “</w:t>
            </w:r>
            <w:r w:rsidRPr="008E4F36">
              <w:rPr>
                <w:rFonts w:ascii="Verdana" w:hAnsi="Verdana" w:cs="Arial"/>
              </w:rPr>
              <w:t>Por la cual se expiden normas para apoyar de manera especial a la mujer cabeza de familia”</w:t>
            </w:r>
            <w:r w:rsidRPr="008E4F36">
              <w:rPr>
                <w:rFonts w:ascii="Verdana" w:hAnsi="Verdana" w:cs="Arial"/>
                <w:lang w:eastAsia="es-CO"/>
              </w:rPr>
              <w:t>, modificado por el artículo </w:t>
            </w:r>
            <w:hyperlink r:id="rId15" w:anchor="1" w:history="1">
              <w:r w:rsidRPr="008E4F36">
                <w:rPr>
                  <w:rFonts w:ascii="Verdana" w:hAnsi="Verdana" w:cs="Arial"/>
                  <w:lang w:eastAsia="es-CO"/>
                </w:rPr>
                <w:t>1 </w:t>
              </w:r>
            </w:hyperlink>
            <w:r w:rsidRPr="008E4F36">
              <w:rPr>
                <w:rFonts w:ascii="Verdana" w:hAnsi="Verdana" w:cs="Arial"/>
                <w:lang w:eastAsia="es-CO"/>
              </w:rPr>
              <w:t>de la Ley 1232 de 2008, disposición que establece la declaración ante notario como mecanismo para demostrar la calidad de mujer cabeza de familia.</w:t>
            </w:r>
            <w:r>
              <w:rPr>
                <w:rFonts w:ascii="Verdana" w:hAnsi="Verdana" w:cs="Arial"/>
                <w:lang w:eastAsia="es-CO"/>
              </w:rPr>
              <w:t xml:space="preserve"> </w:t>
            </w:r>
            <w:r>
              <w:rPr>
                <w:rFonts w:ascii="Verdana" w:hAnsi="Verdana" w:cs="Arial"/>
              </w:rPr>
              <w:t>En efecto</w:t>
            </w:r>
            <w:r w:rsidRPr="008E4F36">
              <w:rPr>
                <w:rFonts w:ascii="Verdana" w:hAnsi="Verdana" w:cs="Arial"/>
              </w:rPr>
              <w:t>, la regulación de los medios de acreditación establecidos en el numeral 2 del artículo 2.2.1.2.4.2.17 del Decreto 1082 de 2015, adicionado por el Decreto 1860 de 2021, se hace a partir de una articulación normativa con las disposiciones legales señaladas, las cuales regulan, de manera general, la acreditación de las condiciones de mujer cabeza de familia. En ese sentido, lo que procura el numeral 2 del artículo 2.2.1.2.4.2.17 es que, en los procesos de contratación pública, la acreditación de las referidas calidades se rija por la normativa de rango legal que rige la materia.</w:t>
            </w:r>
          </w:p>
          <w:p w14:paraId="2157543B" w14:textId="77777777" w:rsidR="0076150C" w:rsidRDefault="0076150C" w:rsidP="000C1ABA">
            <w:pPr>
              <w:spacing w:line="276" w:lineRule="auto"/>
              <w:ind w:firstLine="709"/>
              <w:jc w:val="both"/>
              <w:rPr>
                <w:rFonts w:ascii="Verdana" w:hAnsi="Verdana" w:cs="Arial"/>
              </w:rPr>
            </w:pPr>
            <w:r w:rsidRPr="008E4F36">
              <w:rPr>
                <w:rFonts w:ascii="Verdana" w:hAnsi="Verdana" w:cs="Arial"/>
              </w:rPr>
              <w:t xml:space="preserve">Como se desprende del texto del numeral 2 del artículo 35 de la Ley 2069 de 2020, este factor de desempate no aplica únicamente en favor de las personas naturales que acrediten las referidas condiciones, sino también a las personas jurídicas en las que “participen mayoritariamente”. Adicionalmente, dentro del ámbito de aplicación de este factor de desempate también entran los proponentes plurales conformados exclusivamente por personas naturales y/o jurídicas que reúnan alguna de las otras condiciones que aplican a los </w:t>
            </w:r>
            <w:r w:rsidRPr="008E4F36">
              <w:rPr>
                <w:rFonts w:ascii="Verdana" w:hAnsi="Verdana" w:cs="Arial"/>
              </w:rPr>
              <w:lastRenderedPageBreak/>
              <w:t xml:space="preserve">proponentes singulares. De tal manera que, para poderse beneficiar del factor de desempate, el proponente plural debe estar constituido por: i) por mujeres cabeza de familia o mujeres víctimas de violencia intrafamiliar y/o </w:t>
            </w:r>
            <w:proofErr w:type="spellStart"/>
            <w:r w:rsidRPr="008E4F36">
              <w:rPr>
                <w:rFonts w:ascii="Verdana" w:hAnsi="Verdana" w:cs="Arial"/>
              </w:rPr>
              <w:t>ii</w:t>
            </w:r>
            <w:proofErr w:type="spellEnd"/>
            <w:r w:rsidRPr="008E4F36">
              <w:rPr>
                <w:rFonts w:ascii="Verdana" w:hAnsi="Verdana" w:cs="Arial"/>
              </w:rPr>
              <w:t>) por personas jurídicas en las cuales tales mujeres participen mayoritariamente. Como la norma exige que la participación mayoritaria sea en la “persona jurídica”, en caso de existir varias personas jurídicas integrando el proponente plural, cada una de ellas debe acreditar la participación mayoritaria de mujeres cabeza de familia o mujeres víctimas de violencia intrafamiliar.</w:t>
            </w:r>
          </w:p>
          <w:p w14:paraId="2E472431" w14:textId="77777777" w:rsidR="0076150C" w:rsidRDefault="0076150C" w:rsidP="000C1ABA">
            <w:pPr>
              <w:ind w:firstLine="709"/>
              <w:jc w:val="both"/>
              <w:rPr>
                <w:rFonts w:ascii="Verdana" w:hAnsi="Verdana" w:cs="Arial"/>
              </w:rPr>
            </w:pPr>
          </w:p>
          <w:p w14:paraId="7A442D96" w14:textId="77777777" w:rsidR="0076150C" w:rsidRDefault="0076150C" w:rsidP="003A075D">
            <w:pPr>
              <w:spacing w:after="120" w:line="276" w:lineRule="auto"/>
              <w:jc w:val="both"/>
              <w:rPr>
                <w:rFonts w:ascii="Verdana" w:hAnsi="Verdana" w:cs="Arial"/>
                <w:color w:val="000000" w:themeColor="text1"/>
              </w:rPr>
            </w:pPr>
            <w:proofErr w:type="spellStart"/>
            <w:r>
              <w:rPr>
                <w:rFonts w:ascii="Verdana" w:hAnsi="Verdana" w:cs="Arial"/>
              </w:rPr>
              <w:t>ii</w:t>
            </w:r>
            <w:proofErr w:type="spellEnd"/>
            <w:r>
              <w:rPr>
                <w:rFonts w:ascii="Verdana" w:hAnsi="Verdana" w:cs="Arial"/>
              </w:rPr>
              <w:t xml:space="preserve">) </w:t>
            </w:r>
            <w:r w:rsidRPr="00315CB1">
              <w:rPr>
                <w:rFonts w:ascii="Verdana" w:eastAsia="Calibri" w:hAnsi="Verdana" w:cs="Arial"/>
                <w:color w:val="000000" w:themeColor="text1"/>
              </w:rPr>
              <w:t>Analizada la regla del parágrafo primero del artículo 5 de la Ley 1150 de 2007</w:t>
            </w:r>
            <w:r w:rsidRPr="00315CB1">
              <w:rPr>
                <w:rFonts w:ascii="Verdana" w:hAnsi="Verdana" w:cs="Arial"/>
                <w:color w:val="000000" w:themeColor="text1"/>
              </w:rPr>
              <w:t>, los criterios de desempate afectan la asignación de puntaje, por lo que los documentos que los acreditan son insubsanables. Estos factores definen la adjudicación del contrato cuando, después de aplicar los criterios de evaluación del pliego de condiciones, dos o más proponentes obtienen resultados similares. De hecho, el primer inciso del artículo 35 de la Ley 2069 de 2020 dispone que los factores de desempate aplican cuando el puntaje total de dos o más ofertas es el mismo. Por tanto, el oferente que resulta adjudicatario es aquel que acredita alguno de esos criterios de desempate, por lo que afectan la asignación de puntaje y deciden el resultado del proceso de selección.</w:t>
            </w:r>
            <w:r w:rsidRPr="008E4F36">
              <w:rPr>
                <w:rFonts w:ascii="Verdana" w:hAnsi="Verdana" w:cs="Arial"/>
                <w:color w:val="000000" w:themeColor="text1"/>
              </w:rPr>
              <w:t xml:space="preserve">  </w:t>
            </w:r>
          </w:p>
          <w:p w14:paraId="1FEA87D0" w14:textId="77777777" w:rsidR="0076150C" w:rsidRPr="008E4F36" w:rsidRDefault="0076150C" w:rsidP="003A075D">
            <w:pPr>
              <w:spacing w:after="120" w:line="276" w:lineRule="auto"/>
              <w:ind w:firstLine="709"/>
              <w:jc w:val="both"/>
              <w:rPr>
                <w:rFonts w:ascii="Verdana" w:hAnsi="Verdana" w:cs="Arial"/>
                <w:color w:val="000000" w:themeColor="text1"/>
              </w:rPr>
            </w:pPr>
            <w:r w:rsidRPr="00315CB1">
              <w:rPr>
                <w:rFonts w:ascii="Verdana" w:hAnsi="Verdana" w:cs="Arial"/>
                <w:color w:val="000000" w:themeColor="text1"/>
              </w:rPr>
              <w:t>Es necesario tener en cuenta que los factores desempate complementan los criterios de evaluación, es decir, si después de aplicar estos últimos, varias propuestas terminan empatadas, aplica el artículo 35 de la Ley de Emprendimiento. En esta medida, los documentos que acreditan cada causal no podrían definirse como “condiciones habilitantes”, ya que –en los términos del artículo 5.1 de la Ley 1150 de 2007– ninguno de ellos está relacionado con la prueba de la capacidad jurídica o la certificación de las condiciones de experiencia, capacidad financiera y de organización de los proponentes.</w:t>
            </w:r>
            <w:r w:rsidRPr="008E4F36">
              <w:rPr>
                <w:rFonts w:ascii="Verdana" w:hAnsi="Verdana" w:cs="Arial"/>
                <w:color w:val="000000" w:themeColor="text1"/>
              </w:rPr>
              <w:t xml:space="preserve"> </w:t>
            </w:r>
          </w:p>
          <w:p w14:paraId="6F2E8207" w14:textId="77777777" w:rsidR="0076150C" w:rsidRDefault="0076150C" w:rsidP="000C1ABA">
            <w:pPr>
              <w:spacing w:line="276" w:lineRule="auto"/>
              <w:ind w:firstLine="709"/>
              <w:jc w:val="both"/>
              <w:rPr>
                <w:rFonts w:ascii="Verdana" w:hAnsi="Verdana" w:cs="Arial"/>
                <w:color w:val="000000" w:themeColor="text1"/>
              </w:rPr>
            </w:pPr>
            <w:r w:rsidRPr="008E4F36">
              <w:rPr>
                <w:rFonts w:ascii="Verdana" w:hAnsi="Verdana" w:cs="Arial"/>
                <w:color w:val="000000" w:themeColor="text1"/>
              </w:rPr>
              <w:t xml:space="preserve">De considerase “condiciones habilitantes”, se llegaría a la idea de que –so pena de rechazo– la participación en el procedimiento contractual está sujeta a la prueba de por lo menos una de las causales del artículo 35 de la Ley 2069 de 2020. Esta conclusión no tendría sentido, ya que es posible la acreditación de los requisitos previstos en el artículo 5.1 de la Ley 1150 de 2007, sin que la ausencia de prueba del criterio de desempate condicione la aplicación de los factores de evaluación previstos en el pliego de condiciones. Naturalmente, en caso de empate, la consecuencia es que la adjudicación se </w:t>
            </w:r>
            <w:r w:rsidRPr="008E4F36">
              <w:rPr>
                <w:rFonts w:ascii="Verdana" w:hAnsi="Verdana" w:cs="Arial"/>
                <w:color w:val="000000" w:themeColor="text1"/>
              </w:rPr>
              <w:lastRenderedPageBreak/>
              <w:t xml:space="preserve">resuelve con los participantes que acreditaron alguno de los factores, excluyendo a quienes no lo hicieron. </w:t>
            </w:r>
          </w:p>
          <w:p w14:paraId="663F4911" w14:textId="77777777" w:rsidR="0076150C" w:rsidRDefault="0076150C" w:rsidP="00E5709B">
            <w:pPr>
              <w:ind w:firstLine="709"/>
              <w:jc w:val="both"/>
              <w:rPr>
                <w:rFonts w:ascii="Verdana" w:hAnsi="Verdana" w:cs="Arial"/>
                <w:color w:val="000000" w:themeColor="text1"/>
              </w:rPr>
            </w:pPr>
          </w:p>
          <w:p w14:paraId="24E2FB34" w14:textId="77777777" w:rsidR="0076150C" w:rsidRDefault="0076150C" w:rsidP="003A075D">
            <w:pPr>
              <w:spacing w:after="120" w:line="276" w:lineRule="auto"/>
              <w:jc w:val="both"/>
              <w:rPr>
                <w:rFonts w:ascii="Verdana" w:hAnsi="Verdana" w:cs="Arial"/>
                <w:lang w:eastAsia="es-ES"/>
              </w:rPr>
            </w:pPr>
            <w:proofErr w:type="spellStart"/>
            <w:r>
              <w:rPr>
                <w:rFonts w:ascii="Verdana" w:hAnsi="Verdana" w:cs="Arial"/>
                <w:color w:val="000000" w:themeColor="text1"/>
              </w:rPr>
              <w:t>iii</w:t>
            </w:r>
            <w:proofErr w:type="spellEnd"/>
            <w:r>
              <w:rPr>
                <w:rFonts w:ascii="Verdana" w:hAnsi="Verdana" w:cs="Arial"/>
                <w:color w:val="000000" w:themeColor="text1"/>
              </w:rPr>
              <w:t>) E</w:t>
            </w:r>
            <w:r w:rsidRPr="001B1190">
              <w:rPr>
                <w:rFonts w:ascii="Verdana" w:hAnsi="Verdana" w:cs="Arial"/>
                <w:lang w:eastAsia="es-ES"/>
              </w:rPr>
              <w:t xml:space="preserve">n el marco de los procesos de contratación por mínima cuantía, las entidades gozan de autonomía para establecer la metodología que consideren más adecuada para determinar el precio o valor del contrato, siempre que esta se sustente en los estudios previos y en el análisis del sector, atendiendo a las particularidades del objeto a contratar, su naturaleza, las obligaciones y los demás aspectos de la contratación. Debido que en la mínima cuantía el único factor de escogencia es el menor precio, la metodología escogida por la entidad para definir el precio tiene una incidencia directa en la selección del contratista. </w:t>
            </w:r>
          </w:p>
          <w:p w14:paraId="4AE65F66" w14:textId="5C3652CB" w:rsidR="0076150C" w:rsidRDefault="0076150C" w:rsidP="003A075D">
            <w:pPr>
              <w:spacing w:after="120" w:line="276" w:lineRule="auto"/>
              <w:ind w:firstLine="709"/>
              <w:jc w:val="both"/>
              <w:rPr>
                <w:rFonts w:ascii="Verdana" w:hAnsi="Verdana" w:cs="Arial"/>
                <w:lang w:eastAsia="es-ES"/>
              </w:rPr>
            </w:pPr>
            <w:r w:rsidRPr="001B1190">
              <w:rPr>
                <w:rFonts w:ascii="Verdana" w:hAnsi="Verdana" w:cs="Arial"/>
                <w:lang w:eastAsia="es-ES"/>
              </w:rPr>
              <w:t xml:space="preserve">Al respecto, la Guía sobre el Uso del </w:t>
            </w:r>
            <w:proofErr w:type="spellStart"/>
            <w:r w:rsidRPr="001B1190">
              <w:rPr>
                <w:rFonts w:ascii="Verdana" w:hAnsi="Verdana" w:cs="Arial"/>
                <w:lang w:eastAsia="es-ES"/>
              </w:rPr>
              <w:t>Secop</w:t>
            </w:r>
            <w:proofErr w:type="spellEnd"/>
            <w:r w:rsidRPr="001B1190">
              <w:rPr>
                <w:rFonts w:ascii="Verdana" w:hAnsi="Verdana" w:cs="Arial"/>
                <w:lang w:eastAsia="es-ES"/>
              </w:rPr>
              <w:t xml:space="preserve"> II – Modalidades de Contratación: Mínima cuantía, en el numeral 3 referente a la edición en los procesos de contratación señala que “Si el proceso de contratación está determinado por el presupuesto oficial, y la oferta económica es por precios unitarios o porcentajes de descuento (procesos por bolsa o a monto agotable), la Entidad Estatal puede solicitar la información de la oferta económica configurando una única pregunta tipo  “Lista de precios” por el valor total a adjudicar, especificando si los proveedores deben diligenciar un formato adicional”. Como se evidencia, la posibilidad de establecer una metodología de evaluación de la oferta económica basada en porcentaje de descuento, también se encuentra validada en la plataforma del </w:t>
            </w:r>
            <w:proofErr w:type="spellStart"/>
            <w:r w:rsidRPr="001B1190">
              <w:rPr>
                <w:rFonts w:ascii="Verdana" w:hAnsi="Verdana" w:cs="Arial"/>
                <w:lang w:eastAsia="es-ES"/>
              </w:rPr>
              <w:t>Secop</w:t>
            </w:r>
            <w:proofErr w:type="spellEnd"/>
            <w:r w:rsidRPr="001B1190">
              <w:rPr>
                <w:rFonts w:ascii="Verdana" w:hAnsi="Verdana" w:cs="Arial"/>
                <w:lang w:eastAsia="es-ES"/>
              </w:rPr>
              <w:t xml:space="preserve"> II en caso de que la entidad determine el uso de esta. </w:t>
            </w:r>
          </w:p>
          <w:p w14:paraId="645A80AA" w14:textId="77777777" w:rsidR="0076150C" w:rsidRPr="00514694" w:rsidRDefault="0076150C" w:rsidP="000C1ABA">
            <w:pPr>
              <w:spacing w:line="276" w:lineRule="auto"/>
              <w:ind w:firstLine="709"/>
              <w:jc w:val="both"/>
              <w:rPr>
                <w:rFonts w:ascii="Verdana" w:hAnsi="Verdana" w:cs="Arial"/>
                <w:lang w:eastAsia="es-ES"/>
              </w:rPr>
            </w:pPr>
            <w:r w:rsidRPr="001B1190">
              <w:rPr>
                <w:rFonts w:ascii="Verdana" w:hAnsi="Verdana" w:cs="Arial"/>
                <w:lang w:eastAsia="es-ES"/>
              </w:rPr>
              <w:t>En cualquier caso, lo fundamental es que la entidad, en ejercicio de su autonomía, defina de forma clara y justificada con base en el análisis del sector la metodología a aplicar, asegurando que esta se alinee con el principio de selección objetiva y permita comparar efectivamente las ofertas con base en el menor precio, tal como lo exige la normativa aplicable a al proceso de mínima cuantía</w:t>
            </w:r>
            <w:r>
              <w:rPr>
                <w:rFonts w:ascii="Verdana" w:hAnsi="Verdana" w:cs="Arial"/>
                <w:lang w:eastAsia="es-ES"/>
              </w:rPr>
              <w:t>.</w:t>
            </w:r>
          </w:p>
        </w:tc>
      </w:tr>
    </w:tbl>
    <w:p w14:paraId="47857400" w14:textId="77777777" w:rsidR="0076150C" w:rsidRPr="008E4F36" w:rsidRDefault="0076150C" w:rsidP="0076150C">
      <w:pPr>
        <w:tabs>
          <w:tab w:val="left" w:pos="142"/>
          <w:tab w:val="left" w:pos="284"/>
        </w:tabs>
        <w:spacing w:after="0" w:line="276" w:lineRule="auto"/>
        <w:jc w:val="both"/>
        <w:rPr>
          <w:rFonts w:ascii="Verdana" w:eastAsia="Century Gothic" w:hAnsi="Verdana" w:cs="Century Gothic"/>
          <w:b/>
          <w:bCs/>
        </w:rPr>
      </w:pPr>
    </w:p>
    <w:p w14:paraId="65C0106B" w14:textId="77777777" w:rsidR="0076150C" w:rsidRPr="008E4F36" w:rsidRDefault="0076150C" w:rsidP="0076150C">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1442D2B5" w14:textId="77777777" w:rsidR="0076150C" w:rsidRPr="008E4F36" w:rsidRDefault="0076150C" w:rsidP="0076150C">
      <w:pPr>
        <w:tabs>
          <w:tab w:val="left" w:pos="142"/>
          <w:tab w:val="left" w:pos="284"/>
        </w:tabs>
        <w:spacing w:after="0" w:line="276" w:lineRule="auto"/>
        <w:jc w:val="both"/>
        <w:rPr>
          <w:rFonts w:ascii="Verdana" w:eastAsia="Century Gothic" w:hAnsi="Verdana" w:cs="Century Gothic"/>
          <w:b/>
          <w:bCs/>
        </w:rPr>
      </w:pPr>
    </w:p>
    <w:p w14:paraId="629A2A91" w14:textId="77777777" w:rsidR="0076150C" w:rsidRPr="008E4F36" w:rsidRDefault="0076150C" w:rsidP="0076150C">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8E4F36">
        <w:rPr>
          <w:rFonts w:ascii="Verdana" w:eastAsia="Calibri" w:hAnsi="Verdana" w:cs="Arial"/>
          <w:lang w:val="es-CO"/>
        </w:rPr>
        <w:t xml:space="preserve">Lo anterior se sustenta en las siguientes consideraciones: </w:t>
      </w:r>
    </w:p>
    <w:p w14:paraId="4F5FDB16" w14:textId="77777777" w:rsidR="0076150C" w:rsidRPr="008E4F36" w:rsidRDefault="0076150C" w:rsidP="0076150C">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2B64AFBD" w14:textId="77777777" w:rsidR="0076150C" w:rsidRDefault="0076150C" w:rsidP="003A075D">
      <w:pPr>
        <w:spacing w:after="120" w:line="276" w:lineRule="auto"/>
        <w:jc w:val="both"/>
        <w:rPr>
          <w:rFonts w:ascii="Verdana" w:eastAsia="Calibri" w:hAnsi="Verdana" w:cs="Arial"/>
          <w:bCs/>
          <w:color w:val="000000" w:themeColor="text1"/>
        </w:rPr>
      </w:pPr>
      <w:r w:rsidRPr="008E4F36">
        <w:rPr>
          <w:rFonts w:ascii="Verdana" w:eastAsia="Calibri" w:hAnsi="Verdana" w:cs="Arial"/>
          <w:bCs/>
          <w:color w:val="000000" w:themeColor="text1"/>
        </w:rPr>
        <w:lastRenderedPageBreak/>
        <w:t>i) El pliego de condiciones es la hoja de ruta o plan</w:t>
      </w:r>
      <w:r w:rsidRPr="008E4F36">
        <w:rPr>
          <w:rFonts w:ascii="Verdana" w:eastAsia="Calibri" w:hAnsi="Verdana" w:cs="Arial"/>
          <w:bCs/>
          <w:color w:val="000000" w:themeColor="text1"/>
          <w:vertAlign w:val="superscript"/>
        </w:rPr>
        <w:footnoteReference w:id="1"/>
      </w:r>
      <w:r w:rsidRPr="008E4F36">
        <w:rPr>
          <w:rFonts w:ascii="Verdana" w:eastAsia="Calibri" w:hAnsi="Verdana" w:cs="Arial"/>
          <w:bCs/>
          <w:color w:val="000000" w:themeColor="text1"/>
        </w:rPr>
        <w:t xml:space="preserve"> sobre el cual se diseña, estructura y concreta el procedimiento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8E4F36">
        <w:rPr>
          <w:rFonts w:ascii="Verdana" w:eastAsia="Calibri" w:hAnsi="Verdana" w:cs="Arial"/>
          <w:bCs/>
          <w:color w:val="000000" w:themeColor="text1"/>
          <w:vertAlign w:val="superscript"/>
        </w:rPr>
        <w:footnoteReference w:id="2"/>
      </w:r>
      <w:r w:rsidRPr="008E4F36">
        <w:rPr>
          <w:rFonts w:ascii="Verdana" w:eastAsia="Calibri" w:hAnsi="Verdana" w:cs="Arial"/>
          <w:bCs/>
          <w:color w:val="000000" w:themeColor="text1"/>
        </w:rPr>
        <w:t>. En este sentido, en el marco de su discrecionalidad, cada entidad debe establecer la forma como se estructura el pliego de condiciones, el cual está condicionado a la proporcionalidad de las decisiones que toma en aras de garantizar la pluralidad de oferentes y la selección objetiva.</w:t>
      </w:r>
    </w:p>
    <w:p w14:paraId="0A9EA88D" w14:textId="77777777" w:rsidR="0076150C" w:rsidRDefault="0076150C" w:rsidP="0076150C">
      <w:pPr>
        <w:spacing w:after="0" w:line="276" w:lineRule="auto"/>
        <w:ind w:firstLine="709"/>
        <w:jc w:val="both"/>
        <w:rPr>
          <w:rFonts w:ascii="Verdana" w:eastAsia="Calibri" w:hAnsi="Verdana" w:cs="Arial"/>
          <w:bCs/>
          <w:color w:val="000000" w:themeColor="text1"/>
        </w:rPr>
      </w:pPr>
      <w:r w:rsidRPr="008E4F36">
        <w:rPr>
          <w:rFonts w:ascii="Verdana" w:eastAsia="Calibri" w:hAnsi="Verdana" w:cs="Arial"/>
          <w:bCs/>
          <w:color w:val="000000" w:themeColor="text1"/>
        </w:rPr>
        <w:t xml:space="preserve">De este modo, el pliego de condiciones 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proofErr w:type="spellStart"/>
      <w:r w:rsidRPr="008E4F36">
        <w:rPr>
          <w:rFonts w:ascii="Verdana" w:eastAsia="Calibri" w:hAnsi="Verdana" w:cs="Arial"/>
          <w:bCs/>
          <w:i/>
          <w:iCs/>
          <w:color w:val="000000" w:themeColor="text1"/>
        </w:rPr>
        <w:t>iter</w:t>
      </w:r>
      <w:proofErr w:type="spellEnd"/>
      <w:r w:rsidRPr="008E4F36">
        <w:rPr>
          <w:rFonts w:ascii="Verdana" w:eastAsia="Calibri" w:hAnsi="Verdana" w:cs="Arial"/>
          <w:bCs/>
          <w:color w:val="000000" w:themeColor="text1"/>
        </w:rPr>
        <w:t xml:space="preserve"> contractual. Su contenido</w:t>
      </w:r>
      <w:r w:rsidRPr="008E4F36">
        <w:rPr>
          <w:rFonts w:ascii="Verdana" w:eastAsia="Calibri" w:hAnsi="Verdana" w:cs="Arial"/>
          <w:bCs/>
          <w:color w:val="000000" w:themeColor="text1"/>
          <w:vertAlign w:val="superscript"/>
        </w:rPr>
        <w:footnoteReference w:id="3"/>
      </w:r>
      <w:r w:rsidRPr="008E4F36">
        <w:rPr>
          <w:rFonts w:ascii="Verdana" w:eastAsia="Calibri" w:hAnsi="Verdana" w:cs="Arial"/>
          <w:bCs/>
          <w:color w:val="000000" w:themeColor="text1"/>
        </w:rPr>
        <w:t xml:space="preserve"> está previsto en el numeral 5 del artículo 24 de la Ley 80 de 1993, que establece algunas directrices que deben tenerse en cuenta en su elaboración:</w:t>
      </w:r>
    </w:p>
    <w:p w14:paraId="03B4DDFA" w14:textId="77777777" w:rsidR="0076150C" w:rsidRPr="008E4F36" w:rsidRDefault="0076150C" w:rsidP="0076150C">
      <w:pPr>
        <w:spacing w:after="0" w:line="276" w:lineRule="auto"/>
        <w:ind w:firstLine="709"/>
        <w:jc w:val="both"/>
        <w:rPr>
          <w:rFonts w:ascii="Verdana" w:eastAsia="Calibri" w:hAnsi="Verdana" w:cs="Arial"/>
          <w:bCs/>
          <w:color w:val="000000" w:themeColor="text1"/>
        </w:rPr>
      </w:pPr>
    </w:p>
    <w:p w14:paraId="4CB46E80" w14:textId="77777777" w:rsidR="0076150C" w:rsidRPr="009B2D87" w:rsidRDefault="0076150C" w:rsidP="00C87FB4">
      <w:pPr>
        <w:spacing w:after="0" w:line="276" w:lineRule="auto"/>
        <w:ind w:left="709" w:right="709"/>
        <w:jc w:val="both"/>
        <w:rPr>
          <w:rFonts w:ascii="Verdana" w:eastAsia="Calibri" w:hAnsi="Verdana" w:cs="Arial"/>
          <w:bCs/>
          <w:color w:val="000000" w:themeColor="text1"/>
          <w:sz w:val="20"/>
          <w:szCs w:val="20"/>
        </w:rPr>
      </w:pPr>
      <w:r w:rsidRPr="009B2D87">
        <w:rPr>
          <w:rFonts w:ascii="Verdana" w:eastAsia="Calibri" w:hAnsi="Verdana" w:cs="Arial"/>
          <w:bCs/>
          <w:color w:val="000000" w:themeColor="text1"/>
          <w:sz w:val="20"/>
          <w:szCs w:val="20"/>
        </w:rPr>
        <w:t>“[…] 5o. En los pliegos de condiciones:</w:t>
      </w:r>
    </w:p>
    <w:p w14:paraId="4100048F" w14:textId="77777777" w:rsidR="0076150C" w:rsidRPr="009B2D87" w:rsidRDefault="0076150C" w:rsidP="00C87FB4">
      <w:pPr>
        <w:spacing w:after="0" w:line="276" w:lineRule="auto"/>
        <w:ind w:left="709" w:right="709"/>
        <w:jc w:val="both"/>
        <w:rPr>
          <w:rFonts w:ascii="Verdana" w:eastAsia="Calibri" w:hAnsi="Verdana" w:cs="Arial"/>
          <w:bCs/>
          <w:color w:val="000000" w:themeColor="text1"/>
          <w:sz w:val="20"/>
          <w:szCs w:val="20"/>
        </w:rPr>
      </w:pPr>
    </w:p>
    <w:p w14:paraId="38BBB68B" w14:textId="77777777" w:rsidR="0076150C" w:rsidRPr="009B2D87" w:rsidRDefault="0076150C" w:rsidP="00C87FB4">
      <w:pPr>
        <w:numPr>
          <w:ilvl w:val="2"/>
          <w:numId w:val="18"/>
        </w:numPr>
        <w:spacing w:after="0" w:line="276" w:lineRule="auto"/>
        <w:ind w:left="709" w:right="709" w:firstLine="0"/>
        <w:jc w:val="both"/>
        <w:rPr>
          <w:rFonts w:ascii="Verdana" w:eastAsia="Calibri" w:hAnsi="Verdana" w:cs="Arial"/>
          <w:bCs/>
          <w:color w:val="000000" w:themeColor="text1"/>
          <w:sz w:val="20"/>
          <w:szCs w:val="20"/>
        </w:rPr>
      </w:pPr>
      <w:r w:rsidRPr="009B2D87">
        <w:rPr>
          <w:rFonts w:ascii="Verdana" w:eastAsia="Calibri" w:hAnsi="Verdana" w:cs="Arial"/>
          <w:bCs/>
          <w:color w:val="000000" w:themeColor="text1"/>
          <w:sz w:val="20"/>
          <w:szCs w:val="20"/>
        </w:rPr>
        <w:t>Se indicarán los requisitos objetivos necesarios para participar en el correspondiente proceso de selección.</w:t>
      </w:r>
    </w:p>
    <w:p w14:paraId="1456CF1C" w14:textId="77777777" w:rsidR="0076150C" w:rsidRPr="009B2D87" w:rsidRDefault="0076150C" w:rsidP="00C87FB4">
      <w:pPr>
        <w:numPr>
          <w:ilvl w:val="2"/>
          <w:numId w:val="18"/>
        </w:numPr>
        <w:spacing w:after="0" w:line="276" w:lineRule="auto"/>
        <w:ind w:left="709" w:right="709" w:firstLine="0"/>
        <w:jc w:val="both"/>
        <w:rPr>
          <w:rFonts w:ascii="Verdana" w:eastAsia="Calibri" w:hAnsi="Verdana" w:cs="Arial"/>
          <w:bCs/>
          <w:color w:val="000000" w:themeColor="text1"/>
          <w:sz w:val="20"/>
          <w:szCs w:val="20"/>
        </w:rPr>
      </w:pPr>
      <w:r w:rsidRPr="009B2D87">
        <w:rPr>
          <w:rFonts w:ascii="Verdana" w:eastAsia="Calibri" w:hAnsi="Verdana" w:cs="Arial"/>
          <w:bCs/>
          <w:color w:val="000000" w:themeColor="text1"/>
          <w:sz w:val="20"/>
          <w:szCs w:val="20"/>
        </w:rPr>
        <w:t>Se definirán reglas objetivas, justas, claras y completas que permitan la confección de ofrecimientos de la misma índole, aseguren una escogencia objetiva y eviten las declaratorias de desierta de la licitación.</w:t>
      </w:r>
    </w:p>
    <w:p w14:paraId="61542C21" w14:textId="77777777" w:rsidR="0076150C" w:rsidRPr="009B2D87" w:rsidRDefault="0076150C" w:rsidP="00C87FB4">
      <w:pPr>
        <w:numPr>
          <w:ilvl w:val="2"/>
          <w:numId w:val="18"/>
        </w:numPr>
        <w:spacing w:after="0" w:line="276" w:lineRule="auto"/>
        <w:ind w:left="709" w:right="709" w:firstLine="0"/>
        <w:jc w:val="both"/>
        <w:rPr>
          <w:rFonts w:ascii="Verdana" w:eastAsia="Calibri" w:hAnsi="Verdana" w:cs="Arial"/>
          <w:bCs/>
          <w:color w:val="000000" w:themeColor="text1"/>
          <w:sz w:val="20"/>
          <w:szCs w:val="20"/>
        </w:rPr>
      </w:pPr>
      <w:r w:rsidRPr="009B2D87">
        <w:rPr>
          <w:rFonts w:ascii="Verdana" w:eastAsia="Calibri" w:hAnsi="Verdana" w:cs="Arial"/>
          <w:bCs/>
          <w:color w:val="000000" w:themeColor="text1"/>
          <w:sz w:val="20"/>
          <w:szCs w:val="20"/>
        </w:rPr>
        <w:t>Se definirán con precisión las condiciones de costo y calidad de los bienes, obras o servicios necesarios para la ejecución del objeto del contrato.</w:t>
      </w:r>
    </w:p>
    <w:p w14:paraId="752DC859" w14:textId="77777777" w:rsidR="0076150C" w:rsidRPr="009B2D87" w:rsidRDefault="0076150C" w:rsidP="00C87FB4">
      <w:pPr>
        <w:numPr>
          <w:ilvl w:val="2"/>
          <w:numId w:val="18"/>
        </w:numPr>
        <w:spacing w:after="0" w:line="276" w:lineRule="auto"/>
        <w:ind w:left="709" w:right="709" w:firstLine="0"/>
        <w:jc w:val="both"/>
        <w:rPr>
          <w:rFonts w:ascii="Verdana" w:eastAsia="Calibri" w:hAnsi="Verdana" w:cs="Arial"/>
          <w:bCs/>
          <w:color w:val="000000" w:themeColor="text1"/>
          <w:sz w:val="20"/>
          <w:szCs w:val="20"/>
        </w:rPr>
      </w:pPr>
      <w:r w:rsidRPr="009B2D87">
        <w:rPr>
          <w:rFonts w:ascii="Verdana" w:eastAsia="Calibri" w:hAnsi="Verdana" w:cs="Arial"/>
          <w:bCs/>
          <w:color w:val="000000" w:themeColor="text1"/>
          <w:sz w:val="20"/>
          <w:szCs w:val="20"/>
        </w:rPr>
        <w:t>No se incluirán condiciones y exigencias de imposible cumplimiento, ni exenciones de la responsabilidad derivada de los datos, informes y documentos que se suministren.</w:t>
      </w:r>
    </w:p>
    <w:p w14:paraId="786C00C7" w14:textId="77777777" w:rsidR="0076150C" w:rsidRPr="009B2D87" w:rsidRDefault="0076150C" w:rsidP="00C87FB4">
      <w:pPr>
        <w:numPr>
          <w:ilvl w:val="2"/>
          <w:numId w:val="18"/>
        </w:numPr>
        <w:spacing w:after="0" w:line="276" w:lineRule="auto"/>
        <w:ind w:left="709" w:right="709" w:firstLine="0"/>
        <w:jc w:val="both"/>
        <w:rPr>
          <w:rFonts w:ascii="Verdana" w:eastAsia="Calibri" w:hAnsi="Verdana" w:cs="Arial"/>
          <w:bCs/>
          <w:color w:val="000000" w:themeColor="text1"/>
          <w:sz w:val="20"/>
          <w:szCs w:val="20"/>
        </w:rPr>
      </w:pPr>
      <w:r w:rsidRPr="009B2D87">
        <w:rPr>
          <w:rFonts w:ascii="Verdana" w:eastAsia="Calibri" w:hAnsi="Verdana" w:cs="Arial"/>
          <w:bCs/>
          <w:color w:val="000000" w:themeColor="text1"/>
          <w:sz w:val="20"/>
          <w:szCs w:val="20"/>
        </w:rPr>
        <w:lastRenderedPageBreak/>
        <w:t>Se definirán reglas que no induzcan a error a los proponentes y contratistas y que impidan la Formulación de ofrecimientos de extensión ilimitada o que dependan de la voluntad exclusiva de la entidad.</w:t>
      </w:r>
    </w:p>
    <w:p w14:paraId="6266DBA2" w14:textId="77777777" w:rsidR="0076150C" w:rsidRPr="009B2D87" w:rsidRDefault="0076150C" w:rsidP="00C87FB4">
      <w:pPr>
        <w:numPr>
          <w:ilvl w:val="2"/>
          <w:numId w:val="18"/>
        </w:numPr>
        <w:spacing w:after="0" w:line="276" w:lineRule="auto"/>
        <w:ind w:left="709" w:right="709" w:firstLine="0"/>
        <w:jc w:val="both"/>
        <w:rPr>
          <w:rFonts w:ascii="Verdana" w:eastAsia="Calibri" w:hAnsi="Verdana" w:cs="Arial"/>
          <w:bCs/>
          <w:color w:val="000000" w:themeColor="text1"/>
          <w:sz w:val="20"/>
          <w:szCs w:val="20"/>
        </w:rPr>
      </w:pPr>
      <w:r w:rsidRPr="009B2D87">
        <w:rPr>
          <w:rFonts w:ascii="Verdana" w:eastAsia="Calibri" w:hAnsi="Verdana" w:cs="Arial"/>
          <w:bCs/>
          <w:color w:val="000000" w:themeColor="text1"/>
          <w:sz w:val="20"/>
          <w:szCs w:val="20"/>
        </w:rPr>
        <w:t>Se definirá el plazo para la liquidación del contrato, cuando a ello hubiere lugar, teniendo en cuenta su objeto, naturaleza y cuantía.</w:t>
      </w:r>
    </w:p>
    <w:p w14:paraId="1F04D41C" w14:textId="77777777" w:rsidR="0076150C" w:rsidRPr="009B2D87" w:rsidRDefault="0076150C" w:rsidP="00C87FB4">
      <w:pPr>
        <w:numPr>
          <w:ilvl w:val="2"/>
          <w:numId w:val="18"/>
        </w:numPr>
        <w:spacing w:after="0" w:line="276" w:lineRule="auto"/>
        <w:ind w:left="709" w:right="709" w:firstLine="0"/>
        <w:jc w:val="both"/>
        <w:rPr>
          <w:rFonts w:ascii="Verdana" w:eastAsia="Calibri" w:hAnsi="Verdana" w:cs="Arial"/>
          <w:bCs/>
          <w:color w:val="000000" w:themeColor="text1"/>
          <w:sz w:val="20"/>
          <w:szCs w:val="20"/>
        </w:rPr>
      </w:pPr>
      <w:r w:rsidRPr="009B2D87">
        <w:rPr>
          <w:rFonts w:ascii="Verdana" w:eastAsia="Calibri" w:hAnsi="Verdana" w:cs="Arial"/>
          <w:bCs/>
          <w:color w:val="000000" w:themeColor="text1"/>
          <w:sz w:val="20"/>
          <w:szCs w:val="20"/>
        </w:rPr>
        <w:t>Serán ineficaces de pleno derecho las estipulaciones de los pliegos y de los contratos que contravengan lo dispuesto en este numeral, o dispongan renuncias a reclamaciones por la ocurrencia de los hechos aquí enunciados”.</w:t>
      </w:r>
    </w:p>
    <w:p w14:paraId="1749EC20" w14:textId="77777777" w:rsidR="0076150C" w:rsidRPr="008E4F36" w:rsidRDefault="0076150C" w:rsidP="00C87FB4">
      <w:pPr>
        <w:spacing w:after="0" w:line="276" w:lineRule="auto"/>
        <w:ind w:left="799"/>
        <w:jc w:val="both"/>
        <w:rPr>
          <w:rFonts w:ascii="Verdana" w:eastAsia="Calibri" w:hAnsi="Verdana" w:cs="Arial"/>
          <w:bCs/>
          <w:color w:val="000000" w:themeColor="text1"/>
        </w:rPr>
      </w:pPr>
    </w:p>
    <w:p w14:paraId="09F432B6" w14:textId="77777777" w:rsidR="0076150C" w:rsidRPr="008E4F36" w:rsidRDefault="0076150C" w:rsidP="0076150C">
      <w:pPr>
        <w:spacing w:after="0" w:line="276" w:lineRule="auto"/>
        <w:ind w:firstLine="709"/>
        <w:jc w:val="both"/>
        <w:rPr>
          <w:rFonts w:ascii="Verdana" w:eastAsia="Calibri" w:hAnsi="Verdana" w:cs="Arial"/>
        </w:rPr>
      </w:pPr>
      <w:r w:rsidRPr="008E4F36">
        <w:rPr>
          <w:rFonts w:ascii="Verdana" w:eastAsia="Calibri" w:hAnsi="Verdana" w:cs="Arial"/>
        </w:rPr>
        <w:t xml:space="preserve">El artículo 2.2.1.1.2.1.3 del Decreto 1082 de 2015 desarrolló el contenido mínimo de los pliegos de condiciones, en los siguientes términos: </w:t>
      </w:r>
    </w:p>
    <w:p w14:paraId="784A3499" w14:textId="77777777" w:rsidR="0076150C" w:rsidRPr="008E4F36" w:rsidRDefault="0076150C" w:rsidP="00C87FB4">
      <w:pPr>
        <w:tabs>
          <w:tab w:val="right" w:pos="8222"/>
        </w:tabs>
        <w:spacing w:after="0" w:line="276" w:lineRule="auto"/>
        <w:ind w:left="567"/>
        <w:jc w:val="both"/>
        <w:rPr>
          <w:rFonts w:ascii="Verdana" w:eastAsia="Calibri" w:hAnsi="Verdana" w:cs="Arial"/>
          <w:b/>
          <w:bCs/>
        </w:rPr>
      </w:pPr>
    </w:p>
    <w:p w14:paraId="51D0D288" w14:textId="74BE8B35" w:rsidR="0076150C" w:rsidRDefault="00F0449E" w:rsidP="00C87FB4">
      <w:pPr>
        <w:tabs>
          <w:tab w:val="right" w:pos="8222"/>
        </w:tabs>
        <w:spacing w:after="0" w:line="276" w:lineRule="auto"/>
        <w:ind w:left="709" w:right="709"/>
        <w:jc w:val="both"/>
        <w:rPr>
          <w:rFonts w:ascii="Verdana" w:eastAsia="Calibri" w:hAnsi="Verdana" w:cs="Arial"/>
          <w:sz w:val="20"/>
          <w:szCs w:val="20"/>
        </w:rPr>
      </w:pPr>
      <w:r>
        <w:rPr>
          <w:rFonts w:ascii="Verdana" w:eastAsia="Calibri" w:hAnsi="Verdana" w:cs="Arial"/>
          <w:b/>
          <w:bCs/>
          <w:sz w:val="20"/>
          <w:szCs w:val="20"/>
        </w:rPr>
        <w:t>“</w:t>
      </w:r>
      <w:r w:rsidR="0076150C" w:rsidRPr="009B2D87">
        <w:rPr>
          <w:rFonts w:ascii="Verdana" w:eastAsia="Calibri" w:hAnsi="Verdana" w:cs="Arial"/>
          <w:b/>
          <w:bCs/>
          <w:sz w:val="20"/>
          <w:szCs w:val="20"/>
        </w:rPr>
        <w:t>Artículo 2.2.1.1.2.1.3. </w:t>
      </w:r>
      <w:r w:rsidR="0076150C" w:rsidRPr="009B2D87">
        <w:rPr>
          <w:rFonts w:ascii="Verdana" w:eastAsia="Calibri" w:hAnsi="Verdana" w:cs="Arial"/>
          <w:b/>
          <w:bCs/>
          <w:i/>
          <w:iCs/>
          <w:sz w:val="20"/>
          <w:szCs w:val="20"/>
        </w:rPr>
        <w:t>Pliegos de condiciones.</w:t>
      </w:r>
      <w:r w:rsidR="0076150C" w:rsidRPr="009B2D87">
        <w:rPr>
          <w:rFonts w:ascii="Verdana" w:eastAsia="Calibri" w:hAnsi="Verdana" w:cs="Arial"/>
          <w:sz w:val="20"/>
          <w:szCs w:val="20"/>
        </w:rPr>
        <w:t> Los pliegos de condiciones deben contener por lo menos la siguiente información: </w:t>
      </w:r>
    </w:p>
    <w:p w14:paraId="53299C79" w14:textId="77777777" w:rsidR="0076150C" w:rsidRPr="009B2D87" w:rsidRDefault="0076150C" w:rsidP="00C87FB4">
      <w:pPr>
        <w:tabs>
          <w:tab w:val="right" w:pos="8222"/>
        </w:tabs>
        <w:spacing w:after="0" w:line="276" w:lineRule="auto"/>
        <w:ind w:left="709" w:right="709"/>
        <w:jc w:val="both"/>
        <w:rPr>
          <w:rFonts w:ascii="Verdana" w:eastAsia="Calibri" w:hAnsi="Verdana" w:cs="Arial"/>
          <w:sz w:val="20"/>
          <w:szCs w:val="20"/>
        </w:rPr>
      </w:pPr>
    </w:p>
    <w:p w14:paraId="7E64AB77" w14:textId="77777777" w:rsidR="0076150C" w:rsidRDefault="0076150C" w:rsidP="00C87FB4">
      <w:pPr>
        <w:tabs>
          <w:tab w:val="right" w:pos="8222"/>
        </w:tabs>
        <w:spacing w:after="0" w:line="240" w:lineRule="auto"/>
        <w:ind w:left="709" w:right="709"/>
        <w:jc w:val="both"/>
        <w:rPr>
          <w:rFonts w:ascii="Verdana" w:eastAsia="Calibri" w:hAnsi="Verdana" w:cs="Arial"/>
          <w:sz w:val="20"/>
          <w:szCs w:val="20"/>
        </w:rPr>
      </w:pPr>
      <w:r w:rsidRPr="009B2D87">
        <w:rPr>
          <w:rFonts w:ascii="Verdana" w:eastAsia="Calibri" w:hAnsi="Verdana" w:cs="Arial"/>
          <w:sz w:val="20"/>
          <w:szCs w:val="20"/>
        </w:rPr>
        <w:t xml:space="preserve">1. La descripción técnica, detallada y completa del bien o servicio objeto del contrato, identificado con el cuarto nivel del Clasificador de Bienes y Servicios, de ser posible o de lo contrario con el tercer nivel </w:t>
      </w:r>
      <w:proofErr w:type="gramStart"/>
      <w:r w:rsidRPr="009B2D87">
        <w:rPr>
          <w:rFonts w:ascii="Verdana" w:eastAsia="Calibri" w:hAnsi="Verdana" w:cs="Arial"/>
          <w:sz w:val="20"/>
          <w:szCs w:val="20"/>
        </w:rPr>
        <w:t>del mismo</w:t>
      </w:r>
      <w:proofErr w:type="gramEnd"/>
      <w:r w:rsidRPr="009B2D87">
        <w:rPr>
          <w:rFonts w:ascii="Verdana" w:eastAsia="Calibri" w:hAnsi="Verdana" w:cs="Arial"/>
          <w:sz w:val="20"/>
          <w:szCs w:val="20"/>
        </w:rPr>
        <w:t>. </w:t>
      </w:r>
    </w:p>
    <w:p w14:paraId="7712E871" w14:textId="77777777" w:rsidR="0076150C" w:rsidRPr="009B2D87" w:rsidRDefault="0076150C" w:rsidP="00C87FB4">
      <w:pPr>
        <w:tabs>
          <w:tab w:val="right" w:pos="8222"/>
        </w:tabs>
        <w:spacing w:after="0" w:line="240" w:lineRule="auto"/>
        <w:ind w:left="709" w:right="709"/>
        <w:jc w:val="both"/>
        <w:rPr>
          <w:rFonts w:ascii="Verdana" w:eastAsia="Calibri" w:hAnsi="Verdana" w:cs="Arial"/>
          <w:sz w:val="20"/>
          <w:szCs w:val="20"/>
        </w:rPr>
      </w:pPr>
    </w:p>
    <w:p w14:paraId="2B6C2CC4" w14:textId="77777777" w:rsidR="0076150C" w:rsidRPr="009B2D87" w:rsidRDefault="0076150C" w:rsidP="00C87FB4">
      <w:pPr>
        <w:tabs>
          <w:tab w:val="right" w:pos="8222"/>
        </w:tabs>
        <w:spacing w:after="0" w:line="240" w:lineRule="auto"/>
        <w:ind w:left="709" w:right="709"/>
        <w:jc w:val="both"/>
        <w:rPr>
          <w:rFonts w:ascii="Verdana" w:eastAsia="Calibri" w:hAnsi="Verdana" w:cs="Arial"/>
          <w:sz w:val="20"/>
          <w:szCs w:val="20"/>
        </w:rPr>
      </w:pPr>
      <w:r w:rsidRPr="009B2D87">
        <w:rPr>
          <w:rFonts w:ascii="Verdana" w:eastAsia="Calibri" w:hAnsi="Verdana" w:cs="Arial"/>
          <w:sz w:val="20"/>
          <w:szCs w:val="20"/>
        </w:rPr>
        <w:t>2. La modalidad del proceso de selección y su justificación. </w:t>
      </w:r>
    </w:p>
    <w:p w14:paraId="6FFE1C77" w14:textId="77777777" w:rsidR="0076150C" w:rsidRDefault="0076150C" w:rsidP="00C87FB4">
      <w:pPr>
        <w:tabs>
          <w:tab w:val="right" w:pos="8222"/>
        </w:tabs>
        <w:spacing w:after="0" w:line="240" w:lineRule="auto"/>
        <w:ind w:left="709" w:right="709"/>
        <w:jc w:val="both"/>
        <w:rPr>
          <w:rFonts w:ascii="Verdana" w:eastAsia="Calibri" w:hAnsi="Verdana" w:cs="Arial"/>
          <w:b/>
          <w:bCs/>
          <w:sz w:val="20"/>
          <w:szCs w:val="20"/>
          <w:u w:val="single"/>
        </w:rPr>
      </w:pPr>
      <w:r w:rsidRPr="009B2D87">
        <w:rPr>
          <w:rFonts w:ascii="Verdana" w:eastAsia="Calibri" w:hAnsi="Verdana" w:cs="Arial"/>
          <w:b/>
          <w:bCs/>
          <w:sz w:val="20"/>
          <w:szCs w:val="20"/>
          <w:u w:val="single"/>
        </w:rPr>
        <w:t>3. Los criterios de selección, incluyendo los factores de desempate y los incentivos cuando a ello haya lugar. </w:t>
      </w:r>
    </w:p>
    <w:p w14:paraId="0296E317" w14:textId="77777777" w:rsidR="0076150C" w:rsidRPr="009B2D87" w:rsidRDefault="0076150C" w:rsidP="00C87FB4">
      <w:pPr>
        <w:tabs>
          <w:tab w:val="right" w:pos="8222"/>
        </w:tabs>
        <w:spacing w:after="0" w:line="240" w:lineRule="auto"/>
        <w:ind w:left="709" w:right="709"/>
        <w:jc w:val="both"/>
        <w:rPr>
          <w:rFonts w:ascii="Verdana" w:eastAsia="Calibri" w:hAnsi="Verdana" w:cs="Arial"/>
          <w:b/>
          <w:bCs/>
          <w:sz w:val="20"/>
          <w:szCs w:val="20"/>
          <w:u w:val="single"/>
        </w:rPr>
      </w:pPr>
    </w:p>
    <w:p w14:paraId="7192A585" w14:textId="77777777" w:rsidR="0076150C" w:rsidRDefault="0076150C" w:rsidP="00C87FB4">
      <w:pPr>
        <w:tabs>
          <w:tab w:val="right" w:pos="8222"/>
        </w:tabs>
        <w:spacing w:after="0" w:line="240" w:lineRule="auto"/>
        <w:ind w:left="709" w:right="709"/>
        <w:jc w:val="both"/>
        <w:rPr>
          <w:rFonts w:ascii="Verdana" w:eastAsia="Calibri" w:hAnsi="Verdana" w:cs="Arial"/>
          <w:sz w:val="20"/>
          <w:szCs w:val="20"/>
        </w:rPr>
      </w:pPr>
      <w:r w:rsidRPr="009B2D87">
        <w:rPr>
          <w:rFonts w:ascii="Verdana" w:eastAsia="Calibri" w:hAnsi="Verdana" w:cs="Arial"/>
          <w:sz w:val="20"/>
          <w:szCs w:val="20"/>
        </w:rPr>
        <w:t>4. Las condiciones de costo y/o calidad que la Entidad Estatal debe tener en cuenta para la selección objetiva, de acuerdo con la modalidad de selección del contratista. </w:t>
      </w:r>
    </w:p>
    <w:p w14:paraId="21E4DA0E" w14:textId="77777777" w:rsidR="0076150C" w:rsidRPr="009B2D87" w:rsidRDefault="0076150C" w:rsidP="00C87FB4">
      <w:pPr>
        <w:tabs>
          <w:tab w:val="right" w:pos="8222"/>
        </w:tabs>
        <w:spacing w:after="0" w:line="240" w:lineRule="auto"/>
        <w:ind w:left="709" w:right="709"/>
        <w:jc w:val="both"/>
        <w:rPr>
          <w:rFonts w:ascii="Verdana" w:eastAsia="Calibri" w:hAnsi="Verdana" w:cs="Arial"/>
          <w:sz w:val="20"/>
          <w:szCs w:val="20"/>
        </w:rPr>
      </w:pPr>
    </w:p>
    <w:p w14:paraId="638E0381" w14:textId="77777777" w:rsidR="0076150C" w:rsidRDefault="0076150C" w:rsidP="00C87FB4">
      <w:pPr>
        <w:tabs>
          <w:tab w:val="right" w:pos="8222"/>
        </w:tabs>
        <w:spacing w:after="0" w:line="240" w:lineRule="auto"/>
        <w:ind w:left="709" w:right="709"/>
        <w:jc w:val="both"/>
        <w:rPr>
          <w:rFonts w:ascii="Verdana" w:eastAsia="Calibri" w:hAnsi="Verdana" w:cs="Arial"/>
          <w:b/>
          <w:bCs/>
          <w:sz w:val="20"/>
          <w:szCs w:val="20"/>
          <w:u w:val="single"/>
        </w:rPr>
      </w:pPr>
      <w:r w:rsidRPr="009B2D87">
        <w:rPr>
          <w:rFonts w:ascii="Verdana" w:eastAsia="Calibri" w:hAnsi="Verdana" w:cs="Arial"/>
          <w:b/>
          <w:bCs/>
          <w:sz w:val="20"/>
          <w:szCs w:val="20"/>
          <w:u w:val="single"/>
        </w:rPr>
        <w:t>5. Las reglas aplicables a la presentación de las ofertas, su evaluación y a la adjudicación del contrato. </w:t>
      </w:r>
    </w:p>
    <w:p w14:paraId="5A296373" w14:textId="77777777" w:rsidR="0076150C" w:rsidRPr="009B2D87" w:rsidRDefault="0076150C" w:rsidP="00C87FB4">
      <w:pPr>
        <w:tabs>
          <w:tab w:val="right" w:pos="8222"/>
        </w:tabs>
        <w:spacing w:after="0" w:line="240" w:lineRule="auto"/>
        <w:ind w:left="709" w:right="709"/>
        <w:jc w:val="both"/>
        <w:rPr>
          <w:rFonts w:ascii="Verdana" w:eastAsia="Calibri" w:hAnsi="Verdana" w:cs="Arial"/>
          <w:b/>
          <w:bCs/>
          <w:sz w:val="20"/>
          <w:szCs w:val="20"/>
          <w:u w:val="single"/>
        </w:rPr>
      </w:pPr>
    </w:p>
    <w:p w14:paraId="00D908B9" w14:textId="77777777" w:rsidR="0076150C" w:rsidRDefault="0076150C" w:rsidP="00C87FB4">
      <w:pPr>
        <w:tabs>
          <w:tab w:val="right" w:pos="8222"/>
        </w:tabs>
        <w:spacing w:after="0" w:line="240" w:lineRule="auto"/>
        <w:ind w:left="709" w:right="709"/>
        <w:jc w:val="both"/>
        <w:rPr>
          <w:rFonts w:ascii="Verdana" w:eastAsia="Calibri" w:hAnsi="Verdana" w:cs="Arial"/>
          <w:sz w:val="20"/>
          <w:szCs w:val="20"/>
        </w:rPr>
      </w:pPr>
      <w:r w:rsidRPr="009B2D87">
        <w:rPr>
          <w:rFonts w:ascii="Verdana" w:eastAsia="Calibri" w:hAnsi="Verdana" w:cs="Arial"/>
          <w:sz w:val="20"/>
          <w:szCs w:val="20"/>
        </w:rPr>
        <w:t>6. Las causas que dan lugar a rechazar una oferta. </w:t>
      </w:r>
    </w:p>
    <w:p w14:paraId="213061CC" w14:textId="77777777" w:rsidR="0076150C" w:rsidRPr="009B2D87" w:rsidRDefault="0076150C" w:rsidP="00C87FB4">
      <w:pPr>
        <w:tabs>
          <w:tab w:val="right" w:pos="8222"/>
        </w:tabs>
        <w:spacing w:after="0" w:line="240" w:lineRule="auto"/>
        <w:ind w:left="709" w:right="709"/>
        <w:jc w:val="both"/>
        <w:rPr>
          <w:rFonts w:ascii="Verdana" w:eastAsia="Calibri" w:hAnsi="Verdana" w:cs="Arial"/>
          <w:sz w:val="20"/>
          <w:szCs w:val="20"/>
        </w:rPr>
      </w:pPr>
    </w:p>
    <w:p w14:paraId="5824989D" w14:textId="77777777" w:rsidR="0076150C" w:rsidRDefault="0076150C" w:rsidP="00C87FB4">
      <w:pPr>
        <w:tabs>
          <w:tab w:val="right" w:pos="8222"/>
        </w:tabs>
        <w:spacing w:after="0" w:line="240" w:lineRule="auto"/>
        <w:ind w:left="709" w:right="709"/>
        <w:jc w:val="both"/>
        <w:rPr>
          <w:rFonts w:ascii="Verdana" w:eastAsia="Calibri" w:hAnsi="Verdana" w:cs="Arial"/>
          <w:sz w:val="20"/>
          <w:szCs w:val="20"/>
        </w:rPr>
      </w:pPr>
      <w:r w:rsidRPr="009B2D87">
        <w:rPr>
          <w:rFonts w:ascii="Verdana" w:eastAsia="Calibri" w:hAnsi="Verdana" w:cs="Arial"/>
          <w:sz w:val="20"/>
          <w:szCs w:val="20"/>
        </w:rPr>
        <w:t>7. El valor del contrato, el plazo, el cronograma de pagos y la determinación de si debe haber lugar a la entrega de anticipo, y si hubiere, indicar su valor, el cual debe tener en cuenta los rendimientos que este pueda generar. </w:t>
      </w:r>
    </w:p>
    <w:p w14:paraId="0EFFABA6" w14:textId="77777777" w:rsidR="0076150C" w:rsidRPr="009B2D87" w:rsidRDefault="0076150C" w:rsidP="00C87FB4">
      <w:pPr>
        <w:tabs>
          <w:tab w:val="right" w:pos="8222"/>
        </w:tabs>
        <w:spacing w:after="0" w:line="240" w:lineRule="auto"/>
        <w:ind w:left="709" w:right="709"/>
        <w:jc w:val="both"/>
        <w:rPr>
          <w:rFonts w:ascii="Verdana" w:eastAsia="Calibri" w:hAnsi="Verdana" w:cs="Arial"/>
          <w:sz w:val="20"/>
          <w:szCs w:val="20"/>
        </w:rPr>
      </w:pPr>
    </w:p>
    <w:p w14:paraId="0168AA9E" w14:textId="77777777" w:rsidR="0076150C" w:rsidRDefault="0076150C" w:rsidP="00C87FB4">
      <w:pPr>
        <w:tabs>
          <w:tab w:val="right" w:pos="8222"/>
        </w:tabs>
        <w:spacing w:after="0" w:line="240" w:lineRule="auto"/>
        <w:ind w:left="709" w:right="709"/>
        <w:jc w:val="both"/>
        <w:rPr>
          <w:rFonts w:ascii="Verdana" w:eastAsia="Calibri" w:hAnsi="Verdana" w:cs="Arial"/>
          <w:sz w:val="20"/>
          <w:szCs w:val="20"/>
        </w:rPr>
      </w:pPr>
      <w:r w:rsidRPr="009B2D87">
        <w:rPr>
          <w:rFonts w:ascii="Verdana" w:eastAsia="Calibri" w:hAnsi="Verdana" w:cs="Arial"/>
          <w:sz w:val="20"/>
          <w:szCs w:val="20"/>
        </w:rPr>
        <w:t>8. Los Riesgos asociados al contrato, la forma de mitigarlos y la asignación del Riesgo entre las partes contratantes. </w:t>
      </w:r>
    </w:p>
    <w:p w14:paraId="2766226D" w14:textId="77777777" w:rsidR="0076150C" w:rsidRPr="009B2D87" w:rsidRDefault="0076150C" w:rsidP="00C87FB4">
      <w:pPr>
        <w:tabs>
          <w:tab w:val="right" w:pos="8222"/>
        </w:tabs>
        <w:spacing w:after="0" w:line="240" w:lineRule="auto"/>
        <w:ind w:left="709" w:right="709"/>
        <w:jc w:val="both"/>
        <w:rPr>
          <w:rFonts w:ascii="Verdana" w:eastAsia="Calibri" w:hAnsi="Verdana" w:cs="Arial"/>
          <w:sz w:val="20"/>
          <w:szCs w:val="20"/>
        </w:rPr>
      </w:pPr>
    </w:p>
    <w:p w14:paraId="14437DD4" w14:textId="77777777" w:rsidR="0076150C" w:rsidRDefault="0076150C" w:rsidP="00C87FB4">
      <w:pPr>
        <w:tabs>
          <w:tab w:val="right" w:pos="8222"/>
        </w:tabs>
        <w:spacing w:after="0" w:line="240" w:lineRule="auto"/>
        <w:ind w:left="709" w:right="709"/>
        <w:jc w:val="both"/>
        <w:rPr>
          <w:rFonts w:ascii="Verdana" w:eastAsia="Calibri" w:hAnsi="Verdana" w:cs="Arial"/>
          <w:sz w:val="20"/>
          <w:szCs w:val="20"/>
        </w:rPr>
      </w:pPr>
      <w:r w:rsidRPr="009B2D87">
        <w:rPr>
          <w:rFonts w:ascii="Verdana" w:eastAsia="Calibri" w:hAnsi="Verdana" w:cs="Arial"/>
          <w:sz w:val="20"/>
          <w:szCs w:val="20"/>
        </w:rPr>
        <w:t>9. Las garantías exigidas en el Proceso de Contratación y sus condiciones. </w:t>
      </w:r>
    </w:p>
    <w:p w14:paraId="7C3EDEE7" w14:textId="77777777" w:rsidR="0076150C" w:rsidRPr="009B2D87" w:rsidRDefault="0076150C" w:rsidP="00C87FB4">
      <w:pPr>
        <w:tabs>
          <w:tab w:val="right" w:pos="8222"/>
        </w:tabs>
        <w:spacing w:after="0" w:line="240" w:lineRule="auto"/>
        <w:ind w:left="709" w:right="709"/>
        <w:jc w:val="both"/>
        <w:rPr>
          <w:rFonts w:ascii="Verdana" w:eastAsia="Calibri" w:hAnsi="Verdana" w:cs="Arial"/>
          <w:sz w:val="20"/>
          <w:szCs w:val="20"/>
        </w:rPr>
      </w:pPr>
    </w:p>
    <w:p w14:paraId="12FA44E9" w14:textId="77777777" w:rsidR="0076150C" w:rsidRDefault="0076150C" w:rsidP="00C87FB4">
      <w:pPr>
        <w:tabs>
          <w:tab w:val="right" w:pos="8222"/>
        </w:tabs>
        <w:spacing w:after="0" w:line="240" w:lineRule="auto"/>
        <w:ind w:left="709" w:right="709"/>
        <w:jc w:val="both"/>
        <w:rPr>
          <w:rFonts w:ascii="Verdana" w:eastAsia="Calibri" w:hAnsi="Verdana" w:cs="Arial"/>
          <w:sz w:val="20"/>
          <w:szCs w:val="20"/>
        </w:rPr>
      </w:pPr>
      <w:r w:rsidRPr="009B2D87">
        <w:rPr>
          <w:rFonts w:ascii="Verdana" w:eastAsia="Calibri" w:hAnsi="Verdana" w:cs="Arial"/>
          <w:sz w:val="20"/>
          <w:szCs w:val="20"/>
        </w:rPr>
        <w:lastRenderedPageBreak/>
        <w:t>10. La mención de si la Entidad Estatal y el contrato objeto de los pliegos de condiciones están cubiertos por un Acuerdo Comercial. </w:t>
      </w:r>
    </w:p>
    <w:p w14:paraId="2632599D" w14:textId="77777777" w:rsidR="0076150C" w:rsidRPr="009B2D87" w:rsidRDefault="0076150C" w:rsidP="00C87FB4">
      <w:pPr>
        <w:tabs>
          <w:tab w:val="right" w:pos="8222"/>
        </w:tabs>
        <w:spacing w:after="0" w:line="240" w:lineRule="auto"/>
        <w:ind w:left="709" w:right="709"/>
        <w:jc w:val="both"/>
        <w:rPr>
          <w:rFonts w:ascii="Verdana" w:eastAsia="Calibri" w:hAnsi="Verdana" w:cs="Arial"/>
          <w:sz w:val="20"/>
          <w:szCs w:val="20"/>
        </w:rPr>
      </w:pPr>
    </w:p>
    <w:p w14:paraId="74A4B400" w14:textId="77777777" w:rsidR="0076150C" w:rsidRDefault="0076150C" w:rsidP="00C87FB4">
      <w:pPr>
        <w:tabs>
          <w:tab w:val="right" w:pos="8222"/>
        </w:tabs>
        <w:spacing w:after="0" w:line="240" w:lineRule="auto"/>
        <w:ind w:left="709" w:right="709"/>
        <w:jc w:val="both"/>
        <w:rPr>
          <w:rFonts w:ascii="Verdana" w:eastAsia="Calibri" w:hAnsi="Verdana" w:cs="Arial"/>
          <w:sz w:val="20"/>
          <w:szCs w:val="20"/>
        </w:rPr>
      </w:pPr>
      <w:r w:rsidRPr="009B2D87">
        <w:rPr>
          <w:rFonts w:ascii="Verdana" w:eastAsia="Calibri" w:hAnsi="Verdana" w:cs="Arial"/>
          <w:sz w:val="20"/>
          <w:szCs w:val="20"/>
        </w:rPr>
        <w:t>11. Los términos, condiciones y minuta del contrato.</w:t>
      </w:r>
    </w:p>
    <w:p w14:paraId="6D9A4747" w14:textId="77777777" w:rsidR="0076150C" w:rsidRPr="009B2D87" w:rsidRDefault="0076150C" w:rsidP="00C87FB4">
      <w:pPr>
        <w:tabs>
          <w:tab w:val="right" w:pos="8222"/>
        </w:tabs>
        <w:spacing w:after="0" w:line="240" w:lineRule="auto"/>
        <w:ind w:left="709" w:right="709"/>
        <w:jc w:val="both"/>
        <w:rPr>
          <w:rFonts w:ascii="Verdana" w:eastAsia="Calibri" w:hAnsi="Verdana" w:cs="Arial"/>
          <w:sz w:val="20"/>
          <w:szCs w:val="20"/>
        </w:rPr>
      </w:pPr>
    </w:p>
    <w:p w14:paraId="52AD628E" w14:textId="77777777" w:rsidR="0076150C" w:rsidRDefault="0076150C" w:rsidP="00C87FB4">
      <w:pPr>
        <w:tabs>
          <w:tab w:val="right" w:pos="8222"/>
        </w:tabs>
        <w:spacing w:after="0" w:line="240" w:lineRule="auto"/>
        <w:ind w:left="709" w:right="709"/>
        <w:jc w:val="both"/>
        <w:rPr>
          <w:rFonts w:ascii="Verdana" w:eastAsia="Calibri" w:hAnsi="Verdana" w:cs="Arial"/>
          <w:sz w:val="20"/>
          <w:szCs w:val="20"/>
        </w:rPr>
      </w:pPr>
      <w:r w:rsidRPr="009B2D87">
        <w:rPr>
          <w:rFonts w:ascii="Verdana" w:eastAsia="Calibri" w:hAnsi="Verdana" w:cs="Arial"/>
          <w:sz w:val="20"/>
          <w:szCs w:val="20"/>
        </w:rPr>
        <w:t>12. Los términos de la supervisión y/o de la interventoría del contrato. </w:t>
      </w:r>
    </w:p>
    <w:p w14:paraId="60AAD3DA" w14:textId="77777777" w:rsidR="0076150C" w:rsidRPr="009B2D87" w:rsidRDefault="0076150C" w:rsidP="00C87FB4">
      <w:pPr>
        <w:tabs>
          <w:tab w:val="right" w:pos="8222"/>
        </w:tabs>
        <w:spacing w:after="0" w:line="240" w:lineRule="auto"/>
        <w:ind w:left="709" w:right="709"/>
        <w:jc w:val="both"/>
        <w:rPr>
          <w:rFonts w:ascii="Verdana" w:eastAsia="Calibri" w:hAnsi="Verdana" w:cs="Arial"/>
          <w:sz w:val="20"/>
          <w:szCs w:val="20"/>
        </w:rPr>
      </w:pPr>
    </w:p>
    <w:p w14:paraId="2D3F06D0" w14:textId="73FEF5E3" w:rsidR="0076150C" w:rsidRPr="009B2D87" w:rsidRDefault="0076150C" w:rsidP="00CC45BC">
      <w:pPr>
        <w:tabs>
          <w:tab w:val="right" w:pos="8222"/>
        </w:tabs>
        <w:spacing w:after="0" w:line="240" w:lineRule="auto"/>
        <w:ind w:left="709" w:right="709"/>
        <w:jc w:val="both"/>
        <w:rPr>
          <w:rFonts w:ascii="Verdana" w:eastAsia="Calibri" w:hAnsi="Verdana" w:cs="Arial"/>
          <w:sz w:val="20"/>
          <w:szCs w:val="20"/>
        </w:rPr>
      </w:pPr>
      <w:r w:rsidRPr="009B2D87">
        <w:rPr>
          <w:rFonts w:ascii="Verdana" w:eastAsia="Calibri" w:hAnsi="Verdana" w:cs="Arial"/>
          <w:sz w:val="20"/>
          <w:szCs w:val="20"/>
        </w:rPr>
        <w:t>13. El plazo dentro del cual la Entidad Estatal puede expedir Adendas. </w:t>
      </w:r>
    </w:p>
    <w:p w14:paraId="434D4E36" w14:textId="77777777" w:rsidR="00CC45BC" w:rsidRPr="009B2D87" w:rsidRDefault="00CC45BC" w:rsidP="00C87FB4">
      <w:pPr>
        <w:tabs>
          <w:tab w:val="right" w:pos="8222"/>
        </w:tabs>
        <w:spacing w:after="0" w:line="240" w:lineRule="auto"/>
        <w:ind w:left="709" w:right="709"/>
        <w:jc w:val="both"/>
        <w:rPr>
          <w:rFonts w:ascii="Verdana" w:eastAsia="Calibri" w:hAnsi="Verdana" w:cs="Arial"/>
          <w:sz w:val="20"/>
          <w:szCs w:val="20"/>
        </w:rPr>
      </w:pPr>
    </w:p>
    <w:p w14:paraId="65F52ED4" w14:textId="6E925667" w:rsidR="0076150C" w:rsidRPr="009B2D87" w:rsidRDefault="0076150C" w:rsidP="00C87FB4">
      <w:pPr>
        <w:tabs>
          <w:tab w:val="right" w:pos="8222"/>
        </w:tabs>
        <w:spacing w:after="0" w:line="240" w:lineRule="auto"/>
        <w:ind w:left="709" w:right="709"/>
        <w:jc w:val="both"/>
        <w:rPr>
          <w:rFonts w:ascii="Verdana" w:eastAsia="Calibri" w:hAnsi="Verdana" w:cs="Arial"/>
          <w:sz w:val="20"/>
          <w:szCs w:val="20"/>
        </w:rPr>
      </w:pPr>
      <w:r w:rsidRPr="009B2D87">
        <w:rPr>
          <w:rFonts w:ascii="Verdana" w:eastAsia="Calibri" w:hAnsi="Verdana" w:cs="Arial"/>
          <w:sz w:val="20"/>
          <w:szCs w:val="20"/>
        </w:rPr>
        <w:t xml:space="preserve">14. </w:t>
      </w:r>
      <w:r w:rsidRPr="009B2D87">
        <w:rPr>
          <w:rFonts w:ascii="Verdana" w:eastAsia="Calibri" w:hAnsi="Verdana" w:cs="Arial"/>
          <w:b/>
          <w:bCs/>
          <w:sz w:val="20"/>
          <w:szCs w:val="20"/>
          <w:u w:val="single"/>
        </w:rPr>
        <w:t>El Cronograma</w:t>
      </w:r>
      <w:r w:rsidR="00F0449E">
        <w:rPr>
          <w:rFonts w:ascii="Verdana" w:eastAsia="Calibri" w:hAnsi="Verdana" w:cs="Arial"/>
          <w:b/>
          <w:bCs/>
          <w:sz w:val="20"/>
          <w:szCs w:val="20"/>
          <w:u w:val="single"/>
        </w:rPr>
        <w:t>”</w:t>
      </w:r>
      <w:r w:rsidRPr="009B2D87">
        <w:rPr>
          <w:rFonts w:ascii="Verdana" w:eastAsia="Calibri" w:hAnsi="Verdana" w:cs="Arial"/>
          <w:b/>
          <w:bCs/>
          <w:sz w:val="20"/>
          <w:szCs w:val="20"/>
          <w:u w:val="single"/>
        </w:rPr>
        <w:t>.</w:t>
      </w:r>
      <w:r w:rsidRPr="009B2D87">
        <w:rPr>
          <w:rFonts w:ascii="Verdana" w:eastAsia="Calibri" w:hAnsi="Verdana" w:cs="Arial"/>
          <w:sz w:val="20"/>
          <w:szCs w:val="20"/>
        </w:rPr>
        <w:t xml:space="preserve"> (Énfasis destacado) </w:t>
      </w:r>
    </w:p>
    <w:p w14:paraId="0A126FFB" w14:textId="77777777" w:rsidR="0076150C" w:rsidRDefault="0076150C" w:rsidP="00C87FB4">
      <w:pPr>
        <w:spacing w:after="0" w:line="276" w:lineRule="auto"/>
        <w:ind w:firstLine="709"/>
        <w:jc w:val="both"/>
        <w:rPr>
          <w:rFonts w:ascii="Verdana" w:eastAsia="Calibri" w:hAnsi="Verdana" w:cs="Arial"/>
        </w:rPr>
      </w:pPr>
    </w:p>
    <w:p w14:paraId="005EB86B" w14:textId="77777777" w:rsidR="0076150C" w:rsidRPr="008E4F36" w:rsidRDefault="0076150C" w:rsidP="00C87FB4">
      <w:pPr>
        <w:spacing w:after="120" w:line="276" w:lineRule="auto"/>
        <w:ind w:firstLine="709"/>
        <w:jc w:val="both"/>
        <w:rPr>
          <w:rFonts w:ascii="Verdana" w:eastAsia="Calibri" w:hAnsi="Verdana" w:cs="Arial"/>
        </w:rPr>
      </w:pPr>
      <w:r w:rsidRPr="008E4F36">
        <w:rPr>
          <w:rFonts w:ascii="Verdana" w:eastAsia="Calibri" w:hAnsi="Verdana" w:cs="Arial"/>
        </w:rPr>
        <w:t xml:space="preserve">De acuerdo con lo anterior, el pliego de condiciones deberá contener aspectos necesarios tendientes a escoger la mejor oferta bajo la aplicación irrestricta del principio de selección objetiva. En este escenario, resulta importante resaltar que en el pliego de condiciones se fijarán los requisitos para la presentación de las ofertas, que en todo caso contendrá la documentación que deberá ser presentada por el interesado o proponente en las fechas dispuestas en el cronograma del proceso de contratación. </w:t>
      </w:r>
    </w:p>
    <w:p w14:paraId="393E6548" w14:textId="77777777" w:rsidR="0076150C" w:rsidRPr="008E4F36" w:rsidRDefault="0076150C" w:rsidP="00C87FB4">
      <w:pPr>
        <w:spacing w:after="120" w:line="276" w:lineRule="auto"/>
        <w:ind w:firstLine="709"/>
        <w:jc w:val="both"/>
        <w:rPr>
          <w:rFonts w:ascii="Verdana" w:eastAsia="Calibri" w:hAnsi="Verdana" w:cs="Arial"/>
        </w:rPr>
      </w:pPr>
      <w:r w:rsidRPr="008E4F36">
        <w:rPr>
          <w:rFonts w:ascii="Verdana" w:eastAsia="Calibri" w:hAnsi="Verdana" w:cs="Arial"/>
        </w:rPr>
        <w:t>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5141DB0D" w14:textId="77777777" w:rsidR="0076150C" w:rsidRDefault="0076150C" w:rsidP="00C87FB4">
      <w:pPr>
        <w:spacing w:after="120" w:line="276" w:lineRule="auto"/>
        <w:ind w:firstLine="709"/>
        <w:jc w:val="both"/>
        <w:rPr>
          <w:rFonts w:ascii="Verdana" w:eastAsia="Calibri" w:hAnsi="Verdana" w:cs="Arial"/>
        </w:rPr>
      </w:pPr>
      <w:r w:rsidRPr="008E4F36">
        <w:rPr>
          <w:rFonts w:ascii="Verdana" w:eastAsia="Calibri" w:hAnsi="Verdana" w:cs="Aria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los mismos. Como lo ha indicado la Agencia Nacional de Contratación Pública – Colombia Compra Eficiente en el “Manual para el manejo de los incentivos en los procesos de </w:t>
      </w:r>
      <w:r w:rsidRPr="008E4F36">
        <w:rPr>
          <w:rFonts w:ascii="Verdana" w:eastAsia="Calibri" w:hAnsi="Verdana" w:cs="Arial"/>
        </w:rPr>
        <w:lastRenderedPageBreak/>
        <w:t>contratación”</w:t>
      </w:r>
      <w:r>
        <w:rPr>
          <w:rStyle w:val="Refdenotaalpie"/>
          <w:rFonts w:ascii="Verdana" w:eastAsia="Calibri" w:hAnsi="Verdana" w:cs="Arial"/>
        </w:rPr>
        <w:footnoteReference w:id="4"/>
      </w:r>
      <w:r w:rsidRPr="008E4F36">
        <w:rPr>
          <w:rFonts w:ascii="Verdana" w:eastAsia="Calibri" w:hAnsi="Verdana" w:cs="Arial"/>
        </w:rPr>
        <w:t xml:space="preserve">,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contractual. </w:t>
      </w:r>
    </w:p>
    <w:p w14:paraId="73876576" w14:textId="77777777" w:rsidR="0076150C" w:rsidRPr="008E4F36" w:rsidRDefault="0076150C" w:rsidP="00C87FB4">
      <w:pPr>
        <w:spacing w:after="120" w:line="276" w:lineRule="auto"/>
        <w:ind w:firstLine="709"/>
        <w:jc w:val="both"/>
        <w:rPr>
          <w:rFonts w:ascii="Verdana" w:eastAsia="Calibri" w:hAnsi="Verdana" w:cs="Arial"/>
        </w:rPr>
      </w:pPr>
      <w:bookmarkStart w:id="6" w:name="_Hlk81487365"/>
      <w:r w:rsidRPr="008E4F36">
        <w:rPr>
          <w:rFonts w:ascii="Verdana" w:eastAsia="Calibri" w:hAnsi="Verdana" w:cs="Aria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los que se encuentra el artículo 35 de la Ley 2069 de 2020. La jurisprudencia comparte la idea de que los criterios de desempate deben estar establecidos de antemano y constituyen un límite a la discrecionalidad administrativa en los procedimientos de selección</w:t>
      </w:r>
      <w:r w:rsidRPr="008E4F36">
        <w:rPr>
          <w:rStyle w:val="Refdenotaalpie"/>
          <w:rFonts w:ascii="Verdana" w:eastAsia="Calibri" w:hAnsi="Verdana" w:cs="Arial"/>
        </w:rPr>
        <w:footnoteReference w:id="5"/>
      </w:r>
      <w:r w:rsidRPr="008E4F36">
        <w:rPr>
          <w:rFonts w:ascii="Verdana" w:eastAsia="Calibri" w:hAnsi="Verdana" w:cs="Arial"/>
        </w:rPr>
        <w:t xml:space="preserve">. </w:t>
      </w:r>
    </w:p>
    <w:p w14:paraId="2C4C63D1" w14:textId="172C0B84" w:rsidR="0076150C" w:rsidRPr="008E4F36" w:rsidRDefault="0076150C" w:rsidP="00C87FB4">
      <w:pPr>
        <w:spacing w:after="120" w:line="276" w:lineRule="auto"/>
        <w:ind w:firstLine="709"/>
        <w:jc w:val="both"/>
        <w:rPr>
          <w:rFonts w:ascii="Verdana" w:eastAsia="Calibri" w:hAnsi="Verdana" w:cs="Arial"/>
        </w:rPr>
      </w:pPr>
      <w:r w:rsidRPr="008E4F36">
        <w:rPr>
          <w:rFonts w:ascii="Verdana" w:eastAsia="Calibri" w:hAnsi="Verdana" w:cs="Arial"/>
        </w:rPr>
        <w:t>En tal sentido, la Corte Constitucional explica que cuando la ley establece factores de desempate obligatorios, las entidades estatales no pueden </w:t>
      </w:r>
      <w:proofErr w:type="spellStart"/>
      <w:r w:rsidRPr="008E4F36">
        <w:rPr>
          <w:rFonts w:ascii="Verdana" w:eastAsia="Calibri" w:hAnsi="Verdana" w:cs="Arial"/>
        </w:rPr>
        <w:t>inaplicarlos</w:t>
      </w:r>
      <w:proofErr w:type="spellEnd"/>
      <w:r w:rsidRPr="008E4F36">
        <w:rPr>
          <w:rFonts w:ascii="Verdana" w:eastAsia="Calibri" w:hAnsi="Verdana" w:cs="Arial"/>
        </w:rPr>
        <w:t>, porque ello podría vulnerar el principio de igualdad, especialmente, cuando algunos de estos criterios surgen como acciones afirmativas para ciertos sectores de la población</w:t>
      </w:r>
      <w:r w:rsidRPr="008E4F36">
        <w:rPr>
          <w:rStyle w:val="Refdenotaalpie"/>
          <w:rFonts w:ascii="Verdana" w:eastAsia="Calibri" w:hAnsi="Verdana" w:cs="Arial"/>
        </w:rPr>
        <w:footnoteReference w:id="6"/>
      </w:r>
      <w:r w:rsidRPr="008E4F36">
        <w:rPr>
          <w:rFonts w:ascii="Verdana" w:eastAsia="Calibri" w:hAnsi="Verdana" w:cs="Arial"/>
        </w:rPr>
        <w:t>. Así mismo, el Consejo de Estado ha señalado que contrariar los factores de desempate genera la nulidad del contrato, conforme al artículo 44, inciso 1º de la Ley 80 de 1993</w:t>
      </w:r>
      <w:r w:rsidRPr="008E4F36">
        <w:rPr>
          <w:rStyle w:val="Refdenotaalpie"/>
          <w:rFonts w:ascii="Verdana" w:eastAsia="Calibri" w:hAnsi="Verdana" w:cs="Arial"/>
        </w:rPr>
        <w:footnoteReference w:id="7"/>
      </w:r>
      <w:r w:rsidRPr="008E4F36">
        <w:rPr>
          <w:rFonts w:ascii="Verdana" w:eastAsia="Calibri" w:hAnsi="Verdana" w:cs="Arial"/>
        </w:rPr>
        <w:t>. </w:t>
      </w:r>
    </w:p>
    <w:bookmarkEnd w:id="6"/>
    <w:p w14:paraId="78BD3FFA" w14:textId="2A1DCF94" w:rsidR="0076150C" w:rsidRPr="008E4F36" w:rsidRDefault="0076150C" w:rsidP="00E5709B">
      <w:pPr>
        <w:spacing w:after="120" w:line="276" w:lineRule="auto"/>
        <w:ind w:firstLine="709"/>
        <w:jc w:val="both"/>
        <w:rPr>
          <w:rFonts w:ascii="Verdana" w:hAnsi="Verdana" w:cs="Arial"/>
          <w:lang w:eastAsia="es-CO"/>
        </w:rPr>
      </w:pPr>
      <w:r w:rsidRPr="008E4F36">
        <w:rPr>
          <w:rFonts w:ascii="Verdana" w:eastAsia="Calibri" w:hAnsi="Verdana" w:cs="Arial"/>
        </w:rPr>
        <w:t>Ahora bien, en cumplimiento de los principios de reciprocidad y de </w:t>
      </w:r>
      <w:r w:rsidRPr="008E4F36">
        <w:rPr>
          <w:rFonts w:ascii="Verdana" w:eastAsia="Calibri" w:hAnsi="Verdana" w:cs="Arial"/>
          <w:i/>
          <w:iCs/>
        </w:rPr>
        <w:t>pacta sunt </w:t>
      </w:r>
      <w:proofErr w:type="spellStart"/>
      <w:r w:rsidRPr="008E4F36">
        <w:rPr>
          <w:rFonts w:ascii="Verdana" w:eastAsia="Calibri" w:hAnsi="Verdana" w:cs="Arial"/>
          <w:i/>
          <w:iCs/>
        </w:rPr>
        <w:t>servanda</w:t>
      </w:r>
      <w:proofErr w:type="spellEnd"/>
      <w:r w:rsidRPr="008E4F36">
        <w:rPr>
          <w:rFonts w:ascii="Verdana" w:eastAsia="Calibri" w:hAnsi="Verdana" w:cs="Aria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w:t>
      </w:r>
      <w:r w:rsidRPr="008E4F36">
        <w:rPr>
          <w:rFonts w:ascii="Verdana" w:eastAsia="Calibri" w:hAnsi="Verdana" w:cs="Arial"/>
        </w:rPr>
        <w:lastRenderedPageBreak/>
        <w:t>la Agencia Nacional de Contratación Pública – Colombia Compra Eficiente en el numeral IV, literal C, del “Manual para el manejo de los incentivos en los procesos de contratación</w:t>
      </w:r>
      <w:r w:rsidRPr="008E4F36">
        <w:rPr>
          <w:rFonts w:ascii="Verdana" w:hAnsi="Verdana" w:cs="Arial"/>
          <w:lang w:eastAsia="es-CO"/>
        </w:rPr>
        <w:t>”.</w:t>
      </w:r>
    </w:p>
    <w:p w14:paraId="0F4C5C0D" w14:textId="77777777" w:rsidR="0076150C" w:rsidRPr="008E4F36" w:rsidRDefault="0076150C" w:rsidP="0076150C">
      <w:pPr>
        <w:spacing w:after="0" w:line="276" w:lineRule="auto"/>
        <w:ind w:firstLine="709"/>
        <w:jc w:val="both"/>
        <w:rPr>
          <w:rFonts w:ascii="Verdana" w:eastAsia="Calibri" w:hAnsi="Verdana" w:cs="Arial"/>
        </w:rPr>
      </w:pPr>
      <w:r w:rsidRPr="008E4F36">
        <w:rPr>
          <w:rFonts w:ascii="Verdana" w:eastAsia="Calibri" w:hAnsi="Verdana" w:cs="Arial"/>
        </w:rPr>
        <w:t>El numeral 2 del artículo 35 de la Ley 2069 de 2020 determina un criterio o factor de desempate que beneficia a las mujeres cabeza de familia y/o mujeres víctimas de violencia intrafamiliar en los siguientes términos:</w:t>
      </w:r>
    </w:p>
    <w:p w14:paraId="7F740682" w14:textId="77777777" w:rsidR="0076150C" w:rsidRPr="008E4F36" w:rsidRDefault="0076150C" w:rsidP="0076150C">
      <w:pPr>
        <w:spacing w:after="0" w:line="276" w:lineRule="auto"/>
        <w:jc w:val="both"/>
        <w:rPr>
          <w:rFonts w:ascii="Verdana" w:eastAsia="Calibri" w:hAnsi="Verdana" w:cs="Arial"/>
        </w:rPr>
      </w:pPr>
    </w:p>
    <w:p w14:paraId="212A9460" w14:textId="77777777" w:rsidR="0076150C" w:rsidRPr="008E4F36" w:rsidRDefault="0076150C" w:rsidP="0076150C">
      <w:pPr>
        <w:spacing w:after="0" w:line="240" w:lineRule="auto"/>
        <w:ind w:left="709" w:right="709"/>
        <w:jc w:val="both"/>
        <w:rPr>
          <w:rFonts w:ascii="Verdana" w:eastAsia="Calibri" w:hAnsi="Verdana" w:cs="Arial"/>
          <w:sz w:val="20"/>
          <w:szCs w:val="20"/>
        </w:rPr>
      </w:pPr>
      <w:r w:rsidRPr="008E4F36">
        <w:rPr>
          <w:rFonts w:ascii="Verdana" w:eastAsia="Calibri" w:hAnsi="Verdana" w:cs="Arial"/>
          <w:sz w:val="20"/>
          <w:szCs w:val="20"/>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798AF71F" w14:textId="77777777" w:rsidR="0076150C" w:rsidRPr="008E4F36" w:rsidRDefault="0076150C" w:rsidP="0076150C">
      <w:pPr>
        <w:spacing w:after="0" w:line="240" w:lineRule="auto"/>
        <w:ind w:left="709" w:right="709"/>
        <w:jc w:val="both"/>
        <w:rPr>
          <w:rFonts w:ascii="Verdana" w:eastAsia="Calibri" w:hAnsi="Verdana" w:cs="Arial"/>
          <w:sz w:val="20"/>
          <w:szCs w:val="20"/>
        </w:rPr>
      </w:pPr>
    </w:p>
    <w:p w14:paraId="63374EB4" w14:textId="77777777" w:rsidR="0076150C" w:rsidRPr="008E4F36" w:rsidRDefault="0076150C" w:rsidP="0076150C">
      <w:pPr>
        <w:spacing w:after="0" w:line="240" w:lineRule="auto"/>
        <w:ind w:left="709" w:right="709"/>
        <w:jc w:val="both"/>
        <w:rPr>
          <w:rFonts w:ascii="Verdana" w:eastAsia="Calibri" w:hAnsi="Verdana" w:cs="Arial"/>
          <w:sz w:val="20"/>
          <w:szCs w:val="20"/>
        </w:rPr>
      </w:pPr>
      <w:r w:rsidRPr="008E4F36">
        <w:rPr>
          <w:rFonts w:ascii="Verdana" w:eastAsia="Calibri" w:hAnsi="Verdana" w:cs="Arial"/>
          <w:sz w:val="20"/>
          <w:szCs w:val="20"/>
        </w:rPr>
        <w:t>[…]</w:t>
      </w:r>
    </w:p>
    <w:p w14:paraId="5BD345B3" w14:textId="77777777" w:rsidR="0076150C" w:rsidRPr="008E4F36" w:rsidRDefault="0076150C" w:rsidP="0076150C">
      <w:pPr>
        <w:spacing w:after="0" w:line="240" w:lineRule="auto"/>
        <w:ind w:left="709" w:right="709"/>
        <w:jc w:val="both"/>
        <w:rPr>
          <w:rFonts w:ascii="Verdana" w:eastAsia="Calibri" w:hAnsi="Verdana" w:cs="Arial"/>
          <w:sz w:val="20"/>
          <w:szCs w:val="20"/>
        </w:rPr>
      </w:pPr>
    </w:p>
    <w:p w14:paraId="5325DCF6" w14:textId="77777777" w:rsidR="0076150C" w:rsidRPr="008E4F36" w:rsidRDefault="0076150C" w:rsidP="0076150C">
      <w:pPr>
        <w:spacing w:after="0" w:line="240" w:lineRule="auto"/>
        <w:ind w:left="709" w:right="709"/>
        <w:jc w:val="both"/>
        <w:rPr>
          <w:rFonts w:ascii="Verdana" w:eastAsia="Calibri" w:hAnsi="Verdana" w:cs="Arial"/>
          <w:sz w:val="20"/>
          <w:szCs w:val="20"/>
        </w:rPr>
      </w:pPr>
      <w:r w:rsidRPr="008E4F36">
        <w:rPr>
          <w:rFonts w:ascii="Verdana" w:eastAsia="Calibri" w:hAnsi="Verdana" w:cs="Arial"/>
          <w:sz w:val="20"/>
          <w:szCs w:val="20"/>
        </w:rPr>
        <w:t xml:space="preserve">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 </w:t>
      </w:r>
    </w:p>
    <w:p w14:paraId="6E9AA9A6" w14:textId="77777777" w:rsidR="0076150C" w:rsidRPr="008E4F36" w:rsidRDefault="0076150C" w:rsidP="0076150C">
      <w:pPr>
        <w:spacing w:after="0" w:line="240" w:lineRule="auto"/>
        <w:ind w:left="709" w:right="709"/>
        <w:jc w:val="both"/>
        <w:rPr>
          <w:rFonts w:ascii="Verdana" w:eastAsia="Calibri" w:hAnsi="Verdana" w:cs="Arial"/>
          <w:sz w:val="20"/>
          <w:szCs w:val="20"/>
        </w:rPr>
      </w:pPr>
      <w:r w:rsidRPr="008E4F36">
        <w:rPr>
          <w:rFonts w:ascii="Verdana" w:eastAsia="Calibri" w:hAnsi="Verdana" w:cs="Arial"/>
          <w:sz w:val="20"/>
          <w:szCs w:val="20"/>
        </w:rPr>
        <w:t xml:space="preserve">[…]”. </w:t>
      </w:r>
    </w:p>
    <w:p w14:paraId="3E6B2ECE" w14:textId="77777777" w:rsidR="0076150C" w:rsidRPr="008E4F36" w:rsidRDefault="0076150C" w:rsidP="0076150C">
      <w:pPr>
        <w:spacing w:after="0" w:line="240" w:lineRule="auto"/>
        <w:jc w:val="both"/>
        <w:rPr>
          <w:rFonts w:ascii="Verdana" w:eastAsia="Calibri" w:hAnsi="Verdana" w:cs="Arial"/>
        </w:rPr>
      </w:pPr>
    </w:p>
    <w:p w14:paraId="30EF6516" w14:textId="77777777" w:rsidR="0076150C" w:rsidRPr="008E4F36" w:rsidRDefault="0076150C" w:rsidP="0076150C">
      <w:pPr>
        <w:spacing w:after="0" w:line="276" w:lineRule="auto"/>
        <w:ind w:firstLine="709"/>
        <w:jc w:val="both"/>
        <w:rPr>
          <w:rFonts w:ascii="Verdana" w:hAnsi="Verdana" w:cs="Arial"/>
          <w:lang w:eastAsia="es-CO"/>
        </w:rPr>
      </w:pPr>
      <w:r w:rsidRPr="008E4F36">
        <w:rPr>
          <w:rFonts w:ascii="Verdana" w:eastAsia="Calibri" w:hAnsi="Verdana" w:cs="Arial"/>
        </w:rPr>
        <w:t xml:space="preserve">Por lo demás, debe destacarse que el Decreto 1860 de 2021 adicionó el artículo </w:t>
      </w:r>
      <w:r w:rsidRPr="008E4F36">
        <w:rPr>
          <w:rFonts w:ascii="Verdana" w:hAnsi="Verdana" w:cs="Arial"/>
          <w:lang w:eastAsia="es-CO"/>
        </w:rPr>
        <w:t xml:space="preserve">2.2.1.2.4.2.17 al Decreto 1082 de 2015, precepto que reglamenta la aplicación del artículo 35 de la Ley 2069 de 2020, estableciendo unos medios de acreditación específicos para cada una de las diferentes circunstancias a las que se refieren los factores de desempate, los cuales deberán aplicarse en los procesos de selección en los que rija el artículo 35 de la Ley de Emprendimiento. En lo referente al criterio de desempate del numeral 2 del artículo 35 </w:t>
      </w:r>
      <w:r w:rsidRPr="008E4F36">
        <w:rPr>
          <w:rFonts w:ascii="Verdana" w:hAnsi="Verdana" w:cs="Arial"/>
          <w:i/>
          <w:iCs/>
          <w:lang w:eastAsia="es-CO"/>
        </w:rPr>
        <w:t xml:space="preserve">ibidem, </w:t>
      </w:r>
      <w:r w:rsidRPr="008E4F36">
        <w:rPr>
          <w:rFonts w:ascii="Verdana" w:hAnsi="Verdana" w:cs="Arial"/>
          <w:lang w:eastAsia="es-CO"/>
        </w:rPr>
        <w:t>el artículo 2.2.1.2.4.2.17 dispone:</w:t>
      </w:r>
    </w:p>
    <w:p w14:paraId="6B05C512" w14:textId="77777777" w:rsidR="0076150C" w:rsidRPr="008E4F36" w:rsidRDefault="0076150C" w:rsidP="0076150C">
      <w:pPr>
        <w:spacing w:after="0"/>
        <w:ind w:firstLine="709"/>
        <w:jc w:val="both"/>
        <w:rPr>
          <w:rFonts w:ascii="Verdana" w:hAnsi="Verdana" w:cs="Arial"/>
          <w:lang w:eastAsia="es-CO"/>
        </w:rPr>
      </w:pPr>
    </w:p>
    <w:p w14:paraId="576639B3" w14:textId="77777777" w:rsidR="0076150C" w:rsidRPr="008E4F36" w:rsidRDefault="0076150C" w:rsidP="0076150C">
      <w:pPr>
        <w:shd w:val="clear" w:color="auto" w:fill="FFFFFF"/>
        <w:spacing w:after="0" w:line="240" w:lineRule="auto"/>
        <w:ind w:left="709" w:right="709"/>
        <w:jc w:val="both"/>
        <w:rPr>
          <w:rFonts w:ascii="Verdana" w:hAnsi="Verdana" w:cs="Arial"/>
          <w:sz w:val="20"/>
          <w:szCs w:val="20"/>
          <w:lang w:eastAsia="es-CO"/>
        </w:rPr>
      </w:pPr>
      <w:r w:rsidRPr="008E4F36">
        <w:rPr>
          <w:rFonts w:ascii="Verdana" w:hAnsi="Verdana" w:cs="Arial"/>
          <w:sz w:val="20"/>
          <w:szCs w:val="20"/>
          <w:lang w:eastAsia="es-CO"/>
        </w:rPr>
        <w:t>“2. Preferir la propuesta de la mujer cabeza de familia. Su acreditación se realizará en los términos del parágrafo del artículo </w:t>
      </w:r>
      <w:hyperlink r:id="rId16" w:anchor="2" w:history="1">
        <w:r w:rsidRPr="008E4F36">
          <w:rPr>
            <w:rFonts w:ascii="Verdana" w:hAnsi="Verdana" w:cs="Arial"/>
            <w:sz w:val="20"/>
            <w:szCs w:val="20"/>
            <w:lang w:eastAsia="es-CO"/>
          </w:rPr>
          <w:t>2 </w:t>
        </w:r>
      </w:hyperlink>
      <w:r w:rsidRPr="008E4F36">
        <w:rPr>
          <w:rFonts w:ascii="Verdana" w:hAnsi="Verdana" w:cs="Arial"/>
          <w:sz w:val="20"/>
          <w:szCs w:val="20"/>
          <w:lang w:eastAsia="es-CO"/>
        </w:rPr>
        <w:t>de la Ley 82 de 1993, modificado por el artículo </w:t>
      </w:r>
      <w:hyperlink r:id="rId17" w:anchor="1" w:history="1">
        <w:r w:rsidRPr="008E4F36">
          <w:rPr>
            <w:rFonts w:ascii="Verdana" w:hAnsi="Verdana" w:cs="Arial"/>
            <w:sz w:val="20"/>
            <w:szCs w:val="20"/>
            <w:lang w:eastAsia="es-CO"/>
          </w:rPr>
          <w:t>1 </w:t>
        </w:r>
      </w:hyperlink>
      <w:r w:rsidRPr="008E4F36">
        <w:rPr>
          <w:rFonts w:ascii="Verdana" w:hAnsi="Verdana" w:cs="Arial"/>
          <w:sz w:val="20"/>
          <w:szCs w:val="20"/>
          <w:lang w:eastAsia="es-CO"/>
        </w:rPr>
        <w:t xml:space="preserve">de la Ley 1232 de 2008, o la norma que lo modifique, aclare, adicione o sustituya. Es decir, la condición de mujer cabeza de familia y la cesación de esta se otorgará desde el momento en que ocurra el respectivo evento y se declare ante un notario. En la declaración que se presente para acreditar la calidad de mujer cabeza de </w:t>
      </w:r>
      <w:r w:rsidRPr="008E4F36">
        <w:rPr>
          <w:rFonts w:ascii="Verdana" w:hAnsi="Verdana" w:cs="Arial"/>
          <w:sz w:val="20"/>
          <w:szCs w:val="20"/>
          <w:lang w:eastAsia="es-CO"/>
        </w:rPr>
        <w:lastRenderedPageBreak/>
        <w:t>familia deberá verificarse que la misma dé cuenta del cumplimiento de los requisitos establecidos en el artículo </w:t>
      </w:r>
      <w:hyperlink r:id="rId18" w:anchor="2" w:history="1">
        <w:r w:rsidRPr="008E4F36">
          <w:rPr>
            <w:rFonts w:ascii="Verdana" w:hAnsi="Verdana" w:cs="Arial"/>
            <w:sz w:val="20"/>
            <w:szCs w:val="20"/>
            <w:lang w:eastAsia="es-CO"/>
          </w:rPr>
          <w:t>2 </w:t>
        </w:r>
      </w:hyperlink>
      <w:r w:rsidRPr="008E4F36">
        <w:rPr>
          <w:rFonts w:ascii="Verdana" w:hAnsi="Verdana" w:cs="Arial"/>
          <w:sz w:val="20"/>
          <w:szCs w:val="20"/>
          <w:lang w:eastAsia="es-CO"/>
        </w:rPr>
        <w:t>de la Ley 82 de 1993, modificado por el artículo </w:t>
      </w:r>
      <w:hyperlink r:id="rId19" w:anchor="1" w:history="1">
        <w:r w:rsidRPr="008E4F36">
          <w:rPr>
            <w:rFonts w:ascii="Verdana" w:hAnsi="Verdana" w:cs="Arial"/>
            <w:sz w:val="20"/>
            <w:szCs w:val="20"/>
            <w:lang w:eastAsia="es-CO"/>
          </w:rPr>
          <w:t>1 </w:t>
        </w:r>
      </w:hyperlink>
      <w:r w:rsidRPr="008E4F36">
        <w:rPr>
          <w:rFonts w:ascii="Verdana" w:hAnsi="Verdana" w:cs="Arial"/>
          <w:sz w:val="20"/>
          <w:szCs w:val="20"/>
          <w:lang w:eastAsia="es-CO"/>
        </w:rPr>
        <w:t>de la Ley 1232 de 2008.</w:t>
      </w:r>
    </w:p>
    <w:p w14:paraId="07C0731B" w14:textId="77777777" w:rsidR="0076150C" w:rsidRPr="008E4F36" w:rsidRDefault="0076150C" w:rsidP="0076150C">
      <w:pPr>
        <w:shd w:val="clear" w:color="auto" w:fill="FFFFFF"/>
        <w:spacing w:after="0" w:line="240" w:lineRule="auto"/>
        <w:ind w:left="709" w:right="709"/>
        <w:jc w:val="both"/>
        <w:rPr>
          <w:rFonts w:ascii="Verdana" w:hAnsi="Verdana" w:cs="Arial"/>
          <w:sz w:val="20"/>
          <w:szCs w:val="20"/>
          <w:lang w:eastAsia="es-CO"/>
        </w:rPr>
      </w:pPr>
    </w:p>
    <w:p w14:paraId="7D0C7592" w14:textId="77777777" w:rsidR="0076150C" w:rsidRPr="008E4F36" w:rsidRDefault="0076150C" w:rsidP="0076150C">
      <w:pPr>
        <w:shd w:val="clear" w:color="auto" w:fill="FFFFFF"/>
        <w:spacing w:after="0" w:line="240" w:lineRule="auto"/>
        <w:ind w:left="709" w:right="709"/>
        <w:jc w:val="both"/>
        <w:rPr>
          <w:rFonts w:ascii="Verdana" w:hAnsi="Verdana" w:cs="Arial"/>
          <w:sz w:val="20"/>
          <w:szCs w:val="20"/>
          <w:lang w:eastAsia="es-CO"/>
        </w:rPr>
      </w:pPr>
      <w:r w:rsidRPr="008E4F36">
        <w:rPr>
          <w:rFonts w:ascii="Verdana" w:hAnsi="Verdana" w:cs="Arial"/>
          <w:sz w:val="20"/>
          <w:szCs w:val="20"/>
          <w:lang w:eastAsia="es-CO"/>
        </w:rPr>
        <w:t>Igualmente, se preferirá la propuesta de la mujer víctima de violencia intrafamiliar, la cual acreditará dicha condición de conformidad con el artículo </w:t>
      </w:r>
      <w:hyperlink r:id="rId20" w:anchor="21" w:history="1">
        <w:r w:rsidRPr="008E4F36">
          <w:rPr>
            <w:rFonts w:ascii="Verdana" w:hAnsi="Verdana" w:cs="Arial"/>
            <w:sz w:val="20"/>
            <w:szCs w:val="20"/>
            <w:lang w:eastAsia="es-CO"/>
          </w:rPr>
          <w:t>21 </w:t>
        </w:r>
      </w:hyperlink>
      <w:r w:rsidRPr="008E4F36">
        <w:rPr>
          <w:rFonts w:ascii="Verdana" w:hAnsi="Verdana" w:cs="Arial"/>
          <w:sz w:val="20"/>
          <w:szCs w:val="20"/>
          <w:lang w:eastAsia="es-CO"/>
        </w:rPr>
        <w:t>de la Ley 1257 de 2008, esto es, cuando se profiera una medida de protección expedida por la autoridad competente. En virtud del artículo </w:t>
      </w:r>
      <w:hyperlink r:id="rId21" w:anchor="16" w:history="1">
        <w:r w:rsidRPr="008E4F36">
          <w:rPr>
            <w:rFonts w:ascii="Verdana" w:hAnsi="Verdana" w:cs="Arial"/>
            <w:sz w:val="20"/>
            <w:szCs w:val="20"/>
            <w:lang w:eastAsia="es-CO"/>
          </w:rPr>
          <w:t>16 </w:t>
        </w:r>
      </w:hyperlink>
      <w:r w:rsidRPr="008E4F36">
        <w:rPr>
          <w:rFonts w:ascii="Verdana" w:hAnsi="Verdana" w:cs="Arial"/>
          <w:sz w:val="20"/>
          <w:szCs w:val="20"/>
          <w:lang w:eastAsia="es-CO"/>
        </w:rPr>
        <w:t>de la Ley 1257 de 2008, la medida de protección la debe impartir el comisario de familia del lugar donde ocurrieron los hechos y, a falta de este, del juez civil municipal o promiscuo municipal, o la autoridad indígena en los casos de violencia intrafamiliar en las comunidades de esta naturaleza.</w:t>
      </w:r>
    </w:p>
    <w:p w14:paraId="62076D07" w14:textId="77777777" w:rsidR="0076150C" w:rsidRPr="008E4F36" w:rsidRDefault="0076150C" w:rsidP="0076150C">
      <w:pPr>
        <w:shd w:val="clear" w:color="auto" w:fill="FFFFFF"/>
        <w:spacing w:after="0" w:line="240" w:lineRule="auto"/>
        <w:ind w:left="709" w:right="709"/>
        <w:jc w:val="both"/>
        <w:rPr>
          <w:rFonts w:ascii="Verdana" w:hAnsi="Verdana" w:cs="Arial"/>
          <w:sz w:val="20"/>
          <w:szCs w:val="20"/>
          <w:lang w:eastAsia="es-CO"/>
        </w:rPr>
      </w:pPr>
    </w:p>
    <w:p w14:paraId="51EEA3A6" w14:textId="77777777" w:rsidR="0076150C" w:rsidRPr="008E4F36" w:rsidRDefault="0076150C" w:rsidP="0076150C">
      <w:pPr>
        <w:shd w:val="clear" w:color="auto" w:fill="FFFFFF"/>
        <w:spacing w:after="0" w:line="240" w:lineRule="auto"/>
        <w:ind w:left="709" w:right="709"/>
        <w:jc w:val="both"/>
        <w:rPr>
          <w:rFonts w:ascii="Verdana" w:hAnsi="Verdana" w:cs="Arial"/>
          <w:sz w:val="20"/>
          <w:szCs w:val="20"/>
          <w:lang w:eastAsia="es-CO"/>
        </w:rPr>
      </w:pPr>
      <w:r w:rsidRPr="008E4F36">
        <w:rPr>
          <w:rFonts w:ascii="Verdana" w:hAnsi="Verdana" w:cs="Arial"/>
          <w:sz w:val="20"/>
          <w:szCs w:val="20"/>
          <w:lang w:eastAsia="es-CO"/>
        </w:rPr>
        <w:t xml:space="preserve">En el caso de las personas jurídicas se preferirá a aquellas en las que participen mayoritariamente mujeres cabeza de familia y/o mujeres víctimas de violencia intrafamiliar, para lo cual </w:t>
      </w:r>
      <w:bookmarkStart w:id="7" w:name="_Hlk93047620"/>
      <w:r w:rsidRPr="008E4F36">
        <w:rPr>
          <w:rFonts w:ascii="Verdana" w:hAnsi="Verdana" w:cs="Arial"/>
          <w:sz w:val="20"/>
          <w:szCs w:val="20"/>
          <w:lang w:eastAsia="es-CO"/>
        </w:rPr>
        <w:t xml:space="preserve">el representante legal o el revisor fiscal, según corresponda, presentará un certificado, mediante el cual acredita, bajo la gravedad de juramento, que más del cincuenta por ciento (50 %) de la composición accionaria o cuota parte de la persona jurídica está constituida por mujeres cabeza de familia y/o mujeres víctimas de violencia intrafamiliar. </w:t>
      </w:r>
      <w:bookmarkEnd w:id="7"/>
      <w:r w:rsidRPr="008E4F36">
        <w:rPr>
          <w:rFonts w:ascii="Verdana" w:hAnsi="Verdana" w:cs="Arial"/>
          <w:sz w:val="20"/>
          <w:szCs w:val="20"/>
          <w:lang w:eastAsia="es-CO"/>
        </w:rPr>
        <w:t>Además, deberá acreditar la condición indicada de cada una de las mujeres que participen en la sociedad, aportando los documentos de cada una de ellas, de acuerdo con los dos incisos anteriores.</w:t>
      </w:r>
    </w:p>
    <w:p w14:paraId="4B08E5AE" w14:textId="77777777" w:rsidR="0076150C" w:rsidRPr="008E4F36" w:rsidRDefault="0076150C" w:rsidP="0076150C">
      <w:pPr>
        <w:shd w:val="clear" w:color="auto" w:fill="FFFFFF"/>
        <w:spacing w:after="0" w:line="240" w:lineRule="auto"/>
        <w:ind w:left="709" w:right="709"/>
        <w:jc w:val="both"/>
        <w:rPr>
          <w:rFonts w:ascii="Verdana" w:hAnsi="Verdana" w:cs="Arial"/>
          <w:sz w:val="20"/>
          <w:szCs w:val="20"/>
          <w:lang w:eastAsia="es-CO"/>
        </w:rPr>
      </w:pPr>
    </w:p>
    <w:p w14:paraId="2F601DE7" w14:textId="77777777" w:rsidR="0076150C" w:rsidRPr="008E4F36" w:rsidRDefault="0076150C" w:rsidP="0076150C">
      <w:pPr>
        <w:shd w:val="clear" w:color="auto" w:fill="FFFFFF"/>
        <w:spacing w:after="0" w:line="240" w:lineRule="auto"/>
        <w:ind w:left="709" w:right="709"/>
        <w:jc w:val="both"/>
        <w:rPr>
          <w:rFonts w:ascii="Verdana" w:hAnsi="Verdana" w:cs="Arial"/>
          <w:sz w:val="20"/>
          <w:szCs w:val="20"/>
          <w:lang w:eastAsia="es-CO"/>
        </w:rPr>
      </w:pPr>
      <w:r w:rsidRPr="008E4F36">
        <w:rPr>
          <w:rFonts w:ascii="Verdana" w:hAnsi="Verdana" w:cs="Arial"/>
          <w:sz w:val="20"/>
          <w:szCs w:val="20"/>
          <w:lang w:eastAsia="es-CO"/>
        </w:rPr>
        <w:t>Finalmente, en el caso de los proponentes plurales, se preferirá la oferta cuando cada uno de los integrantes acredite alguna de las condiciones señaladas en los incisos anteriores de este numeral</w:t>
      </w:r>
      <w:r>
        <w:rPr>
          <w:rFonts w:ascii="Verdana" w:hAnsi="Verdana" w:cs="Arial"/>
          <w:sz w:val="20"/>
          <w:szCs w:val="20"/>
          <w:lang w:eastAsia="es-CO"/>
        </w:rPr>
        <w:t xml:space="preserve"> </w:t>
      </w:r>
      <w:r w:rsidRPr="008E4F36">
        <w:rPr>
          <w:rFonts w:ascii="Verdana" w:hAnsi="Verdana" w:cs="Arial"/>
          <w:sz w:val="20"/>
          <w:szCs w:val="20"/>
          <w:lang w:eastAsia="es-CO"/>
        </w:rPr>
        <w:t xml:space="preserve">[…]”. </w:t>
      </w:r>
    </w:p>
    <w:p w14:paraId="1567EAA8" w14:textId="77777777" w:rsidR="0076150C" w:rsidRPr="008E4F36" w:rsidRDefault="0076150C" w:rsidP="0076150C">
      <w:pPr>
        <w:spacing w:after="0" w:line="276" w:lineRule="auto"/>
        <w:ind w:firstLine="709"/>
        <w:jc w:val="both"/>
        <w:rPr>
          <w:rFonts w:ascii="Verdana" w:eastAsia="Calibri" w:hAnsi="Verdana" w:cs="Arial"/>
        </w:rPr>
      </w:pPr>
    </w:p>
    <w:p w14:paraId="4EA1EA4D" w14:textId="77777777" w:rsidR="0076150C" w:rsidRDefault="0076150C" w:rsidP="00C87FB4">
      <w:pPr>
        <w:spacing w:after="120" w:line="276" w:lineRule="auto"/>
        <w:ind w:firstLine="709"/>
        <w:jc w:val="both"/>
        <w:rPr>
          <w:rFonts w:ascii="Verdana" w:hAnsi="Verdana" w:cs="Arial"/>
          <w:lang w:eastAsia="es-CO"/>
        </w:rPr>
      </w:pPr>
      <w:r w:rsidRPr="008E4F36">
        <w:rPr>
          <w:rFonts w:ascii="Verdana" w:eastAsia="Calibri" w:hAnsi="Verdana" w:cs="Arial"/>
        </w:rPr>
        <w:t xml:space="preserve">De acuerdo con la primera pregunta, en cuanto a la acreditación de la condición de </w:t>
      </w:r>
      <w:r w:rsidRPr="008E4F36">
        <w:rPr>
          <w:rFonts w:ascii="Verdana" w:hAnsi="Verdana" w:cs="Arial"/>
          <w:lang w:eastAsia="es-CO"/>
        </w:rPr>
        <w:t>mujer cabeza de familia, el primer inciso del numeral 2, realiza una referencia al artículo </w:t>
      </w:r>
      <w:hyperlink r:id="rId22" w:anchor="2" w:history="1">
        <w:r w:rsidRPr="008E4F36">
          <w:rPr>
            <w:rFonts w:ascii="Verdana" w:hAnsi="Verdana" w:cs="Arial"/>
            <w:lang w:eastAsia="es-CO"/>
          </w:rPr>
          <w:t>2 </w:t>
        </w:r>
      </w:hyperlink>
      <w:r w:rsidRPr="008E4F36">
        <w:rPr>
          <w:rFonts w:ascii="Verdana" w:hAnsi="Verdana" w:cs="Arial"/>
          <w:lang w:eastAsia="es-CO"/>
        </w:rPr>
        <w:t>de la Ley 82 de 1993, “</w:t>
      </w:r>
      <w:r w:rsidRPr="008E4F36">
        <w:rPr>
          <w:rFonts w:ascii="Verdana" w:hAnsi="Verdana" w:cs="Arial"/>
        </w:rPr>
        <w:t>Por la cual se expiden normas para apoyar de manera especial a la mujer cabeza de familia”</w:t>
      </w:r>
      <w:r w:rsidRPr="008E4F36">
        <w:rPr>
          <w:rFonts w:ascii="Verdana" w:hAnsi="Verdana" w:cs="Arial"/>
          <w:lang w:eastAsia="es-CO"/>
        </w:rPr>
        <w:t>, modificado por el artículo </w:t>
      </w:r>
      <w:hyperlink r:id="rId23" w:anchor="1" w:history="1">
        <w:r w:rsidRPr="008E4F36">
          <w:rPr>
            <w:rFonts w:ascii="Verdana" w:hAnsi="Verdana" w:cs="Arial"/>
            <w:lang w:eastAsia="es-CO"/>
          </w:rPr>
          <w:t>1 </w:t>
        </w:r>
      </w:hyperlink>
      <w:r w:rsidRPr="008E4F36">
        <w:rPr>
          <w:rFonts w:ascii="Verdana" w:hAnsi="Verdana" w:cs="Arial"/>
          <w:lang w:eastAsia="es-CO"/>
        </w:rPr>
        <w:t>de la Ley 1232 de 2008</w:t>
      </w:r>
      <w:r w:rsidRPr="008E4F36">
        <w:rPr>
          <w:rStyle w:val="Refdenotaalpie"/>
          <w:rFonts w:ascii="Verdana" w:hAnsi="Verdana" w:cs="Arial"/>
          <w:lang w:eastAsia="es-CO"/>
        </w:rPr>
        <w:footnoteReference w:id="8"/>
      </w:r>
      <w:r w:rsidRPr="008E4F36">
        <w:rPr>
          <w:rFonts w:ascii="Verdana" w:hAnsi="Verdana" w:cs="Arial"/>
          <w:lang w:eastAsia="es-CO"/>
        </w:rPr>
        <w:t xml:space="preserve">, disposición que establece la declaración </w:t>
      </w:r>
      <w:r w:rsidRPr="008E4F36">
        <w:rPr>
          <w:rFonts w:ascii="Verdana" w:hAnsi="Verdana" w:cs="Arial"/>
          <w:lang w:eastAsia="es-CO"/>
        </w:rPr>
        <w:lastRenderedPageBreak/>
        <w:t>ante notario como mecanismo para demostrar la calidad de mujer cabeza de familia</w:t>
      </w:r>
      <w:r w:rsidRPr="008E4F36">
        <w:rPr>
          <w:rStyle w:val="Refdenotaalpie"/>
          <w:rFonts w:ascii="Verdana" w:eastAsia="Calibri" w:hAnsi="Verdana" w:cs="Arial"/>
        </w:rPr>
        <w:footnoteReference w:id="9"/>
      </w:r>
      <w:r w:rsidRPr="008E4F36">
        <w:rPr>
          <w:rFonts w:ascii="Verdana" w:hAnsi="Verdana" w:cs="Arial"/>
          <w:lang w:eastAsia="es-CO"/>
        </w:rPr>
        <w:t xml:space="preserve">. </w:t>
      </w:r>
    </w:p>
    <w:p w14:paraId="6CC26392" w14:textId="77777777" w:rsidR="0076150C" w:rsidRPr="008E4F36" w:rsidRDefault="0076150C" w:rsidP="00C87FB4">
      <w:pPr>
        <w:spacing w:after="120" w:line="276" w:lineRule="auto"/>
        <w:ind w:firstLine="709"/>
        <w:jc w:val="both"/>
        <w:rPr>
          <w:rFonts w:ascii="Verdana" w:hAnsi="Verdana" w:cs="Arial"/>
        </w:rPr>
      </w:pPr>
      <w:r>
        <w:rPr>
          <w:rFonts w:ascii="Verdana" w:hAnsi="Verdana" w:cs="Arial"/>
        </w:rPr>
        <w:t>En efecto</w:t>
      </w:r>
      <w:r w:rsidRPr="008E4F36">
        <w:rPr>
          <w:rFonts w:ascii="Verdana" w:hAnsi="Verdana" w:cs="Arial"/>
        </w:rPr>
        <w:t>, la regulación de los medios de acreditación establecidos en el numeral 2 del artículo 2.2.1.2.4.2.17 del Decreto 1082 de 2015, adicionado por el Decreto 1860 de 2021, se hace a partir de una articulación normativa con las disposiciones legales señaladas, las cuales regulan, de manera general, la acreditación de las condiciones de mujer cabeza de familia. En ese sentido, lo que procura el numeral 2 del artículo 2.2.1.2.4.2.17 es que, en los procesos de contratación pública, la acreditación de las referidas calidades se rija por la normativa de rango legal que rige la materia.</w:t>
      </w:r>
    </w:p>
    <w:p w14:paraId="67380734" w14:textId="77777777" w:rsidR="0076150C" w:rsidRPr="008E4F36" w:rsidRDefault="0076150C" w:rsidP="00C87FB4">
      <w:pPr>
        <w:spacing w:after="120" w:line="276" w:lineRule="auto"/>
        <w:ind w:firstLine="709"/>
        <w:jc w:val="both"/>
        <w:rPr>
          <w:rFonts w:ascii="Verdana" w:hAnsi="Verdana" w:cs="Arial"/>
        </w:rPr>
      </w:pPr>
      <w:r w:rsidRPr="008E4F36">
        <w:rPr>
          <w:rFonts w:ascii="Verdana" w:hAnsi="Verdana" w:cs="Arial"/>
        </w:rPr>
        <w:t xml:space="preserve">Como se desprende del texto del numeral 2 del artículo 35 de la Ley 2069 de 2020, este factor de desempate no aplica únicamente en favor de las personas naturales que acrediten las referidas condiciones, sino también a las personas jurídicas en las que “participen mayoritariamente”. Adicionalmente, dentro del ámbito de aplicación de este factor de desempate también entran los proponentes plurales conformados exclusivamente por personas naturales y/o jurídicas que reúnan alguna de las otras condiciones que aplican a los proponentes singulares. De tal manera que, para poderse beneficiar del factor de desempate, el proponente plural debe estar constituido por: i) por mujeres cabeza de familia o mujeres víctimas de violencia intrafamiliar y/o </w:t>
      </w:r>
      <w:proofErr w:type="spellStart"/>
      <w:r w:rsidRPr="008E4F36">
        <w:rPr>
          <w:rFonts w:ascii="Verdana" w:hAnsi="Verdana" w:cs="Arial"/>
        </w:rPr>
        <w:t>ii</w:t>
      </w:r>
      <w:proofErr w:type="spellEnd"/>
      <w:r w:rsidRPr="008E4F36">
        <w:rPr>
          <w:rFonts w:ascii="Verdana" w:hAnsi="Verdana" w:cs="Arial"/>
        </w:rPr>
        <w:t>) por personas jurídicas en las cuales tales mujeres participen mayoritariamente. Como la norma exige que la participación mayoritaria sea en la “persona jurídica”, en caso de existir varias personas jurídicas integrando el proponente plural, cada una de ellas debe acreditar la participación mayoritaria de mujeres cabeza de familia o mujeres víctimas de violencia intrafamiliar.</w:t>
      </w:r>
    </w:p>
    <w:p w14:paraId="27A6B6E0" w14:textId="77777777" w:rsidR="0076150C" w:rsidRDefault="0076150C" w:rsidP="00C87FB4">
      <w:pPr>
        <w:spacing w:after="120" w:line="276" w:lineRule="auto"/>
        <w:ind w:firstLine="709"/>
        <w:jc w:val="both"/>
        <w:rPr>
          <w:rFonts w:ascii="Verdana" w:hAnsi="Verdana" w:cs="Arial"/>
        </w:rPr>
      </w:pPr>
      <w:r w:rsidRPr="008E4F36">
        <w:rPr>
          <w:rFonts w:ascii="Verdana" w:hAnsi="Verdana" w:cs="Arial"/>
        </w:rPr>
        <w:t xml:space="preserve">Ahora bien, el artículo 35.2 de la Ley 2069 de 2020 utiliza un concepto jurídico indeterminado, cuando se refiere a la participación mayoritaria de las mujeres cabeza de familia o mujeres víctimas de la violencia intrafamiliar en la persona jurídica o en el proponente plural. Con anterioridad a la expedición del Decreto 1860 de 2021, en los múltiples conceptos expedidos con relación a la noción de participación mayoritaria, el criterio reiterado de esta Agencia había </w:t>
      </w:r>
      <w:r w:rsidRPr="008E4F36">
        <w:rPr>
          <w:rFonts w:ascii="Verdana" w:hAnsi="Verdana" w:cs="Arial"/>
        </w:rPr>
        <w:lastRenderedPageBreak/>
        <w:t xml:space="preserve">sido la interpretación literal de la norma, en atención a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5F395319" w14:textId="77777777" w:rsidR="0076150C" w:rsidRDefault="0076150C" w:rsidP="00C87FB4">
      <w:pPr>
        <w:spacing w:after="120" w:line="276" w:lineRule="auto"/>
        <w:ind w:firstLine="708"/>
        <w:jc w:val="both"/>
        <w:rPr>
          <w:rFonts w:ascii="Verdana" w:hAnsi="Verdana" w:cs="Arial"/>
        </w:rPr>
      </w:pPr>
      <w:r w:rsidRPr="008E4F36">
        <w:rPr>
          <w:rFonts w:ascii="Verdana" w:hAnsi="Verdana" w:cs="Arial"/>
        </w:rPr>
        <w:t>En aplicación de este criterio interpretativo, y en consideración a la ausencia de una definición legal del término “participar”, se ha acudido a su significado en el lenguaje común, el cual indica que el término designa la acción de “Tener parte en una sociedad o negocio o ser socio de ellos”</w:t>
      </w:r>
      <w:r w:rsidRPr="008E4F36">
        <w:rPr>
          <w:rStyle w:val="Refdenotaalpie"/>
          <w:rFonts w:ascii="Verdana" w:hAnsi="Verdana" w:cs="Arial"/>
        </w:rPr>
        <w:footnoteReference w:id="10"/>
      </w:r>
      <w:r w:rsidRPr="008E4F36">
        <w:rPr>
          <w:rFonts w:ascii="Verdana" w:hAnsi="Verdana" w:cs="Arial"/>
        </w:rPr>
        <w:t xml:space="preserve">. Esta noción es acorde con el derecho societario, en el cual se indica que la participación recae sobre las utilidades de la sociedad, en algunos casos en proporción a las acciones –en las sociedades por acciones– o de acuerdo con la industria o trabajo personal del socio –como sucede usualmente en las sociedades de personas–. Así lo señalan, entre otros, los artículos 130, 137, 138, 141, 150, 380 y 462 del Código de Comercio. </w:t>
      </w:r>
    </w:p>
    <w:p w14:paraId="6E15A41B" w14:textId="77777777" w:rsidR="0076150C" w:rsidRPr="008E4F36" w:rsidRDefault="0076150C" w:rsidP="00C87FB4">
      <w:pPr>
        <w:spacing w:after="120" w:line="276" w:lineRule="auto"/>
        <w:ind w:firstLine="709"/>
        <w:jc w:val="both"/>
        <w:rPr>
          <w:rFonts w:ascii="Verdana" w:hAnsi="Verdana" w:cs="Arial"/>
        </w:rPr>
      </w:pPr>
      <w:r w:rsidRPr="008E4F36">
        <w:rPr>
          <w:rFonts w:ascii="Verdana" w:hAnsi="Verdana" w:cs="Arial"/>
        </w:rPr>
        <w:t>Esta interpretación se encuentra hoy reflejada en el desarrollo reglamentario de los factores de desempate producido por el Decreto 1860 de 2021, de cuyo texto surge con claridad que la participación mayoritaria a la que se refiere el factor de desempate en estudio tiene que ver con la distribución de acciones, utilidades o cuotas partes de la sociedad que funge como proponente singular o integrante de uno plural. Así se desprende del texto del inciso tercero del precitado numeral 2 del artículo 2.2.1.2.4.2.17, que al establecer el medio de acreditación de este factor de desempate para las personas jurídicas, indica que el respectivo representante legal o revisor fiscal, deberá presentar  “[…] un certificado, mediante el cual acredita, bajo la gravedad de juramento, que más del cincuenta por ciento (50 %) de la composición accionaria o cuota parte de la persona jurídica está constituida por mujeres cabeza de familia y/o mujeres víctimas de violencia intrafamiliar […]”.</w:t>
      </w:r>
    </w:p>
    <w:p w14:paraId="3A6683E0" w14:textId="77777777" w:rsidR="0076150C" w:rsidRPr="008E4F36" w:rsidRDefault="0076150C" w:rsidP="00CE65A1">
      <w:pPr>
        <w:spacing w:after="120" w:line="276" w:lineRule="auto"/>
        <w:ind w:firstLine="708"/>
        <w:jc w:val="both"/>
        <w:rPr>
          <w:rFonts w:ascii="Verdana" w:hAnsi="Verdana" w:cs="Arial"/>
        </w:rPr>
      </w:pPr>
      <w:r w:rsidRPr="008E4F36">
        <w:rPr>
          <w:rFonts w:ascii="Verdana" w:hAnsi="Verdana" w:cs="Arial"/>
        </w:rPr>
        <w:t xml:space="preserve">De acuerdo con esto, la manera en la que se ha reglamentado el numeral 2 del artículo 35 de la Ley 2069 de 2020, permite concluir que, las personas jurídicas que entran dentro del ámbito de aplicación de este criterio de desempate son aquellas en las que más del cincuenta por ciento (50%) de la composición accionaria o cuota parte se encuentre en cabeza de mujeres cabeza de familia y/o mujeres víctimas de violencia intrafamiliar. Esta circunstancia, de </w:t>
      </w:r>
      <w:r w:rsidRPr="008E4F36">
        <w:rPr>
          <w:rFonts w:ascii="Verdana" w:hAnsi="Verdana" w:cs="Arial"/>
        </w:rPr>
        <w:lastRenderedPageBreak/>
        <w:t>conformidad con el inciso tercero del numeral 2 del artículo 2.2.1.2.4.2.17, debe demostrarse mediante certificación emitida por el representante o revisor fiscal, según corresponda, bajo la gravedad de juramento, a la que además deberán acreditarse documentos mediante los que se demuestren las condiciones de jefatura de familia o víctima de violencia intrafamiliar, respecto de las  mujeres titulares de la participación de la sociedad, de acuerdo con los incisos primero y segundo del numeral 2 del artículo 2.2.1.2.4.2.17 del Decreto 1082 de 2015, adicionado por el Decreto 1860 de 2021.</w:t>
      </w:r>
    </w:p>
    <w:p w14:paraId="24BFECE3" w14:textId="77777777" w:rsidR="0076150C" w:rsidRDefault="0076150C" w:rsidP="003B471B">
      <w:pPr>
        <w:spacing w:after="120" w:line="276" w:lineRule="auto"/>
        <w:ind w:firstLine="709"/>
        <w:jc w:val="both"/>
        <w:rPr>
          <w:rFonts w:ascii="Verdana" w:hAnsi="Verdana" w:cs="Arial"/>
        </w:rPr>
      </w:pPr>
      <w:r w:rsidRPr="008E4F36">
        <w:rPr>
          <w:rFonts w:ascii="Verdana" w:hAnsi="Verdana" w:cs="Arial"/>
        </w:rPr>
        <w:t xml:space="preserve">Finalmente, si en la causal del artículo 35.2 de la Ley de Emprendimiento –reglamentada por el artículo 3 del Decreto 1860 de 2021– tanto la persona jurídica como el proponente plural cumplen los criterios explicados </w:t>
      </w:r>
      <w:r w:rsidRPr="008E4F36">
        <w:rPr>
          <w:rFonts w:ascii="Verdana" w:hAnsi="Verdana" w:cs="Arial"/>
          <w:i/>
          <w:iCs/>
        </w:rPr>
        <w:t>ut supra</w:t>
      </w:r>
      <w:r w:rsidRPr="008E4F36">
        <w:rPr>
          <w:rFonts w:ascii="Verdana" w:hAnsi="Verdana" w:cs="Arial"/>
        </w:rPr>
        <w:t>, debe acudirse al mandato de aplicación sucesiva y excluyente establecido en la Ley 2069 de 2020. Al no existir una prelación legal de uno sobre otro, se aplicarán los demás criterios de desempate. Si éste persiste con todas las otras causales, se aplicará en método aleatorio establecido previamente en el pliego de condiciones, invitación o documento que haga sus veces.</w:t>
      </w:r>
    </w:p>
    <w:p w14:paraId="0E1F699C" w14:textId="77777777" w:rsidR="0076150C" w:rsidRPr="008E4F36" w:rsidRDefault="0076150C" w:rsidP="0076150C">
      <w:pPr>
        <w:spacing w:after="0" w:line="276" w:lineRule="auto"/>
        <w:ind w:firstLine="708"/>
        <w:jc w:val="both"/>
        <w:rPr>
          <w:rFonts w:ascii="Verdana" w:hAnsi="Verdana" w:cs="Arial"/>
        </w:rPr>
      </w:pPr>
      <w:r w:rsidRPr="008E4F36">
        <w:rPr>
          <w:rFonts w:ascii="Verdana" w:hAnsi="Verdana" w:cs="Arial"/>
        </w:rPr>
        <w:t xml:space="preserve">Esto comoquiera que, una de las implicaciones del artículo 35 de la Ley 2069 de 2020 es que la acreditación de cada criterio de desempate deba estudiarse de manera separada, lo que supone que, ante una situación de empate, una entidad debe proceder por acudir al primer criterio de desempate, y de persistir al empate, ya sea porque ambos oferentes acrediten el primer factor, o porque ninguno lo cumple, proceder a aplicar el segundo, y así sucesivamente hasta que se determine la oferta ganadora. En medio de esto, la aplicación excluyente supone que la acreditación de un factor de desempate por parte de determinado oferente, se evalué de manera separada, independiente de lo acreditado para los otros factores. </w:t>
      </w:r>
    </w:p>
    <w:p w14:paraId="66233673" w14:textId="77777777" w:rsidR="0076150C" w:rsidRPr="008E4F36" w:rsidRDefault="0076150C" w:rsidP="0076150C">
      <w:pPr>
        <w:spacing w:after="0" w:line="240" w:lineRule="auto"/>
        <w:ind w:firstLine="709"/>
        <w:jc w:val="both"/>
        <w:rPr>
          <w:rFonts w:ascii="Verdana" w:hAnsi="Verdana" w:cs="Arial"/>
        </w:rPr>
      </w:pPr>
    </w:p>
    <w:p w14:paraId="6FECBD21" w14:textId="77777777" w:rsidR="0076150C" w:rsidRPr="008E4F36" w:rsidRDefault="0076150C" w:rsidP="00AC3CA2">
      <w:pPr>
        <w:pBdr>
          <w:top w:val="nil"/>
          <w:left w:val="nil"/>
          <w:bottom w:val="nil"/>
          <w:right w:val="nil"/>
          <w:between w:val="nil"/>
        </w:pBdr>
        <w:spacing w:after="0" w:line="276" w:lineRule="auto"/>
        <w:jc w:val="both"/>
        <w:rPr>
          <w:rFonts w:ascii="Verdana" w:eastAsia="Quattrocento Sans" w:hAnsi="Verdana" w:cs="Quattrocento Sans"/>
          <w:color w:val="000000"/>
        </w:rPr>
      </w:pPr>
      <w:proofErr w:type="spellStart"/>
      <w:r w:rsidRPr="008E4F36">
        <w:rPr>
          <w:rFonts w:ascii="Verdana" w:hAnsi="Verdana" w:cs="Arial"/>
        </w:rPr>
        <w:t>ii</w:t>
      </w:r>
      <w:proofErr w:type="spellEnd"/>
      <w:r w:rsidRPr="008E4F36">
        <w:rPr>
          <w:rFonts w:ascii="Verdana" w:hAnsi="Verdana" w:cs="Arial"/>
        </w:rPr>
        <w:t xml:space="preserve">) Respecto del segundo problema jurídico planteado, </w:t>
      </w:r>
      <w:r w:rsidRPr="008E4F36">
        <w:rPr>
          <w:rFonts w:ascii="Verdana" w:eastAsia="Arial" w:hAnsi="Verdana" w:cs="Arial"/>
          <w:color w:val="000000"/>
        </w:rPr>
        <w:t xml:space="preserve">esta Subdirección se ha pronunciado en diversas oportunidades acerca del alcance de la regla de la </w:t>
      </w:r>
      <w:proofErr w:type="spellStart"/>
      <w:r w:rsidRPr="008E4F36">
        <w:rPr>
          <w:rFonts w:ascii="Verdana" w:eastAsia="Arial" w:hAnsi="Verdana" w:cs="Arial"/>
          <w:color w:val="000000"/>
        </w:rPr>
        <w:t>subsanabilidad</w:t>
      </w:r>
      <w:proofErr w:type="spellEnd"/>
      <w:r w:rsidRPr="008E4F36">
        <w:rPr>
          <w:rFonts w:ascii="Verdana" w:eastAsia="Arial" w:hAnsi="Verdana" w:cs="Arial"/>
          <w:color w:val="000000"/>
        </w:rPr>
        <w:t xml:space="preserve">, contenida actualmente en el artículo 5 de la Ley 1150 de 2007. Al respecto, la postura que se reitera en el presente concepto es la siguiente: por regla general, son subsanables i) la falta de entrega o </w:t>
      </w:r>
      <w:proofErr w:type="spellStart"/>
      <w:r w:rsidRPr="008E4F36">
        <w:rPr>
          <w:rFonts w:ascii="Verdana" w:eastAsia="Arial" w:hAnsi="Verdana" w:cs="Arial"/>
          <w:color w:val="000000"/>
        </w:rPr>
        <w:t>ii</w:t>
      </w:r>
      <w:proofErr w:type="spellEnd"/>
      <w:r w:rsidRPr="008E4F36">
        <w:rPr>
          <w:rFonts w:ascii="Verdana" w:eastAsia="Arial" w:hAnsi="Verdana" w:cs="Arial"/>
          <w:color w:val="000000"/>
        </w:rPr>
        <w:t xml:space="preserve">) los defectos de los requisitos habilitantes. La excepción se encuentra en los casos, previstos en la ley, que limitan la </w:t>
      </w:r>
      <w:proofErr w:type="spellStart"/>
      <w:r w:rsidRPr="008E4F36">
        <w:rPr>
          <w:rFonts w:ascii="Verdana" w:eastAsia="Arial" w:hAnsi="Verdana" w:cs="Arial"/>
          <w:color w:val="000000"/>
        </w:rPr>
        <w:t>subsanabilidad</w:t>
      </w:r>
      <w:proofErr w:type="spellEnd"/>
      <w:r w:rsidRPr="008E4F36">
        <w:rPr>
          <w:rFonts w:ascii="Verdana" w:eastAsia="Arial" w:hAnsi="Verdana" w:cs="Arial"/>
          <w:color w:val="000000"/>
        </w:rPr>
        <w:t>, es decir, en la prohibición de permitir la entrega de la garantía de seriedad de la oferta que no fue aportada con la propuesta y de valer la acreditación de circunstancias ocurridas con posterioridad al cierre del proceso.  </w:t>
      </w:r>
    </w:p>
    <w:p w14:paraId="4519C21E" w14:textId="77777777" w:rsidR="0076150C" w:rsidRDefault="0076150C" w:rsidP="0076150C">
      <w:pPr>
        <w:spacing w:after="0" w:line="276" w:lineRule="auto"/>
        <w:ind w:firstLine="709"/>
        <w:jc w:val="both"/>
        <w:rPr>
          <w:rFonts w:ascii="Verdana" w:eastAsia="Arial" w:hAnsi="Verdana" w:cs="Arial"/>
          <w:color w:val="000000"/>
        </w:rPr>
      </w:pPr>
      <w:r w:rsidRPr="008E4F36">
        <w:rPr>
          <w:rFonts w:ascii="Verdana" w:hAnsi="Verdana" w:cs="Arial"/>
        </w:rPr>
        <w:lastRenderedPageBreak/>
        <w:t>Sobre este aspecto, debe resaltarse que la posibilidad de enmendar, corregir o subsanar los errores en los que se incurre en los documentos contentivos de la oferta es un tema que ha tenido diferentes momentos o etapas en el ordenamiento jurídico colombiano</w:t>
      </w:r>
      <w:r w:rsidRPr="008E4F36">
        <w:rPr>
          <w:rFonts w:ascii="Verdana" w:eastAsia="Arial" w:hAnsi="Verdana" w:cs="Arial"/>
          <w:color w:val="000000"/>
        </w:rPr>
        <w:t xml:space="preserve">. </w:t>
      </w:r>
    </w:p>
    <w:p w14:paraId="0838D750" w14:textId="42D98BB4" w:rsidR="00AC3CA2" w:rsidRDefault="00AC3CA2" w:rsidP="00AC3CA2">
      <w:pPr>
        <w:spacing w:after="0" w:line="240" w:lineRule="auto"/>
        <w:ind w:firstLine="709"/>
        <w:jc w:val="both"/>
        <w:rPr>
          <w:rFonts w:ascii="Verdana" w:eastAsia="Arial" w:hAnsi="Verdana" w:cs="Arial"/>
          <w:color w:val="000000"/>
        </w:rPr>
      </w:pPr>
    </w:p>
    <w:p w14:paraId="07A8C672" w14:textId="77777777" w:rsidR="0076150C" w:rsidRPr="008E4F36" w:rsidRDefault="0076150C" w:rsidP="0076150C">
      <w:pPr>
        <w:spacing w:after="0" w:line="276" w:lineRule="auto"/>
        <w:ind w:firstLine="709"/>
        <w:jc w:val="both"/>
        <w:rPr>
          <w:rFonts w:ascii="Verdana" w:hAnsi="Verdana" w:cs="Arial"/>
        </w:rPr>
      </w:pPr>
      <w:r w:rsidRPr="008E4F36">
        <w:rPr>
          <w:rFonts w:ascii="Verdana" w:eastAsia="Arial" w:hAnsi="Verdana" w:cs="Arial"/>
          <w:color w:val="000000"/>
        </w:rPr>
        <w:t xml:space="preserve">En un </w:t>
      </w:r>
      <w:r w:rsidRPr="008E4F36">
        <w:rPr>
          <w:rFonts w:ascii="Verdana" w:eastAsia="Arial" w:hAnsi="Verdana" w:cs="Arial"/>
          <w:i/>
          <w:color w:val="000000"/>
        </w:rPr>
        <w:t>primer momento</w:t>
      </w:r>
      <w:r w:rsidRPr="008E4F36">
        <w:rPr>
          <w:rFonts w:ascii="Verdana" w:eastAsia="Arial" w:hAnsi="Verdana" w:cs="Arial"/>
          <w:color w:val="000000"/>
        </w:rPr>
        <w:t xml:space="preserve">, antes de expedirse la Constitución Política de 1991, el régimen jurídico de la </w:t>
      </w:r>
      <w:proofErr w:type="spellStart"/>
      <w:r w:rsidRPr="008E4F36">
        <w:rPr>
          <w:rFonts w:ascii="Verdana" w:eastAsia="Arial" w:hAnsi="Verdana" w:cs="Arial"/>
          <w:color w:val="000000"/>
        </w:rPr>
        <w:t>subsanabilidad</w:t>
      </w:r>
      <w:proofErr w:type="spellEnd"/>
      <w:r w:rsidRPr="008E4F36">
        <w:rPr>
          <w:rFonts w:ascii="Verdana" w:eastAsia="Arial" w:hAnsi="Verdana" w:cs="Arial"/>
          <w:color w:val="000000"/>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11F201AC" w14:textId="77777777" w:rsidR="001D5B5B" w:rsidRDefault="001D5B5B" w:rsidP="00193144">
      <w:pPr>
        <w:spacing w:after="0" w:line="240" w:lineRule="auto"/>
        <w:ind w:firstLine="709"/>
        <w:jc w:val="both"/>
        <w:rPr>
          <w:rFonts w:ascii="Verdana" w:eastAsia="Arial" w:hAnsi="Verdana" w:cs="Arial"/>
          <w:color w:val="000000"/>
        </w:rPr>
      </w:pPr>
    </w:p>
    <w:p w14:paraId="3AE31DA9" w14:textId="3129215F" w:rsidR="0076150C" w:rsidRPr="008E4F36" w:rsidRDefault="0076150C" w:rsidP="0076150C">
      <w:pPr>
        <w:spacing w:after="0" w:line="276" w:lineRule="auto"/>
        <w:ind w:firstLine="709"/>
        <w:jc w:val="both"/>
        <w:rPr>
          <w:rFonts w:ascii="Verdana" w:hAnsi="Verdana"/>
        </w:rPr>
      </w:pPr>
      <w:r w:rsidRPr="008E4F36">
        <w:rPr>
          <w:rFonts w:ascii="Verdana" w:eastAsia="Arial" w:hAnsi="Verdana" w:cs="Arial"/>
          <w:color w:val="000000"/>
        </w:rPr>
        <w:t xml:space="preserve">En un </w:t>
      </w:r>
      <w:r w:rsidRPr="008E4F36">
        <w:rPr>
          <w:rFonts w:ascii="Verdana" w:eastAsia="Arial" w:hAnsi="Verdana" w:cs="Arial"/>
          <w:i/>
          <w:color w:val="000000"/>
        </w:rPr>
        <w:t>segundo momento</w:t>
      </w:r>
      <w:r w:rsidRPr="008E4F36">
        <w:rPr>
          <w:rFonts w:ascii="Verdana" w:eastAsia="Arial" w:hAnsi="Verdana" w:cs="Arial"/>
          <w:color w:val="000000"/>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 En este nuevo escenario constitucional, el numeral 15 del artículo 25 de la Ley 80 de 1993 dispuso lo siguiente: </w:t>
      </w:r>
    </w:p>
    <w:p w14:paraId="35F5B795" w14:textId="77777777" w:rsidR="0076150C" w:rsidRPr="008E4F36" w:rsidRDefault="0076150C" w:rsidP="0076150C">
      <w:pPr>
        <w:spacing w:after="0" w:line="276" w:lineRule="auto"/>
        <w:jc w:val="both"/>
        <w:rPr>
          <w:rFonts w:ascii="Verdana" w:eastAsia="Arial" w:hAnsi="Verdana" w:cs="Arial"/>
          <w:color w:val="000000"/>
        </w:rPr>
      </w:pPr>
    </w:p>
    <w:p w14:paraId="2E90AB24" w14:textId="77777777" w:rsidR="0076150C" w:rsidRPr="009B2D87" w:rsidRDefault="0076150C" w:rsidP="0076150C">
      <w:pPr>
        <w:spacing w:after="120" w:line="240" w:lineRule="auto"/>
        <w:ind w:left="709" w:right="616"/>
        <w:jc w:val="both"/>
        <w:rPr>
          <w:rFonts w:ascii="Verdana" w:eastAsia="Arial" w:hAnsi="Verdana" w:cs="Arial"/>
          <w:color w:val="000000"/>
          <w:sz w:val="20"/>
          <w:szCs w:val="20"/>
        </w:rPr>
      </w:pPr>
      <w:r w:rsidRPr="008E4F36">
        <w:rPr>
          <w:rFonts w:ascii="Verdana" w:eastAsia="Arial" w:hAnsi="Verdana" w:cs="Arial"/>
          <w:color w:val="000000"/>
          <w:sz w:val="21"/>
          <w:szCs w:val="21"/>
        </w:rPr>
        <w:t>“</w:t>
      </w:r>
      <w:r w:rsidRPr="009B2D87">
        <w:rPr>
          <w:rFonts w:ascii="Verdana" w:eastAsia="Arial" w:hAnsi="Verdana" w:cs="Arial"/>
          <w:color w:val="000000"/>
          <w:sz w:val="20"/>
          <w:szCs w:val="20"/>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7F026003" w14:textId="77777777" w:rsidR="0076150C" w:rsidRPr="009B2D87" w:rsidRDefault="0076150C" w:rsidP="0076150C">
      <w:pPr>
        <w:spacing w:after="0" w:line="240" w:lineRule="auto"/>
        <w:ind w:left="709" w:right="616"/>
        <w:jc w:val="both"/>
        <w:rPr>
          <w:rFonts w:ascii="Verdana" w:eastAsia="Arial" w:hAnsi="Verdana" w:cs="Arial"/>
          <w:color w:val="000000"/>
          <w:sz w:val="20"/>
          <w:szCs w:val="20"/>
        </w:rPr>
      </w:pPr>
      <w:r w:rsidRPr="009B2D87">
        <w:rPr>
          <w:rFonts w:ascii="Verdana" w:eastAsia="Arial" w:hAnsi="Verdana" w:cs="Arial"/>
          <w:color w:val="000000"/>
          <w:sz w:val="20"/>
          <w:szCs w:val="20"/>
        </w:rPr>
        <w:t xml:space="preserve">La ausencia de requisitos o la falta de documentos referentes a la futura contratación o al proponente, no necesarios para la comparación de propuestas, no servirá de título suficiente para el rechazo de los ofrecimientos hechos”. </w:t>
      </w:r>
    </w:p>
    <w:p w14:paraId="192A4E6D" w14:textId="77777777" w:rsidR="0076150C" w:rsidRPr="008E4F36" w:rsidRDefault="0076150C" w:rsidP="0076150C">
      <w:pPr>
        <w:spacing w:after="0" w:line="240" w:lineRule="auto"/>
        <w:jc w:val="both"/>
        <w:rPr>
          <w:rFonts w:ascii="Verdana" w:eastAsia="Arial" w:hAnsi="Verdana" w:cs="Arial"/>
          <w:b/>
          <w:color w:val="000000"/>
        </w:rPr>
      </w:pPr>
    </w:p>
    <w:p w14:paraId="070F5E7A" w14:textId="77777777" w:rsidR="0076150C" w:rsidRPr="008E4F36" w:rsidRDefault="0076150C" w:rsidP="00193144">
      <w:pPr>
        <w:spacing w:after="120" w:line="276" w:lineRule="auto"/>
        <w:ind w:firstLine="709"/>
        <w:jc w:val="both"/>
        <w:rPr>
          <w:rFonts w:ascii="Verdana" w:eastAsia="Arial" w:hAnsi="Verdana" w:cs="Arial"/>
          <w:color w:val="000000"/>
        </w:rPr>
      </w:pPr>
      <w:r w:rsidRPr="008E4F36">
        <w:rPr>
          <w:rFonts w:ascii="Verdana" w:eastAsia="Arial" w:hAnsi="Verdana" w:cs="Arial"/>
          <w:color w:val="000000"/>
        </w:rPr>
        <w:t xml:space="preserve">Bajo el amparo de esta norma, el régimen jurídico de </w:t>
      </w:r>
      <w:proofErr w:type="spellStart"/>
      <w:r w:rsidRPr="008E4F36">
        <w:rPr>
          <w:rFonts w:ascii="Verdana" w:eastAsia="Arial" w:hAnsi="Verdana" w:cs="Arial"/>
          <w:color w:val="000000"/>
        </w:rPr>
        <w:t>subsanabilidad</w:t>
      </w:r>
      <w:proofErr w:type="spellEnd"/>
      <w:r w:rsidRPr="008E4F36">
        <w:rPr>
          <w:rFonts w:ascii="Verdana" w:eastAsia="Arial" w:hAnsi="Verdana" w:cs="Arial"/>
          <w:color w:val="000000"/>
        </w:rPr>
        <w:t xml:space="preserve"> de las ofertas sufre un cambio fundamental, pues ya no era posible rechazar las ofertas por falta de requisitos o documentos que no fueran “</w:t>
      </w:r>
      <w:r w:rsidRPr="008E4F36">
        <w:rPr>
          <w:rFonts w:ascii="Verdana" w:eastAsia="Arial" w:hAnsi="Verdana" w:cs="Arial"/>
          <w:i/>
          <w:color w:val="000000"/>
        </w:rPr>
        <w:t>necesarios para la comparación de propuestas</w:t>
      </w:r>
      <w:r w:rsidRPr="008E4F36">
        <w:rPr>
          <w:rFonts w:ascii="Verdana" w:eastAsia="Arial" w:hAnsi="Verdana" w:cs="Arial"/>
          <w:color w:val="000000"/>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1610EAAB" w14:textId="77777777" w:rsidR="0076150C" w:rsidRDefault="0076150C" w:rsidP="00193144">
      <w:pPr>
        <w:spacing w:after="120" w:line="276" w:lineRule="auto"/>
        <w:ind w:firstLine="709"/>
        <w:jc w:val="both"/>
        <w:rPr>
          <w:rFonts w:ascii="Verdana" w:eastAsia="Arial" w:hAnsi="Verdana" w:cs="Arial"/>
          <w:color w:val="000000"/>
        </w:rPr>
      </w:pPr>
      <w:r w:rsidRPr="008E4F36">
        <w:rPr>
          <w:rFonts w:ascii="Verdana" w:eastAsia="Arial" w:hAnsi="Verdana" w:cs="Arial"/>
          <w:color w:val="000000"/>
        </w:rPr>
        <w:lastRenderedPageBreak/>
        <w:t>El artículo 25.15 debía leerse en conjunto con otras de la Ley 80 de 1993, particularmente con el artículo 30.7</w:t>
      </w:r>
      <w:r w:rsidRPr="008E4F36">
        <w:rPr>
          <w:rFonts w:ascii="Verdana" w:eastAsia="Arial" w:hAnsi="Verdana" w:cs="Arial"/>
          <w:color w:val="000000"/>
          <w:vertAlign w:val="superscript"/>
        </w:rPr>
        <w:footnoteReference w:id="11"/>
      </w:r>
      <w:r w:rsidRPr="008E4F36">
        <w:rPr>
          <w:rFonts w:ascii="Verdana" w:eastAsia="Arial" w:hAnsi="Verdana" w:cs="Arial"/>
          <w:color w:val="000000"/>
        </w:rPr>
        <w:t>, que ordena a la entidad señalar un plazo razonable para evaluar las propuestas y pedir a los proponentes, de ser necesario, que aclaren o expliquen aspectos que ofrezcan dudas y resulten indispensables para hacer la evaluación; y con el artículo 30.8</w:t>
      </w:r>
      <w:r w:rsidRPr="008E4F36">
        <w:rPr>
          <w:rFonts w:ascii="Verdana" w:eastAsia="Arial" w:hAnsi="Verdana" w:cs="Arial"/>
          <w:color w:val="000000"/>
          <w:vertAlign w:val="superscript"/>
        </w:rPr>
        <w:footnoteReference w:id="12"/>
      </w:r>
      <w:r w:rsidRPr="008E4F36">
        <w:rPr>
          <w:rFonts w:ascii="Verdana" w:eastAsia="Arial" w:hAnsi="Verdana" w:cs="Arial"/>
          <w:color w:val="000000"/>
        </w:rPr>
        <w:t xml:space="preserve">, que consagró el término de 5 días hábiles para que los oferentes presenten observaciones al informe de evaluación de las propuestas, sin que sea posible completar, adicionar, modificar o mejorar la oferta.  A partir de la lectura integrada de estas tres normas debía concluirse que con la Ley 80 de 1993 era posible subsanar las propuestas, y la omisión o el error en algún aspecto de </w:t>
      </w:r>
      <w:proofErr w:type="gramStart"/>
      <w:r w:rsidRPr="008E4F36">
        <w:rPr>
          <w:rFonts w:ascii="Verdana" w:eastAsia="Arial" w:hAnsi="Verdana" w:cs="Arial"/>
          <w:color w:val="000000"/>
        </w:rPr>
        <w:t>la misma</w:t>
      </w:r>
      <w:proofErr w:type="gramEnd"/>
      <w:r w:rsidRPr="008E4F36">
        <w:rPr>
          <w:rFonts w:ascii="Verdana" w:eastAsia="Arial" w:hAnsi="Verdana" w:cs="Arial"/>
          <w:color w:val="000000"/>
        </w:rPr>
        <w:t xml:space="preserve"> no podía llevar a su rechazo, sin antes verificar que lo omitido fuera un aspecto necesario para la comparación. </w:t>
      </w:r>
    </w:p>
    <w:p w14:paraId="11FDB722" w14:textId="77777777" w:rsidR="0076150C" w:rsidRDefault="0076150C" w:rsidP="00193144">
      <w:pPr>
        <w:spacing w:after="120" w:line="276" w:lineRule="auto"/>
        <w:ind w:firstLine="709"/>
        <w:jc w:val="both"/>
        <w:rPr>
          <w:rFonts w:ascii="Verdana" w:eastAsia="Arial" w:hAnsi="Verdana" w:cs="Arial"/>
          <w:color w:val="000000"/>
        </w:rPr>
      </w:pPr>
      <w:r w:rsidRPr="008E4F36">
        <w:rPr>
          <w:rFonts w:ascii="Verdana" w:eastAsia="Arial" w:hAnsi="Verdana" w:cs="Arial"/>
          <w:color w:val="000000"/>
        </w:rPr>
        <w:t xml:space="preserve">En un </w:t>
      </w:r>
      <w:r w:rsidRPr="008E4F36">
        <w:rPr>
          <w:rFonts w:ascii="Verdana" w:eastAsia="Arial" w:hAnsi="Verdana" w:cs="Arial"/>
          <w:i/>
          <w:color w:val="000000"/>
        </w:rPr>
        <w:t>tercer momento</w:t>
      </w:r>
      <w:r w:rsidRPr="008E4F36">
        <w:rPr>
          <w:rFonts w:ascii="Verdana" w:eastAsia="Arial" w:hAnsi="Verdana" w:cs="Arial"/>
          <w:color w:val="000000"/>
        </w:rPr>
        <w:t>, y siguiendo la línea trazada por la Ley 80 de 1993, el legislador expidió la Ley 1150 de 2007, que, en el parágrafo 1º del artículo 5, determinó lo siguiente: “La ausencia de requisitos o la falta de documentos referentes a la futura contratación o al proponente, no necesarios para la comparación de las propuestas no servirán de título suficiente para el rechazo de los ofrecimientos hechos. En consecuencia</w:t>
      </w:r>
      <w:r w:rsidRPr="008E4F36">
        <w:rPr>
          <w:rFonts w:ascii="Verdana" w:eastAsia="Arial" w:hAnsi="Verdana" w:cs="Arial"/>
          <w:b/>
          <w:color w:val="000000"/>
        </w:rPr>
        <w:t xml:space="preserve">, </w:t>
      </w:r>
      <w:r w:rsidRPr="008E4F36">
        <w:rPr>
          <w:rFonts w:ascii="Verdana" w:eastAsia="Arial" w:hAnsi="Verdana" w:cs="Arial"/>
          <w:color w:val="000000"/>
        </w:rPr>
        <w:t xml:space="preserve">todos aquellos requisitos de la propuesta que no afecten la asignación de puntaje podrán ser solicitados por las entidades en cualquier momento, hasta la adjudicación. No </w:t>
      </w:r>
      <w:proofErr w:type="gramStart"/>
      <w:r w:rsidRPr="008E4F36">
        <w:rPr>
          <w:rFonts w:ascii="Verdana" w:eastAsia="Arial" w:hAnsi="Verdana" w:cs="Arial"/>
          <w:color w:val="000000"/>
        </w:rPr>
        <w:t>obstante</w:t>
      </w:r>
      <w:proofErr w:type="gramEnd"/>
      <w:r w:rsidRPr="008E4F36">
        <w:rPr>
          <w:rFonts w:ascii="Verdana" w:eastAsia="Arial" w:hAnsi="Verdana" w:cs="Arial"/>
          <w:color w:val="000000"/>
        </w:rPr>
        <w:t xml:space="preserve"> lo anterior, en aquellos procesos de selección en los que se utilice el mecanismo de subasta, deberán ser solicitados hasta el momento previo a su realización”. </w:t>
      </w:r>
    </w:p>
    <w:p w14:paraId="0D181012" w14:textId="77777777" w:rsidR="0076150C" w:rsidRPr="008E4F36" w:rsidRDefault="0076150C" w:rsidP="00193144">
      <w:pPr>
        <w:spacing w:after="120" w:line="276" w:lineRule="auto"/>
        <w:ind w:firstLine="709"/>
        <w:jc w:val="both"/>
        <w:rPr>
          <w:rFonts w:ascii="Verdana" w:hAnsi="Verdana"/>
        </w:rPr>
      </w:pPr>
      <w:r w:rsidRPr="008E4F36">
        <w:rPr>
          <w:rFonts w:ascii="Verdana" w:eastAsia="Arial" w:hAnsi="Verdana" w:cs="Arial"/>
          <w:color w:val="000000"/>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w:t>
      </w:r>
      <w:r w:rsidRPr="008E4F36">
        <w:rPr>
          <w:rFonts w:ascii="Verdana" w:eastAsia="Arial" w:hAnsi="Verdana" w:cs="Arial"/>
          <w:color w:val="000000"/>
        </w:rPr>
        <w:lastRenderedPageBreak/>
        <w:t xml:space="preserve">al verificar la Administración encuentra que lo omitido por el proponente es un aspecto que otorga puntaje, no es posible subsanarlo; pero, si no otorga puntaje, la Administración debe requerir al proponente para que lo subsane.  </w:t>
      </w:r>
    </w:p>
    <w:p w14:paraId="3707ABE6" w14:textId="77777777" w:rsidR="0076150C" w:rsidRPr="008E4F36" w:rsidRDefault="0076150C" w:rsidP="0076150C">
      <w:pPr>
        <w:spacing w:after="0" w:line="276" w:lineRule="auto"/>
        <w:ind w:firstLine="709"/>
        <w:jc w:val="both"/>
        <w:rPr>
          <w:rFonts w:ascii="Verdana" w:eastAsia="Arial" w:hAnsi="Verdana" w:cs="Arial"/>
          <w:color w:val="000000"/>
        </w:rPr>
      </w:pPr>
      <w:r w:rsidRPr="008E4F36">
        <w:rPr>
          <w:rFonts w:ascii="Verdana" w:eastAsia="Arial" w:hAnsi="Verdana" w:cs="Arial"/>
          <w:color w:val="000000"/>
        </w:rPr>
        <w:t>El artículo 5 de la Ley 1150 de 2007, además de consagrar un criterio más claro, y, de paso, reducir la discrecionalidad de la Administración, fijó un ámbito temporal para la subsanación de las ofertas: “</w:t>
      </w:r>
      <w:r w:rsidRPr="008E4F36">
        <w:rPr>
          <w:rFonts w:ascii="Verdana" w:eastAsia="Arial" w:hAnsi="Verdana" w:cs="Arial"/>
          <w:i/>
          <w:color w:val="000000"/>
        </w:rPr>
        <w:t>en cualquier momento, hasta la adjudicación</w:t>
      </w:r>
      <w:r w:rsidRPr="008E4F36">
        <w:rPr>
          <w:rFonts w:ascii="Verdana" w:eastAsia="Arial" w:hAnsi="Verdana" w:cs="Arial"/>
          <w:color w:val="000000"/>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3C5A654E" w14:textId="77777777" w:rsidR="0076150C" w:rsidRPr="008E4F36" w:rsidRDefault="0076150C" w:rsidP="0076150C">
      <w:pPr>
        <w:spacing w:after="0" w:line="276" w:lineRule="auto"/>
        <w:jc w:val="both"/>
        <w:rPr>
          <w:rFonts w:ascii="Verdana" w:eastAsia="Arial" w:hAnsi="Verdana" w:cs="Arial"/>
          <w:color w:val="000000"/>
        </w:rPr>
      </w:pPr>
    </w:p>
    <w:p w14:paraId="72ED3780" w14:textId="77777777" w:rsidR="0076150C" w:rsidRPr="008E4F36" w:rsidRDefault="0076150C" w:rsidP="00193144">
      <w:pPr>
        <w:spacing w:after="0" w:line="240" w:lineRule="auto"/>
        <w:ind w:left="709" w:right="709"/>
        <w:jc w:val="both"/>
        <w:rPr>
          <w:rFonts w:ascii="Verdana" w:eastAsia="Arial" w:hAnsi="Verdana" w:cs="Arial"/>
          <w:color w:val="000000"/>
          <w:sz w:val="20"/>
          <w:szCs w:val="20"/>
        </w:rPr>
      </w:pPr>
      <w:r w:rsidRPr="008E4F36">
        <w:rPr>
          <w:rFonts w:ascii="Verdana" w:eastAsia="Arial" w:hAnsi="Verdana" w:cs="Arial"/>
          <w:color w:val="000000"/>
          <w:sz w:val="20"/>
          <w:szCs w:val="20"/>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8E4F36">
        <w:rPr>
          <w:rFonts w:ascii="Verdana" w:eastAsia="Arial" w:hAnsi="Verdana" w:cs="Arial"/>
          <w:color w:val="000000"/>
          <w:sz w:val="20"/>
          <w:szCs w:val="20"/>
          <w:vertAlign w:val="superscript"/>
        </w:rPr>
        <w:footnoteReference w:id="13"/>
      </w:r>
      <w:r w:rsidRPr="008E4F36">
        <w:rPr>
          <w:rFonts w:ascii="Verdana" w:eastAsia="Arial" w:hAnsi="Verdana" w:cs="Arial"/>
          <w:color w:val="000000"/>
          <w:sz w:val="20"/>
          <w:szCs w:val="20"/>
        </w:rPr>
        <w:t>.</w:t>
      </w:r>
    </w:p>
    <w:p w14:paraId="1177255C" w14:textId="77777777" w:rsidR="0076150C" w:rsidRPr="008E4F36" w:rsidRDefault="0076150C" w:rsidP="0076150C">
      <w:pPr>
        <w:spacing w:after="0" w:line="240" w:lineRule="auto"/>
        <w:jc w:val="both"/>
        <w:rPr>
          <w:rFonts w:ascii="Verdana" w:eastAsia="Arial" w:hAnsi="Verdana" w:cs="Arial"/>
          <w:b/>
          <w:color w:val="000000"/>
        </w:rPr>
      </w:pPr>
    </w:p>
    <w:p w14:paraId="22E0F7A4" w14:textId="77777777" w:rsidR="0076150C" w:rsidRDefault="0076150C" w:rsidP="00193144">
      <w:pPr>
        <w:pBdr>
          <w:top w:val="nil"/>
          <w:left w:val="nil"/>
          <w:bottom w:val="nil"/>
          <w:right w:val="nil"/>
          <w:between w:val="nil"/>
        </w:pBdr>
        <w:tabs>
          <w:tab w:val="left" w:pos="284"/>
        </w:tabs>
        <w:spacing w:after="120" w:line="276" w:lineRule="auto"/>
        <w:ind w:firstLine="709"/>
        <w:jc w:val="both"/>
        <w:rPr>
          <w:rFonts w:ascii="Verdana" w:eastAsia="Arial" w:hAnsi="Verdana" w:cs="Arial"/>
          <w:color w:val="000000"/>
        </w:rPr>
      </w:pPr>
      <w:r w:rsidRPr="008E4F36">
        <w:rPr>
          <w:rFonts w:ascii="Verdana" w:eastAsia="Arial" w:hAnsi="Verdana" w:cs="Arial"/>
          <w:color w:val="000000"/>
        </w:rPr>
        <w:t xml:space="preserve">Esa interpretación fue compartida por la Agencia Nacional de Contratación Pública – Colombia Compra Eficiente, pues en la Circular Externa Única se había precisado que, si durante un proceso de contratación hay proponentes que no acreditaron en sus ofertas requisitos que no afectan la asignación de puntaje o la comparación de </w:t>
      </w:r>
      <w:proofErr w:type="gramStart"/>
      <w:r w:rsidRPr="008E4F36">
        <w:rPr>
          <w:rFonts w:ascii="Verdana" w:eastAsia="Arial" w:hAnsi="Verdana" w:cs="Arial"/>
          <w:color w:val="000000"/>
        </w:rPr>
        <w:t>las mismas</w:t>
      </w:r>
      <w:proofErr w:type="gramEnd"/>
      <w:r w:rsidRPr="008E4F36">
        <w:rPr>
          <w:rFonts w:ascii="Verdana" w:eastAsia="Arial" w:hAnsi="Verdana" w:cs="Arial"/>
          <w:color w:val="000000"/>
        </w:rPr>
        <w:t>, la entidad estatal deberá indicarlo en el informe de evaluación y advertir que la correspondiente oferta no será evaluada hasta que se subsane.</w:t>
      </w:r>
    </w:p>
    <w:p w14:paraId="446DEA3F" w14:textId="77777777" w:rsidR="0076150C" w:rsidRDefault="0076150C" w:rsidP="00193144">
      <w:pPr>
        <w:pBdr>
          <w:top w:val="nil"/>
          <w:left w:val="nil"/>
          <w:bottom w:val="nil"/>
          <w:right w:val="nil"/>
          <w:between w:val="nil"/>
        </w:pBdr>
        <w:tabs>
          <w:tab w:val="left" w:pos="284"/>
        </w:tabs>
        <w:spacing w:after="120" w:line="276" w:lineRule="auto"/>
        <w:ind w:firstLine="709"/>
        <w:jc w:val="both"/>
        <w:rPr>
          <w:rFonts w:ascii="Verdana" w:eastAsia="Arial" w:hAnsi="Verdana" w:cs="Arial"/>
          <w:color w:val="000000"/>
        </w:rPr>
      </w:pPr>
      <w:r w:rsidRPr="008E4F36">
        <w:rPr>
          <w:rFonts w:ascii="Verdana" w:eastAsia="Arial" w:hAnsi="Verdana" w:cs="Arial"/>
          <w:color w:val="000000"/>
        </w:rPr>
        <w:t xml:space="preserve">En un </w:t>
      </w:r>
      <w:r w:rsidRPr="008E4F36">
        <w:rPr>
          <w:rFonts w:ascii="Verdana" w:eastAsia="Arial" w:hAnsi="Verdana" w:cs="Arial"/>
          <w:i/>
          <w:color w:val="000000"/>
        </w:rPr>
        <w:t>cuarto momento</w:t>
      </w:r>
      <w:r w:rsidRPr="008E4F36">
        <w:rPr>
          <w:rFonts w:ascii="Verdana" w:eastAsia="Arial" w:hAnsi="Verdana" w:cs="Arial"/>
          <w:color w:val="000000"/>
        </w:rPr>
        <w:t xml:space="preserve">, el legislador expidió la Ley 1882 de 2018, con la finalidad de introducir cambios y ajustes para fortalecer la contratación pública. El artículo 5 modificó el parágrafo 1º del artículo 5 de la Ley 1150 de 2007 en los siguientes términos: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w:t>
      </w:r>
      <w:r w:rsidRPr="008E4F36">
        <w:rPr>
          <w:rFonts w:ascii="Verdana" w:eastAsia="Arial" w:hAnsi="Verdana" w:cs="Arial"/>
          <w:color w:val="000000"/>
        </w:rPr>
        <w:lastRenderedPageBreak/>
        <w:t xml:space="preserve">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371B6F71" w14:textId="77777777" w:rsidR="0076150C" w:rsidRDefault="0076150C" w:rsidP="00193144">
      <w:pPr>
        <w:pBdr>
          <w:top w:val="nil"/>
          <w:left w:val="nil"/>
          <w:bottom w:val="nil"/>
          <w:right w:val="nil"/>
          <w:between w:val="nil"/>
        </w:pBdr>
        <w:tabs>
          <w:tab w:val="left" w:pos="284"/>
        </w:tabs>
        <w:spacing w:after="120" w:line="275" w:lineRule="auto"/>
        <w:ind w:firstLine="709"/>
        <w:jc w:val="both"/>
        <w:rPr>
          <w:rFonts w:ascii="Verdana" w:hAnsi="Verdana" w:cs="Arial"/>
          <w:color w:val="000000" w:themeColor="text1"/>
        </w:rPr>
      </w:pPr>
      <w:r w:rsidRPr="008E4F36">
        <w:rPr>
          <w:rFonts w:ascii="Verdana" w:hAnsi="Verdana" w:cs="Arial"/>
          <w:color w:val="000000" w:themeColor="text1"/>
        </w:rPr>
        <w:t>La Ley 1882 de 2018: a) mantiene el criterio de la Ley 80 de 1993, relativo a que todo lo que no sea necesario para la comparación de propuestas no es título suficiente para su rechazo; b) mantiene el criterio aclaratorio de la Ley 1150 de 2007, según el cual todo lo que no afecte la asignación de puntaje puede subsanarse y, c) introduce modificaciones en relación con tres (3) aspectos que se analizarán a continuación:</w:t>
      </w:r>
    </w:p>
    <w:p w14:paraId="361CB7C9" w14:textId="77777777" w:rsidR="0076150C" w:rsidRDefault="0076150C" w:rsidP="00193144">
      <w:pPr>
        <w:spacing w:after="120" w:line="275" w:lineRule="auto"/>
        <w:ind w:firstLine="709"/>
        <w:jc w:val="both"/>
        <w:rPr>
          <w:rFonts w:ascii="Verdana" w:eastAsia="Arial" w:hAnsi="Verdana" w:cs="Arial"/>
          <w:color w:val="000000" w:themeColor="text1"/>
        </w:rPr>
      </w:pPr>
      <w:r w:rsidRPr="008E4F36">
        <w:rPr>
          <w:rFonts w:ascii="Verdana" w:eastAsia="Arial" w:hAnsi="Verdana" w:cs="Arial"/>
          <w:color w:val="000000" w:themeColor="text1"/>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r w:rsidRPr="008E4F36">
        <w:rPr>
          <w:rFonts w:ascii="Verdana" w:eastAsia="Arial" w:hAnsi="Verdana" w:cs="Arial"/>
          <w:color w:val="000000"/>
          <w:vertAlign w:val="superscript"/>
        </w:rPr>
        <w:footnoteReference w:id="14"/>
      </w:r>
      <w:r w:rsidRPr="008E4F36">
        <w:rPr>
          <w:rFonts w:ascii="Verdana" w:eastAsia="Arial" w:hAnsi="Verdana" w:cs="Arial"/>
          <w:color w:val="000000" w:themeColor="text1"/>
        </w:rPr>
        <w:t>.</w:t>
      </w:r>
    </w:p>
    <w:p w14:paraId="145D23CB" w14:textId="77777777" w:rsidR="0076150C" w:rsidRDefault="0076150C" w:rsidP="00193144">
      <w:pPr>
        <w:spacing w:after="120" w:line="275" w:lineRule="auto"/>
        <w:ind w:firstLine="709"/>
        <w:jc w:val="both"/>
        <w:rPr>
          <w:rStyle w:val="eop"/>
          <w:rFonts w:ascii="Verdana" w:hAnsi="Verdana" w:cs="Arial"/>
          <w:color w:val="000000"/>
          <w:shd w:val="clear" w:color="auto" w:fill="FFFFFF"/>
        </w:rPr>
      </w:pPr>
      <w:r w:rsidRPr="008E4F36">
        <w:rPr>
          <w:rStyle w:val="normaltextrun"/>
          <w:rFonts w:ascii="Verdana" w:hAnsi="Verdana" w:cs="Arial"/>
          <w:color w:val="000000"/>
          <w:shd w:val="clear" w:color="auto" w:fill="FFFFFF"/>
        </w:rPr>
        <w:t>Frente a la regla general, como se explica en el Concepto CU-060 del 24 de febrero de 2020,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r w:rsidRPr="008E4F36">
        <w:rPr>
          <w:rStyle w:val="eop"/>
          <w:rFonts w:ascii="Verdana" w:hAnsi="Verdana" w:cs="Arial"/>
          <w:color w:val="000000"/>
          <w:shd w:val="clear" w:color="auto" w:fill="FFFFFF"/>
        </w:rPr>
        <w:t> </w:t>
      </w:r>
    </w:p>
    <w:p w14:paraId="3F5962F9" w14:textId="77777777" w:rsidR="0076150C" w:rsidRDefault="0076150C" w:rsidP="00193144">
      <w:pPr>
        <w:spacing w:after="120" w:line="275" w:lineRule="auto"/>
        <w:ind w:firstLine="720"/>
        <w:jc w:val="both"/>
        <w:rPr>
          <w:rFonts w:ascii="Verdana" w:eastAsia="Calibri" w:hAnsi="Verdana" w:cs="Arial"/>
          <w:color w:val="000000" w:themeColor="text1"/>
        </w:rPr>
      </w:pPr>
      <w:r w:rsidRPr="008E4F36">
        <w:rPr>
          <w:rFonts w:ascii="Verdana" w:eastAsia="Arial" w:hAnsi="Verdana" w:cs="Arial"/>
          <w:color w:val="000000" w:themeColor="text1"/>
        </w:rPr>
        <w:t xml:space="preserve">De otro lado, el segundo cambio importante de la Ley 1882 de 2018 </w:t>
      </w:r>
      <w:r w:rsidRPr="008E4F36">
        <w:rPr>
          <w:rFonts w:ascii="Verdana" w:eastAsia="Calibri" w:hAnsi="Verdana" w:cs="Arial"/>
          <w:color w:val="000000" w:themeColor="text1"/>
        </w:rPr>
        <w:t xml:space="preserve">es el correspondiente a la garantía de seriedad. El parágrafo 3 del artículo 5 de la Ley 1150 de 2007, adicionado por el artículo 5 de la Ley 1882 de 2018 dispone que </w:t>
      </w:r>
      <w:r w:rsidRPr="008E4F36">
        <w:rPr>
          <w:rFonts w:ascii="Verdana" w:eastAsia="Calibri" w:hAnsi="Verdana" w:cs="Arial"/>
          <w:color w:val="000000" w:themeColor="text1"/>
        </w:rPr>
        <w:lastRenderedPageBreak/>
        <w:t xml:space="preserve">la falta de entrega de la garantía de seriedad es insubsanable. Al respecto, la norma prescribe lo siguiente: “PARÁGRAFO 3o. La no entrega de la garantía de seriedad junto con la propuesta no será subsanable y será causal de rechazo de </w:t>
      </w:r>
      <w:proofErr w:type="gramStart"/>
      <w:r w:rsidRPr="008E4F36">
        <w:rPr>
          <w:rFonts w:ascii="Verdana" w:eastAsia="Calibri" w:hAnsi="Verdana" w:cs="Arial"/>
          <w:color w:val="000000" w:themeColor="text1"/>
        </w:rPr>
        <w:t>la misma</w:t>
      </w:r>
      <w:proofErr w:type="gramEnd"/>
      <w:r w:rsidRPr="008E4F36">
        <w:rPr>
          <w:rFonts w:ascii="Verdana" w:eastAsia="Calibri" w:hAnsi="Verdana" w:cs="Arial"/>
          <w:color w:val="000000" w:themeColor="text1"/>
        </w:rPr>
        <w:t>”.</w:t>
      </w:r>
    </w:p>
    <w:p w14:paraId="4477A76A" w14:textId="77777777" w:rsidR="0076150C" w:rsidRPr="008E4F36" w:rsidRDefault="0076150C" w:rsidP="0076150C">
      <w:pPr>
        <w:spacing w:after="0" w:line="275" w:lineRule="auto"/>
        <w:ind w:firstLine="709"/>
        <w:jc w:val="both"/>
        <w:rPr>
          <w:rFonts w:ascii="Verdana" w:hAnsi="Verdana" w:cs="Arial"/>
          <w:bdr w:val="none" w:sz="0" w:space="0" w:color="auto" w:frame="1"/>
        </w:rPr>
      </w:pPr>
      <w:r w:rsidRPr="008E4F36">
        <w:rPr>
          <w:rFonts w:ascii="Verdana" w:eastAsia="Arial" w:hAnsi="Verdana" w:cs="Arial"/>
          <w:color w:val="000000" w:themeColor="text1"/>
        </w:rPr>
        <w:t>Finalmente, el último cambio importante de la Ley 1882 de 2018 fue la introducción de un criterio material, directamente relacionado con los aspectos subsanables: “los proponentes no podrán acreditar circunstancias ocurridas con posterioridad al cierre del proceso”</w:t>
      </w:r>
      <w:r w:rsidRPr="008E4F36">
        <w:rPr>
          <w:rFonts w:ascii="Verdana" w:eastAsia="Arial" w:hAnsi="Verdana" w:cs="Arial"/>
          <w:b/>
          <w:bCs/>
          <w:color w:val="000000" w:themeColor="text1"/>
        </w:rPr>
        <w:t>.</w:t>
      </w:r>
      <w:r w:rsidRPr="008E4F36">
        <w:rPr>
          <w:rFonts w:ascii="Verdana" w:hAnsi="Verdana" w:cs="Arial"/>
          <w:bdr w:val="none" w:sz="0" w:space="0" w:color="auto" w:frame="1"/>
        </w:rPr>
        <w:t xml:space="preserve"> Esta regla tiene una finalidad particular, y es que, al momento de presentar la oferta, el proponente la deberá hacerlo de forma íntegra y así evitar que a lo largo del procedimiento contractual complete o adicione su propuesta, conforme mejora su situación particular. En términos del Consejo de Estado:</w:t>
      </w:r>
    </w:p>
    <w:p w14:paraId="3D5E6806" w14:textId="77777777" w:rsidR="0076150C" w:rsidRPr="008E4F36" w:rsidRDefault="0076150C" w:rsidP="0076150C">
      <w:pPr>
        <w:spacing w:after="0" w:line="240" w:lineRule="auto"/>
        <w:ind w:firstLine="709"/>
        <w:jc w:val="both"/>
        <w:rPr>
          <w:rFonts w:ascii="Verdana" w:hAnsi="Verdana" w:cs="Arial"/>
          <w:color w:val="201F1E"/>
          <w:bdr w:val="none" w:sz="0" w:space="0" w:color="auto" w:frame="1"/>
        </w:rPr>
      </w:pPr>
    </w:p>
    <w:p w14:paraId="69C971D6" w14:textId="77777777" w:rsidR="0076150C" w:rsidRPr="009B2D87" w:rsidRDefault="0076150C" w:rsidP="00193144">
      <w:pPr>
        <w:tabs>
          <w:tab w:val="left" w:pos="426"/>
        </w:tabs>
        <w:spacing w:after="0" w:line="240" w:lineRule="auto"/>
        <w:ind w:left="709" w:right="709"/>
        <w:jc w:val="both"/>
        <w:rPr>
          <w:rFonts w:ascii="Verdana" w:eastAsia="Arial" w:hAnsi="Verdana" w:cs="Arial"/>
          <w:color w:val="000000" w:themeColor="text1"/>
          <w:sz w:val="20"/>
          <w:szCs w:val="20"/>
        </w:rPr>
      </w:pPr>
      <w:r w:rsidRPr="009B2D87">
        <w:rPr>
          <w:rFonts w:ascii="Verdana" w:eastAsia="Arial" w:hAnsi="Verdana" w:cs="Arial"/>
          <w:color w:val="000000" w:themeColor="text1"/>
          <w:sz w:val="20"/>
          <w:szCs w:val="20"/>
        </w:rPr>
        <w:t>“[…]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‘las propuestas deben referirse y sujetarse a todos y cada uno de los puntos contenidos en el pliego de condiciones’, es 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sidRPr="009B2D87">
        <w:rPr>
          <w:rFonts w:ascii="Verdana" w:eastAsia="Arial" w:hAnsi="Verdana" w:cs="Arial"/>
          <w:color w:val="000000" w:themeColor="text1"/>
          <w:sz w:val="20"/>
          <w:szCs w:val="20"/>
          <w:vertAlign w:val="superscript"/>
        </w:rPr>
        <w:t xml:space="preserve"> </w:t>
      </w:r>
      <w:r w:rsidRPr="009B2D87">
        <w:rPr>
          <w:rFonts w:ascii="Verdana" w:eastAsia="Arial" w:hAnsi="Verdana" w:cs="Arial"/>
          <w:color w:val="000000" w:themeColor="text1"/>
          <w:sz w:val="20"/>
          <w:szCs w:val="20"/>
          <w:vertAlign w:val="superscript"/>
        </w:rPr>
        <w:footnoteReference w:id="15"/>
      </w:r>
      <w:r w:rsidRPr="009B2D87">
        <w:rPr>
          <w:rFonts w:ascii="Verdana" w:eastAsia="Arial" w:hAnsi="Verdana" w:cs="Arial"/>
          <w:color w:val="000000" w:themeColor="text1"/>
          <w:sz w:val="20"/>
          <w:szCs w:val="20"/>
        </w:rPr>
        <w:t>.</w:t>
      </w:r>
    </w:p>
    <w:p w14:paraId="70211FC4" w14:textId="77777777" w:rsidR="0076150C" w:rsidRPr="008E4F36" w:rsidRDefault="0076150C" w:rsidP="0076150C">
      <w:pPr>
        <w:tabs>
          <w:tab w:val="left" w:pos="426"/>
        </w:tabs>
        <w:spacing w:after="0" w:line="240" w:lineRule="auto"/>
        <w:ind w:left="709" w:right="709"/>
        <w:jc w:val="both"/>
        <w:rPr>
          <w:rFonts w:ascii="Verdana" w:eastAsia="Arial" w:hAnsi="Verdana" w:cs="Arial"/>
          <w:color w:val="000000" w:themeColor="text1"/>
        </w:rPr>
      </w:pPr>
    </w:p>
    <w:p w14:paraId="41CC9A2A" w14:textId="77777777" w:rsidR="0076150C" w:rsidRDefault="0076150C" w:rsidP="00193144">
      <w:pPr>
        <w:spacing w:after="120" w:line="276" w:lineRule="auto"/>
        <w:ind w:firstLine="709"/>
        <w:jc w:val="both"/>
        <w:rPr>
          <w:rFonts w:ascii="Verdana" w:hAnsi="Verdana" w:cs="Arial"/>
          <w:bdr w:val="none" w:sz="0" w:space="0" w:color="auto" w:frame="1"/>
        </w:rPr>
      </w:pPr>
      <w:r w:rsidRPr="008E4F36">
        <w:rPr>
          <w:rFonts w:ascii="Verdana" w:hAnsi="Verdana" w:cs="Arial"/>
          <w:bdr w:val="none" w:sz="0" w:space="0" w:color="auto" w:frame="1"/>
        </w:rPr>
        <w:t xml:space="preserve">Bajo la premisa de que el proponente deberá presentar su oferta de manera completa, es que se debe interpretar la expresión “circunstancias ocurridas con posterioridad al cierre del proceso”. Como se explicó en el </w:t>
      </w:r>
      <w:r w:rsidRPr="008E4F36">
        <w:rPr>
          <w:rStyle w:val="normaltextrun"/>
          <w:rFonts w:ascii="Verdana" w:hAnsi="Verdana" w:cs="Arial"/>
          <w:color w:val="000000"/>
          <w:shd w:val="clear" w:color="auto" w:fill="FFFFFF"/>
        </w:rPr>
        <w:t xml:space="preserve">Concepto CU-060 del 24 de febrero de 2020, </w:t>
      </w:r>
      <w:r w:rsidRPr="008E4F36">
        <w:rPr>
          <w:rFonts w:ascii="Verdana" w:hAnsi="Verdana" w:cs="Arial"/>
          <w:bdr w:val="none" w:sz="0" w:space="0" w:color="auto" w:frame="1"/>
        </w:rPr>
        <w:t xml:space="preserve">esto lleva a la necesidad de distinguir entre la prueba de un hecho y el hecho mismo. En el caso de la </w:t>
      </w:r>
      <w:proofErr w:type="spellStart"/>
      <w:r w:rsidRPr="008E4F36">
        <w:rPr>
          <w:rFonts w:ascii="Verdana" w:hAnsi="Verdana" w:cs="Arial"/>
          <w:bdr w:val="none" w:sz="0" w:space="0" w:color="auto" w:frame="1"/>
        </w:rPr>
        <w:t>subsanabilidad</w:t>
      </w:r>
      <w:proofErr w:type="spellEnd"/>
      <w:r w:rsidRPr="008E4F36">
        <w:rPr>
          <w:rFonts w:ascii="Verdana" w:hAnsi="Verdana" w:cs="Arial"/>
          <w:bdr w:val="none" w:sz="0" w:space="0" w:color="auto" w:frame="1"/>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w:t>
      </w:r>
      <w:r w:rsidRPr="008E4F36">
        <w:rPr>
          <w:rFonts w:ascii="Verdana" w:hAnsi="Verdana" w:cs="Arial"/>
          <w:bdr w:val="none" w:sz="0" w:space="0" w:color="auto" w:frame="1"/>
        </w:rPr>
        <w:lastRenderedPageBreak/>
        <w:t>del proceso, en tanto esto implicaría que el proponente pueda hacer mejoras o adicione circunstancias que no corresponden a la oferta inicialmente presentada</w:t>
      </w:r>
      <w:r w:rsidRPr="008E4F36">
        <w:rPr>
          <w:rStyle w:val="Refdenotaalpie"/>
          <w:rFonts w:ascii="Verdana" w:hAnsi="Verdana" w:cs="Arial"/>
          <w:bdr w:val="none" w:sz="0" w:space="0" w:color="auto" w:frame="1"/>
        </w:rPr>
        <w:footnoteReference w:id="16"/>
      </w:r>
      <w:r w:rsidRPr="008E4F36">
        <w:rPr>
          <w:rFonts w:ascii="Verdana" w:hAnsi="Verdana" w:cs="Arial"/>
          <w:bdr w:val="none" w:sz="0" w:space="0" w:color="auto" w:frame="1"/>
        </w:rPr>
        <w:t>.</w:t>
      </w:r>
    </w:p>
    <w:p w14:paraId="64C0386D" w14:textId="77777777" w:rsidR="0076150C" w:rsidRDefault="0076150C" w:rsidP="00193144">
      <w:pPr>
        <w:spacing w:after="120" w:line="276" w:lineRule="auto"/>
        <w:ind w:firstLine="709"/>
        <w:jc w:val="both"/>
        <w:rPr>
          <w:rFonts w:ascii="Verdana" w:hAnsi="Verdana" w:cs="Arial"/>
          <w:color w:val="000000" w:themeColor="text1"/>
        </w:rPr>
      </w:pPr>
      <w:r w:rsidRPr="00315CB1">
        <w:rPr>
          <w:rFonts w:ascii="Verdana" w:eastAsia="Calibri" w:hAnsi="Verdana" w:cs="Arial"/>
          <w:color w:val="000000" w:themeColor="text1"/>
        </w:rPr>
        <w:t>Analizada la regla del parágrafo primero del artículo 5 de la Ley 1150 de 2007</w:t>
      </w:r>
      <w:r w:rsidRPr="00315CB1">
        <w:rPr>
          <w:rFonts w:ascii="Verdana" w:hAnsi="Verdana" w:cs="Arial"/>
          <w:color w:val="000000" w:themeColor="text1"/>
        </w:rPr>
        <w:t>, los criterios de desempate afectan la asignación de puntaje, por lo que los documentos que los acreditan son insubsanables. Estos factores definen la adjudicación del contrato cuando, después de aplicar los criterios de evaluación del pliego de condiciones, dos o más proponentes obtienen resultados similares. De hecho, el primer inciso del artículo 35 de la Ley 2069 de 2020 dispone que los factores de desempate aplican cuando el puntaje total de dos o más ofertas es el mismo. Por tanto, el oferente que resulta adjudicatario es aquel que acredita alguno de esos criterios de desempate, por lo que afectan la asignación de puntaje y deciden el resultado del proceso de selección.</w:t>
      </w:r>
      <w:r w:rsidRPr="008E4F36">
        <w:rPr>
          <w:rFonts w:ascii="Verdana" w:hAnsi="Verdana" w:cs="Arial"/>
          <w:color w:val="000000" w:themeColor="text1"/>
        </w:rPr>
        <w:t xml:space="preserve">  </w:t>
      </w:r>
    </w:p>
    <w:p w14:paraId="18EC8338" w14:textId="77777777" w:rsidR="0076150C" w:rsidRPr="008E4F36" w:rsidRDefault="0076150C" w:rsidP="00193144">
      <w:pPr>
        <w:spacing w:after="120" w:line="276" w:lineRule="auto"/>
        <w:ind w:firstLine="709"/>
        <w:jc w:val="both"/>
        <w:rPr>
          <w:rFonts w:ascii="Verdana" w:hAnsi="Verdana" w:cs="Arial"/>
          <w:color w:val="000000" w:themeColor="text1"/>
        </w:rPr>
      </w:pPr>
      <w:r w:rsidRPr="00315CB1">
        <w:rPr>
          <w:rFonts w:ascii="Verdana" w:hAnsi="Verdana" w:cs="Arial"/>
          <w:color w:val="000000" w:themeColor="text1"/>
        </w:rPr>
        <w:t>Es necesario tener en cuenta que los factores desempate complementan los criterios de evaluación, es decir, si después de aplicar estos últimos, varias propuestas terminan empatadas, aplica el artículo 35 de la Ley de Emprendimiento. En esta medida, los documentos que acreditan cada causal no podrían definirse como “condiciones habilitantes”, ya que –en los términos del artículo 5.1 de la Ley 1150 de 2007– ninguno de ellos está relacionado con la prueba de la capacidad jurídica o la certificación de las condiciones de experiencia, capacidad financiera y de organización de los proponentes.</w:t>
      </w:r>
      <w:r w:rsidRPr="008E4F36">
        <w:rPr>
          <w:rFonts w:ascii="Verdana" w:hAnsi="Verdana" w:cs="Arial"/>
          <w:color w:val="000000" w:themeColor="text1"/>
        </w:rPr>
        <w:t xml:space="preserve"> </w:t>
      </w:r>
    </w:p>
    <w:p w14:paraId="02471652" w14:textId="77777777" w:rsidR="0076150C" w:rsidRDefault="0076150C" w:rsidP="00193144">
      <w:pPr>
        <w:spacing w:after="120" w:line="276" w:lineRule="auto"/>
        <w:ind w:firstLine="709"/>
        <w:jc w:val="both"/>
        <w:rPr>
          <w:rFonts w:ascii="Verdana" w:hAnsi="Verdana" w:cs="Arial"/>
          <w:color w:val="000000" w:themeColor="text1"/>
        </w:rPr>
      </w:pPr>
      <w:r w:rsidRPr="008E4F36">
        <w:rPr>
          <w:rFonts w:ascii="Verdana" w:hAnsi="Verdana" w:cs="Arial"/>
          <w:color w:val="000000" w:themeColor="text1"/>
        </w:rPr>
        <w:t xml:space="preserve">De considerase “condiciones habilitantes”, se llegaría a la idea de que –so pena de rechazo– la participación en el procedimiento contractual está sujeta a la prueba de por lo menos una de las causales del artículo 35 de la Ley 2069 de 2020. Esta conclusión no tendría sentido, ya que es posible la acreditación de los requisitos previstos en el artículo 5.1 de la Ley 1150 de 2007, sin que la ausencia de prueba del criterio de desempate condicione la aplicación de los factores de evaluación previstos en el pliego de condiciones. Naturalmente, en caso de empate, la consecuencia es que la adjudicación se resuelve con los participantes que acreditaron alguno de los factores, excluyendo a quienes no lo hicieron. </w:t>
      </w:r>
    </w:p>
    <w:p w14:paraId="5A1196FE" w14:textId="77777777" w:rsidR="0076150C" w:rsidRPr="008E4F36" w:rsidRDefault="0076150C" w:rsidP="00193144">
      <w:pPr>
        <w:spacing w:after="120" w:line="276" w:lineRule="auto"/>
        <w:ind w:firstLine="709"/>
        <w:jc w:val="both"/>
        <w:rPr>
          <w:rFonts w:ascii="Verdana" w:hAnsi="Verdana" w:cs="Arial"/>
          <w:color w:val="000000" w:themeColor="text1"/>
        </w:rPr>
      </w:pPr>
      <w:r w:rsidRPr="00F3358E">
        <w:rPr>
          <w:rFonts w:ascii="Verdana" w:hAnsi="Verdana" w:cs="Arial"/>
          <w:color w:val="000000" w:themeColor="text1"/>
        </w:rPr>
        <w:t>De esta manera, los factores de desempate afectan la “asignación de puntaje” en los términos del</w:t>
      </w:r>
      <w:r w:rsidRPr="00F3358E">
        <w:rPr>
          <w:rFonts w:ascii="Verdana" w:eastAsia="Calibri" w:hAnsi="Verdana" w:cs="Arial"/>
          <w:color w:val="000000" w:themeColor="text1"/>
        </w:rPr>
        <w:t xml:space="preserve"> parágrafo primero del artículo 5 de la Ley 1150 de 2007, en la medida que </w:t>
      </w:r>
      <w:r w:rsidRPr="00F3358E">
        <w:rPr>
          <w:rFonts w:ascii="Verdana" w:hAnsi="Verdana" w:cs="Arial"/>
          <w:color w:val="000000" w:themeColor="text1"/>
        </w:rPr>
        <w:t xml:space="preserve">influyen en la “comparación de las propuestas”. En </w:t>
      </w:r>
      <w:r w:rsidRPr="00F3358E">
        <w:rPr>
          <w:rFonts w:ascii="Verdana" w:hAnsi="Verdana" w:cs="Arial"/>
          <w:color w:val="000000" w:themeColor="text1"/>
        </w:rPr>
        <w:lastRenderedPageBreak/>
        <w:t xml:space="preserve">efecto, algunos de los factores de evaluación también son criterios de desempate: este es el caso de los previstos en el artículo 2 de la Ley 816 de 2003 y en </w:t>
      </w:r>
      <w:bookmarkStart w:id="8" w:name="_Hlk71484452"/>
      <w:r w:rsidRPr="00F3358E">
        <w:rPr>
          <w:rFonts w:ascii="Verdana" w:hAnsi="Verdana" w:cs="Arial"/>
          <w:color w:val="000000" w:themeColor="text1"/>
        </w:rPr>
        <w:t xml:space="preserve">el artículo </w:t>
      </w:r>
      <w:r w:rsidRPr="00F3358E">
        <w:rPr>
          <w:rFonts w:ascii="Verdana" w:eastAsia="Calibri" w:hAnsi="Verdana" w:cs="Arial"/>
        </w:rPr>
        <w:t>2.2.1.2.4.2.6 del Decreto 1082 de 2015</w:t>
      </w:r>
      <w:bookmarkEnd w:id="8"/>
      <w:r w:rsidRPr="00F3358E">
        <w:rPr>
          <w:rFonts w:ascii="Verdana" w:eastAsia="Calibri" w:hAnsi="Verdana" w:cs="Arial"/>
        </w:rPr>
        <w:t xml:space="preserve"> para los proponentes que oferten bienes y servicios nacionales o vinculen personas en situación de discapacidad, respectivamente</w:t>
      </w:r>
      <w:r w:rsidRPr="00F3358E">
        <w:rPr>
          <w:rStyle w:val="Refdenotaalpie"/>
          <w:rFonts w:ascii="Verdana" w:hAnsi="Verdana" w:cs="Arial"/>
          <w:color w:val="000000" w:themeColor="text1"/>
        </w:rPr>
        <w:footnoteReference w:id="17"/>
      </w:r>
      <w:r w:rsidRPr="00F3358E">
        <w:rPr>
          <w:rFonts w:ascii="Verdana" w:eastAsia="Calibri" w:hAnsi="Verdana" w:cs="Arial"/>
        </w:rPr>
        <w:t>.</w:t>
      </w:r>
      <w:r w:rsidRPr="00F3358E">
        <w:rPr>
          <w:rFonts w:ascii="Verdana" w:hAnsi="Verdana" w:cs="Arial"/>
          <w:color w:val="000000" w:themeColor="text1"/>
        </w:rPr>
        <w:t xml:space="preserve"> Por tanto, si no es posible subsanar los factores de evaluación previstos en las normas citadas, mucho menos es posible subsanarlos tratándose de los factores de desempate de los numerales 1 y 3 del artículo 35 de la Ley de Emprendimiento. Esta conclusión se extiende al resto de las causales de esta norma, ya que definen la adjudicación del contrato en caso de empate en el puntaje total de dos o más ofertas en los procesos de contratación.</w:t>
      </w:r>
      <w:r w:rsidRPr="008E4F36">
        <w:rPr>
          <w:rFonts w:ascii="Verdana" w:hAnsi="Verdana" w:cs="Arial"/>
          <w:color w:val="000000" w:themeColor="text1"/>
        </w:rPr>
        <w:t xml:space="preserve"> </w:t>
      </w:r>
    </w:p>
    <w:p w14:paraId="2CBB8576" w14:textId="77777777" w:rsidR="0076150C" w:rsidRDefault="0076150C" w:rsidP="00193144">
      <w:pPr>
        <w:spacing w:after="120" w:line="276" w:lineRule="auto"/>
        <w:ind w:firstLine="709"/>
        <w:jc w:val="both"/>
        <w:rPr>
          <w:rFonts w:ascii="Verdana" w:hAnsi="Verdana" w:cs="Arial"/>
          <w:color w:val="000000" w:themeColor="text1"/>
        </w:rPr>
      </w:pPr>
      <w:r w:rsidRPr="008E4F36">
        <w:rPr>
          <w:rFonts w:ascii="Verdana" w:hAnsi="Verdana" w:cs="Arial"/>
          <w:color w:val="000000" w:themeColor="text1"/>
        </w:rPr>
        <w:t xml:space="preserve">Dado que los factores de desempate influyen en la ponderación de las ofertas presentadas, la acreditación de las causales previstas en el artículo 35 de la Ley 2069 de 2020 es insubsanable. Esto considerando que no son criterios puramente formales de las propuestas ni requisitos para la verificación de las condiciones habilitantes en el proceso de selección en los que aplique la regla del </w:t>
      </w:r>
      <w:r w:rsidRPr="008E4F36">
        <w:rPr>
          <w:rFonts w:ascii="Verdana" w:eastAsia="Calibri" w:hAnsi="Verdana" w:cs="Arial"/>
          <w:color w:val="000000" w:themeColor="text1"/>
        </w:rPr>
        <w:t>parágrafo primero del artículo 5 de la Ley 1150 de 2007</w:t>
      </w:r>
      <w:r w:rsidRPr="008E4F36">
        <w:rPr>
          <w:rFonts w:ascii="Verdana" w:hAnsi="Verdana" w:cs="Arial"/>
          <w:color w:val="000000" w:themeColor="text1"/>
        </w:rPr>
        <w:t>. Por tanto, dado que no existe oportunidad posterior, la documentación relacionada con los factores de desempate debe entregarse con la oferta de forma completa e integra, antes del cierre del proceso de selección.</w:t>
      </w:r>
    </w:p>
    <w:p w14:paraId="47D35253" w14:textId="77777777" w:rsidR="0076150C" w:rsidRPr="00F3358E" w:rsidRDefault="0076150C" w:rsidP="00193144">
      <w:pPr>
        <w:spacing w:after="120" w:line="276" w:lineRule="auto"/>
        <w:ind w:firstLine="709"/>
        <w:jc w:val="both"/>
        <w:rPr>
          <w:rFonts w:ascii="Verdana" w:hAnsi="Verdana" w:cs="Arial"/>
          <w:color w:val="000000" w:themeColor="text1"/>
        </w:rPr>
      </w:pPr>
      <w:r w:rsidRPr="008E4F36">
        <w:rPr>
          <w:rFonts w:ascii="Verdana" w:hAnsi="Verdana" w:cs="Arial"/>
          <w:color w:val="000000" w:themeColor="text1"/>
        </w:rPr>
        <w:t xml:space="preserve">En contraste, </w:t>
      </w:r>
      <w:r w:rsidRPr="008E4F36">
        <w:rPr>
          <w:rFonts w:ascii="Verdana" w:eastAsia="Calibri" w:hAnsi="Verdana" w:cs="Arial"/>
          <w:lang w:eastAsia="es-ES"/>
        </w:rPr>
        <w:t xml:space="preserve">la Subsección B de la Sección Tercera del Consejo de Estado en Sentencia del 2 de agosto de 2024, rad. 70597, con ponencia del </w:t>
      </w:r>
      <w:proofErr w:type="gramStart"/>
      <w:r w:rsidRPr="008E4F36">
        <w:rPr>
          <w:rFonts w:ascii="Verdana" w:eastAsia="Calibri" w:hAnsi="Verdana" w:cs="Arial"/>
          <w:lang w:eastAsia="es-ES"/>
        </w:rPr>
        <w:t>Consejero</w:t>
      </w:r>
      <w:proofErr w:type="gramEnd"/>
      <w:r w:rsidRPr="008E4F36">
        <w:rPr>
          <w:rFonts w:ascii="Verdana" w:eastAsia="Calibri" w:hAnsi="Verdana" w:cs="Arial"/>
          <w:lang w:eastAsia="es-ES"/>
        </w:rPr>
        <w:t xml:space="preserve"> Fredy Ibarra Martínez, considera que los factores de desempate son subsanables, pues los equipara con los criterios habilitantes al no otorgar puntaje. Sin embargo, esta decisión no fue unánime, pues el </w:t>
      </w:r>
      <w:proofErr w:type="gramStart"/>
      <w:r w:rsidRPr="008E4F36">
        <w:rPr>
          <w:rFonts w:ascii="Verdana" w:eastAsia="Calibri" w:hAnsi="Verdana" w:cs="Arial"/>
          <w:lang w:eastAsia="es-ES"/>
        </w:rPr>
        <w:t>Consejero</w:t>
      </w:r>
      <w:proofErr w:type="gramEnd"/>
      <w:r w:rsidRPr="008E4F36">
        <w:rPr>
          <w:rFonts w:ascii="Verdana" w:eastAsia="Calibri" w:hAnsi="Verdana" w:cs="Arial"/>
          <w:lang w:eastAsia="es-ES"/>
        </w:rPr>
        <w:t xml:space="preserve"> Martín Bermúdez Muñoz –en línea con lo explicado </w:t>
      </w:r>
      <w:r w:rsidRPr="008E4F36">
        <w:rPr>
          <w:rFonts w:ascii="Verdana" w:eastAsia="Calibri" w:hAnsi="Verdana" w:cs="Arial"/>
          <w:i/>
          <w:iCs/>
          <w:lang w:eastAsia="es-ES"/>
        </w:rPr>
        <w:t>ut supra</w:t>
      </w:r>
      <w:r w:rsidRPr="008E4F36">
        <w:rPr>
          <w:rFonts w:ascii="Verdana" w:eastAsia="Calibri" w:hAnsi="Verdana" w:cs="Arial"/>
          <w:lang w:eastAsia="es-ES"/>
        </w:rPr>
        <w:t>– estima que “[…] los criterios de desempate no pueden ser subsanados porque son determinantes para la evaluación de la oferta”; razón por la cual, “[…] permitir subsanar criterios de desempate, en realidad, permite mejorar la oferta presentada. Es evidente que los criterios de desempate reflejan cualidades adicionales que justifican la preferencia de una oferta sobre otra que tenga el mismo puntaje”.</w:t>
      </w:r>
    </w:p>
    <w:p w14:paraId="49F0117B" w14:textId="77777777" w:rsidR="0076150C" w:rsidRPr="008E4F36" w:rsidRDefault="0076150C" w:rsidP="00EF6A41">
      <w:pPr>
        <w:spacing w:after="0" w:line="276" w:lineRule="auto"/>
        <w:ind w:firstLine="709"/>
        <w:jc w:val="both"/>
      </w:pPr>
      <w:r w:rsidRPr="008E4F36">
        <w:rPr>
          <w:rFonts w:ascii="Verdana" w:eastAsia="Calibri" w:hAnsi="Verdana" w:cs="Arial"/>
          <w:lang w:eastAsia="es-ES"/>
        </w:rPr>
        <w:lastRenderedPageBreak/>
        <w:t xml:space="preserve">Pese al criterio mayoritario de la Sala, </w:t>
      </w:r>
      <w:r w:rsidRPr="008E4F36">
        <w:rPr>
          <w:rFonts w:ascii="Verdana" w:hAnsi="Verdana" w:cs="Arial"/>
          <w:iCs/>
          <w:color w:val="000000" w:themeColor="text1"/>
        </w:rPr>
        <w:t xml:space="preserve">vale la pena considerar que la decisión adoptada el 2 de agosto de 2024 no se encuentra unificada en los términos del artículo 270 de la Ley 1437 de 2011, por lo que no surge el deber de aplicación uniforme de que trata el artículo 10 </w:t>
      </w:r>
      <w:r w:rsidRPr="008E4F36">
        <w:rPr>
          <w:rFonts w:ascii="Verdana" w:hAnsi="Verdana" w:cs="Arial"/>
          <w:i/>
          <w:color w:val="000000" w:themeColor="text1"/>
        </w:rPr>
        <w:t>ibidem</w:t>
      </w:r>
      <w:r w:rsidRPr="008E4F36">
        <w:rPr>
          <w:rStyle w:val="Refdenotaalpie"/>
          <w:rFonts w:ascii="Verdana" w:hAnsi="Verdana" w:cs="Arial"/>
          <w:i/>
          <w:color w:val="000000" w:themeColor="text1"/>
        </w:rPr>
        <w:footnoteReference w:id="18"/>
      </w:r>
      <w:r w:rsidRPr="008E4F36">
        <w:rPr>
          <w:rFonts w:ascii="Verdana" w:hAnsi="Verdana" w:cs="Arial"/>
          <w:iCs/>
          <w:color w:val="000000" w:themeColor="text1"/>
        </w:rPr>
        <w:t>. En este contexto, la Sentencia de la Subsección B de la Sección Tercera del Consejo de Estado tiene efectos de cosa juzgada en el proceso en que se expidió, sin que esta pauta interpretativa sea vinculante para las demás entidades estatales.</w:t>
      </w:r>
      <w:r w:rsidRPr="008E4F36">
        <w:t xml:space="preserve"> </w:t>
      </w:r>
    </w:p>
    <w:p w14:paraId="19DB7886" w14:textId="763653F0" w:rsidR="00EF6A41" w:rsidRDefault="00EF6A41" w:rsidP="009B7485">
      <w:pPr>
        <w:tabs>
          <w:tab w:val="left" w:pos="709"/>
        </w:tabs>
        <w:spacing w:after="0" w:line="240" w:lineRule="auto"/>
        <w:ind w:firstLine="709"/>
        <w:jc w:val="both"/>
        <w:rPr>
          <w:rFonts w:ascii="Verdana" w:hAnsi="Verdana" w:cs="Arial"/>
          <w:iCs/>
          <w:color w:val="000000" w:themeColor="text1"/>
        </w:rPr>
      </w:pPr>
    </w:p>
    <w:p w14:paraId="13AB622E" w14:textId="77777777" w:rsidR="0076150C" w:rsidRDefault="0076150C" w:rsidP="0076150C">
      <w:pPr>
        <w:tabs>
          <w:tab w:val="left" w:pos="709"/>
        </w:tabs>
        <w:spacing w:after="0" w:line="276" w:lineRule="auto"/>
        <w:ind w:firstLine="709"/>
        <w:jc w:val="both"/>
        <w:rPr>
          <w:rFonts w:ascii="Verdana" w:hAnsi="Verdana" w:cs="Arial"/>
          <w:iCs/>
          <w:color w:val="000000" w:themeColor="text1"/>
        </w:rPr>
      </w:pPr>
      <w:r w:rsidRPr="008E4F36">
        <w:rPr>
          <w:rFonts w:ascii="Verdana" w:hAnsi="Verdana" w:cs="Arial"/>
          <w:iCs/>
          <w:color w:val="000000" w:themeColor="text1"/>
        </w:rPr>
        <w:t>Ello es congruente con el artículo 17 del Código Civil, ya que “Las sentencias judiciales no tienen fuerza obligatoria sino respecto de las causas en que fueron pronunciadas. Es, por tanto, prohibido a los jueces proveer en los negocios de su competencia por vía de disposición general o reglamentaria”</w:t>
      </w:r>
      <w:r w:rsidRPr="008E4F36">
        <w:rPr>
          <w:rStyle w:val="Refdenotaalpie"/>
          <w:rFonts w:ascii="Verdana" w:hAnsi="Verdana" w:cs="Arial"/>
          <w:iCs/>
          <w:color w:val="000000" w:themeColor="text1"/>
        </w:rPr>
        <w:footnoteReference w:id="19"/>
      </w:r>
      <w:r w:rsidRPr="008E4F36">
        <w:rPr>
          <w:rFonts w:ascii="Verdana" w:hAnsi="Verdana" w:cs="Arial"/>
          <w:iCs/>
          <w:color w:val="000000" w:themeColor="text1"/>
        </w:rPr>
        <w:t xml:space="preserve">. Por tanto, en ausencia de unificación jurisprudencial al interior de la Sección Tercera del Consejo de Estado, el criterio de la Subsección B sobre la </w:t>
      </w:r>
      <w:proofErr w:type="spellStart"/>
      <w:r w:rsidRPr="008E4F36">
        <w:rPr>
          <w:rFonts w:ascii="Verdana" w:hAnsi="Verdana" w:cs="Arial"/>
          <w:iCs/>
          <w:color w:val="000000" w:themeColor="text1"/>
        </w:rPr>
        <w:t>subsanabilidad</w:t>
      </w:r>
      <w:proofErr w:type="spellEnd"/>
      <w:r w:rsidRPr="008E4F36">
        <w:rPr>
          <w:rFonts w:ascii="Verdana" w:hAnsi="Verdana" w:cs="Arial"/>
          <w:iCs/>
          <w:color w:val="000000" w:themeColor="text1"/>
        </w:rPr>
        <w:t xml:space="preserve"> de los factores de desempate no es obligatorio en los demás procesos de selección.</w:t>
      </w:r>
    </w:p>
    <w:p w14:paraId="30E24CB6" w14:textId="77777777" w:rsidR="0076150C" w:rsidRDefault="0076150C" w:rsidP="0076150C">
      <w:pPr>
        <w:tabs>
          <w:tab w:val="left" w:pos="709"/>
        </w:tabs>
        <w:spacing w:after="0" w:line="240" w:lineRule="auto"/>
        <w:jc w:val="both"/>
        <w:rPr>
          <w:rFonts w:ascii="Verdana" w:hAnsi="Verdana" w:cs="Arial"/>
          <w:iCs/>
          <w:color w:val="000000" w:themeColor="text1"/>
        </w:rPr>
      </w:pPr>
    </w:p>
    <w:p w14:paraId="74A5BF53" w14:textId="77777777" w:rsidR="0076150C" w:rsidRDefault="0076150C" w:rsidP="00EF6A41">
      <w:pPr>
        <w:spacing w:after="120" w:line="276" w:lineRule="auto"/>
        <w:jc w:val="both"/>
        <w:rPr>
          <w:rFonts w:ascii="Verdana" w:eastAsia="Calibri" w:hAnsi="Verdana" w:cs="Arial"/>
          <w:lang w:val="es-ES_tradnl" w:eastAsia="es-MX"/>
        </w:rPr>
      </w:pPr>
      <w:proofErr w:type="spellStart"/>
      <w:r>
        <w:rPr>
          <w:rFonts w:ascii="Verdana" w:hAnsi="Verdana" w:cs="Arial"/>
          <w:iCs/>
          <w:color w:val="000000" w:themeColor="text1"/>
        </w:rPr>
        <w:t>iii</w:t>
      </w:r>
      <w:proofErr w:type="spellEnd"/>
      <w:r>
        <w:rPr>
          <w:rFonts w:ascii="Verdana" w:hAnsi="Verdana" w:cs="Arial"/>
          <w:iCs/>
          <w:color w:val="000000" w:themeColor="text1"/>
        </w:rPr>
        <w:t xml:space="preserve">) Por último, respecto del tercer problema jurídico planteado, debe indicarse en primera medida que </w:t>
      </w:r>
      <w:bookmarkStart w:id="9" w:name="_Hlk100131579"/>
      <w:r>
        <w:rPr>
          <w:rFonts w:ascii="Verdana" w:eastAsia="Calibri" w:hAnsi="Verdana" w:cs="Arial"/>
          <w:lang w:val="es-ES_tradnl" w:eastAsia="es-MX"/>
        </w:rPr>
        <w:t>l</w:t>
      </w:r>
      <w:r w:rsidRPr="001B1190">
        <w:rPr>
          <w:rFonts w:ascii="Verdana" w:eastAsia="Calibri" w:hAnsi="Verdana" w:cs="Arial"/>
          <w:lang w:val="es-ES_tradnl" w:eastAsia="es-MX"/>
        </w:rPr>
        <w:t xml:space="preserve">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 –que adicionó el numeral 5º al artículo 2 de la Ley 1150 de 2007– y posteriormente por la Ley 2069 de 2020, estableciendo que el factor determinante para llevar a </w:t>
      </w:r>
      <w:r w:rsidRPr="001B1190">
        <w:rPr>
          <w:rFonts w:ascii="Verdana" w:eastAsia="Calibri" w:hAnsi="Verdana" w:cs="Arial"/>
          <w:lang w:val="es-ES_tradnl" w:eastAsia="es-MX"/>
        </w:rPr>
        <w:lastRenderedPageBreak/>
        <w:t>cabo tal procedimiento es la cuantía –calculada como presupuesto oficial a partir del estudio del sector–, “independientemente de su objeto”</w:t>
      </w:r>
      <w:r w:rsidRPr="001B1190">
        <w:rPr>
          <w:rFonts w:ascii="Verdana" w:eastAsia="Calibri" w:hAnsi="Verdana" w:cs="Arial"/>
          <w:vertAlign w:val="superscript"/>
          <w:lang w:val="es-ES_tradnl" w:eastAsia="es-MX"/>
        </w:rPr>
        <w:footnoteReference w:id="20"/>
      </w:r>
      <w:r w:rsidRPr="001B1190">
        <w:rPr>
          <w:rFonts w:ascii="Verdana" w:eastAsia="Calibri" w:hAnsi="Verdana" w:cs="Arial"/>
          <w:lang w:val="es-ES_tradnl" w:eastAsia="es-MX"/>
        </w:rPr>
        <w:t>.</w:t>
      </w:r>
    </w:p>
    <w:bookmarkEnd w:id="9"/>
    <w:p w14:paraId="2EE49E65" w14:textId="77777777" w:rsidR="0076150C" w:rsidRPr="001B1190" w:rsidRDefault="0076150C" w:rsidP="00EF6A41">
      <w:pPr>
        <w:tabs>
          <w:tab w:val="left" w:pos="709"/>
        </w:tabs>
        <w:spacing w:after="120" w:line="276" w:lineRule="auto"/>
        <w:ind w:firstLine="709"/>
        <w:jc w:val="both"/>
        <w:rPr>
          <w:rFonts w:ascii="Verdana" w:eastAsia="Calibri" w:hAnsi="Verdana" w:cs="Arial"/>
          <w:lang w:val="es-ES_tradnl" w:eastAsia="es-MX"/>
        </w:rPr>
      </w:pPr>
      <w:r w:rsidRPr="001B1190">
        <w:rPr>
          <w:rFonts w:ascii="Verdana" w:eastAsia="Calibri" w:hAnsi="Verdana" w:cs="Arial"/>
          <w:lang w:val="es-ES_tradnl" w:eastAsia="es-MX"/>
        </w:rPr>
        <w:t>Dicho de otro modo, la mínima cuantía es un procedimiento de selección “especial”</w:t>
      </w:r>
      <w:r w:rsidRPr="001B1190">
        <w:rPr>
          <w:rFonts w:ascii="Verdana" w:eastAsia="Calibri" w:hAnsi="Verdana" w:cs="Arial"/>
          <w:vertAlign w:val="superscript"/>
          <w:lang w:val="es-ES_tradnl" w:eastAsia="es-MX"/>
        </w:rPr>
        <w:footnoteReference w:id="21"/>
      </w:r>
      <w:r w:rsidRPr="001B1190">
        <w:rPr>
          <w:rFonts w:ascii="Verdana" w:eastAsia="Calibri" w:hAnsi="Verdana" w:cs="Arial"/>
          <w:lang w:val="es-ES_tradnl" w:eastAsia="es-MX"/>
        </w:rPr>
        <w:t>, porque es una excepción a la regla general constituida por la licitación pública. Aunque ambas modalidades implican un llamado general a presentar ofertas, efectuado por la entidad estatal interesada en contratar, la mínima cuantía es distinta de la licitación en otros aspectos, como su conducencia y su procedimiento: lo primero, porque solo procede por razón de una cuantía específica</w:t>
      </w:r>
      <w:r w:rsidRPr="001B1190">
        <w:rPr>
          <w:rFonts w:ascii="Verdana" w:eastAsia="Calibri" w:hAnsi="Verdana" w:cs="Arial"/>
          <w:vertAlign w:val="superscript"/>
          <w:lang w:val="es-ES_tradnl" w:eastAsia="es-MX"/>
        </w:rPr>
        <w:footnoteReference w:id="22"/>
      </w:r>
      <w:r w:rsidRPr="001B1190">
        <w:rPr>
          <w:rFonts w:ascii="Verdana" w:eastAsia="Calibri" w:hAnsi="Verdana" w:cs="Arial"/>
          <w:lang w:val="es-ES_tradnl" w:eastAsia="es-MX"/>
        </w:rPr>
        <w:t>, y lo segundo, porque sus requisitos, etapas y términos son especiales.</w:t>
      </w:r>
    </w:p>
    <w:p w14:paraId="139D4862" w14:textId="77777777" w:rsidR="0076150C" w:rsidRDefault="0076150C" w:rsidP="00EF6A41">
      <w:pPr>
        <w:tabs>
          <w:tab w:val="left" w:pos="709"/>
        </w:tabs>
        <w:spacing w:after="120" w:line="276" w:lineRule="auto"/>
        <w:ind w:firstLine="709"/>
        <w:jc w:val="both"/>
        <w:rPr>
          <w:rFonts w:ascii="Verdana" w:eastAsia="Calibri" w:hAnsi="Verdana" w:cs="Arial"/>
          <w:color w:val="000000"/>
          <w:lang w:val="es-ES" w:eastAsia="es-MX"/>
        </w:rPr>
      </w:pPr>
      <w:r w:rsidRPr="001B1190">
        <w:rPr>
          <w:rFonts w:ascii="Verdana" w:eastAsia="Calibri" w:hAnsi="Verdana" w:cs="Arial"/>
          <w:color w:val="000000"/>
          <w:lang w:val="es-ES" w:eastAsia="es-MX"/>
        </w:rPr>
        <w:t xml:space="preserve">Por su parte, el 31 de diciembre de 2020 fue expedida la Ley 2069 de 2020 –conocida como Ley de Emprendimiento–, cuyo artículo 30 modificó el numeral 5 del artículo 2 de la Ley 1150 de 2007, el cual regula la mínima cuantía. Esta norma dispuso aspectos del procedimiento como: i) el término mínimo para publicar la invitación, </w:t>
      </w:r>
      <w:proofErr w:type="spellStart"/>
      <w:r w:rsidRPr="001B1190">
        <w:rPr>
          <w:rFonts w:ascii="Verdana" w:eastAsia="Calibri" w:hAnsi="Verdana" w:cs="Arial"/>
          <w:color w:val="000000"/>
          <w:lang w:val="es-ES" w:eastAsia="es-MX"/>
        </w:rPr>
        <w:t>ii</w:t>
      </w:r>
      <w:proofErr w:type="spellEnd"/>
      <w:r w:rsidRPr="001B1190">
        <w:rPr>
          <w:rFonts w:ascii="Verdana" w:eastAsia="Calibri" w:hAnsi="Verdana" w:cs="Arial"/>
          <w:color w:val="000000"/>
          <w:lang w:val="es-ES" w:eastAsia="es-MX"/>
        </w:rPr>
        <w:t xml:space="preserve">) el plazo mínimo de recepción de las ofertas, </w:t>
      </w:r>
      <w:proofErr w:type="spellStart"/>
      <w:r w:rsidRPr="001B1190">
        <w:rPr>
          <w:rFonts w:ascii="Verdana" w:eastAsia="Calibri" w:hAnsi="Verdana" w:cs="Arial"/>
          <w:color w:val="000000"/>
          <w:lang w:val="es-ES" w:eastAsia="es-MX"/>
        </w:rPr>
        <w:t>iii</w:t>
      </w:r>
      <w:proofErr w:type="spellEnd"/>
      <w:r w:rsidRPr="001B1190">
        <w:rPr>
          <w:rFonts w:ascii="Verdana" w:eastAsia="Calibri" w:hAnsi="Verdana" w:cs="Arial"/>
          <w:color w:val="000000"/>
          <w:lang w:val="es-ES" w:eastAsia="es-MX"/>
        </w:rPr>
        <w:t xml:space="preserve">) el factor de evaluación que define la selección del proponente y </w:t>
      </w:r>
      <w:proofErr w:type="spellStart"/>
      <w:r w:rsidRPr="001B1190">
        <w:rPr>
          <w:rFonts w:ascii="Verdana" w:eastAsia="Calibri" w:hAnsi="Verdana" w:cs="Arial"/>
          <w:color w:val="000000"/>
          <w:lang w:val="es-ES" w:eastAsia="es-MX"/>
        </w:rPr>
        <w:t>iv</w:t>
      </w:r>
      <w:proofErr w:type="spellEnd"/>
      <w:r w:rsidRPr="001B1190">
        <w:rPr>
          <w:rFonts w:ascii="Verdana" w:eastAsia="Calibri" w:hAnsi="Verdana" w:cs="Arial"/>
          <w:color w:val="000000"/>
          <w:lang w:val="es-ES" w:eastAsia="es-MX"/>
        </w:rPr>
        <w:t>) el perfeccionamiento del contrato.</w:t>
      </w:r>
    </w:p>
    <w:p w14:paraId="439EF5D0" w14:textId="77777777" w:rsidR="0076150C" w:rsidRDefault="0076150C" w:rsidP="00EF6A41">
      <w:pPr>
        <w:tabs>
          <w:tab w:val="left" w:pos="709"/>
        </w:tabs>
        <w:spacing w:after="120" w:line="276" w:lineRule="auto"/>
        <w:ind w:firstLine="709"/>
        <w:jc w:val="both"/>
        <w:rPr>
          <w:rFonts w:ascii="Verdana" w:eastAsia="Calibri" w:hAnsi="Verdana" w:cs="Arial"/>
          <w:color w:val="000000"/>
          <w:lang w:val="es-ES" w:eastAsia="es-MX"/>
        </w:rPr>
      </w:pPr>
      <w:r w:rsidRPr="001B1190">
        <w:rPr>
          <w:rFonts w:ascii="Verdana" w:eastAsia="Calibri" w:hAnsi="Verdana" w:cs="Arial"/>
          <w:color w:val="000000"/>
          <w:lang w:val="es-ES" w:eastAsia="es-MX"/>
        </w:rPr>
        <w:t xml:space="preserve">Adicionalmente, se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 el procedimiento de mínima cuantía. De esta manera, el artículo 2 modifica la Subsección 5 de la Sección 1 del Capítulo 2 del Título 1 de la Parte 2 del Libro 2 del Decreto 1082 de 2015, </w:t>
      </w:r>
      <w:r w:rsidRPr="001B1190">
        <w:rPr>
          <w:rFonts w:ascii="Verdana" w:eastAsia="Calibri" w:hAnsi="Verdana" w:cs="Arial"/>
          <w:color w:val="000000"/>
          <w:lang w:val="es-ES" w:eastAsia="es-MX"/>
        </w:rPr>
        <w:lastRenderedPageBreak/>
        <w:t>que se titula mínima cuantía, por lo que reglamenta esta modalidad de selección con fundamento en lo establecido en el artículo 30 de la Ley 2069 de 2020.</w:t>
      </w:r>
    </w:p>
    <w:p w14:paraId="4230DBF3" w14:textId="77777777" w:rsidR="0076150C" w:rsidRDefault="0076150C" w:rsidP="00EF6A41">
      <w:pPr>
        <w:tabs>
          <w:tab w:val="left" w:pos="709"/>
        </w:tabs>
        <w:spacing w:after="120" w:line="276" w:lineRule="auto"/>
        <w:jc w:val="both"/>
        <w:rPr>
          <w:rFonts w:ascii="Verdana" w:eastAsia="Calibri" w:hAnsi="Verdana" w:cs="Arial"/>
          <w:color w:val="000000"/>
          <w:lang w:val="es-ES" w:eastAsia="es-MX"/>
        </w:rPr>
      </w:pPr>
      <w:r w:rsidRPr="001B1190">
        <w:rPr>
          <w:rFonts w:ascii="Verdana" w:eastAsia="Calibri" w:hAnsi="Verdana" w:cs="Arial"/>
          <w:bCs/>
          <w:color w:val="000000"/>
          <w:lang w:val="es-ES_tradnl" w:eastAsia="es-MX"/>
        </w:rPr>
        <w:tab/>
      </w:r>
      <w:r w:rsidRPr="001B1190">
        <w:rPr>
          <w:rFonts w:ascii="Verdana" w:eastAsia="Calibri" w:hAnsi="Verdana" w:cs="Arial"/>
          <w:color w:val="000000"/>
          <w:lang w:val="es-ES" w:eastAsia="es-MX"/>
        </w:rPr>
        <w:t>Teniendo en cuenta lo anterior, la nueva Subsección 5 a que se hizo referencia contiene los siguientes artículos: i) 2.2.1.2.1.5.1. que se ocupa de desarrollar el contenido de los estudios previos para la contratación de mínima cuantía</w:t>
      </w:r>
      <w:r w:rsidRPr="001B1190">
        <w:rPr>
          <w:rFonts w:ascii="Verdana" w:eastAsia="Calibri" w:hAnsi="Verdana" w:cs="Arial"/>
          <w:color w:val="000000"/>
          <w:vertAlign w:val="superscript"/>
          <w:lang w:val="es-ES" w:eastAsia="es-MX"/>
        </w:rPr>
        <w:footnoteReference w:id="23"/>
      </w:r>
      <w:r w:rsidRPr="001B1190">
        <w:rPr>
          <w:rFonts w:ascii="Verdana" w:eastAsia="Calibri" w:hAnsi="Verdana" w:cs="Arial"/>
          <w:color w:val="000000"/>
          <w:lang w:val="es-ES" w:eastAsia="es-MX"/>
        </w:rPr>
        <w:t xml:space="preserve">. </w:t>
      </w:r>
      <w:proofErr w:type="spellStart"/>
      <w:r w:rsidRPr="001B1190">
        <w:rPr>
          <w:rFonts w:ascii="Verdana" w:eastAsia="Calibri" w:hAnsi="Verdana" w:cs="Arial"/>
          <w:color w:val="000000"/>
          <w:lang w:val="es-ES" w:eastAsia="es-MX"/>
        </w:rPr>
        <w:t>ii</w:t>
      </w:r>
      <w:proofErr w:type="spellEnd"/>
      <w:r w:rsidRPr="001B1190">
        <w:rPr>
          <w:rFonts w:ascii="Verdana" w:eastAsia="Calibri" w:hAnsi="Verdana" w:cs="Arial"/>
          <w:color w:val="000000"/>
          <w:lang w:val="es-ES" w:eastAsia="es-MX"/>
        </w:rPr>
        <w:t>) 2.2.1.2.1.5.2. que contiene el procedimiento general de la mínima cuantía, señalando el contenido mínimo de la “invitación” y las distintas etapas y reglas que estructuran esta modalidad de selección, incluyendo la forma en que procederán las convocatorias limitadas a MiPymes, de acuerdo con el mandato del parágrafo 1 del artículo 30 de la Ley 2069 de 2020</w:t>
      </w:r>
      <w:r w:rsidRPr="001B1190">
        <w:rPr>
          <w:rFonts w:ascii="Verdana" w:eastAsia="Calibri" w:hAnsi="Verdana" w:cs="Arial"/>
          <w:color w:val="000000"/>
          <w:vertAlign w:val="superscript"/>
          <w:lang w:val="es-ES" w:eastAsia="es-MX"/>
        </w:rPr>
        <w:footnoteReference w:id="24"/>
      </w:r>
      <w:r w:rsidRPr="001B1190">
        <w:rPr>
          <w:rFonts w:ascii="Verdana" w:eastAsia="Calibri" w:hAnsi="Verdana" w:cs="Arial"/>
          <w:color w:val="000000"/>
          <w:lang w:val="es-ES" w:eastAsia="es-MX"/>
        </w:rPr>
        <w:t xml:space="preserve">. </w:t>
      </w:r>
      <w:proofErr w:type="spellStart"/>
      <w:r w:rsidRPr="001B1190">
        <w:rPr>
          <w:rFonts w:ascii="Verdana" w:eastAsia="Calibri" w:hAnsi="Verdana" w:cs="Arial"/>
          <w:color w:val="000000"/>
          <w:lang w:val="es-ES" w:eastAsia="es-MX"/>
        </w:rPr>
        <w:t>iii</w:t>
      </w:r>
      <w:proofErr w:type="spellEnd"/>
      <w:r w:rsidRPr="001B1190">
        <w:rPr>
          <w:rFonts w:ascii="Verdana" w:eastAsia="Calibri" w:hAnsi="Verdana" w:cs="Arial"/>
          <w:color w:val="000000"/>
          <w:lang w:val="es-ES" w:eastAsia="es-MX"/>
        </w:rPr>
        <w:t xml:space="preserve">) 2.2.1.2.1.5.3. que regula un procedimiento especial para las adquisiciones en grandes almacenes cuando se trate de mínima cuantía. </w:t>
      </w:r>
      <w:proofErr w:type="spellStart"/>
      <w:r w:rsidRPr="001B1190">
        <w:rPr>
          <w:rFonts w:ascii="Verdana" w:eastAsia="Calibri" w:hAnsi="Verdana" w:cs="Arial"/>
          <w:color w:val="000000"/>
          <w:lang w:val="es-ES" w:eastAsia="es-MX"/>
        </w:rPr>
        <w:t>iv</w:t>
      </w:r>
      <w:proofErr w:type="spellEnd"/>
      <w:r w:rsidRPr="001B1190">
        <w:rPr>
          <w:rFonts w:ascii="Verdana" w:eastAsia="Calibri" w:hAnsi="Verdana" w:cs="Arial"/>
          <w:color w:val="000000"/>
          <w:lang w:val="es-ES" w:eastAsia="es-MX"/>
        </w:rPr>
        <w:t>) 2.2.1.2.1.5.4. el cual establece la posibilidad de que la Agencia Nacional de Contratación Pública – Colombia Compra Eficiente cree y establezca las reglas para la utilización de Instrumentos de agregación de demanda en la Tienda Virtual del Estado Colombiano para adquisiciones hasta el monto de la mínima cuantía con MiPymes y con grandes almacenes. Y v) 2.2.1.2.1.5.5. el cual establece que la entidad estatal es libre de exigir o no garantías en el proceso de selección de mínima cuantía y en la adquisición de “grandes almacenes”.</w:t>
      </w:r>
    </w:p>
    <w:p w14:paraId="3B9E319F" w14:textId="77777777" w:rsidR="0076150C" w:rsidRDefault="0076150C" w:rsidP="00EF6A41">
      <w:pPr>
        <w:tabs>
          <w:tab w:val="left" w:pos="709"/>
        </w:tabs>
        <w:spacing w:after="120" w:line="276" w:lineRule="auto"/>
        <w:jc w:val="both"/>
        <w:rPr>
          <w:rFonts w:ascii="Verdana" w:eastAsia="Calibri" w:hAnsi="Verdana" w:cs="Arial"/>
          <w:bCs/>
          <w:color w:val="000000"/>
          <w:lang w:val="es-ES_tradnl" w:eastAsia="es-MX"/>
        </w:rPr>
      </w:pPr>
      <w:r w:rsidRPr="001B1190">
        <w:rPr>
          <w:rFonts w:ascii="Verdana" w:eastAsia="Calibri" w:hAnsi="Verdana" w:cs="Arial"/>
          <w:bCs/>
          <w:color w:val="000000"/>
          <w:lang w:val="es-ES_tradnl" w:eastAsia="es-MX"/>
        </w:rPr>
        <w:tab/>
        <w:t xml:space="preserve">De esta manera, el artículo 2 del Decreto 1860 de 2021, que modifica los artículos del Decreto 1082 de 2015 expuestos en el párrafo anterior, constituye la reglamentación del artículo 30 de la Ley 2069 de 2020, al desarrollar las reglas aplicables a esta modalidad de selección. </w:t>
      </w:r>
    </w:p>
    <w:p w14:paraId="11CB3484" w14:textId="77777777" w:rsidR="0076150C" w:rsidRDefault="0076150C" w:rsidP="00EF6A41">
      <w:pPr>
        <w:tabs>
          <w:tab w:val="left" w:pos="709"/>
        </w:tabs>
        <w:spacing w:after="120" w:line="276" w:lineRule="auto"/>
        <w:jc w:val="both"/>
        <w:rPr>
          <w:rFonts w:ascii="Verdana" w:eastAsia="Calibri" w:hAnsi="Verdana" w:cs="Arial"/>
          <w:color w:val="000000"/>
          <w:lang w:val="es-ES_tradnl" w:eastAsia="es-MX"/>
        </w:rPr>
      </w:pPr>
      <w:r w:rsidRPr="001B1190">
        <w:rPr>
          <w:rFonts w:ascii="Verdana" w:eastAsia="Calibri" w:hAnsi="Verdana" w:cs="Arial"/>
          <w:color w:val="000000"/>
          <w:lang w:val="es-ES_tradnl" w:eastAsia="es-MX"/>
        </w:rPr>
        <w:tab/>
        <w:t xml:space="preserve">Ahora bien, vistas las anteriores vicisitudes normativas que rodean la modalidad de selección de mínima cuantía, y con fundamento en los artículos 2.2.1.2.1.5.1. al 2.2.1.2.1.5.4 del Decreto 1082 de 2015 modificados, como se </w:t>
      </w:r>
      <w:r w:rsidRPr="001B1190">
        <w:rPr>
          <w:rFonts w:ascii="Verdana" w:eastAsia="Calibri" w:hAnsi="Verdana" w:cs="Arial"/>
          <w:color w:val="000000"/>
          <w:lang w:val="es-ES_tradnl" w:eastAsia="es-MX"/>
        </w:rPr>
        <w:lastRenderedPageBreak/>
        <w:t>ha venido exponiendo, por el artículo 2 del Decreto 1860 de 2021, resulta imperante sintetizar los requisitos en el procedimiento de esta modalidad de selección de la siguiente forma:</w:t>
      </w:r>
    </w:p>
    <w:p w14:paraId="1477757A" w14:textId="77777777" w:rsidR="0076150C" w:rsidRDefault="0076150C" w:rsidP="00EF6A41">
      <w:pPr>
        <w:spacing w:after="120" w:line="276" w:lineRule="auto"/>
        <w:ind w:firstLine="709"/>
        <w:jc w:val="both"/>
        <w:rPr>
          <w:rFonts w:ascii="Verdana" w:eastAsia="Calibri" w:hAnsi="Verdana" w:cs="Arial"/>
          <w:color w:val="000000"/>
          <w:lang w:val="es-ES_tradnl" w:eastAsia="es-MX"/>
        </w:rPr>
      </w:pPr>
      <w:r w:rsidRPr="001B1190">
        <w:rPr>
          <w:rFonts w:ascii="Verdana" w:eastAsia="Calibri" w:hAnsi="Verdana" w:cs="Arial"/>
          <w:color w:val="000000"/>
          <w:lang w:val="es-ES_tradnl" w:eastAsia="es-MX"/>
        </w:rPr>
        <w:t>i) La entidad estatal debe hacer los estudios previos en los que señale cuál es la necesidad que pretende satisfacer, el objeto del contrato, sus condiciones técnicas, el valor estimado, el plazo de ejecución y el certificado de disponibilidad presupuestal.</w:t>
      </w:r>
    </w:p>
    <w:p w14:paraId="1F52D355" w14:textId="77777777" w:rsidR="0076150C" w:rsidRPr="001B1190" w:rsidRDefault="0076150C" w:rsidP="00EF6A41">
      <w:pPr>
        <w:spacing w:after="120" w:line="276" w:lineRule="auto"/>
        <w:ind w:firstLine="709"/>
        <w:jc w:val="both"/>
        <w:rPr>
          <w:rFonts w:ascii="Verdana" w:eastAsia="Calibri" w:hAnsi="Verdana" w:cs="Arial"/>
          <w:color w:val="000000"/>
          <w:lang w:val="es-ES" w:eastAsia="es-MX"/>
        </w:rPr>
      </w:pPr>
      <w:proofErr w:type="spellStart"/>
      <w:r w:rsidRPr="001B1190">
        <w:rPr>
          <w:rFonts w:ascii="Verdana" w:eastAsia="Calibri" w:hAnsi="Verdana" w:cs="Arial"/>
          <w:color w:val="000000"/>
          <w:lang w:val="es-ES" w:eastAsia="es-MX"/>
        </w:rPr>
        <w:t>ii</w:t>
      </w:r>
      <w:proofErr w:type="spellEnd"/>
      <w:r w:rsidRPr="001B1190">
        <w:rPr>
          <w:rFonts w:ascii="Verdana" w:eastAsia="Calibri" w:hAnsi="Verdana" w:cs="Arial"/>
          <w:color w:val="000000"/>
          <w:lang w:val="es-ES" w:eastAsia="es-MX"/>
        </w:rPr>
        <w:t>) Luego de los trámites previos, la entidad debe publicar en el SECOP una invitación, señalando el objeto, las condiciones técnicas y el valor estimado del contrato, expresando además las razones que justifican el cálculo de la cuantía. Asimismo, puede exigir o no una capacidad financiera mínima. Igualmente, esta Agencia ha recomendado “incluir en la invitación el cronograma, el plazo o condiciones de pago a cargo de la Entidad Estatal, la indicación del requerimiento de garantías (cuya exigencia es discrecional de la Entidad Estatal) y los demás aspectos que considere necesarios para la satisfacción de la necesidad”</w:t>
      </w:r>
      <w:r w:rsidRPr="001B1190">
        <w:rPr>
          <w:rFonts w:ascii="Verdana" w:eastAsia="Calibri" w:hAnsi="Verdana" w:cs="Arial"/>
          <w:color w:val="000000"/>
          <w:vertAlign w:val="superscript"/>
          <w:lang w:val="es-ES" w:eastAsia="es-MX"/>
        </w:rPr>
        <w:footnoteReference w:id="25"/>
      </w:r>
      <w:r w:rsidRPr="001B1190">
        <w:rPr>
          <w:rFonts w:ascii="Verdana" w:eastAsia="Calibri" w:hAnsi="Verdana" w:cs="Arial"/>
          <w:color w:val="000000"/>
          <w:lang w:val="es-ES" w:eastAsia="es-MX"/>
        </w:rPr>
        <w:t>.</w:t>
      </w:r>
    </w:p>
    <w:p w14:paraId="478224FE" w14:textId="77777777" w:rsidR="0076150C" w:rsidRPr="001B1190" w:rsidRDefault="0076150C" w:rsidP="00EF6A41">
      <w:pPr>
        <w:spacing w:after="120" w:line="276" w:lineRule="auto"/>
        <w:ind w:firstLine="709"/>
        <w:jc w:val="both"/>
        <w:rPr>
          <w:rFonts w:ascii="Verdana" w:eastAsia="Calibri" w:hAnsi="Verdana" w:cs="Arial"/>
          <w:color w:val="000000"/>
          <w:lang w:val="es-ES" w:eastAsia="es-MX"/>
        </w:rPr>
      </w:pPr>
      <w:proofErr w:type="spellStart"/>
      <w:r w:rsidRPr="001B1190">
        <w:rPr>
          <w:rFonts w:ascii="Verdana" w:eastAsia="Calibri" w:hAnsi="Verdana" w:cs="Arial"/>
          <w:color w:val="000000"/>
          <w:lang w:val="es-ES" w:eastAsia="es-MX"/>
        </w:rPr>
        <w:t>iii</w:t>
      </w:r>
      <w:proofErr w:type="spellEnd"/>
      <w:r w:rsidRPr="001B1190">
        <w:rPr>
          <w:rFonts w:ascii="Verdana" w:eastAsia="Calibri" w:hAnsi="Verdana" w:cs="Arial"/>
          <w:color w:val="000000"/>
          <w:lang w:val="es-ES" w:eastAsia="es-MX"/>
        </w:rPr>
        <w:t xml:space="preserve">) La invitación se debe </w:t>
      </w:r>
      <w:r>
        <w:rPr>
          <w:rFonts w:ascii="Verdana" w:eastAsia="Calibri" w:hAnsi="Verdana" w:cs="Arial"/>
          <w:color w:val="000000"/>
          <w:lang w:val="es-ES" w:eastAsia="es-MX"/>
        </w:rPr>
        <w:t>publicar</w:t>
      </w:r>
      <w:r w:rsidRPr="001B1190">
        <w:rPr>
          <w:rFonts w:ascii="Verdana" w:eastAsia="Calibri" w:hAnsi="Verdana" w:cs="Arial"/>
          <w:color w:val="000000"/>
          <w:lang w:val="es-ES" w:eastAsia="es-MX"/>
        </w:rPr>
        <w:t xml:space="preserve"> por un término no inferior a un (1) día hábil.</w:t>
      </w:r>
    </w:p>
    <w:p w14:paraId="66D1F831" w14:textId="77777777" w:rsidR="0076150C" w:rsidRDefault="0076150C" w:rsidP="00EF6A41">
      <w:pPr>
        <w:spacing w:after="120" w:line="276" w:lineRule="auto"/>
        <w:ind w:firstLine="709"/>
        <w:jc w:val="both"/>
        <w:rPr>
          <w:rFonts w:ascii="Verdana" w:eastAsia="Calibri" w:hAnsi="Verdana" w:cs="Arial"/>
          <w:color w:val="000000"/>
          <w:lang w:val="es-ES" w:eastAsia="es-MX"/>
        </w:rPr>
      </w:pPr>
      <w:proofErr w:type="spellStart"/>
      <w:r w:rsidRPr="001B1190">
        <w:rPr>
          <w:rFonts w:ascii="Verdana" w:eastAsia="Calibri" w:hAnsi="Verdana" w:cs="Arial"/>
          <w:color w:val="000000"/>
          <w:lang w:val="es-ES" w:eastAsia="es-MX"/>
        </w:rPr>
        <w:t>iv</w:t>
      </w:r>
      <w:proofErr w:type="spellEnd"/>
      <w:r w:rsidRPr="001B1190">
        <w:rPr>
          <w:rFonts w:ascii="Verdana" w:eastAsia="Calibri" w:hAnsi="Verdana" w:cs="Arial"/>
          <w:color w:val="000000"/>
          <w:lang w:val="es-ES" w:eastAsia="es-MX"/>
        </w:rPr>
        <w:t>) Las observaciones que presenten los interesados a la invitación deben responderse a más tardar antes del vencimiento del término para presentar las ofertas.</w:t>
      </w:r>
    </w:p>
    <w:p w14:paraId="3A38CD48" w14:textId="77777777" w:rsidR="0076150C" w:rsidRDefault="0076150C" w:rsidP="00EF6A41">
      <w:pPr>
        <w:spacing w:after="120" w:line="276" w:lineRule="auto"/>
        <w:ind w:firstLine="709"/>
        <w:jc w:val="both"/>
        <w:rPr>
          <w:rFonts w:ascii="Verdana" w:eastAsia="Calibri" w:hAnsi="Verdana" w:cs="Arial"/>
          <w:color w:val="000000"/>
          <w:lang w:val="es-ES" w:eastAsia="es-MX"/>
        </w:rPr>
      </w:pPr>
      <w:r w:rsidRPr="001B1190">
        <w:rPr>
          <w:rFonts w:ascii="Verdana" w:eastAsia="Calibri" w:hAnsi="Verdana" w:cs="Arial"/>
          <w:color w:val="000000"/>
          <w:lang w:val="es-ES" w:eastAsia="es-MX"/>
        </w:rPr>
        <w:t>v) Presentadas las propuestas, la entidad estatal debe revisar las ofertas económicas y verificar que la del menor precio cumpla los requisitos de participación. Si no los satisface debe revisar la oferta económica inmediatamente inferior, y así sucesivamente. Esto significa que en la mínima cuantía el precio es el único factor de calificación</w:t>
      </w:r>
      <w:r w:rsidRPr="001B1190">
        <w:rPr>
          <w:rFonts w:ascii="Verdana" w:eastAsia="Calibri" w:hAnsi="Verdana" w:cs="Arial"/>
          <w:color w:val="000000"/>
          <w:vertAlign w:val="superscript"/>
          <w:lang w:val="es-ES" w:eastAsia="es-MX"/>
        </w:rPr>
        <w:footnoteReference w:id="26"/>
      </w:r>
      <w:r w:rsidRPr="001B1190">
        <w:rPr>
          <w:rFonts w:ascii="Verdana" w:eastAsia="Calibri" w:hAnsi="Verdana" w:cs="Arial"/>
          <w:color w:val="000000"/>
          <w:lang w:val="es-ES" w:eastAsia="es-MX"/>
        </w:rPr>
        <w:t>.</w:t>
      </w:r>
    </w:p>
    <w:p w14:paraId="0D7FF93A" w14:textId="77777777" w:rsidR="0076150C" w:rsidRDefault="0076150C" w:rsidP="00EF6A41">
      <w:pPr>
        <w:spacing w:after="120" w:line="276" w:lineRule="auto"/>
        <w:ind w:firstLine="709"/>
        <w:jc w:val="both"/>
        <w:rPr>
          <w:rFonts w:ascii="Verdana" w:eastAsia="Calibri" w:hAnsi="Verdana" w:cs="Arial"/>
          <w:color w:val="000000"/>
          <w:lang w:val="es-ES_tradnl" w:eastAsia="es-MX"/>
        </w:rPr>
      </w:pPr>
      <w:r w:rsidRPr="001B1190">
        <w:rPr>
          <w:rFonts w:ascii="Verdana" w:eastAsia="Calibri" w:hAnsi="Verdana" w:cs="Arial"/>
          <w:color w:val="000000"/>
          <w:lang w:val="es-ES_tradnl" w:eastAsia="es-MX"/>
        </w:rPr>
        <w:t>vi) El informe de evaluación se debe publicar por lo menos un (1) día hábil.</w:t>
      </w:r>
    </w:p>
    <w:p w14:paraId="0188DC3F" w14:textId="77777777" w:rsidR="0076150C" w:rsidRPr="001B1190" w:rsidRDefault="0076150C" w:rsidP="00EF6A41">
      <w:pPr>
        <w:spacing w:after="120" w:line="240" w:lineRule="auto"/>
        <w:ind w:firstLine="709"/>
        <w:jc w:val="both"/>
        <w:rPr>
          <w:rFonts w:ascii="Verdana" w:eastAsia="Calibri" w:hAnsi="Verdana" w:cs="Arial"/>
          <w:color w:val="000000"/>
          <w:lang w:val="es-ES_tradnl" w:eastAsia="es-MX"/>
        </w:rPr>
      </w:pPr>
    </w:p>
    <w:p w14:paraId="7A761CDF" w14:textId="77777777" w:rsidR="0076150C" w:rsidRDefault="0076150C" w:rsidP="00EF6A41">
      <w:pPr>
        <w:spacing w:after="120" w:line="276" w:lineRule="auto"/>
        <w:ind w:firstLine="709"/>
        <w:jc w:val="both"/>
        <w:rPr>
          <w:rFonts w:ascii="Verdana" w:eastAsia="Calibri" w:hAnsi="Verdana" w:cs="Arial"/>
          <w:color w:val="000000"/>
          <w:lang w:val="es-ES" w:eastAsia="es-MX"/>
        </w:rPr>
      </w:pPr>
      <w:proofErr w:type="spellStart"/>
      <w:r w:rsidRPr="001B1190">
        <w:rPr>
          <w:rFonts w:ascii="Verdana" w:eastAsia="Calibri" w:hAnsi="Verdana" w:cs="Arial"/>
          <w:color w:val="000000"/>
          <w:lang w:val="es-ES" w:eastAsia="es-MX"/>
        </w:rPr>
        <w:lastRenderedPageBreak/>
        <w:t>vii</w:t>
      </w:r>
      <w:proofErr w:type="spellEnd"/>
      <w:r w:rsidRPr="001B1190">
        <w:rPr>
          <w:rFonts w:ascii="Verdana" w:eastAsia="Calibri" w:hAnsi="Verdana" w:cs="Arial"/>
          <w:color w:val="000000"/>
          <w:lang w:val="es-ES" w:eastAsia="es-MX"/>
        </w:rPr>
        <w:t xml:space="preserve">) </w:t>
      </w:r>
      <w:bookmarkStart w:id="10" w:name="_Hlk134700391"/>
      <w:r w:rsidRPr="001B1190">
        <w:rPr>
          <w:rFonts w:ascii="Verdana" w:eastAsia="Calibri" w:hAnsi="Verdana" w:cs="Arial"/>
          <w:color w:val="000000"/>
          <w:lang w:val="es-ES" w:eastAsia="es-MX"/>
        </w:rPr>
        <w:t>El contrato se perfecciona con la comunicación de aceptación de la oferta que envía la entidad estatal al proponente que presentó la oferta económica de menor precio, no requiriéndose, entonces, la suscripción de una minuta. En la comunicación de aceptación de la oferta la entidad estatal le debe informar al proponente ganador quién será el supervisor del contrato.</w:t>
      </w:r>
    </w:p>
    <w:bookmarkEnd w:id="10"/>
    <w:p w14:paraId="1CEE2E40" w14:textId="77777777" w:rsidR="0076150C" w:rsidRDefault="0076150C" w:rsidP="00EF6A41">
      <w:pPr>
        <w:spacing w:after="120" w:line="276" w:lineRule="auto"/>
        <w:ind w:firstLine="709"/>
        <w:jc w:val="both"/>
        <w:rPr>
          <w:rFonts w:ascii="Verdana" w:eastAsia="Calibri" w:hAnsi="Verdana" w:cs="Arial"/>
          <w:lang w:val="es-ES_tradnl"/>
        </w:rPr>
      </w:pPr>
      <w:proofErr w:type="spellStart"/>
      <w:r w:rsidRPr="001B1190">
        <w:rPr>
          <w:rFonts w:ascii="Verdana" w:eastAsia="Calibri" w:hAnsi="Verdana" w:cs="Arial"/>
          <w:color w:val="000000"/>
          <w:lang w:val="es-ES" w:eastAsia="es-MX"/>
        </w:rPr>
        <w:t>viii</w:t>
      </w:r>
      <w:proofErr w:type="spellEnd"/>
      <w:r w:rsidRPr="001B1190">
        <w:rPr>
          <w:rFonts w:ascii="Verdana" w:eastAsia="Calibri" w:hAnsi="Verdana" w:cs="Arial"/>
          <w:color w:val="000000"/>
          <w:lang w:val="es-ES" w:eastAsia="es-MX"/>
        </w:rPr>
        <w:t xml:space="preserve">) </w:t>
      </w:r>
      <w:r w:rsidRPr="00432AD3">
        <w:rPr>
          <w:rFonts w:ascii="Verdana" w:eastAsia="Calibri" w:hAnsi="Verdana" w:cs="Arial"/>
        </w:rPr>
        <w:t xml:space="preserve">En caso de empate deberá aplicarse los criterios de desempate establecidos en el </w:t>
      </w:r>
      <w:r w:rsidRPr="00A325F7">
        <w:rPr>
          <w:rFonts w:ascii="Verdana" w:eastAsia="Calibri" w:hAnsi="Verdana" w:cs="Arial"/>
          <w:lang w:val="es-ES_tradnl"/>
        </w:rPr>
        <w:t xml:space="preserve">artículo 35 de la Ley 2069 de </w:t>
      </w:r>
      <w:r>
        <w:rPr>
          <w:rFonts w:ascii="Verdana" w:eastAsia="Calibri" w:hAnsi="Verdana" w:cs="Arial"/>
          <w:lang w:val="es-ES_tradnl"/>
        </w:rPr>
        <w:t xml:space="preserve">2020, reglamentado por el </w:t>
      </w:r>
      <w:r w:rsidRPr="00B70DE8">
        <w:rPr>
          <w:rFonts w:ascii="Verdana" w:eastAsia="Calibri" w:hAnsi="Verdana" w:cs="Arial"/>
        </w:rPr>
        <w:t>2.2.1.2.4.2.17.</w:t>
      </w:r>
      <w:r w:rsidRPr="00432AD3">
        <w:rPr>
          <w:rFonts w:ascii="Verdana" w:eastAsia="Calibri" w:hAnsi="Verdana" w:cs="Arial"/>
          <w:lang w:val="es-ES_tradnl"/>
        </w:rPr>
        <w:t xml:space="preserve"> del Decreto 1082 de 2015</w:t>
      </w:r>
      <w:r>
        <w:rPr>
          <w:rFonts w:ascii="Verdana" w:eastAsia="Calibri" w:hAnsi="Verdana" w:cs="Arial"/>
          <w:lang w:val="es-ES_tradnl"/>
        </w:rPr>
        <w:t xml:space="preserve"> – modificado por el decreto 1860 de 2021</w:t>
      </w:r>
      <w:r w:rsidRPr="00432AD3">
        <w:rPr>
          <w:rFonts w:ascii="Verdana" w:eastAsia="Calibri" w:hAnsi="Verdana" w:cs="Arial"/>
          <w:lang w:val="es-ES_tradnl"/>
        </w:rPr>
        <w:t xml:space="preserve">. </w:t>
      </w:r>
    </w:p>
    <w:p w14:paraId="24FBB14D" w14:textId="77777777" w:rsidR="0076150C" w:rsidRDefault="0076150C" w:rsidP="00EF6A41">
      <w:pPr>
        <w:spacing w:after="120" w:line="276" w:lineRule="auto"/>
        <w:ind w:firstLine="709"/>
        <w:jc w:val="both"/>
        <w:rPr>
          <w:rFonts w:ascii="Verdana" w:eastAsia="Calibri" w:hAnsi="Verdana" w:cs="Arial"/>
          <w:bCs/>
          <w:color w:val="000000"/>
        </w:rPr>
      </w:pPr>
      <w:r w:rsidRPr="001B1190">
        <w:rPr>
          <w:rFonts w:ascii="Verdana" w:eastAsia="Calibri" w:hAnsi="Verdana" w:cs="Arial"/>
          <w:bCs/>
          <w:color w:val="000000"/>
        </w:rPr>
        <w:t>En atención a lo señalado, y con base en lo dispuesto en el literal c) del numeral 5 del artículo 2 de la Ley 1150 de 2011, así como en el numeral 5 del artículo 2.2.1.2.1.5.2 del Decreto 1082 de 2015, la selección del contratista en el procedimiento de mínima cuantía deberá recaer en la oferta que presente el menor precio y que cumpla con las condiciones establecidas en la invitación, siendo este –el menor precio– el único factor de escogencia permitido en este tipo de contratación.</w:t>
      </w:r>
    </w:p>
    <w:p w14:paraId="78E5D12F" w14:textId="77777777" w:rsidR="0076150C" w:rsidRDefault="0076150C" w:rsidP="00EF6A41">
      <w:pPr>
        <w:widowControl w:val="0"/>
        <w:autoSpaceDE w:val="0"/>
        <w:autoSpaceDN w:val="0"/>
        <w:spacing w:after="120" w:line="276" w:lineRule="auto"/>
        <w:ind w:firstLine="709"/>
        <w:jc w:val="both"/>
        <w:rPr>
          <w:rFonts w:ascii="Verdana" w:hAnsi="Verdana" w:cs="Arial"/>
          <w:bCs/>
          <w:szCs w:val="24"/>
          <w:lang w:val="es-ES_tradnl" w:eastAsia="es-ES_tradnl"/>
        </w:rPr>
      </w:pPr>
      <w:r w:rsidRPr="001B1190">
        <w:rPr>
          <w:rFonts w:ascii="Verdana" w:eastAsia="Calibri" w:hAnsi="Verdana" w:cs="Arial"/>
          <w:bCs/>
          <w:color w:val="000000"/>
          <w:lang w:val="es-ES_tradnl"/>
        </w:rPr>
        <w:t>Sobre el precio, es pertinente que señalar</w:t>
      </w:r>
      <w:r w:rsidRPr="001B1190">
        <w:rPr>
          <w:rFonts w:ascii="Verdana" w:hAnsi="Verdana" w:cs="Arial"/>
          <w:bCs/>
          <w:szCs w:val="24"/>
          <w:lang w:val="es-ES_tradnl" w:eastAsia="es-ES_tradnl"/>
        </w:rPr>
        <w:t xml:space="preserve"> se trata de uno de los elementos más comunes en los contratos estatales,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70E5175E" w14:textId="77777777" w:rsidR="0076150C" w:rsidRDefault="0076150C" w:rsidP="00EF6A41">
      <w:pPr>
        <w:spacing w:after="120" w:line="276" w:lineRule="auto"/>
        <w:ind w:firstLine="709"/>
        <w:jc w:val="both"/>
        <w:rPr>
          <w:rFonts w:ascii="Verdana" w:hAnsi="Verdana" w:cs="Arial"/>
          <w:lang w:val="es-ES" w:eastAsia="es-ES"/>
        </w:rPr>
      </w:pPr>
      <w:r w:rsidRPr="001B1190">
        <w:rPr>
          <w:rFonts w:ascii="Verdana" w:hAnsi="Verdana" w:cs="Arial"/>
          <w:lang w:val="es-ES" w:eastAsia="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1B1190">
        <w:rPr>
          <w:rFonts w:ascii="Verdana" w:hAnsi="Verdana" w:cs="Arial"/>
          <w:vertAlign w:val="superscript"/>
          <w:lang w:val="es-ES" w:eastAsia="es-ES"/>
        </w:rPr>
        <w:footnoteReference w:id="27"/>
      </w:r>
      <w:r w:rsidRPr="001B1190">
        <w:rPr>
          <w:rFonts w:ascii="Verdana" w:hAnsi="Verdana" w:cs="Arial"/>
          <w:lang w:val="es-ES" w:eastAsia="es-ES"/>
        </w:rPr>
        <w:t xml:space="preserve">. No hay, pues, una sola </w:t>
      </w:r>
      <w:r w:rsidRPr="001B1190">
        <w:rPr>
          <w:rFonts w:ascii="Verdana" w:hAnsi="Verdana" w:cs="Arial"/>
          <w:lang w:val="es-ES" w:eastAsia="es-ES"/>
        </w:rPr>
        <w:lastRenderedPageBreak/>
        <w:t xml:space="preserve">metodología para pactar el precio y, en gran medida, la manera de hacerlo ha obedecido a la costumbre mercantil y a la influencia de disciplinas técnicas, como la ingeniería o la administración de empresas, en la contratación estatal. </w:t>
      </w:r>
    </w:p>
    <w:p w14:paraId="643B279E" w14:textId="77777777" w:rsidR="0076150C" w:rsidRPr="001B1190" w:rsidRDefault="0076150C" w:rsidP="00EF6A41">
      <w:pPr>
        <w:spacing w:after="120" w:line="276" w:lineRule="auto"/>
        <w:ind w:firstLine="709"/>
        <w:jc w:val="both"/>
        <w:rPr>
          <w:rFonts w:ascii="Verdana" w:hAnsi="Verdana" w:cs="Arial"/>
          <w:lang w:val="es-ES" w:eastAsia="es-ES"/>
        </w:rPr>
      </w:pPr>
      <w:r w:rsidRPr="001B1190">
        <w:rPr>
          <w:rFonts w:ascii="Verdana" w:hAnsi="Verdana" w:cs="Arial"/>
          <w:lang w:val="es-ES" w:eastAsia="es-ES"/>
        </w:rPr>
        <w:t xml:space="preserve">Dentro de tales esquemas de establecimiento del precio pueden citarse, entre otros: i) los precios unitarios –calculados de acuerdo con las unidades que componen el objeto del contrato–, </w:t>
      </w:r>
      <w:proofErr w:type="spellStart"/>
      <w:r w:rsidRPr="001B1190">
        <w:rPr>
          <w:rFonts w:ascii="Verdana" w:hAnsi="Verdana" w:cs="Arial"/>
          <w:lang w:val="es-ES" w:eastAsia="es-ES"/>
        </w:rPr>
        <w:t>ii</w:t>
      </w:r>
      <w:proofErr w:type="spellEnd"/>
      <w:r w:rsidRPr="001B1190">
        <w:rPr>
          <w:rFonts w:ascii="Verdana" w:hAnsi="Verdana" w:cs="Arial"/>
          <w:lang w:val="es-ES" w:eastAsia="es-ES"/>
        </w:rPr>
        <w:t xml:space="preserve">) el precio global –que equivale al monto total, sin discriminar unidades–, y </w:t>
      </w:r>
      <w:proofErr w:type="spellStart"/>
      <w:r w:rsidRPr="001B1190">
        <w:rPr>
          <w:rFonts w:ascii="Verdana" w:hAnsi="Verdana" w:cs="Arial"/>
          <w:lang w:val="es-ES" w:eastAsia="es-ES"/>
        </w:rPr>
        <w:t>iii</w:t>
      </w:r>
      <w:proofErr w:type="spellEnd"/>
      <w:r w:rsidRPr="001B1190">
        <w:rPr>
          <w:rFonts w:ascii="Verdana" w:hAnsi="Verdana" w:cs="Arial"/>
          <w:lang w:val="es-ES" w:eastAsia="es-ES"/>
        </w:rPr>
        <w:t>) la administración delegada de recursos –en la que se distinguen los costos de inversión de los honorarios del administrador–.</w:t>
      </w:r>
    </w:p>
    <w:p w14:paraId="4C6BB190" w14:textId="77777777" w:rsidR="0076150C" w:rsidRDefault="0076150C" w:rsidP="00EF6A41">
      <w:pPr>
        <w:spacing w:after="120" w:line="276" w:lineRule="auto"/>
        <w:ind w:firstLine="709"/>
        <w:jc w:val="both"/>
        <w:rPr>
          <w:rFonts w:ascii="Verdana" w:hAnsi="Verdana" w:cs="Arial"/>
          <w:lang w:val="es-ES" w:eastAsia="es-ES"/>
        </w:rPr>
      </w:pPr>
      <w:r w:rsidRPr="001B1190">
        <w:rPr>
          <w:rFonts w:ascii="Verdana" w:hAnsi="Verdana" w:cs="Arial"/>
          <w:lang w:val="es-ES" w:eastAsia="es-ES"/>
        </w:rPr>
        <w:t xml:space="preserve">Pues bien, en los contratos cuyo precio se estructura a partir del sistema de precios unitarios, ha hecho parte de la práctica de los negocios que el contratante le solicite al potencial contratista que separe en su propuesta los </w:t>
      </w:r>
      <w:r w:rsidRPr="001B1190">
        <w:rPr>
          <w:rFonts w:ascii="Verdana" w:hAnsi="Verdana" w:cs="Arial"/>
          <w:i/>
          <w:iCs/>
          <w:lang w:val="es-ES" w:eastAsia="es-ES"/>
        </w:rPr>
        <w:t>costos directos</w:t>
      </w:r>
      <w:r w:rsidRPr="001B1190">
        <w:rPr>
          <w:rFonts w:ascii="Verdana" w:hAnsi="Verdana" w:cs="Arial"/>
          <w:lang w:val="es-ES" w:eastAsia="es-ES"/>
        </w:rPr>
        <w:t xml:space="preserve"> –es decir, los que están directamente implicados en la ejecución del objeto–, de los </w:t>
      </w:r>
      <w:r w:rsidRPr="001B1190">
        <w:rPr>
          <w:rFonts w:ascii="Verdana" w:hAnsi="Verdana" w:cs="Arial"/>
          <w:i/>
          <w:iCs/>
          <w:lang w:val="es-ES" w:eastAsia="es-ES"/>
        </w:rPr>
        <w:t>costos indirectos</w:t>
      </w:r>
      <w:r w:rsidRPr="001B1190">
        <w:rPr>
          <w:rFonts w:ascii="Verdana"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1B1190">
        <w:rPr>
          <w:rFonts w:ascii="Verdana" w:hAnsi="Verdana" w:cs="Arial"/>
          <w:i/>
          <w:iCs/>
          <w:lang w:val="es-ES" w:eastAsia="es-ES"/>
        </w:rPr>
        <w:t>costos directos</w:t>
      </w:r>
      <w:r w:rsidRPr="001B1190">
        <w:rPr>
          <w:rFonts w:ascii="Verdana" w:hAnsi="Verdana" w:cs="Arial"/>
          <w:lang w:val="es-ES" w:eastAsia="es-ES"/>
        </w:rPr>
        <w:t xml:space="preserve"> se evidencian en el análisis de precios unitarios –APU–, como la sumatoria de los valores de los </w:t>
      </w:r>
      <w:r w:rsidRPr="001B1190">
        <w:rPr>
          <w:rFonts w:ascii="Verdana" w:hAnsi="Verdana" w:cs="Arial"/>
          <w:i/>
          <w:iCs/>
          <w:lang w:val="es-ES" w:eastAsia="es-ES"/>
        </w:rPr>
        <w:t>ítems</w:t>
      </w:r>
      <w:r w:rsidRPr="001B1190">
        <w:rPr>
          <w:rFonts w:ascii="Verdana" w:hAnsi="Verdana" w:cs="Arial"/>
          <w:lang w:val="es-ES" w:eastAsia="es-ES"/>
        </w:rPr>
        <w:t xml:space="preserve"> según su unidad de medida, los </w:t>
      </w:r>
      <w:r w:rsidRPr="001B1190">
        <w:rPr>
          <w:rFonts w:ascii="Verdana" w:hAnsi="Verdana" w:cs="Arial"/>
          <w:i/>
          <w:iCs/>
          <w:lang w:val="es-ES" w:eastAsia="es-ES"/>
        </w:rPr>
        <w:t>costos indirectos</w:t>
      </w:r>
      <w:r w:rsidRPr="001B1190">
        <w:rPr>
          <w:rFonts w:ascii="Verdana" w:hAnsi="Verdana" w:cs="Arial"/>
          <w:lang w:val="es-ES" w:eastAsia="es-ES"/>
        </w:rPr>
        <w:t xml:space="preserve"> se suelen abreviar en las variables que integran el acrónimo AIU –Administración, Imprevistos y Utilidad–. </w:t>
      </w:r>
    </w:p>
    <w:p w14:paraId="2503CEC1" w14:textId="77777777" w:rsidR="0076150C" w:rsidRDefault="0076150C" w:rsidP="00EF6A41">
      <w:pPr>
        <w:spacing w:after="120" w:line="276" w:lineRule="auto"/>
        <w:ind w:firstLine="709"/>
        <w:jc w:val="both"/>
        <w:rPr>
          <w:rFonts w:ascii="Verdana" w:hAnsi="Verdana" w:cs="Arial"/>
          <w:bCs/>
          <w:szCs w:val="24"/>
          <w:lang w:val="es-ES_tradnl" w:eastAsia="es-ES_tradnl"/>
        </w:rPr>
      </w:pPr>
      <w:r w:rsidRPr="001B1190">
        <w:rPr>
          <w:rFonts w:ascii="Verdana" w:hAnsi="Verdana" w:cs="Arial"/>
          <w:bCs/>
          <w:szCs w:val="24"/>
          <w:lang w:val="es-ES_tradnl" w:eastAsia="es-ES_tradnl"/>
        </w:rPr>
        <w:t xml:space="preserve">Así pues, el sistema de precios unitarios –como metodología de estipulación del valor contractual– no es un aspecto regulado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w:t>
      </w:r>
      <w:r w:rsidRPr="001B1190">
        <w:rPr>
          <w:rFonts w:ascii="Verdana" w:hAnsi="Verdana" w:cs="Arial"/>
          <w:bCs/>
          <w:szCs w:val="24"/>
          <w:lang w:val="es-ES_tradnl" w:eastAsia="es-ES_tradnl"/>
        </w:rPr>
        <w:lastRenderedPageBreak/>
        <w:t>estos comentarios es que la necesidad de presentar una propuesta desglosando en forma intensa su precio no procede de la ley, ni del reglamento, sino de la costumbre, […]”</w:t>
      </w:r>
      <w:r w:rsidRPr="001B1190">
        <w:rPr>
          <w:rFonts w:ascii="Verdana" w:hAnsi="Verdana" w:cs="Arial"/>
          <w:bCs/>
          <w:szCs w:val="24"/>
          <w:vertAlign w:val="superscript"/>
          <w:lang w:val="es-ES_tradnl" w:eastAsia="es-ES_tradnl"/>
        </w:rPr>
        <w:footnoteReference w:id="28"/>
      </w:r>
      <w:r w:rsidRPr="001B1190">
        <w:rPr>
          <w:rFonts w:ascii="Verdana" w:hAnsi="Verdana" w:cs="Arial"/>
          <w:bCs/>
          <w:szCs w:val="24"/>
          <w:lang w:val="es-ES_tradnl" w:eastAsia="es-ES_tradnl"/>
        </w:rPr>
        <w:t xml:space="preserve">. </w:t>
      </w:r>
    </w:p>
    <w:p w14:paraId="3B6FCB2E" w14:textId="77777777" w:rsidR="0076150C" w:rsidRDefault="0076150C" w:rsidP="00EF6A41">
      <w:pPr>
        <w:spacing w:after="120" w:line="276" w:lineRule="auto"/>
        <w:ind w:firstLine="709"/>
        <w:jc w:val="both"/>
        <w:rPr>
          <w:rFonts w:ascii="Verdana" w:hAnsi="Verdana" w:cs="Arial"/>
          <w:lang w:eastAsia="es-ES"/>
        </w:rPr>
      </w:pPr>
      <w:r w:rsidRPr="001B1190">
        <w:rPr>
          <w:rFonts w:ascii="Verdana" w:hAnsi="Verdana" w:cs="Arial"/>
          <w:bCs/>
          <w:szCs w:val="24"/>
          <w:lang w:val="es-ES_tradnl" w:eastAsia="es-ES_tradnl"/>
        </w:rPr>
        <w:t xml:space="preserve">De este modo, </w:t>
      </w:r>
      <w:r w:rsidRPr="001B1190">
        <w:rPr>
          <w:rFonts w:ascii="Verdana" w:hAnsi="Verdana" w:cs="Arial"/>
          <w:lang w:eastAsia="es-ES"/>
        </w:rPr>
        <w:t>los precios unitarios, como metodología de pacto del precio que proviene de la costumbre mercantil, se pueden utilizar en principio en cualquier tipología contractual, aunque lo más común es que se use en los contratos de tracto sucesivo, especialmente en los que se distinguen los precios unitarios, independientemente de la modalidad de contratación que se emplee.</w:t>
      </w:r>
      <w:r w:rsidRPr="001B1190">
        <w:rPr>
          <w:rFonts w:ascii="Verdana" w:hAnsi="Verdana" w:cs="Arial"/>
          <w:bCs/>
          <w:szCs w:val="24"/>
          <w:lang w:val="es-ES_tradnl" w:eastAsia="es-ES_tradnl"/>
        </w:rPr>
        <w:t xml:space="preserve"> </w:t>
      </w:r>
      <w:r w:rsidRPr="001B1190">
        <w:rPr>
          <w:rFonts w:ascii="Verdana" w:hAnsi="Verdana" w:cs="Arial"/>
          <w:lang w:eastAsia="es-ES"/>
        </w:rPr>
        <w:t xml:space="preserve">La determinación de este sistema de estipulación del valor debe ser el resultado de los estudios previos, y especialmente del análisis del sector. Solo a partir de tales estudios la entidad estatal podrá concluir si es oportuno y conveniente establecer que el precio del contrato y, por tanto, la propuesta del oferente se deberá establecer distinguiendo los costos directos respecto de los costos indirectos. </w:t>
      </w:r>
    </w:p>
    <w:p w14:paraId="051F3ED1" w14:textId="77777777" w:rsidR="0076150C" w:rsidRDefault="0076150C" w:rsidP="00EF6A41">
      <w:pPr>
        <w:spacing w:after="120" w:line="276" w:lineRule="auto"/>
        <w:ind w:firstLine="709"/>
        <w:jc w:val="both"/>
        <w:rPr>
          <w:rFonts w:ascii="Verdana" w:hAnsi="Verdana" w:cs="Arial"/>
          <w:lang w:eastAsia="es-ES"/>
        </w:rPr>
      </w:pPr>
      <w:r w:rsidRPr="001B1190">
        <w:rPr>
          <w:rFonts w:ascii="Verdana" w:hAnsi="Verdana" w:cs="Arial"/>
          <w:lang w:eastAsia="es-ES"/>
        </w:rPr>
        <w:t xml:space="preserve">En este contexto, en el marco de los procesos de contratación por mínima cuantía, las entidades gozan de autonomía para establecer la metodología que consideren más adecuada para determinar el precio o valor del contrato, siempre que esta se sustente en los estudios previos y en el análisis del sector, atendiendo a las particularidades del objeto a contratar, su naturaleza, las obligaciones y los demás aspectos de la contratación. Debido que en la mínima cuantía el único factor de escogencia es el menor precio, la metodología escogida por la entidad para definir el precio tiene una incidencia directa en la selección del contratista. </w:t>
      </w:r>
    </w:p>
    <w:p w14:paraId="5B1A409B" w14:textId="77777777" w:rsidR="0076150C" w:rsidRDefault="0076150C" w:rsidP="00EF6A41">
      <w:pPr>
        <w:spacing w:after="120" w:line="276" w:lineRule="auto"/>
        <w:ind w:firstLine="709"/>
        <w:jc w:val="both"/>
        <w:rPr>
          <w:rFonts w:ascii="Verdana" w:hAnsi="Verdana" w:cs="Arial"/>
          <w:lang w:eastAsia="es-ES"/>
        </w:rPr>
      </w:pPr>
      <w:r w:rsidRPr="001B1190">
        <w:rPr>
          <w:rFonts w:ascii="Verdana" w:hAnsi="Verdana" w:cs="Arial"/>
          <w:lang w:eastAsia="es-ES"/>
        </w:rPr>
        <w:t xml:space="preserve">En consecuencia, la forma en que se estructure el valor del contrato determina directamente la manera en que serán evaluadas las ofertas económicas, lo que implica que no existe una única metodología para dicha evaluación. Si bien el menor precio es el único factor de selección permitido en la mínima cuantía, la manera en que este se analiza puede variar según el esquema adoptado por la entidad. Por ejemplo, si se opta por un precio global para el bien, obra o servicio a contratar, la evaluación se realizará en relación con el menor valor global ofertado. En cambio, si se establecen precios unitarios como base para determinar el valor del contrato, la entidad podrá definir que la selección se realice con base en la sumatoria total de dichos precios unitarios ofrecidos, lo que impone una revisión de cada precio unitario para determinar la </w:t>
      </w:r>
      <w:r w:rsidRPr="001B1190">
        <w:rPr>
          <w:rFonts w:ascii="Verdana" w:hAnsi="Verdana" w:cs="Arial"/>
          <w:lang w:eastAsia="es-ES"/>
        </w:rPr>
        <w:lastRenderedPageBreak/>
        <w:t xml:space="preserve">oferta de menor valor. Alternativamente, la entidad podría adoptar un mecanismo basado en un porcentaje de descuento aplicado sobre precios unitarios previamente definidos, siempre que esta metodología conduzca a la selección de la propuesta de menor valor y que el mayor porcentaje de descuento refleje un menor precio final. </w:t>
      </w:r>
    </w:p>
    <w:p w14:paraId="7D692BCC" w14:textId="77777777" w:rsidR="0076150C" w:rsidRDefault="0076150C" w:rsidP="00EF6A41">
      <w:pPr>
        <w:spacing w:after="120" w:line="276" w:lineRule="auto"/>
        <w:ind w:firstLine="709"/>
        <w:jc w:val="both"/>
        <w:rPr>
          <w:rFonts w:ascii="Verdana" w:hAnsi="Verdana" w:cs="Arial"/>
          <w:lang w:eastAsia="es-ES"/>
        </w:rPr>
      </w:pPr>
      <w:r w:rsidRPr="001B1190">
        <w:rPr>
          <w:rFonts w:ascii="Verdana" w:hAnsi="Verdana" w:cs="Arial"/>
          <w:lang w:eastAsia="es-ES"/>
        </w:rPr>
        <w:t xml:space="preserve">Al respecto, la Guía sobre el Uso del </w:t>
      </w:r>
      <w:proofErr w:type="spellStart"/>
      <w:r w:rsidRPr="001B1190">
        <w:rPr>
          <w:rFonts w:ascii="Verdana" w:hAnsi="Verdana" w:cs="Arial"/>
          <w:lang w:eastAsia="es-ES"/>
        </w:rPr>
        <w:t>Secop</w:t>
      </w:r>
      <w:proofErr w:type="spellEnd"/>
      <w:r w:rsidRPr="001B1190">
        <w:rPr>
          <w:rFonts w:ascii="Verdana" w:hAnsi="Verdana" w:cs="Arial"/>
          <w:lang w:eastAsia="es-ES"/>
        </w:rPr>
        <w:t xml:space="preserve"> II – Modalidades de Contratación: Mínima cuantía, en el numeral 3 referente a la edición en los procesos de contratación señala que “Si el proceso de contratación está determinado por el presupuesto oficial, y la oferta económica es por precios unitarios o porcentajes de descuento (procesos por bolsa o a monto agotable), la Entidad Estatal puede solicitar la información de la oferta económica configurando una única pregunta tipo  “Lista de precios” por el valor total a adjudicar, especificando si los proveedores deben diligenciar un formato adicional”</w:t>
      </w:r>
      <w:r w:rsidRPr="001B1190">
        <w:rPr>
          <w:rFonts w:ascii="Verdana" w:hAnsi="Verdana" w:cs="Arial"/>
          <w:vertAlign w:val="superscript"/>
          <w:lang w:eastAsia="es-ES"/>
        </w:rPr>
        <w:footnoteReference w:id="29"/>
      </w:r>
      <w:r w:rsidRPr="001B1190">
        <w:rPr>
          <w:rFonts w:ascii="Verdana" w:hAnsi="Verdana" w:cs="Arial"/>
          <w:lang w:eastAsia="es-ES"/>
        </w:rPr>
        <w:t xml:space="preserve">. Como se evidencia, la posibilidad de establecer una metodología de evaluación de la oferta económica basada en porcentaje de descuento, también se encuentra validada en la plataforma del </w:t>
      </w:r>
      <w:proofErr w:type="spellStart"/>
      <w:r w:rsidRPr="001B1190">
        <w:rPr>
          <w:rFonts w:ascii="Verdana" w:hAnsi="Verdana" w:cs="Arial"/>
          <w:lang w:eastAsia="es-ES"/>
        </w:rPr>
        <w:t>Secop</w:t>
      </w:r>
      <w:proofErr w:type="spellEnd"/>
      <w:r w:rsidRPr="001B1190">
        <w:rPr>
          <w:rFonts w:ascii="Verdana" w:hAnsi="Verdana" w:cs="Arial"/>
          <w:lang w:eastAsia="es-ES"/>
        </w:rPr>
        <w:t xml:space="preserve"> II en caso de que la entidad determine el uso de esta. </w:t>
      </w:r>
    </w:p>
    <w:p w14:paraId="22EA9BD0" w14:textId="77777777" w:rsidR="0076150C" w:rsidRDefault="0076150C" w:rsidP="00EF6A41">
      <w:pPr>
        <w:spacing w:after="120" w:line="276" w:lineRule="auto"/>
        <w:ind w:firstLine="709"/>
        <w:jc w:val="both"/>
        <w:rPr>
          <w:rFonts w:ascii="Verdana" w:hAnsi="Verdana" w:cs="Arial"/>
          <w:lang w:eastAsia="es-ES"/>
        </w:rPr>
      </w:pPr>
      <w:r w:rsidRPr="001B1190">
        <w:rPr>
          <w:rFonts w:ascii="Verdana" w:hAnsi="Verdana" w:cs="Arial"/>
          <w:lang w:eastAsia="es-ES"/>
        </w:rPr>
        <w:t>En cualquier caso, lo fundamental es que la entidad, en ejercicio de su autonomía, defina de forma clara y justificada con base en el análisis del sector la metodología a aplicar, asegurando que esta se alinee con el principio de selección objetiva y permita comparar efectivamente las ofertas con base en el menor precio, tal como lo exige la normativa aplicable a al proceso de mínima cuantía.</w:t>
      </w:r>
    </w:p>
    <w:p w14:paraId="5C021136" w14:textId="4FD6FFAB" w:rsidR="0076150C" w:rsidRPr="008E4F36" w:rsidRDefault="0076150C" w:rsidP="00603FD0">
      <w:pPr>
        <w:spacing w:after="120" w:line="276" w:lineRule="auto"/>
        <w:ind w:firstLine="709"/>
        <w:jc w:val="both"/>
        <w:rPr>
          <w:rFonts w:ascii="Verdana" w:hAnsi="Verdana" w:cs="Arial"/>
          <w:lang w:eastAsia="es-ES"/>
        </w:rPr>
      </w:pPr>
      <w:r w:rsidRPr="008E4F36">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65B336F" w14:textId="77777777" w:rsidR="0076150C" w:rsidRPr="008E4F36" w:rsidRDefault="0076150C" w:rsidP="0076150C">
      <w:pPr>
        <w:spacing w:after="0" w:line="276" w:lineRule="auto"/>
        <w:ind w:firstLine="708"/>
        <w:jc w:val="both"/>
        <w:rPr>
          <w:rFonts w:ascii="Verdana" w:eastAsia="Calibri" w:hAnsi="Verdana" w:cs="Arial"/>
          <w:bCs/>
          <w:color w:val="000000" w:themeColor="text1"/>
        </w:rPr>
      </w:pPr>
      <w:r w:rsidRPr="008E4F36">
        <w:rPr>
          <w:rFonts w:ascii="Verdana" w:eastAsia="Calibri" w:hAnsi="Verdana" w:cs="Arial"/>
          <w:bCs/>
          <w:color w:val="000000" w:themeColor="text1"/>
        </w:rPr>
        <w:lastRenderedPageBreak/>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04D98808" w14:textId="77777777" w:rsidR="008537A3" w:rsidRPr="008E4F36" w:rsidRDefault="008537A3" w:rsidP="0076150C">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082AA920" w14:textId="77777777" w:rsidR="0076150C" w:rsidRDefault="0076150C" w:rsidP="0076150C">
      <w:pPr>
        <w:spacing w:after="0" w:line="276" w:lineRule="auto"/>
        <w:rPr>
          <w:rFonts w:ascii="Verdana" w:eastAsia="Calibri" w:hAnsi="Verdana" w:cs="Times New Roman"/>
          <w:b/>
          <w:bCs/>
        </w:rPr>
      </w:pPr>
      <w:r w:rsidRPr="008E4F36">
        <w:rPr>
          <w:rFonts w:ascii="Verdana" w:eastAsia="Calibri" w:hAnsi="Verdana" w:cs="Times New Roman"/>
          <w:b/>
          <w:bCs/>
        </w:rPr>
        <w:t>4. Referencias normativas, jurisprudenciales y otras fuentes:</w:t>
      </w:r>
    </w:p>
    <w:p w14:paraId="67A6F4A8" w14:textId="77777777" w:rsidR="0076150C" w:rsidRPr="008E4F36" w:rsidRDefault="0076150C" w:rsidP="0076150C">
      <w:pPr>
        <w:widowControl w:val="0"/>
        <w:autoSpaceDE w:val="0"/>
        <w:autoSpaceDN w:val="0"/>
        <w:spacing w:after="0" w:line="276" w:lineRule="auto"/>
        <w:jc w:val="both"/>
        <w:rPr>
          <w:rFonts w:ascii="Verdana" w:hAnsi="Verdana" w:cs="Arial"/>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76150C" w:rsidRPr="008E4F36" w14:paraId="2B406D48" w14:textId="77777777" w:rsidTr="009B7485">
        <w:trPr>
          <w:trHeight w:val="477"/>
          <w:jc w:val="center"/>
        </w:trPr>
        <w:tc>
          <w:tcPr>
            <w:tcW w:w="8784" w:type="dxa"/>
          </w:tcPr>
          <w:p w14:paraId="55294E1A" w14:textId="77777777" w:rsidR="009B7485" w:rsidRPr="00751BE3" w:rsidRDefault="009B7485" w:rsidP="009B7485">
            <w:pPr>
              <w:pStyle w:val="Prrafodelista"/>
              <w:widowControl w:val="0"/>
              <w:numPr>
                <w:ilvl w:val="0"/>
                <w:numId w:val="17"/>
              </w:numPr>
              <w:autoSpaceDE w:val="0"/>
              <w:autoSpaceDN w:val="0"/>
              <w:ind w:left="0" w:firstLine="0"/>
              <w:jc w:val="both"/>
              <w:rPr>
                <w:rFonts w:ascii="Verdana" w:hAnsi="Verdana" w:cs="Arial"/>
                <w:lang w:val="es-CO"/>
              </w:rPr>
            </w:pPr>
            <w:r w:rsidRPr="008E4F36">
              <w:rPr>
                <w:rFonts w:ascii="Verdana" w:eastAsia="Arial" w:hAnsi="Verdana" w:cs="Arial"/>
                <w:color w:val="000000"/>
              </w:rPr>
              <w:t>Ley 1882 de 2018</w:t>
            </w:r>
            <w:r>
              <w:rPr>
                <w:rFonts w:ascii="Verdana" w:eastAsia="Arial" w:hAnsi="Verdana" w:cs="Arial"/>
                <w:color w:val="000000"/>
              </w:rPr>
              <w:t>. Artículo 5.</w:t>
            </w:r>
          </w:p>
          <w:p w14:paraId="2CA62DA3" w14:textId="77777777" w:rsidR="009B7485" w:rsidRPr="00751BE3" w:rsidRDefault="009B7485" w:rsidP="009B7485">
            <w:pPr>
              <w:pStyle w:val="Prrafodelista"/>
              <w:ind w:left="0"/>
              <w:rPr>
                <w:rFonts w:ascii="Verdana" w:eastAsia="Arial" w:hAnsi="Verdana" w:cs="Arial"/>
                <w:color w:val="000000"/>
              </w:rPr>
            </w:pPr>
          </w:p>
          <w:p w14:paraId="7E319928" w14:textId="77777777" w:rsidR="009B7485" w:rsidRPr="00751BE3" w:rsidRDefault="009B7485" w:rsidP="009B7485">
            <w:pPr>
              <w:pStyle w:val="Prrafodelista"/>
              <w:widowControl w:val="0"/>
              <w:numPr>
                <w:ilvl w:val="0"/>
                <w:numId w:val="17"/>
              </w:numPr>
              <w:autoSpaceDE w:val="0"/>
              <w:autoSpaceDN w:val="0"/>
              <w:ind w:left="0" w:firstLine="0"/>
              <w:jc w:val="both"/>
              <w:rPr>
                <w:rFonts w:ascii="Verdana" w:hAnsi="Verdana" w:cs="Arial"/>
                <w:lang w:val="es-CO"/>
              </w:rPr>
            </w:pPr>
            <w:r>
              <w:rPr>
                <w:rFonts w:ascii="Verdana" w:eastAsia="Arial" w:hAnsi="Verdana" w:cs="Arial"/>
                <w:color w:val="000000"/>
              </w:rPr>
              <w:t xml:space="preserve">Ley 1437 de 2011. Artículo 270.  </w:t>
            </w:r>
          </w:p>
          <w:p w14:paraId="4FCD96A8" w14:textId="77777777" w:rsidR="009B7485" w:rsidRPr="008379FC" w:rsidRDefault="009B7485" w:rsidP="009B7485">
            <w:pPr>
              <w:rPr>
                <w:rFonts w:ascii="Verdana" w:hAnsi="Verdana" w:cs="Arial"/>
              </w:rPr>
            </w:pPr>
          </w:p>
          <w:p w14:paraId="1D198014" w14:textId="77777777" w:rsidR="009B7485" w:rsidRDefault="009B7485" w:rsidP="009B7485">
            <w:pPr>
              <w:pStyle w:val="Prrafodelista"/>
              <w:widowControl w:val="0"/>
              <w:numPr>
                <w:ilvl w:val="0"/>
                <w:numId w:val="17"/>
              </w:numPr>
              <w:autoSpaceDE w:val="0"/>
              <w:autoSpaceDN w:val="0"/>
              <w:ind w:left="0" w:firstLine="0"/>
              <w:jc w:val="both"/>
              <w:rPr>
                <w:rFonts w:ascii="Verdana" w:hAnsi="Verdana" w:cs="Arial"/>
                <w:lang w:val="es-CO"/>
              </w:rPr>
            </w:pPr>
            <w:r>
              <w:rPr>
                <w:rFonts w:ascii="Verdana" w:hAnsi="Verdana" w:cs="Arial"/>
                <w:lang w:val="es-CO"/>
              </w:rPr>
              <w:t xml:space="preserve">Ley 1474 de 2011. Artículo 94. </w:t>
            </w:r>
          </w:p>
          <w:p w14:paraId="765338F5" w14:textId="77777777" w:rsidR="009B7485" w:rsidRPr="0096272C" w:rsidRDefault="009B7485" w:rsidP="009B7485">
            <w:pPr>
              <w:pStyle w:val="Prrafodelista"/>
              <w:ind w:left="0"/>
              <w:rPr>
                <w:rFonts w:ascii="Verdana" w:hAnsi="Verdana" w:cs="Arial"/>
                <w:lang w:val="es-CO"/>
              </w:rPr>
            </w:pPr>
          </w:p>
          <w:p w14:paraId="71BD09F5" w14:textId="77777777" w:rsidR="009B7485" w:rsidRPr="009A330A" w:rsidRDefault="009B7485" w:rsidP="009B7485">
            <w:pPr>
              <w:pStyle w:val="Prrafodelista"/>
              <w:widowControl w:val="0"/>
              <w:numPr>
                <w:ilvl w:val="0"/>
                <w:numId w:val="17"/>
              </w:numPr>
              <w:autoSpaceDE w:val="0"/>
              <w:autoSpaceDN w:val="0"/>
              <w:ind w:left="0" w:firstLine="0"/>
              <w:jc w:val="both"/>
              <w:rPr>
                <w:rFonts w:ascii="Verdana" w:hAnsi="Verdana" w:cs="Arial"/>
                <w:lang w:val="es-CO"/>
              </w:rPr>
            </w:pPr>
            <w:r>
              <w:rPr>
                <w:rFonts w:ascii="Verdana" w:hAnsi="Verdana" w:cs="Arial"/>
                <w:lang w:val="es-CO"/>
              </w:rPr>
              <w:t xml:space="preserve">Decreto 1082 de 2015. Artículos: </w:t>
            </w:r>
            <w:r w:rsidRPr="008E4F36">
              <w:rPr>
                <w:rFonts w:ascii="Verdana" w:eastAsia="Calibri" w:hAnsi="Verdana" w:cs="Arial"/>
              </w:rPr>
              <w:t>2.2.1.1.2.1.3</w:t>
            </w:r>
            <w:r>
              <w:rPr>
                <w:rFonts w:ascii="Verdana" w:eastAsia="Calibri" w:hAnsi="Verdana" w:cs="Arial"/>
              </w:rPr>
              <w:t xml:space="preserve">, </w:t>
            </w:r>
            <w:r w:rsidRPr="00F3358E">
              <w:rPr>
                <w:rFonts w:ascii="Verdana" w:eastAsia="Calibri" w:hAnsi="Verdana" w:cs="Arial"/>
              </w:rPr>
              <w:t>2.2.1.2.4.2.6</w:t>
            </w:r>
            <w:r>
              <w:rPr>
                <w:rFonts w:ascii="Verdana" w:eastAsia="Calibri" w:hAnsi="Verdana" w:cs="Arial"/>
              </w:rPr>
              <w:t xml:space="preserve">, </w:t>
            </w:r>
            <w:r w:rsidRPr="00B70DE8">
              <w:rPr>
                <w:rFonts w:ascii="Verdana" w:eastAsia="Calibri" w:hAnsi="Verdana" w:cs="Arial"/>
              </w:rPr>
              <w:t>2.2.1.2.4.2.17</w:t>
            </w:r>
            <w:r>
              <w:rPr>
                <w:rFonts w:ascii="Verdana" w:eastAsia="Calibri" w:hAnsi="Verdana" w:cs="Arial"/>
              </w:rPr>
              <w:t>,</w:t>
            </w:r>
            <w:r w:rsidRPr="00432AD3">
              <w:rPr>
                <w:rFonts w:ascii="Verdana" w:eastAsia="Calibri" w:hAnsi="Verdana" w:cs="Arial"/>
                <w:lang w:val="es-ES_tradnl"/>
              </w:rPr>
              <w:t xml:space="preserve"> </w:t>
            </w:r>
            <w:r w:rsidRPr="001B1190">
              <w:rPr>
                <w:rFonts w:ascii="Verdana" w:eastAsia="Calibri" w:hAnsi="Verdana" w:cs="Arial"/>
                <w:color w:val="000000"/>
                <w:lang w:eastAsia="es-MX"/>
              </w:rPr>
              <w:t>2.2.1.2.1.5.1</w:t>
            </w:r>
            <w:r>
              <w:rPr>
                <w:rFonts w:ascii="Verdana" w:eastAsia="Calibri" w:hAnsi="Verdana" w:cs="Arial"/>
                <w:color w:val="000000"/>
                <w:lang w:eastAsia="es-MX"/>
              </w:rPr>
              <w:t xml:space="preserve">, </w:t>
            </w:r>
            <w:r w:rsidRPr="0049142D">
              <w:rPr>
                <w:rFonts w:ascii="Verdana" w:eastAsia="Calibri" w:hAnsi="Verdana" w:cs="Arial"/>
              </w:rPr>
              <w:t>2.2.1.2.1.5.2</w:t>
            </w:r>
            <w:r>
              <w:rPr>
                <w:rFonts w:ascii="Verdana" w:eastAsia="Calibri" w:hAnsi="Verdana" w:cs="Arial"/>
              </w:rPr>
              <w:t xml:space="preserve">, </w:t>
            </w:r>
            <w:r w:rsidRPr="001B1190">
              <w:rPr>
                <w:rFonts w:ascii="Verdana" w:eastAsia="Calibri" w:hAnsi="Verdana" w:cs="Arial"/>
                <w:color w:val="000000"/>
                <w:lang w:eastAsia="es-MX"/>
              </w:rPr>
              <w:t>2.2.1.2.1.5.3</w:t>
            </w:r>
            <w:r>
              <w:rPr>
                <w:rFonts w:ascii="Verdana" w:eastAsia="Calibri" w:hAnsi="Verdana" w:cs="Arial"/>
                <w:color w:val="000000"/>
                <w:lang w:eastAsia="es-MX"/>
              </w:rPr>
              <w:t xml:space="preserve">, </w:t>
            </w:r>
            <w:r w:rsidRPr="001B1190">
              <w:rPr>
                <w:rFonts w:ascii="Verdana" w:eastAsia="Calibri" w:hAnsi="Verdana" w:cs="Arial"/>
                <w:color w:val="000000"/>
                <w:lang w:eastAsia="es-MX"/>
              </w:rPr>
              <w:t>2.2.1.2.1.5.4</w:t>
            </w:r>
            <w:r>
              <w:rPr>
                <w:rFonts w:ascii="Verdana" w:eastAsia="Calibri" w:hAnsi="Verdana" w:cs="Arial"/>
                <w:color w:val="000000"/>
                <w:lang w:eastAsia="es-MX"/>
              </w:rPr>
              <w:t xml:space="preserve">, </w:t>
            </w:r>
            <w:r w:rsidRPr="001B1190">
              <w:rPr>
                <w:rFonts w:ascii="Verdana" w:eastAsia="Calibri" w:hAnsi="Verdana" w:cs="Arial"/>
                <w:color w:val="000000"/>
                <w:lang w:eastAsia="es-MX"/>
              </w:rPr>
              <w:t>2.2.1.2.1.5.5</w:t>
            </w:r>
          </w:p>
          <w:p w14:paraId="7C33FF0D" w14:textId="77777777" w:rsidR="009B7485" w:rsidRPr="0096272C" w:rsidRDefault="009B7485" w:rsidP="009B7485">
            <w:pPr>
              <w:pStyle w:val="Prrafodelista"/>
              <w:widowControl w:val="0"/>
              <w:autoSpaceDE w:val="0"/>
              <w:autoSpaceDN w:val="0"/>
              <w:ind w:left="0"/>
              <w:jc w:val="both"/>
              <w:rPr>
                <w:rFonts w:ascii="Verdana" w:hAnsi="Verdana" w:cs="Arial"/>
                <w:lang w:val="es-CO"/>
              </w:rPr>
            </w:pPr>
          </w:p>
          <w:p w14:paraId="71CC8A15" w14:textId="77777777" w:rsidR="009B7485" w:rsidRDefault="009B7485" w:rsidP="009B7485">
            <w:pPr>
              <w:pStyle w:val="Prrafodelista"/>
              <w:widowControl w:val="0"/>
              <w:numPr>
                <w:ilvl w:val="0"/>
                <w:numId w:val="17"/>
              </w:numPr>
              <w:autoSpaceDE w:val="0"/>
              <w:autoSpaceDN w:val="0"/>
              <w:ind w:left="0" w:firstLine="0"/>
              <w:jc w:val="both"/>
              <w:rPr>
                <w:rFonts w:ascii="Verdana" w:hAnsi="Verdana" w:cs="Arial"/>
                <w:lang w:val="es-CO"/>
              </w:rPr>
            </w:pPr>
            <w:r w:rsidRPr="008E4F36">
              <w:rPr>
                <w:rFonts w:ascii="Verdana" w:eastAsia="Calibri" w:hAnsi="Verdana" w:cs="Arial"/>
              </w:rPr>
              <w:t>Decreto 1860 de 2021</w:t>
            </w:r>
            <w:r>
              <w:rPr>
                <w:rFonts w:ascii="Verdana" w:eastAsia="Calibri" w:hAnsi="Verdana" w:cs="Arial"/>
              </w:rPr>
              <w:t xml:space="preserve">. Artículo: 2.   </w:t>
            </w:r>
          </w:p>
          <w:p w14:paraId="4EDA4B47" w14:textId="77777777" w:rsidR="009B7485" w:rsidRDefault="009B7485" w:rsidP="009B7485">
            <w:pPr>
              <w:pStyle w:val="Prrafodelista"/>
              <w:widowControl w:val="0"/>
              <w:autoSpaceDE w:val="0"/>
              <w:autoSpaceDN w:val="0"/>
              <w:ind w:left="0"/>
              <w:jc w:val="both"/>
              <w:rPr>
                <w:rFonts w:ascii="Verdana" w:hAnsi="Verdana" w:cs="Arial"/>
                <w:lang w:val="es-CO"/>
              </w:rPr>
            </w:pPr>
          </w:p>
          <w:p w14:paraId="2786C22E" w14:textId="77777777" w:rsidR="009B7485" w:rsidRDefault="009B7485" w:rsidP="009B7485">
            <w:pPr>
              <w:pStyle w:val="Prrafodelista"/>
              <w:widowControl w:val="0"/>
              <w:numPr>
                <w:ilvl w:val="0"/>
                <w:numId w:val="17"/>
              </w:numPr>
              <w:autoSpaceDE w:val="0"/>
              <w:autoSpaceDN w:val="0"/>
              <w:ind w:left="0" w:firstLine="0"/>
              <w:jc w:val="both"/>
              <w:rPr>
                <w:rFonts w:ascii="Verdana" w:hAnsi="Verdana" w:cs="Arial"/>
                <w:lang w:val="es-CO"/>
              </w:rPr>
            </w:pPr>
            <w:r w:rsidRPr="009A330A">
              <w:rPr>
                <w:rFonts w:ascii="Verdana" w:hAnsi="Verdana" w:cs="Arial"/>
                <w:lang w:val="es-CO"/>
              </w:rPr>
              <w:t xml:space="preserve">Consejo de Estado. Sala de lo Contencioso Administrativo. Sección Tercera. Sentencia de 30 de noviembre de 2006. </w:t>
            </w:r>
            <w:proofErr w:type="spellStart"/>
            <w:r w:rsidRPr="009A330A">
              <w:rPr>
                <w:rFonts w:ascii="Verdana" w:hAnsi="Verdana" w:cs="Arial"/>
                <w:lang w:val="es-CO"/>
              </w:rPr>
              <w:t>Exp</w:t>
            </w:r>
            <w:proofErr w:type="spellEnd"/>
            <w:r w:rsidRPr="009A330A">
              <w:rPr>
                <w:rFonts w:ascii="Verdana" w:hAnsi="Verdana" w:cs="Arial"/>
                <w:lang w:val="es-CO"/>
              </w:rPr>
              <w:t>. 18.059. M.P. Alier Hernández Enríquez.</w:t>
            </w:r>
          </w:p>
          <w:p w14:paraId="77D41AF3" w14:textId="77777777" w:rsidR="009B7485" w:rsidRPr="009A330A" w:rsidRDefault="009B7485" w:rsidP="009B7485">
            <w:pPr>
              <w:pStyle w:val="Prrafodelista"/>
              <w:ind w:left="0"/>
              <w:rPr>
                <w:rFonts w:ascii="Verdana" w:hAnsi="Verdana" w:cs="Arial"/>
                <w:lang w:val="es-CO"/>
              </w:rPr>
            </w:pPr>
          </w:p>
          <w:p w14:paraId="1F1ADDFB" w14:textId="77777777" w:rsidR="009B7485" w:rsidRDefault="009B7485" w:rsidP="009B7485">
            <w:pPr>
              <w:pStyle w:val="Prrafodelista"/>
              <w:widowControl w:val="0"/>
              <w:numPr>
                <w:ilvl w:val="0"/>
                <w:numId w:val="17"/>
              </w:numPr>
              <w:autoSpaceDE w:val="0"/>
              <w:autoSpaceDN w:val="0"/>
              <w:ind w:left="0" w:firstLine="0"/>
              <w:jc w:val="both"/>
              <w:rPr>
                <w:rFonts w:ascii="Verdana" w:hAnsi="Verdana" w:cs="Arial"/>
                <w:lang w:val="es-CO"/>
              </w:rPr>
            </w:pPr>
            <w:r w:rsidRPr="009A330A">
              <w:rPr>
                <w:rFonts w:ascii="Verdana" w:hAnsi="Verdana" w:cs="Arial"/>
                <w:lang w:val="es-CO"/>
              </w:rPr>
              <w:t>Consejo de Estado. Sala de lo Contencioso Administrativo. Sección Tercera. Subsección B. Sentencia del 29 de octubre de 2015. Expediente: 31.918. C.P: Stella Conto Díaz Del Castillo.</w:t>
            </w:r>
          </w:p>
          <w:p w14:paraId="64C2A9D8" w14:textId="77777777" w:rsidR="009B7485" w:rsidRPr="009A330A" w:rsidRDefault="009B7485" w:rsidP="009B7485">
            <w:pPr>
              <w:pStyle w:val="Prrafodelista"/>
              <w:ind w:left="0"/>
              <w:rPr>
                <w:rFonts w:ascii="Verdana" w:hAnsi="Verdana" w:cs="Arial"/>
                <w:lang w:val="es-CO"/>
              </w:rPr>
            </w:pPr>
          </w:p>
          <w:p w14:paraId="1AFA9E22" w14:textId="77777777" w:rsidR="009B7485" w:rsidRDefault="009B7485" w:rsidP="009B7485">
            <w:pPr>
              <w:pStyle w:val="Prrafodelista"/>
              <w:widowControl w:val="0"/>
              <w:numPr>
                <w:ilvl w:val="0"/>
                <w:numId w:val="17"/>
              </w:numPr>
              <w:autoSpaceDE w:val="0"/>
              <w:autoSpaceDN w:val="0"/>
              <w:ind w:left="0" w:firstLine="0"/>
              <w:jc w:val="both"/>
              <w:rPr>
                <w:rFonts w:ascii="Verdana" w:hAnsi="Verdana" w:cs="Arial"/>
                <w:lang w:val="es-CO"/>
              </w:rPr>
            </w:pPr>
            <w:r w:rsidRPr="009A330A">
              <w:rPr>
                <w:rFonts w:ascii="Verdana" w:hAnsi="Verdana" w:cs="Arial"/>
                <w:lang w:val="es-CO"/>
              </w:rPr>
              <w:t xml:space="preserve">Consejo de Estado. </w:t>
            </w:r>
            <w:r>
              <w:rPr>
                <w:rFonts w:ascii="Verdana" w:hAnsi="Verdana" w:cs="Arial"/>
                <w:lang w:val="es-CO"/>
              </w:rPr>
              <w:t xml:space="preserve">Sala de lo Contencioso Administrativo, </w:t>
            </w:r>
            <w:r w:rsidRPr="009A330A">
              <w:rPr>
                <w:rFonts w:ascii="Verdana" w:hAnsi="Verdana" w:cs="Arial"/>
                <w:lang w:val="es-CO"/>
              </w:rPr>
              <w:t xml:space="preserve">Sección Tercera. </w:t>
            </w:r>
            <w:r>
              <w:rPr>
                <w:rFonts w:ascii="Verdana" w:hAnsi="Verdana" w:cs="Arial"/>
                <w:lang w:val="es-CO"/>
              </w:rPr>
              <w:t xml:space="preserve">Subsección B. </w:t>
            </w:r>
            <w:r w:rsidRPr="009A330A">
              <w:rPr>
                <w:rFonts w:ascii="Verdana" w:hAnsi="Verdana" w:cs="Arial"/>
                <w:lang w:val="es-CO"/>
              </w:rPr>
              <w:t>Sentencia del 6 de diciembre de 2013. Consejera Ponente: Stella Conto Díaz Del Castillo. Expediente: 27.506.</w:t>
            </w:r>
          </w:p>
          <w:p w14:paraId="1B914FF3" w14:textId="77777777" w:rsidR="009B7485" w:rsidRPr="00751BE3" w:rsidRDefault="009B7485" w:rsidP="009B7485">
            <w:pPr>
              <w:pStyle w:val="Prrafodelista"/>
              <w:ind w:left="0"/>
              <w:rPr>
                <w:rFonts w:ascii="Verdana" w:hAnsi="Verdana" w:cs="Arial"/>
                <w:lang w:val="es-CO"/>
              </w:rPr>
            </w:pPr>
          </w:p>
          <w:p w14:paraId="30B4EFB3" w14:textId="77777777" w:rsidR="009B7485" w:rsidRDefault="009B7485" w:rsidP="009B7485">
            <w:pPr>
              <w:pStyle w:val="Prrafodelista"/>
              <w:widowControl w:val="0"/>
              <w:numPr>
                <w:ilvl w:val="0"/>
                <w:numId w:val="17"/>
              </w:numPr>
              <w:autoSpaceDE w:val="0"/>
              <w:autoSpaceDN w:val="0"/>
              <w:ind w:left="0" w:firstLine="0"/>
              <w:jc w:val="both"/>
              <w:rPr>
                <w:rFonts w:ascii="Verdana" w:hAnsi="Verdana" w:cs="Arial"/>
                <w:lang w:val="es-CO"/>
              </w:rPr>
            </w:pPr>
            <w:r w:rsidRPr="00751BE3">
              <w:rPr>
                <w:rFonts w:ascii="Verdana" w:hAnsi="Verdana" w:cs="Arial"/>
                <w:lang w:val="es-CO"/>
              </w:rPr>
              <w:t>Consejo de Estado. Sala de lo Contencioso Administrativo. Sección Tercera, Subsección C. Sentencia del 26 de febrero de 2014. C.P. Enrique Gil Botero, Rad. 1999-00113-01 (25.804).</w:t>
            </w:r>
          </w:p>
          <w:p w14:paraId="285C7860" w14:textId="77777777" w:rsidR="009B7485" w:rsidRPr="00751BE3" w:rsidRDefault="009B7485" w:rsidP="009B7485">
            <w:pPr>
              <w:pStyle w:val="Prrafodelista"/>
              <w:ind w:left="0"/>
              <w:rPr>
                <w:rFonts w:ascii="Verdana" w:hAnsi="Verdana" w:cs="Arial"/>
                <w:lang w:val="es-CO"/>
              </w:rPr>
            </w:pPr>
          </w:p>
          <w:p w14:paraId="7E82C640" w14:textId="77777777" w:rsidR="009B7485" w:rsidRPr="008379FC" w:rsidRDefault="009B7485" w:rsidP="009B7485">
            <w:pPr>
              <w:pStyle w:val="Prrafodelista"/>
              <w:widowControl w:val="0"/>
              <w:numPr>
                <w:ilvl w:val="0"/>
                <w:numId w:val="17"/>
              </w:numPr>
              <w:autoSpaceDE w:val="0"/>
              <w:autoSpaceDN w:val="0"/>
              <w:ind w:left="0" w:firstLine="0"/>
              <w:jc w:val="both"/>
              <w:rPr>
                <w:rFonts w:ascii="Verdana" w:hAnsi="Verdana" w:cs="Arial"/>
                <w:lang w:val="es-CO"/>
              </w:rPr>
            </w:pPr>
            <w:r w:rsidRPr="00751BE3">
              <w:rPr>
                <w:rFonts w:ascii="Verdana" w:hAnsi="Verdana" w:cs="Arial"/>
                <w:lang w:val="es-CO"/>
              </w:rPr>
              <w:t xml:space="preserve">Consejo de Estado. Sala de Consulta y Servicio Civil. Concepto del 20 </w:t>
            </w:r>
            <w:r w:rsidRPr="00751BE3">
              <w:rPr>
                <w:rFonts w:ascii="Verdana" w:hAnsi="Verdana" w:cs="Arial"/>
                <w:lang w:val="es-CO"/>
              </w:rPr>
              <w:lastRenderedPageBreak/>
              <w:t>de mayo de 2010. No. de Radicado: 11001-03-06-000-2010-00034-00(1992). C.P. Enrique José Arboleda Perdomo.</w:t>
            </w:r>
          </w:p>
          <w:p w14:paraId="79FC7B1C" w14:textId="77777777" w:rsidR="009B7485" w:rsidRPr="009A330A" w:rsidRDefault="009B7485" w:rsidP="009B7485">
            <w:pPr>
              <w:pStyle w:val="Prrafodelista"/>
              <w:ind w:left="0"/>
              <w:rPr>
                <w:rFonts w:ascii="Verdana" w:hAnsi="Verdana" w:cs="Arial"/>
                <w:lang w:val="es-CO"/>
              </w:rPr>
            </w:pPr>
          </w:p>
          <w:p w14:paraId="660BD6BB" w14:textId="77777777" w:rsidR="009B7485" w:rsidRDefault="009B7485" w:rsidP="009B7485">
            <w:pPr>
              <w:pStyle w:val="Prrafodelista"/>
              <w:widowControl w:val="0"/>
              <w:numPr>
                <w:ilvl w:val="0"/>
                <w:numId w:val="17"/>
              </w:numPr>
              <w:autoSpaceDE w:val="0"/>
              <w:autoSpaceDN w:val="0"/>
              <w:ind w:left="0" w:firstLine="0"/>
              <w:jc w:val="both"/>
              <w:rPr>
                <w:rFonts w:ascii="Verdana" w:hAnsi="Verdana" w:cs="Arial"/>
                <w:lang w:val="es-CO"/>
              </w:rPr>
            </w:pPr>
            <w:r w:rsidRPr="009A330A">
              <w:rPr>
                <w:rFonts w:ascii="Verdana" w:hAnsi="Verdana" w:cs="Arial"/>
                <w:lang w:val="es-CO"/>
              </w:rPr>
              <w:t>Corte Constitucional. Sentencia T-684A del 14 de septiembre de 2011. M.P: Mauricio González Cuervo.</w:t>
            </w:r>
          </w:p>
          <w:p w14:paraId="6F39C3FC" w14:textId="77777777" w:rsidR="009B7485" w:rsidRPr="003703F2" w:rsidRDefault="009B7485" w:rsidP="009B7485">
            <w:pPr>
              <w:pStyle w:val="Prrafodelista"/>
              <w:ind w:left="0"/>
              <w:rPr>
                <w:rFonts w:ascii="Verdana" w:hAnsi="Verdana" w:cs="Arial"/>
                <w:lang w:val="es-CO"/>
              </w:rPr>
            </w:pPr>
          </w:p>
          <w:p w14:paraId="162084A6" w14:textId="77777777" w:rsidR="009B7485" w:rsidRPr="003703F2" w:rsidRDefault="009B7485" w:rsidP="009B7485">
            <w:pPr>
              <w:pStyle w:val="Prrafodelista"/>
              <w:widowControl w:val="0"/>
              <w:numPr>
                <w:ilvl w:val="0"/>
                <w:numId w:val="17"/>
              </w:numPr>
              <w:autoSpaceDE w:val="0"/>
              <w:autoSpaceDN w:val="0"/>
              <w:ind w:left="0" w:firstLine="0"/>
              <w:jc w:val="both"/>
              <w:rPr>
                <w:rFonts w:ascii="Verdana" w:hAnsi="Verdana" w:cs="Arial"/>
                <w:lang w:val="it-CH"/>
              </w:rPr>
            </w:pPr>
            <w:r w:rsidRPr="003703F2">
              <w:rPr>
                <w:rFonts w:ascii="Verdana" w:hAnsi="Verdana" w:cs="Arial"/>
                <w:lang w:val="it-CH"/>
              </w:rPr>
              <w:t>Corte Consitutcional. Sentencia T-003 de 2018. Magistrada Ponente: Cristina Pardo Schlesinger.</w:t>
            </w:r>
          </w:p>
          <w:p w14:paraId="788D8F92" w14:textId="77777777" w:rsidR="009B7485" w:rsidRPr="003703F2" w:rsidRDefault="009B7485" w:rsidP="009B7485">
            <w:pPr>
              <w:pStyle w:val="Prrafodelista"/>
              <w:widowControl w:val="0"/>
              <w:autoSpaceDE w:val="0"/>
              <w:autoSpaceDN w:val="0"/>
              <w:ind w:left="0"/>
              <w:jc w:val="both"/>
              <w:rPr>
                <w:rFonts w:ascii="Verdana" w:hAnsi="Verdana" w:cs="Arial"/>
                <w:lang w:val="it-CH"/>
              </w:rPr>
            </w:pPr>
          </w:p>
          <w:p w14:paraId="69C9C7E0" w14:textId="77777777" w:rsidR="009B7485" w:rsidRDefault="009B7485" w:rsidP="009B7485">
            <w:pPr>
              <w:pStyle w:val="Prrafodelista"/>
              <w:widowControl w:val="0"/>
              <w:numPr>
                <w:ilvl w:val="0"/>
                <w:numId w:val="17"/>
              </w:numPr>
              <w:autoSpaceDE w:val="0"/>
              <w:autoSpaceDN w:val="0"/>
              <w:ind w:left="0" w:firstLine="0"/>
              <w:jc w:val="both"/>
              <w:rPr>
                <w:rFonts w:ascii="Verdana" w:hAnsi="Verdana" w:cs="Arial"/>
                <w:lang w:val="es-CO"/>
              </w:rPr>
            </w:pPr>
            <w:r w:rsidRPr="009A330A">
              <w:rPr>
                <w:rFonts w:ascii="Verdana" w:hAnsi="Verdana" w:cs="Arial"/>
                <w:lang w:val="es-CO"/>
              </w:rPr>
              <w:t xml:space="preserve">OSPINA MENA, Jesús Marino. Régimen de la Contratación Estatal. Un salto a la contratación líquida. Bogotá: Ed. 1ª. </w:t>
            </w:r>
            <w:proofErr w:type="spellStart"/>
            <w:r w:rsidRPr="009A330A">
              <w:rPr>
                <w:rFonts w:ascii="Verdana" w:hAnsi="Verdana" w:cs="Arial"/>
                <w:lang w:val="es-CO"/>
              </w:rPr>
              <w:t>Diké</w:t>
            </w:r>
            <w:proofErr w:type="spellEnd"/>
            <w:r w:rsidRPr="009A330A">
              <w:rPr>
                <w:rFonts w:ascii="Verdana" w:hAnsi="Verdana" w:cs="Arial"/>
                <w:lang w:val="es-CO"/>
              </w:rPr>
              <w:t>, 2020. p. 383.</w:t>
            </w:r>
          </w:p>
          <w:p w14:paraId="7D05D5AE" w14:textId="77777777" w:rsidR="009B7485" w:rsidRPr="0049142D" w:rsidRDefault="009B7485" w:rsidP="009B7485">
            <w:pPr>
              <w:pStyle w:val="Prrafodelista"/>
              <w:ind w:left="0"/>
              <w:rPr>
                <w:rFonts w:ascii="Verdana" w:hAnsi="Verdana" w:cs="Arial"/>
                <w:lang w:val="es-CO"/>
              </w:rPr>
            </w:pPr>
          </w:p>
          <w:p w14:paraId="63E37755" w14:textId="77777777" w:rsidR="009B7485" w:rsidRDefault="009B7485" w:rsidP="009B7485">
            <w:pPr>
              <w:pStyle w:val="Prrafodelista"/>
              <w:widowControl w:val="0"/>
              <w:numPr>
                <w:ilvl w:val="0"/>
                <w:numId w:val="17"/>
              </w:numPr>
              <w:autoSpaceDE w:val="0"/>
              <w:autoSpaceDN w:val="0"/>
              <w:ind w:left="0" w:firstLine="0"/>
              <w:jc w:val="both"/>
              <w:rPr>
                <w:rFonts w:ascii="Verdana" w:hAnsi="Verdana" w:cs="Arial"/>
                <w:lang w:val="es-CO"/>
              </w:rPr>
            </w:pPr>
            <w:r w:rsidRPr="0049142D">
              <w:rPr>
                <w:rFonts w:ascii="Verdana" w:hAnsi="Verdana" w:cs="Arial"/>
                <w:lang w:val="es-CO"/>
              </w:rPr>
              <w:t xml:space="preserve">BETTI, Emilio. La interpretación de la ley y los actos jurídicos. Santiago: Ediciones </w:t>
            </w:r>
            <w:proofErr w:type="spellStart"/>
            <w:r w:rsidRPr="0049142D">
              <w:rPr>
                <w:rFonts w:ascii="Verdana" w:hAnsi="Verdana" w:cs="Arial"/>
                <w:lang w:val="es-CO"/>
              </w:rPr>
              <w:t>Olejnik</w:t>
            </w:r>
            <w:proofErr w:type="spellEnd"/>
            <w:r w:rsidRPr="0049142D">
              <w:rPr>
                <w:rFonts w:ascii="Verdana" w:hAnsi="Verdana" w:cs="Arial"/>
                <w:lang w:val="es-CO"/>
              </w:rPr>
              <w:t>, 2018. p. 264</w:t>
            </w:r>
            <w:r>
              <w:rPr>
                <w:rFonts w:ascii="Verdana" w:hAnsi="Verdana" w:cs="Arial"/>
                <w:lang w:val="es-CO"/>
              </w:rPr>
              <w:t xml:space="preserve">. </w:t>
            </w:r>
          </w:p>
          <w:p w14:paraId="2865F34A" w14:textId="77777777" w:rsidR="009B7485" w:rsidRPr="001E2B0A" w:rsidRDefault="009B7485" w:rsidP="009B7485">
            <w:pPr>
              <w:pStyle w:val="Prrafodelista"/>
              <w:ind w:left="0"/>
              <w:rPr>
                <w:rFonts w:ascii="Verdana" w:hAnsi="Verdana" w:cs="Arial"/>
                <w:lang w:val="es-CO"/>
              </w:rPr>
            </w:pPr>
          </w:p>
          <w:p w14:paraId="6A331793" w14:textId="77777777" w:rsidR="009B7485" w:rsidRDefault="009B7485" w:rsidP="009B7485">
            <w:pPr>
              <w:pStyle w:val="Prrafodelista"/>
              <w:widowControl w:val="0"/>
              <w:numPr>
                <w:ilvl w:val="0"/>
                <w:numId w:val="17"/>
              </w:numPr>
              <w:autoSpaceDE w:val="0"/>
              <w:autoSpaceDN w:val="0"/>
              <w:ind w:left="0" w:firstLine="0"/>
              <w:jc w:val="both"/>
              <w:rPr>
                <w:rFonts w:ascii="Verdana" w:hAnsi="Verdana" w:cs="Arial"/>
                <w:lang w:val="es-CO"/>
              </w:rPr>
            </w:pPr>
            <w:r w:rsidRPr="001E2B0A">
              <w:rPr>
                <w:rFonts w:ascii="Verdana" w:hAnsi="Verdana" w:cs="Arial"/>
                <w:lang w:val="es-CO"/>
              </w:rPr>
              <w:t>DÁVILA VINUEZA, Luis Guillermo. Régimen jurídico de la contratación estatal. 3ª ed. Bogotá: Legis, 2016. p. 463.</w:t>
            </w:r>
          </w:p>
          <w:p w14:paraId="451C5D5C" w14:textId="77777777" w:rsidR="009B7485" w:rsidRPr="00D34839" w:rsidRDefault="009B7485" w:rsidP="009B7485">
            <w:pPr>
              <w:pStyle w:val="Prrafodelista"/>
              <w:ind w:left="0"/>
              <w:rPr>
                <w:rFonts w:ascii="Verdana" w:hAnsi="Verdana" w:cs="Arial"/>
                <w:lang w:val="es-CO"/>
              </w:rPr>
            </w:pPr>
          </w:p>
          <w:p w14:paraId="79BA2D76" w14:textId="77777777" w:rsidR="009B7485" w:rsidRDefault="009B7485" w:rsidP="009B7485">
            <w:pPr>
              <w:pStyle w:val="Prrafodelista"/>
              <w:widowControl w:val="0"/>
              <w:numPr>
                <w:ilvl w:val="0"/>
                <w:numId w:val="17"/>
              </w:numPr>
              <w:autoSpaceDE w:val="0"/>
              <w:autoSpaceDN w:val="0"/>
              <w:ind w:left="0" w:firstLine="0"/>
              <w:jc w:val="both"/>
              <w:rPr>
                <w:rFonts w:ascii="Verdana" w:hAnsi="Verdana" w:cs="Arial"/>
                <w:lang w:val="es-CO"/>
              </w:rPr>
            </w:pPr>
            <w:r w:rsidRPr="00D34839">
              <w:rPr>
                <w:rFonts w:ascii="Verdana" w:hAnsi="Verdana" w:cs="Arial"/>
                <w:lang w:val="es-CO"/>
              </w:rPr>
              <w:t>MARÍN CORTÉS, Fabián. El precio. Serie: Las cláusulas del contrato estatal. Medellín: Librería Jurídica Sánchez y Centro de Estudios de Derecho Administrativo –CEDA–, 2012. pp. 63-64.</w:t>
            </w:r>
          </w:p>
          <w:p w14:paraId="766EFFC0" w14:textId="77777777" w:rsidR="009B7485" w:rsidRPr="009B7485" w:rsidRDefault="009B7485" w:rsidP="009B7485">
            <w:pPr>
              <w:pStyle w:val="Prrafodelista"/>
              <w:rPr>
                <w:rFonts w:ascii="Verdana" w:hAnsi="Verdana" w:cs="Arial"/>
                <w:lang w:val="es-CO"/>
              </w:rPr>
            </w:pPr>
          </w:p>
          <w:p w14:paraId="7FA75281" w14:textId="565E4642" w:rsidR="009B7485" w:rsidRPr="009B7485" w:rsidRDefault="009B7485" w:rsidP="009B7485">
            <w:pPr>
              <w:pStyle w:val="Prrafodelista"/>
              <w:widowControl w:val="0"/>
              <w:numPr>
                <w:ilvl w:val="0"/>
                <w:numId w:val="17"/>
              </w:numPr>
              <w:autoSpaceDE w:val="0"/>
              <w:autoSpaceDN w:val="0"/>
              <w:ind w:left="0" w:firstLine="0"/>
              <w:jc w:val="both"/>
              <w:rPr>
                <w:rFonts w:ascii="Verdana" w:hAnsi="Verdana" w:cs="Arial"/>
                <w:lang w:val="es-CO"/>
              </w:rPr>
            </w:pPr>
            <w:r w:rsidRPr="009B7485">
              <w:rPr>
                <w:rFonts w:ascii="Verdana" w:hAnsi="Verdana" w:cs="Arial"/>
                <w:lang w:val="es-CO"/>
              </w:rPr>
              <w:t xml:space="preserve">Manual para el manejo de los incentivos en los procesos de </w:t>
            </w:r>
            <w:proofErr w:type="spellStart"/>
            <w:r w:rsidRPr="009B7485">
              <w:rPr>
                <w:rFonts w:ascii="Verdana" w:hAnsi="Verdana" w:cs="Arial"/>
                <w:lang w:val="es-CO"/>
              </w:rPr>
              <w:t>contratació</w:t>
            </w:r>
            <w:proofErr w:type="spellEnd"/>
            <w:r w:rsidRPr="009B7485">
              <w:rPr>
                <w:rFonts w:ascii="Verdana" w:eastAsia="Calibri" w:hAnsi="Verdana" w:cs="Arial"/>
              </w:rPr>
              <w:t xml:space="preserve">n en </w:t>
            </w:r>
            <w:hyperlink r:id="rId24" w:history="1">
              <w:r w:rsidRPr="009B7485">
                <w:rPr>
                  <w:rStyle w:val="Hipervnculo"/>
                  <w:rFonts w:ascii="Verdana" w:eastAsia="Calibri" w:hAnsi="Verdana" w:cs="Arial"/>
                  <w:lang w:val="es-CO"/>
                </w:rPr>
                <w:t>cce_manual_manejo_incentivos.pdf</w:t>
              </w:r>
            </w:hyperlink>
          </w:p>
          <w:p w14:paraId="5115285B" w14:textId="77777777" w:rsidR="009B7485" w:rsidRPr="00D34839" w:rsidRDefault="009B7485" w:rsidP="009B7485">
            <w:pPr>
              <w:pStyle w:val="Prrafodelista"/>
              <w:ind w:left="0"/>
              <w:rPr>
                <w:rFonts w:ascii="Verdana" w:hAnsi="Verdana" w:cs="Arial"/>
                <w:color w:val="000000"/>
                <w:lang w:val="es-ES_tradnl"/>
              </w:rPr>
            </w:pPr>
          </w:p>
          <w:p w14:paraId="751E6CCA" w14:textId="2ECAA308" w:rsidR="008537A3" w:rsidRPr="009B7485" w:rsidRDefault="009B7485" w:rsidP="009B7485">
            <w:pPr>
              <w:pStyle w:val="Prrafodelista"/>
              <w:widowControl w:val="0"/>
              <w:numPr>
                <w:ilvl w:val="0"/>
                <w:numId w:val="17"/>
              </w:numPr>
              <w:autoSpaceDE w:val="0"/>
              <w:autoSpaceDN w:val="0"/>
              <w:ind w:left="0" w:firstLine="0"/>
              <w:jc w:val="both"/>
              <w:rPr>
                <w:rFonts w:ascii="Verdana" w:hAnsi="Verdana" w:cs="Arial"/>
                <w:lang w:val="es-CO"/>
              </w:rPr>
            </w:pPr>
            <w:r w:rsidRPr="00D34839">
              <w:rPr>
                <w:rFonts w:ascii="Verdana" w:hAnsi="Verdana" w:cs="Arial"/>
                <w:color w:val="000000"/>
                <w:lang w:val="es-ES_tradnl"/>
              </w:rPr>
              <w:t>Manual de la Modalidad de Selección de Mínima Cuantía En:</w:t>
            </w:r>
            <w:r w:rsidRPr="00D34839">
              <w:rPr>
                <w:rFonts w:ascii="Verdana" w:hAnsi="Verdana"/>
              </w:rPr>
              <w:t xml:space="preserve"> </w:t>
            </w:r>
            <w:hyperlink r:id="rId25" w:history="1">
              <w:r w:rsidRPr="00D34839">
                <w:rPr>
                  <w:rStyle w:val="Hipervnculo"/>
                  <w:rFonts w:ascii="Verdana" w:hAnsi="Verdana"/>
                  <w:lang w:val="es-CO"/>
                </w:rPr>
                <w:t>manual_de_la_modalidad_de_seleccion_de_minima_cuantia.pdf</w:t>
              </w:r>
            </w:hyperlink>
            <w:r w:rsidRPr="00D34839">
              <w:rPr>
                <w:rFonts w:ascii="Verdana" w:hAnsi="Verdana"/>
                <w:lang w:val="es-CO"/>
              </w:rPr>
              <w:t xml:space="preserve"> </w:t>
            </w:r>
          </w:p>
        </w:tc>
      </w:tr>
    </w:tbl>
    <w:p w14:paraId="61AD2C36" w14:textId="77777777" w:rsidR="0076150C" w:rsidRPr="008E4F36" w:rsidRDefault="0076150C" w:rsidP="0076150C">
      <w:pPr>
        <w:spacing w:after="0" w:line="276" w:lineRule="auto"/>
        <w:ind w:right="709"/>
        <w:jc w:val="both"/>
        <w:rPr>
          <w:rFonts w:ascii="Verdana" w:hAnsi="Verdana" w:cs="Arial"/>
          <w:color w:val="000000" w:themeColor="text1"/>
        </w:rPr>
      </w:pPr>
    </w:p>
    <w:p w14:paraId="4B85F147" w14:textId="77777777" w:rsidR="0076150C" w:rsidRPr="008E4F36" w:rsidRDefault="0076150C" w:rsidP="0076150C">
      <w:pPr>
        <w:spacing w:after="0" w:line="276" w:lineRule="auto"/>
        <w:rPr>
          <w:rFonts w:ascii="Verdana" w:eastAsia="Calibri" w:hAnsi="Verdana" w:cs="Times New Roman"/>
          <w:b/>
          <w:bCs/>
        </w:rPr>
      </w:pPr>
      <w:r w:rsidRPr="008E4F36">
        <w:rPr>
          <w:rFonts w:ascii="Verdana" w:eastAsia="Calibri" w:hAnsi="Verdana" w:cs="Times New Roman"/>
          <w:b/>
          <w:bCs/>
        </w:rPr>
        <w:t>5. Doctrina de la Agencia Nacional de Contratación Pública:</w:t>
      </w:r>
    </w:p>
    <w:p w14:paraId="6C860C94" w14:textId="77777777" w:rsidR="0076150C" w:rsidRPr="008E4F36" w:rsidRDefault="0076150C" w:rsidP="0076150C">
      <w:pPr>
        <w:widowControl w:val="0"/>
        <w:autoSpaceDE w:val="0"/>
        <w:autoSpaceDN w:val="0"/>
        <w:spacing w:after="0" w:line="240" w:lineRule="auto"/>
        <w:jc w:val="both"/>
        <w:rPr>
          <w:rFonts w:ascii="Verdana" w:hAnsi="Verdana" w:cs="Arial"/>
          <w:bCs/>
          <w:shd w:val="clear" w:color="auto" w:fill="FFFFFF"/>
        </w:rPr>
      </w:pPr>
    </w:p>
    <w:p w14:paraId="6D9D7729" w14:textId="77777777" w:rsidR="0076150C" w:rsidRDefault="0076150C" w:rsidP="0076150C">
      <w:pPr>
        <w:widowControl w:val="0"/>
        <w:autoSpaceDE w:val="0"/>
        <w:autoSpaceDN w:val="0"/>
        <w:spacing w:after="0" w:line="276" w:lineRule="auto"/>
        <w:jc w:val="both"/>
        <w:rPr>
          <w:rFonts w:ascii="Verdana" w:hAnsi="Verdana" w:cs="Arial"/>
          <w:shd w:val="clear" w:color="auto" w:fill="FFFFFF"/>
        </w:rPr>
      </w:pPr>
      <w:r w:rsidRPr="00057688">
        <w:rPr>
          <w:rFonts w:ascii="Verdana" w:hAnsi="Verdana" w:cs="Arial"/>
          <w:shd w:val="clear" w:color="auto" w:fill="FFFFFF"/>
        </w:rPr>
        <w:t>Esta Subdirección se ha pronunciado sobre los factores de desempate en los Conceptos C-285 del 4 de mayo de 2020, C-481 del 27 de julio de 2020, C-514 y C-535 del 26 de agosto de 2020, C-556 del 31 de agosto de 2020</w:t>
      </w:r>
      <w:r>
        <w:rPr>
          <w:rFonts w:ascii="Verdana" w:hAnsi="Verdana" w:cs="Arial"/>
          <w:shd w:val="clear" w:color="auto" w:fill="FFFFFF"/>
        </w:rPr>
        <w:t>,</w:t>
      </w:r>
      <w:r w:rsidRPr="00057688">
        <w:rPr>
          <w:rFonts w:ascii="Verdana" w:hAnsi="Verdana" w:cs="Arial"/>
          <w:shd w:val="clear" w:color="auto" w:fill="FFFFFF"/>
        </w:rPr>
        <w:t xml:space="preserve"> C-031 del 26 de marzo de 2024. De igual manera, estudió los factores de desempate del artículo 35 de la Ley 2069 de 2020 en los conceptos: </w:t>
      </w:r>
      <w:r>
        <w:rPr>
          <w:rFonts w:ascii="Verdana" w:hAnsi="Verdana" w:cs="Arial"/>
          <w:shd w:val="clear" w:color="auto" w:fill="FFFFFF"/>
        </w:rPr>
        <w:t>C-026 del 4 de febrero de 2021, C-</w:t>
      </w:r>
      <w:r w:rsidRPr="00057688">
        <w:rPr>
          <w:rFonts w:ascii="Verdana" w:hAnsi="Verdana" w:cs="Arial"/>
          <w:shd w:val="clear" w:color="auto" w:fill="FFFFFF"/>
        </w:rPr>
        <w:t xml:space="preserve">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w:t>
      </w:r>
      <w:r w:rsidRPr="00057688">
        <w:rPr>
          <w:rFonts w:ascii="Verdana" w:hAnsi="Verdana" w:cs="Arial"/>
          <w:shd w:val="clear" w:color="auto" w:fill="FFFFFF"/>
        </w:rPr>
        <w:lastRenderedPageBreak/>
        <w:t>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C-295 del 9 de mayo de 2022</w:t>
      </w:r>
      <w:r>
        <w:rPr>
          <w:rFonts w:ascii="Verdana" w:hAnsi="Verdana" w:cs="Arial"/>
          <w:shd w:val="clear" w:color="auto" w:fill="FFFFFF"/>
        </w:rPr>
        <w:t xml:space="preserve">, C-734 del 28 de noviembre de 2024, </w:t>
      </w:r>
      <w:r w:rsidRPr="00057688">
        <w:rPr>
          <w:rFonts w:ascii="Verdana" w:hAnsi="Verdana" w:cs="Arial"/>
          <w:shd w:val="clear" w:color="auto" w:fill="FFFFFF"/>
        </w:rPr>
        <w:t>C-846 del 23 de diciembre de 2024</w:t>
      </w:r>
      <w:r>
        <w:rPr>
          <w:rFonts w:ascii="Verdana" w:hAnsi="Verdana" w:cs="Arial"/>
          <w:shd w:val="clear" w:color="auto" w:fill="FFFFFF"/>
        </w:rPr>
        <w:t xml:space="preserve">, C- 239 del 3 de abril de 2025, C-528 del 11 de junio de 2025, entre otros. </w:t>
      </w:r>
    </w:p>
    <w:p w14:paraId="4CF1413A" w14:textId="77777777" w:rsidR="0076150C" w:rsidRDefault="0076150C" w:rsidP="0076150C">
      <w:pPr>
        <w:widowControl w:val="0"/>
        <w:autoSpaceDE w:val="0"/>
        <w:autoSpaceDN w:val="0"/>
        <w:spacing w:after="0" w:line="240" w:lineRule="auto"/>
        <w:jc w:val="both"/>
        <w:rPr>
          <w:rFonts w:ascii="Verdana" w:hAnsi="Verdana" w:cs="Arial"/>
          <w:shd w:val="clear" w:color="auto" w:fill="FFFFFF"/>
        </w:rPr>
      </w:pPr>
    </w:p>
    <w:p w14:paraId="559A2EBD" w14:textId="77777777" w:rsidR="00DD787F" w:rsidRDefault="0076150C" w:rsidP="0076150C">
      <w:pPr>
        <w:widowControl w:val="0"/>
        <w:autoSpaceDE w:val="0"/>
        <w:autoSpaceDN w:val="0"/>
        <w:spacing w:after="0" w:line="276" w:lineRule="auto"/>
        <w:jc w:val="both"/>
        <w:rPr>
          <w:rStyle w:val="normaltextrun"/>
          <w:rFonts w:ascii="Verdana" w:hAnsi="Verdana" w:cs="Arial"/>
          <w:shd w:val="clear" w:color="auto" w:fill="FFFFFF"/>
          <w:lang w:val="es-ES"/>
        </w:rPr>
      </w:pPr>
      <w:r>
        <w:rPr>
          <w:rStyle w:val="normaltextrun"/>
          <w:rFonts w:ascii="Verdana" w:hAnsi="Verdana" w:cs="Arial"/>
          <w:shd w:val="clear" w:color="auto" w:fill="FFFFFF"/>
          <w:lang w:val="es-ES"/>
        </w:rPr>
        <w:t>S</w:t>
      </w:r>
      <w:r w:rsidRPr="001E2096">
        <w:rPr>
          <w:rStyle w:val="normaltextrun"/>
          <w:rFonts w:ascii="Verdana" w:hAnsi="Verdana" w:cs="Arial"/>
          <w:shd w:val="clear" w:color="auto" w:fill="FFFFFF"/>
          <w:lang w:val="es-ES"/>
        </w:rPr>
        <w:t xml:space="preserve">obre la regla de </w:t>
      </w:r>
      <w:proofErr w:type="spellStart"/>
      <w:r w:rsidRPr="001E2096">
        <w:rPr>
          <w:rStyle w:val="normaltextrun"/>
          <w:rFonts w:ascii="Verdana" w:hAnsi="Verdana" w:cs="Arial"/>
          <w:shd w:val="clear" w:color="auto" w:fill="FFFFFF"/>
          <w:lang w:val="es-ES"/>
        </w:rPr>
        <w:t>subsanabilidad</w:t>
      </w:r>
      <w:proofErr w:type="spellEnd"/>
      <w:r>
        <w:rPr>
          <w:rStyle w:val="normaltextrun"/>
          <w:rFonts w:ascii="Verdana" w:hAnsi="Verdana" w:cs="Arial"/>
          <w:shd w:val="clear" w:color="auto" w:fill="FFFFFF"/>
          <w:lang w:val="es-ES"/>
        </w:rPr>
        <w:t xml:space="preserve">, esta Subdirección se ha pronunciado en </w:t>
      </w:r>
      <w:r w:rsidRPr="001E2096">
        <w:rPr>
          <w:rStyle w:val="normaltextrun"/>
          <w:rFonts w:ascii="Verdana" w:hAnsi="Verdana" w:cs="Arial"/>
          <w:shd w:val="clear" w:color="auto" w:fill="FFFFFF"/>
          <w:lang w:val="es-ES"/>
        </w:rPr>
        <w:t>los Conceptos C-218 del 2 de abril de 2020, C-229 del 16 de abril de 2020, C-307 del 21 de mayo de 2020, C-396 del 16 de julio de 2020, C-410 del 26 de junio de 2020, C-429 del 24 de julio de 2020, C-481 del 27 de julio de 2020, C-548 del 21 de agosto de 2020, C-633 del 2 de octubre de 2020, C-634 del 21 de octubre de 2020, C-675 del 25 de noviembre de 2020, C-802 del 1° de febrero de 2021, C-010 del 16 de febrero de 2021, C-083 del 18 de marzo de 2021, C-090 del 23 de marzo de 2021, C-152 del 12 de abril de 2021, C-207 del 10 de mayo de 2021, C-217 del 14 de mayo de 2021, C-250 del 2 de junio de 2021, C-311 del 10 de junio de 2021, C-409 del 13 de agosto de 2021, C-424 del 27 de septiembre de 2021, C-477 del 6 de septiembre de 2021, C-485 del 13 de octubre de 2021, C-498 del 14 de septiembre de 2021, C-501 del 16 de agosto de 2021, C-521 del 24 de septiembre de 2021, C-565 del 11 de octubre de 2021, C-691 del 28 de diciembre de 2021, C-716 del 23 de enero de 2022, C-728 del 26 de enero de 2022, C-753 del 6 de febrero de 2022, C-114 del 22 de marzo de 2022, C-140 del 28 de marzo de 2022, C-162 del 5 de abril de 2022, C-285 del 20 de mayo de 2022, C-343 del 31 de mayo de 2022, C-381 del 15 de julio de 2022, C-416 del 30 de junio de 2022, C-431 del 7 de julio de 2022, C-434 del 8 de julio de 2022, C-542 del 23 de agosto de 2022, C-595 del 9 de septiembre de 2022, C-772 del 28 de noviembre de 2022, C-793 del 21 de noviembre de 2022, C-923 del 27 de diciembre de 2022, C-965 del 27 de enero de 2023, C-058 del 10 de mayo de 2023, C-082 del 19 de abril de 2023, C-216 del 6 de junio de 2023</w:t>
      </w:r>
      <w:r>
        <w:rPr>
          <w:rStyle w:val="normaltextrun"/>
          <w:rFonts w:ascii="Verdana" w:hAnsi="Verdana" w:cs="Arial"/>
          <w:shd w:val="clear" w:color="auto" w:fill="FFFFFF"/>
          <w:lang w:val="es-ES"/>
        </w:rPr>
        <w:t xml:space="preserve">, </w:t>
      </w:r>
      <w:r w:rsidRPr="001E2096">
        <w:rPr>
          <w:rStyle w:val="normaltextrun"/>
          <w:rFonts w:ascii="Verdana" w:hAnsi="Verdana" w:cs="Arial"/>
          <w:shd w:val="clear" w:color="auto" w:fill="FFFFFF"/>
          <w:lang w:val="es-ES"/>
        </w:rPr>
        <w:t>C-304 del 4 de julio de 2023</w:t>
      </w:r>
      <w:r>
        <w:rPr>
          <w:rStyle w:val="normaltextrun"/>
          <w:rFonts w:ascii="Verdana" w:hAnsi="Verdana" w:cs="Arial"/>
          <w:shd w:val="clear" w:color="auto" w:fill="FFFFFF"/>
          <w:lang w:val="es-ES"/>
        </w:rPr>
        <w:t xml:space="preserve">, C-734 del 28 de noviembre de 2024, C-051 del 21 de febrero de 2025, C- 560 del 15 de mayo de 2025, entre otros. </w:t>
      </w:r>
    </w:p>
    <w:p w14:paraId="29E67A3D" w14:textId="77777777" w:rsidR="00E5709B" w:rsidRDefault="00E5709B" w:rsidP="0076150C">
      <w:pPr>
        <w:widowControl w:val="0"/>
        <w:autoSpaceDE w:val="0"/>
        <w:autoSpaceDN w:val="0"/>
        <w:spacing w:after="0" w:line="276" w:lineRule="auto"/>
        <w:jc w:val="both"/>
        <w:rPr>
          <w:rStyle w:val="normaltextrun"/>
          <w:rFonts w:ascii="Verdana" w:hAnsi="Verdana" w:cs="Arial"/>
          <w:shd w:val="clear" w:color="auto" w:fill="FFFFFF"/>
          <w:lang w:val="es-ES"/>
        </w:rPr>
      </w:pPr>
    </w:p>
    <w:p w14:paraId="6A07FA70" w14:textId="54B11E5B" w:rsidR="0076150C" w:rsidRPr="009B7485" w:rsidRDefault="0076150C" w:rsidP="0076150C">
      <w:pPr>
        <w:widowControl w:val="0"/>
        <w:autoSpaceDE w:val="0"/>
        <w:autoSpaceDN w:val="0"/>
        <w:spacing w:after="0" w:line="276" w:lineRule="auto"/>
        <w:jc w:val="both"/>
        <w:rPr>
          <w:rFonts w:ascii="Verdana" w:hAnsi="Verdana" w:cs="Arial"/>
          <w:shd w:val="clear" w:color="auto" w:fill="FFFFFF"/>
          <w:lang w:val="es-ES"/>
        </w:rPr>
      </w:pPr>
      <w:r>
        <w:rPr>
          <w:rStyle w:val="normaltextrun"/>
          <w:rFonts w:ascii="Verdana" w:hAnsi="Verdana" w:cs="Arial"/>
          <w:shd w:val="clear" w:color="auto" w:fill="FFFFFF"/>
          <w:lang w:val="es-ES"/>
        </w:rPr>
        <w:t xml:space="preserve">Por último, respecto </w:t>
      </w:r>
      <w:r w:rsidRPr="001B1190">
        <w:rPr>
          <w:rFonts w:ascii="Verdana" w:eastAsia="Arial" w:hAnsi="Verdana" w:cs="Arial"/>
          <w:bCs/>
          <w:lang w:val="es-ES_tradnl" w:eastAsia="es-ES_tradnl"/>
        </w:rPr>
        <w:t>de la modalidad de selección de mínima cuantía</w:t>
      </w:r>
      <w:r>
        <w:rPr>
          <w:rFonts w:ascii="Verdana" w:eastAsia="Arial" w:hAnsi="Verdana" w:cs="Arial"/>
          <w:bCs/>
          <w:lang w:val="es-ES_tradnl" w:eastAsia="es-ES_tradnl"/>
        </w:rPr>
        <w:t xml:space="preserve">, la Subdirección de Gestión Contractual se ha pronunciado en los </w:t>
      </w:r>
      <w:r w:rsidRPr="001B1190">
        <w:rPr>
          <w:rFonts w:ascii="Verdana" w:eastAsia="Arial" w:hAnsi="Verdana" w:cs="Arial"/>
          <w:bCs/>
          <w:lang w:val="es-ES_tradnl" w:eastAsia="es-ES_tradnl"/>
        </w:rPr>
        <w:t xml:space="preserve">conceptos con radicado No. 2201913000006236 de 26 de agosto de 2019, C–108 del 3 de </w:t>
      </w:r>
      <w:r w:rsidRPr="001B1190">
        <w:rPr>
          <w:rFonts w:ascii="Verdana" w:eastAsia="Arial" w:hAnsi="Verdana" w:cs="Arial"/>
          <w:bCs/>
          <w:lang w:val="es-ES_tradnl" w:eastAsia="es-ES_tradnl"/>
        </w:rPr>
        <w:lastRenderedPageBreak/>
        <w:t>marzo de 2020, C–121 del 3 de marzo de 2020, C–122 del 25 de marzo de 2020 y C–160 del 3 de abril de 2020, C-465 del 27 de julio de 2020, C-557 del 21 de agosto de 2020, C-734 del 16 de diciembre de 2020</w:t>
      </w:r>
      <w:r>
        <w:rPr>
          <w:rFonts w:ascii="Verdana" w:eastAsia="Arial" w:hAnsi="Verdana" w:cs="Arial"/>
          <w:bCs/>
          <w:lang w:val="es-ES_tradnl" w:eastAsia="es-ES_tradnl"/>
        </w:rPr>
        <w:t xml:space="preserve">, </w:t>
      </w:r>
      <w:r w:rsidRPr="001B1190">
        <w:rPr>
          <w:rFonts w:ascii="Verdana" w:hAnsi="Verdana" w:cs="Arial"/>
          <w:shd w:val="clear" w:color="auto" w:fill="FFFFFF"/>
          <w:lang w:val="es-ES"/>
        </w:rPr>
        <w:t>C-416 del 13 de mayo de 2025</w:t>
      </w:r>
      <w:r>
        <w:rPr>
          <w:rFonts w:ascii="Verdana" w:hAnsi="Verdana" w:cs="Arial"/>
          <w:shd w:val="clear" w:color="auto" w:fill="FFFFFF"/>
          <w:lang w:val="es-ES"/>
        </w:rPr>
        <w:t xml:space="preserve">, C-579 del 24 de junio de 2025, entre </w:t>
      </w:r>
      <w:r w:rsidRPr="009A330A">
        <w:rPr>
          <w:rFonts w:ascii="Verdana" w:hAnsi="Verdana" w:cs="Arial"/>
          <w:shd w:val="clear" w:color="auto" w:fill="FFFFFF"/>
          <w:lang w:val="es-ES"/>
        </w:rPr>
        <w:t xml:space="preserve">otros. </w:t>
      </w:r>
      <w:r w:rsidRPr="009A330A">
        <w:rPr>
          <w:rFonts w:ascii="Verdana" w:eastAsia="Calibri" w:hAnsi="Verdana" w:cs="Times New Roman"/>
        </w:rPr>
        <w:t>Estos y otros conceptos</w:t>
      </w:r>
      <w:r w:rsidRPr="008E4F36">
        <w:rPr>
          <w:rFonts w:ascii="Verdana" w:eastAsia="Calibri" w:hAnsi="Verdana" w:cs="Times New Roman"/>
        </w:rPr>
        <w:t xml:space="preserve">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F1F8649" w14:textId="77777777" w:rsidR="0076150C" w:rsidRPr="008E4F36" w:rsidRDefault="0076150C" w:rsidP="0076150C">
      <w:pPr>
        <w:spacing w:after="0" w:line="256" w:lineRule="auto"/>
        <w:jc w:val="both"/>
        <w:rPr>
          <w:rFonts w:ascii="Verdana" w:eastAsia="Calibri" w:hAnsi="Verdana" w:cs="Times New Roman"/>
        </w:rPr>
      </w:pPr>
      <w:hyperlink r:id="rId26" w:history="1">
        <w:r w:rsidRPr="008E4F36">
          <w:rPr>
            <w:rStyle w:val="Hipervnculo"/>
            <w:rFonts w:ascii="Verdana" w:hAnsi="Verdana"/>
          </w:rPr>
          <w:t>https://www.colombiacompra.gov.co/normativa-y-relatoria/conoce-la-relatoria</w:t>
        </w:r>
      </w:hyperlink>
      <w:r w:rsidRPr="008E4F36">
        <w:rPr>
          <w:rFonts w:ascii="Verdana" w:hAnsi="Verdana"/>
        </w:rPr>
        <w:t xml:space="preserve"> </w:t>
      </w:r>
    </w:p>
    <w:p w14:paraId="076F7211" w14:textId="77777777" w:rsidR="0076150C" w:rsidRPr="008E4F36" w:rsidRDefault="0076150C" w:rsidP="0076150C">
      <w:pPr>
        <w:spacing w:after="0" w:line="256" w:lineRule="auto"/>
        <w:jc w:val="both"/>
        <w:rPr>
          <w:rFonts w:ascii="Verdana" w:eastAsia="Calibri" w:hAnsi="Verdana" w:cs="Times New Roman"/>
        </w:rPr>
      </w:pPr>
    </w:p>
    <w:p w14:paraId="5977BDF5" w14:textId="77777777" w:rsidR="0076150C" w:rsidRPr="008E4F36" w:rsidRDefault="0076150C" w:rsidP="0076150C">
      <w:pPr>
        <w:spacing w:after="0"/>
        <w:jc w:val="both"/>
        <w:rPr>
          <w:rFonts w:ascii="Verdana" w:hAnsi="Verdana"/>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1BF3A4A" w14:textId="77777777" w:rsidR="0076150C" w:rsidRPr="008E4F36" w:rsidRDefault="0076150C" w:rsidP="0076150C">
      <w:pPr>
        <w:spacing w:after="0"/>
        <w:jc w:val="both"/>
        <w:rPr>
          <w:rFonts w:ascii="Verdana" w:hAnsi="Verdana"/>
        </w:rPr>
      </w:pPr>
    </w:p>
    <w:p w14:paraId="002C245E" w14:textId="77777777" w:rsidR="0076150C" w:rsidRPr="008E4F36" w:rsidRDefault="0076150C" w:rsidP="0076150C">
      <w:pPr>
        <w:pStyle w:val="Prrafodelista"/>
        <w:numPr>
          <w:ilvl w:val="0"/>
          <w:numId w:val="15"/>
        </w:numPr>
        <w:spacing w:after="0" w:line="240" w:lineRule="auto"/>
        <w:jc w:val="both"/>
        <w:rPr>
          <w:rFonts w:ascii="Verdana" w:hAnsi="Verdana"/>
          <w:lang w:val="es-CO"/>
        </w:rPr>
      </w:pPr>
      <w:r w:rsidRPr="008E4F36">
        <w:rPr>
          <w:rFonts w:ascii="Verdana" w:hAnsi="Verdana"/>
          <w:lang w:val="es-CO"/>
        </w:rPr>
        <w:t>Línea nacional gratuita o servicio a la ciudadanía: 01800 0520808</w:t>
      </w:r>
    </w:p>
    <w:p w14:paraId="387BEAD0" w14:textId="77777777" w:rsidR="0076150C" w:rsidRPr="008E4F36" w:rsidRDefault="0076150C" w:rsidP="0076150C">
      <w:pPr>
        <w:pStyle w:val="Prrafodelista"/>
        <w:numPr>
          <w:ilvl w:val="0"/>
          <w:numId w:val="15"/>
        </w:numPr>
        <w:spacing w:after="0" w:line="240" w:lineRule="auto"/>
        <w:jc w:val="both"/>
        <w:rPr>
          <w:rFonts w:ascii="Verdana" w:hAnsi="Verdana"/>
          <w:lang w:val="es-CO"/>
        </w:rPr>
      </w:pPr>
      <w:r w:rsidRPr="008E4F36">
        <w:rPr>
          <w:rFonts w:ascii="Verdana" w:hAnsi="Verdana"/>
          <w:lang w:val="es-CO"/>
        </w:rPr>
        <w:t>Línea en Bogotá (Mesa de servicio): +57 601 7456788</w:t>
      </w:r>
    </w:p>
    <w:p w14:paraId="04EBFE0A" w14:textId="77777777" w:rsidR="0076150C" w:rsidRPr="008E4F36" w:rsidRDefault="0076150C" w:rsidP="0076150C">
      <w:pPr>
        <w:pStyle w:val="Prrafodelista"/>
        <w:numPr>
          <w:ilvl w:val="0"/>
          <w:numId w:val="15"/>
        </w:numPr>
        <w:spacing w:after="0" w:line="240" w:lineRule="auto"/>
        <w:jc w:val="both"/>
        <w:rPr>
          <w:rFonts w:ascii="Verdana" w:hAnsi="Verdana"/>
          <w:lang w:val="es-CO"/>
        </w:rPr>
      </w:pPr>
      <w:r w:rsidRPr="008E4F36">
        <w:rPr>
          <w:rFonts w:ascii="Verdana" w:hAnsi="Verdana"/>
          <w:lang w:val="es-CO"/>
        </w:rPr>
        <w:t>Línea de servicio y atención al ciudadano: +57 601 7956600</w:t>
      </w:r>
    </w:p>
    <w:p w14:paraId="6C7D8AA4" w14:textId="77777777" w:rsidR="0076150C" w:rsidRPr="008E4F36" w:rsidRDefault="0076150C" w:rsidP="0076150C">
      <w:pPr>
        <w:pStyle w:val="Prrafodelista"/>
        <w:numPr>
          <w:ilvl w:val="0"/>
          <w:numId w:val="15"/>
        </w:numPr>
        <w:spacing w:after="0" w:line="240" w:lineRule="auto"/>
        <w:jc w:val="both"/>
        <w:rPr>
          <w:rFonts w:ascii="Verdana" w:hAnsi="Verdana"/>
          <w:lang w:val="es-CO"/>
        </w:rPr>
      </w:pPr>
      <w:r w:rsidRPr="008E4F36">
        <w:rPr>
          <w:rFonts w:ascii="Verdana" w:hAnsi="Verdana"/>
          <w:lang w:val="es-CO"/>
        </w:rPr>
        <w:t xml:space="preserve">Página web: </w:t>
      </w:r>
      <w:hyperlink r:id="rId27" w:history="1">
        <w:r w:rsidRPr="008E4F36">
          <w:rPr>
            <w:rStyle w:val="Hipervnculo"/>
            <w:rFonts w:ascii="Verdana" w:hAnsi="Verdana"/>
            <w:lang w:val="es-CO"/>
          </w:rPr>
          <w:t>www.colombiacompra.gov.co</w:t>
        </w:r>
      </w:hyperlink>
    </w:p>
    <w:p w14:paraId="273C9A95" w14:textId="77777777" w:rsidR="0076150C" w:rsidRPr="008E4F36" w:rsidRDefault="0076150C" w:rsidP="0076150C">
      <w:pPr>
        <w:pStyle w:val="Prrafodelista"/>
        <w:spacing w:after="0" w:line="240" w:lineRule="auto"/>
        <w:ind w:left="785"/>
        <w:jc w:val="both"/>
        <w:rPr>
          <w:rFonts w:ascii="Verdana" w:hAnsi="Verdana"/>
          <w:lang w:val="es-CO"/>
        </w:rPr>
      </w:pPr>
    </w:p>
    <w:p w14:paraId="5B031A46" w14:textId="77777777" w:rsidR="0076150C" w:rsidRPr="008E4F36" w:rsidRDefault="0076150C" w:rsidP="0076150C">
      <w:pPr>
        <w:spacing w:after="0" w:line="240" w:lineRule="auto"/>
        <w:jc w:val="both"/>
        <w:rPr>
          <w:rFonts w:ascii="Verdana" w:hAnsi="Verdana"/>
        </w:rPr>
      </w:pPr>
      <w:r w:rsidRPr="008E4F36">
        <w:rPr>
          <w:rFonts w:ascii="Verdana" w:hAnsi="Verdana"/>
        </w:rPr>
        <w:t xml:space="preserve">Por último, lo invitamos a seguirnos en las redes sociales en las cuales se difunde información institucional: </w:t>
      </w:r>
    </w:p>
    <w:p w14:paraId="2113C899" w14:textId="77777777" w:rsidR="0076150C" w:rsidRPr="008E4F36" w:rsidRDefault="0076150C" w:rsidP="0076150C">
      <w:pPr>
        <w:spacing w:after="0" w:line="240" w:lineRule="auto"/>
        <w:jc w:val="both"/>
        <w:rPr>
          <w:rFonts w:ascii="Verdana" w:hAnsi="Verdana"/>
        </w:rPr>
      </w:pPr>
    </w:p>
    <w:p w14:paraId="0F034EE8" w14:textId="77777777" w:rsidR="0076150C" w:rsidRPr="008E4F36" w:rsidRDefault="0076150C" w:rsidP="0076150C">
      <w:pPr>
        <w:spacing w:after="0" w:line="240"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0CF6CC09" w14:textId="77777777" w:rsidR="0076150C" w:rsidRPr="008E4F36" w:rsidRDefault="0076150C" w:rsidP="0076150C">
      <w:pPr>
        <w:spacing w:after="0" w:line="240"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72FE401F" w14:textId="77777777" w:rsidR="0076150C" w:rsidRPr="008E4F36" w:rsidRDefault="0076150C" w:rsidP="0076150C">
      <w:pPr>
        <w:spacing w:after="0" w:line="240"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1EEED0B6" w14:textId="77777777" w:rsidR="0076150C" w:rsidRPr="008E4F36" w:rsidRDefault="0076150C" w:rsidP="0076150C">
      <w:pPr>
        <w:spacing w:after="0" w:line="240" w:lineRule="auto"/>
        <w:jc w:val="both"/>
        <w:rPr>
          <w:rFonts w:ascii="Verdana" w:hAnsi="Verdana"/>
        </w:rPr>
      </w:pPr>
    </w:p>
    <w:p w14:paraId="4AC99BE0" w14:textId="77777777" w:rsidR="0076150C" w:rsidRPr="008E4F36" w:rsidRDefault="0076150C" w:rsidP="0076150C">
      <w:pPr>
        <w:spacing w:after="0" w:line="256" w:lineRule="auto"/>
        <w:jc w:val="both"/>
        <w:rPr>
          <w:rFonts w:ascii="Verdana" w:eastAsia="Calibri" w:hAnsi="Verdana" w:cs="Times New Roman"/>
          <w:bCs/>
        </w:rPr>
      </w:pPr>
      <w:r w:rsidRPr="008E4F36">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36DBE56" w14:textId="77777777" w:rsidR="0076150C" w:rsidRPr="008E4F36" w:rsidRDefault="0076150C" w:rsidP="0076150C">
      <w:pPr>
        <w:spacing w:after="0" w:line="256" w:lineRule="auto"/>
        <w:jc w:val="both"/>
        <w:rPr>
          <w:rFonts w:ascii="Verdana" w:eastAsia="Calibri" w:hAnsi="Verdana" w:cs="Times New Roman"/>
        </w:rPr>
      </w:pPr>
    </w:p>
    <w:p w14:paraId="142BBA8B" w14:textId="77777777" w:rsidR="0076150C" w:rsidRPr="008E4F36" w:rsidRDefault="0076150C" w:rsidP="0076150C">
      <w:pPr>
        <w:spacing w:after="0" w:line="256" w:lineRule="auto"/>
        <w:jc w:val="both"/>
        <w:rPr>
          <w:rFonts w:ascii="Verdana" w:eastAsia="Calibri" w:hAnsi="Verdana" w:cs="Times New Roman"/>
        </w:rPr>
      </w:pPr>
      <w:r w:rsidRPr="008E4F36">
        <w:rPr>
          <w:rFonts w:ascii="Verdana" w:eastAsia="Calibri" w:hAnsi="Verdana" w:cs="Times New Roman"/>
        </w:rPr>
        <w:t>Atentamente,</w:t>
      </w:r>
    </w:p>
    <w:p w14:paraId="6CA01D0B" w14:textId="5939A224" w:rsidR="0076150C" w:rsidRPr="008E4F36" w:rsidRDefault="00B83B61" w:rsidP="0076150C">
      <w:pPr>
        <w:spacing w:after="0" w:line="256" w:lineRule="auto"/>
        <w:jc w:val="center"/>
        <w:rPr>
          <w:rFonts w:ascii="Verdana" w:eastAsia="Times New Roman" w:hAnsi="Verdana" w:cs="Arial"/>
          <w:sz w:val="24"/>
          <w:szCs w:val="24"/>
        </w:rPr>
      </w:pPr>
      <w:r>
        <w:rPr>
          <w:noProof/>
        </w:rPr>
        <w:lastRenderedPageBreak/>
        <w:drawing>
          <wp:inline distT="0" distB="0" distL="0" distR="0" wp14:anchorId="130E1C11" wp14:editId="1F577B9D">
            <wp:extent cx="3962400" cy="1866900"/>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a:picLocks noChangeAspect="1"/>
                    </pic:cNvPicPr>
                  </pic:nvPicPr>
                  <pic:blipFill>
                    <a:blip r:embed="rId28"/>
                    <a:stretch>
                      <a:fillRect/>
                    </a:stretch>
                  </pic:blipFill>
                  <pic:spPr>
                    <a:xfrm>
                      <a:off x="0" y="0"/>
                      <a:ext cx="3962400" cy="1866900"/>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76150C" w:rsidRPr="008E4F36" w14:paraId="4B259A01" w14:textId="77777777" w:rsidTr="000C1ABA">
        <w:trPr>
          <w:trHeight w:val="315"/>
        </w:trPr>
        <w:tc>
          <w:tcPr>
            <w:tcW w:w="893" w:type="dxa"/>
            <w:vAlign w:val="center"/>
            <w:hideMark/>
          </w:tcPr>
          <w:p w14:paraId="558711D3" w14:textId="77777777" w:rsidR="0076150C" w:rsidRPr="008E4F36" w:rsidRDefault="0076150C" w:rsidP="000C1ABA">
            <w:pPr>
              <w:contextualSpacing/>
              <w:rPr>
                <w:rFonts w:ascii="Verdana" w:hAnsi="Verdana" w:cs="Arial"/>
                <w:sz w:val="16"/>
                <w:szCs w:val="16"/>
                <w:lang w:eastAsia="es-ES"/>
              </w:rPr>
            </w:pPr>
            <w:r w:rsidRPr="008E4F36">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39C3BBF8" w14:textId="77777777" w:rsidR="0076150C" w:rsidRPr="008E4F36" w:rsidRDefault="0076150C" w:rsidP="000C1ABA">
            <w:pPr>
              <w:contextualSpacing/>
              <w:rPr>
                <w:rStyle w:val="normaltextrun"/>
                <w:rFonts w:ascii="Verdana" w:hAnsi="Verdana"/>
                <w:sz w:val="16"/>
                <w:szCs w:val="16"/>
              </w:rPr>
            </w:pPr>
            <w:r w:rsidRPr="008E4F36">
              <w:rPr>
                <w:rStyle w:val="normaltextrun"/>
                <w:rFonts w:ascii="Verdana" w:hAnsi="Verdana"/>
                <w:sz w:val="16"/>
                <w:szCs w:val="16"/>
              </w:rPr>
              <w:t xml:space="preserve">Esperanza Contreras P </w:t>
            </w:r>
          </w:p>
          <w:p w14:paraId="250EFDA6" w14:textId="77777777" w:rsidR="0076150C" w:rsidRPr="008E4F36" w:rsidRDefault="0076150C" w:rsidP="000C1ABA">
            <w:pPr>
              <w:contextualSpacing/>
              <w:rPr>
                <w:rFonts w:ascii="Verdana" w:eastAsia="Arial" w:hAnsi="Verdana" w:cs="Arial"/>
                <w:sz w:val="16"/>
                <w:szCs w:val="16"/>
              </w:rPr>
            </w:pPr>
            <w:r w:rsidRPr="008E4F36">
              <w:rPr>
                <w:rStyle w:val="normaltextrun"/>
                <w:rFonts w:ascii="Verdana" w:hAnsi="Verdana" w:cs="Arial"/>
                <w:sz w:val="16"/>
                <w:szCs w:val="16"/>
              </w:rPr>
              <w:t>Contratista de la Subdirección de Gestión Contractual</w:t>
            </w:r>
            <w:r w:rsidRPr="008E4F36">
              <w:rPr>
                <w:rStyle w:val="eop"/>
                <w:rFonts w:ascii="Verdana" w:hAnsi="Verdana" w:cs="Arial"/>
                <w:sz w:val="16"/>
                <w:szCs w:val="16"/>
              </w:rPr>
              <w:t> </w:t>
            </w:r>
          </w:p>
        </w:tc>
      </w:tr>
      <w:tr w:rsidR="0076150C" w:rsidRPr="008E4F36" w14:paraId="652E9FC2" w14:textId="77777777" w:rsidTr="000C1ABA">
        <w:trPr>
          <w:trHeight w:val="330"/>
        </w:trPr>
        <w:tc>
          <w:tcPr>
            <w:tcW w:w="893" w:type="dxa"/>
            <w:vAlign w:val="center"/>
            <w:hideMark/>
          </w:tcPr>
          <w:p w14:paraId="7C91E3E3" w14:textId="77777777" w:rsidR="0076150C" w:rsidRPr="008E4F36" w:rsidRDefault="0076150C" w:rsidP="000C1ABA">
            <w:pPr>
              <w:contextualSpacing/>
              <w:rPr>
                <w:rFonts w:ascii="Verdana" w:hAnsi="Verdana" w:cs="Arial"/>
                <w:sz w:val="16"/>
                <w:szCs w:val="16"/>
                <w:lang w:eastAsia="es-ES"/>
              </w:rPr>
            </w:pPr>
            <w:r w:rsidRPr="008E4F36">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03E07F45" w14:textId="77777777" w:rsidR="0076150C" w:rsidRPr="008E4F36" w:rsidRDefault="0076150C" w:rsidP="000C1ABA">
            <w:pPr>
              <w:pStyle w:val="paragraph"/>
              <w:spacing w:before="0" w:beforeAutospacing="0" w:after="0" w:afterAutospacing="0"/>
              <w:contextualSpacing/>
              <w:textAlignment w:val="baseline"/>
              <w:rPr>
                <w:rStyle w:val="normaltextrun"/>
                <w:rFonts w:ascii="Verdana" w:hAnsi="Verdana"/>
                <w:sz w:val="16"/>
                <w:szCs w:val="16"/>
              </w:rPr>
            </w:pPr>
            <w:r w:rsidRPr="008E4F36">
              <w:rPr>
                <w:rStyle w:val="normaltextrun"/>
                <w:rFonts w:ascii="Verdana" w:hAnsi="Verdana"/>
                <w:sz w:val="16"/>
                <w:szCs w:val="16"/>
              </w:rPr>
              <w:t xml:space="preserve">Diana Lucía Saavedra Castañeda </w:t>
            </w:r>
          </w:p>
          <w:p w14:paraId="567F1AA9" w14:textId="77777777" w:rsidR="0076150C" w:rsidRPr="008E4F36" w:rsidRDefault="0076150C" w:rsidP="000C1ABA">
            <w:pPr>
              <w:pStyle w:val="paragraph"/>
              <w:spacing w:before="0" w:beforeAutospacing="0" w:after="0" w:afterAutospacing="0"/>
              <w:contextualSpacing/>
              <w:textAlignment w:val="baseline"/>
              <w:rPr>
                <w:rFonts w:ascii="Verdana" w:hAnsi="Verdana" w:cs="Segoe UI"/>
                <w:sz w:val="16"/>
                <w:szCs w:val="16"/>
              </w:rPr>
            </w:pPr>
            <w:r w:rsidRPr="008E4F36">
              <w:rPr>
                <w:rStyle w:val="eop"/>
                <w:rFonts w:ascii="Verdana" w:hAnsi="Verdana" w:cs="Arial"/>
                <w:sz w:val="16"/>
                <w:szCs w:val="16"/>
              </w:rPr>
              <w:t xml:space="preserve">Contratista de la Subdirección de Negocios </w:t>
            </w:r>
          </w:p>
        </w:tc>
      </w:tr>
      <w:tr w:rsidR="0076150C" w:rsidRPr="008E4F36" w14:paraId="515B5644" w14:textId="77777777" w:rsidTr="000C1ABA">
        <w:trPr>
          <w:trHeight w:val="300"/>
        </w:trPr>
        <w:tc>
          <w:tcPr>
            <w:tcW w:w="893" w:type="dxa"/>
            <w:vAlign w:val="center"/>
          </w:tcPr>
          <w:p w14:paraId="48B3B190" w14:textId="77777777" w:rsidR="0076150C" w:rsidRPr="008E4F36" w:rsidRDefault="0076150C" w:rsidP="000C1ABA">
            <w:pPr>
              <w:contextualSpacing/>
              <w:rPr>
                <w:rFonts w:ascii="Verdana" w:hAnsi="Verdana" w:cs="Arial"/>
                <w:sz w:val="16"/>
                <w:szCs w:val="16"/>
                <w:lang w:eastAsia="es-ES"/>
              </w:rPr>
            </w:pPr>
            <w:r w:rsidRPr="008E4F36">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30AFC438" w14:textId="77777777" w:rsidR="0076150C" w:rsidRPr="008E4F36" w:rsidRDefault="0076150C" w:rsidP="000C1ABA">
            <w:pPr>
              <w:contextualSpacing/>
              <w:rPr>
                <w:rFonts w:ascii="Verdana" w:eastAsia="Calibri" w:hAnsi="Verdana" w:cs="Arial"/>
                <w:sz w:val="16"/>
                <w:szCs w:val="16"/>
                <w:lang w:eastAsia="es-ES"/>
              </w:rPr>
            </w:pPr>
            <w:r w:rsidRPr="008E4F36">
              <w:rPr>
                <w:rFonts w:ascii="Verdana" w:eastAsia="Calibri" w:hAnsi="Verdana" w:cs="Arial"/>
                <w:sz w:val="16"/>
                <w:szCs w:val="16"/>
                <w:lang w:eastAsia="es-ES"/>
              </w:rPr>
              <w:t xml:space="preserve">Carolina Quintero </w:t>
            </w:r>
            <w:proofErr w:type="spellStart"/>
            <w:r w:rsidRPr="008E4F36">
              <w:rPr>
                <w:rFonts w:ascii="Verdana" w:eastAsia="Calibri" w:hAnsi="Verdana" w:cs="Arial"/>
                <w:sz w:val="16"/>
                <w:szCs w:val="16"/>
                <w:lang w:eastAsia="es-ES"/>
              </w:rPr>
              <w:t>Gacharná</w:t>
            </w:r>
            <w:proofErr w:type="spellEnd"/>
          </w:p>
          <w:p w14:paraId="62076931" w14:textId="77777777" w:rsidR="0076150C" w:rsidRPr="008E4F36" w:rsidRDefault="0076150C" w:rsidP="000C1ABA">
            <w:pPr>
              <w:contextualSpacing/>
              <w:rPr>
                <w:rFonts w:ascii="Verdana" w:eastAsia="Calibri" w:hAnsi="Verdana" w:cs="Arial"/>
                <w:sz w:val="16"/>
                <w:szCs w:val="16"/>
                <w:lang w:eastAsia="es-ES"/>
              </w:rPr>
            </w:pPr>
            <w:r w:rsidRPr="008E4F36">
              <w:rPr>
                <w:rFonts w:ascii="Verdana" w:eastAsia="Calibri" w:hAnsi="Verdana" w:cs="Arial"/>
                <w:sz w:val="16"/>
                <w:szCs w:val="16"/>
                <w:lang w:eastAsia="es-ES"/>
              </w:rPr>
              <w:t>Subdirectora de Gestión Contractual ANCP – CCE</w:t>
            </w:r>
          </w:p>
        </w:tc>
      </w:tr>
      <w:bookmarkEnd w:id="2"/>
      <w:bookmarkEnd w:id="3"/>
    </w:tbl>
    <w:p w14:paraId="380943E6" w14:textId="77777777" w:rsidR="0076150C" w:rsidRPr="008E4F36" w:rsidRDefault="0076150C" w:rsidP="0076150C">
      <w:pPr>
        <w:spacing w:after="0"/>
        <w:rPr>
          <w:rFonts w:ascii="Verdana" w:hAnsi="Verdana"/>
        </w:rPr>
      </w:pPr>
    </w:p>
    <w:p w14:paraId="567E962F" w14:textId="77777777" w:rsidR="0076150C" w:rsidRPr="008E4F36" w:rsidRDefault="0076150C" w:rsidP="0076150C">
      <w:pPr>
        <w:spacing w:after="0"/>
        <w:jc w:val="both"/>
        <w:rPr>
          <w:rStyle w:val="Hipervnculo"/>
          <w:rFonts w:ascii="Verdana" w:hAnsi="Verdana"/>
        </w:rPr>
      </w:pPr>
    </w:p>
    <w:p w14:paraId="51547BCA" w14:textId="77777777" w:rsidR="0076150C" w:rsidRPr="008E4F36" w:rsidRDefault="0076150C" w:rsidP="0076150C">
      <w:pPr>
        <w:spacing w:after="0" w:line="240" w:lineRule="auto"/>
        <w:textAlignment w:val="baseline"/>
        <w:rPr>
          <w:rFonts w:ascii="Verdana" w:eastAsia="Times New Roman" w:hAnsi="Verdana" w:cs="Segoe UI"/>
          <w:b/>
          <w:bCs/>
          <w:color w:val="46589C"/>
          <w:lang w:eastAsia="es-CO"/>
        </w:rPr>
      </w:pPr>
    </w:p>
    <w:p w14:paraId="311DD1BF" w14:textId="77777777" w:rsidR="0076150C" w:rsidRPr="008E4F36" w:rsidRDefault="0076150C" w:rsidP="0076150C">
      <w:pPr>
        <w:spacing w:after="0"/>
        <w:jc w:val="both"/>
        <w:rPr>
          <w:rStyle w:val="Hipervnculo"/>
          <w:rFonts w:ascii="Verdana" w:hAnsi="Verdana"/>
        </w:rPr>
      </w:pPr>
    </w:p>
    <w:p w14:paraId="60044C4D" w14:textId="77777777" w:rsidR="0076150C" w:rsidRPr="008E4F36" w:rsidRDefault="0076150C" w:rsidP="0076150C">
      <w:pPr>
        <w:spacing w:after="0"/>
        <w:jc w:val="both"/>
        <w:rPr>
          <w:rStyle w:val="Hipervnculo"/>
          <w:rFonts w:ascii="Verdana" w:hAnsi="Verdana"/>
        </w:rPr>
      </w:pPr>
    </w:p>
    <w:p w14:paraId="1FEFFD7E" w14:textId="77777777" w:rsidR="0076150C" w:rsidRPr="008E4F36" w:rsidRDefault="0076150C" w:rsidP="0076150C">
      <w:pPr>
        <w:spacing w:after="0" w:line="240" w:lineRule="auto"/>
        <w:textAlignment w:val="baseline"/>
        <w:rPr>
          <w:rFonts w:ascii="Verdana" w:eastAsia="Times New Roman" w:hAnsi="Verdana" w:cs="Segoe UI"/>
          <w:b/>
          <w:bCs/>
          <w:color w:val="46589C"/>
          <w:lang w:eastAsia="es-CO"/>
        </w:rPr>
      </w:pPr>
    </w:p>
    <w:p w14:paraId="54DC843E" w14:textId="77777777" w:rsidR="0076150C" w:rsidRPr="008E4F36" w:rsidRDefault="0076150C" w:rsidP="0076150C">
      <w:pPr>
        <w:spacing w:after="0"/>
        <w:jc w:val="both"/>
        <w:rPr>
          <w:rStyle w:val="Hipervnculo"/>
          <w:rFonts w:ascii="Verdana" w:hAnsi="Verdana"/>
        </w:rPr>
      </w:pPr>
    </w:p>
    <w:p w14:paraId="2ACA2494" w14:textId="77777777" w:rsidR="0076150C" w:rsidRPr="008E4F36" w:rsidRDefault="0076150C" w:rsidP="0076150C">
      <w:pPr>
        <w:spacing w:after="0"/>
        <w:jc w:val="both"/>
        <w:rPr>
          <w:rStyle w:val="Hipervnculo"/>
          <w:rFonts w:ascii="Verdana" w:hAnsi="Verdana"/>
        </w:rPr>
      </w:pPr>
    </w:p>
    <w:p w14:paraId="27EA0461" w14:textId="77777777" w:rsidR="0076150C" w:rsidRPr="008E4F36" w:rsidRDefault="0076150C" w:rsidP="0076150C">
      <w:pPr>
        <w:spacing w:after="0"/>
        <w:jc w:val="both"/>
        <w:rPr>
          <w:rStyle w:val="Hipervnculo"/>
          <w:rFonts w:ascii="Verdana" w:hAnsi="Verdana"/>
        </w:rPr>
      </w:pPr>
    </w:p>
    <w:bookmarkEnd w:id="0"/>
    <w:p w14:paraId="57B6C312" w14:textId="77777777" w:rsidR="0076150C" w:rsidRPr="008E4F36" w:rsidRDefault="0076150C" w:rsidP="0076150C">
      <w:pPr>
        <w:spacing w:after="0" w:line="240" w:lineRule="auto"/>
        <w:textAlignment w:val="baseline"/>
        <w:rPr>
          <w:rFonts w:ascii="Verdana" w:eastAsia="Times New Roman" w:hAnsi="Verdana" w:cs="Segoe UI"/>
          <w:b/>
          <w:bCs/>
          <w:color w:val="46589C"/>
          <w:lang w:eastAsia="es-CO"/>
        </w:rPr>
      </w:pPr>
    </w:p>
    <w:bookmarkEnd w:id="1"/>
    <w:p w14:paraId="19666E78" w14:textId="77777777" w:rsidR="0076150C" w:rsidRPr="00D040DD" w:rsidRDefault="0076150C" w:rsidP="0076150C">
      <w:pPr>
        <w:rPr>
          <w:lang w:val="es-ES"/>
        </w:rPr>
      </w:pPr>
    </w:p>
    <w:p w14:paraId="3900974D" w14:textId="3A1F1F60" w:rsidR="003D5B0D" w:rsidRPr="0076150C" w:rsidRDefault="003D5B0D" w:rsidP="00E92BD5">
      <w:pPr>
        <w:rPr>
          <w:lang w:val="es-ES"/>
        </w:rPr>
      </w:pPr>
    </w:p>
    <w:sectPr w:rsidR="003D5B0D" w:rsidRPr="0076150C" w:rsidSect="007C0C0F">
      <w:headerReference w:type="default" r:id="rId29"/>
      <w:footerReference w:type="default" r:id="rId3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4B2A7" w14:textId="77777777" w:rsidR="00AA25E9" w:rsidRDefault="00AA25E9" w:rsidP="004A1847">
      <w:pPr>
        <w:spacing w:after="0" w:line="240" w:lineRule="auto"/>
      </w:pPr>
      <w:r>
        <w:separator/>
      </w:r>
    </w:p>
  </w:endnote>
  <w:endnote w:type="continuationSeparator" w:id="0">
    <w:p w14:paraId="735CEF9A" w14:textId="77777777" w:rsidR="00AA25E9" w:rsidRDefault="00AA25E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Quattrocento Sans">
    <w:charset w:val="00"/>
    <w:family w:val="swiss"/>
    <w:pitch w:val="variable"/>
    <w:sig w:usb0="800000BF" w:usb1="4000005B" w:usb2="00000000" w:usb3="00000000" w:csb0="00000001"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5353F" w14:textId="77777777" w:rsidR="00AA25E9" w:rsidRDefault="00AA25E9" w:rsidP="004A1847">
      <w:pPr>
        <w:spacing w:after="0" w:line="240" w:lineRule="auto"/>
      </w:pPr>
      <w:r>
        <w:separator/>
      </w:r>
    </w:p>
  </w:footnote>
  <w:footnote w:type="continuationSeparator" w:id="0">
    <w:p w14:paraId="093EB9F6" w14:textId="77777777" w:rsidR="00AA25E9" w:rsidRDefault="00AA25E9" w:rsidP="004A1847">
      <w:pPr>
        <w:spacing w:after="0" w:line="240" w:lineRule="auto"/>
      </w:pPr>
      <w:r>
        <w:continuationSeparator/>
      </w:r>
    </w:p>
  </w:footnote>
  <w:footnote w:id="1">
    <w:p w14:paraId="1883FA81" w14:textId="77777777" w:rsidR="0076150C" w:rsidRPr="008E4F36" w:rsidRDefault="0076150C" w:rsidP="0076150C">
      <w:pPr>
        <w:pStyle w:val="Textonotapie"/>
        <w:ind w:firstLine="708"/>
        <w:jc w:val="both"/>
        <w:rPr>
          <w:rFonts w:ascii="Verdana" w:hAnsi="Verdana" w:cs="Arial"/>
          <w:sz w:val="14"/>
          <w:szCs w:val="14"/>
          <w:lang w:val="es-CO"/>
        </w:rPr>
      </w:pPr>
      <w:r w:rsidRPr="008E4F36">
        <w:rPr>
          <w:rStyle w:val="Refdenotaalpie"/>
          <w:rFonts w:ascii="Verdana" w:hAnsi="Verdana" w:cs="Arial"/>
          <w:sz w:val="14"/>
          <w:szCs w:val="14"/>
          <w:lang w:val="es-CO"/>
        </w:rPr>
        <w:footnoteRef/>
      </w:r>
      <w:r w:rsidRPr="008E4F36">
        <w:rPr>
          <w:rFonts w:ascii="Verdana" w:hAnsi="Verdana" w:cs="Arial"/>
          <w:sz w:val="14"/>
          <w:szCs w:val="14"/>
          <w:lang w:val="es-CO"/>
        </w:rPr>
        <w:t xml:space="preserve"> OSPINA MENA, Jesús Marino. Régimen de la Contratación Estatal. Un salto a la contratación líquida. Bogotá: Ed. 1ª. </w:t>
      </w:r>
      <w:proofErr w:type="spellStart"/>
      <w:r w:rsidRPr="008E4F36">
        <w:rPr>
          <w:rFonts w:ascii="Verdana" w:hAnsi="Verdana" w:cs="Arial"/>
          <w:sz w:val="14"/>
          <w:szCs w:val="14"/>
          <w:lang w:val="es-CO"/>
        </w:rPr>
        <w:t>Diké</w:t>
      </w:r>
      <w:proofErr w:type="spellEnd"/>
      <w:r w:rsidRPr="008E4F36">
        <w:rPr>
          <w:rFonts w:ascii="Verdana" w:hAnsi="Verdana" w:cs="Arial"/>
          <w:sz w:val="14"/>
          <w:szCs w:val="14"/>
          <w:lang w:val="es-CO"/>
        </w:rPr>
        <w:t>, 2020. p. 383.</w:t>
      </w:r>
    </w:p>
    <w:p w14:paraId="1A2DDFF6" w14:textId="77777777" w:rsidR="0076150C" w:rsidRPr="008E4F36" w:rsidRDefault="0076150C" w:rsidP="0076150C">
      <w:pPr>
        <w:pStyle w:val="Textonotapie"/>
        <w:ind w:firstLine="708"/>
        <w:jc w:val="both"/>
        <w:rPr>
          <w:rFonts w:ascii="Verdana" w:hAnsi="Verdana" w:cs="Arial"/>
          <w:sz w:val="14"/>
          <w:szCs w:val="14"/>
          <w:lang w:val="es-CO"/>
        </w:rPr>
      </w:pPr>
    </w:p>
  </w:footnote>
  <w:footnote w:id="2">
    <w:p w14:paraId="6CF5A393" w14:textId="77777777" w:rsidR="0076150C" w:rsidRPr="008E4F36" w:rsidRDefault="0076150C" w:rsidP="0076150C">
      <w:pPr>
        <w:pStyle w:val="Textonotapie"/>
        <w:ind w:firstLine="708"/>
        <w:jc w:val="both"/>
        <w:rPr>
          <w:rFonts w:ascii="Verdana" w:hAnsi="Verdana" w:cs="Arial"/>
          <w:sz w:val="14"/>
          <w:szCs w:val="14"/>
          <w:lang w:val="es-CO"/>
        </w:rPr>
      </w:pPr>
      <w:r w:rsidRPr="008E4F36">
        <w:rPr>
          <w:rStyle w:val="Refdenotaalpie"/>
          <w:rFonts w:ascii="Verdana" w:hAnsi="Verdana" w:cs="Arial"/>
          <w:sz w:val="14"/>
          <w:szCs w:val="14"/>
          <w:lang w:val="es-CO"/>
        </w:rPr>
        <w:footnoteRef/>
      </w:r>
      <w:r w:rsidRPr="008E4F36">
        <w:rPr>
          <w:rFonts w:ascii="Verdana" w:hAnsi="Verdana" w:cs="Arial"/>
          <w:sz w:val="14"/>
          <w:szCs w:val="14"/>
          <w:lang w:val="es-CO"/>
        </w:rPr>
        <w:t xml:space="preserve"> Consejo de Estado. Sala de lo Contencioso Administrativo. Sección Tercera. Sentencia de 30 de noviembre de 2006. </w:t>
      </w:r>
      <w:proofErr w:type="spellStart"/>
      <w:r w:rsidRPr="008E4F36">
        <w:rPr>
          <w:rFonts w:ascii="Verdana" w:hAnsi="Verdana" w:cs="Arial"/>
          <w:sz w:val="14"/>
          <w:szCs w:val="14"/>
          <w:lang w:val="es-CO"/>
        </w:rPr>
        <w:t>Exp</w:t>
      </w:r>
      <w:proofErr w:type="spellEnd"/>
      <w:r w:rsidRPr="008E4F36">
        <w:rPr>
          <w:rFonts w:ascii="Verdana" w:hAnsi="Verdana" w:cs="Arial"/>
          <w:sz w:val="14"/>
          <w:szCs w:val="14"/>
          <w:lang w:val="es-CO"/>
        </w:rPr>
        <w:t>. 18.059. M.P. Alier Hernández Enríquez.</w:t>
      </w:r>
    </w:p>
    <w:p w14:paraId="26913BFC" w14:textId="77777777" w:rsidR="0076150C" w:rsidRPr="008E4F36" w:rsidRDefault="0076150C" w:rsidP="0076150C">
      <w:pPr>
        <w:pStyle w:val="Textonotapie"/>
        <w:ind w:firstLine="708"/>
        <w:jc w:val="both"/>
        <w:rPr>
          <w:rFonts w:ascii="Verdana" w:hAnsi="Verdana" w:cs="Arial"/>
          <w:sz w:val="14"/>
          <w:szCs w:val="14"/>
          <w:lang w:val="es-CO"/>
        </w:rPr>
      </w:pPr>
    </w:p>
  </w:footnote>
  <w:footnote w:id="3">
    <w:p w14:paraId="2CB6F682" w14:textId="77777777" w:rsidR="0076150C" w:rsidRPr="008E4F36" w:rsidRDefault="0076150C" w:rsidP="0076150C">
      <w:pPr>
        <w:pStyle w:val="Textonotapie"/>
        <w:ind w:firstLine="708"/>
        <w:jc w:val="both"/>
        <w:rPr>
          <w:rFonts w:ascii="Verdana" w:hAnsi="Verdana" w:cs="Arial"/>
          <w:sz w:val="14"/>
          <w:szCs w:val="14"/>
          <w:lang w:val="es-CO"/>
        </w:rPr>
      </w:pPr>
      <w:r w:rsidRPr="008E4F36">
        <w:rPr>
          <w:rStyle w:val="Refdenotaalpie"/>
          <w:rFonts w:ascii="Verdana" w:hAnsi="Verdana" w:cs="Arial"/>
          <w:sz w:val="14"/>
          <w:szCs w:val="14"/>
          <w:lang w:val="es-CO"/>
        </w:rPr>
        <w:footnoteRef/>
      </w:r>
      <w:r w:rsidRPr="008E4F36">
        <w:rPr>
          <w:rFonts w:ascii="Verdana" w:hAnsi="Verdana" w:cs="Arial"/>
          <w:sz w:val="14"/>
          <w:szCs w:val="14"/>
          <w:lang w:val="es-CO"/>
        </w:rPr>
        <w:t xml:space="preserve"> Sin perjuicio de los dispuesto en el artículo 2.2.1.1.2.1.3. del Decreto 1082 de 2015 sobre el contenido del pliego de condiciones, donde se desarrolla de forma más exhaustiva cada uno de sus componentes mínimos.</w:t>
      </w:r>
    </w:p>
    <w:p w14:paraId="021BA967" w14:textId="77777777" w:rsidR="0076150C" w:rsidRPr="008E4F36" w:rsidRDefault="0076150C" w:rsidP="0076150C">
      <w:pPr>
        <w:pStyle w:val="Textonotapie"/>
        <w:ind w:firstLine="708"/>
        <w:jc w:val="both"/>
        <w:rPr>
          <w:rFonts w:ascii="Verdana" w:hAnsi="Verdana" w:cs="Arial"/>
          <w:sz w:val="14"/>
          <w:szCs w:val="14"/>
          <w:lang w:val="es-CO"/>
        </w:rPr>
      </w:pPr>
    </w:p>
  </w:footnote>
  <w:footnote w:id="4">
    <w:p w14:paraId="7A3E9587" w14:textId="77777777" w:rsidR="0076150C" w:rsidRPr="008379FC" w:rsidRDefault="0076150C" w:rsidP="0076150C">
      <w:pPr>
        <w:pStyle w:val="Textonotapie"/>
        <w:ind w:firstLine="709"/>
        <w:rPr>
          <w:rFonts w:ascii="Verdana" w:hAnsi="Verdana"/>
          <w:sz w:val="14"/>
          <w:szCs w:val="14"/>
          <w:lang w:val="es-ES"/>
        </w:rPr>
      </w:pPr>
      <w:r w:rsidRPr="008379FC">
        <w:rPr>
          <w:rStyle w:val="Refdenotaalpie"/>
          <w:rFonts w:ascii="Verdana" w:hAnsi="Verdana"/>
          <w:sz w:val="14"/>
          <w:szCs w:val="14"/>
        </w:rPr>
        <w:footnoteRef/>
      </w:r>
      <w:r w:rsidRPr="008379FC">
        <w:rPr>
          <w:rFonts w:ascii="Verdana" w:hAnsi="Verdana"/>
          <w:sz w:val="14"/>
          <w:szCs w:val="14"/>
        </w:rPr>
        <w:t xml:space="preserve"> </w:t>
      </w:r>
      <w:r w:rsidRPr="008379FC">
        <w:rPr>
          <w:rFonts w:ascii="Verdana" w:hAnsi="Verdana"/>
          <w:sz w:val="14"/>
          <w:szCs w:val="14"/>
          <w:lang w:val="es-ES"/>
        </w:rPr>
        <w:t xml:space="preserve">En </w:t>
      </w:r>
      <w:hyperlink r:id="rId1" w:history="1">
        <w:r w:rsidRPr="008379FC">
          <w:rPr>
            <w:rStyle w:val="Hipervnculo"/>
            <w:rFonts w:ascii="Verdana" w:hAnsi="Verdana"/>
            <w:sz w:val="14"/>
            <w:szCs w:val="14"/>
            <w:lang w:val="es-CO"/>
          </w:rPr>
          <w:t>cce_manual_manejo_incentivos.pdf</w:t>
        </w:r>
      </w:hyperlink>
      <w:r w:rsidRPr="008379FC">
        <w:rPr>
          <w:rFonts w:ascii="Verdana" w:hAnsi="Verdana"/>
          <w:sz w:val="14"/>
          <w:szCs w:val="14"/>
          <w:lang w:val="es-ES"/>
        </w:rPr>
        <w:t>.</w:t>
      </w:r>
    </w:p>
    <w:p w14:paraId="4DFB5654" w14:textId="77777777" w:rsidR="0076150C" w:rsidRPr="008379FC" w:rsidRDefault="0076150C" w:rsidP="0076150C">
      <w:pPr>
        <w:pStyle w:val="Textonotapie"/>
        <w:rPr>
          <w:lang w:val="es-ES"/>
        </w:rPr>
      </w:pPr>
    </w:p>
  </w:footnote>
  <w:footnote w:id="5">
    <w:p w14:paraId="3E2BAFDB" w14:textId="77777777" w:rsidR="0076150C" w:rsidRPr="009B2D87" w:rsidRDefault="0076150C" w:rsidP="0076150C">
      <w:pPr>
        <w:pStyle w:val="Textonotapie"/>
        <w:ind w:firstLine="709"/>
        <w:jc w:val="both"/>
        <w:rPr>
          <w:rFonts w:ascii="Verdana" w:hAnsi="Verdana" w:cs="Arial"/>
          <w:sz w:val="14"/>
          <w:szCs w:val="14"/>
          <w:lang w:val="es-CO"/>
        </w:rPr>
      </w:pPr>
      <w:r w:rsidRPr="009B2D87">
        <w:rPr>
          <w:rStyle w:val="Refdenotaalpie"/>
          <w:rFonts w:ascii="Verdana" w:hAnsi="Verdana" w:cs="Arial"/>
          <w:sz w:val="14"/>
          <w:szCs w:val="14"/>
          <w:lang w:val="es-CO"/>
        </w:rPr>
        <w:footnoteRef/>
      </w:r>
      <w:r w:rsidRPr="009B2D87">
        <w:rPr>
          <w:rFonts w:ascii="Verdana" w:hAnsi="Verdana" w:cs="Arial"/>
          <w:sz w:val="14"/>
          <w:szCs w:val="14"/>
          <w:lang w:val="es-CO"/>
        </w:rPr>
        <w:t xml:space="preserve"> Consejo de Estado. Sala de lo Contencioso Administrativo. Sección Tercera. Subsección B. Sentencia del 29 de octubre de 2.015. Expediente: 31.918. C.P: Stella Conto Díaz Del Castillo. </w:t>
      </w:r>
    </w:p>
    <w:p w14:paraId="2D062825" w14:textId="77777777" w:rsidR="0076150C" w:rsidRPr="009B2D87" w:rsidRDefault="0076150C" w:rsidP="0076150C">
      <w:pPr>
        <w:pStyle w:val="Textonotapie"/>
        <w:ind w:firstLine="709"/>
        <w:jc w:val="both"/>
        <w:rPr>
          <w:rFonts w:ascii="Verdana" w:hAnsi="Verdana" w:cs="Arial"/>
          <w:sz w:val="14"/>
          <w:szCs w:val="14"/>
          <w:lang w:val="es-CO"/>
        </w:rPr>
      </w:pPr>
    </w:p>
  </w:footnote>
  <w:footnote w:id="6">
    <w:p w14:paraId="603EE722" w14:textId="77777777" w:rsidR="0076150C" w:rsidRPr="009B2D87" w:rsidRDefault="0076150C" w:rsidP="0076150C">
      <w:pPr>
        <w:pStyle w:val="Textonotapie"/>
        <w:ind w:firstLine="709"/>
        <w:jc w:val="both"/>
        <w:rPr>
          <w:rFonts w:ascii="Verdana" w:hAnsi="Verdana" w:cs="Arial"/>
          <w:sz w:val="14"/>
          <w:szCs w:val="14"/>
          <w:lang w:val="es-CO"/>
        </w:rPr>
      </w:pPr>
      <w:r w:rsidRPr="009B2D87">
        <w:rPr>
          <w:rStyle w:val="Refdenotaalpie"/>
          <w:rFonts w:ascii="Verdana" w:hAnsi="Verdana"/>
          <w:sz w:val="14"/>
          <w:szCs w:val="14"/>
          <w:lang w:val="es-CO"/>
        </w:rPr>
        <w:footnoteRef/>
      </w:r>
      <w:r w:rsidRPr="009B2D87">
        <w:rPr>
          <w:rFonts w:ascii="Verdana" w:hAnsi="Verdana"/>
          <w:sz w:val="14"/>
          <w:szCs w:val="14"/>
          <w:lang w:val="es-CO"/>
        </w:rPr>
        <w:t xml:space="preserve"> </w:t>
      </w:r>
      <w:r w:rsidRPr="009B2D87">
        <w:rPr>
          <w:rFonts w:ascii="Verdana" w:hAnsi="Verdana" w:cs="Arial"/>
          <w:sz w:val="14"/>
          <w:szCs w:val="14"/>
          <w:lang w:val="es-CO"/>
        </w:rPr>
        <w:t>Corte Constitucional. Sentencia T-684A del 14 de septiembre de 2011. M.P: Mauricio González Cuervo.</w:t>
      </w:r>
    </w:p>
    <w:p w14:paraId="6835FF6E" w14:textId="77777777" w:rsidR="0076150C" w:rsidRPr="009B2D87" w:rsidRDefault="0076150C" w:rsidP="0076150C">
      <w:pPr>
        <w:pStyle w:val="Textonotapie"/>
        <w:ind w:firstLine="709"/>
        <w:jc w:val="both"/>
        <w:rPr>
          <w:rFonts w:ascii="Verdana" w:hAnsi="Verdana" w:cs="Arial"/>
          <w:sz w:val="14"/>
          <w:szCs w:val="14"/>
          <w:lang w:val="es-CO"/>
        </w:rPr>
      </w:pPr>
    </w:p>
  </w:footnote>
  <w:footnote w:id="7">
    <w:p w14:paraId="7A95175E" w14:textId="77777777" w:rsidR="0076150C" w:rsidRPr="009B2D87" w:rsidRDefault="0076150C" w:rsidP="0076150C">
      <w:pPr>
        <w:pStyle w:val="Textonotapie"/>
        <w:ind w:firstLine="709"/>
        <w:jc w:val="both"/>
        <w:rPr>
          <w:rFonts w:ascii="Verdana" w:hAnsi="Verdana" w:cs="Arial"/>
          <w:sz w:val="14"/>
          <w:szCs w:val="14"/>
          <w:lang w:val="es-CO"/>
        </w:rPr>
      </w:pPr>
      <w:r w:rsidRPr="009B2D87">
        <w:rPr>
          <w:rStyle w:val="Refdenotaalpie"/>
          <w:rFonts w:ascii="Verdana" w:hAnsi="Verdana"/>
          <w:sz w:val="14"/>
          <w:szCs w:val="14"/>
          <w:lang w:val="es-CO"/>
        </w:rPr>
        <w:footnoteRef/>
      </w:r>
      <w:r w:rsidRPr="009B2D87">
        <w:rPr>
          <w:rFonts w:ascii="Verdana" w:hAnsi="Verdana"/>
          <w:sz w:val="14"/>
          <w:szCs w:val="14"/>
          <w:lang w:val="es-CO"/>
        </w:rPr>
        <w:t xml:space="preserve"> </w:t>
      </w:r>
      <w:r w:rsidRPr="009B2D87">
        <w:rPr>
          <w:rFonts w:ascii="Verdana" w:hAnsi="Verdana" w:cs="Arial"/>
          <w:sz w:val="14"/>
          <w:szCs w:val="14"/>
          <w:lang w:val="es-CO"/>
        </w:rPr>
        <w:t xml:space="preserve">Consejo de Estado. </w:t>
      </w:r>
      <w:r>
        <w:rPr>
          <w:rFonts w:ascii="Verdana" w:hAnsi="Verdana" w:cs="Arial"/>
          <w:sz w:val="14"/>
          <w:szCs w:val="14"/>
          <w:lang w:val="es-CO"/>
        </w:rPr>
        <w:t xml:space="preserve">Sala de lo Contencioso Administrativo. </w:t>
      </w:r>
      <w:r w:rsidRPr="009B2D87">
        <w:rPr>
          <w:rFonts w:ascii="Verdana" w:hAnsi="Verdana" w:cs="Arial"/>
          <w:sz w:val="14"/>
          <w:szCs w:val="14"/>
          <w:lang w:val="es-CO"/>
        </w:rPr>
        <w:t>Sección Tercera.</w:t>
      </w:r>
      <w:r>
        <w:rPr>
          <w:rFonts w:ascii="Verdana" w:hAnsi="Verdana" w:cs="Arial"/>
          <w:sz w:val="14"/>
          <w:szCs w:val="14"/>
          <w:lang w:val="es-CO"/>
        </w:rPr>
        <w:t xml:space="preserve"> Subsección B. </w:t>
      </w:r>
      <w:r w:rsidRPr="009B2D87">
        <w:rPr>
          <w:rFonts w:ascii="Verdana" w:hAnsi="Verdana" w:cs="Arial"/>
          <w:sz w:val="14"/>
          <w:szCs w:val="14"/>
          <w:lang w:val="es-CO"/>
        </w:rPr>
        <w:t xml:space="preserve">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footnote>
  <w:footnote w:id="8">
    <w:p w14:paraId="44AE6D61" w14:textId="77777777" w:rsidR="0076150C" w:rsidRPr="009B2D87" w:rsidRDefault="0076150C" w:rsidP="0076150C">
      <w:pPr>
        <w:pStyle w:val="NormalWeb"/>
        <w:spacing w:before="0" w:beforeAutospacing="0" w:after="0" w:afterAutospacing="0"/>
        <w:ind w:firstLine="708"/>
        <w:jc w:val="both"/>
        <w:rPr>
          <w:rFonts w:ascii="Verdana" w:hAnsi="Verdana" w:cs="Arial"/>
          <w:sz w:val="14"/>
          <w:szCs w:val="14"/>
        </w:rPr>
      </w:pPr>
      <w:r w:rsidRPr="009B2D87">
        <w:rPr>
          <w:rStyle w:val="Refdenotaalpie"/>
          <w:rFonts w:ascii="Verdana" w:hAnsi="Verdana" w:cs="Arial"/>
          <w:sz w:val="14"/>
          <w:szCs w:val="14"/>
        </w:rPr>
        <w:footnoteRef/>
      </w:r>
      <w:r w:rsidRPr="009B2D87">
        <w:rPr>
          <w:rFonts w:ascii="Verdana" w:hAnsi="Verdana" w:cs="Arial"/>
          <w:sz w:val="14"/>
          <w:szCs w:val="14"/>
        </w:rPr>
        <w:t xml:space="preserve"> Ley 1232 de 2008. “Artículo 1º. El artículo 2º de la Ley 82 de 1993 quedará así: </w:t>
      </w:r>
    </w:p>
    <w:p w14:paraId="72A7025E" w14:textId="77777777" w:rsidR="0076150C" w:rsidRPr="009B2D87" w:rsidRDefault="0076150C" w:rsidP="0076150C">
      <w:pPr>
        <w:spacing w:after="0"/>
        <w:jc w:val="both"/>
        <w:rPr>
          <w:rFonts w:ascii="Verdana" w:hAnsi="Verdana" w:cs="Arial"/>
          <w:sz w:val="14"/>
          <w:szCs w:val="14"/>
          <w:lang w:eastAsia="es-CO"/>
        </w:rPr>
      </w:pPr>
      <w:r w:rsidRPr="009B2D87">
        <w:rPr>
          <w:rFonts w:ascii="Verdana" w:hAnsi="Verdana" w:cs="Arial"/>
          <w:sz w:val="14"/>
          <w:szCs w:val="14"/>
          <w:lang w:eastAsia="es-CO"/>
        </w:rPr>
        <w:t>  </w:t>
      </w:r>
      <w:r w:rsidRPr="009B2D87">
        <w:rPr>
          <w:rFonts w:ascii="Verdana" w:hAnsi="Verdana" w:cs="Arial"/>
          <w:sz w:val="14"/>
          <w:szCs w:val="14"/>
          <w:lang w:eastAsia="es-CO"/>
        </w:rPr>
        <w:tab/>
        <w:t xml:space="preserve">Artículo </w:t>
      </w:r>
      <w:proofErr w:type="gramStart"/>
      <w:r w:rsidRPr="009B2D87">
        <w:rPr>
          <w:rFonts w:ascii="Verdana" w:hAnsi="Verdana" w:cs="Arial"/>
          <w:sz w:val="14"/>
          <w:szCs w:val="14"/>
          <w:lang w:eastAsia="es-CO"/>
        </w:rPr>
        <w:t>2º.</w:t>
      </w:r>
      <w:r w:rsidRPr="009B2D87">
        <w:rPr>
          <w:rFonts w:ascii="Verdana" w:hAnsi="Verdana" w:cs="Arial"/>
          <w:i/>
          <w:iCs/>
          <w:sz w:val="14"/>
          <w:szCs w:val="14"/>
          <w:lang w:eastAsia="es-CO"/>
        </w:rPr>
        <w:t>Jefatura</w:t>
      </w:r>
      <w:proofErr w:type="gramEnd"/>
      <w:r w:rsidRPr="009B2D87">
        <w:rPr>
          <w:rFonts w:ascii="Verdana" w:hAnsi="Verdana" w:cs="Arial"/>
          <w:i/>
          <w:iCs/>
          <w:sz w:val="14"/>
          <w:szCs w:val="14"/>
          <w:lang w:eastAsia="es-CO"/>
        </w:rPr>
        <w:t xml:space="preserve"> femenina de hogar. </w:t>
      </w:r>
      <w:r w:rsidRPr="009B2D87">
        <w:rPr>
          <w:rFonts w:ascii="Verdana" w:hAnsi="Verdana" w:cs="Arial"/>
          <w:sz w:val="14"/>
          <w:szCs w:val="14"/>
          <w:lang w:eastAsia="es-CO"/>
        </w:rPr>
        <w:t>Para los efectos de la presente ley, la Jefatura Femenina de Hogar, es una categoría social de los hogares, derivada de los cambios sociodemográficos, económicos, culturales y de las relaciones de género que se han producido en la estructura familiar, en las subjetividades, representaciones e identidades de las mujeres que redefinen su posición y condición en los procesos de reproducción y producción social, que es objeto de políticas públicas en las que participan instituciones estatales, privadas y sectores de la sociedad civil. </w:t>
      </w:r>
    </w:p>
    <w:p w14:paraId="0C12D214" w14:textId="77777777" w:rsidR="0076150C" w:rsidRPr="009B2D87" w:rsidRDefault="0076150C" w:rsidP="0076150C">
      <w:pPr>
        <w:spacing w:after="0"/>
        <w:jc w:val="both"/>
        <w:rPr>
          <w:rFonts w:ascii="Verdana" w:hAnsi="Verdana" w:cs="Arial"/>
          <w:sz w:val="14"/>
          <w:szCs w:val="14"/>
          <w:lang w:eastAsia="es-CO"/>
        </w:rPr>
      </w:pPr>
      <w:r w:rsidRPr="009B2D87">
        <w:rPr>
          <w:rFonts w:ascii="Verdana" w:hAnsi="Verdana" w:cs="Arial"/>
          <w:sz w:val="14"/>
          <w:szCs w:val="14"/>
          <w:lang w:eastAsia="es-CO"/>
        </w:rPr>
        <w:t>  </w:t>
      </w:r>
      <w:r w:rsidRPr="009B2D87">
        <w:rPr>
          <w:rFonts w:ascii="Verdana" w:hAnsi="Verdana" w:cs="Arial"/>
          <w:sz w:val="14"/>
          <w:szCs w:val="14"/>
          <w:lang w:eastAsia="es-CO"/>
        </w:rPr>
        <w:tab/>
        <w:t xml:space="preserve">En concordancia con lo anterior, es Mujer Cabeza de Familia, </w:t>
      </w:r>
      <w:proofErr w:type="gramStart"/>
      <w:r w:rsidRPr="009B2D87">
        <w:rPr>
          <w:rFonts w:ascii="Verdana" w:hAnsi="Verdana" w:cs="Arial"/>
          <w:sz w:val="14"/>
          <w:szCs w:val="14"/>
          <w:lang w:eastAsia="es-CO"/>
        </w:rPr>
        <w:t>quien</w:t>
      </w:r>
      <w:proofErr w:type="gramEnd"/>
      <w:r w:rsidRPr="009B2D87">
        <w:rPr>
          <w:rFonts w:ascii="Verdana" w:hAnsi="Verdana" w:cs="Arial"/>
          <w:sz w:val="14"/>
          <w:szCs w:val="14"/>
          <w:lang w:eastAsia="es-CO"/>
        </w:rPr>
        <w:t xml:space="preserve"> siendo soltera o casada, ejerce la jefatura femenina de hogar y tiene bajo su cargo, afectiva, económica o socialmente, en forma permanente, hijos menores propios u otras personas incapaces o incapacitadas para trabajar, ya sea por ausencia permanente o incapacidad física, sensorial, síquica o moral del cónyuge o compañero permanente o deficiencia sustancial de ayuda de los demás miembros del núcleo familiar. </w:t>
      </w:r>
    </w:p>
    <w:p w14:paraId="4911FB8B" w14:textId="77777777" w:rsidR="0076150C" w:rsidRPr="009B2D87" w:rsidRDefault="0076150C" w:rsidP="0076150C">
      <w:pPr>
        <w:spacing w:after="0"/>
        <w:jc w:val="both"/>
        <w:rPr>
          <w:rFonts w:ascii="Verdana" w:hAnsi="Verdana" w:cs="Arial"/>
          <w:sz w:val="14"/>
          <w:szCs w:val="14"/>
          <w:lang w:eastAsia="es-CO"/>
        </w:rPr>
      </w:pPr>
      <w:r w:rsidRPr="009B2D87">
        <w:rPr>
          <w:rFonts w:ascii="Verdana" w:hAnsi="Verdana" w:cs="Arial"/>
          <w:sz w:val="14"/>
          <w:szCs w:val="14"/>
          <w:lang w:eastAsia="es-CO"/>
        </w:rPr>
        <w:t>  </w:t>
      </w:r>
      <w:r w:rsidRPr="009B2D87">
        <w:rPr>
          <w:rFonts w:ascii="Verdana" w:hAnsi="Verdana" w:cs="Arial"/>
          <w:sz w:val="14"/>
          <w:szCs w:val="14"/>
          <w:lang w:eastAsia="es-CO"/>
        </w:rPr>
        <w:tab/>
        <w:t>Parágrafo.</w:t>
      </w:r>
      <w:r w:rsidRPr="009B2D87">
        <w:rPr>
          <w:rFonts w:ascii="Verdana" w:hAnsi="Verdana" w:cs="Arial"/>
          <w:b/>
          <w:bCs/>
          <w:sz w:val="14"/>
          <w:szCs w:val="14"/>
          <w:lang w:eastAsia="es-CO"/>
        </w:rPr>
        <w:t> </w:t>
      </w:r>
      <w:r w:rsidRPr="009B2D87">
        <w:rPr>
          <w:rFonts w:ascii="Verdana" w:hAnsi="Verdana" w:cs="Arial"/>
          <w:sz w:val="14"/>
          <w:szCs w:val="14"/>
          <w:lang w:eastAsia="es-CO"/>
        </w:rPr>
        <w:t xml:space="preserve">La condición de Mujer Cabeza de Familia y la cesación de </w:t>
      </w:r>
      <w:proofErr w:type="gramStart"/>
      <w:r w:rsidRPr="009B2D87">
        <w:rPr>
          <w:rFonts w:ascii="Verdana" w:hAnsi="Verdana" w:cs="Arial"/>
          <w:sz w:val="14"/>
          <w:szCs w:val="14"/>
          <w:lang w:eastAsia="es-CO"/>
        </w:rPr>
        <w:t>la misma</w:t>
      </w:r>
      <w:proofErr w:type="gramEnd"/>
      <w:r w:rsidRPr="009B2D87">
        <w:rPr>
          <w:rFonts w:ascii="Verdana" w:hAnsi="Verdana" w:cs="Arial"/>
          <w:sz w:val="14"/>
          <w:szCs w:val="14"/>
          <w:lang w:eastAsia="es-CO"/>
        </w:rPr>
        <w:t>, desde el momento en que ocurra el respectivo evento, deberá ser declarada ante notario por cada una de ellas, expresando las circunstancias básicas del respectivo caso y sin que por este concepto se causen emolumentos notariales a su cargo”. </w:t>
      </w:r>
    </w:p>
    <w:p w14:paraId="51EBD8C4" w14:textId="77777777" w:rsidR="0076150C" w:rsidRPr="009B2D87" w:rsidRDefault="0076150C" w:rsidP="0076150C">
      <w:pPr>
        <w:spacing w:after="0"/>
        <w:jc w:val="both"/>
        <w:rPr>
          <w:rFonts w:ascii="Verdana" w:hAnsi="Verdana" w:cs="Arial"/>
          <w:sz w:val="14"/>
          <w:szCs w:val="14"/>
          <w:lang w:eastAsia="es-CO"/>
        </w:rPr>
      </w:pPr>
    </w:p>
  </w:footnote>
  <w:footnote w:id="9">
    <w:p w14:paraId="5FE7A5CD" w14:textId="77777777" w:rsidR="0076150C" w:rsidRPr="009B2D87" w:rsidRDefault="0076150C" w:rsidP="0076150C">
      <w:pPr>
        <w:pStyle w:val="Textonotapie"/>
        <w:ind w:firstLine="709"/>
        <w:jc w:val="both"/>
        <w:rPr>
          <w:rFonts w:ascii="Verdana" w:hAnsi="Verdana" w:cs="Arial"/>
          <w:sz w:val="14"/>
          <w:szCs w:val="14"/>
          <w:lang w:val="es-CO"/>
        </w:rPr>
      </w:pPr>
      <w:r w:rsidRPr="009B2D87">
        <w:rPr>
          <w:rStyle w:val="Refdenotaalpie"/>
          <w:rFonts w:ascii="Verdana" w:hAnsi="Verdana" w:cs="Arial"/>
          <w:sz w:val="14"/>
          <w:szCs w:val="14"/>
          <w:lang w:val="es-CO"/>
        </w:rPr>
        <w:footnoteRef/>
      </w:r>
      <w:r w:rsidRPr="009B2D87">
        <w:rPr>
          <w:rFonts w:ascii="Verdana" w:hAnsi="Verdana" w:cs="Arial"/>
          <w:sz w:val="14"/>
          <w:szCs w:val="14"/>
          <w:lang w:val="es-CO"/>
        </w:rPr>
        <w:t xml:space="preserve"> </w:t>
      </w:r>
      <w:r w:rsidRPr="009B2D87">
        <w:rPr>
          <w:rFonts w:ascii="Verdana" w:eastAsia="Calibri" w:hAnsi="Verdana" w:cs="Arial"/>
          <w:sz w:val="14"/>
          <w:szCs w:val="14"/>
          <w:lang w:val="es-CO"/>
        </w:rPr>
        <w:t>Como lo ha indicado la Corte Constitucional, “[…] la condición de padre o madre cabeza de familia se acredita cuando la persona (i) tiene la responsabilidad permanente de hijos menores o personas incapacitadas para trabajar, (</w:t>
      </w:r>
      <w:proofErr w:type="spellStart"/>
      <w:r w:rsidRPr="009B2D87">
        <w:rPr>
          <w:rFonts w:ascii="Verdana" w:eastAsia="Calibri" w:hAnsi="Verdana" w:cs="Arial"/>
          <w:sz w:val="14"/>
          <w:szCs w:val="14"/>
          <w:lang w:val="es-CO"/>
        </w:rPr>
        <w:t>ii</w:t>
      </w:r>
      <w:proofErr w:type="spellEnd"/>
      <w:r w:rsidRPr="009B2D87">
        <w:rPr>
          <w:rFonts w:ascii="Verdana" w:eastAsia="Calibri" w:hAnsi="Verdana" w:cs="Arial"/>
          <w:sz w:val="14"/>
          <w:szCs w:val="14"/>
          <w:lang w:val="es-CO"/>
        </w:rPr>
        <w:t>) no cuenta con la ayuda de otros miembros de la familia y (</w:t>
      </w:r>
      <w:proofErr w:type="spellStart"/>
      <w:r w:rsidRPr="009B2D87">
        <w:rPr>
          <w:rFonts w:ascii="Verdana" w:eastAsia="Calibri" w:hAnsi="Verdana" w:cs="Arial"/>
          <w:sz w:val="14"/>
          <w:szCs w:val="14"/>
          <w:lang w:val="es-CO"/>
        </w:rPr>
        <w:t>iii</w:t>
      </w:r>
      <w:proofErr w:type="spellEnd"/>
      <w:r w:rsidRPr="009B2D87">
        <w:rPr>
          <w:rFonts w:ascii="Verdana" w:eastAsia="Calibri" w:hAnsi="Verdana" w:cs="Arial"/>
          <w:sz w:val="14"/>
          <w:szCs w:val="14"/>
          <w:lang w:val="es-CO"/>
        </w:rPr>
        <w:t xml:space="preserve">)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 </w:t>
      </w:r>
      <w:r w:rsidRPr="009B2D87">
        <w:rPr>
          <w:rFonts w:ascii="Verdana" w:hAnsi="Verdana" w:cs="Arial"/>
          <w:sz w:val="14"/>
          <w:szCs w:val="14"/>
          <w:lang w:val="es-CO"/>
        </w:rPr>
        <w:t>Sentencia T-003 de 2018. Magistrada Ponente: Cristina Pardo Schlesinger.</w:t>
      </w:r>
    </w:p>
    <w:p w14:paraId="54D09811" w14:textId="77777777" w:rsidR="0076150C" w:rsidRPr="009B2D87" w:rsidRDefault="0076150C" w:rsidP="0076150C">
      <w:pPr>
        <w:pStyle w:val="Textonotapie"/>
        <w:ind w:firstLine="709"/>
        <w:jc w:val="both"/>
        <w:rPr>
          <w:rFonts w:ascii="Verdana" w:hAnsi="Verdana" w:cs="Arial"/>
          <w:sz w:val="14"/>
          <w:szCs w:val="14"/>
          <w:lang w:val="es-CO"/>
        </w:rPr>
      </w:pPr>
    </w:p>
  </w:footnote>
  <w:footnote w:id="10">
    <w:p w14:paraId="6166A1E9" w14:textId="77777777" w:rsidR="0076150C" w:rsidRPr="009B2D87" w:rsidRDefault="0076150C" w:rsidP="0076150C">
      <w:pPr>
        <w:pStyle w:val="Textonotapie"/>
        <w:ind w:firstLine="708"/>
        <w:jc w:val="both"/>
        <w:rPr>
          <w:rFonts w:ascii="Verdana" w:hAnsi="Verdana"/>
          <w:sz w:val="14"/>
          <w:szCs w:val="14"/>
          <w:lang w:val="es-CO"/>
        </w:rPr>
      </w:pPr>
      <w:r w:rsidRPr="009B2D87">
        <w:rPr>
          <w:rStyle w:val="Refdenotaalpie"/>
          <w:rFonts w:ascii="Verdana" w:hAnsi="Verdana"/>
          <w:sz w:val="14"/>
          <w:szCs w:val="14"/>
          <w:lang w:val="es-CO"/>
        </w:rPr>
        <w:footnoteRef/>
      </w:r>
      <w:r w:rsidRPr="009B2D87">
        <w:rPr>
          <w:rFonts w:ascii="Verdana" w:hAnsi="Verdana"/>
          <w:sz w:val="14"/>
          <w:szCs w:val="14"/>
          <w:lang w:val="es-CO"/>
        </w:rPr>
        <w:t xml:space="preserve"> El Diccionario de la Lengua Española. Consultado en: </w:t>
      </w:r>
      <w:hyperlink r:id="rId2" w:history="1">
        <w:r w:rsidRPr="009B2D87">
          <w:rPr>
            <w:rStyle w:val="Hipervnculo"/>
            <w:rFonts w:ascii="Verdana" w:hAnsi="Verdana"/>
            <w:sz w:val="14"/>
            <w:szCs w:val="14"/>
            <w:lang w:val="es-CO"/>
          </w:rPr>
          <w:t>https://dle.rae.es/participar</w:t>
        </w:r>
      </w:hyperlink>
      <w:r w:rsidRPr="009B2D87">
        <w:rPr>
          <w:rFonts w:ascii="Verdana" w:hAnsi="Verdana"/>
          <w:sz w:val="14"/>
          <w:szCs w:val="14"/>
          <w:lang w:val="es-CO"/>
        </w:rPr>
        <w:t xml:space="preserve">. </w:t>
      </w:r>
    </w:p>
  </w:footnote>
  <w:footnote w:id="11">
    <w:p w14:paraId="395E4A67" w14:textId="77777777" w:rsidR="0076150C" w:rsidRPr="008E4F36" w:rsidRDefault="0076150C" w:rsidP="0076150C">
      <w:pPr>
        <w:pBdr>
          <w:top w:val="nil"/>
          <w:left w:val="nil"/>
          <w:bottom w:val="nil"/>
          <w:right w:val="nil"/>
          <w:between w:val="nil"/>
        </w:pBdr>
        <w:spacing w:after="0"/>
        <w:ind w:firstLine="709"/>
        <w:jc w:val="both"/>
        <w:rPr>
          <w:rFonts w:ascii="Verdana" w:eastAsia="Arial" w:hAnsi="Verdana" w:cs="Arial"/>
          <w:color w:val="000000"/>
          <w:sz w:val="14"/>
          <w:szCs w:val="14"/>
        </w:rPr>
      </w:pPr>
      <w:r w:rsidRPr="008E4F36">
        <w:rPr>
          <w:rFonts w:ascii="Verdana" w:hAnsi="Verdana" w:cs="Arial"/>
          <w:sz w:val="14"/>
          <w:szCs w:val="14"/>
          <w:vertAlign w:val="superscript"/>
        </w:rPr>
        <w:footnoteRef/>
      </w:r>
      <w:r w:rsidRPr="008E4F36">
        <w:rPr>
          <w:rFonts w:ascii="Verdana" w:eastAsia="Arial" w:hAnsi="Verdana" w:cs="Arial"/>
          <w:color w:val="000000"/>
          <w:sz w:val="14"/>
          <w:szCs w:val="14"/>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71591454" w14:textId="77777777" w:rsidR="0076150C" w:rsidRPr="008E4F36" w:rsidRDefault="0076150C" w:rsidP="0076150C">
      <w:pPr>
        <w:pBdr>
          <w:top w:val="nil"/>
          <w:left w:val="nil"/>
          <w:bottom w:val="nil"/>
          <w:right w:val="nil"/>
          <w:between w:val="nil"/>
        </w:pBdr>
        <w:spacing w:after="0"/>
        <w:ind w:firstLine="709"/>
        <w:jc w:val="both"/>
        <w:rPr>
          <w:rFonts w:ascii="Verdana" w:eastAsia="Arial" w:hAnsi="Verdana" w:cs="Arial"/>
          <w:color w:val="000000"/>
          <w:sz w:val="14"/>
          <w:szCs w:val="14"/>
        </w:rPr>
      </w:pPr>
    </w:p>
  </w:footnote>
  <w:footnote w:id="12">
    <w:p w14:paraId="016DBC3A" w14:textId="77777777" w:rsidR="0076150C" w:rsidRPr="008E4F36" w:rsidRDefault="0076150C" w:rsidP="0076150C">
      <w:pPr>
        <w:pBdr>
          <w:top w:val="nil"/>
          <w:left w:val="nil"/>
          <w:bottom w:val="nil"/>
          <w:right w:val="nil"/>
          <w:between w:val="nil"/>
        </w:pBdr>
        <w:spacing w:after="0"/>
        <w:ind w:firstLine="709"/>
        <w:jc w:val="both"/>
        <w:rPr>
          <w:rFonts w:ascii="Verdana" w:eastAsia="Arial" w:hAnsi="Verdana" w:cs="Arial"/>
          <w:color w:val="000000"/>
          <w:sz w:val="16"/>
          <w:szCs w:val="16"/>
        </w:rPr>
      </w:pPr>
      <w:r w:rsidRPr="008E4F36">
        <w:rPr>
          <w:rFonts w:ascii="Verdana" w:hAnsi="Verdana" w:cs="Arial"/>
          <w:sz w:val="14"/>
          <w:szCs w:val="14"/>
          <w:vertAlign w:val="superscript"/>
        </w:rPr>
        <w:footnoteRef/>
      </w:r>
      <w:r w:rsidRPr="008E4F36">
        <w:rPr>
          <w:rFonts w:ascii="Verdana" w:eastAsia="Arial" w:hAnsi="Verdana" w:cs="Arial"/>
          <w:color w:val="000000"/>
          <w:sz w:val="14"/>
          <w:szCs w:val="14"/>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3">
    <w:p w14:paraId="69DAAB26" w14:textId="77777777" w:rsidR="0076150C" w:rsidRPr="008E4F36" w:rsidRDefault="0076150C" w:rsidP="0076150C">
      <w:pPr>
        <w:pBdr>
          <w:top w:val="nil"/>
          <w:left w:val="nil"/>
          <w:bottom w:val="nil"/>
          <w:right w:val="nil"/>
          <w:between w:val="nil"/>
        </w:pBdr>
        <w:spacing w:after="0"/>
        <w:ind w:firstLine="709"/>
        <w:jc w:val="both"/>
        <w:rPr>
          <w:rFonts w:ascii="Verdana" w:eastAsia="Arial" w:hAnsi="Verdana" w:cs="Arial"/>
          <w:color w:val="000000"/>
          <w:sz w:val="14"/>
          <w:szCs w:val="14"/>
        </w:rPr>
      </w:pPr>
      <w:r w:rsidRPr="008E4F36">
        <w:rPr>
          <w:rFonts w:ascii="Verdana" w:hAnsi="Verdana" w:cs="Arial"/>
          <w:sz w:val="14"/>
          <w:szCs w:val="14"/>
          <w:vertAlign w:val="superscript"/>
        </w:rPr>
        <w:footnoteRef/>
      </w:r>
      <w:r w:rsidRPr="008E4F36">
        <w:rPr>
          <w:rFonts w:ascii="Verdana" w:eastAsia="Arial" w:hAnsi="Verdana" w:cs="Arial"/>
          <w:color w:val="000000"/>
          <w:sz w:val="14"/>
          <w:szCs w:val="14"/>
        </w:rPr>
        <w:t xml:space="preserve"> Consejo de Estado. Sala de lo Contencioso Administrativo. Sección Tercera, Subsección C. Sentencia del 26 de febrero de 2014. C.P. Enrique Gil Botero, Rad. 1999-00113-01 (25.804). </w:t>
      </w:r>
    </w:p>
  </w:footnote>
  <w:footnote w:id="14">
    <w:p w14:paraId="04E4C5D9" w14:textId="77777777" w:rsidR="0076150C" w:rsidRPr="008E4F36" w:rsidRDefault="0076150C" w:rsidP="0076150C">
      <w:pPr>
        <w:pBdr>
          <w:top w:val="nil"/>
          <w:left w:val="nil"/>
          <w:bottom w:val="nil"/>
          <w:right w:val="nil"/>
          <w:between w:val="nil"/>
        </w:pBdr>
        <w:spacing w:after="0"/>
        <w:ind w:firstLine="709"/>
        <w:jc w:val="both"/>
        <w:rPr>
          <w:rFonts w:ascii="Verdana" w:eastAsia="Arial" w:hAnsi="Verdana" w:cs="Arial"/>
          <w:color w:val="000000"/>
          <w:sz w:val="14"/>
          <w:szCs w:val="14"/>
        </w:rPr>
      </w:pPr>
      <w:r w:rsidRPr="008E4F36">
        <w:rPr>
          <w:rFonts w:ascii="Verdana" w:hAnsi="Verdana" w:cs="Arial"/>
          <w:sz w:val="14"/>
          <w:szCs w:val="14"/>
          <w:vertAlign w:val="superscript"/>
        </w:rPr>
        <w:footnoteRef/>
      </w:r>
      <w:r w:rsidRPr="008E4F36">
        <w:rPr>
          <w:rFonts w:ascii="Verdana" w:eastAsia="Arial" w:hAnsi="Verdana" w:cs="Arial"/>
          <w:color w:val="000000"/>
          <w:sz w:val="14"/>
          <w:szCs w:val="14"/>
          <w:vertAlign w:val="superscript"/>
        </w:rPr>
        <w:t xml:space="preserve"> </w:t>
      </w:r>
      <w:r w:rsidRPr="008E4F36">
        <w:rPr>
          <w:rFonts w:ascii="Verdana" w:eastAsia="Arial" w:hAnsi="Verdana" w:cs="Arial"/>
          <w:color w:val="000000"/>
          <w:sz w:val="14"/>
          <w:szCs w:val="14"/>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5">
    <w:p w14:paraId="5786CA22" w14:textId="77777777" w:rsidR="0076150C" w:rsidRPr="00315CB1" w:rsidRDefault="0076150C" w:rsidP="0076150C">
      <w:pPr>
        <w:pStyle w:val="Textonotapie"/>
        <w:ind w:firstLine="708"/>
        <w:jc w:val="both"/>
        <w:rPr>
          <w:rFonts w:ascii="Verdana" w:hAnsi="Verdana" w:cs="Arial"/>
          <w:color w:val="000000" w:themeColor="text1"/>
          <w:sz w:val="14"/>
          <w:szCs w:val="14"/>
          <w:lang w:val="es-CO"/>
        </w:rPr>
      </w:pPr>
      <w:r w:rsidRPr="00315CB1">
        <w:rPr>
          <w:rFonts w:ascii="Verdana" w:eastAsia="Arial" w:hAnsi="Verdana" w:cs="Arial"/>
          <w:color w:val="000000" w:themeColor="text1"/>
          <w:sz w:val="14"/>
          <w:szCs w:val="14"/>
          <w:vertAlign w:val="superscript"/>
          <w:lang w:val="es-CO"/>
        </w:rPr>
        <w:footnoteRef/>
      </w:r>
      <w:r w:rsidRPr="00315CB1">
        <w:rPr>
          <w:rFonts w:ascii="Verdana" w:eastAsia="Arial" w:hAnsi="Verdana" w:cs="Arial"/>
          <w:color w:val="000000" w:themeColor="text1"/>
          <w:sz w:val="14"/>
          <w:szCs w:val="14"/>
          <w:vertAlign w:val="superscript"/>
          <w:lang w:val="es-CO"/>
        </w:rPr>
        <w:t xml:space="preserve"> </w:t>
      </w:r>
      <w:r w:rsidRPr="00315CB1">
        <w:rPr>
          <w:rFonts w:ascii="Verdana" w:eastAsia="Arial" w:hAnsi="Verdana" w:cs="Arial"/>
          <w:color w:val="000000" w:themeColor="text1"/>
          <w:sz w:val="14"/>
          <w:szCs w:val="14"/>
          <w:lang w:val="es-CO"/>
        </w:rPr>
        <w:t>Consejo de Estado. Sala de Consulta y Servicio Civil. Concepto del 20 de mayo de 2010. No. de Radicado: 11001-03-06-000-2010-00034-00(1992). C.P. Enrique José Arboleda Perdomo.</w:t>
      </w:r>
    </w:p>
    <w:p w14:paraId="69054BF2" w14:textId="77777777" w:rsidR="0076150C" w:rsidRPr="00315CB1" w:rsidRDefault="0076150C" w:rsidP="0076150C">
      <w:pPr>
        <w:pStyle w:val="Textonotapie"/>
        <w:ind w:firstLine="708"/>
        <w:jc w:val="both"/>
        <w:rPr>
          <w:rFonts w:ascii="Verdana" w:hAnsi="Verdana" w:cs="Arial"/>
          <w:color w:val="000000" w:themeColor="text1"/>
          <w:sz w:val="14"/>
          <w:szCs w:val="14"/>
          <w:lang w:val="es-CO"/>
        </w:rPr>
      </w:pPr>
    </w:p>
  </w:footnote>
  <w:footnote w:id="16">
    <w:p w14:paraId="0B3F7BB4" w14:textId="77777777" w:rsidR="0076150C" w:rsidRPr="00315CB1" w:rsidRDefault="0076150C" w:rsidP="0076150C">
      <w:pPr>
        <w:pStyle w:val="Textonotapie"/>
        <w:ind w:firstLine="708"/>
        <w:jc w:val="both"/>
        <w:rPr>
          <w:rFonts w:ascii="Verdana" w:hAnsi="Verdana" w:cs="Arial"/>
          <w:color w:val="000000" w:themeColor="text1"/>
          <w:sz w:val="14"/>
          <w:szCs w:val="14"/>
          <w:lang w:val="es-CO"/>
        </w:rPr>
      </w:pPr>
      <w:r w:rsidRPr="00315CB1">
        <w:rPr>
          <w:rStyle w:val="Refdenotaalpie"/>
          <w:rFonts w:ascii="Verdana" w:hAnsi="Verdana" w:cs="Arial"/>
          <w:color w:val="000000" w:themeColor="text1"/>
          <w:sz w:val="14"/>
          <w:szCs w:val="14"/>
          <w:lang w:val="es-CO"/>
        </w:rPr>
        <w:footnoteRef/>
      </w:r>
      <w:r w:rsidRPr="00315CB1">
        <w:rPr>
          <w:rFonts w:ascii="Verdana" w:hAnsi="Verdana" w:cs="Arial"/>
          <w:color w:val="000000" w:themeColor="text1"/>
          <w:sz w:val="14"/>
          <w:szCs w:val="14"/>
          <w:lang w:val="es-CO"/>
        </w:rPr>
        <w:t xml:space="preserve"> </w:t>
      </w:r>
      <w:r w:rsidRPr="00315CB1">
        <w:rPr>
          <w:rFonts w:ascii="Verdana" w:eastAsia="Arial" w:hAnsi="Verdana" w:cs="Arial"/>
          <w:color w:val="000000" w:themeColor="text1"/>
          <w:sz w:val="14"/>
          <w:szCs w:val="14"/>
          <w:lang w:val="es-CO"/>
        </w:rPr>
        <w:t>Consejo de Estado. Sala de Consulta y Servicio Civil. Concepto del 20 de mayo de 2010. No. de Radicado: 11001-03-06-000-2010-00034-00(1992). C.P. Enrique José Arboleda Perdomo.</w:t>
      </w:r>
    </w:p>
  </w:footnote>
  <w:footnote w:id="17">
    <w:p w14:paraId="1D795460" w14:textId="77777777" w:rsidR="0076150C" w:rsidRPr="00F3358E" w:rsidRDefault="0076150C" w:rsidP="0076150C">
      <w:pPr>
        <w:pStyle w:val="Textonotapie"/>
        <w:ind w:firstLine="708"/>
        <w:jc w:val="both"/>
        <w:rPr>
          <w:rFonts w:ascii="Verdana" w:hAnsi="Verdana" w:cs="Arial"/>
          <w:sz w:val="14"/>
          <w:szCs w:val="14"/>
          <w:lang w:val="es-CO"/>
        </w:rPr>
      </w:pPr>
      <w:r w:rsidRPr="00F3358E">
        <w:rPr>
          <w:rStyle w:val="Refdenotaalpie"/>
          <w:rFonts w:ascii="Verdana" w:hAnsi="Verdana" w:cs="Arial"/>
          <w:sz w:val="14"/>
          <w:szCs w:val="14"/>
          <w:lang w:val="es-CO"/>
        </w:rPr>
        <w:footnoteRef/>
      </w:r>
      <w:r w:rsidRPr="00F3358E">
        <w:rPr>
          <w:rFonts w:ascii="Verdana" w:hAnsi="Verdana" w:cs="Arial"/>
          <w:sz w:val="14"/>
          <w:szCs w:val="14"/>
          <w:lang w:val="es-CO"/>
        </w:rPr>
        <w:t xml:space="preserve"> El primer inciso del artículo 2º de la Ley 816 de 2003 dispone lo siguiente: “Las entidades de que trata el artículo 1° asignarán, dentro de los criterios de calificación de las propuestas, un puntaje comprendido entre el diez (10) y el veinte por ciento (20%), para estimular la industria colombiana cuando los proponentes oferten bienes o servicios nacionales”. Por su parte, el artículo 2.2.1.2.4.2.6 del Decreto 1082 de 2015 prescribe que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w:t>
      </w:r>
    </w:p>
    <w:p w14:paraId="52A6B241" w14:textId="77777777" w:rsidR="0076150C" w:rsidRPr="00F3358E" w:rsidRDefault="0076150C" w:rsidP="0076150C">
      <w:pPr>
        <w:pStyle w:val="Textonotapie"/>
        <w:rPr>
          <w:rFonts w:ascii="Verdana" w:hAnsi="Verdana"/>
          <w:sz w:val="14"/>
          <w:szCs w:val="14"/>
          <w:lang w:val="es-CO"/>
        </w:rPr>
      </w:pPr>
    </w:p>
  </w:footnote>
  <w:footnote w:id="18">
    <w:p w14:paraId="6011371C" w14:textId="77777777" w:rsidR="0076150C" w:rsidRDefault="0076150C" w:rsidP="0076150C">
      <w:pPr>
        <w:pStyle w:val="Textonotapie"/>
        <w:ind w:firstLine="708"/>
        <w:jc w:val="both"/>
        <w:rPr>
          <w:rFonts w:ascii="Verdana" w:hAnsi="Verdana"/>
          <w:sz w:val="14"/>
          <w:szCs w:val="14"/>
          <w:lang w:val="es-CO"/>
        </w:rPr>
      </w:pPr>
      <w:r w:rsidRPr="00F3358E">
        <w:rPr>
          <w:rStyle w:val="Refdenotaalpie"/>
          <w:rFonts w:ascii="Verdana" w:hAnsi="Verdana"/>
          <w:sz w:val="14"/>
          <w:szCs w:val="14"/>
          <w:lang w:val="es-CO"/>
        </w:rPr>
        <w:footnoteRef/>
      </w:r>
      <w:r w:rsidRPr="00F3358E">
        <w:rPr>
          <w:rFonts w:ascii="Verdana" w:hAnsi="Verdana"/>
          <w:sz w:val="14"/>
          <w:szCs w:val="14"/>
          <w:lang w:val="es-CO"/>
        </w:rPr>
        <w:t xml:space="preserve"> El artículo 270 del CPACA dispone que “Para los efectos de este Código se tendrán como sentencias de unificación jurisprudencial las que profiera o haya proferido el Consejo de Estado por importancia jurídica o trascendencia económica o </w:t>
      </w:r>
      <w:r w:rsidRPr="006079AB">
        <w:rPr>
          <w:rFonts w:ascii="Verdana" w:hAnsi="Verdana"/>
          <w:sz w:val="14"/>
          <w:szCs w:val="14"/>
          <w:lang w:val="es-CO"/>
        </w:rPr>
        <w:t xml:space="preserve">social o por necesidad de unificar o sentar jurisprudencia o precisar su alcance o resolver las divergencias en su interpretación y aplicación; las proferidas al decidir los recursos extraordinarios y las relativas al mecanismo eventual de revisión previsto en el artículo 36A de la Ley 270 de 1995, adicionado por el artículo 11 de la Ley 1285 de 2009”. El concepto es relevante para la aplicación del artículo 10 </w:t>
      </w:r>
      <w:r w:rsidRPr="006079AB">
        <w:rPr>
          <w:rFonts w:ascii="Verdana" w:hAnsi="Verdana"/>
          <w:i/>
          <w:iCs/>
          <w:sz w:val="14"/>
          <w:szCs w:val="14"/>
          <w:lang w:val="es-CO"/>
        </w:rPr>
        <w:t>ibidem</w:t>
      </w:r>
      <w:r w:rsidRPr="006079AB">
        <w:rPr>
          <w:rFonts w:ascii="Verdana" w:hAnsi="Verdana"/>
          <w:sz w:val="14"/>
          <w:szCs w:val="14"/>
          <w:lang w:val="es-CO"/>
        </w:rPr>
        <w:t xml:space="preserve">, el cual prescribe que “Al resolver los asuntos de su competencia, las autoridades aplicarán las disposiciones constitucionales, legales y reglamentarias de manera uniforme a situaciones que tengan los mismos supuestos fácticos y jurídicos. </w:t>
      </w:r>
      <w:r w:rsidRPr="006079AB">
        <w:rPr>
          <w:rFonts w:ascii="Verdana" w:hAnsi="Verdana"/>
          <w:i/>
          <w:iCs/>
          <w:sz w:val="14"/>
          <w:szCs w:val="14"/>
          <w:lang w:val="es-CO"/>
        </w:rPr>
        <w:t>Con este propósito, al adoptar las decisiones de su competencia, deberán tener en cuenta las sentencias de unificación jurisprudencial del Consejo de Estado en las que se interpreten y apliquen dichas normas</w:t>
      </w:r>
      <w:r w:rsidRPr="006079AB">
        <w:rPr>
          <w:rFonts w:ascii="Verdana" w:hAnsi="Verdana"/>
          <w:sz w:val="14"/>
          <w:szCs w:val="14"/>
          <w:lang w:val="es-CO"/>
        </w:rPr>
        <w:t xml:space="preserve">” (Énfasis fuera de texto) </w:t>
      </w:r>
    </w:p>
    <w:p w14:paraId="0F7C22AA" w14:textId="77777777" w:rsidR="0076150C" w:rsidRPr="006079AB" w:rsidRDefault="0076150C" w:rsidP="0076150C">
      <w:pPr>
        <w:pStyle w:val="Textonotapie"/>
        <w:ind w:firstLine="708"/>
        <w:jc w:val="both"/>
        <w:rPr>
          <w:rFonts w:ascii="Verdana" w:hAnsi="Verdana"/>
          <w:sz w:val="14"/>
          <w:szCs w:val="14"/>
          <w:lang w:val="es-CO"/>
        </w:rPr>
      </w:pPr>
    </w:p>
  </w:footnote>
  <w:footnote w:id="19">
    <w:p w14:paraId="284A800B" w14:textId="77777777" w:rsidR="0076150C" w:rsidRDefault="0076150C" w:rsidP="0076150C">
      <w:pPr>
        <w:pStyle w:val="Textonotapie"/>
        <w:ind w:firstLine="708"/>
        <w:jc w:val="both"/>
        <w:rPr>
          <w:rFonts w:ascii="Verdana" w:hAnsi="Verdana"/>
          <w:sz w:val="14"/>
          <w:szCs w:val="14"/>
          <w:lang w:val="es-CO"/>
        </w:rPr>
      </w:pPr>
      <w:r w:rsidRPr="006079AB">
        <w:rPr>
          <w:rStyle w:val="Refdenotaalpie"/>
          <w:rFonts w:ascii="Verdana" w:hAnsi="Verdana"/>
          <w:sz w:val="14"/>
          <w:szCs w:val="14"/>
          <w:lang w:val="es-CO"/>
        </w:rPr>
        <w:footnoteRef/>
      </w:r>
      <w:r w:rsidRPr="006079AB">
        <w:rPr>
          <w:rFonts w:ascii="Verdana" w:hAnsi="Verdana"/>
          <w:sz w:val="14"/>
          <w:szCs w:val="14"/>
          <w:lang w:val="es-CO"/>
        </w:rPr>
        <w:t xml:space="preserve"> Como explica la doctrina, “La eficacia vinculante que la decisión del juez despliega como cosa juzgada respecto del caso decidido, se considera conceptualmente distinta de la autoridad que el criterio de decisión en ella adoptada (la llamada </w:t>
      </w:r>
      <w:r w:rsidRPr="006079AB">
        <w:rPr>
          <w:rFonts w:ascii="Verdana" w:hAnsi="Verdana"/>
          <w:i/>
          <w:iCs/>
          <w:sz w:val="14"/>
          <w:szCs w:val="14"/>
          <w:lang w:val="es-CO"/>
        </w:rPr>
        <w:t xml:space="preserve">ratio </w:t>
      </w:r>
      <w:proofErr w:type="spellStart"/>
      <w:r w:rsidRPr="006079AB">
        <w:rPr>
          <w:rFonts w:ascii="Verdana" w:hAnsi="Verdana"/>
          <w:i/>
          <w:iCs/>
          <w:sz w:val="14"/>
          <w:szCs w:val="14"/>
          <w:lang w:val="es-CO"/>
        </w:rPr>
        <w:t>decidendi</w:t>
      </w:r>
      <w:proofErr w:type="spellEnd"/>
      <w:r w:rsidRPr="006079AB">
        <w:rPr>
          <w:rFonts w:ascii="Verdana" w:hAnsi="Verdana"/>
          <w:sz w:val="14"/>
          <w:szCs w:val="14"/>
          <w:lang w:val="es-CO"/>
        </w:rPr>
        <w:t xml:space="preserve">) pueda desplegar sobre la convicción de los juicios futuros que vengan llamados a decidir casos semejantes. La autoridad de la decisión precedente en este segundo aspecto no se impone al futuro juez como un precepto jurídico a observar, sino que hace referencia únicamente a la inteligencia y al sentido crítico del que ha de decidir, llamándolo a apreciar el criterio de decisión adoptado en cuanto a su valor interpretativo, o sea a reconocer si éste responde a las exigencias del caso decisivo y al esquema de coherencia del </w:t>
      </w:r>
      <w:r w:rsidRPr="006079AB">
        <w:rPr>
          <w:rFonts w:ascii="Verdana" w:hAnsi="Verdana"/>
          <w:i/>
          <w:iCs/>
          <w:sz w:val="14"/>
          <w:szCs w:val="14"/>
          <w:lang w:val="es-CO"/>
        </w:rPr>
        <w:t xml:space="preserve">ius </w:t>
      </w:r>
      <w:proofErr w:type="spellStart"/>
      <w:r w:rsidRPr="006079AB">
        <w:rPr>
          <w:rFonts w:ascii="Verdana" w:hAnsi="Verdana"/>
          <w:i/>
          <w:iCs/>
          <w:sz w:val="14"/>
          <w:szCs w:val="14"/>
          <w:lang w:val="es-CO"/>
        </w:rPr>
        <w:t>conditum</w:t>
      </w:r>
      <w:proofErr w:type="spellEnd"/>
      <w:r w:rsidRPr="006079AB">
        <w:rPr>
          <w:rFonts w:ascii="Verdana" w:hAnsi="Verdana"/>
          <w:sz w:val="14"/>
          <w:szCs w:val="14"/>
          <w:lang w:val="es-CO"/>
        </w:rPr>
        <w:t xml:space="preserve">, es decir, si representa en suma una interpretación exacta de las normas jurídicas en discusión […]” (BETTI, Emilio. La interpretación de la ley y los actos jurídicos. Santiago: Ediciones </w:t>
      </w:r>
      <w:proofErr w:type="spellStart"/>
      <w:r w:rsidRPr="006079AB">
        <w:rPr>
          <w:rFonts w:ascii="Verdana" w:hAnsi="Verdana"/>
          <w:sz w:val="14"/>
          <w:szCs w:val="14"/>
          <w:lang w:val="es-CO"/>
        </w:rPr>
        <w:t>Olejnik</w:t>
      </w:r>
      <w:proofErr w:type="spellEnd"/>
      <w:r w:rsidRPr="006079AB">
        <w:rPr>
          <w:rFonts w:ascii="Verdana" w:hAnsi="Verdana"/>
          <w:sz w:val="14"/>
          <w:szCs w:val="14"/>
          <w:lang w:val="es-CO"/>
        </w:rPr>
        <w:t>, 2018. p. 264).</w:t>
      </w:r>
    </w:p>
    <w:p w14:paraId="4D1EE6E2" w14:textId="77777777" w:rsidR="0076150C" w:rsidRPr="006079AB" w:rsidRDefault="0076150C" w:rsidP="0076150C">
      <w:pPr>
        <w:pStyle w:val="Textonotapie"/>
        <w:ind w:firstLine="708"/>
        <w:jc w:val="both"/>
        <w:rPr>
          <w:rFonts w:ascii="Verdana" w:hAnsi="Verdana"/>
          <w:sz w:val="14"/>
          <w:szCs w:val="14"/>
        </w:rPr>
      </w:pPr>
    </w:p>
  </w:footnote>
  <w:footnote w:id="20">
    <w:p w14:paraId="358C517B" w14:textId="77777777" w:rsidR="0076150C" w:rsidRPr="006079AB" w:rsidRDefault="0076150C" w:rsidP="0076150C">
      <w:pPr>
        <w:pStyle w:val="Textonotapie"/>
        <w:ind w:firstLine="709"/>
        <w:jc w:val="both"/>
        <w:rPr>
          <w:rFonts w:ascii="Verdana" w:hAnsi="Verdana"/>
          <w:sz w:val="14"/>
          <w:szCs w:val="14"/>
          <w:lang w:val="es-ES_tradnl"/>
        </w:rPr>
      </w:pPr>
      <w:r w:rsidRPr="006079AB">
        <w:rPr>
          <w:rStyle w:val="Refdenotaalpie"/>
          <w:rFonts w:ascii="Verdana" w:hAnsi="Verdana"/>
          <w:sz w:val="14"/>
          <w:szCs w:val="14"/>
        </w:rPr>
        <w:footnoteRef/>
      </w:r>
      <w:r w:rsidRPr="006079AB">
        <w:rPr>
          <w:rFonts w:ascii="Verdana" w:hAnsi="Verdana"/>
          <w:sz w:val="14"/>
          <w:szCs w:val="14"/>
        </w:rPr>
        <w:t xml:space="preserve"> </w:t>
      </w:r>
      <w:r w:rsidRPr="006079AB">
        <w:rPr>
          <w:rFonts w:ascii="Verdana" w:hAnsi="Verdana"/>
          <w:sz w:val="14"/>
          <w:szCs w:val="14"/>
          <w:lang w:val="es-ES_tradnl"/>
        </w:rPr>
        <w:t>Esto lo ratifica el artículo 2.2.1.2.1.5.2. del Decreto 1082 de 2015.</w:t>
      </w:r>
    </w:p>
    <w:p w14:paraId="631EAC4E" w14:textId="77777777" w:rsidR="0076150C" w:rsidRPr="00E5347E" w:rsidRDefault="0076150C" w:rsidP="0076150C">
      <w:pPr>
        <w:pStyle w:val="Textonotapie"/>
        <w:ind w:firstLine="709"/>
        <w:jc w:val="both"/>
        <w:rPr>
          <w:rFonts w:ascii="Verdana" w:hAnsi="Verdana"/>
          <w:sz w:val="16"/>
          <w:szCs w:val="16"/>
          <w:lang w:val="es-CO"/>
        </w:rPr>
      </w:pPr>
    </w:p>
  </w:footnote>
  <w:footnote w:id="21">
    <w:p w14:paraId="2AC51743" w14:textId="77777777" w:rsidR="0076150C" w:rsidRPr="006079AB" w:rsidRDefault="0076150C" w:rsidP="0076150C">
      <w:pPr>
        <w:pStyle w:val="Textonotapie"/>
        <w:ind w:firstLine="709"/>
        <w:jc w:val="both"/>
        <w:rPr>
          <w:rFonts w:ascii="Verdana" w:hAnsi="Verdana" w:cs="Arial"/>
          <w:color w:val="000000"/>
          <w:sz w:val="14"/>
          <w:szCs w:val="14"/>
          <w:lang w:val="es-ES_tradnl"/>
        </w:rPr>
      </w:pPr>
      <w:r w:rsidRPr="006079AB">
        <w:rPr>
          <w:rStyle w:val="Refdenotaalpie"/>
          <w:rFonts w:ascii="Verdana" w:hAnsi="Verdana" w:cs="Arial"/>
          <w:color w:val="000000"/>
          <w:sz w:val="14"/>
          <w:szCs w:val="14"/>
          <w:lang w:val="es-ES_tradnl"/>
        </w:rPr>
        <w:footnoteRef/>
      </w:r>
      <w:r w:rsidRPr="006079AB">
        <w:rPr>
          <w:rFonts w:ascii="Verdana" w:hAnsi="Verdana" w:cs="Arial"/>
          <w:color w:val="000000"/>
          <w:sz w:val="14"/>
          <w:szCs w:val="14"/>
          <w:lang w:val="es-ES_tradnl"/>
        </w:rPr>
        <w:t xml:space="preserve"> DÁVILA VINUEZA, Luis Guillermo. Régimen jurídico de la contratación estatal. 3ª ed. Bogotá: Legis, 2016. p. 463.</w:t>
      </w:r>
    </w:p>
    <w:p w14:paraId="661A2088" w14:textId="77777777" w:rsidR="0076150C" w:rsidRPr="006079AB" w:rsidRDefault="0076150C" w:rsidP="0076150C">
      <w:pPr>
        <w:pStyle w:val="Textonotapie"/>
        <w:ind w:firstLine="709"/>
        <w:jc w:val="both"/>
        <w:rPr>
          <w:rFonts w:ascii="Verdana" w:hAnsi="Verdana" w:cs="Arial"/>
          <w:color w:val="000000"/>
          <w:sz w:val="14"/>
          <w:szCs w:val="14"/>
          <w:lang w:val="es-ES_tradnl"/>
        </w:rPr>
      </w:pPr>
    </w:p>
  </w:footnote>
  <w:footnote w:id="22">
    <w:p w14:paraId="135EEE48" w14:textId="77777777" w:rsidR="0076150C" w:rsidRPr="006079AB" w:rsidRDefault="0076150C" w:rsidP="0076150C">
      <w:pPr>
        <w:pStyle w:val="Textonotapie"/>
        <w:ind w:firstLine="709"/>
        <w:jc w:val="both"/>
        <w:rPr>
          <w:rFonts w:ascii="Verdana" w:hAnsi="Verdana" w:cs="Arial"/>
          <w:color w:val="000000"/>
          <w:sz w:val="14"/>
          <w:szCs w:val="14"/>
          <w:lang w:val="es-ES_tradnl"/>
        </w:rPr>
      </w:pPr>
      <w:r w:rsidRPr="006079AB">
        <w:rPr>
          <w:rStyle w:val="Refdenotaalpie"/>
          <w:rFonts w:ascii="Verdana" w:hAnsi="Verdana" w:cs="Arial"/>
          <w:color w:val="000000"/>
          <w:sz w:val="14"/>
          <w:szCs w:val="14"/>
          <w:lang w:val="es-ES_tradnl"/>
        </w:rPr>
        <w:footnoteRef/>
      </w:r>
      <w:r w:rsidRPr="006079AB">
        <w:rPr>
          <w:rFonts w:ascii="Verdana" w:hAnsi="Verdana" w:cs="Arial"/>
          <w:color w:val="000000"/>
          <w:sz w:val="14"/>
          <w:szCs w:val="14"/>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3BE7F0B6" w14:textId="77777777" w:rsidR="0076150C" w:rsidRPr="006079AB" w:rsidRDefault="0076150C" w:rsidP="0076150C">
      <w:pPr>
        <w:pStyle w:val="Textonotapie"/>
        <w:ind w:firstLine="709"/>
        <w:jc w:val="both"/>
        <w:rPr>
          <w:rFonts w:ascii="Verdana" w:hAnsi="Verdana" w:cs="Arial"/>
          <w:color w:val="000000"/>
          <w:sz w:val="14"/>
          <w:szCs w:val="14"/>
          <w:lang w:val="es-ES_tradnl"/>
        </w:rPr>
      </w:pPr>
      <w:r w:rsidRPr="006079AB">
        <w:rPr>
          <w:rFonts w:ascii="Verdana" w:hAnsi="Verdana" w:cs="Arial"/>
          <w:color w:val="000000"/>
          <w:sz w:val="14"/>
          <w:szCs w:val="14"/>
          <w:lang w:val="es-ES_tradnl"/>
        </w:rPr>
        <w:t>“Para las entidades que tengan un presupuesto anual superior o igual a 1.200.000 salarios mínimos legales mensuales, la menor cuantía será hasta 1.000 salarios mínimos legales mensuales.</w:t>
      </w:r>
    </w:p>
    <w:p w14:paraId="4C0A4491" w14:textId="77777777" w:rsidR="0076150C" w:rsidRPr="006079AB" w:rsidRDefault="0076150C" w:rsidP="0076150C">
      <w:pPr>
        <w:pStyle w:val="Textonotapie"/>
        <w:ind w:firstLine="709"/>
        <w:jc w:val="both"/>
        <w:rPr>
          <w:rFonts w:ascii="Verdana" w:hAnsi="Verdana" w:cs="Arial"/>
          <w:color w:val="000000"/>
          <w:sz w:val="14"/>
          <w:szCs w:val="14"/>
          <w:lang w:val="es-ES_tradnl"/>
        </w:rPr>
      </w:pPr>
      <w:r w:rsidRPr="006079AB">
        <w:rPr>
          <w:rFonts w:ascii="Verdana" w:hAnsi="Verdana" w:cs="Arial"/>
          <w:color w:val="000000"/>
          <w:sz w:val="14"/>
          <w:szCs w:val="14"/>
          <w:lang w:val="es-ES_tradnl"/>
        </w:rPr>
        <w:t>“Las que tengan un presupuesto anual superior o igual a 850.000 salarios mínimos legales mensuales e inferiores a 1.200.000 salarios mínimos legales mensuales, la menor cuantía será hasta 850 salarios mínimos legales mensuales.</w:t>
      </w:r>
    </w:p>
    <w:p w14:paraId="40F54F55" w14:textId="77777777" w:rsidR="0076150C" w:rsidRPr="006079AB" w:rsidRDefault="0076150C" w:rsidP="0076150C">
      <w:pPr>
        <w:pStyle w:val="Textonotapie"/>
        <w:ind w:firstLine="709"/>
        <w:jc w:val="both"/>
        <w:rPr>
          <w:rFonts w:ascii="Verdana" w:hAnsi="Verdana" w:cs="Arial"/>
          <w:color w:val="000000"/>
          <w:sz w:val="14"/>
          <w:szCs w:val="14"/>
          <w:lang w:val="es-ES_tradnl"/>
        </w:rPr>
      </w:pPr>
      <w:r w:rsidRPr="006079AB">
        <w:rPr>
          <w:rFonts w:ascii="Verdana" w:hAnsi="Verdana" w:cs="Arial"/>
          <w:color w:val="000000"/>
          <w:sz w:val="14"/>
          <w:szCs w:val="14"/>
          <w:lang w:val="es-ES_tradnl"/>
        </w:rPr>
        <w:t>“Las que tengan un presupuesto anual superior o igual a 400.000 salarios mínimos legales mensuales e inferior a 850.000 salarios mínimos legales mensuales, la menor cuantía será hasta 650 salarios mínimos legales mensuales.</w:t>
      </w:r>
    </w:p>
    <w:p w14:paraId="1DF155DC" w14:textId="77777777" w:rsidR="0076150C" w:rsidRPr="006079AB" w:rsidRDefault="0076150C" w:rsidP="0076150C">
      <w:pPr>
        <w:pStyle w:val="Textonotapie"/>
        <w:ind w:firstLine="709"/>
        <w:jc w:val="both"/>
        <w:rPr>
          <w:rFonts w:ascii="Verdana" w:hAnsi="Verdana" w:cs="Arial"/>
          <w:color w:val="000000"/>
          <w:sz w:val="14"/>
          <w:szCs w:val="14"/>
          <w:lang w:val="es-ES_tradnl"/>
        </w:rPr>
      </w:pPr>
      <w:r w:rsidRPr="006079AB">
        <w:rPr>
          <w:rFonts w:ascii="Verdana" w:hAnsi="Verdana" w:cs="Arial"/>
          <w:color w:val="000000"/>
          <w:sz w:val="14"/>
          <w:szCs w:val="14"/>
          <w:lang w:val="es-ES_tradnl"/>
        </w:rPr>
        <w:t>“Las que tengan un presupuesto anual superior o igual a 120.000 salarios mínimos legales mensuales e inferior a 400.000 salarios mínimos legales mensuales, la menor cuantía será hasta 450 salarios mínimos legales mensuales.</w:t>
      </w:r>
    </w:p>
    <w:p w14:paraId="4E779490" w14:textId="77777777" w:rsidR="0076150C" w:rsidRPr="00E5347E" w:rsidRDefault="0076150C" w:rsidP="0076150C">
      <w:pPr>
        <w:pStyle w:val="Textonotapie"/>
        <w:ind w:firstLine="709"/>
        <w:jc w:val="both"/>
        <w:rPr>
          <w:rFonts w:ascii="Verdana" w:hAnsi="Verdana" w:cs="Arial"/>
          <w:color w:val="000000"/>
          <w:sz w:val="16"/>
          <w:szCs w:val="16"/>
          <w:lang w:val="es-ES_tradnl"/>
        </w:rPr>
      </w:pPr>
      <w:r w:rsidRPr="006079AB">
        <w:rPr>
          <w:rFonts w:ascii="Verdana" w:hAnsi="Verdana" w:cs="Arial"/>
          <w:color w:val="000000"/>
          <w:sz w:val="14"/>
          <w:szCs w:val="14"/>
          <w:lang w:val="es-ES_tradnl"/>
        </w:rPr>
        <w:t>“Las que tengan un presupuesto anual inferior a 120.000 salarios mínimos legales mensuales, la menor cuantía será hasta 280 salarios mínimos legales mensuales”.</w:t>
      </w:r>
    </w:p>
  </w:footnote>
  <w:footnote w:id="23">
    <w:p w14:paraId="5C8B48A1" w14:textId="77777777" w:rsidR="0076150C" w:rsidRPr="006079AB" w:rsidRDefault="0076150C" w:rsidP="0076150C">
      <w:pPr>
        <w:pStyle w:val="Textonotapie"/>
        <w:ind w:firstLine="709"/>
        <w:jc w:val="both"/>
        <w:rPr>
          <w:rFonts w:ascii="Verdana" w:hAnsi="Verdana"/>
          <w:sz w:val="14"/>
          <w:szCs w:val="14"/>
        </w:rPr>
      </w:pPr>
      <w:r w:rsidRPr="006079AB">
        <w:rPr>
          <w:rStyle w:val="Refdenotaalpie"/>
          <w:rFonts w:ascii="Verdana" w:hAnsi="Verdana"/>
          <w:sz w:val="14"/>
          <w:szCs w:val="14"/>
        </w:rPr>
        <w:footnoteRef/>
      </w:r>
      <w:r w:rsidRPr="006079AB">
        <w:rPr>
          <w:rFonts w:ascii="Verdana" w:hAnsi="Verdana"/>
          <w:sz w:val="14"/>
          <w:szCs w:val="14"/>
        </w:rPr>
        <w:t xml:space="preserve"> </w:t>
      </w:r>
      <w:r w:rsidRPr="006079AB">
        <w:rPr>
          <w:rFonts w:ascii="Verdana" w:hAnsi="Verdana"/>
          <w:sz w:val="14"/>
          <w:szCs w:val="14"/>
          <w:lang w:val="es-CO"/>
        </w:rPr>
        <w:t xml:space="preserve">Este artículo fue modificado por el artículo 5 del Decreto 142 de 2023 en los siguientes términos: </w:t>
      </w:r>
      <w:r w:rsidRPr="006079AB">
        <w:rPr>
          <w:rFonts w:ascii="Verdana" w:hAnsi="Verdana"/>
          <w:sz w:val="14"/>
          <w:szCs w:val="14"/>
        </w:rPr>
        <w:t>"Artículo 2.2.1.2.1.5.1. Estudios previos para la contratación de mínima cuantía. La Entidad Estatal debe elaborar unos estudios previos que deben contener, como mínimo, lo siguiente: </w:t>
      </w:r>
    </w:p>
    <w:p w14:paraId="666E2D0A" w14:textId="77777777" w:rsidR="0076150C" w:rsidRPr="006079AB" w:rsidRDefault="0076150C" w:rsidP="0076150C">
      <w:pPr>
        <w:pStyle w:val="Textonotapie"/>
        <w:tabs>
          <w:tab w:val="left" w:pos="142"/>
        </w:tabs>
        <w:ind w:firstLine="709"/>
        <w:jc w:val="both"/>
        <w:rPr>
          <w:rFonts w:ascii="Verdana" w:hAnsi="Verdana"/>
          <w:sz w:val="14"/>
          <w:szCs w:val="14"/>
        </w:rPr>
      </w:pPr>
      <w:r w:rsidRPr="006079AB">
        <w:rPr>
          <w:rFonts w:ascii="Verdana" w:hAnsi="Verdana"/>
          <w:sz w:val="14"/>
          <w:szCs w:val="14"/>
        </w:rPr>
        <w:t xml:space="preserve">1. La descripción de la necesidad que pretende satisfacer con la contratación.  </w:t>
      </w:r>
    </w:p>
    <w:p w14:paraId="2BC2CFB2" w14:textId="77777777" w:rsidR="0076150C" w:rsidRPr="006079AB" w:rsidRDefault="0076150C" w:rsidP="0076150C">
      <w:pPr>
        <w:pStyle w:val="Textonotapie"/>
        <w:tabs>
          <w:tab w:val="left" w:pos="142"/>
        </w:tabs>
        <w:ind w:firstLine="709"/>
        <w:jc w:val="both"/>
        <w:rPr>
          <w:rFonts w:ascii="Verdana" w:hAnsi="Verdana"/>
          <w:sz w:val="14"/>
          <w:szCs w:val="14"/>
        </w:rPr>
      </w:pPr>
      <w:r w:rsidRPr="006079AB">
        <w:rPr>
          <w:rFonts w:ascii="Verdana" w:hAnsi="Verdana"/>
          <w:sz w:val="14"/>
          <w:szCs w:val="14"/>
        </w:rPr>
        <w:t>2. La descripción del objeto a contratar identificado con el cuarto nivel del Clasificador de Bienes y Servicios, de ser posible, o de lo contrario con el tercer nivel. </w:t>
      </w:r>
    </w:p>
    <w:p w14:paraId="6BA6AB30" w14:textId="77777777" w:rsidR="0076150C" w:rsidRPr="006079AB" w:rsidRDefault="0076150C" w:rsidP="0076150C">
      <w:pPr>
        <w:pStyle w:val="Textonotapie"/>
        <w:tabs>
          <w:tab w:val="left" w:pos="142"/>
        </w:tabs>
        <w:ind w:firstLine="709"/>
        <w:jc w:val="both"/>
        <w:rPr>
          <w:rFonts w:ascii="Verdana" w:hAnsi="Verdana"/>
          <w:sz w:val="14"/>
          <w:szCs w:val="14"/>
        </w:rPr>
      </w:pPr>
      <w:r w:rsidRPr="006079AB">
        <w:rPr>
          <w:rFonts w:ascii="Verdana" w:hAnsi="Verdana"/>
          <w:sz w:val="14"/>
          <w:szCs w:val="14"/>
        </w:rPr>
        <w:t>3. Las condiciones técnicas exigidas.</w:t>
      </w:r>
    </w:p>
    <w:p w14:paraId="7402543C" w14:textId="77777777" w:rsidR="0076150C" w:rsidRPr="006079AB" w:rsidRDefault="0076150C" w:rsidP="0076150C">
      <w:pPr>
        <w:pStyle w:val="Textonotapie"/>
        <w:tabs>
          <w:tab w:val="left" w:pos="142"/>
        </w:tabs>
        <w:ind w:firstLine="709"/>
        <w:jc w:val="both"/>
        <w:rPr>
          <w:rFonts w:ascii="Verdana" w:hAnsi="Verdana"/>
          <w:sz w:val="14"/>
          <w:szCs w:val="14"/>
        </w:rPr>
      </w:pPr>
      <w:r w:rsidRPr="006079AB">
        <w:rPr>
          <w:rFonts w:ascii="Verdana" w:hAnsi="Verdana"/>
          <w:sz w:val="14"/>
          <w:szCs w:val="14"/>
        </w:rPr>
        <w:t>4. El valor estimado del contrato y su justificación.</w:t>
      </w:r>
    </w:p>
    <w:p w14:paraId="18666F1F" w14:textId="77777777" w:rsidR="0076150C" w:rsidRPr="006079AB" w:rsidRDefault="0076150C" w:rsidP="0076150C">
      <w:pPr>
        <w:pStyle w:val="Textonotapie"/>
        <w:tabs>
          <w:tab w:val="left" w:pos="142"/>
        </w:tabs>
        <w:ind w:firstLine="709"/>
        <w:jc w:val="both"/>
        <w:rPr>
          <w:rFonts w:ascii="Verdana" w:hAnsi="Verdana"/>
          <w:sz w:val="14"/>
          <w:szCs w:val="14"/>
        </w:rPr>
      </w:pPr>
      <w:r w:rsidRPr="006079AB">
        <w:rPr>
          <w:rFonts w:ascii="Verdana" w:hAnsi="Verdana"/>
          <w:sz w:val="14"/>
          <w:szCs w:val="14"/>
        </w:rPr>
        <w:t>5. El plazo de ejecución del contrato. </w:t>
      </w:r>
    </w:p>
    <w:p w14:paraId="2CC1AC57" w14:textId="77777777" w:rsidR="0076150C" w:rsidRPr="006079AB" w:rsidRDefault="0076150C" w:rsidP="0076150C">
      <w:pPr>
        <w:pStyle w:val="Textonotapie"/>
        <w:tabs>
          <w:tab w:val="left" w:pos="142"/>
        </w:tabs>
        <w:ind w:firstLine="709"/>
        <w:jc w:val="both"/>
        <w:rPr>
          <w:rFonts w:ascii="Verdana" w:hAnsi="Verdana"/>
          <w:sz w:val="14"/>
          <w:szCs w:val="14"/>
        </w:rPr>
      </w:pPr>
      <w:r w:rsidRPr="006079AB">
        <w:rPr>
          <w:rFonts w:ascii="Verdana" w:hAnsi="Verdana"/>
          <w:sz w:val="14"/>
          <w:szCs w:val="14"/>
        </w:rPr>
        <w:t>6. El certificado de disponibilidad presupuesta! que respalda la contratación.</w:t>
      </w:r>
    </w:p>
    <w:p w14:paraId="1CFD424D" w14:textId="77777777" w:rsidR="0076150C" w:rsidRPr="006079AB" w:rsidRDefault="0076150C" w:rsidP="0076150C">
      <w:pPr>
        <w:pStyle w:val="Textonotapie"/>
        <w:ind w:firstLine="709"/>
        <w:jc w:val="both"/>
        <w:rPr>
          <w:rFonts w:ascii="Verdana" w:hAnsi="Verdana"/>
          <w:sz w:val="14"/>
          <w:szCs w:val="14"/>
        </w:rPr>
      </w:pPr>
      <w:r w:rsidRPr="006079AB">
        <w:rPr>
          <w:rFonts w:ascii="Verdana" w:hAnsi="Verdana"/>
          <w:sz w:val="14"/>
          <w:szCs w:val="14"/>
        </w:rPr>
        <w:t>Parágrafo. Dentro de las condiciones técnicas exigidas se podrán incluir aspectos ambientales y sociales en los términos establecidos en el parágrafo del artículo 2.2.1.1.2.2.2. del presente Decreto." </w:t>
      </w:r>
    </w:p>
    <w:p w14:paraId="3AE53C65" w14:textId="77777777" w:rsidR="0076150C" w:rsidRPr="006079AB" w:rsidRDefault="0076150C" w:rsidP="0076150C">
      <w:pPr>
        <w:pStyle w:val="Textonotapie"/>
        <w:jc w:val="both"/>
        <w:rPr>
          <w:rFonts w:ascii="Verdana" w:hAnsi="Verdana"/>
          <w:sz w:val="14"/>
          <w:szCs w:val="14"/>
          <w:lang w:val="es-CO"/>
        </w:rPr>
      </w:pPr>
    </w:p>
  </w:footnote>
  <w:footnote w:id="24">
    <w:p w14:paraId="074ABFEB" w14:textId="77777777" w:rsidR="0076150C" w:rsidRPr="006079AB" w:rsidRDefault="0076150C" w:rsidP="0076150C">
      <w:pPr>
        <w:pStyle w:val="Textonotapie"/>
        <w:ind w:firstLine="708"/>
        <w:jc w:val="both"/>
        <w:rPr>
          <w:rFonts w:ascii="Verdana" w:hAnsi="Verdana" w:cs="Arial"/>
          <w:sz w:val="14"/>
          <w:szCs w:val="14"/>
        </w:rPr>
      </w:pPr>
      <w:r w:rsidRPr="006079AB">
        <w:rPr>
          <w:rStyle w:val="Refdenotaalpie"/>
          <w:rFonts w:ascii="Verdana" w:hAnsi="Verdana" w:cs="Arial"/>
          <w:sz w:val="14"/>
          <w:szCs w:val="14"/>
        </w:rPr>
        <w:footnoteRef/>
      </w:r>
      <w:r w:rsidRPr="006079AB">
        <w:rPr>
          <w:rFonts w:ascii="Verdana" w:hAnsi="Verdana" w:cs="Arial"/>
          <w:sz w:val="14"/>
          <w:szCs w:val="14"/>
        </w:rPr>
        <w:t xml:space="preserve"> PARÁGRAFO 1o. Las particularidades del procedimiento aquí previsto, así como la posibilidad que tengan las entidades de realizar estas adquisiciones a </w:t>
      </w:r>
      <w:proofErr w:type="spellStart"/>
      <w:r w:rsidRPr="006079AB">
        <w:rPr>
          <w:rFonts w:ascii="Verdana" w:hAnsi="Verdana" w:cs="Arial"/>
          <w:sz w:val="14"/>
          <w:szCs w:val="14"/>
        </w:rPr>
        <w:t>Mipymes</w:t>
      </w:r>
      <w:proofErr w:type="spellEnd"/>
      <w:r w:rsidRPr="006079AB">
        <w:rPr>
          <w:rFonts w:ascii="Verdana" w:hAnsi="Verdana" w:cs="Arial"/>
          <w:sz w:val="14"/>
          <w:szCs w:val="14"/>
        </w:rPr>
        <w:t xml:space="preserve"> o establecimientos que correspondan a la definición de "gran almacén" señalada por la Superintendencia de Industria y Comercio, se determinarán en el reglamento que para el efecto expida el Gobierno Nacional.</w:t>
      </w:r>
    </w:p>
  </w:footnote>
  <w:footnote w:id="25">
    <w:p w14:paraId="59B149F3" w14:textId="77777777" w:rsidR="0076150C" w:rsidRPr="006079AB" w:rsidRDefault="0076150C" w:rsidP="0076150C">
      <w:pPr>
        <w:pStyle w:val="Textonotapie"/>
        <w:ind w:firstLine="709"/>
        <w:jc w:val="both"/>
        <w:rPr>
          <w:rFonts w:ascii="Verdana" w:hAnsi="Verdana" w:cs="Arial"/>
          <w:color w:val="000000"/>
          <w:sz w:val="14"/>
          <w:szCs w:val="14"/>
          <w:lang w:val="es-ES_tradnl"/>
        </w:rPr>
      </w:pPr>
      <w:r w:rsidRPr="006079AB">
        <w:rPr>
          <w:rStyle w:val="Refdenotaalpie"/>
          <w:rFonts w:ascii="Verdana" w:hAnsi="Verdana" w:cs="Arial"/>
          <w:color w:val="000000"/>
          <w:sz w:val="14"/>
          <w:szCs w:val="14"/>
          <w:lang w:val="es-ES_tradnl"/>
        </w:rPr>
        <w:footnoteRef/>
      </w:r>
      <w:r w:rsidRPr="006079AB">
        <w:rPr>
          <w:rFonts w:ascii="Verdana" w:hAnsi="Verdana" w:cs="Arial"/>
          <w:color w:val="000000"/>
          <w:sz w:val="14"/>
          <w:szCs w:val="14"/>
          <w:lang w:val="es-ES_tradnl"/>
        </w:rPr>
        <w:t xml:space="preserve"> Agencia Nacional de Contratación Pública – Colombia Compra Eficiente. Manual de la Modalidad de Selección de Mínima Cuantía En:</w:t>
      </w:r>
      <w:r w:rsidRPr="006079AB">
        <w:rPr>
          <w:rFonts w:ascii="Verdana" w:hAnsi="Verdana"/>
          <w:sz w:val="14"/>
          <w:szCs w:val="14"/>
        </w:rPr>
        <w:t xml:space="preserve"> </w:t>
      </w:r>
      <w:hyperlink r:id="rId3" w:history="1">
        <w:r w:rsidRPr="008379FC">
          <w:rPr>
            <w:rStyle w:val="Hipervnculo"/>
            <w:rFonts w:ascii="Verdana" w:hAnsi="Verdana"/>
            <w:sz w:val="14"/>
            <w:szCs w:val="14"/>
            <w:lang w:val="es-CO"/>
          </w:rPr>
          <w:t>manual_de_la_modalidad_de_seleccion_de_minima_cuantia.pdf</w:t>
        </w:r>
      </w:hyperlink>
    </w:p>
    <w:p w14:paraId="016ED63C" w14:textId="77777777" w:rsidR="0076150C" w:rsidRPr="006079AB" w:rsidRDefault="0076150C" w:rsidP="0076150C">
      <w:pPr>
        <w:pStyle w:val="Textonotapie"/>
        <w:ind w:firstLine="709"/>
        <w:jc w:val="both"/>
        <w:rPr>
          <w:rFonts w:ascii="Verdana" w:hAnsi="Verdana" w:cs="Arial"/>
          <w:color w:val="000000"/>
          <w:sz w:val="14"/>
          <w:szCs w:val="14"/>
          <w:lang w:val="es-ES_tradnl"/>
        </w:rPr>
      </w:pPr>
    </w:p>
  </w:footnote>
  <w:footnote w:id="26">
    <w:p w14:paraId="141D5EF1" w14:textId="77777777" w:rsidR="0076150C" w:rsidRPr="006079AB" w:rsidRDefault="0076150C" w:rsidP="0076150C">
      <w:pPr>
        <w:pStyle w:val="Textonotapie"/>
        <w:ind w:firstLine="709"/>
        <w:jc w:val="both"/>
        <w:rPr>
          <w:rFonts w:ascii="Verdana" w:hAnsi="Verdana" w:cs="Arial"/>
          <w:color w:val="000000"/>
          <w:sz w:val="14"/>
          <w:szCs w:val="14"/>
          <w:lang w:val="es-ES"/>
        </w:rPr>
      </w:pPr>
      <w:r w:rsidRPr="006079AB">
        <w:rPr>
          <w:rStyle w:val="Refdenotaalpie"/>
          <w:rFonts w:ascii="Verdana" w:hAnsi="Verdana" w:cs="Arial"/>
          <w:color w:val="000000"/>
          <w:sz w:val="14"/>
          <w:szCs w:val="14"/>
          <w:lang w:val="es-ES"/>
        </w:rPr>
        <w:footnoteRef/>
      </w:r>
      <w:r w:rsidRPr="006079AB">
        <w:rPr>
          <w:rFonts w:ascii="Verdana" w:hAnsi="Verdana" w:cs="Arial"/>
          <w:color w:val="000000"/>
          <w:sz w:val="14"/>
          <w:szCs w:val="14"/>
          <w:lang w:val="es-ES"/>
        </w:rPr>
        <w:t xml:space="preserve"> Como lo indica la doctrina, en la mínima cuantía “El precio es el factor de selección del proponente. Es decir, la </w:t>
      </w:r>
      <w:r w:rsidRPr="006079AB">
        <w:rPr>
          <w:rFonts w:ascii="Verdana" w:hAnsi="Verdana" w:cs="Arial"/>
          <w:i/>
          <w:color w:val="000000"/>
          <w:sz w:val="14"/>
          <w:szCs w:val="14"/>
          <w:lang w:val="es-ES"/>
        </w:rPr>
        <w:t>entidad estatal</w:t>
      </w:r>
      <w:r w:rsidRPr="006079AB">
        <w:rPr>
          <w:rFonts w:ascii="Verdana" w:hAnsi="Verdana" w:cs="Arial"/>
          <w:color w:val="000000"/>
          <w:sz w:val="14"/>
          <w:szCs w:val="14"/>
          <w:lang w:val="es-ES"/>
        </w:rPr>
        <w:t xml:space="preserve"> debe adjudicar el </w:t>
      </w:r>
      <w:r w:rsidRPr="006079AB">
        <w:rPr>
          <w:rFonts w:ascii="Verdana" w:hAnsi="Verdana" w:cs="Arial"/>
          <w:i/>
          <w:color w:val="000000"/>
          <w:sz w:val="14"/>
          <w:szCs w:val="14"/>
          <w:lang w:val="es-ES"/>
        </w:rPr>
        <w:t>proceso de contratación</w:t>
      </w:r>
      <w:r w:rsidRPr="006079AB">
        <w:rPr>
          <w:rFonts w:ascii="Verdana" w:hAnsi="Verdana" w:cs="Arial"/>
          <w:color w:val="000000"/>
          <w:sz w:val="14"/>
          <w:szCs w:val="14"/>
          <w:lang w:val="es-ES"/>
        </w:rPr>
        <w:t xml:space="preserve"> al oferente que cumpla con todas las condiciones exigidas por la </w:t>
      </w:r>
      <w:r w:rsidRPr="006079AB">
        <w:rPr>
          <w:rFonts w:ascii="Verdana" w:hAnsi="Verdana" w:cs="Arial"/>
          <w:i/>
          <w:color w:val="000000"/>
          <w:sz w:val="14"/>
          <w:szCs w:val="14"/>
          <w:lang w:val="es-ES"/>
        </w:rPr>
        <w:t>entidad estatal</w:t>
      </w:r>
      <w:r w:rsidRPr="006079AB">
        <w:rPr>
          <w:rFonts w:ascii="Verdana" w:hAnsi="Verdana" w:cs="Arial"/>
          <w:color w:val="000000"/>
          <w:sz w:val="14"/>
          <w:szCs w:val="14"/>
          <w:lang w:val="es-ES"/>
        </w:rPr>
        <w:t xml:space="preserve"> en los </w:t>
      </w:r>
      <w:r w:rsidRPr="006079AB">
        <w:rPr>
          <w:rFonts w:ascii="Verdana" w:hAnsi="Verdana" w:cs="Arial"/>
          <w:i/>
          <w:color w:val="000000"/>
          <w:sz w:val="14"/>
          <w:szCs w:val="14"/>
          <w:lang w:val="es-ES"/>
        </w:rPr>
        <w:t>documentos del proceso</w:t>
      </w:r>
      <w:r w:rsidRPr="006079AB">
        <w:rPr>
          <w:rFonts w:ascii="Verdana" w:hAnsi="Verdana" w:cs="Arial"/>
          <w:color w:val="000000"/>
          <w:sz w:val="14"/>
          <w:szCs w:val="14"/>
          <w:lang w:val="es-ES"/>
        </w:rPr>
        <w:t xml:space="preserve"> (estudios previos e invitación a participar), y que ofrezca el menor valor. No hay lugar a puntajes para evaluar las ofertas sobre las características del objeto a contratar, su calidad o condiciones” (DÁVILA, </w:t>
      </w:r>
      <w:proofErr w:type="spellStart"/>
      <w:r w:rsidRPr="006079AB">
        <w:rPr>
          <w:rFonts w:ascii="Verdana" w:hAnsi="Verdana" w:cs="Arial"/>
          <w:color w:val="000000"/>
          <w:sz w:val="14"/>
          <w:szCs w:val="14"/>
          <w:lang w:val="es-ES"/>
        </w:rPr>
        <w:t>Op.cit</w:t>
      </w:r>
      <w:proofErr w:type="spellEnd"/>
      <w:r w:rsidRPr="006079AB">
        <w:rPr>
          <w:rFonts w:ascii="Verdana" w:hAnsi="Verdana" w:cs="Arial"/>
          <w:color w:val="000000"/>
          <w:sz w:val="14"/>
          <w:szCs w:val="14"/>
          <w:lang w:val="es-ES"/>
        </w:rPr>
        <w:t>., p. 515).</w:t>
      </w:r>
    </w:p>
    <w:p w14:paraId="45CFFE4C" w14:textId="77777777" w:rsidR="0076150C" w:rsidRPr="006079AB" w:rsidRDefault="0076150C" w:rsidP="0076150C">
      <w:pPr>
        <w:pStyle w:val="Textonotapie"/>
        <w:ind w:firstLine="709"/>
        <w:jc w:val="both"/>
        <w:rPr>
          <w:rFonts w:ascii="Verdana" w:hAnsi="Verdana" w:cs="Arial"/>
          <w:color w:val="000000"/>
          <w:sz w:val="14"/>
          <w:szCs w:val="14"/>
          <w:lang w:val="es-ES_tradnl"/>
        </w:rPr>
      </w:pPr>
    </w:p>
  </w:footnote>
  <w:footnote w:id="27">
    <w:p w14:paraId="575B782C" w14:textId="77777777" w:rsidR="0076150C" w:rsidRPr="009D6A0B" w:rsidRDefault="0076150C" w:rsidP="0076150C">
      <w:pPr>
        <w:pStyle w:val="Textonotapie"/>
        <w:ind w:firstLine="709"/>
        <w:jc w:val="both"/>
        <w:rPr>
          <w:rFonts w:ascii="Verdana" w:eastAsia="Calibri" w:hAnsi="Verdana" w:cs="Arial"/>
          <w:sz w:val="14"/>
          <w:szCs w:val="14"/>
          <w:lang w:val="es-ES_tradnl" w:eastAsia="es-ES_tradnl"/>
        </w:rPr>
      </w:pPr>
      <w:r w:rsidRPr="009D6A0B">
        <w:rPr>
          <w:rStyle w:val="Refdenotaalpie"/>
          <w:rFonts w:ascii="Verdana" w:hAnsi="Verdana" w:cs="Arial"/>
          <w:sz w:val="14"/>
          <w:szCs w:val="14"/>
        </w:rPr>
        <w:footnoteRef/>
      </w:r>
      <w:r w:rsidRPr="009D6A0B">
        <w:rPr>
          <w:rFonts w:ascii="Verdana" w:hAnsi="Verdana" w:cs="Arial"/>
          <w:sz w:val="14"/>
          <w:szCs w:val="14"/>
        </w:rPr>
        <w:t xml:space="preserve"> </w:t>
      </w:r>
      <w:r w:rsidRPr="009D6A0B">
        <w:rPr>
          <w:rFonts w:ascii="Verdana" w:eastAsia="Calibri" w:hAnsi="Verdana" w:cs="Arial"/>
          <w:sz w:val="14"/>
          <w:szCs w:val="14"/>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6B1E07F3" w14:textId="77777777" w:rsidR="0076150C" w:rsidRPr="00E5347E" w:rsidRDefault="0076150C" w:rsidP="0076150C">
      <w:pPr>
        <w:pStyle w:val="Textonotapie"/>
        <w:ind w:firstLine="709"/>
        <w:jc w:val="both"/>
        <w:rPr>
          <w:rFonts w:ascii="Verdana" w:hAnsi="Verdana" w:cs="Arial"/>
          <w:sz w:val="16"/>
          <w:szCs w:val="16"/>
          <w:lang w:val="es-ES"/>
        </w:rPr>
      </w:pPr>
      <w:r w:rsidRPr="009D6A0B">
        <w:rPr>
          <w:rFonts w:ascii="Verdana" w:eastAsia="Calibri" w:hAnsi="Verdana" w:cs="Arial"/>
          <w:sz w:val="14"/>
          <w:szCs w:val="14"/>
          <w:lang w:val="es-ES_tradnl"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28">
    <w:p w14:paraId="7A23D88E" w14:textId="77777777" w:rsidR="0076150C" w:rsidRPr="009D6A0B" w:rsidRDefault="0076150C" w:rsidP="0076150C">
      <w:pPr>
        <w:pStyle w:val="Textonotapie"/>
        <w:ind w:firstLine="709"/>
        <w:jc w:val="both"/>
        <w:rPr>
          <w:rFonts w:ascii="Verdana" w:eastAsia="Calibri" w:hAnsi="Verdana" w:cs="Arial"/>
          <w:sz w:val="14"/>
          <w:szCs w:val="14"/>
          <w:lang w:val="es-ES_tradnl" w:eastAsia="es-ES_tradnl"/>
        </w:rPr>
      </w:pPr>
      <w:r w:rsidRPr="009D6A0B">
        <w:rPr>
          <w:rStyle w:val="Refdenotaalpie"/>
          <w:rFonts w:ascii="Verdana" w:hAnsi="Verdana" w:cs="Arial"/>
          <w:sz w:val="14"/>
          <w:szCs w:val="14"/>
        </w:rPr>
        <w:footnoteRef/>
      </w:r>
      <w:r w:rsidRPr="009D6A0B">
        <w:rPr>
          <w:rFonts w:ascii="Verdana" w:hAnsi="Verdana" w:cs="Arial"/>
          <w:sz w:val="14"/>
          <w:szCs w:val="14"/>
        </w:rPr>
        <w:t xml:space="preserve"> </w:t>
      </w:r>
      <w:r w:rsidRPr="009D6A0B">
        <w:rPr>
          <w:rFonts w:ascii="Verdana" w:eastAsia="Calibri" w:hAnsi="Verdana" w:cs="Arial"/>
          <w:sz w:val="14"/>
          <w:szCs w:val="14"/>
          <w:lang w:val="es-ES_tradnl" w:eastAsia="es-ES_tradnl"/>
        </w:rPr>
        <w:t xml:space="preserve">MARÍN, </w:t>
      </w:r>
      <w:proofErr w:type="spellStart"/>
      <w:r w:rsidRPr="009D6A0B">
        <w:rPr>
          <w:rFonts w:ascii="Verdana" w:eastAsia="Calibri" w:hAnsi="Verdana" w:cs="Arial"/>
          <w:sz w:val="14"/>
          <w:szCs w:val="14"/>
          <w:lang w:val="es-ES_tradnl" w:eastAsia="es-ES_tradnl"/>
        </w:rPr>
        <w:t>Op</w:t>
      </w:r>
      <w:proofErr w:type="spellEnd"/>
      <w:r w:rsidRPr="009D6A0B">
        <w:rPr>
          <w:rFonts w:ascii="Verdana" w:eastAsia="Calibri" w:hAnsi="Verdana" w:cs="Arial"/>
          <w:sz w:val="14"/>
          <w:szCs w:val="14"/>
          <w:lang w:val="es-ES_tradnl" w:eastAsia="es-ES_tradnl"/>
        </w:rPr>
        <w:t>. Cit., pp. 64-65.</w:t>
      </w:r>
    </w:p>
  </w:footnote>
  <w:footnote w:id="29">
    <w:p w14:paraId="4C37B35A" w14:textId="77777777" w:rsidR="0076150C" w:rsidRPr="00246088" w:rsidRDefault="0076150C" w:rsidP="0076150C">
      <w:pPr>
        <w:pStyle w:val="Textonotapie"/>
        <w:jc w:val="both"/>
        <w:rPr>
          <w:rFonts w:ascii="Verdana" w:hAnsi="Verdana"/>
          <w:sz w:val="14"/>
          <w:szCs w:val="14"/>
          <w:lang w:val="es-CO"/>
        </w:rPr>
      </w:pPr>
      <w:r w:rsidRPr="00246088">
        <w:rPr>
          <w:rStyle w:val="Refdenotaalpie"/>
          <w:rFonts w:ascii="Verdana" w:hAnsi="Verdana"/>
          <w:sz w:val="14"/>
          <w:szCs w:val="14"/>
        </w:rPr>
        <w:footnoteRef/>
      </w:r>
      <w:r w:rsidRPr="00246088">
        <w:rPr>
          <w:rFonts w:ascii="Verdana" w:hAnsi="Verdana"/>
          <w:sz w:val="14"/>
          <w:szCs w:val="14"/>
        </w:rPr>
        <w:t xml:space="preserve"> Disponible en: </w:t>
      </w:r>
      <w:hyperlink r:id="rId4" w:history="1">
        <w:r w:rsidRPr="00246088">
          <w:rPr>
            <w:rStyle w:val="Hipervnculo"/>
            <w:rFonts w:ascii="Verdana" w:hAnsi="Verdana"/>
            <w:sz w:val="14"/>
            <w:szCs w:val="14"/>
          </w:rPr>
          <w:t>https://operaciones.colombiacompra.gov.co/sites/cce_public/files/cce_step/cce-sec-gi-20guiasecopii_eemcminimacuantia20-04-2022_0.pdf</w:t>
        </w:r>
      </w:hyperlink>
      <w:r w:rsidRPr="00246088">
        <w:rPr>
          <w:rFonts w:ascii="Verdana" w:hAnsi="Verdana"/>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F00E28"/>
    <w:multiLevelType w:val="hybridMultilevel"/>
    <w:tmpl w:val="7E2AB7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106390233">
    <w:abstractNumId w:val="9"/>
  </w:num>
  <w:num w:numId="18" w16cid:durableId="1669599370">
    <w:abstractNumId w:val="1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4CB7"/>
    <w:rsid w:val="00046945"/>
    <w:rsid w:val="00061B2A"/>
    <w:rsid w:val="00064651"/>
    <w:rsid w:val="00082362"/>
    <w:rsid w:val="000A683E"/>
    <w:rsid w:val="000B19B9"/>
    <w:rsid w:val="000B45AD"/>
    <w:rsid w:val="000D0334"/>
    <w:rsid w:val="000D7133"/>
    <w:rsid w:val="000E676A"/>
    <w:rsid w:val="000F6486"/>
    <w:rsid w:val="001046F0"/>
    <w:rsid w:val="00106474"/>
    <w:rsid w:val="00125105"/>
    <w:rsid w:val="00127233"/>
    <w:rsid w:val="00132A22"/>
    <w:rsid w:val="00144951"/>
    <w:rsid w:val="001511A0"/>
    <w:rsid w:val="00157FE2"/>
    <w:rsid w:val="00193144"/>
    <w:rsid w:val="001D5B5B"/>
    <w:rsid w:val="001E4177"/>
    <w:rsid w:val="001F7DC6"/>
    <w:rsid w:val="0023122F"/>
    <w:rsid w:val="002421BB"/>
    <w:rsid w:val="0025796E"/>
    <w:rsid w:val="002707A2"/>
    <w:rsid w:val="002951A0"/>
    <w:rsid w:val="002962BC"/>
    <w:rsid w:val="002A093D"/>
    <w:rsid w:val="002A0DD0"/>
    <w:rsid w:val="002A49AC"/>
    <w:rsid w:val="002A64FD"/>
    <w:rsid w:val="002C7A84"/>
    <w:rsid w:val="002E4FD9"/>
    <w:rsid w:val="00303177"/>
    <w:rsid w:val="00306D7E"/>
    <w:rsid w:val="00322A85"/>
    <w:rsid w:val="00324168"/>
    <w:rsid w:val="003448F4"/>
    <w:rsid w:val="00361943"/>
    <w:rsid w:val="00374F5E"/>
    <w:rsid w:val="00377E3E"/>
    <w:rsid w:val="003A075D"/>
    <w:rsid w:val="003A779E"/>
    <w:rsid w:val="003B471B"/>
    <w:rsid w:val="003D0F4D"/>
    <w:rsid w:val="003D5B0D"/>
    <w:rsid w:val="003E0499"/>
    <w:rsid w:val="003F3941"/>
    <w:rsid w:val="00406575"/>
    <w:rsid w:val="00414C74"/>
    <w:rsid w:val="0042722E"/>
    <w:rsid w:val="0044528D"/>
    <w:rsid w:val="00471A77"/>
    <w:rsid w:val="004A1847"/>
    <w:rsid w:val="004A305D"/>
    <w:rsid w:val="004F21C4"/>
    <w:rsid w:val="004F685F"/>
    <w:rsid w:val="005566E8"/>
    <w:rsid w:val="00574867"/>
    <w:rsid w:val="00591460"/>
    <w:rsid w:val="005B3816"/>
    <w:rsid w:val="005C3777"/>
    <w:rsid w:val="005C5CDC"/>
    <w:rsid w:val="005D476C"/>
    <w:rsid w:val="00603FD0"/>
    <w:rsid w:val="006219F8"/>
    <w:rsid w:val="006344CC"/>
    <w:rsid w:val="006419D2"/>
    <w:rsid w:val="00665D70"/>
    <w:rsid w:val="006771AE"/>
    <w:rsid w:val="006900D9"/>
    <w:rsid w:val="006D03C1"/>
    <w:rsid w:val="00706C16"/>
    <w:rsid w:val="00710EB5"/>
    <w:rsid w:val="007300CF"/>
    <w:rsid w:val="00736528"/>
    <w:rsid w:val="007377EC"/>
    <w:rsid w:val="00741820"/>
    <w:rsid w:val="00756841"/>
    <w:rsid w:val="0076150C"/>
    <w:rsid w:val="007649AB"/>
    <w:rsid w:val="00771D0C"/>
    <w:rsid w:val="007833AC"/>
    <w:rsid w:val="00785346"/>
    <w:rsid w:val="007B268C"/>
    <w:rsid w:val="007B5B22"/>
    <w:rsid w:val="007B7171"/>
    <w:rsid w:val="007C0C0F"/>
    <w:rsid w:val="007C3DC2"/>
    <w:rsid w:val="007C624A"/>
    <w:rsid w:val="007E5497"/>
    <w:rsid w:val="00805B88"/>
    <w:rsid w:val="00806F5F"/>
    <w:rsid w:val="00810FA7"/>
    <w:rsid w:val="00820278"/>
    <w:rsid w:val="008537A3"/>
    <w:rsid w:val="00867F95"/>
    <w:rsid w:val="008843B6"/>
    <w:rsid w:val="00891928"/>
    <w:rsid w:val="008A390E"/>
    <w:rsid w:val="008A446D"/>
    <w:rsid w:val="008C6133"/>
    <w:rsid w:val="008D180B"/>
    <w:rsid w:val="008F0EA7"/>
    <w:rsid w:val="00923EEF"/>
    <w:rsid w:val="009419F9"/>
    <w:rsid w:val="0095685E"/>
    <w:rsid w:val="00961B09"/>
    <w:rsid w:val="0096272C"/>
    <w:rsid w:val="00965334"/>
    <w:rsid w:val="0097093E"/>
    <w:rsid w:val="0098348A"/>
    <w:rsid w:val="00986AC5"/>
    <w:rsid w:val="009A0DFA"/>
    <w:rsid w:val="009B2D26"/>
    <w:rsid w:val="009B7485"/>
    <w:rsid w:val="009C0BF0"/>
    <w:rsid w:val="009C71FA"/>
    <w:rsid w:val="009C72E7"/>
    <w:rsid w:val="009D3058"/>
    <w:rsid w:val="009F3A13"/>
    <w:rsid w:val="00A122D3"/>
    <w:rsid w:val="00A17F13"/>
    <w:rsid w:val="00A20739"/>
    <w:rsid w:val="00A22E60"/>
    <w:rsid w:val="00A33C78"/>
    <w:rsid w:val="00A52CE5"/>
    <w:rsid w:val="00A75F06"/>
    <w:rsid w:val="00A87C33"/>
    <w:rsid w:val="00AA25E9"/>
    <w:rsid w:val="00AB0ADB"/>
    <w:rsid w:val="00AC3CA2"/>
    <w:rsid w:val="00AC4630"/>
    <w:rsid w:val="00B01B1A"/>
    <w:rsid w:val="00B247CB"/>
    <w:rsid w:val="00B66319"/>
    <w:rsid w:val="00B72CD3"/>
    <w:rsid w:val="00B72FFF"/>
    <w:rsid w:val="00B83B61"/>
    <w:rsid w:val="00BC3D36"/>
    <w:rsid w:val="00BD70EC"/>
    <w:rsid w:val="00BD7F72"/>
    <w:rsid w:val="00C04FB3"/>
    <w:rsid w:val="00C06CDF"/>
    <w:rsid w:val="00C07BA9"/>
    <w:rsid w:val="00C20E99"/>
    <w:rsid w:val="00C330EB"/>
    <w:rsid w:val="00C41061"/>
    <w:rsid w:val="00C433AF"/>
    <w:rsid w:val="00C73DBD"/>
    <w:rsid w:val="00C74736"/>
    <w:rsid w:val="00C754BE"/>
    <w:rsid w:val="00C76B1C"/>
    <w:rsid w:val="00C87FB4"/>
    <w:rsid w:val="00C90A87"/>
    <w:rsid w:val="00CB6357"/>
    <w:rsid w:val="00CC1B26"/>
    <w:rsid w:val="00CC45BC"/>
    <w:rsid w:val="00CD27CF"/>
    <w:rsid w:val="00CE65A1"/>
    <w:rsid w:val="00CF1CF1"/>
    <w:rsid w:val="00CF240C"/>
    <w:rsid w:val="00D12D41"/>
    <w:rsid w:val="00D423A2"/>
    <w:rsid w:val="00D520D8"/>
    <w:rsid w:val="00D63AC2"/>
    <w:rsid w:val="00D7383B"/>
    <w:rsid w:val="00DA231B"/>
    <w:rsid w:val="00DC39FC"/>
    <w:rsid w:val="00DD1D4C"/>
    <w:rsid w:val="00DD787F"/>
    <w:rsid w:val="00DE1B47"/>
    <w:rsid w:val="00DF5254"/>
    <w:rsid w:val="00E16408"/>
    <w:rsid w:val="00E20894"/>
    <w:rsid w:val="00E245AB"/>
    <w:rsid w:val="00E2764C"/>
    <w:rsid w:val="00E27F2E"/>
    <w:rsid w:val="00E50AFE"/>
    <w:rsid w:val="00E5709B"/>
    <w:rsid w:val="00E75C92"/>
    <w:rsid w:val="00E762EC"/>
    <w:rsid w:val="00E771DC"/>
    <w:rsid w:val="00E8772A"/>
    <w:rsid w:val="00E90F6B"/>
    <w:rsid w:val="00E92BD5"/>
    <w:rsid w:val="00E92C27"/>
    <w:rsid w:val="00EA0E3D"/>
    <w:rsid w:val="00EB471C"/>
    <w:rsid w:val="00EB6684"/>
    <w:rsid w:val="00EC2A2F"/>
    <w:rsid w:val="00EC38A7"/>
    <w:rsid w:val="00ED156E"/>
    <w:rsid w:val="00ED7384"/>
    <w:rsid w:val="00EE1AA8"/>
    <w:rsid w:val="00EF4FE9"/>
    <w:rsid w:val="00EF6A41"/>
    <w:rsid w:val="00F0449E"/>
    <w:rsid w:val="00F07D53"/>
    <w:rsid w:val="00F31EDC"/>
    <w:rsid w:val="00F462B3"/>
    <w:rsid w:val="00F5664F"/>
    <w:rsid w:val="00F60FCE"/>
    <w:rsid w:val="00F666C4"/>
    <w:rsid w:val="00F67E11"/>
    <w:rsid w:val="00F76AFC"/>
    <w:rsid w:val="00F93B13"/>
    <w:rsid w:val="00FA47C0"/>
    <w:rsid w:val="00FB5DD1"/>
    <w:rsid w:val="00FC2B5D"/>
    <w:rsid w:val="00FF1449"/>
    <w:rsid w:val="00FF16FD"/>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6150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6150C"/>
    <w:rPr>
      <w:rFonts w:ascii="Geomanist Light" w:hAnsi="Geomanist Light"/>
      <w:lang w:val="es-ES"/>
    </w:rPr>
  </w:style>
  <w:style w:type="character" w:customStyle="1" w:styleId="NormalWebCar">
    <w:name w:val="Normal (Web) Car"/>
    <w:link w:val="NormalWeb"/>
    <w:uiPriority w:val="99"/>
    <w:rsid w:val="0076150C"/>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GONZALEZ@SIOLTDA.COM" TargetMode="External"/><Relationship Id="rId18" Type="http://schemas.openxmlformats.org/officeDocument/2006/relationships/hyperlink" Target="https://www.funcionpublica.gov.co/eva/gestornormativo/norma.php?i=4640" TargetMode="External"/><Relationship Id="rId26" Type="http://schemas.openxmlformats.org/officeDocument/2006/relationships/hyperlink" Target="https://www.colombiacompra.gov.co/normativa-y-relatoria/conoce-la-relatoria" TargetMode="External"/><Relationship Id="rId3" Type="http://schemas.openxmlformats.org/officeDocument/2006/relationships/customXml" Target="../customXml/item3.xml"/><Relationship Id="rId21" Type="http://schemas.openxmlformats.org/officeDocument/2006/relationships/hyperlink" Target="https://www.funcionpublica.gov.co/eva/gestornormativo/norma.php?i=34054"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www.funcionpublica.gov.co/eva/gestornormativo/norma.php?i=31591" TargetMode="External"/><Relationship Id="rId25" Type="http://schemas.openxmlformats.org/officeDocument/2006/relationships/hyperlink" Target="https://www.colombiacompra.gov.co/wp-content/uploads/2024/08/manual_de_la_modalidad_de_seleccion_de_minima_cuantia.pdf" TargetMode="External"/><Relationship Id="rId2" Type="http://schemas.openxmlformats.org/officeDocument/2006/relationships/customXml" Target="../customXml/item2.xml"/><Relationship Id="rId16" Type="http://schemas.openxmlformats.org/officeDocument/2006/relationships/hyperlink" Target="https://www.funcionpublica.gov.co/eva/gestornormativo/norma.php?i=4640" TargetMode="External"/><Relationship Id="rId20" Type="http://schemas.openxmlformats.org/officeDocument/2006/relationships/hyperlink" Target="https://www.funcionpublica.gov.co/eva/gestornormativo/norma.php?i=34054"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uncionpublica.gov.co/eva/gestornormativo/norma.php?i=31591" TargetMode="External"/><Relationship Id="rId24" Type="http://schemas.openxmlformats.org/officeDocument/2006/relationships/hyperlink" Target="https://colombiacompra.gov.co/wp-content/uploads/2024/08/cce_manual_manejo_incentivos.pdf"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funcionpublica.gov.co/eva/gestornormativo/norma.php?i=31591" TargetMode="External"/><Relationship Id="rId23" Type="http://schemas.openxmlformats.org/officeDocument/2006/relationships/hyperlink" Target="https://www.funcionpublica.gov.co/eva/gestornormativo/norma.php?i=31591" TargetMode="External"/><Relationship Id="rId28" Type="http://schemas.openxmlformats.org/officeDocument/2006/relationships/image" Target="media/image3.png"/><Relationship Id="rId10" Type="http://schemas.openxmlformats.org/officeDocument/2006/relationships/hyperlink" Target="https://www.funcionpublica.gov.co/eva/gestornormativo/norma.php?i=4640" TargetMode="External"/><Relationship Id="rId19" Type="http://schemas.openxmlformats.org/officeDocument/2006/relationships/hyperlink" Target="https://www.funcionpublica.gov.co/eva/gestornormativo/norma.php?i=31591"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uncionpublica.gov.co/eva/gestornormativo/norma.php?i=4640" TargetMode="External"/><Relationship Id="rId22" Type="http://schemas.openxmlformats.org/officeDocument/2006/relationships/hyperlink" Target="https://www.funcionpublica.gov.co/eva/gestornormativo/norma.php?i=4640" TargetMode="External"/><Relationship Id="rId27" Type="http://schemas.openxmlformats.org/officeDocument/2006/relationships/hyperlink" Target="http://www.colombiacompra.gov.co"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wp-content/uploads/2024/08/manual_de_la_modalidad_de_seleccion_de_minima_cuantia.pdf" TargetMode="External"/><Relationship Id="rId2" Type="http://schemas.openxmlformats.org/officeDocument/2006/relationships/hyperlink" Target="https://dle.rae.es/participar" TargetMode="External"/><Relationship Id="rId1" Type="http://schemas.openxmlformats.org/officeDocument/2006/relationships/hyperlink" Target="https://colombiacompra.gov.co/wp-content/uploads/2024/08/cce_manual_manejo_incentivos.pdf" TargetMode="External"/><Relationship Id="rId4" Type="http://schemas.openxmlformats.org/officeDocument/2006/relationships/hyperlink" Target="https://operaciones.colombiacompra.gov.co/sites/cce_public/files/cce_step/cce-sec-gi-20guiasecopii_eemcminimacuantia20-04-2022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592fe157-d5c2-474d-aeb4-2e8e8fcba8d3"/>
    <ds:schemaRef ds:uri="8ae15d26-076e-464e-81a7-6f76a0fb3917"/>
  </ds:schemaRefs>
</ds:datastoreItem>
</file>

<file path=customXml/itemProps2.xml><?xml version="1.0" encoding="utf-8"?>
<ds:datastoreItem xmlns:ds="http://schemas.openxmlformats.org/officeDocument/2006/customXml" ds:itemID="{833534D2-4CED-4F40-BA66-9C61B3EEACEC}"/>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39</Pages>
  <Words>13504</Words>
  <Characters>74276</Characters>
  <Application>Microsoft Office Word</Application>
  <DocSecurity>0</DocSecurity>
  <Lines>618</Lines>
  <Paragraphs>175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87605</CharactersWithSpaces>
  <SharedDoc>false</SharedDoc>
  <HLinks>
    <vt:vector size="114" baseType="variant">
      <vt:variant>
        <vt:i4>6029407</vt:i4>
      </vt:variant>
      <vt:variant>
        <vt:i4>42</vt:i4>
      </vt:variant>
      <vt:variant>
        <vt:i4>0</vt:i4>
      </vt:variant>
      <vt:variant>
        <vt:i4>5</vt:i4>
      </vt:variant>
      <vt:variant>
        <vt:lpwstr>http://www.colombiacompra.gov.co/</vt:lpwstr>
      </vt:variant>
      <vt:variant>
        <vt:lpwstr/>
      </vt:variant>
      <vt:variant>
        <vt:i4>6488184</vt:i4>
      </vt:variant>
      <vt:variant>
        <vt:i4>39</vt:i4>
      </vt:variant>
      <vt:variant>
        <vt:i4>0</vt:i4>
      </vt:variant>
      <vt:variant>
        <vt:i4>5</vt:i4>
      </vt:variant>
      <vt:variant>
        <vt:lpwstr>https://www.colombiacompra.gov.co/normativa-y-relatoria/conoce-la-relatoria</vt:lpwstr>
      </vt:variant>
      <vt:variant>
        <vt:lpwstr/>
      </vt:variant>
      <vt:variant>
        <vt:i4>7274555</vt:i4>
      </vt:variant>
      <vt:variant>
        <vt:i4>36</vt:i4>
      </vt:variant>
      <vt:variant>
        <vt:i4>0</vt:i4>
      </vt:variant>
      <vt:variant>
        <vt:i4>5</vt:i4>
      </vt:variant>
      <vt:variant>
        <vt:lpwstr>https://www.colombiacompra.gov.co/wp-content/uploads/2024/08/manual_de_la_modalidad_de_seleccion_de_minima_cuantia.pdf</vt:lpwstr>
      </vt:variant>
      <vt:variant>
        <vt:lpwstr/>
      </vt:variant>
      <vt:variant>
        <vt:i4>3735552</vt:i4>
      </vt:variant>
      <vt:variant>
        <vt:i4>33</vt:i4>
      </vt:variant>
      <vt:variant>
        <vt:i4>0</vt:i4>
      </vt:variant>
      <vt:variant>
        <vt:i4>5</vt:i4>
      </vt:variant>
      <vt:variant>
        <vt:lpwstr>https://colombiacompra.gov.co/wp-content/uploads/2024/08/cce_manual_manejo_incentivos.pdf</vt:lpwstr>
      </vt:variant>
      <vt:variant>
        <vt:lpwstr/>
      </vt:variant>
      <vt:variant>
        <vt:i4>2949138</vt:i4>
      </vt:variant>
      <vt:variant>
        <vt:i4>30</vt:i4>
      </vt:variant>
      <vt:variant>
        <vt:i4>0</vt:i4>
      </vt:variant>
      <vt:variant>
        <vt:i4>5</vt:i4>
      </vt:variant>
      <vt:variant>
        <vt:lpwstr>https://www.funcionpublica.gov.co/eva/gestornormativo/norma.php?i=31591</vt:lpwstr>
      </vt:variant>
      <vt:variant>
        <vt:lpwstr>1</vt:lpwstr>
      </vt:variant>
      <vt:variant>
        <vt:i4>2293783</vt:i4>
      </vt:variant>
      <vt:variant>
        <vt:i4>27</vt:i4>
      </vt:variant>
      <vt:variant>
        <vt:i4>0</vt:i4>
      </vt:variant>
      <vt:variant>
        <vt:i4>5</vt:i4>
      </vt:variant>
      <vt:variant>
        <vt:lpwstr>https://www.funcionpublica.gov.co/eva/gestornormativo/norma.php?i=4640</vt:lpwstr>
      </vt:variant>
      <vt:variant>
        <vt:lpwstr>2</vt:lpwstr>
      </vt:variant>
      <vt:variant>
        <vt:i4>1179671</vt:i4>
      </vt:variant>
      <vt:variant>
        <vt:i4>24</vt:i4>
      </vt:variant>
      <vt:variant>
        <vt:i4>0</vt:i4>
      </vt:variant>
      <vt:variant>
        <vt:i4>5</vt:i4>
      </vt:variant>
      <vt:variant>
        <vt:lpwstr>https://www.funcionpublica.gov.co/eva/gestornormativo/norma.php?i=34054</vt:lpwstr>
      </vt:variant>
      <vt:variant>
        <vt:lpwstr>16</vt:lpwstr>
      </vt:variant>
      <vt:variant>
        <vt:i4>1376276</vt:i4>
      </vt:variant>
      <vt:variant>
        <vt:i4>21</vt:i4>
      </vt:variant>
      <vt:variant>
        <vt:i4>0</vt:i4>
      </vt:variant>
      <vt:variant>
        <vt:i4>5</vt:i4>
      </vt:variant>
      <vt:variant>
        <vt:lpwstr>https://www.funcionpublica.gov.co/eva/gestornormativo/norma.php?i=34054</vt:lpwstr>
      </vt:variant>
      <vt:variant>
        <vt:lpwstr>21</vt:lpwstr>
      </vt:variant>
      <vt:variant>
        <vt:i4>2949138</vt:i4>
      </vt:variant>
      <vt:variant>
        <vt:i4>18</vt:i4>
      </vt:variant>
      <vt:variant>
        <vt:i4>0</vt:i4>
      </vt:variant>
      <vt:variant>
        <vt:i4>5</vt:i4>
      </vt:variant>
      <vt:variant>
        <vt:lpwstr>https://www.funcionpublica.gov.co/eva/gestornormativo/norma.php?i=31591</vt:lpwstr>
      </vt:variant>
      <vt:variant>
        <vt:lpwstr>1</vt:lpwstr>
      </vt:variant>
      <vt:variant>
        <vt:i4>2293783</vt:i4>
      </vt:variant>
      <vt:variant>
        <vt:i4>15</vt:i4>
      </vt:variant>
      <vt:variant>
        <vt:i4>0</vt:i4>
      </vt:variant>
      <vt:variant>
        <vt:i4>5</vt:i4>
      </vt:variant>
      <vt:variant>
        <vt:lpwstr>https://www.funcionpublica.gov.co/eva/gestornormativo/norma.php?i=4640</vt:lpwstr>
      </vt:variant>
      <vt:variant>
        <vt:lpwstr>2</vt:lpwstr>
      </vt:variant>
      <vt:variant>
        <vt:i4>2949138</vt:i4>
      </vt:variant>
      <vt:variant>
        <vt:i4>12</vt:i4>
      </vt:variant>
      <vt:variant>
        <vt:i4>0</vt:i4>
      </vt:variant>
      <vt:variant>
        <vt:i4>5</vt:i4>
      </vt:variant>
      <vt:variant>
        <vt:lpwstr>https://www.funcionpublica.gov.co/eva/gestornormativo/norma.php?i=31591</vt:lpwstr>
      </vt:variant>
      <vt:variant>
        <vt:lpwstr>1</vt:lpwstr>
      </vt:variant>
      <vt:variant>
        <vt:i4>2293783</vt:i4>
      </vt:variant>
      <vt:variant>
        <vt:i4>9</vt:i4>
      </vt:variant>
      <vt:variant>
        <vt:i4>0</vt:i4>
      </vt:variant>
      <vt:variant>
        <vt:i4>5</vt:i4>
      </vt:variant>
      <vt:variant>
        <vt:lpwstr>https://www.funcionpublica.gov.co/eva/gestornormativo/norma.php?i=4640</vt:lpwstr>
      </vt:variant>
      <vt:variant>
        <vt:lpwstr>2</vt:lpwstr>
      </vt:variant>
      <vt:variant>
        <vt:i4>2949138</vt:i4>
      </vt:variant>
      <vt:variant>
        <vt:i4>6</vt:i4>
      </vt:variant>
      <vt:variant>
        <vt:i4>0</vt:i4>
      </vt:variant>
      <vt:variant>
        <vt:i4>5</vt:i4>
      </vt:variant>
      <vt:variant>
        <vt:lpwstr>https://www.funcionpublica.gov.co/eva/gestornormativo/norma.php?i=31591</vt:lpwstr>
      </vt:variant>
      <vt:variant>
        <vt:lpwstr>1</vt:lpwstr>
      </vt:variant>
      <vt:variant>
        <vt:i4>2293783</vt:i4>
      </vt:variant>
      <vt:variant>
        <vt:i4>3</vt:i4>
      </vt:variant>
      <vt:variant>
        <vt:i4>0</vt:i4>
      </vt:variant>
      <vt:variant>
        <vt:i4>5</vt:i4>
      </vt:variant>
      <vt:variant>
        <vt:lpwstr>https://www.funcionpublica.gov.co/eva/gestornormativo/norma.php?i=4640</vt:lpwstr>
      </vt:variant>
      <vt:variant>
        <vt:lpwstr>2</vt:lpwstr>
      </vt:variant>
      <vt:variant>
        <vt:i4>458791</vt:i4>
      </vt:variant>
      <vt:variant>
        <vt:i4>0</vt:i4>
      </vt:variant>
      <vt:variant>
        <vt:i4>0</vt:i4>
      </vt:variant>
      <vt:variant>
        <vt:i4>5</vt:i4>
      </vt:variant>
      <vt:variant>
        <vt:lpwstr>mailto:AGONZALEZ@SIOLTDA.COM</vt:lpwstr>
      </vt:variant>
      <vt:variant>
        <vt:lpwstr/>
      </vt:variant>
      <vt:variant>
        <vt:i4>7667834</vt:i4>
      </vt:variant>
      <vt:variant>
        <vt:i4>9</vt:i4>
      </vt:variant>
      <vt:variant>
        <vt:i4>0</vt:i4>
      </vt:variant>
      <vt:variant>
        <vt:i4>5</vt:i4>
      </vt:variant>
      <vt:variant>
        <vt:lpwstr>https://operaciones.colombiacompra.gov.co/sites/cce_public/files/cce_step/cce-sec-gi-20guiasecopii_eemcminimacuantia20-04-2022_0.pdf</vt:lpwstr>
      </vt:variant>
      <vt:variant>
        <vt:lpwstr/>
      </vt:variant>
      <vt:variant>
        <vt:i4>7274555</vt:i4>
      </vt:variant>
      <vt:variant>
        <vt:i4>6</vt:i4>
      </vt:variant>
      <vt:variant>
        <vt:i4>0</vt:i4>
      </vt:variant>
      <vt:variant>
        <vt:i4>5</vt:i4>
      </vt:variant>
      <vt:variant>
        <vt:lpwstr>https://www.colombiacompra.gov.co/wp-content/uploads/2024/08/manual_de_la_modalidad_de_seleccion_de_minima_cuantia.pdf</vt:lpwstr>
      </vt:variant>
      <vt:variant>
        <vt:lpwstr/>
      </vt:variant>
      <vt:variant>
        <vt:i4>786458</vt:i4>
      </vt:variant>
      <vt:variant>
        <vt:i4>3</vt:i4>
      </vt:variant>
      <vt:variant>
        <vt:i4>0</vt:i4>
      </vt:variant>
      <vt:variant>
        <vt:i4>5</vt:i4>
      </vt:variant>
      <vt:variant>
        <vt:lpwstr>https://dle.rae.es/participar</vt:lpwstr>
      </vt:variant>
      <vt:variant>
        <vt:lpwstr/>
      </vt:variant>
      <vt:variant>
        <vt:i4>3735552</vt:i4>
      </vt:variant>
      <vt:variant>
        <vt:i4>0</vt:i4>
      </vt:variant>
      <vt:variant>
        <vt:i4>0</vt:i4>
      </vt:variant>
      <vt:variant>
        <vt:i4>5</vt:i4>
      </vt:variant>
      <vt:variant>
        <vt:lpwstr>https://colombiacompra.gov.co/wp-content/uploads/2024/08/cce_manual_manejo_incentivos.pdf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9</cp:revision>
  <cp:lastPrinted>2023-01-10T21:18:00Z</cp:lastPrinted>
  <dcterms:created xsi:type="dcterms:W3CDTF">2025-07-18T20:34:00Z</dcterms:created>
  <dcterms:modified xsi:type="dcterms:W3CDTF">2025-07-19T16:05:00Z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