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DDC63" w14:textId="47C3D0C8" w:rsidR="004C1E96" w:rsidRPr="001F47FE" w:rsidRDefault="004C1E96" w:rsidP="00C518C6">
      <w:pPr>
        <w:spacing w:after="0" w:line="240" w:lineRule="auto"/>
        <w:jc w:val="both"/>
        <w:rPr>
          <w:rFonts w:ascii="Verdana" w:eastAsia="Calibri" w:hAnsi="Verdana" w:cs="Arial"/>
          <w:b/>
          <w:lang w:eastAsia="es-ES"/>
        </w:rPr>
      </w:pPr>
      <w:bookmarkStart w:id="0" w:name="_Hlk186494164"/>
      <w:r w:rsidRPr="001F47FE">
        <w:rPr>
          <w:rFonts w:ascii="Verdana" w:eastAsia="Calibri" w:hAnsi="Verdana" w:cs="Arial"/>
          <w:b/>
          <w:lang w:eastAsia="es-ES"/>
        </w:rPr>
        <w:t xml:space="preserve">CONVOCATORIAS LIMITADAS A MIPYMES NACIONALES – Requisitos – </w:t>
      </w:r>
      <w:r w:rsidR="001C7694">
        <w:rPr>
          <w:rFonts w:ascii="Verdana" w:eastAsia="Calibri" w:hAnsi="Verdana" w:cs="Arial"/>
          <w:b/>
          <w:lang w:eastAsia="es-ES"/>
        </w:rPr>
        <w:t>P</w:t>
      </w:r>
      <w:r w:rsidRPr="001F47FE">
        <w:rPr>
          <w:rFonts w:ascii="Verdana" w:eastAsia="Calibri" w:hAnsi="Verdana" w:cs="Arial"/>
          <w:b/>
          <w:lang w:eastAsia="es-ES"/>
        </w:rPr>
        <w:t>resupuestos mínimos</w:t>
      </w:r>
    </w:p>
    <w:p w14:paraId="5F0CB5E1" w14:textId="77777777" w:rsidR="004C1E96" w:rsidRPr="00C518C6" w:rsidRDefault="004C1E96" w:rsidP="00C518C6">
      <w:pPr>
        <w:spacing w:after="0" w:line="240" w:lineRule="auto"/>
        <w:jc w:val="both"/>
        <w:rPr>
          <w:rFonts w:ascii="Verdana" w:eastAsia="Calibri" w:hAnsi="Verdana" w:cs="Arial"/>
          <w:b/>
          <w:sz w:val="20"/>
          <w:szCs w:val="20"/>
          <w:lang w:eastAsia="es-ES"/>
        </w:rPr>
      </w:pPr>
    </w:p>
    <w:p w14:paraId="003B7D28" w14:textId="77777777" w:rsidR="00EE5395" w:rsidRPr="00C518C6" w:rsidRDefault="00EE5395" w:rsidP="00C518C6">
      <w:pPr>
        <w:spacing w:after="0" w:line="240" w:lineRule="auto"/>
        <w:jc w:val="both"/>
        <w:rPr>
          <w:rFonts w:ascii="Verdana" w:eastAsia="Calibri" w:hAnsi="Verdana" w:cs="Arial"/>
          <w:b/>
          <w:bCs/>
          <w:sz w:val="20"/>
          <w:szCs w:val="20"/>
          <w:lang w:val="es-ES" w:eastAsia="es-ES"/>
        </w:rPr>
      </w:pPr>
      <w:r w:rsidRPr="00C518C6">
        <w:rPr>
          <w:rFonts w:ascii="Verdana" w:hAnsi="Verdana"/>
          <w:sz w:val="20"/>
          <w:szCs w:val="20"/>
          <w:lang w:val="es-ES"/>
        </w:rPr>
        <w:t xml:space="preserve">El artículo 34 de la Ley 2069 de 2020, el cual modificó el artículo 12 de la Ley 1150 de 2007, regula la promoción del desarrollo en la contratación pública, cambiando los requisitos esenciales para que procedan las convocatorias limitadas a </w:t>
      </w:r>
      <w:proofErr w:type="spellStart"/>
      <w:r w:rsidRPr="00C518C6">
        <w:rPr>
          <w:rFonts w:ascii="Verdana" w:hAnsi="Verdana"/>
          <w:sz w:val="20"/>
          <w:szCs w:val="20"/>
          <w:lang w:val="es-ES"/>
        </w:rPr>
        <w:t>Mipymes</w:t>
      </w:r>
      <w:proofErr w:type="spellEnd"/>
      <w:r w:rsidRPr="00C518C6">
        <w:rPr>
          <w:rFonts w:ascii="Verdana" w:hAnsi="Verdana"/>
          <w:sz w:val="20"/>
          <w:szCs w:val="20"/>
          <w:lang w:val="es-ES"/>
        </w:rPr>
        <w:t xml:space="preserve">, de la siguiente forma: i) estableció que estas deben desarrollarse independientemente del régimen de contratación de la Entidad Estatal –es decir, también deben efectuarlas las Entidades Estatales exceptuadas del EGCAP o que se rigen por derecho privado–; </w:t>
      </w:r>
      <w:proofErr w:type="spellStart"/>
      <w:r w:rsidRPr="00C518C6">
        <w:rPr>
          <w:rFonts w:ascii="Verdana" w:hAnsi="Verdana"/>
          <w:sz w:val="20"/>
          <w:szCs w:val="20"/>
          <w:lang w:val="es-ES"/>
        </w:rPr>
        <w:t>ii</w:t>
      </w:r>
      <w:proofErr w:type="spellEnd"/>
      <w:r w:rsidRPr="00C518C6">
        <w:rPr>
          <w:rFonts w:ascii="Verdana" w:hAnsi="Verdana"/>
          <w:sz w:val="20"/>
          <w:szCs w:val="20"/>
          <w:lang w:val="es-ES"/>
        </w:rPr>
        <w:t xml:space="preserve">) señaló que los patrimonios autónomos constituidos por Entidades Estatales y los particulares que ejecuten recursos públicos también son destinatarios de esta exigencia; y,  </w:t>
      </w:r>
      <w:proofErr w:type="spellStart"/>
      <w:r w:rsidRPr="00C518C6">
        <w:rPr>
          <w:rFonts w:ascii="Verdana" w:hAnsi="Verdana"/>
          <w:sz w:val="20"/>
          <w:szCs w:val="20"/>
          <w:lang w:val="es-ES"/>
        </w:rPr>
        <w:t>iii</w:t>
      </w:r>
      <w:proofErr w:type="spellEnd"/>
      <w:r w:rsidRPr="00C518C6">
        <w:rPr>
          <w:rFonts w:ascii="Verdana" w:hAnsi="Verdana"/>
          <w:sz w:val="20"/>
          <w:szCs w:val="20"/>
          <w:lang w:val="es-ES"/>
        </w:rPr>
        <w:t xml:space="preserve">) indicó que para que pueda haber convocatorias limitadas a </w:t>
      </w:r>
      <w:proofErr w:type="spellStart"/>
      <w:r w:rsidRPr="00C518C6">
        <w:rPr>
          <w:rFonts w:ascii="Verdana" w:hAnsi="Verdana"/>
          <w:sz w:val="20"/>
          <w:szCs w:val="20"/>
          <w:lang w:val="es-ES"/>
        </w:rPr>
        <w:t>Mipymes</w:t>
      </w:r>
      <w:proofErr w:type="spellEnd"/>
      <w:r w:rsidRPr="00C518C6">
        <w:rPr>
          <w:rFonts w:ascii="Verdana" w:hAnsi="Verdana"/>
          <w:sz w:val="20"/>
          <w:szCs w:val="20"/>
          <w:lang w:val="es-ES"/>
        </w:rPr>
        <w:t>, dos (2) de ellas deben manifestar su interés.</w:t>
      </w:r>
    </w:p>
    <w:p w14:paraId="722EC96F" w14:textId="77777777" w:rsidR="004C1E96" w:rsidRPr="00C518C6" w:rsidRDefault="004C1E96" w:rsidP="00C518C6">
      <w:pPr>
        <w:spacing w:after="0" w:line="240" w:lineRule="auto"/>
        <w:jc w:val="both"/>
        <w:rPr>
          <w:rFonts w:ascii="Verdana" w:eastAsia="Calibri" w:hAnsi="Verdana" w:cs="Arial"/>
          <w:sz w:val="20"/>
          <w:szCs w:val="20"/>
          <w:lang w:val="es-ES" w:eastAsia="es-ES"/>
        </w:rPr>
      </w:pPr>
      <w:r w:rsidRPr="00C518C6">
        <w:rPr>
          <w:rFonts w:ascii="Verdana" w:eastAsia="Calibri" w:hAnsi="Verdana" w:cs="Arial"/>
          <w:sz w:val="20"/>
          <w:szCs w:val="20"/>
          <w:lang w:val="es-ES" w:eastAsia="es-ES"/>
        </w:rPr>
        <w:t>[…]</w:t>
      </w:r>
    </w:p>
    <w:p w14:paraId="1130A613" w14:textId="77777777" w:rsidR="00EE5395" w:rsidRPr="00C518C6" w:rsidRDefault="00EE5395" w:rsidP="00C518C6">
      <w:pPr>
        <w:spacing w:after="0" w:line="240" w:lineRule="auto"/>
        <w:jc w:val="both"/>
        <w:rPr>
          <w:rFonts w:ascii="Verdana" w:eastAsia="Calibri" w:hAnsi="Verdana" w:cs="Arial"/>
          <w:sz w:val="20"/>
          <w:szCs w:val="20"/>
          <w:lang w:val="es-ES" w:eastAsia="es-ES"/>
        </w:rPr>
      </w:pPr>
    </w:p>
    <w:p w14:paraId="3B13AFD9" w14:textId="6E8E546B" w:rsidR="00EE5395" w:rsidRPr="00C518C6" w:rsidRDefault="00EE5395" w:rsidP="00C518C6">
      <w:pPr>
        <w:spacing w:after="0" w:line="240" w:lineRule="auto"/>
        <w:jc w:val="both"/>
        <w:rPr>
          <w:rFonts w:ascii="Verdana" w:hAnsi="Verdana"/>
          <w:sz w:val="20"/>
          <w:szCs w:val="20"/>
          <w:lang w:val="es-ES"/>
        </w:rPr>
      </w:pPr>
      <w:r w:rsidRPr="00C518C6">
        <w:rPr>
          <w:rFonts w:ascii="Verdana" w:hAnsi="Verdana"/>
          <w:sz w:val="20"/>
          <w:szCs w:val="20"/>
          <w:lang w:val="es-ES"/>
        </w:rPr>
        <w:t xml:space="preserve">Según se evidencia, el numeral primero del </w:t>
      </w:r>
      <w:r w:rsidRPr="00C518C6">
        <w:rPr>
          <w:rFonts w:ascii="Verdana" w:hAnsi="Verdana"/>
          <w:sz w:val="20"/>
          <w:szCs w:val="20"/>
          <w:lang w:val="es-ES_tradnl"/>
        </w:rPr>
        <w:t xml:space="preserve">artículo 2.2.1.2.4.2.2 del Decreto 1082 de 2015 </w:t>
      </w:r>
      <w:r w:rsidRPr="00C518C6">
        <w:rPr>
          <w:rFonts w:ascii="Verdana" w:hAnsi="Verdana"/>
          <w:sz w:val="20"/>
          <w:szCs w:val="20"/>
          <w:lang w:val="es-ES"/>
        </w:rPr>
        <w:t xml:space="preserve">limita cuantitativamente los procesos contractuales para las convocatorias limitadas a </w:t>
      </w:r>
      <w:proofErr w:type="spellStart"/>
      <w:r w:rsidRPr="00C518C6">
        <w:rPr>
          <w:rFonts w:ascii="Verdana" w:hAnsi="Verdana"/>
          <w:sz w:val="20"/>
          <w:szCs w:val="20"/>
          <w:lang w:val="es-ES"/>
        </w:rPr>
        <w:t>Mipyme</w:t>
      </w:r>
      <w:proofErr w:type="spellEnd"/>
      <w:r w:rsidRPr="00C518C6">
        <w:rPr>
          <w:rFonts w:ascii="Verdana" w:hAnsi="Verdana"/>
          <w:sz w:val="20"/>
          <w:szCs w:val="20"/>
          <w:lang w:val="es-ES"/>
        </w:rPr>
        <w:t xml:space="preserve">, puesto que el valor del proceso de contratación debe ser “menor a ciento veinticinco mil dólares de los Estados Unidos de América”. Esto de acuerdo con la tasa que determine cada dos (2) años el Ministerio de Comercio, Industria y Turismo. El numeral segundo establece, por un lado, que al menos dos (2) </w:t>
      </w:r>
      <w:proofErr w:type="spellStart"/>
      <w:r w:rsidRPr="00C518C6">
        <w:rPr>
          <w:rFonts w:ascii="Verdana" w:hAnsi="Verdana"/>
          <w:sz w:val="20"/>
          <w:szCs w:val="20"/>
          <w:lang w:val="es-ES"/>
        </w:rPr>
        <w:t>Mipymes</w:t>
      </w:r>
      <w:proofErr w:type="spellEnd"/>
      <w:r w:rsidRPr="00C518C6">
        <w:rPr>
          <w:rFonts w:ascii="Verdana" w:hAnsi="Verdana"/>
          <w:sz w:val="20"/>
          <w:szCs w:val="20"/>
          <w:lang w:val="es-ES"/>
        </w:rPr>
        <w:t xml:space="preserve"> colombianas presenten a la entidad la solicitud de limitar el proceso contractual y, por el otro, que hagan la solicitud por lo menos un día (1) hábil antes de la expedición del acto administrativo de apertura o el que haga sus veces de acuerdo con la normativa aplicable a cada Proceso de Contratación. </w:t>
      </w:r>
    </w:p>
    <w:p w14:paraId="629C123D" w14:textId="77777777" w:rsidR="006F1B30" w:rsidRPr="00C518C6" w:rsidRDefault="006F1B30" w:rsidP="00C518C6">
      <w:pPr>
        <w:spacing w:after="0" w:line="240" w:lineRule="auto"/>
        <w:jc w:val="both"/>
        <w:rPr>
          <w:rFonts w:ascii="Verdana" w:eastAsia="Calibri" w:hAnsi="Verdana" w:cs="Arial"/>
          <w:sz w:val="20"/>
          <w:szCs w:val="20"/>
          <w:lang w:eastAsia="es-ES"/>
        </w:rPr>
      </w:pPr>
    </w:p>
    <w:p w14:paraId="4B2A674F" w14:textId="77141B46" w:rsidR="006F1B30" w:rsidRPr="001F47FE" w:rsidRDefault="004008F2" w:rsidP="00C518C6">
      <w:pPr>
        <w:spacing w:after="0" w:line="240" w:lineRule="auto"/>
        <w:jc w:val="both"/>
        <w:rPr>
          <w:rFonts w:ascii="Verdana" w:eastAsia="Calibri" w:hAnsi="Verdana" w:cs="Arial"/>
          <w:b/>
          <w:lang w:val="es-ES" w:eastAsia="es-ES"/>
        </w:rPr>
      </w:pPr>
      <w:r w:rsidRPr="001F47FE">
        <w:rPr>
          <w:rFonts w:ascii="Verdana" w:hAnsi="Verdana" w:cs="Arial"/>
          <w:b/>
          <w:lang w:val="es-ES" w:eastAsia="es-CO"/>
        </w:rPr>
        <w:t xml:space="preserve">MIPYME </w:t>
      </w:r>
      <w:r w:rsidRPr="001F47FE">
        <w:rPr>
          <w:rFonts w:ascii="Verdana" w:hAnsi="Verdana" w:cs="Arial"/>
          <w:b/>
          <w:lang w:eastAsia="es-CO"/>
        </w:rPr>
        <w:t>– Convocatoria limitada – Acreditación – Persona natural – RUP</w:t>
      </w:r>
    </w:p>
    <w:p w14:paraId="02C57806" w14:textId="77777777" w:rsidR="00D27F0B" w:rsidRPr="00C518C6" w:rsidRDefault="00D27F0B" w:rsidP="00C518C6">
      <w:pPr>
        <w:spacing w:after="0" w:line="240" w:lineRule="auto"/>
        <w:jc w:val="both"/>
        <w:rPr>
          <w:rFonts w:ascii="Verdana" w:eastAsia="Arial" w:hAnsi="Verdana" w:cs="Arial"/>
          <w:sz w:val="20"/>
          <w:szCs w:val="20"/>
          <w:lang w:eastAsia="es-ES_tradnl"/>
        </w:rPr>
      </w:pPr>
    </w:p>
    <w:p w14:paraId="1781E6E5" w14:textId="5FC27B68" w:rsidR="00EE5395" w:rsidRPr="00C518C6" w:rsidRDefault="00C518C6" w:rsidP="00C518C6">
      <w:pPr>
        <w:spacing w:after="0" w:line="240" w:lineRule="auto"/>
        <w:jc w:val="both"/>
        <w:rPr>
          <w:rFonts w:ascii="Verdana" w:eastAsia="Calibri" w:hAnsi="Verdana" w:cs="Arial"/>
          <w:bCs/>
          <w:sz w:val="20"/>
          <w:szCs w:val="20"/>
          <w:lang w:val="es-ES_tradnl" w:eastAsia="es-ES_tradnl"/>
        </w:rPr>
      </w:pPr>
      <w:r>
        <w:rPr>
          <w:rFonts w:ascii="Verdana" w:eastAsia="Calibri" w:hAnsi="Verdana" w:cs="Arial"/>
          <w:bCs/>
          <w:sz w:val="20"/>
          <w:szCs w:val="20"/>
          <w:lang w:eastAsia="es-ES_tradnl"/>
        </w:rPr>
        <w:t>p</w:t>
      </w:r>
      <w:r w:rsidR="00EE5395" w:rsidRPr="00C518C6">
        <w:rPr>
          <w:rFonts w:ascii="Verdana" w:eastAsia="Calibri" w:hAnsi="Verdana" w:cs="Arial"/>
          <w:bCs/>
          <w:sz w:val="20"/>
          <w:szCs w:val="20"/>
          <w:lang w:eastAsia="es-ES_tradnl"/>
        </w:rPr>
        <w:t xml:space="preserve">ara efectos de las convocatorias limitadas a </w:t>
      </w:r>
      <w:proofErr w:type="spellStart"/>
      <w:r w:rsidR="00EE5395" w:rsidRPr="00C518C6">
        <w:rPr>
          <w:rFonts w:ascii="Verdana" w:eastAsia="Calibri" w:hAnsi="Verdana" w:cs="Arial"/>
          <w:bCs/>
          <w:sz w:val="20"/>
          <w:szCs w:val="20"/>
          <w:lang w:eastAsia="es-ES_tradnl"/>
        </w:rPr>
        <w:t>Mipyme</w:t>
      </w:r>
      <w:proofErr w:type="spellEnd"/>
      <w:r w:rsidR="00EE5395" w:rsidRPr="00C518C6">
        <w:rPr>
          <w:rFonts w:ascii="Verdana" w:eastAsia="Calibri" w:hAnsi="Verdana" w:cs="Arial"/>
          <w:bCs/>
          <w:sz w:val="20"/>
          <w:szCs w:val="20"/>
          <w:lang w:eastAsia="es-ES_tradnl"/>
        </w:rPr>
        <w:t xml:space="preserve"> colombianas del sistema de compras públicas, el </w:t>
      </w:r>
      <w:r w:rsidR="00EE5395" w:rsidRPr="00C518C6">
        <w:rPr>
          <w:rFonts w:ascii="Verdana" w:eastAsia="Calibri" w:hAnsi="Verdana" w:cs="Arial"/>
          <w:bCs/>
          <w:sz w:val="20"/>
          <w:szCs w:val="20"/>
          <w:lang w:val="es-ES_tradnl" w:eastAsia="es-ES_tradnl"/>
        </w:rPr>
        <w:t xml:space="preserve">artículo 2.2.1.2.4.2.4 del Decreto 1082 de 2015 –modificado por el Decreto 1860 de 2021– determina la forma en la que se debe acreditar el tamaño empresarial, tratándose de persona natural y persona jurídica. Es importante precisar que esta acreditación se debe realizar tanto para solicitar la limitación de la convocatoria como para participar en el proceso de selección una vez esta se haya limitado a </w:t>
      </w:r>
      <w:proofErr w:type="spellStart"/>
      <w:r w:rsidR="00EE5395" w:rsidRPr="00C518C6">
        <w:rPr>
          <w:rFonts w:ascii="Verdana" w:eastAsia="Calibri" w:hAnsi="Verdana" w:cs="Arial"/>
          <w:bCs/>
          <w:sz w:val="20"/>
          <w:szCs w:val="20"/>
          <w:lang w:val="es-ES_tradnl" w:eastAsia="es-ES_tradnl"/>
        </w:rPr>
        <w:t>Mipyme</w:t>
      </w:r>
      <w:proofErr w:type="spellEnd"/>
      <w:r w:rsidR="00EE5395" w:rsidRPr="00C518C6">
        <w:rPr>
          <w:rFonts w:ascii="Verdana" w:eastAsia="Calibri" w:hAnsi="Verdana" w:cs="Arial"/>
          <w:bCs/>
          <w:sz w:val="20"/>
          <w:szCs w:val="20"/>
          <w:lang w:val="es-ES_tradnl" w:eastAsia="es-ES_tradnl"/>
        </w:rPr>
        <w:t xml:space="preserve">. </w:t>
      </w:r>
    </w:p>
    <w:p w14:paraId="6D83A22D" w14:textId="77777777" w:rsidR="00EE5395" w:rsidRDefault="00EE5395" w:rsidP="00C518C6">
      <w:pPr>
        <w:spacing w:after="0" w:line="240" w:lineRule="auto"/>
        <w:jc w:val="both"/>
        <w:rPr>
          <w:rFonts w:ascii="Verdana" w:eastAsia="Calibri" w:hAnsi="Verdana" w:cs="Arial"/>
          <w:sz w:val="20"/>
          <w:szCs w:val="20"/>
          <w:lang w:val="es-ES_tradnl" w:eastAsia="es-ES_tradnl"/>
        </w:rPr>
      </w:pPr>
      <w:r w:rsidRPr="00C518C6">
        <w:rPr>
          <w:rFonts w:ascii="Verdana" w:eastAsia="Calibri" w:hAnsi="Verdana" w:cs="Arial"/>
          <w:bCs/>
          <w:sz w:val="20"/>
          <w:szCs w:val="20"/>
          <w:lang w:eastAsia="es-ES_tradnl"/>
        </w:rPr>
        <w:t>En relación con la persona jurídica, la norma requiere que l</w:t>
      </w:r>
      <w:r w:rsidRPr="00C518C6">
        <w:rPr>
          <w:rFonts w:ascii="Verdana" w:eastAsia="Calibri" w:hAnsi="Verdana" w:cs="Arial"/>
          <w:sz w:val="20"/>
          <w:szCs w:val="20"/>
          <w:lang w:val="es-ES_tradnl" w:eastAsia="es-ES_tradnl"/>
        </w:rPr>
        <w:t xml:space="preserve">a </w:t>
      </w:r>
      <w:proofErr w:type="spellStart"/>
      <w:r w:rsidRPr="00C518C6">
        <w:rPr>
          <w:rFonts w:ascii="Verdana" w:eastAsia="Calibri" w:hAnsi="Verdana" w:cs="Arial"/>
          <w:sz w:val="20"/>
          <w:szCs w:val="20"/>
          <w:lang w:val="es-ES_tradnl" w:eastAsia="es-ES_tradnl"/>
        </w:rPr>
        <w:t>Mipyme</w:t>
      </w:r>
      <w:proofErr w:type="spellEnd"/>
      <w:r w:rsidRPr="00C518C6">
        <w:rPr>
          <w:rFonts w:ascii="Verdana" w:eastAsia="Calibri" w:hAnsi="Verdana" w:cs="Arial"/>
          <w:sz w:val="20"/>
          <w:szCs w:val="20"/>
          <w:lang w:val="es-ES_tradnl" w:eastAsia="es-ES_tradnl"/>
        </w:rPr>
        <w:t xml:space="preserve"> colombiana acredite el tamaño empresarial mediante certificación expedida por el representante legal y el contador o revisor fiscal, si está obligada a tenerlo, adjuntando copia del certificado de existencia y representación legal expedido por la Cámara de Comercio o por la autoridad competente para expedir dicha certificación. </w:t>
      </w:r>
    </w:p>
    <w:p w14:paraId="37CA9C0B" w14:textId="77777777" w:rsidR="00C518C6" w:rsidRPr="00C518C6" w:rsidRDefault="00C518C6" w:rsidP="00C518C6">
      <w:pPr>
        <w:spacing w:after="0" w:line="240" w:lineRule="auto"/>
        <w:jc w:val="both"/>
        <w:rPr>
          <w:rFonts w:ascii="Verdana" w:eastAsia="Calibri" w:hAnsi="Verdana" w:cs="Arial"/>
          <w:sz w:val="20"/>
          <w:szCs w:val="20"/>
          <w:lang w:val="es-ES_tradnl" w:eastAsia="es-ES_tradnl"/>
        </w:rPr>
      </w:pPr>
    </w:p>
    <w:p w14:paraId="6DF18105" w14:textId="77777777" w:rsidR="00EE5395" w:rsidRDefault="00EE5395" w:rsidP="00C518C6">
      <w:pPr>
        <w:spacing w:after="0" w:line="240" w:lineRule="auto"/>
        <w:jc w:val="both"/>
        <w:rPr>
          <w:rFonts w:ascii="Verdana" w:eastAsia="Calibri" w:hAnsi="Verdana" w:cs="Arial"/>
          <w:sz w:val="20"/>
          <w:szCs w:val="20"/>
          <w:lang w:val="es-ES" w:eastAsia="es-ES"/>
        </w:rPr>
      </w:pPr>
      <w:r w:rsidRPr="00C518C6">
        <w:rPr>
          <w:rFonts w:ascii="Verdana" w:eastAsia="Calibri" w:hAnsi="Verdana" w:cs="Arial"/>
          <w:sz w:val="20"/>
          <w:szCs w:val="20"/>
          <w:lang w:val="es-ES" w:eastAsia="es-ES"/>
        </w:rPr>
        <w:t xml:space="preserve">Por su parte, tratándose de persona natural, la disposición antes señalada exige que se acredite el tamaño empresarial mediante certificación expedida por ellos y un contador público, adjuntando copia del registro mercantil. En este caso, la intervención del contador es necesaria con el fin de que actúe en calidad de fedatario. </w:t>
      </w:r>
    </w:p>
    <w:p w14:paraId="21691569" w14:textId="77777777" w:rsidR="00C518C6" w:rsidRPr="00C518C6" w:rsidRDefault="00C518C6" w:rsidP="00C518C6">
      <w:pPr>
        <w:spacing w:after="0" w:line="240" w:lineRule="auto"/>
        <w:jc w:val="both"/>
        <w:rPr>
          <w:rFonts w:ascii="Verdana" w:eastAsia="Calibri" w:hAnsi="Verdana" w:cs="Arial"/>
          <w:sz w:val="20"/>
          <w:szCs w:val="20"/>
          <w:lang w:val="es-ES" w:eastAsia="es-ES"/>
        </w:rPr>
      </w:pPr>
    </w:p>
    <w:p w14:paraId="4F53D19C" w14:textId="5D9D32E6" w:rsidR="00EE5395" w:rsidRPr="00C518C6" w:rsidRDefault="00EE5395" w:rsidP="00C518C6">
      <w:pPr>
        <w:spacing w:after="0" w:line="240" w:lineRule="auto"/>
        <w:jc w:val="both"/>
        <w:rPr>
          <w:rFonts w:ascii="Verdana" w:eastAsia="Calibri" w:hAnsi="Verdana" w:cs="Arial"/>
          <w:sz w:val="20"/>
          <w:szCs w:val="20"/>
          <w:lang w:val="es-ES" w:eastAsia="es-ES"/>
        </w:rPr>
      </w:pPr>
      <w:r w:rsidRPr="00C518C6">
        <w:rPr>
          <w:rFonts w:ascii="Verdana" w:eastAsia="Calibri" w:hAnsi="Verdana" w:cs="Arial"/>
          <w:bCs/>
          <w:sz w:val="20"/>
          <w:szCs w:val="20"/>
          <w:lang w:val="es-ES_tradnl" w:eastAsia="es-ES_tradnl"/>
        </w:rPr>
        <w:lastRenderedPageBreak/>
        <w:t xml:space="preserve">Además, es preciso señalar que el parágrafo primero del artículo citado permite acreditar la condición de </w:t>
      </w:r>
      <w:proofErr w:type="spellStart"/>
      <w:r w:rsidRPr="00C518C6">
        <w:rPr>
          <w:rFonts w:ascii="Verdana" w:eastAsia="Calibri" w:hAnsi="Verdana" w:cs="Arial"/>
          <w:bCs/>
          <w:sz w:val="20"/>
          <w:szCs w:val="20"/>
          <w:lang w:val="es-ES_tradnl" w:eastAsia="es-ES_tradnl"/>
        </w:rPr>
        <w:t>Mipyme</w:t>
      </w:r>
      <w:proofErr w:type="spellEnd"/>
      <w:r w:rsidRPr="00C518C6">
        <w:rPr>
          <w:rFonts w:ascii="Verdana" w:eastAsia="Calibri" w:hAnsi="Verdana" w:cs="Arial"/>
          <w:bCs/>
          <w:sz w:val="20"/>
          <w:szCs w:val="20"/>
          <w:lang w:val="es-ES_tradnl" w:eastAsia="es-ES_tradnl"/>
        </w:rPr>
        <w:t xml:space="preserve"> con la copia del certificado del Registro Único de Proponentes –RUP–. De esta manera, la </w:t>
      </w:r>
      <w:proofErr w:type="spellStart"/>
      <w:r w:rsidRPr="00C518C6">
        <w:rPr>
          <w:rFonts w:ascii="Verdana" w:eastAsia="Calibri" w:hAnsi="Verdana" w:cs="Arial"/>
          <w:bCs/>
          <w:sz w:val="20"/>
          <w:szCs w:val="20"/>
          <w:lang w:val="es-ES_tradnl" w:eastAsia="es-ES_tradnl"/>
        </w:rPr>
        <w:t>Mipyme</w:t>
      </w:r>
      <w:proofErr w:type="spellEnd"/>
      <w:r w:rsidRPr="00C518C6">
        <w:rPr>
          <w:rFonts w:ascii="Verdana" w:eastAsia="Calibri" w:hAnsi="Verdana" w:cs="Arial"/>
          <w:bCs/>
          <w:sz w:val="20"/>
          <w:szCs w:val="20"/>
          <w:lang w:val="es-ES_tradnl" w:eastAsia="es-ES_tradnl"/>
        </w:rPr>
        <w:t>, sea persona natural o persona jurídica, podrá acreditar la actividad y el tamaño empresarial exigido por la ley, presentando el RUP, documento que en este caso es de carácter opcional, es decir, es un medio de prueba alternativo establecido por el mismo reglamento.</w:t>
      </w:r>
    </w:p>
    <w:p w14:paraId="0BB14B90" w14:textId="77777777" w:rsidR="00D27F0B" w:rsidRPr="00C518C6" w:rsidRDefault="00D27F0B" w:rsidP="00C518C6">
      <w:pPr>
        <w:spacing w:after="0" w:line="240" w:lineRule="auto"/>
        <w:jc w:val="both"/>
        <w:rPr>
          <w:rFonts w:ascii="Verdana" w:eastAsia="Calibri" w:hAnsi="Verdana" w:cs="Arial"/>
          <w:b/>
          <w:sz w:val="20"/>
          <w:szCs w:val="20"/>
          <w:lang w:eastAsia="es-ES"/>
        </w:rPr>
      </w:pPr>
    </w:p>
    <w:p w14:paraId="441E2566" w14:textId="18519DFB" w:rsidR="004C1E96" w:rsidRPr="001F47FE" w:rsidRDefault="004C1E96" w:rsidP="00C518C6">
      <w:pPr>
        <w:spacing w:after="0" w:line="240" w:lineRule="auto"/>
        <w:jc w:val="both"/>
        <w:rPr>
          <w:rFonts w:ascii="Verdana" w:eastAsia="Calibri" w:hAnsi="Verdana" w:cs="Arial"/>
          <w:b/>
          <w:lang w:eastAsia="es-ES"/>
        </w:rPr>
      </w:pPr>
      <w:r w:rsidRPr="001F47FE">
        <w:rPr>
          <w:rFonts w:ascii="Verdana" w:eastAsia="Calibri" w:hAnsi="Verdana" w:cs="Arial"/>
          <w:b/>
          <w:lang w:eastAsia="es-ES"/>
        </w:rPr>
        <w:t>CONVOCATORIAS LIMITADAS A MIPYMES EN EL ÁMBITO TERRITORIAL – Limitación territorial – Facultad discrecional</w:t>
      </w:r>
    </w:p>
    <w:p w14:paraId="538D81EA" w14:textId="77777777" w:rsidR="004C1E96" w:rsidRPr="00C518C6" w:rsidRDefault="004C1E96" w:rsidP="00C518C6">
      <w:pPr>
        <w:spacing w:after="0" w:line="240" w:lineRule="auto"/>
        <w:rPr>
          <w:rFonts w:ascii="Verdana" w:eastAsia="Calibri" w:hAnsi="Verdana" w:cs="Arial"/>
          <w:sz w:val="20"/>
          <w:szCs w:val="20"/>
          <w:lang w:eastAsia="es-ES"/>
        </w:rPr>
      </w:pPr>
    </w:p>
    <w:p w14:paraId="76BDBFE7" w14:textId="77777777" w:rsidR="004C1E96" w:rsidRPr="00C518C6" w:rsidRDefault="004C1E96" w:rsidP="00C518C6">
      <w:pPr>
        <w:spacing w:after="0" w:line="240" w:lineRule="auto"/>
        <w:jc w:val="both"/>
        <w:rPr>
          <w:rFonts w:ascii="Verdana" w:eastAsia="Calibri" w:hAnsi="Verdana" w:cs="Arial"/>
          <w:sz w:val="20"/>
          <w:szCs w:val="20"/>
          <w:lang w:val="es-ES" w:eastAsia="es-ES"/>
        </w:rPr>
      </w:pPr>
      <w:r w:rsidRPr="00C518C6">
        <w:rPr>
          <w:rFonts w:ascii="Verdana" w:eastAsia="Calibri" w:hAnsi="Verdana" w:cs="Arial"/>
          <w:sz w:val="20"/>
          <w:szCs w:val="20"/>
          <w:lang w:val="es-ES" w:eastAsia="es-ES"/>
        </w:rPr>
        <w:t xml:space="preserve">En tal sentido, lo que debe adoptarse obligatoriamente es la limitación a </w:t>
      </w:r>
      <w:proofErr w:type="spellStart"/>
      <w:r w:rsidRPr="00C518C6">
        <w:rPr>
          <w:rFonts w:ascii="Verdana" w:eastAsia="Calibri" w:hAnsi="Verdana" w:cs="Arial"/>
          <w:sz w:val="20"/>
          <w:szCs w:val="20"/>
          <w:lang w:val="es-ES" w:eastAsia="es-ES"/>
        </w:rPr>
        <w:t>Mipymes</w:t>
      </w:r>
      <w:proofErr w:type="spellEnd"/>
      <w:r w:rsidRPr="00C518C6">
        <w:rPr>
          <w:rFonts w:ascii="Verdana" w:eastAsia="Calibri" w:hAnsi="Verdana" w:cs="Arial"/>
          <w:sz w:val="20"/>
          <w:szCs w:val="20"/>
          <w:lang w:val="es-ES" w:eastAsia="es-ES"/>
        </w:rPr>
        <w:t xml:space="preserve"> colombianas siempre que se cumplan las condiciones del artículo 2.2.1.2.4.2.2 del Decreto 1082 de 2015, pero no la “limitación territorial” referida en el artículo 2.2.1.2.4.2.3 </w:t>
      </w:r>
      <w:proofErr w:type="spellStart"/>
      <w:r w:rsidRPr="00C518C6">
        <w:rPr>
          <w:rFonts w:ascii="Verdana" w:eastAsia="Calibri" w:hAnsi="Verdana" w:cs="Arial"/>
          <w:i/>
          <w:iCs/>
          <w:sz w:val="20"/>
          <w:szCs w:val="20"/>
          <w:lang w:val="es-ES" w:eastAsia="es-ES"/>
        </w:rPr>
        <w:t>ibídem</w:t>
      </w:r>
      <w:proofErr w:type="spellEnd"/>
      <w:r w:rsidRPr="00C518C6">
        <w:rPr>
          <w:rFonts w:ascii="Verdana" w:eastAsia="Calibri" w:hAnsi="Verdana" w:cs="Arial"/>
          <w:sz w:val="20"/>
          <w:szCs w:val="20"/>
          <w:lang w:val="es-ES" w:eastAsia="es-ES"/>
        </w:rPr>
        <w:t xml:space="preserve">, pues esta es facultativa para la Entidad. Las únicas exigencias son que la convocatoria esté limitada a las </w:t>
      </w:r>
      <w:proofErr w:type="spellStart"/>
      <w:r w:rsidRPr="00C518C6">
        <w:rPr>
          <w:rFonts w:ascii="Verdana" w:eastAsia="Calibri" w:hAnsi="Verdana" w:cs="Arial"/>
          <w:sz w:val="20"/>
          <w:szCs w:val="20"/>
          <w:lang w:val="es-ES" w:eastAsia="es-ES"/>
        </w:rPr>
        <w:t>Mipyme</w:t>
      </w:r>
      <w:proofErr w:type="spellEnd"/>
      <w:r w:rsidRPr="00C518C6">
        <w:rPr>
          <w:rFonts w:ascii="Verdana" w:eastAsia="Calibri" w:hAnsi="Verdana" w:cs="Arial"/>
          <w:sz w:val="20"/>
          <w:szCs w:val="20"/>
          <w:lang w:val="es-ES" w:eastAsia="es-ES"/>
        </w:rPr>
        <w:t xml:space="preserve"> colombianas “domiciliadas en los departamentos o municipios en donde se va a ejecutar el contrato” y que la entidad justifique su decisión con base en los “estudios del sector”. No es procedente, entonces, que sean las MiPymes las que soliciten la “limitación territorial” a la que se refiere el artículo 2.2.1.2.4.2.3 del Decreto 1082 de 2015. </w:t>
      </w:r>
    </w:p>
    <w:p w14:paraId="6877EF36" w14:textId="77777777" w:rsidR="004C1E96" w:rsidRPr="00C518C6" w:rsidRDefault="004C1E96" w:rsidP="00C518C6">
      <w:pPr>
        <w:spacing w:after="0" w:line="240" w:lineRule="auto"/>
        <w:jc w:val="both"/>
        <w:rPr>
          <w:rFonts w:ascii="Verdana" w:eastAsia="Calibri" w:hAnsi="Verdana" w:cs="Arial"/>
          <w:sz w:val="20"/>
          <w:szCs w:val="20"/>
          <w:lang w:eastAsia="es-ES"/>
        </w:rPr>
      </w:pPr>
    </w:p>
    <w:p w14:paraId="335B056F" w14:textId="64694A6C" w:rsidR="00E629EF" w:rsidRPr="00C518C6" w:rsidRDefault="00E629EF" w:rsidP="00C518C6">
      <w:pPr>
        <w:spacing w:after="0" w:line="240" w:lineRule="auto"/>
        <w:jc w:val="both"/>
        <w:rPr>
          <w:rFonts w:ascii="Verdana" w:eastAsia="Arial" w:hAnsi="Verdana" w:cs="Arial"/>
          <w:color w:val="000000"/>
          <w:sz w:val="20"/>
          <w:szCs w:val="20"/>
        </w:rPr>
      </w:pPr>
    </w:p>
    <w:p w14:paraId="5180B1FB" w14:textId="77777777" w:rsidR="001F2DB5" w:rsidRPr="00C518C6" w:rsidRDefault="001F2DB5" w:rsidP="00C518C6">
      <w:pPr>
        <w:spacing w:after="0" w:line="240" w:lineRule="auto"/>
        <w:rPr>
          <w:rFonts w:ascii="Verdana" w:eastAsia="Arial" w:hAnsi="Verdana" w:cs="Arial"/>
          <w:color w:val="000000"/>
          <w:sz w:val="20"/>
          <w:szCs w:val="20"/>
        </w:rPr>
      </w:pPr>
    </w:p>
    <w:p w14:paraId="11ED19D8" w14:textId="77777777" w:rsidR="00E629EF" w:rsidRPr="00C518C6" w:rsidRDefault="00E629EF" w:rsidP="00C518C6">
      <w:pPr>
        <w:spacing w:after="0" w:line="240" w:lineRule="auto"/>
        <w:rPr>
          <w:rFonts w:ascii="Verdana" w:eastAsia="Arial" w:hAnsi="Verdana" w:cs="Arial"/>
          <w:color w:val="000000"/>
          <w:sz w:val="20"/>
          <w:szCs w:val="20"/>
        </w:rPr>
      </w:pPr>
    </w:p>
    <w:p w14:paraId="6E8C4F4D" w14:textId="77777777" w:rsidR="00D27F0B" w:rsidRPr="00C518C6" w:rsidRDefault="00D27F0B" w:rsidP="00C518C6">
      <w:pPr>
        <w:spacing w:after="0" w:line="240" w:lineRule="auto"/>
        <w:rPr>
          <w:rFonts w:ascii="Verdana" w:eastAsia="Arial" w:hAnsi="Verdana" w:cs="Arial"/>
          <w:color w:val="000000"/>
          <w:sz w:val="20"/>
          <w:szCs w:val="20"/>
        </w:rPr>
      </w:pPr>
    </w:p>
    <w:p w14:paraId="6A2202AA" w14:textId="77777777" w:rsidR="00D27F0B" w:rsidRDefault="00D27F0B" w:rsidP="001F2DB5">
      <w:pPr>
        <w:spacing w:after="0" w:line="240" w:lineRule="auto"/>
        <w:rPr>
          <w:rFonts w:ascii="Verdana" w:eastAsia="Arial" w:hAnsi="Verdana" w:cs="Arial"/>
          <w:color w:val="000000"/>
        </w:rPr>
      </w:pPr>
    </w:p>
    <w:p w14:paraId="173ED05E" w14:textId="77777777" w:rsidR="00D27F0B" w:rsidRDefault="00D27F0B" w:rsidP="001F2DB5">
      <w:pPr>
        <w:spacing w:after="0" w:line="240" w:lineRule="auto"/>
        <w:rPr>
          <w:rFonts w:ascii="Verdana" w:eastAsia="Arial" w:hAnsi="Verdana" w:cs="Arial"/>
          <w:color w:val="000000"/>
        </w:rPr>
      </w:pPr>
    </w:p>
    <w:p w14:paraId="401823F5" w14:textId="77777777" w:rsidR="00D27F0B" w:rsidRDefault="00D27F0B" w:rsidP="001F2DB5">
      <w:pPr>
        <w:spacing w:after="0" w:line="240" w:lineRule="auto"/>
        <w:rPr>
          <w:rFonts w:ascii="Verdana" w:eastAsia="Arial" w:hAnsi="Verdana" w:cs="Arial"/>
          <w:color w:val="000000"/>
        </w:rPr>
      </w:pPr>
    </w:p>
    <w:p w14:paraId="1989D8F2" w14:textId="77777777" w:rsidR="00D27F0B" w:rsidRDefault="00D27F0B" w:rsidP="001F2DB5">
      <w:pPr>
        <w:spacing w:after="0" w:line="240" w:lineRule="auto"/>
        <w:rPr>
          <w:rFonts w:ascii="Verdana" w:eastAsia="Arial" w:hAnsi="Verdana" w:cs="Arial"/>
          <w:color w:val="000000"/>
        </w:rPr>
      </w:pPr>
    </w:p>
    <w:p w14:paraId="3B339623" w14:textId="77777777" w:rsidR="00D27F0B" w:rsidRDefault="00D27F0B" w:rsidP="001F2DB5">
      <w:pPr>
        <w:spacing w:after="0" w:line="240" w:lineRule="auto"/>
        <w:rPr>
          <w:rFonts w:ascii="Verdana" w:eastAsia="Arial" w:hAnsi="Verdana" w:cs="Arial"/>
          <w:color w:val="000000"/>
        </w:rPr>
      </w:pPr>
    </w:p>
    <w:p w14:paraId="1B4FD997" w14:textId="77777777" w:rsidR="00D27F0B" w:rsidRDefault="00D27F0B" w:rsidP="001F2DB5">
      <w:pPr>
        <w:spacing w:after="0" w:line="240" w:lineRule="auto"/>
        <w:rPr>
          <w:rFonts w:ascii="Verdana" w:eastAsia="Arial" w:hAnsi="Verdana" w:cs="Arial"/>
          <w:color w:val="000000"/>
        </w:rPr>
      </w:pPr>
    </w:p>
    <w:p w14:paraId="00DA78BA" w14:textId="77777777" w:rsidR="00D27F0B" w:rsidRDefault="00D27F0B" w:rsidP="001F2DB5">
      <w:pPr>
        <w:spacing w:after="0" w:line="240" w:lineRule="auto"/>
        <w:rPr>
          <w:rFonts w:ascii="Verdana" w:eastAsia="Arial" w:hAnsi="Verdana" w:cs="Arial"/>
          <w:color w:val="000000"/>
        </w:rPr>
      </w:pPr>
    </w:p>
    <w:p w14:paraId="7E61EA26" w14:textId="77777777" w:rsidR="00D27F0B" w:rsidRDefault="00D27F0B" w:rsidP="001F2DB5">
      <w:pPr>
        <w:spacing w:after="0" w:line="240" w:lineRule="auto"/>
        <w:rPr>
          <w:rFonts w:ascii="Verdana" w:eastAsia="Arial" w:hAnsi="Verdana" w:cs="Arial"/>
          <w:color w:val="000000"/>
        </w:rPr>
      </w:pPr>
    </w:p>
    <w:p w14:paraId="4F9EFCA7" w14:textId="77777777" w:rsidR="00D27F0B" w:rsidRDefault="00D27F0B" w:rsidP="001F2DB5">
      <w:pPr>
        <w:spacing w:after="0" w:line="240" w:lineRule="auto"/>
        <w:rPr>
          <w:rFonts w:ascii="Verdana" w:eastAsia="Arial" w:hAnsi="Verdana" w:cs="Arial"/>
          <w:color w:val="000000"/>
        </w:rPr>
      </w:pPr>
    </w:p>
    <w:p w14:paraId="7DD4B679" w14:textId="77777777" w:rsidR="00D27F0B" w:rsidRDefault="00D27F0B" w:rsidP="001F2DB5">
      <w:pPr>
        <w:spacing w:after="0" w:line="240" w:lineRule="auto"/>
        <w:rPr>
          <w:rFonts w:ascii="Verdana" w:eastAsia="Arial" w:hAnsi="Verdana" w:cs="Arial"/>
          <w:color w:val="000000"/>
        </w:rPr>
      </w:pPr>
    </w:p>
    <w:p w14:paraId="721293CE" w14:textId="77777777" w:rsidR="00E629EF" w:rsidRDefault="00E629EF" w:rsidP="001F2DB5">
      <w:pPr>
        <w:spacing w:after="0" w:line="240" w:lineRule="auto"/>
        <w:rPr>
          <w:rFonts w:ascii="Verdana" w:eastAsia="Arial" w:hAnsi="Verdana" w:cs="Arial"/>
          <w:color w:val="000000"/>
        </w:rPr>
      </w:pPr>
    </w:p>
    <w:p w14:paraId="08C9178E" w14:textId="77777777" w:rsidR="00E629EF" w:rsidRDefault="00E629EF" w:rsidP="001F2DB5">
      <w:pPr>
        <w:spacing w:after="0" w:line="240" w:lineRule="auto"/>
        <w:rPr>
          <w:rFonts w:ascii="Verdana" w:eastAsia="Arial" w:hAnsi="Verdana" w:cs="Arial"/>
          <w:color w:val="000000"/>
        </w:rPr>
      </w:pPr>
    </w:p>
    <w:p w14:paraId="0916D800" w14:textId="77777777" w:rsidR="00E629EF" w:rsidRDefault="00E629EF" w:rsidP="001F2DB5">
      <w:pPr>
        <w:spacing w:after="0" w:line="240" w:lineRule="auto"/>
        <w:rPr>
          <w:rFonts w:ascii="Verdana" w:eastAsia="Arial" w:hAnsi="Verdana" w:cs="Arial"/>
          <w:color w:val="000000"/>
        </w:rPr>
      </w:pPr>
    </w:p>
    <w:p w14:paraId="3571CBD4" w14:textId="77777777" w:rsidR="00244E94" w:rsidRDefault="00244E94" w:rsidP="00C661E5">
      <w:pPr>
        <w:spacing w:after="0" w:line="240" w:lineRule="auto"/>
        <w:rPr>
          <w:rFonts w:ascii="Verdana" w:eastAsia="Geomanist Light" w:hAnsi="Verdana" w:cs="Arial"/>
          <w:color w:val="000000" w:themeColor="text1"/>
        </w:rPr>
      </w:pPr>
    </w:p>
    <w:p w14:paraId="03E6DC16" w14:textId="77777777" w:rsidR="00244E94" w:rsidRDefault="00244E94" w:rsidP="00C661E5">
      <w:pPr>
        <w:spacing w:after="0" w:line="240" w:lineRule="auto"/>
        <w:rPr>
          <w:rFonts w:ascii="Verdana" w:eastAsia="Geomanist Light" w:hAnsi="Verdana" w:cs="Arial"/>
          <w:color w:val="000000" w:themeColor="text1"/>
        </w:rPr>
      </w:pPr>
    </w:p>
    <w:p w14:paraId="2C64E25A" w14:textId="77777777" w:rsidR="00C518C6" w:rsidRDefault="00C518C6" w:rsidP="00C661E5">
      <w:pPr>
        <w:spacing w:after="0" w:line="240" w:lineRule="auto"/>
        <w:rPr>
          <w:rFonts w:ascii="Verdana" w:eastAsia="Geomanist Light" w:hAnsi="Verdana" w:cs="Arial"/>
          <w:color w:val="000000" w:themeColor="text1"/>
        </w:rPr>
      </w:pPr>
    </w:p>
    <w:p w14:paraId="4DF986CC" w14:textId="77777777" w:rsidR="00C518C6" w:rsidRDefault="00C518C6" w:rsidP="00C661E5">
      <w:pPr>
        <w:spacing w:after="0" w:line="240" w:lineRule="auto"/>
        <w:rPr>
          <w:rFonts w:ascii="Verdana" w:eastAsia="Geomanist Light" w:hAnsi="Verdana" w:cs="Arial"/>
          <w:color w:val="000000" w:themeColor="text1"/>
        </w:rPr>
      </w:pPr>
    </w:p>
    <w:p w14:paraId="58D6583F" w14:textId="77777777" w:rsidR="00C518C6" w:rsidRDefault="00C518C6" w:rsidP="00C661E5">
      <w:pPr>
        <w:spacing w:after="0" w:line="240" w:lineRule="auto"/>
        <w:rPr>
          <w:rFonts w:ascii="Verdana" w:eastAsia="Geomanist Light" w:hAnsi="Verdana" w:cs="Arial"/>
          <w:color w:val="000000" w:themeColor="text1"/>
        </w:rPr>
      </w:pPr>
    </w:p>
    <w:p w14:paraId="6B384BF1" w14:textId="77777777" w:rsidR="00C518C6" w:rsidRDefault="00C518C6" w:rsidP="00C661E5">
      <w:pPr>
        <w:spacing w:after="0" w:line="240" w:lineRule="auto"/>
        <w:rPr>
          <w:rFonts w:ascii="Verdana" w:eastAsia="Geomanist Light" w:hAnsi="Verdana" w:cs="Arial"/>
          <w:color w:val="000000" w:themeColor="text1"/>
        </w:rPr>
      </w:pPr>
    </w:p>
    <w:p w14:paraId="79D5AA60" w14:textId="77777777" w:rsidR="00C518C6" w:rsidRDefault="00C518C6" w:rsidP="00C661E5">
      <w:pPr>
        <w:spacing w:after="0" w:line="240" w:lineRule="auto"/>
        <w:rPr>
          <w:rFonts w:ascii="Verdana" w:eastAsia="Geomanist Light" w:hAnsi="Verdana" w:cs="Arial"/>
          <w:color w:val="000000" w:themeColor="text1"/>
        </w:rPr>
      </w:pPr>
    </w:p>
    <w:p w14:paraId="0F6BAF37" w14:textId="2D48F1FD" w:rsidR="00C661E5" w:rsidRPr="00C661E5" w:rsidRDefault="00C661E5" w:rsidP="00C661E5">
      <w:pPr>
        <w:spacing w:after="0" w:line="240" w:lineRule="auto"/>
        <w:rPr>
          <w:rFonts w:ascii="Verdana" w:eastAsia="Geomanist Light" w:hAnsi="Verdana" w:cs="Arial"/>
          <w:color w:val="201F1E"/>
        </w:rPr>
      </w:pPr>
      <w:r w:rsidRPr="00C661E5">
        <w:rPr>
          <w:rFonts w:ascii="Verdana" w:eastAsia="Geomanist Light" w:hAnsi="Verdana" w:cs="Arial"/>
          <w:color w:val="000000" w:themeColor="text1"/>
        </w:rPr>
        <w:lastRenderedPageBreak/>
        <w:t>Bogotá D.C., </w:t>
      </w:r>
      <w:r w:rsidR="00C518C6">
        <w:rPr>
          <w:rFonts w:ascii="Verdana" w:eastAsia="Geomanist Light" w:hAnsi="Verdana" w:cs="Arial"/>
          <w:color w:val="201F1E"/>
        </w:rPr>
        <w:t>16 de julio de 2025</w:t>
      </w:r>
    </w:p>
    <w:p w14:paraId="312D7D6A" w14:textId="0AE1BE9D" w:rsidR="00C661E5" w:rsidRPr="00C661E5" w:rsidRDefault="001178A1" w:rsidP="00C661E5">
      <w:pPr>
        <w:spacing w:after="0" w:line="240" w:lineRule="auto"/>
        <w:jc w:val="both"/>
        <w:rPr>
          <w:rFonts w:ascii="Verdana" w:eastAsia="Calibri" w:hAnsi="Verdana" w:cs="Arial"/>
          <w:color w:val="000000"/>
        </w:rPr>
      </w:pPr>
      <w:r w:rsidRPr="008C57D1">
        <w:rPr>
          <w:rFonts w:ascii="Verdana" w:eastAsia="Calibri" w:hAnsi="Verdana" w:cs="Arial"/>
          <w:noProof/>
          <w:color w:val="000000"/>
        </w:rPr>
        <w:drawing>
          <wp:anchor distT="0" distB="0" distL="114300" distR="114300" simplePos="0" relativeHeight="251657216" behindDoc="0" locked="0" layoutInCell="1" allowOverlap="1" wp14:anchorId="44560347" wp14:editId="7E0FF615">
            <wp:simplePos x="0" y="0"/>
            <wp:positionH relativeFrom="column">
              <wp:posOffset>2282825</wp:posOffset>
            </wp:positionH>
            <wp:positionV relativeFrom="paragraph">
              <wp:posOffset>166370</wp:posOffset>
            </wp:positionV>
            <wp:extent cx="3317240" cy="960120"/>
            <wp:effectExtent l="0" t="0" r="0" b="0"/>
            <wp:wrapSquare wrapText="bothSides"/>
            <wp:docPr id="10961303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17240" cy="960120"/>
                    </a:xfrm>
                    <a:prstGeom prst="rect">
                      <a:avLst/>
                    </a:prstGeom>
                    <a:noFill/>
                    <a:ln>
                      <a:noFill/>
                    </a:ln>
                  </pic:spPr>
                </pic:pic>
              </a:graphicData>
            </a:graphic>
            <wp14:sizeRelH relativeFrom="margin">
              <wp14:pctWidth>0</wp14:pctWidth>
            </wp14:sizeRelH>
          </wp:anchor>
        </w:drawing>
      </w:r>
    </w:p>
    <w:p w14:paraId="39311A55" w14:textId="0DC2F29A" w:rsidR="00C661E5" w:rsidRPr="00C661E5" w:rsidRDefault="00C661E5" w:rsidP="008C57D1">
      <w:pPr>
        <w:spacing w:after="0" w:line="240" w:lineRule="auto"/>
        <w:jc w:val="right"/>
        <w:rPr>
          <w:rFonts w:ascii="Verdana" w:eastAsia="Calibri" w:hAnsi="Verdana" w:cs="Arial"/>
          <w:color w:val="000000"/>
        </w:rPr>
      </w:pPr>
    </w:p>
    <w:p w14:paraId="1FD4A23C" w14:textId="77777777" w:rsidR="008C57D1" w:rsidRDefault="008C57D1" w:rsidP="00C661E5">
      <w:pPr>
        <w:spacing w:after="0" w:line="240" w:lineRule="auto"/>
        <w:jc w:val="both"/>
        <w:rPr>
          <w:rFonts w:ascii="Verdana" w:eastAsia="Calibri" w:hAnsi="Verdana" w:cs="Arial"/>
          <w:lang w:eastAsia="es-ES"/>
        </w:rPr>
      </w:pPr>
    </w:p>
    <w:p w14:paraId="2BCC0C04" w14:textId="0CC5EAFD" w:rsidR="00C661E5" w:rsidRPr="00C661E5" w:rsidRDefault="00C661E5" w:rsidP="00C661E5">
      <w:pPr>
        <w:spacing w:after="0" w:line="240" w:lineRule="auto"/>
        <w:jc w:val="both"/>
        <w:rPr>
          <w:rFonts w:ascii="Verdana" w:eastAsia="Calibri" w:hAnsi="Verdana" w:cs="Arial"/>
          <w:lang w:eastAsia="es-ES"/>
        </w:rPr>
      </w:pPr>
      <w:r w:rsidRPr="00C661E5">
        <w:rPr>
          <w:rFonts w:ascii="Verdana" w:eastAsia="Calibri" w:hAnsi="Verdana" w:cs="Arial"/>
          <w:lang w:eastAsia="es-ES"/>
        </w:rPr>
        <w:t>Señora</w:t>
      </w:r>
    </w:p>
    <w:p w14:paraId="4DF5C6D3" w14:textId="77777777" w:rsidR="00C661E5" w:rsidRPr="00C661E5" w:rsidRDefault="00C661E5" w:rsidP="00C661E5">
      <w:pPr>
        <w:spacing w:after="0" w:line="240" w:lineRule="auto"/>
        <w:jc w:val="both"/>
        <w:rPr>
          <w:rFonts w:ascii="Verdana" w:eastAsia="Calibri" w:hAnsi="Verdana" w:cs="Arial"/>
          <w:b/>
          <w:bCs/>
          <w:lang w:eastAsia="es-ES"/>
        </w:rPr>
      </w:pPr>
      <w:r w:rsidRPr="00C661E5">
        <w:rPr>
          <w:rFonts w:ascii="Verdana" w:eastAsia="Calibri" w:hAnsi="Verdana" w:cs="Arial"/>
          <w:b/>
          <w:bCs/>
          <w:lang w:eastAsia="es-ES"/>
        </w:rPr>
        <w:t>Angela Camila Peña Cortes</w:t>
      </w:r>
    </w:p>
    <w:p w14:paraId="68D97088" w14:textId="77777777" w:rsidR="00C661E5" w:rsidRPr="00C661E5" w:rsidRDefault="00C661E5" w:rsidP="00C661E5">
      <w:pPr>
        <w:spacing w:after="0" w:line="240" w:lineRule="auto"/>
        <w:rPr>
          <w:rFonts w:ascii="Verdana" w:hAnsi="Verdana"/>
        </w:rPr>
      </w:pPr>
      <w:hyperlink r:id="rId12" w:history="1">
        <w:r w:rsidRPr="00C661E5">
          <w:rPr>
            <w:rFonts w:ascii="Verdana" w:hAnsi="Verdana"/>
            <w:color w:val="0563C1" w:themeColor="hyperlink"/>
            <w:u w:val="single"/>
          </w:rPr>
          <w:t>cultursas1@gmail.com</w:t>
        </w:r>
      </w:hyperlink>
      <w:r w:rsidRPr="00C661E5">
        <w:rPr>
          <w:rFonts w:ascii="Verdana" w:hAnsi="Verdana"/>
        </w:rPr>
        <w:t xml:space="preserve"> </w:t>
      </w:r>
    </w:p>
    <w:p w14:paraId="78BEF01D" w14:textId="77777777" w:rsidR="00C661E5" w:rsidRPr="00C661E5" w:rsidRDefault="00C661E5" w:rsidP="00C661E5">
      <w:pPr>
        <w:spacing w:after="0" w:line="240" w:lineRule="auto"/>
        <w:rPr>
          <w:rFonts w:ascii="Verdana" w:hAnsi="Verdana"/>
          <w:lang w:val="pt-BR"/>
        </w:rPr>
      </w:pPr>
      <w:r w:rsidRPr="00C661E5">
        <w:rPr>
          <w:rFonts w:ascii="Verdana" w:hAnsi="Verdana"/>
          <w:lang w:val="pt-BR"/>
        </w:rPr>
        <w:t>Bogotá</w:t>
      </w:r>
    </w:p>
    <w:p w14:paraId="500E7927" w14:textId="77777777" w:rsidR="00C661E5" w:rsidRPr="00C661E5" w:rsidRDefault="00C661E5" w:rsidP="00C661E5">
      <w:pPr>
        <w:spacing w:after="0" w:line="240" w:lineRule="auto"/>
        <w:rPr>
          <w:rFonts w:ascii="Verdana" w:eastAsia="Calibri" w:hAnsi="Verdana" w:cs="Arial"/>
          <w:lang w:val="pt-BR" w:eastAsia="es-ES"/>
        </w:rPr>
      </w:pPr>
    </w:p>
    <w:p w14:paraId="564AA74E" w14:textId="77777777" w:rsidR="00C661E5" w:rsidRPr="00C661E5" w:rsidRDefault="00C661E5" w:rsidP="00C661E5">
      <w:pPr>
        <w:spacing w:after="0" w:line="240" w:lineRule="auto"/>
        <w:rPr>
          <w:rFonts w:ascii="Verdana" w:eastAsia="Calibri" w:hAnsi="Verdana" w:cs="Arial"/>
          <w:b/>
          <w:color w:val="000000"/>
          <w:lang w:val="pt-BR" w:eastAsia="es-ES_tradnl"/>
        </w:rPr>
      </w:pPr>
    </w:p>
    <w:p w14:paraId="090148E3" w14:textId="77777777" w:rsidR="00C661E5" w:rsidRPr="00C661E5" w:rsidRDefault="00C661E5" w:rsidP="00C661E5">
      <w:pPr>
        <w:spacing w:after="0" w:line="240" w:lineRule="auto"/>
        <w:jc w:val="center"/>
        <w:rPr>
          <w:rFonts w:ascii="Verdana" w:eastAsia="Calibri" w:hAnsi="Verdana" w:cs="Arial"/>
          <w:b/>
          <w:lang w:val="pt-BR" w:eastAsia="es-ES"/>
        </w:rPr>
      </w:pPr>
      <w:r w:rsidRPr="00C661E5">
        <w:rPr>
          <w:rFonts w:ascii="Verdana" w:eastAsia="Calibri" w:hAnsi="Verdana" w:cs="Arial"/>
          <w:b/>
          <w:lang w:val="pt-BR" w:eastAsia="es-ES"/>
        </w:rPr>
        <w:t>Concepto C – 737 de 2025</w:t>
      </w:r>
    </w:p>
    <w:p w14:paraId="1155CF03" w14:textId="77777777" w:rsidR="00C661E5" w:rsidRPr="00C661E5" w:rsidRDefault="00C661E5" w:rsidP="00C661E5">
      <w:pPr>
        <w:spacing w:after="0" w:line="240" w:lineRule="auto"/>
        <w:rPr>
          <w:rFonts w:ascii="Verdana" w:eastAsia="Calibri" w:hAnsi="Verdana" w:cs="Arial"/>
          <w:b/>
          <w:color w:val="000000"/>
          <w:lang w:val="pt-BR"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661E5" w:rsidRPr="00C661E5" w14:paraId="092BF810" w14:textId="77777777" w:rsidTr="009E7B99">
        <w:trPr>
          <w:trHeight w:val="884"/>
        </w:trPr>
        <w:tc>
          <w:tcPr>
            <w:tcW w:w="2689" w:type="dxa"/>
          </w:tcPr>
          <w:p w14:paraId="23F34F74" w14:textId="77777777" w:rsidR="00C661E5" w:rsidRPr="00C661E5" w:rsidRDefault="00C661E5" w:rsidP="00C661E5">
            <w:pPr>
              <w:jc w:val="both"/>
              <w:rPr>
                <w:rFonts w:ascii="Verdana" w:eastAsia="Calibri" w:hAnsi="Verdana" w:cs="Arial"/>
                <w:color w:val="000000"/>
                <w:lang w:eastAsia="es-ES_tradnl"/>
              </w:rPr>
            </w:pPr>
            <w:r w:rsidRPr="00C661E5">
              <w:rPr>
                <w:rFonts w:ascii="Verdana" w:eastAsia="Calibri" w:hAnsi="Verdana" w:cs="Arial"/>
                <w:b/>
                <w:color w:val="000000"/>
                <w:lang w:eastAsia="es-ES_tradnl"/>
              </w:rPr>
              <w:t>Temas:</w:t>
            </w:r>
            <w:r w:rsidRPr="00C661E5">
              <w:rPr>
                <w:rFonts w:ascii="Verdana" w:eastAsia="Calibri" w:hAnsi="Verdana" w:cs="Arial"/>
                <w:color w:val="000000"/>
                <w:lang w:eastAsia="es-ES_tradnl"/>
              </w:rPr>
              <w:t xml:space="preserve">                   </w:t>
            </w:r>
          </w:p>
        </w:tc>
        <w:tc>
          <w:tcPr>
            <w:tcW w:w="6100" w:type="dxa"/>
          </w:tcPr>
          <w:p w14:paraId="3A13157C" w14:textId="1A3ED62D" w:rsidR="00C661E5" w:rsidRPr="001178A1" w:rsidRDefault="00C661E5" w:rsidP="001178A1">
            <w:pPr>
              <w:spacing w:line="276" w:lineRule="auto"/>
              <w:jc w:val="both"/>
              <w:rPr>
                <w:rFonts w:ascii="Verdana" w:eastAsia="Calibri" w:hAnsi="Verdana" w:cs="Arial"/>
                <w:lang w:val="es-ES" w:eastAsia="es-ES"/>
              </w:rPr>
            </w:pPr>
            <w:r w:rsidRPr="00C661E5">
              <w:rPr>
                <w:rFonts w:ascii="Verdana" w:eastAsia="Calibri" w:hAnsi="Verdana" w:cs="Arial"/>
                <w:lang w:eastAsia="es-ES"/>
              </w:rPr>
              <w:t xml:space="preserve">CONVOCATORIAS LIMITADAS A MIPYMES – Requisitos – presupuestos mínimos </w:t>
            </w:r>
            <w:r w:rsidRPr="00C661E5">
              <w:rPr>
                <w:rFonts w:ascii="Verdana" w:eastAsia="Calibri" w:hAnsi="Verdana" w:cs="Arial"/>
                <w:lang w:val="es-ES" w:eastAsia="es-ES"/>
              </w:rPr>
              <w:t xml:space="preserve">/ </w:t>
            </w:r>
            <w:r w:rsidRPr="00C661E5">
              <w:rPr>
                <w:rFonts w:ascii="Verdana" w:hAnsi="Verdana" w:cs="Arial"/>
                <w:bCs/>
                <w:lang w:val="es-ES" w:eastAsia="es-CO"/>
              </w:rPr>
              <w:t xml:space="preserve">MIPYME </w:t>
            </w:r>
            <w:r w:rsidRPr="00C661E5">
              <w:rPr>
                <w:rFonts w:ascii="Verdana" w:hAnsi="Verdana" w:cs="Arial"/>
                <w:bCs/>
                <w:lang w:eastAsia="es-CO"/>
              </w:rPr>
              <w:t xml:space="preserve">– Convocatoria limitada – Acreditación – RUP </w:t>
            </w:r>
            <w:r w:rsidRPr="00C661E5">
              <w:rPr>
                <w:rFonts w:ascii="Verdana" w:eastAsia="Calibri" w:hAnsi="Verdana" w:cs="Arial"/>
                <w:lang w:val="es-ES" w:eastAsia="es-ES"/>
              </w:rPr>
              <w:t xml:space="preserve">/ </w:t>
            </w:r>
            <w:r w:rsidRPr="00C661E5">
              <w:rPr>
                <w:rFonts w:ascii="Verdana" w:hAnsi="Verdana"/>
              </w:rPr>
              <w:t>CONVOCATORIAS LIMITADAS A MIPYMES EN EL ÁMBITO TERRITORIAL – Limitación territorial – Facultad discrecional</w:t>
            </w:r>
          </w:p>
        </w:tc>
      </w:tr>
      <w:tr w:rsidR="00C661E5" w:rsidRPr="00C661E5" w14:paraId="13C042A2" w14:textId="77777777" w:rsidTr="009E7B99">
        <w:tc>
          <w:tcPr>
            <w:tcW w:w="2689" w:type="dxa"/>
          </w:tcPr>
          <w:p w14:paraId="76D83242" w14:textId="77777777" w:rsidR="00C661E5" w:rsidRPr="00C661E5" w:rsidRDefault="00C661E5" w:rsidP="00C661E5">
            <w:pPr>
              <w:jc w:val="both"/>
              <w:rPr>
                <w:rFonts w:ascii="Verdana" w:eastAsia="Calibri" w:hAnsi="Verdana" w:cs="Arial"/>
                <w:b/>
                <w:lang w:eastAsia="es-ES_tradnl"/>
              </w:rPr>
            </w:pPr>
            <w:r w:rsidRPr="00C661E5">
              <w:rPr>
                <w:rFonts w:ascii="Verdana" w:eastAsia="Calibri" w:hAnsi="Verdana" w:cs="Arial"/>
                <w:b/>
                <w:lang w:eastAsia="es-ES_tradnl"/>
              </w:rPr>
              <w:t>Radicación:</w:t>
            </w:r>
            <w:r w:rsidRPr="00C661E5">
              <w:rPr>
                <w:rFonts w:ascii="Verdana" w:eastAsia="Calibri" w:hAnsi="Verdana" w:cs="Arial"/>
                <w:lang w:eastAsia="es-ES_tradnl"/>
              </w:rPr>
              <w:t xml:space="preserve">               </w:t>
            </w:r>
          </w:p>
        </w:tc>
        <w:tc>
          <w:tcPr>
            <w:tcW w:w="6100" w:type="dxa"/>
          </w:tcPr>
          <w:p w14:paraId="5F0D13DF" w14:textId="77777777" w:rsidR="00C661E5" w:rsidRPr="00C661E5" w:rsidRDefault="00C661E5" w:rsidP="00C661E5">
            <w:pPr>
              <w:jc w:val="both"/>
              <w:rPr>
                <w:rFonts w:ascii="Verdana" w:eastAsia="Calibri" w:hAnsi="Verdana" w:cs="Arial"/>
                <w:lang w:eastAsia="es-ES_tradnl"/>
              </w:rPr>
            </w:pPr>
            <w:r w:rsidRPr="00C661E5">
              <w:rPr>
                <w:rFonts w:ascii="Verdana" w:eastAsia="Calibri" w:hAnsi="Verdana" w:cs="Arial"/>
                <w:lang w:eastAsia="es-ES_tradnl"/>
              </w:rPr>
              <w:t>Respuesta a la consulta con radicado No.</w:t>
            </w:r>
            <w:r w:rsidRPr="00C661E5">
              <w:rPr>
                <w:rFonts w:ascii="Verdana" w:hAnsi="Verdana"/>
              </w:rPr>
              <w:t xml:space="preserve"> 1-2025-06-09-005618</w:t>
            </w:r>
          </w:p>
        </w:tc>
      </w:tr>
    </w:tbl>
    <w:p w14:paraId="51C8F48D" w14:textId="77777777" w:rsidR="00C661E5" w:rsidRPr="00C661E5" w:rsidRDefault="00C661E5" w:rsidP="00C661E5">
      <w:pPr>
        <w:spacing w:after="0" w:line="240" w:lineRule="auto"/>
        <w:jc w:val="both"/>
        <w:rPr>
          <w:rFonts w:ascii="Verdana" w:eastAsia="Calibri" w:hAnsi="Verdana" w:cs="Arial"/>
          <w:color w:val="000000"/>
          <w:lang w:eastAsia="es-ES_tradnl"/>
        </w:rPr>
      </w:pPr>
    </w:p>
    <w:p w14:paraId="255AABCD" w14:textId="77777777" w:rsidR="00C661E5" w:rsidRPr="00C661E5" w:rsidRDefault="00C661E5" w:rsidP="00C661E5">
      <w:pPr>
        <w:spacing w:after="0" w:line="240" w:lineRule="auto"/>
        <w:jc w:val="both"/>
        <w:rPr>
          <w:rFonts w:ascii="Verdana" w:eastAsia="Calibri" w:hAnsi="Verdana" w:cs="Arial"/>
          <w:color w:val="000000"/>
          <w:lang w:eastAsia="es-ES_tradnl"/>
        </w:rPr>
      </w:pPr>
    </w:p>
    <w:p w14:paraId="227DA480" w14:textId="77777777" w:rsidR="00C661E5" w:rsidRPr="00C661E5" w:rsidRDefault="00C661E5" w:rsidP="00C661E5">
      <w:pPr>
        <w:spacing w:after="0" w:line="276" w:lineRule="auto"/>
        <w:jc w:val="both"/>
        <w:rPr>
          <w:rFonts w:ascii="Verdana" w:eastAsia="Calibri" w:hAnsi="Verdana" w:cs="Arial"/>
          <w:lang w:eastAsia="es-ES"/>
        </w:rPr>
      </w:pPr>
      <w:r w:rsidRPr="00C661E5">
        <w:rPr>
          <w:rFonts w:ascii="Verdana" w:eastAsia="Calibri" w:hAnsi="Verdana" w:cs="Arial"/>
          <w:lang w:eastAsia="es-ES"/>
        </w:rPr>
        <w:t xml:space="preserve">Estimada señora Peña Cortes: </w:t>
      </w:r>
    </w:p>
    <w:p w14:paraId="491C91D9" w14:textId="77777777" w:rsidR="00C661E5" w:rsidRPr="00C661E5" w:rsidRDefault="00C661E5" w:rsidP="00C661E5">
      <w:pPr>
        <w:tabs>
          <w:tab w:val="left" w:pos="3768"/>
        </w:tabs>
        <w:spacing w:after="0" w:line="276" w:lineRule="auto"/>
        <w:jc w:val="both"/>
        <w:rPr>
          <w:rFonts w:ascii="Verdana" w:eastAsia="Calibri" w:hAnsi="Verdana" w:cs="Arial"/>
          <w:color w:val="000000" w:themeColor="text1"/>
          <w:lang w:eastAsia="es-ES"/>
        </w:rPr>
      </w:pPr>
      <w:r w:rsidRPr="00C661E5">
        <w:rPr>
          <w:rFonts w:ascii="Verdana" w:eastAsia="Calibri" w:hAnsi="Verdana" w:cs="Arial"/>
          <w:color w:val="000000" w:themeColor="text1"/>
          <w:lang w:eastAsia="es-ES"/>
        </w:rPr>
        <w:tab/>
      </w:r>
    </w:p>
    <w:p w14:paraId="68141961" w14:textId="77777777" w:rsidR="00C661E5" w:rsidRPr="00C661E5" w:rsidRDefault="00C661E5" w:rsidP="00C661E5">
      <w:pPr>
        <w:spacing w:after="120" w:line="276" w:lineRule="auto"/>
        <w:jc w:val="both"/>
        <w:rPr>
          <w:rFonts w:ascii="Verdana" w:eastAsia="Calibri" w:hAnsi="Verdana" w:cs="Arial"/>
          <w:i/>
          <w:iCs/>
          <w:lang w:eastAsia="es-ES"/>
        </w:rPr>
      </w:pPr>
      <w:r w:rsidRPr="00C661E5">
        <w:rPr>
          <w:rFonts w:ascii="Verdana" w:eastAsia="Calibri" w:hAnsi="Verdana" w:cs="Arial"/>
          <w:color w:val="000000" w:themeColor="text1"/>
          <w:lang w:eastAsia="es-ES"/>
        </w:rPr>
        <w:t>En ejercicio de la competencia otorgada por los artículos 3, numeral 5º, y 11, numeral 8º, del Decreto Ley 4170 de 2011,</w:t>
      </w:r>
      <w:r w:rsidRPr="00C661E5">
        <w:rPr>
          <w:rFonts w:ascii="Verdana" w:eastAsia="Arial MT" w:hAnsi="Verdana" w:cs="Arial MT"/>
          <w:lang w:eastAsia="es-ES"/>
        </w:rPr>
        <w:t xml:space="preserve"> </w:t>
      </w:r>
      <w:r w:rsidRPr="00C661E5">
        <w:rPr>
          <w:rFonts w:ascii="Verdana" w:hAnsi="Verdana" w:cs="Arial"/>
        </w:rPr>
        <w:t xml:space="preserve">así como lo establecido en el artículo 4 de la Resolución 1707 de 2018 expedida por esta Entidad, </w:t>
      </w:r>
      <w:r w:rsidRPr="00C661E5">
        <w:rPr>
          <w:rFonts w:ascii="Verdana" w:eastAsia="Calibri" w:hAnsi="Verdana" w:cs="Arial"/>
          <w:color w:val="000000" w:themeColor="text1"/>
          <w:lang w:eastAsia="es-ES"/>
        </w:rPr>
        <w:t>la Agencia Nacional de Contratación Pública – Colombia Compra Eficiente responde su solicitud de concepto del 9 de junio de 2025,</w:t>
      </w:r>
      <w:r w:rsidRPr="00C661E5">
        <w:rPr>
          <w:rFonts w:ascii="Verdana" w:eastAsia="Calibri" w:hAnsi="Verdana" w:cs="Arial"/>
          <w:lang w:eastAsia="es-ES"/>
        </w:rPr>
        <w:t xml:space="preserve"> en la cual consulta sobre lo siguiente:</w:t>
      </w:r>
      <w:r w:rsidRPr="00C661E5">
        <w:rPr>
          <w:rFonts w:ascii="Verdana" w:eastAsia="Calibri" w:hAnsi="Verdana" w:cs="Arial"/>
          <w:i/>
          <w:iCs/>
          <w:lang w:eastAsia="es-ES"/>
        </w:rPr>
        <w:t xml:space="preserve"> </w:t>
      </w:r>
      <w:bookmarkStart w:id="1" w:name="_Hlk95313578"/>
    </w:p>
    <w:p w14:paraId="661E9F7D" w14:textId="77777777" w:rsidR="00C661E5" w:rsidRPr="00C661E5" w:rsidRDefault="00C661E5" w:rsidP="00C661E5">
      <w:pPr>
        <w:spacing w:after="0" w:line="276" w:lineRule="auto"/>
        <w:jc w:val="both"/>
        <w:rPr>
          <w:rFonts w:ascii="Verdana" w:eastAsia="Calibri" w:hAnsi="Verdana" w:cs="Arial"/>
          <w:iCs/>
          <w:lang w:eastAsia="es-ES"/>
        </w:rPr>
      </w:pPr>
    </w:p>
    <w:p w14:paraId="3FD964EA" w14:textId="77777777" w:rsidR="00C661E5" w:rsidRPr="00C661E5" w:rsidRDefault="00C661E5" w:rsidP="00C661E5">
      <w:pPr>
        <w:spacing w:after="0" w:line="240" w:lineRule="auto"/>
        <w:ind w:left="709" w:right="618"/>
        <w:jc w:val="both"/>
        <w:rPr>
          <w:rFonts w:ascii="Verdana" w:eastAsia="Arial" w:hAnsi="Verdana" w:cs="Arial"/>
          <w:iCs/>
          <w:color w:val="000000"/>
          <w:sz w:val="20"/>
          <w:szCs w:val="20"/>
        </w:rPr>
      </w:pPr>
      <w:r w:rsidRPr="00C661E5">
        <w:rPr>
          <w:rFonts w:ascii="Verdana" w:eastAsia="Arial" w:hAnsi="Verdana" w:cs="Arial"/>
          <w:iCs/>
          <w:color w:val="000000"/>
          <w:sz w:val="20"/>
          <w:szCs w:val="20"/>
        </w:rPr>
        <w:t>“</w:t>
      </w:r>
      <w:bookmarkEnd w:id="1"/>
      <w:r w:rsidRPr="00C661E5">
        <w:rPr>
          <w:rFonts w:ascii="Verdana" w:eastAsia="Arial" w:hAnsi="Verdana" w:cs="Arial"/>
          <w:iCs/>
          <w:color w:val="000000"/>
          <w:sz w:val="20"/>
          <w:szCs w:val="20"/>
        </w:rPr>
        <w:t xml:space="preserve">me permito solicitar un concepto jurídico frente a la limitación a </w:t>
      </w:r>
      <w:proofErr w:type="spellStart"/>
      <w:r w:rsidRPr="00C661E5">
        <w:rPr>
          <w:rFonts w:ascii="Verdana" w:eastAsia="Arial" w:hAnsi="Verdana" w:cs="Arial"/>
          <w:iCs/>
          <w:color w:val="000000"/>
          <w:sz w:val="20"/>
          <w:szCs w:val="20"/>
        </w:rPr>
        <w:t>mipymes</w:t>
      </w:r>
      <w:proofErr w:type="spellEnd"/>
      <w:r w:rsidRPr="00C661E5">
        <w:rPr>
          <w:rFonts w:ascii="Verdana" w:eastAsia="Arial" w:hAnsi="Verdana" w:cs="Arial"/>
          <w:iCs/>
          <w:color w:val="000000"/>
          <w:sz w:val="20"/>
          <w:szCs w:val="20"/>
        </w:rPr>
        <w:t>, y la solicitud del certificado de Junta Central de Contadores como habilitación o negación de la limitación presentada. En este sentido, el problema planteado tiene dos posiciones.</w:t>
      </w:r>
    </w:p>
    <w:p w14:paraId="12012B12" w14:textId="77777777" w:rsidR="00C661E5" w:rsidRPr="00C661E5" w:rsidRDefault="00C661E5" w:rsidP="00C661E5">
      <w:pPr>
        <w:spacing w:after="0" w:line="240" w:lineRule="auto"/>
        <w:ind w:left="709" w:right="618"/>
        <w:jc w:val="both"/>
        <w:rPr>
          <w:rFonts w:ascii="Verdana" w:eastAsia="Arial" w:hAnsi="Verdana" w:cs="Arial"/>
          <w:iCs/>
          <w:color w:val="000000"/>
          <w:sz w:val="20"/>
          <w:szCs w:val="20"/>
        </w:rPr>
      </w:pPr>
    </w:p>
    <w:p w14:paraId="51DDFEA5" w14:textId="77777777" w:rsidR="00C661E5" w:rsidRPr="00C661E5" w:rsidRDefault="00C661E5" w:rsidP="00C661E5">
      <w:pPr>
        <w:ind w:left="709" w:right="618"/>
        <w:jc w:val="both"/>
        <w:rPr>
          <w:rFonts w:ascii="Verdana" w:eastAsia="Arial" w:hAnsi="Verdana" w:cs="Arial"/>
          <w:iCs/>
          <w:color w:val="000000"/>
          <w:sz w:val="20"/>
          <w:szCs w:val="20"/>
        </w:rPr>
      </w:pPr>
      <w:r w:rsidRPr="00C661E5">
        <w:rPr>
          <w:rFonts w:ascii="Verdana" w:eastAsia="Arial" w:hAnsi="Verdana" w:cs="Arial"/>
          <w:iCs/>
          <w:color w:val="000000"/>
          <w:sz w:val="20"/>
          <w:szCs w:val="20"/>
        </w:rPr>
        <w:t xml:space="preserve">1) Entidades territoriales que niegan solicitud de limitación a </w:t>
      </w:r>
      <w:proofErr w:type="spellStart"/>
      <w:r w:rsidRPr="00C661E5">
        <w:rPr>
          <w:rFonts w:ascii="Verdana" w:eastAsia="Arial" w:hAnsi="Verdana" w:cs="Arial"/>
          <w:iCs/>
          <w:color w:val="000000"/>
          <w:sz w:val="20"/>
          <w:szCs w:val="20"/>
        </w:rPr>
        <w:t>mipymes</w:t>
      </w:r>
      <w:proofErr w:type="spellEnd"/>
      <w:r w:rsidRPr="00C661E5">
        <w:rPr>
          <w:rFonts w:ascii="Verdana" w:eastAsia="Arial" w:hAnsi="Verdana" w:cs="Arial"/>
          <w:iCs/>
          <w:color w:val="000000"/>
          <w:sz w:val="20"/>
          <w:szCs w:val="20"/>
        </w:rPr>
        <w:t xml:space="preserve"> por no allegar certificado de Junta Central de Contadores, sin embargo, este elemento no </w:t>
      </w:r>
      <w:proofErr w:type="spellStart"/>
      <w:proofErr w:type="gramStart"/>
      <w:r w:rsidRPr="00C661E5">
        <w:rPr>
          <w:rFonts w:ascii="Verdana" w:eastAsia="Arial" w:hAnsi="Verdana" w:cs="Arial"/>
          <w:iCs/>
          <w:color w:val="000000"/>
          <w:sz w:val="20"/>
          <w:szCs w:val="20"/>
        </w:rPr>
        <w:t>esta</w:t>
      </w:r>
      <w:proofErr w:type="spellEnd"/>
      <w:r w:rsidRPr="00C661E5">
        <w:rPr>
          <w:rFonts w:ascii="Verdana" w:eastAsia="Arial" w:hAnsi="Verdana" w:cs="Arial"/>
          <w:iCs/>
          <w:color w:val="000000"/>
          <w:sz w:val="20"/>
          <w:szCs w:val="20"/>
        </w:rPr>
        <w:t> enunciado</w:t>
      </w:r>
      <w:proofErr w:type="gramEnd"/>
      <w:r w:rsidRPr="00C661E5">
        <w:rPr>
          <w:rFonts w:ascii="Verdana" w:eastAsia="Arial" w:hAnsi="Verdana" w:cs="Arial"/>
          <w:iCs/>
          <w:color w:val="000000"/>
          <w:sz w:val="20"/>
          <w:szCs w:val="20"/>
        </w:rPr>
        <w:t xml:space="preserve"> como uno de los elementos para acreditar la condición de </w:t>
      </w:r>
      <w:proofErr w:type="spellStart"/>
      <w:r w:rsidRPr="00C661E5">
        <w:rPr>
          <w:rFonts w:ascii="Verdana" w:eastAsia="Arial" w:hAnsi="Verdana" w:cs="Arial"/>
          <w:iCs/>
          <w:color w:val="000000"/>
          <w:sz w:val="20"/>
          <w:szCs w:val="20"/>
        </w:rPr>
        <w:t>mipymes</w:t>
      </w:r>
      <w:proofErr w:type="spellEnd"/>
      <w:r w:rsidRPr="00C661E5">
        <w:rPr>
          <w:rFonts w:ascii="Verdana" w:eastAsia="Arial" w:hAnsi="Verdana" w:cs="Arial"/>
          <w:iCs/>
          <w:color w:val="000000"/>
          <w:sz w:val="20"/>
          <w:szCs w:val="20"/>
        </w:rPr>
        <w:t xml:space="preserve">.  </w:t>
      </w:r>
    </w:p>
    <w:p w14:paraId="4C7EE71E" w14:textId="77777777" w:rsidR="00C661E5" w:rsidRPr="00C661E5" w:rsidRDefault="00C661E5" w:rsidP="00C661E5">
      <w:pPr>
        <w:spacing w:after="0" w:line="240" w:lineRule="auto"/>
        <w:ind w:left="709" w:right="618"/>
        <w:jc w:val="both"/>
        <w:rPr>
          <w:rFonts w:ascii="Verdana" w:eastAsia="Arial" w:hAnsi="Verdana" w:cs="Arial"/>
          <w:iCs/>
          <w:color w:val="000000"/>
          <w:sz w:val="20"/>
          <w:szCs w:val="20"/>
        </w:rPr>
      </w:pPr>
      <w:r w:rsidRPr="00C661E5">
        <w:rPr>
          <w:rFonts w:ascii="Verdana" w:eastAsia="Arial" w:hAnsi="Verdana" w:cs="Arial"/>
          <w:iCs/>
          <w:color w:val="000000"/>
          <w:sz w:val="20"/>
          <w:szCs w:val="20"/>
        </w:rPr>
        <w:lastRenderedPageBreak/>
        <w:t xml:space="preserve">2) Entidades territoriales </w:t>
      </w:r>
      <w:proofErr w:type="gramStart"/>
      <w:r w:rsidRPr="00C661E5">
        <w:rPr>
          <w:rFonts w:ascii="Verdana" w:eastAsia="Arial" w:hAnsi="Verdana" w:cs="Arial"/>
          <w:iCs/>
          <w:color w:val="000000"/>
          <w:sz w:val="20"/>
          <w:szCs w:val="20"/>
        </w:rPr>
        <w:t>que</w:t>
      </w:r>
      <w:proofErr w:type="gramEnd"/>
      <w:r w:rsidRPr="00C661E5">
        <w:rPr>
          <w:rFonts w:ascii="Verdana" w:eastAsia="Arial" w:hAnsi="Verdana" w:cs="Arial"/>
          <w:iCs/>
          <w:color w:val="000000"/>
          <w:sz w:val="20"/>
          <w:szCs w:val="20"/>
        </w:rPr>
        <w:t xml:space="preserve"> bajo su potestad, reciben múltiples solicitudes de limitación a </w:t>
      </w:r>
      <w:proofErr w:type="spellStart"/>
      <w:r w:rsidRPr="00C661E5">
        <w:rPr>
          <w:rFonts w:ascii="Verdana" w:eastAsia="Arial" w:hAnsi="Verdana" w:cs="Arial"/>
          <w:iCs/>
          <w:color w:val="000000"/>
          <w:sz w:val="20"/>
          <w:szCs w:val="20"/>
        </w:rPr>
        <w:t>mipyme</w:t>
      </w:r>
      <w:proofErr w:type="spellEnd"/>
      <w:r w:rsidRPr="00C661E5">
        <w:rPr>
          <w:rFonts w:ascii="Verdana" w:eastAsia="Arial" w:hAnsi="Verdana" w:cs="Arial"/>
          <w:iCs/>
          <w:color w:val="000000"/>
          <w:sz w:val="20"/>
          <w:szCs w:val="20"/>
        </w:rPr>
        <w:t xml:space="preserve"> a nivel nacional y pocas a nivel municipal y deciden limitar a nivel municipal. </w:t>
      </w:r>
    </w:p>
    <w:p w14:paraId="3B75484F" w14:textId="77777777" w:rsidR="00C661E5" w:rsidRPr="00C661E5" w:rsidRDefault="00C661E5" w:rsidP="00C661E5">
      <w:pPr>
        <w:spacing w:after="0" w:line="240" w:lineRule="auto"/>
        <w:ind w:left="709" w:right="618"/>
        <w:jc w:val="both"/>
        <w:rPr>
          <w:rFonts w:ascii="Verdana" w:eastAsia="Arial" w:hAnsi="Verdana" w:cs="Arial"/>
          <w:iCs/>
          <w:color w:val="000000"/>
          <w:sz w:val="20"/>
          <w:szCs w:val="20"/>
        </w:rPr>
      </w:pPr>
    </w:p>
    <w:p w14:paraId="1D63D372" w14:textId="77777777" w:rsidR="00C661E5" w:rsidRPr="00C661E5" w:rsidRDefault="00C661E5" w:rsidP="00C661E5">
      <w:pPr>
        <w:spacing w:after="0" w:line="240" w:lineRule="auto"/>
        <w:ind w:left="709" w:right="618"/>
        <w:jc w:val="both"/>
        <w:rPr>
          <w:rFonts w:ascii="Verdana" w:hAnsi="Verdana"/>
          <w:iCs/>
          <w:sz w:val="20"/>
          <w:szCs w:val="20"/>
        </w:rPr>
      </w:pPr>
      <w:r w:rsidRPr="00C661E5">
        <w:rPr>
          <w:rFonts w:ascii="Verdana" w:eastAsia="Arial" w:hAnsi="Verdana" w:cs="Arial"/>
          <w:iCs/>
          <w:color w:val="000000"/>
          <w:sz w:val="20"/>
          <w:szCs w:val="20"/>
        </w:rPr>
        <w:t xml:space="preserve"> 3) Una entidad que limita a </w:t>
      </w:r>
      <w:proofErr w:type="spellStart"/>
      <w:r w:rsidRPr="00C661E5">
        <w:rPr>
          <w:rFonts w:ascii="Verdana" w:eastAsia="Arial" w:hAnsi="Verdana" w:cs="Arial"/>
          <w:iCs/>
          <w:color w:val="000000"/>
          <w:sz w:val="20"/>
          <w:szCs w:val="20"/>
        </w:rPr>
        <w:t>mipyme</w:t>
      </w:r>
      <w:proofErr w:type="spellEnd"/>
      <w:r w:rsidRPr="00C661E5">
        <w:rPr>
          <w:rFonts w:ascii="Verdana" w:eastAsia="Arial" w:hAnsi="Verdana" w:cs="Arial"/>
          <w:iCs/>
          <w:color w:val="000000"/>
          <w:sz w:val="20"/>
          <w:szCs w:val="20"/>
        </w:rPr>
        <w:t xml:space="preserve"> municipal, pero el proceso quedó desierto, lo vuelve a publicar y limitar”</w:t>
      </w:r>
    </w:p>
    <w:p w14:paraId="19B3809A" w14:textId="77777777" w:rsidR="00C661E5" w:rsidRPr="00C661E5" w:rsidRDefault="00C661E5" w:rsidP="00C661E5">
      <w:pPr>
        <w:spacing w:after="0" w:line="276" w:lineRule="auto"/>
        <w:ind w:left="709" w:right="618"/>
        <w:jc w:val="both"/>
        <w:rPr>
          <w:rFonts w:ascii="Verdana" w:eastAsia="Calibri" w:hAnsi="Verdana" w:cs="Arial"/>
          <w:i/>
          <w:iCs/>
          <w:lang w:eastAsia="es-ES"/>
        </w:rPr>
      </w:pPr>
    </w:p>
    <w:p w14:paraId="165952AA" w14:textId="77777777" w:rsidR="00C661E5" w:rsidRPr="00C661E5" w:rsidRDefault="00C661E5" w:rsidP="00C661E5">
      <w:pPr>
        <w:spacing w:after="120" w:line="276" w:lineRule="auto"/>
        <w:ind w:firstLine="709"/>
        <w:jc w:val="both"/>
        <w:rPr>
          <w:rFonts w:ascii="Verdana" w:eastAsia="Calibri" w:hAnsi="Verdana" w:cs="Arial"/>
          <w:color w:val="000000"/>
          <w:lang w:eastAsia="es-ES"/>
        </w:rPr>
      </w:pPr>
      <w:r w:rsidRPr="00C661E5">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661E5">
        <w:rPr>
          <w:rFonts w:ascii="Verdana" w:eastAsia="Calibri" w:hAnsi="Verdana" w:cs="Arial"/>
          <w:color w:val="000000"/>
          <w:szCs w:val="24"/>
          <w:lang w:eastAsia="es-ES_tradnl"/>
        </w:rPr>
        <w:tab/>
      </w:r>
    </w:p>
    <w:p w14:paraId="7BC4F881" w14:textId="77777777" w:rsidR="00C661E5" w:rsidRPr="00C661E5" w:rsidRDefault="00C661E5" w:rsidP="00C661E5">
      <w:pPr>
        <w:spacing w:after="0" w:line="276" w:lineRule="auto"/>
        <w:ind w:firstLine="709"/>
        <w:jc w:val="both"/>
        <w:rPr>
          <w:rFonts w:ascii="Verdana" w:eastAsia="Calibri" w:hAnsi="Verdana" w:cs="Arial"/>
          <w:color w:val="000000"/>
          <w:lang w:eastAsia="es-ES"/>
        </w:rPr>
      </w:pPr>
      <w:r w:rsidRPr="00C661E5">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C661E5">
        <w:rPr>
          <w:rFonts w:ascii="Verdana" w:eastAsia="Calibri" w:hAnsi="Verdana" w:cs="Arial"/>
          <w:color w:val="7030A0"/>
          <w:lang w:eastAsia="es-ES"/>
        </w:rPr>
        <w:t xml:space="preserve"> </w:t>
      </w:r>
      <w:r w:rsidRPr="00C661E5">
        <w:rPr>
          <w:rFonts w:ascii="Verdana" w:eastAsia="Calibri" w:hAnsi="Verdana" w:cs="Arial"/>
          <w:color w:val="000000"/>
          <w:lang w:eastAsia="es-ES"/>
        </w:rPr>
        <w:t>problemas</w:t>
      </w:r>
      <w:r w:rsidRPr="00C661E5">
        <w:rPr>
          <w:rFonts w:ascii="Verdana" w:eastAsia="Calibri" w:hAnsi="Verdana" w:cs="Arial"/>
          <w:color w:val="7030A0"/>
          <w:lang w:eastAsia="es-ES"/>
        </w:rPr>
        <w:t xml:space="preserve"> </w:t>
      </w:r>
      <w:r w:rsidRPr="00C661E5">
        <w:rPr>
          <w:rFonts w:ascii="Verdana" w:eastAsia="Calibri" w:hAnsi="Verdana" w:cs="Arial"/>
          <w:color w:val="000000"/>
          <w:lang w:eastAsia="es-ES"/>
        </w:rPr>
        <w:t>jurídicos</w:t>
      </w:r>
      <w:r w:rsidRPr="00C661E5">
        <w:rPr>
          <w:rFonts w:ascii="Verdana" w:eastAsia="Calibri" w:hAnsi="Verdana" w:cs="Arial"/>
          <w:color w:val="7030A0"/>
          <w:lang w:eastAsia="es-ES"/>
        </w:rPr>
        <w:t xml:space="preserve"> </w:t>
      </w:r>
      <w:r w:rsidRPr="00C661E5">
        <w:rPr>
          <w:rFonts w:ascii="Verdana" w:eastAsia="Calibri" w:hAnsi="Verdana" w:cs="Arial"/>
          <w:color w:val="000000"/>
          <w:lang w:eastAsia="es-ES"/>
        </w:rPr>
        <w:t xml:space="preserve">de su consulta. </w:t>
      </w:r>
    </w:p>
    <w:p w14:paraId="4E7E6845" w14:textId="77777777" w:rsidR="00C661E5" w:rsidRPr="00C661E5" w:rsidRDefault="00C661E5" w:rsidP="00C661E5">
      <w:pPr>
        <w:spacing w:after="0" w:line="276" w:lineRule="auto"/>
        <w:ind w:firstLine="709"/>
        <w:jc w:val="both"/>
        <w:rPr>
          <w:rFonts w:ascii="Verdana" w:eastAsia="Calibri" w:hAnsi="Verdana" w:cs="Arial"/>
          <w:color w:val="000000"/>
          <w:lang w:eastAsia="es-ES"/>
        </w:rPr>
      </w:pPr>
    </w:p>
    <w:p w14:paraId="6272FF33" w14:textId="77777777" w:rsidR="00C661E5" w:rsidRPr="00C661E5" w:rsidRDefault="00C661E5" w:rsidP="00C661E5">
      <w:pPr>
        <w:numPr>
          <w:ilvl w:val="0"/>
          <w:numId w:val="1"/>
        </w:numPr>
        <w:tabs>
          <w:tab w:val="left" w:pos="142"/>
          <w:tab w:val="left" w:pos="284"/>
        </w:tabs>
        <w:spacing w:after="0" w:line="276" w:lineRule="auto"/>
        <w:jc w:val="both"/>
        <w:rPr>
          <w:rFonts w:ascii="Verdana" w:eastAsia="Century Gothic" w:hAnsi="Verdana" w:cs="Century Gothic"/>
          <w:b/>
          <w:bCs/>
        </w:rPr>
      </w:pPr>
      <w:r w:rsidRPr="00C661E5">
        <w:rPr>
          <w:rFonts w:ascii="Verdana" w:eastAsia="Century Gothic" w:hAnsi="Verdana" w:cs="Century Gothic"/>
          <w:b/>
          <w:bCs/>
        </w:rPr>
        <w:t>Problemas planteados:</w:t>
      </w:r>
    </w:p>
    <w:p w14:paraId="70B52316" w14:textId="77777777" w:rsidR="00C661E5" w:rsidRPr="00C661E5" w:rsidRDefault="00C661E5" w:rsidP="00C661E5">
      <w:pPr>
        <w:tabs>
          <w:tab w:val="left" w:pos="426"/>
        </w:tabs>
        <w:spacing w:after="0" w:line="276" w:lineRule="auto"/>
        <w:jc w:val="both"/>
        <w:rPr>
          <w:rFonts w:ascii="Verdana" w:eastAsia="Century Gothic" w:hAnsi="Verdana" w:cs="Century Gothic"/>
        </w:rPr>
      </w:pPr>
    </w:p>
    <w:p w14:paraId="701001D8" w14:textId="77777777" w:rsidR="00C661E5" w:rsidRPr="00C661E5" w:rsidRDefault="00C661E5" w:rsidP="00C661E5">
      <w:pPr>
        <w:spacing w:after="0" w:line="276" w:lineRule="auto"/>
        <w:jc w:val="both"/>
        <w:rPr>
          <w:rFonts w:ascii="Verdana" w:eastAsia="Century Gothic" w:hAnsi="Verdana" w:cs="Century Gothic"/>
        </w:rPr>
      </w:pPr>
      <w:r w:rsidRPr="00C661E5">
        <w:rPr>
          <w:rFonts w:ascii="Verdana" w:eastAsia="Century Gothic" w:hAnsi="Verdana" w:cs="Century Gothic"/>
        </w:rPr>
        <w:t xml:space="preserve">De acuerdo con el contenido de su solicitud, esta Agencia resolverá los siguientes problemas jurídico: i) ¿Cuáles son los requisitos para acreditar la condición de </w:t>
      </w:r>
      <w:proofErr w:type="spellStart"/>
      <w:r w:rsidRPr="00C661E5">
        <w:rPr>
          <w:rFonts w:ascii="Verdana" w:eastAsia="Century Gothic" w:hAnsi="Verdana" w:cs="Century Gothic"/>
        </w:rPr>
        <w:t>Mipymes</w:t>
      </w:r>
      <w:proofErr w:type="spellEnd"/>
      <w:r w:rsidRPr="00C661E5">
        <w:rPr>
          <w:rFonts w:ascii="Verdana" w:eastAsia="Century Gothic" w:hAnsi="Verdana" w:cs="Century Gothic"/>
        </w:rPr>
        <w:t xml:space="preserve"> en un proceso de selección? y </w:t>
      </w:r>
      <w:proofErr w:type="spellStart"/>
      <w:r w:rsidRPr="00C661E5">
        <w:rPr>
          <w:rFonts w:ascii="Verdana" w:eastAsia="Century Gothic" w:hAnsi="Verdana" w:cs="Century Gothic"/>
        </w:rPr>
        <w:t>ii</w:t>
      </w:r>
      <w:proofErr w:type="spellEnd"/>
      <w:r w:rsidRPr="00C661E5">
        <w:rPr>
          <w:rFonts w:ascii="Verdana" w:eastAsia="Century Gothic" w:hAnsi="Verdana" w:cs="Century Gothic"/>
        </w:rPr>
        <w:t>) ¿Cuándo aplica la limitación MiPymes a nivel territorial en un proceso de selección?</w:t>
      </w:r>
    </w:p>
    <w:p w14:paraId="3123A93D" w14:textId="77777777" w:rsidR="00C661E5" w:rsidRPr="00C661E5" w:rsidRDefault="00C661E5" w:rsidP="00C661E5">
      <w:pPr>
        <w:spacing w:after="0" w:line="276" w:lineRule="auto"/>
        <w:jc w:val="both"/>
        <w:rPr>
          <w:rFonts w:ascii="Verdana" w:eastAsia="Century Gothic" w:hAnsi="Verdana" w:cs="Century Gothic"/>
        </w:rPr>
      </w:pPr>
    </w:p>
    <w:p w14:paraId="4020670C" w14:textId="77777777" w:rsidR="00C661E5" w:rsidRPr="00C661E5" w:rsidRDefault="00C661E5" w:rsidP="00C661E5">
      <w:pPr>
        <w:numPr>
          <w:ilvl w:val="0"/>
          <w:numId w:val="1"/>
        </w:numPr>
        <w:tabs>
          <w:tab w:val="left" w:pos="142"/>
          <w:tab w:val="left" w:pos="284"/>
        </w:tabs>
        <w:spacing w:after="0" w:line="276" w:lineRule="auto"/>
        <w:jc w:val="both"/>
        <w:rPr>
          <w:rFonts w:ascii="Verdana" w:eastAsia="Century Gothic" w:hAnsi="Verdana" w:cs="Century Gothic"/>
          <w:b/>
          <w:bCs/>
        </w:rPr>
      </w:pPr>
      <w:r w:rsidRPr="00C661E5">
        <w:rPr>
          <w:rFonts w:ascii="Verdana" w:eastAsia="Century Gothic" w:hAnsi="Verdana" w:cs="Century Gothic"/>
          <w:b/>
          <w:bCs/>
        </w:rPr>
        <w:t>Respuestas:</w:t>
      </w:r>
    </w:p>
    <w:p w14:paraId="361E01B0" w14:textId="77777777" w:rsidR="00C661E5" w:rsidRPr="00C661E5" w:rsidRDefault="00C661E5" w:rsidP="00C661E5">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661E5" w:rsidRPr="00C661E5" w14:paraId="4A13CD6C" w14:textId="77777777" w:rsidTr="009E7B99">
        <w:trPr>
          <w:trHeight w:val="693"/>
          <w:jc w:val="center"/>
        </w:trPr>
        <w:tc>
          <w:tcPr>
            <w:tcW w:w="8828" w:type="dxa"/>
          </w:tcPr>
          <w:p w14:paraId="38339DF8" w14:textId="77777777" w:rsidR="00C661E5" w:rsidRPr="00C661E5" w:rsidRDefault="00C661E5" w:rsidP="00C661E5">
            <w:pPr>
              <w:spacing w:after="120" w:line="276" w:lineRule="auto"/>
              <w:jc w:val="both"/>
              <w:rPr>
                <w:rFonts w:ascii="Verdana" w:eastAsia="Calibri" w:hAnsi="Verdana" w:cs="Arial"/>
                <w:bCs/>
                <w:lang w:val="es-ES_tradnl" w:eastAsia="es-ES_tradnl"/>
              </w:rPr>
            </w:pPr>
            <w:bookmarkStart w:id="2" w:name="_Hlk171694685"/>
            <w:r w:rsidRPr="00C661E5">
              <w:rPr>
                <w:rFonts w:ascii="Verdana" w:eastAsia="Arial" w:hAnsi="Verdana" w:cs="Arial"/>
                <w:color w:val="000000"/>
              </w:rPr>
              <w:t>i. P</w:t>
            </w:r>
            <w:r w:rsidRPr="00C661E5">
              <w:rPr>
                <w:rFonts w:ascii="Verdana" w:eastAsia="Calibri" w:hAnsi="Verdana" w:cs="Arial"/>
                <w:bCs/>
                <w:lang w:eastAsia="es-ES_tradnl"/>
              </w:rPr>
              <w:t xml:space="preserve">ara efectos de las convocatorias limitadas a </w:t>
            </w:r>
            <w:proofErr w:type="spellStart"/>
            <w:r w:rsidRPr="00C661E5">
              <w:rPr>
                <w:rFonts w:ascii="Verdana" w:eastAsia="Calibri" w:hAnsi="Verdana" w:cs="Arial"/>
                <w:bCs/>
                <w:lang w:eastAsia="es-ES_tradnl"/>
              </w:rPr>
              <w:t>Mipyme</w:t>
            </w:r>
            <w:proofErr w:type="spellEnd"/>
            <w:r w:rsidRPr="00C661E5">
              <w:rPr>
                <w:rFonts w:ascii="Verdana" w:eastAsia="Calibri" w:hAnsi="Verdana" w:cs="Arial"/>
                <w:bCs/>
                <w:lang w:eastAsia="es-ES_tradnl"/>
              </w:rPr>
              <w:t xml:space="preserve"> colombianas del sistema de compras públicas, el </w:t>
            </w:r>
            <w:r w:rsidRPr="00C661E5">
              <w:rPr>
                <w:rFonts w:ascii="Verdana" w:eastAsia="Calibri" w:hAnsi="Verdana" w:cs="Arial"/>
                <w:bCs/>
                <w:lang w:val="es-ES_tradnl" w:eastAsia="es-ES_tradnl"/>
              </w:rPr>
              <w:t xml:space="preserve">artículo 2.2.1.2.4.2.4 del Decreto 1082 de </w:t>
            </w:r>
            <w:r w:rsidRPr="00C661E5">
              <w:rPr>
                <w:rFonts w:ascii="Verdana" w:eastAsia="Calibri" w:hAnsi="Verdana" w:cs="Arial"/>
                <w:bCs/>
                <w:lang w:val="es-ES_tradnl" w:eastAsia="es-ES_tradnl"/>
              </w:rPr>
              <w:lastRenderedPageBreak/>
              <w:t xml:space="preserve">2015 –modificado por el Decreto 1860 de 2021– determina la forma en la que se debe acreditar el tamaño empresarial, tratándose de persona natural y persona jurídica. Es importante precisar que esta acreditación se debe realizar tanto para solicitar la limitación de la convocatoria como para participar en el proceso de selección una vez esta se haya limitado a </w:t>
            </w:r>
            <w:proofErr w:type="spellStart"/>
            <w:r w:rsidRPr="00C661E5">
              <w:rPr>
                <w:rFonts w:ascii="Verdana" w:eastAsia="Calibri" w:hAnsi="Verdana" w:cs="Arial"/>
                <w:bCs/>
                <w:lang w:val="es-ES_tradnl" w:eastAsia="es-ES_tradnl"/>
              </w:rPr>
              <w:t>Mipyme</w:t>
            </w:r>
            <w:proofErr w:type="spellEnd"/>
            <w:r w:rsidRPr="00C661E5">
              <w:rPr>
                <w:rFonts w:ascii="Verdana" w:eastAsia="Calibri" w:hAnsi="Verdana" w:cs="Arial"/>
                <w:bCs/>
                <w:lang w:val="es-ES_tradnl" w:eastAsia="es-ES_tradnl"/>
              </w:rPr>
              <w:t xml:space="preserve">. </w:t>
            </w:r>
          </w:p>
          <w:p w14:paraId="2F40158D" w14:textId="77777777" w:rsidR="00C661E5" w:rsidRPr="00C661E5" w:rsidRDefault="00C661E5" w:rsidP="00C661E5">
            <w:pPr>
              <w:spacing w:after="120" w:line="276" w:lineRule="auto"/>
              <w:ind w:firstLine="709"/>
              <w:jc w:val="both"/>
              <w:rPr>
                <w:rFonts w:ascii="Verdana" w:eastAsia="Calibri" w:hAnsi="Verdana" w:cs="Arial"/>
                <w:lang w:val="es-ES" w:eastAsia="es-ES"/>
              </w:rPr>
            </w:pPr>
            <w:r w:rsidRPr="00C661E5">
              <w:rPr>
                <w:rFonts w:ascii="Verdana" w:eastAsia="Calibri" w:hAnsi="Verdana" w:cs="Arial"/>
                <w:bCs/>
                <w:lang w:eastAsia="es-ES_tradnl"/>
              </w:rPr>
              <w:t>En relación con la persona jurídica, la norma requiere que l</w:t>
            </w:r>
            <w:r w:rsidRPr="00C661E5">
              <w:rPr>
                <w:rFonts w:ascii="Verdana" w:eastAsia="Calibri" w:hAnsi="Verdana" w:cs="Arial"/>
                <w:lang w:val="es-ES_tradnl" w:eastAsia="es-ES_tradnl"/>
              </w:rPr>
              <w:t xml:space="preserve">a </w:t>
            </w:r>
            <w:proofErr w:type="spellStart"/>
            <w:r w:rsidRPr="00C661E5">
              <w:rPr>
                <w:rFonts w:ascii="Verdana" w:eastAsia="Calibri" w:hAnsi="Verdana" w:cs="Arial"/>
                <w:lang w:val="es-ES_tradnl" w:eastAsia="es-ES_tradnl"/>
              </w:rPr>
              <w:t>Mipyme</w:t>
            </w:r>
            <w:proofErr w:type="spellEnd"/>
            <w:r w:rsidRPr="00C661E5">
              <w:rPr>
                <w:rFonts w:ascii="Verdana" w:eastAsia="Calibri" w:hAnsi="Verdana" w:cs="Arial"/>
                <w:lang w:val="es-ES_tradnl" w:eastAsia="es-ES_tradnl"/>
              </w:rPr>
              <w:t xml:space="preserve"> colombiana acredite el tamaño empresarial mediante certificación expedida por el representante legal y el contador o revisor fiscal, si está obligada a tenerlo, adjuntando copia del certificado de existencia y representación legal expedido por la Cámara de Comercio o por la autoridad competente para expedir dicha certificación. </w:t>
            </w:r>
            <w:r w:rsidRPr="00C661E5">
              <w:rPr>
                <w:rFonts w:ascii="Verdana" w:eastAsia="Calibri" w:hAnsi="Verdana" w:cs="Arial"/>
                <w:lang w:val="es-ES" w:eastAsia="es-ES"/>
              </w:rPr>
              <w:t xml:space="preserve">Por su parte, tratándose de persona natural, la disposición antes señalada exige que se acredite el tamaño empresarial mediante certificación expedida por ellos y un contador público, adjuntando copia del registro mercantil. En este caso, la intervención del contador es necesaria con el fin de que actúe en calidad de fedatario. </w:t>
            </w:r>
          </w:p>
          <w:p w14:paraId="48878FA0" w14:textId="77777777" w:rsidR="00C661E5" w:rsidRPr="00C661E5" w:rsidRDefault="00C661E5" w:rsidP="00C661E5">
            <w:pPr>
              <w:spacing w:after="120" w:line="276" w:lineRule="auto"/>
              <w:ind w:firstLine="709"/>
              <w:jc w:val="both"/>
              <w:rPr>
                <w:rFonts w:ascii="Verdana" w:eastAsia="Calibri" w:hAnsi="Verdana" w:cs="Arial"/>
                <w:bCs/>
                <w:lang w:val="es-ES_tradnl" w:eastAsia="es-ES_tradnl"/>
              </w:rPr>
            </w:pPr>
            <w:r w:rsidRPr="00C661E5">
              <w:rPr>
                <w:rFonts w:ascii="Verdana" w:eastAsia="Calibri" w:hAnsi="Verdana" w:cs="Arial"/>
                <w:bCs/>
                <w:lang w:val="es-ES_tradnl" w:eastAsia="es-ES_tradnl"/>
              </w:rPr>
              <w:t xml:space="preserve">Además, es preciso señalar que el parágrafo primero del artículo citado permite acreditar la condición de </w:t>
            </w:r>
            <w:proofErr w:type="spellStart"/>
            <w:r w:rsidRPr="00C661E5">
              <w:rPr>
                <w:rFonts w:ascii="Verdana" w:eastAsia="Calibri" w:hAnsi="Verdana" w:cs="Arial"/>
                <w:bCs/>
                <w:lang w:val="es-ES_tradnl" w:eastAsia="es-ES_tradnl"/>
              </w:rPr>
              <w:t>Mipyme</w:t>
            </w:r>
            <w:proofErr w:type="spellEnd"/>
            <w:r w:rsidRPr="00C661E5">
              <w:rPr>
                <w:rFonts w:ascii="Verdana" w:eastAsia="Calibri" w:hAnsi="Verdana" w:cs="Arial"/>
                <w:bCs/>
                <w:lang w:val="es-ES_tradnl" w:eastAsia="es-ES_tradnl"/>
              </w:rPr>
              <w:t xml:space="preserve"> con la copia del certificado del Registro Único de Proponentes –RUP–. De esta manera, la </w:t>
            </w:r>
            <w:proofErr w:type="spellStart"/>
            <w:r w:rsidRPr="00C661E5">
              <w:rPr>
                <w:rFonts w:ascii="Verdana" w:eastAsia="Calibri" w:hAnsi="Verdana" w:cs="Arial"/>
                <w:bCs/>
                <w:lang w:val="es-ES_tradnl" w:eastAsia="es-ES_tradnl"/>
              </w:rPr>
              <w:t>Mipyme</w:t>
            </w:r>
            <w:proofErr w:type="spellEnd"/>
            <w:r w:rsidRPr="00C661E5">
              <w:rPr>
                <w:rFonts w:ascii="Verdana" w:eastAsia="Calibri" w:hAnsi="Verdana" w:cs="Arial"/>
                <w:bCs/>
                <w:lang w:val="es-ES_tradnl" w:eastAsia="es-ES_tradnl"/>
              </w:rPr>
              <w:t xml:space="preserve">, sea persona natural o persona jurídica, podrá acreditar la actividad y el tamaño empresarial exigido por la ley, presentando el RUP, documento que en este caso es de carácter opcional, es decir, es un medio de prueba alternativo establecido por el mismo reglamento. En consecuencia, en caso de que la </w:t>
            </w:r>
            <w:proofErr w:type="spellStart"/>
            <w:r w:rsidRPr="00C661E5">
              <w:rPr>
                <w:rFonts w:ascii="Verdana" w:eastAsia="Calibri" w:hAnsi="Verdana" w:cs="Arial"/>
                <w:bCs/>
                <w:lang w:val="es-ES_tradnl" w:eastAsia="es-ES_tradnl"/>
              </w:rPr>
              <w:t>Mipyme</w:t>
            </w:r>
            <w:proofErr w:type="spellEnd"/>
            <w:r w:rsidRPr="00C661E5">
              <w:rPr>
                <w:rFonts w:ascii="Verdana" w:eastAsia="Calibri" w:hAnsi="Verdana" w:cs="Arial"/>
                <w:bCs/>
                <w:lang w:val="es-ES_tradnl" w:eastAsia="es-ES_tradnl"/>
              </w:rPr>
              <w:t xml:space="preserve"> cuente con este documento podrá aportarlo de acuerdo con lo dispuesto en el artículo </w:t>
            </w:r>
            <w:r w:rsidRPr="00C661E5">
              <w:rPr>
                <w:rFonts w:ascii="Verdana" w:eastAsia="Calibri" w:hAnsi="Verdana" w:cs="Arial"/>
                <w:bCs/>
                <w:lang w:eastAsia="es-ES_tradnl"/>
              </w:rPr>
              <w:t xml:space="preserve">2.2.1.2.4.2.4. del Decreto 1082 de 2015 –modificado por el Decreto 1860 de 2021–, </w:t>
            </w:r>
            <w:r w:rsidRPr="00C661E5">
              <w:rPr>
                <w:rFonts w:ascii="Verdana" w:eastAsia="Calibri" w:hAnsi="Verdana" w:cs="Arial"/>
                <w:bCs/>
                <w:lang w:val="es-ES_tradnl" w:eastAsia="es-ES_tradnl"/>
              </w:rPr>
              <w:t xml:space="preserve">de lo contrario deberá allegar la documentación respectiva conforme lo disponen los numerales 1º y 2º de la norma en cita, según sea el caso. </w:t>
            </w:r>
          </w:p>
          <w:p w14:paraId="139DB8F5" w14:textId="77777777" w:rsidR="00C661E5" w:rsidRPr="00C661E5" w:rsidRDefault="00C661E5" w:rsidP="00C661E5">
            <w:pPr>
              <w:spacing w:after="120" w:line="276" w:lineRule="auto"/>
              <w:ind w:firstLine="709"/>
              <w:jc w:val="both"/>
              <w:rPr>
                <w:rFonts w:ascii="Verdana" w:eastAsia="Calibri" w:hAnsi="Verdana" w:cs="Arial"/>
                <w:lang w:val="es-ES_tradnl" w:eastAsia="es-ES_tradnl"/>
              </w:rPr>
            </w:pPr>
            <w:r w:rsidRPr="00C661E5">
              <w:rPr>
                <w:rFonts w:ascii="Verdana" w:eastAsia="Calibri" w:hAnsi="Verdana" w:cs="Arial"/>
                <w:bCs/>
                <w:lang w:val="es-ES_tradnl" w:eastAsia="es-ES_tradnl"/>
              </w:rPr>
              <w:t xml:space="preserve">Por consiguiente, para efectos de la acreditación de la condición de </w:t>
            </w:r>
            <w:proofErr w:type="spellStart"/>
            <w:r w:rsidRPr="00C661E5">
              <w:rPr>
                <w:rFonts w:ascii="Verdana" w:eastAsia="Calibri" w:hAnsi="Verdana" w:cs="Arial"/>
                <w:bCs/>
                <w:lang w:val="es-ES_tradnl" w:eastAsia="es-ES_tradnl"/>
              </w:rPr>
              <w:t>Mipyme</w:t>
            </w:r>
            <w:proofErr w:type="spellEnd"/>
            <w:r w:rsidRPr="00C661E5">
              <w:rPr>
                <w:rFonts w:ascii="Verdana" w:eastAsia="Calibri" w:hAnsi="Verdana" w:cs="Arial"/>
                <w:bCs/>
                <w:lang w:val="es-ES_tradnl" w:eastAsia="es-ES_tradnl"/>
              </w:rPr>
              <w:t xml:space="preserve"> </w:t>
            </w:r>
            <w:r w:rsidRPr="00C661E5">
              <w:rPr>
                <w:rFonts w:ascii="Verdana" w:eastAsia="Century Gothic" w:hAnsi="Verdana" w:cs="Century Gothic"/>
              </w:rPr>
              <w:t xml:space="preserve">sólo se </w:t>
            </w:r>
            <w:r w:rsidRPr="00C661E5">
              <w:rPr>
                <w:rFonts w:ascii="Verdana" w:eastAsia="Calibri" w:hAnsi="Verdana" w:cs="Arial"/>
                <w:lang w:val="es-ES_tradnl" w:eastAsia="es-ES_tradnl"/>
              </w:rPr>
              <w:t xml:space="preserve">pueden exigir los requisitos señalados en la ley y en el Decreto 1082 del 2015 –modificado por el Decreto 1860 de 2021– para que esta proceda. En tal sentido, las entidades no pueden exigir requisitos adicionales a los establecidos en el artículo 2.2.1.2.4.2.4. del Decreto 1082 de 2015 para limitar la convocatoria a </w:t>
            </w:r>
            <w:proofErr w:type="spellStart"/>
            <w:r w:rsidRPr="00C661E5">
              <w:rPr>
                <w:rFonts w:ascii="Verdana" w:eastAsia="Calibri" w:hAnsi="Verdana" w:cs="Arial"/>
                <w:lang w:val="es-ES_tradnl" w:eastAsia="es-ES_tradnl"/>
              </w:rPr>
              <w:t>Mipyme</w:t>
            </w:r>
            <w:proofErr w:type="spellEnd"/>
            <w:r w:rsidRPr="00C661E5">
              <w:rPr>
                <w:rFonts w:ascii="Verdana" w:eastAsia="Calibri" w:hAnsi="Verdana" w:cs="Arial"/>
                <w:lang w:val="es-ES_tradnl" w:eastAsia="es-ES_tradnl"/>
              </w:rPr>
              <w:t xml:space="preserve">. </w:t>
            </w:r>
          </w:p>
          <w:p w14:paraId="24CD3B97" w14:textId="77777777" w:rsidR="00C661E5" w:rsidRPr="00C661E5" w:rsidRDefault="00C661E5" w:rsidP="00C661E5">
            <w:pPr>
              <w:spacing w:after="120" w:line="276" w:lineRule="auto"/>
              <w:jc w:val="both"/>
              <w:rPr>
                <w:rFonts w:ascii="Verdana" w:eastAsiaTheme="minorEastAsia" w:hAnsi="Verdana"/>
              </w:rPr>
            </w:pPr>
            <w:proofErr w:type="spellStart"/>
            <w:r w:rsidRPr="00C661E5">
              <w:rPr>
                <w:rFonts w:ascii="Verdana" w:eastAsia="Calibri" w:hAnsi="Verdana" w:cs="Arial"/>
                <w:lang w:val="es-ES_tradnl" w:eastAsia="es-ES_tradnl"/>
              </w:rPr>
              <w:lastRenderedPageBreak/>
              <w:t>ii</w:t>
            </w:r>
            <w:proofErr w:type="spellEnd"/>
            <w:r w:rsidRPr="00C661E5">
              <w:rPr>
                <w:rFonts w:ascii="Verdana" w:eastAsia="Calibri" w:hAnsi="Verdana" w:cs="Arial"/>
                <w:lang w:val="es-ES_tradnl" w:eastAsia="es-ES_tradnl"/>
              </w:rPr>
              <w:t xml:space="preserve">. </w:t>
            </w:r>
            <w:r w:rsidRPr="00C661E5">
              <w:rPr>
                <w:rFonts w:ascii="Verdana" w:eastAsiaTheme="minorEastAsia" w:hAnsi="Verdana"/>
              </w:rPr>
              <w:t xml:space="preserve">La limitación territorial, regulada en el artículo 2.2.1.2.4.2.3, es una facultad discrecional de la entidad, no una obligación. Sin embargo, esta potestad está subordinada al cumplimiento previo de los requisitos para la limitación nacional. Esto significa que una entidad no puede decidir por sí misma (motu proprio) aplicar una restricción territorial si primero no se ha activado la obligación de limitar el proceso a nivel nacional, la cual surge tras la solicitud de al menos dos </w:t>
            </w:r>
            <w:proofErr w:type="spellStart"/>
            <w:r w:rsidRPr="00C661E5">
              <w:rPr>
                <w:rFonts w:ascii="Verdana" w:eastAsiaTheme="minorEastAsia" w:hAnsi="Verdana"/>
              </w:rPr>
              <w:t>Mipymes</w:t>
            </w:r>
            <w:proofErr w:type="spellEnd"/>
            <w:r w:rsidRPr="00C661E5">
              <w:rPr>
                <w:rFonts w:ascii="Verdana" w:eastAsiaTheme="minorEastAsia" w:hAnsi="Verdana"/>
              </w:rPr>
              <w:t>. Por lo tanto, lo que opera de pleno derecho es la limitación nacional, mientras que la territorial es una decisión posterior y justificada que la entidad puede o no tomar.</w:t>
            </w:r>
          </w:p>
          <w:p w14:paraId="7073C640" w14:textId="77777777" w:rsidR="00C661E5" w:rsidRPr="00C661E5" w:rsidRDefault="00C661E5" w:rsidP="00C661E5">
            <w:pPr>
              <w:spacing w:after="120" w:line="276" w:lineRule="auto"/>
              <w:ind w:firstLine="743"/>
              <w:jc w:val="both"/>
              <w:rPr>
                <w:rFonts w:ascii="Verdana" w:eastAsiaTheme="minorEastAsia" w:hAnsi="Verdana"/>
              </w:rPr>
            </w:pPr>
            <w:r w:rsidRPr="00C661E5">
              <w:rPr>
                <w:rFonts w:ascii="Verdana" w:eastAsiaTheme="minorEastAsia" w:hAnsi="Verdana"/>
              </w:rPr>
              <w:t xml:space="preserve">En la práctica, si la entidad decide ejercer esta facultad, la limitación debe corresponder al ámbito territorial donde se desarrollará el contrato, ya sea un municipio específico o los municipios que conforman un departamento. Para mayor transparencia, Colombia Compra Eficiente recomienda que las entidades establezcan desde el inicio del proceso (ex ante), en los documentos </w:t>
            </w:r>
            <w:proofErr w:type="gramStart"/>
            <w:r w:rsidRPr="00C661E5">
              <w:rPr>
                <w:rFonts w:ascii="Verdana" w:eastAsiaTheme="minorEastAsia" w:hAnsi="Verdana"/>
              </w:rPr>
              <w:t>del mismo</w:t>
            </w:r>
            <w:proofErr w:type="gramEnd"/>
            <w:r w:rsidRPr="00C661E5">
              <w:rPr>
                <w:rFonts w:ascii="Verdana" w:eastAsiaTheme="minorEastAsia" w:hAnsi="Verdana"/>
              </w:rPr>
              <w:t>, las condiciones bajo las cuales eventualmente aplicarían dicha limitación territorial.</w:t>
            </w:r>
          </w:p>
          <w:p w14:paraId="24898082" w14:textId="77777777" w:rsidR="00C661E5" w:rsidRPr="00C661E5" w:rsidRDefault="00C661E5" w:rsidP="00C661E5">
            <w:pPr>
              <w:spacing w:line="276" w:lineRule="auto"/>
              <w:ind w:firstLine="708"/>
              <w:jc w:val="both"/>
              <w:rPr>
                <w:rFonts w:ascii="Verdana" w:hAnsi="Verdana"/>
              </w:rPr>
            </w:pPr>
            <w:r w:rsidRPr="00C661E5">
              <w:rPr>
                <w:rFonts w:ascii="Verdana" w:hAnsi="Verdana"/>
              </w:rPr>
              <w:t xml:space="preserve">En todo caso, situaciones en las que se presentan un ejercicio de la potestad de limitar a </w:t>
            </w:r>
            <w:proofErr w:type="spellStart"/>
            <w:r w:rsidRPr="00C661E5">
              <w:rPr>
                <w:rFonts w:ascii="Verdana" w:hAnsi="Verdana"/>
              </w:rPr>
              <w:t>Miymes</w:t>
            </w:r>
            <w:proofErr w:type="spellEnd"/>
            <w:r w:rsidRPr="00C661E5">
              <w:rPr>
                <w:rFonts w:ascii="Verdana" w:hAnsi="Verdana"/>
              </w:rPr>
              <w:t xml:space="preserve">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tc>
      </w:tr>
    </w:tbl>
    <w:p w14:paraId="74BC8C09" w14:textId="77777777" w:rsidR="00C661E5" w:rsidRPr="00C661E5" w:rsidRDefault="00C661E5" w:rsidP="00C661E5">
      <w:pPr>
        <w:tabs>
          <w:tab w:val="left" w:pos="142"/>
          <w:tab w:val="left" w:pos="284"/>
        </w:tabs>
        <w:spacing w:after="0" w:line="276" w:lineRule="auto"/>
        <w:jc w:val="both"/>
        <w:rPr>
          <w:rFonts w:ascii="Verdana" w:eastAsia="Century Gothic" w:hAnsi="Verdana" w:cs="Century Gothic"/>
          <w:b/>
          <w:bCs/>
        </w:rPr>
      </w:pPr>
    </w:p>
    <w:bookmarkEnd w:id="2"/>
    <w:p w14:paraId="00553361" w14:textId="77777777" w:rsidR="00C661E5" w:rsidRPr="00C661E5" w:rsidRDefault="00C661E5" w:rsidP="00C661E5">
      <w:pPr>
        <w:numPr>
          <w:ilvl w:val="0"/>
          <w:numId w:val="1"/>
        </w:numPr>
        <w:tabs>
          <w:tab w:val="left" w:pos="142"/>
          <w:tab w:val="left" w:pos="284"/>
        </w:tabs>
        <w:spacing w:after="0" w:line="276" w:lineRule="auto"/>
        <w:jc w:val="both"/>
        <w:rPr>
          <w:rFonts w:ascii="Verdana" w:eastAsia="Century Gothic" w:hAnsi="Verdana" w:cs="Century Gothic"/>
          <w:b/>
          <w:bCs/>
        </w:rPr>
      </w:pPr>
      <w:r w:rsidRPr="00C661E5">
        <w:rPr>
          <w:rFonts w:ascii="Verdana" w:eastAsia="Century Gothic" w:hAnsi="Verdana" w:cs="Century Gothic"/>
          <w:b/>
          <w:bCs/>
        </w:rPr>
        <w:t>Razones de las respuestas:</w:t>
      </w:r>
    </w:p>
    <w:p w14:paraId="5FA0B853" w14:textId="77777777" w:rsidR="00C661E5" w:rsidRPr="00C661E5" w:rsidRDefault="00C661E5" w:rsidP="00C661E5">
      <w:pPr>
        <w:spacing w:after="0" w:line="276" w:lineRule="auto"/>
        <w:jc w:val="both"/>
        <w:rPr>
          <w:rFonts w:ascii="Verdana" w:eastAsia="Calibri" w:hAnsi="Verdana" w:cs="Arial"/>
          <w:color w:val="7030A0"/>
        </w:rPr>
      </w:pPr>
    </w:p>
    <w:p w14:paraId="33CC28D0" w14:textId="77777777" w:rsidR="00C661E5" w:rsidRPr="00C661E5" w:rsidRDefault="00C661E5" w:rsidP="00C661E5">
      <w:pPr>
        <w:spacing w:after="0" w:line="276" w:lineRule="auto"/>
        <w:jc w:val="both"/>
        <w:rPr>
          <w:rFonts w:ascii="Verdana" w:eastAsia="Calibri" w:hAnsi="Verdana" w:cs="Arial"/>
        </w:rPr>
      </w:pPr>
      <w:r w:rsidRPr="00C661E5">
        <w:rPr>
          <w:rFonts w:ascii="Verdana" w:eastAsia="Calibri" w:hAnsi="Verdana" w:cs="Arial"/>
        </w:rPr>
        <w:t>Lo anterior se sustenta en las siguientes consideraciones:</w:t>
      </w:r>
    </w:p>
    <w:p w14:paraId="3A468190" w14:textId="77777777" w:rsidR="00C661E5" w:rsidRPr="00C661E5" w:rsidRDefault="00C661E5" w:rsidP="00C661E5">
      <w:pPr>
        <w:spacing w:after="0" w:line="276" w:lineRule="auto"/>
        <w:jc w:val="both"/>
        <w:rPr>
          <w:rFonts w:ascii="Verdana" w:eastAsia="Calibri" w:hAnsi="Verdana" w:cs="Arial"/>
        </w:rPr>
      </w:pPr>
    </w:p>
    <w:p w14:paraId="3DE54E86" w14:textId="77777777" w:rsidR="00C661E5" w:rsidRPr="00C661E5" w:rsidRDefault="00C661E5" w:rsidP="00C661E5">
      <w:pPr>
        <w:spacing w:after="120" w:line="276" w:lineRule="auto"/>
        <w:jc w:val="both"/>
        <w:rPr>
          <w:rFonts w:ascii="Verdana" w:hAnsi="Verdana"/>
          <w:lang w:val="es-ES"/>
        </w:rPr>
      </w:pPr>
      <w:r w:rsidRPr="00C661E5">
        <w:rPr>
          <w:rFonts w:ascii="Verdana" w:eastAsia="Calibri" w:hAnsi="Verdana" w:cs="Arial"/>
          <w:lang w:val="es-ES"/>
        </w:rPr>
        <w:t xml:space="preserve">i. </w:t>
      </w:r>
      <w:r w:rsidRPr="00C661E5">
        <w:rPr>
          <w:rFonts w:ascii="Verdana" w:hAnsi="Verdana"/>
          <w:lang w:val="es-ES"/>
        </w:rPr>
        <w:t xml:space="preserve">Respecto a las convocatorias limitadas a </w:t>
      </w:r>
      <w:proofErr w:type="spellStart"/>
      <w:r w:rsidRPr="00C661E5">
        <w:rPr>
          <w:rFonts w:ascii="Verdana" w:hAnsi="Verdana"/>
          <w:lang w:val="es-ES"/>
        </w:rPr>
        <w:t>Mipymes</w:t>
      </w:r>
      <w:proofErr w:type="spellEnd"/>
      <w:r w:rsidRPr="00C661E5">
        <w:rPr>
          <w:rFonts w:ascii="Verdana" w:hAnsi="Verdana"/>
          <w:lang w:val="es-ES"/>
        </w:rPr>
        <w:t xml:space="preserve">, debe señalarse que el artículo 34 de la Ley 2069 de 2020, el cual modificó el artículo 12 de la Ley 1150 </w:t>
      </w:r>
      <w:r w:rsidRPr="00C661E5">
        <w:rPr>
          <w:rFonts w:ascii="Verdana" w:hAnsi="Verdana"/>
          <w:lang w:val="es-ES"/>
        </w:rPr>
        <w:lastRenderedPageBreak/>
        <w:t xml:space="preserve">de 2007, regula la promoción del desarrollo en la contratación pública, cambiando los requisitos esenciales para que procedan las convocatorias limitadas a </w:t>
      </w:r>
      <w:proofErr w:type="spellStart"/>
      <w:r w:rsidRPr="00C661E5">
        <w:rPr>
          <w:rFonts w:ascii="Verdana" w:hAnsi="Verdana"/>
          <w:lang w:val="es-ES"/>
        </w:rPr>
        <w:t>Mipymes</w:t>
      </w:r>
      <w:proofErr w:type="spellEnd"/>
      <w:r w:rsidRPr="00C661E5">
        <w:rPr>
          <w:rFonts w:ascii="Verdana" w:hAnsi="Verdana"/>
          <w:lang w:val="es-ES"/>
        </w:rPr>
        <w:t xml:space="preserve">, de la siguiente forma: i) estableció que estas deben desarrollarse independientemente del régimen de contratación de la Entidad Estatal –es decir, también deben efectuarlas las Entidades Estatales exceptuadas del EGCAP o que se rigen por derecho privado–; </w:t>
      </w:r>
      <w:proofErr w:type="spellStart"/>
      <w:r w:rsidRPr="00C661E5">
        <w:rPr>
          <w:rFonts w:ascii="Verdana" w:hAnsi="Verdana"/>
          <w:lang w:val="es-ES"/>
        </w:rPr>
        <w:t>ii</w:t>
      </w:r>
      <w:proofErr w:type="spellEnd"/>
      <w:r w:rsidRPr="00C661E5">
        <w:rPr>
          <w:rFonts w:ascii="Verdana" w:hAnsi="Verdana"/>
          <w:lang w:val="es-ES"/>
        </w:rPr>
        <w:t xml:space="preserve">) señaló que los patrimonios autónomos constituidos por Entidades Estatales y los particulares que ejecuten recursos públicos también son destinatarios de esta exigencia; y,  </w:t>
      </w:r>
      <w:proofErr w:type="spellStart"/>
      <w:r w:rsidRPr="00C661E5">
        <w:rPr>
          <w:rFonts w:ascii="Verdana" w:hAnsi="Verdana"/>
          <w:lang w:val="es-ES"/>
        </w:rPr>
        <w:t>iii</w:t>
      </w:r>
      <w:proofErr w:type="spellEnd"/>
      <w:r w:rsidRPr="00C661E5">
        <w:rPr>
          <w:rFonts w:ascii="Verdana" w:hAnsi="Verdana"/>
          <w:lang w:val="es-ES"/>
        </w:rPr>
        <w:t xml:space="preserve">) indicó que para que pueda haber convocatorias limitadas a </w:t>
      </w:r>
      <w:proofErr w:type="spellStart"/>
      <w:r w:rsidRPr="00C661E5">
        <w:rPr>
          <w:rFonts w:ascii="Verdana" w:hAnsi="Verdana"/>
          <w:lang w:val="es-ES"/>
        </w:rPr>
        <w:t>Mipymes</w:t>
      </w:r>
      <w:proofErr w:type="spellEnd"/>
      <w:r w:rsidRPr="00C661E5">
        <w:rPr>
          <w:rFonts w:ascii="Verdana" w:hAnsi="Verdana"/>
          <w:lang w:val="es-ES"/>
        </w:rPr>
        <w:t xml:space="preserve">, dos (2) de ellas deben manifestar su interés. </w:t>
      </w:r>
    </w:p>
    <w:p w14:paraId="21024306" w14:textId="77777777" w:rsidR="00C661E5" w:rsidRPr="00C661E5" w:rsidRDefault="00C661E5" w:rsidP="00C661E5">
      <w:pPr>
        <w:spacing w:after="0"/>
        <w:ind w:firstLine="708"/>
        <w:jc w:val="both"/>
        <w:rPr>
          <w:rFonts w:ascii="Verdana" w:eastAsia="Calibri" w:hAnsi="Verdana" w:cs="Arial"/>
          <w:lang w:val="es-ES"/>
        </w:rPr>
      </w:pPr>
      <w:r w:rsidRPr="00C661E5">
        <w:rPr>
          <w:rFonts w:ascii="Verdana" w:eastAsia="Verdana" w:hAnsi="Verdana" w:cs="Verdana"/>
          <w:lang w:val="es-ES"/>
        </w:rPr>
        <w:t>En desarrollo de la anterior disposición, el artículo 2.2.1.2.4.2.2. del Decreto 1082 de 2015 -modificado por el Decreto 1860</w:t>
      </w:r>
      <w:r w:rsidRPr="00C661E5">
        <w:rPr>
          <w:rFonts w:ascii="Verdana" w:eastAsia="Verdana" w:hAnsi="Verdana" w:cs="Verdana"/>
          <w:spacing w:val="66"/>
          <w:w w:val="150"/>
          <w:lang w:val="es-ES"/>
        </w:rPr>
        <w:t xml:space="preserve"> </w:t>
      </w:r>
      <w:r w:rsidRPr="00C661E5">
        <w:rPr>
          <w:rFonts w:ascii="Verdana" w:eastAsia="Verdana" w:hAnsi="Verdana" w:cs="Verdana"/>
          <w:lang w:val="es-ES"/>
        </w:rPr>
        <w:t>de</w:t>
      </w:r>
      <w:r w:rsidRPr="00C661E5">
        <w:rPr>
          <w:rFonts w:ascii="Verdana" w:eastAsia="Verdana" w:hAnsi="Verdana" w:cs="Verdana"/>
          <w:spacing w:val="65"/>
          <w:w w:val="150"/>
          <w:lang w:val="es-ES"/>
        </w:rPr>
        <w:t xml:space="preserve"> </w:t>
      </w:r>
      <w:r w:rsidRPr="00C661E5">
        <w:rPr>
          <w:rFonts w:ascii="Verdana" w:eastAsia="Verdana" w:hAnsi="Verdana" w:cs="Verdana"/>
          <w:lang w:val="es-ES"/>
        </w:rPr>
        <w:t>2021-</w:t>
      </w:r>
      <w:r w:rsidRPr="00C661E5">
        <w:rPr>
          <w:rFonts w:ascii="Verdana" w:eastAsia="Verdana" w:hAnsi="Verdana" w:cs="Verdana"/>
          <w:spacing w:val="66"/>
          <w:w w:val="150"/>
          <w:lang w:val="es-ES"/>
        </w:rPr>
        <w:t xml:space="preserve"> </w:t>
      </w:r>
      <w:r w:rsidRPr="00C661E5">
        <w:rPr>
          <w:rFonts w:ascii="Verdana" w:eastAsia="Verdana" w:hAnsi="Verdana" w:cs="Verdana"/>
          <w:lang w:val="es-ES"/>
        </w:rPr>
        <w:t>establece</w:t>
      </w:r>
      <w:r w:rsidRPr="00C661E5">
        <w:rPr>
          <w:rFonts w:ascii="Verdana" w:eastAsia="Verdana" w:hAnsi="Verdana" w:cs="Verdana"/>
          <w:spacing w:val="68"/>
          <w:w w:val="150"/>
          <w:lang w:val="es-ES"/>
        </w:rPr>
        <w:t xml:space="preserve"> </w:t>
      </w:r>
      <w:r w:rsidRPr="00C661E5">
        <w:rPr>
          <w:rFonts w:ascii="Verdana" w:eastAsia="Verdana" w:hAnsi="Verdana" w:cs="Verdana"/>
          <w:lang w:val="es-ES"/>
        </w:rPr>
        <w:t>los</w:t>
      </w:r>
      <w:r w:rsidRPr="00C661E5">
        <w:rPr>
          <w:rFonts w:ascii="Verdana" w:eastAsia="Verdana" w:hAnsi="Verdana" w:cs="Verdana"/>
          <w:spacing w:val="65"/>
          <w:w w:val="150"/>
          <w:lang w:val="es-ES"/>
        </w:rPr>
        <w:t xml:space="preserve"> </w:t>
      </w:r>
      <w:r w:rsidRPr="00C661E5">
        <w:rPr>
          <w:rFonts w:ascii="Verdana" w:eastAsia="Verdana" w:hAnsi="Verdana" w:cs="Verdana"/>
          <w:lang w:val="es-ES"/>
        </w:rPr>
        <w:t>requisitos</w:t>
      </w:r>
      <w:r w:rsidRPr="00C661E5">
        <w:rPr>
          <w:rFonts w:ascii="Verdana" w:eastAsia="Verdana" w:hAnsi="Verdana" w:cs="Verdana"/>
          <w:spacing w:val="67"/>
          <w:w w:val="150"/>
          <w:lang w:val="es-ES"/>
        </w:rPr>
        <w:t xml:space="preserve"> </w:t>
      </w:r>
      <w:r w:rsidRPr="00C661E5">
        <w:rPr>
          <w:rFonts w:ascii="Verdana" w:eastAsia="Verdana" w:hAnsi="Verdana" w:cs="Verdana"/>
          <w:lang w:val="es-ES"/>
        </w:rPr>
        <w:t>que</w:t>
      </w:r>
      <w:r w:rsidRPr="00C661E5">
        <w:rPr>
          <w:rFonts w:ascii="Verdana" w:eastAsia="Verdana" w:hAnsi="Verdana" w:cs="Verdana"/>
          <w:spacing w:val="66"/>
          <w:w w:val="150"/>
          <w:lang w:val="es-ES"/>
        </w:rPr>
        <w:t xml:space="preserve"> </w:t>
      </w:r>
      <w:r w:rsidRPr="00C661E5">
        <w:rPr>
          <w:rFonts w:ascii="Verdana" w:eastAsia="Verdana" w:hAnsi="Verdana" w:cs="Verdana"/>
          <w:lang w:val="es-ES"/>
        </w:rPr>
        <w:t>se</w:t>
      </w:r>
      <w:r w:rsidRPr="00C661E5">
        <w:rPr>
          <w:rFonts w:ascii="Verdana" w:eastAsia="Verdana" w:hAnsi="Verdana" w:cs="Verdana"/>
          <w:spacing w:val="65"/>
          <w:w w:val="150"/>
          <w:lang w:val="es-ES"/>
        </w:rPr>
        <w:t xml:space="preserve"> </w:t>
      </w:r>
      <w:r w:rsidRPr="00C661E5">
        <w:rPr>
          <w:rFonts w:ascii="Verdana" w:eastAsia="Verdana" w:hAnsi="Verdana" w:cs="Verdana"/>
          <w:lang w:val="es-ES"/>
        </w:rPr>
        <w:t>deben</w:t>
      </w:r>
      <w:r w:rsidRPr="00C661E5">
        <w:rPr>
          <w:rFonts w:ascii="Verdana" w:eastAsia="Verdana" w:hAnsi="Verdana" w:cs="Verdana"/>
          <w:spacing w:val="66"/>
          <w:w w:val="150"/>
          <w:lang w:val="es-ES"/>
        </w:rPr>
        <w:t xml:space="preserve"> </w:t>
      </w:r>
      <w:r w:rsidRPr="00C661E5">
        <w:rPr>
          <w:rFonts w:ascii="Verdana" w:eastAsia="Verdana" w:hAnsi="Verdana" w:cs="Verdana"/>
          <w:lang w:val="es-ES"/>
        </w:rPr>
        <w:t>acreditar</w:t>
      </w:r>
      <w:r w:rsidRPr="00C661E5">
        <w:rPr>
          <w:rFonts w:ascii="Verdana" w:eastAsia="Verdana" w:hAnsi="Verdana" w:cs="Verdana"/>
          <w:spacing w:val="68"/>
          <w:w w:val="150"/>
          <w:lang w:val="es-ES"/>
        </w:rPr>
        <w:t xml:space="preserve"> </w:t>
      </w:r>
      <w:r w:rsidRPr="00C661E5">
        <w:rPr>
          <w:rFonts w:ascii="Verdana" w:eastAsia="Verdana" w:hAnsi="Verdana" w:cs="Verdana"/>
          <w:lang w:val="es-ES"/>
        </w:rPr>
        <w:t>en</w:t>
      </w:r>
      <w:r w:rsidRPr="00C661E5">
        <w:rPr>
          <w:rFonts w:ascii="Verdana" w:eastAsia="Verdana" w:hAnsi="Verdana" w:cs="Verdana"/>
          <w:spacing w:val="65"/>
          <w:w w:val="150"/>
          <w:lang w:val="es-ES"/>
        </w:rPr>
        <w:t xml:space="preserve"> </w:t>
      </w:r>
      <w:r w:rsidRPr="00C661E5">
        <w:rPr>
          <w:rFonts w:ascii="Verdana" w:eastAsia="Verdana" w:hAnsi="Verdana" w:cs="Verdana"/>
          <w:lang w:val="es-ES"/>
        </w:rPr>
        <w:t xml:space="preserve">las “convocatorias limitadas a </w:t>
      </w:r>
      <w:proofErr w:type="spellStart"/>
      <w:r w:rsidRPr="00C661E5">
        <w:rPr>
          <w:rFonts w:ascii="Verdana" w:eastAsia="Verdana" w:hAnsi="Verdana" w:cs="Verdana"/>
          <w:lang w:val="es-ES"/>
        </w:rPr>
        <w:t>Mipymes</w:t>
      </w:r>
      <w:proofErr w:type="spellEnd"/>
      <w:r w:rsidRPr="00C661E5">
        <w:rPr>
          <w:rFonts w:ascii="Verdana" w:eastAsia="Verdana" w:hAnsi="Verdana" w:cs="Verdana"/>
          <w:lang w:val="es-ES"/>
        </w:rPr>
        <w:t>”. Al respecto indica lo siguiente:</w:t>
      </w:r>
    </w:p>
    <w:p w14:paraId="6ED1F692" w14:textId="77777777" w:rsidR="00C661E5" w:rsidRPr="00C661E5" w:rsidRDefault="00C661E5" w:rsidP="00C661E5">
      <w:pPr>
        <w:widowControl w:val="0"/>
        <w:tabs>
          <w:tab w:val="left" w:pos="382"/>
        </w:tabs>
        <w:autoSpaceDE w:val="0"/>
        <w:autoSpaceDN w:val="0"/>
        <w:spacing w:after="0" w:line="276" w:lineRule="auto"/>
        <w:jc w:val="both"/>
        <w:outlineLvl w:val="0"/>
        <w:rPr>
          <w:rFonts w:ascii="Verdana" w:eastAsia="Verdana" w:hAnsi="Verdana" w:cs="Verdana"/>
          <w:b/>
          <w:bCs/>
          <w:lang w:val="es-ES"/>
        </w:rPr>
      </w:pPr>
    </w:p>
    <w:p w14:paraId="07ED447D" w14:textId="77777777" w:rsidR="00C661E5" w:rsidRPr="00C661E5" w:rsidRDefault="00C661E5" w:rsidP="00C661E5">
      <w:pPr>
        <w:widowControl w:val="0"/>
        <w:tabs>
          <w:tab w:val="left" w:pos="382"/>
        </w:tabs>
        <w:autoSpaceDE w:val="0"/>
        <w:autoSpaceDN w:val="0"/>
        <w:spacing w:after="0" w:line="240" w:lineRule="auto"/>
        <w:ind w:left="709" w:right="709"/>
        <w:jc w:val="both"/>
        <w:outlineLvl w:val="0"/>
        <w:rPr>
          <w:rFonts w:ascii="Verdana" w:eastAsia="Verdana" w:hAnsi="Verdana" w:cs="Verdana"/>
          <w:b/>
          <w:bCs/>
          <w:sz w:val="20"/>
          <w:szCs w:val="20"/>
          <w:lang w:val="es-ES"/>
        </w:rPr>
      </w:pPr>
      <w:r w:rsidRPr="00C661E5">
        <w:rPr>
          <w:rFonts w:ascii="Verdana" w:eastAsia="Verdana" w:hAnsi="Verdana" w:cs="Verdana"/>
          <w:sz w:val="20"/>
          <w:szCs w:val="20"/>
          <w:lang w:val="es-ES"/>
        </w:rPr>
        <w:t xml:space="preserve">“Artículo 2.2.1.2.4.2.2. Convocatorias Imitadas a </w:t>
      </w:r>
      <w:proofErr w:type="spellStart"/>
      <w:r w:rsidRPr="00C661E5">
        <w:rPr>
          <w:rFonts w:ascii="Verdana" w:eastAsia="Verdana" w:hAnsi="Verdana" w:cs="Verdana"/>
          <w:sz w:val="20"/>
          <w:szCs w:val="20"/>
          <w:lang w:val="es-ES"/>
        </w:rPr>
        <w:t>Mipyme</w:t>
      </w:r>
      <w:proofErr w:type="spellEnd"/>
      <w:r w:rsidRPr="00C661E5">
        <w:rPr>
          <w:rFonts w:ascii="Verdana" w:eastAsia="Verdana" w:hAnsi="Verdana" w:cs="Verdana"/>
          <w:sz w:val="20"/>
          <w:szCs w:val="20"/>
          <w:lang w:val="es-ES"/>
        </w:rPr>
        <w:t>. Las Entidades Estatales independientemente de su régimen de contratación, los patrimonios autónomos constituidos por Entidades Estatales y los particulares</w:t>
      </w:r>
      <w:r w:rsidRPr="00C661E5">
        <w:rPr>
          <w:rFonts w:ascii="Verdana" w:eastAsia="Verdana" w:hAnsi="Verdana" w:cs="Verdana"/>
          <w:spacing w:val="-4"/>
          <w:sz w:val="20"/>
          <w:szCs w:val="20"/>
          <w:lang w:val="es-ES"/>
        </w:rPr>
        <w:t xml:space="preserve"> </w:t>
      </w:r>
      <w:r w:rsidRPr="00C661E5">
        <w:rPr>
          <w:rFonts w:ascii="Verdana" w:eastAsia="Verdana" w:hAnsi="Verdana" w:cs="Verdana"/>
          <w:sz w:val="20"/>
          <w:szCs w:val="20"/>
          <w:lang w:val="es-ES"/>
        </w:rPr>
        <w:t>que</w:t>
      </w:r>
      <w:r w:rsidRPr="00C661E5">
        <w:rPr>
          <w:rFonts w:ascii="Verdana" w:eastAsia="Verdana" w:hAnsi="Verdana" w:cs="Verdana"/>
          <w:spacing w:val="-7"/>
          <w:sz w:val="20"/>
          <w:szCs w:val="20"/>
          <w:lang w:val="es-ES"/>
        </w:rPr>
        <w:t xml:space="preserve"> </w:t>
      </w:r>
      <w:r w:rsidRPr="00C661E5">
        <w:rPr>
          <w:rFonts w:ascii="Verdana" w:eastAsia="Verdana" w:hAnsi="Verdana" w:cs="Verdana"/>
          <w:sz w:val="20"/>
          <w:szCs w:val="20"/>
          <w:lang w:val="es-ES"/>
        </w:rPr>
        <w:t>ejecuten</w:t>
      </w:r>
      <w:r w:rsidRPr="00C661E5">
        <w:rPr>
          <w:rFonts w:ascii="Verdana" w:eastAsia="Verdana" w:hAnsi="Verdana" w:cs="Verdana"/>
          <w:spacing w:val="-5"/>
          <w:sz w:val="20"/>
          <w:szCs w:val="20"/>
          <w:lang w:val="es-ES"/>
        </w:rPr>
        <w:t xml:space="preserve"> </w:t>
      </w:r>
      <w:r w:rsidRPr="00C661E5">
        <w:rPr>
          <w:rFonts w:ascii="Verdana" w:eastAsia="Verdana" w:hAnsi="Verdana" w:cs="Verdana"/>
          <w:sz w:val="20"/>
          <w:szCs w:val="20"/>
          <w:lang w:val="es-ES"/>
        </w:rPr>
        <w:t>recursos</w:t>
      </w:r>
      <w:r w:rsidRPr="00C661E5">
        <w:rPr>
          <w:rFonts w:ascii="Verdana" w:eastAsia="Verdana" w:hAnsi="Verdana" w:cs="Verdana"/>
          <w:spacing w:val="-5"/>
          <w:sz w:val="20"/>
          <w:szCs w:val="20"/>
          <w:lang w:val="es-ES"/>
        </w:rPr>
        <w:t xml:space="preserve"> </w:t>
      </w:r>
      <w:r w:rsidRPr="00C661E5">
        <w:rPr>
          <w:rFonts w:ascii="Verdana" w:eastAsia="Verdana" w:hAnsi="Verdana" w:cs="Verdana"/>
          <w:sz w:val="20"/>
          <w:szCs w:val="20"/>
          <w:lang w:val="es-ES"/>
        </w:rPr>
        <w:t>públicos,</w:t>
      </w:r>
      <w:r w:rsidRPr="00C661E5">
        <w:rPr>
          <w:rFonts w:ascii="Verdana" w:eastAsia="Verdana" w:hAnsi="Verdana" w:cs="Verdana"/>
          <w:spacing w:val="-5"/>
          <w:sz w:val="20"/>
          <w:szCs w:val="20"/>
          <w:lang w:val="es-ES"/>
        </w:rPr>
        <w:t xml:space="preserve"> </w:t>
      </w:r>
      <w:r w:rsidRPr="00C661E5">
        <w:rPr>
          <w:rFonts w:ascii="Verdana" w:eastAsia="Verdana" w:hAnsi="Verdana" w:cs="Verdana"/>
          <w:sz w:val="20"/>
          <w:szCs w:val="20"/>
          <w:lang w:val="es-ES"/>
        </w:rPr>
        <w:t>deben</w:t>
      </w:r>
      <w:r w:rsidRPr="00C661E5">
        <w:rPr>
          <w:rFonts w:ascii="Verdana" w:eastAsia="Verdana" w:hAnsi="Verdana" w:cs="Verdana"/>
          <w:spacing w:val="-6"/>
          <w:sz w:val="20"/>
          <w:szCs w:val="20"/>
          <w:lang w:val="es-ES"/>
        </w:rPr>
        <w:t xml:space="preserve"> </w:t>
      </w:r>
      <w:r w:rsidRPr="00C661E5">
        <w:rPr>
          <w:rFonts w:ascii="Verdana" w:eastAsia="Verdana" w:hAnsi="Verdana" w:cs="Verdana"/>
          <w:sz w:val="20"/>
          <w:szCs w:val="20"/>
          <w:lang w:val="es-ES"/>
        </w:rPr>
        <w:t>limitar</w:t>
      </w:r>
      <w:r w:rsidRPr="00C661E5">
        <w:rPr>
          <w:rFonts w:ascii="Verdana" w:eastAsia="Verdana" w:hAnsi="Verdana" w:cs="Verdana"/>
          <w:spacing w:val="-6"/>
          <w:sz w:val="20"/>
          <w:szCs w:val="20"/>
          <w:lang w:val="es-ES"/>
        </w:rPr>
        <w:t xml:space="preserve"> </w:t>
      </w:r>
      <w:r w:rsidRPr="00C661E5">
        <w:rPr>
          <w:rFonts w:ascii="Verdana" w:eastAsia="Verdana" w:hAnsi="Verdana" w:cs="Verdana"/>
          <w:sz w:val="20"/>
          <w:szCs w:val="20"/>
          <w:lang w:val="es-ES"/>
        </w:rPr>
        <w:t>la</w:t>
      </w:r>
      <w:r w:rsidRPr="00C661E5">
        <w:rPr>
          <w:rFonts w:ascii="Verdana" w:eastAsia="Verdana" w:hAnsi="Verdana" w:cs="Verdana"/>
          <w:spacing w:val="-7"/>
          <w:sz w:val="20"/>
          <w:szCs w:val="20"/>
          <w:lang w:val="es-ES"/>
        </w:rPr>
        <w:t xml:space="preserve"> </w:t>
      </w:r>
      <w:r w:rsidRPr="00C661E5">
        <w:rPr>
          <w:rFonts w:ascii="Verdana" w:eastAsia="Verdana" w:hAnsi="Verdana" w:cs="Verdana"/>
          <w:sz w:val="20"/>
          <w:szCs w:val="20"/>
          <w:lang w:val="es-ES"/>
        </w:rPr>
        <w:t>convocatoria de</w:t>
      </w:r>
      <w:r w:rsidRPr="00C661E5">
        <w:rPr>
          <w:rFonts w:ascii="Verdana" w:eastAsia="Verdana" w:hAnsi="Verdana" w:cs="Verdana"/>
          <w:spacing w:val="-4"/>
          <w:sz w:val="20"/>
          <w:szCs w:val="20"/>
          <w:lang w:val="es-ES"/>
        </w:rPr>
        <w:t xml:space="preserve"> </w:t>
      </w:r>
      <w:r w:rsidRPr="00C661E5">
        <w:rPr>
          <w:rFonts w:ascii="Verdana" w:eastAsia="Verdana" w:hAnsi="Verdana" w:cs="Verdana"/>
          <w:sz w:val="20"/>
          <w:szCs w:val="20"/>
          <w:lang w:val="es-ES"/>
        </w:rPr>
        <w:t>los</w:t>
      </w:r>
      <w:r w:rsidRPr="00C661E5">
        <w:rPr>
          <w:rFonts w:ascii="Verdana" w:eastAsia="Verdana" w:hAnsi="Verdana" w:cs="Verdana"/>
          <w:spacing w:val="-4"/>
          <w:sz w:val="20"/>
          <w:szCs w:val="20"/>
          <w:lang w:val="es-ES"/>
        </w:rPr>
        <w:t xml:space="preserve"> </w:t>
      </w:r>
      <w:r w:rsidRPr="00C661E5">
        <w:rPr>
          <w:rFonts w:ascii="Verdana" w:eastAsia="Verdana" w:hAnsi="Verdana" w:cs="Verdana"/>
          <w:sz w:val="20"/>
          <w:szCs w:val="20"/>
          <w:lang w:val="es-ES"/>
        </w:rPr>
        <w:t>Procesos</w:t>
      </w:r>
      <w:r w:rsidRPr="00C661E5">
        <w:rPr>
          <w:rFonts w:ascii="Verdana" w:eastAsia="Verdana" w:hAnsi="Verdana" w:cs="Verdana"/>
          <w:spacing w:val="-2"/>
          <w:sz w:val="20"/>
          <w:szCs w:val="20"/>
          <w:lang w:val="es-ES"/>
        </w:rPr>
        <w:t xml:space="preserve"> </w:t>
      </w:r>
      <w:r w:rsidRPr="00C661E5">
        <w:rPr>
          <w:rFonts w:ascii="Verdana" w:eastAsia="Verdana" w:hAnsi="Verdana" w:cs="Verdana"/>
          <w:sz w:val="20"/>
          <w:szCs w:val="20"/>
          <w:lang w:val="es-ES"/>
        </w:rPr>
        <w:t>de</w:t>
      </w:r>
      <w:r w:rsidRPr="00C661E5">
        <w:rPr>
          <w:rFonts w:ascii="Verdana" w:eastAsia="Verdana" w:hAnsi="Verdana" w:cs="Verdana"/>
          <w:spacing w:val="-4"/>
          <w:sz w:val="20"/>
          <w:szCs w:val="20"/>
          <w:lang w:val="es-ES"/>
        </w:rPr>
        <w:t xml:space="preserve"> </w:t>
      </w:r>
      <w:r w:rsidRPr="00C661E5">
        <w:rPr>
          <w:rFonts w:ascii="Verdana" w:eastAsia="Verdana" w:hAnsi="Verdana" w:cs="Verdana"/>
          <w:sz w:val="20"/>
          <w:szCs w:val="20"/>
          <w:lang w:val="es-ES"/>
        </w:rPr>
        <w:t>Contratación</w:t>
      </w:r>
      <w:r w:rsidRPr="00C661E5">
        <w:rPr>
          <w:rFonts w:ascii="Verdana" w:eastAsia="Verdana" w:hAnsi="Verdana" w:cs="Verdana"/>
          <w:spacing w:val="-1"/>
          <w:sz w:val="20"/>
          <w:szCs w:val="20"/>
          <w:lang w:val="es-ES"/>
        </w:rPr>
        <w:t xml:space="preserve"> </w:t>
      </w:r>
      <w:r w:rsidRPr="00C661E5">
        <w:rPr>
          <w:rFonts w:ascii="Verdana" w:eastAsia="Verdana" w:hAnsi="Verdana" w:cs="Verdana"/>
          <w:sz w:val="20"/>
          <w:szCs w:val="20"/>
          <w:lang w:val="es-ES"/>
        </w:rPr>
        <w:t>con</w:t>
      </w:r>
      <w:r w:rsidRPr="00C661E5">
        <w:rPr>
          <w:rFonts w:ascii="Verdana" w:eastAsia="Verdana" w:hAnsi="Verdana" w:cs="Verdana"/>
          <w:spacing w:val="-4"/>
          <w:sz w:val="20"/>
          <w:szCs w:val="20"/>
          <w:lang w:val="es-ES"/>
        </w:rPr>
        <w:t xml:space="preserve"> </w:t>
      </w:r>
      <w:r w:rsidRPr="00C661E5">
        <w:rPr>
          <w:rFonts w:ascii="Verdana" w:eastAsia="Verdana" w:hAnsi="Verdana" w:cs="Verdana"/>
          <w:sz w:val="20"/>
          <w:szCs w:val="20"/>
          <w:lang w:val="es-ES"/>
        </w:rPr>
        <w:t>pluralidad</w:t>
      </w:r>
      <w:r w:rsidRPr="00C661E5">
        <w:rPr>
          <w:rFonts w:ascii="Verdana" w:eastAsia="Verdana" w:hAnsi="Verdana" w:cs="Verdana"/>
          <w:spacing w:val="-2"/>
          <w:sz w:val="20"/>
          <w:szCs w:val="20"/>
          <w:lang w:val="es-ES"/>
        </w:rPr>
        <w:t xml:space="preserve"> </w:t>
      </w:r>
      <w:r w:rsidRPr="00C661E5">
        <w:rPr>
          <w:rFonts w:ascii="Verdana" w:eastAsia="Verdana" w:hAnsi="Verdana" w:cs="Verdana"/>
          <w:sz w:val="20"/>
          <w:szCs w:val="20"/>
          <w:lang w:val="es-ES"/>
        </w:rPr>
        <w:t>de</w:t>
      </w:r>
      <w:r w:rsidRPr="00C661E5">
        <w:rPr>
          <w:rFonts w:ascii="Verdana" w:eastAsia="Verdana" w:hAnsi="Verdana" w:cs="Verdana"/>
          <w:spacing w:val="-4"/>
          <w:sz w:val="20"/>
          <w:szCs w:val="20"/>
          <w:lang w:val="es-ES"/>
        </w:rPr>
        <w:t xml:space="preserve"> </w:t>
      </w:r>
      <w:r w:rsidRPr="00C661E5">
        <w:rPr>
          <w:rFonts w:ascii="Verdana" w:eastAsia="Verdana" w:hAnsi="Verdana" w:cs="Verdana"/>
          <w:sz w:val="20"/>
          <w:szCs w:val="20"/>
          <w:lang w:val="es-ES"/>
        </w:rPr>
        <w:t>oferentes</w:t>
      </w:r>
      <w:r w:rsidRPr="00C661E5">
        <w:rPr>
          <w:rFonts w:ascii="Verdana" w:eastAsia="Verdana" w:hAnsi="Verdana" w:cs="Verdana"/>
          <w:spacing w:val="-2"/>
          <w:sz w:val="20"/>
          <w:szCs w:val="20"/>
          <w:lang w:val="es-ES"/>
        </w:rPr>
        <w:t xml:space="preserve"> </w:t>
      </w:r>
      <w:r w:rsidRPr="00C661E5">
        <w:rPr>
          <w:rFonts w:ascii="Verdana" w:eastAsia="Verdana" w:hAnsi="Verdana" w:cs="Verdana"/>
          <w:sz w:val="20"/>
          <w:szCs w:val="20"/>
          <w:lang w:val="es-ES"/>
        </w:rPr>
        <w:t>a</w:t>
      </w:r>
      <w:r w:rsidRPr="00C661E5">
        <w:rPr>
          <w:rFonts w:ascii="Verdana" w:eastAsia="Verdana" w:hAnsi="Verdana" w:cs="Verdana"/>
          <w:spacing w:val="-4"/>
          <w:sz w:val="20"/>
          <w:szCs w:val="20"/>
          <w:lang w:val="es-ES"/>
        </w:rPr>
        <w:t xml:space="preserve"> </w:t>
      </w:r>
      <w:r w:rsidRPr="00C661E5">
        <w:rPr>
          <w:rFonts w:ascii="Verdana" w:eastAsia="Verdana" w:hAnsi="Verdana" w:cs="Verdana"/>
          <w:sz w:val="20"/>
          <w:szCs w:val="20"/>
          <w:lang w:val="es-ES"/>
        </w:rPr>
        <w:t>las</w:t>
      </w:r>
      <w:r w:rsidRPr="00C661E5">
        <w:rPr>
          <w:rFonts w:ascii="Verdana" w:eastAsia="Verdana" w:hAnsi="Verdana" w:cs="Verdana"/>
          <w:spacing w:val="-4"/>
          <w:sz w:val="20"/>
          <w:szCs w:val="20"/>
          <w:lang w:val="es-ES"/>
        </w:rPr>
        <w:t xml:space="preserve"> </w:t>
      </w:r>
      <w:proofErr w:type="spellStart"/>
      <w:r w:rsidRPr="00C661E5">
        <w:rPr>
          <w:rFonts w:ascii="Verdana" w:eastAsia="Verdana" w:hAnsi="Verdana" w:cs="Verdana"/>
          <w:sz w:val="20"/>
          <w:szCs w:val="20"/>
          <w:lang w:val="es-ES"/>
        </w:rPr>
        <w:t>Mipyme</w:t>
      </w:r>
      <w:proofErr w:type="spellEnd"/>
      <w:r w:rsidRPr="00C661E5">
        <w:rPr>
          <w:rFonts w:ascii="Verdana" w:eastAsia="Verdana" w:hAnsi="Verdana" w:cs="Verdana"/>
          <w:sz w:val="20"/>
          <w:szCs w:val="20"/>
          <w:lang w:val="es-ES"/>
        </w:rPr>
        <w:t xml:space="preserve"> colombianas con mínimo un (1) año de existencia, cuando concurran los siguientes requisitos:</w:t>
      </w:r>
    </w:p>
    <w:p w14:paraId="34693638" w14:textId="77777777" w:rsidR="00C661E5" w:rsidRPr="00C661E5" w:rsidRDefault="00C661E5" w:rsidP="00C661E5">
      <w:pPr>
        <w:widowControl w:val="0"/>
        <w:tabs>
          <w:tab w:val="left" w:pos="382"/>
        </w:tabs>
        <w:autoSpaceDE w:val="0"/>
        <w:autoSpaceDN w:val="0"/>
        <w:spacing w:after="0" w:line="240" w:lineRule="auto"/>
        <w:ind w:left="709" w:right="709"/>
        <w:jc w:val="both"/>
        <w:outlineLvl w:val="0"/>
        <w:rPr>
          <w:rFonts w:ascii="Verdana" w:eastAsia="Verdana" w:hAnsi="Verdana" w:cs="Verdana"/>
          <w:b/>
          <w:bCs/>
          <w:sz w:val="20"/>
          <w:szCs w:val="20"/>
          <w:lang w:val="es-ES"/>
        </w:rPr>
      </w:pPr>
    </w:p>
    <w:p w14:paraId="4351CEC5" w14:textId="77777777" w:rsidR="00C661E5" w:rsidRPr="00C661E5" w:rsidRDefault="00C661E5" w:rsidP="00C661E5">
      <w:pPr>
        <w:widowControl w:val="0"/>
        <w:tabs>
          <w:tab w:val="left" w:pos="382"/>
        </w:tabs>
        <w:autoSpaceDE w:val="0"/>
        <w:autoSpaceDN w:val="0"/>
        <w:spacing w:after="0" w:line="240" w:lineRule="auto"/>
        <w:ind w:left="709" w:right="709"/>
        <w:jc w:val="both"/>
        <w:outlineLvl w:val="0"/>
        <w:rPr>
          <w:rFonts w:ascii="Verdana" w:eastAsia="Verdana" w:hAnsi="Verdana" w:cs="Verdana"/>
          <w:sz w:val="20"/>
          <w:szCs w:val="20"/>
          <w:lang w:val="es-ES"/>
        </w:rPr>
      </w:pPr>
      <w:r w:rsidRPr="00C661E5">
        <w:rPr>
          <w:rFonts w:ascii="Verdana" w:eastAsia="Verdana" w:hAnsi="Verdana" w:cs="Verdana"/>
          <w:sz w:val="20"/>
          <w:szCs w:val="20"/>
          <w:lang w:val="es-ES"/>
        </w:rPr>
        <w:t>1. El</w:t>
      </w:r>
      <w:r w:rsidRPr="00C661E5">
        <w:rPr>
          <w:rFonts w:ascii="Verdana" w:eastAsia="Verdana" w:hAnsi="Verdana" w:cs="Verdana"/>
          <w:spacing w:val="-4"/>
          <w:sz w:val="20"/>
          <w:szCs w:val="20"/>
          <w:lang w:val="es-ES"/>
        </w:rPr>
        <w:t xml:space="preserve"> </w:t>
      </w:r>
      <w:r w:rsidRPr="00C661E5">
        <w:rPr>
          <w:rFonts w:ascii="Verdana" w:eastAsia="Verdana" w:hAnsi="Verdana" w:cs="Verdana"/>
          <w:sz w:val="20"/>
          <w:szCs w:val="20"/>
          <w:lang w:val="es-ES"/>
        </w:rPr>
        <w:t>valor</w:t>
      </w:r>
      <w:r w:rsidRPr="00C661E5">
        <w:rPr>
          <w:rFonts w:ascii="Verdana" w:eastAsia="Verdana" w:hAnsi="Verdana" w:cs="Verdana"/>
          <w:spacing w:val="-3"/>
          <w:sz w:val="20"/>
          <w:szCs w:val="20"/>
          <w:lang w:val="es-ES"/>
        </w:rPr>
        <w:t xml:space="preserve"> </w:t>
      </w:r>
      <w:r w:rsidRPr="00C661E5">
        <w:rPr>
          <w:rFonts w:ascii="Verdana" w:eastAsia="Verdana" w:hAnsi="Verdana" w:cs="Verdana"/>
          <w:sz w:val="20"/>
          <w:szCs w:val="20"/>
          <w:lang w:val="es-ES"/>
        </w:rPr>
        <w:t>del</w:t>
      </w:r>
      <w:r w:rsidRPr="00C661E5">
        <w:rPr>
          <w:rFonts w:ascii="Verdana" w:eastAsia="Verdana" w:hAnsi="Verdana" w:cs="Verdana"/>
          <w:spacing w:val="-4"/>
          <w:sz w:val="20"/>
          <w:szCs w:val="20"/>
          <w:lang w:val="es-ES"/>
        </w:rPr>
        <w:t xml:space="preserve"> </w:t>
      </w:r>
      <w:r w:rsidRPr="00C661E5">
        <w:rPr>
          <w:rFonts w:ascii="Verdana" w:eastAsia="Verdana" w:hAnsi="Verdana" w:cs="Verdana"/>
          <w:sz w:val="20"/>
          <w:szCs w:val="20"/>
          <w:lang w:val="es-ES"/>
        </w:rPr>
        <w:t>Proceso</w:t>
      </w:r>
      <w:r w:rsidRPr="00C661E5">
        <w:rPr>
          <w:rFonts w:ascii="Verdana" w:eastAsia="Verdana" w:hAnsi="Verdana" w:cs="Verdana"/>
          <w:spacing w:val="-2"/>
          <w:sz w:val="20"/>
          <w:szCs w:val="20"/>
          <w:lang w:val="es-ES"/>
        </w:rPr>
        <w:t xml:space="preserve"> </w:t>
      </w:r>
      <w:r w:rsidRPr="00C661E5">
        <w:rPr>
          <w:rFonts w:ascii="Verdana" w:eastAsia="Verdana" w:hAnsi="Verdana" w:cs="Verdana"/>
          <w:sz w:val="20"/>
          <w:szCs w:val="20"/>
          <w:lang w:val="es-ES"/>
        </w:rPr>
        <w:t>de</w:t>
      </w:r>
      <w:r w:rsidRPr="00C661E5">
        <w:rPr>
          <w:rFonts w:ascii="Verdana" w:eastAsia="Verdana" w:hAnsi="Verdana" w:cs="Verdana"/>
          <w:spacing w:val="-4"/>
          <w:sz w:val="20"/>
          <w:szCs w:val="20"/>
          <w:lang w:val="es-ES"/>
        </w:rPr>
        <w:t xml:space="preserve"> </w:t>
      </w:r>
      <w:r w:rsidRPr="00C661E5">
        <w:rPr>
          <w:rFonts w:ascii="Verdana" w:eastAsia="Verdana" w:hAnsi="Verdana" w:cs="Verdana"/>
          <w:sz w:val="20"/>
          <w:szCs w:val="20"/>
          <w:lang w:val="es-ES"/>
        </w:rPr>
        <w:t>Contratación</w:t>
      </w:r>
      <w:r w:rsidRPr="00C661E5">
        <w:rPr>
          <w:rFonts w:ascii="Verdana" w:eastAsia="Verdana" w:hAnsi="Verdana" w:cs="Verdana"/>
          <w:spacing w:val="-1"/>
          <w:sz w:val="20"/>
          <w:szCs w:val="20"/>
          <w:lang w:val="es-ES"/>
        </w:rPr>
        <w:t xml:space="preserve"> </w:t>
      </w:r>
      <w:r w:rsidRPr="00C661E5">
        <w:rPr>
          <w:rFonts w:ascii="Verdana" w:eastAsia="Verdana" w:hAnsi="Verdana" w:cs="Verdana"/>
          <w:sz w:val="20"/>
          <w:szCs w:val="20"/>
          <w:lang w:val="es-ES"/>
        </w:rPr>
        <w:t>sea</w:t>
      </w:r>
      <w:r w:rsidRPr="00C661E5">
        <w:rPr>
          <w:rFonts w:ascii="Verdana" w:eastAsia="Verdana" w:hAnsi="Verdana" w:cs="Verdana"/>
          <w:spacing w:val="-3"/>
          <w:sz w:val="20"/>
          <w:szCs w:val="20"/>
          <w:lang w:val="es-ES"/>
        </w:rPr>
        <w:t xml:space="preserve"> </w:t>
      </w:r>
      <w:r w:rsidRPr="00C661E5">
        <w:rPr>
          <w:rFonts w:ascii="Verdana" w:eastAsia="Verdana" w:hAnsi="Verdana" w:cs="Verdana"/>
          <w:sz w:val="20"/>
          <w:szCs w:val="20"/>
          <w:lang w:val="es-ES"/>
        </w:rPr>
        <w:t>menor</w:t>
      </w:r>
      <w:r w:rsidRPr="00C661E5">
        <w:rPr>
          <w:rFonts w:ascii="Verdana" w:eastAsia="Verdana" w:hAnsi="Verdana" w:cs="Verdana"/>
          <w:spacing w:val="-3"/>
          <w:sz w:val="20"/>
          <w:szCs w:val="20"/>
          <w:lang w:val="es-ES"/>
        </w:rPr>
        <w:t xml:space="preserve"> </w:t>
      </w:r>
      <w:r w:rsidRPr="00C661E5">
        <w:rPr>
          <w:rFonts w:ascii="Verdana" w:eastAsia="Verdana" w:hAnsi="Verdana" w:cs="Verdana"/>
          <w:sz w:val="20"/>
          <w:szCs w:val="20"/>
          <w:lang w:val="es-ES"/>
        </w:rPr>
        <w:t>a</w:t>
      </w:r>
      <w:r w:rsidRPr="00C661E5">
        <w:rPr>
          <w:rFonts w:ascii="Verdana" w:eastAsia="Verdana" w:hAnsi="Verdana" w:cs="Verdana"/>
          <w:spacing w:val="-4"/>
          <w:sz w:val="20"/>
          <w:szCs w:val="20"/>
          <w:lang w:val="es-ES"/>
        </w:rPr>
        <w:t xml:space="preserve"> </w:t>
      </w:r>
      <w:r w:rsidRPr="00C661E5">
        <w:rPr>
          <w:rFonts w:ascii="Verdana" w:eastAsia="Verdana" w:hAnsi="Verdana" w:cs="Verdana"/>
          <w:sz w:val="20"/>
          <w:szCs w:val="20"/>
          <w:lang w:val="es-ES"/>
        </w:rPr>
        <w:t>ciento</w:t>
      </w:r>
      <w:r w:rsidRPr="00C661E5">
        <w:rPr>
          <w:rFonts w:ascii="Verdana" w:eastAsia="Verdana" w:hAnsi="Verdana" w:cs="Verdana"/>
          <w:spacing w:val="-2"/>
          <w:sz w:val="20"/>
          <w:szCs w:val="20"/>
          <w:lang w:val="es-ES"/>
        </w:rPr>
        <w:t xml:space="preserve"> </w:t>
      </w:r>
      <w:r w:rsidRPr="00C661E5">
        <w:rPr>
          <w:rFonts w:ascii="Verdana" w:eastAsia="Verdana" w:hAnsi="Verdana" w:cs="Verdana"/>
          <w:sz w:val="20"/>
          <w:szCs w:val="20"/>
          <w:lang w:val="es-ES"/>
        </w:rPr>
        <w:t>veinticinco</w:t>
      </w:r>
      <w:r w:rsidRPr="00C661E5">
        <w:rPr>
          <w:rFonts w:ascii="Verdana" w:eastAsia="Verdana" w:hAnsi="Verdana" w:cs="Verdana"/>
          <w:spacing w:val="-1"/>
          <w:sz w:val="20"/>
          <w:szCs w:val="20"/>
          <w:lang w:val="es-ES"/>
        </w:rPr>
        <w:t xml:space="preserve"> </w:t>
      </w:r>
      <w:r w:rsidRPr="00C661E5">
        <w:rPr>
          <w:rFonts w:ascii="Verdana" w:eastAsia="Verdana" w:hAnsi="Verdana" w:cs="Verdana"/>
          <w:sz w:val="20"/>
          <w:szCs w:val="20"/>
          <w:lang w:val="es-ES"/>
        </w:rPr>
        <w:t>mil dólares</w:t>
      </w:r>
      <w:r w:rsidRPr="00C661E5">
        <w:rPr>
          <w:rFonts w:ascii="Verdana" w:eastAsia="Verdana" w:hAnsi="Verdana" w:cs="Verdana"/>
          <w:spacing w:val="-13"/>
          <w:sz w:val="20"/>
          <w:szCs w:val="20"/>
          <w:lang w:val="es-ES"/>
        </w:rPr>
        <w:t xml:space="preserve"> </w:t>
      </w:r>
      <w:r w:rsidRPr="00C661E5">
        <w:rPr>
          <w:rFonts w:ascii="Verdana" w:eastAsia="Verdana" w:hAnsi="Verdana" w:cs="Verdana"/>
          <w:sz w:val="20"/>
          <w:szCs w:val="20"/>
          <w:lang w:val="es-ES"/>
        </w:rPr>
        <w:t>de</w:t>
      </w:r>
      <w:r w:rsidRPr="00C661E5">
        <w:rPr>
          <w:rFonts w:ascii="Verdana" w:eastAsia="Verdana" w:hAnsi="Verdana" w:cs="Verdana"/>
          <w:spacing w:val="-14"/>
          <w:sz w:val="20"/>
          <w:szCs w:val="20"/>
          <w:lang w:val="es-ES"/>
        </w:rPr>
        <w:t xml:space="preserve"> </w:t>
      </w:r>
      <w:r w:rsidRPr="00C661E5">
        <w:rPr>
          <w:rFonts w:ascii="Verdana" w:eastAsia="Verdana" w:hAnsi="Verdana" w:cs="Verdana"/>
          <w:sz w:val="20"/>
          <w:szCs w:val="20"/>
          <w:lang w:val="es-ES"/>
        </w:rPr>
        <w:t>los</w:t>
      </w:r>
      <w:r w:rsidRPr="00C661E5">
        <w:rPr>
          <w:rFonts w:ascii="Verdana" w:eastAsia="Verdana" w:hAnsi="Verdana" w:cs="Verdana"/>
          <w:spacing w:val="-14"/>
          <w:sz w:val="20"/>
          <w:szCs w:val="20"/>
          <w:lang w:val="es-ES"/>
        </w:rPr>
        <w:t xml:space="preserve"> </w:t>
      </w:r>
      <w:r w:rsidRPr="00C661E5">
        <w:rPr>
          <w:rFonts w:ascii="Verdana" w:eastAsia="Verdana" w:hAnsi="Verdana" w:cs="Verdana"/>
          <w:sz w:val="20"/>
          <w:szCs w:val="20"/>
          <w:lang w:val="es-ES"/>
        </w:rPr>
        <w:t>Estados</w:t>
      </w:r>
      <w:r w:rsidRPr="00C661E5">
        <w:rPr>
          <w:rFonts w:ascii="Verdana" w:eastAsia="Verdana" w:hAnsi="Verdana" w:cs="Verdana"/>
          <w:spacing w:val="-13"/>
          <w:sz w:val="20"/>
          <w:szCs w:val="20"/>
          <w:lang w:val="es-ES"/>
        </w:rPr>
        <w:t xml:space="preserve"> </w:t>
      </w:r>
      <w:r w:rsidRPr="00C661E5">
        <w:rPr>
          <w:rFonts w:ascii="Verdana" w:eastAsia="Verdana" w:hAnsi="Verdana" w:cs="Verdana"/>
          <w:sz w:val="20"/>
          <w:szCs w:val="20"/>
          <w:lang w:val="es-ES"/>
        </w:rPr>
        <w:t>Unidos</w:t>
      </w:r>
      <w:r w:rsidRPr="00C661E5">
        <w:rPr>
          <w:rFonts w:ascii="Verdana" w:eastAsia="Verdana" w:hAnsi="Verdana" w:cs="Verdana"/>
          <w:spacing w:val="-13"/>
          <w:sz w:val="20"/>
          <w:szCs w:val="20"/>
          <w:lang w:val="es-ES"/>
        </w:rPr>
        <w:t xml:space="preserve"> </w:t>
      </w:r>
      <w:r w:rsidRPr="00C661E5">
        <w:rPr>
          <w:rFonts w:ascii="Verdana" w:eastAsia="Verdana" w:hAnsi="Verdana" w:cs="Verdana"/>
          <w:sz w:val="20"/>
          <w:szCs w:val="20"/>
          <w:lang w:val="es-ES"/>
        </w:rPr>
        <w:t>de</w:t>
      </w:r>
      <w:r w:rsidRPr="00C661E5">
        <w:rPr>
          <w:rFonts w:ascii="Verdana" w:eastAsia="Verdana" w:hAnsi="Verdana" w:cs="Verdana"/>
          <w:spacing w:val="-14"/>
          <w:sz w:val="20"/>
          <w:szCs w:val="20"/>
          <w:lang w:val="es-ES"/>
        </w:rPr>
        <w:t xml:space="preserve"> </w:t>
      </w:r>
      <w:r w:rsidRPr="00C661E5">
        <w:rPr>
          <w:rFonts w:ascii="Verdana" w:eastAsia="Verdana" w:hAnsi="Verdana" w:cs="Verdana"/>
          <w:sz w:val="20"/>
          <w:szCs w:val="20"/>
          <w:lang w:val="es-ES"/>
        </w:rPr>
        <w:t>América</w:t>
      </w:r>
      <w:r w:rsidRPr="00C661E5">
        <w:rPr>
          <w:rFonts w:ascii="Verdana" w:eastAsia="Verdana" w:hAnsi="Verdana" w:cs="Verdana"/>
          <w:spacing w:val="-13"/>
          <w:sz w:val="20"/>
          <w:szCs w:val="20"/>
          <w:lang w:val="es-ES"/>
        </w:rPr>
        <w:t xml:space="preserve"> </w:t>
      </w:r>
      <w:r w:rsidRPr="00C661E5">
        <w:rPr>
          <w:rFonts w:ascii="Verdana" w:eastAsia="Verdana" w:hAnsi="Verdana" w:cs="Verdana"/>
          <w:sz w:val="20"/>
          <w:szCs w:val="20"/>
          <w:lang w:val="es-ES"/>
        </w:rPr>
        <w:t>(US$125.000),</w:t>
      </w:r>
      <w:r w:rsidRPr="00C661E5">
        <w:rPr>
          <w:rFonts w:ascii="Verdana" w:eastAsia="Verdana" w:hAnsi="Verdana" w:cs="Verdana"/>
          <w:spacing w:val="-11"/>
          <w:sz w:val="20"/>
          <w:szCs w:val="20"/>
          <w:lang w:val="es-ES"/>
        </w:rPr>
        <w:t xml:space="preserve"> </w:t>
      </w:r>
      <w:r w:rsidRPr="00C661E5">
        <w:rPr>
          <w:rFonts w:ascii="Verdana" w:eastAsia="Verdana" w:hAnsi="Verdana" w:cs="Verdana"/>
          <w:sz w:val="20"/>
          <w:szCs w:val="20"/>
          <w:lang w:val="es-ES"/>
        </w:rPr>
        <w:t>liquidados</w:t>
      </w:r>
      <w:r w:rsidRPr="00C661E5">
        <w:rPr>
          <w:rFonts w:ascii="Verdana" w:eastAsia="Verdana" w:hAnsi="Verdana" w:cs="Verdana"/>
          <w:spacing w:val="-13"/>
          <w:sz w:val="20"/>
          <w:szCs w:val="20"/>
          <w:lang w:val="es-ES"/>
        </w:rPr>
        <w:t xml:space="preserve"> </w:t>
      </w:r>
      <w:r w:rsidRPr="00C661E5">
        <w:rPr>
          <w:rFonts w:ascii="Verdana" w:eastAsia="Verdana" w:hAnsi="Verdana" w:cs="Verdana"/>
          <w:sz w:val="20"/>
          <w:szCs w:val="20"/>
          <w:lang w:val="es-ES"/>
        </w:rPr>
        <w:t>con</w:t>
      </w:r>
      <w:r w:rsidRPr="00C661E5">
        <w:rPr>
          <w:rFonts w:ascii="Verdana" w:eastAsia="Verdana" w:hAnsi="Verdana" w:cs="Verdana"/>
          <w:spacing w:val="-14"/>
          <w:sz w:val="20"/>
          <w:szCs w:val="20"/>
          <w:lang w:val="es-ES"/>
        </w:rPr>
        <w:t xml:space="preserve"> </w:t>
      </w:r>
      <w:r w:rsidRPr="00C661E5">
        <w:rPr>
          <w:rFonts w:ascii="Verdana" w:eastAsia="Verdana" w:hAnsi="Verdana" w:cs="Verdana"/>
          <w:sz w:val="20"/>
          <w:szCs w:val="20"/>
          <w:lang w:val="es-ES"/>
        </w:rPr>
        <w:t>la tasa de cambio que para el efecto determina cada dos años el Ministerio de Comercio, Industria y Turismo.</w:t>
      </w:r>
    </w:p>
    <w:p w14:paraId="34763FE5" w14:textId="77777777" w:rsidR="00C661E5" w:rsidRPr="00C661E5" w:rsidRDefault="00C661E5" w:rsidP="00C661E5">
      <w:pPr>
        <w:widowControl w:val="0"/>
        <w:tabs>
          <w:tab w:val="left" w:pos="382"/>
        </w:tabs>
        <w:autoSpaceDE w:val="0"/>
        <w:autoSpaceDN w:val="0"/>
        <w:spacing w:after="0" w:line="240" w:lineRule="auto"/>
        <w:ind w:left="709" w:right="709"/>
        <w:jc w:val="both"/>
        <w:outlineLvl w:val="0"/>
        <w:rPr>
          <w:rFonts w:ascii="Verdana" w:eastAsia="Verdana" w:hAnsi="Verdana" w:cs="Verdana"/>
          <w:sz w:val="20"/>
          <w:szCs w:val="20"/>
          <w:lang w:val="es-ES"/>
        </w:rPr>
      </w:pPr>
    </w:p>
    <w:p w14:paraId="377E1659" w14:textId="77777777" w:rsidR="00C661E5" w:rsidRPr="00C661E5" w:rsidRDefault="00C661E5" w:rsidP="00C661E5">
      <w:pPr>
        <w:widowControl w:val="0"/>
        <w:tabs>
          <w:tab w:val="left" w:pos="382"/>
        </w:tabs>
        <w:autoSpaceDE w:val="0"/>
        <w:autoSpaceDN w:val="0"/>
        <w:spacing w:after="0" w:line="240" w:lineRule="auto"/>
        <w:ind w:left="709" w:right="709"/>
        <w:jc w:val="both"/>
        <w:outlineLvl w:val="0"/>
        <w:rPr>
          <w:rFonts w:ascii="Verdana" w:eastAsia="Verdana" w:hAnsi="Verdana" w:cs="Verdana"/>
          <w:b/>
          <w:bCs/>
          <w:sz w:val="20"/>
          <w:szCs w:val="20"/>
          <w:lang w:val="es-ES"/>
        </w:rPr>
      </w:pPr>
      <w:r w:rsidRPr="00C661E5">
        <w:rPr>
          <w:rFonts w:ascii="Verdana" w:eastAsia="Verdana" w:hAnsi="Verdana" w:cs="Verdana"/>
          <w:sz w:val="20"/>
          <w:szCs w:val="20"/>
          <w:lang w:val="es-ES"/>
        </w:rPr>
        <w:t xml:space="preserve">2. Se hayan recibido solicitudes de por lo menos dos (2) </w:t>
      </w:r>
      <w:proofErr w:type="spellStart"/>
      <w:r w:rsidRPr="00C661E5">
        <w:rPr>
          <w:rFonts w:ascii="Verdana" w:eastAsia="Verdana" w:hAnsi="Verdana" w:cs="Verdana"/>
          <w:sz w:val="20"/>
          <w:szCs w:val="20"/>
          <w:lang w:val="es-ES"/>
        </w:rPr>
        <w:t>Mipyme</w:t>
      </w:r>
      <w:proofErr w:type="spellEnd"/>
      <w:r w:rsidRPr="00C661E5">
        <w:rPr>
          <w:rFonts w:ascii="Verdana" w:eastAsia="Verdana" w:hAnsi="Verdana" w:cs="Verdana"/>
          <w:sz w:val="20"/>
          <w:szCs w:val="20"/>
          <w:lang w:val="es-ES"/>
        </w:rPr>
        <w:t xml:space="preserve"> colombianas para limitar la convocatoria a </w:t>
      </w:r>
      <w:proofErr w:type="spellStart"/>
      <w:r w:rsidRPr="00C661E5">
        <w:rPr>
          <w:rFonts w:ascii="Verdana" w:eastAsia="Verdana" w:hAnsi="Verdana" w:cs="Verdana"/>
          <w:sz w:val="20"/>
          <w:szCs w:val="20"/>
          <w:lang w:val="es-ES"/>
        </w:rPr>
        <w:t>Mipyme</w:t>
      </w:r>
      <w:proofErr w:type="spellEnd"/>
      <w:r w:rsidRPr="00C661E5">
        <w:rPr>
          <w:rFonts w:ascii="Verdana" w:eastAsia="Verdana" w:hAnsi="Verdana" w:cs="Verdana"/>
          <w:sz w:val="20"/>
          <w:szCs w:val="20"/>
          <w:lang w:val="es-ES"/>
        </w:rPr>
        <w:t xml:space="preserve"> colombianas. Las Entidades Estatales independientemente de su régimen de contratación, los patrimonios autónomos constituidos por Entidades Estatales y los particulares</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que</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ejecuten</w:t>
      </w:r>
      <w:r w:rsidRPr="00C661E5">
        <w:rPr>
          <w:rFonts w:ascii="Verdana" w:eastAsia="Verdana" w:hAnsi="Verdana" w:cs="Verdana"/>
          <w:spacing w:val="-17"/>
          <w:sz w:val="20"/>
          <w:szCs w:val="20"/>
          <w:lang w:val="es-ES"/>
        </w:rPr>
        <w:t xml:space="preserve"> </w:t>
      </w:r>
      <w:r w:rsidRPr="00C661E5">
        <w:rPr>
          <w:rFonts w:ascii="Verdana" w:eastAsia="Verdana" w:hAnsi="Verdana" w:cs="Verdana"/>
          <w:sz w:val="20"/>
          <w:szCs w:val="20"/>
          <w:lang w:val="es-ES"/>
        </w:rPr>
        <w:t>recursos</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públicos,</w:t>
      </w:r>
      <w:r w:rsidRPr="00C661E5">
        <w:rPr>
          <w:rFonts w:ascii="Verdana" w:eastAsia="Verdana" w:hAnsi="Verdana" w:cs="Verdana"/>
          <w:spacing w:val="-17"/>
          <w:sz w:val="20"/>
          <w:szCs w:val="20"/>
          <w:lang w:val="es-ES"/>
        </w:rPr>
        <w:t xml:space="preserve"> </w:t>
      </w:r>
      <w:r w:rsidRPr="00C661E5">
        <w:rPr>
          <w:rFonts w:ascii="Verdana" w:eastAsia="Verdana" w:hAnsi="Verdana" w:cs="Verdana"/>
          <w:sz w:val="20"/>
          <w:szCs w:val="20"/>
          <w:lang w:val="es-ES"/>
        </w:rPr>
        <w:t>deben</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recibir</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estas</w:t>
      </w:r>
      <w:r w:rsidRPr="00C661E5">
        <w:rPr>
          <w:rFonts w:ascii="Verdana" w:eastAsia="Verdana" w:hAnsi="Verdana" w:cs="Verdana"/>
          <w:spacing w:val="-17"/>
          <w:sz w:val="20"/>
          <w:szCs w:val="20"/>
          <w:lang w:val="es-ES"/>
        </w:rPr>
        <w:t xml:space="preserve"> </w:t>
      </w:r>
      <w:r w:rsidRPr="00C661E5">
        <w:rPr>
          <w:rFonts w:ascii="Verdana" w:eastAsia="Verdana" w:hAnsi="Verdana" w:cs="Verdana"/>
          <w:sz w:val="20"/>
          <w:szCs w:val="20"/>
          <w:lang w:val="es-ES"/>
        </w:rPr>
        <w:t>solicitudes por</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lo</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menos</w:t>
      </w:r>
      <w:r w:rsidRPr="00C661E5">
        <w:rPr>
          <w:rFonts w:ascii="Verdana" w:eastAsia="Verdana" w:hAnsi="Verdana" w:cs="Verdana"/>
          <w:spacing w:val="-17"/>
          <w:sz w:val="20"/>
          <w:szCs w:val="20"/>
          <w:lang w:val="es-ES"/>
        </w:rPr>
        <w:t xml:space="preserve"> </w:t>
      </w:r>
      <w:r w:rsidRPr="00C661E5">
        <w:rPr>
          <w:rFonts w:ascii="Verdana" w:eastAsia="Verdana" w:hAnsi="Verdana" w:cs="Verdana"/>
          <w:sz w:val="20"/>
          <w:szCs w:val="20"/>
          <w:lang w:val="es-ES"/>
        </w:rPr>
        <w:t>un</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(1)</w:t>
      </w:r>
      <w:r w:rsidRPr="00C661E5">
        <w:rPr>
          <w:rFonts w:ascii="Verdana" w:eastAsia="Verdana" w:hAnsi="Verdana" w:cs="Verdana"/>
          <w:spacing w:val="-17"/>
          <w:sz w:val="20"/>
          <w:szCs w:val="20"/>
          <w:lang w:val="es-ES"/>
        </w:rPr>
        <w:t xml:space="preserve"> </w:t>
      </w:r>
      <w:r w:rsidRPr="00C661E5">
        <w:rPr>
          <w:rFonts w:ascii="Verdana" w:eastAsia="Verdana" w:hAnsi="Verdana" w:cs="Verdana"/>
          <w:sz w:val="20"/>
          <w:szCs w:val="20"/>
          <w:lang w:val="es-ES"/>
        </w:rPr>
        <w:t>día</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hábil</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antes</w:t>
      </w:r>
      <w:r w:rsidRPr="00C661E5">
        <w:rPr>
          <w:rFonts w:ascii="Verdana" w:eastAsia="Verdana" w:hAnsi="Verdana" w:cs="Verdana"/>
          <w:spacing w:val="-17"/>
          <w:sz w:val="20"/>
          <w:szCs w:val="20"/>
          <w:lang w:val="es-ES"/>
        </w:rPr>
        <w:t xml:space="preserve"> </w:t>
      </w:r>
      <w:r w:rsidRPr="00C661E5">
        <w:rPr>
          <w:rFonts w:ascii="Verdana" w:eastAsia="Verdana" w:hAnsi="Verdana" w:cs="Verdana"/>
          <w:sz w:val="20"/>
          <w:szCs w:val="20"/>
          <w:lang w:val="es-ES"/>
        </w:rPr>
        <w:t>de</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la</w:t>
      </w:r>
      <w:r w:rsidRPr="00C661E5">
        <w:rPr>
          <w:rFonts w:ascii="Verdana" w:eastAsia="Verdana" w:hAnsi="Verdana" w:cs="Verdana"/>
          <w:spacing w:val="-17"/>
          <w:sz w:val="20"/>
          <w:szCs w:val="20"/>
          <w:lang w:val="es-ES"/>
        </w:rPr>
        <w:t xml:space="preserve"> </w:t>
      </w:r>
      <w:r w:rsidRPr="00C661E5">
        <w:rPr>
          <w:rFonts w:ascii="Verdana" w:eastAsia="Verdana" w:hAnsi="Verdana" w:cs="Verdana"/>
          <w:sz w:val="20"/>
          <w:szCs w:val="20"/>
          <w:lang w:val="es-ES"/>
        </w:rPr>
        <w:t>expedición</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del</w:t>
      </w:r>
      <w:r w:rsidRPr="00C661E5">
        <w:rPr>
          <w:rFonts w:ascii="Verdana" w:eastAsia="Verdana" w:hAnsi="Verdana" w:cs="Verdana"/>
          <w:spacing w:val="-17"/>
          <w:sz w:val="20"/>
          <w:szCs w:val="20"/>
          <w:lang w:val="es-ES"/>
        </w:rPr>
        <w:t xml:space="preserve"> </w:t>
      </w:r>
      <w:r w:rsidRPr="00C661E5">
        <w:rPr>
          <w:rFonts w:ascii="Verdana" w:eastAsia="Verdana" w:hAnsi="Verdana" w:cs="Verdana"/>
          <w:sz w:val="20"/>
          <w:szCs w:val="20"/>
          <w:lang w:val="es-ES"/>
        </w:rPr>
        <w:t>acto</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administrativo de</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apertura,</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o</w:t>
      </w:r>
      <w:r w:rsidRPr="00C661E5">
        <w:rPr>
          <w:rFonts w:ascii="Verdana" w:eastAsia="Verdana" w:hAnsi="Verdana" w:cs="Verdana"/>
          <w:spacing w:val="-17"/>
          <w:sz w:val="20"/>
          <w:szCs w:val="20"/>
          <w:lang w:val="es-ES"/>
        </w:rPr>
        <w:t xml:space="preserve"> </w:t>
      </w:r>
      <w:r w:rsidRPr="00C661E5">
        <w:rPr>
          <w:rFonts w:ascii="Verdana" w:eastAsia="Verdana" w:hAnsi="Verdana" w:cs="Verdana"/>
          <w:sz w:val="20"/>
          <w:szCs w:val="20"/>
          <w:lang w:val="es-ES"/>
        </w:rPr>
        <w:t>el</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que</w:t>
      </w:r>
      <w:r w:rsidRPr="00C661E5">
        <w:rPr>
          <w:rFonts w:ascii="Verdana" w:eastAsia="Verdana" w:hAnsi="Verdana" w:cs="Verdana"/>
          <w:spacing w:val="-17"/>
          <w:sz w:val="20"/>
          <w:szCs w:val="20"/>
          <w:lang w:val="es-ES"/>
        </w:rPr>
        <w:t xml:space="preserve"> </w:t>
      </w:r>
      <w:r w:rsidRPr="00C661E5">
        <w:rPr>
          <w:rFonts w:ascii="Verdana" w:eastAsia="Verdana" w:hAnsi="Verdana" w:cs="Verdana"/>
          <w:sz w:val="20"/>
          <w:szCs w:val="20"/>
          <w:lang w:val="es-ES"/>
        </w:rPr>
        <w:t>haga</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sus</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veces</w:t>
      </w:r>
      <w:r w:rsidRPr="00C661E5">
        <w:rPr>
          <w:rFonts w:ascii="Verdana" w:eastAsia="Verdana" w:hAnsi="Verdana" w:cs="Verdana"/>
          <w:spacing w:val="-17"/>
          <w:sz w:val="20"/>
          <w:szCs w:val="20"/>
          <w:lang w:val="es-ES"/>
        </w:rPr>
        <w:t xml:space="preserve"> </w:t>
      </w:r>
      <w:r w:rsidRPr="00C661E5">
        <w:rPr>
          <w:rFonts w:ascii="Verdana" w:eastAsia="Verdana" w:hAnsi="Verdana" w:cs="Verdana"/>
          <w:sz w:val="20"/>
          <w:szCs w:val="20"/>
          <w:lang w:val="es-ES"/>
        </w:rPr>
        <w:t>de</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acuerdo</w:t>
      </w:r>
      <w:r w:rsidRPr="00C661E5">
        <w:rPr>
          <w:rFonts w:ascii="Verdana" w:eastAsia="Verdana" w:hAnsi="Verdana" w:cs="Verdana"/>
          <w:spacing w:val="-17"/>
          <w:sz w:val="20"/>
          <w:szCs w:val="20"/>
          <w:lang w:val="es-ES"/>
        </w:rPr>
        <w:t xml:space="preserve"> </w:t>
      </w:r>
      <w:r w:rsidRPr="00C661E5">
        <w:rPr>
          <w:rFonts w:ascii="Verdana" w:eastAsia="Verdana" w:hAnsi="Verdana" w:cs="Verdana"/>
          <w:sz w:val="20"/>
          <w:szCs w:val="20"/>
          <w:lang w:val="es-ES"/>
        </w:rPr>
        <w:t>con</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la</w:t>
      </w:r>
      <w:r w:rsidRPr="00C661E5">
        <w:rPr>
          <w:rFonts w:ascii="Verdana" w:eastAsia="Verdana" w:hAnsi="Verdana" w:cs="Verdana"/>
          <w:spacing w:val="-17"/>
          <w:sz w:val="20"/>
          <w:szCs w:val="20"/>
          <w:lang w:val="es-ES"/>
        </w:rPr>
        <w:t xml:space="preserve"> </w:t>
      </w:r>
      <w:r w:rsidRPr="00C661E5">
        <w:rPr>
          <w:rFonts w:ascii="Verdana" w:eastAsia="Verdana" w:hAnsi="Verdana" w:cs="Verdana"/>
          <w:sz w:val="20"/>
          <w:szCs w:val="20"/>
          <w:lang w:val="es-ES"/>
        </w:rPr>
        <w:t>normativa</w:t>
      </w:r>
      <w:r w:rsidRPr="00C661E5">
        <w:rPr>
          <w:rFonts w:ascii="Verdana" w:eastAsia="Verdana" w:hAnsi="Verdana" w:cs="Verdana"/>
          <w:spacing w:val="-18"/>
          <w:sz w:val="20"/>
          <w:szCs w:val="20"/>
          <w:lang w:val="es-ES"/>
        </w:rPr>
        <w:t xml:space="preserve"> </w:t>
      </w:r>
      <w:r w:rsidRPr="00C661E5">
        <w:rPr>
          <w:rFonts w:ascii="Verdana" w:eastAsia="Verdana" w:hAnsi="Verdana" w:cs="Verdana"/>
          <w:sz w:val="20"/>
          <w:szCs w:val="20"/>
          <w:lang w:val="es-ES"/>
        </w:rPr>
        <w:t>aplicable a cada Proceso de Contratación. Tratándose de personas jurídicas, las solicitudes</w:t>
      </w:r>
      <w:r w:rsidRPr="00C661E5">
        <w:rPr>
          <w:rFonts w:ascii="Verdana" w:eastAsia="Verdana" w:hAnsi="Verdana" w:cs="Verdana"/>
          <w:spacing w:val="-6"/>
          <w:sz w:val="20"/>
          <w:szCs w:val="20"/>
          <w:lang w:val="es-ES"/>
        </w:rPr>
        <w:t xml:space="preserve"> </w:t>
      </w:r>
      <w:r w:rsidRPr="00C661E5">
        <w:rPr>
          <w:rFonts w:ascii="Verdana" w:eastAsia="Verdana" w:hAnsi="Verdana" w:cs="Verdana"/>
          <w:sz w:val="20"/>
          <w:szCs w:val="20"/>
          <w:lang w:val="es-ES"/>
        </w:rPr>
        <w:t>solo</w:t>
      </w:r>
      <w:r w:rsidRPr="00C661E5">
        <w:rPr>
          <w:rFonts w:ascii="Verdana" w:eastAsia="Verdana" w:hAnsi="Verdana" w:cs="Verdana"/>
          <w:spacing w:val="-8"/>
          <w:sz w:val="20"/>
          <w:szCs w:val="20"/>
          <w:lang w:val="es-ES"/>
        </w:rPr>
        <w:t xml:space="preserve"> </w:t>
      </w:r>
      <w:r w:rsidRPr="00C661E5">
        <w:rPr>
          <w:rFonts w:ascii="Verdana" w:eastAsia="Verdana" w:hAnsi="Verdana" w:cs="Verdana"/>
          <w:sz w:val="20"/>
          <w:szCs w:val="20"/>
          <w:lang w:val="es-ES"/>
        </w:rPr>
        <w:t>las</w:t>
      </w:r>
      <w:r w:rsidRPr="00C661E5">
        <w:rPr>
          <w:rFonts w:ascii="Verdana" w:eastAsia="Verdana" w:hAnsi="Verdana" w:cs="Verdana"/>
          <w:spacing w:val="-8"/>
          <w:sz w:val="20"/>
          <w:szCs w:val="20"/>
          <w:lang w:val="es-ES"/>
        </w:rPr>
        <w:t xml:space="preserve"> </w:t>
      </w:r>
      <w:r w:rsidRPr="00C661E5">
        <w:rPr>
          <w:rFonts w:ascii="Verdana" w:eastAsia="Verdana" w:hAnsi="Verdana" w:cs="Verdana"/>
          <w:sz w:val="20"/>
          <w:szCs w:val="20"/>
          <w:lang w:val="es-ES"/>
        </w:rPr>
        <w:t>podrán</w:t>
      </w:r>
      <w:r w:rsidRPr="00C661E5">
        <w:rPr>
          <w:rFonts w:ascii="Verdana" w:eastAsia="Verdana" w:hAnsi="Verdana" w:cs="Verdana"/>
          <w:spacing w:val="-7"/>
          <w:sz w:val="20"/>
          <w:szCs w:val="20"/>
          <w:lang w:val="es-ES"/>
        </w:rPr>
        <w:t xml:space="preserve"> </w:t>
      </w:r>
      <w:r w:rsidRPr="00C661E5">
        <w:rPr>
          <w:rFonts w:ascii="Verdana" w:eastAsia="Verdana" w:hAnsi="Verdana" w:cs="Verdana"/>
          <w:sz w:val="20"/>
          <w:szCs w:val="20"/>
          <w:lang w:val="es-ES"/>
        </w:rPr>
        <w:t>realizar</w:t>
      </w:r>
      <w:r w:rsidRPr="00C661E5">
        <w:rPr>
          <w:rFonts w:ascii="Verdana" w:eastAsia="Verdana" w:hAnsi="Verdana" w:cs="Verdana"/>
          <w:spacing w:val="-6"/>
          <w:sz w:val="20"/>
          <w:szCs w:val="20"/>
          <w:lang w:val="es-ES"/>
        </w:rPr>
        <w:t xml:space="preserve"> </w:t>
      </w:r>
      <w:proofErr w:type="spellStart"/>
      <w:r w:rsidRPr="00C661E5">
        <w:rPr>
          <w:rFonts w:ascii="Verdana" w:eastAsia="Verdana" w:hAnsi="Verdana" w:cs="Verdana"/>
          <w:sz w:val="20"/>
          <w:szCs w:val="20"/>
          <w:lang w:val="es-ES"/>
        </w:rPr>
        <w:t>Mipyme</w:t>
      </w:r>
      <w:proofErr w:type="spellEnd"/>
      <w:r w:rsidRPr="00C661E5">
        <w:rPr>
          <w:rFonts w:ascii="Verdana" w:eastAsia="Verdana" w:hAnsi="Verdana" w:cs="Verdana"/>
          <w:sz w:val="20"/>
          <w:szCs w:val="20"/>
          <w:lang w:val="es-ES"/>
        </w:rPr>
        <w:t>,</w:t>
      </w:r>
      <w:r w:rsidRPr="00C661E5">
        <w:rPr>
          <w:rFonts w:ascii="Verdana" w:eastAsia="Verdana" w:hAnsi="Verdana" w:cs="Verdana"/>
          <w:spacing w:val="-9"/>
          <w:sz w:val="20"/>
          <w:szCs w:val="20"/>
          <w:lang w:val="es-ES"/>
        </w:rPr>
        <w:t xml:space="preserve"> </w:t>
      </w:r>
      <w:r w:rsidRPr="00C661E5">
        <w:rPr>
          <w:rFonts w:ascii="Verdana" w:eastAsia="Verdana" w:hAnsi="Verdana" w:cs="Verdana"/>
          <w:sz w:val="20"/>
          <w:szCs w:val="20"/>
          <w:lang w:val="es-ES"/>
        </w:rPr>
        <w:t>cuyo</w:t>
      </w:r>
      <w:r w:rsidRPr="00C661E5">
        <w:rPr>
          <w:rFonts w:ascii="Verdana" w:eastAsia="Verdana" w:hAnsi="Verdana" w:cs="Verdana"/>
          <w:spacing w:val="-7"/>
          <w:sz w:val="20"/>
          <w:szCs w:val="20"/>
          <w:lang w:val="es-ES"/>
        </w:rPr>
        <w:t xml:space="preserve"> </w:t>
      </w:r>
      <w:r w:rsidRPr="00C661E5">
        <w:rPr>
          <w:rFonts w:ascii="Verdana" w:eastAsia="Verdana" w:hAnsi="Verdana" w:cs="Verdana"/>
          <w:sz w:val="20"/>
          <w:szCs w:val="20"/>
          <w:lang w:val="es-ES"/>
        </w:rPr>
        <w:t>objeto</w:t>
      </w:r>
      <w:r w:rsidRPr="00C661E5">
        <w:rPr>
          <w:rFonts w:ascii="Verdana" w:eastAsia="Verdana" w:hAnsi="Verdana" w:cs="Verdana"/>
          <w:spacing w:val="-7"/>
          <w:sz w:val="20"/>
          <w:szCs w:val="20"/>
          <w:lang w:val="es-ES"/>
        </w:rPr>
        <w:t xml:space="preserve"> </w:t>
      </w:r>
      <w:r w:rsidRPr="00C661E5">
        <w:rPr>
          <w:rFonts w:ascii="Verdana" w:eastAsia="Verdana" w:hAnsi="Verdana" w:cs="Verdana"/>
          <w:sz w:val="20"/>
          <w:szCs w:val="20"/>
          <w:lang w:val="es-ES"/>
        </w:rPr>
        <w:t>social</w:t>
      </w:r>
      <w:r w:rsidRPr="00C661E5">
        <w:rPr>
          <w:rFonts w:ascii="Verdana" w:eastAsia="Verdana" w:hAnsi="Verdana" w:cs="Verdana"/>
          <w:spacing w:val="-7"/>
          <w:sz w:val="20"/>
          <w:szCs w:val="20"/>
          <w:lang w:val="es-ES"/>
        </w:rPr>
        <w:t xml:space="preserve"> </w:t>
      </w:r>
      <w:r w:rsidRPr="00C661E5">
        <w:rPr>
          <w:rFonts w:ascii="Verdana" w:eastAsia="Verdana" w:hAnsi="Verdana" w:cs="Verdana"/>
          <w:sz w:val="20"/>
          <w:szCs w:val="20"/>
          <w:lang w:val="es-ES"/>
        </w:rPr>
        <w:t>les</w:t>
      </w:r>
      <w:r w:rsidRPr="00C661E5">
        <w:rPr>
          <w:rFonts w:ascii="Verdana" w:eastAsia="Verdana" w:hAnsi="Verdana" w:cs="Verdana"/>
          <w:spacing w:val="-8"/>
          <w:sz w:val="20"/>
          <w:szCs w:val="20"/>
          <w:lang w:val="es-ES"/>
        </w:rPr>
        <w:t xml:space="preserve"> </w:t>
      </w:r>
      <w:r w:rsidRPr="00C661E5">
        <w:rPr>
          <w:rFonts w:ascii="Verdana" w:eastAsia="Verdana" w:hAnsi="Verdana" w:cs="Verdana"/>
          <w:sz w:val="20"/>
          <w:szCs w:val="20"/>
          <w:lang w:val="es-ES"/>
        </w:rPr>
        <w:t>permita ejecutar el contrato relacionado con el proceso contractual.</w:t>
      </w:r>
    </w:p>
    <w:p w14:paraId="7B2C2C38" w14:textId="77777777" w:rsidR="00C661E5" w:rsidRPr="00C661E5" w:rsidRDefault="00C661E5" w:rsidP="00C661E5">
      <w:pPr>
        <w:widowControl w:val="0"/>
        <w:tabs>
          <w:tab w:val="left" w:pos="382"/>
        </w:tabs>
        <w:autoSpaceDE w:val="0"/>
        <w:autoSpaceDN w:val="0"/>
        <w:spacing w:after="0" w:line="240" w:lineRule="auto"/>
        <w:ind w:left="709" w:right="709"/>
        <w:jc w:val="both"/>
        <w:outlineLvl w:val="0"/>
        <w:rPr>
          <w:rFonts w:ascii="Verdana" w:eastAsia="Verdana" w:hAnsi="Verdana" w:cs="Verdana"/>
          <w:sz w:val="20"/>
          <w:szCs w:val="20"/>
          <w:lang w:val="es-ES"/>
        </w:rPr>
      </w:pPr>
    </w:p>
    <w:p w14:paraId="68A96304" w14:textId="77777777" w:rsidR="00C661E5" w:rsidRPr="00C661E5" w:rsidRDefault="00C661E5" w:rsidP="00C661E5">
      <w:pPr>
        <w:widowControl w:val="0"/>
        <w:tabs>
          <w:tab w:val="left" w:pos="382"/>
        </w:tabs>
        <w:autoSpaceDE w:val="0"/>
        <w:autoSpaceDN w:val="0"/>
        <w:spacing w:after="0" w:line="240" w:lineRule="auto"/>
        <w:ind w:left="709" w:right="709"/>
        <w:jc w:val="both"/>
        <w:outlineLvl w:val="0"/>
        <w:rPr>
          <w:rFonts w:ascii="Verdana" w:eastAsia="Verdana" w:hAnsi="Verdana" w:cs="Verdana"/>
          <w:b/>
          <w:bCs/>
          <w:lang w:val="es-ES"/>
        </w:rPr>
      </w:pPr>
      <w:r w:rsidRPr="00C661E5">
        <w:rPr>
          <w:rFonts w:ascii="Verdana" w:eastAsia="Verdana" w:hAnsi="Verdana" w:cs="Verdana"/>
          <w:sz w:val="20"/>
          <w:szCs w:val="20"/>
          <w:lang w:val="es-ES"/>
        </w:rPr>
        <w:t>Parágrafo. Las cooperativas y demás entidades de economía solidaria, siempre</w:t>
      </w:r>
      <w:r w:rsidRPr="00C661E5">
        <w:rPr>
          <w:rFonts w:ascii="Verdana" w:eastAsia="Verdana" w:hAnsi="Verdana" w:cs="Verdana"/>
          <w:spacing w:val="-3"/>
          <w:sz w:val="20"/>
          <w:szCs w:val="20"/>
          <w:lang w:val="es-ES"/>
        </w:rPr>
        <w:t xml:space="preserve"> </w:t>
      </w:r>
      <w:r w:rsidRPr="00C661E5">
        <w:rPr>
          <w:rFonts w:ascii="Verdana" w:eastAsia="Verdana" w:hAnsi="Verdana" w:cs="Verdana"/>
          <w:sz w:val="20"/>
          <w:szCs w:val="20"/>
          <w:lang w:val="es-ES"/>
        </w:rPr>
        <w:t>que</w:t>
      </w:r>
      <w:r w:rsidRPr="00C661E5">
        <w:rPr>
          <w:rFonts w:ascii="Verdana" w:eastAsia="Verdana" w:hAnsi="Verdana" w:cs="Verdana"/>
          <w:spacing w:val="-4"/>
          <w:sz w:val="20"/>
          <w:szCs w:val="20"/>
          <w:lang w:val="es-ES"/>
        </w:rPr>
        <w:t xml:space="preserve"> </w:t>
      </w:r>
      <w:r w:rsidRPr="00C661E5">
        <w:rPr>
          <w:rFonts w:ascii="Verdana" w:eastAsia="Verdana" w:hAnsi="Verdana" w:cs="Verdana"/>
          <w:sz w:val="20"/>
          <w:szCs w:val="20"/>
          <w:lang w:val="es-ES"/>
        </w:rPr>
        <w:t>tengan</w:t>
      </w:r>
      <w:r w:rsidRPr="00C661E5">
        <w:rPr>
          <w:rFonts w:ascii="Verdana" w:eastAsia="Verdana" w:hAnsi="Verdana" w:cs="Verdana"/>
          <w:spacing w:val="-3"/>
          <w:sz w:val="20"/>
          <w:szCs w:val="20"/>
          <w:lang w:val="es-ES"/>
        </w:rPr>
        <w:t xml:space="preserve"> </w:t>
      </w:r>
      <w:r w:rsidRPr="00C661E5">
        <w:rPr>
          <w:rFonts w:ascii="Verdana" w:eastAsia="Verdana" w:hAnsi="Verdana" w:cs="Verdana"/>
          <w:sz w:val="20"/>
          <w:szCs w:val="20"/>
          <w:lang w:val="es-ES"/>
        </w:rPr>
        <w:t>la</w:t>
      </w:r>
      <w:r w:rsidRPr="00C661E5">
        <w:rPr>
          <w:rFonts w:ascii="Verdana" w:eastAsia="Verdana" w:hAnsi="Verdana" w:cs="Verdana"/>
          <w:spacing w:val="-5"/>
          <w:sz w:val="20"/>
          <w:szCs w:val="20"/>
          <w:lang w:val="es-ES"/>
        </w:rPr>
        <w:t xml:space="preserve"> </w:t>
      </w:r>
      <w:r w:rsidRPr="00C661E5">
        <w:rPr>
          <w:rFonts w:ascii="Verdana" w:eastAsia="Verdana" w:hAnsi="Verdana" w:cs="Verdana"/>
          <w:sz w:val="20"/>
          <w:szCs w:val="20"/>
          <w:lang w:val="es-ES"/>
        </w:rPr>
        <w:t>calidad</w:t>
      </w:r>
      <w:r w:rsidRPr="00C661E5">
        <w:rPr>
          <w:rFonts w:ascii="Verdana" w:eastAsia="Verdana" w:hAnsi="Verdana" w:cs="Verdana"/>
          <w:spacing w:val="-3"/>
          <w:sz w:val="20"/>
          <w:szCs w:val="20"/>
          <w:lang w:val="es-ES"/>
        </w:rPr>
        <w:t xml:space="preserve"> </w:t>
      </w:r>
      <w:r w:rsidRPr="00C661E5">
        <w:rPr>
          <w:rFonts w:ascii="Verdana" w:eastAsia="Verdana" w:hAnsi="Verdana" w:cs="Verdana"/>
          <w:sz w:val="20"/>
          <w:szCs w:val="20"/>
          <w:lang w:val="es-ES"/>
        </w:rPr>
        <w:t>de</w:t>
      </w:r>
      <w:r w:rsidRPr="00C661E5">
        <w:rPr>
          <w:rFonts w:ascii="Verdana" w:eastAsia="Verdana" w:hAnsi="Verdana" w:cs="Verdana"/>
          <w:spacing w:val="-5"/>
          <w:sz w:val="20"/>
          <w:szCs w:val="20"/>
          <w:lang w:val="es-ES"/>
        </w:rPr>
        <w:t xml:space="preserve"> </w:t>
      </w:r>
      <w:proofErr w:type="spellStart"/>
      <w:r w:rsidRPr="00C661E5">
        <w:rPr>
          <w:rFonts w:ascii="Verdana" w:eastAsia="Verdana" w:hAnsi="Verdana" w:cs="Verdana"/>
          <w:sz w:val="20"/>
          <w:szCs w:val="20"/>
          <w:lang w:val="es-ES"/>
        </w:rPr>
        <w:t>Mipyme</w:t>
      </w:r>
      <w:proofErr w:type="spellEnd"/>
      <w:r w:rsidRPr="00C661E5">
        <w:rPr>
          <w:rFonts w:ascii="Verdana" w:eastAsia="Verdana" w:hAnsi="Verdana" w:cs="Verdana"/>
          <w:sz w:val="20"/>
          <w:szCs w:val="20"/>
          <w:lang w:val="es-ES"/>
        </w:rPr>
        <w:t>,</w:t>
      </w:r>
      <w:r w:rsidRPr="00C661E5">
        <w:rPr>
          <w:rFonts w:ascii="Verdana" w:eastAsia="Verdana" w:hAnsi="Verdana" w:cs="Verdana"/>
          <w:spacing w:val="-5"/>
          <w:sz w:val="20"/>
          <w:szCs w:val="20"/>
          <w:lang w:val="es-ES"/>
        </w:rPr>
        <w:t xml:space="preserve"> </w:t>
      </w:r>
      <w:r w:rsidRPr="00C661E5">
        <w:rPr>
          <w:rFonts w:ascii="Verdana" w:eastAsia="Verdana" w:hAnsi="Verdana" w:cs="Verdana"/>
          <w:sz w:val="20"/>
          <w:szCs w:val="20"/>
          <w:lang w:val="es-ES"/>
        </w:rPr>
        <w:t>podrán</w:t>
      </w:r>
      <w:r w:rsidRPr="00C661E5">
        <w:rPr>
          <w:rFonts w:ascii="Verdana" w:eastAsia="Verdana" w:hAnsi="Verdana" w:cs="Verdana"/>
          <w:spacing w:val="-3"/>
          <w:sz w:val="20"/>
          <w:szCs w:val="20"/>
          <w:lang w:val="es-ES"/>
        </w:rPr>
        <w:t xml:space="preserve"> </w:t>
      </w:r>
      <w:r w:rsidRPr="00C661E5">
        <w:rPr>
          <w:rFonts w:ascii="Verdana" w:eastAsia="Verdana" w:hAnsi="Verdana" w:cs="Verdana"/>
          <w:sz w:val="20"/>
          <w:szCs w:val="20"/>
          <w:lang w:val="es-ES"/>
        </w:rPr>
        <w:t>solicitar</w:t>
      </w:r>
      <w:r w:rsidRPr="00C661E5">
        <w:rPr>
          <w:rFonts w:ascii="Verdana" w:eastAsia="Verdana" w:hAnsi="Verdana" w:cs="Verdana"/>
          <w:spacing w:val="-2"/>
          <w:sz w:val="20"/>
          <w:szCs w:val="20"/>
          <w:lang w:val="es-ES"/>
        </w:rPr>
        <w:t xml:space="preserve"> </w:t>
      </w:r>
      <w:r w:rsidRPr="00C661E5">
        <w:rPr>
          <w:rFonts w:ascii="Verdana" w:eastAsia="Verdana" w:hAnsi="Verdana" w:cs="Verdana"/>
          <w:sz w:val="20"/>
          <w:szCs w:val="20"/>
          <w:lang w:val="es-ES"/>
        </w:rPr>
        <w:t>y</w:t>
      </w:r>
      <w:r w:rsidRPr="00C661E5">
        <w:rPr>
          <w:rFonts w:ascii="Verdana" w:eastAsia="Verdana" w:hAnsi="Verdana" w:cs="Verdana"/>
          <w:spacing w:val="-5"/>
          <w:sz w:val="20"/>
          <w:szCs w:val="20"/>
          <w:lang w:val="es-ES"/>
        </w:rPr>
        <w:t xml:space="preserve"> </w:t>
      </w:r>
      <w:r w:rsidRPr="00C661E5">
        <w:rPr>
          <w:rFonts w:ascii="Verdana" w:eastAsia="Verdana" w:hAnsi="Verdana" w:cs="Verdana"/>
          <w:sz w:val="20"/>
          <w:szCs w:val="20"/>
          <w:lang w:val="es-ES"/>
        </w:rPr>
        <w:t>participar</w:t>
      </w:r>
      <w:r w:rsidRPr="00C661E5">
        <w:rPr>
          <w:rFonts w:ascii="Verdana" w:eastAsia="Verdana" w:hAnsi="Verdana" w:cs="Verdana"/>
          <w:spacing w:val="-2"/>
          <w:sz w:val="20"/>
          <w:szCs w:val="20"/>
          <w:lang w:val="es-ES"/>
        </w:rPr>
        <w:t xml:space="preserve"> </w:t>
      </w:r>
      <w:r w:rsidRPr="00C661E5">
        <w:rPr>
          <w:rFonts w:ascii="Verdana" w:eastAsia="Verdana" w:hAnsi="Verdana" w:cs="Verdana"/>
          <w:sz w:val="20"/>
          <w:szCs w:val="20"/>
          <w:lang w:val="es-ES"/>
        </w:rPr>
        <w:t xml:space="preserve">en las convocatorias limitadas en las mismas condiciones dispuestas en el </w:t>
      </w:r>
      <w:r w:rsidRPr="00C661E5">
        <w:rPr>
          <w:rFonts w:ascii="Verdana" w:eastAsia="Verdana" w:hAnsi="Verdana" w:cs="Verdana"/>
          <w:sz w:val="20"/>
          <w:szCs w:val="20"/>
          <w:lang w:val="es-ES"/>
        </w:rPr>
        <w:lastRenderedPageBreak/>
        <w:t>presente artículo”.</w:t>
      </w:r>
    </w:p>
    <w:p w14:paraId="45488843" w14:textId="77777777" w:rsidR="00C661E5" w:rsidRPr="00C661E5" w:rsidRDefault="00C661E5" w:rsidP="00C661E5">
      <w:pPr>
        <w:spacing w:after="0" w:line="276" w:lineRule="auto"/>
        <w:ind w:firstLine="708"/>
        <w:jc w:val="both"/>
        <w:rPr>
          <w:rFonts w:ascii="Verdana" w:hAnsi="Verdana"/>
          <w:lang w:val="es-ES"/>
        </w:rPr>
      </w:pPr>
    </w:p>
    <w:p w14:paraId="0AA05D31" w14:textId="77777777" w:rsidR="00C661E5" w:rsidRPr="00C661E5" w:rsidRDefault="00C661E5" w:rsidP="00C661E5">
      <w:pPr>
        <w:spacing w:after="120" w:line="276" w:lineRule="auto"/>
        <w:ind w:firstLine="708"/>
        <w:jc w:val="both"/>
        <w:rPr>
          <w:rFonts w:ascii="Verdana" w:hAnsi="Verdana"/>
          <w:lang w:val="es-ES"/>
        </w:rPr>
      </w:pPr>
      <w:r w:rsidRPr="00C661E5">
        <w:rPr>
          <w:rFonts w:ascii="Verdana" w:hAnsi="Verdana"/>
          <w:lang w:val="es-ES"/>
        </w:rPr>
        <w:t xml:space="preserve">Según se evidencia, el numeral primero del </w:t>
      </w:r>
      <w:r w:rsidRPr="00C661E5">
        <w:rPr>
          <w:rFonts w:ascii="Verdana" w:hAnsi="Verdana"/>
          <w:lang w:val="es-ES_tradnl"/>
        </w:rPr>
        <w:t xml:space="preserve">artículo 2.2.1.2.4.2.2 del Decreto 1082 de 2015 </w:t>
      </w:r>
      <w:r w:rsidRPr="00C661E5">
        <w:rPr>
          <w:rFonts w:ascii="Verdana" w:hAnsi="Verdana"/>
          <w:lang w:val="es-ES"/>
        </w:rPr>
        <w:t xml:space="preserve">limita cuantitativamente los procesos contractuales para las convocatorias limitadas a </w:t>
      </w:r>
      <w:proofErr w:type="spellStart"/>
      <w:r w:rsidRPr="00C661E5">
        <w:rPr>
          <w:rFonts w:ascii="Verdana" w:hAnsi="Verdana"/>
          <w:lang w:val="es-ES"/>
        </w:rPr>
        <w:t>Mipyme</w:t>
      </w:r>
      <w:proofErr w:type="spellEnd"/>
      <w:r w:rsidRPr="00C661E5">
        <w:rPr>
          <w:rFonts w:ascii="Verdana" w:hAnsi="Verdana"/>
          <w:lang w:val="es-ES"/>
        </w:rPr>
        <w:t xml:space="preserve">, puesto que el valor del proceso de contratación debe ser “menor a ciento veinticinco mil dólares de los Estados Unidos de América”. Esto de acuerdo con la tasa que determine cada dos (2) años el Ministerio de Comercio, Industria y Turismo. El numeral segundo establece, por un lado, que al menos dos (2) </w:t>
      </w:r>
      <w:proofErr w:type="spellStart"/>
      <w:r w:rsidRPr="00C661E5">
        <w:rPr>
          <w:rFonts w:ascii="Verdana" w:hAnsi="Verdana"/>
          <w:lang w:val="es-ES"/>
        </w:rPr>
        <w:t>Mipymes</w:t>
      </w:r>
      <w:proofErr w:type="spellEnd"/>
      <w:r w:rsidRPr="00C661E5">
        <w:rPr>
          <w:rFonts w:ascii="Verdana" w:hAnsi="Verdana"/>
          <w:lang w:val="es-ES"/>
        </w:rPr>
        <w:t xml:space="preserve"> colombianas presenten a la entidad la solicitud de limitar el proceso contractual y, por el otro, que hagan la solicitud por lo menos un día (1) hábil antes de la expedición del acto administrativo de apertura o el que haga sus veces de acuerdo con la normativa aplicable a cada Proceso de Contratación. </w:t>
      </w:r>
    </w:p>
    <w:p w14:paraId="4523D507" w14:textId="77777777" w:rsidR="00C661E5" w:rsidRPr="00C661E5" w:rsidRDefault="00C661E5" w:rsidP="00C661E5">
      <w:pPr>
        <w:spacing w:after="120" w:line="276" w:lineRule="auto"/>
        <w:ind w:firstLine="708"/>
        <w:jc w:val="both"/>
        <w:rPr>
          <w:rFonts w:ascii="Verdana" w:hAnsi="Verdana"/>
        </w:rPr>
      </w:pPr>
      <w:r w:rsidRPr="00C661E5">
        <w:rPr>
          <w:rFonts w:ascii="Verdana" w:hAnsi="Verdana"/>
        </w:rPr>
        <w:t xml:space="preserve">Además, la norma señala que, </w:t>
      </w:r>
      <w:r w:rsidRPr="00C661E5">
        <w:rPr>
          <w:rFonts w:ascii="Verdana" w:hAnsi="Verdana"/>
          <w:lang w:val="es-ES_tradnl"/>
        </w:rPr>
        <w:t xml:space="preserve">tratándose de personas jurídicas, las solicitudes solo las podrán realizar </w:t>
      </w:r>
      <w:proofErr w:type="spellStart"/>
      <w:r w:rsidRPr="00C661E5">
        <w:rPr>
          <w:rFonts w:ascii="Verdana" w:hAnsi="Verdana"/>
          <w:lang w:val="es-ES_tradnl"/>
        </w:rPr>
        <w:t>Mipyme</w:t>
      </w:r>
      <w:proofErr w:type="spellEnd"/>
      <w:r w:rsidRPr="00C661E5">
        <w:rPr>
          <w:rFonts w:ascii="Verdana" w:hAnsi="Verdana"/>
          <w:lang w:val="es-ES_tradnl"/>
        </w:rPr>
        <w:t xml:space="preserve">, cuyo objeto social les permita ejecutar el contrato relacionado con el proceso contractual. Asimismo, este artículo incluye a las cooperativas y demás entidades de economía solidaria dentro de los sujetos que pueden solicitar y participar en las convocatorias limitadas a </w:t>
      </w:r>
      <w:proofErr w:type="spellStart"/>
      <w:r w:rsidRPr="00C661E5">
        <w:rPr>
          <w:rFonts w:ascii="Verdana" w:hAnsi="Verdana"/>
          <w:lang w:val="es-ES_tradnl"/>
        </w:rPr>
        <w:t>Mipyme</w:t>
      </w:r>
      <w:proofErr w:type="spellEnd"/>
      <w:r w:rsidRPr="00C661E5">
        <w:rPr>
          <w:rFonts w:ascii="Verdana" w:hAnsi="Verdana"/>
          <w:lang w:val="es-ES_tradnl"/>
        </w:rPr>
        <w:t xml:space="preserve">, siempre que estas cumplan con las condiciones señaladas en el artículo. </w:t>
      </w:r>
    </w:p>
    <w:p w14:paraId="0AB0382D" w14:textId="77777777" w:rsidR="00C661E5" w:rsidRPr="00C661E5" w:rsidRDefault="00C661E5" w:rsidP="00C661E5">
      <w:pPr>
        <w:spacing w:after="120" w:line="276" w:lineRule="auto"/>
        <w:ind w:firstLine="709"/>
        <w:jc w:val="both"/>
        <w:rPr>
          <w:rFonts w:ascii="Verdana" w:hAnsi="Verdana"/>
          <w:lang w:val="es-ES"/>
        </w:rPr>
      </w:pPr>
      <w:r w:rsidRPr="00C661E5">
        <w:rPr>
          <w:rFonts w:ascii="Verdana" w:hAnsi="Verdana"/>
          <w:lang w:val="es-ES_tradnl"/>
        </w:rPr>
        <w:t>De esta manera, en todos los procesos de contratación, independientemente de la modalidad de selección, las entidades estatales, cualquiera que sea su régimen de contratación,</w:t>
      </w:r>
      <w:r w:rsidRPr="00C661E5">
        <w:rPr>
          <w:rFonts w:ascii="Verdana" w:hAnsi="Verdana"/>
        </w:rPr>
        <w:t xml:space="preserve"> los patrimonios autónomos constituidos por entidades estatales y los particulares que ejecuten recursos públicos, deberán limitar las convocatorias con pluralidad de oferentes a </w:t>
      </w:r>
      <w:proofErr w:type="spellStart"/>
      <w:r w:rsidRPr="00C661E5">
        <w:rPr>
          <w:rFonts w:ascii="Verdana" w:hAnsi="Verdana"/>
        </w:rPr>
        <w:t>Mipymes</w:t>
      </w:r>
      <w:proofErr w:type="spellEnd"/>
      <w:r w:rsidRPr="00C661E5">
        <w:rPr>
          <w:rFonts w:ascii="Verdana" w:hAnsi="Verdana"/>
        </w:rPr>
        <w:t xml:space="preserve"> colombianas, una vez concurran todos los requisitos señalados anteriormente y siempre que cuenten con mínimo un (1) año de existencia</w:t>
      </w:r>
    </w:p>
    <w:p w14:paraId="2567C687" w14:textId="77777777" w:rsidR="00C661E5" w:rsidRPr="00C661E5" w:rsidRDefault="00C661E5" w:rsidP="00C661E5">
      <w:pPr>
        <w:spacing w:before="120" w:after="0" w:line="276" w:lineRule="auto"/>
        <w:ind w:firstLine="709"/>
        <w:jc w:val="both"/>
        <w:rPr>
          <w:rFonts w:ascii="Verdana" w:eastAsia="Calibri" w:hAnsi="Verdana" w:cs="Arial"/>
          <w:lang w:eastAsia="es-ES_tradnl"/>
        </w:rPr>
      </w:pPr>
      <w:r w:rsidRPr="00C661E5">
        <w:rPr>
          <w:rFonts w:ascii="Verdana" w:eastAsia="Calibri" w:hAnsi="Verdana" w:cs="Arial"/>
          <w:lang w:val="es-ES_tradnl" w:eastAsia="es-ES_tradnl"/>
        </w:rPr>
        <w:t xml:space="preserve">De otro lado, en relación con la </w:t>
      </w:r>
      <w:r w:rsidRPr="00C661E5">
        <w:rPr>
          <w:rFonts w:ascii="Verdana" w:hAnsi="Verdana" w:cs="Arial"/>
          <w:bCs/>
          <w:lang w:eastAsia="es-ES"/>
        </w:rPr>
        <w:t>acreditación de requisitos para participar en convocatorias limitadas,</w:t>
      </w:r>
      <w:r w:rsidRPr="00C661E5">
        <w:rPr>
          <w:rFonts w:ascii="Verdana" w:eastAsia="Calibri" w:hAnsi="Verdana" w:cs="Arial"/>
          <w:lang w:val="es-ES_tradnl" w:eastAsia="es-ES_tradnl"/>
        </w:rPr>
        <w:t xml:space="preserve"> el artículo </w:t>
      </w:r>
      <w:r w:rsidRPr="00C661E5">
        <w:rPr>
          <w:rFonts w:ascii="Verdana" w:hAnsi="Verdana" w:cs="Arial"/>
          <w:bCs/>
          <w:lang w:eastAsia="es-ES"/>
        </w:rPr>
        <w:t xml:space="preserve">2.2.1.2.4.2.4. del Decreto 1082 de 2015 –modificado por el Decreto 1860 de 2021–, </w:t>
      </w:r>
      <w:r w:rsidRPr="00C661E5">
        <w:rPr>
          <w:rFonts w:ascii="Verdana" w:eastAsia="Calibri" w:hAnsi="Verdana" w:cs="Arial"/>
          <w:bCs/>
          <w:lang w:eastAsia="es-ES_tradnl"/>
        </w:rPr>
        <w:t>establece lo siguiente:</w:t>
      </w:r>
    </w:p>
    <w:p w14:paraId="1937FB04" w14:textId="77777777" w:rsidR="00C661E5" w:rsidRPr="00C661E5" w:rsidRDefault="00C661E5" w:rsidP="00C661E5">
      <w:pPr>
        <w:spacing w:after="0" w:line="276" w:lineRule="auto"/>
        <w:ind w:firstLine="709"/>
        <w:jc w:val="both"/>
        <w:rPr>
          <w:rFonts w:ascii="Verdana" w:eastAsia="Calibri" w:hAnsi="Verdana" w:cs="Arial"/>
          <w:lang w:val="es-ES_tradnl" w:eastAsia="es-ES_tradnl"/>
        </w:rPr>
      </w:pPr>
    </w:p>
    <w:p w14:paraId="13A5975B" w14:textId="77777777" w:rsidR="00C661E5" w:rsidRPr="00C661E5" w:rsidRDefault="00C661E5" w:rsidP="00C661E5">
      <w:pPr>
        <w:spacing w:after="0"/>
        <w:ind w:left="709" w:right="709"/>
        <w:contextualSpacing/>
        <w:jc w:val="both"/>
        <w:rPr>
          <w:rFonts w:ascii="Verdana" w:eastAsia="Calibri" w:hAnsi="Verdana" w:cs="Arial"/>
          <w:sz w:val="20"/>
          <w:szCs w:val="20"/>
          <w:lang w:val="es-ES" w:eastAsia="es-ES"/>
        </w:rPr>
      </w:pPr>
      <w:r w:rsidRPr="00C661E5">
        <w:rPr>
          <w:rFonts w:ascii="Verdana" w:eastAsia="Calibri" w:hAnsi="Verdana" w:cs="Arial"/>
          <w:sz w:val="20"/>
          <w:szCs w:val="20"/>
          <w:lang w:val="es-ES" w:eastAsia="es-ES"/>
        </w:rPr>
        <w:t xml:space="preserve">Artículo 2.2.1.2.4.2.4. Acreditación de requisitos para participar en convocatorias limitadas. La </w:t>
      </w:r>
      <w:proofErr w:type="spellStart"/>
      <w:r w:rsidRPr="00C661E5">
        <w:rPr>
          <w:rFonts w:ascii="Verdana" w:eastAsia="Calibri" w:hAnsi="Verdana" w:cs="Arial"/>
          <w:sz w:val="20"/>
          <w:szCs w:val="20"/>
          <w:lang w:val="es-ES" w:eastAsia="es-ES"/>
        </w:rPr>
        <w:t>Mipyme</w:t>
      </w:r>
      <w:proofErr w:type="spellEnd"/>
      <w:r w:rsidRPr="00C661E5">
        <w:rPr>
          <w:rFonts w:ascii="Verdana" w:eastAsia="Calibri" w:hAnsi="Verdana" w:cs="Arial"/>
          <w:sz w:val="20"/>
          <w:szCs w:val="20"/>
          <w:lang w:val="es-ES" w:eastAsia="es-ES"/>
        </w:rPr>
        <w:t xml:space="preserve"> colombianas deben acreditar que tiene el tamaño empresarial establecido por la ley de la siguiente manera: </w:t>
      </w:r>
    </w:p>
    <w:p w14:paraId="52AC3BCC" w14:textId="77777777" w:rsidR="00C661E5" w:rsidRPr="00C661E5" w:rsidRDefault="00C661E5" w:rsidP="00C661E5">
      <w:pPr>
        <w:spacing w:after="0"/>
        <w:ind w:left="709" w:right="709"/>
        <w:contextualSpacing/>
        <w:jc w:val="both"/>
        <w:rPr>
          <w:rFonts w:ascii="Verdana" w:eastAsia="Calibri" w:hAnsi="Verdana" w:cs="Arial"/>
          <w:sz w:val="20"/>
          <w:szCs w:val="20"/>
          <w:lang w:val="es-ES_tradnl" w:eastAsia="es-ES_tradnl"/>
        </w:rPr>
      </w:pPr>
    </w:p>
    <w:p w14:paraId="347EF4BA" w14:textId="77777777" w:rsidR="00C661E5" w:rsidRPr="00C661E5" w:rsidRDefault="00C661E5" w:rsidP="00C661E5">
      <w:pPr>
        <w:spacing w:after="0"/>
        <w:ind w:left="709" w:right="709"/>
        <w:contextualSpacing/>
        <w:jc w:val="both"/>
        <w:rPr>
          <w:rFonts w:ascii="Verdana" w:eastAsia="Calibri" w:hAnsi="Verdana" w:cs="Arial"/>
          <w:sz w:val="20"/>
          <w:szCs w:val="20"/>
          <w:lang w:val="es-ES_tradnl" w:eastAsia="es-ES_tradnl"/>
        </w:rPr>
      </w:pPr>
      <w:r w:rsidRPr="00C661E5">
        <w:rPr>
          <w:rFonts w:ascii="Verdana" w:eastAsia="Calibri" w:hAnsi="Verdana" w:cs="Arial"/>
          <w:sz w:val="20"/>
          <w:szCs w:val="20"/>
          <w:lang w:val="es-ES_tradnl" w:eastAsia="es-ES_tradnl"/>
        </w:rPr>
        <w:lastRenderedPageBreak/>
        <w:t xml:space="preserve">1. Las personas naturales mediante certificación expedida por ellos y un contador público, adjuntando copia del registro mercantil. </w:t>
      </w:r>
    </w:p>
    <w:p w14:paraId="057F4177" w14:textId="77777777" w:rsidR="00C661E5" w:rsidRPr="00C661E5" w:rsidRDefault="00C661E5" w:rsidP="00C661E5">
      <w:pPr>
        <w:spacing w:after="0"/>
        <w:ind w:left="709" w:right="709"/>
        <w:contextualSpacing/>
        <w:jc w:val="both"/>
        <w:rPr>
          <w:rFonts w:ascii="Verdana" w:eastAsia="Calibri" w:hAnsi="Verdana" w:cs="Arial"/>
          <w:sz w:val="20"/>
          <w:szCs w:val="20"/>
          <w:lang w:val="es-ES_tradnl" w:eastAsia="es-ES_tradnl"/>
        </w:rPr>
      </w:pPr>
    </w:p>
    <w:p w14:paraId="7DFF270D" w14:textId="77777777" w:rsidR="00C661E5" w:rsidRPr="00C661E5" w:rsidRDefault="00C661E5" w:rsidP="00C661E5">
      <w:pPr>
        <w:spacing w:after="0"/>
        <w:ind w:left="709" w:right="709"/>
        <w:contextualSpacing/>
        <w:jc w:val="both"/>
        <w:rPr>
          <w:rFonts w:ascii="Verdana" w:eastAsia="Calibri" w:hAnsi="Verdana" w:cs="Arial"/>
          <w:sz w:val="20"/>
          <w:szCs w:val="20"/>
          <w:lang w:val="es-ES_tradnl" w:eastAsia="es-ES_tradnl"/>
        </w:rPr>
      </w:pPr>
      <w:r w:rsidRPr="00C661E5">
        <w:rPr>
          <w:rFonts w:ascii="Verdana" w:eastAsia="Calibri" w:hAnsi="Verdana" w:cs="Arial"/>
          <w:sz w:val="20"/>
          <w:szCs w:val="20"/>
          <w:lang w:val="es-ES_tradnl" w:eastAsia="es-ES_tradnl"/>
        </w:rPr>
        <w:t>2. Las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 Para la acreditación deberán observarse los rangos de clasificación empresarial establecidos de conformidad con la Ley 590 de 2000 y el Decreto 1074 de 2015, o las normas que lo modifiquen, sustituyan o complementen.</w:t>
      </w:r>
    </w:p>
    <w:p w14:paraId="408A2019" w14:textId="77777777" w:rsidR="00C661E5" w:rsidRPr="00C661E5" w:rsidRDefault="00C661E5" w:rsidP="00C661E5">
      <w:pPr>
        <w:tabs>
          <w:tab w:val="left" w:pos="6660"/>
        </w:tabs>
        <w:spacing w:after="0"/>
        <w:ind w:left="709" w:right="709"/>
        <w:contextualSpacing/>
        <w:jc w:val="both"/>
        <w:rPr>
          <w:rFonts w:ascii="Verdana" w:eastAsia="Calibri" w:hAnsi="Verdana" w:cs="Arial"/>
          <w:b/>
          <w:bCs/>
          <w:lang w:val="es-ES_tradnl" w:eastAsia="es-ES_tradnl"/>
        </w:rPr>
      </w:pPr>
      <w:r w:rsidRPr="00C661E5">
        <w:rPr>
          <w:rFonts w:ascii="Verdana" w:eastAsia="Calibri" w:hAnsi="Verdana" w:cs="Arial"/>
          <w:b/>
          <w:bCs/>
          <w:lang w:val="es-ES_tradnl" w:eastAsia="es-ES_tradnl"/>
        </w:rPr>
        <w:tab/>
      </w:r>
    </w:p>
    <w:p w14:paraId="0DFE3B06" w14:textId="77777777" w:rsidR="00C661E5" w:rsidRPr="00C661E5" w:rsidRDefault="00C661E5" w:rsidP="00C661E5">
      <w:pPr>
        <w:spacing w:after="0"/>
        <w:ind w:left="709" w:right="709"/>
        <w:contextualSpacing/>
        <w:jc w:val="both"/>
        <w:rPr>
          <w:rFonts w:ascii="Verdana" w:eastAsia="Calibri" w:hAnsi="Verdana" w:cs="Arial"/>
          <w:sz w:val="20"/>
          <w:szCs w:val="20"/>
          <w:lang w:val="es-ES" w:eastAsia="es-ES"/>
        </w:rPr>
      </w:pPr>
      <w:r w:rsidRPr="00C661E5">
        <w:rPr>
          <w:rFonts w:ascii="Verdana" w:eastAsia="Calibri" w:hAnsi="Verdana" w:cs="Arial"/>
          <w:sz w:val="20"/>
          <w:szCs w:val="20"/>
          <w:lang w:val="es-ES" w:eastAsia="es-ES"/>
        </w:rPr>
        <w:t xml:space="preserve">Parágrafo 1. En todo caso, las </w:t>
      </w:r>
      <w:proofErr w:type="spellStart"/>
      <w:r w:rsidRPr="00C661E5">
        <w:rPr>
          <w:rFonts w:ascii="Verdana" w:eastAsia="Calibri" w:hAnsi="Verdana" w:cs="Arial"/>
          <w:sz w:val="20"/>
          <w:szCs w:val="20"/>
          <w:lang w:val="es-ES" w:eastAsia="es-ES"/>
        </w:rPr>
        <w:t>Mipyme</w:t>
      </w:r>
      <w:proofErr w:type="spellEnd"/>
      <w:r w:rsidRPr="00C661E5">
        <w:rPr>
          <w:rFonts w:ascii="Verdana" w:eastAsia="Calibri" w:hAnsi="Verdana" w:cs="Arial"/>
          <w:sz w:val="20"/>
          <w:szCs w:val="20"/>
          <w:lang w:val="es-ES" w:eastAsia="es-ES"/>
        </w:rPr>
        <w:t xml:space="preserve"> también podrán acreditar esta condición con la copia del certificado del Registro Único de Proponentes, el cual deberá encontrarse vigente y en firme al momento de su presentación.</w:t>
      </w:r>
    </w:p>
    <w:p w14:paraId="6D2B03C8" w14:textId="77777777" w:rsidR="00C661E5" w:rsidRPr="00C661E5" w:rsidRDefault="00C661E5" w:rsidP="00C661E5">
      <w:pPr>
        <w:spacing w:after="0"/>
        <w:ind w:left="709" w:right="709"/>
        <w:contextualSpacing/>
        <w:jc w:val="both"/>
        <w:rPr>
          <w:rFonts w:ascii="Verdana" w:eastAsia="Calibri" w:hAnsi="Verdana" w:cs="Arial"/>
          <w:sz w:val="20"/>
          <w:szCs w:val="20"/>
          <w:lang w:val="es-ES_tradnl" w:eastAsia="es-ES_tradnl"/>
        </w:rPr>
      </w:pPr>
    </w:p>
    <w:p w14:paraId="263D0F1C" w14:textId="77777777" w:rsidR="00C661E5" w:rsidRPr="00C661E5" w:rsidRDefault="00C661E5" w:rsidP="00C661E5">
      <w:pPr>
        <w:spacing w:after="0"/>
        <w:ind w:left="709" w:right="709"/>
        <w:contextualSpacing/>
        <w:jc w:val="both"/>
        <w:rPr>
          <w:rFonts w:ascii="Verdana" w:eastAsia="Calibri" w:hAnsi="Verdana" w:cs="Arial"/>
          <w:sz w:val="20"/>
          <w:szCs w:val="20"/>
          <w:lang w:val="es-ES" w:eastAsia="es-ES"/>
        </w:rPr>
      </w:pPr>
      <w:r w:rsidRPr="00C661E5">
        <w:rPr>
          <w:rFonts w:ascii="Verdana" w:eastAsia="Calibri" w:hAnsi="Verdana" w:cs="Arial"/>
          <w:sz w:val="20"/>
          <w:szCs w:val="20"/>
          <w:lang w:val="es-ES" w:eastAsia="es-ES"/>
        </w:rPr>
        <w:t xml:space="preserve">Parágrafo 2. Para efectos de la limitación a </w:t>
      </w:r>
      <w:proofErr w:type="spellStart"/>
      <w:r w:rsidRPr="00C661E5">
        <w:rPr>
          <w:rFonts w:ascii="Verdana" w:eastAsia="Calibri" w:hAnsi="Verdana" w:cs="Arial"/>
          <w:sz w:val="20"/>
          <w:szCs w:val="20"/>
          <w:lang w:val="es-ES" w:eastAsia="es-ES"/>
        </w:rPr>
        <w:t>Mipyme</w:t>
      </w:r>
      <w:proofErr w:type="spellEnd"/>
      <w:r w:rsidRPr="00C661E5">
        <w:rPr>
          <w:rFonts w:ascii="Verdana" w:eastAsia="Calibri" w:hAnsi="Verdana" w:cs="Arial"/>
          <w:sz w:val="20"/>
          <w:szCs w:val="20"/>
          <w:lang w:val="es-ES" w:eastAsia="es-ES"/>
        </w:rPr>
        <w:t xml:space="preserve">,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 </w:t>
      </w:r>
    </w:p>
    <w:p w14:paraId="0F797DF7" w14:textId="77777777" w:rsidR="00C661E5" w:rsidRPr="00C661E5" w:rsidRDefault="00C661E5" w:rsidP="00C661E5">
      <w:pPr>
        <w:spacing w:after="0"/>
        <w:ind w:left="709" w:right="709"/>
        <w:contextualSpacing/>
        <w:jc w:val="both"/>
        <w:rPr>
          <w:rFonts w:ascii="Verdana" w:eastAsia="Calibri" w:hAnsi="Verdana" w:cs="Arial"/>
          <w:sz w:val="20"/>
          <w:szCs w:val="20"/>
          <w:lang w:val="es-ES_tradnl" w:eastAsia="es-ES_tradnl"/>
        </w:rPr>
      </w:pPr>
    </w:p>
    <w:p w14:paraId="42E22993" w14:textId="77777777" w:rsidR="00C661E5" w:rsidRPr="00C661E5" w:rsidRDefault="00C661E5" w:rsidP="00C661E5">
      <w:pPr>
        <w:spacing w:after="0"/>
        <w:ind w:left="709" w:right="709"/>
        <w:contextualSpacing/>
        <w:jc w:val="both"/>
        <w:rPr>
          <w:rFonts w:ascii="Verdana" w:eastAsia="Calibri" w:hAnsi="Verdana" w:cs="Arial"/>
          <w:sz w:val="20"/>
          <w:szCs w:val="20"/>
          <w:lang w:val="es-ES" w:eastAsia="es-ES"/>
        </w:rPr>
      </w:pPr>
      <w:r w:rsidRPr="00C661E5">
        <w:rPr>
          <w:rFonts w:ascii="Verdana" w:eastAsia="Calibri" w:hAnsi="Verdana" w:cs="Arial"/>
          <w:sz w:val="20"/>
          <w:szCs w:val="20"/>
          <w:lang w:val="es-ES" w:eastAsia="es-ES"/>
        </w:rPr>
        <w:t xml:space="preserve">Parágrafo 3. En las convocatorias limitadas, las Entidades Estatales independientemente de su régimen de contratación, los patrimonios autónomos constituidos por Entidades Estatales y los particulares que ejecuten recursos públicos, solo deberán aceptar las ofertas de </w:t>
      </w:r>
      <w:proofErr w:type="spellStart"/>
      <w:r w:rsidRPr="00C661E5">
        <w:rPr>
          <w:rFonts w:ascii="Verdana" w:eastAsia="Calibri" w:hAnsi="Verdana" w:cs="Arial"/>
          <w:sz w:val="20"/>
          <w:szCs w:val="20"/>
          <w:lang w:val="es-ES" w:eastAsia="es-ES"/>
        </w:rPr>
        <w:t>Mipyme</w:t>
      </w:r>
      <w:proofErr w:type="spellEnd"/>
      <w:r w:rsidRPr="00C661E5">
        <w:rPr>
          <w:rFonts w:ascii="Verdana" w:eastAsia="Calibri" w:hAnsi="Verdana" w:cs="Arial"/>
          <w:sz w:val="20"/>
          <w:szCs w:val="20"/>
          <w:lang w:val="es-ES" w:eastAsia="es-ES"/>
        </w:rPr>
        <w:t xml:space="preserve"> o de proponentes plurales integrados únicamente por </w:t>
      </w:r>
      <w:proofErr w:type="spellStart"/>
      <w:r w:rsidRPr="00C661E5">
        <w:rPr>
          <w:rFonts w:ascii="Verdana" w:eastAsia="Calibri" w:hAnsi="Verdana" w:cs="Arial"/>
          <w:sz w:val="20"/>
          <w:szCs w:val="20"/>
          <w:lang w:val="es-ES" w:eastAsia="es-ES"/>
        </w:rPr>
        <w:t>Mipyme</w:t>
      </w:r>
      <w:proofErr w:type="spellEnd"/>
      <w:r w:rsidRPr="00C661E5">
        <w:rPr>
          <w:rFonts w:ascii="Verdana" w:eastAsia="Calibri" w:hAnsi="Verdana" w:cs="Arial"/>
          <w:sz w:val="20"/>
          <w:szCs w:val="20"/>
          <w:lang w:val="es-ES" w:eastAsia="es-ES"/>
        </w:rPr>
        <w:t>.</w:t>
      </w:r>
    </w:p>
    <w:p w14:paraId="7961B2C2" w14:textId="77777777" w:rsidR="00C661E5" w:rsidRPr="00C661E5" w:rsidRDefault="00C661E5" w:rsidP="00C661E5">
      <w:pPr>
        <w:spacing w:after="0"/>
        <w:ind w:left="709" w:right="709"/>
        <w:contextualSpacing/>
        <w:jc w:val="both"/>
        <w:rPr>
          <w:rFonts w:ascii="Verdana" w:eastAsia="Calibri" w:hAnsi="Verdana" w:cs="Arial"/>
          <w:sz w:val="20"/>
          <w:szCs w:val="20"/>
          <w:lang w:val="es-ES_tradnl" w:eastAsia="es-ES_tradnl"/>
        </w:rPr>
      </w:pPr>
    </w:p>
    <w:p w14:paraId="3413ABD2" w14:textId="77777777" w:rsidR="00C661E5" w:rsidRPr="00C661E5" w:rsidRDefault="00C661E5" w:rsidP="00C661E5">
      <w:pPr>
        <w:spacing w:after="0"/>
        <w:ind w:left="709" w:right="709"/>
        <w:contextualSpacing/>
        <w:jc w:val="both"/>
        <w:rPr>
          <w:rFonts w:ascii="Verdana" w:eastAsia="Calibri" w:hAnsi="Verdana" w:cs="Arial"/>
          <w:sz w:val="20"/>
          <w:szCs w:val="20"/>
          <w:lang w:val="es-ES_tradnl" w:eastAsia="es-ES_tradnl"/>
        </w:rPr>
      </w:pPr>
      <w:r w:rsidRPr="00C661E5">
        <w:rPr>
          <w:rFonts w:ascii="Verdana" w:eastAsia="Calibri" w:hAnsi="Verdana" w:cs="Arial"/>
          <w:sz w:val="20"/>
          <w:szCs w:val="20"/>
          <w:lang w:val="es-ES_tradnl" w:eastAsia="es-ES_tradnl"/>
        </w:rPr>
        <w:t>Parágrafo 4. Los incentivos previstos en los artículos 2.2.1.2.4.2.2 y 2.2.1.2.4.2.3 de este Decreto no excluyen la aplicación de los criterios diferenciales para los emprendimientos y empresas de mujeres en el sistema de compras públicas.</w:t>
      </w:r>
    </w:p>
    <w:p w14:paraId="71B36E21" w14:textId="77777777" w:rsidR="00C661E5" w:rsidRPr="00C661E5" w:rsidRDefault="00C661E5" w:rsidP="00C661E5">
      <w:pPr>
        <w:spacing w:after="0"/>
        <w:ind w:left="709" w:right="709"/>
        <w:contextualSpacing/>
        <w:jc w:val="both"/>
        <w:rPr>
          <w:rFonts w:ascii="Verdana" w:eastAsia="Calibri" w:hAnsi="Verdana" w:cs="Arial"/>
          <w:sz w:val="20"/>
          <w:szCs w:val="20"/>
          <w:lang w:val="es-ES_tradnl" w:eastAsia="es-ES_tradnl"/>
        </w:rPr>
      </w:pPr>
    </w:p>
    <w:p w14:paraId="0B94D5D6" w14:textId="77777777" w:rsidR="00C661E5" w:rsidRPr="00C661E5" w:rsidRDefault="00C661E5" w:rsidP="00C661E5">
      <w:pPr>
        <w:spacing w:after="120" w:line="276" w:lineRule="auto"/>
        <w:ind w:firstLine="709"/>
        <w:jc w:val="both"/>
        <w:rPr>
          <w:rFonts w:ascii="Verdana" w:eastAsia="Calibri" w:hAnsi="Verdana" w:cs="Arial"/>
          <w:bCs/>
          <w:lang w:eastAsia="es-ES_tradnl"/>
        </w:rPr>
      </w:pPr>
      <w:r w:rsidRPr="00C661E5">
        <w:rPr>
          <w:rFonts w:ascii="Verdana" w:eastAsia="Calibri" w:hAnsi="Verdana" w:cs="Arial"/>
          <w:bCs/>
          <w:lang w:eastAsia="es-ES_tradnl"/>
        </w:rPr>
        <w:t xml:space="preserve">Para analizar el alcance de esta norma, resulta de especial relevancia determinar la definición y clasificación de las </w:t>
      </w:r>
      <w:proofErr w:type="spellStart"/>
      <w:r w:rsidRPr="00C661E5">
        <w:rPr>
          <w:rFonts w:ascii="Verdana" w:eastAsia="Calibri" w:hAnsi="Verdana" w:cs="Arial"/>
          <w:bCs/>
          <w:lang w:eastAsia="es-ES_tradnl"/>
        </w:rPr>
        <w:t>Mipyme</w:t>
      </w:r>
      <w:proofErr w:type="spellEnd"/>
      <w:r w:rsidRPr="00C661E5">
        <w:rPr>
          <w:rFonts w:ascii="Verdana" w:eastAsia="Calibri" w:hAnsi="Verdana" w:cs="Arial"/>
          <w:bCs/>
          <w:lang w:eastAsia="es-ES_tradnl"/>
        </w:rPr>
        <w:t xml:space="preserve"> conforme al marco jurídico que lo regula. Así, </w:t>
      </w:r>
      <w:r w:rsidRPr="00C661E5">
        <w:rPr>
          <w:rFonts w:ascii="Verdana" w:eastAsia="Calibri" w:hAnsi="Verdana" w:cs="Arial"/>
          <w:bCs/>
          <w:lang w:val="es-ES_tradnl" w:eastAsia="es-ES_tradnl"/>
        </w:rPr>
        <w:t xml:space="preserve">de conformidad con </w:t>
      </w:r>
      <w:r w:rsidRPr="00C661E5">
        <w:rPr>
          <w:rFonts w:ascii="Verdana" w:eastAsia="Calibri" w:hAnsi="Verdana" w:cs="Arial"/>
          <w:bCs/>
          <w:lang w:eastAsia="es-ES_tradnl"/>
        </w:rPr>
        <w:t xml:space="preserve">el artículo 2 de La Ley 905 de 2004, modificado por el artículo 43 de la Ley 1450 de 2011, se entiende por empresa “toda unidad de explotación económica, realizada por persona natural o jurídica </w:t>
      </w:r>
      <w:r w:rsidRPr="00C661E5">
        <w:rPr>
          <w:rFonts w:ascii="Verdana" w:eastAsia="Calibri" w:hAnsi="Verdana" w:cs="Arial"/>
          <w:bCs/>
          <w:lang w:eastAsia="es-ES_tradnl"/>
        </w:rPr>
        <w:lastRenderedPageBreak/>
        <w:t>en actividades agropecuarias, industriales, comerciales o de servicios, en el área rural o urbana”. Para la clasificación por tamaño empresarial, como micro, pequeña, mediana y gran empresa, la norma dispone que se podrá utilizar uno de los siguientes criterios: “1. Número de trabajadores totales. 2. Valor de ventas brutas anuales. 3. Valor activos totales”. Asimismo, estableció que el gobierno nacional reglamentará los rangos que aplicará para los tres criterios e incluirá especificidades sectoriales en los casos que lo considere necesario</w:t>
      </w:r>
      <w:r w:rsidRPr="00C661E5">
        <w:rPr>
          <w:rFonts w:ascii="Verdana" w:eastAsia="Calibri" w:hAnsi="Verdana" w:cs="Arial"/>
          <w:bCs/>
          <w:vertAlign w:val="superscript"/>
          <w:lang w:eastAsia="es-ES_tradnl"/>
        </w:rPr>
        <w:footnoteReference w:id="2"/>
      </w:r>
      <w:r w:rsidRPr="00C661E5">
        <w:rPr>
          <w:rFonts w:ascii="Verdana" w:eastAsia="Calibri" w:hAnsi="Verdana" w:cs="Arial"/>
          <w:bCs/>
          <w:lang w:eastAsia="es-ES_tradnl"/>
        </w:rPr>
        <w:t>.</w:t>
      </w:r>
    </w:p>
    <w:p w14:paraId="67DC314E" w14:textId="77777777" w:rsidR="00C661E5" w:rsidRPr="00C661E5" w:rsidRDefault="00C661E5" w:rsidP="00C661E5">
      <w:pPr>
        <w:spacing w:after="120" w:line="276" w:lineRule="auto"/>
        <w:ind w:firstLine="709"/>
        <w:jc w:val="both"/>
        <w:rPr>
          <w:rFonts w:ascii="Verdana" w:eastAsia="Arial" w:hAnsi="Verdana" w:cs="Arial"/>
          <w:lang w:eastAsia="es-ES_tradnl"/>
        </w:rPr>
      </w:pPr>
      <w:r w:rsidRPr="00C661E5">
        <w:rPr>
          <w:rFonts w:ascii="Verdana" w:eastAsia="Calibri" w:hAnsi="Verdana" w:cs="Arial"/>
          <w:bCs/>
          <w:lang w:eastAsia="es-ES_tradnl"/>
        </w:rPr>
        <w:t xml:space="preserve">Para tales efectos, el </w:t>
      </w:r>
      <w:r w:rsidRPr="00C661E5">
        <w:rPr>
          <w:rFonts w:ascii="Verdana" w:eastAsia="Arial" w:hAnsi="Verdana" w:cs="Arial"/>
          <w:lang w:eastAsia="es-ES_tradnl"/>
        </w:rPr>
        <w:t>Decreto 957 de 2019, que adicionó al Decreto 1074 de 2015, reglamentó la clasificación de las micro, pequeñas, medianas y grandes empresas, teniendo en cuenta para ello como criterio exclusivo el de ventas brutas, asimilado al de ingresos por actividades ordinarias anuales</w:t>
      </w:r>
      <w:r w:rsidRPr="00C661E5">
        <w:rPr>
          <w:rFonts w:ascii="Verdana" w:eastAsia="Arial" w:hAnsi="Verdana" w:cs="Arial"/>
          <w:vertAlign w:val="superscript"/>
          <w:lang w:eastAsia="es-ES_tradnl"/>
        </w:rPr>
        <w:footnoteReference w:id="3"/>
      </w:r>
      <w:r w:rsidRPr="00C661E5">
        <w:rPr>
          <w:rFonts w:ascii="Verdana" w:eastAsia="Arial" w:hAnsi="Verdana" w:cs="Arial"/>
          <w:lang w:eastAsia="es-ES_tradnl"/>
        </w:rPr>
        <w:t>. En tal sentido, el artículo 2.2.1.13.2.2 de este decreto definió rangos para determinar el valor de los ingresos por actividades ordinarias anuales de acuerdo con el sector económico que se trate</w:t>
      </w:r>
      <w:r w:rsidRPr="00C661E5">
        <w:rPr>
          <w:rFonts w:ascii="Verdana" w:eastAsia="Arial" w:hAnsi="Verdana" w:cs="Arial"/>
          <w:vertAlign w:val="superscript"/>
          <w:lang w:eastAsia="es-ES_tradnl"/>
        </w:rPr>
        <w:footnoteReference w:id="4"/>
      </w:r>
      <w:r w:rsidRPr="00C661E5">
        <w:rPr>
          <w:rFonts w:ascii="Verdana" w:eastAsia="Arial" w:hAnsi="Verdana" w:cs="Arial"/>
          <w:lang w:eastAsia="es-ES_tradnl"/>
        </w:rPr>
        <w:t xml:space="preserve">. </w:t>
      </w:r>
    </w:p>
    <w:p w14:paraId="055C70E1" w14:textId="77777777" w:rsidR="00C661E5" w:rsidRPr="00C661E5" w:rsidRDefault="00C661E5" w:rsidP="00C661E5">
      <w:pPr>
        <w:spacing w:after="120" w:line="276" w:lineRule="auto"/>
        <w:ind w:firstLine="709"/>
        <w:jc w:val="both"/>
        <w:rPr>
          <w:rFonts w:ascii="Verdana" w:eastAsia="Calibri" w:hAnsi="Verdana" w:cs="Arial"/>
          <w:bCs/>
          <w:lang w:eastAsia="es-ES_tradnl"/>
        </w:rPr>
      </w:pPr>
      <w:r w:rsidRPr="00C661E5">
        <w:rPr>
          <w:rFonts w:ascii="Verdana" w:eastAsia="Arial" w:hAnsi="Verdana" w:cs="Arial"/>
          <w:lang w:eastAsia="es-ES_tradnl"/>
        </w:rPr>
        <w:lastRenderedPageBreak/>
        <w:t xml:space="preserve">Para la aplicación de los incentivos en el sistema de compras públicas, el parágrafo del artículo </w:t>
      </w:r>
      <w:bookmarkStart w:id="6" w:name="2.2.1.13.2.4"/>
      <w:r w:rsidRPr="00C661E5">
        <w:rPr>
          <w:rFonts w:ascii="Verdana" w:eastAsia="Arial" w:hAnsi="Verdana" w:cs="Arial"/>
          <w:lang w:eastAsia="es-ES_tradnl"/>
        </w:rPr>
        <w:t>2.2.1.13.2.4.</w:t>
      </w:r>
      <w:bookmarkEnd w:id="6"/>
      <w:r w:rsidRPr="00C661E5">
        <w:rPr>
          <w:rFonts w:ascii="Verdana" w:eastAsia="Arial" w:hAnsi="Verdana" w:cs="Arial"/>
          <w:lang w:eastAsia="es-ES_tradnl"/>
        </w:rPr>
        <w:t xml:space="preserve"> </w:t>
      </w:r>
      <w:r w:rsidRPr="00C661E5">
        <w:rPr>
          <w:rFonts w:ascii="Verdana" w:eastAsia="Arial" w:hAnsi="Verdana" w:cs="Arial"/>
          <w:i/>
          <w:iCs/>
          <w:lang w:eastAsia="es-ES_tradnl"/>
        </w:rPr>
        <w:t xml:space="preserve">ibidem </w:t>
      </w:r>
      <w:r w:rsidRPr="00C661E5">
        <w:rPr>
          <w:rFonts w:ascii="Verdana" w:eastAsia="Arial" w:hAnsi="Verdana" w:cs="Arial"/>
          <w:lang w:eastAsia="es-ES_tradnl"/>
        </w:rPr>
        <w:t xml:space="preserve">dispuso que la acreditación del tamaño </w:t>
      </w:r>
      <w:r w:rsidRPr="00C661E5">
        <w:rPr>
          <w:rFonts w:ascii="Verdana" w:eastAsia="Arial" w:hAnsi="Verdana" w:cs="Arial"/>
          <w:color w:val="0D0D0D" w:themeColor="text1" w:themeTint="F2"/>
          <w:lang w:eastAsia="es-ES_tradnl"/>
        </w:rPr>
        <w:t>empresarial se efectuará de acuerdo con lo previsto en el artículo </w:t>
      </w:r>
      <w:hyperlink r:id="rId13" w:anchor="2.2.1.2.4.2.4" w:history="1">
        <w:r w:rsidRPr="00C661E5">
          <w:rPr>
            <w:rFonts w:ascii="Verdana" w:eastAsia="Arial" w:hAnsi="Verdana" w:cs="Arial"/>
            <w:color w:val="0D0D0D" w:themeColor="text1" w:themeTint="F2"/>
            <w:lang w:eastAsia="es-ES_tradnl"/>
          </w:rPr>
          <w:t>2.2.1.2.4.2.4</w:t>
        </w:r>
      </w:hyperlink>
      <w:r w:rsidRPr="00C661E5">
        <w:rPr>
          <w:rFonts w:ascii="Verdana" w:eastAsia="Arial" w:hAnsi="Verdana" w:cs="Arial"/>
          <w:color w:val="0D0D0D" w:themeColor="text1" w:themeTint="F2"/>
          <w:lang w:eastAsia="es-ES_tradnl"/>
        </w:rPr>
        <w:t> del Decreto 1082 de 2015 y demás normas que lo aclaren, modifiquen o adicionen.</w:t>
      </w:r>
    </w:p>
    <w:p w14:paraId="46631EA9" w14:textId="77777777" w:rsidR="00C661E5" w:rsidRPr="00C661E5" w:rsidRDefault="00C661E5" w:rsidP="00C661E5">
      <w:pPr>
        <w:spacing w:after="120" w:line="276" w:lineRule="auto"/>
        <w:ind w:firstLine="709"/>
        <w:jc w:val="both"/>
        <w:rPr>
          <w:rFonts w:ascii="Verdana" w:eastAsia="Calibri" w:hAnsi="Verdana" w:cs="Arial"/>
          <w:bCs/>
          <w:lang w:eastAsia="es-ES_tradnl"/>
        </w:rPr>
      </w:pPr>
      <w:r w:rsidRPr="00C661E5">
        <w:rPr>
          <w:rFonts w:ascii="Verdana" w:eastAsia="Calibri" w:hAnsi="Verdana" w:cs="Arial"/>
          <w:bCs/>
          <w:lang w:eastAsia="es-ES_tradnl"/>
        </w:rPr>
        <w:t xml:space="preserve">De esta manera, las empresas, sea persona natural o persona jurídica, deberán acreditar el tamaño empresarial como micro, pequeña y mediana empresa, de acuerdo con el valor de los ingresos por actividades ordinarias, teniendo en cuenta el sector económico que se trate y de acuerdo con los rangos definidos en el Decreto 1074 de 2015. </w:t>
      </w:r>
    </w:p>
    <w:p w14:paraId="639C18B4" w14:textId="77777777" w:rsidR="00C661E5" w:rsidRPr="00C661E5" w:rsidRDefault="00C661E5" w:rsidP="00C661E5">
      <w:pPr>
        <w:spacing w:after="120" w:line="276" w:lineRule="auto"/>
        <w:ind w:firstLine="709"/>
        <w:jc w:val="both"/>
        <w:rPr>
          <w:rFonts w:ascii="Verdana" w:eastAsia="Calibri" w:hAnsi="Verdana" w:cs="Arial"/>
          <w:bCs/>
          <w:lang w:val="es-ES_tradnl" w:eastAsia="es-ES_tradnl"/>
        </w:rPr>
      </w:pPr>
      <w:r w:rsidRPr="00C661E5">
        <w:rPr>
          <w:rFonts w:ascii="Verdana" w:eastAsia="Calibri" w:hAnsi="Verdana" w:cs="Arial"/>
          <w:bCs/>
          <w:lang w:eastAsia="es-ES_tradnl"/>
        </w:rPr>
        <w:t xml:space="preserve">Ahora bien, como se indicó en líneas anteriores, </w:t>
      </w:r>
      <w:bookmarkStart w:id="7" w:name="_Hlk106012873"/>
      <w:r w:rsidRPr="00C661E5">
        <w:rPr>
          <w:rFonts w:ascii="Verdana" w:eastAsia="Calibri" w:hAnsi="Verdana" w:cs="Arial"/>
          <w:bCs/>
          <w:lang w:eastAsia="es-ES_tradnl"/>
        </w:rPr>
        <w:t xml:space="preserve">para efectos de las convocatorias limitadas a </w:t>
      </w:r>
      <w:proofErr w:type="spellStart"/>
      <w:r w:rsidRPr="00C661E5">
        <w:rPr>
          <w:rFonts w:ascii="Verdana" w:eastAsia="Calibri" w:hAnsi="Verdana" w:cs="Arial"/>
          <w:bCs/>
          <w:lang w:eastAsia="es-ES_tradnl"/>
        </w:rPr>
        <w:t>Mipyme</w:t>
      </w:r>
      <w:proofErr w:type="spellEnd"/>
      <w:r w:rsidRPr="00C661E5">
        <w:rPr>
          <w:rFonts w:ascii="Verdana" w:eastAsia="Calibri" w:hAnsi="Verdana" w:cs="Arial"/>
          <w:bCs/>
          <w:lang w:eastAsia="es-ES_tradnl"/>
        </w:rPr>
        <w:t xml:space="preserve"> colombianas del sistema de compras públicas, el </w:t>
      </w:r>
      <w:r w:rsidRPr="00C661E5">
        <w:rPr>
          <w:rFonts w:ascii="Verdana" w:eastAsia="Calibri" w:hAnsi="Verdana" w:cs="Arial"/>
          <w:bCs/>
          <w:lang w:val="es-ES_tradnl" w:eastAsia="es-ES_tradnl"/>
        </w:rPr>
        <w:t xml:space="preserve">artículo 2.2.1.2.4.2.4 del Decreto 1082 de 2015 –modificado por el Decreto 1860 de 2021– determina la forma en la que se debe acreditar el tamaño empresarial, tratándose de persona natural y persona jurídica. Es importante precisar que esta acreditación se debe realizar tanto para solicitar la limitación de la convocatoria como para participar en el proceso de selección una vez esta se haya limitado a </w:t>
      </w:r>
      <w:proofErr w:type="spellStart"/>
      <w:r w:rsidRPr="00C661E5">
        <w:rPr>
          <w:rFonts w:ascii="Verdana" w:eastAsia="Calibri" w:hAnsi="Verdana" w:cs="Arial"/>
          <w:bCs/>
          <w:lang w:val="es-ES_tradnl" w:eastAsia="es-ES_tradnl"/>
        </w:rPr>
        <w:t>Mipyme</w:t>
      </w:r>
      <w:proofErr w:type="spellEnd"/>
      <w:r w:rsidRPr="00C661E5">
        <w:rPr>
          <w:rFonts w:ascii="Verdana" w:eastAsia="Calibri" w:hAnsi="Verdana" w:cs="Arial"/>
          <w:bCs/>
          <w:lang w:val="es-ES_tradnl" w:eastAsia="es-ES_tradnl"/>
        </w:rPr>
        <w:t xml:space="preserve">. </w:t>
      </w:r>
    </w:p>
    <w:bookmarkEnd w:id="7"/>
    <w:p w14:paraId="766C8D06" w14:textId="77777777" w:rsidR="00C661E5" w:rsidRPr="00C661E5" w:rsidRDefault="00C661E5" w:rsidP="00C661E5">
      <w:pPr>
        <w:spacing w:after="120" w:line="276" w:lineRule="auto"/>
        <w:ind w:firstLine="709"/>
        <w:jc w:val="both"/>
        <w:rPr>
          <w:rFonts w:ascii="Verdana" w:eastAsia="Calibri" w:hAnsi="Verdana" w:cs="Arial"/>
          <w:lang w:val="es-ES_tradnl" w:eastAsia="es-ES_tradnl"/>
        </w:rPr>
      </w:pPr>
      <w:r w:rsidRPr="00C661E5">
        <w:rPr>
          <w:rFonts w:ascii="Verdana" w:eastAsia="Calibri" w:hAnsi="Verdana" w:cs="Arial"/>
          <w:bCs/>
          <w:lang w:eastAsia="es-ES_tradnl"/>
        </w:rPr>
        <w:t>En relación con la persona jurídica, la norma requiere que l</w:t>
      </w:r>
      <w:r w:rsidRPr="00C661E5">
        <w:rPr>
          <w:rFonts w:ascii="Verdana" w:eastAsia="Calibri" w:hAnsi="Verdana" w:cs="Arial"/>
          <w:lang w:val="es-ES_tradnl" w:eastAsia="es-ES_tradnl"/>
        </w:rPr>
        <w:t xml:space="preserve">a </w:t>
      </w:r>
      <w:proofErr w:type="spellStart"/>
      <w:r w:rsidRPr="00C661E5">
        <w:rPr>
          <w:rFonts w:ascii="Verdana" w:eastAsia="Calibri" w:hAnsi="Verdana" w:cs="Arial"/>
          <w:lang w:val="es-ES_tradnl" w:eastAsia="es-ES_tradnl"/>
        </w:rPr>
        <w:t>Mipyme</w:t>
      </w:r>
      <w:proofErr w:type="spellEnd"/>
      <w:r w:rsidRPr="00C661E5">
        <w:rPr>
          <w:rFonts w:ascii="Verdana" w:eastAsia="Calibri" w:hAnsi="Verdana" w:cs="Arial"/>
          <w:lang w:val="es-ES_tradnl" w:eastAsia="es-ES_tradnl"/>
        </w:rPr>
        <w:t xml:space="preserve"> colombiana acredite el tamaño empresarial mediante certificación expedida por el representante legal y el contador o revisor fiscal, si está obligada a tenerlo, adjuntando copia del certificado de existencia y representación legal expedido </w:t>
      </w:r>
      <w:r w:rsidRPr="00C661E5">
        <w:rPr>
          <w:rFonts w:ascii="Verdana" w:eastAsia="Calibri" w:hAnsi="Verdana" w:cs="Arial"/>
          <w:lang w:val="es-ES_tradnl" w:eastAsia="es-ES_tradnl"/>
        </w:rPr>
        <w:lastRenderedPageBreak/>
        <w:t xml:space="preserve">por la Cámara de Comercio o por la autoridad competente para expedir dicha certificación. </w:t>
      </w:r>
    </w:p>
    <w:p w14:paraId="3D6B2501" w14:textId="77777777" w:rsidR="00C661E5" w:rsidRPr="00C661E5" w:rsidRDefault="00C661E5" w:rsidP="00C661E5">
      <w:pPr>
        <w:spacing w:after="120" w:line="276" w:lineRule="auto"/>
        <w:ind w:firstLine="709"/>
        <w:jc w:val="both"/>
        <w:rPr>
          <w:rFonts w:ascii="Verdana" w:eastAsia="Calibri" w:hAnsi="Verdana" w:cs="Arial"/>
          <w:lang w:val="es-ES" w:eastAsia="es-ES"/>
        </w:rPr>
      </w:pPr>
      <w:r w:rsidRPr="00C661E5">
        <w:rPr>
          <w:rFonts w:ascii="Verdana" w:eastAsia="Calibri" w:hAnsi="Verdana" w:cs="Arial"/>
          <w:lang w:val="es-ES" w:eastAsia="es-ES"/>
        </w:rPr>
        <w:t xml:space="preserve">Por su parte, </w:t>
      </w:r>
      <w:bookmarkStart w:id="8" w:name="_Hlk106012950"/>
      <w:r w:rsidRPr="00C661E5">
        <w:rPr>
          <w:rFonts w:ascii="Verdana" w:eastAsia="Calibri" w:hAnsi="Verdana" w:cs="Arial"/>
          <w:lang w:val="es-ES" w:eastAsia="es-ES"/>
        </w:rPr>
        <w:t xml:space="preserve">tratándose de persona natural, la disposición antes señalada exige que se acredite el tamaño empresarial mediante certificación expedida por ellos y un contador público, adjuntando copia del registro mercantil. En este caso, la intervención del contador es necesaria con el fin de que actúe en calidad de fedatario. </w:t>
      </w:r>
      <w:bookmarkStart w:id="9" w:name="_Hlk106013026"/>
      <w:bookmarkEnd w:id="8"/>
    </w:p>
    <w:p w14:paraId="52775AB9" w14:textId="77777777" w:rsidR="00C661E5" w:rsidRPr="00C661E5" w:rsidRDefault="00C661E5" w:rsidP="00C661E5">
      <w:pPr>
        <w:spacing w:after="120" w:line="276" w:lineRule="auto"/>
        <w:ind w:firstLine="709"/>
        <w:jc w:val="both"/>
        <w:rPr>
          <w:rFonts w:ascii="Verdana" w:eastAsia="Calibri" w:hAnsi="Verdana" w:cs="Arial"/>
          <w:lang w:val="es-ES" w:eastAsia="es-ES"/>
        </w:rPr>
      </w:pPr>
      <w:r w:rsidRPr="00C661E5">
        <w:rPr>
          <w:rFonts w:ascii="Verdana" w:eastAsia="Calibri" w:hAnsi="Verdana" w:cs="Arial"/>
          <w:bCs/>
          <w:lang w:eastAsia="es-ES_tradnl"/>
        </w:rPr>
        <w:t xml:space="preserve">Es pertinente aclarar que el registro mercantil solicitado por el numeral 1º del </w:t>
      </w:r>
      <w:r w:rsidRPr="00C661E5">
        <w:rPr>
          <w:rFonts w:ascii="Verdana" w:eastAsia="Calibri" w:hAnsi="Verdana" w:cs="Arial"/>
          <w:bCs/>
          <w:lang w:val="es-ES_tradnl" w:eastAsia="es-ES_tradnl"/>
        </w:rPr>
        <w:t xml:space="preserve">artículo </w:t>
      </w:r>
      <w:r w:rsidRPr="00C661E5">
        <w:rPr>
          <w:rFonts w:ascii="Verdana" w:eastAsia="Calibri" w:hAnsi="Verdana" w:cs="Arial"/>
          <w:bCs/>
          <w:lang w:eastAsia="es-ES_tradnl"/>
        </w:rPr>
        <w:t xml:space="preserve">2.2.1.2.4.2.4. del Decreto 1082 de 2015 –modificado por el Decreto 1860 de 2021– únicamente es requerido en el marco de las convocatorias limitada a </w:t>
      </w:r>
      <w:proofErr w:type="spellStart"/>
      <w:r w:rsidRPr="00C661E5">
        <w:rPr>
          <w:rFonts w:ascii="Verdana" w:eastAsia="Calibri" w:hAnsi="Verdana" w:cs="Arial"/>
          <w:bCs/>
          <w:lang w:eastAsia="es-ES_tradnl"/>
        </w:rPr>
        <w:t>Mipyme</w:t>
      </w:r>
      <w:proofErr w:type="spellEnd"/>
      <w:r w:rsidRPr="00C661E5">
        <w:rPr>
          <w:rFonts w:ascii="Verdana" w:eastAsia="Calibri" w:hAnsi="Verdana" w:cs="Arial"/>
          <w:bCs/>
          <w:lang w:eastAsia="es-ES_tradnl"/>
        </w:rPr>
        <w:t xml:space="preserve">. Por tanto, aunque la persona natural no este obligada a contar con registro mercantil para participar en el proceso de selección, si deberá presentar dicho documento en caso de que pretenda que el proceso de selección sea limitado a </w:t>
      </w:r>
      <w:proofErr w:type="spellStart"/>
      <w:r w:rsidRPr="00C661E5">
        <w:rPr>
          <w:rFonts w:ascii="Verdana" w:eastAsia="Calibri" w:hAnsi="Verdana" w:cs="Arial"/>
          <w:bCs/>
          <w:lang w:eastAsia="es-ES_tradnl"/>
        </w:rPr>
        <w:t>Mipyme</w:t>
      </w:r>
      <w:proofErr w:type="spellEnd"/>
      <w:r w:rsidRPr="00C661E5">
        <w:rPr>
          <w:rFonts w:ascii="Verdana" w:eastAsia="Calibri" w:hAnsi="Verdana" w:cs="Arial"/>
          <w:bCs/>
          <w:lang w:eastAsia="es-ES_tradnl"/>
        </w:rPr>
        <w:t xml:space="preserve"> y para participar en convocatorias limitadas a </w:t>
      </w:r>
      <w:proofErr w:type="spellStart"/>
      <w:r w:rsidRPr="00C661E5">
        <w:rPr>
          <w:rFonts w:ascii="Verdana" w:eastAsia="Calibri" w:hAnsi="Verdana" w:cs="Arial"/>
          <w:bCs/>
          <w:lang w:eastAsia="es-ES_tradnl"/>
        </w:rPr>
        <w:t>Mipyme</w:t>
      </w:r>
      <w:proofErr w:type="spellEnd"/>
      <w:r w:rsidRPr="00C661E5">
        <w:rPr>
          <w:rFonts w:ascii="Verdana" w:eastAsia="Calibri" w:hAnsi="Verdana" w:cs="Arial"/>
          <w:bCs/>
          <w:lang w:eastAsia="es-ES_tradnl"/>
        </w:rPr>
        <w:t xml:space="preserve">. En este sentido, para efectos del </w:t>
      </w:r>
      <w:r w:rsidRPr="00C661E5">
        <w:rPr>
          <w:rFonts w:ascii="Verdana" w:eastAsia="Calibri" w:hAnsi="Verdana" w:cs="Arial"/>
          <w:bCs/>
          <w:lang w:val="es-ES_tradnl" w:eastAsia="es-ES_tradnl"/>
        </w:rPr>
        <w:t xml:space="preserve">artículo </w:t>
      </w:r>
      <w:r w:rsidRPr="00C661E5">
        <w:rPr>
          <w:rFonts w:ascii="Verdana" w:eastAsia="Calibri" w:hAnsi="Verdana" w:cs="Arial"/>
          <w:bCs/>
          <w:lang w:eastAsia="es-ES_tradnl"/>
        </w:rPr>
        <w:t xml:space="preserve">2.2.1.2.4.2.4. del Decreto 1082 de 2015 –modificado por el Decreto 1860 de 2021–, la acreditación de la actividad y el tamaño empresarial de la </w:t>
      </w:r>
      <w:proofErr w:type="spellStart"/>
      <w:r w:rsidRPr="00C661E5">
        <w:rPr>
          <w:rFonts w:ascii="Verdana" w:eastAsia="Calibri" w:hAnsi="Verdana" w:cs="Arial"/>
          <w:bCs/>
          <w:lang w:eastAsia="es-ES_tradnl"/>
        </w:rPr>
        <w:t>Mipyme</w:t>
      </w:r>
      <w:proofErr w:type="spellEnd"/>
      <w:r w:rsidRPr="00C661E5">
        <w:rPr>
          <w:rFonts w:ascii="Verdana" w:eastAsia="Calibri" w:hAnsi="Verdana" w:cs="Arial"/>
          <w:bCs/>
          <w:lang w:eastAsia="es-ES_tradnl"/>
        </w:rPr>
        <w:t xml:space="preserve"> persona natural, solo será válida mediante la presentación de los documentos establecidos en el numeral 1 de la norma señalada, esto es, </w:t>
      </w:r>
      <w:r w:rsidRPr="00C661E5">
        <w:rPr>
          <w:rFonts w:ascii="Verdana" w:eastAsia="Calibri" w:hAnsi="Verdana" w:cs="Arial"/>
          <w:lang w:val="es-ES_tradnl" w:eastAsia="es-ES_tradnl"/>
        </w:rPr>
        <w:t>certificación expedida por ellos y un contador público, adjuntando copia del registro mercantil</w:t>
      </w:r>
      <w:r w:rsidRPr="00C661E5">
        <w:rPr>
          <w:rFonts w:ascii="Verdana" w:hAnsi="Verdana" w:cs="Arial"/>
          <w:lang w:val="es-ES_tradnl" w:eastAsia="es-ES_tradnl"/>
        </w:rPr>
        <w:t xml:space="preserve"> </w:t>
      </w:r>
      <w:r w:rsidRPr="00C661E5">
        <w:rPr>
          <w:rFonts w:ascii="Verdana" w:eastAsia="Calibri" w:hAnsi="Verdana" w:cs="Arial"/>
          <w:lang w:val="es-ES_tradnl" w:eastAsia="es-ES_tradnl"/>
        </w:rPr>
        <w:t xml:space="preserve">con una fecha de máximo sesenta (60) días calendario anteriores a la prevista en el cronograma del proceso de contratación para el inicio del plazo para solicitar la convocatoria limitada. </w:t>
      </w:r>
    </w:p>
    <w:bookmarkEnd w:id="9"/>
    <w:p w14:paraId="47E0505C" w14:textId="77777777" w:rsidR="00C661E5" w:rsidRPr="00C661E5" w:rsidRDefault="00C661E5" w:rsidP="00C661E5">
      <w:pPr>
        <w:spacing w:after="120" w:line="276" w:lineRule="auto"/>
        <w:ind w:firstLine="709"/>
        <w:jc w:val="both"/>
        <w:rPr>
          <w:rFonts w:ascii="Verdana" w:eastAsia="Calibri" w:hAnsi="Verdana" w:cs="Arial"/>
          <w:bCs/>
          <w:lang w:val="es-ES_tradnl" w:eastAsia="es-ES_tradnl"/>
        </w:rPr>
      </w:pPr>
      <w:r w:rsidRPr="00C661E5">
        <w:rPr>
          <w:rFonts w:ascii="Verdana" w:eastAsia="Calibri" w:hAnsi="Verdana" w:cs="Arial"/>
          <w:bCs/>
          <w:lang w:val="es-ES_tradnl" w:eastAsia="es-ES_tradnl"/>
        </w:rPr>
        <w:t xml:space="preserve">Además, </w:t>
      </w:r>
      <w:bookmarkStart w:id="10" w:name="_Hlk106013058"/>
      <w:r w:rsidRPr="00C661E5">
        <w:rPr>
          <w:rFonts w:ascii="Verdana" w:eastAsia="Calibri" w:hAnsi="Verdana" w:cs="Arial"/>
          <w:bCs/>
          <w:lang w:val="es-ES_tradnl" w:eastAsia="es-ES_tradnl"/>
        </w:rPr>
        <w:t xml:space="preserve">es preciso señalar que el parágrafo primero del artículo citado permite acreditar la condición de </w:t>
      </w:r>
      <w:proofErr w:type="spellStart"/>
      <w:r w:rsidRPr="00C661E5">
        <w:rPr>
          <w:rFonts w:ascii="Verdana" w:eastAsia="Calibri" w:hAnsi="Verdana" w:cs="Arial"/>
          <w:bCs/>
          <w:lang w:val="es-ES_tradnl" w:eastAsia="es-ES_tradnl"/>
        </w:rPr>
        <w:t>Mipyme</w:t>
      </w:r>
      <w:proofErr w:type="spellEnd"/>
      <w:r w:rsidRPr="00C661E5">
        <w:rPr>
          <w:rFonts w:ascii="Verdana" w:eastAsia="Calibri" w:hAnsi="Verdana" w:cs="Arial"/>
          <w:bCs/>
          <w:lang w:val="es-ES_tradnl" w:eastAsia="es-ES_tradnl"/>
        </w:rPr>
        <w:t xml:space="preserve"> con la copia del certificado del Registro Único de Proponentes –RUP–. De esta manera, la </w:t>
      </w:r>
      <w:proofErr w:type="spellStart"/>
      <w:r w:rsidRPr="00C661E5">
        <w:rPr>
          <w:rFonts w:ascii="Verdana" w:eastAsia="Calibri" w:hAnsi="Verdana" w:cs="Arial"/>
          <w:bCs/>
          <w:lang w:val="es-ES_tradnl" w:eastAsia="es-ES_tradnl"/>
        </w:rPr>
        <w:t>Mipyme</w:t>
      </w:r>
      <w:proofErr w:type="spellEnd"/>
      <w:r w:rsidRPr="00C661E5">
        <w:rPr>
          <w:rFonts w:ascii="Verdana" w:eastAsia="Calibri" w:hAnsi="Verdana" w:cs="Arial"/>
          <w:bCs/>
          <w:lang w:val="es-ES_tradnl" w:eastAsia="es-ES_tradnl"/>
        </w:rPr>
        <w:t xml:space="preserve">, sea persona natural o persona jurídica, podrá acreditar la actividad y el tamaño empresarial exigido por la ley, presentando el RUP, documento que en este caso es de carácter opcional, es decir, es un medio de prueba alternativo establecido por el mismo reglamento. En consecuencia, en caso de que la </w:t>
      </w:r>
      <w:proofErr w:type="spellStart"/>
      <w:r w:rsidRPr="00C661E5">
        <w:rPr>
          <w:rFonts w:ascii="Verdana" w:eastAsia="Calibri" w:hAnsi="Verdana" w:cs="Arial"/>
          <w:bCs/>
          <w:lang w:val="es-ES_tradnl" w:eastAsia="es-ES_tradnl"/>
        </w:rPr>
        <w:t>Mipyme</w:t>
      </w:r>
      <w:proofErr w:type="spellEnd"/>
      <w:r w:rsidRPr="00C661E5">
        <w:rPr>
          <w:rFonts w:ascii="Verdana" w:eastAsia="Calibri" w:hAnsi="Verdana" w:cs="Arial"/>
          <w:bCs/>
          <w:lang w:val="es-ES_tradnl" w:eastAsia="es-ES_tradnl"/>
        </w:rPr>
        <w:t xml:space="preserve"> cuente con este documento podrá aportarlo de acuerdo con lo dispuesto en el artículo </w:t>
      </w:r>
      <w:r w:rsidRPr="00C661E5">
        <w:rPr>
          <w:rFonts w:ascii="Verdana" w:eastAsia="Calibri" w:hAnsi="Verdana" w:cs="Arial"/>
          <w:bCs/>
          <w:lang w:eastAsia="es-ES_tradnl"/>
        </w:rPr>
        <w:t xml:space="preserve">2.2.1.2.4.2.4. del Decreto 1082 de 2015 –modificado por el Decreto 1860 de 2021–, </w:t>
      </w:r>
      <w:r w:rsidRPr="00C661E5">
        <w:rPr>
          <w:rFonts w:ascii="Verdana" w:eastAsia="Calibri" w:hAnsi="Verdana" w:cs="Arial"/>
          <w:bCs/>
          <w:lang w:val="es-ES_tradnl" w:eastAsia="es-ES_tradnl"/>
        </w:rPr>
        <w:t xml:space="preserve">de lo contrario deberá allegar la documentación respectiva conforme lo disponen los numerales 1º y 2º de la norma en cita, según sea el caso. </w:t>
      </w:r>
      <w:bookmarkEnd w:id="10"/>
    </w:p>
    <w:p w14:paraId="0377BB82" w14:textId="77777777" w:rsidR="00C661E5" w:rsidRPr="00C661E5" w:rsidRDefault="00C661E5" w:rsidP="00C661E5">
      <w:pPr>
        <w:spacing w:after="120" w:line="276" w:lineRule="auto"/>
        <w:ind w:firstLine="709"/>
        <w:jc w:val="both"/>
        <w:rPr>
          <w:rFonts w:ascii="Verdana" w:eastAsia="Calibri" w:hAnsi="Verdana" w:cs="Arial"/>
          <w:lang w:val="es-ES_tradnl" w:eastAsia="es-ES_tradnl"/>
        </w:rPr>
      </w:pPr>
      <w:r w:rsidRPr="00C661E5">
        <w:rPr>
          <w:rFonts w:ascii="Verdana" w:eastAsia="Calibri" w:hAnsi="Verdana" w:cs="Arial"/>
          <w:bCs/>
          <w:lang w:val="es-ES_tradnl" w:eastAsia="es-ES_tradnl"/>
        </w:rPr>
        <w:t xml:space="preserve">Por consiguiente, para efectos de la acreditación de la condición de </w:t>
      </w:r>
      <w:proofErr w:type="spellStart"/>
      <w:r w:rsidRPr="00C661E5">
        <w:rPr>
          <w:rFonts w:ascii="Verdana" w:eastAsia="Calibri" w:hAnsi="Verdana" w:cs="Arial"/>
          <w:bCs/>
          <w:lang w:val="es-ES_tradnl" w:eastAsia="es-ES_tradnl"/>
        </w:rPr>
        <w:t>Mipyme</w:t>
      </w:r>
      <w:proofErr w:type="spellEnd"/>
      <w:r w:rsidRPr="00C661E5">
        <w:rPr>
          <w:rFonts w:ascii="Verdana" w:eastAsia="Calibri" w:hAnsi="Verdana" w:cs="Arial"/>
          <w:bCs/>
          <w:lang w:val="es-ES_tradnl" w:eastAsia="es-ES_tradnl"/>
        </w:rPr>
        <w:t xml:space="preserve"> </w:t>
      </w:r>
      <w:r w:rsidRPr="00C661E5">
        <w:rPr>
          <w:rFonts w:ascii="Verdana" w:eastAsia="Century Gothic" w:hAnsi="Verdana" w:cs="Century Gothic"/>
        </w:rPr>
        <w:t xml:space="preserve">sólo se </w:t>
      </w:r>
      <w:r w:rsidRPr="00C661E5">
        <w:rPr>
          <w:rFonts w:ascii="Verdana" w:eastAsia="Calibri" w:hAnsi="Verdana" w:cs="Arial"/>
          <w:lang w:val="es-ES_tradnl" w:eastAsia="es-ES_tradnl"/>
        </w:rPr>
        <w:t xml:space="preserve">pueden exigir los requisitos señalados en la ley y en el Decreto </w:t>
      </w:r>
      <w:r w:rsidRPr="00C661E5">
        <w:rPr>
          <w:rFonts w:ascii="Verdana" w:eastAsia="Calibri" w:hAnsi="Verdana" w:cs="Arial"/>
          <w:lang w:val="es-ES_tradnl" w:eastAsia="es-ES_tradnl"/>
        </w:rPr>
        <w:lastRenderedPageBreak/>
        <w:t xml:space="preserve">1082 del 2015 –modificado por el Decreto 1860 de 2021– para que esta proceda. En tal sentido, las entidades no pueden exigir requisitos adicionales a los establecidos en el artículo 2.2.1.2.4.2.4. del Decreto 1082 de 2015 para limitar la convocatoria. </w:t>
      </w:r>
    </w:p>
    <w:p w14:paraId="236114CA" w14:textId="77777777" w:rsidR="00C661E5" w:rsidRPr="00C661E5" w:rsidRDefault="00C661E5" w:rsidP="00C661E5">
      <w:pPr>
        <w:spacing w:after="120" w:line="276" w:lineRule="auto"/>
        <w:jc w:val="both"/>
        <w:rPr>
          <w:rFonts w:ascii="Verdana" w:eastAsia="Century Gothic" w:hAnsi="Verdana" w:cs="Century Gothic"/>
        </w:rPr>
      </w:pPr>
      <w:proofErr w:type="spellStart"/>
      <w:r w:rsidRPr="00C661E5">
        <w:rPr>
          <w:rFonts w:ascii="Verdana" w:eastAsia="Calibri" w:hAnsi="Verdana" w:cs="Arial"/>
          <w:lang w:val="es-ES_tradnl" w:eastAsia="es-ES_tradnl"/>
        </w:rPr>
        <w:t>ii</w:t>
      </w:r>
      <w:proofErr w:type="spellEnd"/>
      <w:r w:rsidRPr="00C661E5">
        <w:rPr>
          <w:rFonts w:ascii="Verdana" w:eastAsia="Calibri" w:hAnsi="Verdana" w:cs="Arial"/>
          <w:lang w:val="es-ES_tradnl" w:eastAsia="es-ES_tradnl"/>
        </w:rPr>
        <w:t>. Por otro lado, respecto del segundo problema jurídico, se precisa que el parágrafo 1 del artículo 34 de la Ley 2069 de 2020, señaló que “En los procesos de selección que se desarrollen con base en el primer inciso, las entidades podrán realizar las convocatorias limitadas que beneficien a las MiPymes del ámbito municipal o departamental correspondiente al de la ejecución del contrato</w:t>
      </w:r>
      <w:r w:rsidRPr="00C661E5">
        <w:rPr>
          <w:rFonts w:ascii="Verdana" w:hAnsi="Verdana"/>
          <w:lang w:val="es-ES_tradnl"/>
        </w:rPr>
        <w:t xml:space="preserve">”. </w:t>
      </w:r>
      <w:r w:rsidRPr="00C661E5">
        <w:rPr>
          <w:rFonts w:ascii="Verdana" w:eastAsia="Calibri" w:hAnsi="Verdana" w:cs="Arial"/>
          <w:lang w:val="es-ES"/>
        </w:rPr>
        <w:t xml:space="preserve">El artículo 2.2.1.2.4.2.3, modificado por el artículo 5 del Decreto 1860 de 2021, reglamenta las limitaciones territoriales de la siguiente manera: </w:t>
      </w:r>
    </w:p>
    <w:p w14:paraId="5E674373" w14:textId="77777777" w:rsidR="00C661E5" w:rsidRPr="00C661E5" w:rsidRDefault="00C661E5" w:rsidP="00C661E5">
      <w:pPr>
        <w:spacing w:after="0" w:line="276" w:lineRule="auto"/>
        <w:ind w:firstLine="709"/>
        <w:jc w:val="both"/>
        <w:rPr>
          <w:rFonts w:ascii="Verdana" w:eastAsia="Calibri" w:hAnsi="Verdana" w:cs="Arial"/>
          <w:lang w:val="es-ES"/>
        </w:rPr>
      </w:pPr>
    </w:p>
    <w:p w14:paraId="3A938A37" w14:textId="77777777" w:rsidR="00C661E5" w:rsidRPr="00C661E5" w:rsidRDefault="00C661E5" w:rsidP="00C661E5">
      <w:pPr>
        <w:spacing w:after="0" w:line="240" w:lineRule="auto"/>
        <w:ind w:left="709" w:right="709"/>
        <w:jc w:val="both"/>
        <w:rPr>
          <w:rFonts w:ascii="Verdana" w:eastAsia="Calibri" w:hAnsi="Verdana" w:cs="Arial"/>
          <w:sz w:val="20"/>
          <w:szCs w:val="20"/>
        </w:rPr>
      </w:pPr>
      <w:r w:rsidRPr="00C661E5">
        <w:rPr>
          <w:rFonts w:ascii="Verdana" w:eastAsia="Calibri" w:hAnsi="Verdana" w:cs="Arial"/>
          <w:sz w:val="20"/>
          <w:szCs w:val="20"/>
        </w:rPr>
        <w:t xml:space="preserve">“ARTÍCULO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w:t>
      </w:r>
      <w:proofErr w:type="spellStart"/>
      <w:r w:rsidRPr="00C661E5">
        <w:rPr>
          <w:rFonts w:ascii="Verdana" w:eastAsia="Calibri" w:hAnsi="Verdana" w:cs="Arial"/>
          <w:sz w:val="20"/>
          <w:szCs w:val="20"/>
        </w:rPr>
        <w:t>Mipyme</w:t>
      </w:r>
      <w:proofErr w:type="spellEnd"/>
      <w:r w:rsidRPr="00C661E5">
        <w:rPr>
          <w:rFonts w:ascii="Verdana" w:eastAsia="Calibri" w:hAnsi="Verdana" w:cs="Arial"/>
          <w:sz w:val="20"/>
          <w:szCs w:val="20"/>
        </w:rPr>
        <w:t xml:space="preserve"> colombianas que tengan domicilio en los departamentos o municipios en donde se va a ejecutar el contrato. Cada </w:t>
      </w:r>
      <w:proofErr w:type="spellStart"/>
      <w:r w:rsidRPr="00C661E5">
        <w:rPr>
          <w:rFonts w:ascii="Verdana" w:eastAsia="Calibri" w:hAnsi="Verdana" w:cs="Arial"/>
          <w:sz w:val="20"/>
          <w:szCs w:val="20"/>
        </w:rPr>
        <w:t>Mipyme</w:t>
      </w:r>
      <w:proofErr w:type="spellEnd"/>
      <w:r w:rsidRPr="00C661E5">
        <w:rPr>
          <w:rFonts w:ascii="Verdana" w:eastAsia="Calibri" w:hAnsi="Verdana" w:cs="Arial"/>
          <w:sz w:val="20"/>
          <w:szCs w:val="20"/>
        </w:rPr>
        <w:t xml:space="preserve"> deberá acreditar su domicilio con los documentos a los que se refiere el siguiente artículo”.</w:t>
      </w:r>
    </w:p>
    <w:p w14:paraId="492A27FC" w14:textId="77777777" w:rsidR="00C661E5" w:rsidRPr="00C661E5" w:rsidRDefault="00C661E5" w:rsidP="00C661E5">
      <w:pPr>
        <w:spacing w:after="0" w:line="276" w:lineRule="auto"/>
        <w:ind w:right="709"/>
        <w:jc w:val="both"/>
        <w:rPr>
          <w:rFonts w:ascii="Verdana" w:eastAsia="Calibri" w:hAnsi="Verdana" w:cs="Arial"/>
          <w:lang w:val="es-ES_tradnl"/>
        </w:rPr>
      </w:pPr>
    </w:p>
    <w:p w14:paraId="714CDDBD" w14:textId="77777777" w:rsidR="00C661E5" w:rsidRPr="00C661E5" w:rsidRDefault="00C661E5" w:rsidP="00C661E5">
      <w:pPr>
        <w:spacing w:after="120" w:line="276" w:lineRule="auto"/>
        <w:ind w:firstLine="709"/>
        <w:jc w:val="both"/>
        <w:rPr>
          <w:rFonts w:ascii="Verdana" w:eastAsia="Calibri" w:hAnsi="Verdana" w:cs="Arial"/>
          <w:lang w:val="es-ES"/>
        </w:rPr>
      </w:pPr>
      <w:r w:rsidRPr="00C661E5">
        <w:rPr>
          <w:rFonts w:ascii="Verdana" w:eastAsia="Calibri" w:hAnsi="Verdana" w:cs="Arial"/>
          <w:lang w:val="es-ES"/>
        </w:rPr>
        <w:t>La norma reglamentaria coincide con la redacción del parágrafo 1º del artículo 34 de la Ley 2069 de 2020. En tales términos, la norma citada sólo contempla la posibilidad de limitar convocatorias a MiPymes con domicilio en esos dos tipos de entidades territoriales.</w:t>
      </w:r>
    </w:p>
    <w:p w14:paraId="2CE38AC8" w14:textId="77777777" w:rsidR="00C661E5" w:rsidRPr="00C661E5" w:rsidRDefault="00C661E5" w:rsidP="00C661E5">
      <w:pPr>
        <w:spacing w:after="120" w:line="276" w:lineRule="auto"/>
        <w:ind w:firstLine="709"/>
        <w:jc w:val="both"/>
        <w:rPr>
          <w:rFonts w:ascii="Verdana" w:eastAsia="Calibri" w:hAnsi="Verdana" w:cs="Arial"/>
          <w:lang w:val="es-ES_tradnl"/>
        </w:rPr>
      </w:pPr>
      <w:r w:rsidRPr="00C661E5">
        <w:rPr>
          <w:rFonts w:ascii="Verdana" w:eastAsia="Calibri" w:hAnsi="Verdana" w:cs="Arial"/>
          <w:lang w:val="es-ES_tradnl"/>
        </w:rPr>
        <w:t xml:space="preserve">En este sentido, </w:t>
      </w:r>
      <w:r w:rsidRPr="00C661E5">
        <w:rPr>
          <w:rFonts w:ascii="Verdana" w:eastAsia="Arial" w:hAnsi="Verdana" w:cs="Arial"/>
          <w:color w:val="000000"/>
          <w:lang w:val="es-MX"/>
        </w:rPr>
        <w:t xml:space="preserve">toda empresa constituida bajo las leyes colombianas o que tenga su domicilio principal en el territorio colombiano y, además, cumpla los criterios previstos por la Ley 590 de 2000 y el Decreto 957 de 2019, será considerada </w:t>
      </w:r>
      <w:proofErr w:type="spellStart"/>
      <w:r w:rsidRPr="00C661E5">
        <w:rPr>
          <w:rFonts w:ascii="Verdana" w:eastAsia="Arial" w:hAnsi="Verdana" w:cs="Arial"/>
          <w:color w:val="000000"/>
          <w:lang w:val="es-MX"/>
        </w:rPr>
        <w:t>Mipyme</w:t>
      </w:r>
      <w:proofErr w:type="spellEnd"/>
      <w:r w:rsidRPr="00C661E5">
        <w:rPr>
          <w:rFonts w:ascii="Verdana" w:eastAsia="Arial" w:hAnsi="Verdana" w:cs="Arial"/>
          <w:color w:val="000000"/>
          <w:lang w:val="es-MX"/>
        </w:rPr>
        <w:t xml:space="preserve"> nacional. Además, las normas de contratación permiten que las </w:t>
      </w:r>
      <w:proofErr w:type="spellStart"/>
      <w:r w:rsidRPr="00C661E5">
        <w:rPr>
          <w:rFonts w:ascii="Verdana" w:eastAsia="Arial" w:hAnsi="Verdana" w:cs="Arial"/>
          <w:color w:val="000000"/>
          <w:lang w:val="es-MX"/>
        </w:rPr>
        <w:t>Mipymes</w:t>
      </w:r>
      <w:proofErr w:type="spellEnd"/>
      <w:r w:rsidRPr="00C661E5">
        <w:rPr>
          <w:rFonts w:ascii="Verdana" w:eastAsia="Arial" w:hAnsi="Verdana" w:cs="Arial"/>
          <w:color w:val="000000"/>
          <w:lang w:val="es-MX"/>
        </w:rPr>
        <w:t xml:space="preserve"> nacionales puedan beneficiarse de la ejecución de un contrato dentro de la entidad territorial en la que tienen su “domicilio”, siempre que el proceso de contratación efectivamente se limite a </w:t>
      </w:r>
      <w:proofErr w:type="spellStart"/>
      <w:r w:rsidRPr="00C661E5">
        <w:rPr>
          <w:rFonts w:ascii="Verdana" w:eastAsia="Arial" w:hAnsi="Verdana" w:cs="Arial"/>
          <w:color w:val="000000"/>
          <w:lang w:val="es-MX"/>
        </w:rPr>
        <w:t>Mipymes</w:t>
      </w:r>
      <w:proofErr w:type="spellEnd"/>
      <w:r w:rsidRPr="00C661E5">
        <w:rPr>
          <w:rFonts w:ascii="Verdana" w:eastAsia="Arial" w:hAnsi="Verdana" w:cs="Arial"/>
          <w:color w:val="000000"/>
          <w:lang w:val="es-MX"/>
        </w:rPr>
        <w:t xml:space="preserve"> domiciliadas en determinado ámbito territorial, de conformidad con las reglas establecidas en el Decreto 1082 de 2015, modificado por el Decreto 1860 de 2021.</w:t>
      </w:r>
    </w:p>
    <w:p w14:paraId="304FDC85" w14:textId="77777777" w:rsidR="00C661E5" w:rsidRPr="00C661E5" w:rsidRDefault="00C661E5" w:rsidP="00C661E5">
      <w:pPr>
        <w:spacing w:after="120" w:line="276" w:lineRule="auto"/>
        <w:ind w:firstLine="708"/>
        <w:jc w:val="both"/>
        <w:rPr>
          <w:rFonts w:ascii="Verdana" w:hAnsi="Verdana"/>
          <w:lang w:val="es-ES"/>
        </w:rPr>
      </w:pPr>
      <w:r w:rsidRPr="00C661E5">
        <w:rPr>
          <w:rFonts w:ascii="Verdana" w:hAnsi="Verdana"/>
          <w:lang w:val="es-ES"/>
        </w:rPr>
        <w:t xml:space="preserve">No puede perderse de vista que la decisión de limitar “a </w:t>
      </w:r>
      <w:proofErr w:type="spellStart"/>
      <w:r w:rsidRPr="00C661E5">
        <w:rPr>
          <w:rFonts w:ascii="Verdana" w:hAnsi="Verdana"/>
          <w:lang w:val="es-ES"/>
        </w:rPr>
        <w:t>Mipyme</w:t>
      </w:r>
      <w:proofErr w:type="spellEnd"/>
      <w:r w:rsidRPr="00C661E5">
        <w:rPr>
          <w:rFonts w:ascii="Verdana" w:hAnsi="Verdana"/>
          <w:lang w:val="es-ES"/>
        </w:rPr>
        <w:t xml:space="preserve"> colombianas que tengan domicilio en los departamentos o municipios en donde </w:t>
      </w:r>
      <w:r w:rsidRPr="00C661E5">
        <w:rPr>
          <w:rFonts w:ascii="Verdana" w:hAnsi="Verdana"/>
          <w:lang w:val="es-ES"/>
        </w:rPr>
        <w:lastRenderedPageBreak/>
        <w:t xml:space="preserve">se va a ejecutar el contrato”, aunque es facultativa de la entidad, está supeditada a que se verifiquen los requisitos establecidos en los numerales 1 y 2 del precitado artículo 2.2.1.2.4.2.2 del Decreto 1082 de 2015, modificado por el Decreto 1860 de 2021. En ese sentido, si la Entidad no recibió las solicitudes para limitar la convocatoria a </w:t>
      </w:r>
      <w:proofErr w:type="spellStart"/>
      <w:r w:rsidRPr="00C661E5">
        <w:rPr>
          <w:rFonts w:ascii="Verdana" w:hAnsi="Verdana"/>
          <w:lang w:val="es-ES"/>
        </w:rPr>
        <w:t>Mipyme</w:t>
      </w:r>
      <w:proofErr w:type="spellEnd"/>
      <w:r w:rsidRPr="00C661E5">
        <w:rPr>
          <w:rFonts w:ascii="Verdana" w:hAnsi="Verdana"/>
          <w:lang w:val="es-ES"/>
        </w:rPr>
        <w:t xml:space="preserve">, no puede </w:t>
      </w:r>
      <w:r w:rsidRPr="00C661E5">
        <w:rPr>
          <w:rFonts w:ascii="Verdana" w:hAnsi="Verdana"/>
          <w:i/>
          <w:iCs/>
          <w:lang w:val="es-ES"/>
        </w:rPr>
        <w:t xml:space="preserve">motu proprio </w:t>
      </w:r>
      <w:r w:rsidRPr="00C661E5">
        <w:rPr>
          <w:rFonts w:ascii="Verdana" w:hAnsi="Verdana"/>
          <w:lang w:val="es-ES"/>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02CBA732" w14:textId="77777777" w:rsidR="00C661E5" w:rsidRPr="00C661E5" w:rsidRDefault="00C661E5" w:rsidP="00C661E5">
      <w:pPr>
        <w:spacing w:after="120" w:line="276" w:lineRule="auto"/>
        <w:ind w:firstLine="708"/>
        <w:jc w:val="both"/>
        <w:rPr>
          <w:rFonts w:ascii="Verdana" w:eastAsia="Calibri" w:hAnsi="Verdana" w:cs="Arial"/>
          <w:color w:val="000000" w:themeColor="text1"/>
        </w:rPr>
      </w:pPr>
      <w:r w:rsidRPr="00C661E5">
        <w:rPr>
          <w:rFonts w:ascii="Verdana" w:hAnsi="Verdana"/>
          <w:lang w:val="es-ES"/>
        </w:rPr>
        <w:t xml:space="preserve">Cumplidos los dos requisitos del artículo 2.2.1.2.4.2.2 </w:t>
      </w:r>
      <w:proofErr w:type="spellStart"/>
      <w:r w:rsidRPr="00C661E5">
        <w:rPr>
          <w:rFonts w:ascii="Verdana" w:hAnsi="Verdana"/>
          <w:i/>
          <w:iCs/>
          <w:lang w:val="es-ES"/>
        </w:rPr>
        <w:t>ibídem</w:t>
      </w:r>
      <w:proofErr w:type="spellEnd"/>
      <w:r w:rsidRPr="00C661E5">
        <w:rPr>
          <w:rFonts w:ascii="Verdana" w:hAnsi="Verdana"/>
          <w:lang w:val="es-ES"/>
        </w:rPr>
        <w:t xml:space="preserve">, la Entidad Estatal, independientemente de su régimen de contratación, los patrimonios autónomos constituidos por Entidades Estatales y los particulares que ejecuten recursos públicos, pueden ─sin estar obligadas─ decidir si limitan la convocatoria a las </w:t>
      </w:r>
      <w:proofErr w:type="spellStart"/>
      <w:r w:rsidRPr="00C661E5">
        <w:rPr>
          <w:rFonts w:ascii="Verdana" w:hAnsi="Verdana"/>
          <w:lang w:val="es-ES"/>
        </w:rPr>
        <w:t>Mipyme</w:t>
      </w:r>
      <w:proofErr w:type="spellEnd"/>
      <w:r w:rsidRPr="00C661E5">
        <w:rPr>
          <w:rFonts w:ascii="Verdana" w:hAnsi="Verdana"/>
          <w:lang w:val="es-ES"/>
        </w:rPr>
        <w:t xml:space="preserve"> colombianas domiciliadas en el municipio o departamento en el que se ejecutará el contrato. Esto de acuerdo con el artículo 2.2.1.2.4.2.3 del Decreto 1082 de 2015 </w:t>
      </w:r>
      <w:r w:rsidRPr="00C661E5">
        <w:rPr>
          <w:rFonts w:ascii="Verdana" w:hAnsi="Verdana"/>
          <w:lang w:val="es-ES_tradnl"/>
        </w:rPr>
        <w:t>modificado por el Decreto 1860 de 2021</w:t>
      </w:r>
      <w:r w:rsidRPr="00C661E5">
        <w:rPr>
          <w:rFonts w:ascii="Verdana" w:hAnsi="Verdana"/>
          <w:lang w:val="es-ES"/>
        </w:rPr>
        <w:t xml:space="preserve">, norma que se refiere a la facultad de la administración con el verbo infinitivo “poder”, no “deber”. </w:t>
      </w:r>
      <w:r w:rsidRPr="00C661E5">
        <w:rPr>
          <w:rFonts w:ascii="Verdana" w:eastAsia="Times New Roman" w:hAnsi="Verdana" w:cs="Arial"/>
          <w:lang w:eastAsia="es-CO"/>
        </w:rPr>
        <w:t>La Agencia Nacional de Contratación Pública – Colombia Compra Eficiente</w:t>
      </w:r>
      <w:r w:rsidRPr="00C661E5">
        <w:rPr>
          <w:rFonts w:ascii="Verdana" w:eastAsia="Calibri" w:hAnsi="Verdana" w:cs="Arial"/>
          <w:color w:val="000000" w:themeColor="text1"/>
        </w:rPr>
        <w:t xml:space="preserve"> ha sostenido que la decisión de limitar territorialmente un</w:t>
      </w:r>
      <w:r w:rsidRPr="00C661E5">
        <w:rPr>
          <w:rFonts w:ascii="Verdana" w:hAnsi="Verdana" w:cs="Arial"/>
          <w:color w:val="000000" w:themeColor="text1"/>
        </w:rPr>
        <w:t xml:space="preserve">a convocatoria a </w:t>
      </w:r>
      <w:proofErr w:type="spellStart"/>
      <w:r w:rsidRPr="00C661E5">
        <w:rPr>
          <w:rFonts w:ascii="Verdana" w:hAnsi="Verdana" w:cs="Arial"/>
          <w:color w:val="000000" w:themeColor="text1"/>
        </w:rPr>
        <w:t>Mipyme</w:t>
      </w:r>
      <w:proofErr w:type="spellEnd"/>
      <w:r w:rsidRPr="00C661E5">
        <w:rPr>
          <w:rFonts w:ascii="Verdana" w:hAnsi="Verdana" w:cs="Arial"/>
          <w:color w:val="000000" w:themeColor="text1"/>
        </w:rPr>
        <w:t xml:space="preserve"> </w:t>
      </w:r>
      <w:r w:rsidRPr="00C661E5">
        <w:rPr>
          <w:rFonts w:ascii="Verdana" w:eastAsia="Calibri" w:hAnsi="Verdana" w:cs="Arial"/>
          <w:color w:val="000000" w:themeColor="text1"/>
        </w:rPr>
        <w:t xml:space="preserve">es discrecional, y ha precisado que, de todos modos, esta debe justificarse con fundamento en los correspondientes “estudios del sector”, como se puede encontrar detalladamente en la “Guía para Promover la Participación de las </w:t>
      </w:r>
      <w:proofErr w:type="spellStart"/>
      <w:r w:rsidRPr="00C661E5">
        <w:rPr>
          <w:rFonts w:ascii="Verdana" w:eastAsia="Calibri" w:hAnsi="Verdana" w:cs="Arial"/>
          <w:color w:val="000000" w:themeColor="text1"/>
        </w:rPr>
        <w:t>Mipymes</w:t>
      </w:r>
      <w:proofErr w:type="spellEnd"/>
      <w:r w:rsidRPr="00C661E5">
        <w:rPr>
          <w:rFonts w:ascii="Verdana" w:eastAsia="Calibri" w:hAnsi="Verdana" w:cs="Arial"/>
          <w:color w:val="000000" w:themeColor="text1"/>
        </w:rPr>
        <w:t xml:space="preserve"> en los Procesos de Compra y Contratación Pública”</w:t>
      </w:r>
      <w:r w:rsidRPr="00C661E5">
        <w:rPr>
          <w:rFonts w:ascii="Verdana" w:eastAsia="Calibri" w:hAnsi="Verdana" w:cs="Arial"/>
          <w:color w:val="000000" w:themeColor="text1"/>
          <w:vertAlign w:val="superscript"/>
        </w:rPr>
        <w:footnoteReference w:id="5"/>
      </w:r>
      <w:r w:rsidRPr="00C661E5">
        <w:rPr>
          <w:rFonts w:ascii="Verdana" w:eastAsia="Calibri" w:hAnsi="Verdana" w:cs="Arial"/>
          <w:color w:val="000000" w:themeColor="text1"/>
        </w:rPr>
        <w:t>.</w:t>
      </w:r>
    </w:p>
    <w:p w14:paraId="59D9EA93" w14:textId="77777777" w:rsidR="00C661E5" w:rsidRPr="00C661E5" w:rsidRDefault="00C661E5" w:rsidP="00C661E5">
      <w:pPr>
        <w:spacing w:after="120" w:line="276" w:lineRule="auto"/>
        <w:ind w:firstLine="709"/>
        <w:jc w:val="both"/>
        <w:rPr>
          <w:rFonts w:ascii="Verdana" w:eastAsia="Calibri" w:hAnsi="Verdana" w:cs="Arial"/>
          <w:color w:val="000000" w:themeColor="text1"/>
        </w:rPr>
      </w:pPr>
      <w:r w:rsidRPr="00C661E5">
        <w:rPr>
          <w:rFonts w:ascii="Verdana" w:hAnsi="Verdana" w:cs="Arial"/>
          <w:color w:val="000000" w:themeColor="text1"/>
        </w:rPr>
        <w:t xml:space="preserve">En tal sentido, </w:t>
      </w:r>
      <w:r w:rsidRPr="00C661E5">
        <w:rPr>
          <w:rFonts w:ascii="Verdana" w:eastAsia="Calibri" w:hAnsi="Verdana" w:cs="Arial"/>
          <w:color w:val="000000" w:themeColor="text1"/>
        </w:rPr>
        <w:t>lo que debe adoptarse obligatoriamente es la</w:t>
      </w:r>
      <w:r w:rsidRPr="00C661E5">
        <w:rPr>
          <w:rFonts w:ascii="Verdana" w:hAnsi="Verdana" w:cs="Arial"/>
          <w:color w:val="000000" w:themeColor="text1"/>
        </w:rPr>
        <w:t xml:space="preserve"> limitación a </w:t>
      </w:r>
      <w:proofErr w:type="spellStart"/>
      <w:r w:rsidRPr="00C661E5">
        <w:rPr>
          <w:rFonts w:ascii="Verdana" w:hAnsi="Verdana" w:cs="Arial"/>
          <w:color w:val="000000" w:themeColor="text1"/>
        </w:rPr>
        <w:t>Mipymes</w:t>
      </w:r>
      <w:proofErr w:type="spellEnd"/>
      <w:r w:rsidRPr="00C661E5">
        <w:rPr>
          <w:rFonts w:ascii="Verdana" w:hAnsi="Verdana" w:cs="Arial"/>
          <w:color w:val="000000" w:themeColor="text1"/>
        </w:rPr>
        <w:t xml:space="preserve"> colombianas</w:t>
      </w:r>
      <w:r w:rsidRPr="00C661E5">
        <w:rPr>
          <w:rFonts w:ascii="Verdana" w:eastAsia="Calibri" w:hAnsi="Verdana" w:cs="Arial"/>
          <w:color w:val="000000" w:themeColor="text1"/>
        </w:rPr>
        <w:t xml:space="preserve"> siempre que se cumplan las condiciones del artículo 2.2.1.2.4.2.2 del Decreto 1082 de 2015, pero no la “limitación territorial” referida en el artículo 2.2.1.2.4.2.3 </w:t>
      </w:r>
      <w:proofErr w:type="spellStart"/>
      <w:r w:rsidRPr="00C661E5">
        <w:rPr>
          <w:rFonts w:ascii="Verdana" w:eastAsia="Calibri" w:hAnsi="Verdana" w:cs="Arial"/>
          <w:i/>
          <w:iCs/>
          <w:color w:val="000000" w:themeColor="text1"/>
        </w:rPr>
        <w:t>ibídem</w:t>
      </w:r>
      <w:proofErr w:type="spellEnd"/>
      <w:r w:rsidRPr="00C661E5">
        <w:rPr>
          <w:rFonts w:ascii="Verdana" w:eastAsia="Calibri" w:hAnsi="Verdana" w:cs="Arial"/>
          <w:color w:val="000000" w:themeColor="text1"/>
        </w:rPr>
        <w:t>, pues esta es facultativa para la entidad. Las únicas exigencias son que la convocatoria esté l</w:t>
      </w:r>
      <w:r w:rsidRPr="00C661E5">
        <w:rPr>
          <w:rFonts w:ascii="Verdana" w:hAnsi="Verdana" w:cs="Arial"/>
          <w:color w:val="000000" w:themeColor="text1"/>
        </w:rPr>
        <w:t xml:space="preserve">imitada a las </w:t>
      </w:r>
      <w:proofErr w:type="spellStart"/>
      <w:r w:rsidRPr="00C661E5">
        <w:rPr>
          <w:rFonts w:ascii="Verdana" w:hAnsi="Verdana" w:cs="Arial"/>
          <w:color w:val="000000" w:themeColor="text1"/>
        </w:rPr>
        <w:t>Mipyme</w:t>
      </w:r>
      <w:proofErr w:type="spellEnd"/>
      <w:r w:rsidRPr="00C661E5">
        <w:rPr>
          <w:rFonts w:ascii="Verdana" w:hAnsi="Verdana" w:cs="Arial"/>
          <w:color w:val="000000" w:themeColor="text1"/>
        </w:rPr>
        <w:t xml:space="preserve"> colombianas</w:t>
      </w:r>
      <w:r w:rsidRPr="00C661E5">
        <w:rPr>
          <w:rFonts w:ascii="Verdana" w:eastAsia="Calibri" w:hAnsi="Verdana" w:cs="Arial"/>
          <w:color w:val="000000" w:themeColor="text1"/>
        </w:rPr>
        <w:t xml:space="preserve"> “domiciliadas en los departamentos o municipios en donde se va a ejecutar el contrato” y que la entidad justifique su decisión con base en </w:t>
      </w:r>
      <w:r w:rsidRPr="00C661E5">
        <w:rPr>
          <w:rFonts w:ascii="Verdana" w:eastAsia="Calibri" w:hAnsi="Verdana" w:cs="Arial"/>
          <w:color w:val="000000" w:themeColor="text1"/>
        </w:rPr>
        <w:lastRenderedPageBreak/>
        <w:t>los “estudios del sector”</w:t>
      </w:r>
      <w:r w:rsidRPr="00C661E5">
        <w:rPr>
          <w:rFonts w:ascii="Verdana" w:eastAsia="Calibri" w:hAnsi="Verdana" w:cs="Arial"/>
          <w:color w:val="000000" w:themeColor="text1"/>
          <w:vertAlign w:val="superscript"/>
        </w:rPr>
        <w:footnoteReference w:id="6"/>
      </w:r>
      <w:r w:rsidRPr="00C661E5">
        <w:rPr>
          <w:rFonts w:ascii="Verdana" w:eastAsia="Calibri" w:hAnsi="Verdana" w:cs="Arial"/>
          <w:color w:val="000000" w:themeColor="text1"/>
        </w:rPr>
        <w:t xml:space="preserve">. No es procedente, entonces, que sean las </w:t>
      </w:r>
      <w:proofErr w:type="spellStart"/>
      <w:r w:rsidRPr="00C661E5">
        <w:rPr>
          <w:rFonts w:ascii="Verdana" w:eastAsia="Calibri" w:hAnsi="Verdana" w:cs="Arial"/>
          <w:color w:val="000000" w:themeColor="text1"/>
        </w:rPr>
        <w:t>Mipymes</w:t>
      </w:r>
      <w:proofErr w:type="spellEnd"/>
      <w:r w:rsidRPr="00C661E5">
        <w:rPr>
          <w:rFonts w:ascii="Verdana" w:eastAsia="Calibri" w:hAnsi="Verdana" w:cs="Arial"/>
          <w:color w:val="000000" w:themeColor="text1"/>
        </w:rPr>
        <w:t xml:space="preserve"> las que soliciten la “limitación territorial” a la que se refiere el artículo 2.2.1.2.4.2.3 del Decreto 1082 de 2015. </w:t>
      </w:r>
    </w:p>
    <w:p w14:paraId="1808F933" w14:textId="77777777" w:rsidR="00C661E5" w:rsidRPr="00C661E5" w:rsidRDefault="00C661E5" w:rsidP="00C661E5">
      <w:pPr>
        <w:spacing w:after="120" w:line="276" w:lineRule="auto"/>
        <w:ind w:firstLine="709"/>
        <w:jc w:val="both"/>
        <w:rPr>
          <w:rFonts w:ascii="Verdana" w:eastAsia="Calibri" w:hAnsi="Verdana" w:cs="Arial"/>
          <w:color w:val="000000" w:themeColor="text1"/>
        </w:rPr>
      </w:pPr>
      <w:r w:rsidRPr="00C661E5">
        <w:rPr>
          <w:rFonts w:ascii="Verdana" w:eastAsia="Calibri" w:hAnsi="Verdana" w:cs="Arial"/>
          <w:color w:val="000000" w:themeColor="text1"/>
        </w:rPr>
        <w:t>E</w:t>
      </w:r>
      <w:r w:rsidRPr="00C661E5">
        <w:rPr>
          <w:rFonts w:ascii="Verdana" w:hAnsi="Verdana" w:cs="Arial"/>
          <w:color w:val="000000" w:themeColor="text1"/>
        </w:rPr>
        <w:t xml:space="preserve">l origen de las </w:t>
      </w:r>
      <w:proofErr w:type="spellStart"/>
      <w:r w:rsidRPr="00C661E5">
        <w:rPr>
          <w:rFonts w:ascii="Verdana" w:hAnsi="Verdana" w:cs="Arial"/>
          <w:color w:val="000000" w:themeColor="text1"/>
        </w:rPr>
        <w:t>Mipyme</w:t>
      </w:r>
      <w:proofErr w:type="spellEnd"/>
      <w:r w:rsidRPr="00C661E5">
        <w:rPr>
          <w:rFonts w:ascii="Verdana" w:eastAsia="Calibri" w:hAnsi="Verdana" w:cs="Arial"/>
          <w:color w:val="000000" w:themeColor="text1"/>
        </w:rPr>
        <w:t xml:space="preserve"> que solicitan la “limitación territorial” no es relevante frente a dicha decisión por dos razo</w:t>
      </w:r>
      <w:r w:rsidRPr="00C661E5">
        <w:rPr>
          <w:rFonts w:ascii="Verdana" w:hAnsi="Verdana" w:cs="Arial"/>
          <w:color w:val="000000" w:themeColor="text1"/>
        </w:rPr>
        <w:t xml:space="preserve">nes: primero, porque las </w:t>
      </w:r>
      <w:proofErr w:type="spellStart"/>
      <w:r w:rsidRPr="00C661E5">
        <w:rPr>
          <w:rFonts w:ascii="Verdana" w:hAnsi="Verdana" w:cs="Arial"/>
          <w:color w:val="000000" w:themeColor="text1"/>
        </w:rPr>
        <w:t>Mipyme</w:t>
      </w:r>
      <w:proofErr w:type="spellEnd"/>
      <w:r w:rsidRPr="00C661E5">
        <w:rPr>
          <w:rFonts w:ascii="Verdana" w:eastAsia="Calibri" w:hAnsi="Verdana" w:cs="Arial"/>
          <w:color w:val="000000" w:themeColor="text1"/>
        </w:rPr>
        <w:t xml:space="preserve"> no están habilitadas para pedir la “limitación territorial”, lo están para pedir la “convocatoria limitada a </w:t>
      </w:r>
      <w:proofErr w:type="spellStart"/>
      <w:r w:rsidRPr="00C661E5">
        <w:rPr>
          <w:rFonts w:ascii="Verdana" w:eastAsia="Calibri" w:hAnsi="Verdana" w:cs="Arial"/>
          <w:color w:val="000000" w:themeColor="text1"/>
        </w:rPr>
        <w:t>Mipymes</w:t>
      </w:r>
      <w:proofErr w:type="spellEnd"/>
      <w:r w:rsidRPr="00C661E5">
        <w:rPr>
          <w:rFonts w:ascii="Verdana" w:eastAsia="Calibri" w:hAnsi="Verdana" w:cs="Arial"/>
          <w:color w:val="000000" w:themeColor="text1"/>
        </w:rPr>
        <w:t>”, y, segundo, porque el único criterio para tener en cuenta, una vez se ha decidido justificadamente limitar territorialmente la convocatori</w:t>
      </w:r>
      <w:r w:rsidRPr="00C661E5">
        <w:rPr>
          <w:rFonts w:ascii="Verdana" w:hAnsi="Verdana" w:cs="Arial"/>
          <w:color w:val="000000" w:themeColor="text1"/>
        </w:rPr>
        <w:t xml:space="preserve">a previamente limitada a </w:t>
      </w:r>
      <w:proofErr w:type="spellStart"/>
      <w:r w:rsidRPr="00C661E5">
        <w:rPr>
          <w:rFonts w:ascii="Verdana" w:hAnsi="Verdana" w:cs="Arial"/>
          <w:color w:val="000000" w:themeColor="text1"/>
        </w:rPr>
        <w:t>Mipyme</w:t>
      </w:r>
      <w:proofErr w:type="spellEnd"/>
      <w:r w:rsidRPr="00C661E5">
        <w:rPr>
          <w:rFonts w:ascii="Verdana" w:eastAsia="Calibri" w:hAnsi="Verdana" w:cs="Arial"/>
          <w:color w:val="000000" w:themeColor="text1"/>
        </w:rPr>
        <w:t>, es el lugar donde se va a ejecutar el contrato.</w:t>
      </w:r>
    </w:p>
    <w:p w14:paraId="2B4CE44F" w14:textId="77777777" w:rsidR="00C661E5" w:rsidRPr="00C661E5" w:rsidRDefault="00C661E5" w:rsidP="00C661E5">
      <w:pPr>
        <w:spacing w:after="120" w:line="276" w:lineRule="auto"/>
        <w:ind w:firstLine="705"/>
        <w:jc w:val="both"/>
        <w:textAlignment w:val="baseline"/>
        <w:rPr>
          <w:rFonts w:ascii="Verdana" w:eastAsia="Times New Roman" w:hAnsi="Verdana" w:cs="Arial"/>
          <w:lang w:eastAsia="es-CO"/>
        </w:rPr>
      </w:pPr>
      <w:r w:rsidRPr="00C661E5">
        <w:rPr>
          <w:rFonts w:ascii="Verdana" w:eastAsia="Times New Roman" w:hAnsi="Verdana" w:cs="Arial"/>
          <w:lang w:eastAsia="es-CO"/>
        </w:rPr>
        <w:t xml:space="preserve">Sin perjuicio de lo anterior, lo recomendable es que las entidades establezcan </w:t>
      </w:r>
      <w:r w:rsidRPr="00C661E5">
        <w:rPr>
          <w:rFonts w:ascii="Verdana" w:eastAsia="Times New Roman" w:hAnsi="Verdana" w:cs="Arial"/>
          <w:i/>
          <w:iCs/>
          <w:lang w:eastAsia="es-CO"/>
        </w:rPr>
        <w:t xml:space="preserve">ex ante </w:t>
      </w:r>
      <w:r w:rsidRPr="00C661E5">
        <w:rPr>
          <w:rFonts w:ascii="Verdana" w:eastAsia="Times New Roman" w:hAnsi="Verdana" w:cs="Arial"/>
          <w:lang w:eastAsia="es-CO"/>
        </w:rPr>
        <w:t xml:space="preserve">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w:t>
      </w:r>
      <w:proofErr w:type="spellStart"/>
      <w:r w:rsidRPr="00C661E5">
        <w:rPr>
          <w:rFonts w:ascii="Verdana" w:eastAsia="Times New Roman" w:hAnsi="Verdana" w:cs="Arial"/>
          <w:lang w:eastAsia="es-CO"/>
        </w:rPr>
        <w:t>Mipymes</w:t>
      </w:r>
      <w:proofErr w:type="spellEnd"/>
      <w:r w:rsidRPr="00C661E5">
        <w:rPr>
          <w:rFonts w:ascii="Verdana" w:eastAsia="Times New Roman" w:hAnsi="Verdana" w:cs="Arial"/>
          <w:lang w:eastAsia="es-CO"/>
        </w:rPr>
        <w:t>, como, por ejemplo, en relación con cuál o cuáles municipios o departamentos harían la limitación territorial de que trata el artículo 2.2.1.2.4.2.3. del Decreto 1082 de 2015. </w:t>
      </w:r>
    </w:p>
    <w:p w14:paraId="3FDF68D1" w14:textId="77777777" w:rsidR="00C661E5" w:rsidRPr="00C661E5" w:rsidRDefault="00C661E5" w:rsidP="00C661E5">
      <w:pPr>
        <w:spacing w:after="120" w:line="276" w:lineRule="auto"/>
        <w:ind w:firstLine="708"/>
        <w:jc w:val="both"/>
        <w:rPr>
          <w:rFonts w:ascii="Verdana" w:eastAsia="Arial" w:hAnsi="Verdana" w:cs="Arial"/>
          <w:color w:val="000000"/>
          <w:lang w:val="es-MX"/>
        </w:rPr>
      </w:pPr>
      <w:r w:rsidRPr="00C661E5">
        <w:rPr>
          <w:rFonts w:ascii="Verdana" w:eastAsia="Arial" w:hAnsi="Verdana" w:cs="Arial"/>
          <w:color w:val="000000" w:themeColor="text1"/>
          <w:lang w:val="es-ES_tradnl"/>
        </w:rPr>
        <w:t xml:space="preserve">En este contexto, si la entidad decide realizar la limitación territorial a </w:t>
      </w:r>
      <w:proofErr w:type="spellStart"/>
      <w:r w:rsidRPr="00C661E5">
        <w:rPr>
          <w:rFonts w:ascii="Verdana" w:eastAsia="Calibri" w:hAnsi="Verdana" w:cs="Arial"/>
        </w:rPr>
        <w:t>Mipyme</w:t>
      </w:r>
      <w:proofErr w:type="spellEnd"/>
      <w:r w:rsidRPr="00C661E5">
        <w:rPr>
          <w:rFonts w:ascii="Verdana" w:eastAsia="Calibri" w:hAnsi="Verdana" w:cs="Arial"/>
        </w:rPr>
        <w:t xml:space="preserve"> colombianas que tengan domicilio en los departamentos o municipios </w:t>
      </w:r>
      <w:r w:rsidRPr="00C661E5">
        <w:rPr>
          <w:rFonts w:ascii="Verdana" w:eastAsia="Calibri" w:hAnsi="Verdana" w:cs="Arial"/>
        </w:rPr>
        <w:lastRenderedPageBreak/>
        <w:t xml:space="preserve">en donde se va a ejecutar el contrato, ello implica que solo podrán participar en el proceso de contratación aquellas </w:t>
      </w:r>
      <w:proofErr w:type="spellStart"/>
      <w:r w:rsidRPr="00C661E5">
        <w:rPr>
          <w:rFonts w:ascii="Verdana" w:eastAsia="Calibri" w:hAnsi="Verdana" w:cs="Arial"/>
        </w:rPr>
        <w:t>Mipymes</w:t>
      </w:r>
      <w:proofErr w:type="spellEnd"/>
      <w:r w:rsidRPr="00C661E5">
        <w:rPr>
          <w:rFonts w:ascii="Verdana" w:eastAsia="Calibri" w:hAnsi="Verdana" w:cs="Arial"/>
        </w:rPr>
        <w:t xml:space="preserve"> que cumplan con dicho requisito, lo cual deberán acreditar </w:t>
      </w:r>
      <w:r w:rsidRPr="00C661E5">
        <w:rPr>
          <w:rFonts w:ascii="Verdana" w:eastAsia="Arial" w:hAnsi="Verdana" w:cs="Arial"/>
          <w:color w:val="000000"/>
          <w:lang w:val="es-MX"/>
        </w:rPr>
        <w:t xml:space="preserve">con los documentos definidos en el artículo 2.2.1.2.4.2.4. del Decreto 1082 de 2015, modificado por el Decreto 1860 de 2021. En consecuencia, el requisito podrá acreditarse con una certificación acompañada, ya sea, de una copia del registro mercantil –persona natural–, del certificado de existencia y representación legal –persona jurídica– o del Registro Único de Proponentes – RUP, en donde conste el domicilio de la </w:t>
      </w:r>
      <w:proofErr w:type="spellStart"/>
      <w:r w:rsidRPr="00C661E5">
        <w:rPr>
          <w:rFonts w:ascii="Verdana" w:eastAsia="Arial" w:hAnsi="Verdana" w:cs="Arial"/>
          <w:color w:val="000000"/>
          <w:lang w:val="es-MX"/>
        </w:rPr>
        <w:t>mipyme</w:t>
      </w:r>
      <w:proofErr w:type="spellEnd"/>
      <w:r w:rsidRPr="00C661E5">
        <w:rPr>
          <w:rFonts w:ascii="Verdana" w:eastAsia="Arial" w:hAnsi="Verdana" w:cs="Arial"/>
          <w:color w:val="000000"/>
          <w:lang w:val="es-MX"/>
        </w:rPr>
        <w:t xml:space="preserve"> interesada en la limitación territorial de la convocatoria pública para celebrar el contrato, que corresponda con el lugar de ejecución </w:t>
      </w:r>
      <w:proofErr w:type="gramStart"/>
      <w:r w:rsidRPr="00C661E5">
        <w:rPr>
          <w:rFonts w:ascii="Verdana" w:eastAsia="Arial" w:hAnsi="Verdana" w:cs="Arial"/>
          <w:color w:val="000000"/>
          <w:lang w:val="es-MX"/>
        </w:rPr>
        <w:t>del mismo</w:t>
      </w:r>
      <w:proofErr w:type="gramEnd"/>
      <w:r w:rsidRPr="00C661E5">
        <w:rPr>
          <w:rFonts w:ascii="Verdana" w:eastAsia="Arial" w:hAnsi="Verdana" w:cs="Arial"/>
          <w:color w:val="000000"/>
          <w:lang w:val="es-MX"/>
        </w:rPr>
        <w:t xml:space="preserve">, ya sea departamento o municipio. </w:t>
      </w:r>
    </w:p>
    <w:p w14:paraId="78C4E3A7" w14:textId="77777777" w:rsidR="00C661E5" w:rsidRPr="00C661E5" w:rsidRDefault="00C661E5" w:rsidP="00C661E5">
      <w:pPr>
        <w:spacing w:after="0" w:line="276" w:lineRule="auto"/>
        <w:ind w:firstLine="708"/>
        <w:jc w:val="both"/>
        <w:rPr>
          <w:rFonts w:ascii="Verdana" w:hAnsi="Verdana"/>
        </w:rPr>
      </w:pPr>
      <w:r w:rsidRPr="00C661E5">
        <w:rPr>
          <w:rFonts w:ascii="Verdana" w:hAnsi="Verdana"/>
        </w:rPr>
        <w:t xml:space="preserve">En todo caso, situaciones en las que se presentan un ejercicio de la potestad de limitar a </w:t>
      </w:r>
      <w:proofErr w:type="spellStart"/>
      <w:r w:rsidRPr="00C661E5">
        <w:rPr>
          <w:rFonts w:ascii="Verdana" w:hAnsi="Verdana"/>
        </w:rPr>
        <w:t>Miymes</w:t>
      </w:r>
      <w:proofErr w:type="spellEnd"/>
      <w:r w:rsidRPr="00C661E5">
        <w:rPr>
          <w:rFonts w:ascii="Verdana" w:hAnsi="Verdana"/>
        </w:rPr>
        <w:t xml:space="preserve">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p w14:paraId="345E73AE" w14:textId="77777777" w:rsidR="00C661E5" w:rsidRPr="00C661E5" w:rsidRDefault="00C661E5" w:rsidP="00C661E5">
      <w:pPr>
        <w:widowControl w:val="0"/>
        <w:autoSpaceDE w:val="0"/>
        <w:autoSpaceDN w:val="0"/>
        <w:spacing w:after="0" w:line="276" w:lineRule="auto"/>
        <w:jc w:val="both"/>
        <w:rPr>
          <w:rFonts w:ascii="Verdana" w:eastAsia="Arial" w:hAnsi="Verdana" w:cs="Arial"/>
          <w:lang w:val="es-ES"/>
        </w:rPr>
      </w:pPr>
    </w:p>
    <w:p w14:paraId="2688B759" w14:textId="77777777" w:rsidR="00C661E5" w:rsidRPr="00C661E5" w:rsidRDefault="00C661E5" w:rsidP="00C661E5">
      <w:pPr>
        <w:numPr>
          <w:ilvl w:val="0"/>
          <w:numId w:val="1"/>
        </w:numPr>
        <w:tabs>
          <w:tab w:val="left" w:pos="142"/>
          <w:tab w:val="left" w:pos="284"/>
        </w:tabs>
        <w:spacing w:after="0" w:line="276" w:lineRule="auto"/>
        <w:jc w:val="both"/>
        <w:rPr>
          <w:rFonts w:ascii="Verdana" w:eastAsia="Century Gothic" w:hAnsi="Verdana" w:cs="Century Gothic"/>
          <w:b/>
          <w:bCs/>
        </w:rPr>
      </w:pPr>
      <w:r w:rsidRPr="00C661E5">
        <w:rPr>
          <w:rFonts w:ascii="Verdana" w:eastAsia="Century Gothic" w:hAnsi="Verdana" w:cs="Century Gothic"/>
          <w:b/>
          <w:bCs/>
        </w:rPr>
        <w:t>Referencias normativas y jurisprudenciales:</w:t>
      </w:r>
    </w:p>
    <w:p w14:paraId="65EEA2B4" w14:textId="77777777" w:rsidR="00C661E5" w:rsidRPr="00C661E5" w:rsidRDefault="00C661E5" w:rsidP="00C661E5">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661E5" w:rsidRPr="00C661E5" w14:paraId="0FCC1443" w14:textId="77777777" w:rsidTr="009E7B99">
        <w:trPr>
          <w:trHeight w:val="410"/>
          <w:jc w:val="center"/>
        </w:trPr>
        <w:tc>
          <w:tcPr>
            <w:tcW w:w="8647" w:type="dxa"/>
          </w:tcPr>
          <w:p w14:paraId="0EE4B746" w14:textId="77777777" w:rsidR="00C661E5" w:rsidRPr="00C661E5" w:rsidRDefault="00C661E5" w:rsidP="00C661E5">
            <w:pPr>
              <w:widowControl w:val="0"/>
              <w:numPr>
                <w:ilvl w:val="0"/>
                <w:numId w:val="37"/>
              </w:numPr>
              <w:autoSpaceDE w:val="0"/>
              <w:autoSpaceDN w:val="0"/>
              <w:spacing w:line="276" w:lineRule="auto"/>
              <w:ind w:left="318" w:hanging="284"/>
              <w:contextualSpacing/>
              <w:jc w:val="both"/>
              <w:rPr>
                <w:rFonts w:ascii="Verdana" w:eastAsia="Aptos" w:hAnsi="Verdana" w:cs="Arial"/>
              </w:rPr>
            </w:pPr>
            <w:r w:rsidRPr="00C661E5">
              <w:rPr>
                <w:rFonts w:ascii="Verdana" w:eastAsia="Aptos" w:hAnsi="Verdana" w:cs="Arial"/>
              </w:rPr>
              <w:t>Ley 2069 de 2020. Artículo 34</w:t>
            </w:r>
          </w:p>
          <w:p w14:paraId="7757B0C6" w14:textId="77777777" w:rsidR="00C661E5" w:rsidRPr="00C661E5" w:rsidRDefault="00C661E5" w:rsidP="00C661E5">
            <w:pPr>
              <w:widowControl w:val="0"/>
              <w:numPr>
                <w:ilvl w:val="0"/>
                <w:numId w:val="37"/>
              </w:numPr>
              <w:autoSpaceDE w:val="0"/>
              <w:autoSpaceDN w:val="0"/>
              <w:spacing w:line="276" w:lineRule="auto"/>
              <w:ind w:left="318" w:hanging="284"/>
              <w:contextualSpacing/>
              <w:jc w:val="both"/>
              <w:rPr>
                <w:rFonts w:ascii="Verdana" w:eastAsia="Aptos" w:hAnsi="Verdana" w:cs="Arial"/>
              </w:rPr>
            </w:pPr>
            <w:r w:rsidRPr="00C661E5">
              <w:rPr>
                <w:rFonts w:ascii="Verdana" w:eastAsia="Calibri" w:hAnsi="Verdana" w:cs="Arial"/>
                <w:lang w:val="es-ES"/>
              </w:rPr>
              <w:t>Decreto 1860 de 2021. Artículo 5</w:t>
            </w:r>
          </w:p>
          <w:p w14:paraId="7A258C8B" w14:textId="77777777" w:rsidR="00C661E5" w:rsidRPr="00C661E5" w:rsidRDefault="00C661E5" w:rsidP="00C661E5">
            <w:pPr>
              <w:widowControl w:val="0"/>
              <w:numPr>
                <w:ilvl w:val="0"/>
                <w:numId w:val="37"/>
              </w:numPr>
              <w:autoSpaceDE w:val="0"/>
              <w:autoSpaceDN w:val="0"/>
              <w:spacing w:line="276" w:lineRule="auto"/>
              <w:ind w:left="318" w:hanging="284"/>
              <w:contextualSpacing/>
              <w:jc w:val="both"/>
              <w:rPr>
                <w:rFonts w:ascii="Verdana" w:eastAsia="Aptos" w:hAnsi="Verdana" w:cs="Arial"/>
              </w:rPr>
            </w:pPr>
            <w:r w:rsidRPr="00C661E5">
              <w:rPr>
                <w:rFonts w:ascii="Verdana" w:eastAsia="Aptos" w:hAnsi="Verdana" w:cs="Arial"/>
              </w:rPr>
              <w:t>Decreto 1074 de 2015. Artículos 2.2.1.13.2.1. y 2.2.1.13.2.2.</w:t>
            </w:r>
          </w:p>
          <w:p w14:paraId="0D8DB100" w14:textId="77777777" w:rsidR="00C661E5" w:rsidRPr="00C661E5" w:rsidRDefault="00C661E5" w:rsidP="00C661E5">
            <w:pPr>
              <w:widowControl w:val="0"/>
              <w:numPr>
                <w:ilvl w:val="0"/>
                <w:numId w:val="37"/>
              </w:numPr>
              <w:autoSpaceDE w:val="0"/>
              <w:autoSpaceDN w:val="0"/>
              <w:spacing w:line="276" w:lineRule="auto"/>
              <w:ind w:left="318" w:hanging="284"/>
              <w:contextualSpacing/>
              <w:jc w:val="both"/>
              <w:rPr>
                <w:rFonts w:ascii="Verdana" w:eastAsia="Aptos" w:hAnsi="Verdana" w:cs="Arial"/>
              </w:rPr>
            </w:pPr>
            <w:r w:rsidRPr="00C661E5">
              <w:rPr>
                <w:rFonts w:ascii="Verdana" w:eastAsia="Calibri" w:hAnsi="Verdana" w:cs="Arial"/>
                <w:color w:val="000000" w:themeColor="text1"/>
              </w:rPr>
              <w:t xml:space="preserve">“Guía para Promover la Participación de las </w:t>
            </w:r>
            <w:proofErr w:type="spellStart"/>
            <w:r w:rsidRPr="00C661E5">
              <w:rPr>
                <w:rFonts w:ascii="Verdana" w:eastAsia="Calibri" w:hAnsi="Verdana" w:cs="Arial"/>
                <w:color w:val="000000" w:themeColor="text1"/>
              </w:rPr>
              <w:t>Mipymes</w:t>
            </w:r>
            <w:proofErr w:type="spellEnd"/>
            <w:r w:rsidRPr="00C661E5">
              <w:rPr>
                <w:rFonts w:ascii="Verdana" w:eastAsia="Calibri" w:hAnsi="Verdana" w:cs="Arial"/>
                <w:color w:val="000000" w:themeColor="text1"/>
              </w:rPr>
              <w:t xml:space="preserve"> en los Procesos de Compra y Contratación Pública”.</w:t>
            </w:r>
            <w:r w:rsidRPr="00C661E5">
              <w:t xml:space="preserve"> </w:t>
            </w:r>
            <w:hyperlink r:id="rId14" w:history="1">
              <w:r w:rsidRPr="00C661E5">
                <w:rPr>
                  <w:rFonts w:ascii="Verdana" w:hAnsi="Verdana"/>
                  <w:color w:val="0563C1" w:themeColor="hyperlink"/>
                  <w:u w:val="single"/>
                </w:rPr>
                <w:t>https://www.colombiacompra.gov.co/sites/cce_public/files/cce_documents/guia_para_promover_la_participacion_de_las_mipymes_en_los_procesos_de_compra_publica_cce-gad-gi-26_1.pdf</w:t>
              </w:r>
            </w:hyperlink>
            <w:r w:rsidRPr="00C661E5">
              <w:t xml:space="preserve"> </w:t>
            </w:r>
          </w:p>
        </w:tc>
      </w:tr>
    </w:tbl>
    <w:p w14:paraId="2331F7DA" w14:textId="77777777" w:rsidR="00C661E5" w:rsidRPr="00C661E5" w:rsidRDefault="00C661E5" w:rsidP="00C661E5">
      <w:pPr>
        <w:widowControl w:val="0"/>
        <w:autoSpaceDE w:val="0"/>
        <w:autoSpaceDN w:val="0"/>
        <w:spacing w:after="0" w:line="276" w:lineRule="auto"/>
        <w:jc w:val="both"/>
        <w:rPr>
          <w:rFonts w:ascii="Verdana" w:hAnsi="Verdana" w:cs="Arial"/>
        </w:rPr>
      </w:pPr>
    </w:p>
    <w:p w14:paraId="4EFE31CC" w14:textId="77777777" w:rsidR="00C661E5" w:rsidRPr="00C661E5" w:rsidRDefault="00C661E5" w:rsidP="00C661E5">
      <w:pPr>
        <w:numPr>
          <w:ilvl w:val="0"/>
          <w:numId w:val="1"/>
        </w:numPr>
        <w:tabs>
          <w:tab w:val="left" w:pos="142"/>
          <w:tab w:val="left" w:pos="284"/>
        </w:tabs>
        <w:spacing w:after="0" w:line="276" w:lineRule="auto"/>
        <w:jc w:val="both"/>
        <w:rPr>
          <w:rFonts w:ascii="Verdana" w:eastAsia="Century Gothic" w:hAnsi="Verdana" w:cs="Century Gothic"/>
          <w:b/>
          <w:bCs/>
        </w:rPr>
      </w:pPr>
      <w:r w:rsidRPr="00C661E5">
        <w:rPr>
          <w:rFonts w:ascii="Verdana" w:eastAsia="Century Gothic" w:hAnsi="Verdana" w:cs="Century Gothic"/>
          <w:b/>
          <w:bCs/>
        </w:rPr>
        <w:t>Doctrina de la Agencia Nacional de Contratación Pública:</w:t>
      </w:r>
    </w:p>
    <w:p w14:paraId="08C94384" w14:textId="77777777" w:rsidR="00C661E5" w:rsidRPr="00C661E5" w:rsidRDefault="00C661E5" w:rsidP="00C661E5">
      <w:pPr>
        <w:widowControl w:val="0"/>
        <w:autoSpaceDE w:val="0"/>
        <w:autoSpaceDN w:val="0"/>
        <w:spacing w:after="0" w:line="276" w:lineRule="auto"/>
        <w:jc w:val="both"/>
        <w:rPr>
          <w:rFonts w:ascii="Verdana" w:hAnsi="Verdana" w:cs="Arial"/>
        </w:rPr>
      </w:pPr>
    </w:p>
    <w:p w14:paraId="2C2FE1B7" w14:textId="77777777" w:rsidR="00C661E5" w:rsidRPr="00C661E5" w:rsidRDefault="00C661E5" w:rsidP="00C661E5">
      <w:pPr>
        <w:spacing w:after="0" w:line="276" w:lineRule="auto"/>
        <w:jc w:val="both"/>
        <w:rPr>
          <w:rFonts w:ascii="Verdana" w:hAnsi="Verdana" w:cs="Arial"/>
          <w:color w:val="000000" w:themeColor="text1"/>
          <w:shd w:val="clear" w:color="auto" w:fill="FFFFFF"/>
        </w:rPr>
      </w:pPr>
      <w:r w:rsidRPr="00C661E5">
        <w:rPr>
          <w:rFonts w:ascii="Verdana" w:hAnsi="Verdana" w:cs="Arial"/>
          <w:shd w:val="clear" w:color="auto" w:fill="FFFFFF"/>
          <w:lang w:val="es-ES"/>
        </w:rPr>
        <w:lastRenderedPageBreak/>
        <w:t>Sobre las convocatorias limitadas a MiPymes, requisitos y acreditación, según la modificación realizada por el Decreto 1860 de 2021 al Decreto 1082 de 2015, esta Subdirección se ha referido en los Conceptos C-037 del 26 de febrero de 2021, C-035 del 02 de marzo de 2021, C-126 del 06 de abril de 2021, C-127 del 06 de abril de 2021, C-144 del 07 de abril de 2021, C-141 del 08 de abril de 2021, C-163 y C-164 del 19 de abril de 2021, C-242 del 25 de mayo de 2021, C-496 del 14 de septiembre de 2021, C-573 de 13 de octubre de 2021, C-001 del 17 de febrero de 2022, C-293 del 12 de abril de 2022, C-213 del 21 de abril de 2022, C- 377 del 13 de junio de 2022, C-490 del 26 de julio de 2022, C-523 del 16 de agosto de 2022, C-539 del 29 de agosto de 2022, C-585 del 19 de septiembre de 2022, C-587 del 21 de septiembre de 2022, C-597 del 9 de septiembre de 2022, C-627 del 12 de septiembre de 2022, C-643 del 10 de octubre de 2022, C- 662 del 13 de octubre de 2022, C-699 del 25 de octubre de 2022, C-744 del 08 de noviembre de 2022, C-758 del 10 de noviembre de 2022, C-895 del 27 de diciembre de 2022, C- 201 del 2 de agosto de 2024, C-584 del 22 de octubre de 2024, C-1021 del 27 de diciembre de 2024, C-932 del 30 de diciembre de 2024, C-478 del 20 de mayo de 2025, entre otros</w:t>
      </w:r>
      <w:r w:rsidRPr="00C661E5">
        <w:rPr>
          <w:rFonts w:ascii="Verdana" w:eastAsia="Calibri" w:hAnsi="Verdana" w:cs="Times New Roman"/>
        </w:rPr>
        <w:t xml:space="preserve">. </w:t>
      </w:r>
      <w:r w:rsidRPr="00C661E5">
        <w:rPr>
          <w:rFonts w:ascii="Verdana" w:hAnsi="Verdana" w:cs="Arial"/>
          <w:shd w:val="clear" w:color="auto" w:fill="FFFFFF"/>
        </w:rPr>
        <w:t>Es</w:t>
      </w:r>
      <w:r w:rsidRPr="00C661E5">
        <w:rPr>
          <w:rFonts w:ascii="Verdana" w:hAnsi="Verdana"/>
        </w:rPr>
        <w:t>tos conceptos se encuentran disponibles para consulta en el Sistema de relatoría de la Agencia, al cual se puede acceder a través del siguiente enlace:</w:t>
      </w:r>
      <w:r w:rsidRPr="00C661E5">
        <w:rPr>
          <w:rFonts w:ascii="Verdana" w:hAnsi="Verdana" w:cs="Arial"/>
          <w:shd w:val="clear" w:color="auto" w:fill="FFFFFF"/>
        </w:rPr>
        <w:t xml:space="preserve"> </w:t>
      </w:r>
      <w:hyperlink r:id="rId15" w:history="1">
        <w:r w:rsidRPr="00C661E5">
          <w:rPr>
            <w:rFonts w:ascii="Verdana" w:hAnsi="Verdana" w:cs="Arial"/>
            <w:color w:val="0563C1" w:themeColor="hyperlink"/>
            <w:u w:val="single"/>
            <w:shd w:val="clear" w:color="auto" w:fill="FFFFFF"/>
          </w:rPr>
          <w:t>https://relatoria.colombiacompra.gov.co/busqueda/conceptos</w:t>
        </w:r>
      </w:hyperlink>
      <w:r w:rsidRPr="00C661E5">
        <w:rPr>
          <w:rFonts w:ascii="Verdana" w:hAnsi="Verdana" w:cs="Arial"/>
          <w:shd w:val="clear" w:color="auto" w:fill="FFFFFF"/>
        </w:rPr>
        <w:t>.</w:t>
      </w:r>
      <w:r w:rsidRPr="00C661E5">
        <w:rPr>
          <w:rFonts w:ascii="Verdana" w:hAnsi="Verdana" w:cs="Arial"/>
          <w:color w:val="FF0000"/>
          <w:shd w:val="clear" w:color="auto" w:fill="FFFFFF"/>
        </w:rPr>
        <w:t xml:space="preserve"> </w:t>
      </w:r>
      <w:r w:rsidRPr="00C661E5">
        <w:rPr>
          <w:rFonts w:ascii="Verdana" w:hAnsi="Verdana" w:cs="Arial"/>
          <w:color w:val="000000" w:themeColor="text1"/>
          <w:shd w:val="clear" w:color="auto" w:fill="FFFFFF"/>
        </w:rPr>
        <w:t>  </w:t>
      </w:r>
    </w:p>
    <w:p w14:paraId="43F2FD40" w14:textId="77777777" w:rsidR="00C661E5" w:rsidRPr="00C661E5" w:rsidRDefault="00C661E5" w:rsidP="00C661E5">
      <w:pPr>
        <w:spacing w:after="0" w:line="276" w:lineRule="auto"/>
        <w:jc w:val="both"/>
        <w:rPr>
          <w:rFonts w:ascii="Verdana" w:hAnsi="Verdana" w:cs="Arial"/>
          <w:shd w:val="clear" w:color="auto" w:fill="FFFFFF"/>
          <w:lang w:val="es-ES"/>
        </w:rPr>
      </w:pPr>
    </w:p>
    <w:p w14:paraId="5BEA5CEF" w14:textId="77777777" w:rsidR="00C661E5" w:rsidRPr="00C661E5" w:rsidRDefault="00C661E5" w:rsidP="00C661E5">
      <w:pPr>
        <w:shd w:val="clear" w:color="auto" w:fill="FFFFFF"/>
        <w:spacing w:after="120" w:line="276" w:lineRule="auto"/>
        <w:jc w:val="both"/>
        <w:textAlignment w:val="baseline"/>
        <w:rPr>
          <w:rFonts w:ascii="Verdana" w:eastAsia="Times New Roman" w:hAnsi="Verdana" w:cs="Times New Roman"/>
          <w:color w:val="242424"/>
          <w:lang w:eastAsia="es-CO"/>
        </w:rPr>
      </w:pPr>
      <w:r w:rsidRPr="00C661E5">
        <w:rPr>
          <w:rFonts w:ascii="Verdana" w:eastAsia="Times New Roman" w:hAnsi="Verdana" w:cs="Times New Roman"/>
          <w:color w:val="000000"/>
          <w:bdr w:val="none" w:sz="0" w:space="0" w:color="auto" w:frame="1"/>
          <w:lang w:eastAsia="es-CO"/>
        </w:rPr>
        <w:t>También le contamos que ya se encuentra disponible la </w:t>
      </w:r>
      <w:r w:rsidRPr="00C661E5">
        <w:rPr>
          <w:rFonts w:ascii="Verdana" w:eastAsia="Times New Roman" w:hAnsi="Verdana" w:cs="Times New Roman"/>
          <w:b/>
          <w:bCs/>
          <w:color w:val="000000"/>
          <w:bdr w:val="none" w:sz="0" w:space="0" w:color="auto" w:frame="1"/>
          <w:lang w:eastAsia="es-CO"/>
        </w:rPr>
        <w:t>Guía de lineamientos de transparencia y selección objetiva para el departamento de La Guajira – Objetivo sexto constitucional de la Sentencia T-302 del 2017. </w:t>
      </w:r>
      <w:r w:rsidRPr="00C661E5">
        <w:rPr>
          <w:rFonts w:ascii="Verdana" w:eastAsia="Times New Roman" w:hAnsi="Verdana" w:cs="Times New Roman"/>
          <w:color w:val="000000"/>
          <w:bdr w:val="none" w:sz="0" w:space="0" w:color="auto" w:frame="1"/>
          <w:lang w:eastAsia="es-CO"/>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C661E5">
        <w:rPr>
          <w:rFonts w:ascii="Verdana" w:eastAsia="Times New Roman" w:hAnsi="Verdana" w:cs="Times New Roman"/>
          <w:color w:val="000000"/>
          <w:bdr w:val="none" w:sz="0" w:space="0" w:color="auto" w:frame="1"/>
          <w:lang w:eastAsia="es-CO"/>
        </w:rPr>
        <w:t>Wayúu</w:t>
      </w:r>
      <w:proofErr w:type="spellEnd"/>
      <w:r w:rsidRPr="00C661E5">
        <w:rPr>
          <w:rFonts w:ascii="Verdana" w:eastAsia="Times New Roman" w:hAnsi="Verdana" w:cs="Times New Roman"/>
          <w:color w:val="000000"/>
          <w:bdr w:val="none" w:sz="0" w:space="0" w:color="auto" w:frame="1"/>
          <w:lang w:eastAsia="es-CO"/>
        </w:rPr>
        <w:t>. Puede consultar la guía en el siguiente enlace: </w:t>
      </w:r>
      <w:hyperlink r:id="rId16" w:tgtFrame="_blank" w:tooltip="Dirección URL original: https://www.colombiacompra.gov.co/wp-content/uploads/2025/05/GUIA-DE-LINEAMIENTOS-DE-TRANSPARENCIA-Y-SELECCION-OBJETIVA-1.0.pdf. Haga clic o pulse si confía en este vínculo." w:history="1">
        <w:r w:rsidRPr="00C661E5">
          <w:rPr>
            <w:rFonts w:ascii="Verdana" w:eastAsia="Times New Roman" w:hAnsi="Verdana" w:cs="Times New Roman"/>
            <w:color w:val="467886"/>
            <w:u w:val="single"/>
            <w:bdr w:val="none" w:sz="0" w:space="0" w:color="auto" w:frame="1"/>
            <w:lang w:eastAsia="es-CO"/>
          </w:rPr>
          <w:t>Guía de lineamientos de transparencia y selección objetiva para el departamento de La Guajira – Objetivo sexto constitucional de la Sentencia T-302 del 2017</w:t>
        </w:r>
      </w:hyperlink>
      <w:r w:rsidRPr="00C661E5">
        <w:rPr>
          <w:rFonts w:ascii="Verdana" w:eastAsia="Times New Roman" w:hAnsi="Verdana" w:cs="Times New Roman"/>
          <w:color w:val="467886"/>
          <w:u w:val="single"/>
          <w:bdr w:val="none" w:sz="0" w:space="0" w:color="auto" w:frame="1"/>
          <w:lang w:eastAsia="es-CO"/>
        </w:rPr>
        <w:t>"</w:t>
      </w:r>
    </w:p>
    <w:p w14:paraId="48FC311D" w14:textId="77777777" w:rsidR="00C661E5" w:rsidRPr="00C661E5" w:rsidRDefault="00C661E5" w:rsidP="00C661E5">
      <w:pPr>
        <w:widowControl w:val="0"/>
        <w:autoSpaceDE w:val="0"/>
        <w:autoSpaceDN w:val="0"/>
        <w:spacing w:after="0" w:line="276" w:lineRule="auto"/>
        <w:jc w:val="both"/>
        <w:rPr>
          <w:rFonts w:ascii="Verdana" w:hAnsi="Verdana" w:cs="Arial"/>
        </w:rPr>
      </w:pPr>
      <w:r w:rsidRPr="00C661E5">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DF4FBC8" w14:textId="77777777" w:rsidR="00C661E5" w:rsidRPr="00C661E5" w:rsidRDefault="00C661E5" w:rsidP="00C661E5">
      <w:pPr>
        <w:widowControl w:val="0"/>
        <w:autoSpaceDE w:val="0"/>
        <w:autoSpaceDN w:val="0"/>
        <w:spacing w:after="0" w:line="276" w:lineRule="auto"/>
        <w:jc w:val="both"/>
        <w:rPr>
          <w:rFonts w:ascii="Verdana" w:hAnsi="Verdana" w:cs="Arial"/>
        </w:rPr>
      </w:pPr>
    </w:p>
    <w:p w14:paraId="0A6BDDC2" w14:textId="77777777" w:rsidR="00C661E5" w:rsidRPr="00C661E5" w:rsidRDefault="00C661E5" w:rsidP="00C661E5">
      <w:pPr>
        <w:spacing w:after="0" w:line="276" w:lineRule="auto"/>
        <w:rPr>
          <w:rFonts w:ascii="Verdana" w:hAnsi="Verdana" w:cs="Arial"/>
          <w:lang w:eastAsia="es-CO"/>
        </w:rPr>
      </w:pPr>
      <w:r w:rsidRPr="00C661E5">
        <w:rPr>
          <w:rFonts w:ascii="Verdana" w:eastAsia="Times New Roman" w:hAnsi="Verdana" w:cs="Arial"/>
          <w:lang w:eastAsia="es-CO"/>
        </w:rPr>
        <w:t>Atentamente,</w:t>
      </w:r>
      <w:r w:rsidRPr="00C661E5">
        <w:rPr>
          <w:rFonts w:ascii="Verdana" w:hAnsi="Verdana" w:cs="Arial"/>
          <w:lang w:eastAsia="es-CO"/>
        </w:rPr>
        <w:t xml:space="preserve"> </w:t>
      </w:r>
    </w:p>
    <w:p w14:paraId="6727147F" w14:textId="7A1B2250" w:rsidR="00C661E5" w:rsidRPr="00C661E5" w:rsidRDefault="00166537" w:rsidP="00C661E5">
      <w:pPr>
        <w:spacing w:line="276" w:lineRule="auto"/>
        <w:jc w:val="center"/>
        <w:rPr>
          <w:rFonts w:ascii="Verdana" w:hAnsi="Verdana" w:cs="Arial"/>
          <w:color w:val="000000"/>
          <w:lang w:eastAsia="es-CO"/>
        </w:rPr>
      </w:pPr>
      <w:r>
        <w:rPr>
          <w:noProof/>
        </w:rPr>
        <w:drawing>
          <wp:inline distT="0" distB="0" distL="0" distR="0" wp14:anchorId="7E0056A9" wp14:editId="6E099E7B">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661E5" w:rsidRPr="00C661E5" w14:paraId="3139F15C" w14:textId="77777777" w:rsidTr="009E7B99">
        <w:trPr>
          <w:trHeight w:val="315"/>
        </w:trPr>
        <w:tc>
          <w:tcPr>
            <w:tcW w:w="893" w:type="dxa"/>
            <w:vAlign w:val="center"/>
            <w:hideMark/>
          </w:tcPr>
          <w:p w14:paraId="614A2EBE" w14:textId="77777777" w:rsidR="00C661E5" w:rsidRPr="00C661E5" w:rsidRDefault="00C661E5" w:rsidP="00C661E5">
            <w:pPr>
              <w:contextualSpacing/>
              <w:rPr>
                <w:rFonts w:ascii="Verdana" w:hAnsi="Verdana" w:cs="Arial"/>
                <w:sz w:val="16"/>
                <w:szCs w:val="16"/>
                <w:lang w:eastAsia="es-ES"/>
              </w:rPr>
            </w:pPr>
            <w:r w:rsidRPr="00C661E5">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75F00A5C" w14:textId="77777777" w:rsidR="00C661E5" w:rsidRPr="00C661E5" w:rsidRDefault="00C661E5" w:rsidP="00C661E5">
            <w:pPr>
              <w:contextualSpacing/>
              <w:rPr>
                <w:rFonts w:ascii="Verdana" w:hAnsi="Verdana"/>
                <w:sz w:val="16"/>
                <w:szCs w:val="16"/>
              </w:rPr>
            </w:pPr>
            <w:r w:rsidRPr="00C661E5">
              <w:rPr>
                <w:rFonts w:ascii="Verdana" w:hAnsi="Verdana"/>
                <w:sz w:val="16"/>
                <w:szCs w:val="16"/>
              </w:rPr>
              <w:t>Tatiana Baquero Iguarán</w:t>
            </w:r>
          </w:p>
          <w:p w14:paraId="14CA5560" w14:textId="77777777" w:rsidR="00C661E5" w:rsidRPr="00C661E5" w:rsidRDefault="00C661E5" w:rsidP="00C661E5">
            <w:pPr>
              <w:contextualSpacing/>
              <w:rPr>
                <w:rFonts w:ascii="Verdana" w:eastAsia="Arial" w:hAnsi="Verdana" w:cs="Arial"/>
                <w:sz w:val="16"/>
                <w:szCs w:val="16"/>
              </w:rPr>
            </w:pPr>
            <w:r w:rsidRPr="00C661E5">
              <w:rPr>
                <w:rFonts w:ascii="Verdana" w:hAnsi="Verdana"/>
                <w:sz w:val="16"/>
                <w:szCs w:val="16"/>
              </w:rPr>
              <w:t>Contratista de la Subdirección de Gestión Contractual</w:t>
            </w:r>
          </w:p>
        </w:tc>
      </w:tr>
      <w:tr w:rsidR="00C661E5" w:rsidRPr="00C661E5" w14:paraId="192927A8" w14:textId="77777777" w:rsidTr="009E7B99">
        <w:trPr>
          <w:trHeight w:val="330"/>
        </w:trPr>
        <w:tc>
          <w:tcPr>
            <w:tcW w:w="893" w:type="dxa"/>
            <w:vAlign w:val="center"/>
            <w:hideMark/>
          </w:tcPr>
          <w:p w14:paraId="16ED13B7" w14:textId="77777777" w:rsidR="00C661E5" w:rsidRPr="00C661E5" w:rsidRDefault="00C661E5" w:rsidP="00C661E5">
            <w:pPr>
              <w:contextualSpacing/>
              <w:rPr>
                <w:rFonts w:ascii="Verdana" w:hAnsi="Verdana" w:cs="Arial"/>
                <w:sz w:val="16"/>
                <w:szCs w:val="16"/>
                <w:lang w:eastAsia="es-ES"/>
              </w:rPr>
            </w:pPr>
            <w:r w:rsidRPr="00C661E5">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01A1D4A" w14:textId="77777777" w:rsidR="00C661E5" w:rsidRPr="00C661E5" w:rsidRDefault="00C661E5" w:rsidP="00C661E5">
            <w:pPr>
              <w:textAlignment w:val="baseline"/>
              <w:rPr>
                <w:rFonts w:ascii="Verdana" w:eastAsia="Times New Roman" w:hAnsi="Verdana" w:cs="Arial"/>
                <w:sz w:val="16"/>
                <w:szCs w:val="16"/>
                <w:lang w:val="es-MX" w:eastAsia="es-CO"/>
              </w:rPr>
            </w:pPr>
            <w:r w:rsidRPr="00C661E5">
              <w:rPr>
                <w:rFonts w:ascii="Verdana" w:eastAsia="Times New Roman" w:hAnsi="Verdana" w:cs="Arial"/>
                <w:sz w:val="16"/>
                <w:szCs w:val="16"/>
                <w:lang w:val="es-MX" w:eastAsia="es-CO"/>
              </w:rPr>
              <w:t>Alejandro Raúl Sarmiento Cantillo</w:t>
            </w:r>
          </w:p>
          <w:p w14:paraId="24E25023" w14:textId="77777777" w:rsidR="00C661E5" w:rsidRPr="00C661E5" w:rsidRDefault="00C661E5" w:rsidP="00C661E5">
            <w:pPr>
              <w:spacing w:before="100" w:beforeAutospacing="1" w:after="100" w:afterAutospacing="1"/>
              <w:contextualSpacing/>
              <w:textAlignment w:val="baseline"/>
              <w:rPr>
                <w:rFonts w:ascii="Verdana" w:eastAsia="Times New Roman" w:hAnsi="Verdana" w:cs="Segoe UI"/>
                <w:sz w:val="16"/>
                <w:szCs w:val="16"/>
                <w:lang w:eastAsia="es-ES_tradnl"/>
              </w:rPr>
            </w:pPr>
            <w:r w:rsidRPr="00C661E5">
              <w:rPr>
                <w:rFonts w:ascii="Verdana" w:eastAsia="Times New Roman" w:hAnsi="Verdana" w:cs="Arial"/>
                <w:sz w:val="16"/>
                <w:szCs w:val="16"/>
                <w:lang w:val="es-MX" w:eastAsia="es-CO"/>
              </w:rPr>
              <w:t>Gestor T1-15 de la Subdirección de Gestión Contractual</w:t>
            </w:r>
          </w:p>
        </w:tc>
      </w:tr>
      <w:tr w:rsidR="00C661E5" w:rsidRPr="00C661E5" w14:paraId="13757434" w14:textId="77777777" w:rsidTr="009E7B99">
        <w:trPr>
          <w:trHeight w:val="300"/>
        </w:trPr>
        <w:tc>
          <w:tcPr>
            <w:tcW w:w="893" w:type="dxa"/>
            <w:vAlign w:val="center"/>
          </w:tcPr>
          <w:p w14:paraId="5AE322CF" w14:textId="77777777" w:rsidR="00C661E5" w:rsidRPr="00C661E5" w:rsidRDefault="00C661E5" w:rsidP="00C661E5">
            <w:pPr>
              <w:contextualSpacing/>
              <w:rPr>
                <w:rFonts w:ascii="Verdana" w:hAnsi="Verdana" w:cs="Arial"/>
                <w:sz w:val="16"/>
                <w:szCs w:val="16"/>
                <w:lang w:eastAsia="es-ES"/>
              </w:rPr>
            </w:pPr>
            <w:r w:rsidRPr="00C661E5">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6BB43AD" w14:textId="77777777" w:rsidR="00C661E5" w:rsidRPr="00C661E5" w:rsidRDefault="00C661E5" w:rsidP="00C661E5">
            <w:pPr>
              <w:contextualSpacing/>
              <w:rPr>
                <w:rFonts w:ascii="Verdana" w:eastAsia="Calibri" w:hAnsi="Verdana" w:cs="Arial"/>
                <w:sz w:val="16"/>
                <w:szCs w:val="16"/>
                <w:lang w:eastAsia="es-ES"/>
              </w:rPr>
            </w:pPr>
            <w:r w:rsidRPr="00C661E5">
              <w:rPr>
                <w:rFonts w:ascii="Verdana" w:eastAsia="Calibri" w:hAnsi="Verdana" w:cs="Arial"/>
                <w:sz w:val="16"/>
                <w:szCs w:val="16"/>
                <w:lang w:eastAsia="es-ES"/>
              </w:rPr>
              <w:t xml:space="preserve">Carolina Quintero </w:t>
            </w:r>
            <w:proofErr w:type="spellStart"/>
            <w:r w:rsidRPr="00C661E5">
              <w:rPr>
                <w:rFonts w:ascii="Verdana" w:eastAsia="Calibri" w:hAnsi="Verdana" w:cs="Arial"/>
                <w:sz w:val="16"/>
                <w:szCs w:val="16"/>
                <w:lang w:eastAsia="es-ES"/>
              </w:rPr>
              <w:t>Gacharná</w:t>
            </w:r>
            <w:proofErr w:type="spellEnd"/>
          </w:p>
          <w:p w14:paraId="692033F0" w14:textId="77777777" w:rsidR="00C661E5" w:rsidRPr="00C661E5" w:rsidRDefault="00C661E5" w:rsidP="00C661E5">
            <w:pPr>
              <w:contextualSpacing/>
              <w:rPr>
                <w:rFonts w:ascii="Verdana" w:eastAsia="Calibri" w:hAnsi="Verdana" w:cs="Arial"/>
                <w:sz w:val="16"/>
                <w:szCs w:val="16"/>
                <w:lang w:eastAsia="es-ES"/>
              </w:rPr>
            </w:pPr>
            <w:r w:rsidRPr="00C661E5">
              <w:rPr>
                <w:rFonts w:ascii="Verdana" w:eastAsia="Calibri" w:hAnsi="Verdana" w:cs="Arial"/>
                <w:sz w:val="16"/>
                <w:szCs w:val="16"/>
                <w:lang w:eastAsia="es-ES"/>
              </w:rPr>
              <w:t>Subdirectora de Gestión Contractual ANCP – CCE</w:t>
            </w:r>
          </w:p>
        </w:tc>
      </w:tr>
    </w:tbl>
    <w:p w14:paraId="1BF7A597" w14:textId="77777777" w:rsidR="00C661E5" w:rsidRPr="00C661E5" w:rsidRDefault="00C661E5" w:rsidP="00C661E5">
      <w:pPr>
        <w:spacing w:after="0" w:line="240" w:lineRule="auto"/>
        <w:rPr>
          <w:rFonts w:ascii="Verdana" w:eastAsia="Aptos" w:hAnsi="Verdana" w:cs="Times New Roman"/>
          <w:sz w:val="20"/>
          <w:szCs w:val="20"/>
        </w:rPr>
      </w:pPr>
    </w:p>
    <w:p w14:paraId="32F872EE" w14:textId="77777777" w:rsidR="00C661E5" w:rsidRPr="00C661E5" w:rsidRDefault="00C661E5" w:rsidP="00C661E5"/>
    <w:p w14:paraId="7C8FD824" w14:textId="77777777" w:rsidR="00E629EF" w:rsidRDefault="00E629EF" w:rsidP="001F2DB5">
      <w:pPr>
        <w:spacing w:after="0" w:line="240" w:lineRule="auto"/>
        <w:rPr>
          <w:rFonts w:ascii="Verdana" w:eastAsia="Arial" w:hAnsi="Verdana" w:cs="Arial"/>
          <w:color w:val="000000"/>
        </w:rPr>
      </w:pPr>
    </w:p>
    <w:p w14:paraId="5177F88F" w14:textId="77777777" w:rsidR="00E629EF" w:rsidRDefault="00E629EF" w:rsidP="001F2DB5">
      <w:pPr>
        <w:spacing w:after="0" w:line="240" w:lineRule="auto"/>
        <w:rPr>
          <w:rFonts w:ascii="Verdana" w:eastAsia="Arial" w:hAnsi="Verdana" w:cs="Arial"/>
          <w:color w:val="000000"/>
        </w:rPr>
      </w:pPr>
    </w:p>
    <w:p w14:paraId="214F9914" w14:textId="77777777" w:rsidR="00E629EF" w:rsidRDefault="00E629EF" w:rsidP="001F2DB5">
      <w:pPr>
        <w:spacing w:after="0" w:line="240" w:lineRule="auto"/>
        <w:rPr>
          <w:rFonts w:ascii="Verdana" w:eastAsia="Arial" w:hAnsi="Verdana" w:cs="Arial"/>
          <w:color w:val="000000"/>
        </w:rPr>
      </w:pPr>
    </w:p>
    <w:p w14:paraId="1F764A77" w14:textId="77777777" w:rsidR="00E629EF" w:rsidRDefault="00E629EF" w:rsidP="001F2DB5">
      <w:pPr>
        <w:spacing w:after="0" w:line="240" w:lineRule="auto"/>
        <w:rPr>
          <w:rFonts w:ascii="Verdana" w:eastAsia="Geomanist Light" w:hAnsi="Verdana" w:cs="Arial"/>
          <w:color w:val="000000" w:themeColor="text1"/>
          <w:lang w:val="es-MX"/>
        </w:rPr>
      </w:pPr>
    </w:p>
    <w:p w14:paraId="434B7F6D" w14:textId="77777777" w:rsidR="00FD2282" w:rsidRDefault="00FD2282" w:rsidP="00AD4F6A">
      <w:pPr>
        <w:spacing w:after="0" w:line="240" w:lineRule="auto"/>
        <w:rPr>
          <w:rFonts w:ascii="Verdana" w:eastAsia="Geomanist Light" w:hAnsi="Verdana" w:cs="Arial"/>
          <w:color w:val="000000" w:themeColor="text1"/>
        </w:rPr>
      </w:pPr>
    </w:p>
    <w:p w14:paraId="2ABC61D8" w14:textId="77777777" w:rsidR="001F2DB5" w:rsidRDefault="001F2DB5" w:rsidP="00AD4F6A">
      <w:pPr>
        <w:spacing w:after="0" w:line="240" w:lineRule="auto"/>
        <w:rPr>
          <w:rFonts w:ascii="Verdana" w:eastAsia="Geomanist Light" w:hAnsi="Verdana" w:cs="Arial"/>
          <w:color w:val="000000" w:themeColor="text1"/>
        </w:rPr>
      </w:pPr>
    </w:p>
    <w:bookmarkEnd w:id="0"/>
    <w:p w14:paraId="2E980930" w14:textId="77777777" w:rsidR="001F2DB5" w:rsidRDefault="001F2DB5" w:rsidP="00AD4F6A">
      <w:pPr>
        <w:spacing w:after="0" w:line="240" w:lineRule="auto"/>
        <w:rPr>
          <w:rFonts w:ascii="Verdana" w:eastAsia="Geomanist Light" w:hAnsi="Verdana" w:cs="Arial"/>
          <w:color w:val="000000" w:themeColor="text1"/>
        </w:rPr>
      </w:pPr>
    </w:p>
    <w:sectPr w:rsidR="001F2DB5" w:rsidSect="00C44B4C">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197D6" w14:textId="77777777" w:rsidR="006940BE" w:rsidRPr="009B7987" w:rsidRDefault="006940BE" w:rsidP="00B30448">
      <w:pPr>
        <w:spacing w:after="0" w:line="240" w:lineRule="auto"/>
      </w:pPr>
      <w:r w:rsidRPr="009B7987">
        <w:separator/>
      </w:r>
    </w:p>
  </w:endnote>
  <w:endnote w:type="continuationSeparator" w:id="0">
    <w:p w14:paraId="62A40EA0" w14:textId="77777777" w:rsidR="006940BE" w:rsidRPr="009B7987" w:rsidRDefault="006940BE" w:rsidP="00B30448">
      <w:pPr>
        <w:spacing w:after="0" w:line="240" w:lineRule="auto"/>
      </w:pPr>
      <w:r w:rsidRPr="009B7987">
        <w:continuationSeparator/>
      </w:r>
    </w:p>
  </w:endnote>
  <w:endnote w:type="continuationNotice" w:id="1">
    <w:p w14:paraId="76030C9E" w14:textId="77777777" w:rsidR="006940BE" w:rsidRPr="009B7987" w:rsidRDefault="006940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55DE8" w14:textId="77777777" w:rsidR="006940BE" w:rsidRPr="009B7987" w:rsidRDefault="006940BE" w:rsidP="00B30448">
      <w:pPr>
        <w:spacing w:after="0" w:line="240" w:lineRule="auto"/>
      </w:pPr>
      <w:r w:rsidRPr="009B7987">
        <w:separator/>
      </w:r>
    </w:p>
  </w:footnote>
  <w:footnote w:type="continuationSeparator" w:id="0">
    <w:p w14:paraId="42667A6B" w14:textId="77777777" w:rsidR="006940BE" w:rsidRPr="009B7987" w:rsidRDefault="006940BE" w:rsidP="00B30448">
      <w:pPr>
        <w:spacing w:after="0" w:line="240" w:lineRule="auto"/>
      </w:pPr>
      <w:r w:rsidRPr="009B7987">
        <w:continuationSeparator/>
      </w:r>
    </w:p>
  </w:footnote>
  <w:footnote w:type="continuationNotice" w:id="1">
    <w:p w14:paraId="0C55B757" w14:textId="77777777" w:rsidR="006940BE" w:rsidRPr="009B7987" w:rsidRDefault="006940BE">
      <w:pPr>
        <w:spacing w:after="0" w:line="240" w:lineRule="auto"/>
      </w:pPr>
    </w:p>
  </w:footnote>
  <w:footnote w:id="2">
    <w:p w14:paraId="7C0A26B9" w14:textId="77777777" w:rsidR="00C661E5" w:rsidRDefault="00C661E5" w:rsidP="00C661E5">
      <w:pPr>
        <w:ind w:firstLine="708"/>
        <w:jc w:val="both"/>
        <w:rPr>
          <w:rFonts w:ascii="Verdana" w:eastAsia="Arial" w:hAnsi="Verdana" w:cs="Arial"/>
          <w:color w:val="000000"/>
          <w:sz w:val="14"/>
          <w:szCs w:val="14"/>
        </w:rPr>
      </w:pPr>
      <w:r>
        <w:rPr>
          <w:rStyle w:val="Refdenotaalpie"/>
          <w:rFonts w:ascii="Verdana" w:hAnsi="Verdana" w:cs="Arial"/>
          <w:sz w:val="14"/>
          <w:szCs w:val="14"/>
        </w:rPr>
        <w:footnoteRef/>
      </w:r>
      <w:r>
        <w:rPr>
          <w:rFonts w:ascii="Verdana" w:hAnsi="Verdana" w:cs="Arial"/>
          <w:sz w:val="14"/>
          <w:szCs w:val="14"/>
        </w:rPr>
        <w:t xml:space="preserve"> </w:t>
      </w:r>
      <w:bookmarkStart w:id="3" w:name="43"/>
      <w:r>
        <w:rPr>
          <w:rFonts w:ascii="Verdana" w:eastAsia="Arial" w:hAnsi="Verdana" w:cs="Arial"/>
          <w:color w:val="000000"/>
          <w:sz w:val="14"/>
          <w:szCs w:val="14"/>
        </w:rPr>
        <w:t>Artículo 43. Definiciones de Tamaño Empresarial.</w:t>
      </w:r>
      <w:bookmarkEnd w:id="3"/>
      <w:r>
        <w:rPr>
          <w:rFonts w:ascii="Verdana" w:eastAsia="Arial" w:hAnsi="Verdana" w:cs="Arial"/>
          <w:color w:val="000000"/>
          <w:sz w:val="14"/>
          <w:szCs w:val="14"/>
        </w:rPr>
        <w:t> El artículo </w:t>
      </w:r>
      <w:hyperlink r:id="rId1" w:anchor="2" w:history="1">
        <w:r>
          <w:rPr>
            <w:rStyle w:val="Hipervnculo1"/>
            <w:rFonts w:ascii="Verdana" w:eastAsia="Arial" w:hAnsi="Verdana" w:cs="Arial"/>
            <w:color w:val="000000"/>
            <w:sz w:val="14"/>
            <w:szCs w:val="14"/>
          </w:rPr>
          <w:t>2</w:t>
        </w:r>
      </w:hyperlink>
      <w:r>
        <w:rPr>
          <w:rFonts w:ascii="Verdana" w:eastAsia="Arial" w:hAnsi="Verdana" w:cs="Arial"/>
          <w:color w:val="000000"/>
          <w:sz w:val="14"/>
          <w:szCs w:val="14"/>
        </w:rPr>
        <w:t>o de la Ley 590 de 2000, quedará así:</w:t>
      </w:r>
    </w:p>
    <w:p w14:paraId="2C7C702F" w14:textId="77777777" w:rsidR="00C661E5" w:rsidRDefault="00C661E5" w:rsidP="00C661E5">
      <w:pPr>
        <w:ind w:firstLine="708"/>
        <w:contextualSpacing/>
        <w:jc w:val="both"/>
        <w:rPr>
          <w:rFonts w:ascii="Verdana" w:eastAsia="Arial" w:hAnsi="Verdana" w:cs="Arial"/>
          <w:color w:val="000000"/>
          <w:sz w:val="14"/>
          <w:szCs w:val="14"/>
        </w:rPr>
      </w:pPr>
      <w:r>
        <w:rPr>
          <w:rFonts w:ascii="Verdana" w:eastAsia="Arial" w:hAnsi="Verdana" w:cs="Arial"/>
          <w:i/>
          <w:iCs/>
          <w:color w:val="000000"/>
          <w:sz w:val="14"/>
          <w:szCs w:val="14"/>
        </w:rPr>
        <w:t>(…) Artículo </w:t>
      </w:r>
      <w:hyperlink r:id="rId2" w:anchor="2" w:history="1">
        <w:r>
          <w:rPr>
            <w:rStyle w:val="Hipervnculo1"/>
            <w:rFonts w:ascii="Verdana" w:eastAsia="Arial" w:hAnsi="Verdana" w:cs="Arial"/>
            <w:i/>
            <w:iCs/>
            <w:color w:val="000000"/>
            <w:sz w:val="14"/>
            <w:szCs w:val="14"/>
          </w:rPr>
          <w:t>2</w:t>
        </w:r>
      </w:hyperlink>
      <w:r>
        <w:rPr>
          <w:rFonts w:ascii="Verdana" w:eastAsia="Arial" w:hAnsi="Verdana" w:cs="Arial"/>
          <w:i/>
          <w:iCs/>
          <w:color w:val="000000"/>
          <w:sz w:val="14"/>
          <w:szCs w:val="14"/>
        </w:rPr>
        <w:t>o. Definiciones de tamaño empresarial.</w:t>
      </w:r>
      <w:r>
        <w:rPr>
          <w:rFonts w:ascii="Verdana" w:eastAsia="Arial" w:hAnsi="Verdana" w:cs="Arial"/>
          <w:b/>
          <w:bCs/>
          <w:i/>
          <w:iCs/>
          <w:color w:val="000000"/>
          <w:sz w:val="14"/>
          <w:szCs w:val="14"/>
        </w:rPr>
        <w:t> </w:t>
      </w:r>
      <w:r>
        <w:rPr>
          <w:rFonts w:ascii="Verdana" w:eastAsia="Arial" w:hAnsi="Verdana" w:cs="Arial"/>
          <w:color w:val="000000"/>
          <w:sz w:val="14"/>
          <w:szCs w:val="14"/>
        </w:rPr>
        <w:t>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w:t>
      </w:r>
    </w:p>
    <w:p w14:paraId="3CE880FC" w14:textId="77777777" w:rsidR="00C661E5" w:rsidRDefault="00C661E5" w:rsidP="00C661E5">
      <w:pPr>
        <w:ind w:firstLine="708"/>
        <w:contextualSpacing/>
        <w:jc w:val="both"/>
        <w:rPr>
          <w:rFonts w:ascii="Verdana" w:eastAsia="Arial" w:hAnsi="Verdana" w:cs="Arial"/>
          <w:color w:val="000000"/>
          <w:sz w:val="14"/>
          <w:szCs w:val="14"/>
        </w:rPr>
      </w:pPr>
      <w:r>
        <w:rPr>
          <w:rFonts w:ascii="Verdana" w:hAnsi="Verdana" w:cs="Arial"/>
          <w:sz w:val="14"/>
          <w:szCs w:val="14"/>
        </w:rPr>
        <w:t>»</w:t>
      </w:r>
      <w:r>
        <w:rPr>
          <w:rFonts w:ascii="Verdana" w:eastAsia="Arial" w:hAnsi="Verdana" w:cs="Arial"/>
          <w:color w:val="000000"/>
          <w:sz w:val="14"/>
          <w:szCs w:val="14"/>
        </w:rPr>
        <w:t>1. Número de trabajadores totales.</w:t>
      </w:r>
    </w:p>
    <w:p w14:paraId="3EA90915" w14:textId="77777777" w:rsidR="00C661E5" w:rsidRDefault="00C661E5" w:rsidP="00C661E5">
      <w:pPr>
        <w:ind w:firstLine="708"/>
        <w:contextualSpacing/>
        <w:jc w:val="both"/>
        <w:rPr>
          <w:rFonts w:ascii="Verdana" w:eastAsia="Arial" w:hAnsi="Verdana" w:cs="Arial"/>
          <w:color w:val="000000"/>
          <w:sz w:val="14"/>
          <w:szCs w:val="14"/>
        </w:rPr>
      </w:pPr>
      <w:r>
        <w:rPr>
          <w:rFonts w:ascii="Verdana" w:hAnsi="Verdana" w:cs="Arial"/>
          <w:sz w:val="14"/>
          <w:szCs w:val="14"/>
        </w:rPr>
        <w:t>»</w:t>
      </w:r>
      <w:r>
        <w:rPr>
          <w:rFonts w:ascii="Verdana" w:eastAsia="Arial" w:hAnsi="Verdana" w:cs="Arial"/>
          <w:color w:val="000000"/>
          <w:sz w:val="14"/>
          <w:szCs w:val="14"/>
        </w:rPr>
        <w:t>2. Valor de ventas brutas anuales.</w:t>
      </w:r>
    </w:p>
    <w:p w14:paraId="75CE33AE" w14:textId="77777777" w:rsidR="00C661E5" w:rsidRDefault="00C661E5" w:rsidP="00C661E5">
      <w:pPr>
        <w:ind w:firstLine="708"/>
        <w:contextualSpacing/>
        <w:jc w:val="both"/>
        <w:rPr>
          <w:rFonts w:ascii="Arial" w:eastAsia="Arial" w:hAnsi="Arial" w:cs="Arial"/>
          <w:color w:val="000000"/>
          <w:sz w:val="14"/>
          <w:szCs w:val="14"/>
        </w:rPr>
      </w:pPr>
      <w:r>
        <w:rPr>
          <w:rFonts w:ascii="Arial" w:hAnsi="Arial" w:cs="Arial"/>
          <w:sz w:val="14"/>
          <w:szCs w:val="14"/>
        </w:rPr>
        <w:t>»</w:t>
      </w:r>
      <w:r>
        <w:rPr>
          <w:rFonts w:ascii="Arial" w:eastAsia="Arial" w:hAnsi="Arial" w:cs="Arial"/>
          <w:color w:val="000000"/>
          <w:sz w:val="14"/>
          <w:szCs w:val="14"/>
        </w:rPr>
        <w:t>3. Valor activos totales.</w:t>
      </w:r>
    </w:p>
    <w:p w14:paraId="02A19E3D" w14:textId="77777777" w:rsidR="00C661E5" w:rsidRDefault="00C661E5" w:rsidP="00C661E5">
      <w:pPr>
        <w:ind w:firstLine="708"/>
        <w:contextualSpacing/>
        <w:jc w:val="both"/>
        <w:rPr>
          <w:rFonts w:ascii="Verdana" w:eastAsia="Arial" w:hAnsi="Verdana" w:cs="Arial"/>
          <w:color w:val="000000"/>
          <w:sz w:val="14"/>
          <w:szCs w:val="14"/>
        </w:rPr>
      </w:pPr>
      <w:r>
        <w:rPr>
          <w:rFonts w:ascii="Verdana" w:hAnsi="Verdana" w:cs="Arial"/>
          <w:sz w:val="14"/>
          <w:szCs w:val="14"/>
        </w:rPr>
        <w:t>»</w:t>
      </w:r>
      <w:r>
        <w:rPr>
          <w:rFonts w:ascii="Verdana" w:eastAsia="Arial" w:hAnsi="Verdana" w:cs="Arial"/>
          <w:color w:val="000000"/>
          <w:sz w:val="14"/>
          <w:szCs w:val="14"/>
        </w:rPr>
        <w:t>Para efectos de los beneficios otorgados por el Gobierno nacional a las micro, pequeñas y medianas empresas el criterio determinante será el valor de ventas brutas anuales.</w:t>
      </w:r>
    </w:p>
    <w:p w14:paraId="0D403FBD" w14:textId="77777777" w:rsidR="00C661E5" w:rsidRDefault="00C661E5" w:rsidP="00C661E5">
      <w:pPr>
        <w:ind w:firstLine="708"/>
        <w:contextualSpacing/>
        <w:jc w:val="both"/>
        <w:rPr>
          <w:rFonts w:ascii="Verdana" w:eastAsia="Arial" w:hAnsi="Verdana" w:cs="Arial"/>
          <w:color w:val="000000"/>
          <w:sz w:val="14"/>
          <w:szCs w:val="14"/>
        </w:rPr>
      </w:pPr>
      <w:r>
        <w:rPr>
          <w:rFonts w:ascii="Verdana" w:hAnsi="Verdana" w:cs="Arial"/>
          <w:sz w:val="14"/>
          <w:szCs w:val="14"/>
        </w:rPr>
        <w:t>»</w:t>
      </w:r>
      <w:r>
        <w:rPr>
          <w:rFonts w:ascii="Verdana" w:eastAsia="Arial" w:hAnsi="Verdana" w:cs="Arial"/>
          <w:color w:val="000000"/>
          <w:sz w:val="14"/>
          <w:szCs w:val="14"/>
        </w:rPr>
        <w:t>PARÁGRAFO 1o</w:t>
      </w:r>
      <w:r>
        <w:rPr>
          <w:rFonts w:ascii="Verdana" w:eastAsia="Arial" w:hAnsi="Verdana" w:cs="Arial"/>
          <w:b/>
          <w:bCs/>
          <w:color w:val="000000"/>
          <w:sz w:val="14"/>
          <w:szCs w:val="14"/>
        </w:rPr>
        <w:t>.</w:t>
      </w:r>
      <w:r>
        <w:rPr>
          <w:rFonts w:ascii="Verdana" w:eastAsia="Arial" w:hAnsi="Verdana" w:cs="Arial"/>
          <w:color w:val="000000"/>
          <w:sz w:val="14"/>
          <w:szCs w:val="14"/>
        </w:rPr>
        <w:t> El Gobierno Nacional reglamentará los rangos que aplicarán para los tres criterios e incluirá especificidades sectoriales en los casos que considere necesario.</w:t>
      </w:r>
    </w:p>
    <w:p w14:paraId="74D9E444" w14:textId="77777777" w:rsidR="00C661E5" w:rsidRDefault="00C661E5" w:rsidP="00C661E5">
      <w:pPr>
        <w:ind w:firstLine="708"/>
        <w:contextualSpacing/>
        <w:jc w:val="both"/>
        <w:rPr>
          <w:rFonts w:ascii="Verdana" w:hAnsi="Verdana" w:cs="Arial"/>
          <w:sz w:val="14"/>
          <w:szCs w:val="14"/>
        </w:rPr>
      </w:pPr>
      <w:r>
        <w:rPr>
          <w:rFonts w:ascii="Verdana" w:hAnsi="Verdana" w:cs="Arial"/>
          <w:sz w:val="14"/>
          <w:szCs w:val="14"/>
        </w:rPr>
        <w:t>»</w:t>
      </w:r>
      <w:r>
        <w:rPr>
          <w:rFonts w:ascii="Verdana" w:eastAsia="Arial" w:hAnsi="Verdana" w:cs="Arial"/>
          <w:color w:val="000000"/>
          <w:sz w:val="14"/>
          <w:szCs w:val="14"/>
        </w:rPr>
        <w:t>PARÁGRAFO 2o</w:t>
      </w:r>
      <w:r>
        <w:rPr>
          <w:rFonts w:ascii="Verdana" w:eastAsia="Arial" w:hAnsi="Verdana" w:cs="Arial"/>
          <w:b/>
          <w:bCs/>
          <w:color w:val="000000"/>
          <w:sz w:val="14"/>
          <w:szCs w:val="14"/>
        </w:rPr>
        <w:t>.</w:t>
      </w:r>
      <w:r>
        <w:rPr>
          <w:rFonts w:ascii="Verdana" w:eastAsia="Arial" w:hAnsi="Verdana" w:cs="Arial"/>
          <w:color w:val="000000"/>
          <w:sz w:val="14"/>
          <w:szCs w:val="14"/>
        </w:rPr>
        <w:t> Las definiciones contenidas en el artículo </w:t>
      </w:r>
      <w:hyperlink r:id="rId3" w:anchor="2" w:history="1">
        <w:r>
          <w:rPr>
            <w:rStyle w:val="Hipervnculo1"/>
            <w:rFonts w:ascii="Verdana" w:eastAsia="Arial" w:hAnsi="Verdana" w:cs="Arial"/>
            <w:color w:val="000000"/>
            <w:sz w:val="14"/>
            <w:szCs w:val="14"/>
          </w:rPr>
          <w:t>2</w:t>
        </w:r>
      </w:hyperlink>
      <w:r>
        <w:rPr>
          <w:rFonts w:ascii="Verdana" w:eastAsia="Arial" w:hAnsi="Verdana" w:cs="Arial"/>
          <w:color w:val="000000"/>
          <w:sz w:val="14"/>
          <w:szCs w:val="14"/>
        </w:rPr>
        <w:t>o de la Ley 590 de 2000 continuarán vigentes hasta tanto entren a regir las normas reglamentarias que profiera el Gobierno Nacional en desarrollo de lo previsto en el presente artículo</w:t>
      </w:r>
      <w:r>
        <w:rPr>
          <w:rFonts w:ascii="Verdana" w:hAnsi="Verdana" w:cs="Arial"/>
          <w:sz w:val="14"/>
          <w:szCs w:val="14"/>
        </w:rPr>
        <w:t>».</w:t>
      </w:r>
    </w:p>
  </w:footnote>
  <w:footnote w:id="3">
    <w:p w14:paraId="6616F4C9" w14:textId="77777777" w:rsidR="00C661E5" w:rsidRDefault="00C661E5" w:rsidP="00C661E5">
      <w:pPr>
        <w:pStyle w:val="Car1"/>
        <w:ind w:firstLine="709"/>
        <w:jc w:val="both"/>
        <w:rPr>
          <w:rFonts w:ascii="Verdana" w:hAnsi="Verdana" w:cs="Arial"/>
          <w:sz w:val="14"/>
          <w:szCs w:val="14"/>
          <w:lang w:val="es-CO"/>
        </w:rPr>
      </w:pPr>
      <w:r>
        <w:rPr>
          <w:rStyle w:val="Refdenotaalpie"/>
          <w:rFonts w:ascii="Verdana" w:hAnsi="Verdana" w:cs="Arial"/>
          <w:sz w:val="14"/>
          <w:szCs w:val="14"/>
        </w:rPr>
        <w:footnoteRef/>
      </w:r>
      <w:r>
        <w:rPr>
          <w:rFonts w:ascii="Verdana" w:hAnsi="Verdana" w:cs="Arial"/>
          <w:sz w:val="14"/>
          <w:szCs w:val="14"/>
        </w:rPr>
        <w:t xml:space="preserve"> Decreto 1074 de 2015. </w:t>
      </w:r>
      <w:r>
        <w:rPr>
          <w:rFonts w:ascii="Verdana" w:hAnsi="Verdana" w:cs="Arial"/>
          <w:sz w:val="14"/>
          <w:szCs w:val="14"/>
          <w:lang w:val="es-CO"/>
        </w:rPr>
        <w:t>Artículo </w:t>
      </w:r>
      <w:bookmarkStart w:id="4" w:name="2.2.1.13.2.1"/>
      <w:bookmarkEnd w:id="4"/>
      <w:r>
        <w:rPr>
          <w:rFonts w:ascii="Verdana" w:hAnsi="Verdana" w:cs="Arial"/>
          <w:sz w:val="14"/>
          <w:szCs w:val="14"/>
          <w:lang w:val="es-CO"/>
        </w:rPr>
        <w:t>2.2.1.13.2.1. Criterio para la clasificación del tamaño empresarial. Para efectos de la clasificación del tamaño empresarial se tendrá como criterio exclusivo los ingresos por actividades ordinarias anuales de la respectiva empresa.</w:t>
      </w:r>
    </w:p>
    <w:p w14:paraId="19B9A9E6" w14:textId="77777777" w:rsidR="00C661E5" w:rsidRDefault="00C661E5" w:rsidP="00C661E5">
      <w:pPr>
        <w:pStyle w:val="Car1"/>
        <w:ind w:firstLine="709"/>
        <w:jc w:val="both"/>
        <w:rPr>
          <w:rFonts w:ascii="Verdana" w:hAnsi="Verdana" w:cs="Arial"/>
          <w:sz w:val="14"/>
          <w:szCs w:val="14"/>
          <w:lang w:val="es-CO"/>
        </w:rPr>
      </w:pPr>
      <w:r>
        <w:rPr>
          <w:rFonts w:ascii="Verdana" w:hAnsi="Verdana" w:cs="Arial"/>
          <w:sz w:val="14"/>
          <w:szCs w:val="14"/>
          <w:lang w:val="es-CO"/>
        </w:rPr>
        <w:t>El nivel de ingresos por actividades ordinarias anuales con base en el cual se determina el tamaño empresarial variará dependiendo del sector económico en el cual la empresa desarrolle su actividad</w:t>
      </w:r>
      <w:r>
        <w:rPr>
          <w:rFonts w:ascii="Verdana" w:hAnsi="Verdana" w:cs="Arial"/>
          <w:sz w:val="14"/>
          <w:szCs w:val="14"/>
        </w:rPr>
        <w:t>»</w:t>
      </w:r>
      <w:r>
        <w:rPr>
          <w:rFonts w:ascii="Verdana" w:hAnsi="Verdana" w:cs="Arial"/>
          <w:sz w:val="14"/>
          <w:szCs w:val="14"/>
          <w:lang w:val="es-CO"/>
        </w:rPr>
        <w:t>.</w:t>
      </w:r>
    </w:p>
    <w:p w14:paraId="02B79F18" w14:textId="77777777" w:rsidR="00C661E5" w:rsidRDefault="00C661E5" w:rsidP="00C661E5">
      <w:pPr>
        <w:pStyle w:val="Car1"/>
        <w:jc w:val="both"/>
        <w:rPr>
          <w:rFonts w:ascii="Verdana" w:hAnsi="Verdana" w:cs="Arial"/>
          <w:sz w:val="14"/>
          <w:szCs w:val="14"/>
          <w:lang w:val="es-CO"/>
        </w:rPr>
      </w:pPr>
    </w:p>
  </w:footnote>
  <w:footnote w:id="4">
    <w:p w14:paraId="595F1A95" w14:textId="77777777" w:rsidR="00C661E5" w:rsidRDefault="00C661E5" w:rsidP="00C661E5">
      <w:pPr>
        <w:spacing w:line="240" w:lineRule="auto"/>
        <w:ind w:firstLine="708"/>
        <w:contextualSpacing/>
        <w:jc w:val="both"/>
        <w:rPr>
          <w:rFonts w:ascii="Verdana" w:eastAsia="Arial" w:hAnsi="Verdana" w:cs="Arial"/>
          <w:color w:val="000000"/>
          <w:sz w:val="14"/>
          <w:szCs w:val="14"/>
        </w:rPr>
      </w:pPr>
      <w:r>
        <w:rPr>
          <w:rStyle w:val="Refdenotaalpie"/>
          <w:rFonts w:ascii="Verdana" w:hAnsi="Verdana" w:cs="Arial"/>
          <w:sz w:val="14"/>
          <w:szCs w:val="14"/>
        </w:rPr>
        <w:footnoteRef/>
      </w:r>
      <w:r>
        <w:rPr>
          <w:rFonts w:ascii="Verdana" w:hAnsi="Verdana" w:cs="Arial"/>
          <w:sz w:val="14"/>
          <w:szCs w:val="14"/>
        </w:rPr>
        <w:t xml:space="preserve"> </w:t>
      </w:r>
      <w:bookmarkStart w:id="5" w:name="2.2.1.13.2.2"/>
      <w:r>
        <w:rPr>
          <w:rFonts w:ascii="Verdana" w:hAnsi="Verdana" w:cs="Arial"/>
          <w:sz w:val="14"/>
          <w:szCs w:val="14"/>
        </w:rPr>
        <w:t>Artículo 2.2.1.13.2.2. Rangos para la Definición del Tamaño Empresarial.</w:t>
      </w:r>
      <w:bookmarkEnd w:id="5"/>
      <w:r>
        <w:rPr>
          <w:rFonts w:ascii="Verdana" w:hAnsi="Verdana" w:cs="Arial"/>
          <w:sz w:val="14"/>
          <w:szCs w:val="14"/>
        </w:rPr>
        <w:t xml:space="preserve"> Para efectos de la clasificación del tamaño empresarial se utilizarán, con base en el criterio previsto en el artículo anterior, los siguientes rangos para determinar el valor de los ingresos por actividades ordinarias anuales de acuerdo con el sector económico de que se trate:</w:t>
      </w:r>
    </w:p>
    <w:p w14:paraId="308BAF2F" w14:textId="77777777" w:rsidR="00C661E5" w:rsidRDefault="00C661E5" w:rsidP="00C661E5">
      <w:pPr>
        <w:pStyle w:val="Car1"/>
        <w:ind w:firstLine="709"/>
        <w:jc w:val="both"/>
        <w:rPr>
          <w:rFonts w:ascii="Verdana" w:hAnsi="Verdana" w:cs="Arial"/>
          <w:sz w:val="14"/>
          <w:szCs w:val="14"/>
          <w:lang w:val="es-CO"/>
        </w:rPr>
      </w:pPr>
      <w:r>
        <w:rPr>
          <w:rFonts w:ascii="Verdana" w:hAnsi="Verdana" w:cs="Arial"/>
          <w:sz w:val="14"/>
          <w:szCs w:val="14"/>
          <w:lang w:val="es-CO"/>
        </w:rPr>
        <w:t>1. Para el sector manufacturero:</w:t>
      </w:r>
    </w:p>
    <w:p w14:paraId="79CC5B83" w14:textId="77777777" w:rsidR="00C661E5" w:rsidRDefault="00C661E5" w:rsidP="00C661E5">
      <w:pPr>
        <w:pStyle w:val="Car1"/>
        <w:ind w:firstLine="709"/>
        <w:jc w:val="both"/>
        <w:rPr>
          <w:rFonts w:ascii="Verdana" w:hAnsi="Verdana" w:cs="Arial"/>
          <w:sz w:val="14"/>
          <w:szCs w:val="14"/>
          <w:lang w:val="es-CO"/>
        </w:rPr>
      </w:pPr>
      <w:r>
        <w:rPr>
          <w:rFonts w:ascii="Verdana" w:hAnsi="Verdana" w:cs="Arial"/>
          <w:sz w:val="14"/>
          <w:szCs w:val="14"/>
          <w:lang w:val="es-CO"/>
        </w:rPr>
        <w:t>- Microempresa. Aquella cuyos ingresos por actividades ordinarias anuales sean inferiores o iguales a veintitrés mil quinientos sesenta y tres Unidades de Valor Tributario (23.563 UVT).</w:t>
      </w:r>
    </w:p>
    <w:p w14:paraId="2FDFAEB2" w14:textId="77777777" w:rsidR="00C661E5" w:rsidRDefault="00C661E5" w:rsidP="00C661E5">
      <w:pPr>
        <w:pStyle w:val="Car1"/>
        <w:ind w:firstLine="709"/>
        <w:jc w:val="both"/>
        <w:rPr>
          <w:rFonts w:ascii="Verdana" w:hAnsi="Verdana" w:cs="Arial"/>
          <w:sz w:val="14"/>
          <w:szCs w:val="14"/>
          <w:lang w:val="es-CO"/>
        </w:rPr>
      </w:pPr>
      <w:r>
        <w:rPr>
          <w:rFonts w:ascii="Verdana" w:hAnsi="Verdana" w:cs="Arial"/>
          <w:sz w:val="14"/>
          <w:szCs w:val="14"/>
          <w:lang w:val="es-CO"/>
        </w:rPr>
        <w:t>- Pequeña empresa. Aquella cuyos ingresos por actividades ordinarias anuales sean superiores a veintitrés mil quinientos sesenta y tres Unidades de Valor Tributario (23.563 UVT) e inferiores o iguales a doscientos cuatro mil novecientos noventa y cinco Unidades de Valor Tributario (204.995 UVT).</w:t>
      </w:r>
    </w:p>
    <w:p w14:paraId="333DB11D" w14:textId="77777777" w:rsidR="00C661E5" w:rsidRDefault="00C661E5" w:rsidP="00C661E5">
      <w:pPr>
        <w:pStyle w:val="Car1"/>
        <w:ind w:firstLine="709"/>
        <w:jc w:val="both"/>
        <w:rPr>
          <w:rFonts w:ascii="Verdana" w:hAnsi="Verdana" w:cs="Arial"/>
          <w:sz w:val="14"/>
          <w:szCs w:val="14"/>
          <w:lang w:val="es-CO"/>
        </w:rPr>
      </w:pPr>
      <w:r>
        <w:rPr>
          <w:rFonts w:ascii="Verdana" w:hAnsi="Verdana" w:cs="Arial"/>
          <w:sz w:val="14"/>
          <w:szCs w:val="14"/>
          <w:lang w:val="es-CO"/>
        </w:rPr>
        <w:t>- Mediana empresa.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w:t>
      </w:r>
    </w:p>
    <w:p w14:paraId="60C08631" w14:textId="77777777" w:rsidR="00C661E5" w:rsidRDefault="00C661E5" w:rsidP="00C661E5">
      <w:pPr>
        <w:pStyle w:val="Car1"/>
        <w:ind w:firstLine="709"/>
        <w:jc w:val="both"/>
        <w:rPr>
          <w:rFonts w:ascii="Verdana" w:hAnsi="Verdana" w:cs="Arial"/>
          <w:sz w:val="14"/>
          <w:szCs w:val="14"/>
          <w:lang w:val="es-CO"/>
        </w:rPr>
      </w:pPr>
      <w:r>
        <w:rPr>
          <w:rFonts w:ascii="Verdana" w:hAnsi="Verdana" w:cs="Arial"/>
          <w:sz w:val="14"/>
          <w:szCs w:val="14"/>
          <w:lang w:val="es-CO"/>
        </w:rPr>
        <w:t>2. Para el sector servicios:</w:t>
      </w:r>
    </w:p>
    <w:p w14:paraId="54E8EBC7" w14:textId="77777777" w:rsidR="00C661E5" w:rsidRDefault="00C661E5" w:rsidP="00C661E5">
      <w:pPr>
        <w:pStyle w:val="Car1"/>
        <w:ind w:firstLine="709"/>
        <w:jc w:val="both"/>
        <w:rPr>
          <w:rFonts w:ascii="Verdana" w:hAnsi="Verdana" w:cs="Arial"/>
          <w:sz w:val="14"/>
          <w:szCs w:val="14"/>
          <w:lang w:val="es-CO"/>
        </w:rPr>
      </w:pPr>
      <w:r>
        <w:rPr>
          <w:rFonts w:ascii="Verdana" w:hAnsi="Verdana" w:cs="Arial"/>
          <w:sz w:val="14"/>
          <w:szCs w:val="14"/>
          <w:lang w:val="es-CO"/>
        </w:rPr>
        <w:t>- Microempresa. Aquella cuyos ingresos por actividades ordinarias anuales sean inferiores o iguales a treinta y dos mil novecientos ochenta y ocho Unidades de Valor Tributario (32.988 UVT).</w:t>
      </w:r>
    </w:p>
    <w:p w14:paraId="06AA134E" w14:textId="77777777" w:rsidR="00C661E5" w:rsidRDefault="00C661E5" w:rsidP="00C661E5">
      <w:pPr>
        <w:pStyle w:val="Car1"/>
        <w:ind w:firstLine="709"/>
        <w:jc w:val="both"/>
        <w:rPr>
          <w:rFonts w:ascii="Verdana" w:hAnsi="Verdana" w:cs="Arial"/>
          <w:sz w:val="14"/>
          <w:szCs w:val="14"/>
          <w:lang w:val="es-CO"/>
        </w:rPr>
      </w:pPr>
      <w:r>
        <w:rPr>
          <w:rFonts w:ascii="Verdana" w:hAnsi="Verdana" w:cs="Arial"/>
          <w:sz w:val="14"/>
          <w:szCs w:val="14"/>
          <w:lang w:val="es-CO"/>
        </w:rPr>
        <w:t>- Pequeña empresa. Aquella cuyos ingresos por actividades ordinarias anuales sean superiores a treinta y dos mil novecientos ochenta y ocho Unidades de Valor Tributario (32.988 UVT) e inferiores o iguales a ciento treinta y un mil novecientos cincuenta y uno Unidades de Valor Tributario (131.951 UVT).</w:t>
      </w:r>
    </w:p>
    <w:p w14:paraId="45B33AED" w14:textId="77777777" w:rsidR="00C661E5" w:rsidRDefault="00C661E5" w:rsidP="00C661E5">
      <w:pPr>
        <w:pStyle w:val="Car1"/>
        <w:ind w:firstLine="709"/>
        <w:jc w:val="both"/>
        <w:rPr>
          <w:rFonts w:ascii="Verdana" w:hAnsi="Verdana" w:cs="Arial"/>
          <w:sz w:val="14"/>
          <w:szCs w:val="14"/>
          <w:lang w:val="es-CO"/>
        </w:rPr>
      </w:pPr>
      <w:r>
        <w:rPr>
          <w:rFonts w:ascii="Verdana" w:hAnsi="Verdana" w:cs="Arial"/>
          <w:sz w:val="14"/>
          <w:szCs w:val="14"/>
          <w:lang w:val="es-CO"/>
        </w:rPr>
        <w:t>- Mediana empresa. Aquella cuyos ingresos por actividades ordinarias anuales sean superiores a ciento treinta y un mil novecientos cincuenta y un Unidades de Valor Tributario (131.951 UVT) e inferiores o iguales a cuatrocientos ochenta y tres mil treinta y cuatro Unidades de Valor Tributario (483.034 UVT).</w:t>
      </w:r>
    </w:p>
    <w:p w14:paraId="07E87AA8" w14:textId="77777777" w:rsidR="00C661E5" w:rsidRDefault="00C661E5" w:rsidP="00C661E5">
      <w:pPr>
        <w:pStyle w:val="Car1"/>
        <w:ind w:firstLine="709"/>
        <w:jc w:val="both"/>
        <w:rPr>
          <w:rFonts w:ascii="Verdana" w:hAnsi="Verdana" w:cs="Arial"/>
          <w:sz w:val="14"/>
          <w:szCs w:val="14"/>
          <w:lang w:val="es-CO"/>
        </w:rPr>
      </w:pPr>
      <w:r>
        <w:rPr>
          <w:rFonts w:ascii="Verdana" w:hAnsi="Verdana" w:cs="Arial"/>
          <w:sz w:val="14"/>
          <w:szCs w:val="14"/>
          <w:lang w:val="es-CO"/>
        </w:rPr>
        <w:t>3. Para el sector de comercio:</w:t>
      </w:r>
    </w:p>
    <w:p w14:paraId="7CB6295D" w14:textId="77777777" w:rsidR="00C661E5" w:rsidRDefault="00C661E5" w:rsidP="00C661E5">
      <w:pPr>
        <w:pStyle w:val="Car1"/>
        <w:ind w:firstLine="709"/>
        <w:jc w:val="both"/>
        <w:rPr>
          <w:rFonts w:ascii="Verdana" w:hAnsi="Verdana" w:cs="Arial"/>
          <w:sz w:val="14"/>
          <w:szCs w:val="14"/>
          <w:lang w:val="es-CO"/>
        </w:rPr>
      </w:pPr>
      <w:r>
        <w:rPr>
          <w:rFonts w:ascii="Verdana" w:hAnsi="Verdana" w:cs="Arial"/>
          <w:sz w:val="14"/>
          <w:szCs w:val="14"/>
          <w:lang w:val="es-CO"/>
        </w:rPr>
        <w:t>- Microempresa. Aquella cuyos ingresos por actividades ordinarias anuales sean inferiores o iguales a cuarenta y cuatro mil setecientos sesenta y nueve Unidades de Valor Tributario (44.769 UVT).</w:t>
      </w:r>
    </w:p>
    <w:p w14:paraId="735DC6AC" w14:textId="77777777" w:rsidR="00C661E5" w:rsidRDefault="00C661E5" w:rsidP="00C661E5">
      <w:pPr>
        <w:pStyle w:val="Car1"/>
        <w:ind w:firstLine="709"/>
        <w:jc w:val="both"/>
        <w:rPr>
          <w:rFonts w:ascii="Verdana" w:hAnsi="Verdana" w:cs="Arial"/>
          <w:sz w:val="14"/>
          <w:szCs w:val="14"/>
          <w:lang w:val="es-CO"/>
        </w:rPr>
      </w:pPr>
      <w:r>
        <w:rPr>
          <w:rFonts w:ascii="Verdana" w:hAnsi="Verdana" w:cs="Arial"/>
          <w:sz w:val="14"/>
          <w:szCs w:val="14"/>
          <w:lang w:val="es-CO"/>
        </w:rPr>
        <w:t>- Pequeña empresa. Aquella cuyos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6F9BB848" w14:textId="77777777" w:rsidR="00C661E5" w:rsidRDefault="00C661E5" w:rsidP="00C661E5">
      <w:pPr>
        <w:pStyle w:val="Car1"/>
        <w:ind w:firstLine="709"/>
        <w:jc w:val="both"/>
        <w:rPr>
          <w:rFonts w:ascii="Verdana" w:hAnsi="Verdana" w:cs="Arial"/>
          <w:sz w:val="14"/>
          <w:szCs w:val="14"/>
          <w:lang w:val="es-CO"/>
        </w:rPr>
      </w:pPr>
      <w:r>
        <w:rPr>
          <w:rFonts w:ascii="Verdana" w:hAnsi="Verdana" w:cs="Arial"/>
          <w:sz w:val="14"/>
          <w:szCs w:val="14"/>
          <w:lang w:val="es-CO"/>
        </w:rPr>
        <w:t>- Mediana empresa. Aquella cuyos ingresos por actividades ordinarias anuales sean superiores a cuatrocientos treinta y un mil ciento noventa y seis Unidades de Valor Tributario (431.196 UVT) e inferiores o iguales a dos millones ciento sesenta mil seiscientos noventa y dos Unidades de Valor Tributario (2'160.692 UVT).</w:t>
      </w:r>
    </w:p>
    <w:p w14:paraId="43F98F7A" w14:textId="77777777" w:rsidR="00C661E5" w:rsidRDefault="00C661E5" w:rsidP="00C661E5">
      <w:pPr>
        <w:pStyle w:val="Car1"/>
        <w:jc w:val="both"/>
        <w:rPr>
          <w:rFonts w:ascii="Verdana" w:hAnsi="Verdana" w:cs="Arial"/>
          <w:sz w:val="14"/>
          <w:szCs w:val="14"/>
          <w:lang w:val="es-CO"/>
        </w:rPr>
      </w:pPr>
    </w:p>
  </w:footnote>
  <w:footnote w:id="5">
    <w:p w14:paraId="580215C2" w14:textId="77777777" w:rsidR="00C661E5" w:rsidRDefault="00C661E5" w:rsidP="00C661E5">
      <w:pPr>
        <w:pStyle w:val="Textonotapie"/>
        <w:ind w:firstLine="709"/>
        <w:rPr>
          <w:rFonts w:ascii="Verdana" w:hAnsi="Verdana"/>
          <w:sz w:val="16"/>
          <w:szCs w:val="16"/>
          <w:lang w:val="es-ES"/>
        </w:rPr>
      </w:pPr>
      <w:r>
        <w:rPr>
          <w:rStyle w:val="Refdenotaalpie"/>
          <w:rFonts w:ascii="Verdana" w:hAnsi="Verdana"/>
          <w:sz w:val="16"/>
          <w:szCs w:val="16"/>
        </w:rPr>
        <w:footnoteRef/>
      </w:r>
      <w:r>
        <w:rPr>
          <w:rFonts w:ascii="Verdana" w:hAnsi="Verdana"/>
          <w:sz w:val="16"/>
          <w:szCs w:val="16"/>
        </w:rPr>
        <w:t xml:space="preserve"> Se puede acceder a la Guía mencionada en el siguiente link: </w:t>
      </w:r>
      <w:hyperlink r:id="rId4" w:history="1">
        <w:r>
          <w:rPr>
            <w:rStyle w:val="Hipervnculo"/>
            <w:rFonts w:ascii="Verdana" w:hAnsi="Verdana"/>
            <w:sz w:val="16"/>
            <w:szCs w:val="16"/>
          </w:rPr>
          <w:t>https://www.colombiacompra.gov.co/sites/cce_public/files/cce_documents/guia_para_promover_la_participacion_de_las_mipymes_en_los_procesos_de_compra_publica_cce-gad-gi-26_1.pdf</w:t>
        </w:r>
      </w:hyperlink>
      <w:r>
        <w:rPr>
          <w:rFonts w:ascii="Verdana" w:hAnsi="Verdana"/>
          <w:sz w:val="16"/>
          <w:szCs w:val="16"/>
        </w:rPr>
        <w:t xml:space="preserve"> </w:t>
      </w:r>
    </w:p>
  </w:footnote>
  <w:footnote w:id="6">
    <w:p w14:paraId="63099688" w14:textId="77777777" w:rsidR="00C661E5" w:rsidRDefault="00C661E5" w:rsidP="00C661E5">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Al respecto, de acuerdo con el Concepto C-089 del 28 de abril de 2023, la Agencia estima que “el debido ejercicio de la referida potestad discrecional exige que converjan unos mínimos presupuestos de adecuación, para que resulte adecuada la decisión de limitar una convocatoria a la participación exclusiva de mipymes. Es por esto por lo que la decisión de limitar territorialmente una convocatoria solo puede resultar razonable si la información recolectada en el marco del análisis del sector indica que en el lugar de ejecución del contrato existe un número significativo de mipymes allí domiciliadas, cuyo objeto social les permitiría desarrollar el contrato o que estén interesadas en participar en el respectivo proceso de contratación. Adicionalmente, se torna relevante determinar que tantas de esas mipymes tendrían la posibilidad de participar en el respectivo proceso de contratación en consideración en atención a las aptitudes e idoneidad requerida.  De acuerdo con lo anterior, difícilmente podría entenderse adecuada la decisión de limitar una convocatoria por el referido factor territorial, si dentro del estudio del sector no se identifican una pluralidad de mipymes que estén en posición de participar en el respectivo proceso.</w:t>
      </w:r>
    </w:p>
    <w:p w14:paraId="01E0BE32" w14:textId="77777777" w:rsidR="00C661E5" w:rsidRDefault="00C661E5" w:rsidP="00C661E5">
      <w:pPr>
        <w:pStyle w:val="Textonotapie"/>
        <w:ind w:firstLine="708"/>
        <w:jc w:val="both"/>
        <w:rPr>
          <w:rFonts w:ascii="Verdana" w:hAnsi="Verdana"/>
          <w:sz w:val="16"/>
          <w:szCs w:val="16"/>
        </w:rPr>
      </w:pPr>
      <w:r>
        <w:rPr>
          <w:rFonts w:ascii="Verdana" w:hAnsi="Verdana"/>
          <w:sz w:val="16"/>
          <w:szCs w:val="16"/>
        </w:rPr>
        <w:t>En atención a lo anterior, situaciones en las que se presentan un ejercicio de la potestad de limitar a mipymes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769791B"/>
    <w:multiLevelType w:val="hybridMultilevel"/>
    <w:tmpl w:val="6BF6515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764EF3"/>
    <w:multiLevelType w:val="hybridMultilevel"/>
    <w:tmpl w:val="1F80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7" w15:restartNumberingAfterBreak="0">
    <w:nsid w:val="10B068D7"/>
    <w:multiLevelType w:val="hybridMultilevel"/>
    <w:tmpl w:val="8AE022A4"/>
    <w:lvl w:ilvl="0" w:tplc="1876D2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8"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0"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1"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2"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6"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1" w15:restartNumberingAfterBreak="0">
    <w:nsid w:val="45354C3E"/>
    <w:multiLevelType w:val="hybridMultilevel"/>
    <w:tmpl w:val="65FAB466"/>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2"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5"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9"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1"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8226FF1"/>
    <w:multiLevelType w:val="hybridMultilevel"/>
    <w:tmpl w:val="18F0F084"/>
    <w:lvl w:ilvl="0" w:tplc="6A3AC74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9243C46"/>
    <w:multiLevelType w:val="hybridMultilevel"/>
    <w:tmpl w:val="1E388DFA"/>
    <w:lvl w:ilvl="0" w:tplc="3D0203F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8"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4"/>
  </w:num>
  <w:num w:numId="3" w16cid:durableId="679089576">
    <w:abstractNumId w:val="18"/>
  </w:num>
  <w:num w:numId="4" w16cid:durableId="893472101">
    <w:abstractNumId w:val="10"/>
  </w:num>
  <w:num w:numId="5" w16cid:durableId="1982299905">
    <w:abstractNumId w:val="38"/>
  </w:num>
  <w:num w:numId="6" w16cid:durableId="130758360">
    <w:abstractNumId w:val="22"/>
  </w:num>
  <w:num w:numId="7" w16cid:durableId="262541512">
    <w:abstractNumId w:val="33"/>
  </w:num>
  <w:num w:numId="8" w16cid:durableId="1947226218">
    <w:abstractNumId w:val="17"/>
  </w:num>
  <w:num w:numId="9" w16cid:durableId="1180706126">
    <w:abstractNumId w:val="20"/>
  </w:num>
  <w:num w:numId="10" w16cid:durableId="2097506960">
    <w:abstractNumId w:val="27"/>
  </w:num>
  <w:num w:numId="11" w16cid:durableId="1977490869">
    <w:abstractNumId w:val="25"/>
  </w:num>
  <w:num w:numId="12" w16cid:durableId="158663248">
    <w:abstractNumId w:val="24"/>
  </w:num>
  <w:num w:numId="13" w16cid:durableId="2024085788">
    <w:abstractNumId w:val="2"/>
  </w:num>
  <w:num w:numId="14" w16cid:durableId="1885099950">
    <w:abstractNumId w:val="16"/>
  </w:num>
  <w:num w:numId="15" w16cid:durableId="32047459">
    <w:abstractNumId w:val="11"/>
  </w:num>
  <w:num w:numId="16" w16cid:durableId="1192261824">
    <w:abstractNumId w:val="12"/>
  </w:num>
  <w:num w:numId="17" w16cid:durableId="375933272">
    <w:abstractNumId w:val="19"/>
  </w:num>
  <w:num w:numId="18" w16cid:durableId="610939998">
    <w:abstractNumId w:val="28"/>
  </w:num>
  <w:num w:numId="19" w16cid:durableId="1910656144">
    <w:abstractNumId w:val="4"/>
  </w:num>
  <w:num w:numId="20" w16cid:durableId="947545103">
    <w:abstractNumId w:val="15"/>
  </w:num>
  <w:num w:numId="21" w16cid:durableId="1851335222">
    <w:abstractNumId w:val="37"/>
  </w:num>
  <w:num w:numId="22" w16cid:durableId="578707994">
    <w:abstractNumId w:val="6"/>
  </w:num>
  <w:num w:numId="23" w16cid:durableId="876742304">
    <w:abstractNumId w:val="13"/>
  </w:num>
  <w:num w:numId="24" w16cid:durableId="1994095851">
    <w:abstractNumId w:val="8"/>
  </w:num>
  <w:num w:numId="25" w16cid:durableId="1567109325">
    <w:abstractNumId w:val="29"/>
  </w:num>
  <w:num w:numId="26" w16cid:durableId="1116487847">
    <w:abstractNumId w:val="23"/>
  </w:num>
  <w:num w:numId="27" w16cid:durableId="611326471">
    <w:abstractNumId w:val="31"/>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6"/>
  </w:num>
  <w:num w:numId="30" w16cid:durableId="363991975">
    <w:abstractNumId w:val="32"/>
  </w:num>
  <w:num w:numId="31" w16cid:durableId="1509440290">
    <w:abstractNumId w:val="26"/>
  </w:num>
  <w:num w:numId="32" w16cid:durableId="1601723362">
    <w:abstractNumId w:val="9"/>
  </w:num>
  <w:num w:numId="33" w16cid:durableId="1484539021">
    <w:abstractNumId w:val="5"/>
  </w:num>
  <w:num w:numId="34" w16cid:durableId="1387339555">
    <w:abstractNumId w:val="3"/>
  </w:num>
  <w:num w:numId="35" w16cid:durableId="591087840">
    <w:abstractNumId w:val="30"/>
  </w:num>
  <w:num w:numId="36" w16cid:durableId="1632059173">
    <w:abstractNumId w:val="34"/>
  </w:num>
  <w:num w:numId="37" w16cid:durableId="742992957">
    <w:abstractNumId w:val="18"/>
  </w:num>
  <w:num w:numId="38" w16cid:durableId="1108815834">
    <w:abstractNumId w:val="21"/>
  </w:num>
  <w:num w:numId="39" w16cid:durableId="1015375982">
    <w:abstractNumId w:val="35"/>
  </w:num>
  <w:num w:numId="40" w16cid:durableId="1700678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08"/>
    <w:rsid w:val="00001E39"/>
    <w:rsid w:val="00002920"/>
    <w:rsid w:val="00002D55"/>
    <w:rsid w:val="0000399A"/>
    <w:rsid w:val="00005225"/>
    <w:rsid w:val="000054DB"/>
    <w:rsid w:val="0000587D"/>
    <w:rsid w:val="000059AE"/>
    <w:rsid w:val="00005BB0"/>
    <w:rsid w:val="00006F59"/>
    <w:rsid w:val="00007086"/>
    <w:rsid w:val="00007382"/>
    <w:rsid w:val="00007576"/>
    <w:rsid w:val="0001025F"/>
    <w:rsid w:val="0001155E"/>
    <w:rsid w:val="00011613"/>
    <w:rsid w:val="00011D3C"/>
    <w:rsid w:val="0001222D"/>
    <w:rsid w:val="00012550"/>
    <w:rsid w:val="00012679"/>
    <w:rsid w:val="00012EDA"/>
    <w:rsid w:val="00013B3F"/>
    <w:rsid w:val="00014981"/>
    <w:rsid w:val="00014B0D"/>
    <w:rsid w:val="00014E7B"/>
    <w:rsid w:val="00016280"/>
    <w:rsid w:val="0001672C"/>
    <w:rsid w:val="00016F04"/>
    <w:rsid w:val="00017870"/>
    <w:rsid w:val="00021068"/>
    <w:rsid w:val="00021595"/>
    <w:rsid w:val="000219D1"/>
    <w:rsid w:val="00021C3A"/>
    <w:rsid w:val="0002202D"/>
    <w:rsid w:val="00022C23"/>
    <w:rsid w:val="00023DF7"/>
    <w:rsid w:val="000267DD"/>
    <w:rsid w:val="000273EA"/>
    <w:rsid w:val="00027B63"/>
    <w:rsid w:val="00027CA9"/>
    <w:rsid w:val="00030B3D"/>
    <w:rsid w:val="00030BC5"/>
    <w:rsid w:val="00030BFB"/>
    <w:rsid w:val="00031DA1"/>
    <w:rsid w:val="00031EAF"/>
    <w:rsid w:val="0003287A"/>
    <w:rsid w:val="00033390"/>
    <w:rsid w:val="000361EA"/>
    <w:rsid w:val="0003699E"/>
    <w:rsid w:val="000369C0"/>
    <w:rsid w:val="0003731A"/>
    <w:rsid w:val="00037A8B"/>
    <w:rsid w:val="00040372"/>
    <w:rsid w:val="000408AD"/>
    <w:rsid w:val="00041469"/>
    <w:rsid w:val="0004180C"/>
    <w:rsid w:val="000419D7"/>
    <w:rsid w:val="00042DD7"/>
    <w:rsid w:val="00043EE5"/>
    <w:rsid w:val="000442CC"/>
    <w:rsid w:val="000442DE"/>
    <w:rsid w:val="0004491F"/>
    <w:rsid w:val="00044B24"/>
    <w:rsid w:val="0004508D"/>
    <w:rsid w:val="0004526E"/>
    <w:rsid w:val="00045B37"/>
    <w:rsid w:val="0004709D"/>
    <w:rsid w:val="000504AA"/>
    <w:rsid w:val="0005086B"/>
    <w:rsid w:val="0005098A"/>
    <w:rsid w:val="00050C95"/>
    <w:rsid w:val="00050CAD"/>
    <w:rsid w:val="0005142D"/>
    <w:rsid w:val="00051A3C"/>
    <w:rsid w:val="00051BE4"/>
    <w:rsid w:val="00051E96"/>
    <w:rsid w:val="000526A8"/>
    <w:rsid w:val="00052EF1"/>
    <w:rsid w:val="0005420B"/>
    <w:rsid w:val="00054DFE"/>
    <w:rsid w:val="000551CB"/>
    <w:rsid w:val="00055ED8"/>
    <w:rsid w:val="0005620B"/>
    <w:rsid w:val="00057392"/>
    <w:rsid w:val="000577A2"/>
    <w:rsid w:val="000577D3"/>
    <w:rsid w:val="00057963"/>
    <w:rsid w:val="000579AB"/>
    <w:rsid w:val="00060AE4"/>
    <w:rsid w:val="000618E5"/>
    <w:rsid w:val="000622B9"/>
    <w:rsid w:val="000631E9"/>
    <w:rsid w:val="00063A9D"/>
    <w:rsid w:val="00063B4B"/>
    <w:rsid w:val="00064431"/>
    <w:rsid w:val="00064721"/>
    <w:rsid w:val="00064D60"/>
    <w:rsid w:val="0006565C"/>
    <w:rsid w:val="00065973"/>
    <w:rsid w:val="00065C6D"/>
    <w:rsid w:val="000665D3"/>
    <w:rsid w:val="00066646"/>
    <w:rsid w:val="00066C7A"/>
    <w:rsid w:val="00066CF1"/>
    <w:rsid w:val="000678BB"/>
    <w:rsid w:val="0007144A"/>
    <w:rsid w:val="000716AB"/>
    <w:rsid w:val="00071A42"/>
    <w:rsid w:val="00071AB8"/>
    <w:rsid w:val="0007243A"/>
    <w:rsid w:val="00072AF5"/>
    <w:rsid w:val="000734CB"/>
    <w:rsid w:val="00074660"/>
    <w:rsid w:val="000752FA"/>
    <w:rsid w:val="00076211"/>
    <w:rsid w:val="000762C0"/>
    <w:rsid w:val="0007655A"/>
    <w:rsid w:val="00076737"/>
    <w:rsid w:val="00076C2B"/>
    <w:rsid w:val="00076C73"/>
    <w:rsid w:val="00076F81"/>
    <w:rsid w:val="000772B1"/>
    <w:rsid w:val="000779DE"/>
    <w:rsid w:val="000800B6"/>
    <w:rsid w:val="00080D15"/>
    <w:rsid w:val="00081B03"/>
    <w:rsid w:val="00081BAA"/>
    <w:rsid w:val="000847A0"/>
    <w:rsid w:val="00084BFD"/>
    <w:rsid w:val="00085BD2"/>
    <w:rsid w:val="0008651B"/>
    <w:rsid w:val="00087073"/>
    <w:rsid w:val="0008734C"/>
    <w:rsid w:val="0008739A"/>
    <w:rsid w:val="000875BD"/>
    <w:rsid w:val="000878E7"/>
    <w:rsid w:val="000878F9"/>
    <w:rsid w:val="00087A3B"/>
    <w:rsid w:val="00087C01"/>
    <w:rsid w:val="000903E4"/>
    <w:rsid w:val="000906E3"/>
    <w:rsid w:val="00091D73"/>
    <w:rsid w:val="000933B5"/>
    <w:rsid w:val="000933BC"/>
    <w:rsid w:val="00093544"/>
    <w:rsid w:val="00093D95"/>
    <w:rsid w:val="00093F87"/>
    <w:rsid w:val="00094663"/>
    <w:rsid w:val="00095410"/>
    <w:rsid w:val="00095CF4"/>
    <w:rsid w:val="00095E48"/>
    <w:rsid w:val="00096637"/>
    <w:rsid w:val="0009726B"/>
    <w:rsid w:val="00097285"/>
    <w:rsid w:val="0009740F"/>
    <w:rsid w:val="000975EA"/>
    <w:rsid w:val="000A021A"/>
    <w:rsid w:val="000A1828"/>
    <w:rsid w:val="000A1C31"/>
    <w:rsid w:val="000A1D06"/>
    <w:rsid w:val="000A1F38"/>
    <w:rsid w:val="000A2030"/>
    <w:rsid w:val="000A37F5"/>
    <w:rsid w:val="000A413A"/>
    <w:rsid w:val="000A4F1E"/>
    <w:rsid w:val="000A5881"/>
    <w:rsid w:val="000A66A1"/>
    <w:rsid w:val="000A69FB"/>
    <w:rsid w:val="000A776F"/>
    <w:rsid w:val="000A7945"/>
    <w:rsid w:val="000B0B16"/>
    <w:rsid w:val="000B1087"/>
    <w:rsid w:val="000B146F"/>
    <w:rsid w:val="000B199A"/>
    <w:rsid w:val="000B1FF7"/>
    <w:rsid w:val="000B2529"/>
    <w:rsid w:val="000B2685"/>
    <w:rsid w:val="000B2B7C"/>
    <w:rsid w:val="000B377E"/>
    <w:rsid w:val="000B381D"/>
    <w:rsid w:val="000B3DD4"/>
    <w:rsid w:val="000B4024"/>
    <w:rsid w:val="000B44BA"/>
    <w:rsid w:val="000B4C9C"/>
    <w:rsid w:val="000B5311"/>
    <w:rsid w:val="000B5313"/>
    <w:rsid w:val="000B5C05"/>
    <w:rsid w:val="000B5C65"/>
    <w:rsid w:val="000B5F1D"/>
    <w:rsid w:val="000B5FB9"/>
    <w:rsid w:val="000B6BE9"/>
    <w:rsid w:val="000B7847"/>
    <w:rsid w:val="000C02AD"/>
    <w:rsid w:val="000C060A"/>
    <w:rsid w:val="000C07B0"/>
    <w:rsid w:val="000C09DF"/>
    <w:rsid w:val="000C0AA8"/>
    <w:rsid w:val="000C18BD"/>
    <w:rsid w:val="000C1FC8"/>
    <w:rsid w:val="000C36E1"/>
    <w:rsid w:val="000C42A9"/>
    <w:rsid w:val="000C42C6"/>
    <w:rsid w:val="000C50D6"/>
    <w:rsid w:val="000C557B"/>
    <w:rsid w:val="000C5A85"/>
    <w:rsid w:val="000C5F29"/>
    <w:rsid w:val="000C5F48"/>
    <w:rsid w:val="000C66BF"/>
    <w:rsid w:val="000C6FC1"/>
    <w:rsid w:val="000C7FF8"/>
    <w:rsid w:val="000D0372"/>
    <w:rsid w:val="000D0ADE"/>
    <w:rsid w:val="000D1A8F"/>
    <w:rsid w:val="000D2914"/>
    <w:rsid w:val="000D2E60"/>
    <w:rsid w:val="000D2F50"/>
    <w:rsid w:val="000D3275"/>
    <w:rsid w:val="000D3A1B"/>
    <w:rsid w:val="000D3B86"/>
    <w:rsid w:val="000D4E64"/>
    <w:rsid w:val="000D5008"/>
    <w:rsid w:val="000D570C"/>
    <w:rsid w:val="000D5A0F"/>
    <w:rsid w:val="000D5B1E"/>
    <w:rsid w:val="000D5D9B"/>
    <w:rsid w:val="000D5E3F"/>
    <w:rsid w:val="000D6532"/>
    <w:rsid w:val="000D6E33"/>
    <w:rsid w:val="000E0622"/>
    <w:rsid w:val="000E07AA"/>
    <w:rsid w:val="000E161A"/>
    <w:rsid w:val="000E1D6F"/>
    <w:rsid w:val="000E2D0D"/>
    <w:rsid w:val="000E3381"/>
    <w:rsid w:val="000E3744"/>
    <w:rsid w:val="000E3CD9"/>
    <w:rsid w:val="000E481D"/>
    <w:rsid w:val="000E496B"/>
    <w:rsid w:val="000E4DBF"/>
    <w:rsid w:val="000E4DF2"/>
    <w:rsid w:val="000E5844"/>
    <w:rsid w:val="000E634B"/>
    <w:rsid w:val="000E7349"/>
    <w:rsid w:val="000E762D"/>
    <w:rsid w:val="000E77CC"/>
    <w:rsid w:val="000F0144"/>
    <w:rsid w:val="000F0783"/>
    <w:rsid w:val="000F0807"/>
    <w:rsid w:val="000F080D"/>
    <w:rsid w:val="000F0B3C"/>
    <w:rsid w:val="000F13D5"/>
    <w:rsid w:val="000F175F"/>
    <w:rsid w:val="000F1AD8"/>
    <w:rsid w:val="000F2F4C"/>
    <w:rsid w:val="000F306E"/>
    <w:rsid w:val="000F38D9"/>
    <w:rsid w:val="000F3CED"/>
    <w:rsid w:val="000F414C"/>
    <w:rsid w:val="000F6320"/>
    <w:rsid w:val="000F64FC"/>
    <w:rsid w:val="000F696E"/>
    <w:rsid w:val="000F6C10"/>
    <w:rsid w:val="000F718E"/>
    <w:rsid w:val="001001F2"/>
    <w:rsid w:val="00100207"/>
    <w:rsid w:val="001003C6"/>
    <w:rsid w:val="00100682"/>
    <w:rsid w:val="00100F25"/>
    <w:rsid w:val="001010D3"/>
    <w:rsid w:val="0010144A"/>
    <w:rsid w:val="00101C11"/>
    <w:rsid w:val="00102F4F"/>
    <w:rsid w:val="001034DD"/>
    <w:rsid w:val="00104425"/>
    <w:rsid w:val="00104B4C"/>
    <w:rsid w:val="00105135"/>
    <w:rsid w:val="001055A2"/>
    <w:rsid w:val="00105DC2"/>
    <w:rsid w:val="0010682A"/>
    <w:rsid w:val="00106C4C"/>
    <w:rsid w:val="001079AE"/>
    <w:rsid w:val="00107DEF"/>
    <w:rsid w:val="00110145"/>
    <w:rsid w:val="0011031D"/>
    <w:rsid w:val="0011037E"/>
    <w:rsid w:val="00110404"/>
    <w:rsid w:val="001109E8"/>
    <w:rsid w:val="00110F73"/>
    <w:rsid w:val="00111E35"/>
    <w:rsid w:val="001128B4"/>
    <w:rsid w:val="00112EBD"/>
    <w:rsid w:val="001132C2"/>
    <w:rsid w:val="00113335"/>
    <w:rsid w:val="0011382D"/>
    <w:rsid w:val="00113AF2"/>
    <w:rsid w:val="00113C17"/>
    <w:rsid w:val="00113FDD"/>
    <w:rsid w:val="00114051"/>
    <w:rsid w:val="00114973"/>
    <w:rsid w:val="00114CFB"/>
    <w:rsid w:val="00114CFF"/>
    <w:rsid w:val="00114FDF"/>
    <w:rsid w:val="0011650B"/>
    <w:rsid w:val="00116616"/>
    <w:rsid w:val="00116FC5"/>
    <w:rsid w:val="001170B7"/>
    <w:rsid w:val="00117163"/>
    <w:rsid w:val="001178A1"/>
    <w:rsid w:val="00117BBD"/>
    <w:rsid w:val="00117E26"/>
    <w:rsid w:val="001202DF"/>
    <w:rsid w:val="00120F1B"/>
    <w:rsid w:val="001213E7"/>
    <w:rsid w:val="00122208"/>
    <w:rsid w:val="001224BA"/>
    <w:rsid w:val="001238BC"/>
    <w:rsid w:val="00124518"/>
    <w:rsid w:val="001248AB"/>
    <w:rsid w:val="00124981"/>
    <w:rsid w:val="00124B10"/>
    <w:rsid w:val="00124B2E"/>
    <w:rsid w:val="001256A1"/>
    <w:rsid w:val="00125D81"/>
    <w:rsid w:val="00126301"/>
    <w:rsid w:val="0012661F"/>
    <w:rsid w:val="00126966"/>
    <w:rsid w:val="001269B0"/>
    <w:rsid w:val="00126B24"/>
    <w:rsid w:val="00127234"/>
    <w:rsid w:val="001276C4"/>
    <w:rsid w:val="00127C68"/>
    <w:rsid w:val="00127D5B"/>
    <w:rsid w:val="001300B0"/>
    <w:rsid w:val="00131373"/>
    <w:rsid w:val="001314A0"/>
    <w:rsid w:val="00131A1F"/>
    <w:rsid w:val="00131A66"/>
    <w:rsid w:val="00131F9C"/>
    <w:rsid w:val="00132336"/>
    <w:rsid w:val="00132425"/>
    <w:rsid w:val="0013280A"/>
    <w:rsid w:val="00132875"/>
    <w:rsid w:val="0013315A"/>
    <w:rsid w:val="001332B3"/>
    <w:rsid w:val="0013343F"/>
    <w:rsid w:val="001344F9"/>
    <w:rsid w:val="00134823"/>
    <w:rsid w:val="00134F37"/>
    <w:rsid w:val="00135F76"/>
    <w:rsid w:val="001360E9"/>
    <w:rsid w:val="001360F4"/>
    <w:rsid w:val="001363C7"/>
    <w:rsid w:val="00136E87"/>
    <w:rsid w:val="00140793"/>
    <w:rsid w:val="0014203B"/>
    <w:rsid w:val="001422BD"/>
    <w:rsid w:val="0014286D"/>
    <w:rsid w:val="00143B8E"/>
    <w:rsid w:val="00143F21"/>
    <w:rsid w:val="0014420C"/>
    <w:rsid w:val="001446C3"/>
    <w:rsid w:val="00145EA8"/>
    <w:rsid w:val="001461A7"/>
    <w:rsid w:val="00146946"/>
    <w:rsid w:val="00146E7C"/>
    <w:rsid w:val="00147F8C"/>
    <w:rsid w:val="00150492"/>
    <w:rsid w:val="00151200"/>
    <w:rsid w:val="001513CE"/>
    <w:rsid w:val="00151465"/>
    <w:rsid w:val="00151AD8"/>
    <w:rsid w:val="00151E77"/>
    <w:rsid w:val="00153287"/>
    <w:rsid w:val="001533E6"/>
    <w:rsid w:val="001538BE"/>
    <w:rsid w:val="00153BA7"/>
    <w:rsid w:val="00153C33"/>
    <w:rsid w:val="00155198"/>
    <w:rsid w:val="00155A26"/>
    <w:rsid w:val="00155EF1"/>
    <w:rsid w:val="00156192"/>
    <w:rsid w:val="00156E57"/>
    <w:rsid w:val="0015710D"/>
    <w:rsid w:val="00157338"/>
    <w:rsid w:val="00157CE5"/>
    <w:rsid w:val="00157DEB"/>
    <w:rsid w:val="001610BC"/>
    <w:rsid w:val="00161847"/>
    <w:rsid w:val="00161E13"/>
    <w:rsid w:val="001629D8"/>
    <w:rsid w:val="00162B2A"/>
    <w:rsid w:val="00162B8D"/>
    <w:rsid w:val="00162F9F"/>
    <w:rsid w:val="00163EB1"/>
    <w:rsid w:val="00164803"/>
    <w:rsid w:val="00164AE0"/>
    <w:rsid w:val="001656F6"/>
    <w:rsid w:val="00165BF5"/>
    <w:rsid w:val="00165F2E"/>
    <w:rsid w:val="0016646A"/>
    <w:rsid w:val="00166537"/>
    <w:rsid w:val="001673EE"/>
    <w:rsid w:val="0016793B"/>
    <w:rsid w:val="00167C43"/>
    <w:rsid w:val="001706C9"/>
    <w:rsid w:val="0017120C"/>
    <w:rsid w:val="0017150D"/>
    <w:rsid w:val="00171D3A"/>
    <w:rsid w:val="001727D7"/>
    <w:rsid w:val="00172C96"/>
    <w:rsid w:val="00172DDC"/>
    <w:rsid w:val="00172F3A"/>
    <w:rsid w:val="0017303B"/>
    <w:rsid w:val="00173477"/>
    <w:rsid w:val="0017414F"/>
    <w:rsid w:val="0017432C"/>
    <w:rsid w:val="00174636"/>
    <w:rsid w:val="00174735"/>
    <w:rsid w:val="0017481D"/>
    <w:rsid w:val="00174B1B"/>
    <w:rsid w:val="00174BD8"/>
    <w:rsid w:val="00174D51"/>
    <w:rsid w:val="001750BC"/>
    <w:rsid w:val="001757B3"/>
    <w:rsid w:val="001765BB"/>
    <w:rsid w:val="0017667E"/>
    <w:rsid w:val="001766D3"/>
    <w:rsid w:val="00176AE8"/>
    <w:rsid w:val="00176E76"/>
    <w:rsid w:val="00177570"/>
    <w:rsid w:val="00177E95"/>
    <w:rsid w:val="0018007F"/>
    <w:rsid w:val="001811FC"/>
    <w:rsid w:val="00182338"/>
    <w:rsid w:val="00182348"/>
    <w:rsid w:val="001831FE"/>
    <w:rsid w:val="00183F50"/>
    <w:rsid w:val="00184BB2"/>
    <w:rsid w:val="00184BD9"/>
    <w:rsid w:val="00184ED6"/>
    <w:rsid w:val="00184F13"/>
    <w:rsid w:val="00184FD9"/>
    <w:rsid w:val="00185361"/>
    <w:rsid w:val="00186037"/>
    <w:rsid w:val="00186AE4"/>
    <w:rsid w:val="00186D14"/>
    <w:rsid w:val="001876D8"/>
    <w:rsid w:val="00187F6A"/>
    <w:rsid w:val="00190325"/>
    <w:rsid w:val="00190391"/>
    <w:rsid w:val="0019151E"/>
    <w:rsid w:val="00191593"/>
    <w:rsid w:val="001918F1"/>
    <w:rsid w:val="0019196E"/>
    <w:rsid w:val="00191FF5"/>
    <w:rsid w:val="001926D7"/>
    <w:rsid w:val="00192CCE"/>
    <w:rsid w:val="0019385B"/>
    <w:rsid w:val="00193A96"/>
    <w:rsid w:val="00193F1C"/>
    <w:rsid w:val="00194428"/>
    <w:rsid w:val="001947C0"/>
    <w:rsid w:val="001948F5"/>
    <w:rsid w:val="00194958"/>
    <w:rsid w:val="0019566E"/>
    <w:rsid w:val="00196359"/>
    <w:rsid w:val="0019710C"/>
    <w:rsid w:val="00197205"/>
    <w:rsid w:val="00197632"/>
    <w:rsid w:val="0019793F"/>
    <w:rsid w:val="00197A9D"/>
    <w:rsid w:val="001A08E7"/>
    <w:rsid w:val="001A17D7"/>
    <w:rsid w:val="001A1A67"/>
    <w:rsid w:val="001A1FDD"/>
    <w:rsid w:val="001A2D8F"/>
    <w:rsid w:val="001A31AB"/>
    <w:rsid w:val="001A3D89"/>
    <w:rsid w:val="001A3E0A"/>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5D4"/>
    <w:rsid w:val="001B4446"/>
    <w:rsid w:val="001B52D3"/>
    <w:rsid w:val="001B53DD"/>
    <w:rsid w:val="001B56FD"/>
    <w:rsid w:val="001B5A00"/>
    <w:rsid w:val="001B5F59"/>
    <w:rsid w:val="001B63A7"/>
    <w:rsid w:val="001B6810"/>
    <w:rsid w:val="001B6E89"/>
    <w:rsid w:val="001B7358"/>
    <w:rsid w:val="001B791C"/>
    <w:rsid w:val="001B7B9B"/>
    <w:rsid w:val="001B7D70"/>
    <w:rsid w:val="001C0125"/>
    <w:rsid w:val="001C1074"/>
    <w:rsid w:val="001C21C8"/>
    <w:rsid w:val="001C25F5"/>
    <w:rsid w:val="001C265A"/>
    <w:rsid w:val="001C2DFD"/>
    <w:rsid w:val="001C34D0"/>
    <w:rsid w:val="001C4249"/>
    <w:rsid w:val="001C46E3"/>
    <w:rsid w:val="001C496A"/>
    <w:rsid w:val="001C4AC1"/>
    <w:rsid w:val="001C4F27"/>
    <w:rsid w:val="001C51FE"/>
    <w:rsid w:val="001C6573"/>
    <w:rsid w:val="001C7694"/>
    <w:rsid w:val="001C7B08"/>
    <w:rsid w:val="001C7D03"/>
    <w:rsid w:val="001D00BE"/>
    <w:rsid w:val="001D079B"/>
    <w:rsid w:val="001D0D32"/>
    <w:rsid w:val="001D1363"/>
    <w:rsid w:val="001D17C9"/>
    <w:rsid w:val="001D1AB9"/>
    <w:rsid w:val="001D1EEB"/>
    <w:rsid w:val="001D1F20"/>
    <w:rsid w:val="001D22D5"/>
    <w:rsid w:val="001D3795"/>
    <w:rsid w:val="001D4006"/>
    <w:rsid w:val="001D54BD"/>
    <w:rsid w:val="001D5C72"/>
    <w:rsid w:val="001D616F"/>
    <w:rsid w:val="001D626E"/>
    <w:rsid w:val="001D733B"/>
    <w:rsid w:val="001D73CF"/>
    <w:rsid w:val="001D7E8C"/>
    <w:rsid w:val="001E04CD"/>
    <w:rsid w:val="001E0902"/>
    <w:rsid w:val="001E1211"/>
    <w:rsid w:val="001E1801"/>
    <w:rsid w:val="001E1C73"/>
    <w:rsid w:val="001E1E05"/>
    <w:rsid w:val="001E2254"/>
    <w:rsid w:val="001E22D2"/>
    <w:rsid w:val="001E2343"/>
    <w:rsid w:val="001E3A17"/>
    <w:rsid w:val="001E3C20"/>
    <w:rsid w:val="001E3FCB"/>
    <w:rsid w:val="001E52DF"/>
    <w:rsid w:val="001E5500"/>
    <w:rsid w:val="001E6BCB"/>
    <w:rsid w:val="001E774A"/>
    <w:rsid w:val="001E783B"/>
    <w:rsid w:val="001E7FBC"/>
    <w:rsid w:val="001F0822"/>
    <w:rsid w:val="001F08CB"/>
    <w:rsid w:val="001F105B"/>
    <w:rsid w:val="001F15F6"/>
    <w:rsid w:val="001F179C"/>
    <w:rsid w:val="001F24B7"/>
    <w:rsid w:val="001F2649"/>
    <w:rsid w:val="001F2DB5"/>
    <w:rsid w:val="001F3496"/>
    <w:rsid w:val="001F41CA"/>
    <w:rsid w:val="001F4355"/>
    <w:rsid w:val="001F478E"/>
    <w:rsid w:val="001F47FE"/>
    <w:rsid w:val="001F4819"/>
    <w:rsid w:val="001F485F"/>
    <w:rsid w:val="001F48BD"/>
    <w:rsid w:val="001F4FAB"/>
    <w:rsid w:val="001F5034"/>
    <w:rsid w:val="001F61DE"/>
    <w:rsid w:val="001F63AA"/>
    <w:rsid w:val="001F69C8"/>
    <w:rsid w:val="001F7054"/>
    <w:rsid w:val="001F77E5"/>
    <w:rsid w:val="001F7DB7"/>
    <w:rsid w:val="002000AA"/>
    <w:rsid w:val="00201502"/>
    <w:rsid w:val="0020302A"/>
    <w:rsid w:val="0020324C"/>
    <w:rsid w:val="002032A0"/>
    <w:rsid w:val="00203532"/>
    <w:rsid w:val="00203AE0"/>
    <w:rsid w:val="00204106"/>
    <w:rsid w:val="00204109"/>
    <w:rsid w:val="0020503A"/>
    <w:rsid w:val="00205041"/>
    <w:rsid w:val="0020524C"/>
    <w:rsid w:val="002059E3"/>
    <w:rsid w:val="00206258"/>
    <w:rsid w:val="00207438"/>
    <w:rsid w:val="002100FF"/>
    <w:rsid w:val="00210543"/>
    <w:rsid w:val="00210B9B"/>
    <w:rsid w:val="0021102F"/>
    <w:rsid w:val="002118D1"/>
    <w:rsid w:val="00211DCE"/>
    <w:rsid w:val="0021229D"/>
    <w:rsid w:val="00212390"/>
    <w:rsid w:val="00212897"/>
    <w:rsid w:val="00213612"/>
    <w:rsid w:val="0021386A"/>
    <w:rsid w:val="00213C44"/>
    <w:rsid w:val="002147EE"/>
    <w:rsid w:val="00215516"/>
    <w:rsid w:val="002158DC"/>
    <w:rsid w:val="002159D5"/>
    <w:rsid w:val="00215B64"/>
    <w:rsid w:val="00215C05"/>
    <w:rsid w:val="002161E3"/>
    <w:rsid w:val="00216DF5"/>
    <w:rsid w:val="00216EFA"/>
    <w:rsid w:val="0021798E"/>
    <w:rsid w:val="00217CA1"/>
    <w:rsid w:val="00217DEE"/>
    <w:rsid w:val="002203BF"/>
    <w:rsid w:val="00220C4C"/>
    <w:rsid w:val="00220E95"/>
    <w:rsid w:val="002217FE"/>
    <w:rsid w:val="0022180C"/>
    <w:rsid w:val="00221935"/>
    <w:rsid w:val="00221C72"/>
    <w:rsid w:val="002223E1"/>
    <w:rsid w:val="002225AB"/>
    <w:rsid w:val="00222955"/>
    <w:rsid w:val="002231B0"/>
    <w:rsid w:val="002239B8"/>
    <w:rsid w:val="00224D7D"/>
    <w:rsid w:val="002250D1"/>
    <w:rsid w:val="00225AAD"/>
    <w:rsid w:val="002267D2"/>
    <w:rsid w:val="00230839"/>
    <w:rsid w:val="00230EE8"/>
    <w:rsid w:val="00231ADB"/>
    <w:rsid w:val="00232178"/>
    <w:rsid w:val="00232248"/>
    <w:rsid w:val="00232D12"/>
    <w:rsid w:val="0023353F"/>
    <w:rsid w:val="00233616"/>
    <w:rsid w:val="00233975"/>
    <w:rsid w:val="00233B8C"/>
    <w:rsid w:val="002353E3"/>
    <w:rsid w:val="002357F3"/>
    <w:rsid w:val="00235CC0"/>
    <w:rsid w:val="00235F30"/>
    <w:rsid w:val="00236287"/>
    <w:rsid w:val="002363FF"/>
    <w:rsid w:val="00236D10"/>
    <w:rsid w:val="0023777E"/>
    <w:rsid w:val="002407CE"/>
    <w:rsid w:val="002410D2"/>
    <w:rsid w:val="00241A6E"/>
    <w:rsid w:val="0024219D"/>
    <w:rsid w:val="00242325"/>
    <w:rsid w:val="002430FE"/>
    <w:rsid w:val="00243A38"/>
    <w:rsid w:val="0024474F"/>
    <w:rsid w:val="00244761"/>
    <w:rsid w:val="00244E94"/>
    <w:rsid w:val="002450F2"/>
    <w:rsid w:val="00245B7F"/>
    <w:rsid w:val="00246383"/>
    <w:rsid w:val="002469C2"/>
    <w:rsid w:val="00247BDE"/>
    <w:rsid w:val="00247DE2"/>
    <w:rsid w:val="002505DE"/>
    <w:rsid w:val="002514FA"/>
    <w:rsid w:val="00251DAF"/>
    <w:rsid w:val="00252503"/>
    <w:rsid w:val="0025265C"/>
    <w:rsid w:val="00252ED7"/>
    <w:rsid w:val="0025393C"/>
    <w:rsid w:val="002549E7"/>
    <w:rsid w:val="00254A7A"/>
    <w:rsid w:val="00254EA4"/>
    <w:rsid w:val="0025509C"/>
    <w:rsid w:val="002552F8"/>
    <w:rsid w:val="0025575F"/>
    <w:rsid w:val="002560FB"/>
    <w:rsid w:val="002571E3"/>
    <w:rsid w:val="002573DA"/>
    <w:rsid w:val="00260496"/>
    <w:rsid w:val="00260542"/>
    <w:rsid w:val="00260BAD"/>
    <w:rsid w:val="002612EA"/>
    <w:rsid w:val="0026224C"/>
    <w:rsid w:val="00264022"/>
    <w:rsid w:val="00264C7C"/>
    <w:rsid w:val="0026650F"/>
    <w:rsid w:val="00266DC3"/>
    <w:rsid w:val="0027029D"/>
    <w:rsid w:val="00270443"/>
    <w:rsid w:val="00270EE2"/>
    <w:rsid w:val="0027138C"/>
    <w:rsid w:val="0027165A"/>
    <w:rsid w:val="00272787"/>
    <w:rsid w:val="00272826"/>
    <w:rsid w:val="00272A7B"/>
    <w:rsid w:val="00272C44"/>
    <w:rsid w:val="00272F05"/>
    <w:rsid w:val="00273527"/>
    <w:rsid w:val="00273F6B"/>
    <w:rsid w:val="002747EF"/>
    <w:rsid w:val="00274B06"/>
    <w:rsid w:val="002751D6"/>
    <w:rsid w:val="002754D3"/>
    <w:rsid w:val="002759FF"/>
    <w:rsid w:val="00276261"/>
    <w:rsid w:val="00276944"/>
    <w:rsid w:val="00276964"/>
    <w:rsid w:val="002769AE"/>
    <w:rsid w:val="00276CA7"/>
    <w:rsid w:val="0027737B"/>
    <w:rsid w:val="002816DD"/>
    <w:rsid w:val="002817A6"/>
    <w:rsid w:val="002821E8"/>
    <w:rsid w:val="00282F1D"/>
    <w:rsid w:val="00283215"/>
    <w:rsid w:val="00283369"/>
    <w:rsid w:val="002833F3"/>
    <w:rsid w:val="00284203"/>
    <w:rsid w:val="00285237"/>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CB7"/>
    <w:rsid w:val="00292E91"/>
    <w:rsid w:val="002930AD"/>
    <w:rsid w:val="00293254"/>
    <w:rsid w:val="00295002"/>
    <w:rsid w:val="0029568E"/>
    <w:rsid w:val="00295E8C"/>
    <w:rsid w:val="002971C7"/>
    <w:rsid w:val="002971F2"/>
    <w:rsid w:val="00297785"/>
    <w:rsid w:val="00297E05"/>
    <w:rsid w:val="002A0444"/>
    <w:rsid w:val="002A0BEB"/>
    <w:rsid w:val="002A0F8D"/>
    <w:rsid w:val="002A1311"/>
    <w:rsid w:val="002A1377"/>
    <w:rsid w:val="002A19A0"/>
    <w:rsid w:val="002A1F89"/>
    <w:rsid w:val="002A211A"/>
    <w:rsid w:val="002A264B"/>
    <w:rsid w:val="002A4A82"/>
    <w:rsid w:val="002A4B33"/>
    <w:rsid w:val="002A4C00"/>
    <w:rsid w:val="002A5311"/>
    <w:rsid w:val="002A5863"/>
    <w:rsid w:val="002A6E9B"/>
    <w:rsid w:val="002A6FBB"/>
    <w:rsid w:val="002B05D1"/>
    <w:rsid w:val="002B09F5"/>
    <w:rsid w:val="002B0DE1"/>
    <w:rsid w:val="002B18C7"/>
    <w:rsid w:val="002B1933"/>
    <w:rsid w:val="002B20BD"/>
    <w:rsid w:val="002B22DB"/>
    <w:rsid w:val="002B2611"/>
    <w:rsid w:val="002B27D8"/>
    <w:rsid w:val="002B35B9"/>
    <w:rsid w:val="002B38D2"/>
    <w:rsid w:val="002B3A46"/>
    <w:rsid w:val="002B3F1C"/>
    <w:rsid w:val="002B3F60"/>
    <w:rsid w:val="002B401B"/>
    <w:rsid w:val="002B48C5"/>
    <w:rsid w:val="002B4ED9"/>
    <w:rsid w:val="002B4EF4"/>
    <w:rsid w:val="002B5007"/>
    <w:rsid w:val="002B51BB"/>
    <w:rsid w:val="002B58C5"/>
    <w:rsid w:val="002B654E"/>
    <w:rsid w:val="002B6C1F"/>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30F0"/>
    <w:rsid w:val="002C3799"/>
    <w:rsid w:val="002C401A"/>
    <w:rsid w:val="002C479B"/>
    <w:rsid w:val="002C4EC8"/>
    <w:rsid w:val="002C532B"/>
    <w:rsid w:val="002C6AF5"/>
    <w:rsid w:val="002C6D15"/>
    <w:rsid w:val="002C72F4"/>
    <w:rsid w:val="002C7E5B"/>
    <w:rsid w:val="002D0907"/>
    <w:rsid w:val="002D0E9E"/>
    <w:rsid w:val="002D1381"/>
    <w:rsid w:val="002D2D68"/>
    <w:rsid w:val="002D2F69"/>
    <w:rsid w:val="002D3016"/>
    <w:rsid w:val="002D3067"/>
    <w:rsid w:val="002D38D9"/>
    <w:rsid w:val="002D3CE3"/>
    <w:rsid w:val="002D4298"/>
    <w:rsid w:val="002D47E8"/>
    <w:rsid w:val="002D4FCC"/>
    <w:rsid w:val="002D5FD5"/>
    <w:rsid w:val="002D68F4"/>
    <w:rsid w:val="002D7395"/>
    <w:rsid w:val="002D7417"/>
    <w:rsid w:val="002D782B"/>
    <w:rsid w:val="002E0D9C"/>
    <w:rsid w:val="002E1247"/>
    <w:rsid w:val="002E26E8"/>
    <w:rsid w:val="002E33A6"/>
    <w:rsid w:val="002E3DD8"/>
    <w:rsid w:val="002E3ED8"/>
    <w:rsid w:val="002E5A01"/>
    <w:rsid w:val="002E5AF4"/>
    <w:rsid w:val="002E5EA3"/>
    <w:rsid w:val="002E717C"/>
    <w:rsid w:val="002E7533"/>
    <w:rsid w:val="002E7A61"/>
    <w:rsid w:val="002F00B8"/>
    <w:rsid w:val="002F0106"/>
    <w:rsid w:val="002F02C2"/>
    <w:rsid w:val="002F03C8"/>
    <w:rsid w:val="002F06CB"/>
    <w:rsid w:val="002F188D"/>
    <w:rsid w:val="002F18A5"/>
    <w:rsid w:val="002F26F3"/>
    <w:rsid w:val="002F317F"/>
    <w:rsid w:val="002F51A2"/>
    <w:rsid w:val="002F5BA8"/>
    <w:rsid w:val="002F5E95"/>
    <w:rsid w:val="002F5F68"/>
    <w:rsid w:val="002F6367"/>
    <w:rsid w:val="002F63CA"/>
    <w:rsid w:val="002F67B4"/>
    <w:rsid w:val="002F6F73"/>
    <w:rsid w:val="002F7AA9"/>
    <w:rsid w:val="002F7D83"/>
    <w:rsid w:val="00300414"/>
    <w:rsid w:val="003004E3"/>
    <w:rsid w:val="00300FF1"/>
    <w:rsid w:val="003010FF"/>
    <w:rsid w:val="00301C0D"/>
    <w:rsid w:val="00301D7B"/>
    <w:rsid w:val="00301E19"/>
    <w:rsid w:val="003023DE"/>
    <w:rsid w:val="00302998"/>
    <w:rsid w:val="00303DC4"/>
    <w:rsid w:val="00304676"/>
    <w:rsid w:val="00306BE7"/>
    <w:rsid w:val="00306D4A"/>
    <w:rsid w:val="00307F1A"/>
    <w:rsid w:val="00307F40"/>
    <w:rsid w:val="003110A2"/>
    <w:rsid w:val="00311655"/>
    <w:rsid w:val="003116C7"/>
    <w:rsid w:val="00311B66"/>
    <w:rsid w:val="00311F29"/>
    <w:rsid w:val="00312518"/>
    <w:rsid w:val="00313432"/>
    <w:rsid w:val="00314036"/>
    <w:rsid w:val="003142CC"/>
    <w:rsid w:val="00314347"/>
    <w:rsid w:val="00314C4F"/>
    <w:rsid w:val="00314FAF"/>
    <w:rsid w:val="003162A5"/>
    <w:rsid w:val="00316591"/>
    <w:rsid w:val="00317C91"/>
    <w:rsid w:val="00320070"/>
    <w:rsid w:val="00320553"/>
    <w:rsid w:val="00320C6D"/>
    <w:rsid w:val="003213A8"/>
    <w:rsid w:val="00321FA8"/>
    <w:rsid w:val="00321FE5"/>
    <w:rsid w:val="00321FFD"/>
    <w:rsid w:val="003225AD"/>
    <w:rsid w:val="00322E18"/>
    <w:rsid w:val="00323C3D"/>
    <w:rsid w:val="00323D1D"/>
    <w:rsid w:val="00323F8A"/>
    <w:rsid w:val="00324752"/>
    <w:rsid w:val="00324D73"/>
    <w:rsid w:val="00326011"/>
    <w:rsid w:val="0032643D"/>
    <w:rsid w:val="00326D02"/>
    <w:rsid w:val="00327069"/>
    <w:rsid w:val="00327812"/>
    <w:rsid w:val="00327AFB"/>
    <w:rsid w:val="00327BAF"/>
    <w:rsid w:val="00327D10"/>
    <w:rsid w:val="00331894"/>
    <w:rsid w:val="00332CB8"/>
    <w:rsid w:val="00333428"/>
    <w:rsid w:val="00334784"/>
    <w:rsid w:val="003350B6"/>
    <w:rsid w:val="0033595E"/>
    <w:rsid w:val="0033601B"/>
    <w:rsid w:val="003364B6"/>
    <w:rsid w:val="0033739F"/>
    <w:rsid w:val="0033764C"/>
    <w:rsid w:val="00337DF3"/>
    <w:rsid w:val="00337F8E"/>
    <w:rsid w:val="00340039"/>
    <w:rsid w:val="003400D3"/>
    <w:rsid w:val="0034024F"/>
    <w:rsid w:val="00340A77"/>
    <w:rsid w:val="00340D39"/>
    <w:rsid w:val="00340DFB"/>
    <w:rsid w:val="00341787"/>
    <w:rsid w:val="00341941"/>
    <w:rsid w:val="0034207A"/>
    <w:rsid w:val="0034278F"/>
    <w:rsid w:val="0034281F"/>
    <w:rsid w:val="00343B47"/>
    <w:rsid w:val="00343F24"/>
    <w:rsid w:val="0034404F"/>
    <w:rsid w:val="00344ACC"/>
    <w:rsid w:val="00345F01"/>
    <w:rsid w:val="0034654F"/>
    <w:rsid w:val="00346762"/>
    <w:rsid w:val="00346B28"/>
    <w:rsid w:val="003475E1"/>
    <w:rsid w:val="00347685"/>
    <w:rsid w:val="00347D33"/>
    <w:rsid w:val="003509A5"/>
    <w:rsid w:val="003515FD"/>
    <w:rsid w:val="003518A4"/>
    <w:rsid w:val="00351E21"/>
    <w:rsid w:val="00352327"/>
    <w:rsid w:val="003526A9"/>
    <w:rsid w:val="00354062"/>
    <w:rsid w:val="00354405"/>
    <w:rsid w:val="00355779"/>
    <w:rsid w:val="00355A76"/>
    <w:rsid w:val="00355DEC"/>
    <w:rsid w:val="0035635F"/>
    <w:rsid w:val="00356E0F"/>
    <w:rsid w:val="0035700C"/>
    <w:rsid w:val="003607EE"/>
    <w:rsid w:val="00360BC8"/>
    <w:rsid w:val="00360E35"/>
    <w:rsid w:val="00361106"/>
    <w:rsid w:val="003617AE"/>
    <w:rsid w:val="00361F64"/>
    <w:rsid w:val="0036215C"/>
    <w:rsid w:val="003630F7"/>
    <w:rsid w:val="0036332B"/>
    <w:rsid w:val="00363589"/>
    <w:rsid w:val="00363636"/>
    <w:rsid w:val="0036498F"/>
    <w:rsid w:val="00364CFB"/>
    <w:rsid w:val="003651AC"/>
    <w:rsid w:val="003653AA"/>
    <w:rsid w:val="00366120"/>
    <w:rsid w:val="003661FF"/>
    <w:rsid w:val="003665A5"/>
    <w:rsid w:val="00366A0C"/>
    <w:rsid w:val="00367238"/>
    <w:rsid w:val="00367462"/>
    <w:rsid w:val="003677D5"/>
    <w:rsid w:val="0037034B"/>
    <w:rsid w:val="00370507"/>
    <w:rsid w:val="00370682"/>
    <w:rsid w:val="00370F0B"/>
    <w:rsid w:val="003718D8"/>
    <w:rsid w:val="00372A01"/>
    <w:rsid w:val="00372ADC"/>
    <w:rsid w:val="00372C82"/>
    <w:rsid w:val="00372CFC"/>
    <w:rsid w:val="003733DF"/>
    <w:rsid w:val="00373865"/>
    <w:rsid w:val="003739DA"/>
    <w:rsid w:val="00373CE8"/>
    <w:rsid w:val="00374DB0"/>
    <w:rsid w:val="003751C7"/>
    <w:rsid w:val="00375C84"/>
    <w:rsid w:val="00376524"/>
    <w:rsid w:val="00376E3B"/>
    <w:rsid w:val="003770C7"/>
    <w:rsid w:val="003776FE"/>
    <w:rsid w:val="00380424"/>
    <w:rsid w:val="00380868"/>
    <w:rsid w:val="00380B9B"/>
    <w:rsid w:val="003818B3"/>
    <w:rsid w:val="003819F5"/>
    <w:rsid w:val="00381A52"/>
    <w:rsid w:val="00381B57"/>
    <w:rsid w:val="00381D47"/>
    <w:rsid w:val="003821CC"/>
    <w:rsid w:val="003835F0"/>
    <w:rsid w:val="00384296"/>
    <w:rsid w:val="003853B1"/>
    <w:rsid w:val="003853ED"/>
    <w:rsid w:val="0038628F"/>
    <w:rsid w:val="00386421"/>
    <w:rsid w:val="0038704C"/>
    <w:rsid w:val="00387AA1"/>
    <w:rsid w:val="0039082A"/>
    <w:rsid w:val="0039101F"/>
    <w:rsid w:val="00392EDB"/>
    <w:rsid w:val="00392FAE"/>
    <w:rsid w:val="003931AA"/>
    <w:rsid w:val="00393EEE"/>
    <w:rsid w:val="003941C0"/>
    <w:rsid w:val="00394D45"/>
    <w:rsid w:val="00395132"/>
    <w:rsid w:val="00395D99"/>
    <w:rsid w:val="00396682"/>
    <w:rsid w:val="003968DF"/>
    <w:rsid w:val="003976C3"/>
    <w:rsid w:val="00397A03"/>
    <w:rsid w:val="00397A64"/>
    <w:rsid w:val="003A099A"/>
    <w:rsid w:val="003A1372"/>
    <w:rsid w:val="003A15DE"/>
    <w:rsid w:val="003A1D46"/>
    <w:rsid w:val="003A2447"/>
    <w:rsid w:val="003A2B82"/>
    <w:rsid w:val="003A36D3"/>
    <w:rsid w:val="003A3927"/>
    <w:rsid w:val="003A3D2E"/>
    <w:rsid w:val="003A3F75"/>
    <w:rsid w:val="003A3FF7"/>
    <w:rsid w:val="003A43D1"/>
    <w:rsid w:val="003A5BD0"/>
    <w:rsid w:val="003A6A2B"/>
    <w:rsid w:val="003A6A51"/>
    <w:rsid w:val="003A6E29"/>
    <w:rsid w:val="003A7FEA"/>
    <w:rsid w:val="003B0464"/>
    <w:rsid w:val="003B0BDB"/>
    <w:rsid w:val="003B0E88"/>
    <w:rsid w:val="003B106E"/>
    <w:rsid w:val="003B153F"/>
    <w:rsid w:val="003B17B0"/>
    <w:rsid w:val="003B1844"/>
    <w:rsid w:val="003B1A5C"/>
    <w:rsid w:val="003B211E"/>
    <w:rsid w:val="003B24EA"/>
    <w:rsid w:val="003B29C4"/>
    <w:rsid w:val="003B2DA7"/>
    <w:rsid w:val="003B348A"/>
    <w:rsid w:val="003B3993"/>
    <w:rsid w:val="003B3AB7"/>
    <w:rsid w:val="003B3ABC"/>
    <w:rsid w:val="003B3CDD"/>
    <w:rsid w:val="003B3D8E"/>
    <w:rsid w:val="003B3FED"/>
    <w:rsid w:val="003B3FF1"/>
    <w:rsid w:val="003B4217"/>
    <w:rsid w:val="003B59A1"/>
    <w:rsid w:val="003B6D11"/>
    <w:rsid w:val="003B74F1"/>
    <w:rsid w:val="003B7541"/>
    <w:rsid w:val="003B7966"/>
    <w:rsid w:val="003B7F07"/>
    <w:rsid w:val="003B7FCE"/>
    <w:rsid w:val="003C067C"/>
    <w:rsid w:val="003C0F87"/>
    <w:rsid w:val="003C1113"/>
    <w:rsid w:val="003C141E"/>
    <w:rsid w:val="003C1B83"/>
    <w:rsid w:val="003C210E"/>
    <w:rsid w:val="003C2186"/>
    <w:rsid w:val="003C21B3"/>
    <w:rsid w:val="003C30AD"/>
    <w:rsid w:val="003C3503"/>
    <w:rsid w:val="003C40DE"/>
    <w:rsid w:val="003C4851"/>
    <w:rsid w:val="003C4C96"/>
    <w:rsid w:val="003C55E0"/>
    <w:rsid w:val="003C5E39"/>
    <w:rsid w:val="003C683A"/>
    <w:rsid w:val="003D0079"/>
    <w:rsid w:val="003D017D"/>
    <w:rsid w:val="003D04D6"/>
    <w:rsid w:val="003D10EC"/>
    <w:rsid w:val="003D1901"/>
    <w:rsid w:val="003D28DE"/>
    <w:rsid w:val="003D29B9"/>
    <w:rsid w:val="003D3500"/>
    <w:rsid w:val="003D37B6"/>
    <w:rsid w:val="003D3C68"/>
    <w:rsid w:val="003D450D"/>
    <w:rsid w:val="003D4BA9"/>
    <w:rsid w:val="003D4F8F"/>
    <w:rsid w:val="003D503A"/>
    <w:rsid w:val="003D6505"/>
    <w:rsid w:val="003D71A6"/>
    <w:rsid w:val="003D7709"/>
    <w:rsid w:val="003E004C"/>
    <w:rsid w:val="003E0BAF"/>
    <w:rsid w:val="003E0E25"/>
    <w:rsid w:val="003E1409"/>
    <w:rsid w:val="003E14AC"/>
    <w:rsid w:val="003E16F2"/>
    <w:rsid w:val="003E2195"/>
    <w:rsid w:val="003E36A5"/>
    <w:rsid w:val="003E42BC"/>
    <w:rsid w:val="003E4A52"/>
    <w:rsid w:val="003E5CBA"/>
    <w:rsid w:val="003E782F"/>
    <w:rsid w:val="003E78A9"/>
    <w:rsid w:val="003E7912"/>
    <w:rsid w:val="003F04A3"/>
    <w:rsid w:val="003F04E6"/>
    <w:rsid w:val="003F097C"/>
    <w:rsid w:val="003F2164"/>
    <w:rsid w:val="003F2CDD"/>
    <w:rsid w:val="003F3FB3"/>
    <w:rsid w:val="003F45D7"/>
    <w:rsid w:val="003F4C1B"/>
    <w:rsid w:val="003F5660"/>
    <w:rsid w:val="003F5717"/>
    <w:rsid w:val="003F5A39"/>
    <w:rsid w:val="003F5B56"/>
    <w:rsid w:val="003F5B9F"/>
    <w:rsid w:val="003F5C1A"/>
    <w:rsid w:val="003F6A6A"/>
    <w:rsid w:val="003F738D"/>
    <w:rsid w:val="003F7554"/>
    <w:rsid w:val="003F7845"/>
    <w:rsid w:val="003F7FA1"/>
    <w:rsid w:val="003F7FA4"/>
    <w:rsid w:val="004006EA"/>
    <w:rsid w:val="004008DE"/>
    <w:rsid w:val="004008F2"/>
    <w:rsid w:val="00400B4E"/>
    <w:rsid w:val="0040130D"/>
    <w:rsid w:val="00402E56"/>
    <w:rsid w:val="00403634"/>
    <w:rsid w:val="00403A99"/>
    <w:rsid w:val="00404592"/>
    <w:rsid w:val="0040496E"/>
    <w:rsid w:val="00404B58"/>
    <w:rsid w:val="0040544F"/>
    <w:rsid w:val="00405537"/>
    <w:rsid w:val="0040597C"/>
    <w:rsid w:val="0040625C"/>
    <w:rsid w:val="004069D2"/>
    <w:rsid w:val="004076FF"/>
    <w:rsid w:val="00411B17"/>
    <w:rsid w:val="00411B3A"/>
    <w:rsid w:val="00411FFF"/>
    <w:rsid w:val="0041222D"/>
    <w:rsid w:val="004124F2"/>
    <w:rsid w:val="00412C2A"/>
    <w:rsid w:val="00412E6F"/>
    <w:rsid w:val="00413C5C"/>
    <w:rsid w:val="00413DB2"/>
    <w:rsid w:val="0041413F"/>
    <w:rsid w:val="0041567A"/>
    <w:rsid w:val="00415BAB"/>
    <w:rsid w:val="00415BCF"/>
    <w:rsid w:val="00416297"/>
    <w:rsid w:val="00417083"/>
    <w:rsid w:val="0041736F"/>
    <w:rsid w:val="00417E36"/>
    <w:rsid w:val="0042057C"/>
    <w:rsid w:val="00420BDF"/>
    <w:rsid w:val="00421608"/>
    <w:rsid w:val="00421849"/>
    <w:rsid w:val="00421C23"/>
    <w:rsid w:val="0042261E"/>
    <w:rsid w:val="00422749"/>
    <w:rsid w:val="004228F2"/>
    <w:rsid w:val="004233DC"/>
    <w:rsid w:val="00424888"/>
    <w:rsid w:val="004255D9"/>
    <w:rsid w:val="00425763"/>
    <w:rsid w:val="00425C3C"/>
    <w:rsid w:val="00425F29"/>
    <w:rsid w:val="0042605B"/>
    <w:rsid w:val="004261F3"/>
    <w:rsid w:val="004261FD"/>
    <w:rsid w:val="00426B69"/>
    <w:rsid w:val="00426F8D"/>
    <w:rsid w:val="00427D1B"/>
    <w:rsid w:val="00427E40"/>
    <w:rsid w:val="004306AB"/>
    <w:rsid w:val="0043159D"/>
    <w:rsid w:val="0043171D"/>
    <w:rsid w:val="0043263C"/>
    <w:rsid w:val="00432AC3"/>
    <w:rsid w:val="00432F78"/>
    <w:rsid w:val="004334A2"/>
    <w:rsid w:val="004335BC"/>
    <w:rsid w:val="00433972"/>
    <w:rsid w:val="004339E6"/>
    <w:rsid w:val="00433DA5"/>
    <w:rsid w:val="00434723"/>
    <w:rsid w:val="00434729"/>
    <w:rsid w:val="00434FEA"/>
    <w:rsid w:val="0043617B"/>
    <w:rsid w:val="00437D17"/>
    <w:rsid w:val="00437D2F"/>
    <w:rsid w:val="0044046D"/>
    <w:rsid w:val="00440DEC"/>
    <w:rsid w:val="004410D3"/>
    <w:rsid w:val="00441A5B"/>
    <w:rsid w:val="00441DAF"/>
    <w:rsid w:val="0044270D"/>
    <w:rsid w:val="00442E8C"/>
    <w:rsid w:val="0044312A"/>
    <w:rsid w:val="00443310"/>
    <w:rsid w:val="004435D5"/>
    <w:rsid w:val="00443A34"/>
    <w:rsid w:val="00443D38"/>
    <w:rsid w:val="00444140"/>
    <w:rsid w:val="00444BF5"/>
    <w:rsid w:val="00444F43"/>
    <w:rsid w:val="00447213"/>
    <w:rsid w:val="0044765A"/>
    <w:rsid w:val="00447C23"/>
    <w:rsid w:val="00450744"/>
    <w:rsid w:val="00450BE7"/>
    <w:rsid w:val="00450FE8"/>
    <w:rsid w:val="004518D0"/>
    <w:rsid w:val="0045213A"/>
    <w:rsid w:val="0045227C"/>
    <w:rsid w:val="0045230E"/>
    <w:rsid w:val="00452553"/>
    <w:rsid w:val="004528FA"/>
    <w:rsid w:val="00452D67"/>
    <w:rsid w:val="00452E53"/>
    <w:rsid w:val="0045418C"/>
    <w:rsid w:val="004542C6"/>
    <w:rsid w:val="00454EDC"/>
    <w:rsid w:val="00455B00"/>
    <w:rsid w:val="00455B97"/>
    <w:rsid w:val="00456635"/>
    <w:rsid w:val="00456BFD"/>
    <w:rsid w:val="004575D5"/>
    <w:rsid w:val="00457657"/>
    <w:rsid w:val="004600BF"/>
    <w:rsid w:val="004607D0"/>
    <w:rsid w:val="00460CE3"/>
    <w:rsid w:val="00460F25"/>
    <w:rsid w:val="0046116D"/>
    <w:rsid w:val="004612A4"/>
    <w:rsid w:val="0046153C"/>
    <w:rsid w:val="004624D2"/>
    <w:rsid w:val="004625C8"/>
    <w:rsid w:val="00462DCE"/>
    <w:rsid w:val="00464194"/>
    <w:rsid w:val="0046442A"/>
    <w:rsid w:val="00464BF1"/>
    <w:rsid w:val="00465D73"/>
    <w:rsid w:val="00466078"/>
    <w:rsid w:val="0046626B"/>
    <w:rsid w:val="004676E4"/>
    <w:rsid w:val="00467AFF"/>
    <w:rsid w:val="00470183"/>
    <w:rsid w:val="004708C9"/>
    <w:rsid w:val="00470C48"/>
    <w:rsid w:val="0047139F"/>
    <w:rsid w:val="00471429"/>
    <w:rsid w:val="0047153B"/>
    <w:rsid w:val="004722B1"/>
    <w:rsid w:val="00472312"/>
    <w:rsid w:val="00473A2B"/>
    <w:rsid w:val="00473A47"/>
    <w:rsid w:val="00473A4F"/>
    <w:rsid w:val="00473C0A"/>
    <w:rsid w:val="00473EEF"/>
    <w:rsid w:val="00474415"/>
    <w:rsid w:val="00474BC1"/>
    <w:rsid w:val="00475A46"/>
    <w:rsid w:val="004763EC"/>
    <w:rsid w:val="0047722F"/>
    <w:rsid w:val="00477459"/>
    <w:rsid w:val="00477B59"/>
    <w:rsid w:val="00477CC9"/>
    <w:rsid w:val="0048026E"/>
    <w:rsid w:val="00480303"/>
    <w:rsid w:val="004804C3"/>
    <w:rsid w:val="004807A9"/>
    <w:rsid w:val="00480A8A"/>
    <w:rsid w:val="00480F76"/>
    <w:rsid w:val="004810A5"/>
    <w:rsid w:val="004810E0"/>
    <w:rsid w:val="00481318"/>
    <w:rsid w:val="00481363"/>
    <w:rsid w:val="004813EE"/>
    <w:rsid w:val="00481835"/>
    <w:rsid w:val="00482CDC"/>
    <w:rsid w:val="00482FB0"/>
    <w:rsid w:val="00483B03"/>
    <w:rsid w:val="0048444C"/>
    <w:rsid w:val="00485058"/>
    <w:rsid w:val="00485702"/>
    <w:rsid w:val="00485C2D"/>
    <w:rsid w:val="004862C2"/>
    <w:rsid w:val="004867EC"/>
    <w:rsid w:val="00486A37"/>
    <w:rsid w:val="00487662"/>
    <w:rsid w:val="004876C6"/>
    <w:rsid w:val="00487D7B"/>
    <w:rsid w:val="00490F7A"/>
    <w:rsid w:val="00490FD5"/>
    <w:rsid w:val="00491241"/>
    <w:rsid w:val="00491813"/>
    <w:rsid w:val="00493278"/>
    <w:rsid w:val="00493855"/>
    <w:rsid w:val="004951D8"/>
    <w:rsid w:val="004952C1"/>
    <w:rsid w:val="00497575"/>
    <w:rsid w:val="004A078B"/>
    <w:rsid w:val="004A12C0"/>
    <w:rsid w:val="004A169A"/>
    <w:rsid w:val="004A18C9"/>
    <w:rsid w:val="004A191A"/>
    <w:rsid w:val="004A1A70"/>
    <w:rsid w:val="004A2D5A"/>
    <w:rsid w:val="004A3988"/>
    <w:rsid w:val="004A4027"/>
    <w:rsid w:val="004A419E"/>
    <w:rsid w:val="004A43F0"/>
    <w:rsid w:val="004A4688"/>
    <w:rsid w:val="004A4776"/>
    <w:rsid w:val="004A5741"/>
    <w:rsid w:val="004A6463"/>
    <w:rsid w:val="004A6B58"/>
    <w:rsid w:val="004A6BA2"/>
    <w:rsid w:val="004A7D74"/>
    <w:rsid w:val="004B06C3"/>
    <w:rsid w:val="004B0917"/>
    <w:rsid w:val="004B0B09"/>
    <w:rsid w:val="004B140F"/>
    <w:rsid w:val="004B14EB"/>
    <w:rsid w:val="004B21CF"/>
    <w:rsid w:val="004B2DE3"/>
    <w:rsid w:val="004B34DF"/>
    <w:rsid w:val="004B3FEA"/>
    <w:rsid w:val="004B44A9"/>
    <w:rsid w:val="004B4E68"/>
    <w:rsid w:val="004B53F1"/>
    <w:rsid w:val="004B5D6E"/>
    <w:rsid w:val="004B60BA"/>
    <w:rsid w:val="004B6946"/>
    <w:rsid w:val="004B6D89"/>
    <w:rsid w:val="004B6E81"/>
    <w:rsid w:val="004B7DE4"/>
    <w:rsid w:val="004C0FFE"/>
    <w:rsid w:val="004C136D"/>
    <w:rsid w:val="004C1619"/>
    <w:rsid w:val="004C177F"/>
    <w:rsid w:val="004C19E4"/>
    <w:rsid w:val="004C1B59"/>
    <w:rsid w:val="004C1E96"/>
    <w:rsid w:val="004C3C25"/>
    <w:rsid w:val="004C3CFC"/>
    <w:rsid w:val="004C3EEA"/>
    <w:rsid w:val="004C4D02"/>
    <w:rsid w:val="004C4EA2"/>
    <w:rsid w:val="004C596B"/>
    <w:rsid w:val="004C5E41"/>
    <w:rsid w:val="004C60E7"/>
    <w:rsid w:val="004C664D"/>
    <w:rsid w:val="004C7BDE"/>
    <w:rsid w:val="004D0090"/>
    <w:rsid w:val="004D020F"/>
    <w:rsid w:val="004D03D1"/>
    <w:rsid w:val="004D10B0"/>
    <w:rsid w:val="004D11AF"/>
    <w:rsid w:val="004D2210"/>
    <w:rsid w:val="004D2E58"/>
    <w:rsid w:val="004D37D9"/>
    <w:rsid w:val="004D41A2"/>
    <w:rsid w:val="004D47F2"/>
    <w:rsid w:val="004D502C"/>
    <w:rsid w:val="004D5CEE"/>
    <w:rsid w:val="004D5FB2"/>
    <w:rsid w:val="004D60A3"/>
    <w:rsid w:val="004D6DC3"/>
    <w:rsid w:val="004D71CA"/>
    <w:rsid w:val="004D78B9"/>
    <w:rsid w:val="004E016A"/>
    <w:rsid w:val="004E0461"/>
    <w:rsid w:val="004E1CC8"/>
    <w:rsid w:val="004E2052"/>
    <w:rsid w:val="004E29B1"/>
    <w:rsid w:val="004E3F87"/>
    <w:rsid w:val="004E461B"/>
    <w:rsid w:val="004E477D"/>
    <w:rsid w:val="004E5890"/>
    <w:rsid w:val="004E79EF"/>
    <w:rsid w:val="004E7B33"/>
    <w:rsid w:val="004F0368"/>
    <w:rsid w:val="004F0D19"/>
    <w:rsid w:val="004F121B"/>
    <w:rsid w:val="004F140F"/>
    <w:rsid w:val="004F185F"/>
    <w:rsid w:val="004F2811"/>
    <w:rsid w:val="004F2F69"/>
    <w:rsid w:val="004F3326"/>
    <w:rsid w:val="004F4D22"/>
    <w:rsid w:val="004F590E"/>
    <w:rsid w:val="004F5966"/>
    <w:rsid w:val="004F6026"/>
    <w:rsid w:val="004F60F4"/>
    <w:rsid w:val="004F62E8"/>
    <w:rsid w:val="004F67C3"/>
    <w:rsid w:val="004F6C17"/>
    <w:rsid w:val="004F7390"/>
    <w:rsid w:val="004F78F8"/>
    <w:rsid w:val="005001A5"/>
    <w:rsid w:val="00500201"/>
    <w:rsid w:val="00500CCD"/>
    <w:rsid w:val="005019AA"/>
    <w:rsid w:val="00502008"/>
    <w:rsid w:val="005026B8"/>
    <w:rsid w:val="005028AF"/>
    <w:rsid w:val="005032E9"/>
    <w:rsid w:val="00503C3B"/>
    <w:rsid w:val="00503CE7"/>
    <w:rsid w:val="005040C9"/>
    <w:rsid w:val="005042DB"/>
    <w:rsid w:val="0050458E"/>
    <w:rsid w:val="00505928"/>
    <w:rsid w:val="00505CD6"/>
    <w:rsid w:val="005069B2"/>
    <w:rsid w:val="0050741A"/>
    <w:rsid w:val="00510452"/>
    <w:rsid w:val="005106AF"/>
    <w:rsid w:val="005107BD"/>
    <w:rsid w:val="005108EC"/>
    <w:rsid w:val="00511F8F"/>
    <w:rsid w:val="00512A7E"/>
    <w:rsid w:val="00513291"/>
    <w:rsid w:val="00513EA4"/>
    <w:rsid w:val="005147DA"/>
    <w:rsid w:val="00514FBF"/>
    <w:rsid w:val="00514FCB"/>
    <w:rsid w:val="005153AC"/>
    <w:rsid w:val="005153C3"/>
    <w:rsid w:val="00515745"/>
    <w:rsid w:val="00515862"/>
    <w:rsid w:val="005165FE"/>
    <w:rsid w:val="0051690E"/>
    <w:rsid w:val="00516942"/>
    <w:rsid w:val="00516DC0"/>
    <w:rsid w:val="00516DC5"/>
    <w:rsid w:val="00517667"/>
    <w:rsid w:val="00520482"/>
    <w:rsid w:val="00520BBA"/>
    <w:rsid w:val="00522185"/>
    <w:rsid w:val="005225AC"/>
    <w:rsid w:val="005226FA"/>
    <w:rsid w:val="005233F3"/>
    <w:rsid w:val="0052365C"/>
    <w:rsid w:val="005245D2"/>
    <w:rsid w:val="0052488B"/>
    <w:rsid w:val="00524C98"/>
    <w:rsid w:val="00524C9C"/>
    <w:rsid w:val="00524EDD"/>
    <w:rsid w:val="00524FEB"/>
    <w:rsid w:val="00525B59"/>
    <w:rsid w:val="005269C4"/>
    <w:rsid w:val="00526A20"/>
    <w:rsid w:val="00531966"/>
    <w:rsid w:val="00532472"/>
    <w:rsid w:val="005325C9"/>
    <w:rsid w:val="005329DA"/>
    <w:rsid w:val="0053322F"/>
    <w:rsid w:val="00533BC1"/>
    <w:rsid w:val="00533DBF"/>
    <w:rsid w:val="00534940"/>
    <w:rsid w:val="00535673"/>
    <w:rsid w:val="00535784"/>
    <w:rsid w:val="00535D6B"/>
    <w:rsid w:val="00536442"/>
    <w:rsid w:val="005374FE"/>
    <w:rsid w:val="0054053D"/>
    <w:rsid w:val="0054126C"/>
    <w:rsid w:val="00541368"/>
    <w:rsid w:val="005415DD"/>
    <w:rsid w:val="00541D12"/>
    <w:rsid w:val="005423F3"/>
    <w:rsid w:val="005426DB"/>
    <w:rsid w:val="005442F1"/>
    <w:rsid w:val="00544A24"/>
    <w:rsid w:val="0054583C"/>
    <w:rsid w:val="00546227"/>
    <w:rsid w:val="005468E2"/>
    <w:rsid w:val="00546D83"/>
    <w:rsid w:val="00550113"/>
    <w:rsid w:val="0055019B"/>
    <w:rsid w:val="005504BE"/>
    <w:rsid w:val="0055082B"/>
    <w:rsid w:val="0055093A"/>
    <w:rsid w:val="00550F00"/>
    <w:rsid w:val="00551964"/>
    <w:rsid w:val="00551BDF"/>
    <w:rsid w:val="00551ED7"/>
    <w:rsid w:val="0055211C"/>
    <w:rsid w:val="0055263A"/>
    <w:rsid w:val="005526EE"/>
    <w:rsid w:val="00552B57"/>
    <w:rsid w:val="00552E53"/>
    <w:rsid w:val="00553E34"/>
    <w:rsid w:val="005547B7"/>
    <w:rsid w:val="00554D6D"/>
    <w:rsid w:val="005551E9"/>
    <w:rsid w:val="0055680D"/>
    <w:rsid w:val="00557670"/>
    <w:rsid w:val="00557C2D"/>
    <w:rsid w:val="00560094"/>
    <w:rsid w:val="00560C62"/>
    <w:rsid w:val="00562A61"/>
    <w:rsid w:val="00562E78"/>
    <w:rsid w:val="005638A2"/>
    <w:rsid w:val="00564E45"/>
    <w:rsid w:val="005652D5"/>
    <w:rsid w:val="00565E52"/>
    <w:rsid w:val="00567227"/>
    <w:rsid w:val="00567CD0"/>
    <w:rsid w:val="00570C7B"/>
    <w:rsid w:val="00571C77"/>
    <w:rsid w:val="00572BCD"/>
    <w:rsid w:val="00572D5B"/>
    <w:rsid w:val="00574614"/>
    <w:rsid w:val="00574A70"/>
    <w:rsid w:val="00574D35"/>
    <w:rsid w:val="00575C75"/>
    <w:rsid w:val="00575CEA"/>
    <w:rsid w:val="005762CA"/>
    <w:rsid w:val="005769A7"/>
    <w:rsid w:val="005770CF"/>
    <w:rsid w:val="00577904"/>
    <w:rsid w:val="00577922"/>
    <w:rsid w:val="00577AC3"/>
    <w:rsid w:val="00580577"/>
    <w:rsid w:val="005815A8"/>
    <w:rsid w:val="00581915"/>
    <w:rsid w:val="0058284A"/>
    <w:rsid w:val="00583431"/>
    <w:rsid w:val="005835B0"/>
    <w:rsid w:val="005846C0"/>
    <w:rsid w:val="00584D04"/>
    <w:rsid w:val="005853F5"/>
    <w:rsid w:val="0058567E"/>
    <w:rsid w:val="00585DE1"/>
    <w:rsid w:val="0058659E"/>
    <w:rsid w:val="005869EE"/>
    <w:rsid w:val="005872DD"/>
    <w:rsid w:val="00587CF2"/>
    <w:rsid w:val="00587D3A"/>
    <w:rsid w:val="00590197"/>
    <w:rsid w:val="00590346"/>
    <w:rsid w:val="0059093F"/>
    <w:rsid w:val="00590BA2"/>
    <w:rsid w:val="00590CA7"/>
    <w:rsid w:val="00590E93"/>
    <w:rsid w:val="005915E1"/>
    <w:rsid w:val="0059177A"/>
    <w:rsid w:val="00591C75"/>
    <w:rsid w:val="00592D10"/>
    <w:rsid w:val="0059388B"/>
    <w:rsid w:val="00593A5F"/>
    <w:rsid w:val="0059404E"/>
    <w:rsid w:val="00594269"/>
    <w:rsid w:val="00595539"/>
    <w:rsid w:val="0059634D"/>
    <w:rsid w:val="00597108"/>
    <w:rsid w:val="005976DB"/>
    <w:rsid w:val="005A0F0E"/>
    <w:rsid w:val="005A1A84"/>
    <w:rsid w:val="005A3E82"/>
    <w:rsid w:val="005A4287"/>
    <w:rsid w:val="005A482E"/>
    <w:rsid w:val="005A4DB0"/>
    <w:rsid w:val="005A5095"/>
    <w:rsid w:val="005A5597"/>
    <w:rsid w:val="005A57BF"/>
    <w:rsid w:val="005A6AC2"/>
    <w:rsid w:val="005A70F1"/>
    <w:rsid w:val="005A7A65"/>
    <w:rsid w:val="005A7B26"/>
    <w:rsid w:val="005A7B8E"/>
    <w:rsid w:val="005A7C10"/>
    <w:rsid w:val="005B012B"/>
    <w:rsid w:val="005B0C87"/>
    <w:rsid w:val="005B0FE9"/>
    <w:rsid w:val="005B2195"/>
    <w:rsid w:val="005B26C7"/>
    <w:rsid w:val="005B2D65"/>
    <w:rsid w:val="005B3877"/>
    <w:rsid w:val="005B3AC8"/>
    <w:rsid w:val="005B3CC1"/>
    <w:rsid w:val="005B4002"/>
    <w:rsid w:val="005B45AB"/>
    <w:rsid w:val="005B4D8F"/>
    <w:rsid w:val="005B526C"/>
    <w:rsid w:val="005B541E"/>
    <w:rsid w:val="005B6551"/>
    <w:rsid w:val="005B71A8"/>
    <w:rsid w:val="005B744B"/>
    <w:rsid w:val="005C0A6F"/>
    <w:rsid w:val="005C0FA7"/>
    <w:rsid w:val="005C155F"/>
    <w:rsid w:val="005C1C0E"/>
    <w:rsid w:val="005C1FF5"/>
    <w:rsid w:val="005C259E"/>
    <w:rsid w:val="005C36E2"/>
    <w:rsid w:val="005C3E9E"/>
    <w:rsid w:val="005C400C"/>
    <w:rsid w:val="005C410C"/>
    <w:rsid w:val="005C4BF1"/>
    <w:rsid w:val="005C4BF2"/>
    <w:rsid w:val="005C52D4"/>
    <w:rsid w:val="005C5967"/>
    <w:rsid w:val="005C5BED"/>
    <w:rsid w:val="005C5D86"/>
    <w:rsid w:val="005C6167"/>
    <w:rsid w:val="005C6ADB"/>
    <w:rsid w:val="005C6EE2"/>
    <w:rsid w:val="005C7A07"/>
    <w:rsid w:val="005C7DDC"/>
    <w:rsid w:val="005C7F7C"/>
    <w:rsid w:val="005D0BAD"/>
    <w:rsid w:val="005D0C0A"/>
    <w:rsid w:val="005D107D"/>
    <w:rsid w:val="005D123A"/>
    <w:rsid w:val="005D2506"/>
    <w:rsid w:val="005D2BB5"/>
    <w:rsid w:val="005D3677"/>
    <w:rsid w:val="005D3A10"/>
    <w:rsid w:val="005D4E4C"/>
    <w:rsid w:val="005D5B5E"/>
    <w:rsid w:val="005D5C85"/>
    <w:rsid w:val="005D5CA0"/>
    <w:rsid w:val="005D5F27"/>
    <w:rsid w:val="005D69AB"/>
    <w:rsid w:val="005D72FC"/>
    <w:rsid w:val="005D7DFC"/>
    <w:rsid w:val="005E035A"/>
    <w:rsid w:val="005E0464"/>
    <w:rsid w:val="005E0681"/>
    <w:rsid w:val="005E1218"/>
    <w:rsid w:val="005E18EC"/>
    <w:rsid w:val="005E1A55"/>
    <w:rsid w:val="005E1B6B"/>
    <w:rsid w:val="005E1F61"/>
    <w:rsid w:val="005E2127"/>
    <w:rsid w:val="005E2281"/>
    <w:rsid w:val="005E236C"/>
    <w:rsid w:val="005E2FAE"/>
    <w:rsid w:val="005E32C9"/>
    <w:rsid w:val="005E351B"/>
    <w:rsid w:val="005E38A8"/>
    <w:rsid w:val="005E39F9"/>
    <w:rsid w:val="005E3D9B"/>
    <w:rsid w:val="005E44B6"/>
    <w:rsid w:val="005E4828"/>
    <w:rsid w:val="005E4887"/>
    <w:rsid w:val="005E5016"/>
    <w:rsid w:val="005E5231"/>
    <w:rsid w:val="005E55BB"/>
    <w:rsid w:val="005E5D11"/>
    <w:rsid w:val="005E667C"/>
    <w:rsid w:val="005E6A1D"/>
    <w:rsid w:val="005E6F12"/>
    <w:rsid w:val="005E733E"/>
    <w:rsid w:val="005E7428"/>
    <w:rsid w:val="005F0694"/>
    <w:rsid w:val="005F06E1"/>
    <w:rsid w:val="005F077C"/>
    <w:rsid w:val="005F0B88"/>
    <w:rsid w:val="005F1735"/>
    <w:rsid w:val="005F187E"/>
    <w:rsid w:val="005F252A"/>
    <w:rsid w:val="005F367B"/>
    <w:rsid w:val="005F3CC3"/>
    <w:rsid w:val="005F3CE8"/>
    <w:rsid w:val="005F4F41"/>
    <w:rsid w:val="005F4F70"/>
    <w:rsid w:val="005F566D"/>
    <w:rsid w:val="005F648F"/>
    <w:rsid w:val="005F68C3"/>
    <w:rsid w:val="005F7D87"/>
    <w:rsid w:val="00601794"/>
    <w:rsid w:val="00601E94"/>
    <w:rsid w:val="006021B1"/>
    <w:rsid w:val="006029A7"/>
    <w:rsid w:val="00602F40"/>
    <w:rsid w:val="006037C5"/>
    <w:rsid w:val="00603CC8"/>
    <w:rsid w:val="006040CE"/>
    <w:rsid w:val="0060467D"/>
    <w:rsid w:val="00604DF3"/>
    <w:rsid w:val="0060585E"/>
    <w:rsid w:val="00605B4D"/>
    <w:rsid w:val="00605B9D"/>
    <w:rsid w:val="00606213"/>
    <w:rsid w:val="00606B57"/>
    <w:rsid w:val="00606B85"/>
    <w:rsid w:val="00607390"/>
    <w:rsid w:val="006076D8"/>
    <w:rsid w:val="00607C43"/>
    <w:rsid w:val="00607E6D"/>
    <w:rsid w:val="0061061D"/>
    <w:rsid w:val="00611708"/>
    <w:rsid w:val="00611816"/>
    <w:rsid w:val="00611A3B"/>
    <w:rsid w:val="006120CA"/>
    <w:rsid w:val="00612389"/>
    <w:rsid w:val="00612570"/>
    <w:rsid w:val="006127BD"/>
    <w:rsid w:val="00612871"/>
    <w:rsid w:val="00612929"/>
    <w:rsid w:val="00612A44"/>
    <w:rsid w:val="00612A8E"/>
    <w:rsid w:val="00613098"/>
    <w:rsid w:val="006134D9"/>
    <w:rsid w:val="006135DA"/>
    <w:rsid w:val="00613BDC"/>
    <w:rsid w:val="00613F64"/>
    <w:rsid w:val="00614921"/>
    <w:rsid w:val="00615564"/>
    <w:rsid w:val="006155E2"/>
    <w:rsid w:val="00615ECA"/>
    <w:rsid w:val="00615F26"/>
    <w:rsid w:val="00616974"/>
    <w:rsid w:val="00616CCC"/>
    <w:rsid w:val="00617A81"/>
    <w:rsid w:val="00617C11"/>
    <w:rsid w:val="00617DEC"/>
    <w:rsid w:val="00617EEC"/>
    <w:rsid w:val="00620542"/>
    <w:rsid w:val="00620573"/>
    <w:rsid w:val="00620579"/>
    <w:rsid w:val="006208AA"/>
    <w:rsid w:val="0062128D"/>
    <w:rsid w:val="00621C96"/>
    <w:rsid w:val="00622161"/>
    <w:rsid w:val="0062228D"/>
    <w:rsid w:val="006224D1"/>
    <w:rsid w:val="0062258F"/>
    <w:rsid w:val="00622732"/>
    <w:rsid w:val="00622E6D"/>
    <w:rsid w:val="00623BC7"/>
    <w:rsid w:val="00623E70"/>
    <w:rsid w:val="006241D0"/>
    <w:rsid w:val="00624425"/>
    <w:rsid w:val="00624665"/>
    <w:rsid w:val="00624B06"/>
    <w:rsid w:val="00625434"/>
    <w:rsid w:val="0062576B"/>
    <w:rsid w:val="00625C5F"/>
    <w:rsid w:val="00625FF2"/>
    <w:rsid w:val="00626032"/>
    <w:rsid w:val="0062719D"/>
    <w:rsid w:val="00627643"/>
    <w:rsid w:val="00627788"/>
    <w:rsid w:val="006300CD"/>
    <w:rsid w:val="0063017E"/>
    <w:rsid w:val="00630723"/>
    <w:rsid w:val="00630EAE"/>
    <w:rsid w:val="006312D0"/>
    <w:rsid w:val="00631866"/>
    <w:rsid w:val="006318A4"/>
    <w:rsid w:val="00631A11"/>
    <w:rsid w:val="00631D4F"/>
    <w:rsid w:val="006321B6"/>
    <w:rsid w:val="006327C6"/>
    <w:rsid w:val="00633496"/>
    <w:rsid w:val="006338D2"/>
    <w:rsid w:val="00633F92"/>
    <w:rsid w:val="0063435E"/>
    <w:rsid w:val="00634CB2"/>
    <w:rsid w:val="0063571A"/>
    <w:rsid w:val="006357E2"/>
    <w:rsid w:val="00635FD8"/>
    <w:rsid w:val="00636651"/>
    <w:rsid w:val="006368E4"/>
    <w:rsid w:val="00636F7B"/>
    <w:rsid w:val="00637784"/>
    <w:rsid w:val="00640140"/>
    <w:rsid w:val="0064019C"/>
    <w:rsid w:val="00640288"/>
    <w:rsid w:val="006405AC"/>
    <w:rsid w:val="0064099D"/>
    <w:rsid w:val="00640E9A"/>
    <w:rsid w:val="006412CD"/>
    <w:rsid w:val="006413D8"/>
    <w:rsid w:val="00641610"/>
    <w:rsid w:val="00641B7B"/>
    <w:rsid w:val="00641C55"/>
    <w:rsid w:val="00642405"/>
    <w:rsid w:val="00642645"/>
    <w:rsid w:val="006437E8"/>
    <w:rsid w:val="006438E0"/>
    <w:rsid w:val="00644BED"/>
    <w:rsid w:val="00644F27"/>
    <w:rsid w:val="006453C4"/>
    <w:rsid w:val="006455CB"/>
    <w:rsid w:val="00646FD5"/>
    <w:rsid w:val="006472F8"/>
    <w:rsid w:val="00647680"/>
    <w:rsid w:val="00647743"/>
    <w:rsid w:val="00647CE0"/>
    <w:rsid w:val="0065069B"/>
    <w:rsid w:val="006510C0"/>
    <w:rsid w:val="00651DC7"/>
    <w:rsid w:val="00652092"/>
    <w:rsid w:val="00652472"/>
    <w:rsid w:val="00652A5F"/>
    <w:rsid w:val="00652F31"/>
    <w:rsid w:val="006535E5"/>
    <w:rsid w:val="0065394E"/>
    <w:rsid w:val="00653B2B"/>
    <w:rsid w:val="00653B38"/>
    <w:rsid w:val="00654D37"/>
    <w:rsid w:val="00654F06"/>
    <w:rsid w:val="00656385"/>
    <w:rsid w:val="00656F19"/>
    <w:rsid w:val="00657274"/>
    <w:rsid w:val="00657BB7"/>
    <w:rsid w:val="00660299"/>
    <w:rsid w:val="00660552"/>
    <w:rsid w:val="00660DBE"/>
    <w:rsid w:val="00661113"/>
    <w:rsid w:val="0066127D"/>
    <w:rsid w:val="00661AB0"/>
    <w:rsid w:val="006623A4"/>
    <w:rsid w:val="006627B5"/>
    <w:rsid w:val="0066351C"/>
    <w:rsid w:val="006635BF"/>
    <w:rsid w:val="00663CBA"/>
    <w:rsid w:val="00663DBD"/>
    <w:rsid w:val="00664498"/>
    <w:rsid w:val="00664693"/>
    <w:rsid w:val="00664C4B"/>
    <w:rsid w:val="00664DC0"/>
    <w:rsid w:val="006651CC"/>
    <w:rsid w:val="0066582B"/>
    <w:rsid w:val="006658DA"/>
    <w:rsid w:val="00665B9B"/>
    <w:rsid w:val="00665CA1"/>
    <w:rsid w:val="00666676"/>
    <w:rsid w:val="00666F2F"/>
    <w:rsid w:val="00667421"/>
    <w:rsid w:val="0066780E"/>
    <w:rsid w:val="00667A31"/>
    <w:rsid w:val="00670702"/>
    <w:rsid w:val="006708EB"/>
    <w:rsid w:val="0067147C"/>
    <w:rsid w:val="00672895"/>
    <w:rsid w:val="00672A8A"/>
    <w:rsid w:val="00673524"/>
    <w:rsid w:val="00673F50"/>
    <w:rsid w:val="00674EEA"/>
    <w:rsid w:val="0067549D"/>
    <w:rsid w:val="006759B0"/>
    <w:rsid w:val="0067636E"/>
    <w:rsid w:val="00677012"/>
    <w:rsid w:val="006771EA"/>
    <w:rsid w:val="006772F9"/>
    <w:rsid w:val="00677C53"/>
    <w:rsid w:val="00680D0E"/>
    <w:rsid w:val="00680F00"/>
    <w:rsid w:val="006825A6"/>
    <w:rsid w:val="006825B4"/>
    <w:rsid w:val="006829BA"/>
    <w:rsid w:val="00682AF2"/>
    <w:rsid w:val="00682C1D"/>
    <w:rsid w:val="00682E8A"/>
    <w:rsid w:val="00682FB7"/>
    <w:rsid w:val="006837DE"/>
    <w:rsid w:val="00683CE0"/>
    <w:rsid w:val="00684FA5"/>
    <w:rsid w:val="00685026"/>
    <w:rsid w:val="0068537F"/>
    <w:rsid w:val="00686104"/>
    <w:rsid w:val="00686334"/>
    <w:rsid w:val="00686C3A"/>
    <w:rsid w:val="00686EEB"/>
    <w:rsid w:val="00687628"/>
    <w:rsid w:val="00687CFE"/>
    <w:rsid w:val="0069035A"/>
    <w:rsid w:val="006906FD"/>
    <w:rsid w:val="00690EB8"/>
    <w:rsid w:val="0069109D"/>
    <w:rsid w:val="006915E5"/>
    <w:rsid w:val="00692401"/>
    <w:rsid w:val="00693B7A"/>
    <w:rsid w:val="006940BE"/>
    <w:rsid w:val="006941CC"/>
    <w:rsid w:val="006942BA"/>
    <w:rsid w:val="00694548"/>
    <w:rsid w:val="006945D4"/>
    <w:rsid w:val="00694EC0"/>
    <w:rsid w:val="00695852"/>
    <w:rsid w:val="00695F56"/>
    <w:rsid w:val="0069690E"/>
    <w:rsid w:val="0069758B"/>
    <w:rsid w:val="00697F88"/>
    <w:rsid w:val="006A050B"/>
    <w:rsid w:val="006A07FF"/>
    <w:rsid w:val="006A0A70"/>
    <w:rsid w:val="006A0B6C"/>
    <w:rsid w:val="006A1692"/>
    <w:rsid w:val="006A16E1"/>
    <w:rsid w:val="006A179F"/>
    <w:rsid w:val="006A188D"/>
    <w:rsid w:val="006A3293"/>
    <w:rsid w:val="006A36DF"/>
    <w:rsid w:val="006A3C8A"/>
    <w:rsid w:val="006A3E61"/>
    <w:rsid w:val="006A5213"/>
    <w:rsid w:val="006A6003"/>
    <w:rsid w:val="006A6737"/>
    <w:rsid w:val="006B0AE6"/>
    <w:rsid w:val="006B1E08"/>
    <w:rsid w:val="006B2099"/>
    <w:rsid w:val="006B26B1"/>
    <w:rsid w:val="006B2741"/>
    <w:rsid w:val="006B275D"/>
    <w:rsid w:val="006B2E45"/>
    <w:rsid w:val="006B341B"/>
    <w:rsid w:val="006B3875"/>
    <w:rsid w:val="006B3937"/>
    <w:rsid w:val="006B425B"/>
    <w:rsid w:val="006B545C"/>
    <w:rsid w:val="006B5AC8"/>
    <w:rsid w:val="006B5D32"/>
    <w:rsid w:val="006B6EDF"/>
    <w:rsid w:val="006B758B"/>
    <w:rsid w:val="006B78A5"/>
    <w:rsid w:val="006B7BF8"/>
    <w:rsid w:val="006C00A0"/>
    <w:rsid w:val="006C0E54"/>
    <w:rsid w:val="006C0F11"/>
    <w:rsid w:val="006C23E1"/>
    <w:rsid w:val="006C25D5"/>
    <w:rsid w:val="006C25F9"/>
    <w:rsid w:val="006C262B"/>
    <w:rsid w:val="006C27DC"/>
    <w:rsid w:val="006C2866"/>
    <w:rsid w:val="006C31C6"/>
    <w:rsid w:val="006C32BE"/>
    <w:rsid w:val="006C3A2D"/>
    <w:rsid w:val="006C4666"/>
    <w:rsid w:val="006C49BF"/>
    <w:rsid w:val="006C4BB3"/>
    <w:rsid w:val="006C63D7"/>
    <w:rsid w:val="006C6894"/>
    <w:rsid w:val="006C69D9"/>
    <w:rsid w:val="006C6C2D"/>
    <w:rsid w:val="006C7535"/>
    <w:rsid w:val="006C76A6"/>
    <w:rsid w:val="006C796D"/>
    <w:rsid w:val="006D0525"/>
    <w:rsid w:val="006D08DC"/>
    <w:rsid w:val="006D09D1"/>
    <w:rsid w:val="006D23FF"/>
    <w:rsid w:val="006D2F09"/>
    <w:rsid w:val="006D2FD2"/>
    <w:rsid w:val="006D33E6"/>
    <w:rsid w:val="006D3783"/>
    <w:rsid w:val="006D3DC0"/>
    <w:rsid w:val="006D40C4"/>
    <w:rsid w:val="006D4162"/>
    <w:rsid w:val="006D453E"/>
    <w:rsid w:val="006D5303"/>
    <w:rsid w:val="006D5E84"/>
    <w:rsid w:val="006D7A4C"/>
    <w:rsid w:val="006D7C99"/>
    <w:rsid w:val="006E0369"/>
    <w:rsid w:val="006E0443"/>
    <w:rsid w:val="006E0C50"/>
    <w:rsid w:val="006E0DCF"/>
    <w:rsid w:val="006E14D6"/>
    <w:rsid w:val="006E1647"/>
    <w:rsid w:val="006E1A60"/>
    <w:rsid w:val="006E1BA2"/>
    <w:rsid w:val="006E2298"/>
    <w:rsid w:val="006E2C5A"/>
    <w:rsid w:val="006E2F3A"/>
    <w:rsid w:val="006E310A"/>
    <w:rsid w:val="006E3C3E"/>
    <w:rsid w:val="006E3FBD"/>
    <w:rsid w:val="006E40C7"/>
    <w:rsid w:val="006E429F"/>
    <w:rsid w:val="006E47E0"/>
    <w:rsid w:val="006E50E4"/>
    <w:rsid w:val="006E6F30"/>
    <w:rsid w:val="006E6FE9"/>
    <w:rsid w:val="006E7082"/>
    <w:rsid w:val="006E709F"/>
    <w:rsid w:val="006E7F73"/>
    <w:rsid w:val="006F030F"/>
    <w:rsid w:val="006F03AF"/>
    <w:rsid w:val="006F193C"/>
    <w:rsid w:val="006F1B30"/>
    <w:rsid w:val="006F1B58"/>
    <w:rsid w:val="006F27DC"/>
    <w:rsid w:val="006F2B89"/>
    <w:rsid w:val="006F36F1"/>
    <w:rsid w:val="006F3B81"/>
    <w:rsid w:val="006F4860"/>
    <w:rsid w:val="006F4D59"/>
    <w:rsid w:val="006F4F79"/>
    <w:rsid w:val="006F4F80"/>
    <w:rsid w:val="006F5532"/>
    <w:rsid w:val="006F5ADA"/>
    <w:rsid w:val="006F62CC"/>
    <w:rsid w:val="006F644B"/>
    <w:rsid w:val="006F66C1"/>
    <w:rsid w:val="006F681D"/>
    <w:rsid w:val="006F6FA1"/>
    <w:rsid w:val="006F731E"/>
    <w:rsid w:val="006F78E9"/>
    <w:rsid w:val="0070235F"/>
    <w:rsid w:val="00702BC3"/>
    <w:rsid w:val="00702FF3"/>
    <w:rsid w:val="007032AC"/>
    <w:rsid w:val="00703496"/>
    <w:rsid w:val="007036FE"/>
    <w:rsid w:val="00703AB1"/>
    <w:rsid w:val="00704614"/>
    <w:rsid w:val="00704C5F"/>
    <w:rsid w:val="00704DEB"/>
    <w:rsid w:val="00705623"/>
    <w:rsid w:val="00705B37"/>
    <w:rsid w:val="0070658A"/>
    <w:rsid w:val="00706B65"/>
    <w:rsid w:val="007070DA"/>
    <w:rsid w:val="007071AF"/>
    <w:rsid w:val="00707C1A"/>
    <w:rsid w:val="00710023"/>
    <w:rsid w:val="00710207"/>
    <w:rsid w:val="0071023D"/>
    <w:rsid w:val="007103CD"/>
    <w:rsid w:val="007104CB"/>
    <w:rsid w:val="00710530"/>
    <w:rsid w:val="007107BD"/>
    <w:rsid w:val="00710A79"/>
    <w:rsid w:val="00711E77"/>
    <w:rsid w:val="00712912"/>
    <w:rsid w:val="00713AAC"/>
    <w:rsid w:val="00713C1D"/>
    <w:rsid w:val="007141DC"/>
    <w:rsid w:val="00714B04"/>
    <w:rsid w:val="00714F75"/>
    <w:rsid w:val="007155CE"/>
    <w:rsid w:val="007168A0"/>
    <w:rsid w:val="00716BC6"/>
    <w:rsid w:val="00716C95"/>
    <w:rsid w:val="00717762"/>
    <w:rsid w:val="00717F1A"/>
    <w:rsid w:val="007204DA"/>
    <w:rsid w:val="00721A63"/>
    <w:rsid w:val="00721DED"/>
    <w:rsid w:val="00721FF9"/>
    <w:rsid w:val="0072229E"/>
    <w:rsid w:val="00722F53"/>
    <w:rsid w:val="0072337E"/>
    <w:rsid w:val="00723696"/>
    <w:rsid w:val="00723E16"/>
    <w:rsid w:val="00723FAF"/>
    <w:rsid w:val="0072442F"/>
    <w:rsid w:val="00725189"/>
    <w:rsid w:val="0072541E"/>
    <w:rsid w:val="00725735"/>
    <w:rsid w:val="00725BB8"/>
    <w:rsid w:val="007260A3"/>
    <w:rsid w:val="0072630D"/>
    <w:rsid w:val="00726A2A"/>
    <w:rsid w:val="007271E9"/>
    <w:rsid w:val="007273BC"/>
    <w:rsid w:val="007275FD"/>
    <w:rsid w:val="007276E5"/>
    <w:rsid w:val="00730943"/>
    <w:rsid w:val="007310EF"/>
    <w:rsid w:val="00731D5E"/>
    <w:rsid w:val="00732492"/>
    <w:rsid w:val="00732CC6"/>
    <w:rsid w:val="00733E5A"/>
    <w:rsid w:val="00733F25"/>
    <w:rsid w:val="00736395"/>
    <w:rsid w:val="00736459"/>
    <w:rsid w:val="0073685F"/>
    <w:rsid w:val="00737821"/>
    <w:rsid w:val="0074058F"/>
    <w:rsid w:val="00740E86"/>
    <w:rsid w:val="00741175"/>
    <w:rsid w:val="007419FB"/>
    <w:rsid w:val="0074218C"/>
    <w:rsid w:val="00742606"/>
    <w:rsid w:val="007441FF"/>
    <w:rsid w:val="007448A7"/>
    <w:rsid w:val="00744EE8"/>
    <w:rsid w:val="00744F42"/>
    <w:rsid w:val="007459F5"/>
    <w:rsid w:val="00745D9E"/>
    <w:rsid w:val="00746713"/>
    <w:rsid w:val="007467E4"/>
    <w:rsid w:val="00746B08"/>
    <w:rsid w:val="00747569"/>
    <w:rsid w:val="00750238"/>
    <w:rsid w:val="0075023C"/>
    <w:rsid w:val="007518E3"/>
    <w:rsid w:val="007518E9"/>
    <w:rsid w:val="00752247"/>
    <w:rsid w:val="007523E7"/>
    <w:rsid w:val="007524C4"/>
    <w:rsid w:val="00752AE5"/>
    <w:rsid w:val="007531CA"/>
    <w:rsid w:val="00754252"/>
    <w:rsid w:val="00755894"/>
    <w:rsid w:val="007560D3"/>
    <w:rsid w:val="00756258"/>
    <w:rsid w:val="007577B1"/>
    <w:rsid w:val="00757CB3"/>
    <w:rsid w:val="00757D87"/>
    <w:rsid w:val="00757DB4"/>
    <w:rsid w:val="00757E79"/>
    <w:rsid w:val="00760EED"/>
    <w:rsid w:val="0076109F"/>
    <w:rsid w:val="00761399"/>
    <w:rsid w:val="00761615"/>
    <w:rsid w:val="007616DA"/>
    <w:rsid w:val="007619CE"/>
    <w:rsid w:val="00761F4F"/>
    <w:rsid w:val="007620DC"/>
    <w:rsid w:val="00762102"/>
    <w:rsid w:val="0076255D"/>
    <w:rsid w:val="007625F6"/>
    <w:rsid w:val="00762B8B"/>
    <w:rsid w:val="0076325B"/>
    <w:rsid w:val="00764AF9"/>
    <w:rsid w:val="007650AD"/>
    <w:rsid w:val="00765D18"/>
    <w:rsid w:val="0076640B"/>
    <w:rsid w:val="007673DE"/>
    <w:rsid w:val="00770C54"/>
    <w:rsid w:val="00771344"/>
    <w:rsid w:val="0077213A"/>
    <w:rsid w:val="00772613"/>
    <w:rsid w:val="00772B41"/>
    <w:rsid w:val="00772CED"/>
    <w:rsid w:val="00773EA1"/>
    <w:rsid w:val="00775215"/>
    <w:rsid w:val="00775748"/>
    <w:rsid w:val="00776ACC"/>
    <w:rsid w:val="00777AE2"/>
    <w:rsid w:val="00777C71"/>
    <w:rsid w:val="00777D6B"/>
    <w:rsid w:val="00777F20"/>
    <w:rsid w:val="0078080B"/>
    <w:rsid w:val="00781148"/>
    <w:rsid w:val="0078120F"/>
    <w:rsid w:val="00781F98"/>
    <w:rsid w:val="0078265B"/>
    <w:rsid w:val="00782AFE"/>
    <w:rsid w:val="00782E10"/>
    <w:rsid w:val="00784926"/>
    <w:rsid w:val="00784DB8"/>
    <w:rsid w:val="00784FDD"/>
    <w:rsid w:val="0078508F"/>
    <w:rsid w:val="00786448"/>
    <w:rsid w:val="007873D5"/>
    <w:rsid w:val="007875D7"/>
    <w:rsid w:val="007906B2"/>
    <w:rsid w:val="007912FC"/>
    <w:rsid w:val="0079134E"/>
    <w:rsid w:val="007916F3"/>
    <w:rsid w:val="007925F0"/>
    <w:rsid w:val="0079278E"/>
    <w:rsid w:val="00792DCA"/>
    <w:rsid w:val="00792E3C"/>
    <w:rsid w:val="00792FDF"/>
    <w:rsid w:val="00793040"/>
    <w:rsid w:val="007930C1"/>
    <w:rsid w:val="0079315D"/>
    <w:rsid w:val="00793B45"/>
    <w:rsid w:val="007946EE"/>
    <w:rsid w:val="0079477A"/>
    <w:rsid w:val="007956CD"/>
    <w:rsid w:val="00795706"/>
    <w:rsid w:val="007960E3"/>
    <w:rsid w:val="00796F7C"/>
    <w:rsid w:val="00797131"/>
    <w:rsid w:val="00797254"/>
    <w:rsid w:val="00797430"/>
    <w:rsid w:val="00797AF4"/>
    <w:rsid w:val="007A0F8D"/>
    <w:rsid w:val="007A1078"/>
    <w:rsid w:val="007A180A"/>
    <w:rsid w:val="007A21E4"/>
    <w:rsid w:val="007A2304"/>
    <w:rsid w:val="007A257D"/>
    <w:rsid w:val="007A2CB0"/>
    <w:rsid w:val="007A343D"/>
    <w:rsid w:val="007A38CE"/>
    <w:rsid w:val="007A3F1C"/>
    <w:rsid w:val="007A46E6"/>
    <w:rsid w:val="007A48D8"/>
    <w:rsid w:val="007A5ACE"/>
    <w:rsid w:val="007A5C5C"/>
    <w:rsid w:val="007A6528"/>
    <w:rsid w:val="007A6A64"/>
    <w:rsid w:val="007A7B48"/>
    <w:rsid w:val="007A7FD7"/>
    <w:rsid w:val="007B08FD"/>
    <w:rsid w:val="007B0951"/>
    <w:rsid w:val="007B18C6"/>
    <w:rsid w:val="007B20C2"/>
    <w:rsid w:val="007B25D5"/>
    <w:rsid w:val="007B27E4"/>
    <w:rsid w:val="007B2818"/>
    <w:rsid w:val="007B2910"/>
    <w:rsid w:val="007B301D"/>
    <w:rsid w:val="007B3264"/>
    <w:rsid w:val="007B35F6"/>
    <w:rsid w:val="007B3F87"/>
    <w:rsid w:val="007B404F"/>
    <w:rsid w:val="007B44A6"/>
    <w:rsid w:val="007B494E"/>
    <w:rsid w:val="007B4C5E"/>
    <w:rsid w:val="007B7462"/>
    <w:rsid w:val="007B7B52"/>
    <w:rsid w:val="007B7EEE"/>
    <w:rsid w:val="007C02A3"/>
    <w:rsid w:val="007C0C55"/>
    <w:rsid w:val="007C1507"/>
    <w:rsid w:val="007C1857"/>
    <w:rsid w:val="007C207E"/>
    <w:rsid w:val="007C2F60"/>
    <w:rsid w:val="007C3639"/>
    <w:rsid w:val="007C3757"/>
    <w:rsid w:val="007C4D8D"/>
    <w:rsid w:val="007C5144"/>
    <w:rsid w:val="007C5613"/>
    <w:rsid w:val="007C6138"/>
    <w:rsid w:val="007C6153"/>
    <w:rsid w:val="007C6849"/>
    <w:rsid w:val="007C6BC6"/>
    <w:rsid w:val="007C6C12"/>
    <w:rsid w:val="007C73B2"/>
    <w:rsid w:val="007D0435"/>
    <w:rsid w:val="007D085B"/>
    <w:rsid w:val="007D0D3E"/>
    <w:rsid w:val="007D116E"/>
    <w:rsid w:val="007D1B24"/>
    <w:rsid w:val="007D267F"/>
    <w:rsid w:val="007D3341"/>
    <w:rsid w:val="007D399C"/>
    <w:rsid w:val="007D3A3E"/>
    <w:rsid w:val="007D400A"/>
    <w:rsid w:val="007D4B0E"/>
    <w:rsid w:val="007D4DD2"/>
    <w:rsid w:val="007D558F"/>
    <w:rsid w:val="007D5D0F"/>
    <w:rsid w:val="007D6EA8"/>
    <w:rsid w:val="007D7739"/>
    <w:rsid w:val="007D7B3C"/>
    <w:rsid w:val="007E010B"/>
    <w:rsid w:val="007E042B"/>
    <w:rsid w:val="007E05DB"/>
    <w:rsid w:val="007E1247"/>
    <w:rsid w:val="007E1A44"/>
    <w:rsid w:val="007E2419"/>
    <w:rsid w:val="007E2E7D"/>
    <w:rsid w:val="007E3FF5"/>
    <w:rsid w:val="007E4219"/>
    <w:rsid w:val="007E577E"/>
    <w:rsid w:val="007E635E"/>
    <w:rsid w:val="007E6A9C"/>
    <w:rsid w:val="007E6C0C"/>
    <w:rsid w:val="007E7300"/>
    <w:rsid w:val="007E767B"/>
    <w:rsid w:val="007E7B54"/>
    <w:rsid w:val="007F038C"/>
    <w:rsid w:val="007F0428"/>
    <w:rsid w:val="007F0C82"/>
    <w:rsid w:val="007F0F24"/>
    <w:rsid w:val="007F1755"/>
    <w:rsid w:val="007F1C20"/>
    <w:rsid w:val="007F222B"/>
    <w:rsid w:val="007F2443"/>
    <w:rsid w:val="007F2CBC"/>
    <w:rsid w:val="007F3092"/>
    <w:rsid w:val="007F30F9"/>
    <w:rsid w:val="007F39B8"/>
    <w:rsid w:val="007F3C03"/>
    <w:rsid w:val="007F3E3F"/>
    <w:rsid w:val="007F45DF"/>
    <w:rsid w:val="007F4A6F"/>
    <w:rsid w:val="007F4FBC"/>
    <w:rsid w:val="007F5975"/>
    <w:rsid w:val="007F5AB9"/>
    <w:rsid w:val="007F6497"/>
    <w:rsid w:val="007F6836"/>
    <w:rsid w:val="007F7DF2"/>
    <w:rsid w:val="008005E6"/>
    <w:rsid w:val="00800A35"/>
    <w:rsid w:val="00800D91"/>
    <w:rsid w:val="008015F2"/>
    <w:rsid w:val="00801A0E"/>
    <w:rsid w:val="00803362"/>
    <w:rsid w:val="00803C65"/>
    <w:rsid w:val="00804BC0"/>
    <w:rsid w:val="00804E3C"/>
    <w:rsid w:val="00804E4C"/>
    <w:rsid w:val="00806272"/>
    <w:rsid w:val="0080662C"/>
    <w:rsid w:val="008070B2"/>
    <w:rsid w:val="00807D79"/>
    <w:rsid w:val="00810102"/>
    <w:rsid w:val="008102BC"/>
    <w:rsid w:val="008116F3"/>
    <w:rsid w:val="008117C4"/>
    <w:rsid w:val="0081222E"/>
    <w:rsid w:val="00812461"/>
    <w:rsid w:val="008127E0"/>
    <w:rsid w:val="00812810"/>
    <w:rsid w:val="0081398E"/>
    <w:rsid w:val="00813F02"/>
    <w:rsid w:val="008149D8"/>
    <w:rsid w:val="00815714"/>
    <w:rsid w:val="00815A2A"/>
    <w:rsid w:val="00816559"/>
    <w:rsid w:val="0081724D"/>
    <w:rsid w:val="0081788A"/>
    <w:rsid w:val="00817927"/>
    <w:rsid w:val="00817CFC"/>
    <w:rsid w:val="00817E82"/>
    <w:rsid w:val="00820A3F"/>
    <w:rsid w:val="00821D81"/>
    <w:rsid w:val="00822A52"/>
    <w:rsid w:val="00822F31"/>
    <w:rsid w:val="00823654"/>
    <w:rsid w:val="0082374A"/>
    <w:rsid w:val="008237F3"/>
    <w:rsid w:val="00823A90"/>
    <w:rsid w:val="00823D01"/>
    <w:rsid w:val="00825C68"/>
    <w:rsid w:val="00826883"/>
    <w:rsid w:val="0082757E"/>
    <w:rsid w:val="0082769C"/>
    <w:rsid w:val="008277D4"/>
    <w:rsid w:val="00827B6C"/>
    <w:rsid w:val="00827D77"/>
    <w:rsid w:val="00830259"/>
    <w:rsid w:val="00830561"/>
    <w:rsid w:val="00831115"/>
    <w:rsid w:val="00832092"/>
    <w:rsid w:val="0083249C"/>
    <w:rsid w:val="00832D42"/>
    <w:rsid w:val="008333A9"/>
    <w:rsid w:val="00833419"/>
    <w:rsid w:val="008342A5"/>
    <w:rsid w:val="00834B7C"/>
    <w:rsid w:val="00834BE2"/>
    <w:rsid w:val="00834EA4"/>
    <w:rsid w:val="00835049"/>
    <w:rsid w:val="008354B9"/>
    <w:rsid w:val="00835DCB"/>
    <w:rsid w:val="00836090"/>
    <w:rsid w:val="00836921"/>
    <w:rsid w:val="00837237"/>
    <w:rsid w:val="008376C0"/>
    <w:rsid w:val="0084035D"/>
    <w:rsid w:val="008405F9"/>
    <w:rsid w:val="0084060B"/>
    <w:rsid w:val="0084139B"/>
    <w:rsid w:val="0084143B"/>
    <w:rsid w:val="008417D4"/>
    <w:rsid w:val="00842547"/>
    <w:rsid w:val="008427D3"/>
    <w:rsid w:val="008429CF"/>
    <w:rsid w:val="0084324C"/>
    <w:rsid w:val="00843910"/>
    <w:rsid w:val="00843B9B"/>
    <w:rsid w:val="008451F8"/>
    <w:rsid w:val="008456C8"/>
    <w:rsid w:val="008457D2"/>
    <w:rsid w:val="00846212"/>
    <w:rsid w:val="008468E0"/>
    <w:rsid w:val="0084767E"/>
    <w:rsid w:val="0084790F"/>
    <w:rsid w:val="00847BE7"/>
    <w:rsid w:val="00850EAB"/>
    <w:rsid w:val="00851C80"/>
    <w:rsid w:val="00851D70"/>
    <w:rsid w:val="00852760"/>
    <w:rsid w:val="008529B3"/>
    <w:rsid w:val="008529BB"/>
    <w:rsid w:val="00852ADD"/>
    <w:rsid w:val="00853883"/>
    <w:rsid w:val="00853EB9"/>
    <w:rsid w:val="00854CF7"/>
    <w:rsid w:val="00854DA7"/>
    <w:rsid w:val="008557A0"/>
    <w:rsid w:val="00855FA6"/>
    <w:rsid w:val="00856607"/>
    <w:rsid w:val="008602F1"/>
    <w:rsid w:val="008604A8"/>
    <w:rsid w:val="00860ADD"/>
    <w:rsid w:val="00860CA2"/>
    <w:rsid w:val="008616A2"/>
    <w:rsid w:val="00861C6C"/>
    <w:rsid w:val="008636AC"/>
    <w:rsid w:val="00863862"/>
    <w:rsid w:val="00863AAD"/>
    <w:rsid w:val="00863AB5"/>
    <w:rsid w:val="00864644"/>
    <w:rsid w:val="00864F4D"/>
    <w:rsid w:val="008658DE"/>
    <w:rsid w:val="00865F5C"/>
    <w:rsid w:val="00866296"/>
    <w:rsid w:val="008665C7"/>
    <w:rsid w:val="0086687C"/>
    <w:rsid w:val="00866DC1"/>
    <w:rsid w:val="008707A3"/>
    <w:rsid w:val="00870A36"/>
    <w:rsid w:val="008711AE"/>
    <w:rsid w:val="0087143E"/>
    <w:rsid w:val="00871A36"/>
    <w:rsid w:val="00871E97"/>
    <w:rsid w:val="00872F21"/>
    <w:rsid w:val="00873736"/>
    <w:rsid w:val="0087378E"/>
    <w:rsid w:val="008737DF"/>
    <w:rsid w:val="008755E7"/>
    <w:rsid w:val="00875A46"/>
    <w:rsid w:val="00875E16"/>
    <w:rsid w:val="00877D03"/>
    <w:rsid w:val="00877E96"/>
    <w:rsid w:val="0088023D"/>
    <w:rsid w:val="008803CE"/>
    <w:rsid w:val="00880D8F"/>
    <w:rsid w:val="00882077"/>
    <w:rsid w:val="008820D9"/>
    <w:rsid w:val="00883613"/>
    <w:rsid w:val="0088557F"/>
    <w:rsid w:val="00886393"/>
    <w:rsid w:val="00886579"/>
    <w:rsid w:val="00886F19"/>
    <w:rsid w:val="00887090"/>
    <w:rsid w:val="00887865"/>
    <w:rsid w:val="00887B37"/>
    <w:rsid w:val="00890598"/>
    <w:rsid w:val="0089065A"/>
    <w:rsid w:val="00890DEB"/>
    <w:rsid w:val="0089177A"/>
    <w:rsid w:val="00891AA9"/>
    <w:rsid w:val="00891D7A"/>
    <w:rsid w:val="00891DFC"/>
    <w:rsid w:val="00892791"/>
    <w:rsid w:val="00892B98"/>
    <w:rsid w:val="008945D2"/>
    <w:rsid w:val="008949A3"/>
    <w:rsid w:val="00894CB5"/>
    <w:rsid w:val="008959FC"/>
    <w:rsid w:val="0089605E"/>
    <w:rsid w:val="00896668"/>
    <w:rsid w:val="00896E9A"/>
    <w:rsid w:val="008978D6"/>
    <w:rsid w:val="008A0CCC"/>
    <w:rsid w:val="008A1D0E"/>
    <w:rsid w:val="008A25EA"/>
    <w:rsid w:val="008A276E"/>
    <w:rsid w:val="008A31C7"/>
    <w:rsid w:val="008A3215"/>
    <w:rsid w:val="008A3630"/>
    <w:rsid w:val="008A3E8B"/>
    <w:rsid w:val="008A47BE"/>
    <w:rsid w:val="008A4AEC"/>
    <w:rsid w:val="008A5609"/>
    <w:rsid w:val="008A5697"/>
    <w:rsid w:val="008A5BA3"/>
    <w:rsid w:val="008A6DD5"/>
    <w:rsid w:val="008A6DF0"/>
    <w:rsid w:val="008A6FA0"/>
    <w:rsid w:val="008B0385"/>
    <w:rsid w:val="008B05E6"/>
    <w:rsid w:val="008B105C"/>
    <w:rsid w:val="008B15CE"/>
    <w:rsid w:val="008B1C8F"/>
    <w:rsid w:val="008B21F8"/>
    <w:rsid w:val="008B2570"/>
    <w:rsid w:val="008B2B19"/>
    <w:rsid w:val="008B2F40"/>
    <w:rsid w:val="008B2FCD"/>
    <w:rsid w:val="008B3627"/>
    <w:rsid w:val="008B3EAD"/>
    <w:rsid w:val="008B4208"/>
    <w:rsid w:val="008B49B6"/>
    <w:rsid w:val="008B534B"/>
    <w:rsid w:val="008B55A6"/>
    <w:rsid w:val="008B56A0"/>
    <w:rsid w:val="008B5AA1"/>
    <w:rsid w:val="008B5C51"/>
    <w:rsid w:val="008B5E61"/>
    <w:rsid w:val="008B64CE"/>
    <w:rsid w:val="008B68B4"/>
    <w:rsid w:val="008B756F"/>
    <w:rsid w:val="008B7633"/>
    <w:rsid w:val="008B7914"/>
    <w:rsid w:val="008C0D0C"/>
    <w:rsid w:val="008C127A"/>
    <w:rsid w:val="008C179E"/>
    <w:rsid w:val="008C18BD"/>
    <w:rsid w:val="008C1932"/>
    <w:rsid w:val="008C1CC8"/>
    <w:rsid w:val="008C1ECC"/>
    <w:rsid w:val="008C2C41"/>
    <w:rsid w:val="008C2C7F"/>
    <w:rsid w:val="008C2F0D"/>
    <w:rsid w:val="008C346A"/>
    <w:rsid w:val="008C364D"/>
    <w:rsid w:val="008C500C"/>
    <w:rsid w:val="008C57D1"/>
    <w:rsid w:val="008C5D2A"/>
    <w:rsid w:val="008C62E8"/>
    <w:rsid w:val="008C6754"/>
    <w:rsid w:val="008C6C16"/>
    <w:rsid w:val="008C6F7D"/>
    <w:rsid w:val="008C74FB"/>
    <w:rsid w:val="008C7AF4"/>
    <w:rsid w:val="008C7B0F"/>
    <w:rsid w:val="008C7DA4"/>
    <w:rsid w:val="008C7F6E"/>
    <w:rsid w:val="008C7FAE"/>
    <w:rsid w:val="008D0210"/>
    <w:rsid w:val="008D033E"/>
    <w:rsid w:val="008D0851"/>
    <w:rsid w:val="008D0AF5"/>
    <w:rsid w:val="008D0DEF"/>
    <w:rsid w:val="008D0FCD"/>
    <w:rsid w:val="008D1074"/>
    <w:rsid w:val="008D1079"/>
    <w:rsid w:val="008D2643"/>
    <w:rsid w:val="008D280F"/>
    <w:rsid w:val="008D2F60"/>
    <w:rsid w:val="008D318B"/>
    <w:rsid w:val="008D3994"/>
    <w:rsid w:val="008D3C3D"/>
    <w:rsid w:val="008D478E"/>
    <w:rsid w:val="008D4DB6"/>
    <w:rsid w:val="008D534E"/>
    <w:rsid w:val="008D619B"/>
    <w:rsid w:val="008D650E"/>
    <w:rsid w:val="008D6E81"/>
    <w:rsid w:val="008D7739"/>
    <w:rsid w:val="008D7A64"/>
    <w:rsid w:val="008D7A92"/>
    <w:rsid w:val="008E0302"/>
    <w:rsid w:val="008E03F3"/>
    <w:rsid w:val="008E1267"/>
    <w:rsid w:val="008E19FD"/>
    <w:rsid w:val="008E22F8"/>
    <w:rsid w:val="008E25D0"/>
    <w:rsid w:val="008E25EC"/>
    <w:rsid w:val="008E39D8"/>
    <w:rsid w:val="008E5313"/>
    <w:rsid w:val="008E5D73"/>
    <w:rsid w:val="008E606F"/>
    <w:rsid w:val="008E6300"/>
    <w:rsid w:val="008E6AD9"/>
    <w:rsid w:val="008E6E25"/>
    <w:rsid w:val="008F022A"/>
    <w:rsid w:val="008F06FD"/>
    <w:rsid w:val="008F1172"/>
    <w:rsid w:val="008F27E3"/>
    <w:rsid w:val="008F3485"/>
    <w:rsid w:val="008F3AC3"/>
    <w:rsid w:val="008F42C1"/>
    <w:rsid w:val="008F51FF"/>
    <w:rsid w:val="008F52FC"/>
    <w:rsid w:val="008F5DEF"/>
    <w:rsid w:val="008F6031"/>
    <w:rsid w:val="008F61F2"/>
    <w:rsid w:val="008F636D"/>
    <w:rsid w:val="008F7C0A"/>
    <w:rsid w:val="00901140"/>
    <w:rsid w:val="00901613"/>
    <w:rsid w:val="00901DBB"/>
    <w:rsid w:val="00902001"/>
    <w:rsid w:val="009026CB"/>
    <w:rsid w:val="00902876"/>
    <w:rsid w:val="009030FF"/>
    <w:rsid w:val="009036E9"/>
    <w:rsid w:val="009038F6"/>
    <w:rsid w:val="00903FB2"/>
    <w:rsid w:val="00904038"/>
    <w:rsid w:val="009041AF"/>
    <w:rsid w:val="009042AA"/>
    <w:rsid w:val="009049AB"/>
    <w:rsid w:val="00904C8C"/>
    <w:rsid w:val="009050B7"/>
    <w:rsid w:val="0090510D"/>
    <w:rsid w:val="00905130"/>
    <w:rsid w:val="009053BD"/>
    <w:rsid w:val="00905728"/>
    <w:rsid w:val="009061B8"/>
    <w:rsid w:val="009064BF"/>
    <w:rsid w:val="009069B8"/>
    <w:rsid w:val="0091015D"/>
    <w:rsid w:val="009130CC"/>
    <w:rsid w:val="009133EC"/>
    <w:rsid w:val="00913AF7"/>
    <w:rsid w:val="00913B37"/>
    <w:rsid w:val="00914683"/>
    <w:rsid w:val="00914861"/>
    <w:rsid w:val="009148D8"/>
    <w:rsid w:val="00914B5F"/>
    <w:rsid w:val="00914E71"/>
    <w:rsid w:val="0091504C"/>
    <w:rsid w:val="0091573F"/>
    <w:rsid w:val="00915897"/>
    <w:rsid w:val="00915B44"/>
    <w:rsid w:val="00915CD5"/>
    <w:rsid w:val="00916093"/>
    <w:rsid w:val="009160E3"/>
    <w:rsid w:val="0091639C"/>
    <w:rsid w:val="00916A8C"/>
    <w:rsid w:val="00916E99"/>
    <w:rsid w:val="0092002E"/>
    <w:rsid w:val="0092050A"/>
    <w:rsid w:val="009209A1"/>
    <w:rsid w:val="00920EC6"/>
    <w:rsid w:val="0092101E"/>
    <w:rsid w:val="009225D6"/>
    <w:rsid w:val="0092383B"/>
    <w:rsid w:val="00923DCE"/>
    <w:rsid w:val="00924119"/>
    <w:rsid w:val="0092492A"/>
    <w:rsid w:val="00925120"/>
    <w:rsid w:val="009251B3"/>
    <w:rsid w:val="009255FA"/>
    <w:rsid w:val="009262E4"/>
    <w:rsid w:val="009266D2"/>
    <w:rsid w:val="00927361"/>
    <w:rsid w:val="00927D4E"/>
    <w:rsid w:val="00927F89"/>
    <w:rsid w:val="00930AC2"/>
    <w:rsid w:val="00930D2A"/>
    <w:rsid w:val="009312BF"/>
    <w:rsid w:val="00931680"/>
    <w:rsid w:val="00931B84"/>
    <w:rsid w:val="00931DA9"/>
    <w:rsid w:val="0093220A"/>
    <w:rsid w:val="009322B2"/>
    <w:rsid w:val="009328DA"/>
    <w:rsid w:val="00932E7E"/>
    <w:rsid w:val="00933846"/>
    <w:rsid w:val="00933A80"/>
    <w:rsid w:val="00933BE1"/>
    <w:rsid w:val="0093442D"/>
    <w:rsid w:val="00934CD2"/>
    <w:rsid w:val="00935A35"/>
    <w:rsid w:val="009375E5"/>
    <w:rsid w:val="0093785F"/>
    <w:rsid w:val="00937BC5"/>
    <w:rsid w:val="00937D30"/>
    <w:rsid w:val="00941692"/>
    <w:rsid w:val="00941848"/>
    <w:rsid w:val="00942819"/>
    <w:rsid w:val="0094337A"/>
    <w:rsid w:val="009437F2"/>
    <w:rsid w:val="009442E8"/>
    <w:rsid w:val="00944BA7"/>
    <w:rsid w:val="0094519B"/>
    <w:rsid w:val="0094636D"/>
    <w:rsid w:val="00947222"/>
    <w:rsid w:val="0094759C"/>
    <w:rsid w:val="009503FE"/>
    <w:rsid w:val="00950448"/>
    <w:rsid w:val="009507D4"/>
    <w:rsid w:val="00950ACD"/>
    <w:rsid w:val="00950E37"/>
    <w:rsid w:val="00951666"/>
    <w:rsid w:val="0095182F"/>
    <w:rsid w:val="00952524"/>
    <w:rsid w:val="0095278F"/>
    <w:rsid w:val="00953D2D"/>
    <w:rsid w:val="00953EAF"/>
    <w:rsid w:val="0095426C"/>
    <w:rsid w:val="00955EE9"/>
    <w:rsid w:val="009562AE"/>
    <w:rsid w:val="0095654A"/>
    <w:rsid w:val="00956BF5"/>
    <w:rsid w:val="009570CF"/>
    <w:rsid w:val="009571C2"/>
    <w:rsid w:val="009575C3"/>
    <w:rsid w:val="0095770C"/>
    <w:rsid w:val="00957920"/>
    <w:rsid w:val="009579AF"/>
    <w:rsid w:val="00957CC8"/>
    <w:rsid w:val="00957EE7"/>
    <w:rsid w:val="0096086A"/>
    <w:rsid w:val="009612A9"/>
    <w:rsid w:val="00961453"/>
    <w:rsid w:val="009616D4"/>
    <w:rsid w:val="0096182D"/>
    <w:rsid w:val="00962150"/>
    <w:rsid w:val="00962CCD"/>
    <w:rsid w:val="00963847"/>
    <w:rsid w:val="00964036"/>
    <w:rsid w:val="00964166"/>
    <w:rsid w:val="009645AD"/>
    <w:rsid w:val="0096475C"/>
    <w:rsid w:val="0096546E"/>
    <w:rsid w:val="0096562A"/>
    <w:rsid w:val="00965865"/>
    <w:rsid w:val="00966096"/>
    <w:rsid w:val="009661D5"/>
    <w:rsid w:val="00966A13"/>
    <w:rsid w:val="00966BAF"/>
    <w:rsid w:val="00967473"/>
    <w:rsid w:val="00967730"/>
    <w:rsid w:val="00970D56"/>
    <w:rsid w:val="00970E50"/>
    <w:rsid w:val="00971074"/>
    <w:rsid w:val="009725B2"/>
    <w:rsid w:val="00972969"/>
    <w:rsid w:val="009747AA"/>
    <w:rsid w:val="00974B99"/>
    <w:rsid w:val="00974BCB"/>
    <w:rsid w:val="0097529C"/>
    <w:rsid w:val="00975361"/>
    <w:rsid w:val="009758CD"/>
    <w:rsid w:val="00975AEF"/>
    <w:rsid w:val="00975BF2"/>
    <w:rsid w:val="0097616C"/>
    <w:rsid w:val="009763E4"/>
    <w:rsid w:val="0097649D"/>
    <w:rsid w:val="0097654D"/>
    <w:rsid w:val="009766B7"/>
    <w:rsid w:val="00976D58"/>
    <w:rsid w:val="00977A66"/>
    <w:rsid w:val="00977C23"/>
    <w:rsid w:val="00980A22"/>
    <w:rsid w:val="00980D85"/>
    <w:rsid w:val="00981E09"/>
    <w:rsid w:val="00983094"/>
    <w:rsid w:val="00983599"/>
    <w:rsid w:val="009843DE"/>
    <w:rsid w:val="0098536A"/>
    <w:rsid w:val="0098544F"/>
    <w:rsid w:val="00985B04"/>
    <w:rsid w:val="0098661B"/>
    <w:rsid w:val="00986A6D"/>
    <w:rsid w:val="00986BEF"/>
    <w:rsid w:val="00987298"/>
    <w:rsid w:val="00987B34"/>
    <w:rsid w:val="00990282"/>
    <w:rsid w:val="00990769"/>
    <w:rsid w:val="00991DF8"/>
    <w:rsid w:val="009922CA"/>
    <w:rsid w:val="00992499"/>
    <w:rsid w:val="009928A3"/>
    <w:rsid w:val="00992986"/>
    <w:rsid w:val="009936E2"/>
    <w:rsid w:val="00994B55"/>
    <w:rsid w:val="00995D86"/>
    <w:rsid w:val="00995FB2"/>
    <w:rsid w:val="00996A5A"/>
    <w:rsid w:val="0099781E"/>
    <w:rsid w:val="00997A68"/>
    <w:rsid w:val="009A0071"/>
    <w:rsid w:val="009A00EA"/>
    <w:rsid w:val="009A0403"/>
    <w:rsid w:val="009A0587"/>
    <w:rsid w:val="009A0DA2"/>
    <w:rsid w:val="009A1F6B"/>
    <w:rsid w:val="009A2616"/>
    <w:rsid w:val="009A2C4C"/>
    <w:rsid w:val="009A2DD8"/>
    <w:rsid w:val="009A30DE"/>
    <w:rsid w:val="009A39D5"/>
    <w:rsid w:val="009A3D29"/>
    <w:rsid w:val="009A509F"/>
    <w:rsid w:val="009A5453"/>
    <w:rsid w:val="009A6A7B"/>
    <w:rsid w:val="009A7532"/>
    <w:rsid w:val="009A7883"/>
    <w:rsid w:val="009B04B7"/>
    <w:rsid w:val="009B0596"/>
    <w:rsid w:val="009B1D50"/>
    <w:rsid w:val="009B237F"/>
    <w:rsid w:val="009B2760"/>
    <w:rsid w:val="009B308D"/>
    <w:rsid w:val="009B31D6"/>
    <w:rsid w:val="009B3707"/>
    <w:rsid w:val="009B38D5"/>
    <w:rsid w:val="009B3B62"/>
    <w:rsid w:val="009B3C8D"/>
    <w:rsid w:val="009B3DE3"/>
    <w:rsid w:val="009B4FFB"/>
    <w:rsid w:val="009B53C7"/>
    <w:rsid w:val="009B7489"/>
    <w:rsid w:val="009B7987"/>
    <w:rsid w:val="009B7B0A"/>
    <w:rsid w:val="009C0519"/>
    <w:rsid w:val="009C07C9"/>
    <w:rsid w:val="009C08D7"/>
    <w:rsid w:val="009C0B63"/>
    <w:rsid w:val="009C0DC5"/>
    <w:rsid w:val="009C1866"/>
    <w:rsid w:val="009C1FDE"/>
    <w:rsid w:val="009C23FE"/>
    <w:rsid w:val="009C24C8"/>
    <w:rsid w:val="009C274A"/>
    <w:rsid w:val="009C375C"/>
    <w:rsid w:val="009C4E0D"/>
    <w:rsid w:val="009C4F1B"/>
    <w:rsid w:val="009C503B"/>
    <w:rsid w:val="009C542B"/>
    <w:rsid w:val="009C5793"/>
    <w:rsid w:val="009C5816"/>
    <w:rsid w:val="009C61EA"/>
    <w:rsid w:val="009C63EC"/>
    <w:rsid w:val="009C7DAC"/>
    <w:rsid w:val="009C7F93"/>
    <w:rsid w:val="009D077D"/>
    <w:rsid w:val="009D08A6"/>
    <w:rsid w:val="009D0EC0"/>
    <w:rsid w:val="009D1915"/>
    <w:rsid w:val="009D1B69"/>
    <w:rsid w:val="009D1EB3"/>
    <w:rsid w:val="009D25DE"/>
    <w:rsid w:val="009D2ABF"/>
    <w:rsid w:val="009D3991"/>
    <w:rsid w:val="009D3AD2"/>
    <w:rsid w:val="009D3E06"/>
    <w:rsid w:val="009D5843"/>
    <w:rsid w:val="009D638D"/>
    <w:rsid w:val="009D6393"/>
    <w:rsid w:val="009D6764"/>
    <w:rsid w:val="009D6B6C"/>
    <w:rsid w:val="009D766F"/>
    <w:rsid w:val="009E0885"/>
    <w:rsid w:val="009E1CC8"/>
    <w:rsid w:val="009E2827"/>
    <w:rsid w:val="009E2863"/>
    <w:rsid w:val="009E30D2"/>
    <w:rsid w:val="009E4885"/>
    <w:rsid w:val="009E4E65"/>
    <w:rsid w:val="009E508B"/>
    <w:rsid w:val="009E5EDF"/>
    <w:rsid w:val="009E5FBE"/>
    <w:rsid w:val="009E6068"/>
    <w:rsid w:val="009E6A00"/>
    <w:rsid w:val="009E6DB4"/>
    <w:rsid w:val="009F0086"/>
    <w:rsid w:val="009F03AB"/>
    <w:rsid w:val="009F0619"/>
    <w:rsid w:val="009F068A"/>
    <w:rsid w:val="009F08C5"/>
    <w:rsid w:val="009F0A85"/>
    <w:rsid w:val="009F1260"/>
    <w:rsid w:val="009F15CA"/>
    <w:rsid w:val="009F1B71"/>
    <w:rsid w:val="009F220A"/>
    <w:rsid w:val="009F3171"/>
    <w:rsid w:val="009F36D6"/>
    <w:rsid w:val="009F6575"/>
    <w:rsid w:val="009F7ADC"/>
    <w:rsid w:val="00A0002A"/>
    <w:rsid w:val="00A01F3A"/>
    <w:rsid w:val="00A0236D"/>
    <w:rsid w:val="00A02985"/>
    <w:rsid w:val="00A02B2B"/>
    <w:rsid w:val="00A02FA8"/>
    <w:rsid w:val="00A03F1A"/>
    <w:rsid w:val="00A03F74"/>
    <w:rsid w:val="00A03F88"/>
    <w:rsid w:val="00A046BF"/>
    <w:rsid w:val="00A04709"/>
    <w:rsid w:val="00A05A37"/>
    <w:rsid w:val="00A05B25"/>
    <w:rsid w:val="00A05C04"/>
    <w:rsid w:val="00A05EC0"/>
    <w:rsid w:val="00A06254"/>
    <w:rsid w:val="00A06842"/>
    <w:rsid w:val="00A07459"/>
    <w:rsid w:val="00A07D78"/>
    <w:rsid w:val="00A07DB6"/>
    <w:rsid w:val="00A10573"/>
    <w:rsid w:val="00A10972"/>
    <w:rsid w:val="00A11406"/>
    <w:rsid w:val="00A13205"/>
    <w:rsid w:val="00A132A1"/>
    <w:rsid w:val="00A13422"/>
    <w:rsid w:val="00A148F0"/>
    <w:rsid w:val="00A15132"/>
    <w:rsid w:val="00A15331"/>
    <w:rsid w:val="00A1554D"/>
    <w:rsid w:val="00A15792"/>
    <w:rsid w:val="00A158E3"/>
    <w:rsid w:val="00A1591A"/>
    <w:rsid w:val="00A172E0"/>
    <w:rsid w:val="00A17527"/>
    <w:rsid w:val="00A211C5"/>
    <w:rsid w:val="00A221A3"/>
    <w:rsid w:val="00A223D5"/>
    <w:rsid w:val="00A235E4"/>
    <w:rsid w:val="00A23F41"/>
    <w:rsid w:val="00A254D5"/>
    <w:rsid w:val="00A25547"/>
    <w:rsid w:val="00A25F76"/>
    <w:rsid w:val="00A3003E"/>
    <w:rsid w:val="00A31E14"/>
    <w:rsid w:val="00A331DC"/>
    <w:rsid w:val="00A3325E"/>
    <w:rsid w:val="00A34276"/>
    <w:rsid w:val="00A34524"/>
    <w:rsid w:val="00A345B6"/>
    <w:rsid w:val="00A3502D"/>
    <w:rsid w:val="00A354D1"/>
    <w:rsid w:val="00A357A4"/>
    <w:rsid w:val="00A35AF5"/>
    <w:rsid w:val="00A35CDF"/>
    <w:rsid w:val="00A36453"/>
    <w:rsid w:val="00A37970"/>
    <w:rsid w:val="00A37A68"/>
    <w:rsid w:val="00A37B0C"/>
    <w:rsid w:val="00A37CE6"/>
    <w:rsid w:val="00A37D1C"/>
    <w:rsid w:val="00A37FFE"/>
    <w:rsid w:val="00A404BE"/>
    <w:rsid w:val="00A40C08"/>
    <w:rsid w:val="00A40ECF"/>
    <w:rsid w:val="00A411C9"/>
    <w:rsid w:val="00A41B47"/>
    <w:rsid w:val="00A41FEF"/>
    <w:rsid w:val="00A42476"/>
    <w:rsid w:val="00A433CA"/>
    <w:rsid w:val="00A43A1A"/>
    <w:rsid w:val="00A43D48"/>
    <w:rsid w:val="00A43F3C"/>
    <w:rsid w:val="00A447A5"/>
    <w:rsid w:val="00A44D18"/>
    <w:rsid w:val="00A45B83"/>
    <w:rsid w:val="00A4646E"/>
    <w:rsid w:val="00A468FD"/>
    <w:rsid w:val="00A46921"/>
    <w:rsid w:val="00A47249"/>
    <w:rsid w:val="00A47E3B"/>
    <w:rsid w:val="00A501C7"/>
    <w:rsid w:val="00A5058A"/>
    <w:rsid w:val="00A50905"/>
    <w:rsid w:val="00A513FD"/>
    <w:rsid w:val="00A517D0"/>
    <w:rsid w:val="00A5254B"/>
    <w:rsid w:val="00A52BC1"/>
    <w:rsid w:val="00A52D47"/>
    <w:rsid w:val="00A5347F"/>
    <w:rsid w:val="00A534A0"/>
    <w:rsid w:val="00A537EA"/>
    <w:rsid w:val="00A539AD"/>
    <w:rsid w:val="00A53D1B"/>
    <w:rsid w:val="00A53E3E"/>
    <w:rsid w:val="00A540B2"/>
    <w:rsid w:val="00A5414D"/>
    <w:rsid w:val="00A54A3E"/>
    <w:rsid w:val="00A556B7"/>
    <w:rsid w:val="00A564A6"/>
    <w:rsid w:val="00A567AE"/>
    <w:rsid w:val="00A56819"/>
    <w:rsid w:val="00A568AC"/>
    <w:rsid w:val="00A57B07"/>
    <w:rsid w:val="00A6025F"/>
    <w:rsid w:val="00A60E9C"/>
    <w:rsid w:val="00A61196"/>
    <w:rsid w:val="00A6131E"/>
    <w:rsid w:val="00A616AF"/>
    <w:rsid w:val="00A61879"/>
    <w:rsid w:val="00A628B4"/>
    <w:rsid w:val="00A62E6A"/>
    <w:rsid w:val="00A63E4E"/>
    <w:rsid w:val="00A6444F"/>
    <w:rsid w:val="00A652FF"/>
    <w:rsid w:val="00A6598D"/>
    <w:rsid w:val="00A65A0D"/>
    <w:rsid w:val="00A65C27"/>
    <w:rsid w:val="00A65F3C"/>
    <w:rsid w:val="00A661FD"/>
    <w:rsid w:val="00A66FB3"/>
    <w:rsid w:val="00A67DF5"/>
    <w:rsid w:val="00A709A3"/>
    <w:rsid w:val="00A71216"/>
    <w:rsid w:val="00A714A3"/>
    <w:rsid w:val="00A71B8B"/>
    <w:rsid w:val="00A74456"/>
    <w:rsid w:val="00A75089"/>
    <w:rsid w:val="00A754D1"/>
    <w:rsid w:val="00A75832"/>
    <w:rsid w:val="00A75EDC"/>
    <w:rsid w:val="00A76F80"/>
    <w:rsid w:val="00A80404"/>
    <w:rsid w:val="00A80548"/>
    <w:rsid w:val="00A8085F"/>
    <w:rsid w:val="00A80A3D"/>
    <w:rsid w:val="00A817A8"/>
    <w:rsid w:val="00A81E50"/>
    <w:rsid w:val="00A81F1C"/>
    <w:rsid w:val="00A82241"/>
    <w:rsid w:val="00A82602"/>
    <w:rsid w:val="00A82DA0"/>
    <w:rsid w:val="00A83E49"/>
    <w:rsid w:val="00A8401C"/>
    <w:rsid w:val="00A8415A"/>
    <w:rsid w:val="00A841A6"/>
    <w:rsid w:val="00A84221"/>
    <w:rsid w:val="00A843CA"/>
    <w:rsid w:val="00A84B7A"/>
    <w:rsid w:val="00A85063"/>
    <w:rsid w:val="00A85367"/>
    <w:rsid w:val="00A86359"/>
    <w:rsid w:val="00A865DC"/>
    <w:rsid w:val="00A86FBC"/>
    <w:rsid w:val="00A879C5"/>
    <w:rsid w:val="00A87FA2"/>
    <w:rsid w:val="00A902AD"/>
    <w:rsid w:val="00A90302"/>
    <w:rsid w:val="00A9099E"/>
    <w:rsid w:val="00A91FB7"/>
    <w:rsid w:val="00A921CE"/>
    <w:rsid w:val="00A92967"/>
    <w:rsid w:val="00A9298F"/>
    <w:rsid w:val="00A9301E"/>
    <w:rsid w:val="00A93E3A"/>
    <w:rsid w:val="00A94BFF"/>
    <w:rsid w:val="00A95186"/>
    <w:rsid w:val="00A951AD"/>
    <w:rsid w:val="00A952F8"/>
    <w:rsid w:val="00A9561B"/>
    <w:rsid w:val="00A961BD"/>
    <w:rsid w:val="00A9652F"/>
    <w:rsid w:val="00A973B1"/>
    <w:rsid w:val="00A9747F"/>
    <w:rsid w:val="00AA027E"/>
    <w:rsid w:val="00AA1224"/>
    <w:rsid w:val="00AA14F2"/>
    <w:rsid w:val="00AA180B"/>
    <w:rsid w:val="00AA1D43"/>
    <w:rsid w:val="00AA2358"/>
    <w:rsid w:val="00AA2469"/>
    <w:rsid w:val="00AA2CD7"/>
    <w:rsid w:val="00AA2FA4"/>
    <w:rsid w:val="00AA3301"/>
    <w:rsid w:val="00AA3360"/>
    <w:rsid w:val="00AA386B"/>
    <w:rsid w:val="00AA3973"/>
    <w:rsid w:val="00AA4C2E"/>
    <w:rsid w:val="00AA5B16"/>
    <w:rsid w:val="00AA6384"/>
    <w:rsid w:val="00AA6B93"/>
    <w:rsid w:val="00AA7A06"/>
    <w:rsid w:val="00AA7A7F"/>
    <w:rsid w:val="00AA7F56"/>
    <w:rsid w:val="00AB1984"/>
    <w:rsid w:val="00AB1CBB"/>
    <w:rsid w:val="00AB215B"/>
    <w:rsid w:val="00AB266D"/>
    <w:rsid w:val="00AB2E7D"/>
    <w:rsid w:val="00AB3146"/>
    <w:rsid w:val="00AB333E"/>
    <w:rsid w:val="00AB37DB"/>
    <w:rsid w:val="00AB3ECC"/>
    <w:rsid w:val="00AB54B5"/>
    <w:rsid w:val="00AB573A"/>
    <w:rsid w:val="00AB5A73"/>
    <w:rsid w:val="00AB5F48"/>
    <w:rsid w:val="00AB7156"/>
    <w:rsid w:val="00AB716D"/>
    <w:rsid w:val="00AB72BB"/>
    <w:rsid w:val="00AB7472"/>
    <w:rsid w:val="00AB7BF3"/>
    <w:rsid w:val="00AC039D"/>
    <w:rsid w:val="00AC09D5"/>
    <w:rsid w:val="00AC0D8E"/>
    <w:rsid w:val="00AC175B"/>
    <w:rsid w:val="00AC1AA3"/>
    <w:rsid w:val="00AC1F8E"/>
    <w:rsid w:val="00AC21F2"/>
    <w:rsid w:val="00AC22C1"/>
    <w:rsid w:val="00AC374B"/>
    <w:rsid w:val="00AC3798"/>
    <w:rsid w:val="00AC3ED5"/>
    <w:rsid w:val="00AC4CB3"/>
    <w:rsid w:val="00AC4D7C"/>
    <w:rsid w:val="00AC53B0"/>
    <w:rsid w:val="00AC6473"/>
    <w:rsid w:val="00AC6655"/>
    <w:rsid w:val="00AC6EF2"/>
    <w:rsid w:val="00AC71A6"/>
    <w:rsid w:val="00AC742F"/>
    <w:rsid w:val="00AC7664"/>
    <w:rsid w:val="00AC774F"/>
    <w:rsid w:val="00AC780D"/>
    <w:rsid w:val="00AC787B"/>
    <w:rsid w:val="00AC78A0"/>
    <w:rsid w:val="00AC7956"/>
    <w:rsid w:val="00AC7E18"/>
    <w:rsid w:val="00AD1B79"/>
    <w:rsid w:val="00AD3208"/>
    <w:rsid w:val="00AD3C00"/>
    <w:rsid w:val="00AD4A3C"/>
    <w:rsid w:val="00AD4F6A"/>
    <w:rsid w:val="00AD50F8"/>
    <w:rsid w:val="00AD5CF5"/>
    <w:rsid w:val="00AD719F"/>
    <w:rsid w:val="00AD738C"/>
    <w:rsid w:val="00AD7447"/>
    <w:rsid w:val="00AD752A"/>
    <w:rsid w:val="00AD7D36"/>
    <w:rsid w:val="00AE0A0E"/>
    <w:rsid w:val="00AE0DED"/>
    <w:rsid w:val="00AE1D05"/>
    <w:rsid w:val="00AE2780"/>
    <w:rsid w:val="00AE284A"/>
    <w:rsid w:val="00AE307E"/>
    <w:rsid w:val="00AE3450"/>
    <w:rsid w:val="00AE392E"/>
    <w:rsid w:val="00AE3E11"/>
    <w:rsid w:val="00AE40B3"/>
    <w:rsid w:val="00AE4BAB"/>
    <w:rsid w:val="00AE4BDC"/>
    <w:rsid w:val="00AE4CFD"/>
    <w:rsid w:val="00AE4EA6"/>
    <w:rsid w:val="00AE51FF"/>
    <w:rsid w:val="00AE55AD"/>
    <w:rsid w:val="00AE5D8F"/>
    <w:rsid w:val="00AE67D5"/>
    <w:rsid w:val="00AE67FA"/>
    <w:rsid w:val="00AE78ED"/>
    <w:rsid w:val="00AE7AC2"/>
    <w:rsid w:val="00AE7EC9"/>
    <w:rsid w:val="00AF0117"/>
    <w:rsid w:val="00AF1117"/>
    <w:rsid w:val="00AF1555"/>
    <w:rsid w:val="00AF174E"/>
    <w:rsid w:val="00AF18BA"/>
    <w:rsid w:val="00AF1CA5"/>
    <w:rsid w:val="00AF228C"/>
    <w:rsid w:val="00AF2DB9"/>
    <w:rsid w:val="00AF3928"/>
    <w:rsid w:val="00AF3B55"/>
    <w:rsid w:val="00AF3D62"/>
    <w:rsid w:val="00AF4146"/>
    <w:rsid w:val="00AF56FE"/>
    <w:rsid w:val="00AF5C45"/>
    <w:rsid w:val="00AF62A7"/>
    <w:rsid w:val="00AF6AC5"/>
    <w:rsid w:val="00AF7809"/>
    <w:rsid w:val="00AF7CA7"/>
    <w:rsid w:val="00AF7F7B"/>
    <w:rsid w:val="00B00BDE"/>
    <w:rsid w:val="00B0104B"/>
    <w:rsid w:val="00B021E0"/>
    <w:rsid w:val="00B03A30"/>
    <w:rsid w:val="00B03A35"/>
    <w:rsid w:val="00B0430C"/>
    <w:rsid w:val="00B04F99"/>
    <w:rsid w:val="00B057B6"/>
    <w:rsid w:val="00B05A7C"/>
    <w:rsid w:val="00B06361"/>
    <w:rsid w:val="00B0651D"/>
    <w:rsid w:val="00B06955"/>
    <w:rsid w:val="00B0758A"/>
    <w:rsid w:val="00B07BEA"/>
    <w:rsid w:val="00B07F41"/>
    <w:rsid w:val="00B102F9"/>
    <w:rsid w:val="00B11C80"/>
    <w:rsid w:val="00B11F33"/>
    <w:rsid w:val="00B12152"/>
    <w:rsid w:val="00B12DCA"/>
    <w:rsid w:val="00B13ECB"/>
    <w:rsid w:val="00B1524F"/>
    <w:rsid w:val="00B15A54"/>
    <w:rsid w:val="00B15ECF"/>
    <w:rsid w:val="00B169CD"/>
    <w:rsid w:val="00B16C0A"/>
    <w:rsid w:val="00B1785C"/>
    <w:rsid w:val="00B17F60"/>
    <w:rsid w:val="00B2039A"/>
    <w:rsid w:val="00B20AC8"/>
    <w:rsid w:val="00B21063"/>
    <w:rsid w:val="00B215D5"/>
    <w:rsid w:val="00B21D55"/>
    <w:rsid w:val="00B225CB"/>
    <w:rsid w:val="00B22870"/>
    <w:rsid w:val="00B22A22"/>
    <w:rsid w:val="00B22AA6"/>
    <w:rsid w:val="00B23D1A"/>
    <w:rsid w:val="00B23F4C"/>
    <w:rsid w:val="00B24233"/>
    <w:rsid w:val="00B246DD"/>
    <w:rsid w:val="00B248D8"/>
    <w:rsid w:val="00B24BA7"/>
    <w:rsid w:val="00B25A6F"/>
    <w:rsid w:val="00B25CD9"/>
    <w:rsid w:val="00B268D0"/>
    <w:rsid w:val="00B269D3"/>
    <w:rsid w:val="00B27886"/>
    <w:rsid w:val="00B27F44"/>
    <w:rsid w:val="00B301ED"/>
    <w:rsid w:val="00B30448"/>
    <w:rsid w:val="00B3048B"/>
    <w:rsid w:val="00B30C49"/>
    <w:rsid w:val="00B30D75"/>
    <w:rsid w:val="00B30DAD"/>
    <w:rsid w:val="00B31315"/>
    <w:rsid w:val="00B3260E"/>
    <w:rsid w:val="00B32C4B"/>
    <w:rsid w:val="00B3407E"/>
    <w:rsid w:val="00B34C84"/>
    <w:rsid w:val="00B34D6A"/>
    <w:rsid w:val="00B35021"/>
    <w:rsid w:val="00B35749"/>
    <w:rsid w:val="00B35EF5"/>
    <w:rsid w:val="00B3677F"/>
    <w:rsid w:val="00B36872"/>
    <w:rsid w:val="00B3704D"/>
    <w:rsid w:val="00B37071"/>
    <w:rsid w:val="00B40162"/>
    <w:rsid w:val="00B401B6"/>
    <w:rsid w:val="00B4054D"/>
    <w:rsid w:val="00B405CD"/>
    <w:rsid w:val="00B40903"/>
    <w:rsid w:val="00B40B28"/>
    <w:rsid w:val="00B40FDB"/>
    <w:rsid w:val="00B4100C"/>
    <w:rsid w:val="00B41B41"/>
    <w:rsid w:val="00B41C6D"/>
    <w:rsid w:val="00B420B2"/>
    <w:rsid w:val="00B42800"/>
    <w:rsid w:val="00B42832"/>
    <w:rsid w:val="00B42863"/>
    <w:rsid w:val="00B430F6"/>
    <w:rsid w:val="00B43511"/>
    <w:rsid w:val="00B43CE6"/>
    <w:rsid w:val="00B4468B"/>
    <w:rsid w:val="00B45528"/>
    <w:rsid w:val="00B468B0"/>
    <w:rsid w:val="00B46B6E"/>
    <w:rsid w:val="00B478FA"/>
    <w:rsid w:val="00B50156"/>
    <w:rsid w:val="00B501E8"/>
    <w:rsid w:val="00B502A3"/>
    <w:rsid w:val="00B506D4"/>
    <w:rsid w:val="00B506ED"/>
    <w:rsid w:val="00B507AA"/>
    <w:rsid w:val="00B50953"/>
    <w:rsid w:val="00B509AE"/>
    <w:rsid w:val="00B50E13"/>
    <w:rsid w:val="00B51581"/>
    <w:rsid w:val="00B518AD"/>
    <w:rsid w:val="00B51BB6"/>
    <w:rsid w:val="00B52056"/>
    <w:rsid w:val="00B52B0E"/>
    <w:rsid w:val="00B52D81"/>
    <w:rsid w:val="00B5355B"/>
    <w:rsid w:val="00B5402E"/>
    <w:rsid w:val="00B540E8"/>
    <w:rsid w:val="00B54681"/>
    <w:rsid w:val="00B55852"/>
    <w:rsid w:val="00B560A9"/>
    <w:rsid w:val="00B56866"/>
    <w:rsid w:val="00B56CC4"/>
    <w:rsid w:val="00B604BB"/>
    <w:rsid w:val="00B6062A"/>
    <w:rsid w:val="00B60A96"/>
    <w:rsid w:val="00B60DD7"/>
    <w:rsid w:val="00B60EB6"/>
    <w:rsid w:val="00B60EE5"/>
    <w:rsid w:val="00B616A5"/>
    <w:rsid w:val="00B628BE"/>
    <w:rsid w:val="00B62B67"/>
    <w:rsid w:val="00B637FB"/>
    <w:rsid w:val="00B6386F"/>
    <w:rsid w:val="00B65295"/>
    <w:rsid w:val="00B65D9B"/>
    <w:rsid w:val="00B667E1"/>
    <w:rsid w:val="00B66E51"/>
    <w:rsid w:val="00B66E68"/>
    <w:rsid w:val="00B672CB"/>
    <w:rsid w:val="00B67346"/>
    <w:rsid w:val="00B6793A"/>
    <w:rsid w:val="00B67AC3"/>
    <w:rsid w:val="00B70880"/>
    <w:rsid w:val="00B71422"/>
    <w:rsid w:val="00B71486"/>
    <w:rsid w:val="00B71607"/>
    <w:rsid w:val="00B71EF7"/>
    <w:rsid w:val="00B720BE"/>
    <w:rsid w:val="00B72361"/>
    <w:rsid w:val="00B74AB0"/>
    <w:rsid w:val="00B75345"/>
    <w:rsid w:val="00B7584B"/>
    <w:rsid w:val="00B76327"/>
    <w:rsid w:val="00B76400"/>
    <w:rsid w:val="00B76C94"/>
    <w:rsid w:val="00B76D4E"/>
    <w:rsid w:val="00B76D6E"/>
    <w:rsid w:val="00B771A8"/>
    <w:rsid w:val="00B771AA"/>
    <w:rsid w:val="00B772D0"/>
    <w:rsid w:val="00B80A99"/>
    <w:rsid w:val="00B80F4E"/>
    <w:rsid w:val="00B814CF"/>
    <w:rsid w:val="00B81A33"/>
    <w:rsid w:val="00B8256C"/>
    <w:rsid w:val="00B82B2D"/>
    <w:rsid w:val="00B83117"/>
    <w:rsid w:val="00B8319C"/>
    <w:rsid w:val="00B850DF"/>
    <w:rsid w:val="00B87844"/>
    <w:rsid w:val="00B90351"/>
    <w:rsid w:val="00B90532"/>
    <w:rsid w:val="00B906F2"/>
    <w:rsid w:val="00B90D9B"/>
    <w:rsid w:val="00B91259"/>
    <w:rsid w:val="00B91AD5"/>
    <w:rsid w:val="00B91B81"/>
    <w:rsid w:val="00B91FF0"/>
    <w:rsid w:val="00B92164"/>
    <w:rsid w:val="00B926A8"/>
    <w:rsid w:val="00B92FFF"/>
    <w:rsid w:val="00B93538"/>
    <w:rsid w:val="00B936F8"/>
    <w:rsid w:val="00B9492E"/>
    <w:rsid w:val="00B960DB"/>
    <w:rsid w:val="00B96799"/>
    <w:rsid w:val="00B96DE5"/>
    <w:rsid w:val="00B97A76"/>
    <w:rsid w:val="00BA0166"/>
    <w:rsid w:val="00BA0584"/>
    <w:rsid w:val="00BA0755"/>
    <w:rsid w:val="00BA1E9D"/>
    <w:rsid w:val="00BA249D"/>
    <w:rsid w:val="00BA2F9B"/>
    <w:rsid w:val="00BA38D5"/>
    <w:rsid w:val="00BA3C66"/>
    <w:rsid w:val="00BA4D00"/>
    <w:rsid w:val="00BA4F9B"/>
    <w:rsid w:val="00BA51C0"/>
    <w:rsid w:val="00BA5665"/>
    <w:rsid w:val="00BA6825"/>
    <w:rsid w:val="00BA72D9"/>
    <w:rsid w:val="00BA74E8"/>
    <w:rsid w:val="00BB02DB"/>
    <w:rsid w:val="00BB0AB5"/>
    <w:rsid w:val="00BB195B"/>
    <w:rsid w:val="00BB1BBA"/>
    <w:rsid w:val="00BB1DB7"/>
    <w:rsid w:val="00BB204A"/>
    <w:rsid w:val="00BB2BD1"/>
    <w:rsid w:val="00BB31DF"/>
    <w:rsid w:val="00BB33E9"/>
    <w:rsid w:val="00BB34B7"/>
    <w:rsid w:val="00BB37AF"/>
    <w:rsid w:val="00BB3BE4"/>
    <w:rsid w:val="00BB44DB"/>
    <w:rsid w:val="00BB57D3"/>
    <w:rsid w:val="00BB58EE"/>
    <w:rsid w:val="00BB64EC"/>
    <w:rsid w:val="00BB7589"/>
    <w:rsid w:val="00BB7668"/>
    <w:rsid w:val="00BB767D"/>
    <w:rsid w:val="00BB7D3C"/>
    <w:rsid w:val="00BB7E42"/>
    <w:rsid w:val="00BC06ED"/>
    <w:rsid w:val="00BC077E"/>
    <w:rsid w:val="00BC0DE5"/>
    <w:rsid w:val="00BC0E57"/>
    <w:rsid w:val="00BC1F5F"/>
    <w:rsid w:val="00BC21BE"/>
    <w:rsid w:val="00BC2465"/>
    <w:rsid w:val="00BC2A8A"/>
    <w:rsid w:val="00BC3E36"/>
    <w:rsid w:val="00BC4B2D"/>
    <w:rsid w:val="00BC4CE8"/>
    <w:rsid w:val="00BC4D54"/>
    <w:rsid w:val="00BC5645"/>
    <w:rsid w:val="00BC6E2F"/>
    <w:rsid w:val="00BC728A"/>
    <w:rsid w:val="00BC7632"/>
    <w:rsid w:val="00BC77A4"/>
    <w:rsid w:val="00BC7C9E"/>
    <w:rsid w:val="00BD1E79"/>
    <w:rsid w:val="00BD23A5"/>
    <w:rsid w:val="00BD2937"/>
    <w:rsid w:val="00BD2AFC"/>
    <w:rsid w:val="00BD2CD4"/>
    <w:rsid w:val="00BD3143"/>
    <w:rsid w:val="00BD330C"/>
    <w:rsid w:val="00BD359B"/>
    <w:rsid w:val="00BD3663"/>
    <w:rsid w:val="00BD367F"/>
    <w:rsid w:val="00BD46D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3B83"/>
    <w:rsid w:val="00BE3C67"/>
    <w:rsid w:val="00BE3CF7"/>
    <w:rsid w:val="00BE42FC"/>
    <w:rsid w:val="00BE5888"/>
    <w:rsid w:val="00BE6085"/>
    <w:rsid w:val="00BE66FC"/>
    <w:rsid w:val="00BE73FA"/>
    <w:rsid w:val="00BF00D1"/>
    <w:rsid w:val="00BF0353"/>
    <w:rsid w:val="00BF090A"/>
    <w:rsid w:val="00BF0918"/>
    <w:rsid w:val="00BF2001"/>
    <w:rsid w:val="00BF208E"/>
    <w:rsid w:val="00BF2575"/>
    <w:rsid w:val="00BF31A0"/>
    <w:rsid w:val="00BF323A"/>
    <w:rsid w:val="00BF36C0"/>
    <w:rsid w:val="00BF3CC3"/>
    <w:rsid w:val="00BF3F0A"/>
    <w:rsid w:val="00BF4331"/>
    <w:rsid w:val="00BF4C22"/>
    <w:rsid w:val="00BF4E35"/>
    <w:rsid w:val="00BF5098"/>
    <w:rsid w:val="00BF5FB3"/>
    <w:rsid w:val="00BF6F82"/>
    <w:rsid w:val="00BF7B9B"/>
    <w:rsid w:val="00C0083F"/>
    <w:rsid w:val="00C00976"/>
    <w:rsid w:val="00C020CD"/>
    <w:rsid w:val="00C02DDE"/>
    <w:rsid w:val="00C0362D"/>
    <w:rsid w:val="00C0367B"/>
    <w:rsid w:val="00C04E51"/>
    <w:rsid w:val="00C05074"/>
    <w:rsid w:val="00C05AF9"/>
    <w:rsid w:val="00C0606E"/>
    <w:rsid w:val="00C060A3"/>
    <w:rsid w:val="00C060B0"/>
    <w:rsid w:val="00C06D2C"/>
    <w:rsid w:val="00C072F0"/>
    <w:rsid w:val="00C07344"/>
    <w:rsid w:val="00C079A3"/>
    <w:rsid w:val="00C07C1F"/>
    <w:rsid w:val="00C07C79"/>
    <w:rsid w:val="00C11A79"/>
    <w:rsid w:val="00C1211E"/>
    <w:rsid w:val="00C13607"/>
    <w:rsid w:val="00C1363E"/>
    <w:rsid w:val="00C137B1"/>
    <w:rsid w:val="00C13811"/>
    <w:rsid w:val="00C13B43"/>
    <w:rsid w:val="00C14152"/>
    <w:rsid w:val="00C147CC"/>
    <w:rsid w:val="00C15E81"/>
    <w:rsid w:val="00C174C9"/>
    <w:rsid w:val="00C17A25"/>
    <w:rsid w:val="00C17B6E"/>
    <w:rsid w:val="00C200BA"/>
    <w:rsid w:val="00C20748"/>
    <w:rsid w:val="00C20754"/>
    <w:rsid w:val="00C21378"/>
    <w:rsid w:val="00C21431"/>
    <w:rsid w:val="00C220A5"/>
    <w:rsid w:val="00C22307"/>
    <w:rsid w:val="00C22BB2"/>
    <w:rsid w:val="00C22EAF"/>
    <w:rsid w:val="00C23150"/>
    <w:rsid w:val="00C23F7D"/>
    <w:rsid w:val="00C24580"/>
    <w:rsid w:val="00C24908"/>
    <w:rsid w:val="00C250E8"/>
    <w:rsid w:val="00C25150"/>
    <w:rsid w:val="00C2515F"/>
    <w:rsid w:val="00C25B30"/>
    <w:rsid w:val="00C25DCF"/>
    <w:rsid w:val="00C26AEA"/>
    <w:rsid w:val="00C276EC"/>
    <w:rsid w:val="00C27C0A"/>
    <w:rsid w:val="00C305D9"/>
    <w:rsid w:val="00C31184"/>
    <w:rsid w:val="00C31197"/>
    <w:rsid w:val="00C3161D"/>
    <w:rsid w:val="00C31AD4"/>
    <w:rsid w:val="00C31C63"/>
    <w:rsid w:val="00C31C8C"/>
    <w:rsid w:val="00C31CD9"/>
    <w:rsid w:val="00C32481"/>
    <w:rsid w:val="00C3394C"/>
    <w:rsid w:val="00C34278"/>
    <w:rsid w:val="00C34581"/>
    <w:rsid w:val="00C34A4C"/>
    <w:rsid w:val="00C34AD7"/>
    <w:rsid w:val="00C3516D"/>
    <w:rsid w:val="00C351E4"/>
    <w:rsid w:val="00C353D8"/>
    <w:rsid w:val="00C35B43"/>
    <w:rsid w:val="00C361A6"/>
    <w:rsid w:val="00C365C5"/>
    <w:rsid w:val="00C3670F"/>
    <w:rsid w:val="00C36E1A"/>
    <w:rsid w:val="00C36E26"/>
    <w:rsid w:val="00C371DF"/>
    <w:rsid w:val="00C37818"/>
    <w:rsid w:val="00C37EFC"/>
    <w:rsid w:val="00C37FF9"/>
    <w:rsid w:val="00C40126"/>
    <w:rsid w:val="00C41099"/>
    <w:rsid w:val="00C41425"/>
    <w:rsid w:val="00C41B4A"/>
    <w:rsid w:val="00C4213A"/>
    <w:rsid w:val="00C42C11"/>
    <w:rsid w:val="00C43344"/>
    <w:rsid w:val="00C43ADB"/>
    <w:rsid w:val="00C44949"/>
    <w:rsid w:val="00C44B4C"/>
    <w:rsid w:val="00C450E3"/>
    <w:rsid w:val="00C456CC"/>
    <w:rsid w:val="00C45830"/>
    <w:rsid w:val="00C45C56"/>
    <w:rsid w:val="00C45CCD"/>
    <w:rsid w:val="00C46734"/>
    <w:rsid w:val="00C46C24"/>
    <w:rsid w:val="00C50112"/>
    <w:rsid w:val="00C5105D"/>
    <w:rsid w:val="00C511F0"/>
    <w:rsid w:val="00C513C7"/>
    <w:rsid w:val="00C51639"/>
    <w:rsid w:val="00C51871"/>
    <w:rsid w:val="00C518C6"/>
    <w:rsid w:val="00C53220"/>
    <w:rsid w:val="00C533A0"/>
    <w:rsid w:val="00C537E7"/>
    <w:rsid w:val="00C53AFE"/>
    <w:rsid w:val="00C53E9D"/>
    <w:rsid w:val="00C541D6"/>
    <w:rsid w:val="00C5426B"/>
    <w:rsid w:val="00C54C18"/>
    <w:rsid w:val="00C573DA"/>
    <w:rsid w:val="00C5772E"/>
    <w:rsid w:val="00C5781B"/>
    <w:rsid w:val="00C609E1"/>
    <w:rsid w:val="00C61117"/>
    <w:rsid w:val="00C616B4"/>
    <w:rsid w:val="00C621A7"/>
    <w:rsid w:val="00C62AA0"/>
    <w:rsid w:val="00C62AEC"/>
    <w:rsid w:val="00C62BF2"/>
    <w:rsid w:val="00C62D1B"/>
    <w:rsid w:val="00C62D43"/>
    <w:rsid w:val="00C638A6"/>
    <w:rsid w:val="00C63FB9"/>
    <w:rsid w:val="00C64266"/>
    <w:rsid w:val="00C647DF"/>
    <w:rsid w:val="00C64F8E"/>
    <w:rsid w:val="00C661E5"/>
    <w:rsid w:val="00C66306"/>
    <w:rsid w:val="00C66CE8"/>
    <w:rsid w:val="00C70074"/>
    <w:rsid w:val="00C70D51"/>
    <w:rsid w:val="00C70DF4"/>
    <w:rsid w:val="00C71252"/>
    <w:rsid w:val="00C7277F"/>
    <w:rsid w:val="00C73C07"/>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BF"/>
    <w:rsid w:val="00C84BE9"/>
    <w:rsid w:val="00C854B7"/>
    <w:rsid w:val="00C85DEF"/>
    <w:rsid w:val="00C85E1C"/>
    <w:rsid w:val="00C85E40"/>
    <w:rsid w:val="00C86D76"/>
    <w:rsid w:val="00C86DA6"/>
    <w:rsid w:val="00C87A64"/>
    <w:rsid w:val="00C910F8"/>
    <w:rsid w:val="00C91106"/>
    <w:rsid w:val="00C9117B"/>
    <w:rsid w:val="00C91D19"/>
    <w:rsid w:val="00C93B58"/>
    <w:rsid w:val="00C93C2F"/>
    <w:rsid w:val="00C9437C"/>
    <w:rsid w:val="00C946E4"/>
    <w:rsid w:val="00C946FF"/>
    <w:rsid w:val="00C94A14"/>
    <w:rsid w:val="00C94CDA"/>
    <w:rsid w:val="00C95BED"/>
    <w:rsid w:val="00C95EB3"/>
    <w:rsid w:val="00C96725"/>
    <w:rsid w:val="00C97A66"/>
    <w:rsid w:val="00CA007B"/>
    <w:rsid w:val="00CA01BB"/>
    <w:rsid w:val="00CA0AA4"/>
    <w:rsid w:val="00CA0C1E"/>
    <w:rsid w:val="00CA15B0"/>
    <w:rsid w:val="00CA1C71"/>
    <w:rsid w:val="00CA1D4C"/>
    <w:rsid w:val="00CA1D50"/>
    <w:rsid w:val="00CA1DAB"/>
    <w:rsid w:val="00CA20E0"/>
    <w:rsid w:val="00CA2598"/>
    <w:rsid w:val="00CA3347"/>
    <w:rsid w:val="00CA523D"/>
    <w:rsid w:val="00CA6FDA"/>
    <w:rsid w:val="00CA77CF"/>
    <w:rsid w:val="00CA79C0"/>
    <w:rsid w:val="00CA7B58"/>
    <w:rsid w:val="00CB0836"/>
    <w:rsid w:val="00CB0CB9"/>
    <w:rsid w:val="00CB1413"/>
    <w:rsid w:val="00CB16B9"/>
    <w:rsid w:val="00CB18D4"/>
    <w:rsid w:val="00CB24D9"/>
    <w:rsid w:val="00CB2518"/>
    <w:rsid w:val="00CB3156"/>
    <w:rsid w:val="00CB3920"/>
    <w:rsid w:val="00CB469E"/>
    <w:rsid w:val="00CB4C4C"/>
    <w:rsid w:val="00CB6413"/>
    <w:rsid w:val="00CB696F"/>
    <w:rsid w:val="00CB6A00"/>
    <w:rsid w:val="00CB7059"/>
    <w:rsid w:val="00CB7097"/>
    <w:rsid w:val="00CB73EE"/>
    <w:rsid w:val="00CB77F4"/>
    <w:rsid w:val="00CB780D"/>
    <w:rsid w:val="00CC00E9"/>
    <w:rsid w:val="00CC0F1C"/>
    <w:rsid w:val="00CC109F"/>
    <w:rsid w:val="00CC1983"/>
    <w:rsid w:val="00CC1BBB"/>
    <w:rsid w:val="00CC259D"/>
    <w:rsid w:val="00CC299A"/>
    <w:rsid w:val="00CC3039"/>
    <w:rsid w:val="00CC32B7"/>
    <w:rsid w:val="00CC36DE"/>
    <w:rsid w:val="00CC4498"/>
    <w:rsid w:val="00CC4F99"/>
    <w:rsid w:val="00CC53E6"/>
    <w:rsid w:val="00CC5CDC"/>
    <w:rsid w:val="00CC5FC3"/>
    <w:rsid w:val="00CC6369"/>
    <w:rsid w:val="00CC6576"/>
    <w:rsid w:val="00CC65D6"/>
    <w:rsid w:val="00CC73F3"/>
    <w:rsid w:val="00CC7B85"/>
    <w:rsid w:val="00CD081C"/>
    <w:rsid w:val="00CD14DA"/>
    <w:rsid w:val="00CD1B5A"/>
    <w:rsid w:val="00CD1E9C"/>
    <w:rsid w:val="00CD27DB"/>
    <w:rsid w:val="00CD2E70"/>
    <w:rsid w:val="00CD386B"/>
    <w:rsid w:val="00CD3D06"/>
    <w:rsid w:val="00CD4A09"/>
    <w:rsid w:val="00CD4C67"/>
    <w:rsid w:val="00CD4C7B"/>
    <w:rsid w:val="00CD5125"/>
    <w:rsid w:val="00CD5397"/>
    <w:rsid w:val="00CD5E93"/>
    <w:rsid w:val="00CD6D2E"/>
    <w:rsid w:val="00CE1344"/>
    <w:rsid w:val="00CE15AE"/>
    <w:rsid w:val="00CE1CFC"/>
    <w:rsid w:val="00CE235A"/>
    <w:rsid w:val="00CE37A3"/>
    <w:rsid w:val="00CE3814"/>
    <w:rsid w:val="00CE3FC0"/>
    <w:rsid w:val="00CE4AC7"/>
    <w:rsid w:val="00CE56B7"/>
    <w:rsid w:val="00CE6543"/>
    <w:rsid w:val="00CE6660"/>
    <w:rsid w:val="00CE6855"/>
    <w:rsid w:val="00CE6B6F"/>
    <w:rsid w:val="00CE7033"/>
    <w:rsid w:val="00CE7075"/>
    <w:rsid w:val="00CE770A"/>
    <w:rsid w:val="00CF02A6"/>
    <w:rsid w:val="00CF05A6"/>
    <w:rsid w:val="00CF060D"/>
    <w:rsid w:val="00CF06CF"/>
    <w:rsid w:val="00CF101C"/>
    <w:rsid w:val="00CF15C5"/>
    <w:rsid w:val="00CF1E77"/>
    <w:rsid w:val="00CF1EFE"/>
    <w:rsid w:val="00CF2DC1"/>
    <w:rsid w:val="00CF2EE2"/>
    <w:rsid w:val="00CF37AD"/>
    <w:rsid w:val="00CF3948"/>
    <w:rsid w:val="00CF3ACF"/>
    <w:rsid w:val="00CF441D"/>
    <w:rsid w:val="00CF4FCF"/>
    <w:rsid w:val="00CF4FDC"/>
    <w:rsid w:val="00CF53F2"/>
    <w:rsid w:val="00CF56AF"/>
    <w:rsid w:val="00CF5BE0"/>
    <w:rsid w:val="00CF5BF1"/>
    <w:rsid w:val="00CF5D64"/>
    <w:rsid w:val="00CF6001"/>
    <w:rsid w:val="00CF61CB"/>
    <w:rsid w:val="00CF666F"/>
    <w:rsid w:val="00CF686F"/>
    <w:rsid w:val="00CF6CA7"/>
    <w:rsid w:val="00CF6E7D"/>
    <w:rsid w:val="00CF76FB"/>
    <w:rsid w:val="00CF7705"/>
    <w:rsid w:val="00D00175"/>
    <w:rsid w:val="00D00223"/>
    <w:rsid w:val="00D00312"/>
    <w:rsid w:val="00D0045E"/>
    <w:rsid w:val="00D008D8"/>
    <w:rsid w:val="00D00DBF"/>
    <w:rsid w:val="00D0149B"/>
    <w:rsid w:val="00D01AAA"/>
    <w:rsid w:val="00D01F5D"/>
    <w:rsid w:val="00D01FA9"/>
    <w:rsid w:val="00D02D17"/>
    <w:rsid w:val="00D03DBE"/>
    <w:rsid w:val="00D03EED"/>
    <w:rsid w:val="00D0597D"/>
    <w:rsid w:val="00D06274"/>
    <w:rsid w:val="00D066D8"/>
    <w:rsid w:val="00D07FB9"/>
    <w:rsid w:val="00D10C27"/>
    <w:rsid w:val="00D11949"/>
    <w:rsid w:val="00D11A69"/>
    <w:rsid w:val="00D11CB2"/>
    <w:rsid w:val="00D12C98"/>
    <w:rsid w:val="00D12FFC"/>
    <w:rsid w:val="00D13CA3"/>
    <w:rsid w:val="00D1484F"/>
    <w:rsid w:val="00D14BA0"/>
    <w:rsid w:val="00D14D7B"/>
    <w:rsid w:val="00D1516D"/>
    <w:rsid w:val="00D158B0"/>
    <w:rsid w:val="00D15BBB"/>
    <w:rsid w:val="00D1707A"/>
    <w:rsid w:val="00D17CC2"/>
    <w:rsid w:val="00D20EED"/>
    <w:rsid w:val="00D21435"/>
    <w:rsid w:val="00D2242C"/>
    <w:rsid w:val="00D224FA"/>
    <w:rsid w:val="00D23033"/>
    <w:rsid w:val="00D2402F"/>
    <w:rsid w:val="00D245C2"/>
    <w:rsid w:val="00D25660"/>
    <w:rsid w:val="00D2569B"/>
    <w:rsid w:val="00D258EB"/>
    <w:rsid w:val="00D25AEB"/>
    <w:rsid w:val="00D26C14"/>
    <w:rsid w:val="00D271CD"/>
    <w:rsid w:val="00D27BD2"/>
    <w:rsid w:val="00D27F0B"/>
    <w:rsid w:val="00D30480"/>
    <w:rsid w:val="00D3064E"/>
    <w:rsid w:val="00D315CC"/>
    <w:rsid w:val="00D31DDA"/>
    <w:rsid w:val="00D31F05"/>
    <w:rsid w:val="00D32067"/>
    <w:rsid w:val="00D327A3"/>
    <w:rsid w:val="00D33893"/>
    <w:rsid w:val="00D33AE9"/>
    <w:rsid w:val="00D34927"/>
    <w:rsid w:val="00D34C82"/>
    <w:rsid w:val="00D36550"/>
    <w:rsid w:val="00D379EC"/>
    <w:rsid w:val="00D37C94"/>
    <w:rsid w:val="00D37E9F"/>
    <w:rsid w:val="00D40D88"/>
    <w:rsid w:val="00D41E42"/>
    <w:rsid w:val="00D41F6B"/>
    <w:rsid w:val="00D42380"/>
    <w:rsid w:val="00D42C9B"/>
    <w:rsid w:val="00D4348D"/>
    <w:rsid w:val="00D436D7"/>
    <w:rsid w:val="00D43ADD"/>
    <w:rsid w:val="00D44E42"/>
    <w:rsid w:val="00D44FC3"/>
    <w:rsid w:val="00D45072"/>
    <w:rsid w:val="00D450E2"/>
    <w:rsid w:val="00D453D7"/>
    <w:rsid w:val="00D4552D"/>
    <w:rsid w:val="00D462D6"/>
    <w:rsid w:val="00D4714D"/>
    <w:rsid w:val="00D474AB"/>
    <w:rsid w:val="00D4754E"/>
    <w:rsid w:val="00D4773B"/>
    <w:rsid w:val="00D50460"/>
    <w:rsid w:val="00D50961"/>
    <w:rsid w:val="00D50A02"/>
    <w:rsid w:val="00D512A1"/>
    <w:rsid w:val="00D518D6"/>
    <w:rsid w:val="00D51FDC"/>
    <w:rsid w:val="00D52AB4"/>
    <w:rsid w:val="00D52F26"/>
    <w:rsid w:val="00D531F5"/>
    <w:rsid w:val="00D538C1"/>
    <w:rsid w:val="00D538D5"/>
    <w:rsid w:val="00D53B5C"/>
    <w:rsid w:val="00D54640"/>
    <w:rsid w:val="00D54916"/>
    <w:rsid w:val="00D55455"/>
    <w:rsid w:val="00D559B5"/>
    <w:rsid w:val="00D56420"/>
    <w:rsid w:val="00D5658A"/>
    <w:rsid w:val="00D56A94"/>
    <w:rsid w:val="00D56C0C"/>
    <w:rsid w:val="00D56F9E"/>
    <w:rsid w:val="00D570B4"/>
    <w:rsid w:val="00D5798B"/>
    <w:rsid w:val="00D60736"/>
    <w:rsid w:val="00D6170E"/>
    <w:rsid w:val="00D61972"/>
    <w:rsid w:val="00D61B58"/>
    <w:rsid w:val="00D6307D"/>
    <w:rsid w:val="00D63632"/>
    <w:rsid w:val="00D63732"/>
    <w:rsid w:val="00D637F5"/>
    <w:rsid w:val="00D63925"/>
    <w:rsid w:val="00D63D9C"/>
    <w:rsid w:val="00D6405D"/>
    <w:rsid w:val="00D6568E"/>
    <w:rsid w:val="00D65893"/>
    <w:rsid w:val="00D658EC"/>
    <w:rsid w:val="00D66816"/>
    <w:rsid w:val="00D6684E"/>
    <w:rsid w:val="00D6742A"/>
    <w:rsid w:val="00D67B9B"/>
    <w:rsid w:val="00D71733"/>
    <w:rsid w:val="00D718AC"/>
    <w:rsid w:val="00D719A3"/>
    <w:rsid w:val="00D71E7A"/>
    <w:rsid w:val="00D72DE7"/>
    <w:rsid w:val="00D7302F"/>
    <w:rsid w:val="00D7329E"/>
    <w:rsid w:val="00D7340B"/>
    <w:rsid w:val="00D73870"/>
    <w:rsid w:val="00D73BB2"/>
    <w:rsid w:val="00D74575"/>
    <w:rsid w:val="00D74D14"/>
    <w:rsid w:val="00D74F3B"/>
    <w:rsid w:val="00D752E7"/>
    <w:rsid w:val="00D7574B"/>
    <w:rsid w:val="00D75913"/>
    <w:rsid w:val="00D75E82"/>
    <w:rsid w:val="00D76270"/>
    <w:rsid w:val="00D767C6"/>
    <w:rsid w:val="00D769C5"/>
    <w:rsid w:val="00D76E76"/>
    <w:rsid w:val="00D80631"/>
    <w:rsid w:val="00D818EC"/>
    <w:rsid w:val="00D81A20"/>
    <w:rsid w:val="00D81F55"/>
    <w:rsid w:val="00D8321A"/>
    <w:rsid w:val="00D83F57"/>
    <w:rsid w:val="00D84A86"/>
    <w:rsid w:val="00D85152"/>
    <w:rsid w:val="00D85F2C"/>
    <w:rsid w:val="00D86030"/>
    <w:rsid w:val="00D861BD"/>
    <w:rsid w:val="00D86D55"/>
    <w:rsid w:val="00D8789C"/>
    <w:rsid w:val="00D8789D"/>
    <w:rsid w:val="00D87B3F"/>
    <w:rsid w:val="00D9003D"/>
    <w:rsid w:val="00D90558"/>
    <w:rsid w:val="00D9082F"/>
    <w:rsid w:val="00D90C79"/>
    <w:rsid w:val="00D914EB"/>
    <w:rsid w:val="00D91B36"/>
    <w:rsid w:val="00D9305B"/>
    <w:rsid w:val="00D94085"/>
    <w:rsid w:val="00D9445B"/>
    <w:rsid w:val="00D944D2"/>
    <w:rsid w:val="00D96D4F"/>
    <w:rsid w:val="00DA1806"/>
    <w:rsid w:val="00DA1BD1"/>
    <w:rsid w:val="00DA212B"/>
    <w:rsid w:val="00DA3155"/>
    <w:rsid w:val="00DA3A76"/>
    <w:rsid w:val="00DA5713"/>
    <w:rsid w:val="00DA5B51"/>
    <w:rsid w:val="00DA5F95"/>
    <w:rsid w:val="00DA6856"/>
    <w:rsid w:val="00DA6D6D"/>
    <w:rsid w:val="00DA73C1"/>
    <w:rsid w:val="00DA7457"/>
    <w:rsid w:val="00DA770D"/>
    <w:rsid w:val="00DA77A8"/>
    <w:rsid w:val="00DA7851"/>
    <w:rsid w:val="00DA7DC1"/>
    <w:rsid w:val="00DB00EE"/>
    <w:rsid w:val="00DB0132"/>
    <w:rsid w:val="00DB2754"/>
    <w:rsid w:val="00DB2D88"/>
    <w:rsid w:val="00DB3687"/>
    <w:rsid w:val="00DB38D1"/>
    <w:rsid w:val="00DB3DC3"/>
    <w:rsid w:val="00DB41CB"/>
    <w:rsid w:val="00DB5114"/>
    <w:rsid w:val="00DB681B"/>
    <w:rsid w:val="00DB6D37"/>
    <w:rsid w:val="00DB73C2"/>
    <w:rsid w:val="00DB7E24"/>
    <w:rsid w:val="00DC0445"/>
    <w:rsid w:val="00DC115F"/>
    <w:rsid w:val="00DC17A9"/>
    <w:rsid w:val="00DC2082"/>
    <w:rsid w:val="00DC225F"/>
    <w:rsid w:val="00DC2883"/>
    <w:rsid w:val="00DC2C48"/>
    <w:rsid w:val="00DC2FB1"/>
    <w:rsid w:val="00DC46B5"/>
    <w:rsid w:val="00DC4B28"/>
    <w:rsid w:val="00DC4B5D"/>
    <w:rsid w:val="00DC525E"/>
    <w:rsid w:val="00DC535C"/>
    <w:rsid w:val="00DC5DCB"/>
    <w:rsid w:val="00DC6C0D"/>
    <w:rsid w:val="00DC75E7"/>
    <w:rsid w:val="00DD074A"/>
    <w:rsid w:val="00DD0D70"/>
    <w:rsid w:val="00DD1941"/>
    <w:rsid w:val="00DD26A5"/>
    <w:rsid w:val="00DD2812"/>
    <w:rsid w:val="00DD2CE3"/>
    <w:rsid w:val="00DD34F2"/>
    <w:rsid w:val="00DD3C6B"/>
    <w:rsid w:val="00DD4A56"/>
    <w:rsid w:val="00DD54ED"/>
    <w:rsid w:val="00DD6861"/>
    <w:rsid w:val="00DD697F"/>
    <w:rsid w:val="00DD699C"/>
    <w:rsid w:val="00DD739F"/>
    <w:rsid w:val="00DD7631"/>
    <w:rsid w:val="00DD7762"/>
    <w:rsid w:val="00DD781E"/>
    <w:rsid w:val="00DD7A2C"/>
    <w:rsid w:val="00DD7F63"/>
    <w:rsid w:val="00DE0A1B"/>
    <w:rsid w:val="00DE1238"/>
    <w:rsid w:val="00DE1966"/>
    <w:rsid w:val="00DE1FFE"/>
    <w:rsid w:val="00DE2F9E"/>
    <w:rsid w:val="00DE31B1"/>
    <w:rsid w:val="00DE32E7"/>
    <w:rsid w:val="00DE3BB8"/>
    <w:rsid w:val="00DE40EB"/>
    <w:rsid w:val="00DE5117"/>
    <w:rsid w:val="00DE51F6"/>
    <w:rsid w:val="00DE5648"/>
    <w:rsid w:val="00DE568A"/>
    <w:rsid w:val="00DE56B7"/>
    <w:rsid w:val="00DE595E"/>
    <w:rsid w:val="00DE5CD9"/>
    <w:rsid w:val="00DE6A70"/>
    <w:rsid w:val="00DE6CD1"/>
    <w:rsid w:val="00DE70B5"/>
    <w:rsid w:val="00DE7113"/>
    <w:rsid w:val="00DF00F9"/>
    <w:rsid w:val="00DF0576"/>
    <w:rsid w:val="00DF1981"/>
    <w:rsid w:val="00DF1D07"/>
    <w:rsid w:val="00DF1E89"/>
    <w:rsid w:val="00DF1EC8"/>
    <w:rsid w:val="00DF2144"/>
    <w:rsid w:val="00DF24D9"/>
    <w:rsid w:val="00DF2EA5"/>
    <w:rsid w:val="00DF310B"/>
    <w:rsid w:val="00DF3E47"/>
    <w:rsid w:val="00DF5362"/>
    <w:rsid w:val="00DF56E8"/>
    <w:rsid w:val="00DF5C01"/>
    <w:rsid w:val="00DF5FF5"/>
    <w:rsid w:val="00DF6655"/>
    <w:rsid w:val="00DF6EB6"/>
    <w:rsid w:val="00DF7133"/>
    <w:rsid w:val="00DF722A"/>
    <w:rsid w:val="00DF764C"/>
    <w:rsid w:val="00DF7FBF"/>
    <w:rsid w:val="00E00108"/>
    <w:rsid w:val="00E00BB4"/>
    <w:rsid w:val="00E00CAA"/>
    <w:rsid w:val="00E01441"/>
    <w:rsid w:val="00E01682"/>
    <w:rsid w:val="00E01D4A"/>
    <w:rsid w:val="00E02F4B"/>
    <w:rsid w:val="00E03D04"/>
    <w:rsid w:val="00E04332"/>
    <w:rsid w:val="00E043BB"/>
    <w:rsid w:val="00E047A0"/>
    <w:rsid w:val="00E04ECF"/>
    <w:rsid w:val="00E0502A"/>
    <w:rsid w:val="00E0584C"/>
    <w:rsid w:val="00E05902"/>
    <w:rsid w:val="00E0627A"/>
    <w:rsid w:val="00E067C4"/>
    <w:rsid w:val="00E06A36"/>
    <w:rsid w:val="00E074C9"/>
    <w:rsid w:val="00E1198B"/>
    <w:rsid w:val="00E11C0C"/>
    <w:rsid w:val="00E126B2"/>
    <w:rsid w:val="00E127E3"/>
    <w:rsid w:val="00E135F3"/>
    <w:rsid w:val="00E13AFB"/>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6D8"/>
    <w:rsid w:val="00E20A87"/>
    <w:rsid w:val="00E2113A"/>
    <w:rsid w:val="00E21C65"/>
    <w:rsid w:val="00E2307E"/>
    <w:rsid w:val="00E2352B"/>
    <w:rsid w:val="00E23C63"/>
    <w:rsid w:val="00E23E84"/>
    <w:rsid w:val="00E23F9B"/>
    <w:rsid w:val="00E24D23"/>
    <w:rsid w:val="00E2546F"/>
    <w:rsid w:val="00E26285"/>
    <w:rsid w:val="00E26649"/>
    <w:rsid w:val="00E2703D"/>
    <w:rsid w:val="00E271F9"/>
    <w:rsid w:val="00E27F0A"/>
    <w:rsid w:val="00E30712"/>
    <w:rsid w:val="00E309B0"/>
    <w:rsid w:val="00E30A3E"/>
    <w:rsid w:val="00E30E67"/>
    <w:rsid w:val="00E32143"/>
    <w:rsid w:val="00E325F3"/>
    <w:rsid w:val="00E326E9"/>
    <w:rsid w:val="00E32AB7"/>
    <w:rsid w:val="00E32B61"/>
    <w:rsid w:val="00E33106"/>
    <w:rsid w:val="00E345C2"/>
    <w:rsid w:val="00E34D99"/>
    <w:rsid w:val="00E352C3"/>
    <w:rsid w:val="00E35476"/>
    <w:rsid w:val="00E355C0"/>
    <w:rsid w:val="00E359A5"/>
    <w:rsid w:val="00E35C28"/>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19C"/>
    <w:rsid w:val="00E43894"/>
    <w:rsid w:val="00E443E1"/>
    <w:rsid w:val="00E44AC7"/>
    <w:rsid w:val="00E44E08"/>
    <w:rsid w:val="00E45B2D"/>
    <w:rsid w:val="00E45DF9"/>
    <w:rsid w:val="00E468F2"/>
    <w:rsid w:val="00E477C4"/>
    <w:rsid w:val="00E478EF"/>
    <w:rsid w:val="00E47A20"/>
    <w:rsid w:val="00E47BBA"/>
    <w:rsid w:val="00E5065D"/>
    <w:rsid w:val="00E5084C"/>
    <w:rsid w:val="00E50871"/>
    <w:rsid w:val="00E50AD9"/>
    <w:rsid w:val="00E50B4C"/>
    <w:rsid w:val="00E512FE"/>
    <w:rsid w:val="00E5198D"/>
    <w:rsid w:val="00E52063"/>
    <w:rsid w:val="00E52C66"/>
    <w:rsid w:val="00E53533"/>
    <w:rsid w:val="00E537ED"/>
    <w:rsid w:val="00E5384D"/>
    <w:rsid w:val="00E53B68"/>
    <w:rsid w:val="00E53F2E"/>
    <w:rsid w:val="00E54004"/>
    <w:rsid w:val="00E546C9"/>
    <w:rsid w:val="00E54BB9"/>
    <w:rsid w:val="00E54D3F"/>
    <w:rsid w:val="00E55F1F"/>
    <w:rsid w:val="00E56735"/>
    <w:rsid w:val="00E56866"/>
    <w:rsid w:val="00E56904"/>
    <w:rsid w:val="00E56FA9"/>
    <w:rsid w:val="00E57DFD"/>
    <w:rsid w:val="00E60423"/>
    <w:rsid w:val="00E60545"/>
    <w:rsid w:val="00E606F4"/>
    <w:rsid w:val="00E607E5"/>
    <w:rsid w:val="00E60A16"/>
    <w:rsid w:val="00E610CB"/>
    <w:rsid w:val="00E6125B"/>
    <w:rsid w:val="00E615AF"/>
    <w:rsid w:val="00E6170A"/>
    <w:rsid w:val="00E62816"/>
    <w:rsid w:val="00E629EF"/>
    <w:rsid w:val="00E62ADF"/>
    <w:rsid w:val="00E62FA7"/>
    <w:rsid w:val="00E637A3"/>
    <w:rsid w:val="00E6482B"/>
    <w:rsid w:val="00E659FD"/>
    <w:rsid w:val="00E65B0C"/>
    <w:rsid w:val="00E66783"/>
    <w:rsid w:val="00E66B16"/>
    <w:rsid w:val="00E66BA2"/>
    <w:rsid w:val="00E677DB"/>
    <w:rsid w:val="00E700F8"/>
    <w:rsid w:val="00E71C2D"/>
    <w:rsid w:val="00E72187"/>
    <w:rsid w:val="00E7266C"/>
    <w:rsid w:val="00E72BB6"/>
    <w:rsid w:val="00E72CD0"/>
    <w:rsid w:val="00E730AC"/>
    <w:rsid w:val="00E7310C"/>
    <w:rsid w:val="00E733ED"/>
    <w:rsid w:val="00E734CE"/>
    <w:rsid w:val="00E73D33"/>
    <w:rsid w:val="00E74DAE"/>
    <w:rsid w:val="00E750CB"/>
    <w:rsid w:val="00E778DC"/>
    <w:rsid w:val="00E77FD3"/>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3D4B"/>
    <w:rsid w:val="00E848F0"/>
    <w:rsid w:val="00E84D1C"/>
    <w:rsid w:val="00E84D9C"/>
    <w:rsid w:val="00E85069"/>
    <w:rsid w:val="00E8628F"/>
    <w:rsid w:val="00E86888"/>
    <w:rsid w:val="00E8695C"/>
    <w:rsid w:val="00E90DE0"/>
    <w:rsid w:val="00E91191"/>
    <w:rsid w:val="00E91236"/>
    <w:rsid w:val="00E92C96"/>
    <w:rsid w:val="00E942B8"/>
    <w:rsid w:val="00E944ED"/>
    <w:rsid w:val="00E945AF"/>
    <w:rsid w:val="00E94A0B"/>
    <w:rsid w:val="00E94A2C"/>
    <w:rsid w:val="00E9544C"/>
    <w:rsid w:val="00E95799"/>
    <w:rsid w:val="00E95D93"/>
    <w:rsid w:val="00E9683D"/>
    <w:rsid w:val="00E970B7"/>
    <w:rsid w:val="00E97A39"/>
    <w:rsid w:val="00E97D95"/>
    <w:rsid w:val="00EA0035"/>
    <w:rsid w:val="00EA010D"/>
    <w:rsid w:val="00EA04C5"/>
    <w:rsid w:val="00EA0507"/>
    <w:rsid w:val="00EA09B6"/>
    <w:rsid w:val="00EA0BB5"/>
    <w:rsid w:val="00EA1A8A"/>
    <w:rsid w:val="00EA21FA"/>
    <w:rsid w:val="00EA25EB"/>
    <w:rsid w:val="00EA26D5"/>
    <w:rsid w:val="00EA2775"/>
    <w:rsid w:val="00EA305D"/>
    <w:rsid w:val="00EA3106"/>
    <w:rsid w:val="00EA3874"/>
    <w:rsid w:val="00EA5697"/>
    <w:rsid w:val="00EA5AB6"/>
    <w:rsid w:val="00EA5FB0"/>
    <w:rsid w:val="00EA612E"/>
    <w:rsid w:val="00EA6F91"/>
    <w:rsid w:val="00EA7618"/>
    <w:rsid w:val="00EA761C"/>
    <w:rsid w:val="00EA7D7F"/>
    <w:rsid w:val="00EB0810"/>
    <w:rsid w:val="00EB0B5F"/>
    <w:rsid w:val="00EB1CF7"/>
    <w:rsid w:val="00EB25C2"/>
    <w:rsid w:val="00EB2B6F"/>
    <w:rsid w:val="00EB2CAD"/>
    <w:rsid w:val="00EB2FA2"/>
    <w:rsid w:val="00EB3272"/>
    <w:rsid w:val="00EB37B2"/>
    <w:rsid w:val="00EB3FF9"/>
    <w:rsid w:val="00EB5047"/>
    <w:rsid w:val="00EB5F0B"/>
    <w:rsid w:val="00EB7352"/>
    <w:rsid w:val="00EB769A"/>
    <w:rsid w:val="00EC11E4"/>
    <w:rsid w:val="00EC14E1"/>
    <w:rsid w:val="00EC1803"/>
    <w:rsid w:val="00EC183C"/>
    <w:rsid w:val="00EC1AB4"/>
    <w:rsid w:val="00EC1CDD"/>
    <w:rsid w:val="00EC2A3F"/>
    <w:rsid w:val="00EC2E64"/>
    <w:rsid w:val="00EC3A35"/>
    <w:rsid w:val="00EC3C52"/>
    <w:rsid w:val="00EC3E5B"/>
    <w:rsid w:val="00EC3E69"/>
    <w:rsid w:val="00EC41A7"/>
    <w:rsid w:val="00EC4257"/>
    <w:rsid w:val="00EC46CE"/>
    <w:rsid w:val="00EC4F94"/>
    <w:rsid w:val="00EC5162"/>
    <w:rsid w:val="00EC5554"/>
    <w:rsid w:val="00EC572B"/>
    <w:rsid w:val="00EC5B8E"/>
    <w:rsid w:val="00EC7356"/>
    <w:rsid w:val="00EC75F6"/>
    <w:rsid w:val="00EC75FC"/>
    <w:rsid w:val="00ED0065"/>
    <w:rsid w:val="00ED17B5"/>
    <w:rsid w:val="00ED1BA0"/>
    <w:rsid w:val="00ED1D2D"/>
    <w:rsid w:val="00ED353D"/>
    <w:rsid w:val="00ED4C59"/>
    <w:rsid w:val="00ED4FF4"/>
    <w:rsid w:val="00ED588C"/>
    <w:rsid w:val="00ED5B71"/>
    <w:rsid w:val="00ED6E7A"/>
    <w:rsid w:val="00ED6EA1"/>
    <w:rsid w:val="00ED7A7F"/>
    <w:rsid w:val="00ED7B85"/>
    <w:rsid w:val="00EE060B"/>
    <w:rsid w:val="00EE07AC"/>
    <w:rsid w:val="00EE0891"/>
    <w:rsid w:val="00EE0C94"/>
    <w:rsid w:val="00EE0F24"/>
    <w:rsid w:val="00EE1062"/>
    <w:rsid w:val="00EE17F2"/>
    <w:rsid w:val="00EE188A"/>
    <w:rsid w:val="00EE1B01"/>
    <w:rsid w:val="00EE1C62"/>
    <w:rsid w:val="00EE1DB8"/>
    <w:rsid w:val="00EE210D"/>
    <w:rsid w:val="00EE2746"/>
    <w:rsid w:val="00EE2FD8"/>
    <w:rsid w:val="00EE3256"/>
    <w:rsid w:val="00EE4759"/>
    <w:rsid w:val="00EE4C20"/>
    <w:rsid w:val="00EE4F2D"/>
    <w:rsid w:val="00EE524C"/>
    <w:rsid w:val="00EE5395"/>
    <w:rsid w:val="00EE589E"/>
    <w:rsid w:val="00EE6755"/>
    <w:rsid w:val="00EE78D6"/>
    <w:rsid w:val="00EF03AA"/>
    <w:rsid w:val="00EF03DC"/>
    <w:rsid w:val="00EF0437"/>
    <w:rsid w:val="00EF0568"/>
    <w:rsid w:val="00EF0BFE"/>
    <w:rsid w:val="00EF1878"/>
    <w:rsid w:val="00EF1DE8"/>
    <w:rsid w:val="00EF2AC7"/>
    <w:rsid w:val="00EF3397"/>
    <w:rsid w:val="00EF40BF"/>
    <w:rsid w:val="00EF429A"/>
    <w:rsid w:val="00EF4557"/>
    <w:rsid w:val="00EF493F"/>
    <w:rsid w:val="00EF5947"/>
    <w:rsid w:val="00EF5E22"/>
    <w:rsid w:val="00EF60CA"/>
    <w:rsid w:val="00EF63C1"/>
    <w:rsid w:val="00EF6557"/>
    <w:rsid w:val="00EF69B7"/>
    <w:rsid w:val="00EF6C2B"/>
    <w:rsid w:val="00F00059"/>
    <w:rsid w:val="00F00084"/>
    <w:rsid w:val="00F008BD"/>
    <w:rsid w:val="00F021A9"/>
    <w:rsid w:val="00F028A2"/>
    <w:rsid w:val="00F02B50"/>
    <w:rsid w:val="00F02C54"/>
    <w:rsid w:val="00F02CD0"/>
    <w:rsid w:val="00F02D03"/>
    <w:rsid w:val="00F035DB"/>
    <w:rsid w:val="00F0448C"/>
    <w:rsid w:val="00F04BAF"/>
    <w:rsid w:val="00F0553C"/>
    <w:rsid w:val="00F0571E"/>
    <w:rsid w:val="00F06BA7"/>
    <w:rsid w:val="00F06C50"/>
    <w:rsid w:val="00F071BA"/>
    <w:rsid w:val="00F11A39"/>
    <w:rsid w:val="00F11D2E"/>
    <w:rsid w:val="00F1284F"/>
    <w:rsid w:val="00F13228"/>
    <w:rsid w:val="00F136A4"/>
    <w:rsid w:val="00F1377B"/>
    <w:rsid w:val="00F13C5E"/>
    <w:rsid w:val="00F14108"/>
    <w:rsid w:val="00F148D5"/>
    <w:rsid w:val="00F1601A"/>
    <w:rsid w:val="00F160BF"/>
    <w:rsid w:val="00F16173"/>
    <w:rsid w:val="00F1675C"/>
    <w:rsid w:val="00F16A3C"/>
    <w:rsid w:val="00F17428"/>
    <w:rsid w:val="00F17EAC"/>
    <w:rsid w:val="00F20046"/>
    <w:rsid w:val="00F20CC1"/>
    <w:rsid w:val="00F20D22"/>
    <w:rsid w:val="00F21A58"/>
    <w:rsid w:val="00F2302A"/>
    <w:rsid w:val="00F23048"/>
    <w:rsid w:val="00F239CD"/>
    <w:rsid w:val="00F23DCC"/>
    <w:rsid w:val="00F24158"/>
    <w:rsid w:val="00F24294"/>
    <w:rsid w:val="00F2477C"/>
    <w:rsid w:val="00F24E5D"/>
    <w:rsid w:val="00F24EBB"/>
    <w:rsid w:val="00F27696"/>
    <w:rsid w:val="00F2777F"/>
    <w:rsid w:val="00F27F06"/>
    <w:rsid w:val="00F30C26"/>
    <w:rsid w:val="00F314E8"/>
    <w:rsid w:val="00F316A2"/>
    <w:rsid w:val="00F323A2"/>
    <w:rsid w:val="00F32850"/>
    <w:rsid w:val="00F332D4"/>
    <w:rsid w:val="00F33B57"/>
    <w:rsid w:val="00F33CA8"/>
    <w:rsid w:val="00F33D5C"/>
    <w:rsid w:val="00F356D6"/>
    <w:rsid w:val="00F372DB"/>
    <w:rsid w:val="00F3785D"/>
    <w:rsid w:val="00F378BE"/>
    <w:rsid w:val="00F37D37"/>
    <w:rsid w:val="00F400E3"/>
    <w:rsid w:val="00F4021A"/>
    <w:rsid w:val="00F40876"/>
    <w:rsid w:val="00F4363B"/>
    <w:rsid w:val="00F44642"/>
    <w:rsid w:val="00F454A2"/>
    <w:rsid w:val="00F45E89"/>
    <w:rsid w:val="00F47845"/>
    <w:rsid w:val="00F47B6C"/>
    <w:rsid w:val="00F50039"/>
    <w:rsid w:val="00F50675"/>
    <w:rsid w:val="00F5071D"/>
    <w:rsid w:val="00F50BD6"/>
    <w:rsid w:val="00F50E16"/>
    <w:rsid w:val="00F513B2"/>
    <w:rsid w:val="00F51520"/>
    <w:rsid w:val="00F516D2"/>
    <w:rsid w:val="00F52140"/>
    <w:rsid w:val="00F521E4"/>
    <w:rsid w:val="00F52CCE"/>
    <w:rsid w:val="00F53151"/>
    <w:rsid w:val="00F535A9"/>
    <w:rsid w:val="00F53F3D"/>
    <w:rsid w:val="00F53F92"/>
    <w:rsid w:val="00F5480F"/>
    <w:rsid w:val="00F54AA5"/>
    <w:rsid w:val="00F552F7"/>
    <w:rsid w:val="00F55320"/>
    <w:rsid w:val="00F553A7"/>
    <w:rsid w:val="00F554EB"/>
    <w:rsid w:val="00F5562D"/>
    <w:rsid w:val="00F55710"/>
    <w:rsid w:val="00F55BC7"/>
    <w:rsid w:val="00F566EA"/>
    <w:rsid w:val="00F567A4"/>
    <w:rsid w:val="00F578EB"/>
    <w:rsid w:val="00F605BE"/>
    <w:rsid w:val="00F60778"/>
    <w:rsid w:val="00F60871"/>
    <w:rsid w:val="00F60AF6"/>
    <w:rsid w:val="00F60DDC"/>
    <w:rsid w:val="00F610A9"/>
    <w:rsid w:val="00F617BE"/>
    <w:rsid w:val="00F6185D"/>
    <w:rsid w:val="00F61C7A"/>
    <w:rsid w:val="00F625F7"/>
    <w:rsid w:val="00F632C2"/>
    <w:rsid w:val="00F64702"/>
    <w:rsid w:val="00F64D5A"/>
    <w:rsid w:val="00F65399"/>
    <w:rsid w:val="00F65B68"/>
    <w:rsid w:val="00F65C22"/>
    <w:rsid w:val="00F65EC9"/>
    <w:rsid w:val="00F66CB1"/>
    <w:rsid w:val="00F672BD"/>
    <w:rsid w:val="00F677CB"/>
    <w:rsid w:val="00F67E15"/>
    <w:rsid w:val="00F67FCA"/>
    <w:rsid w:val="00F70815"/>
    <w:rsid w:val="00F709F4"/>
    <w:rsid w:val="00F71019"/>
    <w:rsid w:val="00F710A9"/>
    <w:rsid w:val="00F72823"/>
    <w:rsid w:val="00F7284D"/>
    <w:rsid w:val="00F72CFE"/>
    <w:rsid w:val="00F72FB0"/>
    <w:rsid w:val="00F73336"/>
    <w:rsid w:val="00F73423"/>
    <w:rsid w:val="00F7365E"/>
    <w:rsid w:val="00F737A4"/>
    <w:rsid w:val="00F73950"/>
    <w:rsid w:val="00F75481"/>
    <w:rsid w:val="00F76664"/>
    <w:rsid w:val="00F76A4C"/>
    <w:rsid w:val="00F76AB3"/>
    <w:rsid w:val="00F80B27"/>
    <w:rsid w:val="00F816A4"/>
    <w:rsid w:val="00F8194C"/>
    <w:rsid w:val="00F81AE9"/>
    <w:rsid w:val="00F827D0"/>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138"/>
    <w:rsid w:val="00F87C3F"/>
    <w:rsid w:val="00F87C5B"/>
    <w:rsid w:val="00F87FEA"/>
    <w:rsid w:val="00F90248"/>
    <w:rsid w:val="00F90613"/>
    <w:rsid w:val="00F906F4"/>
    <w:rsid w:val="00F915F3"/>
    <w:rsid w:val="00F91800"/>
    <w:rsid w:val="00F91853"/>
    <w:rsid w:val="00F918B6"/>
    <w:rsid w:val="00F91987"/>
    <w:rsid w:val="00F91CCD"/>
    <w:rsid w:val="00F9208E"/>
    <w:rsid w:val="00F92571"/>
    <w:rsid w:val="00F93837"/>
    <w:rsid w:val="00F93B2F"/>
    <w:rsid w:val="00F93CAE"/>
    <w:rsid w:val="00F9453D"/>
    <w:rsid w:val="00F954E4"/>
    <w:rsid w:val="00F95BFB"/>
    <w:rsid w:val="00F95CCE"/>
    <w:rsid w:val="00F966D3"/>
    <w:rsid w:val="00F9692D"/>
    <w:rsid w:val="00F978BE"/>
    <w:rsid w:val="00F97D7B"/>
    <w:rsid w:val="00FA0013"/>
    <w:rsid w:val="00FA0154"/>
    <w:rsid w:val="00FA0288"/>
    <w:rsid w:val="00FA0C62"/>
    <w:rsid w:val="00FA0F71"/>
    <w:rsid w:val="00FA23E2"/>
    <w:rsid w:val="00FA26BC"/>
    <w:rsid w:val="00FA2D8E"/>
    <w:rsid w:val="00FA3872"/>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2EE5"/>
    <w:rsid w:val="00FB3363"/>
    <w:rsid w:val="00FB4048"/>
    <w:rsid w:val="00FB42B3"/>
    <w:rsid w:val="00FB446E"/>
    <w:rsid w:val="00FB4629"/>
    <w:rsid w:val="00FB577F"/>
    <w:rsid w:val="00FB5E5D"/>
    <w:rsid w:val="00FB5FC4"/>
    <w:rsid w:val="00FB6A07"/>
    <w:rsid w:val="00FB6FB1"/>
    <w:rsid w:val="00FB7460"/>
    <w:rsid w:val="00FB7747"/>
    <w:rsid w:val="00FB7A10"/>
    <w:rsid w:val="00FC0F81"/>
    <w:rsid w:val="00FC3798"/>
    <w:rsid w:val="00FC577C"/>
    <w:rsid w:val="00FC59AF"/>
    <w:rsid w:val="00FC5BDD"/>
    <w:rsid w:val="00FC5C43"/>
    <w:rsid w:val="00FC5F72"/>
    <w:rsid w:val="00FC62B5"/>
    <w:rsid w:val="00FC6D4E"/>
    <w:rsid w:val="00FC7073"/>
    <w:rsid w:val="00FC736F"/>
    <w:rsid w:val="00FD0CDB"/>
    <w:rsid w:val="00FD1FA7"/>
    <w:rsid w:val="00FD2282"/>
    <w:rsid w:val="00FD2D42"/>
    <w:rsid w:val="00FD30B5"/>
    <w:rsid w:val="00FD3453"/>
    <w:rsid w:val="00FD39CF"/>
    <w:rsid w:val="00FD4B7B"/>
    <w:rsid w:val="00FD4D84"/>
    <w:rsid w:val="00FD5437"/>
    <w:rsid w:val="00FD5468"/>
    <w:rsid w:val="00FD5582"/>
    <w:rsid w:val="00FD58F5"/>
    <w:rsid w:val="00FD6287"/>
    <w:rsid w:val="00FD6875"/>
    <w:rsid w:val="00FD7030"/>
    <w:rsid w:val="00FD754C"/>
    <w:rsid w:val="00FD7696"/>
    <w:rsid w:val="00FE0669"/>
    <w:rsid w:val="00FE0DAE"/>
    <w:rsid w:val="00FE0E6B"/>
    <w:rsid w:val="00FE1370"/>
    <w:rsid w:val="00FE1510"/>
    <w:rsid w:val="00FE2121"/>
    <w:rsid w:val="00FE2387"/>
    <w:rsid w:val="00FE254A"/>
    <w:rsid w:val="00FE321B"/>
    <w:rsid w:val="00FE3D07"/>
    <w:rsid w:val="00FE4411"/>
    <w:rsid w:val="00FE46BC"/>
    <w:rsid w:val="00FE4B6F"/>
    <w:rsid w:val="00FE6788"/>
    <w:rsid w:val="00FE6818"/>
    <w:rsid w:val="00FE6A9E"/>
    <w:rsid w:val="00FE6BFB"/>
    <w:rsid w:val="00FF0CF5"/>
    <w:rsid w:val="00FF0D6F"/>
    <w:rsid w:val="00FF0E9E"/>
    <w:rsid w:val="00FF1103"/>
    <w:rsid w:val="00FF1712"/>
    <w:rsid w:val="00FF213D"/>
    <w:rsid w:val="00FF251D"/>
    <w:rsid w:val="00FF37DC"/>
    <w:rsid w:val="00FF37F2"/>
    <w:rsid w:val="00FF43D9"/>
    <w:rsid w:val="00FF44E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 w:type="character" w:customStyle="1" w:styleId="s15">
    <w:name w:val="s15"/>
    <w:basedOn w:val="Fuentedeprrafopredeter"/>
    <w:rsid w:val="00F11A39"/>
  </w:style>
  <w:style w:type="character" w:customStyle="1" w:styleId="apple-converted-space">
    <w:name w:val="apple-converted-space"/>
    <w:basedOn w:val="Fuentedeprrafopredeter"/>
    <w:rsid w:val="00F11A39"/>
  </w:style>
  <w:style w:type="paragraph" w:customStyle="1" w:styleId="Car1">
    <w:name w:val="Car1"/>
    <w:basedOn w:val="Normal"/>
    <w:next w:val="Textonotapie"/>
    <w:uiPriority w:val="99"/>
    <w:qFormat/>
    <w:rsid w:val="00F90248"/>
    <w:pPr>
      <w:spacing w:after="0" w:line="240" w:lineRule="auto"/>
    </w:pPr>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31460425">
      <w:bodyDiv w:val="1"/>
      <w:marLeft w:val="0"/>
      <w:marRight w:val="0"/>
      <w:marTop w:val="0"/>
      <w:marBottom w:val="0"/>
      <w:divBdr>
        <w:top w:val="none" w:sz="0" w:space="0" w:color="auto"/>
        <w:left w:val="none" w:sz="0" w:space="0" w:color="auto"/>
        <w:bottom w:val="none" w:sz="0" w:space="0" w:color="auto"/>
        <w:right w:val="none" w:sz="0" w:space="0" w:color="auto"/>
      </w:divBdr>
    </w:div>
    <w:div w:id="37049927">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65763639">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8812378">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88226555">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7641170">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41471648">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11895175">
      <w:bodyDiv w:val="1"/>
      <w:marLeft w:val="0"/>
      <w:marRight w:val="0"/>
      <w:marTop w:val="0"/>
      <w:marBottom w:val="0"/>
      <w:divBdr>
        <w:top w:val="none" w:sz="0" w:space="0" w:color="auto"/>
        <w:left w:val="none" w:sz="0" w:space="0" w:color="auto"/>
        <w:bottom w:val="none" w:sz="0" w:space="0" w:color="auto"/>
        <w:right w:val="none" w:sz="0" w:space="0" w:color="auto"/>
      </w:divBdr>
    </w:div>
    <w:div w:id="428160872">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2882439">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39845968">
      <w:bodyDiv w:val="1"/>
      <w:marLeft w:val="0"/>
      <w:marRight w:val="0"/>
      <w:marTop w:val="0"/>
      <w:marBottom w:val="0"/>
      <w:divBdr>
        <w:top w:val="none" w:sz="0" w:space="0" w:color="auto"/>
        <w:left w:val="none" w:sz="0" w:space="0" w:color="auto"/>
        <w:bottom w:val="none" w:sz="0" w:space="0" w:color="auto"/>
        <w:right w:val="none" w:sz="0" w:space="0" w:color="auto"/>
      </w:divBdr>
    </w:div>
    <w:div w:id="662321746">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785975813">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47080396">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17657566">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246720">
      <w:bodyDiv w:val="1"/>
      <w:marLeft w:val="0"/>
      <w:marRight w:val="0"/>
      <w:marTop w:val="0"/>
      <w:marBottom w:val="0"/>
      <w:divBdr>
        <w:top w:val="none" w:sz="0" w:space="0" w:color="auto"/>
        <w:left w:val="none" w:sz="0" w:space="0" w:color="auto"/>
        <w:bottom w:val="none" w:sz="0" w:space="0" w:color="auto"/>
        <w:right w:val="none" w:sz="0" w:space="0" w:color="auto"/>
      </w:divBdr>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18936703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72922724">
      <w:bodyDiv w:val="1"/>
      <w:marLeft w:val="0"/>
      <w:marRight w:val="0"/>
      <w:marTop w:val="0"/>
      <w:marBottom w:val="0"/>
      <w:divBdr>
        <w:top w:val="none" w:sz="0" w:space="0" w:color="auto"/>
        <w:left w:val="none" w:sz="0" w:space="0" w:color="auto"/>
        <w:bottom w:val="none" w:sz="0" w:space="0" w:color="auto"/>
        <w:right w:val="none" w:sz="0" w:space="0" w:color="auto"/>
      </w:divBdr>
    </w:div>
    <w:div w:id="1383409235">
      <w:bodyDiv w:val="1"/>
      <w:marLeft w:val="0"/>
      <w:marRight w:val="0"/>
      <w:marTop w:val="0"/>
      <w:marBottom w:val="0"/>
      <w:divBdr>
        <w:top w:val="none" w:sz="0" w:space="0" w:color="auto"/>
        <w:left w:val="none" w:sz="0" w:space="0" w:color="auto"/>
        <w:bottom w:val="none" w:sz="0" w:space="0" w:color="auto"/>
        <w:right w:val="none" w:sz="0" w:space="0" w:color="auto"/>
      </w:divBdr>
    </w:div>
    <w:div w:id="1388258980">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858132">
      <w:bodyDiv w:val="1"/>
      <w:marLeft w:val="0"/>
      <w:marRight w:val="0"/>
      <w:marTop w:val="0"/>
      <w:marBottom w:val="0"/>
      <w:divBdr>
        <w:top w:val="none" w:sz="0" w:space="0" w:color="auto"/>
        <w:left w:val="none" w:sz="0" w:space="0" w:color="auto"/>
        <w:bottom w:val="none" w:sz="0" w:space="0" w:color="auto"/>
        <w:right w:val="none" w:sz="0" w:space="0" w:color="auto"/>
      </w:divBdr>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33042007">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6920400">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47184175">
      <w:bodyDiv w:val="1"/>
      <w:marLeft w:val="0"/>
      <w:marRight w:val="0"/>
      <w:marTop w:val="0"/>
      <w:marBottom w:val="0"/>
      <w:divBdr>
        <w:top w:val="none" w:sz="0" w:space="0" w:color="auto"/>
        <w:left w:val="none" w:sz="0" w:space="0" w:color="auto"/>
        <w:bottom w:val="none" w:sz="0" w:space="0" w:color="auto"/>
        <w:right w:val="none" w:sz="0" w:space="0" w:color="auto"/>
      </w:divBdr>
    </w:div>
    <w:div w:id="1548563183">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58124507">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21290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4456325">
      <w:bodyDiv w:val="1"/>
      <w:marLeft w:val="0"/>
      <w:marRight w:val="0"/>
      <w:marTop w:val="0"/>
      <w:marBottom w:val="0"/>
      <w:divBdr>
        <w:top w:val="none" w:sz="0" w:space="0" w:color="auto"/>
        <w:left w:val="none" w:sz="0" w:space="0" w:color="auto"/>
        <w:bottom w:val="none" w:sz="0" w:space="0" w:color="auto"/>
        <w:right w:val="none" w:sz="0" w:space="0" w:color="auto"/>
      </w:divBdr>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74203004">
      <w:bodyDiv w:val="1"/>
      <w:marLeft w:val="0"/>
      <w:marRight w:val="0"/>
      <w:marTop w:val="0"/>
      <w:marBottom w:val="0"/>
      <w:divBdr>
        <w:top w:val="none" w:sz="0" w:space="0" w:color="auto"/>
        <w:left w:val="none" w:sz="0" w:space="0" w:color="auto"/>
        <w:bottom w:val="none" w:sz="0" w:space="0" w:color="auto"/>
        <w:right w:val="none" w:sz="0" w:space="0" w:color="auto"/>
      </w:divBdr>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1651963">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02983792">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11717450">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55155228">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 w:id="21338674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cbf.gov.co/cargues/avance/docs/decreto_1082_2015.ht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ultursas1@gmail.com"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wp-content%2Fuploads%2F2025%2F05%2FGUIA-DE-LINEAMIENTOS-DE-TRANSPARENCIA-Y-SELECCION-OBJETIVA-1.0.pdf&amp;data=05%7C02%7Ctatiana.baquero%40colombiacompra.gov.co%7C7cfff6dece924643582c08dd97bfed90%7C7b09041e245149d08cb179d5e3d8c1be%7C0%7C0%7C638833572792347448%7CUnknown%7CTWFpbGZsb3d8eyJFbXB0eU1hcGkiOnRydWUsIlYiOiIwLjAuMDAwMCIsIlAiOiJXaW4zMiIsIkFOIjoiTWFpbCIsIldUIjoyfQ%3D%3D%7C0%7C%7C%7C&amp;sdata=K03nwa35iwf9ehvktYrXqXUKICQPG9uZh4Vu1Re28IU%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ites/cce_public/files/cce_documents/guia_para_promover_la_participacion_de_las_mipymes_en_los_procesos_de_compra_publica_cce-gad-gi-26_1.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0590_2000.html" TargetMode="External"/><Relationship Id="rId2" Type="http://schemas.openxmlformats.org/officeDocument/2006/relationships/hyperlink" Target="http://www.secretariasenado.gov.co/senado/basedoc/ley_0590_2000.html" TargetMode="External"/><Relationship Id="rId1" Type="http://schemas.openxmlformats.org/officeDocument/2006/relationships/hyperlink" Target="http://www.secretariasenado.gov.co/senado/basedoc/ley_0590_2000.html" TargetMode="External"/><Relationship Id="rId4" Type="http://schemas.openxmlformats.org/officeDocument/2006/relationships/hyperlink" Target="https://www.colombiacompra.gov.co/sites/cce_public/files/cce_documents/guia_para_promover_la_participacion_de_las_mipymes_en_los_procesos_de_compra_publica_cce-gad-gi-26_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8AE37-E1F3-4B08-98E9-52F0B3FA79CF}">
  <ds:schemaRefs>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9d85dbaf-23eb-4e57-a637-93dcacc8b1a1"/>
    <ds:schemaRef ds:uri="a6cb9e4b-f1d1-4245-83ec-6cad768d538a"/>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5717</Words>
  <Characters>31444</Characters>
  <Application>Microsoft Office Word</Application>
  <DocSecurity>0</DocSecurity>
  <Lines>262</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37087</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2</cp:revision>
  <dcterms:created xsi:type="dcterms:W3CDTF">2025-07-17T14:23:00Z</dcterms:created>
  <dcterms:modified xsi:type="dcterms:W3CDTF">2025-07-17T14:23:00Z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