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0308" w14:textId="77777777" w:rsidR="00D44930" w:rsidRPr="00F145EE" w:rsidRDefault="00D44930" w:rsidP="00D44930">
      <w:pPr>
        <w:pStyle w:val="Textoindependiente"/>
        <w:spacing w:after="0" w:line="240" w:lineRule="auto"/>
        <w:ind w:right="102"/>
        <w:jc w:val="both"/>
        <w:rPr>
          <w:rFonts w:ascii="Verdana" w:hAnsi="Verdana" w:cs="Arial"/>
          <w:b/>
          <w:color w:val="000000" w:themeColor="text1"/>
          <w:lang w:val="es-ES_tradnl"/>
        </w:rPr>
      </w:pPr>
      <w:bookmarkStart w:id="0" w:name="_Hlk143780582"/>
      <w:r w:rsidRPr="00F145EE">
        <w:rPr>
          <w:rFonts w:ascii="Verdana" w:hAnsi="Verdana" w:cs="Arial"/>
          <w:b/>
          <w:color w:val="000000" w:themeColor="text1"/>
          <w:lang w:val="es-ES_tradnl"/>
        </w:rPr>
        <w:t xml:space="preserve">SELECCIÓN ABREVIADA – Marco normativo </w:t>
      </w:r>
    </w:p>
    <w:p w14:paraId="5BBA1941" w14:textId="77777777" w:rsidR="00D44930" w:rsidRPr="00F145EE" w:rsidRDefault="00D44930" w:rsidP="00D44930">
      <w:pPr>
        <w:pStyle w:val="Textoindependiente"/>
        <w:spacing w:after="0" w:line="240" w:lineRule="auto"/>
        <w:ind w:right="102"/>
        <w:jc w:val="both"/>
        <w:rPr>
          <w:rFonts w:ascii="Verdana" w:hAnsi="Verdana" w:cs="Arial"/>
          <w:color w:val="000000" w:themeColor="text1"/>
          <w:sz w:val="20"/>
          <w:szCs w:val="20"/>
          <w:lang w:val="es-ES_tradnl"/>
        </w:rPr>
      </w:pPr>
    </w:p>
    <w:p w14:paraId="6B915398" w14:textId="7B39CCE4" w:rsidR="00955113" w:rsidRDefault="00955113" w:rsidP="005D0FF9">
      <w:pPr>
        <w:spacing w:after="0" w:line="240" w:lineRule="auto"/>
        <w:jc w:val="both"/>
        <w:rPr>
          <w:rFonts w:ascii="Verdana" w:eastAsia="Arial" w:hAnsi="Verdana" w:cs="Arial"/>
          <w:bCs/>
          <w:color w:val="000000" w:themeColor="text1"/>
          <w:sz w:val="20"/>
          <w:szCs w:val="20"/>
          <w:lang w:val="es-MX"/>
        </w:rPr>
      </w:pPr>
      <w:r w:rsidRPr="00955113">
        <w:rPr>
          <w:rFonts w:ascii="Verdana" w:eastAsia="Arial" w:hAnsi="Verdana" w:cs="Arial"/>
          <w:bCs/>
          <w:color w:val="000000" w:themeColor="text1"/>
          <w:sz w:val="20"/>
          <w:szCs w:val="20"/>
          <w:lang w:val="es-MX"/>
        </w:rPr>
        <w:t xml:space="preserve">Respecto de la selección abreviada, a la cual se refiere en su consulta, el numeral 2 del artículo 2 de la Ley 1150 de 2007 dispone que “[…] corresponde a la modalidad de selección objetiva prevista para aquellos casos en </w:t>
      </w:r>
      <w:proofErr w:type="gramStart"/>
      <w:r w:rsidRPr="00955113">
        <w:rPr>
          <w:rFonts w:ascii="Verdana" w:eastAsia="Arial" w:hAnsi="Verdana" w:cs="Arial"/>
          <w:bCs/>
          <w:color w:val="000000" w:themeColor="text1"/>
          <w:sz w:val="20"/>
          <w:szCs w:val="20"/>
          <w:lang w:val="es-MX"/>
        </w:rPr>
        <w:t>que</w:t>
      </w:r>
      <w:proofErr w:type="gramEnd"/>
      <w:r w:rsidRPr="00955113">
        <w:rPr>
          <w:rFonts w:ascii="Verdana" w:eastAsia="Arial" w:hAnsi="Verdana" w:cs="Arial"/>
          <w:bCs/>
          <w:color w:val="000000" w:themeColor="text1"/>
          <w:sz w:val="20"/>
          <w:szCs w:val="20"/>
          <w:lang w:val="es-MX"/>
        </w:rPr>
        <w:t xml:space="preserve"> por las características del objeto a contratar, las circunstancias de la contratación o la cuantía o destinación del bien, obra o servicio puedan adelantarse procesos simplificados para garantizar la eficiencia de la gestión contractual”. Esta disposición, a su vez, regula cada una de las causales frente a las cuales procede esta modalidad de contratación. </w:t>
      </w:r>
    </w:p>
    <w:p w14:paraId="76089384" w14:textId="77777777" w:rsidR="00955113" w:rsidRPr="00955113" w:rsidRDefault="00955113" w:rsidP="005D0FF9">
      <w:pPr>
        <w:spacing w:after="0" w:line="240" w:lineRule="auto"/>
        <w:jc w:val="both"/>
        <w:rPr>
          <w:rFonts w:ascii="Verdana" w:eastAsia="Arial" w:hAnsi="Verdana" w:cs="Arial"/>
          <w:bCs/>
          <w:color w:val="000000" w:themeColor="text1"/>
          <w:sz w:val="20"/>
          <w:szCs w:val="20"/>
          <w:lang w:val="es-MX"/>
        </w:rPr>
      </w:pPr>
    </w:p>
    <w:p w14:paraId="2DD4B9EE" w14:textId="79575F4B" w:rsidR="00D44930" w:rsidRPr="00F145EE" w:rsidRDefault="00955113" w:rsidP="005D0FF9">
      <w:pPr>
        <w:spacing w:after="0" w:line="240" w:lineRule="auto"/>
        <w:jc w:val="both"/>
        <w:rPr>
          <w:rFonts w:ascii="Verdana" w:eastAsia="Arial" w:hAnsi="Verdana" w:cs="Arial"/>
          <w:color w:val="000000" w:themeColor="text1"/>
          <w:sz w:val="20"/>
          <w:szCs w:val="20"/>
        </w:rPr>
      </w:pPr>
      <w:r w:rsidRPr="00955113">
        <w:rPr>
          <w:rFonts w:ascii="Verdana" w:eastAsia="Arial" w:hAnsi="Verdana" w:cs="Arial"/>
          <w:bCs/>
          <w:color w:val="000000" w:themeColor="text1"/>
          <w:sz w:val="20"/>
          <w:szCs w:val="20"/>
          <w:lang w:val="es-MX"/>
        </w:rPr>
        <w:t>Se trata de un procedimiento que, conforme a la reglamentación expedida por el Gobierno Nacional, permite agilizar la contratación estatal en los eventos en que no se justifica adelantar una licitación pública, pero tampoco limitar la participación de los proponentes como en la contratación directa. De forma tal que, la selección abreviada es un mecanismo de selección objetiva que asegura una mayor concurrencia de participantes sin sacrificar los principios de eficacia y eficiencia en el proceso de selección.</w:t>
      </w:r>
    </w:p>
    <w:p w14:paraId="54EDA046" w14:textId="77777777" w:rsidR="00D44930" w:rsidRPr="00F145EE" w:rsidRDefault="00D44930" w:rsidP="00D44930">
      <w:pPr>
        <w:spacing w:after="0" w:line="240" w:lineRule="auto"/>
        <w:jc w:val="both"/>
        <w:rPr>
          <w:rFonts w:ascii="Verdana" w:eastAsia="Calibri" w:hAnsi="Verdana" w:cs="Arial"/>
          <w:b/>
          <w:color w:val="000000" w:themeColor="text1"/>
          <w:highlight w:val="yellow"/>
          <w:lang w:val="es-ES_tradnl"/>
        </w:rPr>
      </w:pPr>
    </w:p>
    <w:p w14:paraId="3B2A7BD7" w14:textId="77777777" w:rsidR="00D44930" w:rsidRPr="00F145EE" w:rsidRDefault="00D44930" w:rsidP="00D44930">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 xml:space="preserve">BIENES Y SERVICIOS DE CARACTERÍSTICAS TÉCNICAS UNIFORMES – Definición  </w:t>
      </w:r>
    </w:p>
    <w:p w14:paraId="67DDBBD9" w14:textId="77777777" w:rsidR="00D44930" w:rsidRPr="00F145EE" w:rsidRDefault="00D44930" w:rsidP="00D44930">
      <w:pPr>
        <w:spacing w:after="0" w:line="240" w:lineRule="auto"/>
        <w:jc w:val="both"/>
        <w:rPr>
          <w:rFonts w:ascii="Verdana" w:eastAsia="Calibri" w:hAnsi="Verdana" w:cs="Arial"/>
          <w:bCs/>
          <w:color w:val="000000" w:themeColor="text1"/>
          <w:sz w:val="20"/>
          <w:szCs w:val="20"/>
          <w:lang w:val="es-ES_tradnl"/>
        </w:rPr>
      </w:pPr>
    </w:p>
    <w:p w14:paraId="407C5E61" w14:textId="77777777" w:rsidR="00D44930" w:rsidRPr="00F145EE" w:rsidRDefault="00D44930" w:rsidP="00D44930">
      <w:pPr>
        <w:spacing w:after="0" w:line="240" w:lineRule="auto"/>
        <w:jc w:val="both"/>
        <w:rPr>
          <w:rFonts w:ascii="Verdana" w:hAnsi="Verdana" w:cs="Arial"/>
          <w:color w:val="000000" w:themeColor="text1"/>
          <w:sz w:val="20"/>
          <w:szCs w:val="20"/>
        </w:rPr>
      </w:pPr>
      <w:r w:rsidRPr="00F145EE">
        <w:rPr>
          <w:rFonts w:ascii="Verdana" w:hAnsi="Verdana" w:cs="Arial"/>
          <w:color w:val="000000" w:themeColor="text1"/>
          <w:sz w:val="20"/>
          <w:szCs w:val="20"/>
        </w:rPr>
        <w:t>Según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p>
    <w:p w14:paraId="7E3D9450" w14:textId="77777777" w:rsidR="00D44930" w:rsidRPr="00F145EE" w:rsidRDefault="00D44930" w:rsidP="00D44930">
      <w:pPr>
        <w:spacing w:after="0" w:line="240" w:lineRule="auto"/>
        <w:jc w:val="both"/>
        <w:rPr>
          <w:rFonts w:ascii="Verdana" w:hAnsi="Verdana" w:cs="Arial"/>
          <w:color w:val="000000" w:themeColor="text1"/>
          <w:sz w:val="21"/>
          <w:szCs w:val="21"/>
          <w:highlight w:val="yellow"/>
          <w:lang w:val="es-ES_tradnl"/>
        </w:rPr>
      </w:pPr>
    </w:p>
    <w:p w14:paraId="1B6FC28B" w14:textId="7658D7F2" w:rsidR="00D44930" w:rsidRPr="00F145EE" w:rsidRDefault="00D44930" w:rsidP="00D44930">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COMÚN UTILIZACIÓN Y HOMOGENEIDAD ‒ Bienes y servicios ‒</w:t>
      </w:r>
      <w:r w:rsidR="009125D5">
        <w:rPr>
          <w:rFonts w:ascii="Verdana" w:eastAsia="Calibri" w:hAnsi="Verdana" w:cs="Arial"/>
          <w:b/>
          <w:color w:val="000000" w:themeColor="text1"/>
          <w:lang w:val="es-ES_tradnl"/>
        </w:rPr>
        <w:t xml:space="preserve"> </w:t>
      </w:r>
      <w:r w:rsidRPr="00F145EE">
        <w:rPr>
          <w:rFonts w:ascii="Verdana" w:eastAsia="Calibri" w:hAnsi="Verdana" w:cs="Arial"/>
          <w:b/>
          <w:color w:val="000000" w:themeColor="text1"/>
          <w:lang w:val="es-ES_tradnl"/>
        </w:rPr>
        <w:t xml:space="preserve">Características – Formas de adquisición </w:t>
      </w:r>
    </w:p>
    <w:p w14:paraId="2986FD2E" w14:textId="77777777" w:rsidR="00D44930" w:rsidRPr="00F145EE" w:rsidRDefault="00D44930" w:rsidP="00D44930">
      <w:pPr>
        <w:tabs>
          <w:tab w:val="left" w:pos="426"/>
        </w:tabs>
        <w:spacing w:after="0" w:line="240" w:lineRule="auto"/>
        <w:contextualSpacing/>
        <w:jc w:val="both"/>
        <w:rPr>
          <w:rFonts w:ascii="Verdana" w:eastAsia="Calibri" w:hAnsi="Verdana" w:cs="Arial"/>
          <w:b/>
          <w:bCs/>
          <w:color w:val="000000" w:themeColor="text1"/>
          <w:sz w:val="20"/>
          <w:szCs w:val="20"/>
          <w:highlight w:val="yellow"/>
          <w:lang w:val="es-MX"/>
        </w:rPr>
      </w:pPr>
    </w:p>
    <w:p w14:paraId="5695C08B" w14:textId="77777777" w:rsidR="007C6A95" w:rsidRPr="007C6A95" w:rsidRDefault="007C6A95" w:rsidP="007C6A95">
      <w:pPr>
        <w:spacing w:after="0" w:line="240" w:lineRule="auto"/>
        <w:jc w:val="both"/>
        <w:rPr>
          <w:rFonts w:ascii="Verdana" w:eastAsia="Calibri" w:hAnsi="Verdana" w:cs="Arial"/>
          <w:noProof/>
          <w:color w:val="000000" w:themeColor="text1"/>
          <w:sz w:val="20"/>
          <w:szCs w:val="20"/>
          <w:lang w:val="es-ES_tradnl"/>
        </w:rPr>
      </w:pPr>
      <w:r w:rsidRPr="007C6A95">
        <w:rPr>
          <w:rFonts w:ascii="Verdana" w:eastAsia="Calibri" w:hAnsi="Verdana" w:cs="Arial"/>
          <w:noProof/>
          <w:color w:val="000000" w:themeColor="text1"/>
          <w:sz w:val="20"/>
          <w:szCs w:val="20"/>
          <w:lang w:val="es-ES_tradnl"/>
        </w:rPr>
        <w:t>Para identificar los bienes y servicios que corresponden a este tipo, se destacan dos (2) aspectos importantes: la común utilización y la homogeneidad. Para la doctrina, la común utilización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 . Por su parte, la homogeneidad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 .</w:t>
      </w:r>
    </w:p>
    <w:p w14:paraId="6B78EA82" w14:textId="206B1E67" w:rsidR="00D44930" w:rsidRPr="003F1134" w:rsidRDefault="007C6A95" w:rsidP="003F1134">
      <w:pPr>
        <w:spacing w:after="0" w:line="240" w:lineRule="auto"/>
        <w:jc w:val="both"/>
        <w:rPr>
          <w:rFonts w:ascii="Verdana" w:hAnsi="Verdana" w:cs="Arial"/>
          <w:color w:val="000000" w:themeColor="text1"/>
          <w:sz w:val="21"/>
          <w:szCs w:val="21"/>
          <w:highlight w:val="yellow"/>
          <w:lang w:val="es-ES_tradnl"/>
        </w:rPr>
      </w:pPr>
      <w:r w:rsidRPr="007C6A95">
        <w:rPr>
          <w:rFonts w:ascii="Verdana" w:eastAsia="Calibri" w:hAnsi="Verdana" w:cs="Arial"/>
          <w:noProof/>
          <w:color w:val="000000" w:themeColor="text1"/>
          <w:sz w:val="20"/>
          <w:szCs w:val="20"/>
          <w:lang w:val="es-ES_tradnl"/>
        </w:rPr>
        <w:lastRenderedPageBreak/>
        <w:t>Los elementos centrales para definir si un bien o servicio es características técnicas uniformes consiste son: i) que posea las mismas especificaciones técnicas y ii) que compartan patrones de desempeño y calidad objetivamente definidos. Por ello, es posible adquirirlos en el mercado en condiciones estandarizadas u homogéneas, con independencia de su diseño o de sus características descriptivas, pues estas no afectan su funcionalidad. La forma en que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w:t>
      </w:r>
    </w:p>
    <w:p w14:paraId="18C97FAE" w14:textId="77777777" w:rsidR="00D44930" w:rsidRPr="00F145EE" w:rsidRDefault="00D44930" w:rsidP="00D44930">
      <w:pPr>
        <w:spacing w:after="0" w:line="240" w:lineRule="auto"/>
        <w:rPr>
          <w:rFonts w:ascii="Verdana" w:eastAsia="Geomanist Light" w:hAnsi="Verdana" w:cs="Arial"/>
          <w:color w:val="000000" w:themeColor="text1"/>
          <w:lang w:val="es-ES_tradnl"/>
        </w:rPr>
      </w:pPr>
    </w:p>
    <w:p w14:paraId="0533F2D5" w14:textId="77777777" w:rsidR="00D44930" w:rsidRPr="00BB3BE4" w:rsidRDefault="00D44930" w:rsidP="00D44930">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OPERACIÓN LOGÍSTICA</w:t>
      </w:r>
      <w:r w:rsidRPr="00BB3BE4">
        <w:rPr>
          <w:rFonts w:ascii="Verdana" w:eastAsia="Calibri" w:hAnsi="Verdana" w:cs="Arial"/>
          <w:b/>
          <w:lang w:val="es-ES_tradnl" w:eastAsia="es-ES_tradnl"/>
        </w:rPr>
        <w:t xml:space="preserve"> ‒ </w:t>
      </w:r>
      <w:r>
        <w:rPr>
          <w:rFonts w:ascii="Verdana" w:eastAsia="Calibri" w:hAnsi="Verdana" w:cs="Arial"/>
          <w:b/>
          <w:lang w:val="es-ES_tradnl" w:eastAsia="es-ES_tradnl"/>
        </w:rPr>
        <w:t>Contrato atípico mixto</w:t>
      </w:r>
      <w:r w:rsidRPr="00BB3BE4">
        <w:rPr>
          <w:rFonts w:ascii="Verdana" w:eastAsia="Calibri" w:hAnsi="Verdana" w:cs="Arial"/>
          <w:b/>
          <w:lang w:val="es-ES_tradnl" w:eastAsia="es-ES_tradnl"/>
        </w:rPr>
        <w:t xml:space="preserve"> ‒ </w:t>
      </w:r>
      <w:r>
        <w:rPr>
          <w:rFonts w:ascii="Verdana" w:eastAsia="Calibri" w:hAnsi="Verdana" w:cs="Arial"/>
          <w:b/>
          <w:lang w:val="es-ES_tradnl" w:eastAsia="es-ES_tradnl"/>
        </w:rPr>
        <w:t>Actividades</w:t>
      </w:r>
    </w:p>
    <w:p w14:paraId="34F786D5" w14:textId="77777777" w:rsidR="00D44930" w:rsidRPr="00BB3BE4" w:rsidRDefault="00D44930" w:rsidP="00D44930">
      <w:pPr>
        <w:tabs>
          <w:tab w:val="left" w:pos="709"/>
        </w:tabs>
        <w:spacing w:after="0" w:line="240" w:lineRule="auto"/>
        <w:jc w:val="both"/>
        <w:rPr>
          <w:rFonts w:ascii="Verdana" w:eastAsia="Calibri" w:hAnsi="Verdana" w:cs="Arial"/>
          <w:bCs/>
          <w:sz w:val="20"/>
          <w:szCs w:val="20"/>
          <w:lang w:val="es-ES_tradnl" w:eastAsia="es-ES_tradnl"/>
        </w:rPr>
      </w:pPr>
    </w:p>
    <w:p w14:paraId="16FC6EBA" w14:textId="77777777" w:rsidR="00D44930" w:rsidRPr="00BB3BE4" w:rsidRDefault="00D44930" w:rsidP="00D44930">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lang w:val="es-ES"/>
        </w:rPr>
        <w:t>E</w:t>
      </w:r>
      <w:r w:rsidRPr="007C66D4">
        <w:rPr>
          <w:rFonts w:ascii="Verdana" w:hAnsi="Verdana" w:cs="Arial"/>
          <w:color w:val="000000" w:themeColor="text1"/>
          <w:sz w:val="20"/>
          <w:szCs w:val="20"/>
          <w:lang w:val="es-ES"/>
        </w:rPr>
        <w:t xml:space="preserve">l </w:t>
      </w:r>
      <w:r w:rsidRPr="007C66D4">
        <w:rPr>
          <w:rFonts w:ascii="Verdana" w:hAnsi="Verdana" w:cs="Arial"/>
          <w:color w:val="000000" w:themeColor="text1"/>
          <w:sz w:val="20"/>
          <w:szCs w:val="20"/>
          <w:lang w:val="es-ES_tradnl"/>
        </w:rPr>
        <w:t xml:space="preserve">artículo 32 de la Ley 80 de 1993 define los contratos estatales como “[…] todos los actos jurídicos generadores de obligaciones […] derivados del ejercicio de la autonomía de la voluntad […]”, por lo que las partes están facultadas para suscribir </w:t>
      </w:r>
      <w:r w:rsidRPr="007C66D4">
        <w:rPr>
          <w:rFonts w:ascii="Verdana" w:hAnsi="Verdana" w:cs="Arial"/>
          <w:i/>
          <w:iCs/>
          <w:color w:val="000000" w:themeColor="text1"/>
          <w:sz w:val="20"/>
          <w:szCs w:val="20"/>
          <w:lang w:val="es-ES_tradnl"/>
        </w:rPr>
        <w:t>contratos mixtos</w:t>
      </w:r>
      <w:r w:rsidRPr="007C66D4">
        <w:rPr>
          <w:rFonts w:ascii="Verdana" w:hAnsi="Verdana" w:cs="Arial"/>
          <w:color w:val="000000" w:themeColor="text1"/>
          <w:sz w:val="20"/>
          <w:szCs w:val="20"/>
          <w:lang w:val="es-ES_tradnl"/>
        </w:rPr>
        <w:t>. Como una forma de contratación atípica, estos se caracterizan por acumular prestaciones de varios contratos nominados para satisfacer una necesidad común. Precisamente, los contratos de operación logística tienen esta naturaleza, porque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r w:rsidRPr="00BB3BE4">
        <w:rPr>
          <w:rFonts w:ascii="Verdana" w:hAnsi="Verdana" w:cs="Arial"/>
          <w:color w:val="000000" w:themeColor="text1"/>
          <w:sz w:val="20"/>
          <w:szCs w:val="20"/>
        </w:rPr>
        <w:t xml:space="preserve">.  </w:t>
      </w:r>
    </w:p>
    <w:p w14:paraId="6D3084C6" w14:textId="77777777" w:rsidR="00D44930" w:rsidRPr="00BB3BE4" w:rsidRDefault="00D44930" w:rsidP="00D44930">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79628A66" w14:textId="77777777" w:rsidR="00D44930" w:rsidRPr="00982B4A" w:rsidRDefault="00D44930" w:rsidP="00D44930">
      <w:pPr>
        <w:spacing w:after="0" w:line="240" w:lineRule="auto"/>
        <w:rPr>
          <w:rFonts w:ascii="Verdana" w:eastAsia="Geomanist Light" w:hAnsi="Verdana" w:cs="Arial"/>
          <w:color w:val="000000" w:themeColor="text1"/>
        </w:rPr>
      </w:pPr>
    </w:p>
    <w:p w14:paraId="54646F9A" w14:textId="77777777" w:rsidR="00D44930" w:rsidRDefault="00D44930" w:rsidP="00D44930">
      <w:pPr>
        <w:spacing w:after="0" w:line="240" w:lineRule="auto"/>
        <w:rPr>
          <w:rFonts w:ascii="Verdana" w:eastAsia="Geomanist Light" w:hAnsi="Verdana" w:cs="Arial"/>
          <w:color w:val="000000" w:themeColor="text1"/>
          <w:lang w:val="es-MX"/>
        </w:rPr>
      </w:pPr>
    </w:p>
    <w:p w14:paraId="30CE5E55" w14:textId="77777777" w:rsidR="007C6A95" w:rsidRDefault="007C6A95" w:rsidP="00D44930">
      <w:pPr>
        <w:spacing w:after="0" w:line="240" w:lineRule="auto"/>
        <w:rPr>
          <w:rFonts w:ascii="Verdana" w:eastAsia="Geomanist Light" w:hAnsi="Verdana" w:cs="Arial"/>
          <w:color w:val="000000" w:themeColor="text1"/>
          <w:lang w:val="es-MX"/>
        </w:rPr>
      </w:pPr>
    </w:p>
    <w:p w14:paraId="0F53AE73" w14:textId="77777777" w:rsidR="007C6A95" w:rsidRDefault="007C6A95" w:rsidP="00D44930">
      <w:pPr>
        <w:spacing w:after="0" w:line="240" w:lineRule="auto"/>
        <w:rPr>
          <w:rFonts w:ascii="Verdana" w:eastAsia="Geomanist Light" w:hAnsi="Verdana" w:cs="Arial"/>
          <w:color w:val="000000" w:themeColor="text1"/>
          <w:lang w:val="es-MX"/>
        </w:rPr>
      </w:pPr>
    </w:p>
    <w:p w14:paraId="0A2C6E2F" w14:textId="77777777" w:rsidR="007C6A95" w:rsidRDefault="007C6A95" w:rsidP="00D44930">
      <w:pPr>
        <w:spacing w:after="0" w:line="240" w:lineRule="auto"/>
        <w:rPr>
          <w:rFonts w:ascii="Verdana" w:eastAsia="Geomanist Light" w:hAnsi="Verdana" w:cs="Arial"/>
          <w:color w:val="000000" w:themeColor="text1"/>
          <w:lang w:val="es-MX"/>
        </w:rPr>
      </w:pPr>
    </w:p>
    <w:p w14:paraId="3B4F9A42" w14:textId="77777777" w:rsidR="007C6A95" w:rsidRDefault="007C6A95" w:rsidP="00D44930">
      <w:pPr>
        <w:spacing w:after="0" w:line="240" w:lineRule="auto"/>
        <w:rPr>
          <w:rFonts w:ascii="Verdana" w:eastAsia="Geomanist Light" w:hAnsi="Verdana" w:cs="Arial"/>
          <w:color w:val="000000" w:themeColor="text1"/>
          <w:lang w:val="es-MX"/>
        </w:rPr>
      </w:pPr>
    </w:p>
    <w:p w14:paraId="0D6CC516" w14:textId="77777777" w:rsidR="007C6A95" w:rsidRDefault="007C6A95" w:rsidP="00D44930">
      <w:pPr>
        <w:spacing w:after="0" w:line="240" w:lineRule="auto"/>
        <w:rPr>
          <w:rFonts w:ascii="Verdana" w:eastAsia="Geomanist Light" w:hAnsi="Verdana" w:cs="Arial"/>
          <w:color w:val="000000" w:themeColor="text1"/>
          <w:lang w:val="es-MX"/>
        </w:rPr>
      </w:pPr>
    </w:p>
    <w:p w14:paraId="22C29BB7" w14:textId="77777777" w:rsidR="007C6A95" w:rsidRDefault="007C6A95" w:rsidP="00D44930">
      <w:pPr>
        <w:spacing w:after="0" w:line="240" w:lineRule="auto"/>
        <w:rPr>
          <w:rFonts w:ascii="Verdana" w:eastAsia="Geomanist Light" w:hAnsi="Verdana" w:cs="Arial"/>
          <w:color w:val="000000" w:themeColor="text1"/>
          <w:lang w:val="es-MX"/>
        </w:rPr>
      </w:pPr>
    </w:p>
    <w:p w14:paraId="0D9E9061" w14:textId="77777777" w:rsidR="007C6A95" w:rsidRDefault="007C6A95" w:rsidP="00D44930">
      <w:pPr>
        <w:spacing w:after="0" w:line="240" w:lineRule="auto"/>
        <w:rPr>
          <w:rFonts w:ascii="Verdana" w:eastAsia="Geomanist Light" w:hAnsi="Verdana" w:cs="Arial"/>
          <w:color w:val="000000" w:themeColor="text1"/>
          <w:lang w:val="es-MX"/>
        </w:rPr>
      </w:pPr>
    </w:p>
    <w:p w14:paraId="33D1F6FA" w14:textId="77777777" w:rsidR="007C6A95" w:rsidRPr="00F145EE" w:rsidRDefault="007C6A95" w:rsidP="00D44930">
      <w:pPr>
        <w:spacing w:after="0" w:line="240" w:lineRule="auto"/>
        <w:rPr>
          <w:rFonts w:ascii="Verdana" w:eastAsia="Geomanist Light" w:hAnsi="Verdana" w:cs="Arial"/>
          <w:color w:val="000000" w:themeColor="text1"/>
          <w:lang w:val="es-MX"/>
        </w:rPr>
      </w:pPr>
    </w:p>
    <w:p w14:paraId="2C1A4D39"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08115B3A"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1CE5798B"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2A748930"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53BFB90C"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7D2AED8D"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72E84583" w14:textId="77777777" w:rsidR="00D44930" w:rsidRPr="00F145EE" w:rsidRDefault="00D44930" w:rsidP="00D44930">
      <w:pPr>
        <w:spacing w:after="0" w:line="240" w:lineRule="auto"/>
        <w:rPr>
          <w:rFonts w:ascii="Verdana" w:eastAsia="Geomanist Light" w:hAnsi="Verdana" w:cs="Arial"/>
          <w:color w:val="000000" w:themeColor="text1"/>
          <w:lang w:val="es-MX"/>
        </w:rPr>
      </w:pPr>
    </w:p>
    <w:p w14:paraId="2161573E" w14:textId="77777777" w:rsidR="00D44930" w:rsidRDefault="00D44930" w:rsidP="00C26E9D">
      <w:pPr>
        <w:spacing w:after="0" w:line="240" w:lineRule="auto"/>
        <w:rPr>
          <w:rFonts w:ascii="Verdana" w:hAnsi="Verdana"/>
        </w:rPr>
      </w:pPr>
    </w:p>
    <w:p w14:paraId="3579D7BA" w14:textId="77777777" w:rsidR="00D44930" w:rsidRDefault="00D44930" w:rsidP="00C26E9D">
      <w:pPr>
        <w:spacing w:after="0" w:line="240" w:lineRule="auto"/>
        <w:rPr>
          <w:rFonts w:ascii="Verdana" w:hAnsi="Verdana"/>
        </w:rPr>
      </w:pPr>
    </w:p>
    <w:p w14:paraId="5DB9F234" w14:textId="77777777" w:rsidR="00D44930" w:rsidRDefault="00D44930" w:rsidP="00C26E9D">
      <w:pPr>
        <w:spacing w:after="0" w:line="240" w:lineRule="auto"/>
        <w:rPr>
          <w:rFonts w:ascii="Verdana" w:hAnsi="Verdana"/>
        </w:rPr>
      </w:pPr>
    </w:p>
    <w:p w14:paraId="3FE2184B" w14:textId="1E55D430" w:rsidR="00E245AB" w:rsidRPr="0044528D" w:rsidRDefault="00E245AB" w:rsidP="00C26E9D">
      <w:pPr>
        <w:spacing w:after="0" w:line="240" w:lineRule="auto"/>
        <w:rPr>
          <w:rFonts w:ascii="Verdana" w:hAnsi="Verdana"/>
        </w:rPr>
      </w:pPr>
      <w:r w:rsidRPr="0044528D">
        <w:rPr>
          <w:rFonts w:ascii="Verdana" w:hAnsi="Verdana"/>
        </w:rPr>
        <w:t xml:space="preserve">Bogotá D.C., </w:t>
      </w:r>
      <w:r w:rsidR="00F217AD">
        <w:rPr>
          <w:rFonts w:ascii="Verdana" w:hAnsi="Verdana"/>
        </w:rPr>
        <w:t>14 julio 2025</w:t>
      </w:r>
      <w:r w:rsidR="00891928" w:rsidRPr="0044528D">
        <w:rPr>
          <w:rFonts w:ascii="Verdana" w:hAnsi="Verdana"/>
        </w:rPr>
        <w:tab/>
      </w:r>
    </w:p>
    <w:p w14:paraId="5FCADBF9" w14:textId="70CD1AF1" w:rsidR="00E245AB" w:rsidRDefault="003F1134" w:rsidP="00C26E9D">
      <w:pPr>
        <w:spacing w:after="0" w:line="240" w:lineRule="auto"/>
        <w:rPr>
          <w:rFonts w:ascii="Verdana" w:hAnsi="Verdana"/>
        </w:rPr>
      </w:pPr>
      <w:r w:rsidRPr="00F217AD">
        <w:rPr>
          <w:rFonts w:ascii="Verdana" w:eastAsia="Times New Roman" w:hAnsi="Verdana" w:cs="Calibri"/>
          <w:noProof/>
          <w:color w:val="0563C1"/>
          <w:u w:val="single"/>
          <w:lang w:eastAsia="es-CO"/>
        </w:rPr>
        <w:lastRenderedPageBreak/>
        <w:drawing>
          <wp:anchor distT="0" distB="0" distL="114300" distR="114300" simplePos="0" relativeHeight="251658240" behindDoc="0" locked="0" layoutInCell="1" allowOverlap="1" wp14:anchorId="1F4FA4D5" wp14:editId="106523EC">
            <wp:simplePos x="0" y="0"/>
            <wp:positionH relativeFrom="column">
              <wp:posOffset>2478405</wp:posOffset>
            </wp:positionH>
            <wp:positionV relativeFrom="paragraph">
              <wp:posOffset>5080</wp:posOffset>
            </wp:positionV>
            <wp:extent cx="2982595" cy="962660"/>
            <wp:effectExtent l="0" t="0" r="8255" b="8890"/>
            <wp:wrapSquare wrapText="bothSides"/>
            <wp:docPr id="189472388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2388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982595" cy="962660"/>
                    </a:xfrm>
                    <a:prstGeom prst="rect">
                      <a:avLst/>
                    </a:prstGeom>
                  </pic:spPr>
                </pic:pic>
              </a:graphicData>
            </a:graphic>
            <wp14:sizeRelH relativeFrom="margin">
              <wp14:pctWidth>0</wp14:pctWidth>
            </wp14:sizeRelH>
            <wp14:sizeRelV relativeFrom="margin">
              <wp14:pctHeight>0</wp14:pctHeight>
            </wp14:sizeRelV>
          </wp:anchor>
        </w:drawing>
      </w:r>
    </w:p>
    <w:p w14:paraId="25A8CE88" w14:textId="50D3633A" w:rsidR="006703DA" w:rsidRDefault="006703DA" w:rsidP="006703DA">
      <w:pPr>
        <w:spacing w:after="0" w:line="240" w:lineRule="auto"/>
        <w:jc w:val="both"/>
        <w:rPr>
          <w:rFonts w:ascii="Verdana" w:eastAsia="Calibri" w:hAnsi="Verdana" w:cs="Arial"/>
          <w:lang w:val="es-ES" w:eastAsia="es-ES"/>
        </w:rPr>
      </w:pPr>
    </w:p>
    <w:p w14:paraId="580804E2" w14:textId="1DDE3612" w:rsidR="006703DA" w:rsidRPr="009B375C" w:rsidRDefault="006703DA" w:rsidP="006703DA">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6B024E6" w14:textId="7BCD37F0" w:rsidR="006703DA" w:rsidRPr="00AF5543" w:rsidRDefault="006703DA" w:rsidP="006703DA">
      <w:pPr>
        <w:spacing w:after="0" w:line="240" w:lineRule="auto"/>
        <w:jc w:val="both"/>
        <w:rPr>
          <w:rFonts w:ascii="Verdana" w:eastAsia="Calibri" w:hAnsi="Verdana" w:cs="Arial"/>
          <w:b/>
          <w:bCs/>
          <w:lang w:val="es-ES" w:eastAsia="es-ES"/>
        </w:rPr>
      </w:pPr>
      <w:r w:rsidRPr="00AF5543">
        <w:rPr>
          <w:rFonts w:ascii="Verdana" w:eastAsia="Calibri" w:hAnsi="Verdana" w:cs="Arial"/>
          <w:b/>
          <w:bCs/>
          <w:lang w:val="es-ES" w:eastAsia="es-ES"/>
        </w:rPr>
        <w:t xml:space="preserve">Ronaldo </w:t>
      </w:r>
      <w:r w:rsidR="003F1134">
        <w:rPr>
          <w:rFonts w:ascii="Verdana" w:eastAsia="Calibri" w:hAnsi="Verdana" w:cs="Arial"/>
          <w:b/>
          <w:bCs/>
          <w:lang w:val="es-ES" w:eastAsia="es-ES"/>
        </w:rPr>
        <w:t>José</w:t>
      </w:r>
      <w:r w:rsidR="00316DF6">
        <w:rPr>
          <w:rFonts w:ascii="Verdana" w:eastAsia="Calibri" w:hAnsi="Verdana" w:cs="Arial"/>
          <w:b/>
          <w:bCs/>
          <w:lang w:val="es-ES" w:eastAsia="es-ES"/>
        </w:rPr>
        <w:t xml:space="preserve"> </w:t>
      </w:r>
      <w:r w:rsidRPr="00AF5543">
        <w:rPr>
          <w:rFonts w:ascii="Verdana" w:eastAsia="Calibri" w:hAnsi="Verdana" w:cs="Arial"/>
          <w:b/>
          <w:bCs/>
          <w:lang w:val="es-ES" w:eastAsia="es-ES"/>
        </w:rPr>
        <w:t xml:space="preserve">Doria </w:t>
      </w:r>
      <w:r w:rsidR="00316DF6">
        <w:rPr>
          <w:rFonts w:ascii="Verdana" w:eastAsia="Calibri" w:hAnsi="Verdana" w:cs="Arial"/>
          <w:b/>
          <w:bCs/>
          <w:lang w:val="es-ES" w:eastAsia="es-ES"/>
        </w:rPr>
        <w:t>Vergara</w:t>
      </w:r>
      <w:r w:rsidRPr="00C26E9D">
        <w:rPr>
          <w:rFonts w:ascii="Verdana" w:eastAsia="Calibri" w:hAnsi="Verdana" w:cs="Arial"/>
          <w:b/>
          <w:bCs/>
          <w:lang w:val="es-ES" w:eastAsia="es-ES"/>
        </w:rPr>
        <w:t xml:space="preserve"> </w:t>
      </w:r>
    </w:p>
    <w:p w14:paraId="6E845A60" w14:textId="46B7A097" w:rsidR="006703DA" w:rsidRPr="00AF5543" w:rsidRDefault="006703DA" w:rsidP="006703DA">
      <w:pPr>
        <w:spacing w:after="0" w:line="240" w:lineRule="auto"/>
        <w:jc w:val="both"/>
        <w:rPr>
          <w:rFonts w:ascii="Verdana" w:eastAsia="Times New Roman" w:hAnsi="Verdana" w:cs="Calibri"/>
          <w:color w:val="0563C1"/>
          <w:u w:val="single"/>
          <w:lang w:eastAsia="es-CO"/>
        </w:rPr>
      </w:pPr>
      <w:r w:rsidRPr="00AF5543">
        <w:rPr>
          <w:rFonts w:ascii="Verdana" w:hAnsi="Verdana"/>
        </w:rPr>
        <w:t>doriaronaldo@hotmail.com</w:t>
      </w:r>
      <w:r w:rsidRPr="00AF5543">
        <w:rPr>
          <w:rFonts w:ascii="Verdana" w:eastAsia="Times New Roman" w:hAnsi="Verdana" w:cs="Calibri"/>
          <w:color w:val="0563C1"/>
          <w:u w:val="single"/>
          <w:lang w:eastAsia="es-CO"/>
        </w:rPr>
        <w:t xml:space="preserve"> </w:t>
      </w:r>
    </w:p>
    <w:p w14:paraId="668C185F" w14:textId="77777777" w:rsidR="006703DA" w:rsidRPr="00AF5543" w:rsidRDefault="006703DA" w:rsidP="006703DA">
      <w:pPr>
        <w:spacing w:after="0" w:line="240" w:lineRule="auto"/>
        <w:jc w:val="both"/>
        <w:rPr>
          <w:rFonts w:ascii="Verdana" w:eastAsia="Calibri" w:hAnsi="Verdana" w:cs="Arial"/>
          <w:lang w:val="es-ES" w:eastAsia="es-ES"/>
        </w:rPr>
      </w:pPr>
      <w:r w:rsidRPr="00AF5543">
        <w:rPr>
          <w:rFonts w:ascii="Verdana" w:eastAsia="Calibri" w:hAnsi="Verdana" w:cs="Arial"/>
          <w:lang w:val="es-ES" w:eastAsia="es-ES"/>
        </w:rPr>
        <w:t xml:space="preserve">Bogotá, D.C. </w:t>
      </w:r>
    </w:p>
    <w:p w14:paraId="278FEC53" w14:textId="77777777" w:rsidR="006703DA" w:rsidRPr="00AF5543" w:rsidRDefault="006703DA" w:rsidP="006703DA">
      <w:pPr>
        <w:spacing w:after="0" w:line="240" w:lineRule="auto"/>
        <w:rPr>
          <w:rFonts w:ascii="Verdana" w:eastAsia="Calibri" w:hAnsi="Verdana" w:cs="Arial"/>
          <w:b/>
          <w:bCs/>
          <w:color w:val="000000"/>
          <w:lang w:val="es-ES_tradnl" w:eastAsia="es-ES_tradnl"/>
        </w:rPr>
      </w:pPr>
    </w:p>
    <w:p w14:paraId="5769F0A3" w14:textId="77777777" w:rsidR="006703DA" w:rsidRPr="00593A5F" w:rsidRDefault="006703DA" w:rsidP="006703DA">
      <w:pPr>
        <w:spacing w:after="0" w:line="240" w:lineRule="auto"/>
        <w:jc w:val="right"/>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703DA" w:rsidRPr="00593A5F" w14:paraId="0C527FC7" w14:textId="77777777" w:rsidTr="00316DF6">
        <w:trPr>
          <w:trHeight w:val="208"/>
        </w:trPr>
        <w:tc>
          <w:tcPr>
            <w:tcW w:w="2689" w:type="dxa"/>
          </w:tcPr>
          <w:p w14:paraId="164177CE" w14:textId="77777777" w:rsidR="006703DA" w:rsidRPr="00C00976" w:rsidRDefault="006703DA" w:rsidP="00E41262">
            <w:pPr>
              <w:jc w:val="both"/>
              <w:rPr>
                <w:rFonts w:ascii="Verdana" w:eastAsia="Calibri" w:hAnsi="Verdana" w:cs="Arial"/>
                <w:b/>
                <w:bCs/>
                <w:color w:val="7030A0"/>
                <w:lang w:val="es-ES_tradnl" w:eastAsia="es-ES_tradnl"/>
              </w:rPr>
            </w:pPr>
          </w:p>
        </w:tc>
        <w:tc>
          <w:tcPr>
            <w:tcW w:w="6100" w:type="dxa"/>
          </w:tcPr>
          <w:p w14:paraId="5AF63B7C" w14:textId="77777777" w:rsidR="006703DA" w:rsidRDefault="006703DA" w:rsidP="00C26E9D">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738</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p w14:paraId="689DE476" w14:textId="77777777" w:rsidR="006703DA" w:rsidRPr="00C00976" w:rsidRDefault="006703DA" w:rsidP="00E41262">
            <w:pPr>
              <w:jc w:val="both"/>
              <w:rPr>
                <w:rFonts w:ascii="Verdana" w:eastAsia="Calibri" w:hAnsi="Verdana" w:cs="Arial"/>
                <w:b/>
                <w:bCs/>
                <w:color w:val="7030A0"/>
                <w:lang w:val="es-ES" w:eastAsia="es-ES"/>
              </w:rPr>
            </w:pPr>
          </w:p>
        </w:tc>
      </w:tr>
      <w:tr w:rsidR="006703DA" w:rsidRPr="00593A5F" w14:paraId="5A088A28" w14:textId="77777777" w:rsidTr="00E41262">
        <w:trPr>
          <w:trHeight w:val="884"/>
        </w:trPr>
        <w:tc>
          <w:tcPr>
            <w:tcW w:w="2689" w:type="dxa"/>
          </w:tcPr>
          <w:p w14:paraId="53FCA0E6" w14:textId="77777777" w:rsidR="006703DA" w:rsidRPr="00593A5F" w:rsidRDefault="006703DA" w:rsidP="00E4126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DB58CD2" w14:textId="58FC68B5" w:rsidR="006703DA" w:rsidRPr="00FD3041" w:rsidRDefault="006703DA" w:rsidP="00C26E9D">
            <w:pPr>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SELECCIÓN ABREVIADA – Marco normativo / BIENES Y SERVICIOS DE CARACTERÍSTICAS TÉCNICAS UNIFORMES – Definición / COMÚN UTILIZACIÓN Y HOMOGENEIDAD ‒ Bienes y servicios ‒Características – Formas de adquisición ‒ Características – Formas de adquisición /</w:t>
            </w:r>
            <w:r w:rsidRPr="00E27FE1">
              <w:rPr>
                <w:rFonts w:ascii="Verdana" w:eastAsia="Calibri" w:hAnsi="Verdana" w:cs="Arial"/>
                <w:lang w:val="es-ES" w:eastAsia="es-ES"/>
              </w:rPr>
              <w:t>OPERACIÓN LOGÍSTICA ‒ Contrato atípico mixto ‒ Actividades</w:t>
            </w:r>
          </w:p>
          <w:p w14:paraId="58E81207" w14:textId="77777777" w:rsidR="006703DA" w:rsidRPr="00593A5F" w:rsidRDefault="006703DA" w:rsidP="00C26E9D">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703DA" w:rsidRPr="008E6AD9" w14:paraId="5775C344" w14:textId="77777777" w:rsidTr="00E41262">
        <w:tc>
          <w:tcPr>
            <w:tcW w:w="2689" w:type="dxa"/>
          </w:tcPr>
          <w:p w14:paraId="14A904CA" w14:textId="77777777" w:rsidR="006703DA" w:rsidRPr="008E6AD9" w:rsidRDefault="006703DA" w:rsidP="00E4126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3296E35" w14:textId="77777777" w:rsidR="006703DA" w:rsidRPr="001F2050" w:rsidRDefault="006703DA" w:rsidP="00C26E9D">
            <w:pPr>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FB0435">
              <w:rPr>
                <w:rFonts w:ascii="Verdana" w:hAnsi="Verdana"/>
                <w:color w:val="000000"/>
              </w:rPr>
              <w:t>1-2025-06-09-005642</w:t>
            </w:r>
          </w:p>
        </w:tc>
      </w:tr>
    </w:tbl>
    <w:p w14:paraId="5BD0E3A4" w14:textId="77777777" w:rsidR="006703DA" w:rsidRPr="00593A5F" w:rsidRDefault="006703DA" w:rsidP="006703DA">
      <w:pPr>
        <w:spacing w:after="0" w:line="240" w:lineRule="auto"/>
        <w:jc w:val="both"/>
        <w:rPr>
          <w:rFonts w:ascii="Verdana" w:eastAsia="Calibri" w:hAnsi="Verdana" w:cs="Arial"/>
          <w:color w:val="000000"/>
          <w:lang w:val="es-ES_tradnl" w:eastAsia="es-ES_tradnl"/>
        </w:rPr>
      </w:pPr>
    </w:p>
    <w:p w14:paraId="3638BA08" w14:textId="77777777" w:rsidR="00316DF6" w:rsidRPr="00593A5F" w:rsidRDefault="00316DF6" w:rsidP="006703DA">
      <w:pPr>
        <w:spacing w:after="0" w:line="240" w:lineRule="auto"/>
        <w:jc w:val="both"/>
        <w:rPr>
          <w:rFonts w:ascii="Verdana" w:eastAsia="Calibri" w:hAnsi="Verdana" w:cs="Arial"/>
          <w:color w:val="000000"/>
          <w:lang w:val="es-ES_tradnl" w:eastAsia="es-ES_tradnl"/>
        </w:rPr>
      </w:pPr>
    </w:p>
    <w:p w14:paraId="77B9DF8B" w14:textId="77777777" w:rsidR="006703DA" w:rsidRPr="008E6AD9" w:rsidRDefault="006703DA" w:rsidP="006703D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Doria</w:t>
      </w:r>
      <w:r w:rsidRPr="008E6AD9">
        <w:rPr>
          <w:rFonts w:ascii="Verdana" w:eastAsia="Calibri" w:hAnsi="Verdana" w:cs="Arial"/>
          <w:lang w:val="es-ES" w:eastAsia="es-ES"/>
        </w:rPr>
        <w:t xml:space="preserve">: </w:t>
      </w:r>
    </w:p>
    <w:p w14:paraId="30C1D6F3" w14:textId="77777777" w:rsidR="006703DA" w:rsidRDefault="006703DA" w:rsidP="006703DA">
      <w:pPr>
        <w:tabs>
          <w:tab w:val="left" w:pos="3768"/>
        </w:tabs>
        <w:spacing w:after="0" w:line="276" w:lineRule="auto"/>
        <w:jc w:val="both"/>
        <w:rPr>
          <w:rFonts w:ascii="Verdana" w:eastAsia="Calibri" w:hAnsi="Verdana" w:cs="Arial"/>
          <w:color w:val="000000" w:themeColor="text1"/>
          <w:lang w:val="es-ES" w:eastAsia="es-ES"/>
        </w:rPr>
      </w:pPr>
    </w:p>
    <w:p w14:paraId="17600112" w14:textId="77777777" w:rsidR="006703DA" w:rsidRDefault="006703DA" w:rsidP="006703D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w:t>
      </w:r>
      <w:r w:rsidRPr="00593A5F">
        <w:rPr>
          <w:rFonts w:ascii="Verdana" w:eastAsia="Calibri" w:hAnsi="Verdana" w:cs="Arial"/>
          <w:color w:val="000000" w:themeColor="text1"/>
          <w:lang w:val="es-ES" w:eastAsia="es-ES"/>
        </w:rPr>
        <w:t xml:space="preserve"> responde</w:t>
      </w:r>
      <w:r>
        <w:rPr>
          <w:rFonts w:ascii="Verdana" w:eastAsia="Calibri" w:hAnsi="Verdana" w:cs="Arial"/>
          <w:color w:val="000000" w:themeColor="text1"/>
          <w:lang w:val="es-ES" w:eastAsia="es-ES"/>
        </w:rPr>
        <w:t xml:space="preserve"> su solicitud de consulta, remitida el día 09 de junio de 2025, en la cual manifiesta lo siguiente:</w:t>
      </w:r>
    </w:p>
    <w:p w14:paraId="5915CC61" w14:textId="77777777" w:rsidR="006703DA" w:rsidRPr="00272A7B" w:rsidRDefault="006703DA" w:rsidP="006703DA">
      <w:pPr>
        <w:pStyle w:val="Prrafodelista"/>
        <w:tabs>
          <w:tab w:val="left" w:pos="142"/>
          <w:tab w:val="left" w:pos="284"/>
        </w:tabs>
        <w:spacing w:after="0" w:line="276" w:lineRule="auto"/>
        <w:ind w:left="0"/>
        <w:jc w:val="both"/>
        <w:rPr>
          <w:rFonts w:ascii="Verdana" w:eastAsia="Century Gothic" w:hAnsi="Verdana" w:cs="Century Gothic"/>
          <w:b/>
          <w:bCs/>
        </w:rPr>
      </w:pPr>
    </w:p>
    <w:p w14:paraId="344E91F6" w14:textId="77777777" w:rsidR="006703DA" w:rsidRDefault="006703DA" w:rsidP="00C26E9D">
      <w:pPr>
        <w:spacing w:after="0" w:line="240" w:lineRule="auto"/>
        <w:ind w:left="709" w:right="709"/>
        <w:jc w:val="both"/>
        <w:rPr>
          <w:rFonts w:ascii="Verdana" w:eastAsia="Century Gothic" w:hAnsi="Verdana" w:cs="Century Gothic"/>
          <w:sz w:val="20"/>
          <w:szCs w:val="20"/>
          <w:lang w:val="es-ES"/>
        </w:rPr>
      </w:pPr>
      <w:r w:rsidRPr="00C26E9D">
        <w:rPr>
          <w:rFonts w:ascii="Verdana" w:eastAsia="Century Gothic" w:hAnsi="Verdana" w:cs="Century Gothic"/>
          <w:sz w:val="20"/>
          <w:szCs w:val="20"/>
          <w:lang w:val="es-ES"/>
        </w:rPr>
        <w:t>“Colombia compra eficiente tiene dentro de su relatoría el concepto Documento: C282 de 2025 que dentro de todo menciona:</w:t>
      </w:r>
    </w:p>
    <w:p w14:paraId="03C6FAA1" w14:textId="77777777" w:rsidR="007400DF" w:rsidRPr="00C26E9D" w:rsidRDefault="007400DF" w:rsidP="00C26E9D">
      <w:pPr>
        <w:spacing w:after="0" w:line="240" w:lineRule="auto"/>
        <w:ind w:left="709" w:right="709"/>
        <w:jc w:val="both"/>
        <w:rPr>
          <w:rFonts w:ascii="Verdana" w:eastAsia="Century Gothic" w:hAnsi="Verdana" w:cs="Century Gothic"/>
          <w:sz w:val="20"/>
          <w:szCs w:val="20"/>
          <w:lang w:val="es-ES"/>
        </w:rPr>
      </w:pPr>
    </w:p>
    <w:p w14:paraId="45425359" w14:textId="77777777" w:rsidR="006703DA" w:rsidRDefault="006703DA" w:rsidP="00C26E9D">
      <w:pPr>
        <w:spacing w:after="0" w:line="240" w:lineRule="auto"/>
        <w:ind w:left="709" w:right="709"/>
        <w:jc w:val="both"/>
        <w:rPr>
          <w:rFonts w:ascii="Verdana" w:eastAsia="Century Gothic" w:hAnsi="Verdana" w:cs="Century Gothic"/>
          <w:sz w:val="20"/>
          <w:szCs w:val="20"/>
          <w:lang w:val="es-ES"/>
        </w:rPr>
      </w:pPr>
      <w:r w:rsidRPr="00C26E9D">
        <w:rPr>
          <w:rFonts w:ascii="Verdana" w:eastAsia="Century Gothic" w:hAnsi="Verdana" w:cs="Century Gothic"/>
          <w:sz w:val="20"/>
          <w:szCs w:val="20"/>
          <w:lang w:val="es-ES"/>
        </w:rPr>
        <w:t xml:space="preserve">BIENES Y SERVICIOS DE CARACTERÍSTICAS TÉCNICAS UNIFORMES ― Definición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w:t>
      </w:r>
    </w:p>
    <w:p w14:paraId="513F6705" w14:textId="77777777" w:rsidR="007400DF" w:rsidRPr="00C26E9D" w:rsidRDefault="007400DF" w:rsidP="00C26E9D">
      <w:pPr>
        <w:spacing w:after="0" w:line="240" w:lineRule="auto"/>
        <w:ind w:left="709" w:right="709"/>
        <w:jc w:val="both"/>
        <w:rPr>
          <w:rFonts w:ascii="Verdana" w:eastAsia="Century Gothic" w:hAnsi="Verdana" w:cs="Century Gothic"/>
          <w:sz w:val="20"/>
          <w:szCs w:val="20"/>
          <w:lang w:val="es-ES"/>
        </w:rPr>
      </w:pPr>
    </w:p>
    <w:p w14:paraId="1C845407" w14:textId="77777777" w:rsidR="006703DA" w:rsidRPr="00C26E9D" w:rsidRDefault="006703DA" w:rsidP="00C26E9D">
      <w:pPr>
        <w:spacing w:after="0" w:line="240" w:lineRule="auto"/>
        <w:ind w:left="709" w:right="709"/>
        <w:jc w:val="both"/>
        <w:rPr>
          <w:rFonts w:ascii="Verdana" w:eastAsia="Century Gothic" w:hAnsi="Verdana" w:cs="Century Gothic"/>
          <w:sz w:val="20"/>
          <w:szCs w:val="20"/>
          <w:lang w:val="es-ES"/>
        </w:rPr>
      </w:pPr>
      <w:r w:rsidRPr="00C26E9D">
        <w:rPr>
          <w:rFonts w:ascii="Verdana" w:eastAsia="Century Gothic" w:hAnsi="Verdana" w:cs="Century Gothic"/>
          <w:sz w:val="20"/>
          <w:szCs w:val="20"/>
          <w:lang w:val="es-ES"/>
        </w:rPr>
        <w:t xml:space="preserve">Asimismo, el artículo 2.2.1.1.1.3.1 del Decreto 1082 </w:t>
      </w:r>
      <w:proofErr w:type="gramStart"/>
      <w:r w:rsidRPr="00C26E9D">
        <w:rPr>
          <w:rFonts w:ascii="Verdana" w:eastAsia="Century Gothic" w:hAnsi="Verdana" w:cs="Century Gothic"/>
          <w:sz w:val="20"/>
          <w:szCs w:val="20"/>
          <w:lang w:val="es-ES"/>
        </w:rPr>
        <w:t>de  2015</w:t>
      </w:r>
      <w:proofErr w:type="gramEnd"/>
      <w:r w:rsidRPr="00C26E9D">
        <w:rPr>
          <w:rFonts w:ascii="Verdana" w:eastAsia="Century Gothic" w:hAnsi="Verdana" w:cs="Century Gothic"/>
          <w:sz w:val="20"/>
          <w:szCs w:val="20"/>
          <w:lang w:val="es-ES"/>
        </w:rPr>
        <w:t xml:space="preserve"> los define como aquellos “Bienes y servicios de común utilización con especificaciones técnicas y patrones de desempeño y calidad iguales o </w:t>
      </w:r>
      <w:r w:rsidRPr="00C26E9D">
        <w:rPr>
          <w:rFonts w:ascii="Verdana" w:eastAsia="Century Gothic" w:hAnsi="Verdana" w:cs="Century Gothic"/>
          <w:sz w:val="20"/>
          <w:szCs w:val="20"/>
          <w:lang w:val="es-ES"/>
        </w:rPr>
        <w:lastRenderedPageBreak/>
        <w:t>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w:t>
      </w:r>
      <w:r w:rsidRPr="00C26E9D">
        <w:rPr>
          <w:rFonts w:ascii="Verdana" w:eastAsia="Century Gothic" w:hAnsi="Verdana" w:cs="Century Gothic"/>
          <w:sz w:val="20"/>
          <w:szCs w:val="20"/>
          <w:lang w:val="es-ES"/>
        </w:rPr>
        <w:cr/>
      </w:r>
    </w:p>
    <w:p w14:paraId="1B984A17" w14:textId="77777777" w:rsidR="006703DA" w:rsidRPr="00C26E9D" w:rsidRDefault="006703DA" w:rsidP="00C26E9D">
      <w:pPr>
        <w:spacing w:after="0" w:line="240" w:lineRule="auto"/>
        <w:ind w:left="709" w:right="709"/>
        <w:jc w:val="both"/>
        <w:rPr>
          <w:rFonts w:ascii="Verdana" w:eastAsia="Century Gothic" w:hAnsi="Verdana" w:cs="Century Gothic"/>
          <w:sz w:val="20"/>
          <w:szCs w:val="20"/>
          <w:lang w:val="es-ES"/>
        </w:rPr>
      </w:pPr>
      <w:r w:rsidRPr="00C26E9D">
        <w:rPr>
          <w:rFonts w:ascii="Verdana" w:eastAsia="Century Gothic" w:hAnsi="Verdana" w:cs="Century Gothic"/>
          <w:sz w:val="20"/>
          <w:szCs w:val="20"/>
          <w:lang w:val="es-ES"/>
        </w:rPr>
        <w:t>(…)</w:t>
      </w:r>
    </w:p>
    <w:p w14:paraId="3C5F1B03" w14:textId="77777777" w:rsidR="006703DA" w:rsidRPr="00C26E9D" w:rsidRDefault="006703DA" w:rsidP="00C26E9D">
      <w:pPr>
        <w:spacing w:after="0" w:line="240" w:lineRule="auto"/>
        <w:ind w:left="709" w:right="709"/>
        <w:jc w:val="both"/>
        <w:rPr>
          <w:rFonts w:ascii="Verdana" w:eastAsia="Century Gothic" w:hAnsi="Verdana" w:cs="Century Gothic"/>
          <w:sz w:val="20"/>
          <w:szCs w:val="20"/>
        </w:rPr>
      </w:pPr>
      <w:r w:rsidRPr="00C26E9D">
        <w:rPr>
          <w:rFonts w:ascii="Verdana" w:eastAsia="Century Gothic" w:hAnsi="Verdana" w:cs="Century Gothic"/>
          <w:sz w:val="20"/>
          <w:szCs w:val="20"/>
        </w:rPr>
        <w:t xml:space="preserve">No obstante, he observado que algunas entidades, en el marco de sus actividades contractuales, han venido adelantando procesos de selección cuyo objeto es la prestación de servicios de apoyo logístico, utilizando para ello la modalidad de selección abreviada mediante subasta inversa. Para sustentar esta modalidad, dichas entidades elaboran una ficha técnica del servicio, bajo el argumento de que este cumple con las mismas especificaciones técnicas y comparte patrones de desempeño y calidad objetivamente definidos. </w:t>
      </w:r>
    </w:p>
    <w:p w14:paraId="3E8264C9" w14:textId="77777777" w:rsidR="00C26E9D" w:rsidRDefault="00C26E9D" w:rsidP="00C26E9D">
      <w:pPr>
        <w:spacing w:after="0" w:line="240" w:lineRule="auto"/>
        <w:ind w:left="709" w:right="709"/>
        <w:jc w:val="both"/>
        <w:rPr>
          <w:rFonts w:ascii="Verdana" w:eastAsia="Century Gothic" w:hAnsi="Verdana" w:cs="Century Gothic"/>
          <w:sz w:val="20"/>
          <w:szCs w:val="20"/>
        </w:rPr>
      </w:pPr>
    </w:p>
    <w:p w14:paraId="279C26F2" w14:textId="2B61418C" w:rsidR="006703DA" w:rsidRDefault="006703DA" w:rsidP="00C26E9D">
      <w:pPr>
        <w:spacing w:after="0" w:line="240" w:lineRule="auto"/>
        <w:ind w:left="709" w:right="709"/>
        <w:jc w:val="both"/>
        <w:rPr>
          <w:rFonts w:ascii="Verdana" w:eastAsia="Century Gothic" w:hAnsi="Verdana" w:cs="Century Gothic"/>
          <w:sz w:val="20"/>
          <w:szCs w:val="20"/>
          <w:lang w:val="es-ES"/>
        </w:rPr>
      </w:pPr>
      <w:proofErr w:type="gramStart"/>
      <w:r w:rsidRPr="00C26E9D">
        <w:rPr>
          <w:rFonts w:ascii="Verdana" w:eastAsia="Century Gothic" w:hAnsi="Verdana" w:cs="Century Gothic"/>
          <w:sz w:val="20"/>
          <w:szCs w:val="20"/>
        </w:rPr>
        <w:t>En razón de</w:t>
      </w:r>
      <w:proofErr w:type="gramEnd"/>
      <w:r w:rsidRPr="00C26E9D">
        <w:rPr>
          <w:rFonts w:ascii="Verdana" w:eastAsia="Century Gothic" w:hAnsi="Verdana" w:cs="Century Gothic"/>
          <w:sz w:val="20"/>
          <w:szCs w:val="20"/>
        </w:rPr>
        <w:t xml:space="preserve"> lo anterior, solicito respetuosamente a Colombia Compra Eficiente emitir un concepto más claro que oriente a las entidades sobre cuáles bienes y servicios pueden ser contratados a través de subasta inversa, con especial énfasis en el análisis del servicio de apoyo logístico</w:t>
      </w:r>
      <w:r w:rsidRPr="00C26E9D">
        <w:rPr>
          <w:rFonts w:ascii="Verdana" w:eastAsia="Century Gothic" w:hAnsi="Verdana" w:cs="Century Gothic"/>
          <w:sz w:val="20"/>
          <w:szCs w:val="20"/>
          <w:lang w:val="es-ES"/>
        </w:rPr>
        <w:t xml:space="preserve">”. </w:t>
      </w:r>
    </w:p>
    <w:p w14:paraId="2C8ED820" w14:textId="77777777" w:rsidR="006703DA" w:rsidRPr="005B12E4" w:rsidRDefault="006703DA" w:rsidP="006703DA">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7F05FEAA" w14:textId="77777777" w:rsidR="006703DA" w:rsidRPr="00F145EE" w:rsidRDefault="006703DA" w:rsidP="006703DA">
      <w:pPr>
        <w:spacing w:after="120" w:line="276" w:lineRule="auto"/>
        <w:ind w:firstLine="709"/>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145EE">
        <w:rPr>
          <w:rFonts w:ascii="Verdana" w:eastAsia="Calibri" w:hAnsi="Verdana" w:cs="Arial"/>
          <w:color w:val="000000" w:themeColor="text1"/>
          <w:szCs w:val="24"/>
          <w:lang w:val="es-ES_tradnl" w:eastAsia="es-ES_tradnl"/>
        </w:rPr>
        <w:tab/>
      </w:r>
    </w:p>
    <w:p w14:paraId="2407C50F" w14:textId="0DABCB99" w:rsidR="006703DA" w:rsidRPr="00F145EE" w:rsidRDefault="006703DA" w:rsidP="006703DA">
      <w:pPr>
        <w:spacing w:after="0" w:line="276" w:lineRule="auto"/>
        <w:ind w:firstLine="709"/>
        <w:jc w:val="both"/>
        <w:rPr>
          <w:rFonts w:ascii="Verdana" w:eastAsia="Calibri" w:hAnsi="Verdana" w:cs="Arial"/>
          <w:color w:val="000000" w:themeColor="text1"/>
          <w:lang w:val="es-ES" w:eastAsia="es-ES"/>
        </w:rPr>
      </w:pPr>
      <w:r w:rsidRPr="00F145E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w:t>
      </w:r>
      <w:r w:rsidR="00663B0C">
        <w:rPr>
          <w:rFonts w:ascii="Verdana" w:eastAsia="Calibri" w:hAnsi="Verdana" w:cs="Arial"/>
          <w:color w:val="000000" w:themeColor="text1"/>
          <w:lang w:val="es-ES" w:eastAsia="es-ES"/>
        </w:rPr>
        <w:t>señalando alg</w:t>
      </w:r>
      <w:r w:rsidRPr="00F145EE">
        <w:rPr>
          <w:rFonts w:ascii="Verdana" w:eastAsia="Calibri" w:hAnsi="Verdana" w:cs="Arial"/>
          <w:color w:val="000000" w:themeColor="text1"/>
          <w:lang w:val="es-ES" w:eastAsia="es-ES"/>
        </w:rPr>
        <w:t xml:space="preserve">unas consideraciones sobre las normas generales relacionadas con el problema jurídico de su consulta.  </w:t>
      </w:r>
    </w:p>
    <w:p w14:paraId="591F8952" w14:textId="77777777" w:rsidR="006703DA" w:rsidRPr="00F145EE" w:rsidRDefault="006703DA" w:rsidP="006703DA">
      <w:pPr>
        <w:spacing w:after="0" w:line="276" w:lineRule="auto"/>
        <w:ind w:firstLine="709"/>
        <w:jc w:val="both"/>
        <w:rPr>
          <w:rFonts w:ascii="Verdana" w:eastAsia="Calibri" w:hAnsi="Verdana" w:cs="Arial"/>
          <w:color w:val="000000" w:themeColor="text1"/>
          <w:lang w:val="es-ES" w:eastAsia="es-ES"/>
        </w:rPr>
      </w:pPr>
    </w:p>
    <w:p w14:paraId="29E3E376" w14:textId="77777777" w:rsidR="006703DA" w:rsidRPr="00F145EE" w:rsidRDefault="006703DA" w:rsidP="006703DA">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 </w:t>
      </w:r>
      <w:r w:rsidRPr="00F145EE">
        <w:rPr>
          <w:rFonts w:ascii="Verdana" w:eastAsia="Century Gothic" w:hAnsi="Verdana" w:cs="Century Gothic"/>
          <w:b/>
          <w:bCs/>
          <w:color w:val="000000" w:themeColor="text1"/>
        </w:rPr>
        <w:t>Problema planteado:</w:t>
      </w:r>
    </w:p>
    <w:p w14:paraId="2699E316" w14:textId="77777777" w:rsidR="006703DA" w:rsidRPr="00F145EE" w:rsidRDefault="006703DA" w:rsidP="006703DA">
      <w:pPr>
        <w:tabs>
          <w:tab w:val="left" w:pos="426"/>
        </w:tabs>
        <w:spacing w:after="0" w:line="276" w:lineRule="auto"/>
        <w:jc w:val="both"/>
        <w:rPr>
          <w:rFonts w:ascii="Verdana" w:eastAsia="Century Gothic" w:hAnsi="Verdana" w:cs="Century Gothic"/>
          <w:color w:val="000000" w:themeColor="text1"/>
          <w:lang w:val="es-ES"/>
        </w:rPr>
      </w:pPr>
    </w:p>
    <w:p w14:paraId="78A985D3" w14:textId="6445868C" w:rsidR="006703DA" w:rsidRPr="00F145EE" w:rsidRDefault="006703DA" w:rsidP="006703DA">
      <w:pPr>
        <w:spacing w:after="0" w:line="276" w:lineRule="auto"/>
        <w:jc w:val="both"/>
        <w:rPr>
          <w:rFonts w:ascii="Verdana" w:eastAsia="Century Gothic" w:hAnsi="Verdana" w:cs="Century Gothic"/>
          <w:color w:val="000000" w:themeColor="text1"/>
        </w:rPr>
      </w:pPr>
      <w:r w:rsidRPr="00F145EE">
        <w:rPr>
          <w:rFonts w:ascii="Verdana" w:eastAsia="Century Gothic" w:hAnsi="Verdana" w:cs="Century Gothic"/>
          <w:color w:val="000000" w:themeColor="text1"/>
        </w:rPr>
        <w:lastRenderedPageBreak/>
        <w:t>De acuerdo con el contenido de su solicitud, esta Agencia resolverá el siguiente problema jurídico: ¿</w:t>
      </w:r>
      <w:proofErr w:type="spellStart"/>
      <w:r w:rsidR="002D7064">
        <w:rPr>
          <w:rFonts w:ascii="Verdana" w:eastAsia="Century Gothic" w:hAnsi="Verdana" w:cs="Century Gothic"/>
          <w:color w:val="000000" w:themeColor="text1"/>
        </w:rPr>
        <w:t>Cual</w:t>
      </w:r>
      <w:proofErr w:type="spellEnd"/>
      <w:r w:rsidRPr="00F145EE">
        <w:rPr>
          <w:rFonts w:ascii="Verdana" w:eastAsia="Century Gothic" w:hAnsi="Verdana" w:cs="Century Gothic"/>
          <w:color w:val="000000" w:themeColor="text1"/>
        </w:rPr>
        <w:t xml:space="preserve"> </w:t>
      </w:r>
      <w:r w:rsidR="002D7064">
        <w:rPr>
          <w:rFonts w:ascii="Verdana" w:eastAsia="Century Gothic" w:hAnsi="Verdana" w:cs="Century Gothic"/>
          <w:color w:val="000000" w:themeColor="text1"/>
        </w:rPr>
        <w:t>es el alcance</w:t>
      </w:r>
      <w:r w:rsidR="002D7064" w:rsidRPr="00F145EE">
        <w:rPr>
          <w:rFonts w:ascii="Verdana" w:eastAsia="Century Gothic" w:hAnsi="Verdana" w:cs="Century Gothic"/>
          <w:color w:val="000000" w:themeColor="text1"/>
        </w:rPr>
        <w:t xml:space="preserve"> </w:t>
      </w:r>
      <w:r w:rsidRPr="00F145EE">
        <w:rPr>
          <w:rFonts w:ascii="Verdana" w:eastAsia="Century Gothic" w:hAnsi="Verdana" w:cs="Century Gothic"/>
          <w:color w:val="000000" w:themeColor="text1"/>
        </w:rPr>
        <w:t xml:space="preserve">hermenéutico </w:t>
      </w:r>
      <w:r w:rsidR="002D7064">
        <w:rPr>
          <w:rFonts w:ascii="Verdana" w:eastAsia="Century Gothic" w:hAnsi="Verdana" w:cs="Century Gothic"/>
          <w:color w:val="000000" w:themeColor="text1"/>
        </w:rPr>
        <w:t>que</w:t>
      </w:r>
      <w:r w:rsidRPr="00F145EE">
        <w:rPr>
          <w:rFonts w:ascii="Verdana" w:eastAsia="Century Gothic" w:hAnsi="Verdana" w:cs="Century Gothic"/>
          <w:color w:val="000000" w:themeColor="text1"/>
        </w:rPr>
        <w:t xml:space="preserve"> debe otorgársele al concepto “bienes y servicios de características técnicas uniformes y </w:t>
      </w:r>
      <w:r w:rsidRPr="005B12E4">
        <w:rPr>
          <w:rFonts w:ascii="Verdana" w:eastAsia="Century Gothic" w:hAnsi="Verdana" w:cs="Century Gothic"/>
          <w:color w:val="000000" w:themeColor="text1"/>
        </w:rPr>
        <w:t>de común utilización</w:t>
      </w:r>
      <w:r w:rsidRPr="00F145EE">
        <w:rPr>
          <w:rFonts w:ascii="Verdana" w:eastAsia="Century Gothic" w:hAnsi="Verdana" w:cs="Century Gothic"/>
          <w:color w:val="000000" w:themeColor="text1"/>
        </w:rPr>
        <w:t xml:space="preserve">”, para efectos de determinar </w:t>
      </w:r>
      <w:r w:rsidR="002D7064">
        <w:rPr>
          <w:rFonts w:ascii="Verdana" w:eastAsia="Century Gothic" w:hAnsi="Verdana" w:cs="Century Gothic"/>
          <w:color w:val="000000" w:themeColor="text1"/>
        </w:rPr>
        <w:t>la</w:t>
      </w:r>
      <w:r w:rsidRPr="00F145EE">
        <w:rPr>
          <w:rFonts w:ascii="Verdana" w:eastAsia="Century Gothic" w:hAnsi="Verdana" w:cs="Century Gothic"/>
          <w:color w:val="000000" w:themeColor="text1"/>
        </w:rPr>
        <w:t xml:space="preserve"> modalidad de selección y el procedimiento aplicable?                </w:t>
      </w:r>
    </w:p>
    <w:p w14:paraId="1A7FF0C2" w14:textId="77777777" w:rsidR="006703DA" w:rsidRPr="00F145EE" w:rsidRDefault="006703DA" w:rsidP="006703DA">
      <w:pPr>
        <w:spacing w:after="0" w:line="276" w:lineRule="auto"/>
        <w:jc w:val="both"/>
        <w:rPr>
          <w:rFonts w:ascii="Verdana" w:eastAsia="Calibri" w:hAnsi="Verdana" w:cs="Arial"/>
          <w:color w:val="000000" w:themeColor="text1"/>
        </w:rPr>
      </w:pPr>
    </w:p>
    <w:p w14:paraId="3943F4C1" w14:textId="77777777" w:rsidR="006703DA" w:rsidRPr="00F145EE" w:rsidRDefault="006703DA" w:rsidP="006703DA">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II. </w:t>
      </w:r>
      <w:r w:rsidRPr="00F145EE">
        <w:rPr>
          <w:rFonts w:ascii="Verdana" w:eastAsia="Century Gothic" w:hAnsi="Verdana" w:cs="Century Gothic"/>
          <w:b/>
          <w:bCs/>
          <w:color w:val="000000" w:themeColor="text1"/>
        </w:rPr>
        <w:t>Respuesta:</w:t>
      </w:r>
    </w:p>
    <w:p w14:paraId="7F116561" w14:textId="77777777" w:rsidR="006703DA" w:rsidRPr="00F145EE" w:rsidRDefault="006703DA" w:rsidP="006703D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03DA" w:rsidRPr="00F145EE" w14:paraId="19BA3905" w14:textId="77777777" w:rsidTr="00E41262">
        <w:trPr>
          <w:jc w:val="center"/>
        </w:trPr>
        <w:tc>
          <w:tcPr>
            <w:tcW w:w="8828" w:type="dxa"/>
            <w:shd w:val="clear" w:color="auto" w:fill="auto"/>
          </w:tcPr>
          <w:p w14:paraId="7FFEA631" w14:textId="32183DD0" w:rsidR="006703DA" w:rsidRPr="00F145EE" w:rsidRDefault="00CD1667" w:rsidP="004823C8">
            <w:pPr>
              <w:tabs>
                <w:tab w:val="left" w:pos="567"/>
              </w:tabs>
              <w:spacing w:after="120" w:line="276" w:lineRule="auto"/>
              <w:jc w:val="both"/>
              <w:rPr>
                <w:rFonts w:ascii="Verdana" w:eastAsia="Times New Roman" w:hAnsi="Verdana" w:cs="Arial"/>
                <w:color w:val="000000" w:themeColor="text1"/>
                <w:shd w:val="clear" w:color="auto" w:fill="FFFFFF"/>
                <w:lang w:eastAsia="es-CO"/>
              </w:rPr>
            </w:pPr>
            <w:bookmarkStart w:id="1" w:name="_Hlk171694685"/>
            <w:r>
              <w:rPr>
                <w:rFonts w:ascii="Verdana" w:eastAsia="Calibri" w:hAnsi="Verdana" w:cs="Times New Roman"/>
                <w:iCs/>
                <w:color w:val="000000" w:themeColor="text1"/>
                <w:lang w:val="es-ES"/>
              </w:rPr>
              <w:t>Frente al problema jurídico planteado, s</w:t>
            </w:r>
            <w:r w:rsidR="006703DA" w:rsidRPr="00F145EE">
              <w:rPr>
                <w:rFonts w:ascii="Verdana" w:eastAsia="Calibri" w:hAnsi="Verdana" w:cs="Times New Roman"/>
                <w:iCs/>
                <w:color w:val="000000" w:themeColor="text1"/>
                <w:lang w:val="es-ES"/>
              </w:rPr>
              <w:t>e precisa que los bienes y servicios de características técnicas uniformes y de común utilización son aquellos que comparten patrones de desempeño y calidad</w:t>
            </w:r>
            <w:r w:rsidR="006703DA" w:rsidRPr="00F145EE">
              <w:rPr>
                <w:rFonts w:ascii="Verdana" w:eastAsia="Calibri" w:hAnsi="Verdana" w:cs="Arial"/>
                <w:bCs/>
                <w:color w:val="000000" w:themeColor="text1"/>
              </w:rPr>
              <w:t xml:space="preserve"> similares para la satisfacción de la necesidad a la que atienden</w:t>
            </w:r>
            <w:r w:rsidR="006703DA" w:rsidRPr="00F145EE">
              <w:rPr>
                <w:rFonts w:ascii="Verdana" w:eastAsia="Calibri" w:hAnsi="Verdana" w:cs="Times New Roman"/>
                <w:iCs/>
                <w:color w:val="000000" w:themeColor="text1"/>
                <w:lang w:val="es-ES"/>
              </w:rPr>
              <w:t xml:space="preserve">. Así, de acuerdo con el numeral 2 del artículo 2 de la Ley 1150 de 2007, </w:t>
            </w:r>
            <w:r w:rsidR="006703DA" w:rsidRPr="00F145EE">
              <w:rPr>
                <w:rFonts w:ascii="Verdana" w:eastAsia="Times New Roman" w:hAnsi="Verdana" w:cs="Arial"/>
                <w:color w:val="000000" w:themeColor="text1"/>
                <w:shd w:val="clear" w:color="auto" w:fill="FFFFFF"/>
                <w:lang w:eastAsia="es-CO"/>
              </w:rPr>
              <w:t>corresponden a aquellos que poseen las mismas especificaciones técnicas, con independencia de su diseño o de sus características descriptivas, y comparten patrones de desempeño y calidad objetivamente definidos.</w:t>
            </w:r>
          </w:p>
          <w:p w14:paraId="0A6168A8" w14:textId="219869F6" w:rsidR="00F147CE" w:rsidRDefault="00FF7F90" w:rsidP="006967D7">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Ahora bien, como indica su denominación normativa, no basta con que el bien o servicio de que se trate sea de características técnicas uniformes, sino que, además, es necesario que sea de “común utilización”. Esta expresión, tal como ha indicado la doctrina especializada, debe interpretarse en el sentido de que el bien o servicio se ofrezca en el mercado en forma equivalente para quienes deseen adquirirlo y usarlo. Eso no quiere decir que el bien o servicio deba ser usado por toda la sociedad, inexorablemente. Lo importante es que se encuentre estandarizado en el mercado para todo aquel que desee adquirirlo. </w:t>
            </w:r>
            <w:r w:rsidR="006703DA" w:rsidRPr="00F145EE">
              <w:rPr>
                <w:rFonts w:ascii="Verdana" w:eastAsia="Calibri" w:hAnsi="Verdana" w:cs="Times New Roman"/>
                <w:iCs/>
                <w:color w:val="000000" w:themeColor="text1"/>
                <w:lang w:val="es-ES"/>
              </w:rPr>
              <w:t xml:space="preserve">Por ejemplo, una impresora o un </w:t>
            </w:r>
            <w:proofErr w:type="gramStart"/>
            <w:r w:rsidR="006703DA" w:rsidRPr="00F145EE">
              <w:rPr>
                <w:rFonts w:ascii="Verdana" w:eastAsia="Calibri" w:hAnsi="Verdana" w:cs="Times New Roman"/>
                <w:iCs/>
                <w:color w:val="000000" w:themeColor="text1"/>
                <w:lang w:val="es-ES"/>
              </w:rPr>
              <w:t>proyector</w:t>
            </w:r>
            <w:r w:rsidR="00986478">
              <w:rPr>
                <w:rFonts w:ascii="Verdana" w:eastAsia="Calibri" w:hAnsi="Verdana" w:cs="Times New Roman"/>
                <w:iCs/>
                <w:color w:val="000000" w:themeColor="text1"/>
                <w:lang w:val="es-ES"/>
              </w:rPr>
              <w:t>,</w:t>
            </w:r>
            <w:proofErr w:type="gramEnd"/>
            <w:r w:rsidR="00986478">
              <w:rPr>
                <w:rFonts w:ascii="Verdana" w:eastAsia="Calibri" w:hAnsi="Verdana" w:cs="Times New Roman"/>
                <w:iCs/>
                <w:color w:val="000000" w:themeColor="text1"/>
                <w:lang w:val="es-ES"/>
              </w:rPr>
              <w:t xml:space="preserve"> </w:t>
            </w:r>
            <w:r w:rsidR="006703DA" w:rsidRPr="00F145EE">
              <w:rPr>
                <w:rFonts w:ascii="Verdana" w:eastAsia="Calibri" w:hAnsi="Verdana" w:cs="Times New Roman"/>
                <w:iCs/>
                <w:color w:val="000000" w:themeColor="text1"/>
                <w:lang w:val="es-ES"/>
              </w:rPr>
              <w:t>no son ni quizá</w:t>
            </w:r>
            <w:r w:rsidR="00986478">
              <w:rPr>
                <w:rFonts w:ascii="Verdana" w:eastAsia="Calibri" w:hAnsi="Verdana" w:cs="Times New Roman"/>
                <w:iCs/>
                <w:color w:val="000000" w:themeColor="text1"/>
                <w:lang w:val="es-ES"/>
              </w:rPr>
              <w:t>,</w:t>
            </w:r>
            <w:r w:rsidR="006703DA" w:rsidRPr="00F145EE">
              <w:rPr>
                <w:rFonts w:ascii="Verdana" w:eastAsia="Calibri" w:hAnsi="Verdana" w:cs="Times New Roman"/>
                <w:iCs/>
                <w:color w:val="000000" w:themeColor="text1"/>
                <w:lang w:val="es-ES"/>
              </w:rPr>
              <w:t xml:space="preserve"> serán usados por todas las personas, pero son de común utilización porque cualquier sujeto interesado puede buscarlos y adquirirlos según la oferta estándar que de esos bienes hay en el mercado. </w:t>
            </w:r>
          </w:p>
          <w:p w14:paraId="3B928D2E" w14:textId="1616E1A0" w:rsidR="00866BB3" w:rsidRPr="00866BB3" w:rsidRDefault="00986478" w:rsidP="004823C8">
            <w:pPr>
              <w:spacing w:after="120" w:line="276" w:lineRule="auto"/>
              <w:ind w:firstLine="709"/>
              <w:jc w:val="both"/>
              <w:rPr>
                <w:rFonts w:ascii="Verdana" w:eastAsia="Calibri" w:hAnsi="Verdana" w:cs="Times New Roman"/>
                <w:iCs/>
                <w:color w:val="000000" w:themeColor="text1"/>
              </w:rPr>
            </w:pPr>
            <w:r>
              <w:rPr>
                <w:rFonts w:ascii="Verdana" w:eastAsia="Calibri" w:hAnsi="Verdana" w:cs="Times New Roman"/>
                <w:iCs/>
                <w:color w:val="000000" w:themeColor="text1"/>
                <w:lang w:val="es-ES"/>
              </w:rPr>
              <w:t>En consecuencia,</w:t>
            </w:r>
            <w:r w:rsidR="006703DA" w:rsidRPr="00F145EE">
              <w:rPr>
                <w:rFonts w:ascii="Verdana" w:eastAsia="Calibri" w:hAnsi="Verdana" w:cs="Times New Roman"/>
                <w:iCs/>
                <w:color w:val="000000" w:themeColor="text1"/>
                <w:lang w:val="es-ES"/>
              </w:rPr>
              <w:t xml:space="preserve"> el análisis que debe efectuar cada entidad estatal contratante para tipificar el bien o servicio que pretende adquirir y determinar es de características técnicas uniformes y de común utilización</w:t>
            </w:r>
            <w:r>
              <w:rPr>
                <w:rFonts w:ascii="Verdana" w:eastAsia="Calibri" w:hAnsi="Verdana" w:cs="Times New Roman"/>
                <w:iCs/>
                <w:color w:val="000000" w:themeColor="text1"/>
                <w:lang w:val="es-ES"/>
              </w:rPr>
              <w:t xml:space="preserve"> debe tener en cuenta las siguientes características: </w:t>
            </w:r>
            <w:r w:rsidR="00866BB3">
              <w:rPr>
                <w:rFonts w:ascii="Verdana" w:eastAsia="Calibri" w:hAnsi="Verdana" w:cs="Times New Roman"/>
                <w:iCs/>
                <w:color w:val="000000" w:themeColor="text1"/>
                <w:lang w:val="es-ES"/>
              </w:rPr>
              <w:t xml:space="preserve">i) </w:t>
            </w:r>
            <w:r w:rsidR="00866BB3" w:rsidRPr="00866BB3">
              <w:rPr>
                <w:rFonts w:ascii="Verdana" w:eastAsia="Calibri" w:hAnsi="Verdana" w:cs="Times New Roman"/>
                <w:iCs/>
                <w:color w:val="000000" w:themeColor="text1"/>
                <w:lang w:val="es-ES"/>
              </w:rPr>
              <w:t>t</w:t>
            </w:r>
            <w:proofErr w:type="spellStart"/>
            <w:r w:rsidR="00866BB3" w:rsidRPr="004823C8">
              <w:rPr>
                <w:rFonts w:ascii="Verdana" w:eastAsia="Calibri" w:hAnsi="Verdana" w:cs="Times New Roman"/>
                <w:iCs/>
                <w:color w:val="000000" w:themeColor="text1"/>
              </w:rPr>
              <w:t>ienen</w:t>
            </w:r>
            <w:proofErr w:type="spellEnd"/>
            <w:r w:rsidR="00866BB3" w:rsidRPr="004823C8">
              <w:rPr>
                <w:rFonts w:ascii="Verdana" w:eastAsia="Calibri" w:hAnsi="Verdana" w:cs="Times New Roman"/>
                <w:iCs/>
                <w:color w:val="000000" w:themeColor="text1"/>
              </w:rPr>
              <w:t xml:space="preserve"> especificaciones técnicas estandarizadas</w:t>
            </w:r>
            <w:r w:rsidR="00866BB3" w:rsidRPr="00866BB3">
              <w:rPr>
                <w:rFonts w:ascii="Verdana" w:eastAsia="Calibri" w:hAnsi="Verdana" w:cs="Times New Roman"/>
                <w:iCs/>
                <w:color w:val="000000" w:themeColor="text1"/>
              </w:rPr>
              <w:t xml:space="preserve">, independientemente de su diseño o características descriptivas; </w:t>
            </w:r>
            <w:proofErr w:type="spellStart"/>
            <w:r w:rsidR="00866BB3" w:rsidRPr="00866BB3">
              <w:rPr>
                <w:rFonts w:ascii="Verdana" w:eastAsia="Calibri" w:hAnsi="Verdana" w:cs="Times New Roman"/>
                <w:iCs/>
                <w:color w:val="000000" w:themeColor="text1"/>
              </w:rPr>
              <w:t>ii</w:t>
            </w:r>
            <w:proofErr w:type="spellEnd"/>
            <w:r w:rsidR="00866BB3" w:rsidRPr="00866BB3">
              <w:rPr>
                <w:rFonts w:ascii="Verdana" w:eastAsia="Calibri" w:hAnsi="Verdana" w:cs="Times New Roman"/>
                <w:iCs/>
                <w:color w:val="000000" w:themeColor="text1"/>
              </w:rPr>
              <w:t>) c</w:t>
            </w:r>
            <w:r w:rsidR="00866BB3" w:rsidRPr="004823C8">
              <w:rPr>
                <w:rFonts w:ascii="Verdana" w:eastAsia="Calibri" w:hAnsi="Verdana" w:cs="Times New Roman"/>
                <w:iCs/>
                <w:color w:val="000000" w:themeColor="text1"/>
              </w:rPr>
              <w:t>omparten patrones de desempeño y calidad objetivamente definidos</w:t>
            </w:r>
            <w:r w:rsidR="00866BB3" w:rsidRPr="00866BB3">
              <w:rPr>
                <w:rFonts w:ascii="Verdana" w:eastAsia="Calibri" w:hAnsi="Verdana" w:cs="Times New Roman"/>
                <w:iCs/>
                <w:color w:val="000000" w:themeColor="text1"/>
              </w:rPr>
              <w:t xml:space="preserve">, lo que permite su adquisición en condiciones homogéneas en el mercado y; </w:t>
            </w:r>
            <w:proofErr w:type="spellStart"/>
            <w:r w:rsidR="00866BB3" w:rsidRPr="00866BB3">
              <w:rPr>
                <w:rFonts w:ascii="Verdana" w:eastAsia="Calibri" w:hAnsi="Verdana" w:cs="Times New Roman"/>
                <w:iCs/>
                <w:color w:val="000000" w:themeColor="text1"/>
              </w:rPr>
              <w:t>iii</w:t>
            </w:r>
            <w:proofErr w:type="spellEnd"/>
            <w:r w:rsidR="00866BB3" w:rsidRPr="00866BB3">
              <w:rPr>
                <w:rFonts w:ascii="Verdana" w:eastAsia="Calibri" w:hAnsi="Verdana" w:cs="Times New Roman"/>
                <w:iCs/>
                <w:color w:val="000000" w:themeColor="text1"/>
              </w:rPr>
              <w:t>) s</w:t>
            </w:r>
            <w:r w:rsidR="00866BB3" w:rsidRPr="004823C8">
              <w:rPr>
                <w:rFonts w:ascii="Verdana" w:eastAsia="Calibri" w:hAnsi="Verdana" w:cs="Times New Roman"/>
                <w:iCs/>
                <w:color w:val="000000" w:themeColor="text1"/>
              </w:rPr>
              <w:t>on de uso común</w:t>
            </w:r>
            <w:r w:rsidR="00866BB3" w:rsidRPr="00866BB3">
              <w:rPr>
                <w:rFonts w:ascii="Verdana" w:eastAsia="Calibri" w:hAnsi="Verdana" w:cs="Times New Roman"/>
                <w:iCs/>
                <w:color w:val="000000" w:themeColor="text1"/>
              </w:rPr>
              <w:t xml:space="preserve">, es decir, están disponibles en el mercado </w:t>
            </w:r>
            <w:r w:rsidR="00866BB3" w:rsidRPr="00866BB3">
              <w:rPr>
                <w:rFonts w:ascii="Verdana" w:eastAsia="Calibri" w:hAnsi="Verdana" w:cs="Times New Roman"/>
                <w:iCs/>
                <w:color w:val="000000" w:themeColor="text1"/>
              </w:rPr>
              <w:lastRenderedPageBreak/>
              <w:t>bajo condiciones equivalentes para cualquier interesado, aunque no necesariamente sean utilizados por toda la población.</w:t>
            </w:r>
          </w:p>
          <w:p w14:paraId="51A01348" w14:textId="06DA6E80" w:rsidR="006703DA" w:rsidRPr="00F145EE" w:rsidRDefault="006703DA" w:rsidP="00E41262">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Para ello es recomendable que se sirva de la información que aporten los estudios previos, especialmente la suministrada por el personal de la entidad encargado de definir las especificaciones técnicas del contrato y de analizar sus condiciones de oferta en el mercado.</w:t>
            </w:r>
          </w:p>
          <w:p w14:paraId="05109ACF" w14:textId="6939741A" w:rsidR="006703DA" w:rsidRPr="00F145EE" w:rsidRDefault="006703DA" w:rsidP="00E41262">
            <w:pPr>
              <w:spacing w:after="120" w:line="276" w:lineRule="auto"/>
              <w:ind w:firstLine="709"/>
              <w:jc w:val="both"/>
              <w:rPr>
                <w:rFonts w:ascii="Verdana" w:eastAsia="Calibri" w:hAnsi="Verdana" w:cs="Arial"/>
                <w:bCs/>
                <w:color w:val="000000" w:themeColor="text1"/>
              </w:rPr>
            </w:pPr>
            <w:r w:rsidRPr="00F145EE">
              <w:rPr>
                <w:rFonts w:ascii="Verdana" w:eastAsia="Calibri" w:hAnsi="Verdana" w:cs="Times New Roman"/>
                <w:iCs/>
                <w:color w:val="000000" w:themeColor="text1"/>
                <w:lang w:val="es-ES"/>
              </w:rPr>
              <w:t xml:space="preserve">En armonía con lo anterior, debe indicarse que, </w:t>
            </w:r>
            <w:r w:rsidRPr="00F145EE">
              <w:rPr>
                <w:rFonts w:ascii="Verdana" w:eastAsia="Calibri" w:hAnsi="Verdana" w:cs="Times New Roman"/>
                <w:i/>
                <w:color w:val="000000" w:themeColor="text1"/>
                <w:lang w:val="es-ES"/>
              </w:rPr>
              <w:t xml:space="preserve">en principio, </w:t>
            </w:r>
            <w:r w:rsidRPr="00F145EE">
              <w:rPr>
                <w:rFonts w:ascii="Verdana" w:eastAsia="Calibri" w:hAnsi="Verdana" w:cs="Times New Roman"/>
                <w:iCs/>
                <w:color w:val="000000" w:themeColor="text1"/>
                <w:lang w:val="es-ES"/>
              </w:rPr>
              <w:t>la modalidad de selección aplicable</w:t>
            </w:r>
            <w:r w:rsidRPr="00F145EE">
              <w:rPr>
                <w:rFonts w:ascii="Verdana" w:eastAsia="Calibri" w:hAnsi="Verdana" w:cs="Arial"/>
                <w:bCs/>
                <w:color w:val="000000" w:themeColor="text1"/>
              </w:rPr>
              <w:t xml:space="preserve"> para la adquisición de</w:t>
            </w:r>
            <w:r w:rsidRPr="00F145EE">
              <w:rPr>
                <w:rFonts w:ascii="Verdana" w:eastAsia="Calibri" w:hAnsi="Verdana" w:cs="Arial"/>
                <w:bCs/>
                <w:i/>
                <w:iCs/>
                <w:color w:val="000000" w:themeColor="text1"/>
              </w:rPr>
              <w:t xml:space="preserve"> </w:t>
            </w:r>
            <w:r w:rsidRPr="00F145EE">
              <w:rPr>
                <w:rFonts w:ascii="Verdana" w:eastAsia="Calibri" w:hAnsi="Verdana" w:cs="Arial"/>
                <w:bCs/>
                <w:color w:val="000000" w:themeColor="text1"/>
              </w:rPr>
              <w:t>bienes y servicios de características técnicas uniformes y común utilización es la selección abreviada a la que hace referencia el</w:t>
            </w:r>
            <w:r w:rsidRPr="00F145EE">
              <w:rPr>
                <w:rFonts w:ascii="Verdana" w:eastAsia="Calibri" w:hAnsi="Verdana" w:cs="Arial"/>
                <w:bCs/>
                <w:i/>
                <w:iCs/>
                <w:color w:val="000000" w:themeColor="text1"/>
              </w:rPr>
              <w:t xml:space="preserve"> </w:t>
            </w:r>
            <w:r w:rsidRPr="00F145EE">
              <w:rPr>
                <w:rFonts w:ascii="Verdana" w:eastAsia="Calibri" w:hAnsi="Verdana" w:cs="Arial"/>
                <w:bCs/>
                <w:color w:val="000000" w:themeColor="text1"/>
              </w:rPr>
              <w:t xml:space="preserve">literal a) del numeral 2 del 2 artículo de la Ley 1150 de 2007. </w:t>
            </w:r>
          </w:p>
          <w:p w14:paraId="4AEFAE74" w14:textId="484B9A6D" w:rsidR="000C789D" w:rsidRDefault="000C789D" w:rsidP="000C789D">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Por lo anterior, corresponde a </w:t>
            </w:r>
            <w:r w:rsidRPr="00F145EE">
              <w:rPr>
                <w:rFonts w:ascii="Verdana" w:eastAsia="Calibri" w:hAnsi="Verdana" w:cs="Arial"/>
                <w:bCs/>
                <w:color w:val="000000" w:themeColor="text1"/>
              </w:rPr>
              <w:t xml:space="preserve">la entidad estatal determinar, según las circunstancias concretas, </w:t>
            </w:r>
            <w:r>
              <w:rPr>
                <w:rFonts w:ascii="Verdana" w:eastAsia="Calibri" w:hAnsi="Verdana" w:cs="Arial"/>
                <w:bCs/>
                <w:color w:val="000000" w:themeColor="text1"/>
              </w:rPr>
              <w:t>cuáles son los bienes y servicios que se requieren dentro del contrato de apoyo logístico, para determinar si son servicios de características técnicas uniformes y de común utilización</w:t>
            </w:r>
            <w:r w:rsidR="00CD7CB4">
              <w:rPr>
                <w:rFonts w:ascii="Verdana" w:eastAsia="Calibri" w:hAnsi="Verdana" w:cs="Arial"/>
                <w:bCs/>
                <w:color w:val="000000" w:themeColor="text1"/>
              </w:rPr>
              <w:t>;</w:t>
            </w:r>
            <w:r>
              <w:rPr>
                <w:rFonts w:ascii="Verdana" w:eastAsia="Calibri" w:hAnsi="Verdana" w:cs="Arial"/>
                <w:bCs/>
                <w:color w:val="000000" w:themeColor="text1"/>
              </w:rPr>
              <w:t xml:space="preserve"> </w:t>
            </w:r>
            <w:r w:rsidRPr="00F145EE">
              <w:rPr>
                <w:rFonts w:ascii="Verdana" w:eastAsia="Calibri" w:hAnsi="Verdana" w:cs="Arial"/>
                <w:bCs/>
                <w:color w:val="000000" w:themeColor="text1"/>
              </w:rPr>
              <w:t>faltándoles uno u otro atributo,</w:t>
            </w:r>
            <w:r>
              <w:rPr>
                <w:rFonts w:ascii="Verdana" w:eastAsia="Calibri" w:hAnsi="Verdana" w:cs="Arial"/>
                <w:bCs/>
                <w:color w:val="000000" w:themeColor="text1"/>
              </w:rPr>
              <w:t xml:space="preserve"> deberán analizar </w:t>
            </w:r>
            <w:r w:rsidRPr="00F145EE">
              <w:rPr>
                <w:rFonts w:ascii="Verdana" w:eastAsia="Calibri" w:hAnsi="Verdana" w:cs="Arial"/>
                <w:bCs/>
                <w:color w:val="000000" w:themeColor="text1"/>
              </w:rPr>
              <w:t xml:space="preserve">en cuál de las otras causales y modalidades de contratación puede fundamentarse la </w:t>
            </w:r>
            <w:r>
              <w:rPr>
                <w:rFonts w:ascii="Verdana" w:eastAsia="Calibri" w:hAnsi="Verdana" w:cs="Arial"/>
                <w:bCs/>
                <w:color w:val="000000" w:themeColor="text1"/>
              </w:rPr>
              <w:t>contrataci</w:t>
            </w:r>
            <w:r w:rsidRPr="00F145EE">
              <w:rPr>
                <w:rFonts w:ascii="Verdana" w:eastAsia="Calibri" w:hAnsi="Verdana" w:cs="Arial"/>
                <w:bCs/>
                <w:color w:val="000000" w:themeColor="text1"/>
              </w:rPr>
              <w:t xml:space="preserve">ón. Por ejemplo, la licitación pública, prevista en el numeral 1 del artículo 2 de la Ley 1150 de 2007, es la regla general para objetos no sujetos a alguna modalidad en específico o que superen la menor cuantía. Por su parte, la modalidad de selección abreviada de menor cuantía se debe emplear cuando se requiera contratar por valores que se ubiquen dentro de la menor cuantía de la respectiva entidad estatal, de acuerdo con los rangos establecidos en el literal b) del numeral 2 del artículo 2 de la Ley 1150 de 2007. La mínima cuantía, a su vez, según el artículo 2, numeral 5, de la Ley 1150 de 2007, es la procedente cuando el bien o servicio no supere el diez por ciento de la menor cuantía, independientemente de su objeto. </w:t>
            </w:r>
          </w:p>
          <w:p w14:paraId="690FAF05" w14:textId="03C19139" w:rsidR="006703DA" w:rsidRPr="008B0875" w:rsidRDefault="000C789D" w:rsidP="000C789D">
            <w:pPr>
              <w:spacing w:line="276" w:lineRule="auto"/>
              <w:ind w:firstLine="709"/>
              <w:jc w:val="both"/>
              <w:rPr>
                <w:rFonts w:ascii="Verdana" w:eastAsia="Calibri" w:hAnsi="Verdana" w:cs="Arial"/>
                <w:bCs/>
                <w:color w:val="000000" w:themeColor="text1"/>
              </w:rPr>
            </w:pP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escoger la modalidad de selección </w:t>
            </w:r>
            <w:proofErr w:type="gramStart"/>
            <w:r>
              <w:rPr>
                <w:rFonts w:ascii="Verdana" w:hAnsi="Verdana" w:cs="Arial"/>
                <w:color w:val="000000" w:themeColor="text1"/>
              </w:rPr>
              <w:t>de acuerdo a</w:t>
            </w:r>
            <w:proofErr w:type="gramEnd"/>
            <w:r>
              <w:rPr>
                <w:rFonts w:ascii="Verdana" w:hAnsi="Verdana" w:cs="Arial"/>
                <w:color w:val="000000" w:themeColor="text1"/>
              </w:rPr>
              <w:t xml:space="preserve"> la estructuración de la necesidad que haga la </w:t>
            </w:r>
            <w:proofErr w:type="gramStart"/>
            <w:r>
              <w:rPr>
                <w:rFonts w:ascii="Verdana" w:hAnsi="Verdana" w:cs="Arial"/>
                <w:color w:val="000000" w:themeColor="text1"/>
              </w:rPr>
              <w:t>entidad,</w:t>
            </w:r>
            <w:proofErr w:type="gramEnd"/>
            <w:r>
              <w:rPr>
                <w:rFonts w:ascii="Verdana" w:hAnsi="Verdana" w:cs="Arial"/>
                <w:color w:val="000000" w:themeColor="text1"/>
              </w:rPr>
              <w:t xml:space="preserve">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 del presente oficio</w:t>
            </w:r>
            <w:r>
              <w:rPr>
                <w:rFonts w:ascii="Verdana" w:hAnsi="Verdana" w:cs="Arial"/>
                <w:color w:val="000000" w:themeColor="text1"/>
              </w:rPr>
              <w:t xml:space="preserve">. Por tanto, </w:t>
            </w:r>
            <w:r w:rsidRPr="00C35305">
              <w:rPr>
                <w:rFonts w:ascii="Verdana" w:hAnsi="Verdana" w:cs="Arial"/>
                <w:color w:val="000000" w:themeColor="text1"/>
              </w:rPr>
              <w:t>cada entidad definirá la forma de adelantar su gestión contractual, sin que sea atribución de Colombia Compra Eficiente validar sus actuaciones</w:t>
            </w:r>
            <w:r>
              <w:rPr>
                <w:rFonts w:ascii="Verdana" w:hAnsi="Verdana" w:cs="Arial"/>
                <w:color w:val="000000" w:themeColor="text1"/>
              </w:rPr>
              <w:t>.</w:t>
            </w:r>
          </w:p>
        </w:tc>
      </w:tr>
    </w:tbl>
    <w:p w14:paraId="182A455E" w14:textId="77777777" w:rsidR="006703DA" w:rsidRPr="00F145EE" w:rsidRDefault="006703DA" w:rsidP="006703DA">
      <w:pPr>
        <w:tabs>
          <w:tab w:val="left" w:pos="142"/>
          <w:tab w:val="left" w:pos="284"/>
        </w:tabs>
        <w:spacing w:after="0" w:line="276" w:lineRule="auto"/>
        <w:jc w:val="both"/>
        <w:rPr>
          <w:rFonts w:ascii="Verdana" w:eastAsia="Century Gothic" w:hAnsi="Verdana" w:cs="Century Gothic"/>
          <w:b/>
          <w:bCs/>
          <w:color w:val="000000" w:themeColor="text1"/>
          <w:lang w:val="es-ES"/>
        </w:rPr>
      </w:pPr>
    </w:p>
    <w:bookmarkEnd w:id="1"/>
    <w:p w14:paraId="28B3E4BE" w14:textId="77777777" w:rsidR="006703DA" w:rsidRPr="00F145EE" w:rsidRDefault="006703DA" w:rsidP="006703DA">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III. </w:t>
      </w:r>
      <w:r w:rsidRPr="00F145EE">
        <w:rPr>
          <w:rFonts w:ascii="Verdana" w:eastAsia="Century Gothic" w:hAnsi="Verdana" w:cs="Century Gothic"/>
          <w:b/>
          <w:bCs/>
          <w:color w:val="000000" w:themeColor="text1"/>
        </w:rPr>
        <w:t>Razones de la respuesta:</w:t>
      </w:r>
    </w:p>
    <w:p w14:paraId="185B0C57" w14:textId="77777777" w:rsidR="006703DA" w:rsidRPr="00F145EE" w:rsidRDefault="006703DA" w:rsidP="006703DA">
      <w:pPr>
        <w:spacing w:after="0" w:line="276" w:lineRule="auto"/>
        <w:jc w:val="both"/>
        <w:rPr>
          <w:rFonts w:ascii="Verdana" w:eastAsia="Calibri" w:hAnsi="Verdana" w:cs="Arial"/>
          <w:color w:val="000000" w:themeColor="text1"/>
          <w:lang w:val="es-ES"/>
        </w:rPr>
      </w:pPr>
    </w:p>
    <w:p w14:paraId="77F52BBC" w14:textId="77777777" w:rsidR="006703DA" w:rsidRPr="00F145EE" w:rsidRDefault="006703DA" w:rsidP="006703DA">
      <w:pPr>
        <w:spacing w:after="0" w:line="276" w:lineRule="auto"/>
        <w:jc w:val="both"/>
        <w:rPr>
          <w:rFonts w:ascii="Verdana" w:eastAsia="Calibri" w:hAnsi="Verdana" w:cs="Arial"/>
          <w:color w:val="000000" w:themeColor="text1"/>
          <w:lang w:val="es-ES"/>
        </w:rPr>
      </w:pPr>
      <w:r w:rsidRPr="00F145EE">
        <w:rPr>
          <w:rFonts w:ascii="Verdana" w:eastAsia="Calibri" w:hAnsi="Verdana" w:cs="Arial"/>
          <w:color w:val="000000" w:themeColor="text1"/>
          <w:lang w:val="es-ES"/>
        </w:rPr>
        <w:t>Lo anterior se sustenta en las siguientes consideraciones:</w:t>
      </w:r>
    </w:p>
    <w:p w14:paraId="139BCC1A" w14:textId="77777777" w:rsidR="006703DA" w:rsidRPr="00F145EE" w:rsidRDefault="006703DA" w:rsidP="006703DA">
      <w:pPr>
        <w:spacing w:after="0" w:line="276" w:lineRule="auto"/>
        <w:jc w:val="both"/>
        <w:rPr>
          <w:rFonts w:ascii="Verdana" w:eastAsia="Calibri" w:hAnsi="Verdana" w:cs="Arial"/>
          <w:color w:val="000000" w:themeColor="text1"/>
          <w:lang w:val="es-ES"/>
        </w:rPr>
      </w:pPr>
    </w:p>
    <w:p w14:paraId="5AF1BE36" w14:textId="58D85105" w:rsidR="006703DA" w:rsidRPr="00F145EE" w:rsidRDefault="0050721A" w:rsidP="006703DA">
      <w:pPr>
        <w:spacing w:after="120" w:line="276" w:lineRule="auto"/>
        <w:jc w:val="both"/>
        <w:rPr>
          <w:rFonts w:ascii="Verdana" w:eastAsia="Calibri" w:hAnsi="Verdana" w:cs="Arial"/>
          <w:bCs/>
          <w:color w:val="000000" w:themeColor="text1"/>
          <w:lang w:val="es-MX" w:eastAsia="es-ES_tradnl"/>
        </w:rPr>
      </w:pPr>
      <w:r>
        <w:rPr>
          <w:rFonts w:ascii="Verdana" w:eastAsia="Calibri" w:hAnsi="Verdana" w:cs="Arial"/>
          <w:color w:val="000000" w:themeColor="text1"/>
          <w:szCs w:val="24"/>
          <w:lang w:val="es-ES_tradnl" w:eastAsia="es-ES_tradnl"/>
        </w:rPr>
        <w:t xml:space="preserve">i) </w:t>
      </w:r>
      <w:r w:rsidR="006703DA" w:rsidRPr="00F145EE">
        <w:rPr>
          <w:rFonts w:ascii="Verdana" w:eastAsia="Calibri" w:hAnsi="Verdana" w:cs="Arial"/>
          <w:color w:val="000000" w:themeColor="text1"/>
          <w:szCs w:val="24"/>
          <w:lang w:val="es-ES_tradnl" w:eastAsia="es-ES_tradnl"/>
        </w:rPr>
        <w:t>P</w:t>
      </w:r>
      <w:r w:rsidR="006703DA" w:rsidRPr="00F145EE">
        <w:rPr>
          <w:rFonts w:ascii="Verdana" w:hAnsi="Verdana" w:cs="Arial"/>
          <w:color w:val="000000" w:themeColor="text1"/>
          <w:lang w:val="es-ES"/>
        </w:rPr>
        <w:t>ara las entidades sometidas al Estatuto General de Contratación de la Administración Pública</w:t>
      </w:r>
      <w:r w:rsidR="0018335F">
        <w:rPr>
          <w:rFonts w:ascii="Verdana" w:hAnsi="Verdana" w:cs="Arial"/>
          <w:color w:val="000000" w:themeColor="text1"/>
          <w:lang w:val="es-ES"/>
        </w:rPr>
        <w:t xml:space="preserve"> – en adelante EGCAP –</w:t>
      </w:r>
      <w:r w:rsidR="006703DA" w:rsidRPr="00F145EE">
        <w:rPr>
          <w:rFonts w:ascii="Verdana" w:hAnsi="Verdana" w:cs="Arial"/>
          <w:color w:val="000000" w:themeColor="text1"/>
          <w:lang w:val="es-ES"/>
        </w:rPr>
        <w:t xml:space="preserve">, los procesos de selección se rigen por </w:t>
      </w:r>
      <w:r w:rsidR="006703DA" w:rsidRPr="00F145EE">
        <w:rPr>
          <w:rFonts w:ascii="Verdana" w:hAnsi="Verdana" w:cs="Arial"/>
          <w:bCs/>
          <w:color w:val="000000" w:themeColor="text1"/>
          <w:lang w:val="es-ES_tradnl"/>
        </w:rPr>
        <w:t>el artículo 2 de la Ley 1150 de 2007</w:t>
      </w:r>
      <w:r w:rsidR="006703DA" w:rsidRPr="00F145EE">
        <w:rPr>
          <w:rFonts w:ascii="Verdana" w:hAnsi="Verdana" w:cs="Arial"/>
          <w:color w:val="000000" w:themeColor="text1"/>
          <w:lang w:val="es-ES"/>
        </w:rPr>
        <w:t xml:space="preserve">. El </w:t>
      </w:r>
      <w:r w:rsidR="006703DA" w:rsidRPr="00F145EE">
        <w:rPr>
          <w:rFonts w:ascii="Verdana" w:eastAsia="Calibri" w:hAnsi="Verdana" w:cs="Arial"/>
          <w:bCs/>
          <w:color w:val="000000" w:themeColor="text1"/>
          <w:lang w:val="es-MX" w:eastAsia="es-ES_tradnl"/>
        </w:rPr>
        <w:t>numeral uno, inciso primero, de la norma citada</w:t>
      </w:r>
      <w:r w:rsidR="006703DA" w:rsidRPr="00F145EE">
        <w:rPr>
          <w:rFonts w:ascii="Verdana" w:hAnsi="Verdana" w:cs="Arial"/>
          <w:bCs/>
          <w:color w:val="000000" w:themeColor="text1"/>
          <w:lang w:val="es-ES_tradnl"/>
        </w:rPr>
        <w:t xml:space="preserve"> </w:t>
      </w:r>
      <w:r w:rsidR="006703DA" w:rsidRPr="00F145EE">
        <w:rPr>
          <w:rFonts w:ascii="Verdana" w:eastAsia="Calibri" w:hAnsi="Verdana" w:cs="Arial"/>
          <w:bCs/>
          <w:color w:val="000000" w:themeColor="text1"/>
          <w:lang w:val="es-MX" w:eastAsia="es-ES_tradnl"/>
        </w:rPr>
        <w:t xml:space="preserve">dispone que “La escogencia del contratista se efectuará por </w:t>
      </w:r>
      <w:r w:rsidR="006703DA" w:rsidRPr="00F145EE">
        <w:rPr>
          <w:rFonts w:ascii="Verdana" w:eastAsia="Calibri" w:hAnsi="Verdana" w:cs="Arial"/>
          <w:bCs/>
          <w:i/>
          <w:iCs/>
          <w:color w:val="000000" w:themeColor="text1"/>
          <w:lang w:val="es-MX" w:eastAsia="es-ES_tradnl"/>
        </w:rPr>
        <w:t>regla general</w:t>
      </w:r>
      <w:r w:rsidR="006703DA" w:rsidRPr="00F145EE">
        <w:rPr>
          <w:rFonts w:ascii="Verdana" w:eastAsia="Calibri" w:hAnsi="Verdana" w:cs="Arial"/>
          <w:bCs/>
          <w:color w:val="000000" w:themeColor="text1"/>
          <w:lang w:val="es-MX" w:eastAsia="es-ES_tradnl"/>
        </w:rPr>
        <w:t xml:space="preserve"> a través de licitación pública, con las </w:t>
      </w:r>
      <w:r w:rsidR="006703DA" w:rsidRPr="00F145EE">
        <w:rPr>
          <w:rFonts w:ascii="Verdana" w:eastAsia="Calibri" w:hAnsi="Verdana" w:cs="Arial"/>
          <w:bCs/>
          <w:i/>
          <w:iCs/>
          <w:color w:val="000000" w:themeColor="text1"/>
          <w:lang w:val="es-MX" w:eastAsia="es-ES_tradnl"/>
        </w:rPr>
        <w:t>excepciones</w:t>
      </w:r>
      <w:r w:rsidR="006703DA" w:rsidRPr="00F145EE">
        <w:rPr>
          <w:rFonts w:ascii="Verdana" w:eastAsia="Calibri" w:hAnsi="Verdana" w:cs="Arial"/>
          <w:bCs/>
          <w:color w:val="000000" w:themeColor="text1"/>
          <w:lang w:val="es-MX" w:eastAsia="es-ES_tradnl"/>
        </w:rPr>
        <w:t xml:space="preserve"> que se señalan en los numerales 2, 3 y 4 del presente artículo”</w:t>
      </w:r>
      <w:r w:rsidR="00695120">
        <w:rPr>
          <w:rFonts w:ascii="Verdana" w:eastAsia="Calibri" w:hAnsi="Verdana" w:cs="Arial"/>
          <w:bCs/>
          <w:color w:val="000000" w:themeColor="text1"/>
          <w:lang w:val="es-MX" w:eastAsia="es-ES_tradnl"/>
        </w:rPr>
        <w:t>. Esta</w:t>
      </w:r>
      <w:r w:rsidR="006703DA" w:rsidRPr="00F145EE">
        <w:rPr>
          <w:rFonts w:ascii="Verdana" w:eastAsia="Calibri" w:hAnsi="Verdana" w:cs="Arial"/>
          <w:bCs/>
          <w:color w:val="000000" w:themeColor="text1"/>
          <w:lang w:val="es-MX" w:eastAsia="es-ES_tradnl"/>
        </w:rPr>
        <w:t xml:space="preserve"> norma sustituye el derogado numeral 1 del artículo 24 de la Ley 80 de 1993</w:t>
      </w:r>
      <w:r w:rsidR="00586001">
        <w:rPr>
          <w:rFonts w:ascii="Verdana" w:eastAsia="Calibri" w:hAnsi="Verdana" w:cs="Arial"/>
          <w:bCs/>
          <w:color w:val="000000" w:themeColor="text1"/>
          <w:lang w:val="es-MX" w:eastAsia="es-ES_tradnl"/>
        </w:rPr>
        <w:t>, relativo</w:t>
      </w:r>
      <w:r w:rsidR="006703DA" w:rsidRPr="00F145EE">
        <w:rPr>
          <w:rFonts w:ascii="Verdana" w:eastAsia="Calibri" w:hAnsi="Verdana" w:cs="Arial"/>
          <w:bCs/>
          <w:color w:val="000000" w:themeColor="text1"/>
          <w:lang w:val="es-MX" w:eastAsia="es-ES_tradnl"/>
        </w:rPr>
        <w:t xml:space="preserve"> </w:t>
      </w:r>
      <w:r w:rsidR="00586001">
        <w:rPr>
          <w:rFonts w:ascii="Verdana" w:eastAsia="Calibri" w:hAnsi="Verdana" w:cs="Arial"/>
          <w:bCs/>
          <w:color w:val="000000" w:themeColor="text1"/>
          <w:lang w:val="es-MX" w:eastAsia="es-ES_tradnl"/>
        </w:rPr>
        <w:t>a</w:t>
      </w:r>
      <w:r w:rsidR="006703DA" w:rsidRPr="00F145EE">
        <w:rPr>
          <w:rFonts w:ascii="Verdana" w:eastAsia="Calibri" w:hAnsi="Verdana" w:cs="Arial"/>
          <w:bCs/>
          <w:color w:val="000000" w:themeColor="text1"/>
          <w:lang w:val="es-MX" w:eastAsia="es-ES_tradnl"/>
        </w:rPr>
        <w:t>l principio de transparencia</w:t>
      </w:r>
      <w:r w:rsidR="006703DA" w:rsidRPr="00F145EE">
        <w:rPr>
          <w:rStyle w:val="Refdenotaalpie"/>
          <w:rFonts w:ascii="Verdana" w:eastAsia="Calibri" w:hAnsi="Verdana" w:cs="Arial"/>
          <w:bCs/>
          <w:color w:val="000000" w:themeColor="text1"/>
          <w:lang w:val="es-MX" w:eastAsia="es-ES_tradnl"/>
        </w:rPr>
        <w:footnoteReference w:id="1"/>
      </w:r>
      <w:r w:rsidR="006703DA" w:rsidRPr="00F145EE">
        <w:rPr>
          <w:rFonts w:ascii="Verdana" w:eastAsia="Calibri" w:hAnsi="Verdana" w:cs="Arial"/>
          <w:bCs/>
          <w:color w:val="000000" w:themeColor="text1"/>
          <w:lang w:val="es-MX" w:eastAsia="es-ES_tradnl"/>
        </w:rPr>
        <w:t xml:space="preserve">. </w:t>
      </w:r>
    </w:p>
    <w:p w14:paraId="071B0360" w14:textId="7F665960" w:rsidR="006703DA" w:rsidRPr="00F145EE" w:rsidRDefault="00BF5FC4" w:rsidP="006703DA">
      <w:pPr>
        <w:spacing w:after="120" w:line="276" w:lineRule="auto"/>
        <w:ind w:firstLine="708"/>
        <w:jc w:val="both"/>
        <w:rPr>
          <w:rFonts w:ascii="Verdana" w:eastAsia="Calibri" w:hAnsi="Verdana" w:cs="Arial"/>
          <w:bCs/>
          <w:color w:val="000000" w:themeColor="text1"/>
          <w:lang w:val="es-MX" w:eastAsia="es-ES_tradnl"/>
        </w:rPr>
      </w:pPr>
      <w:r>
        <w:rPr>
          <w:rFonts w:ascii="Verdana" w:eastAsia="Calibri" w:hAnsi="Verdana" w:cs="Arial"/>
          <w:bCs/>
          <w:color w:val="000000" w:themeColor="text1"/>
          <w:lang w:val="es-MX" w:eastAsia="es-ES_tradnl"/>
        </w:rPr>
        <w:t>Así las cosas, s</w:t>
      </w:r>
      <w:r w:rsidR="006703DA" w:rsidRPr="00F145EE">
        <w:rPr>
          <w:rFonts w:ascii="Verdana" w:eastAsia="Calibri" w:hAnsi="Verdana" w:cs="Arial"/>
          <w:bCs/>
          <w:color w:val="000000" w:themeColor="text1"/>
          <w:lang w:val="es-MX" w:eastAsia="es-ES_tradnl"/>
        </w:rPr>
        <w:t>alvo norma especial que ordene la celebración del negocio jurídico por otra modalidad de selección, debe aplicarse la regla general de licitación pública</w:t>
      </w:r>
      <w:r w:rsidR="006703DA" w:rsidRPr="00F145EE">
        <w:rPr>
          <w:rStyle w:val="Refdenotaalpie"/>
          <w:rFonts w:ascii="Verdana" w:eastAsia="Calibri" w:hAnsi="Verdana" w:cs="Arial"/>
          <w:bCs/>
          <w:color w:val="000000" w:themeColor="text1"/>
          <w:lang w:val="es-MX" w:eastAsia="es-ES_tradnl"/>
        </w:rPr>
        <w:footnoteReference w:id="2"/>
      </w:r>
      <w:r w:rsidR="006703DA" w:rsidRPr="00F145EE">
        <w:rPr>
          <w:rFonts w:ascii="Verdana" w:eastAsia="Calibri" w:hAnsi="Verdana" w:cs="Arial"/>
          <w:bCs/>
          <w:color w:val="000000" w:themeColor="text1"/>
          <w:lang w:val="es-MX" w:eastAsia="es-ES_tradnl"/>
        </w:rPr>
        <w:t xml:space="preserve">. </w:t>
      </w:r>
      <w:r w:rsidR="00255AB3">
        <w:rPr>
          <w:rFonts w:ascii="Verdana" w:eastAsia="Calibri" w:hAnsi="Verdana" w:cs="Arial"/>
          <w:bCs/>
          <w:color w:val="000000" w:themeColor="text1"/>
          <w:lang w:val="es-MX" w:eastAsia="es-ES_tradnl"/>
        </w:rPr>
        <w:t>Del texto de la norma también se concluye que</w:t>
      </w:r>
      <w:r w:rsidR="006703DA" w:rsidRPr="00F145EE">
        <w:rPr>
          <w:rFonts w:ascii="Verdana" w:eastAsia="Calibri" w:hAnsi="Verdana" w:cs="Arial"/>
          <w:bCs/>
          <w:color w:val="000000" w:themeColor="text1"/>
          <w:lang w:val="es-MX" w:eastAsia="es-ES_tradnl"/>
        </w:rPr>
        <w:t>, dependiendo del objeto o el valor de presupuesto oficial, es posible aplica</w:t>
      </w:r>
      <w:r w:rsidR="00884DA8">
        <w:rPr>
          <w:rFonts w:ascii="Verdana" w:eastAsia="Calibri" w:hAnsi="Verdana" w:cs="Arial"/>
          <w:bCs/>
          <w:color w:val="000000" w:themeColor="text1"/>
          <w:lang w:val="es-MX" w:eastAsia="es-ES_tradnl"/>
        </w:rPr>
        <w:t>r</w:t>
      </w:r>
      <w:r w:rsidR="006703DA" w:rsidRPr="00F145EE">
        <w:rPr>
          <w:rFonts w:ascii="Verdana" w:eastAsia="Calibri" w:hAnsi="Verdana" w:cs="Arial"/>
          <w:bCs/>
          <w:color w:val="000000" w:themeColor="text1"/>
          <w:lang w:val="es-MX" w:eastAsia="es-ES_tradnl"/>
        </w:rPr>
        <w:t xml:space="preserve"> de otros procedimientos contractuales. Estos pueden ser con pluralidad de oferentes –v. gr. la selección abreviada de menor cuantía o la mínima cuantía– o sin concurrencia de proponentes –por ejemplo, la contratación directa–.</w:t>
      </w:r>
    </w:p>
    <w:p w14:paraId="325D209D" w14:textId="77FDBAC9" w:rsidR="006703DA" w:rsidRPr="00F145EE" w:rsidRDefault="006703DA" w:rsidP="006703DA">
      <w:pPr>
        <w:spacing w:after="12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lang w:val="es-MX" w:eastAsia="es-ES_tradnl"/>
        </w:rPr>
        <w:t>Respecto de la selección abreviada,</w:t>
      </w:r>
      <w:r w:rsidR="006A1269">
        <w:rPr>
          <w:rFonts w:ascii="Verdana" w:eastAsia="Calibri" w:hAnsi="Verdana" w:cs="Arial"/>
          <w:bCs/>
          <w:color w:val="000000" w:themeColor="text1"/>
          <w:lang w:val="es-MX" w:eastAsia="es-ES_tradnl"/>
        </w:rPr>
        <w:t xml:space="preserve"> a la cual se refiere en su consulta</w:t>
      </w:r>
      <w:r w:rsidRPr="00F145EE">
        <w:rPr>
          <w:rFonts w:ascii="Verdana" w:eastAsia="Calibri" w:hAnsi="Verdana" w:cs="Arial"/>
          <w:bCs/>
          <w:color w:val="000000" w:themeColor="text1"/>
          <w:lang w:val="es-MX" w:eastAsia="es-ES_tradnl"/>
        </w:rPr>
        <w:t xml:space="preserve">, </w:t>
      </w:r>
      <w:r w:rsidRPr="00F145EE">
        <w:rPr>
          <w:rFonts w:ascii="Verdana" w:eastAsia="Calibri" w:hAnsi="Verdana" w:cs="Arial"/>
          <w:color w:val="000000" w:themeColor="text1"/>
        </w:rPr>
        <w:t xml:space="preserve">el numeral 2 del artículo 2 de la Ley 1150 de 2007 dispone que “[…] corresponde a la modalidad de selección objetiva prevista para aquellos casos en </w:t>
      </w:r>
      <w:proofErr w:type="gramStart"/>
      <w:r w:rsidRPr="00F145EE">
        <w:rPr>
          <w:rFonts w:ascii="Verdana" w:eastAsia="Calibri" w:hAnsi="Verdana" w:cs="Arial"/>
          <w:color w:val="000000" w:themeColor="text1"/>
        </w:rPr>
        <w:t>que</w:t>
      </w:r>
      <w:proofErr w:type="gramEnd"/>
      <w:r w:rsidRPr="00F145EE">
        <w:rPr>
          <w:rFonts w:ascii="Verdana" w:eastAsia="Calibri" w:hAnsi="Verdana" w:cs="Arial"/>
          <w:color w:val="000000" w:themeColor="text1"/>
        </w:rPr>
        <w:t xml:space="preserve"> por las </w:t>
      </w:r>
      <w:r w:rsidRPr="00F145EE">
        <w:rPr>
          <w:rFonts w:ascii="Verdana" w:eastAsia="Calibri" w:hAnsi="Verdana" w:cs="Arial"/>
          <w:color w:val="000000" w:themeColor="text1"/>
        </w:rPr>
        <w:lastRenderedPageBreak/>
        <w:t>características del objeto a contratar, las circunstancias de la contratación o la cuantía o destinación del bien, obra o servicio puedan adelantarse procesos simplificados para garantizar la eficiencia de la gestión contractual”</w:t>
      </w:r>
      <w:r w:rsidR="000D63E2">
        <w:rPr>
          <w:rFonts w:ascii="Verdana" w:eastAsia="Calibri" w:hAnsi="Verdana" w:cs="Arial"/>
          <w:color w:val="000000" w:themeColor="text1"/>
        </w:rPr>
        <w:t xml:space="preserve">. </w:t>
      </w:r>
      <w:r w:rsidR="006045D6">
        <w:rPr>
          <w:rFonts w:ascii="Verdana" w:eastAsia="Calibri" w:hAnsi="Verdana" w:cs="Arial"/>
          <w:color w:val="000000" w:themeColor="text1"/>
        </w:rPr>
        <w:t>Esta</w:t>
      </w:r>
      <w:r w:rsidR="000D63E2">
        <w:rPr>
          <w:rFonts w:ascii="Verdana" w:eastAsia="Calibri" w:hAnsi="Verdana" w:cs="Arial"/>
          <w:color w:val="000000" w:themeColor="text1"/>
        </w:rPr>
        <w:t xml:space="preserve"> disposición</w:t>
      </w:r>
      <w:r w:rsidR="006045D6">
        <w:rPr>
          <w:rFonts w:ascii="Verdana" w:eastAsia="Calibri" w:hAnsi="Verdana" w:cs="Arial"/>
          <w:color w:val="000000" w:themeColor="text1"/>
        </w:rPr>
        <w:t>,</w:t>
      </w:r>
      <w:r w:rsidR="000D63E2">
        <w:rPr>
          <w:rFonts w:ascii="Verdana" w:eastAsia="Calibri" w:hAnsi="Verdana" w:cs="Arial"/>
          <w:color w:val="000000" w:themeColor="text1"/>
        </w:rPr>
        <w:t xml:space="preserve"> a su </w:t>
      </w:r>
      <w:r w:rsidR="006045D6">
        <w:rPr>
          <w:rFonts w:ascii="Verdana" w:eastAsia="Calibri" w:hAnsi="Verdana" w:cs="Arial"/>
          <w:color w:val="000000" w:themeColor="text1"/>
        </w:rPr>
        <w:t>vez,</w:t>
      </w:r>
      <w:r w:rsidR="000D63E2">
        <w:rPr>
          <w:rFonts w:ascii="Verdana" w:eastAsia="Calibri" w:hAnsi="Verdana" w:cs="Arial"/>
          <w:color w:val="000000" w:themeColor="text1"/>
        </w:rPr>
        <w:t xml:space="preserve"> </w:t>
      </w:r>
      <w:r w:rsidRPr="00F145EE">
        <w:rPr>
          <w:rFonts w:ascii="Verdana" w:eastAsia="Calibri" w:hAnsi="Verdana" w:cs="Arial"/>
          <w:color w:val="000000" w:themeColor="text1"/>
        </w:rPr>
        <w:t>regula cada una de las causales</w:t>
      </w:r>
      <w:r w:rsidR="000D63E2">
        <w:rPr>
          <w:rFonts w:ascii="Verdana" w:eastAsia="Calibri" w:hAnsi="Verdana" w:cs="Arial"/>
          <w:color w:val="000000" w:themeColor="text1"/>
        </w:rPr>
        <w:t xml:space="preserve"> frente a las cuales procede esta modalidad de contratación</w:t>
      </w:r>
      <w:r w:rsidRPr="00F145EE">
        <w:rPr>
          <w:rStyle w:val="Refdenotaalpie"/>
          <w:rFonts w:ascii="Verdana" w:eastAsia="Calibri" w:hAnsi="Verdana" w:cs="Arial"/>
          <w:color w:val="000000" w:themeColor="text1"/>
        </w:rPr>
        <w:footnoteReference w:id="3"/>
      </w:r>
      <w:r w:rsidRPr="00F145EE">
        <w:rPr>
          <w:rFonts w:ascii="Verdana" w:eastAsia="Calibri" w:hAnsi="Verdana" w:cs="Arial"/>
          <w:color w:val="000000" w:themeColor="text1"/>
        </w:rPr>
        <w:t xml:space="preserve">. </w:t>
      </w:r>
    </w:p>
    <w:p w14:paraId="39B8FD5A" w14:textId="7748369C" w:rsidR="006703DA" w:rsidRPr="00F145EE" w:rsidRDefault="006703DA" w:rsidP="006703DA">
      <w:pPr>
        <w:spacing w:after="0" w:line="276" w:lineRule="auto"/>
        <w:ind w:firstLine="708"/>
        <w:jc w:val="both"/>
        <w:rPr>
          <w:rFonts w:ascii="Verdana" w:eastAsia="Calibri" w:hAnsi="Verdana" w:cs="Arial"/>
          <w:color w:val="000000" w:themeColor="text1"/>
        </w:rPr>
      </w:pPr>
      <w:r w:rsidRPr="00F145EE">
        <w:rPr>
          <w:rFonts w:ascii="Verdana" w:eastAsia="Calibri" w:hAnsi="Verdana" w:cs="Arial"/>
          <w:color w:val="000000" w:themeColor="text1"/>
        </w:rPr>
        <w:t>Se trata de un procedimiento que, conforme a la reglamentación exp</w:t>
      </w:r>
      <w:r w:rsidR="002A190B">
        <w:rPr>
          <w:rFonts w:ascii="Verdana" w:eastAsia="Calibri" w:hAnsi="Verdana" w:cs="Arial"/>
          <w:color w:val="000000" w:themeColor="text1"/>
        </w:rPr>
        <w:t>e</w:t>
      </w:r>
      <w:r w:rsidRPr="00F145EE">
        <w:rPr>
          <w:rFonts w:ascii="Verdana" w:eastAsia="Calibri" w:hAnsi="Verdana" w:cs="Arial"/>
          <w:color w:val="000000" w:themeColor="text1"/>
        </w:rPr>
        <w:t>d</w:t>
      </w:r>
      <w:r w:rsidR="00FF082D">
        <w:rPr>
          <w:rFonts w:ascii="Verdana" w:eastAsia="Calibri" w:hAnsi="Verdana" w:cs="Arial"/>
          <w:color w:val="000000" w:themeColor="text1"/>
        </w:rPr>
        <w:t>id</w:t>
      </w:r>
      <w:r w:rsidRPr="00F145EE">
        <w:rPr>
          <w:rFonts w:ascii="Verdana" w:eastAsia="Calibri" w:hAnsi="Verdana" w:cs="Arial"/>
          <w:color w:val="000000" w:themeColor="text1"/>
        </w:rPr>
        <w:t xml:space="preserve">a </w:t>
      </w:r>
      <w:r w:rsidR="002A190B">
        <w:rPr>
          <w:rFonts w:ascii="Verdana" w:eastAsia="Calibri" w:hAnsi="Verdana" w:cs="Arial"/>
          <w:color w:val="000000" w:themeColor="text1"/>
        </w:rPr>
        <w:t>por</w:t>
      </w:r>
      <w:r w:rsidRPr="00F145EE">
        <w:rPr>
          <w:rFonts w:ascii="Verdana" w:eastAsia="Calibri" w:hAnsi="Verdana" w:cs="Arial"/>
          <w:color w:val="000000" w:themeColor="text1"/>
        </w:rPr>
        <w:t xml:space="preserve"> el Gobierno Nacional, </w:t>
      </w:r>
      <w:r w:rsidR="002A190B">
        <w:rPr>
          <w:rFonts w:ascii="Verdana" w:eastAsia="Calibri" w:hAnsi="Verdana" w:cs="Arial"/>
          <w:color w:val="000000" w:themeColor="text1"/>
        </w:rPr>
        <w:t xml:space="preserve">permite </w:t>
      </w:r>
      <w:r w:rsidRPr="00F145EE">
        <w:rPr>
          <w:rFonts w:ascii="Verdana" w:eastAsia="Calibri" w:hAnsi="Verdana" w:cs="Arial"/>
          <w:color w:val="000000" w:themeColor="text1"/>
        </w:rPr>
        <w:t>agiliza</w:t>
      </w:r>
      <w:r w:rsidR="002A190B">
        <w:rPr>
          <w:rFonts w:ascii="Verdana" w:eastAsia="Calibri" w:hAnsi="Verdana" w:cs="Arial"/>
          <w:color w:val="000000" w:themeColor="text1"/>
        </w:rPr>
        <w:t>r</w:t>
      </w:r>
      <w:r w:rsidRPr="00F145EE">
        <w:rPr>
          <w:rFonts w:ascii="Verdana" w:eastAsia="Calibri" w:hAnsi="Verdana" w:cs="Arial"/>
          <w:color w:val="000000" w:themeColor="text1"/>
        </w:rPr>
        <w:t xml:space="preserve"> la contratación estatal en los eventos en que no se justifica adelantar una licitación pública, pero tampoco limitar la participación de los proponentes como en la contratación directa</w:t>
      </w:r>
      <w:r w:rsidR="00D53873">
        <w:rPr>
          <w:rFonts w:ascii="Verdana" w:eastAsia="Calibri" w:hAnsi="Verdana" w:cs="Arial"/>
          <w:color w:val="000000" w:themeColor="text1"/>
        </w:rPr>
        <w:t>. D</w:t>
      </w:r>
      <w:r w:rsidRPr="00F145EE">
        <w:rPr>
          <w:rFonts w:ascii="Verdana" w:eastAsia="Calibri" w:hAnsi="Verdana" w:cs="Arial"/>
          <w:color w:val="000000" w:themeColor="text1"/>
        </w:rPr>
        <w:t>e forma tal que</w:t>
      </w:r>
      <w:r w:rsidR="00E50DE8">
        <w:rPr>
          <w:rFonts w:ascii="Verdana" w:eastAsia="Calibri" w:hAnsi="Verdana" w:cs="Arial"/>
          <w:color w:val="000000" w:themeColor="text1"/>
        </w:rPr>
        <w:t>, la selección abreviada</w:t>
      </w:r>
      <w:r w:rsidRPr="00F145EE">
        <w:rPr>
          <w:rFonts w:ascii="Verdana" w:eastAsia="Calibri" w:hAnsi="Verdana" w:cs="Arial"/>
          <w:color w:val="000000" w:themeColor="text1"/>
        </w:rPr>
        <w:t xml:space="preserve"> es un mecanismo de selección objetiva que asegura </w:t>
      </w:r>
      <w:r w:rsidRPr="00F145EE">
        <w:rPr>
          <w:rFonts w:ascii="Verdana" w:eastAsia="Calibri" w:hAnsi="Verdana" w:cs="Arial"/>
          <w:color w:val="000000" w:themeColor="text1"/>
        </w:rPr>
        <w:lastRenderedPageBreak/>
        <w:t>una mayor concurrencia de participantes sin sacrificar los principios de eficacia y eficiencia en el proceso de selección. En la exposición de motivos se explica lo siguiente:</w:t>
      </w:r>
    </w:p>
    <w:p w14:paraId="08DC4921" w14:textId="77777777" w:rsidR="006703DA" w:rsidRPr="00F145EE" w:rsidRDefault="006703DA" w:rsidP="006703DA">
      <w:pPr>
        <w:spacing w:after="0" w:line="276" w:lineRule="auto"/>
        <w:jc w:val="both"/>
        <w:rPr>
          <w:rFonts w:ascii="Verdana" w:eastAsia="Calibri" w:hAnsi="Verdana" w:cs="Arial"/>
          <w:color w:val="000000" w:themeColor="text1"/>
        </w:rPr>
      </w:pPr>
    </w:p>
    <w:p w14:paraId="05EE2BE4" w14:textId="77777777" w:rsidR="006703DA" w:rsidRPr="008B0875" w:rsidRDefault="006703DA" w:rsidP="00FF082D">
      <w:pPr>
        <w:spacing w:after="0" w:line="240" w:lineRule="auto"/>
        <w:ind w:left="709" w:right="709"/>
        <w:jc w:val="both"/>
        <w:rPr>
          <w:rFonts w:ascii="Verdana" w:eastAsia="Calibri" w:hAnsi="Verdana" w:cs="Arial"/>
          <w:color w:val="000000" w:themeColor="text1"/>
          <w:sz w:val="20"/>
          <w:szCs w:val="20"/>
        </w:rPr>
      </w:pPr>
      <w:r w:rsidRPr="008B0875">
        <w:rPr>
          <w:rFonts w:ascii="Verdana" w:eastAsia="Calibri" w:hAnsi="Verdana" w:cs="Arial"/>
          <w:color w:val="000000" w:themeColor="text1"/>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2E27D36B" w14:textId="77777777" w:rsidR="00FF082D" w:rsidRPr="008B0875" w:rsidRDefault="00FF082D" w:rsidP="004823C8">
      <w:pPr>
        <w:spacing w:after="0" w:line="240" w:lineRule="auto"/>
        <w:ind w:left="709" w:right="709"/>
        <w:jc w:val="both"/>
        <w:rPr>
          <w:rFonts w:ascii="Verdana" w:eastAsia="Calibri" w:hAnsi="Verdana" w:cs="Arial"/>
          <w:color w:val="000000" w:themeColor="text1"/>
          <w:sz w:val="20"/>
          <w:szCs w:val="20"/>
        </w:rPr>
      </w:pPr>
    </w:p>
    <w:p w14:paraId="1D168673" w14:textId="77777777" w:rsidR="006703DA" w:rsidRPr="008B0875" w:rsidRDefault="006703DA" w:rsidP="006703DA">
      <w:pPr>
        <w:spacing w:after="0" w:line="240" w:lineRule="auto"/>
        <w:ind w:left="709" w:right="709"/>
        <w:jc w:val="both"/>
        <w:rPr>
          <w:rFonts w:ascii="Verdana" w:eastAsia="Calibri" w:hAnsi="Verdana" w:cs="Arial"/>
          <w:color w:val="000000" w:themeColor="text1"/>
          <w:sz w:val="20"/>
          <w:szCs w:val="20"/>
        </w:rPr>
      </w:pPr>
      <w:r w:rsidRPr="008B0875">
        <w:rPr>
          <w:rFonts w:ascii="Verdana" w:eastAsia="Calibri" w:hAnsi="Verdana" w:cs="Arial"/>
          <w:color w:val="000000" w:themeColor="text1"/>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w:t>
      </w:r>
      <w:r w:rsidRPr="008B0875">
        <w:rPr>
          <w:rStyle w:val="Refdenotaalpie"/>
          <w:rFonts w:ascii="Verdana" w:eastAsia="Calibri" w:hAnsi="Verdana" w:cs="Arial"/>
          <w:color w:val="000000" w:themeColor="text1"/>
          <w:sz w:val="20"/>
          <w:szCs w:val="20"/>
        </w:rPr>
        <w:footnoteReference w:id="4"/>
      </w:r>
      <w:r w:rsidRPr="008B0875">
        <w:rPr>
          <w:rFonts w:ascii="Verdana" w:eastAsia="Calibri" w:hAnsi="Verdana" w:cs="Arial"/>
          <w:color w:val="000000" w:themeColor="text1"/>
          <w:sz w:val="20"/>
          <w:szCs w:val="20"/>
        </w:rPr>
        <w:t>.</w:t>
      </w:r>
    </w:p>
    <w:p w14:paraId="0524F7E7" w14:textId="77777777" w:rsidR="006703DA" w:rsidRDefault="006703DA" w:rsidP="006703DA">
      <w:pPr>
        <w:spacing w:after="0" w:line="276" w:lineRule="auto"/>
        <w:jc w:val="both"/>
        <w:rPr>
          <w:rFonts w:ascii="Verdana" w:eastAsia="Calibri" w:hAnsi="Verdana" w:cs="Arial"/>
          <w:lang w:eastAsia="es-ES"/>
        </w:rPr>
      </w:pPr>
    </w:p>
    <w:p w14:paraId="57BFFBC7" w14:textId="2CB655F2" w:rsidR="006703DA" w:rsidRPr="00F145EE" w:rsidRDefault="006703DA" w:rsidP="00F85263">
      <w:pPr>
        <w:spacing w:after="120" w:line="276" w:lineRule="auto"/>
        <w:ind w:firstLine="708"/>
        <w:jc w:val="both"/>
        <w:rPr>
          <w:rFonts w:ascii="Verdana" w:eastAsia="Calibri" w:hAnsi="Verdana" w:cs="Arial"/>
          <w:color w:val="000000" w:themeColor="text1"/>
        </w:rPr>
      </w:pPr>
      <w:r w:rsidRPr="00F145EE">
        <w:rPr>
          <w:rFonts w:ascii="Verdana" w:eastAsia="Calibri" w:hAnsi="Verdana" w:cs="Arial"/>
          <w:color w:val="000000" w:themeColor="text1"/>
        </w:rPr>
        <w:t>La selección abreviada se caracteriza por tener etapas un poco más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F145EE">
        <w:rPr>
          <w:rStyle w:val="Refdenotaalpie"/>
          <w:rFonts w:ascii="Verdana" w:eastAsia="Calibri" w:hAnsi="Verdana" w:cs="Arial"/>
          <w:color w:val="000000" w:themeColor="text1"/>
        </w:rPr>
        <w:footnoteReference w:id="5"/>
      </w:r>
      <w:r w:rsidRPr="00F145EE">
        <w:rPr>
          <w:rFonts w:ascii="Verdana" w:eastAsia="Calibri" w:hAnsi="Verdana" w:cs="Arial"/>
          <w:color w:val="000000" w:themeColor="text1"/>
        </w:rPr>
        <w:t xml:space="preserve">. </w:t>
      </w:r>
    </w:p>
    <w:p w14:paraId="3F8A9118" w14:textId="72334C99" w:rsidR="00607957" w:rsidRPr="00213C84" w:rsidRDefault="00C9500F" w:rsidP="004823C8">
      <w:pPr>
        <w:spacing w:after="0" w:line="276" w:lineRule="auto"/>
        <w:ind w:firstLine="708"/>
        <w:jc w:val="both"/>
        <w:rPr>
          <w:rFonts w:ascii="Verdana" w:eastAsia="Calibri" w:hAnsi="Verdana" w:cs="Arial"/>
          <w:lang w:eastAsia="es-ES"/>
        </w:rPr>
      </w:pPr>
      <w:r>
        <w:rPr>
          <w:rFonts w:ascii="Verdana" w:eastAsia="Calibri" w:hAnsi="Verdana" w:cs="Arial"/>
          <w:lang w:eastAsia="es-ES"/>
        </w:rPr>
        <w:t>Por su parte</w:t>
      </w:r>
      <w:r w:rsidR="00607957" w:rsidRPr="00213C84">
        <w:rPr>
          <w:rFonts w:ascii="Verdana" w:eastAsia="Calibri" w:hAnsi="Verdana" w:cs="Arial"/>
          <w:lang w:eastAsia="es-ES"/>
        </w:rPr>
        <w:t>,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destaca la contratación de menor cuantía y la subasta inversa.</w:t>
      </w:r>
    </w:p>
    <w:p w14:paraId="2D9DF25F" w14:textId="65DE568E" w:rsidR="0050721A" w:rsidRDefault="0050721A" w:rsidP="004823C8">
      <w:pPr>
        <w:spacing w:after="0" w:line="276" w:lineRule="auto"/>
        <w:jc w:val="both"/>
        <w:rPr>
          <w:rFonts w:ascii="Verdana" w:eastAsia="Calibri" w:hAnsi="Verdana" w:cs="Arial"/>
          <w:color w:val="000000" w:themeColor="text1"/>
        </w:rPr>
      </w:pPr>
    </w:p>
    <w:p w14:paraId="7B2AD6DC" w14:textId="2B1C4ED6" w:rsidR="006703DA" w:rsidRPr="00F145EE" w:rsidRDefault="0050721A" w:rsidP="004823C8">
      <w:pPr>
        <w:spacing w:after="120" w:line="276" w:lineRule="auto"/>
        <w:jc w:val="both"/>
        <w:rPr>
          <w:rFonts w:ascii="Verdana" w:eastAsia="Calibri" w:hAnsi="Verdana" w:cs="Arial"/>
          <w:color w:val="000000" w:themeColor="text1"/>
          <w:szCs w:val="24"/>
          <w:lang w:val="es-ES_tradnl" w:eastAsia="es-ES_tradnl"/>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w:t>
      </w:r>
      <w:r w:rsidR="006C6659">
        <w:rPr>
          <w:rFonts w:ascii="Verdana" w:eastAsia="Calibri" w:hAnsi="Verdana" w:cs="Arial"/>
          <w:color w:val="000000" w:themeColor="text1"/>
        </w:rPr>
        <w:t xml:space="preserve"> En relación con las causales</w:t>
      </w:r>
      <w:r w:rsidR="002014E4">
        <w:rPr>
          <w:rFonts w:ascii="Verdana" w:eastAsia="Calibri" w:hAnsi="Verdana" w:cs="Arial"/>
          <w:color w:val="000000" w:themeColor="text1"/>
        </w:rPr>
        <w:t xml:space="preserve"> frente a las cuales procede</w:t>
      </w:r>
      <w:r w:rsidR="006703DA" w:rsidRPr="00F145EE">
        <w:rPr>
          <w:rFonts w:ascii="Verdana" w:eastAsia="Calibri" w:hAnsi="Verdana" w:cs="Arial"/>
          <w:color w:val="000000" w:themeColor="text1"/>
          <w:szCs w:val="24"/>
          <w:lang w:val="es-ES_tradnl" w:eastAsia="es-ES_tradnl"/>
        </w:rPr>
        <w:t xml:space="preserve">,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006703DA" w:rsidRPr="00F145EE">
        <w:rPr>
          <w:rFonts w:ascii="Verdana" w:eastAsia="Calibri" w:hAnsi="Verdana" w:cs="Arial"/>
          <w:bCs/>
          <w:color w:val="000000" w:themeColor="text1"/>
        </w:rPr>
        <w:t xml:space="preserve">el artículo 28 del Código Civil dispone que “Las palabras de la ley se </w:t>
      </w:r>
      <w:r w:rsidR="006703DA" w:rsidRPr="00F145EE">
        <w:rPr>
          <w:rFonts w:ascii="Verdana" w:eastAsia="Calibri" w:hAnsi="Verdana" w:cs="Arial"/>
          <w:bCs/>
          <w:color w:val="000000" w:themeColor="text1"/>
        </w:rPr>
        <w:lastRenderedPageBreak/>
        <w:t xml:space="preserve">entenderán en su sentido natural y obvio, según el uso general de las mismas palabras; pero cuando el legislador las haya definido expresamente para ciertas materias, se les dará en éstas su significado legal”; igualmente, el artículo 29 </w:t>
      </w:r>
      <w:r w:rsidR="006703DA" w:rsidRPr="00F145EE">
        <w:rPr>
          <w:rFonts w:ascii="Verdana" w:eastAsia="Calibri" w:hAnsi="Verdana" w:cs="Arial"/>
          <w:bCs/>
          <w:i/>
          <w:iCs/>
          <w:color w:val="000000" w:themeColor="text1"/>
        </w:rPr>
        <w:t>ibidem</w:t>
      </w:r>
      <w:r w:rsidR="006703DA" w:rsidRPr="00F145EE">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006703DA" w:rsidRPr="00F145EE">
        <w:rPr>
          <w:rStyle w:val="Refdenotaalpie"/>
          <w:rFonts w:ascii="Verdana" w:eastAsia="Calibri" w:hAnsi="Verdana" w:cs="Arial"/>
          <w:bCs/>
          <w:color w:val="000000" w:themeColor="text1"/>
        </w:rPr>
        <w:footnoteReference w:id="6"/>
      </w:r>
      <w:r w:rsidR="006703DA" w:rsidRPr="00F145EE">
        <w:rPr>
          <w:rFonts w:ascii="Verdana" w:eastAsia="Calibri" w:hAnsi="Verdana" w:cs="Arial"/>
          <w:bCs/>
          <w:color w:val="000000" w:themeColor="text1"/>
        </w:rPr>
        <w:t xml:space="preserve">. </w:t>
      </w:r>
    </w:p>
    <w:p w14:paraId="3581A065" w14:textId="2AB5BF19" w:rsidR="006703DA" w:rsidRPr="00F145EE" w:rsidRDefault="00DE4FC8" w:rsidP="006703DA">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ese sentido</w:t>
      </w:r>
      <w:r w:rsidR="006703DA" w:rsidRPr="00F145EE">
        <w:rPr>
          <w:rFonts w:ascii="Verdana" w:eastAsia="Calibri" w:hAnsi="Verdana" w:cs="Arial"/>
          <w:bCs/>
          <w:color w:val="000000" w:themeColor="text1"/>
        </w:rPr>
        <w:t xml:space="preserve">, el literal a) del artículo 2, numeral 2 de la Ley 1150 de 2007, </w:t>
      </w:r>
      <w:r>
        <w:rPr>
          <w:rFonts w:ascii="Verdana" w:eastAsia="Calibri" w:hAnsi="Verdana" w:cs="Arial"/>
          <w:bCs/>
          <w:color w:val="000000" w:themeColor="text1"/>
        </w:rPr>
        <w:t>define</w:t>
      </w:r>
      <w:r w:rsidR="006703DA" w:rsidRPr="00F145EE">
        <w:rPr>
          <w:rFonts w:ascii="Verdana" w:eastAsia="Calibri" w:hAnsi="Verdana" w:cs="Arial"/>
          <w:bCs/>
          <w:color w:val="000000" w:themeColor="text1"/>
        </w:rPr>
        <w:t xml:space="preserve"> </w:t>
      </w:r>
      <w:r w:rsidR="006703DA" w:rsidRPr="004823C8">
        <w:rPr>
          <w:rFonts w:ascii="Verdana" w:eastAsia="Calibri" w:hAnsi="Verdana" w:cs="Arial"/>
          <w:i/>
          <w:color w:val="000000" w:themeColor="text1"/>
        </w:rPr>
        <w:t>los bienes y servicios de características técnicas uniformes</w:t>
      </w:r>
      <w:r w:rsidR="006703DA" w:rsidRPr="00F145EE">
        <w:rPr>
          <w:rFonts w:ascii="Verdana" w:eastAsia="Calibri" w:hAnsi="Verdana" w:cs="Arial"/>
          <w:bCs/>
          <w:color w:val="000000" w:themeColor="text1"/>
        </w:rPr>
        <w:t xml:space="preserve"> </w:t>
      </w:r>
      <w:r w:rsidR="00C2259C">
        <w:rPr>
          <w:rFonts w:ascii="Verdana" w:eastAsia="Calibri" w:hAnsi="Verdana" w:cs="Arial"/>
          <w:bCs/>
          <w:color w:val="000000" w:themeColor="text1"/>
        </w:rPr>
        <w:t xml:space="preserve">como: </w:t>
      </w:r>
      <w:r w:rsidR="006703DA" w:rsidRPr="00F145EE">
        <w:rPr>
          <w:rFonts w:ascii="Verdana" w:eastAsia="Calibri" w:hAnsi="Verdana" w:cs="Arial"/>
          <w:bCs/>
          <w:color w:val="000000" w:themeColor="text1"/>
        </w:rPr>
        <w:t>“[…] aquellos que poseen las mismas especificaciones técnicas, con independencia de su diseño o de sus características descriptivas, y comparten patrones de desempeño y calidad objetivamente definidos”. Asimismo, el artículo 2.2.1.1.1.3.1 del Decreto 1082 de 2015 los de</w:t>
      </w:r>
      <w:r w:rsidR="00C2259C">
        <w:rPr>
          <w:rFonts w:ascii="Verdana" w:eastAsia="Calibri" w:hAnsi="Verdana" w:cs="Arial"/>
          <w:bCs/>
          <w:color w:val="000000" w:themeColor="text1"/>
        </w:rPr>
        <w:t>scribe</w:t>
      </w:r>
      <w:r w:rsidR="006703DA" w:rsidRPr="00F145EE">
        <w:rPr>
          <w:rFonts w:ascii="Verdana" w:eastAsia="Calibri" w:hAnsi="Verdana" w:cs="Arial"/>
          <w:bCs/>
          <w:color w:val="000000" w:themeColor="text1"/>
        </w:rPr>
        <w:t xml:space="preserv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48F320E0" w14:textId="77777777" w:rsidR="006703DA" w:rsidRPr="00F145EE" w:rsidRDefault="006703DA" w:rsidP="006703DA">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F145EE">
        <w:rPr>
          <w:rFonts w:ascii="Verdana" w:eastAsia="Calibri" w:hAnsi="Verdana" w:cs="Arial"/>
          <w:bCs/>
          <w:i/>
          <w:iCs/>
          <w:color w:val="000000" w:themeColor="text1"/>
        </w:rPr>
        <w:t>común utilización</w:t>
      </w:r>
      <w:r w:rsidRPr="00F145EE">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w:t>
      </w:r>
      <w:proofErr w:type="gramStart"/>
      <w:r w:rsidRPr="00F145EE">
        <w:rPr>
          <w:rFonts w:ascii="Verdana" w:eastAsia="Calibri" w:hAnsi="Verdana" w:cs="Arial"/>
          <w:bCs/>
          <w:color w:val="000000" w:themeColor="text1"/>
        </w:rPr>
        <w:t>los mismos</w:t>
      </w:r>
      <w:proofErr w:type="gramEnd"/>
      <w:r w:rsidRPr="00F145EE">
        <w:rPr>
          <w:rFonts w:ascii="Verdana" w:eastAsia="Calibri" w:hAnsi="Verdana" w:cs="Arial"/>
          <w:bCs/>
          <w:color w:val="000000" w:themeColor="text1"/>
        </w:rPr>
        <w:t xml:space="preserve"> en el mercado ocurriese en condiciones equivalentes para todo interesado en adquirirlos”</w:t>
      </w:r>
      <w:r w:rsidRPr="00F145EE">
        <w:rPr>
          <w:rStyle w:val="Refdenotaalpie"/>
          <w:rFonts w:ascii="Verdana" w:eastAsia="Calibri" w:hAnsi="Verdana" w:cs="Arial"/>
          <w:bCs/>
          <w:color w:val="000000" w:themeColor="text1"/>
        </w:rPr>
        <w:footnoteReference w:id="7"/>
      </w:r>
      <w:r w:rsidRPr="00F145EE">
        <w:rPr>
          <w:rFonts w:ascii="Verdana" w:eastAsia="Calibri" w:hAnsi="Verdana" w:cs="Arial"/>
          <w:bCs/>
          <w:color w:val="000000" w:themeColor="text1"/>
        </w:rPr>
        <w:t xml:space="preserve">. Por su parte, la </w:t>
      </w:r>
      <w:r w:rsidRPr="00F145EE">
        <w:rPr>
          <w:rFonts w:ascii="Verdana" w:eastAsia="Calibri" w:hAnsi="Verdana" w:cs="Arial"/>
          <w:bCs/>
          <w:i/>
          <w:iCs/>
          <w:color w:val="000000" w:themeColor="text1"/>
        </w:rPr>
        <w:t>homogeneidad</w:t>
      </w:r>
      <w:r w:rsidRPr="00F145EE">
        <w:rPr>
          <w:rFonts w:ascii="Verdana" w:eastAsia="Calibri" w:hAnsi="Verdana" w:cs="Arial"/>
          <w:bCs/>
          <w:color w:val="000000" w:themeColor="text1"/>
        </w:rPr>
        <w:t xml:space="preserve"> se refiere a que “[…] sean fácilmente describibles por características mínimas comunes a los de su </w:t>
      </w:r>
      <w:r w:rsidRPr="00F145EE">
        <w:rPr>
          <w:rFonts w:ascii="Verdana" w:eastAsia="Calibri" w:hAnsi="Verdana" w:cs="Arial"/>
          <w:bCs/>
          <w:color w:val="000000" w:themeColor="text1"/>
        </w:rPr>
        <w:lastRenderedPageBreak/>
        <w:t>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F145EE">
        <w:rPr>
          <w:rStyle w:val="Refdenotaalpie"/>
          <w:rFonts w:ascii="Verdana" w:eastAsia="Calibri" w:hAnsi="Verdana" w:cs="Arial"/>
          <w:bCs/>
          <w:color w:val="000000" w:themeColor="text1"/>
        </w:rPr>
        <w:footnoteReference w:id="8"/>
      </w:r>
      <w:r w:rsidRPr="00F145EE">
        <w:rPr>
          <w:rFonts w:ascii="Verdana" w:eastAsia="Calibri" w:hAnsi="Verdana" w:cs="Arial"/>
          <w:bCs/>
          <w:color w:val="000000" w:themeColor="text1"/>
        </w:rPr>
        <w:t>.</w:t>
      </w:r>
    </w:p>
    <w:p w14:paraId="6E050AD0" w14:textId="1B38E40B" w:rsidR="002318CB" w:rsidRDefault="006703DA" w:rsidP="004823C8">
      <w:pPr>
        <w:spacing w:after="120" w:line="276" w:lineRule="auto"/>
        <w:ind w:firstLine="708"/>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Los elementos centrales para definir si un bien o servicio </w:t>
      </w:r>
      <w:r w:rsidR="0062347D">
        <w:rPr>
          <w:rFonts w:ascii="Verdana" w:eastAsia="Calibri" w:hAnsi="Verdana" w:cs="Arial"/>
          <w:bCs/>
          <w:color w:val="000000" w:themeColor="text1"/>
        </w:rPr>
        <w:t>es</w:t>
      </w:r>
      <w:r w:rsidRPr="00F145EE">
        <w:rPr>
          <w:rFonts w:ascii="Verdana" w:eastAsia="Calibri" w:hAnsi="Verdana" w:cs="Arial"/>
          <w:bCs/>
          <w:color w:val="000000" w:themeColor="text1"/>
        </w:rPr>
        <w:t xml:space="preserve"> características técnicas uniformes consiste </w:t>
      </w:r>
      <w:r w:rsidR="0062347D">
        <w:rPr>
          <w:rFonts w:ascii="Verdana" w:eastAsia="Calibri" w:hAnsi="Verdana" w:cs="Arial"/>
          <w:bCs/>
          <w:color w:val="000000" w:themeColor="text1"/>
        </w:rPr>
        <w:t xml:space="preserve">son: i) </w:t>
      </w:r>
      <w:r w:rsidRPr="00F145EE">
        <w:rPr>
          <w:rFonts w:ascii="Verdana" w:eastAsia="Calibri" w:hAnsi="Verdana" w:cs="Arial"/>
          <w:bCs/>
          <w:color w:val="000000" w:themeColor="text1"/>
        </w:rPr>
        <w:t xml:space="preserve">que posea las mismas especificaciones técnicas y </w:t>
      </w:r>
      <w:proofErr w:type="spellStart"/>
      <w:r w:rsidR="0062347D">
        <w:rPr>
          <w:rFonts w:ascii="Verdana" w:eastAsia="Calibri" w:hAnsi="Verdana" w:cs="Arial"/>
          <w:bCs/>
          <w:color w:val="000000" w:themeColor="text1"/>
        </w:rPr>
        <w:t>ii</w:t>
      </w:r>
      <w:proofErr w:type="spellEnd"/>
      <w:r w:rsidR="0062347D">
        <w:rPr>
          <w:rFonts w:ascii="Verdana" w:eastAsia="Calibri" w:hAnsi="Verdana" w:cs="Arial"/>
          <w:bCs/>
          <w:color w:val="000000" w:themeColor="text1"/>
        </w:rPr>
        <w:t xml:space="preserve">) que </w:t>
      </w:r>
      <w:r w:rsidRPr="00F145EE">
        <w:rPr>
          <w:rFonts w:ascii="Verdana" w:eastAsia="Calibri" w:hAnsi="Verdana" w:cs="Arial"/>
          <w:bCs/>
          <w:color w:val="000000" w:themeColor="text1"/>
        </w:rPr>
        <w:t xml:space="preserve">compartan patrones de desempeño y calidad objetivamente definidos. Por ello, es posible adquirirlos en el mercado en condiciones estandarizadas u homogéneas, con independencia de su diseño o de sus características descriptivas, pues estas no afectan su funcionalidad. La forma en que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p>
    <w:p w14:paraId="32411794" w14:textId="01E47B3C" w:rsidR="006703DA" w:rsidRPr="00F145EE" w:rsidRDefault="006703DA" w:rsidP="006703DA">
      <w:pPr>
        <w:spacing w:after="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rPr>
        <w:t xml:space="preserve">Al respecto, la exposición de motivos de la Ley 1150 de 2007 </w:t>
      </w:r>
      <w:r w:rsidR="002318CB">
        <w:rPr>
          <w:rFonts w:ascii="Verdana" w:eastAsia="Calibri" w:hAnsi="Verdana" w:cs="Arial"/>
          <w:bCs/>
          <w:color w:val="000000" w:themeColor="text1"/>
        </w:rPr>
        <w:t>refuerza esta idea, al</w:t>
      </w:r>
      <w:r w:rsidRPr="00F145EE">
        <w:rPr>
          <w:rFonts w:ascii="Verdana" w:eastAsia="Calibri" w:hAnsi="Verdana" w:cs="Arial"/>
          <w:bCs/>
          <w:color w:val="000000" w:themeColor="text1"/>
        </w:rPr>
        <w:t xml:space="preserve"> explica</w:t>
      </w:r>
      <w:r w:rsidR="002318CB">
        <w:rPr>
          <w:rFonts w:ascii="Verdana" w:eastAsia="Calibri" w:hAnsi="Verdana" w:cs="Arial"/>
          <w:bCs/>
          <w:color w:val="000000" w:themeColor="text1"/>
        </w:rPr>
        <w:t>r</w:t>
      </w:r>
      <w:r w:rsidRPr="00F145EE">
        <w:rPr>
          <w:rFonts w:ascii="Verdana" w:eastAsia="Calibri" w:hAnsi="Verdana" w:cs="Arial"/>
          <w:bCs/>
          <w:color w:val="000000" w:themeColor="text1"/>
        </w:rPr>
        <w:t xml:space="preserve"> que: </w:t>
      </w:r>
    </w:p>
    <w:p w14:paraId="06325951" w14:textId="77777777" w:rsidR="006703DA" w:rsidRPr="00F145EE" w:rsidRDefault="006703DA" w:rsidP="006703DA">
      <w:pPr>
        <w:spacing w:after="0" w:line="276" w:lineRule="auto"/>
        <w:jc w:val="both"/>
        <w:rPr>
          <w:rFonts w:ascii="Verdana" w:eastAsia="Calibri" w:hAnsi="Verdana" w:cs="Arial"/>
          <w:color w:val="000000" w:themeColor="text1"/>
        </w:rPr>
      </w:pPr>
    </w:p>
    <w:p w14:paraId="54993604" w14:textId="77777777" w:rsidR="006703DA" w:rsidRPr="008B0875" w:rsidRDefault="006703DA" w:rsidP="006703DA">
      <w:pPr>
        <w:spacing w:after="0" w:line="240" w:lineRule="auto"/>
        <w:ind w:left="709" w:right="709"/>
        <w:jc w:val="both"/>
        <w:rPr>
          <w:rFonts w:ascii="Verdana" w:eastAsia="Calibri" w:hAnsi="Verdana" w:cs="Arial"/>
          <w:color w:val="000000" w:themeColor="text1"/>
          <w:sz w:val="20"/>
          <w:szCs w:val="20"/>
        </w:rPr>
      </w:pPr>
      <w:r w:rsidRPr="008B0875">
        <w:rPr>
          <w:rFonts w:ascii="Verdana" w:eastAsia="Calibri" w:hAnsi="Verdana" w:cs="Arial"/>
          <w:color w:val="000000" w:themeColor="text1"/>
          <w:sz w:val="20"/>
          <w:szCs w:val="20"/>
        </w:rPr>
        <w:t xml:space="preserve">“[…] las innovaciones del proceso de selección abreviada empiezan por una medida trascendental, para llevar a sólo horas los contratos referidos a la adquisición de bienes de ‘características técnicas uniformes y de común utilización’ </w:t>
      </w:r>
      <w:proofErr w:type="gramStart"/>
      <w:r w:rsidRPr="008B0875">
        <w:rPr>
          <w:rFonts w:ascii="Verdana" w:eastAsia="Calibri" w:hAnsi="Verdana" w:cs="Arial"/>
          <w:color w:val="000000" w:themeColor="text1"/>
          <w:sz w:val="20"/>
          <w:szCs w:val="20"/>
        </w:rPr>
        <w:t>que</w:t>
      </w:r>
      <w:proofErr w:type="gramEnd"/>
      <w:r w:rsidRPr="008B0875">
        <w:rPr>
          <w:rFonts w:ascii="Verdana" w:eastAsia="Calibri" w:hAnsi="Verdana" w:cs="Arial"/>
          <w:color w:val="000000" w:themeColor="text1"/>
          <w:sz w:val="20"/>
          <w:szCs w:val="20"/>
        </w:rPr>
        <w:t xml:space="preserve"> según cálculos del Departamento Nacional de Planeación, corresponden a más del 80% en número de contratos. </w:t>
      </w:r>
      <w:r w:rsidRPr="008B0875">
        <w:rPr>
          <w:rFonts w:ascii="Verdana" w:eastAsia="Calibri" w:hAnsi="Verdana" w:cs="Arial"/>
          <w:i/>
          <w:iCs/>
          <w:color w:val="000000" w:themeColor="text1"/>
          <w:sz w:val="20"/>
          <w:szCs w:val="20"/>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8B0875">
        <w:rPr>
          <w:rFonts w:ascii="Verdana" w:eastAsia="Calibri" w:hAnsi="Verdana" w:cs="Arial"/>
          <w:color w:val="000000" w:themeColor="text1"/>
          <w:sz w:val="20"/>
          <w:szCs w:val="20"/>
        </w:rPr>
        <w:t xml:space="preserve"> […]”</w:t>
      </w:r>
      <w:r w:rsidRPr="008B0875">
        <w:rPr>
          <w:rStyle w:val="Refdenotaalpie"/>
          <w:rFonts w:ascii="Verdana" w:eastAsia="Calibri" w:hAnsi="Verdana" w:cs="Arial"/>
          <w:color w:val="000000" w:themeColor="text1"/>
          <w:sz w:val="20"/>
          <w:szCs w:val="20"/>
        </w:rPr>
        <w:footnoteReference w:id="9"/>
      </w:r>
      <w:r w:rsidRPr="008B0875">
        <w:rPr>
          <w:rFonts w:ascii="Verdana" w:eastAsia="Calibri" w:hAnsi="Verdana" w:cs="Arial"/>
          <w:color w:val="000000" w:themeColor="text1"/>
          <w:sz w:val="20"/>
          <w:szCs w:val="20"/>
        </w:rPr>
        <w:t>. (Énfasis fuera de texto)</w:t>
      </w:r>
    </w:p>
    <w:p w14:paraId="14BA1D22" w14:textId="77777777" w:rsidR="006703DA" w:rsidRPr="004823C8" w:rsidRDefault="006703DA" w:rsidP="004823C8">
      <w:pPr>
        <w:spacing w:after="0" w:line="276" w:lineRule="auto"/>
        <w:jc w:val="both"/>
        <w:rPr>
          <w:rFonts w:ascii="Verdana" w:eastAsia="Calibri" w:hAnsi="Verdana" w:cs="Arial"/>
          <w:color w:val="000000" w:themeColor="text1"/>
        </w:rPr>
      </w:pPr>
    </w:p>
    <w:p w14:paraId="42FC677C" w14:textId="77777777" w:rsidR="006703DA" w:rsidRPr="00F145EE" w:rsidRDefault="006703DA" w:rsidP="006703DA">
      <w:pPr>
        <w:spacing w:after="120" w:line="276" w:lineRule="auto"/>
        <w:ind w:firstLine="709"/>
        <w:jc w:val="both"/>
        <w:rPr>
          <w:rFonts w:ascii="Verdana" w:eastAsia="Calibri" w:hAnsi="Verdana" w:cs="Arial"/>
          <w:color w:val="000000" w:themeColor="text1"/>
        </w:rPr>
      </w:pPr>
      <w:r w:rsidRPr="00F145EE">
        <w:rPr>
          <w:rFonts w:ascii="Verdana" w:eastAsia="Calibri" w:hAnsi="Verdana" w:cs="Arial"/>
          <w:color w:val="000000" w:themeColor="text1"/>
        </w:rPr>
        <w:t xml:space="preserve">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w:t>
      </w:r>
      <w:r w:rsidRPr="00F145EE">
        <w:rPr>
          <w:rFonts w:ascii="Verdana" w:eastAsia="Calibri" w:hAnsi="Verdana" w:cs="Arial"/>
          <w:color w:val="000000" w:themeColor="text1"/>
        </w:rPr>
        <w:lastRenderedPageBreak/>
        <w:t>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F145EE">
        <w:rPr>
          <w:rStyle w:val="Refdenotaalpie"/>
          <w:rFonts w:ascii="Verdana" w:eastAsia="Calibri" w:hAnsi="Verdana" w:cs="Arial"/>
          <w:color w:val="000000" w:themeColor="text1"/>
        </w:rPr>
        <w:footnoteReference w:id="10"/>
      </w:r>
    </w:p>
    <w:p w14:paraId="2CA2C64E" w14:textId="05940B38" w:rsidR="005D1AA0" w:rsidRDefault="006703DA" w:rsidP="006703DA">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Ahora bien, como </w:t>
      </w:r>
      <w:r w:rsidR="0096571C">
        <w:rPr>
          <w:rFonts w:ascii="Verdana" w:eastAsia="Calibri" w:hAnsi="Verdana" w:cs="Times New Roman"/>
          <w:iCs/>
          <w:color w:val="000000" w:themeColor="text1"/>
          <w:lang w:val="es-ES"/>
        </w:rPr>
        <w:t>lo</w:t>
      </w:r>
      <w:r w:rsidRPr="00F145EE">
        <w:rPr>
          <w:rFonts w:ascii="Verdana" w:eastAsia="Calibri" w:hAnsi="Verdana" w:cs="Times New Roman"/>
          <w:iCs/>
          <w:color w:val="000000" w:themeColor="text1"/>
          <w:lang w:val="es-ES"/>
        </w:rPr>
        <w:t xml:space="preserve"> indica su denominación normativa, no basta con que el bien o servicio de que se trate </w:t>
      </w:r>
      <w:r w:rsidR="0096571C">
        <w:rPr>
          <w:rFonts w:ascii="Verdana" w:eastAsia="Calibri" w:hAnsi="Verdana" w:cs="Times New Roman"/>
          <w:iCs/>
          <w:color w:val="000000" w:themeColor="text1"/>
          <w:lang w:val="es-ES"/>
        </w:rPr>
        <w:t>tenga</w:t>
      </w:r>
      <w:r w:rsidRPr="00F145EE">
        <w:rPr>
          <w:rFonts w:ascii="Verdana" w:eastAsia="Calibri" w:hAnsi="Verdana" w:cs="Times New Roman"/>
          <w:iCs/>
          <w:color w:val="000000" w:themeColor="text1"/>
          <w:lang w:val="es-ES"/>
        </w:rPr>
        <w:t xml:space="preserve"> características técnicas uniformes, sino que, además, es necesario que sea de “común utilización”. Esta expresión, </w:t>
      </w:r>
      <w:proofErr w:type="spellStart"/>
      <w:r w:rsidR="002044D9">
        <w:rPr>
          <w:rFonts w:ascii="Verdana" w:eastAsia="Calibri" w:hAnsi="Verdana" w:cs="Times New Roman"/>
          <w:iCs/>
          <w:color w:val="000000" w:themeColor="text1"/>
          <w:lang w:val="es-ES"/>
        </w:rPr>
        <w:t>segun</w:t>
      </w:r>
      <w:proofErr w:type="spellEnd"/>
      <w:r w:rsidRPr="00F145EE">
        <w:rPr>
          <w:rFonts w:ascii="Verdana" w:eastAsia="Calibri" w:hAnsi="Verdana" w:cs="Times New Roman"/>
          <w:iCs/>
          <w:color w:val="000000" w:themeColor="text1"/>
          <w:lang w:val="es-ES"/>
        </w:rPr>
        <w:t xml:space="preserve"> la doctrina especializada, debe interpretarse en el sentido de que el bien o servicio se ofrezca en el mercado en forma equivalente para quienes deseen adquirirlo y usarlo. Eso no quiere decir que el bien o servicio deba ser usado por toda la sociedad, inexorablemente. Lo importante es que se encuentre estandarizado en el mercado para todo aquel que desee adquirirlo. Por ejemplo, una impresora o un proyector no son ni quizá</w:t>
      </w:r>
      <w:r w:rsidR="006219FB">
        <w:rPr>
          <w:rFonts w:ascii="Verdana" w:eastAsia="Calibri" w:hAnsi="Verdana" w:cs="Times New Roman"/>
          <w:iCs/>
          <w:color w:val="000000" w:themeColor="text1"/>
          <w:lang w:val="es-ES"/>
        </w:rPr>
        <w:t xml:space="preserve"> </w:t>
      </w:r>
      <w:r w:rsidRPr="00F145EE">
        <w:rPr>
          <w:rFonts w:ascii="Verdana" w:eastAsia="Calibri" w:hAnsi="Verdana" w:cs="Times New Roman"/>
          <w:iCs/>
          <w:color w:val="000000" w:themeColor="text1"/>
          <w:lang w:val="es-ES"/>
        </w:rPr>
        <w:t xml:space="preserve">serán usados por todas las personas, pero son de común utilización porque cualquier sujeto interesado puede buscarlos y adquirirlos según la oferta estándar que hay en el mercado. </w:t>
      </w:r>
    </w:p>
    <w:p w14:paraId="693CAA1A" w14:textId="12B43A80" w:rsidR="006703DA" w:rsidRPr="00F145EE" w:rsidRDefault="006703DA" w:rsidP="006703DA">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Es este el análisis que debe efectuar cada </w:t>
      </w:r>
      <w:r w:rsidR="00453019" w:rsidRPr="00F145EE">
        <w:rPr>
          <w:rFonts w:ascii="Verdana" w:eastAsia="Calibri" w:hAnsi="Verdana" w:cs="Times New Roman"/>
          <w:iCs/>
          <w:color w:val="000000" w:themeColor="text1"/>
          <w:lang w:val="es-ES"/>
        </w:rPr>
        <w:t>Entidad Estatal</w:t>
      </w:r>
      <w:r w:rsidRPr="00F145EE">
        <w:rPr>
          <w:rFonts w:ascii="Verdana" w:eastAsia="Calibri" w:hAnsi="Verdana" w:cs="Times New Roman"/>
          <w:iCs/>
          <w:color w:val="000000" w:themeColor="text1"/>
          <w:lang w:val="es-ES"/>
        </w:rPr>
        <w:t xml:space="preserve"> contratante para </w:t>
      </w:r>
      <w:r w:rsidR="005D1AA0">
        <w:rPr>
          <w:rFonts w:ascii="Verdana" w:eastAsia="Calibri" w:hAnsi="Verdana" w:cs="Times New Roman"/>
          <w:iCs/>
          <w:color w:val="000000" w:themeColor="text1"/>
          <w:lang w:val="es-ES"/>
        </w:rPr>
        <w:t>determinar</w:t>
      </w:r>
      <w:r w:rsidRPr="00F145EE">
        <w:rPr>
          <w:rFonts w:ascii="Verdana" w:eastAsia="Calibri" w:hAnsi="Verdana" w:cs="Times New Roman"/>
          <w:iCs/>
          <w:color w:val="000000" w:themeColor="text1"/>
          <w:lang w:val="es-ES"/>
        </w:rPr>
        <w:t xml:space="preserve"> el bien o servicio que pretende adquirir </w:t>
      </w:r>
      <w:r w:rsidR="005D1AA0">
        <w:rPr>
          <w:rFonts w:ascii="Verdana" w:eastAsia="Calibri" w:hAnsi="Verdana" w:cs="Times New Roman"/>
          <w:iCs/>
          <w:color w:val="000000" w:themeColor="text1"/>
          <w:lang w:val="es-ES"/>
        </w:rPr>
        <w:t>se ajusta a la categoría de</w:t>
      </w:r>
      <w:r w:rsidRPr="00F145EE">
        <w:rPr>
          <w:rFonts w:ascii="Verdana" w:eastAsia="Calibri" w:hAnsi="Verdana" w:cs="Times New Roman"/>
          <w:iCs/>
          <w:color w:val="000000" w:themeColor="text1"/>
          <w:lang w:val="es-ES"/>
        </w:rPr>
        <w:t xml:space="preserve"> características técnicas uniformes y de común utilización. Para ello es recomendable </w:t>
      </w:r>
      <w:r w:rsidR="00CA3BDD">
        <w:rPr>
          <w:rFonts w:ascii="Verdana" w:eastAsia="Calibri" w:hAnsi="Verdana" w:cs="Times New Roman"/>
          <w:iCs/>
          <w:color w:val="000000" w:themeColor="text1"/>
          <w:lang w:val="es-ES"/>
        </w:rPr>
        <w:t>apoyarse en</w:t>
      </w:r>
      <w:r w:rsidRPr="00F145EE">
        <w:rPr>
          <w:rFonts w:ascii="Verdana" w:eastAsia="Calibri" w:hAnsi="Verdana" w:cs="Times New Roman"/>
          <w:iCs/>
          <w:color w:val="000000" w:themeColor="text1"/>
          <w:lang w:val="es-ES"/>
        </w:rPr>
        <w:t xml:space="preserve"> la información que aporten los estudios previos, especialmente la suministrada por el personal de la entidad encargado de definir las especificaciones técnicas del contrato y de analizar sus condiciones de oferta en el mercado.</w:t>
      </w:r>
    </w:p>
    <w:p w14:paraId="5756863A" w14:textId="344A1D76" w:rsidR="006703DA" w:rsidRPr="00F145EE" w:rsidRDefault="006703DA" w:rsidP="004823C8">
      <w:pPr>
        <w:spacing w:after="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En definitiva, la </w:t>
      </w:r>
      <w:r w:rsidR="00FF6D07">
        <w:rPr>
          <w:rFonts w:ascii="Verdana" w:eastAsia="Calibri" w:hAnsi="Verdana" w:cs="Arial"/>
          <w:bCs/>
          <w:color w:val="000000" w:themeColor="text1"/>
        </w:rPr>
        <w:t>característica</w:t>
      </w:r>
      <w:r w:rsidR="00FF6D07" w:rsidRPr="00F145EE">
        <w:rPr>
          <w:rFonts w:ascii="Verdana" w:eastAsia="Calibri" w:hAnsi="Verdana" w:cs="Arial"/>
          <w:bCs/>
          <w:color w:val="000000" w:themeColor="text1"/>
        </w:rPr>
        <w:t xml:space="preserve"> </w:t>
      </w:r>
      <w:r w:rsidRPr="00F145EE">
        <w:rPr>
          <w:rFonts w:ascii="Verdana" w:eastAsia="Calibri" w:hAnsi="Verdana" w:cs="Arial"/>
          <w:bCs/>
          <w:color w:val="000000" w:themeColor="text1"/>
        </w:rPr>
        <w:t>común de este conjunto de bienes y servicios es que, con independencia de sus características descriptivas, comparten patrones de desempeño y calidad similares</w:t>
      </w:r>
      <w:r w:rsidR="00431457">
        <w:rPr>
          <w:rFonts w:ascii="Verdana" w:eastAsia="Calibri" w:hAnsi="Verdana" w:cs="Arial"/>
          <w:bCs/>
          <w:color w:val="000000" w:themeColor="text1"/>
        </w:rPr>
        <w:t xml:space="preserve">, que pertinente </w:t>
      </w:r>
      <w:r w:rsidRPr="00F145EE">
        <w:rPr>
          <w:rFonts w:ascii="Verdana" w:eastAsia="Calibri" w:hAnsi="Verdana" w:cs="Arial"/>
          <w:bCs/>
          <w:color w:val="000000" w:themeColor="text1"/>
        </w:rPr>
        <w:t xml:space="preserve">la satisfacción </w:t>
      </w:r>
      <w:r w:rsidR="00431457">
        <w:rPr>
          <w:rFonts w:ascii="Verdana" w:eastAsia="Calibri" w:hAnsi="Verdana" w:cs="Arial"/>
          <w:bCs/>
          <w:color w:val="000000" w:themeColor="text1"/>
        </w:rPr>
        <w:t>adecuada</w:t>
      </w:r>
      <w:r w:rsidRPr="00F145EE">
        <w:rPr>
          <w:rFonts w:ascii="Verdana" w:eastAsia="Calibri" w:hAnsi="Verdana" w:cs="Arial"/>
          <w:bCs/>
          <w:color w:val="000000" w:themeColor="text1"/>
        </w:rPr>
        <w:t xml:space="preserve"> de la necesidad a la que atienden. Igualmente, el inciso segundo del literal a) del artículo 2, numeral 2 de la Ley 1150 de 2007 dispone que “</w:t>
      </w:r>
      <w:r w:rsidRPr="00F145EE">
        <w:rPr>
          <w:rFonts w:ascii="Verdana" w:eastAsia="Calibri" w:hAnsi="Verdana" w:cs="Arial"/>
          <w:bCs/>
          <w:i/>
          <w:iCs/>
          <w:color w:val="000000" w:themeColor="text1"/>
        </w:rPr>
        <w:t>Para la adquisición de estos bienes y servicios las entidades deberán</w:t>
      </w:r>
      <w:r w:rsidRPr="00F145EE">
        <w:rPr>
          <w:rFonts w:ascii="Verdana" w:eastAsia="Calibri" w:hAnsi="Verdana" w:cs="Arial"/>
          <w:bCs/>
          <w:color w:val="000000" w:themeColor="text1"/>
        </w:rPr>
        <w:t xml:space="preserve">, siempre que el reglamento así lo señale, </w:t>
      </w:r>
      <w:r w:rsidRPr="00F145EE">
        <w:rPr>
          <w:rFonts w:ascii="Verdana" w:eastAsia="Calibri" w:hAnsi="Verdana" w:cs="Arial"/>
          <w:bCs/>
          <w:i/>
          <w:iCs/>
          <w:color w:val="000000" w:themeColor="text1"/>
        </w:rPr>
        <w:t>hacer uso</w:t>
      </w:r>
      <w:r w:rsidRPr="00F145EE">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F145EE">
        <w:rPr>
          <w:rFonts w:ascii="Verdana" w:eastAsia="Calibri" w:hAnsi="Verdana" w:cs="Arial"/>
          <w:bCs/>
          <w:i/>
          <w:iCs/>
          <w:color w:val="000000" w:themeColor="text1"/>
        </w:rPr>
        <w:t xml:space="preserve">de </w:t>
      </w:r>
      <w:r w:rsidRPr="00F145EE">
        <w:rPr>
          <w:rFonts w:ascii="Verdana" w:eastAsia="Calibri" w:hAnsi="Verdana" w:cs="Arial"/>
          <w:bCs/>
          <w:color w:val="000000" w:themeColor="text1"/>
        </w:rPr>
        <w:t>procedimientos de adquisición en bolsas de productos” (Énfasis fuera de texto). Estos mecanismos se aplicarán en la forma que disponga el Decreto 1082 de 2015 para para cada uno de ellos.</w:t>
      </w:r>
    </w:p>
    <w:p w14:paraId="3A483F56" w14:textId="77777777" w:rsidR="000C7DFE" w:rsidRDefault="000C7DFE" w:rsidP="004823C8">
      <w:pPr>
        <w:spacing w:after="0" w:line="276" w:lineRule="auto"/>
        <w:jc w:val="both"/>
        <w:rPr>
          <w:rFonts w:ascii="Verdana" w:eastAsia="Calibri" w:hAnsi="Verdana" w:cs="Arial"/>
          <w:bCs/>
          <w:color w:val="000000" w:themeColor="text1"/>
        </w:rPr>
      </w:pPr>
    </w:p>
    <w:p w14:paraId="2D6856A8" w14:textId="3DB81DB6" w:rsidR="006703DA" w:rsidRPr="00CB68C5" w:rsidRDefault="000C7DFE" w:rsidP="00980723">
      <w:pPr>
        <w:spacing w:after="120" w:line="276" w:lineRule="auto"/>
        <w:jc w:val="both"/>
        <w:rPr>
          <w:rFonts w:ascii="Verdana" w:hAnsi="Verdana" w:cs="Arial"/>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006703DA">
        <w:rPr>
          <w:rFonts w:ascii="Verdana" w:eastAsia="Calibri" w:hAnsi="Verdana" w:cs="Arial"/>
          <w:bCs/>
          <w:color w:val="000000" w:themeColor="text1"/>
        </w:rPr>
        <w:t>Por otra parte, en su solicitud hace alusión a los “contratos de apoyo logístico”</w:t>
      </w:r>
      <w:r w:rsidR="00657C32">
        <w:rPr>
          <w:rFonts w:ascii="Verdana" w:eastAsia="Calibri" w:hAnsi="Verdana" w:cs="Arial"/>
          <w:bCs/>
          <w:color w:val="000000" w:themeColor="text1"/>
        </w:rPr>
        <w:t>. Sobre el particular, debe señalarse que,</w:t>
      </w:r>
      <w:r w:rsidR="006703DA">
        <w:rPr>
          <w:rFonts w:ascii="Verdana" w:eastAsia="Calibri" w:hAnsi="Verdana" w:cs="Arial"/>
          <w:bCs/>
          <w:color w:val="000000" w:themeColor="text1"/>
        </w:rPr>
        <w:t xml:space="preserve"> </w:t>
      </w:r>
      <w:r w:rsidR="006703DA">
        <w:rPr>
          <w:rFonts w:ascii="Verdana" w:eastAsia="Calibri" w:hAnsi="Verdana" w:cs="Arial"/>
          <w:lang w:val="es-ES"/>
        </w:rPr>
        <w:t>e</w:t>
      </w:r>
      <w:r w:rsidR="006703DA" w:rsidRPr="00CB68C5">
        <w:rPr>
          <w:rFonts w:ascii="Verdana" w:eastAsia="Calibri" w:hAnsi="Verdana" w:cs="Arial"/>
          <w:lang w:val="es-ES"/>
        </w:rPr>
        <w:t xml:space="preserve">l </w:t>
      </w:r>
      <w:r w:rsidR="001E11C0">
        <w:rPr>
          <w:rFonts w:ascii="Verdana" w:eastAsia="Calibri" w:hAnsi="Verdana" w:cs="Arial"/>
          <w:lang w:val="es-ES"/>
        </w:rPr>
        <w:t>EGCAP</w:t>
      </w:r>
      <w:r w:rsidR="006703DA" w:rsidRPr="00CB68C5">
        <w:rPr>
          <w:rFonts w:ascii="Verdana" w:eastAsia="Calibri" w:hAnsi="Verdana" w:cs="Arial"/>
          <w:lang w:val="es-ES"/>
        </w:rPr>
        <w:t xml:space="preserve"> define los contratos de obra, consultoría, prestación de servicios, concesión, encargos fiduciarios y fiducia pública. Sin embargo, se trata de un listado </w:t>
      </w:r>
      <w:r w:rsidR="00F15F5F">
        <w:rPr>
          <w:rFonts w:ascii="Verdana" w:eastAsia="Calibri" w:hAnsi="Verdana" w:cs="Arial"/>
          <w:lang w:val="es-ES"/>
        </w:rPr>
        <w:t xml:space="preserve">de carácter </w:t>
      </w:r>
      <w:r w:rsidR="006703DA" w:rsidRPr="00CB68C5">
        <w:rPr>
          <w:rFonts w:ascii="Verdana" w:eastAsia="Calibri" w:hAnsi="Verdana" w:cs="Arial"/>
          <w:lang w:val="es-ES"/>
        </w:rPr>
        <w:t xml:space="preserve">enunciativo, pues la Ley 80 de 1993 se integra con las tipologías contractuales previstas en el derecho privado. </w:t>
      </w:r>
      <w:r w:rsidR="00F15F5F">
        <w:rPr>
          <w:rFonts w:ascii="Verdana" w:eastAsia="Calibri" w:hAnsi="Verdana" w:cs="Arial"/>
          <w:lang w:val="es-ES"/>
        </w:rPr>
        <w:t>En efecto</w:t>
      </w:r>
      <w:r w:rsidR="006703DA" w:rsidRPr="00CB68C5">
        <w:rPr>
          <w:rFonts w:ascii="Verdana" w:eastAsia="Calibri" w:hAnsi="Verdana" w:cs="Arial"/>
          <w:lang w:val="es-ES"/>
        </w:rPr>
        <w:t xml:space="preserve">, </w:t>
      </w:r>
      <w:r w:rsidR="006703DA" w:rsidRPr="00CB68C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16D140FA" w14:textId="755359C8" w:rsidR="006703DA" w:rsidRPr="00D239E3" w:rsidRDefault="006703DA" w:rsidP="004823C8">
      <w:pPr>
        <w:spacing w:after="120" w:line="276" w:lineRule="auto"/>
        <w:ind w:firstLine="567"/>
        <w:jc w:val="both"/>
        <w:rPr>
          <w:rFonts w:ascii="Verdana" w:eastAsia="Calibri" w:hAnsi="Verdana"/>
          <w:color w:val="000000" w:themeColor="text1"/>
          <w:lang w:val="es-ES_tradnl"/>
        </w:rPr>
      </w:pPr>
      <w:r>
        <w:rPr>
          <w:rFonts w:ascii="Verdana" w:eastAsia="Calibri" w:hAnsi="Verdana" w:cs="Arial"/>
          <w:bCs/>
          <w:color w:val="000000" w:themeColor="text1"/>
        </w:rPr>
        <w:t>Ahora bien, e</w:t>
      </w:r>
      <w:r w:rsidRPr="005F70F5">
        <w:rPr>
          <w:rFonts w:ascii="Verdana" w:eastAsia="Calibri" w:hAnsi="Verdana"/>
          <w:color w:val="000000" w:themeColor="text1"/>
          <w:lang w:val="es-ES_tradnl"/>
        </w:rPr>
        <w:t xml:space="preserve">l inciso primero del 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00D07303">
        <w:rPr>
          <w:rFonts w:ascii="Verdana" w:eastAsia="Calibri" w:hAnsi="Verdana"/>
          <w:color w:val="000000" w:themeColor="text1"/>
          <w:lang w:val="es-ES_tradnl"/>
        </w:rPr>
        <w:t xml:space="preserve">. Esto significa </w:t>
      </w:r>
      <w:r w:rsidRPr="005F70F5">
        <w:rPr>
          <w:rFonts w:ascii="Verdana" w:eastAsia="Calibri" w:hAnsi="Verdana"/>
          <w:color w:val="000000" w:themeColor="text1"/>
          <w:lang w:val="es-ES_tradnl"/>
        </w:rPr>
        <w:t xml:space="preserve">que </w:t>
      </w:r>
      <w:bookmarkStart w:id="2" w:name="_Hlk81430928"/>
      <w:r w:rsidRPr="005F70F5">
        <w:rPr>
          <w:rFonts w:ascii="Verdana" w:eastAsia="Calibri" w:hAnsi="Verdana"/>
          <w:color w:val="000000" w:themeColor="text1"/>
          <w:lang w:val="es-ES_tradnl"/>
        </w:rPr>
        <w:t xml:space="preserve">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bookmarkEnd w:id="2"/>
      <w:r w:rsidRPr="00D239E3">
        <w:rPr>
          <w:rFonts w:ascii="Verdana" w:eastAsia="Calibri" w:hAnsi="Verdana"/>
          <w:color w:val="000000" w:themeColor="text1"/>
          <w:lang w:val="es-ES_tradnl"/>
        </w:rPr>
        <w:t>”</w:t>
      </w:r>
      <w:r w:rsidRPr="00D239E3">
        <w:rPr>
          <w:rStyle w:val="Refdenotaalpie"/>
          <w:rFonts w:ascii="Verdana" w:eastAsia="Calibri" w:hAnsi="Verdana"/>
          <w:color w:val="000000" w:themeColor="text1"/>
          <w:lang w:val="es-ES_tradnl"/>
        </w:rPr>
        <w:footnoteReference w:id="11"/>
      </w:r>
      <w:r w:rsidRPr="00D239E3">
        <w:rPr>
          <w:rFonts w:ascii="Verdana" w:eastAsia="Calibri" w:hAnsi="Verdana"/>
          <w:color w:val="000000" w:themeColor="text1"/>
          <w:lang w:val="es-ES_tradnl"/>
        </w:rPr>
        <w:t xml:space="preserve">. </w:t>
      </w:r>
    </w:p>
    <w:p w14:paraId="74B67768" w14:textId="5EE6AD3E" w:rsidR="006703DA" w:rsidRDefault="006703DA" w:rsidP="004823C8">
      <w:pPr>
        <w:spacing w:after="120" w:line="276" w:lineRule="auto"/>
        <w:ind w:firstLine="708"/>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w:t>
      </w:r>
      <w:r w:rsidR="00F61880">
        <w:rPr>
          <w:rFonts w:ascii="Verdana" w:eastAsia="Calibri" w:hAnsi="Verdana"/>
          <w:color w:val="000000" w:themeColor="text1"/>
        </w:rPr>
        <w:t>hacer</w:t>
      </w:r>
      <w:r w:rsidRPr="00D239E3">
        <w:rPr>
          <w:rFonts w:ascii="Verdana" w:eastAsia="Calibri" w:hAnsi="Verdana"/>
          <w:color w:val="000000" w:themeColor="text1"/>
        </w:rPr>
        <w:t xml:space="preserve"> esta distinción</w:t>
      </w:r>
      <w:r w:rsidR="00F61880">
        <w:rPr>
          <w:rFonts w:ascii="Verdana" w:eastAsia="Calibri" w:hAnsi="Verdana"/>
          <w:color w:val="000000" w:themeColor="text1"/>
        </w:rPr>
        <w:t>,</w:t>
      </w:r>
      <w:r w:rsidRPr="00D239E3">
        <w:rPr>
          <w:rFonts w:ascii="Verdana" w:eastAsia="Calibri" w:hAnsi="Verdana"/>
          <w:color w:val="000000" w:themeColor="text1"/>
        </w:rPr>
        <w:t xml:space="preserve"> corresponde identificar la causa del contrato, es decir, el móvil para celebrarlo: 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12"/>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170FC0A7" w14:textId="689A646C" w:rsidR="006703DA" w:rsidRDefault="002A7BB1" w:rsidP="004823C8">
      <w:pPr>
        <w:spacing w:before="120" w:after="0" w:line="276" w:lineRule="auto"/>
        <w:ind w:firstLine="709"/>
        <w:jc w:val="both"/>
        <w:rPr>
          <w:rFonts w:ascii="Verdana" w:eastAsia="Calibri" w:hAnsi="Verdana"/>
          <w:color w:val="000000" w:themeColor="text1"/>
          <w:lang w:val="es-ES_tradnl"/>
        </w:rPr>
      </w:pPr>
      <w:r>
        <w:rPr>
          <w:rFonts w:ascii="Verdana" w:eastAsia="Calibri" w:hAnsi="Verdana"/>
          <w:color w:val="000000" w:themeColor="text1"/>
          <w:lang w:val="es-ES_tradnl"/>
        </w:rPr>
        <w:t>En cuanto</w:t>
      </w:r>
      <w:r w:rsidR="006703DA" w:rsidRPr="00B03EF6">
        <w:rPr>
          <w:rFonts w:ascii="Verdana" w:eastAsia="Calibri" w:hAnsi="Verdana"/>
          <w:color w:val="000000" w:themeColor="text1"/>
          <w:lang w:val="es-ES_tradnl"/>
        </w:rPr>
        <w:t xml:space="preserve"> a los contratos de operación logística</w:t>
      </w:r>
      <w:r w:rsidR="006703DA">
        <w:rPr>
          <w:rFonts w:ascii="Verdana" w:eastAsia="Calibri" w:hAnsi="Verdana"/>
          <w:color w:val="000000" w:themeColor="text1"/>
          <w:lang w:val="es-ES_tradnl"/>
        </w:rPr>
        <w:t xml:space="preserve">, estos corresponden a </w:t>
      </w:r>
      <w:r w:rsidR="006703DA" w:rsidRPr="00B03EF6">
        <w:rPr>
          <w:rFonts w:ascii="Verdana" w:eastAsia="Calibri" w:hAnsi="Verdana"/>
          <w:i/>
          <w:iCs/>
          <w:color w:val="000000" w:themeColor="text1"/>
          <w:lang w:val="es-ES_tradnl"/>
        </w:rPr>
        <w:t>contratos mixtos</w:t>
      </w:r>
      <w:r w:rsidR="006703DA">
        <w:rPr>
          <w:rFonts w:ascii="Verdana" w:eastAsia="Calibri" w:hAnsi="Verdana"/>
          <w:color w:val="000000" w:themeColor="text1"/>
          <w:lang w:val="es-ES_tradnl"/>
        </w:rPr>
        <w:t xml:space="preserve">. De hecho, sin perjuicio de las demás obligaciones que pacten </w:t>
      </w:r>
      <w:r w:rsidR="006703DA">
        <w:rPr>
          <w:rFonts w:ascii="Verdana" w:eastAsia="Calibri" w:hAnsi="Verdana"/>
          <w:color w:val="000000" w:themeColor="text1"/>
          <w:lang w:val="es-ES_tradnl"/>
        </w:rPr>
        <w:lastRenderedPageBreak/>
        <w:t>las partes, es frecuente que en la práctica tengan componentes de compraventa, suministro, arrendamiento de bienes muebles o inmuebles, transporte, etc., de donde se desprende la existencia de prestaciones de una o más tipologías contractuales</w:t>
      </w:r>
      <w:r w:rsidR="006703DA">
        <w:rPr>
          <w:rStyle w:val="Refdenotaalpie"/>
          <w:rFonts w:ascii="Verdana" w:eastAsia="Calibri" w:hAnsi="Verdana"/>
          <w:color w:val="000000" w:themeColor="text1"/>
          <w:lang w:val="es-ES_tradnl"/>
        </w:rPr>
        <w:footnoteReference w:id="13"/>
      </w:r>
      <w:r w:rsidR="006703DA">
        <w:rPr>
          <w:rFonts w:ascii="Verdana" w:eastAsia="Calibri" w:hAnsi="Verdana"/>
          <w:color w:val="000000" w:themeColor="text1"/>
          <w:lang w:val="es-ES_tradnl"/>
        </w:rPr>
        <w:t xml:space="preserve">. Por ello, como contrato atípico, la doctrina sugiere integrar su contenido teniendo en cuenta los siguientes criterios: “[…] </w:t>
      </w:r>
      <w:r w:rsidR="006703DA" w:rsidRPr="00DE4EF6">
        <w:rPr>
          <w:rFonts w:ascii="Verdana" w:eastAsia="Calibri" w:hAnsi="Verdana"/>
          <w:color w:val="000000" w:themeColor="text1"/>
          <w:lang w:val="es-ES_tradnl"/>
        </w:rPr>
        <w:t>1°) las leyes imperativas; 2°) las cláusulas libremente redactadas o estipuladas</w:t>
      </w:r>
      <w:r w:rsidR="006703DA">
        <w:rPr>
          <w:rFonts w:ascii="Verdana" w:eastAsia="Calibri" w:hAnsi="Verdana"/>
          <w:color w:val="000000" w:themeColor="text1"/>
          <w:lang w:val="es-ES_tradnl"/>
        </w:rPr>
        <w:t xml:space="preserve"> </w:t>
      </w:r>
      <w:r w:rsidR="006703DA" w:rsidRPr="00DE4EF6">
        <w:rPr>
          <w:rFonts w:ascii="Verdana" w:eastAsia="Calibri" w:hAnsi="Verdana"/>
          <w:color w:val="000000" w:themeColor="text1"/>
          <w:lang w:val="es-ES_tradnl"/>
        </w:rPr>
        <w:t>por los agentes; 3°) las reglas generales de los actos jurídicos y de los contratos,</w:t>
      </w:r>
      <w:r w:rsidR="006703DA">
        <w:rPr>
          <w:rFonts w:ascii="Verdana" w:eastAsia="Calibri" w:hAnsi="Verdana"/>
          <w:color w:val="000000" w:themeColor="text1"/>
          <w:lang w:val="es-ES_tradnl"/>
        </w:rPr>
        <w:t xml:space="preserve"> </w:t>
      </w:r>
      <w:r w:rsidR="006703DA" w:rsidRPr="00DE4EF6">
        <w:rPr>
          <w:rFonts w:ascii="Verdana" w:eastAsia="Calibri" w:hAnsi="Verdana"/>
          <w:color w:val="000000" w:themeColor="text1"/>
          <w:lang w:val="es-ES_tradnl"/>
        </w:rPr>
        <w:t>según el caso; 4°) las reglas propias del contrato típico más próximo o semejante,</w:t>
      </w:r>
      <w:r w:rsidR="006703DA">
        <w:rPr>
          <w:rFonts w:ascii="Verdana" w:eastAsia="Calibri" w:hAnsi="Verdana"/>
          <w:color w:val="000000" w:themeColor="text1"/>
          <w:lang w:val="es-ES_tradnl"/>
        </w:rPr>
        <w:t xml:space="preserve"> </w:t>
      </w:r>
      <w:r w:rsidR="006703DA" w:rsidRPr="00DE4EF6">
        <w:rPr>
          <w:rFonts w:ascii="Verdana" w:eastAsia="Calibri" w:hAnsi="Verdana"/>
          <w:color w:val="000000" w:themeColor="text1"/>
          <w:lang w:val="es-ES_tradnl"/>
        </w:rPr>
        <w:t>y 5°) la doctrina constitucional y los principios generales de derecho</w:t>
      </w:r>
      <w:r w:rsidR="006703DA">
        <w:rPr>
          <w:rFonts w:ascii="Verdana" w:eastAsia="Calibri" w:hAnsi="Verdana"/>
          <w:color w:val="000000" w:themeColor="text1"/>
          <w:lang w:val="es-ES_tradnl"/>
        </w:rPr>
        <w:t>”</w:t>
      </w:r>
      <w:r w:rsidR="006703DA">
        <w:rPr>
          <w:rStyle w:val="Refdenotaalpie"/>
          <w:rFonts w:ascii="Verdana" w:eastAsia="Calibri" w:hAnsi="Verdana"/>
          <w:color w:val="000000" w:themeColor="text1"/>
          <w:lang w:val="es-ES_tradnl"/>
        </w:rPr>
        <w:footnoteReference w:id="14"/>
      </w:r>
      <w:r w:rsidR="006703DA" w:rsidRPr="00DE4EF6">
        <w:rPr>
          <w:rFonts w:ascii="Verdana" w:eastAsia="Calibri" w:hAnsi="Verdana"/>
          <w:color w:val="000000" w:themeColor="text1"/>
          <w:lang w:val="es-ES_tradnl"/>
        </w:rPr>
        <w:t>.</w:t>
      </w:r>
      <w:r w:rsidR="006703DA">
        <w:rPr>
          <w:rFonts w:ascii="Verdana" w:eastAsia="Calibri" w:hAnsi="Verdana"/>
          <w:color w:val="000000" w:themeColor="text1"/>
          <w:lang w:val="es-ES_tradnl"/>
        </w:rPr>
        <w:t xml:space="preserve"> </w:t>
      </w:r>
    </w:p>
    <w:p w14:paraId="2EF01C57" w14:textId="77777777" w:rsidR="007B27C1" w:rsidRDefault="007B27C1" w:rsidP="004823C8">
      <w:pPr>
        <w:spacing w:after="0" w:line="276" w:lineRule="auto"/>
        <w:jc w:val="both"/>
        <w:rPr>
          <w:rFonts w:ascii="Verdana" w:eastAsia="Calibri" w:hAnsi="Verdana" w:cs="Arial"/>
          <w:bCs/>
          <w:color w:val="000000" w:themeColor="text1"/>
        </w:rPr>
      </w:pPr>
    </w:p>
    <w:p w14:paraId="486D096A" w14:textId="6DC063E4" w:rsidR="002E3BC0" w:rsidRDefault="007B27C1" w:rsidP="004823C8">
      <w:pPr>
        <w:spacing w:after="120" w:line="276" w:lineRule="auto"/>
        <w:ind w:right="79"/>
        <w:jc w:val="both"/>
        <w:rPr>
          <w:rFonts w:ascii="Verdana" w:eastAsia="Arial" w:hAnsi="Verdana" w:cs="Arial"/>
          <w:bCs/>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002E3BC0">
        <w:rPr>
          <w:rFonts w:ascii="Verdana" w:eastAsia="Calibri" w:hAnsi="Verdana"/>
          <w:color w:val="000000" w:themeColor="text1"/>
          <w:lang w:val="es-ES"/>
        </w:rPr>
        <w:t xml:space="preserve">En lo que respecta la modalidad de selección de los contratos de operación logística es importante precisar que, debido a su naturaleza de contratos mixtos, esto es que </w:t>
      </w:r>
      <w:r w:rsidR="002E3BC0" w:rsidRPr="005F70F5">
        <w:rPr>
          <w:rFonts w:ascii="Verdana" w:eastAsia="Calibri" w:hAnsi="Verdana"/>
          <w:color w:val="000000" w:themeColor="text1"/>
          <w:lang w:val="es-ES_tradnl"/>
        </w:rPr>
        <w:t>acumula prestaciones de varios contratos nominados para satisfacer una necesidad común</w:t>
      </w:r>
      <w:r w:rsidR="002E3BC0">
        <w:rPr>
          <w:rFonts w:ascii="Verdana" w:eastAsia="Arial" w:hAnsi="Verdana" w:cs="Arial"/>
          <w:bCs/>
        </w:rPr>
        <w:t xml:space="preserve">, y teniendo en cuenta que no hay procedimiento de selección reservado exclusivamente a este tipo contractual, no es posible establecer un criterio universal y absoluto que determine la procedencia de una modalidad de contratación específica y única para su celebración. </w:t>
      </w:r>
    </w:p>
    <w:p w14:paraId="1A0EF390" w14:textId="690E78B8" w:rsidR="002E3BC0" w:rsidRDefault="002E3BC0" w:rsidP="002E3BC0">
      <w:pPr>
        <w:spacing w:after="120" w:line="276" w:lineRule="auto"/>
        <w:ind w:right="79" w:firstLine="743"/>
        <w:jc w:val="both"/>
        <w:rPr>
          <w:rFonts w:ascii="Verdana" w:eastAsia="Arial" w:hAnsi="Verdana" w:cs="Arial"/>
          <w:bCs/>
        </w:rPr>
      </w:pPr>
      <w:r>
        <w:rPr>
          <w:rFonts w:ascii="Verdana" w:eastAsia="Arial" w:hAnsi="Verdana" w:cs="Arial"/>
          <w:bCs/>
        </w:rPr>
        <w:t>En esta medida, previo análisis que realice la entidad del objeto y su alcance, las obligaciones, la cuantía, la necesidad a satisfacer y demás aspectos esenciales, es posible que la escogencia del contratista para la celebración del contrato de operación logística se efectúe mediante la licitación pública, como regla general</w:t>
      </w:r>
      <w:r w:rsidR="00D05E90">
        <w:rPr>
          <w:rFonts w:ascii="Verdana" w:eastAsia="Arial" w:hAnsi="Verdana" w:cs="Arial"/>
          <w:bCs/>
        </w:rPr>
        <w:t>. A</w:t>
      </w:r>
      <w:r>
        <w:rPr>
          <w:rFonts w:ascii="Verdana" w:eastAsia="Arial" w:hAnsi="Verdana" w:cs="Arial"/>
          <w:bCs/>
        </w:rPr>
        <w:t>sí como también es viable su celebración a través de la selección abreviada por menor cuantía o la mínima cuantía, siempre que se cumplan con las condiciones para su desarrollo por estas modalidades. Lo anterior, dado que estos procedimientos no tienen asociado un objeto contractual en particular</w:t>
      </w:r>
      <w:r w:rsidR="00A42EDC">
        <w:rPr>
          <w:rFonts w:ascii="Verdana" w:eastAsia="Arial" w:hAnsi="Verdana" w:cs="Arial"/>
          <w:bCs/>
        </w:rPr>
        <w:t>,</w:t>
      </w:r>
      <w:r>
        <w:rPr>
          <w:rFonts w:ascii="Verdana" w:eastAsia="Arial" w:hAnsi="Verdana" w:cs="Arial"/>
          <w:bCs/>
        </w:rPr>
        <w:t xml:space="preserve"> pues su determinación est</w:t>
      </w:r>
      <w:r w:rsidR="00A42EDC">
        <w:rPr>
          <w:rFonts w:ascii="Verdana" w:eastAsia="Arial" w:hAnsi="Verdana" w:cs="Arial"/>
          <w:bCs/>
        </w:rPr>
        <w:t>á</w:t>
      </w:r>
      <w:r>
        <w:rPr>
          <w:rFonts w:ascii="Verdana" w:eastAsia="Arial" w:hAnsi="Verdana" w:cs="Arial"/>
          <w:bCs/>
        </w:rPr>
        <w:t xml:space="preserve"> ligada a la cuantía del proceso, por lo que nada obsta para que se puedan emplear estas modalidades en los contratos de operación logística.  </w:t>
      </w:r>
    </w:p>
    <w:p w14:paraId="525E817C" w14:textId="060B79C6" w:rsidR="006703DA" w:rsidRDefault="00B61F45" w:rsidP="004823C8">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En </w:t>
      </w:r>
      <w:proofErr w:type="gramStart"/>
      <w:r>
        <w:rPr>
          <w:rFonts w:ascii="Verdana" w:eastAsia="Calibri" w:hAnsi="Verdana" w:cs="Arial"/>
          <w:bCs/>
          <w:color w:val="000000" w:themeColor="text1"/>
        </w:rPr>
        <w:t>consecuencia</w:t>
      </w:r>
      <w:proofErr w:type="gramEnd"/>
      <w:r>
        <w:rPr>
          <w:rFonts w:ascii="Verdana" w:eastAsia="Calibri" w:hAnsi="Verdana" w:cs="Arial"/>
          <w:bCs/>
          <w:color w:val="000000" w:themeColor="text1"/>
        </w:rPr>
        <w:t xml:space="preserve"> de </w:t>
      </w:r>
      <w:r w:rsidR="006703DA">
        <w:rPr>
          <w:rFonts w:ascii="Verdana" w:eastAsia="Calibri" w:hAnsi="Verdana" w:cs="Arial"/>
          <w:bCs/>
          <w:color w:val="000000" w:themeColor="text1"/>
        </w:rPr>
        <w:t xml:space="preserve">lo anterior, corresponde a </w:t>
      </w:r>
      <w:r w:rsidR="006703DA" w:rsidRPr="00F145EE">
        <w:rPr>
          <w:rFonts w:ascii="Verdana" w:eastAsia="Calibri" w:hAnsi="Verdana" w:cs="Arial"/>
          <w:bCs/>
          <w:color w:val="000000" w:themeColor="text1"/>
        </w:rPr>
        <w:t xml:space="preserve">la </w:t>
      </w:r>
      <w:r w:rsidRPr="00F145EE">
        <w:rPr>
          <w:rFonts w:ascii="Verdana" w:eastAsia="Calibri" w:hAnsi="Verdana" w:cs="Arial"/>
          <w:bCs/>
          <w:color w:val="000000" w:themeColor="text1"/>
        </w:rPr>
        <w:t>Entidad Estatal</w:t>
      </w:r>
      <w:r w:rsidR="006703DA" w:rsidRPr="00F145EE">
        <w:rPr>
          <w:rFonts w:ascii="Verdana" w:eastAsia="Calibri" w:hAnsi="Verdana" w:cs="Arial"/>
          <w:bCs/>
          <w:color w:val="000000" w:themeColor="text1"/>
        </w:rPr>
        <w:t xml:space="preserve"> determinar, según las circunstancias concretas, </w:t>
      </w:r>
      <w:r w:rsidR="006703DA">
        <w:rPr>
          <w:rFonts w:ascii="Verdana" w:eastAsia="Calibri" w:hAnsi="Verdana" w:cs="Arial"/>
          <w:bCs/>
          <w:color w:val="000000" w:themeColor="text1"/>
        </w:rPr>
        <w:t xml:space="preserve">cuáles son los bienes y servicios que se requieren dentro del contrato de apoyo logístico, para determinar si son </w:t>
      </w:r>
      <w:r w:rsidR="006703DA">
        <w:rPr>
          <w:rFonts w:ascii="Verdana" w:eastAsia="Calibri" w:hAnsi="Verdana" w:cs="Arial"/>
          <w:bCs/>
          <w:color w:val="000000" w:themeColor="text1"/>
        </w:rPr>
        <w:lastRenderedPageBreak/>
        <w:t>servicios de características técnicas uniformes y de común utilización</w:t>
      </w:r>
      <w:r w:rsidR="00D60D5D">
        <w:rPr>
          <w:rFonts w:ascii="Verdana" w:eastAsia="Calibri" w:hAnsi="Verdana" w:cs="Arial"/>
          <w:bCs/>
          <w:color w:val="000000" w:themeColor="text1"/>
        </w:rPr>
        <w:t>;</w:t>
      </w:r>
      <w:r w:rsidR="006703DA">
        <w:rPr>
          <w:rFonts w:ascii="Verdana" w:eastAsia="Calibri" w:hAnsi="Verdana" w:cs="Arial"/>
          <w:bCs/>
          <w:color w:val="000000" w:themeColor="text1"/>
        </w:rPr>
        <w:t xml:space="preserve"> </w:t>
      </w:r>
      <w:r w:rsidR="006703DA" w:rsidRPr="00F145EE">
        <w:rPr>
          <w:rFonts w:ascii="Verdana" w:eastAsia="Calibri" w:hAnsi="Verdana" w:cs="Arial"/>
          <w:bCs/>
          <w:color w:val="000000" w:themeColor="text1"/>
        </w:rPr>
        <w:t>faltándoles uno u otro atributo,</w:t>
      </w:r>
      <w:r w:rsidR="006703DA">
        <w:rPr>
          <w:rFonts w:ascii="Verdana" w:eastAsia="Calibri" w:hAnsi="Verdana" w:cs="Arial"/>
          <w:bCs/>
          <w:color w:val="000000" w:themeColor="text1"/>
        </w:rPr>
        <w:t xml:space="preserve"> deberán analizar </w:t>
      </w:r>
      <w:r w:rsidR="006703DA" w:rsidRPr="00F145EE">
        <w:rPr>
          <w:rFonts w:ascii="Verdana" w:eastAsia="Calibri" w:hAnsi="Verdana" w:cs="Arial"/>
          <w:bCs/>
          <w:color w:val="000000" w:themeColor="text1"/>
        </w:rPr>
        <w:t xml:space="preserve">en cuál de las otras causales y modalidades de contratación puede fundamentarse la </w:t>
      </w:r>
      <w:r w:rsidR="006703DA">
        <w:rPr>
          <w:rFonts w:ascii="Verdana" w:eastAsia="Calibri" w:hAnsi="Verdana" w:cs="Arial"/>
          <w:bCs/>
          <w:color w:val="000000" w:themeColor="text1"/>
        </w:rPr>
        <w:t>contrataci</w:t>
      </w:r>
      <w:r w:rsidR="006703DA" w:rsidRPr="00F145EE">
        <w:rPr>
          <w:rFonts w:ascii="Verdana" w:eastAsia="Calibri" w:hAnsi="Verdana" w:cs="Arial"/>
          <w:bCs/>
          <w:color w:val="000000" w:themeColor="text1"/>
        </w:rPr>
        <w:t xml:space="preserve">ón. Por ejemplo, la licitación pública, prevista en el numeral 1 del artículo 2 de la Ley 1150 de 2007, es la regla general para objetos no sujetos a alguna modalidad en específico o que superen la menor cuantía. Por su parte, la modalidad de selección abreviada de menor cuantía se debe emplear cuando se requiera contratar por valores que se ubiquen dentro de la menor cuantía de la respectiva entidad estatal, de acuerdo con los rangos establecidos en el literal b) del numeral 2 del artículo 2 de la Ley 1150 de 2007. La mínima cuantía, a su vez, según el artículo 2, numeral 5, de la Ley 1150 de 2007, es la procedente cuando el bien o servicio no supere el diez por ciento de la menor cuantía, independientemente de su objeto. </w:t>
      </w:r>
    </w:p>
    <w:p w14:paraId="0E9A6271" w14:textId="014B620C" w:rsidR="006703DA" w:rsidRDefault="006703DA" w:rsidP="004823C8">
      <w:pPr>
        <w:spacing w:after="0" w:line="276" w:lineRule="auto"/>
        <w:ind w:firstLine="709"/>
        <w:jc w:val="both"/>
        <w:rPr>
          <w:rFonts w:ascii="Verdana" w:hAnsi="Verdana" w:cs="Arial"/>
          <w:color w:val="000000" w:themeColor="text1"/>
        </w:rPr>
      </w:pP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escoger la modalidad de selección </w:t>
      </w:r>
      <w:proofErr w:type="gramStart"/>
      <w:r>
        <w:rPr>
          <w:rFonts w:ascii="Verdana" w:hAnsi="Verdana" w:cs="Arial"/>
          <w:color w:val="000000" w:themeColor="text1"/>
        </w:rPr>
        <w:t>de acuerdo a</w:t>
      </w:r>
      <w:proofErr w:type="gramEnd"/>
      <w:r>
        <w:rPr>
          <w:rFonts w:ascii="Verdana" w:hAnsi="Verdana" w:cs="Arial"/>
          <w:color w:val="000000" w:themeColor="text1"/>
        </w:rPr>
        <w:t xml:space="preserve"> la estructuración de la necesidad que haga la entidad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 del presente oficio</w:t>
      </w:r>
      <w:r>
        <w:rPr>
          <w:rFonts w:ascii="Verdana" w:hAnsi="Verdana" w:cs="Arial"/>
          <w:color w:val="000000" w:themeColor="text1"/>
        </w:rPr>
        <w:t xml:space="preserve">. Por tanto, </w:t>
      </w:r>
      <w:r w:rsidRPr="00C35305">
        <w:rPr>
          <w:rFonts w:ascii="Verdana" w:hAnsi="Verdana" w:cs="Arial"/>
          <w:color w:val="000000" w:themeColor="text1"/>
        </w:rPr>
        <w:t>cada entidad definirá la forma de adelantar su gestión contractual, sin que sea atribución de Colombia Compra Eficiente validar sus actuaciones</w:t>
      </w:r>
      <w:r>
        <w:rPr>
          <w:rFonts w:ascii="Verdana" w:hAnsi="Verdana" w:cs="Arial"/>
          <w:color w:val="000000" w:themeColor="text1"/>
        </w:rPr>
        <w:t>.</w:t>
      </w:r>
    </w:p>
    <w:p w14:paraId="53BF4E35" w14:textId="77777777" w:rsidR="006703DA" w:rsidRPr="00F145EE" w:rsidRDefault="006703DA" w:rsidP="006703DA">
      <w:pPr>
        <w:spacing w:after="0" w:line="276" w:lineRule="auto"/>
        <w:ind w:firstLine="709"/>
        <w:jc w:val="both"/>
        <w:rPr>
          <w:rFonts w:ascii="Verdana" w:eastAsia="Calibri" w:hAnsi="Verdana" w:cs="Arial"/>
          <w:bCs/>
          <w:color w:val="000000" w:themeColor="text1"/>
        </w:rPr>
      </w:pPr>
    </w:p>
    <w:p w14:paraId="6D283A31" w14:textId="77777777" w:rsidR="006703DA" w:rsidRPr="00F145EE" w:rsidRDefault="006703DA" w:rsidP="006703DA">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t xml:space="preserve">IV. </w:t>
      </w:r>
      <w:r w:rsidRPr="00F145EE">
        <w:rPr>
          <w:rFonts w:ascii="Verdana" w:eastAsia="Century Gothic" w:hAnsi="Verdana" w:cs="Century Gothic"/>
          <w:b/>
          <w:bCs/>
          <w:color w:val="000000" w:themeColor="text1"/>
        </w:rPr>
        <w:t>Referencias normativas:</w:t>
      </w:r>
    </w:p>
    <w:p w14:paraId="3B4D5C11" w14:textId="77777777" w:rsidR="006703DA" w:rsidRPr="00593A5F" w:rsidRDefault="006703DA" w:rsidP="006703D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03DA" w:rsidRPr="002407CE" w14:paraId="57E20EDA" w14:textId="77777777" w:rsidTr="00E41262">
        <w:trPr>
          <w:trHeight w:val="870"/>
          <w:jc w:val="center"/>
        </w:trPr>
        <w:tc>
          <w:tcPr>
            <w:tcW w:w="8647" w:type="dxa"/>
          </w:tcPr>
          <w:p w14:paraId="182082AC" w14:textId="77777777" w:rsidR="00980723" w:rsidRPr="00C05F78" w:rsidRDefault="00980723" w:rsidP="004823C8">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F145EE">
              <w:rPr>
                <w:rFonts w:ascii="Verdana" w:hAnsi="Verdana" w:cs="Arial"/>
              </w:rPr>
              <w:t>Código Civil, artículos 28 y 29.</w:t>
            </w:r>
          </w:p>
          <w:p w14:paraId="6869DCA5" w14:textId="77777777" w:rsidR="00980723" w:rsidRDefault="00980723" w:rsidP="00980723">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13 y 32</w:t>
            </w:r>
          </w:p>
          <w:p w14:paraId="21D1D22B" w14:textId="694A74A5" w:rsidR="006703DA" w:rsidRPr="00F145EE" w:rsidRDefault="006703DA" w:rsidP="006703DA">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F145EE">
              <w:rPr>
                <w:rFonts w:ascii="Verdana" w:hAnsi="Verdana" w:cs="Arial"/>
              </w:rPr>
              <w:t xml:space="preserve">Ley 1150 de 2007, artículo 2. </w:t>
            </w:r>
          </w:p>
          <w:p w14:paraId="3B3E1616" w14:textId="3D093EFE" w:rsidR="006703DA" w:rsidRPr="00DA543F" w:rsidRDefault="006703DA" w:rsidP="004823C8">
            <w:pPr>
              <w:pStyle w:val="Prrafodelista"/>
              <w:widowControl w:val="0"/>
              <w:numPr>
                <w:ilvl w:val="0"/>
                <w:numId w:val="16"/>
              </w:numPr>
              <w:autoSpaceDE w:val="0"/>
              <w:autoSpaceDN w:val="0"/>
              <w:spacing w:after="120" w:line="276" w:lineRule="auto"/>
              <w:ind w:left="714" w:hanging="357"/>
              <w:contextualSpacing w:val="0"/>
              <w:jc w:val="both"/>
              <w:rPr>
                <w:color w:val="000000" w:themeColor="text1"/>
                <w:lang w:val="es-ES_tradnl"/>
              </w:rPr>
            </w:pPr>
            <w:r w:rsidRPr="00F145EE">
              <w:rPr>
                <w:rFonts w:ascii="Verdana" w:hAnsi="Verdana" w:cs="Arial"/>
              </w:rPr>
              <w:t xml:space="preserve">Decreto 1082 de 2015, artículos 2.2.2.1.1.1.3.1, </w:t>
            </w:r>
            <w:r w:rsidRPr="00F145EE">
              <w:rPr>
                <w:rFonts w:ascii="Verdana" w:eastAsia="Calibri" w:hAnsi="Verdana" w:cs="Arial"/>
                <w:bCs/>
                <w:color w:val="000000" w:themeColor="text1"/>
              </w:rPr>
              <w:t>2.2.1.1.2.2.2</w:t>
            </w:r>
            <w:r w:rsidRPr="00F145EE">
              <w:rPr>
                <w:rFonts w:ascii="Verdana" w:hAnsi="Verdana" w:cs="Arial"/>
              </w:rPr>
              <w:t xml:space="preserve"> </w:t>
            </w:r>
            <w:r w:rsidRPr="00F145EE">
              <w:rPr>
                <w:rFonts w:ascii="Verdana" w:eastAsia="Calibri" w:hAnsi="Verdana" w:cs="Arial"/>
                <w:bCs/>
                <w:color w:val="000000" w:themeColor="text1"/>
              </w:rPr>
              <w:t>2.2.1.2.4.2.10, 2.2.1.2.4.2.11, 2.2.1.2.4.2.12 y 2.2.1.2.4.2.13</w:t>
            </w:r>
            <w:r w:rsidR="00980723">
              <w:rPr>
                <w:rFonts w:ascii="Verdana" w:eastAsia="Calibri" w:hAnsi="Verdana" w:cs="Arial"/>
                <w:bCs/>
                <w:color w:val="000000" w:themeColor="text1"/>
              </w:rPr>
              <w:t>.</w:t>
            </w:r>
          </w:p>
        </w:tc>
      </w:tr>
    </w:tbl>
    <w:p w14:paraId="16609844" w14:textId="77777777" w:rsidR="006703DA" w:rsidRPr="002407CE" w:rsidRDefault="006703DA" w:rsidP="006703DA">
      <w:pPr>
        <w:widowControl w:val="0"/>
        <w:autoSpaceDE w:val="0"/>
        <w:autoSpaceDN w:val="0"/>
        <w:spacing w:after="0" w:line="276" w:lineRule="auto"/>
        <w:jc w:val="both"/>
        <w:rPr>
          <w:rFonts w:ascii="Verdana" w:hAnsi="Verdana" w:cs="Arial"/>
        </w:rPr>
      </w:pPr>
    </w:p>
    <w:p w14:paraId="12BE1EBB" w14:textId="77777777" w:rsidR="006703DA" w:rsidRPr="00593A5F" w:rsidRDefault="006703DA" w:rsidP="006703D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V. Doctrina de la Agencia Nacional de Contratación Pública</w:t>
      </w:r>
      <w:r w:rsidRPr="00593A5F">
        <w:rPr>
          <w:rFonts w:ascii="Verdana" w:eastAsia="Century Gothic" w:hAnsi="Verdana" w:cs="Century Gothic"/>
          <w:b/>
          <w:bCs/>
        </w:rPr>
        <w:t>:</w:t>
      </w:r>
    </w:p>
    <w:p w14:paraId="22AD9DFD" w14:textId="77777777" w:rsidR="006703DA" w:rsidRPr="00593A5F" w:rsidRDefault="006703DA" w:rsidP="006703DA">
      <w:pPr>
        <w:widowControl w:val="0"/>
        <w:autoSpaceDE w:val="0"/>
        <w:autoSpaceDN w:val="0"/>
        <w:spacing w:after="0" w:line="276" w:lineRule="auto"/>
        <w:jc w:val="both"/>
        <w:rPr>
          <w:rFonts w:ascii="Verdana" w:hAnsi="Verdana" w:cs="Arial"/>
        </w:rPr>
      </w:pPr>
    </w:p>
    <w:p w14:paraId="7992B345" w14:textId="77777777" w:rsidR="006703DA" w:rsidRPr="00ED0098" w:rsidRDefault="006703DA" w:rsidP="006703DA">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definición de los </w:t>
      </w:r>
      <w:r w:rsidRPr="00CC71AC">
        <w:rPr>
          <w:rFonts w:ascii="Verdana" w:hAnsi="Verdana" w:cs="Arial"/>
          <w:shd w:val="clear" w:color="auto" w:fill="FFFFFF"/>
        </w:rPr>
        <w:t>bienes y servicios de características técnicas uniformes</w:t>
      </w:r>
      <w:r>
        <w:rPr>
          <w:rFonts w:ascii="Verdana" w:hAnsi="Verdana" w:cs="Arial"/>
          <w:shd w:val="clear" w:color="auto" w:fill="FFFFFF"/>
        </w:rPr>
        <w:t xml:space="preserve"> en los Conceptos </w:t>
      </w:r>
      <w:r w:rsidRPr="001816D5">
        <w:rPr>
          <w:rFonts w:ascii="Verdana" w:hAnsi="Verdana" w:cs="Arial"/>
          <w:shd w:val="clear" w:color="auto" w:fill="FFFFFF"/>
        </w:rPr>
        <w:t>C-678 de 24 de noviembre de 2020</w:t>
      </w:r>
      <w:r>
        <w:rPr>
          <w:rFonts w:ascii="Verdana" w:hAnsi="Verdana" w:cs="Arial"/>
          <w:shd w:val="clear" w:color="auto" w:fill="FFFFFF"/>
        </w:rPr>
        <w:t>, C-024 de 24 de febrero de 2021, C-123 de 5 de abril de 2021, C-565 de 12 de septiembre de 2022, C-669 de 18 de octubre de 2022, C-</w:t>
      </w:r>
      <w:r>
        <w:rPr>
          <w:rFonts w:ascii="Verdana" w:hAnsi="Verdana" w:cs="Arial"/>
          <w:shd w:val="clear" w:color="auto" w:fill="FFFFFF"/>
        </w:rPr>
        <w:lastRenderedPageBreak/>
        <w:t>850 de 16 de diciembre de 2022, C-905 de 28 de diciembre de 2022, C-957 de 30 de enero de 2023, C-064 de 5 de junio de 2023, C-456 del 27 de octubre de 2023, C-597 de 8 de noviembre de 2024, C-628 de 30 de octubre de 2024, C-749 de 12 de noviembre de 2024, C-787 de 19 de noviembre de 2024, C-103 del 14 de febrero de 2025</w:t>
      </w:r>
      <w:r>
        <w:rPr>
          <w:rFonts w:ascii="Verdana" w:hAnsi="Verdana"/>
        </w:rPr>
        <w:t xml:space="preserve">. </w:t>
      </w:r>
      <w:proofErr w:type="spellStart"/>
      <w:r>
        <w:rPr>
          <w:rFonts w:ascii="Verdana" w:hAnsi="Verdana"/>
        </w:rPr>
        <w:t>Asi</w:t>
      </w:r>
      <w:proofErr w:type="spellEnd"/>
      <w:r>
        <w:rPr>
          <w:rFonts w:ascii="Verdana" w:hAnsi="Verdana"/>
        </w:rPr>
        <w:t xml:space="preserve"> mismo </w:t>
      </w:r>
      <w:r>
        <w:rPr>
          <w:rFonts w:ascii="Verdana" w:eastAsia="Calibri" w:hAnsi="Verdana" w:cs="Arial"/>
          <w:lang w:val="es-ES" w:eastAsia="es-ES"/>
        </w:rPr>
        <w:t>L</w:t>
      </w:r>
      <w:r w:rsidRPr="00957EE7">
        <w:rPr>
          <w:rFonts w:ascii="Verdana" w:eastAsia="Calibri" w:hAnsi="Verdana" w:cs="Arial"/>
          <w:lang w:val="es-ES" w:eastAsia="es-ES"/>
        </w:rPr>
        <w:t xml:space="preserve">a Agencia Nacional de Contratación Pública – Colombia Compra Eficiente, en </w:t>
      </w:r>
      <w:r>
        <w:rPr>
          <w:rFonts w:ascii="Verdana" w:eastAsia="Calibri" w:hAnsi="Verdana" w:cs="Arial"/>
          <w:lang w:val="es-ES" w:eastAsia="es-ES"/>
        </w:rPr>
        <w:t>los conceptos C-806 del 19 de noviembre de 2024 y C-855 del 17 de diciembre de 2025</w:t>
      </w:r>
      <w:r w:rsidRPr="00957EE7">
        <w:rPr>
          <w:rFonts w:ascii="Verdana" w:eastAsia="Calibri" w:hAnsi="Verdana" w:cs="Arial"/>
          <w:lang w:val="es-ES" w:eastAsia="es-ES"/>
        </w:rPr>
        <w:t xml:space="preserve"> analizó </w:t>
      </w:r>
      <w:r>
        <w:rPr>
          <w:rFonts w:ascii="Verdana" w:eastAsia="Calibri" w:hAnsi="Verdana" w:cs="Arial"/>
          <w:lang w:val="es-ES" w:eastAsia="es-ES"/>
        </w:rPr>
        <w:t>el contrato de operación logística</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BF45F65" w14:textId="77777777" w:rsidR="006703DA" w:rsidRDefault="006703DA" w:rsidP="006703DA">
      <w:pPr>
        <w:widowControl w:val="0"/>
        <w:autoSpaceDE w:val="0"/>
        <w:autoSpaceDN w:val="0"/>
        <w:spacing w:after="0" w:line="276" w:lineRule="auto"/>
        <w:jc w:val="both"/>
        <w:rPr>
          <w:rFonts w:ascii="Verdana" w:hAnsi="Verdana" w:cs="Arial"/>
        </w:rPr>
      </w:pPr>
    </w:p>
    <w:p w14:paraId="38FC6CF3" w14:textId="77777777" w:rsidR="006703DA" w:rsidRPr="002B3F82" w:rsidRDefault="006703DA" w:rsidP="006703DA">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Igualmente</w:t>
      </w:r>
      <w:r w:rsidRPr="002B3F82">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l</w:t>
      </w:r>
      <w:r w:rsidRPr="002B3F82">
        <w:rPr>
          <w:rFonts w:ascii="Verdana" w:hAnsi="Verdana" w:cs="Arial"/>
          <w:color w:val="000000" w:themeColor="text1"/>
          <w:shd w:val="clear" w:color="auto" w:fill="FFFFFF"/>
        </w:rPr>
        <w:t xml:space="preserve">e contamos que </w:t>
      </w:r>
      <w:r w:rsidRPr="00EB5082">
        <w:rPr>
          <w:rFonts w:ascii="Verdana" w:hAnsi="Verdana" w:cs="Arial"/>
          <w:color w:val="000000" w:themeColor="text1"/>
          <w:shd w:val="clear" w:color="auto" w:fill="FFFFFF"/>
        </w:rPr>
        <w:t>ya se encuentra disponible la </w:t>
      </w:r>
      <w:r w:rsidRPr="00EB5082">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EB5082">
        <w:rPr>
          <w:rFonts w:ascii="Verdana"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B5082">
        <w:rPr>
          <w:rFonts w:ascii="Verdana" w:hAnsi="Verdana" w:cs="Arial"/>
          <w:color w:val="000000" w:themeColor="text1"/>
          <w:shd w:val="clear" w:color="auto" w:fill="FFFFFF"/>
        </w:rPr>
        <w:t>Wayúu</w:t>
      </w:r>
      <w:proofErr w:type="spellEnd"/>
      <w:r w:rsidRPr="00EB5082">
        <w:rPr>
          <w:rFonts w:ascii="Verdana" w:hAnsi="Verdana" w:cs="Arial"/>
          <w:color w:val="000000" w:themeColor="text1"/>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EB5082">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EB5082">
        <w:rPr>
          <w:rFonts w:ascii="Verdana" w:hAnsi="Verdana" w:cs="Arial"/>
          <w:color w:val="000000" w:themeColor="text1"/>
          <w:u w:val="single"/>
          <w:shd w:val="clear" w:color="auto" w:fill="FFFFFF"/>
        </w:rPr>
        <w:t>"</w:t>
      </w:r>
    </w:p>
    <w:p w14:paraId="46EC7627" w14:textId="77777777" w:rsidR="006703DA" w:rsidRPr="00115E3D" w:rsidRDefault="006703DA" w:rsidP="006703D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87D81C4" w14:textId="77777777" w:rsidR="006703DA" w:rsidRPr="00115E3D" w:rsidRDefault="006703DA" w:rsidP="004823C8">
      <w:pPr>
        <w:spacing w:after="0" w:line="276" w:lineRule="auto"/>
        <w:jc w:val="both"/>
        <w:rPr>
          <w:rFonts w:ascii="Verdana" w:hAnsi="Verdana"/>
          <w:color w:val="000000" w:themeColor="text1"/>
        </w:rPr>
      </w:pPr>
      <w:r>
        <w:rPr>
          <w:rFonts w:ascii="Verdana" w:hAnsi="Verdana"/>
          <w:color w:val="000000" w:themeColor="text1"/>
          <w:lang w:val="es-ES"/>
        </w:rPr>
        <w:t>L</w:t>
      </w:r>
      <w:r w:rsidRPr="00115E3D">
        <w:rPr>
          <w:rFonts w:ascii="Verdana" w:hAnsi="Verdana"/>
          <w:color w:val="000000" w:themeColor="text1"/>
        </w:rPr>
        <w:t xml:space="preserve">o invitamos a seguirnos en las redes sociales en las cuales se difunde información institucional: </w:t>
      </w:r>
    </w:p>
    <w:p w14:paraId="01E846F9" w14:textId="77777777" w:rsidR="006703DA" w:rsidRPr="00115E3D" w:rsidRDefault="006703DA" w:rsidP="004823C8">
      <w:pPr>
        <w:spacing w:after="0" w:line="276" w:lineRule="auto"/>
        <w:jc w:val="both"/>
        <w:rPr>
          <w:rFonts w:ascii="Verdana" w:hAnsi="Verdana"/>
          <w:color w:val="000000" w:themeColor="text1"/>
        </w:rPr>
      </w:pPr>
    </w:p>
    <w:p w14:paraId="46F78138" w14:textId="77777777" w:rsidR="006703DA" w:rsidRPr="00115E3D" w:rsidRDefault="006703DA" w:rsidP="004823C8">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A126AC">
        <w:rPr>
          <w:rStyle w:val="Hipervnculo"/>
          <w:rFonts w:ascii="Verdana" w:hAnsi="Verdana" w:cs="Arial"/>
          <w:shd w:val="clear" w:color="auto" w:fill="FFFFFF"/>
        </w:rPr>
        <w:t>@colombiacompra</w:t>
      </w:r>
      <w:r w:rsidRPr="004823C8">
        <w:rPr>
          <w:rStyle w:val="Hipervnculo"/>
          <w:rFonts w:ascii="Verdana" w:hAnsi="Verdana" w:cs="Arial"/>
          <w:shd w:val="clear" w:color="auto" w:fill="FFFFFF"/>
        </w:rPr>
        <w:t xml:space="preserve"> </w:t>
      </w:r>
    </w:p>
    <w:p w14:paraId="2025151E" w14:textId="77777777" w:rsidR="006703DA" w:rsidRPr="00115E3D" w:rsidRDefault="006703DA" w:rsidP="004823C8">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A126AC">
        <w:rPr>
          <w:rStyle w:val="Hipervnculo"/>
          <w:rFonts w:ascii="Verdana" w:hAnsi="Verdana" w:cs="Arial"/>
          <w:shd w:val="clear" w:color="auto" w:fill="FFFFFF"/>
        </w:rPr>
        <w:t>ColombiaCompraEficiente</w:t>
      </w:r>
      <w:proofErr w:type="spellEnd"/>
    </w:p>
    <w:p w14:paraId="49A7ED39" w14:textId="77777777" w:rsidR="006703DA" w:rsidRPr="00115E3D" w:rsidRDefault="006703DA" w:rsidP="004823C8">
      <w:pPr>
        <w:spacing w:after="0" w:line="276" w:lineRule="auto"/>
        <w:jc w:val="both"/>
        <w:rPr>
          <w:rFonts w:ascii="Verdana" w:hAnsi="Verdana"/>
          <w:color w:val="000000" w:themeColor="text1"/>
        </w:rPr>
      </w:pPr>
      <w:r w:rsidRPr="00115E3D">
        <w:rPr>
          <w:rFonts w:ascii="Verdana" w:hAnsi="Verdana"/>
          <w:color w:val="000000" w:themeColor="text1"/>
        </w:rPr>
        <w:t xml:space="preserve">LinkedIn: </w:t>
      </w:r>
      <w:r w:rsidRPr="00A126AC">
        <w:rPr>
          <w:rStyle w:val="Hipervnculo"/>
          <w:rFonts w:ascii="Verdana" w:hAnsi="Verdana" w:cs="Arial"/>
          <w:shd w:val="clear" w:color="auto" w:fill="FFFFFF"/>
        </w:rPr>
        <w:t>Agencia Nacional de Contratación Pública - Colombia Compra Eficiente</w:t>
      </w:r>
      <w:r w:rsidRPr="00115E3D">
        <w:rPr>
          <w:rFonts w:ascii="Verdana" w:hAnsi="Verdana"/>
          <w:color w:val="000000" w:themeColor="text1"/>
        </w:rPr>
        <w:t xml:space="preserve"> Instagram: </w:t>
      </w:r>
      <w:r w:rsidRPr="00A126AC">
        <w:rPr>
          <w:rStyle w:val="Hipervnculo"/>
          <w:rFonts w:ascii="Verdana" w:hAnsi="Verdana" w:cs="Arial"/>
          <w:shd w:val="clear" w:color="auto" w:fill="FFFFFF"/>
        </w:rPr>
        <w:t>@colombiacompraeficiente_cce</w:t>
      </w:r>
    </w:p>
    <w:p w14:paraId="4A448EEE" w14:textId="77777777" w:rsidR="006703DA" w:rsidRPr="00593A5F" w:rsidRDefault="006703DA" w:rsidP="004823C8">
      <w:pPr>
        <w:widowControl w:val="0"/>
        <w:autoSpaceDE w:val="0"/>
        <w:autoSpaceDN w:val="0"/>
        <w:spacing w:after="0" w:line="276" w:lineRule="auto"/>
        <w:jc w:val="both"/>
        <w:rPr>
          <w:rFonts w:ascii="Verdana" w:hAnsi="Verdana" w:cs="Arial"/>
        </w:rPr>
      </w:pPr>
    </w:p>
    <w:p w14:paraId="432C1787" w14:textId="77777777" w:rsidR="006703DA" w:rsidRPr="00593A5F" w:rsidRDefault="006703DA" w:rsidP="006703D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325BE60" w14:textId="77777777" w:rsidR="006703DA" w:rsidRPr="005B7C42" w:rsidRDefault="006703DA" w:rsidP="004823C8">
      <w:pPr>
        <w:spacing w:after="0" w:line="276" w:lineRule="auto"/>
        <w:jc w:val="both"/>
        <w:rPr>
          <w:rFonts w:ascii="Verdana" w:eastAsia="Times New Roman" w:hAnsi="Verdana" w:cs="Arial"/>
          <w:szCs w:val="24"/>
          <w:lang w:eastAsia="es-ES_tradnl"/>
        </w:rPr>
      </w:pPr>
    </w:p>
    <w:p w14:paraId="6A054F99" w14:textId="77777777" w:rsidR="006703DA" w:rsidRPr="005B7C42" w:rsidRDefault="006703DA" w:rsidP="006703DA">
      <w:pPr>
        <w:spacing w:after="0" w:line="276" w:lineRule="auto"/>
        <w:jc w:val="both"/>
        <w:rPr>
          <w:rFonts w:ascii="Verdana" w:eastAsia="Times New Roman" w:hAnsi="Verdana" w:cs="Arial"/>
          <w:lang w:eastAsia="es-CO"/>
        </w:rPr>
      </w:pPr>
      <w:bookmarkStart w:id="3" w:name="_Hlk117695077"/>
      <w:r w:rsidRPr="005B7C42">
        <w:rPr>
          <w:rFonts w:ascii="Verdana" w:eastAsia="Times New Roman" w:hAnsi="Verdana" w:cs="Arial"/>
          <w:lang w:eastAsia="es-CO"/>
        </w:rPr>
        <w:lastRenderedPageBreak/>
        <w:t>Atentamente,</w:t>
      </w:r>
    </w:p>
    <w:bookmarkEnd w:id="3"/>
    <w:p w14:paraId="68CBA1E8" w14:textId="6CBC500E" w:rsidR="006703DA" w:rsidRDefault="00C14CAF" w:rsidP="006703DA">
      <w:pPr>
        <w:spacing w:after="0" w:line="276" w:lineRule="auto"/>
        <w:jc w:val="center"/>
        <w:rPr>
          <w:rFonts w:ascii="Verdana" w:eastAsia="Times New Roman" w:hAnsi="Verdana" w:cs="Arial"/>
        </w:rPr>
      </w:pPr>
      <w:r>
        <w:rPr>
          <w:noProof/>
        </w:rPr>
        <w:drawing>
          <wp:inline distT="0" distB="0" distL="0" distR="0" wp14:anchorId="0F5818BB" wp14:editId="70D4E3FB">
            <wp:extent cx="2926080" cy="1378634"/>
            <wp:effectExtent l="0" t="0" r="762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4"/>
                    <a:stretch>
                      <a:fillRect/>
                    </a:stretch>
                  </pic:blipFill>
                  <pic:spPr>
                    <a:xfrm>
                      <a:off x="0" y="0"/>
                      <a:ext cx="2935413" cy="138303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703DA" w:rsidRPr="007A0E81" w14:paraId="7B8F56AE" w14:textId="77777777" w:rsidTr="00E41262">
        <w:trPr>
          <w:trHeight w:val="315"/>
        </w:trPr>
        <w:tc>
          <w:tcPr>
            <w:tcW w:w="893" w:type="dxa"/>
            <w:vAlign w:val="center"/>
            <w:hideMark/>
          </w:tcPr>
          <w:p w14:paraId="4C81640D" w14:textId="77777777" w:rsidR="006703DA" w:rsidRPr="007A0E81" w:rsidRDefault="006703DA" w:rsidP="00E4126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1AE81A92" w14:textId="77777777" w:rsidR="006703DA" w:rsidRPr="007A0E81" w:rsidRDefault="006703DA" w:rsidP="00E41262">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55501054" w14:textId="77777777" w:rsidR="006703DA" w:rsidRPr="007A0E81" w:rsidRDefault="006703DA" w:rsidP="00E41262">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6703DA" w:rsidRPr="007A0E81" w14:paraId="1B4729F4" w14:textId="77777777" w:rsidTr="00E41262">
        <w:trPr>
          <w:trHeight w:val="330"/>
        </w:trPr>
        <w:tc>
          <w:tcPr>
            <w:tcW w:w="893" w:type="dxa"/>
            <w:vAlign w:val="center"/>
            <w:hideMark/>
          </w:tcPr>
          <w:p w14:paraId="44FD4E31" w14:textId="77777777" w:rsidR="006703DA" w:rsidRPr="007A0E81" w:rsidRDefault="006703DA" w:rsidP="00E4126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4AD86BE" w14:textId="77777777" w:rsidR="006703DA" w:rsidRPr="007A0E81" w:rsidRDefault="006703DA" w:rsidP="00E4126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5016F1CD" w14:textId="77777777" w:rsidR="006703DA" w:rsidRPr="007A0E81" w:rsidRDefault="006703DA" w:rsidP="00E41262">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6703DA" w:rsidRPr="007A0E81" w14:paraId="42358568" w14:textId="77777777" w:rsidTr="00E41262">
        <w:trPr>
          <w:trHeight w:val="300"/>
        </w:trPr>
        <w:tc>
          <w:tcPr>
            <w:tcW w:w="893" w:type="dxa"/>
            <w:vAlign w:val="center"/>
          </w:tcPr>
          <w:p w14:paraId="14213F60" w14:textId="77777777" w:rsidR="006703DA" w:rsidRPr="007A0E81" w:rsidRDefault="006703DA" w:rsidP="00E4126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A88EF29" w14:textId="77777777" w:rsidR="006703DA" w:rsidRPr="007A0E81" w:rsidRDefault="006703DA" w:rsidP="00E4126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524BD4F4" w14:textId="77777777" w:rsidR="006703DA" w:rsidRPr="007A0E81" w:rsidRDefault="006703DA" w:rsidP="00E4126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1A4BCEC9" w14:textId="77777777" w:rsidR="006703DA" w:rsidRPr="00C5501D" w:rsidRDefault="006703DA" w:rsidP="006703DA">
      <w:pPr>
        <w:spacing w:line="276" w:lineRule="auto"/>
        <w:jc w:val="center"/>
        <w:rPr>
          <w:rFonts w:ascii="Verdana" w:hAnsi="Verdana" w:cs="Arial"/>
          <w:color w:val="000000"/>
          <w:lang w:eastAsia="es-CO"/>
        </w:rPr>
      </w:pPr>
    </w:p>
    <w:p w14:paraId="6948ACFD" w14:textId="77777777" w:rsidR="006703DA" w:rsidRPr="00543BFE" w:rsidRDefault="006703DA" w:rsidP="006703DA"/>
    <w:bookmarkEnd w:id="0"/>
    <w:p w14:paraId="6440DF66" w14:textId="77777777" w:rsidR="006703DA" w:rsidRPr="0044528D" w:rsidRDefault="006703DA" w:rsidP="00E245AB">
      <w:pPr>
        <w:spacing w:after="0"/>
        <w:rPr>
          <w:rFonts w:ascii="Verdana" w:hAnsi="Verdana"/>
        </w:rPr>
      </w:pPr>
    </w:p>
    <w:sectPr w:rsidR="006703DA"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C14F" w14:textId="77777777" w:rsidR="0018077C" w:rsidRDefault="0018077C" w:rsidP="004A1847">
      <w:pPr>
        <w:spacing w:after="0" w:line="240" w:lineRule="auto"/>
      </w:pPr>
      <w:r>
        <w:separator/>
      </w:r>
    </w:p>
  </w:endnote>
  <w:endnote w:type="continuationSeparator" w:id="0">
    <w:p w14:paraId="213B0124" w14:textId="77777777" w:rsidR="0018077C" w:rsidRDefault="0018077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AAE37" w14:textId="77777777" w:rsidR="0018077C" w:rsidRDefault="0018077C" w:rsidP="004A1847">
      <w:pPr>
        <w:spacing w:after="0" w:line="240" w:lineRule="auto"/>
      </w:pPr>
      <w:r>
        <w:separator/>
      </w:r>
    </w:p>
  </w:footnote>
  <w:footnote w:type="continuationSeparator" w:id="0">
    <w:p w14:paraId="3BA0E293" w14:textId="77777777" w:rsidR="0018077C" w:rsidRDefault="0018077C" w:rsidP="004A1847">
      <w:pPr>
        <w:spacing w:after="0" w:line="240" w:lineRule="auto"/>
      </w:pPr>
      <w:r>
        <w:continuationSeparator/>
      </w:r>
    </w:p>
  </w:footnote>
  <w:footnote w:id="1">
    <w:p w14:paraId="42CB8A3F"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El inciso primero de </w:t>
      </w:r>
      <w:r>
        <w:rPr>
          <w:rFonts w:ascii="Verdana" w:hAnsi="Verdana" w:cs="Arial"/>
          <w:sz w:val="16"/>
          <w:szCs w:val="16"/>
        </w:rPr>
        <w:t xml:space="preserve">la </w:t>
      </w:r>
      <w:r w:rsidRPr="00457B8D">
        <w:rPr>
          <w:rFonts w:ascii="Verdana" w:hAnsi="Verdana" w:cs="Arial"/>
          <w:sz w:val="16"/>
          <w:szCs w:val="16"/>
        </w:rPr>
        <w:t>norma disponía que, conforme al principio de transparencia, “</w:t>
      </w:r>
      <w:r w:rsidRPr="00457B8D">
        <w:rPr>
          <w:rFonts w:ascii="Verdana" w:hAnsi="Verdana" w:cs="Arial"/>
          <w:i/>
          <w:iCs/>
          <w:sz w:val="16"/>
          <w:szCs w:val="16"/>
        </w:rPr>
        <w:t>La escogencia del contratista se efectuará siempre a través de licitación o concurso públicos</w:t>
      </w:r>
      <w:r w:rsidRPr="00457B8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2">
    <w:p w14:paraId="15837186"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57B8D">
        <w:rPr>
          <w:rFonts w:ascii="Verdana" w:hAnsi="Verdana" w:cs="Arial"/>
          <w:i/>
          <w:iCs/>
          <w:sz w:val="16"/>
          <w:szCs w:val="16"/>
        </w:rPr>
        <w:t>Presentación de la oferta de manera dinámica</w:t>
      </w:r>
      <w:r w:rsidRPr="00457B8D">
        <w:rPr>
          <w:rFonts w:ascii="Verdana" w:hAnsi="Verdana" w:cs="Arial"/>
          <w:sz w:val="16"/>
          <w:szCs w:val="16"/>
        </w:rPr>
        <w:t xml:space="preserve">). Es decir, </w:t>
      </w:r>
      <w:r w:rsidRPr="00457B8D">
        <w:rPr>
          <w:rFonts w:ascii="Verdana" w:hAnsi="Verdana" w:cs="Arial"/>
          <w:sz w:val="16"/>
          <w:szCs w:val="16"/>
        </w:rPr>
        <w:t xml:space="preserve">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3">
    <w:p w14:paraId="6EA6E4F6"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El numeral 2 del artículo 2 de la Ley 1150 de 2007 prescribe: </w:t>
      </w:r>
      <w:r w:rsidRPr="00457B8D">
        <w:rPr>
          <w:rFonts w:ascii="Verdana" w:hAnsi="Verdana"/>
          <w:sz w:val="16"/>
          <w:szCs w:val="16"/>
        </w:rPr>
        <w:t xml:space="preserve">“[…] </w:t>
      </w:r>
      <w:r w:rsidRPr="00457B8D">
        <w:rPr>
          <w:rFonts w:ascii="Verdana" w:hAnsi="Verdana" w:cs="Arial"/>
          <w:sz w:val="16"/>
          <w:szCs w:val="16"/>
        </w:rPr>
        <w:t>Serán causales de selección abreviada las siguientes:</w:t>
      </w:r>
    </w:p>
    <w:p w14:paraId="13AAB5EB"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711B84A"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DD7A00A"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7423591A"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w:t>
      </w:r>
    </w:p>
    <w:p w14:paraId="0B1E2080"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1DD19143"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0BBE8B1D"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e) La enajenación de bienes del Estado, con excepción de aquellos a que se refiere la Ley 226 de 1995.</w:t>
      </w:r>
    </w:p>
    <w:p w14:paraId="27EB8DDC"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 xml:space="preserve">[…]; </w:t>
      </w:r>
    </w:p>
    <w:p w14:paraId="12ADFEDA"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 xml:space="preserve">f) Productos de origen o destinación agropecuarios que se ofrezcan en las bolsas de productos legalmente constituidas; </w:t>
      </w:r>
    </w:p>
    <w:p w14:paraId="3816A113"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572E325D"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224EF92C"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i) La contratación de bienes y servicios que se requieran para la defensa y seguridad nacional.</w:t>
      </w:r>
    </w:p>
    <w:p w14:paraId="4AB9C93A" w14:textId="77777777" w:rsidR="006703DA" w:rsidRPr="00457B8D" w:rsidRDefault="006703DA" w:rsidP="004823C8">
      <w:pPr>
        <w:pStyle w:val="Textonotapie"/>
        <w:ind w:firstLine="709"/>
        <w:jc w:val="both"/>
        <w:rPr>
          <w:rFonts w:ascii="Verdana" w:hAnsi="Verdana" w:cs="Arial"/>
          <w:sz w:val="16"/>
          <w:szCs w:val="16"/>
        </w:rPr>
      </w:pPr>
      <w:r w:rsidRPr="00457B8D">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4">
    <w:p w14:paraId="54699168"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5">
    <w:p w14:paraId="70FC2CBA"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CONSEJO DE ESTADO. Sección Tercera. Subsección A. Sentencia del 23 de julio de 2015. </w:t>
      </w:r>
      <w:r w:rsidRPr="00457B8D">
        <w:rPr>
          <w:rFonts w:ascii="Verdana" w:hAnsi="Verdana" w:cs="Arial"/>
          <w:sz w:val="16"/>
          <w:szCs w:val="16"/>
        </w:rPr>
        <w:t xml:space="preserve">Exp. 36.805. C. P. Hernán Andrade Rincón. </w:t>
      </w:r>
    </w:p>
  </w:footnote>
  <w:footnote w:id="6">
    <w:p w14:paraId="154CD5A2" w14:textId="77777777" w:rsidR="006703DA" w:rsidRPr="00457B8D" w:rsidRDefault="006703DA" w:rsidP="004823C8">
      <w:pPr>
        <w:pStyle w:val="Textonotapie"/>
        <w:ind w:firstLine="709"/>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457B8D">
        <w:rPr>
          <w:rFonts w:ascii="Verdana" w:hAnsi="Verdana"/>
          <w:i/>
          <w:iCs/>
          <w:sz w:val="16"/>
          <w:szCs w:val="16"/>
        </w:rPr>
        <w:t>las palabras de la ley se entenderán en su sentido natural y obvio, según el uso general de las mismas palabras</w:t>
      </w:r>
      <w:r w:rsidRPr="00457B8D">
        <w:rPr>
          <w:rFonts w:ascii="Verdana" w:hAnsi="Verdana"/>
          <w:sz w:val="16"/>
          <w:szCs w:val="16"/>
        </w:rPr>
        <w:t>’, es decir, el uso de la gente educada. El Diccionario de la Lengua publicado por la Real Academia Española goza a este respecto de gran autoridad. ‘</w:t>
      </w:r>
      <w:r w:rsidRPr="00457B8D">
        <w:rPr>
          <w:rFonts w:ascii="Verdana" w:hAnsi="Verdana"/>
          <w:i/>
          <w:iCs/>
          <w:sz w:val="16"/>
          <w:szCs w:val="16"/>
        </w:rPr>
        <w:t>Pero cuando el legislador</w:t>
      </w:r>
      <w:r w:rsidRPr="00457B8D">
        <w:rPr>
          <w:rFonts w:ascii="Verdana" w:hAnsi="Verdana"/>
          <w:sz w:val="16"/>
          <w:szCs w:val="16"/>
        </w:rPr>
        <w:t xml:space="preserve">, agrega el artículo 20, </w:t>
      </w:r>
      <w:r w:rsidRPr="00457B8D">
        <w:rPr>
          <w:rFonts w:ascii="Verdana" w:hAnsi="Verdana"/>
          <w:i/>
          <w:iCs/>
          <w:sz w:val="16"/>
          <w:szCs w:val="16"/>
        </w:rPr>
        <w:t>las haya definido expresamente para ciertas materias se les dará en éstas su significado legal</w:t>
      </w:r>
      <w:r w:rsidRPr="00457B8D">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7">
    <w:p w14:paraId="3FAC5748" w14:textId="77777777" w:rsidR="006703DA" w:rsidRPr="00457B8D" w:rsidRDefault="006703DA" w:rsidP="004823C8">
      <w:pPr>
        <w:pStyle w:val="Textonotapie"/>
        <w:ind w:firstLine="709"/>
        <w:jc w:val="both"/>
        <w:rPr>
          <w:rFonts w:ascii="Verdana" w:hAnsi="Verdana"/>
          <w:sz w:val="16"/>
          <w:szCs w:val="16"/>
        </w:rPr>
      </w:pPr>
      <w:r w:rsidRPr="00457B8D">
        <w:rPr>
          <w:rStyle w:val="Refdenotaalpie"/>
          <w:rFonts w:ascii="Verdana" w:hAnsi="Verdana"/>
          <w:sz w:val="16"/>
          <w:szCs w:val="16"/>
        </w:rPr>
        <w:footnoteRef/>
      </w:r>
      <w:r w:rsidRPr="00457B8D">
        <w:rPr>
          <w:rFonts w:ascii="Verdana" w:hAnsi="Verdana"/>
          <w:sz w:val="16"/>
          <w:szCs w:val="16"/>
        </w:rPr>
        <w:t xml:space="preserve"> SUÁREZ BELTRÁN, Gonzalo. Estudios de derecho contractual público. Colombia: Bogotá, 2014. p. 72.</w:t>
      </w:r>
    </w:p>
  </w:footnote>
  <w:footnote w:id="8">
    <w:p w14:paraId="519D3E2C" w14:textId="77777777" w:rsidR="006703DA" w:rsidRPr="002223F1" w:rsidRDefault="006703DA" w:rsidP="004823C8">
      <w:pPr>
        <w:pStyle w:val="Textonotapie"/>
        <w:ind w:firstLine="709"/>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i/>
          <w:iCs/>
          <w:sz w:val="16"/>
          <w:szCs w:val="16"/>
        </w:rPr>
        <w:t>Ibidem</w:t>
      </w:r>
      <w:r w:rsidRPr="00457B8D">
        <w:rPr>
          <w:rFonts w:ascii="Verdana" w:hAnsi="Verdana"/>
          <w:sz w:val="16"/>
          <w:szCs w:val="16"/>
        </w:rPr>
        <w:t>.</w:t>
      </w:r>
    </w:p>
  </w:footnote>
  <w:footnote w:id="9">
    <w:p w14:paraId="1866EFBC" w14:textId="77777777" w:rsidR="006703DA" w:rsidRPr="00457B8D" w:rsidRDefault="006703DA" w:rsidP="004823C8">
      <w:pPr>
        <w:pStyle w:val="Textonotapie"/>
        <w:ind w:firstLine="709"/>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10">
    <w:p w14:paraId="4007B94B" w14:textId="77777777" w:rsidR="006703DA" w:rsidRPr="000A4439" w:rsidRDefault="006703DA" w:rsidP="004823C8">
      <w:pPr>
        <w:pStyle w:val="Textonotapie"/>
        <w:ind w:firstLine="709"/>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DÁVILA VINUEZA, Luis Guillermo. Régimen jurídico de la contratación estatal. </w:t>
      </w:r>
      <w:r w:rsidRPr="000A4439">
        <w:rPr>
          <w:rFonts w:ascii="Verdana" w:hAnsi="Verdana" w:cs="Arial"/>
          <w:sz w:val="16"/>
          <w:szCs w:val="16"/>
          <w:lang w:val="es-CO"/>
        </w:rPr>
        <w:t>Tercera Edición</w:t>
      </w:r>
      <w:r w:rsidRPr="000A4439">
        <w:rPr>
          <w:rFonts w:ascii="Verdana" w:hAnsi="Verdana"/>
          <w:sz w:val="16"/>
          <w:szCs w:val="16"/>
          <w:lang w:val="es-CO"/>
        </w:rPr>
        <w:t>. Bogotá: Legis, 2016. pp. 466-467.</w:t>
      </w:r>
    </w:p>
  </w:footnote>
  <w:footnote w:id="11">
    <w:p w14:paraId="035C3C5B" w14:textId="77777777" w:rsidR="006703DA" w:rsidRPr="00D239E3" w:rsidRDefault="006703DA" w:rsidP="004823C8">
      <w:pPr>
        <w:pStyle w:val="Textonotapie"/>
        <w:ind w:firstLine="709"/>
        <w:jc w:val="both"/>
        <w:rPr>
          <w:rFonts w:ascii="Verdana" w:hAnsi="Verdana"/>
          <w:sz w:val="16"/>
          <w:szCs w:val="16"/>
        </w:rPr>
      </w:pPr>
      <w:r w:rsidRPr="005F70F5">
        <w:rPr>
          <w:rStyle w:val="Refdenotaalpie"/>
          <w:rFonts w:ascii="Verdana" w:hAnsi="Verdana"/>
          <w:sz w:val="16"/>
          <w:szCs w:val="16"/>
        </w:rPr>
        <w:footnoteRef/>
      </w:r>
      <w:r w:rsidRPr="005F70F5">
        <w:rPr>
          <w:rFonts w:ascii="Verdana" w:hAnsi="Verdana"/>
          <w:sz w:val="16"/>
          <w:szCs w:val="16"/>
        </w:rPr>
        <w:t xml:space="preserve"> SUÁREZ BELTRÁN, Gonzalo. Estudios de derecho público contractual: Bogotá: Legis, 2014. p. 238. Al respecto, la doctrina </w:t>
      </w:r>
      <w:r w:rsidRPr="00D239E3">
        <w:rPr>
          <w:rFonts w:ascii="Verdana" w:hAnsi="Verdana"/>
          <w:sz w:val="16"/>
          <w:szCs w:val="16"/>
        </w:rPr>
        <w:t xml:space="preserve">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12">
    <w:p w14:paraId="048414D4" w14:textId="77777777" w:rsidR="006703DA" w:rsidRPr="00D239E3" w:rsidRDefault="006703DA" w:rsidP="004823C8">
      <w:pPr>
        <w:pStyle w:val="Textonotapie"/>
        <w:ind w:firstLine="709"/>
        <w:jc w:val="both"/>
        <w:rPr>
          <w:rFonts w:ascii="Verdana" w:hAnsi="Verdana"/>
          <w:color w:val="000000" w:themeColor="text1"/>
          <w:sz w:val="16"/>
          <w:szCs w:val="16"/>
        </w:rPr>
      </w:pPr>
      <w:r w:rsidRPr="00D239E3">
        <w:rPr>
          <w:rStyle w:val="Refdenotaalpie"/>
          <w:rFonts w:ascii="Verdana" w:hAnsi="Verdana"/>
          <w:sz w:val="16"/>
          <w:szCs w:val="16"/>
        </w:rPr>
        <w:footnoteRef/>
      </w:r>
      <w:r w:rsidRPr="00D239E3">
        <w:rPr>
          <w:rFonts w:ascii="Verdana" w:hAnsi="Verdana"/>
          <w:sz w:val="16"/>
          <w:szCs w:val="16"/>
        </w:rPr>
        <w:t xml:space="preserve"> </w:t>
      </w:r>
      <w:r w:rsidRPr="00D239E3">
        <w:rPr>
          <w:rFonts w:ascii="Verdana" w:hAnsi="Verdana"/>
          <w:color w:val="000000" w:themeColor="text1"/>
          <w:sz w:val="16"/>
          <w:szCs w:val="16"/>
        </w:rPr>
        <w:t>CONSEJO DE ESTADO. Sala de Consulta y Servicio Civil. Concepto del 5 de septiembre de 2018. Rad. 2.386. C.P. Edgar González López.</w:t>
      </w:r>
    </w:p>
  </w:footnote>
  <w:footnote w:id="13">
    <w:p w14:paraId="5A1FAB1B" w14:textId="77777777" w:rsidR="006703DA" w:rsidRPr="00E57ED8" w:rsidRDefault="006703DA" w:rsidP="004823C8">
      <w:pPr>
        <w:pStyle w:val="Textonotapie"/>
        <w:ind w:firstLine="709"/>
        <w:jc w:val="both"/>
        <w:rPr>
          <w:rFonts w:ascii="Verdana" w:hAnsi="Verdana"/>
          <w:sz w:val="16"/>
          <w:szCs w:val="16"/>
        </w:rPr>
      </w:pPr>
      <w:r w:rsidRPr="00E57ED8">
        <w:rPr>
          <w:rStyle w:val="Refdenotaalpie"/>
          <w:rFonts w:ascii="Verdana" w:hAnsi="Verdana"/>
          <w:sz w:val="16"/>
          <w:szCs w:val="16"/>
        </w:rPr>
        <w:footnoteRef/>
      </w:r>
      <w:r w:rsidRPr="00E57ED8">
        <w:rPr>
          <w:rFonts w:ascii="Verdana" w:hAnsi="Verdana"/>
          <w:sz w:val="16"/>
          <w:szCs w:val="16"/>
        </w:rPr>
        <w:t xml:space="preserve"> REYES GARCÉS</w:t>
      </w:r>
      <w:r>
        <w:rPr>
          <w:rFonts w:ascii="Verdana" w:hAnsi="Verdana"/>
          <w:sz w:val="16"/>
          <w:szCs w:val="16"/>
        </w:rPr>
        <w:t xml:space="preserve">, </w:t>
      </w:r>
      <w:r w:rsidRPr="00E57ED8">
        <w:rPr>
          <w:rFonts w:ascii="Verdana" w:hAnsi="Verdana"/>
          <w:sz w:val="16"/>
          <w:szCs w:val="16"/>
        </w:rPr>
        <w:t xml:space="preserve">Henry Mauricio </w:t>
      </w:r>
      <w:r>
        <w:rPr>
          <w:rFonts w:ascii="Verdana" w:hAnsi="Verdana"/>
          <w:sz w:val="16"/>
          <w:szCs w:val="16"/>
        </w:rPr>
        <w:t xml:space="preserve">&amp; </w:t>
      </w:r>
      <w:r w:rsidRPr="00E57ED8">
        <w:rPr>
          <w:rFonts w:ascii="Verdana" w:hAnsi="Verdana"/>
          <w:sz w:val="16"/>
          <w:szCs w:val="16"/>
        </w:rPr>
        <w:t>RODRÍGUEZ BURBANO</w:t>
      </w:r>
      <w:r>
        <w:rPr>
          <w:rFonts w:ascii="Verdana" w:hAnsi="Verdana"/>
          <w:sz w:val="16"/>
          <w:szCs w:val="16"/>
        </w:rPr>
        <w:t>,</w:t>
      </w:r>
      <w:r w:rsidRPr="00E57ED8">
        <w:rPr>
          <w:rFonts w:ascii="Verdana" w:hAnsi="Verdana"/>
          <w:sz w:val="16"/>
          <w:szCs w:val="16"/>
        </w:rPr>
        <w:t xml:space="preserve"> Aura Yolima</w:t>
      </w:r>
      <w:r>
        <w:rPr>
          <w:rFonts w:ascii="Verdana" w:hAnsi="Verdana"/>
          <w:sz w:val="16"/>
          <w:szCs w:val="16"/>
        </w:rPr>
        <w:t xml:space="preserve">. </w:t>
      </w:r>
      <w:r w:rsidRPr="00D4038C">
        <w:rPr>
          <w:rFonts w:ascii="Verdana" w:hAnsi="Verdana"/>
          <w:sz w:val="16"/>
          <w:szCs w:val="16"/>
        </w:rPr>
        <w:t>Una apuesta por el concepto de persona razonable: análisis a partir del contrato atípico de servicios logísticos</w:t>
      </w:r>
      <w:r>
        <w:rPr>
          <w:rFonts w:ascii="Verdana" w:hAnsi="Verdana"/>
          <w:sz w:val="16"/>
          <w:szCs w:val="16"/>
        </w:rPr>
        <w:t xml:space="preserve">. Consultado el 11 de noviembre en la página web </w:t>
      </w:r>
      <w:hyperlink r:id="rId1" w:anchor="toc" w:history="1">
        <w:r w:rsidRPr="00880444">
          <w:rPr>
            <w:rStyle w:val="Hipervnculo"/>
            <w:rFonts w:ascii="Verdana" w:hAnsi="Verdana"/>
            <w:sz w:val="16"/>
            <w:szCs w:val="16"/>
          </w:rPr>
          <w:t>https://revistas.uexternado.edu.co/index.php/derpri/article/view/7201/10297#toc</w:t>
        </w:r>
      </w:hyperlink>
      <w:r>
        <w:rPr>
          <w:rFonts w:ascii="Verdana" w:hAnsi="Verdana"/>
          <w:sz w:val="16"/>
          <w:szCs w:val="16"/>
        </w:rPr>
        <w:t xml:space="preserve">. </w:t>
      </w:r>
    </w:p>
  </w:footnote>
  <w:footnote w:id="14">
    <w:p w14:paraId="0BF41D74" w14:textId="77777777" w:rsidR="006703DA" w:rsidRPr="004823C8" w:rsidRDefault="006703DA" w:rsidP="004823C8">
      <w:pPr>
        <w:pStyle w:val="Textonotapie"/>
        <w:ind w:firstLine="709"/>
        <w:jc w:val="both"/>
        <w:rPr>
          <w:rFonts w:ascii="Verdana" w:hAnsi="Verdana"/>
          <w:sz w:val="16"/>
          <w:szCs w:val="16"/>
          <w:lang w:val="pt-BR"/>
        </w:rPr>
      </w:pPr>
      <w:r w:rsidRPr="004823C8">
        <w:rPr>
          <w:rStyle w:val="Refdenotaalpie"/>
          <w:rFonts w:ascii="Verdana" w:hAnsi="Verdana"/>
          <w:sz w:val="16"/>
          <w:szCs w:val="16"/>
        </w:rPr>
        <w:footnoteRef/>
      </w:r>
      <w:r w:rsidRPr="004823C8">
        <w:rPr>
          <w:rFonts w:ascii="Verdana" w:hAnsi="Verdana"/>
          <w:sz w:val="16"/>
          <w:szCs w:val="16"/>
          <w:lang w:val="pt-BR"/>
        </w:rPr>
        <w:t xml:space="preserve"> </w:t>
      </w:r>
      <w:r w:rsidRPr="0005266C">
        <w:rPr>
          <w:rFonts w:ascii="Verdana" w:hAnsi="Verdana"/>
          <w:sz w:val="16"/>
          <w:szCs w:val="16"/>
          <w:lang w:val="pt-BR"/>
        </w:rPr>
        <w:t>OSPINA FERNÁNDEZ &amp; OSPINA ACOSTA, Op. cit., p.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0B00B5"/>
    <w:multiLevelType w:val="hybridMultilevel"/>
    <w:tmpl w:val="1E7A9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55BF9"/>
    <w:multiLevelType w:val="multilevel"/>
    <w:tmpl w:val="4E6A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9"/>
  </w:num>
  <w:num w:numId="17" w16cid:durableId="915866407">
    <w:abstractNumId w:val="3"/>
  </w:num>
  <w:num w:numId="18" w16cid:durableId="12707729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65"/>
    <w:rsid w:val="00016F78"/>
    <w:rsid w:val="00025BA0"/>
    <w:rsid w:val="00034348"/>
    <w:rsid w:val="00046945"/>
    <w:rsid w:val="00061B2A"/>
    <w:rsid w:val="00082362"/>
    <w:rsid w:val="000A683E"/>
    <w:rsid w:val="000B19B9"/>
    <w:rsid w:val="000C789D"/>
    <w:rsid w:val="000C7DFE"/>
    <w:rsid w:val="000D0334"/>
    <w:rsid w:val="000D63E2"/>
    <w:rsid w:val="000E0719"/>
    <w:rsid w:val="000F6486"/>
    <w:rsid w:val="00125105"/>
    <w:rsid w:val="00127233"/>
    <w:rsid w:val="001511A0"/>
    <w:rsid w:val="0018077C"/>
    <w:rsid w:val="0018335F"/>
    <w:rsid w:val="001E11C0"/>
    <w:rsid w:val="001E4177"/>
    <w:rsid w:val="001F7DC6"/>
    <w:rsid w:val="002014E4"/>
    <w:rsid w:val="002044D9"/>
    <w:rsid w:val="00213C84"/>
    <w:rsid w:val="002318CB"/>
    <w:rsid w:val="002421BB"/>
    <w:rsid w:val="00255AB3"/>
    <w:rsid w:val="0025796E"/>
    <w:rsid w:val="002707A2"/>
    <w:rsid w:val="002951A0"/>
    <w:rsid w:val="002962BC"/>
    <w:rsid w:val="002A093D"/>
    <w:rsid w:val="002A0DD0"/>
    <w:rsid w:val="002A190B"/>
    <w:rsid w:val="002A49AC"/>
    <w:rsid w:val="002A64FD"/>
    <w:rsid w:val="002A7BB1"/>
    <w:rsid w:val="002C7A84"/>
    <w:rsid w:val="002D7064"/>
    <w:rsid w:val="002E3BC0"/>
    <w:rsid w:val="002E4FD9"/>
    <w:rsid w:val="002F586D"/>
    <w:rsid w:val="00312722"/>
    <w:rsid w:val="00316DF6"/>
    <w:rsid w:val="00322A85"/>
    <w:rsid w:val="00324168"/>
    <w:rsid w:val="00324F74"/>
    <w:rsid w:val="003448F4"/>
    <w:rsid w:val="0036391D"/>
    <w:rsid w:val="00374F5E"/>
    <w:rsid w:val="00375BFC"/>
    <w:rsid w:val="00377E3E"/>
    <w:rsid w:val="00395B52"/>
    <w:rsid w:val="003A779E"/>
    <w:rsid w:val="003D0F4D"/>
    <w:rsid w:val="003D5B0D"/>
    <w:rsid w:val="003E0499"/>
    <w:rsid w:val="003F1134"/>
    <w:rsid w:val="003F3941"/>
    <w:rsid w:val="00406575"/>
    <w:rsid w:val="00414C74"/>
    <w:rsid w:val="0042722E"/>
    <w:rsid w:val="00431457"/>
    <w:rsid w:val="0044528D"/>
    <w:rsid w:val="00445E9F"/>
    <w:rsid w:val="00453019"/>
    <w:rsid w:val="004823C8"/>
    <w:rsid w:val="004A1847"/>
    <w:rsid w:val="004A305D"/>
    <w:rsid w:val="004A55E1"/>
    <w:rsid w:val="004E4C5B"/>
    <w:rsid w:val="004F21C4"/>
    <w:rsid w:val="004F390E"/>
    <w:rsid w:val="004F685F"/>
    <w:rsid w:val="0050721A"/>
    <w:rsid w:val="0051471E"/>
    <w:rsid w:val="005566E8"/>
    <w:rsid w:val="00574867"/>
    <w:rsid w:val="00586001"/>
    <w:rsid w:val="00591460"/>
    <w:rsid w:val="00592DE0"/>
    <w:rsid w:val="005B3816"/>
    <w:rsid w:val="005C3777"/>
    <w:rsid w:val="005C563B"/>
    <w:rsid w:val="005C5CDC"/>
    <w:rsid w:val="005D0FF9"/>
    <w:rsid w:val="005D1AA0"/>
    <w:rsid w:val="005D476C"/>
    <w:rsid w:val="006045D6"/>
    <w:rsid w:val="00607957"/>
    <w:rsid w:val="006219F8"/>
    <w:rsid w:val="006219FB"/>
    <w:rsid w:val="0062347D"/>
    <w:rsid w:val="00657C32"/>
    <w:rsid w:val="00663B0C"/>
    <w:rsid w:val="00665D70"/>
    <w:rsid w:val="006703DA"/>
    <w:rsid w:val="006868F5"/>
    <w:rsid w:val="006900D9"/>
    <w:rsid w:val="00695120"/>
    <w:rsid w:val="006967D7"/>
    <w:rsid w:val="006A1269"/>
    <w:rsid w:val="006C6659"/>
    <w:rsid w:val="00706C16"/>
    <w:rsid w:val="007400DF"/>
    <w:rsid w:val="00756841"/>
    <w:rsid w:val="007649AB"/>
    <w:rsid w:val="00771D0C"/>
    <w:rsid w:val="007833AC"/>
    <w:rsid w:val="007B268C"/>
    <w:rsid w:val="007B27C1"/>
    <w:rsid w:val="007B7171"/>
    <w:rsid w:val="007C0C0F"/>
    <w:rsid w:val="007C3DC2"/>
    <w:rsid w:val="007C6A95"/>
    <w:rsid w:val="007E5497"/>
    <w:rsid w:val="00806F5F"/>
    <w:rsid w:val="00820278"/>
    <w:rsid w:val="00866BB3"/>
    <w:rsid w:val="00867F95"/>
    <w:rsid w:val="00882D2B"/>
    <w:rsid w:val="008843B6"/>
    <w:rsid w:val="00884DA8"/>
    <w:rsid w:val="00891928"/>
    <w:rsid w:val="008A446D"/>
    <w:rsid w:val="008D180B"/>
    <w:rsid w:val="008F0EA7"/>
    <w:rsid w:val="00904759"/>
    <w:rsid w:val="009125D5"/>
    <w:rsid w:val="00920055"/>
    <w:rsid w:val="00923EEF"/>
    <w:rsid w:val="009260F4"/>
    <w:rsid w:val="009419F9"/>
    <w:rsid w:val="009453B5"/>
    <w:rsid w:val="00955113"/>
    <w:rsid w:val="0095685E"/>
    <w:rsid w:val="00961B09"/>
    <w:rsid w:val="00965334"/>
    <w:rsid w:val="0096571C"/>
    <w:rsid w:val="0097093E"/>
    <w:rsid w:val="00980723"/>
    <w:rsid w:val="00986478"/>
    <w:rsid w:val="00986AC5"/>
    <w:rsid w:val="009A0DFA"/>
    <w:rsid w:val="009B2D26"/>
    <w:rsid w:val="009C71FA"/>
    <w:rsid w:val="009C72E7"/>
    <w:rsid w:val="009D3058"/>
    <w:rsid w:val="009F3A13"/>
    <w:rsid w:val="00A10689"/>
    <w:rsid w:val="00A122D3"/>
    <w:rsid w:val="00A17F13"/>
    <w:rsid w:val="00A20739"/>
    <w:rsid w:val="00A2555C"/>
    <w:rsid w:val="00A33C78"/>
    <w:rsid w:val="00A42EDC"/>
    <w:rsid w:val="00A6334B"/>
    <w:rsid w:val="00AB0ADB"/>
    <w:rsid w:val="00B01B1A"/>
    <w:rsid w:val="00B61F45"/>
    <w:rsid w:val="00B66319"/>
    <w:rsid w:val="00B72CD3"/>
    <w:rsid w:val="00B72FFF"/>
    <w:rsid w:val="00BC3D36"/>
    <w:rsid w:val="00BC48C9"/>
    <w:rsid w:val="00BD7F72"/>
    <w:rsid w:val="00BF5FC4"/>
    <w:rsid w:val="00C04FB3"/>
    <w:rsid w:val="00C14CAF"/>
    <w:rsid w:val="00C2259C"/>
    <w:rsid w:val="00C26E9D"/>
    <w:rsid w:val="00C330EB"/>
    <w:rsid w:val="00C41061"/>
    <w:rsid w:val="00C60118"/>
    <w:rsid w:val="00C754BE"/>
    <w:rsid w:val="00C76B1C"/>
    <w:rsid w:val="00C9500F"/>
    <w:rsid w:val="00CA3BDD"/>
    <w:rsid w:val="00CB6357"/>
    <w:rsid w:val="00CC1B26"/>
    <w:rsid w:val="00CD1667"/>
    <w:rsid w:val="00CD7CB4"/>
    <w:rsid w:val="00CF6A01"/>
    <w:rsid w:val="00D05E90"/>
    <w:rsid w:val="00D07303"/>
    <w:rsid w:val="00D423A2"/>
    <w:rsid w:val="00D44930"/>
    <w:rsid w:val="00D520D8"/>
    <w:rsid w:val="00D53873"/>
    <w:rsid w:val="00D60D5D"/>
    <w:rsid w:val="00D63AC2"/>
    <w:rsid w:val="00D7383B"/>
    <w:rsid w:val="00D94A1D"/>
    <w:rsid w:val="00DA231B"/>
    <w:rsid w:val="00DC39FC"/>
    <w:rsid w:val="00DE4FC8"/>
    <w:rsid w:val="00DF5254"/>
    <w:rsid w:val="00E16408"/>
    <w:rsid w:val="00E20894"/>
    <w:rsid w:val="00E245AB"/>
    <w:rsid w:val="00E2764C"/>
    <w:rsid w:val="00E27F2E"/>
    <w:rsid w:val="00E50AFE"/>
    <w:rsid w:val="00E50DE8"/>
    <w:rsid w:val="00E75C92"/>
    <w:rsid w:val="00E771DC"/>
    <w:rsid w:val="00E8772A"/>
    <w:rsid w:val="00E90F6B"/>
    <w:rsid w:val="00E92C27"/>
    <w:rsid w:val="00EA0E3D"/>
    <w:rsid w:val="00EC38A7"/>
    <w:rsid w:val="00ED7384"/>
    <w:rsid w:val="00EE1AA8"/>
    <w:rsid w:val="00F147CE"/>
    <w:rsid w:val="00F15F5F"/>
    <w:rsid w:val="00F217AD"/>
    <w:rsid w:val="00F31EDC"/>
    <w:rsid w:val="00F462B3"/>
    <w:rsid w:val="00F5664F"/>
    <w:rsid w:val="00F61880"/>
    <w:rsid w:val="00F666C4"/>
    <w:rsid w:val="00F761C2"/>
    <w:rsid w:val="00F76AFC"/>
    <w:rsid w:val="00F85263"/>
    <w:rsid w:val="00FA47C0"/>
    <w:rsid w:val="00FB5DD1"/>
    <w:rsid w:val="00FC2B5D"/>
    <w:rsid w:val="00FD2565"/>
    <w:rsid w:val="00FF082D"/>
    <w:rsid w:val="00FF1449"/>
    <w:rsid w:val="00FF6D07"/>
    <w:rsid w:val="00FF7F90"/>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703D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703DA"/>
    <w:rPr>
      <w:rFonts w:ascii="Geomanist Light" w:hAnsi="Geomanist Light"/>
      <w:lang w:val="es-ES"/>
    </w:rPr>
  </w:style>
  <w:style w:type="paragraph" w:styleId="Textoindependiente">
    <w:name w:val="Body Text"/>
    <w:basedOn w:val="Normal"/>
    <w:link w:val="TextoindependienteCar"/>
    <w:uiPriority w:val="99"/>
    <w:unhideWhenUsed/>
    <w:rsid w:val="006703DA"/>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703DA"/>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uexternado.edu.co/index.php/derpri/article/view/7201/1029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purl.org/dc/elements/1.1/"/>
    <ds:schemaRef ds:uri="a6cb9e4b-f1d1-4245-83ec-6cad768d538a"/>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68719413-82E4-4790-9CC8-AC65186EC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5F478-8EB3-414F-A125-9426605D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5293</Words>
  <Characters>29112</Characters>
  <Application>Microsoft Office Word</Application>
  <DocSecurity>0</DocSecurity>
  <Lines>242</Lines>
  <Paragraphs>68</Paragraphs>
  <ScaleCrop>false</ScaleCrop>
  <Company/>
  <LinksUpToDate>false</LinksUpToDate>
  <CharactersWithSpaces>34337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2025-07-15T15:14:00Z</dcterms:created>
  <dcterms:modified xsi:type="dcterms:W3CDTF">2025-07-15T15:14:00Z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