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3CF242" w14:textId="481C46B0" w:rsidR="00771742" w:rsidRPr="007B183D" w:rsidRDefault="00771742" w:rsidP="00C4318E">
      <w:pPr>
        <w:spacing w:before="120" w:after="120"/>
        <w:jc w:val="both"/>
        <w:rPr>
          <w:rFonts w:ascii="Arial" w:eastAsia="Calibri" w:hAnsi="Arial" w:cs="Arial"/>
          <w:color w:val="000000" w:themeColor="text1"/>
          <w:sz w:val="22"/>
          <w:szCs w:val="22"/>
          <w:lang w:val="es-MX" w:eastAsia="en-US"/>
        </w:rPr>
      </w:pPr>
    </w:p>
    <w:p w14:paraId="5D0BBCB2" w14:textId="77777777" w:rsidR="007623AE" w:rsidRPr="002D3620" w:rsidRDefault="007623AE" w:rsidP="007623AE">
      <w:pPr>
        <w:jc w:val="both"/>
        <w:rPr>
          <w:rFonts w:ascii="Arial" w:eastAsia="Calibri" w:hAnsi="Arial" w:cs="Arial"/>
          <w:b/>
          <w:sz w:val="22"/>
          <w:lang w:val="es-ES_tradnl"/>
        </w:rPr>
      </w:pPr>
      <w:r w:rsidRPr="002D3620">
        <w:rPr>
          <w:rFonts w:ascii="Arial" w:eastAsia="Calibri" w:hAnsi="Arial" w:cs="Arial"/>
          <w:b/>
          <w:sz w:val="22"/>
          <w:lang w:val="es-ES_tradnl"/>
        </w:rPr>
        <w:t>CONCURSO DE MÉRITOS – Concepto – Modalidades</w:t>
      </w:r>
    </w:p>
    <w:p w14:paraId="2652D6C7" w14:textId="77777777" w:rsidR="007623AE" w:rsidRPr="002D3620" w:rsidRDefault="007623AE" w:rsidP="007623AE">
      <w:pPr>
        <w:jc w:val="both"/>
        <w:rPr>
          <w:rFonts w:ascii="Arial" w:eastAsia="Calibri" w:hAnsi="Arial" w:cs="Arial"/>
          <w:b/>
          <w:sz w:val="22"/>
          <w:lang w:val="es-ES_tradnl"/>
        </w:rPr>
      </w:pPr>
    </w:p>
    <w:p w14:paraId="1AA4B971" w14:textId="33AB999D" w:rsidR="00683A0C" w:rsidRDefault="00683A0C" w:rsidP="00683A0C">
      <w:pPr>
        <w:jc w:val="both"/>
        <w:rPr>
          <w:rFonts w:ascii="Arial" w:hAnsi="Arial" w:cs="Arial"/>
          <w:color w:val="000000" w:themeColor="text1"/>
          <w:sz w:val="20"/>
          <w:szCs w:val="20"/>
          <w:lang w:val="es-ES_tradnl"/>
        </w:rPr>
      </w:pPr>
      <w:r w:rsidRPr="00683A0C">
        <w:rPr>
          <w:rFonts w:ascii="Arial" w:hAnsi="Arial" w:cs="Arial"/>
          <w:color w:val="000000" w:themeColor="text1"/>
          <w:sz w:val="20"/>
          <w:szCs w:val="20"/>
          <w:lang w:val="es-ES_tradnl"/>
        </w:rPr>
        <w:t xml:space="preserve">El </w:t>
      </w:r>
      <w:r w:rsidRPr="00683A0C">
        <w:rPr>
          <w:rFonts w:ascii="Arial" w:hAnsi="Arial" w:cs="Arial"/>
          <w:i/>
          <w:iCs/>
          <w:color w:val="000000" w:themeColor="text1"/>
          <w:sz w:val="20"/>
          <w:szCs w:val="20"/>
          <w:lang w:val="es-ES_tradnl"/>
        </w:rPr>
        <w:t xml:space="preserve">concurso de méritos </w:t>
      </w:r>
      <w:r w:rsidRPr="00683A0C">
        <w:rPr>
          <w:rFonts w:ascii="Arial" w:hAnsi="Arial" w:cs="Arial"/>
          <w:color w:val="000000" w:themeColor="text1"/>
          <w:sz w:val="20"/>
          <w:szCs w:val="20"/>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5930ED42" w14:textId="77777777" w:rsidR="00683A0C" w:rsidRPr="00683A0C" w:rsidRDefault="00683A0C" w:rsidP="00683A0C">
      <w:pPr>
        <w:jc w:val="both"/>
        <w:rPr>
          <w:rFonts w:ascii="Arial" w:hAnsi="Arial" w:cs="Arial"/>
          <w:color w:val="000000" w:themeColor="text1"/>
          <w:sz w:val="20"/>
          <w:szCs w:val="20"/>
          <w:lang w:val="es-ES_tradnl"/>
        </w:rPr>
      </w:pPr>
    </w:p>
    <w:p w14:paraId="3C6AEDB5" w14:textId="77777777" w:rsidR="00683A0C" w:rsidRPr="00683A0C" w:rsidRDefault="00683A0C" w:rsidP="00683A0C">
      <w:pPr>
        <w:jc w:val="both"/>
        <w:rPr>
          <w:rFonts w:ascii="Arial" w:hAnsi="Arial" w:cs="Arial"/>
          <w:color w:val="000000" w:themeColor="text1"/>
          <w:sz w:val="20"/>
          <w:szCs w:val="20"/>
          <w:lang w:val="es-ES_tradnl"/>
        </w:rPr>
      </w:pPr>
      <w:r w:rsidRPr="00683A0C">
        <w:rPr>
          <w:rFonts w:ascii="Arial" w:hAnsi="Arial" w:cs="Arial"/>
          <w:color w:val="000000" w:themeColor="text1"/>
          <w:sz w:val="20"/>
          <w:szCs w:val="20"/>
          <w:lang w:val="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683A0C">
        <w:rPr>
          <w:rFonts w:ascii="Arial" w:hAnsi="Arial" w:cs="Arial"/>
          <w:color w:val="000000" w:themeColor="text1"/>
          <w:sz w:val="20"/>
          <w:szCs w:val="20"/>
          <w:lang w:val="es-ES_tradnl"/>
        </w:rPr>
        <w:t>ii</w:t>
      </w:r>
      <w:proofErr w:type="spellEnd"/>
      <w:r w:rsidRPr="00683A0C">
        <w:rPr>
          <w:rFonts w:ascii="Arial" w:hAnsi="Arial" w:cs="Arial"/>
          <w:color w:val="000000" w:themeColor="text1"/>
          <w:sz w:val="20"/>
          <w:szCs w:val="20"/>
          <w:lang w:val="es-ES_tradnl"/>
        </w:rPr>
        <w:t xml:space="preserve">) concurso de méritos cerrado o con precalificación y </w:t>
      </w:r>
      <w:proofErr w:type="spellStart"/>
      <w:r w:rsidRPr="00683A0C">
        <w:rPr>
          <w:rFonts w:ascii="Arial" w:hAnsi="Arial" w:cs="Arial"/>
          <w:color w:val="000000" w:themeColor="text1"/>
          <w:sz w:val="20"/>
          <w:szCs w:val="20"/>
          <w:lang w:val="es-ES_tradnl"/>
        </w:rPr>
        <w:t>iii</w:t>
      </w:r>
      <w:proofErr w:type="spellEnd"/>
      <w:r w:rsidRPr="00683A0C">
        <w:rPr>
          <w:rFonts w:ascii="Arial" w:hAnsi="Arial" w:cs="Arial"/>
          <w:color w:val="000000" w:themeColor="text1"/>
          <w:sz w:val="20"/>
          <w:szCs w:val="20"/>
          <w:lang w:val="es-ES_tradnl"/>
        </w:rPr>
        <w:t xml:space="preserve">) concurso de méritos «para la selección de consultores de diseño, planos, anteproyectos y proyectos arquitectónicos». El primero está regulado en los artículos 2.2.1.2.1.3.1. y 2.2.1.2.1.3.2. </w:t>
      </w:r>
      <w:proofErr w:type="spellStart"/>
      <w:r w:rsidRPr="00683A0C">
        <w:rPr>
          <w:rFonts w:ascii="Arial" w:hAnsi="Arial" w:cs="Arial"/>
          <w:i/>
          <w:iCs/>
          <w:color w:val="000000" w:themeColor="text1"/>
          <w:sz w:val="20"/>
          <w:szCs w:val="20"/>
          <w:lang w:val="es-ES_tradnl"/>
        </w:rPr>
        <w:t>ibídem</w:t>
      </w:r>
      <w:proofErr w:type="spellEnd"/>
      <w:r w:rsidRPr="00683A0C">
        <w:rPr>
          <w:rFonts w:ascii="Arial" w:hAnsi="Arial" w:cs="Arial"/>
          <w:color w:val="000000" w:themeColor="text1"/>
          <w:sz w:val="20"/>
          <w:szCs w:val="20"/>
          <w:lang w:val="es-ES_tradnl"/>
        </w:rPr>
        <w:t xml:space="preserve">. El segundo, además de los dos artículos anteriores, lo regulan los artículos 2.2.1.2.1.3.3. a 2.2.1.2.1.3.7. </w:t>
      </w:r>
      <w:proofErr w:type="spellStart"/>
      <w:r w:rsidRPr="00683A0C">
        <w:rPr>
          <w:rFonts w:ascii="Arial" w:hAnsi="Arial" w:cs="Arial"/>
          <w:i/>
          <w:iCs/>
          <w:color w:val="000000" w:themeColor="text1"/>
          <w:sz w:val="20"/>
          <w:szCs w:val="20"/>
          <w:lang w:val="es-ES_tradnl"/>
        </w:rPr>
        <w:t>ejusdem</w:t>
      </w:r>
      <w:proofErr w:type="spellEnd"/>
      <w:r w:rsidRPr="00683A0C">
        <w:rPr>
          <w:rFonts w:ascii="Arial" w:hAnsi="Arial" w:cs="Arial"/>
          <w:color w:val="000000" w:themeColor="text1"/>
          <w:sz w:val="20"/>
          <w:szCs w:val="20"/>
          <w:lang w:val="es-ES_tradnl"/>
        </w:rPr>
        <w:t>. El tercero lo regulan los artículos 2.2.1.2.1.3.8. a 2.2.1.2.1.3.25. del mencionado Decreto.</w:t>
      </w:r>
    </w:p>
    <w:p w14:paraId="5F14050C" w14:textId="77777777" w:rsidR="007623AE" w:rsidRPr="002D3620" w:rsidRDefault="007623AE" w:rsidP="007623AE">
      <w:pPr>
        <w:jc w:val="both"/>
        <w:rPr>
          <w:rFonts w:ascii="Arial" w:eastAsia="Calibri" w:hAnsi="Arial" w:cs="Arial"/>
          <w:b/>
          <w:sz w:val="22"/>
          <w:lang w:val="es-ES_tradnl"/>
        </w:rPr>
      </w:pPr>
    </w:p>
    <w:p w14:paraId="1E12781A" w14:textId="77777777" w:rsidR="007623AE" w:rsidRPr="002D3620" w:rsidRDefault="007623AE" w:rsidP="007623AE">
      <w:pPr>
        <w:jc w:val="both"/>
        <w:rPr>
          <w:rFonts w:ascii="Arial" w:eastAsia="Calibri" w:hAnsi="Arial" w:cs="Arial"/>
          <w:b/>
          <w:sz w:val="22"/>
          <w:lang w:val="es-ES_tradnl"/>
        </w:rPr>
      </w:pPr>
      <w:r w:rsidRPr="002D3620">
        <w:rPr>
          <w:rFonts w:ascii="Arial" w:eastAsia="Calibri" w:hAnsi="Arial" w:cs="Arial"/>
          <w:b/>
          <w:sz w:val="22"/>
          <w:lang w:val="es-ES_tradnl"/>
        </w:rPr>
        <w:t>CONCURSO DE MÉRITOS – Decreto 1082 de 2015 – artículo 2.2.1.2.1.3.2</w:t>
      </w:r>
      <w:r w:rsidRPr="002D3620">
        <w:rPr>
          <w:rFonts w:ascii="Arial" w:hAnsi="Arial" w:cs="Arial"/>
          <w:b/>
          <w:color w:val="000000" w:themeColor="text1"/>
          <w:sz w:val="20"/>
          <w:szCs w:val="20"/>
          <w:lang w:val="es-ES_tradnl"/>
        </w:rPr>
        <w:t xml:space="preserve"> </w:t>
      </w:r>
      <w:r w:rsidRPr="002D3620">
        <w:rPr>
          <w:rFonts w:ascii="Arial" w:eastAsia="Calibri" w:hAnsi="Arial" w:cs="Arial"/>
          <w:b/>
          <w:sz w:val="22"/>
          <w:lang w:val="es-ES_tradnl"/>
        </w:rPr>
        <w:t>–</w:t>
      </w:r>
      <w:r w:rsidRPr="002D3620">
        <w:rPr>
          <w:rFonts w:ascii="Arial" w:hAnsi="Arial" w:cs="Arial"/>
          <w:b/>
          <w:color w:val="000000" w:themeColor="text1"/>
          <w:sz w:val="20"/>
          <w:szCs w:val="20"/>
          <w:lang w:val="es-ES_tradnl"/>
        </w:rPr>
        <w:t xml:space="preserve"> </w:t>
      </w:r>
      <w:r w:rsidRPr="002D3620">
        <w:rPr>
          <w:rFonts w:ascii="Arial" w:eastAsia="Calibri" w:hAnsi="Arial" w:cs="Arial"/>
          <w:b/>
          <w:sz w:val="22"/>
          <w:lang w:val="es-ES_tradnl"/>
        </w:rPr>
        <w:t>Suspensión provisional</w:t>
      </w:r>
    </w:p>
    <w:p w14:paraId="45962FA6" w14:textId="77777777" w:rsidR="007623AE" w:rsidRPr="002D3620" w:rsidRDefault="007623AE" w:rsidP="007623AE">
      <w:pPr>
        <w:jc w:val="both"/>
        <w:rPr>
          <w:rFonts w:ascii="Arial" w:eastAsia="Calibri" w:hAnsi="Arial" w:cs="Arial"/>
          <w:b/>
          <w:sz w:val="22"/>
          <w:lang w:val="es-ES_tradnl"/>
        </w:rPr>
      </w:pPr>
    </w:p>
    <w:p w14:paraId="26E045D6" w14:textId="7919F300" w:rsidR="00683A0C" w:rsidRDefault="00683A0C" w:rsidP="00683A0C">
      <w:pPr>
        <w:jc w:val="both"/>
        <w:rPr>
          <w:rFonts w:ascii="Arial" w:hAnsi="Arial" w:cs="Arial"/>
          <w:color w:val="000000" w:themeColor="text1"/>
          <w:sz w:val="20"/>
          <w:szCs w:val="20"/>
          <w:lang w:val="es-ES_tradnl"/>
        </w:rPr>
      </w:pPr>
      <w:r w:rsidRPr="00683A0C">
        <w:rPr>
          <w:rFonts w:ascii="Arial" w:hAnsi="Arial" w:cs="Arial"/>
          <w:color w:val="000000" w:themeColor="text1"/>
          <w:sz w:val="20"/>
          <w:szCs w:val="20"/>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 En lo que respecta al artículo 6, este violaría especialmente el artículo 25.18 del Estatuto General y el artículo 5 de la Ley 1150 de 2007, pues la declaratoria de desierta solo procede cuando no es posible la selección objetiva del contratista.</w:t>
      </w:r>
    </w:p>
    <w:p w14:paraId="738C3AB0" w14:textId="77777777" w:rsidR="00683A0C" w:rsidRPr="00683A0C" w:rsidRDefault="00683A0C" w:rsidP="00683A0C">
      <w:pPr>
        <w:jc w:val="both"/>
        <w:rPr>
          <w:rFonts w:ascii="Arial" w:hAnsi="Arial" w:cs="Arial"/>
          <w:color w:val="000000" w:themeColor="text1"/>
          <w:sz w:val="20"/>
          <w:szCs w:val="20"/>
          <w:lang w:val="es-ES_tradnl"/>
        </w:rPr>
      </w:pPr>
    </w:p>
    <w:p w14:paraId="04E3D865" w14:textId="77777777" w:rsidR="00683A0C" w:rsidRPr="00683A0C" w:rsidRDefault="00683A0C" w:rsidP="00683A0C">
      <w:pPr>
        <w:jc w:val="both"/>
        <w:rPr>
          <w:rFonts w:ascii="Arial" w:eastAsia="Calibri" w:hAnsi="Arial" w:cs="Arial"/>
          <w:color w:val="000000" w:themeColor="text1"/>
          <w:sz w:val="20"/>
          <w:szCs w:val="20"/>
          <w:lang w:val="es-ES_tradnl"/>
        </w:rPr>
      </w:pPr>
      <w:r w:rsidRPr="00683A0C">
        <w:rPr>
          <w:rFonts w:ascii="Arial" w:hAnsi="Arial" w:cs="Arial"/>
          <w:color w:val="000000" w:themeColor="text1"/>
          <w:sz w:val="20"/>
          <w:szCs w:val="20"/>
          <w:lang w:val="es-ES_tradnl"/>
        </w:rPr>
        <w:t xml:space="preserve">En consecuencia, </w:t>
      </w:r>
      <w:r w:rsidRPr="00683A0C">
        <w:rPr>
          <w:rFonts w:ascii="Arial" w:eastAsia="Calibri" w:hAnsi="Arial" w:cs="Arial"/>
          <w:color w:val="000000" w:themeColor="text1"/>
          <w:sz w:val="20"/>
          <w:szCs w:val="20"/>
          <w:lang w:val="es-ES_tradnl"/>
        </w:rPr>
        <w:t>con los autos de suspensión provisional, el concurso de méritos abierto debía desarrollarse aplicando únicamente los numerales 1 y 2 del</w:t>
      </w:r>
      <w:r w:rsidRPr="00683A0C">
        <w:rPr>
          <w:rFonts w:ascii="Arial" w:hAnsi="Arial" w:cs="Arial"/>
          <w:color w:val="000000" w:themeColor="text1"/>
          <w:sz w:val="20"/>
          <w:szCs w:val="20"/>
          <w:lang w:val="es-ES_tradnl"/>
        </w:rPr>
        <w:t xml:space="preserve"> artículo 2.2.1.2.1.3.2 original del Decreto 1082 de 2015, esto es, antes de la modificación realizada por el Decreto 399 de 2021, al que se hará referencia en el numeral siguiente. Por lo tanto, </w:t>
      </w:r>
      <w:r w:rsidRPr="00683A0C">
        <w:rPr>
          <w:rFonts w:ascii="Arial" w:hAnsi="Arial" w:cs="Arial"/>
          <w:i/>
          <w:iCs/>
          <w:color w:val="000000" w:themeColor="text1"/>
          <w:sz w:val="20"/>
          <w:szCs w:val="20"/>
          <w:lang w:val="es-ES_tradnl"/>
        </w:rPr>
        <w:t>siempre que estuviera dentro del presupuesto oficial</w:t>
      </w:r>
      <w:r w:rsidRPr="00683A0C">
        <w:rPr>
          <w:rFonts w:ascii="Arial" w:hAnsi="Arial" w:cs="Arial"/>
          <w:color w:val="000000" w:themeColor="text1"/>
          <w:sz w:val="20"/>
          <w:szCs w:val="20"/>
          <w:lang w:val="es-ES_tradnl"/>
        </w:rPr>
        <w:t>, la entidad estatal debía adjudicar el contrato al proponente que ocupara el primer puesto en el orden de elegibilidad, independientemente del valor ofrecido</w:t>
      </w:r>
      <w:r w:rsidRPr="00683A0C">
        <w:rPr>
          <w:rFonts w:ascii="Arial" w:eastAsia="Calibri" w:hAnsi="Arial" w:cs="Arial"/>
          <w:color w:val="000000" w:themeColor="text1"/>
          <w:sz w:val="20"/>
          <w:szCs w:val="20"/>
          <w:lang w:val="es-ES_tradnl"/>
        </w:rPr>
        <w:t>.</w:t>
      </w:r>
    </w:p>
    <w:p w14:paraId="2072E619" w14:textId="77777777" w:rsidR="007623AE" w:rsidRPr="002D3620" w:rsidRDefault="007623AE" w:rsidP="007623AE">
      <w:pPr>
        <w:jc w:val="both"/>
        <w:rPr>
          <w:rFonts w:ascii="Arial" w:eastAsia="Calibri" w:hAnsi="Arial" w:cs="Arial"/>
          <w:color w:val="000000" w:themeColor="text1"/>
          <w:sz w:val="20"/>
          <w:szCs w:val="20"/>
          <w:lang w:val="es-ES_tradnl"/>
        </w:rPr>
      </w:pPr>
    </w:p>
    <w:p w14:paraId="72F21E14" w14:textId="77777777" w:rsidR="007623AE" w:rsidRPr="002D3620" w:rsidRDefault="007623AE" w:rsidP="007623AE">
      <w:pPr>
        <w:jc w:val="both"/>
        <w:rPr>
          <w:rFonts w:ascii="Arial" w:eastAsia="Calibri" w:hAnsi="Arial" w:cs="Arial"/>
          <w:b/>
          <w:sz w:val="22"/>
          <w:lang w:val="es-ES_tradnl"/>
        </w:rPr>
      </w:pPr>
      <w:r w:rsidRPr="002D3620">
        <w:rPr>
          <w:rFonts w:ascii="Arial" w:eastAsia="Calibri" w:hAnsi="Arial" w:cs="Arial"/>
          <w:b/>
          <w:sz w:val="22"/>
          <w:lang w:val="es-ES_tradnl"/>
        </w:rPr>
        <w:t>CONCURSO DE MÉRITOS – Decreto 1082 de 2015 – Artículo 2.2.1.2.1.3.2 –</w:t>
      </w:r>
      <w:r w:rsidRPr="002D3620">
        <w:rPr>
          <w:rFonts w:ascii="Arial" w:hAnsi="Arial" w:cs="Arial"/>
          <w:b/>
          <w:color w:val="000000" w:themeColor="text1"/>
          <w:sz w:val="20"/>
          <w:szCs w:val="20"/>
          <w:lang w:val="es-ES_tradnl"/>
        </w:rPr>
        <w:t xml:space="preserve"> </w:t>
      </w:r>
      <w:r w:rsidRPr="002D3620">
        <w:rPr>
          <w:rFonts w:ascii="Arial" w:eastAsia="Calibri" w:hAnsi="Arial" w:cs="Arial"/>
          <w:b/>
          <w:sz w:val="22"/>
          <w:lang w:val="es-ES_tradnl"/>
        </w:rPr>
        <w:t>Decreto 399 de 2021 – Artículo 2</w:t>
      </w:r>
    </w:p>
    <w:p w14:paraId="4D78CCAB" w14:textId="77777777" w:rsidR="007623AE" w:rsidRPr="00683A0C" w:rsidRDefault="007623AE" w:rsidP="00683A0C">
      <w:pPr>
        <w:jc w:val="both"/>
        <w:rPr>
          <w:rFonts w:ascii="Arial" w:hAnsi="Arial" w:cs="Arial"/>
          <w:color w:val="000000" w:themeColor="text1"/>
          <w:sz w:val="20"/>
          <w:szCs w:val="20"/>
          <w:lang w:val="es-ES_tradnl"/>
        </w:rPr>
      </w:pPr>
    </w:p>
    <w:p w14:paraId="6F952BFC" w14:textId="578B92EB" w:rsidR="00683A0C" w:rsidRDefault="007623AE" w:rsidP="00683A0C">
      <w:pPr>
        <w:jc w:val="both"/>
        <w:rPr>
          <w:rFonts w:ascii="Arial" w:eastAsia="Calibri" w:hAnsi="Arial" w:cs="Arial"/>
          <w:color w:val="000000" w:themeColor="text1"/>
          <w:sz w:val="20"/>
          <w:szCs w:val="20"/>
          <w:lang w:val="es-ES_tradnl"/>
        </w:rPr>
      </w:pPr>
      <w:r w:rsidRPr="00683A0C">
        <w:rPr>
          <w:rFonts w:ascii="Arial" w:eastAsia="Calibri" w:hAnsi="Arial" w:cs="Arial"/>
          <w:color w:val="000000" w:themeColor="text1"/>
          <w:sz w:val="20"/>
          <w:szCs w:val="20"/>
          <w:lang w:val="es-ES_tradnl"/>
        </w:rPr>
        <w:t>[…</w:t>
      </w:r>
      <w:proofErr w:type="gramStart"/>
      <w:r w:rsidRPr="00683A0C">
        <w:rPr>
          <w:rFonts w:ascii="Arial" w:eastAsia="Calibri" w:hAnsi="Arial" w:cs="Arial"/>
          <w:color w:val="000000" w:themeColor="text1"/>
          <w:sz w:val="20"/>
          <w:szCs w:val="20"/>
          <w:lang w:val="es-ES_tradnl"/>
        </w:rPr>
        <w:t>],</w:t>
      </w:r>
      <w:r w:rsidR="00683A0C" w:rsidRPr="00683A0C">
        <w:rPr>
          <w:rFonts w:ascii="Arial" w:eastAsia="Calibri" w:hAnsi="Arial" w:cs="Arial"/>
          <w:color w:val="000000" w:themeColor="text1"/>
          <w:sz w:val="20"/>
          <w:szCs w:val="20"/>
          <w:lang w:val="es-ES_tradnl"/>
        </w:rPr>
        <w:t>el</w:t>
      </w:r>
      <w:proofErr w:type="gramEnd"/>
      <w:r w:rsidR="00683A0C" w:rsidRPr="00683A0C">
        <w:rPr>
          <w:rFonts w:ascii="Arial" w:eastAsia="Calibri" w:hAnsi="Arial" w:cs="Arial"/>
          <w:color w:val="000000" w:themeColor="text1"/>
          <w:sz w:val="20"/>
          <w:szCs w:val="20"/>
          <w:lang w:val="es-ES_tradnl"/>
        </w:rPr>
        <w:t xml:space="preserve"> artículo 2 del Decreto 399 de 2021 reformó la reglamentación del concurso de méritos, para adecuarla a los pronunciamientos del Consejo de Estado que habían suspendido provisionalmente algunos numerales del artículo 2.2.1.2.1.3.2. del Decreto 1082 de 2015. A diferencia de lo que establecía este artículo en su redacción inicial, con la </w:t>
      </w:r>
      <w:proofErr w:type="gramStart"/>
      <w:r w:rsidR="00683A0C" w:rsidRPr="00683A0C">
        <w:rPr>
          <w:rFonts w:ascii="Arial" w:eastAsia="Calibri" w:hAnsi="Arial" w:cs="Arial"/>
          <w:color w:val="000000" w:themeColor="text1"/>
          <w:sz w:val="20"/>
          <w:szCs w:val="20"/>
          <w:lang w:val="es-ES_tradnl"/>
        </w:rPr>
        <w:t>entrada en vigencia</w:t>
      </w:r>
      <w:proofErr w:type="gramEnd"/>
      <w:r w:rsidR="00683A0C" w:rsidRPr="00683A0C">
        <w:rPr>
          <w:rFonts w:ascii="Arial" w:eastAsia="Calibri" w:hAnsi="Arial" w:cs="Arial"/>
          <w:color w:val="000000" w:themeColor="text1"/>
          <w:sz w:val="20"/>
          <w:szCs w:val="20"/>
          <w:lang w:val="es-ES_tradnl"/>
        </w:rPr>
        <w:t xml:space="preserve"> del artículo 2 del Decreto 399 de 2021 se observan los siguientes cambios:</w:t>
      </w:r>
    </w:p>
    <w:p w14:paraId="037942EC" w14:textId="77777777" w:rsidR="00683A0C" w:rsidRDefault="00683A0C" w:rsidP="00683A0C">
      <w:pPr>
        <w:jc w:val="both"/>
        <w:rPr>
          <w:rFonts w:ascii="Arial" w:eastAsia="Calibri" w:hAnsi="Arial" w:cs="Arial"/>
          <w:color w:val="000000" w:themeColor="text1"/>
          <w:sz w:val="20"/>
          <w:szCs w:val="20"/>
          <w:lang w:val="es-ES_tradnl"/>
        </w:rPr>
      </w:pPr>
    </w:p>
    <w:p w14:paraId="45644E27" w14:textId="77777777" w:rsidR="00683A0C" w:rsidRDefault="00683A0C" w:rsidP="00683A0C">
      <w:pPr>
        <w:jc w:val="both"/>
        <w:rPr>
          <w:rFonts w:ascii="Arial" w:eastAsia="Calibri" w:hAnsi="Arial" w:cs="Arial"/>
          <w:color w:val="000000" w:themeColor="text1"/>
          <w:sz w:val="20"/>
          <w:szCs w:val="20"/>
          <w:lang w:val="es-ES_tradnl"/>
        </w:rPr>
      </w:pPr>
      <w:r w:rsidRPr="00683A0C">
        <w:rPr>
          <w:rFonts w:ascii="Arial" w:eastAsia="Calibri" w:hAnsi="Arial" w:cs="Arial"/>
          <w:color w:val="000000" w:themeColor="text1"/>
          <w:sz w:val="20"/>
          <w:szCs w:val="20"/>
          <w:lang w:val="es-ES_tradnl"/>
        </w:rPr>
        <w:t>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1D221735" w14:textId="77777777" w:rsidR="00683A0C" w:rsidRDefault="00683A0C" w:rsidP="00683A0C">
      <w:pPr>
        <w:jc w:val="both"/>
        <w:rPr>
          <w:rFonts w:ascii="Arial" w:eastAsia="Calibri" w:hAnsi="Arial" w:cs="Arial"/>
          <w:color w:val="000000" w:themeColor="text1"/>
          <w:sz w:val="20"/>
          <w:szCs w:val="20"/>
          <w:lang w:val="es-ES_tradnl"/>
        </w:rPr>
      </w:pPr>
    </w:p>
    <w:p w14:paraId="7142B0FA" w14:textId="77777777" w:rsidR="00683A0C" w:rsidRDefault="00683A0C" w:rsidP="00683A0C">
      <w:pPr>
        <w:jc w:val="both"/>
        <w:rPr>
          <w:rFonts w:ascii="Arial" w:eastAsia="Calibri" w:hAnsi="Arial" w:cs="Arial"/>
          <w:color w:val="000000" w:themeColor="text1"/>
          <w:sz w:val="20"/>
          <w:szCs w:val="20"/>
          <w:lang w:val="es-ES_tradnl"/>
        </w:rPr>
      </w:pPr>
      <w:proofErr w:type="spellStart"/>
      <w:r w:rsidRPr="00683A0C">
        <w:rPr>
          <w:rFonts w:ascii="Arial" w:eastAsia="Calibri" w:hAnsi="Arial" w:cs="Arial"/>
          <w:color w:val="000000" w:themeColor="text1"/>
          <w:sz w:val="20"/>
          <w:szCs w:val="20"/>
          <w:lang w:val="es-ES_tradnl"/>
        </w:rPr>
        <w:t>ii</w:t>
      </w:r>
      <w:proofErr w:type="spellEnd"/>
      <w:r w:rsidRPr="00683A0C">
        <w:rPr>
          <w:rFonts w:ascii="Arial" w:eastAsia="Calibri" w:hAnsi="Arial" w:cs="Arial"/>
          <w:color w:val="000000" w:themeColor="text1"/>
          <w:sz w:val="20"/>
          <w:szCs w:val="20"/>
          <w:lang w:val="es-ES_tradnl"/>
        </w:rPr>
        <w:t>) 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Esto implica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A67AA5D" w14:textId="77777777" w:rsidR="00683A0C" w:rsidRDefault="00683A0C" w:rsidP="00683A0C">
      <w:pPr>
        <w:jc w:val="both"/>
        <w:rPr>
          <w:rFonts w:ascii="Arial" w:eastAsia="Calibri" w:hAnsi="Arial" w:cs="Arial"/>
          <w:color w:val="000000" w:themeColor="text1"/>
          <w:sz w:val="20"/>
          <w:szCs w:val="20"/>
          <w:lang w:val="es-ES_tradnl"/>
        </w:rPr>
      </w:pPr>
    </w:p>
    <w:p w14:paraId="44DBC30D" w14:textId="52AE0E4E" w:rsidR="00683A0C" w:rsidRPr="00683A0C" w:rsidRDefault="00683A0C" w:rsidP="00683A0C">
      <w:pPr>
        <w:jc w:val="both"/>
        <w:rPr>
          <w:rFonts w:ascii="Arial" w:eastAsia="Calibri" w:hAnsi="Arial" w:cs="Arial"/>
          <w:color w:val="000000" w:themeColor="text1"/>
          <w:sz w:val="20"/>
          <w:szCs w:val="20"/>
          <w:lang w:val="es-ES_tradnl"/>
        </w:rPr>
      </w:pPr>
      <w:proofErr w:type="spellStart"/>
      <w:r w:rsidRPr="00683A0C">
        <w:rPr>
          <w:rFonts w:ascii="Arial" w:eastAsia="Calibri" w:hAnsi="Arial" w:cs="Arial"/>
          <w:color w:val="000000" w:themeColor="text1"/>
          <w:sz w:val="20"/>
          <w:szCs w:val="20"/>
          <w:lang w:val="es-ES_tradnl"/>
        </w:rPr>
        <w:t>iii</w:t>
      </w:r>
      <w:proofErr w:type="spellEnd"/>
      <w:r w:rsidRPr="00683A0C">
        <w:rPr>
          <w:rFonts w:ascii="Arial" w:eastAsia="Calibri" w:hAnsi="Arial" w:cs="Arial"/>
          <w:color w:val="000000" w:themeColor="text1"/>
          <w:sz w:val="20"/>
          <w:szCs w:val="20"/>
          <w:lang w:val="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 en armonía con lo decidido en los Autos del Consejo de Estado antes señalados.</w:t>
      </w:r>
    </w:p>
    <w:p w14:paraId="7CA32A42" w14:textId="77777777" w:rsidR="00B62F02" w:rsidRPr="00B62F02" w:rsidRDefault="00B62F02" w:rsidP="00683A0C">
      <w:pPr>
        <w:jc w:val="both"/>
        <w:rPr>
          <w:rFonts w:ascii="Arial" w:eastAsia="Calibri" w:hAnsi="Arial" w:cs="Arial"/>
          <w:color w:val="000000" w:themeColor="text1"/>
          <w:sz w:val="20"/>
          <w:szCs w:val="20"/>
          <w:lang w:val="es-ES_tradnl"/>
        </w:rPr>
      </w:pPr>
    </w:p>
    <w:p w14:paraId="315534E8" w14:textId="6D13E0D4" w:rsidR="001022AE" w:rsidRPr="00B62F02" w:rsidRDefault="00B62F02" w:rsidP="00B62F02">
      <w:pPr>
        <w:spacing w:before="120" w:after="120" w:line="276" w:lineRule="auto"/>
        <w:jc w:val="both"/>
        <w:rPr>
          <w:rFonts w:ascii="Arial" w:eastAsia="Calibri" w:hAnsi="Arial" w:cs="Arial"/>
          <w:b/>
          <w:sz w:val="22"/>
          <w:szCs w:val="22"/>
          <w:lang w:eastAsia="en-US"/>
        </w:rPr>
      </w:pPr>
      <w:r w:rsidRPr="00B62F02">
        <w:rPr>
          <w:rFonts w:ascii="Arial" w:eastAsia="Calibri" w:hAnsi="Arial" w:cs="Arial"/>
          <w:b/>
          <w:sz w:val="22"/>
          <w:szCs w:val="22"/>
          <w:lang w:val="es-ES_tradnl"/>
        </w:rPr>
        <w:t xml:space="preserve">CONCURSO DE MÉRITOS </w:t>
      </w:r>
      <w:r w:rsidRPr="00B62F02">
        <w:rPr>
          <w:rFonts w:ascii="Arial" w:eastAsia="Calibri" w:hAnsi="Arial" w:cs="Arial"/>
          <w:b/>
          <w:bCs/>
          <w:sz w:val="22"/>
          <w:lang w:val="es-ES_tradnl"/>
        </w:rPr>
        <w:t>– oferta económica – correcciones aritméticas.</w:t>
      </w:r>
    </w:p>
    <w:p w14:paraId="613BBE83" w14:textId="096D6E9F" w:rsidR="00B62F02" w:rsidRPr="00683A0C" w:rsidRDefault="00B62F02" w:rsidP="00683A0C">
      <w:pPr>
        <w:spacing w:before="120"/>
        <w:jc w:val="both"/>
        <w:rPr>
          <w:rFonts w:ascii="Arial" w:eastAsiaTheme="minorHAnsi" w:hAnsi="Arial" w:cs="Arial"/>
          <w:sz w:val="20"/>
          <w:szCs w:val="20"/>
          <w:lang w:val="es-ES_tradnl" w:eastAsia="en-US"/>
        </w:rPr>
      </w:pPr>
      <w:r w:rsidRPr="00683A0C">
        <w:rPr>
          <w:rStyle w:val="Textoennegrita"/>
          <w:rFonts w:ascii="Arial" w:hAnsi="Arial" w:cs="Arial"/>
          <w:b w:val="0"/>
          <w:bCs w:val="0"/>
          <w:sz w:val="20"/>
          <w:szCs w:val="20"/>
          <w:shd w:val="clear" w:color="auto" w:fill="FFFFFF"/>
        </w:rPr>
        <w:t xml:space="preserve">[…] </w:t>
      </w:r>
      <w:r w:rsidR="00683A0C" w:rsidRPr="00683A0C">
        <w:rPr>
          <w:rStyle w:val="Textoennegrita"/>
          <w:rFonts w:ascii="Arial" w:hAnsi="Arial" w:cs="Arial"/>
          <w:b w:val="0"/>
          <w:bCs w:val="0"/>
          <w:sz w:val="20"/>
          <w:szCs w:val="20"/>
          <w:shd w:val="clear" w:color="auto" w:fill="FFFFFF"/>
        </w:rPr>
        <w:t>con respecto a las correcciones aritméticas dentro de los procedimientos de concurso de méritos</w:t>
      </w:r>
      <w:r w:rsidR="00683A0C" w:rsidRPr="00683A0C">
        <w:rPr>
          <w:rFonts w:ascii="Arial" w:eastAsia="Calibri" w:hAnsi="Arial" w:cs="Arial"/>
          <w:sz w:val="20"/>
          <w:szCs w:val="20"/>
          <w:lang w:val="es-ES_tradnl" w:eastAsia="en-US"/>
        </w:rPr>
        <w:t xml:space="preserve">, se resalta que la oferta económica en esta modalidad de selección no es un criterio de asignación de puntaje, teniendo en cuenta lo prescrito en el artículo 5, numeral 4, de la Ley 1150 de 2007. Sin embargo, en el evento en que se presente una inconsistencia, concretamente, la necesidad de realizar correcciones aritméticas, </w:t>
      </w:r>
      <w:r w:rsidR="00683A0C" w:rsidRPr="00683A0C">
        <w:rPr>
          <w:rFonts w:ascii="Arial" w:eastAsiaTheme="minorHAnsi" w:hAnsi="Arial" w:cs="Arial"/>
          <w:sz w:val="20"/>
          <w:szCs w:val="20"/>
          <w:lang w:val="es-ES_tradnl" w:eastAsia="en-US"/>
        </w:rPr>
        <w:t>la entidad debe actuar de acuerdo con lo prescrito en el pliego de condiciones, incluyendo la posibilidad de corregir de forma oficiosa este tipo de aspectos, siempre que esto se haya definido en el pliego respectivo.</w:t>
      </w:r>
    </w:p>
    <w:p w14:paraId="45CFFFAC" w14:textId="77777777" w:rsidR="00683A0C" w:rsidRPr="00683A0C" w:rsidRDefault="00683A0C" w:rsidP="00683A0C">
      <w:pPr>
        <w:jc w:val="both"/>
        <w:rPr>
          <w:rFonts w:ascii="Arial" w:eastAsiaTheme="minorHAnsi" w:hAnsi="Arial" w:cs="Arial"/>
          <w:sz w:val="20"/>
          <w:szCs w:val="20"/>
          <w:lang w:val="es-ES_tradnl" w:eastAsia="en-US"/>
        </w:rPr>
      </w:pPr>
    </w:p>
    <w:p w14:paraId="0DD6033C" w14:textId="3FE20D9F" w:rsidR="001022AE" w:rsidRPr="00B62F02" w:rsidRDefault="00683A0C" w:rsidP="00683A0C">
      <w:pPr>
        <w:jc w:val="both"/>
        <w:rPr>
          <w:rFonts w:ascii="Arial" w:eastAsiaTheme="minorHAnsi" w:hAnsi="Arial" w:cs="Arial"/>
          <w:sz w:val="22"/>
          <w:szCs w:val="22"/>
          <w:lang w:val="es-ES_tradnl" w:eastAsia="en-US"/>
        </w:rPr>
      </w:pPr>
      <w:r w:rsidRPr="00683A0C">
        <w:rPr>
          <w:rFonts w:ascii="Arial" w:eastAsia="Calibri" w:hAnsi="Arial" w:cs="Arial"/>
          <w:color w:val="000000" w:themeColor="text1"/>
          <w:sz w:val="20"/>
          <w:szCs w:val="20"/>
        </w:rPr>
        <w:t xml:space="preserve">En este sentido, la entidad puede hacer de oficio las correcciones aritméticas, en aras de garantizar el </w:t>
      </w:r>
      <w:r w:rsidRPr="00683A0C">
        <w:rPr>
          <w:rFonts w:ascii="Arial" w:eastAsiaTheme="minorHAnsi" w:hAnsi="Arial" w:cs="Arial"/>
          <w:sz w:val="20"/>
          <w:szCs w:val="20"/>
          <w:lang w:val="es-ES_tradnl" w:eastAsia="en-US"/>
        </w:rPr>
        <w:t xml:space="preserve">principio de supremacía o prevalencia del derecho sustancial sobre lo procedimental, que se reguló en el artículo 228 constitucional, precisando que dichas correcciones procederán en los términos establecidos en el pliego de condiciones. De esta manera, se considera importante dejar constancia de esta circunstancia en el informe de evaluación respectivo, de manera que sea uno de los aspectos objeto de observación por parte de los proponentes. </w:t>
      </w:r>
    </w:p>
    <w:p w14:paraId="58601FCB" w14:textId="0BB21DB3" w:rsidR="00BB0E2F" w:rsidRPr="005A7019" w:rsidRDefault="00BB0E2F" w:rsidP="005A7019">
      <w:pPr>
        <w:tabs>
          <w:tab w:val="left" w:pos="3374"/>
        </w:tabs>
        <w:jc w:val="right"/>
        <w:rPr>
          <w:rFonts w:ascii="Arial" w:eastAsiaTheme="minorHAnsi" w:hAnsi="Arial" w:cs="Arial"/>
          <w:sz w:val="22"/>
          <w:szCs w:val="22"/>
          <w:lang w:eastAsia="en-US"/>
        </w:rPr>
      </w:pPr>
    </w:p>
    <w:p w14:paraId="74E46A9D" w14:textId="6C924C65" w:rsidR="00CB28CA" w:rsidRPr="007623AE" w:rsidRDefault="00CB28CA" w:rsidP="00CB28CA">
      <w:pPr>
        <w:widowControl w:val="0"/>
        <w:autoSpaceDE w:val="0"/>
        <w:autoSpaceDN w:val="0"/>
        <w:ind w:left="4825"/>
        <w:rPr>
          <w:rFonts w:eastAsia="Arial MT" w:hAnsi="Arial MT" w:cs="Arial MT"/>
          <w:noProof/>
          <w:sz w:val="20"/>
          <w:szCs w:val="22"/>
          <w:lang w:val="es-ES" w:eastAsia="en-US"/>
        </w:rPr>
      </w:pPr>
    </w:p>
    <w:p w14:paraId="44F0D2BC" w14:textId="77777777" w:rsidR="00912670" w:rsidRPr="00912670" w:rsidRDefault="00912670" w:rsidP="00912670">
      <w:pPr>
        <w:widowControl w:val="0"/>
        <w:autoSpaceDE w:val="0"/>
        <w:autoSpaceDN w:val="0"/>
        <w:ind w:left="4825"/>
        <w:rPr>
          <w:rFonts w:eastAsia="Arial MT" w:hAnsi="Arial MT" w:cs="Arial MT"/>
          <w:sz w:val="20"/>
          <w:szCs w:val="22"/>
          <w:lang w:val="es-ES" w:eastAsia="en-US"/>
        </w:rPr>
      </w:pPr>
      <w:r w:rsidRPr="00912670">
        <w:rPr>
          <w:rFonts w:eastAsia="Arial MT" w:hAnsi="Arial MT" w:cs="Arial MT"/>
          <w:noProof/>
          <w:sz w:val="20"/>
          <w:szCs w:val="22"/>
          <w:lang w:val="en-US" w:eastAsia="en-US"/>
        </w:rPr>
        <w:drawing>
          <wp:inline distT="0" distB="0" distL="0" distR="0" wp14:anchorId="1EB0CDC5" wp14:editId="7FD2BD6D">
            <wp:extent cx="2379945" cy="608838"/>
            <wp:effectExtent l="0" t="0" r="0" b="0"/>
            <wp:docPr id="2"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jpeg"/>
                    <pic:cNvPicPr/>
                  </pic:nvPicPr>
                  <pic:blipFill>
                    <a:blip r:embed="rId11" cstate="print"/>
                    <a:stretch>
                      <a:fillRect/>
                    </a:stretch>
                  </pic:blipFill>
                  <pic:spPr>
                    <a:xfrm>
                      <a:off x="0" y="0"/>
                      <a:ext cx="2379945" cy="608838"/>
                    </a:xfrm>
                    <a:prstGeom prst="rect">
                      <a:avLst/>
                    </a:prstGeom>
                  </pic:spPr>
                </pic:pic>
              </a:graphicData>
            </a:graphic>
          </wp:inline>
        </w:drawing>
      </w:r>
    </w:p>
    <w:p w14:paraId="76C5DB7F" w14:textId="267291FE" w:rsidR="00912670" w:rsidRDefault="00912670" w:rsidP="00912670">
      <w:pPr>
        <w:widowControl w:val="0"/>
        <w:autoSpaceDE w:val="0"/>
        <w:autoSpaceDN w:val="0"/>
        <w:spacing w:before="1"/>
        <w:rPr>
          <w:rFonts w:eastAsia="Arial MT" w:hAnsi="Arial MT" w:cs="Arial MT"/>
          <w:sz w:val="20"/>
          <w:szCs w:val="22"/>
          <w:lang w:val="es-ES" w:eastAsia="en-US"/>
        </w:rPr>
      </w:pPr>
    </w:p>
    <w:p w14:paraId="14578D4D" w14:textId="77777777" w:rsidR="00912670" w:rsidRPr="00912670" w:rsidRDefault="00912670" w:rsidP="00912670">
      <w:pPr>
        <w:widowControl w:val="0"/>
        <w:autoSpaceDE w:val="0"/>
        <w:autoSpaceDN w:val="0"/>
        <w:spacing w:before="1"/>
        <w:rPr>
          <w:rFonts w:eastAsia="Arial MT" w:hAnsi="Arial MT" w:cs="Arial MT"/>
          <w:sz w:val="18"/>
          <w:szCs w:val="22"/>
          <w:lang w:val="es-ES" w:eastAsia="en-US"/>
        </w:rPr>
      </w:pPr>
    </w:p>
    <w:p w14:paraId="1F828E6D" w14:textId="77777777" w:rsidR="00912670" w:rsidRPr="00912670" w:rsidRDefault="00912670" w:rsidP="00912670">
      <w:pPr>
        <w:widowControl w:val="0"/>
        <w:autoSpaceDE w:val="0"/>
        <w:autoSpaceDN w:val="0"/>
        <w:spacing w:before="94"/>
        <w:ind w:right="533"/>
        <w:jc w:val="right"/>
        <w:rPr>
          <w:rFonts w:ascii="Arial" w:eastAsia="Arial MT" w:hAnsi="Arial MT" w:cs="Arial MT"/>
          <w:b/>
          <w:sz w:val="18"/>
          <w:szCs w:val="22"/>
          <w:lang w:val="es-ES" w:eastAsia="en-US"/>
        </w:rPr>
      </w:pPr>
      <w:r w:rsidRPr="00912670">
        <w:rPr>
          <w:rFonts w:ascii="Arial" w:eastAsia="Arial MT" w:hAnsi="Arial MT" w:cs="Arial MT"/>
          <w:b/>
          <w:color w:val="585858"/>
          <w:sz w:val="18"/>
          <w:szCs w:val="22"/>
          <w:lang w:val="es-ES" w:eastAsia="en-US"/>
        </w:rPr>
        <w:t>CCE-DES-FM-17</w:t>
      </w:r>
    </w:p>
    <w:p w14:paraId="6E9EA5AA" w14:textId="77777777" w:rsidR="00912670" w:rsidRPr="00912670" w:rsidRDefault="00912670" w:rsidP="00912670">
      <w:pPr>
        <w:widowControl w:val="0"/>
        <w:autoSpaceDE w:val="0"/>
        <w:autoSpaceDN w:val="0"/>
        <w:rPr>
          <w:rFonts w:ascii="Arial" w:eastAsia="Arial MT" w:hAnsi="Arial MT" w:cs="Arial MT"/>
          <w:b/>
          <w:sz w:val="20"/>
          <w:szCs w:val="22"/>
          <w:lang w:val="es-ES" w:eastAsia="en-US"/>
        </w:rPr>
      </w:pPr>
    </w:p>
    <w:p w14:paraId="57466231" w14:textId="77777777" w:rsidR="00912670" w:rsidRPr="00912670" w:rsidRDefault="00912670" w:rsidP="00912670">
      <w:pPr>
        <w:widowControl w:val="0"/>
        <w:autoSpaceDE w:val="0"/>
        <w:autoSpaceDN w:val="0"/>
        <w:rPr>
          <w:rFonts w:ascii="Arial" w:eastAsia="Arial MT" w:hAnsi="Arial MT" w:cs="Arial MT"/>
          <w:b/>
          <w:sz w:val="20"/>
          <w:szCs w:val="22"/>
          <w:lang w:val="es-ES" w:eastAsia="en-US"/>
        </w:rPr>
      </w:pPr>
    </w:p>
    <w:p w14:paraId="4231E052" w14:textId="77777777" w:rsidR="00912670" w:rsidRPr="00912670" w:rsidRDefault="00912670" w:rsidP="00912670">
      <w:pPr>
        <w:widowControl w:val="0"/>
        <w:autoSpaceDE w:val="0"/>
        <w:autoSpaceDN w:val="0"/>
        <w:spacing w:before="208"/>
        <w:ind w:left="100"/>
        <w:rPr>
          <w:rFonts w:ascii="Arial MT" w:eastAsia="Arial MT" w:hAnsi="Arial MT" w:cs="Arial MT"/>
          <w:sz w:val="22"/>
          <w:szCs w:val="22"/>
          <w:lang w:val="es-ES" w:eastAsia="en-US"/>
        </w:rPr>
      </w:pPr>
      <w:r w:rsidRPr="00912670">
        <w:rPr>
          <w:rFonts w:ascii="Arial MT" w:eastAsia="Arial MT" w:hAnsi="Arial MT" w:cs="Arial MT"/>
          <w:color w:val="4E4D4D"/>
          <w:sz w:val="22"/>
          <w:szCs w:val="22"/>
          <w:lang w:val="es-ES" w:eastAsia="en-US"/>
        </w:rPr>
        <w:t>Bogotá,</w:t>
      </w:r>
      <w:r w:rsidRPr="00912670">
        <w:rPr>
          <w:rFonts w:ascii="Arial MT" w:eastAsia="Arial MT" w:hAnsi="Arial MT" w:cs="Arial MT"/>
          <w:color w:val="4E4D4D"/>
          <w:spacing w:val="-3"/>
          <w:sz w:val="22"/>
          <w:szCs w:val="22"/>
          <w:lang w:val="es-ES" w:eastAsia="en-US"/>
        </w:rPr>
        <w:t xml:space="preserve"> </w:t>
      </w:r>
      <w:r w:rsidRPr="00912670">
        <w:rPr>
          <w:rFonts w:ascii="Arial MT" w:eastAsia="Arial MT" w:hAnsi="Arial MT" w:cs="Arial MT"/>
          <w:color w:val="4E4D4D"/>
          <w:sz w:val="22"/>
          <w:szCs w:val="22"/>
          <w:lang w:val="es-ES" w:eastAsia="en-US"/>
        </w:rPr>
        <w:t>02</w:t>
      </w:r>
      <w:r w:rsidRPr="00912670">
        <w:rPr>
          <w:rFonts w:ascii="Arial MT" w:eastAsia="Arial MT" w:hAnsi="Arial MT" w:cs="Arial MT"/>
          <w:color w:val="4E4D4D"/>
          <w:spacing w:val="-5"/>
          <w:sz w:val="22"/>
          <w:szCs w:val="22"/>
          <w:lang w:val="es-ES" w:eastAsia="en-US"/>
        </w:rPr>
        <w:t xml:space="preserve"> </w:t>
      </w:r>
      <w:proofErr w:type="gramStart"/>
      <w:r w:rsidRPr="00912670">
        <w:rPr>
          <w:rFonts w:ascii="Arial MT" w:eastAsia="Arial MT" w:hAnsi="Arial MT" w:cs="Arial MT"/>
          <w:color w:val="4E4D4D"/>
          <w:sz w:val="22"/>
          <w:szCs w:val="22"/>
          <w:lang w:val="es-ES" w:eastAsia="en-US"/>
        </w:rPr>
        <w:t>Febrero</w:t>
      </w:r>
      <w:proofErr w:type="gramEnd"/>
      <w:r w:rsidRPr="00912670">
        <w:rPr>
          <w:rFonts w:ascii="Arial MT" w:eastAsia="Arial MT" w:hAnsi="Arial MT" w:cs="Arial MT"/>
          <w:color w:val="4E4D4D"/>
          <w:spacing w:val="-5"/>
          <w:sz w:val="22"/>
          <w:szCs w:val="22"/>
          <w:lang w:val="es-ES" w:eastAsia="en-US"/>
        </w:rPr>
        <w:t xml:space="preserve"> </w:t>
      </w:r>
      <w:r w:rsidRPr="00912670">
        <w:rPr>
          <w:rFonts w:ascii="Arial MT" w:eastAsia="Arial MT" w:hAnsi="Arial MT" w:cs="Arial MT"/>
          <w:color w:val="4E4D4D"/>
          <w:sz w:val="22"/>
          <w:szCs w:val="22"/>
          <w:lang w:val="es-ES" w:eastAsia="en-US"/>
        </w:rPr>
        <w:t>2022</w:t>
      </w:r>
    </w:p>
    <w:p w14:paraId="07797183" w14:textId="68D4D5DD" w:rsidR="00C62A26" w:rsidRPr="00A65130" w:rsidRDefault="00C62A26" w:rsidP="00C62A26">
      <w:pPr>
        <w:widowControl w:val="0"/>
        <w:autoSpaceDE w:val="0"/>
        <w:autoSpaceDN w:val="0"/>
        <w:rPr>
          <w:rFonts w:ascii="Arial" w:eastAsia="Arial MT" w:hAnsi="Arial" w:cs="Arial"/>
          <w:sz w:val="22"/>
          <w:szCs w:val="22"/>
          <w:lang w:val="es-ES" w:eastAsia="en-US"/>
        </w:rPr>
      </w:pPr>
    </w:p>
    <w:p w14:paraId="59045F84" w14:textId="77777777" w:rsidR="00C62A26" w:rsidRPr="00A65130" w:rsidRDefault="00C62A26" w:rsidP="00C62A26">
      <w:pPr>
        <w:widowControl w:val="0"/>
        <w:autoSpaceDE w:val="0"/>
        <w:autoSpaceDN w:val="0"/>
        <w:rPr>
          <w:rFonts w:ascii="Arial" w:eastAsia="Arial MT" w:hAnsi="Arial" w:cs="Arial"/>
          <w:sz w:val="22"/>
          <w:szCs w:val="22"/>
          <w:lang w:val="es-ES" w:eastAsia="en-US"/>
        </w:rPr>
      </w:pPr>
    </w:p>
    <w:p w14:paraId="62FF0970" w14:textId="26049D2E" w:rsidR="00480662" w:rsidRPr="00A65130" w:rsidRDefault="00C62A26" w:rsidP="00C62A26">
      <w:pPr>
        <w:widowControl w:val="0"/>
        <w:autoSpaceDE w:val="0"/>
        <w:autoSpaceDN w:val="0"/>
        <w:rPr>
          <w:rFonts w:ascii="Arial" w:eastAsia="Arial MT" w:hAnsi="Arial" w:cs="Arial"/>
          <w:sz w:val="22"/>
          <w:szCs w:val="22"/>
          <w:lang w:val="es-ES" w:eastAsia="en-US"/>
        </w:rPr>
      </w:pPr>
      <w:r w:rsidRPr="00A65130">
        <w:rPr>
          <w:rFonts w:ascii="Arial" w:eastAsia="Arial MT" w:hAnsi="Arial" w:cs="Arial"/>
          <w:sz w:val="22"/>
          <w:szCs w:val="22"/>
          <w:lang w:val="es-ES" w:eastAsia="en-US"/>
        </w:rPr>
        <w:t>Señor</w:t>
      </w:r>
      <w:r w:rsidR="00585E9D" w:rsidRPr="00A65130">
        <w:rPr>
          <w:rFonts w:ascii="Arial" w:eastAsia="Arial MT" w:hAnsi="Arial" w:cs="Arial"/>
          <w:sz w:val="22"/>
          <w:szCs w:val="22"/>
          <w:lang w:val="es-ES" w:eastAsia="en-US"/>
        </w:rPr>
        <w:t>a</w:t>
      </w:r>
    </w:p>
    <w:p w14:paraId="5A1E3C85" w14:textId="55C17F71" w:rsidR="004D2590" w:rsidRPr="00096EEA" w:rsidRDefault="00ED6BB2" w:rsidP="004D2590">
      <w:pPr>
        <w:rPr>
          <w:rFonts w:ascii="Arial" w:hAnsi="Arial" w:cs="Arial"/>
          <w:b/>
          <w:color w:val="000000"/>
          <w:sz w:val="22"/>
          <w:szCs w:val="22"/>
          <w:lang w:val="es-ES" w:eastAsia="en-US"/>
        </w:rPr>
      </w:pPr>
      <w:r>
        <w:rPr>
          <w:rFonts w:ascii="Arial" w:hAnsi="Arial" w:cs="Arial"/>
          <w:b/>
          <w:color w:val="000000"/>
          <w:sz w:val="22"/>
          <w:szCs w:val="22"/>
          <w:lang w:val="es-ES" w:eastAsia="en-US"/>
        </w:rPr>
        <w:t xml:space="preserve">RUBY M. PÉREZ </w:t>
      </w:r>
      <w:proofErr w:type="spellStart"/>
      <w:r>
        <w:rPr>
          <w:rFonts w:ascii="Arial" w:hAnsi="Arial" w:cs="Arial"/>
          <w:b/>
          <w:color w:val="000000"/>
          <w:sz w:val="22"/>
          <w:szCs w:val="22"/>
          <w:lang w:val="es-ES" w:eastAsia="en-US"/>
        </w:rPr>
        <w:t>PÉ</w:t>
      </w:r>
      <w:r w:rsidR="004D2590" w:rsidRPr="00096EEA">
        <w:rPr>
          <w:rFonts w:ascii="Arial" w:hAnsi="Arial" w:cs="Arial"/>
          <w:b/>
          <w:color w:val="000000"/>
          <w:sz w:val="22"/>
          <w:szCs w:val="22"/>
          <w:lang w:val="es-ES" w:eastAsia="en-US"/>
        </w:rPr>
        <w:t>REZ</w:t>
      </w:r>
      <w:proofErr w:type="spellEnd"/>
    </w:p>
    <w:p w14:paraId="20AA5DAB" w14:textId="081A9633" w:rsidR="00C64E90" w:rsidRPr="00A65130" w:rsidRDefault="00C64E90" w:rsidP="00C62A26">
      <w:pPr>
        <w:widowControl w:val="0"/>
        <w:autoSpaceDE w:val="0"/>
        <w:autoSpaceDN w:val="0"/>
        <w:rPr>
          <w:rFonts w:ascii="Arial" w:eastAsia="Arial MT" w:hAnsi="Arial" w:cs="Arial"/>
          <w:sz w:val="22"/>
          <w:szCs w:val="22"/>
          <w:lang w:val="es-ES" w:eastAsia="en-US"/>
        </w:rPr>
      </w:pPr>
      <w:r w:rsidRPr="00A65130">
        <w:rPr>
          <w:rFonts w:ascii="Arial" w:eastAsia="Arial MT" w:hAnsi="Arial" w:cs="Arial"/>
          <w:sz w:val="22"/>
          <w:szCs w:val="22"/>
          <w:lang w:val="es-ES" w:eastAsia="en-US"/>
        </w:rPr>
        <w:t>Bogotá</w:t>
      </w:r>
      <w:r w:rsidR="00A052E9" w:rsidRPr="00A65130">
        <w:rPr>
          <w:rFonts w:ascii="Arial" w:eastAsia="Arial MT" w:hAnsi="Arial" w:cs="Arial"/>
          <w:sz w:val="22"/>
          <w:szCs w:val="22"/>
          <w:lang w:val="es-ES" w:eastAsia="en-US"/>
        </w:rPr>
        <w:t xml:space="preserve"> D.C.</w:t>
      </w:r>
    </w:p>
    <w:p w14:paraId="6FDF364F" w14:textId="628B4108" w:rsidR="009F00BF" w:rsidRPr="00A65130" w:rsidRDefault="009F00BF" w:rsidP="00C62A26">
      <w:pPr>
        <w:widowControl w:val="0"/>
        <w:autoSpaceDE w:val="0"/>
        <w:autoSpaceDN w:val="0"/>
        <w:spacing w:before="11"/>
        <w:rPr>
          <w:rFonts w:ascii="Arial" w:eastAsia="Arial MT" w:hAnsi="Arial" w:cs="Arial"/>
          <w:sz w:val="22"/>
          <w:szCs w:val="22"/>
          <w:lang w:val="es-ES" w:eastAsia="en-US"/>
        </w:rPr>
      </w:pPr>
    </w:p>
    <w:p w14:paraId="1301E6A8" w14:textId="6156154A" w:rsidR="00C62A26" w:rsidRPr="00A65130" w:rsidRDefault="00A052E9" w:rsidP="00E26446">
      <w:pPr>
        <w:widowControl w:val="0"/>
        <w:autoSpaceDE w:val="0"/>
        <w:autoSpaceDN w:val="0"/>
        <w:outlineLvl w:val="0"/>
        <w:rPr>
          <w:rFonts w:ascii="Arial" w:eastAsia="Arial" w:hAnsi="Arial" w:cs="Arial"/>
          <w:b/>
          <w:bCs/>
          <w:sz w:val="22"/>
          <w:szCs w:val="22"/>
          <w:lang w:val="es-ES" w:eastAsia="en-US"/>
        </w:rPr>
      </w:pPr>
      <w:r w:rsidRPr="00A65130">
        <w:rPr>
          <w:rFonts w:ascii="Arial" w:eastAsia="Arial" w:hAnsi="Arial" w:cs="Arial"/>
          <w:b/>
          <w:bCs/>
          <w:sz w:val="22"/>
          <w:szCs w:val="22"/>
          <w:lang w:val="es-ES" w:eastAsia="en-US"/>
        </w:rPr>
        <w:t xml:space="preserve">                                            </w:t>
      </w:r>
      <w:r w:rsidR="00C62A26" w:rsidRPr="00A65130">
        <w:rPr>
          <w:rFonts w:ascii="Arial" w:eastAsia="Arial" w:hAnsi="Arial" w:cs="Arial"/>
          <w:b/>
          <w:bCs/>
          <w:sz w:val="22"/>
          <w:szCs w:val="22"/>
          <w:lang w:val="es-ES" w:eastAsia="en-US"/>
        </w:rPr>
        <w:t>Concepto</w:t>
      </w:r>
      <w:r w:rsidR="00C62A26" w:rsidRPr="00A65130">
        <w:rPr>
          <w:rFonts w:ascii="Arial" w:eastAsia="Arial" w:hAnsi="Arial" w:cs="Arial"/>
          <w:b/>
          <w:bCs/>
          <w:spacing w:val="-4"/>
          <w:sz w:val="22"/>
          <w:szCs w:val="22"/>
          <w:lang w:val="es-ES" w:eastAsia="en-US"/>
        </w:rPr>
        <w:t xml:space="preserve"> </w:t>
      </w:r>
      <w:r w:rsidR="00C62A26" w:rsidRPr="00A65130">
        <w:rPr>
          <w:rFonts w:ascii="Arial" w:eastAsia="Arial" w:hAnsi="Arial" w:cs="Arial"/>
          <w:b/>
          <w:bCs/>
          <w:sz w:val="22"/>
          <w:szCs w:val="22"/>
          <w:lang w:val="es-ES" w:eastAsia="en-US"/>
        </w:rPr>
        <w:t>C</w:t>
      </w:r>
      <w:r w:rsidR="00C62A26" w:rsidRPr="00A65130">
        <w:rPr>
          <w:rFonts w:ascii="Arial" w:eastAsia="Arial" w:hAnsi="Arial" w:cs="Arial"/>
          <w:b/>
          <w:bCs/>
          <w:spacing w:val="-2"/>
          <w:sz w:val="22"/>
          <w:szCs w:val="22"/>
          <w:lang w:val="es-ES" w:eastAsia="en-US"/>
        </w:rPr>
        <w:t xml:space="preserve"> </w:t>
      </w:r>
      <w:r w:rsidR="00C62A26" w:rsidRPr="00A65130">
        <w:rPr>
          <w:rFonts w:ascii="Arial" w:eastAsia="Arial" w:hAnsi="Arial" w:cs="Arial"/>
          <w:b/>
          <w:bCs/>
          <w:sz w:val="22"/>
          <w:szCs w:val="22"/>
          <w:lang w:val="es-ES" w:eastAsia="en-US"/>
        </w:rPr>
        <w:t>–</w:t>
      </w:r>
      <w:r w:rsidR="00C62A26" w:rsidRPr="00A65130">
        <w:rPr>
          <w:rFonts w:ascii="Arial" w:eastAsia="Arial" w:hAnsi="Arial" w:cs="Arial"/>
          <w:b/>
          <w:bCs/>
          <w:spacing w:val="-3"/>
          <w:sz w:val="22"/>
          <w:szCs w:val="22"/>
          <w:lang w:val="es-ES" w:eastAsia="en-US"/>
        </w:rPr>
        <w:t xml:space="preserve"> </w:t>
      </w:r>
      <w:r w:rsidR="00957649" w:rsidRPr="00A65130">
        <w:rPr>
          <w:rFonts w:ascii="Arial" w:eastAsia="Arial" w:hAnsi="Arial" w:cs="Arial"/>
          <w:b/>
          <w:bCs/>
          <w:spacing w:val="-4"/>
          <w:sz w:val="22"/>
          <w:szCs w:val="22"/>
          <w:lang w:val="es-ES" w:eastAsia="en-US"/>
        </w:rPr>
        <w:t>7</w:t>
      </w:r>
      <w:r w:rsidR="00994929">
        <w:rPr>
          <w:rFonts w:ascii="Arial" w:eastAsia="Arial" w:hAnsi="Arial" w:cs="Arial"/>
          <w:b/>
          <w:bCs/>
          <w:spacing w:val="-4"/>
          <w:sz w:val="22"/>
          <w:szCs w:val="22"/>
          <w:lang w:val="es-ES" w:eastAsia="en-US"/>
        </w:rPr>
        <w:t>39</w:t>
      </w:r>
      <w:r w:rsidR="00957649" w:rsidRPr="00A65130">
        <w:rPr>
          <w:rFonts w:ascii="Arial" w:eastAsia="Arial" w:hAnsi="Arial" w:cs="Arial"/>
          <w:b/>
          <w:bCs/>
          <w:spacing w:val="-4"/>
          <w:sz w:val="22"/>
          <w:szCs w:val="22"/>
          <w:lang w:val="es-ES" w:eastAsia="en-US"/>
        </w:rPr>
        <w:t xml:space="preserve"> </w:t>
      </w:r>
      <w:r w:rsidR="00C62A26" w:rsidRPr="00A65130">
        <w:rPr>
          <w:rFonts w:ascii="Arial" w:eastAsia="Arial" w:hAnsi="Arial" w:cs="Arial"/>
          <w:b/>
          <w:bCs/>
          <w:sz w:val="22"/>
          <w:szCs w:val="22"/>
          <w:lang w:val="es-ES" w:eastAsia="en-US"/>
        </w:rPr>
        <w:t>de</w:t>
      </w:r>
      <w:r w:rsidR="00C62A26" w:rsidRPr="00A65130">
        <w:rPr>
          <w:rFonts w:ascii="Arial" w:eastAsia="Arial" w:hAnsi="Arial" w:cs="Arial"/>
          <w:b/>
          <w:bCs/>
          <w:spacing w:val="-3"/>
          <w:sz w:val="22"/>
          <w:szCs w:val="22"/>
          <w:lang w:val="es-ES" w:eastAsia="en-US"/>
        </w:rPr>
        <w:t xml:space="preserve"> </w:t>
      </w:r>
      <w:r w:rsidR="00C62A26" w:rsidRPr="00A65130">
        <w:rPr>
          <w:rFonts w:ascii="Arial" w:eastAsia="Arial" w:hAnsi="Arial" w:cs="Arial"/>
          <w:b/>
          <w:bCs/>
          <w:sz w:val="22"/>
          <w:szCs w:val="22"/>
          <w:lang w:val="es-ES" w:eastAsia="en-US"/>
        </w:rPr>
        <w:t>202</w:t>
      </w:r>
      <w:r w:rsidR="00957649" w:rsidRPr="00A65130">
        <w:rPr>
          <w:rFonts w:ascii="Arial" w:eastAsia="Arial" w:hAnsi="Arial" w:cs="Arial"/>
          <w:b/>
          <w:bCs/>
          <w:sz w:val="22"/>
          <w:szCs w:val="22"/>
          <w:lang w:val="es-ES" w:eastAsia="en-US"/>
        </w:rPr>
        <w:t>1</w:t>
      </w:r>
    </w:p>
    <w:p w14:paraId="7EAEE81D" w14:textId="52441CD3" w:rsidR="00BD12C1" w:rsidRPr="00A65130" w:rsidRDefault="00BD12C1" w:rsidP="00BB0E2F">
      <w:pPr>
        <w:widowControl w:val="0"/>
        <w:tabs>
          <w:tab w:val="left" w:pos="2794"/>
        </w:tabs>
        <w:autoSpaceDE w:val="0"/>
        <w:autoSpaceDN w:val="0"/>
        <w:spacing w:before="92"/>
        <w:ind w:right="111"/>
        <w:jc w:val="both"/>
        <w:rPr>
          <w:rFonts w:ascii="Arial" w:eastAsia="Arial MT" w:hAnsi="Arial" w:cs="Arial"/>
          <w:b/>
          <w:sz w:val="22"/>
          <w:szCs w:val="22"/>
          <w:lang w:val="es-ES" w:eastAsia="en-U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374"/>
      </w:tblGrid>
      <w:tr w:rsidR="007623AE" w:rsidRPr="002D3620" w14:paraId="1AC3967A" w14:textId="77777777" w:rsidTr="006D051A">
        <w:tc>
          <w:tcPr>
            <w:tcW w:w="2552" w:type="dxa"/>
          </w:tcPr>
          <w:p w14:paraId="5EDCE630" w14:textId="77777777" w:rsidR="007623AE" w:rsidRPr="002D3620" w:rsidRDefault="007623AE" w:rsidP="006D051A">
            <w:pPr>
              <w:jc w:val="both"/>
              <w:rPr>
                <w:rFonts w:ascii="Arial" w:eastAsia="Calibri" w:hAnsi="Arial" w:cs="Arial"/>
                <w:color w:val="000000" w:themeColor="text1"/>
                <w:sz w:val="22"/>
                <w:lang w:val="es-ES_tradnl"/>
              </w:rPr>
            </w:pPr>
            <w:r w:rsidRPr="002D3620">
              <w:rPr>
                <w:rFonts w:ascii="Arial" w:eastAsia="Calibri" w:hAnsi="Arial" w:cs="Arial"/>
                <w:b/>
                <w:color w:val="000000" w:themeColor="text1"/>
                <w:sz w:val="22"/>
                <w:lang w:val="es-ES_tradnl"/>
              </w:rPr>
              <w:t>Temas:</w:t>
            </w:r>
            <w:r w:rsidRPr="002D3620">
              <w:rPr>
                <w:rFonts w:ascii="Arial" w:eastAsia="Calibri" w:hAnsi="Arial" w:cs="Arial"/>
                <w:color w:val="000000" w:themeColor="text1"/>
                <w:sz w:val="22"/>
                <w:lang w:val="es-ES_tradnl"/>
              </w:rPr>
              <w:t xml:space="preserve">                                      </w:t>
            </w:r>
          </w:p>
        </w:tc>
        <w:tc>
          <w:tcPr>
            <w:tcW w:w="6374" w:type="dxa"/>
          </w:tcPr>
          <w:p w14:paraId="734D4D76" w14:textId="241AE212" w:rsidR="007623AE" w:rsidRDefault="007623AE" w:rsidP="006D051A">
            <w:pPr>
              <w:jc w:val="both"/>
              <w:rPr>
                <w:rFonts w:ascii="Arial" w:eastAsia="Calibri" w:hAnsi="Arial" w:cs="Arial"/>
                <w:sz w:val="22"/>
                <w:szCs w:val="22"/>
                <w:lang w:val="es-ES_tradnl"/>
              </w:rPr>
            </w:pPr>
            <w:r w:rsidRPr="002D3620">
              <w:rPr>
                <w:rFonts w:ascii="Arial" w:eastAsia="Calibri" w:hAnsi="Arial" w:cs="Arial"/>
                <w:bCs/>
                <w:sz w:val="22"/>
                <w:lang w:val="es-ES_tradnl"/>
              </w:rPr>
              <w:t xml:space="preserve">CONCURSO DE MÉRITOS – Concepto – Modalidades / CONCURSO DE MÉRITOS – Decreto 1082 de 2015 – artículo 2.2.1.2.1.3.2 – Suspensión provisional / CONCURSO DE MÉRITOS – Decreto 1082 de 2015 – artículo 2.2.1.2.1.3.2 – Decreto 399 de 2021 – Artículo 2 / </w:t>
            </w:r>
            <w:r w:rsidRPr="002D3620">
              <w:rPr>
                <w:rFonts w:ascii="Arial" w:hAnsi="Arial" w:cs="Arial"/>
                <w:color w:val="000000" w:themeColor="text1"/>
                <w:sz w:val="22"/>
                <w:szCs w:val="22"/>
              </w:rPr>
              <w:t xml:space="preserve">CONCURSO DE MÉRITOS – Decreto 1082 - </w:t>
            </w:r>
            <w:r w:rsidRPr="002D3620">
              <w:rPr>
                <w:rFonts w:ascii="Arial" w:hAnsi="Arial" w:cs="Arial"/>
                <w:color w:val="000000" w:themeColor="text1"/>
                <w:sz w:val="22"/>
                <w:szCs w:val="22"/>
                <w:lang w:val="es-ES_tradnl"/>
              </w:rPr>
              <w:t xml:space="preserve">Artículo 2.2.1.2.1.3.2 – </w:t>
            </w:r>
            <w:r w:rsidRPr="002D3620">
              <w:rPr>
                <w:rFonts w:ascii="Arial" w:eastAsia="Calibri" w:hAnsi="Arial" w:cs="Arial"/>
                <w:sz w:val="22"/>
                <w:szCs w:val="22"/>
                <w:lang w:val="es-ES_tradnl"/>
              </w:rPr>
              <w:t>Decr</w:t>
            </w:r>
            <w:r>
              <w:rPr>
                <w:rFonts w:ascii="Arial" w:eastAsia="Calibri" w:hAnsi="Arial" w:cs="Arial"/>
                <w:sz w:val="22"/>
                <w:szCs w:val="22"/>
                <w:lang w:val="es-ES_tradnl"/>
              </w:rPr>
              <w:t xml:space="preserve">eto 399 de 2021 – Artículo 2 / CONCURSO DE MÉRITOS </w:t>
            </w:r>
            <w:r w:rsidRPr="002D3620">
              <w:rPr>
                <w:rFonts w:ascii="Arial" w:eastAsia="Calibri" w:hAnsi="Arial" w:cs="Arial"/>
                <w:bCs/>
                <w:sz w:val="22"/>
                <w:lang w:val="es-ES_tradnl"/>
              </w:rPr>
              <w:t>–</w:t>
            </w:r>
            <w:r>
              <w:rPr>
                <w:rFonts w:ascii="Arial" w:eastAsia="Calibri" w:hAnsi="Arial" w:cs="Arial"/>
                <w:bCs/>
                <w:sz w:val="22"/>
                <w:lang w:val="es-ES_tradnl"/>
              </w:rPr>
              <w:t xml:space="preserve"> </w:t>
            </w:r>
            <w:r w:rsidR="00B62F02">
              <w:rPr>
                <w:rFonts w:ascii="Arial" w:eastAsia="Calibri" w:hAnsi="Arial" w:cs="Arial"/>
                <w:bCs/>
                <w:sz w:val="22"/>
                <w:lang w:val="es-ES_tradnl"/>
              </w:rPr>
              <w:t xml:space="preserve">oferta económica </w:t>
            </w:r>
            <w:r w:rsidR="00B62F02" w:rsidRPr="002D3620">
              <w:rPr>
                <w:rFonts w:ascii="Arial" w:eastAsia="Calibri" w:hAnsi="Arial" w:cs="Arial"/>
                <w:bCs/>
                <w:sz w:val="22"/>
                <w:lang w:val="es-ES_tradnl"/>
              </w:rPr>
              <w:t>–</w:t>
            </w:r>
            <w:r w:rsidR="00B62F02">
              <w:rPr>
                <w:rFonts w:ascii="Arial" w:eastAsia="Calibri" w:hAnsi="Arial" w:cs="Arial"/>
                <w:bCs/>
                <w:sz w:val="22"/>
                <w:lang w:val="es-ES_tradnl"/>
              </w:rPr>
              <w:t xml:space="preserve"> correcciones aritméticas. </w:t>
            </w:r>
          </w:p>
          <w:p w14:paraId="54DC37C8" w14:textId="77777777" w:rsidR="007623AE" w:rsidRDefault="007623AE" w:rsidP="006D051A">
            <w:pPr>
              <w:jc w:val="both"/>
              <w:rPr>
                <w:rFonts w:ascii="Arial" w:hAnsi="Arial" w:cs="Arial"/>
                <w:sz w:val="22"/>
                <w:szCs w:val="22"/>
              </w:rPr>
            </w:pPr>
          </w:p>
          <w:p w14:paraId="5B77B765" w14:textId="081CD320" w:rsidR="007623AE" w:rsidRPr="002D3620" w:rsidRDefault="007623AE" w:rsidP="006D051A">
            <w:pPr>
              <w:jc w:val="both"/>
              <w:rPr>
                <w:rFonts w:ascii="Arial" w:hAnsi="Arial" w:cs="Arial"/>
                <w:sz w:val="22"/>
                <w:szCs w:val="22"/>
              </w:rPr>
            </w:pPr>
          </w:p>
        </w:tc>
      </w:tr>
    </w:tbl>
    <w:p w14:paraId="6F37CCB0" w14:textId="376A08D6" w:rsidR="00C62A26" w:rsidRPr="00A65130" w:rsidRDefault="000D753A" w:rsidP="00E26446">
      <w:pPr>
        <w:widowControl w:val="0"/>
        <w:tabs>
          <w:tab w:val="left" w:pos="2694"/>
        </w:tabs>
        <w:autoSpaceDE w:val="0"/>
        <w:autoSpaceDN w:val="0"/>
        <w:jc w:val="both"/>
        <w:rPr>
          <w:rFonts w:ascii="Arial" w:eastAsia="Arial MT" w:hAnsi="Arial" w:cs="Arial"/>
          <w:sz w:val="22"/>
          <w:szCs w:val="22"/>
        </w:rPr>
      </w:pPr>
      <w:r w:rsidRPr="00A65130">
        <w:rPr>
          <w:rFonts w:ascii="Arial" w:eastAsia="Arial MT" w:hAnsi="Arial" w:cs="Arial"/>
          <w:b/>
          <w:sz w:val="22"/>
          <w:szCs w:val="22"/>
          <w:lang w:val="es-ES" w:eastAsia="en-US"/>
        </w:rPr>
        <w:t xml:space="preserve">Radicación:                  </w:t>
      </w:r>
      <w:r w:rsidR="00A052E9" w:rsidRPr="00A65130">
        <w:rPr>
          <w:rFonts w:ascii="Arial" w:eastAsia="Arial MT" w:hAnsi="Arial" w:cs="Arial"/>
          <w:b/>
          <w:sz w:val="22"/>
          <w:szCs w:val="22"/>
          <w:lang w:val="es-ES" w:eastAsia="en-US"/>
        </w:rPr>
        <w:tab/>
      </w:r>
      <w:r w:rsidR="00C62A26" w:rsidRPr="00A65130">
        <w:rPr>
          <w:rFonts w:ascii="Arial" w:eastAsia="Arial MT" w:hAnsi="Arial" w:cs="Arial"/>
          <w:sz w:val="22"/>
          <w:szCs w:val="22"/>
        </w:rPr>
        <w:t xml:space="preserve">Respuesta a consulta </w:t>
      </w:r>
      <w:r w:rsidR="00A65130" w:rsidRPr="00A65130">
        <w:rPr>
          <w:rFonts w:ascii="Arial" w:hAnsi="Arial" w:cs="Arial"/>
          <w:sz w:val="22"/>
          <w:szCs w:val="22"/>
        </w:rPr>
        <w:t>P20211221011653</w:t>
      </w:r>
    </w:p>
    <w:p w14:paraId="4AB47DDD" w14:textId="77777777" w:rsidR="00C62A26" w:rsidRPr="005A7019" w:rsidRDefault="00C62A26" w:rsidP="00C62A26">
      <w:pPr>
        <w:widowControl w:val="0"/>
        <w:autoSpaceDE w:val="0"/>
        <w:autoSpaceDN w:val="0"/>
        <w:rPr>
          <w:rFonts w:ascii="Arial" w:eastAsia="Arial MT" w:hAnsi="Arial" w:cs="Arial"/>
          <w:sz w:val="22"/>
          <w:szCs w:val="22"/>
          <w:lang w:val="es-ES" w:eastAsia="en-US"/>
        </w:rPr>
      </w:pPr>
    </w:p>
    <w:p w14:paraId="094D5FEE" w14:textId="77777777" w:rsidR="00C62A26" w:rsidRPr="005A7019" w:rsidRDefault="00C62A26" w:rsidP="00C62A26">
      <w:pPr>
        <w:widowControl w:val="0"/>
        <w:autoSpaceDE w:val="0"/>
        <w:autoSpaceDN w:val="0"/>
        <w:spacing w:before="10"/>
        <w:rPr>
          <w:rFonts w:ascii="Arial" w:eastAsia="Arial MT" w:hAnsi="Arial" w:cs="Arial"/>
          <w:sz w:val="22"/>
          <w:szCs w:val="22"/>
          <w:lang w:val="es-ES" w:eastAsia="en-US"/>
        </w:rPr>
      </w:pPr>
    </w:p>
    <w:p w14:paraId="7865DC5D" w14:textId="47B52C90" w:rsidR="00C62A26" w:rsidRPr="005A7019" w:rsidRDefault="00C62A26" w:rsidP="00E26446">
      <w:pPr>
        <w:widowControl w:val="0"/>
        <w:autoSpaceDE w:val="0"/>
        <w:autoSpaceDN w:val="0"/>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Estimad</w:t>
      </w:r>
      <w:r w:rsidR="00480662">
        <w:rPr>
          <w:rFonts w:ascii="Arial MT" w:eastAsia="Arial MT" w:hAnsi="Arial MT" w:cs="Arial MT"/>
          <w:spacing w:val="-7"/>
          <w:sz w:val="22"/>
          <w:szCs w:val="22"/>
          <w:lang w:val="es-ES" w:eastAsia="en-US"/>
        </w:rPr>
        <w:t>o Señor</w:t>
      </w:r>
      <w:r w:rsidR="004D69C3">
        <w:rPr>
          <w:rFonts w:ascii="Arial MT" w:eastAsia="Arial MT" w:hAnsi="Arial MT" w:cs="Arial MT"/>
          <w:spacing w:val="-7"/>
          <w:sz w:val="22"/>
          <w:szCs w:val="22"/>
          <w:lang w:val="es-ES" w:eastAsia="en-US"/>
        </w:rPr>
        <w:t>a</w:t>
      </w:r>
      <w:r w:rsidR="00480662">
        <w:rPr>
          <w:rFonts w:ascii="Arial MT" w:eastAsia="Arial MT" w:hAnsi="Arial MT" w:cs="Arial MT"/>
          <w:spacing w:val="-7"/>
          <w:sz w:val="22"/>
          <w:szCs w:val="22"/>
          <w:lang w:val="es-ES" w:eastAsia="en-US"/>
        </w:rPr>
        <w:t xml:space="preserve"> </w:t>
      </w:r>
      <w:r w:rsidR="004D2590">
        <w:rPr>
          <w:rFonts w:ascii="Arial" w:eastAsia="Arial MT" w:hAnsi="Arial" w:cs="Arial"/>
          <w:bCs/>
          <w:sz w:val="22"/>
          <w:szCs w:val="22"/>
          <w:lang w:val="es-ES" w:eastAsia="en-US"/>
        </w:rPr>
        <w:t>Pérez:</w:t>
      </w:r>
    </w:p>
    <w:p w14:paraId="76C3D0BF" w14:textId="77777777" w:rsidR="00C62A26" w:rsidRPr="005A7019" w:rsidRDefault="00C62A26" w:rsidP="00C62A26">
      <w:pPr>
        <w:widowControl w:val="0"/>
        <w:autoSpaceDE w:val="0"/>
        <w:autoSpaceDN w:val="0"/>
        <w:spacing w:before="7"/>
        <w:rPr>
          <w:rFonts w:ascii="Arial" w:eastAsia="Arial MT" w:hAnsi="Arial" w:cs="Arial"/>
          <w:sz w:val="22"/>
          <w:szCs w:val="22"/>
          <w:lang w:val="es-ES" w:eastAsia="en-US"/>
        </w:rPr>
      </w:pPr>
    </w:p>
    <w:p w14:paraId="512C1E0E" w14:textId="122CAB87" w:rsidR="00C62A26" w:rsidRPr="005A7019" w:rsidRDefault="00C62A26" w:rsidP="00E26446">
      <w:pPr>
        <w:widowControl w:val="0"/>
        <w:autoSpaceDE w:val="0"/>
        <w:autoSpaceDN w:val="0"/>
        <w:spacing w:line="276" w:lineRule="auto"/>
        <w:jc w:val="both"/>
        <w:rPr>
          <w:rFonts w:ascii="Arial MT" w:eastAsia="Arial MT" w:hAnsi="Arial MT" w:cs="Arial MT"/>
          <w:sz w:val="22"/>
          <w:szCs w:val="22"/>
          <w:lang w:val="es-ES" w:eastAsia="en-US"/>
        </w:rPr>
      </w:pPr>
      <w:r w:rsidRPr="005A7019">
        <w:rPr>
          <w:rFonts w:ascii="Arial MT" w:eastAsia="Arial MT" w:hAnsi="Arial MT" w:cs="Arial MT"/>
          <w:sz w:val="22"/>
          <w:szCs w:val="22"/>
          <w:lang w:val="es-ES" w:eastAsia="en-US"/>
        </w:rPr>
        <w:t xml:space="preserve">En ejercicio de la competencia otorgada por el numeral 8 del artículo 11 y el numeral </w:t>
      </w:r>
      <w:r w:rsidR="00E26446" w:rsidRPr="005A7019">
        <w:rPr>
          <w:rFonts w:ascii="Arial MT" w:eastAsia="Arial MT" w:hAnsi="Arial MT" w:cs="Arial MT"/>
          <w:sz w:val="22"/>
          <w:szCs w:val="22"/>
          <w:lang w:val="es-ES" w:eastAsia="en-US"/>
        </w:rPr>
        <w:t xml:space="preserve">5 del </w:t>
      </w:r>
      <w:r w:rsidRPr="005A7019">
        <w:rPr>
          <w:rFonts w:ascii="Arial MT" w:eastAsia="Arial MT" w:hAnsi="Arial MT" w:cs="Arial MT"/>
          <w:sz w:val="22"/>
          <w:szCs w:val="22"/>
          <w:lang w:val="es-ES" w:eastAsia="en-US"/>
        </w:rPr>
        <w:t>artículo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3</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del</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Decreto</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Ley</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4170</w:t>
      </w:r>
      <w:r w:rsidRPr="005A7019">
        <w:rPr>
          <w:rFonts w:ascii="Arial MT" w:eastAsia="Arial MT" w:hAnsi="Arial MT" w:cs="Arial MT"/>
          <w:spacing w:val="-7"/>
          <w:sz w:val="22"/>
          <w:szCs w:val="22"/>
          <w:lang w:val="es-ES" w:eastAsia="en-US"/>
        </w:rPr>
        <w:t xml:space="preserve"> </w:t>
      </w:r>
      <w:r w:rsidRPr="005A7019">
        <w:rPr>
          <w:rFonts w:ascii="Arial MT" w:eastAsia="Arial MT" w:hAnsi="Arial MT" w:cs="Arial MT"/>
          <w:sz w:val="22"/>
          <w:szCs w:val="22"/>
          <w:lang w:val="es-ES" w:eastAsia="en-US"/>
        </w:rPr>
        <w:t>de</w:t>
      </w:r>
      <w:r w:rsidRPr="005A7019">
        <w:rPr>
          <w:rFonts w:ascii="Arial MT" w:eastAsia="Arial MT" w:hAnsi="Arial MT" w:cs="Arial MT"/>
          <w:spacing w:val="-8"/>
          <w:sz w:val="22"/>
          <w:szCs w:val="22"/>
          <w:lang w:val="es-ES" w:eastAsia="en-US"/>
        </w:rPr>
        <w:t xml:space="preserve"> </w:t>
      </w:r>
      <w:r w:rsidRPr="005A7019">
        <w:rPr>
          <w:rFonts w:ascii="Arial MT" w:eastAsia="Arial MT" w:hAnsi="Arial MT" w:cs="Arial MT"/>
          <w:sz w:val="22"/>
          <w:szCs w:val="22"/>
          <w:lang w:val="es-ES" w:eastAsia="en-US"/>
        </w:rPr>
        <w:t>2011,</w:t>
      </w:r>
      <w:r w:rsidR="004F57D5" w:rsidRPr="005A7019" w:rsidDel="004F57D5">
        <w:rPr>
          <w:rFonts w:ascii="Arial MT" w:eastAsia="Arial MT" w:hAnsi="Arial MT" w:cs="Arial MT"/>
          <w:spacing w:val="-6"/>
          <w:sz w:val="22"/>
          <w:szCs w:val="22"/>
          <w:lang w:val="es-ES" w:eastAsia="en-US"/>
        </w:rPr>
        <w:t xml:space="preserve"> </w:t>
      </w:r>
      <w:r w:rsidRPr="005A7019">
        <w:rPr>
          <w:rFonts w:ascii="Arial MT" w:eastAsia="Arial MT" w:hAnsi="Arial MT" w:cs="Arial MT"/>
          <w:sz w:val="22"/>
          <w:szCs w:val="22"/>
          <w:lang w:val="es-ES" w:eastAsia="en-US"/>
        </w:rPr>
        <w:t>la Agencia Nacional de Contratación Pública –</w:t>
      </w:r>
      <w:r w:rsidR="007B183D" w:rsidRPr="005A7019">
        <w:rPr>
          <w:rFonts w:ascii="Arial MT" w:eastAsia="Arial MT" w:hAnsi="Arial MT" w:cs="Arial MT"/>
          <w:sz w:val="22"/>
          <w:szCs w:val="22"/>
          <w:lang w:val="es-ES" w:eastAsia="en-US"/>
        </w:rPr>
        <w:t xml:space="preserve"> Colombia Compra Eficiente </w:t>
      </w:r>
      <w:r w:rsidRPr="005A7019">
        <w:rPr>
          <w:rFonts w:ascii="Arial MT" w:eastAsia="Arial MT" w:hAnsi="Arial MT" w:cs="Arial MT"/>
          <w:sz w:val="22"/>
          <w:szCs w:val="22"/>
          <w:lang w:val="es-ES" w:eastAsia="en-US"/>
        </w:rPr>
        <w:t>responde</w:t>
      </w:r>
      <w:r w:rsidRPr="005A7019">
        <w:rPr>
          <w:rFonts w:ascii="Arial MT" w:eastAsia="Arial MT" w:hAnsi="Arial MT" w:cs="Arial MT"/>
          <w:spacing w:val="-1"/>
          <w:sz w:val="22"/>
          <w:szCs w:val="22"/>
          <w:lang w:val="es-ES" w:eastAsia="en-US"/>
        </w:rPr>
        <w:t xml:space="preserve"> </w:t>
      </w:r>
      <w:r w:rsidRPr="005A7019">
        <w:rPr>
          <w:rFonts w:ascii="Arial MT" w:eastAsia="Arial MT" w:hAnsi="Arial MT" w:cs="Arial MT"/>
          <w:sz w:val="22"/>
          <w:szCs w:val="22"/>
          <w:lang w:val="es-ES" w:eastAsia="en-US"/>
        </w:rPr>
        <w:t>su</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consulta</w:t>
      </w:r>
      <w:r w:rsidRPr="005A7019">
        <w:rPr>
          <w:rFonts w:ascii="Arial MT" w:eastAsia="Arial MT" w:hAnsi="Arial MT" w:cs="Arial MT"/>
          <w:spacing w:val="-2"/>
          <w:sz w:val="22"/>
          <w:szCs w:val="22"/>
          <w:lang w:val="es-ES" w:eastAsia="en-US"/>
        </w:rPr>
        <w:t xml:space="preserve"> </w:t>
      </w:r>
      <w:r w:rsidRPr="005A7019">
        <w:rPr>
          <w:rFonts w:ascii="Arial MT" w:eastAsia="Arial MT" w:hAnsi="Arial MT" w:cs="Arial MT"/>
          <w:sz w:val="22"/>
          <w:szCs w:val="22"/>
          <w:lang w:val="es-ES" w:eastAsia="en-US"/>
        </w:rPr>
        <w:t>del</w:t>
      </w:r>
      <w:r w:rsidR="007B183D" w:rsidRPr="005A7019">
        <w:rPr>
          <w:rFonts w:ascii="Arial MT" w:eastAsia="Arial MT" w:hAnsi="Arial MT" w:cs="Arial MT"/>
          <w:sz w:val="22"/>
          <w:szCs w:val="22"/>
          <w:lang w:val="es-ES" w:eastAsia="en-US"/>
        </w:rPr>
        <w:t xml:space="preserve"> </w:t>
      </w:r>
      <w:r w:rsidR="004D2590">
        <w:rPr>
          <w:rFonts w:ascii="Arial MT" w:eastAsia="Arial MT" w:hAnsi="Arial MT" w:cs="Arial MT"/>
          <w:sz w:val="22"/>
          <w:szCs w:val="22"/>
          <w:lang w:val="es-ES" w:eastAsia="en-US"/>
        </w:rPr>
        <w:t xml:space="preserve">21 de diciembre de 2021. </w:t>
      </w:r>
    </w:p>
    <w:p w14:paraId="232D4640" w14:textId="162589F3" w:rsidR="001D1DFF" w:rsidRPr="005A7019" w:rsidRDefault="001D1DFF" w:rsidP="00EB6848">
      <w:pPr>
        <w:spacing w:line="276" w:lineRule="auto"/>
        <w:jc w:val="both"/>
        <w:rPr>
          <w:rFonts w:ascii="Arial" w:eastAsia="Calibri" w:hAnsi="Arial" w:cs="Arial"/>
          <w:b/>
          <w:color w:val="000000" w:themeColor="text1"/>
          <w:sz w:val="22"/>
          <w:szCs w:val="22"/>
          <w:lang w:val="es-ES"/>
        </w:rPr>
      </w:pPr>
    </w:p>
    <w:p w14:paraId="7701FCC7" w14:textId="3A57CE0A" w:rsidR="00DD5B04" w:rsidRPr="005A7019" w:rsidRDefault="00DD5B04" w:rsidP="00EB6848">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color w:val="000000" w:themeColor="text1"/>
          <w:sz w:val="22"/>
          <w:lang w:val="es-ES_tradnl"/>
        </w:rPr>
      </w:pPr>
      <w:r w:rsidRPr="005A7019">
        <w:rPr>
          <w:rFonts w:ascii="Arial" w:eastAsia="Calibri" w:hAnsi="Arial" w:cs="Arial"/>
          <w:b/>
          <w:color w:val="000000" w:themeColor="text1"/>
          <w:sz w:val="22"/>
          <w:lang w:val="es-ES_tradnl"/>
        </w:rPr>
        <w:t xml:space="preserve">Problema planteado </w:t>
      </w:r>
    </w:p>
    <w:p w14:paraId="5690C2FE" w14:textId="77777777" w:rsidR="00C6212A" w:rsidRPr="005A7019" w:rsidRDefault="00C6212A" w:rsidP="00B836BB">
      <w:pPr>
        <w:tabs>
          <w:tab w:val="left" w:pos="0"/>
          <w:tab w:val="left" w:pos="142"/>
          <w:tab w:val="left" w:pos="284"/>
        </w:tabs>
        <w:spacing w:line="276" w:lineRule="auto"/>
        <w:jc w:val="both"/>
        <w:rPr>
          <w:rFonts w:ascii="Arial" w:eastAsia="Calibri" w:hAnsi="Arial" w:cs="Arial"/>
          <w:b/>
          <w:color w:val="000000" w:themeColor="text1"/>
          <w:sz w:val="22"/>
          <w:szCs w:val="22"/>
          <w:lang w:val="es-ES_tradnl"/>
        </w:rPr>
      </w:pPr>
    </w:p>
    <w:p w14:paraId="7A10A099" w14:textId="3DC4AE8F" w:rsidR="004D2590" w:rsidRPr="00004B41" w:rsidRDefault="005F1C09" w:rsidP="00FA67C5">
      <w:pPr>
        <w:pStyle w:val="Default"/>
        <w:spacing w:line="276" w:lineRule="auto"/>
        <w:jc w:val="both"/>
        <w:rPr>
          <w:rFonts w:eastAsia="Calibri"/>
          <w:bCs/>
          <w:color w:val="000000" w:themeColor="text1"/>
          <w:sz w:val="22"/>
          <w:szCs w:val="22"/>
          <w:lang w:val="es-ES_tradnl"/>
        </w:rPr>
      </w:pPr>
      <w:r w:rsidRPr="00004B41">
        <w:rPr>
          <w:rFonts w:eastAsia="Calibri"/>
          <w:bCs/>
          <w:color w:val="000000" w:themeColor="text1"/>
          <w:sz w:val="22"/>
          <w:szCs w:val="22"/>
          <w:lang w:val="es-ES_tradnl"/>
        </w:rPr>
        <w:t>Usted realiza las siguientes preguntas:</w:t>
      </w:r>
      <w:r w:rsidR="009B497E" w:rsidRPr="00004B41">
        <w:rPr>
          <w:rFonts w:eastAsia="Calibri"/>
          <w:bCs/>
          <w:color w:val="000000" w:themeColor="text1"/>
          <w:sz w:val="22"/>
          <w:szCs w:val="22"/>
          <w:lang w:val="es-ES_tradnl"/>
        </w:rPr>
        <w:t xml:space="preserve"> </w:t>
      </w:r>
      <w:r w:rsidR="00004B41" w:rsidRPr="00004B41">
        <w:rPr>
          <w:color w:val="000000" w:themeColor="text1"/>
          <w:sz w:val="22"/>
          <w:szCs w:val="22"/>
          <w:lang w:val="es-ES_tradnl"/>
        </w:rPr>
        <w:t>«</w:t>
      </w:r>
      <w:r w:rsidR="004D2590" w:rsidRPr="00004B41">
        <w:rPr>
          <w:sz w:val="22"/>
          <w:szCs w:val="22"/>
          <w:lang w:val="es-ES"/>
        </w:rPr>
        <w:t>1.- las ofertas económicas se deben evaluar en la etapa de evaluación de los requisitos habilitantes?</w:t>
      </w:r>
      <w:r w:rsidR="00FA67C5" w:rsidRPr="00004B41">
        <w:rPr>
          <w:sz w:val="22"/>
          <w:szCs w:val="22"/>
          <w:lang w:val="es-ES"/>
        </w:rPr>
        <w:t xml:space="preserve"> </w:t>
      </w:r>
      <w:r w:rsidR="004D2590" w:rsidRPr="00004B41">
        <w:rPr>
          <w:sz w:val="22"/>
          <w:szCs w:val="22"/>
          <w:lang w:val="es-ES"/>
        </w:rPr>
        <w:t>2.- Se debe solicitar subsanar por una oferta económica que se le realice corrección aritmética?</w:t>
      </w:r>
      <w:r w:rsidR="00FA67C5" w:rsidRPr="00004B41">
        <w:rPr>
          <w:sz w:val="22"/>
          <w:szCs w:val="22"/>
          <w:lang w:val="es-ES"/>
        </w:rPr>
        <w:t xml:space="preserve"> </w:t>
      </w:r>
      <w:r w:rsidR="004D2590" w:rsidRPr="00004B41">
        <w:rPr>
          <w:sz w:val="22"/>
          <w:szCs w:val="22"/>
          <w:lang w:val="es-ES"/>
        </w:rPr>
        <w:t xml:space="preserve">3.- ¿Si la respuesta del punto </w:t>
      </w:r>
      <w:r w:rsidR="004D2590" w:rsidRPr="00004B41">
        <w:rPr>
          <w:sz w:val="22"/>
          <w:szCs w:val="22"/>
          <w:lang w:val="es-ES"/>
        </w:rPr>
        <w:lastRenderedPageBreak/>
        <w:t>anterior es SI, y si el proponente no subsana en el término establecido en el Cronograma establecido en el proceso se debe rechazar por oferta económica?</w:t>
      </w:r>
      <w:r w:rsidR="00004B41" w:rsidRPr="00004B41">
        <w:rPr>
          <w:color w:val="000000" w:themeColor="text1"/>
          <w:sz w:val="22"/>
          <w:szCs w:val="22"/>
          <w:lang w:val="es-ES_tradnl"/>
        </w:rPr>
        <w:t>»</w:t>
      </w:r>
    </w:p>
    <w:p w14:paraId="45DE9A38" w14:textId="2E4E64CC" w:rsidR="00A65130" w:rsidRDefault="00A65130" w:rsidP="00FA67C5">
      <w:pPr>
        <w:ind w:right="709"/>
        <w:jc w:val="both"/>
        <w:rPr>
          <w:rFonts w:ascii="Arial" w:hAnsi="Arial" w:cs="Arial"/>
          <w:color w:val="000000" w:themeColor="text1"/>
          <w:sz w:val="21"/>
          <w:szCs w:val="21"/>
          <w:lang w:val="es-ES_tradnl"/>
        </w:rPr>
      </w:pPr>
    </w:p>
    <w:p w14:paraId="107DBBFB" w14:textId="77777777" w:rsidR="00004B41" w:rsidRPr="00FA67C5" w:rsidRDefault="00004B41" w:rsidP="00FA67C5">
      <w:pPr>
        <w:ind w:right="709"/>
        <w:jc w:val="both"/>
        <w:rPr>
          <w:rFonts w:ascii="Arial" w:hAnsi="Arial" w:cs="Arial"/>
          <w:color w:val="000000" w:themeColor="text1"/>
          <w:sz w:val="21"/>
          <w:szCs w:val="21"/>
          <w:lang w:val="es-ES_tradnl"/>
        </w:rPr>
      </w:pPr>
    </w:p>
    <w:p w14:paraId="07CF404C" w14:textId="77777777" w:rsidR="00A65130" w:rsidRPr="00493521" w:rsidRDefault="00A65130" w:rsidP="00A65130">
      <w:pPr>
        <w:pStyle w:val="Prrafodelista"/>
        <w:numPr>
          <w:ilvl w:val="0"/>
          <w:numId w:val="8"/>
        </w:numPr>
        <w:tabs>
          <w:tab w:val="left" w:pos="0"/>
          <w:tab w:val="left" w:pos="284"/>
        </w:tabs>
        <w:ind w:left="0" w:firstLine="0"/>
        <w:jc w:val="both"/>
        <w:rPr>
          <w:rFonts w:ascii="Arial" w:eastAsia="Calibri" w:hAnsi="Arial" w:cs="Arial"/>
          <w:b/>
          <w:color w:val="000000" w:themeColor="text1"/>
          <w:sz w:val="22"/>
          <w:lang w:val="es-ES_tradnl"/>
        </w:rPr>
      </w:pPr>
      <w:r w:rsidRPr="00493521">
        <w:rPr>
          <w:rFonts w:ascii="Arial" w:eastAsia="Calibri" w:hAnsi="Arial" w:cs="Arial"/>
          <w:b/>
          <w:color w:val="000000" w:themeColor="text1"/>
          <w:sz w:val="22"/>
          <w:lang w:val="es-ES_tradnl"/>
        </w:rPr>
        <w:t>Consideraciones</w:t>
      </w:r>
    </w:p>
    <w:p w14:paraId="34E250F1" w14:textId="77777777" w:rsidR="00A65130" w:rsidRPr="00493521" w:rsidRDefault="00A65130" w:rsidP="00A65130">
      <w:pPr>
        <w:spacing w:line="276" w:lineRule="auto"/>
        <w:jc w:val="both"/>
        <w:rPr>
          <w:rFonts w:ascii="Arial" w:eastAsia="Calibri" w:hAnsi="Arial" w:cs="Arial"/>
          <w:color w:val="000000" w:themeColor="text1"/>
          <w:sz w:val="22"/>
          <w:szCs w:val="22"/>
          <w:lang w:val="es-ES_tradnl"/>
        </w:rPr>
      </w:pPr>
    </w:p>
    <w:p w14:paraId="69480344" w14:textId="34DD4F4E" w:rsidR="00A65130" w:rsidRDefault="00A65130" w:rsidP="00A65130">
      <w:pPr>
        <w:spacing w:line="276" w:lineRule="auto"/>
        <w:jc w:val="both"/>
        <w:rPr>
          <w:rFonts w:ascii="Arial" w:eastAsia="Calibri" w:hAnsi="Arial" w:cs="Arial"/>
          <w:color w:val="000000" w:themeColor="text1"/>
          <w:sz w:val="22"/>
          <w:szCs w:val="22"/>
          <w:lang w:val="es-ES_tradnl"/>
        </w:rPr>
      </w:pPr>
      <w:r w:rsidRPr="00493521">
        <w:rPr>
          <w:rFonts w:ascii="Arial" w:eastAsia="Calibri" w:hAnsi="Arial" w:cs="Arial"/>
          <w:color w:val="000000" w:themeColor="text1"/>
          <w:sz w:val="22"/>
          <w:szCs w:val="22"/>
          <w:lang w:val="es-ES_tradnl"/>
        </w:rPr>
        <w:t>La Subdirección de Gestión Contractual responderá la consulta, luego de analizar los siguientes temas: i)</w:t>
      </w:r>
      <w:r w:rsidR="00EA37E3">
        <w:rPr>
          <w:rFonts w:ascii="Arial" w:eastAsia="Calibri" w:hAnsi="Arial" w:cs="Arial"/>
          <w:color w:val="000000" w:themeColor="text1"/>
          <w:sz w:val="22"/>
          <w:szCs w:val="22"/>
          <w:lang w:val="es-ES_tradnl"/>
        </w:rPr>
        <w:t xml:space="preserve"> el</w:t>
      </w:r>
      <w:r w:rsidRPr="00493521">
        <w:rPr>
          <w:rFonts w:ascii="Arial" w:eastAsia="Calibri" w:hAnsi="Arial" w:cs="Arial"/>
          <w:color w:val="000000" w:themeColor="text1"/>
          <w:sz w:val="22"/>
          <w:szCs w:val="22"/>
          <w:lang w:val="es-ES_tradnl"/>
        </w:rPr>
        <w:t xml:space="preserve"> </w:t>
      </w:r>
      <w:r>
        <w:rPr>
          <w:rFonts w:ascii="Arial" w:eastAsia="Calibri" w:hAnsi="Arial" w:cs="Arial"/>
          <w:color w:val="000000" w:themeColor="text1"/>
          <w:sz w:val="22"/>
          <w:szCs w:val="22"/>
          <w:lang w:val="es-ES_tradnl"/>
        </w:rPr>
        <w:t>p</w:t>
      </w:r>
      <w:r w:rsidRPr="00123BBD">
        <w:rPr>
          <w:rFonts w:ascii="Arial" w:eastAsia="Calibri" w:hAnsi="Arial" w:cs="Arial"/>
          <w:color w:val="000000" w:themeColor="text1"/>
          <w:sz w:val="22"/>
          <w:szCs w:val="22"/>
          <w:lang w:val="es-ES_tradnl"/>
        </w:rPr>
        <w:t>rocedimiento del concurso de méritos después de los autos de suspensión provisional del Consejo de Estado</w:t>
      </w:r>
      <w:r>
        <w:rPr>
          <w:rFonts w:ascii="Arial" w:eastAsia="Calibri" w:hAnsi="Arial" w:cs="Arial"/>
          <w:color w:val="000000" w:themeColor="text1"/>
          <w:sz w:val="22"/>
          <w:szCs w:val="22"/>
          <w:lang w:val="es-ES_tradnl"/>
        </w:rPr>
        <w:t xml:space="preserve">, </w:t>
      </w:r>
      <w:r w:rsidR="00EA37E3">
        <w:rPr>
          <w:rFonts w:ascii="Arial" w:eastAsia="Calibri" w:hAnsi="Arial" w:cs="Arial"/>
          <w:color w:val="000000" w:themeColor="text1"/>
          <w:sz w:val="22"/>
          <w:szCs w:val="22"/>
          <w:lang w:val="es-ES_tradnl"/>
        </w:rPr>
        <w:t xml:space="preserve">y </w:t>
      </w:r>
      <w:proofErr w:type="spellStart"/>
      <w:r>
        <w:rPr>
          <w:rFonts w:ascii="Arial" w:eastAsia="Calibri" w:hAnsi="Arial" w:cs="Arial"/>
          <w:color w:val="000000" w:themeColor="text1"/>
          <w:sz w:val="22"/>
          <w:szCs w:val="22"/>
          <w:lang w:val="es-ES_tradnl"/>
        </w:rPr>
        <w:t>ii</w:t>
      </w:r>
      <w:proofErr w:type="spellEnd"/>
      <w:r>
        <w:rPr>
          <w:rFonts w:ascii="Arial" w:eastAsia="Calibri" w:hAnsi="Arial" w:cs="Arial"/>
          <w:color w:val="000000" w:themeColor="text1"/>
          <w:sz w:val="22"/>
          <w:szCs w:val="22"/>
          <w:lang w:val="es-ES_tradnl"/>
        </w:rPr>
        <w:t xml:space="preserve">) </w:t>
      </w:r>
      <w:r w:rsidR="00EA37E3">
        <w:rPr>
          <w:rFonts w:ascii="Arial" w:eastAsia="Calibri" w:hAnsi="Arial" w:cs="Arial"/>
          <w:color w:val="000000" w:themeColor="text1"/>
          <w:sz w:val="22"/>
          <w:szCs w:val="22"/>
          <w:lang w:val="es-ES_tradnl"/>
        </w:rPr>
        <w:t xml:space="preserve">la </w:t>
      </w:r>
      <w:r w:rsidRPr="00493521">
        <w:rPr>
          <w:rFonts w:ascii="Arial" w:eastAsia="Calibri" w:hAnsi="Arial" w:cs="Arial"/>
          <w:color w:val="000000" w:themeColor="text1"/>
          <w:sz w:val="22"/>
          <w:szCs w:val="22"/>
          <w:lang w:val="es-ES_tradnl"/>
        </w:rPr>
        <w:t xml:space="preserve">reglamentación </w:t>
      </w:r>
      <w:r>
        <w:rPr>
          <w:rFonts w:ascii="Arial" w:eastAsia="Calibri" w:hAnsi="Arial" w:cs="Arial"/>
          <w:color w:val="000000" w:themeColor="text1"/>
          <w:sz w:val="22"/>
          <w:szCs w:val="22"/>
          <w:lang w:val="es-ES_tradnl"/>
        </w:rPr>
        <w:t>de esta modalidad de selección</w:t>
      </w:r>
      <w:r w:rsidRPr="00493521">
        <w:rPr>
          <w:rFonts w:ascii="Arial" w:eastAsia="Calibri" w:hAnsi="Arial" w:cs="Arial"/>
          <w:color w:val="000000" w:themeColor="text1"/>
          <w:sz w:val="22"/>
          <w:szCs w:val="22"/>
          <w:lang w:val="es-ES_tradnl"/>
        </w:rPr>
        <w:t xml:space="preserve"> en el Decreto 399 de 2021</w:t>
      </w:r>
      <w:r>
        <w:rPr>
          <w:rFonts w:ascii="Arial" w:eastAsia="Calibri" w:hAnsi="Arial" w:cs="Arial"/>
          <w:color w:val="000000" w:themeColor="text1"/>
          <w:sz w:val="22"/>
          <w:szCs w:val="22"/>
          <w:lang w:val="es-ES_tradnl"/>
        </w:rPr>
        <w:t>.</w:t>
      </w:r>
      <w:r w:rsidRPr="006B68CB">
        <w:rPr>
          <w:rFonts w:ascii="Arial" w:eastAsia="Calibri" w:hAnsi="Arial" w:cs="Arial"/>
          <w:color w:val="000000" w:themeColor="text1"/>
          <w:sz w:val="22"/>
          <w:szCs w:val="22"/>
          <w:lang w:val="es-ES_tradnl"/>
        </w:rPr>
        <w:t xml:space="preserve"> </w:t>
      </w:r>
    </w:p>
    <w:p w14:paraId="0AB2401E" w14:textId="329E8F11" w:rsidR="00A65130" w:rsidRPr="00493521" w:rsidRDefault="00A65130" w:rsidP="00A65130">
      <w:pPr>
        <w:spacing w:before="120" w:line="276" w:lineRule="auto"/>
        <w:ind w:firstLine="709"/>
        <w:jc w:val="both"/>
        <w:rPr>
          <w:rFonts w:ascii="Arial" w:eastAsia="Calibri" w:hAnsi="Arial" w:cs="Arial"/>
          <w:color w:val="000000" w:themeColor="text1"/>
          <w:sz w:val="22"/>
          <w:szCs w:val="22"/>
          <w:lang w:val="es-ES_tradnl"/>
        </w:rPr>
      </w:pPr>
      <w:r w:rsidRPr="00493521">
        <w:rPr>
          <w:rFonts w:ascii="Arial" w:eastAsia="Calibri" w:hAnsi="Arial" w:cs="Arial"/>
          <w:color w:val="000000" w:themeColor="text1"/>
          <w:sz w:val="22"/>
          <w:szCs w:val="22"/>
          <w:lang w:val="es-ES_tradnl"/>
        </w:rPr>
        <w:t xml:space="preserve">Es importante destacar que la Agencia Nacional de Contratación Pública – Colombia Compra Eficiente </w:t>
      </w:r>
      <w:r w:rsidRPr="00493521">
        <w:rPr>
          <w:rFonts w:ascii="Arial" w:eastAsia="Calibri" w:hAnsi="Arial" w:cs="Arial"/>
          <w:color w:val="000000" w:themeColor="text1"/>
          <w:sz w:val="22"/>
          <w:lang w:val="es-ES_tradnl"/>
        </w:rPr>
        <w:t>expidió los conceptos C-124 del 25 de marzo de 2020, C-406 y C-477 del 13 de julio de 2020</w:t>
      </w:r>
      <w:r w:rsidR="00EA37E3">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C-612 del 2 de octubre de 2020</w:t>
      </w:r>
      <w:r w:rsidR="00EA37E3">
        <w:rPr>
          <w:rFonts w:ascii="Arial" w:eastAsia="Calibri" w:hAnsi="Arial" w:cs="Arial"/>
          <w:color w:val="000000" w:themeColor="text1"/>
          <w:sz w:val="22"/>
          <w:lang w:val="es-ES_tradnl"/>
        </w:rPr>
        <w:t>,</w:t>
      </w:r>
      <w:r w:rsidRPr="00493521">
        <w:rPr>
          <w:rFonts w:ascii="Arial" w:eastAsia="Calibri" w:hAnsi="Arial" w:cs="Arial"/>
          <w:color w:val="000000" w:themeColor="text1"/>
          <w:sz w:val="22"/>
          <w:lang w:val="es-ES_tradnl"/>
        </w:rPr>
        <w:t xml:space="preserve"> C-761 del 5 de enero de 2021,</w:t>
      </w:r>
      <w:r w:rsidR="00DB7D33">
        <w:rPr>
          <w:rFonts w:ascii="Arial" w:eastAsia="Calibri" w:hAnsi="Arial" w:cs="Arial"/>
          <w:color w:val="000000" w:themeColor="text1"/>
          <w:sz w:val="22"/>
          <w:lang w:val="es-ES_tradnl"/>
        </w:rPr>
        <w:t xml:space="preserve"> C- 297</w:t>
      </w:r>
      <w:r w:rsidR="00724344">
        <w:rPr>
          <w:rFonts w:ascii="Arial" w:eastAsia="Calibri" w:hAnsi="Arial" w:cs="Arial"/>
          <w:color w:val="000000" w:themeColor="text1"/>
          <w:sz w:val="22"/>
          <w:lang w:val="es-ES_tradnl"/>
        </w:rPr>
        <w:t xml:space="preserve"> del 17 de junio de 2021, C-339 del 14 de junio de 2021, </w:t>
      </w:r>
      <w:r w:rsidR="00E14CBE">
        <w:rPr>
          <w:rFonts w:ascii="Arial" w:eastAsia="Calibri" w:hAnsi="Arial" w:cs="Arial"/>
          <w:color w:val="000000" w:themeColor="text1"/>
          <w:sz w:val="22"/>
          <w:lang w:val="es-ES_tradnl"/>
        </w:rPr>
        <w:t>C-367 del 26 de julio de 2021</w:t>
      </w:r>
      <w:r w:rsidR="00EA37E3">
        <w:rPr>
          <w:rFonts w:ascii="Arial" w:eastAsia="Calibri" w:hAnsi="Arial" w:cs="Arial"/>
          <w:color w:val="000000" w:themeColor="text1"/>
          <w:sz w:val="22"/>
          <w:lang w:val="es-ES_tradnl"/>
        </w:rPr>
        <w:t xml:space="preserve"> y</w:t>
      </w:r>
      <w:r w:rsidR="00E14CBE">
        <w:rPr>
          <w:rFonts w:ascii="Arial" w:eastAsia="Calibri" w:hAnsi="Arial" w:cs="Arial"/>
          <w:color w:val="000000" w:themeColor="text1"/>
          <w:sz w:val="22"/>
          <w:lang w:val="es-ES_tradnl"/>
        </w:rPr>
        <w:t xml:space="preserve"> </w:t>
      </w:r>
      <w:r w:rsidR="00724344">
        <w:rPr>
          <w:rFonts w:ascii="Arial" w:eastAsia="Calibri" w:hAnsi="Arial" w:cs="Arial"/>
          <w:color w:val="000000" w:themeColor="text1"/>
          <w:sz w:val="22"/>
          <w:lang w:val="es-ES_tradnl"/>
        </w:rPr>
        <w:t>C-408 del 13 de agosto de 2021,</w:t>
      </w:r>
      <w:r w:rsidRPr="00493521">
        <w:rPr>
          <w:rFonts w:ascii="Arial" w:eastAsia="Calibri" w:hAnsi="Arial" w:cs="Arial"/>
          <w:color w:val="000000" w:themeColor="text1"/>
          <w:sz w:val="22"/>
          <w:lang w:val="es-ES_tradnl"/>
        </w:rPr>
        <w:t xml:space="preserve"> en los cuales analizó la forma como se debe desarrollar el concurso de méritos.</w:t>
      </w:r>
      <w:r>
        <w:rPr>
          <w:rFonts w:ascii="Arial" w:eastAsia="Calibri" w:hAnsi="Arial" w:cs="Arial"/>
          <w:color w:val="000000" w:themeColor="text1"/>
          <w:sz w:val="22"/>
          <w:lang w:val="es-ES_tradnl"/>
        </w:rPr>
        <w:t xml:space="preserve"> </w:t>
      </w:r>
      <w:r w:rsidRPr="00493521">
        <w:rPr>
          <w:rFonts w:ascii="Arial" w:eastAsia="Calibri" w:hAnsi="Arial" w:cs="Arial"/>
          <w:color w:val="000000" w:themeColor="text1"/>
          <w:sz w:val="22"/>
          <w:szCs w:val="22"/>
          <w:lang w:val="es-ES_tradnl"/>
        </w:rPr>
        <w:t>Algunas de las consideraciones de estos conceptos se reiteran a continuación.</w:t>
      </w:r>
    </w:p>
    <w:p w14:paraId="73526E66" w14:textId="77777777" w:rsidR="00A65130" w:rsidRPr="00493521" w:rsidRDefault="00A65130" w:rsidP="00A65130">
      <w:pPr>
        <w:spacing w:line="276" w:lineRule="auto"/>
        <w:jc w:val="both"/>
        <w:rPr>
          <w:rFonts w:ascii="Arial" w:eastAsia="Calibri" w:hAnsi="Arial" w:cs="Arial"/>
          <w:color w:val="000000" w:themeColor="text1"/>
          <w:sz w:val="22"/>
          <w:szCs w:val="22"/>
          <w:lang w:val="es-ES_tradnl"/>
        </w:rPr>
      </w:pPr>
    </w:p>
    <w:p w14:paraId="3C624567" w14:textId="77777777" w:rsidR="00A65130" w:rsidRPr="00493521" w:rsidRDefault="00A65130" w:rsidP="00A65130">
      <w:pPr>
        <w:spacing w:line="276" w:lineRule="auto"/>
        <w:jc w:val="both"/>
        <w:rPr>
          <w:rFonts w:ascii="Arial" w:eastAsia="Calibri" w:hAnsi="Arial" w:cs="Arial"/>
          <w:b/>
          <w:bCs/>
          <w:color w:val="000000" w:themeColor="text1"/>
          <w:sz w:val="22"/>
          <w:lang w:val="es-ES_tradnl"/>
        </w:rPr>
      </w:pPr>
      <w:r w:rsidRPr="00493521">
        <w:rPr>
          <w:rFonts w:ascii="Arial" w:eastAsia="Calibri" w:hAnsi="Arial" w:cs="Arial"/>
          <w:b/>
          <w:bCs/>
          <w:color w:val="000000" w:themeColor="text1"/>
          <w:sz w:val="22"/>
          <w:lang w:val="es-ES_tradnl"/>
        </w:rPr>
        <w:t>2.1. Procedimiento del concurso de méritos después de los autos de suspensión provisional del Consejo de Estado</w:t>
      </w:r>
    </w:p>
    <w:p w14:paraId="210D4E1F" w14:textId="77777777" w:rsidR="00A65130" w:rsidRPr="00493521" w:rsidRDefault="00A65130" w:rsidP="00A65130">
      <w:pPr>
        <w:spacing w:line="276" w:lineRule="auto"/>
        <w:jc w:val="both"/>
        <w:rPr>
          <w:rFonts w:ascii="Arial" w:eastAsia="Calibri" w:hAnsi="Arial" w:cs="Arial"/>
          <w:b/>
          <w:bCs/>
          <w:color w:val="000000" w:themeColor="text1"/>
          <w:sz w:val="22"/>
          <w:lang w:val="es-ES_tradnl"/>
        </w:rPr>
      </w:pPr>
    </w:p>
    <w:p w14:paraId="167ABC9A" w14:textId="77777777" w:rsidR="00A65130" w:rsidRPr="00493521" w:rsidRDefault="00A65130" w:rsidP="00A65130">
      <w:pPr>
        <w:spacing w:line="276" w:lineRule="auto"/>
        <w:jc w:val="both"/>
        <w:rPr>
          <w:rFonts w:ascii="Arial" w:hAnsi="Arial" w:cs="Arial"/>
          <w:color w:val="000000" w:themeColor="text1"/>
          <w:sz w:val="22"/>
          <w:lang w:val="es-ES_tradnl"/>
        </w:rPr>
      </w:pPr>
      <w:r w:rsidRPr="00493521">
        <w:rPr>
          <w:rFonts w:ascii="Arial" w:hAnsi="Arial" w:cs="Arial"/>
          <w:color w:val="000000" w:themeColor="text1"/>
          <w:sz w:val="22"/>
          <w:lang w:val="es-ES_tradnl"/>
        </w:rPr>
        <w:t xml:space="preserve">El </w:t>
      </w:r>
      <w:r w:rsidRPr="00493521">
        <w:rPr>
          <w:rFonts w:ascii="Arial" w:hAnsi="Arial" w:cs="Arial"/>
          <w:i/>
          <w:iCs/>
          <w:color w:val="000000" w:themeColor="text1"/>
          <w:sz w:val="22"/>
          <w:lang w:val="es-ES_tradnl"/>
        </w:rPr>
        <w:t xml:space="preserve">concurso de méritos </w:t>
      </w:r>
      <w:r w:rsidRPr="00493521">
        <w:rPr>
          <w:rFonts w:ascii="Arial" w:hAnsi="Arial" w:cs="Arial"/>
          <w:color w:val="000000" w:themeColor="text1"/>
          <w:sz w:val="22"/>
          <w:lang w:val="es-ES_tradnl"/>
        </w:rPr>
        <w:t>es un procedimiento de selección que deben realizar las entidades estatales para escoger «consultores y proyectos», es decir, para celebrar contratos de consultoría, entendidos estos últimos como aquellos «[…]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 según lo dispuesto en el artículo 32, numeral 2, de la Ley 80 de 1993.</w:t>
      </w:r>
    </w:p>
    <w:p w14:paraId="7DA22267" w14:textId="77777777" w:rsidR="00A65130" w:rsidRPr="00493521" w:rsidRDefault="00A65130" w:rsidP="00A65130">
      <w:pPr>
        <w:spacing w:before="120" w:line="276" w:lineRule="auto"/>
        <w:ind w:firstLine="708"/>
        <w:jc w:val="both"/>
        <w:rPr>
          <w:rFonts w:ascii="Arial" w:hAnsi="Arial" w:cs="Arial"/>
          <w:color w:val="000000" w:themeColor="text1"/>
          <w:sz w:val="22"/>
          <w:lang w:val="es-ES_tradnl"/>
        </w:rPr>
      </w:pPr>
      <w:r w:rsidRPr="00493521">
        <w:rPr>
          <w:rFonts w:ascii="Arial" w:hAnsi="Arial" w:cs="Arial"/>
          <w:color w:val="000000" w:themeColor="text1"/>
          <w:sz w:val="22"/>
          <w:lang w:val="es-ES_tradnl"/>
        </w:rPr>
        <w:t xml:space="preserve">El Libro 2, Parte 2, Título 1, Capítulo 2, Sección 1, Subsección 3 del Decreto 1082 de 2015, regula las distintas modalidades del concurso de méritos: i) concurso de méritos abierto o sin precalificación, </w:t>
      </w:r>
      <w:proofErr w:type="spellStart"/>
      <w:r w:rsidRPr="00493521">
        <w:rPr>
          <w:rFonts w:ascii="Arial" w:hAnsi="Arial" w:cs="Arial"/>
          <w:color w:val="000000" w:themeColor="text1"/>
          <w:sz w:val="22"/>
          <w:lang w:val="es-ES_tradnl"/>
        </w:rPr>
        <w:t>ii</w:t>
      </w:r>
      <w:proofErr w:type="spellEnd"/>
      <w:r w:rsidRPr="00493521">
        <w:rPr>
          <w:rFonts w:ascii="Arial" w:hAnsi="Arial" w:cs="Arial"/>
          <w:color w:val="000000" w:themeColor="text1"/>
          <w:sz w:val="22"/>
          <w:lang w:val="es-ES_tradnl"/>
        </w:rPr>
        <w:t xml:space="preserve">) concurso de méritos cerrado o con precalificación y </w:t>
      </w:r>
      <w:proofErr w:type="spellStart"/>
      <w:r w:rsidRPr="00493521">
        <w:rPr>
          <w:rFonts w:ascii="Arial" w:hAnsi="Arial" w:cs="Arial"/>
          <w:color w:val="000000" w:themeColor="text1"/>
          <w:sz w:val="22"/>
          <w:lang w:val="es-ES_tradnl"/>
        </w:rPr>
        <w:t>iii</w:t>
      </w:r>
      <w:proofErr w:type="spellEnd"/>
      <w:r w:rsidRPr="00493521">
        <w:rPr>
          <w:rFonts w:ascii="Arial" w:hAnsi="Arial" w:cs="Arial"/>
          <w:color w:val="000000" w:themeColor="text1"/>
          <w:sz w:val="22"/>
          <w:lang w:val="es-ES_tradnl"/>
        </w:rPr>
        <w:t xml:space="preserve">) concurso de méritos «para la selección de consultores de diseño, planos, anteproyectos y proyectos arquitectónicos». El primero está regulado en los artículos 2.2.1.2.1.3.1. y 2.2.1.2.1.3.2. </w:t>
      </w:r>
      <w:proofErr w:type="spellStart"/>
      <w:r w:rsidRPr="00493521">
        <w:rPr>
          <w:rFonts w:ascii="Arial" w:hAnsi="Arial" w:cs="Arial"/>
          <w:i/>
          <w:iCs/>
          <w:color w:val="000000" w:themeColor="text1"/>
          <w:sz w:val="22"/>
          <w:lang w:val="es-ES_tradnl"/>
        </w:rPr>
        <w:t>ibídem</w:t>
      </w:r>
      <w:proofErr w:type="spellEnd"/>
      <w:r w:rsidRPr="00493521">
        <w:rPr>
          <w:rFonts w:ascii="Arial" w:hAnsi="Arial" w:cs="Arial"/>
          <w:color w:val="000000" w:themeColor="text1"/>
          <w:sz w:val="22"/>
          <w:lang w:val="es-ES_tradnl"/>
        </w:rPr>
        <w:t xml:space="preserve">. El segundo, además de los dos artículos anteriores, lo regulan los artículos 2.2.1.2.1.3.3. a 2.2.1.2.1.3.7. </w:t>
      </w:r>
      <w:proofErr w:type="spellStart"/>
      <w:r w:rsidRPr="00493521">
        <w:rPr>
          <w:rFonts w:ascii="Arial" w:hAnsi="Arial" w:cs="Arial"/>
          <w:i/>
          <w:iCs/>
          <w:color w:val="000000" w:themeColor="text1"/>
          <w:sz w:val="22"/>
          <w:lang w:val="es-ES_tradnl"/>
        </w:rPr>
        <w:t>ejusdem</w:t>
      </w:r>
      <w:proofErr w:type="spellEnd"/>
      <w:r w:rsidRPr="00493521">
        <w:rPr>
          <w:rFonts w:ascii="Arial" w:hAnsi="Arial" w:cs="Arial"/>
          <w:color w:val="000000" w:themeColor="text1"/>
          <w:sz w:val="22"/>
          <w:lang w:val="es-ES_tradnl"/>
        </w:rPr>
        <w:t>. El tercero lo regulan los artículos 2.2.1.2.1.3.8. a 2.2.1.2.1.3.25. del mencionado Decreto.</w:t>
      </w:r>
    </w:p>
    <w:p w14:paraId="500ECE0A" w14:textId="1C7E8CB8" w:rsidR="00A65130" w:rsidRPr="00493521" w:rsidRDefault="00A65130" w:rsidP="00A65130">
      <w:pPr>
        <w:spacing w:before="120" w:line="276" w:lineRule="auto"/>
        <w:ind w:firstLine="708"/>
        <w:jc w:val="both"/>
        <w:rPr>
          <w:rFonts w:ascii="Arial" w:hAnsi="Arial" w:cs="Arial"/>
          <w:color w:val="000000" w:themeColor="text1"/>
          <w:sz w:val="22"/>
          <w:lang w:val="es-ES_tradnl"/>
        </w:rPr>
      </w:pPr>
      <w:r w:rsidRPr="00493521">
        <w:rPr>
          <w:rFonts w:ascii="Arial" w:hAnsi="Arial" w:cs="Arial"/>
          <w:color w:val="000000" w:themeColor="text1"/>
          <w:sz w:val="22"/>
          <w:lang w:val="es-ES_tradnl"/>
        </w:rPr>
        <w:lastRenderedPageBreak/>
        <w:t xml:space="preserve">Ahora bien, </w:t>
      </w:r>
      <w:bookmarkStart w:id="0" w:name="_Hlk43918348"/>
      <w:r w:rsidRPr="00493521">
        <w:rPr>
          <w:rFonts w:ascii="Arial" w:hAnsi="Arial" w:cs="Arial"/>
          <w:color w:val="000000" w:themeColor="text1"/>
          <w:sz w:val="22"/>
          <w:lang w:val="es-ES_tradnl"/>
        </w:rPr>
        <w:t>la Sección Tercera del Consejo de Estado, en autos del 25 de julio de 2018</w:t>
      </w:r>
      <w:r w:rsidRPr="00493521">
        <w:rPr>
          <w:rStyle w:val="Refdenotaalpie"/>
          <w:rFonts w:ascii="Arial" w:hAnsi="Arial" w:cs="Arial"/>
          <w:color w:val="000000" w:themeColor="text1"/>
          <w:sz w:val="22"/>
          <w:lang w:val="es-ES_tradnl"/>
        </w:rPr>
        <w:footnoteReference w:id="2"/>
      </w:r>
      <w:r w:rsidRPr="00493521">
        <w:rPr>
          <w:rFonts w:ascii="Arial" w:hAnsi="Arial" w:cs="Arial"/>
          <w:color w:val="000000" w:themeColor="text1"/>
          <w:sz w:val="22"/>
          <w:lang w:val="es-ES_tradnl"/>
        </w:rPr>
        <w:t xml:space="preserve"> y del 20 de febrero de 2019</w:t>
      </w:r>
      <w:r w:rsidRPr="00493521">
        <w:rPr>
          <w:rStyle w:val="Refdenotaalpie"/>
          <w:rFonts w:ascii="Arial" w:hAnsi="Arial" w:cs="Arial"/>
          <w:color w:val="000000" w:themeColor="text1"/>
          <w:sz w:val="22"/>
          <w:lang w:val="es-ES_tradnl"/>
        </w:rPr>
        <w:footnoteReference w:id="3"/>
      </w:r>
      <w:r w:rsidRPr="00493521">
        <w:rPr>
          <w:rFonts w:ascii="Arial" w:hAnsi="Arial" w:cs="Arial"/>
          <w:color w:val="000000" w:themeColor="text1"/>
          <w:sz w:val="22"/>
          <w:lang w:val="es-ES_tradnl"/>
        </w:rPr>
        <w:t xml:space="preserve">, suspendió provisionalmente, por un lado, el numeral 6 del artículo 2.2.1.2.1.3.2. </w:t>
      </w:r>
      <w:r w:rsidR="00A75CE1">
        <w:rPr>
          <w:rFonts w:ascii="Arial" w:hAnsi="Arial" w:cs="Arial"/>
          <w:color w:val="000000" w:themeColor="text1"/>
          <w:sz w:val="22"/>
          <w:lang w:val="es-ES_tradnl"/>
        </w:rPr>
        <w:t xml:space="preserve">original </w:t>
      </w:r>
      <w:r w:rsidRPr="00493521">
        <w:rPr>
          <w:rFonts w:ascii="Arial" w:hAnsi="Arial" w:cs="Arial"/>
          <w:color w:val="000000" w:themeColor="text1"/>
          <w:sz w:val="22"/>
          <w:lang w:val="es-ES_tradnl"/>
        </w:rPr>
        <w:t>del Decreto 1082 de 2015</w:t>
      </w:r>
      <w:r w:rsidR="00A75CE1">
        <w:rPr>
          <w:rFonts w:ascii="Arial" w:hAnsi="Arial" w:cs="Arial"/>
          <w:color w:val="000000" w:themeColor="text1"/>
          <w:sz w:val="22"/>
          <w:lang w:val="es-ES_tradnl"/>
        </w:rPr>
        <w:t xml:space="preserve"> –antes de la modificación realizada por el Decreto 399 del 13 de abril de 2021–</w:t>
      </w:r>
      <w:r w:rsidRPr="00493521">
        <w:rPr>
          <w:rFonts w:ascii="Arial" w:hAnsi="Arial" w:cs="Arial"/>
          <w:color w:val="000000" w:themeColor="text1"/>
          <w:sz w:val="22"/>
          <w:lang w:val="es-ES_tradnl"/>
        </w:rPr>
        <w:t xml:space="preserve"> y, por el otro, los numerales 3, 4 y 5 de la misma disposición</w:t>
      </w:r>
      <w:r w:rsidR="00A75CE1">
        <w:rPr>
          <w:rFonts w:ascii="Arial" w:hAnsi="Arial" w:cs="Arial"/>
          <w:color w:val="000000" w:themeColor="text1"/>
          <w:sz w:val="22"/>
          <w:lang w:val="es-ES_tradnl"/>
        </w:rPr>
        <w:t>, en su redacción original</w:t>
      </w:r>
      <w:r w:rsidRPr="00493521">
        <w:rPr>
          <w:rFonts w:ascii="Arial" w:hAnsi="Arial" w:cs="Arial"/>
          <w:color w:val="000000" w:themeColor="text1"/>
          <w:sz w:val="22"/>
          <w:lang w:val="es-ES_tradnl"/>
        </w:rPr>
        <w:t>. Las normas suspendidas regulaban el concurso de méritos abierto o sin precalificación</w:t>
      </w:r>
      <w:bookmarkEnd w:id="0"/>
      <w:r w:rsidRPr="00493521">
        <w:rPr>
          <w:rFonts w:ascii="Arial" w:hAnsi="Arial" w:cs="Arial"/>
          <w:color w:val="000000" w:themeColor="text1"/>
          <w:sz w:val="22"/>
          <w:lang w:val="es-ES_tradnl"/>
        </w:rPr>
        <w:t xml:space="preserve">. El texto de estos numerales disponía lo siguiente: </w:t>
      </w:r>
    </w:p>
    <w:p w14:paraId="630342F4" w14:textId="77777777" w:rsidR="00A65130" w:rsidRPr="00493521" w:rsidRDefault="00A65130" w:rsidP="00A65130">
      <w:pPr>
        <w:pStyle w:val="Sinespaciado"/>
        <w:spacing w:line="276" w:lineRule="auto"/>
        <w:jc w:val="both"/>
        <w:rPr>
          <w:rFonts w:ascii="Arial" w:hAnsi="Arial" w:cs="Arial"/>
          <w:color w:val="000000" w:themeColor="text1"/>
          <w:lang w:val="es-ES_tradnl"/>
        </w:rPr>
      </w:pPr>
    </w:p>
    <w:p w14:paraId="0F2C6502" w14:textId="77777777" w:rsidR="00A65130" w:rsidRPr="00493521" w:rsidRDefault="00A65130" w:rsidP="00A65130">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352BB373" w14:textId="77777777" w:rsidR="00A65130" w:rsidRPr="00493521" w:rsidRDefault="00A65130" w:rsidP="00A65130">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y las publicaciones técnicas y científicas del equipo de trabajo.</w:t>
      </w:r>
    </w:p>
    <w:p w14:paraId="689025AE" w14:textId="77777777" w:rsidR="00A65130" w:rsidRPr="00493521" w:rsidRDefault="00A65130" w:rsidP="00A65130">
      <w:pPr>
        <w:pStyle w:val="Sinespaciado"/>
        <w:spacing w:after="120"/>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2. La Entidad Estatal debe publicar durante tres (3) días hábiles el informe de evaluación, el cual debe contener la calificación técnica y el orden de elegibilidad.</w:t>
      </w:r>
    </w:p>
    <w:p w14:paraId="7D027B6B" w14:textId="77777777" w:rsidR="00A65130" w:rsidRPr="00493521" w:rsidRDefault="00A65130" w:rsidP="00A65130">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3. La Entidad Estatal debe revisar la oferta económica y verificar que está en el rango del valor estimado consignado en los documentos y estudios previos y del presupuesto asignado para el contrato.</w:t>
      </w:r>
    </w:p>
    <w:p w14:paraId="6345B7B2" w14:textId="77777777" w:rsidR="00A65130" w:rsidRPr="00493521" w:rsidRDefault="00A65130" w:rsidP="00A65130">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 xml:space="preserve">4. La Entidad Estatal debe revisar con el oferente calificado en el primer lugar de elegibilidad la coherencia y consistencia entre: i) la necesidad identificada por la Entidad Estatal y el alcance de la oferta; </w:t>
      </w:r>
      <w:proofErr w:type="spellStart"/>
      <w:r w:rsidRPr="00493521">
        <w:rPr>
          <w:rFonts w:ascii="Arial" w:hAnsi="Arial" w:cs="Arial"/>
          <w:i/>
          <w:color w:val="000000" w:themeColor="text1"/>
          <w:sz w:val="21"/>
          <w:szCs w:val="21"/>
          <w:lang w:val="es-ES_tradnl"/>
        </w:rPr>
        <w:t>ii</w:t>
      </w:r>
      <w:proofErr w:type="spellEnd"/>
      <w:r w:rsidRPr="00493521">
        <w:rPr>
          <w:rFonts w:ascii="Arial" w:hAnsi="Arial" w:cs="Arial"/>
          <w:i/>
          <w:color w:val="000000" w:themeColor="text1"/>
          <w:sz w:val="21"/>
          <w:szCs w:val="21"/>
          <w:lang w:val="es-ES_tradnl"/>
        </w:rPr>
        <w:t xml:space="preserve">) la </w:t>
      </w:r>
      <w:proofErr w:type="gramStart"/>
      <w:r w:rsidRPr="00493521">
        <w:rPr>
          <w:rFonts w:ascii="Arial" w:hAnsi="Arial" w:cs="Arial"/>
          <w:i/>
          <w:color w:val="000000" w:themeColor="text1"/>
          <w:sz w:val="21"/>
          <w:szCs w:val="21"/>
          <w:lang w:val="es-ES_tradnl"/>
        </w:rPr>
        <w:t>consultoría ofrecida y el precio ofrecido</w:t>
      </w:r>
      <w:proofErr w:type="gramEnd"/>
      <w:r w:rsidRPr="00493521">
        <w:rPr>
          <w:rFonts w:ascii="Arial" w:hAnsi="Arial" w:cs="Arial"/>
          <w:i/>
          <w:color w:val="000000" w:themeColor="text1"/>
          <w:sz w:val="21"/>
          <w:szCs w:val="21"/>
          <w:lang w:val="es-ES_tradnl"/>
        </w:rPr>
        <w:t xml:space="preserve">, y </w:t>
      </w:r>
      <w:proofErr w:type="spellStart"/>
      <w:r w:rsidRPr="00493521">
        <w:rPr>
          <w:rFonts w:ascii="Arial" w:hAnsi="Arial" w:cs="Arial"/>
          <w:i/>
          <w:color w:val="000000" w:themeColor="text1"/>
          <w:sz w:val="21"/>
          <w:szCs w:val="21"/>
          <w:lang w:val="es-ES_tradnl"/>
        </w:rPr>
        <w:t>iii</w:t>
      </w:r>
      <w:proofErr w:type="spellEnd"/>
      <w:r w:rsidRPr="00493521">
        <w:rPr>
          <w:rFonts w:ascii="Arial" w:hAnsi="Arial" w:cs="Arial"/>
          <w:i/>
          <w:color w:val="000000" w:themeColor="text1"/>
          <w:sz w:val="21"/>
          <w:szCs w:val="21"/>
          <w:lang w:val="es-ES_tradnl"/>
        </w:rPr>
        <w:t xml:space="preserve">) el precio ofrecido y la disponibilidad presupuestal del respectivo Proceso de Contratación. Si la Entidad Estatal y el oferente llegan a un acuerdo sobre el alcance y el valor del contrato, dejarán constancia </w:t>
      </w:r>
      <w:proofErr w:type="gramStart"/>
      <w:r w:rsidRPr="00493521">
        <w:rPr>
          <w:rFonts w:ascii="Arial" w:hAnsi="Arial" w:cs="Arial"/>
          <w:i/>
          <w:color w:val="000000" w:themeColor="text1"/>
          <w:sz w:val="21"/>
          <w:szCs w:val="21"/>
          <w:lang w:val="es-ES_tradnl"/>
        </w:rPr>
        <w:t>del mismo</w:t>
      </w:r>
      <w:proofErr w:type="gramEnd"/>
      <w:r w:rsidRPr="00493521">
        <w:rPr>
          <w:rFonts w:ascii="Arial" w:hAnsi="Arial" w:cs="Arial"/>
          <w:i/>
          <w:color w:val="000000" w:themeColor="text1"/>
          <w:sz w:val="21"/>
          <w:szCs w:val="21"/>
          <w:lang w:val="es-ES_tradnl"/>
        </w:rPr>
        <w:t xml:space="preserve"> y firmarán el contrato.</w:t>
      </w:r>
    </w:p>
    <w:p w14:paraId="04A52360" w14:textId="77777777" w:rsidR="00A65130" w:rsidRPr="00493521" w:rsidRDefault="00A65130" w:rsidP="00A65130">
      <w:pPr>
        <w:pStyle w:val="Sinespaciado"/>
        <w:spacing w:after="120"/>
        <w:ind w:left="709" w:right="709"/>
        <w:jc w:val="both"/>
        <w:rPr>
          <w:rFonts w:ascii="Arial" w:hAnsi="Arial" w:cs="Arial"/>
          <w:i/>
          <w:color w:val="000000" w:themeColor="text1"/>
          <w:sz w:val="21"/>
          <w:szCs w:val="21"/>
          <w:lang w:val="es-ES_tradnl"/>
        </w:rPr>
      </w:pPr>
      <w:r w:rsidRPr="00493521">
        <w:rPr>
          <w:rFonts w:ascii="Arial" w:hAnsi="Arial" w:cs="Arial"/>
          <w:i/>
          <w:color w:val="000000" w:themeColor="text1"/>
          <w:sz w:val="21"/>
          <w:szCs w:val="21"/>
          <w:lang w:val="es-ES_tradnl"/>
        </w:rPr>
        <w:t xml:space="preserve">5. Si la Entidad Estatal y el oferente calificado en el primer lugar de elegibilidad no llegan a un acuerdo dejarán constancia de ello y la Entidad Estatal revisará con el oferente calificado en el segundo lugar de elegibilidad los aspectos a los que se refiere el numeral anterior. Si la Entidad Estatal y el oferente llegan a un acuerdo dejarán constancia </w:t>
      </w:r>
      <w:proofErr w:type="gramStart"/>
      <w:r w:rsidRPr="00493521">
        <w:rPr>
          <w:rFonts w:ascii="Arial" w:hAnsi="Arial" w:cs="Arial"/>
          <w:i/>
          <w:color w:val="000000" w:themeColor="text1"/>
          <w:sz w:val="21"/>
          <w:szCs w:val="21"/>
          <w:lang w:val="es-ES_tradnl"/>
        </w:rPr>
        <w:t>del mismo</w:t>
      </w:r>
      <w:proofErr w:type="gramEnd"/>
      <w:r w:rsidRPr="00493521">
        <w:rPr>
          <w:rFonts w:ascii="Arial" w:hAnsi="Arial" w:cs="Arial"/>
          <w:i/>
          <w:color w:val="000000" w:themeColor="text1"/>
          <w:sz w:val="21"/>
          <w:szCs w:val="21"/>
          <w:lang w:val="es-ES_tradnl"/>
        </w:rPr>
        <w:t xml:space="preserve"> y firmarán el contrato.</w:t>
      </w:r>
    </w:p>
    <w:p w14:paraId="4E4AC914" w14:textId="77777777" w:rsidR="00A65130" w:rsidRPr="00493521" w:rsidRDefault="00A65130" w:rsidP="00A65130">
      <w:pPr>
        <w:pStyle w:val="Sinespaciado"/>
        <w:ind w:left="709" w:right="709"/>
        <w:jc w:val="both"/>
        <w:rPr>
          <w:rFonts w:ascii="Arial" w:hAnsi="Arial" w:cs="Arial"/>
          <w:color w:val="000000" w:themeColor="text1"/>
          <w:sz w:val="21"/>
          <w:szCs w:val="21"/>
          <w:lang w:val="es-ES_tradnl"/>
        </w:rPr>
      </w:pPr>
      <w:r w:rsidRPr="00493521">
        <w:rPr>
          <w:rFonts w:ascii="Arial" w:hAnsi="Arial" w:cs="Arial"/>
          <w:i/>
          <w:color w:val="000000" w:themeColor="text1"/>
          <w:sz w:val="21"/>
          <w:szCs w:val="21"/>
          <w:lang w:val="es-ES_tradnl"/>
        </w:rPr>
        <w:t>6. Si la Entidad Estatal y el oferente calificado en el segundo lugar de elegibilidad no llegan a un acuerdo, la Entidad Estatal debe declarar desierto el Proceso de Contratación</w:t>
      </w:r>
      <w:r w:rsidRPr="00493521">
        <w:rPr>
          <w:rFonts w:ascii="Arial" w:hAnsi="Arial" w:cs="Arial"/>
          <w:color w:val="000000" w:themeColor="text1"/>
          <w:sz w:val="21"/>
          <w:szCs w:val="21"/>
          <w:lang w:val="es-ES_tradnl"/>
        </w:rPr>
        <w:t>. (Énfasis fuera de texto)</w:t>
      </w:r>
    </w:p>
    <w:p w14:paraId="2610EEBE" w14:textId="77777777" w:rsidR="00A65130" w:rsidRPr="00493521" w:rsidRDefault="00A65130" w:rsidP="00A65130">
      <w:pPr>
        <w:jc w:val="both"/>
        <w:rPr>
          <w:rFonts w:ascii="Arial" w:hAnsi="Arial" w:cs="Arial"/>
          <w:color w:val="000000" w:themeColor="text1"/>
          <w:sz w:val="22"/>
          <w:lang w:val="es-ES_tradnl"/>
        </w:rPr>
      </w:pPr>
    </w:p>
    <w:p w14:paraId="72A3A6C4" w14:textId="77777777" w:rsidR="00A65130" w:rsidRPr="00493521" w:rsidRDefault="00A65130" w:rsidP="00A65130">
      <w:pPr>
        <w:spacing w:after="120" w:line="276" w:lineRule="auto"/>
        <w:ind w:firstLine="709"/>
        <w:jc w:val="both"/>
        <w:rPr>
          <w:rFonts w:ascii="Arial" w:hAnsi="Arial" w:cs="Arial"/>
          <w:color w:val="000000" w:themeColor="text1"/>
          <w:sz w:val="22"/>
          <w:lang w:val="es-ES_tradnl"/>
        </w:rPr>
      </w:pPr>
      <w:r w:rsidRPr="00493521">
        <w:rPr>
          <w:rFonts w:ascii="Arial" w:hAnsi="Arial" w:cs="Arial"/>
          <w:color w:val="000000" w:themeColor="text1"/>
          <w:sz w:val="22"/>
          <w:lang w:val="es-ES_tradnl"/>
        </w:rPr>
        <w:lastRenderedPageBreak/>
        <w:t xml:space="preserve">Los citados numerales 3, 4 y 5 disponían la verificación del precio. Por un lado, los numerales 3 y 4 exigían que estuviera dentro del presupuesto disponible y que este aspecto fuera producto del acuerdo entre la entidad y el oferente calificado en primer lugar. Por otro lado, el numeral 5 disponía el procedimiento a seguir en el evento en que la entidad estatal y el calificado en primer orden de elegibilidad no llegaran a un acuerdo sobre el precio del contrato. Además, el numeral 6 solo permitía negociar el precio con el proponente que ocupara el segundo orden de elegibilidad, por lo </w:t>
      </w:r>
      <w:proofErr w:type="gramStart"/>
      <w:r w:rsidRPr="00493521">
        <w:rPr>
          <w:rFonts w:ascii="Arial" w:hAnsi="Arial" w:cs="Arial"/>
          <w:color w:val="000000" w:themeColor="text1"/>
          <w:sz w:val="22"/>
          <w:lang w:val="es-ES_tradnl"/>
        </w:rPr>
        <w:t>que</w:t>
      </w:r>
      <w:proofErr w:type="gramEnd"/>
      <w:r w:rsidRPr="00493521">
        <w:rPr>
          <w:rFonts w:ascii="Arial" w:hAnsi="Arial" w:cs="Arial"/>
          <w:color w:val="000000" w:themeColor="text1"/>
          <w:sz w:val="22"/>
          <w:lang w:val="es-ES_tradnl"/>
        </w:rPr>
        <w:t xml:space="preserve"> si no era posible llegar a un acuerdo con este, procedía la declaración de desierta. </w:t>
      </w:r>
    </w:p>
    <w:p w14:paraId="0B41B2CE" w14:textId="77777777" w:rsidR="00A65130" w:rsidRPr="00493521" w:rsidRDefault="00A65130" w:rsidP="00A65130">
      <w:pPr>
        <w:spacing w:after="120" w:line="276" w:lineRule="auto"/>
        <w:ind w:firstLine="709"/>
        <w:jc w:val="both"/>
        <w:rPr>
          <w:rFonts w:ascii="Arial" w:hAnsi="Arial" w:cs="Arial"/>
          <w:color w:val="000000" w:themeColor="text1"/>
          <w:sz w:val="22"/>
          <w:lang w:val="es-ES_tradnl"/>
        </w:rPr>
      </w:pPr>
      <w:bookmarkStart w:id="2" w:name="_Hlk43918393"/>
      <w:r w:rsidRPr="00493521">
        <w:rPr>
          <w:rFonts w:ascii="Arial" w:hAnsi="Arial" w:cs="Arial"/>
          <w:color w:val="000000" w:themeColor="text1"/>
          <w:sz w:val="22"/>
          <w:lang w:val="es-ES_tradnl"/>
        </w:rPr>
        <w:t>El Consejo de Estado consideró que los numerales 3, 4 y 5 violarían el artículo 5, numeral 4, último inciso, de la Ley 1150 de 2007, pues señaló que: «en ningún caso se podrá incluir el precio, como factor de escogencia para la selección de consultores», así como el artículo 25, numeral 2, de la Ley 80 de 1993 que dispone lo siguiente: «[…] las normas de los procedimientos contractuales se interpretarán de tal manera que no den ocasión a seguir trámites distintos y adicionales a los expresamente previstos […]». En este sentido, el alto tribunal explicó que la verificación de la coherencia del precio con la disponibilidad presupuestal y la necesidad de que se logre un acuerdo en relación con el mismo desconocía el principio de selección objetiva, convirtiendo el precio en un factor de selección</w:t>
      </w:r>
      <w:r w:rsidRPr="00493521">
        <w:rPr>
          <w:rStyle w:val="Refdenotaalpie"/>
          <w:rFonts w:ascii="Arial" w:hAnsi="Arial" w:cs="Arial"/>
          <w:color w:val="000000" w:themeColor="text1"/>
          <w:sz w:val="22"/>
          <w:lang w:val="es-ES_tradnl"/>
        </w:rPr>
        <w:footnoteReference w:id="4"/>
      </w:r>
      <w:r w:rsidRPr="00493521">
        <w:rPr>
          <w:rFonts w:ascii="Arial" w:hAnsi="Arial" w:cs="Arial"/>
          <w:color w:val="000000" w:themeColor="text1"/>
          <w:sz w:val="22"/>
          <w:lang w:val="es-ES_tradnl"/>
        </w:rPr>
        <w:t>. En lo que respecta al artículo 6, este violaría especialmente el artículo 25.18 del Estatuto General y el artículo 5 de la Ley 1150 de 2007, pues la declaratoria de desierta solo procede cuando no es posible la selección objetiva del contratista</w:t>
      </w:r>
      <w:bookmarkEnd w:id="2"/>
      <w:r w:rsidRPr="00493521">
        <w:rPr>
          <w:rStyle w:val="Refdenotaalpie"/>
          <w:rFonts w:ascii="Arial" w:hAnsi="Arial" w:cs="Arial"/>
          <w:color w:val="000000" w:themeColor="text1"/>
          <w:sz w:val="22"/>
          <w:lang w:val="es-ES_tradnl"/>
        </w:rPr>
        <w:footnoteReference w:id="5"/>
      </w:r>
      <w:r w:rsidRPr="00493521">
        <w:rPr>
          <w:rFonts w:ascii="Arial" w:hAnsi="Arial" w:cs="Arial"/>
          <w:color w:val="000000" w:themeColor="text1"/>
          <w:sz w:val="22"/>
          <w:lang w:val="es-ES_tradnl"/>
        </w:rPr>
        <w:t>.</w:t>
      </w:r>
    </w:p>
    <w:p w14:paraId="72753737" w14:textId="75085C86" w:rsidR="00A65130" w:rsidRDefault="00A65130" w:rsidP="00A65130">
      <w:pPr>
        <w:spacing w:line="276" w:lineRule="auto"/>
        <w:ind w:firstLine="709"/>
        <w:jc w:val="both"/>
        <w:rPr>
          <w:rFonts w:ascii="Arial" w:eastAsia="Calibri" w:hAnsi="Arial" w:cs="Arial"/>
          <w:color w:val="000000" w:themeColor="text1"/>
          <w:sz w:val="22"/>
          <w:lang w:val="es-ES_tradnl"/>
        </w:rPr>
      </w:pPr>
      <w:bookmarkStart w:id="3" w:name="_Hlk43916091"/>
      <w:r w:rsidRPr="00493521">
        <w:rPr>
          <w:rFonts w:ascii="Arial" w:hAnsi="Arial" w:cs="Arial"/>
          <w:color w:val="000000" w:themeColor="text1"/>
          <w:sz w:val="22"/>
          <w:lang w:val="es-ES_tradnl"/>
        </w:rPr>
        <w:lastRenderedPageBreak/>
        <w:t xml:space="preserve">En consecuencia, </w:t>
      </w:r>
      <w:r w:rsidRPr="00493521">
        <w:rPr>
          <w:rFonts w:ascii="Arial" w:eastAsia="Calibri" w:hAnsi="Arial" w:cs="Arial"/>
          <w:color w:val="000000" w:themeColor="text1"/>
          <w:sz w:val="22"/>
          <w:lang w:val="es-ES_tradnl"/>
        </w:rPr>
        <w:t>con los autos de suspensión provisional, el concurso de méritos abierto debía desarrollarse aplicando únicamente los numerales 1 y 2 del</w:t>
      </w:r>
      <w:r w:rsidRPr="00493521">
        <w:rPr>
          <w:rFonts w:ascii="Arial" w:hAnsi="Arial" w:cs="Arial"/>
          <w:color w:val="000000" w:themeColor="text1"/>
          <w:sz w:val="22"/>
          <w:lang w:val="es-ES_tradnl"/>
        </w:rPr>
        <w:t xml:space="preserve"> artículo 2.2.1.2.1.3.2 </w:t>
      </w:r>
      <w:r w:rsidR="00CC2C5B">
        <w:rPr>
          <w:rFonts w:ascii="Arial" w:hAnsi="Arial" w:cs="Arial"/>
          <w:color w:val="000000" w:themeColor="text1"/>
          <w:sz w:val="22"/>
          <w:lang w:val="es-ES_tradnl"/>
        </w:rPr>
        <w:t xml:space="preserve">original </w:t>
      </w:r>
      <w:r w:rsidRPr="00493521">
        <w:rPr>
          <w:rFonts w:ascii="Arial" w:hAnsi="Arial" w:cs="Arial"/>
          <w:color w:val="000000" w:themeColor="text1"/>
          <w:sz w:val="22"/>
          <w:lang w:val="es-ES_tradnl"/>
        </w:rPr>
        <w:t>del Decreto 1082 de 2015</w:t>
      </w:r>
      <w:r w:rsidR="00CC2C5B">
        <w:rPr>
          <w:rFonts w:ascii="Arial" w:hAnsi="Arial" w:cs="Arial"/>
          <w:color w:val="000000" w:themeColor="text1"/>
          <w:sz w:val="22"/>
          <w:lang w:val="es-ES_tradnl"/>
        </w:rPr>
        <w:t>, esto es, antes de la modificación realizada por el Decreto 399 de 2021, al que se hará referencia en el numeral siguiente</w:t>
      </w:r>
      <w:r w:rsidRPr="00493521">
        <w:rPr>
          <w:rFonts w:ascii="Arial" w:hAnsi="Arial" w:cs="Arial"/>
          <w:color w:val="000000" w:themeColor="text1"/>
          <w:sz w:val="22"/>
          <w:lang w:val="es-ES_tradnl"/>
        </w:rPr>
        <w:t>.</w:t>
      </w:r>
      <w:bookmarkStart w:id="4" w:name="_Hlk43916290"/>
      <w:bookmarkEnd w:id="3"/>
      <w:r w:rsidRPr="00493521">
        <w:rPr>
          <w:rFonts w:ascii="Arial" w:hAnsi="Arial" w:cs="Arial"/>
          <w:color w:val="000000" w:themeColor="text1"/>
          <w:sz w:val="22"/>
          <w:lang w:val="es-ES_tradnl"/>
        </w:rPr>
        <w:t xml:space="preserve"> Por lo tanto, </w:t>
      </w:r>
      <w:r w:rsidRPr="00493521">
        <w:rPr>
          <w:rFonts w:ascii="Arial" w:hAnsi="Arial" w:cs="Arial"/>
          <w:i/>
          <w:iCs/>
          <w:color w:val="000000" w:themeColor="text1"/>
          <w:sz w:val="22"/>
          <w:lang w:val="es-ES_tradnl"/>
        </w:rPr>
        <w:t>siempre que estuviera dentro del presupuesto oficial</w:t>
      </w:r>
      <w:r w:rsidRPr="00493521">
        <w:rPr>
          <w:rFonts w:ascii="Arial" w:hAnsi="Arial" w:cs="Arial"/>
          <w:color w:val="000000" w:themeColor="text1"/>
          <w:sz w:val="22"/>
          <w:lang w:val="es-ES_tradnl"/>
        </w:rPr>
        <w:t>, la entidad estatal debía adjudicar el contrato al proponente que ocupara el primer puesto en el orden de elegibilidad, independientemente del valor ofrecido</w:t>
      </w:r>
      <w:r w:rsidRPr="00493521">
        <w:rPr>
          <w:rFonts w:ascii="Arial" w:eastAsia="Calibri" w:hAnsi="Arial" w:cs="Arial"/>
          <w:color w:val="000000" w:themeColor="text1"/>
          <w:sz w:val="22"/>
          <w:lang w:val="es-ES_tradnl"/>
        </w:rPr>
        <w:t>.</w:t>
      </w:r>
    </w:p>
    <w:p w14:paraId="15D42388" w14:textId="77777777" w:rsidR="00A65130" w:rsidRDefault="00A65130" w:rsidP="00A65130">
      <w:pPr>
        <w:spacing w:line="276" w:lineRule="auto"/>
        <w:jc w:val="both"/>
        <w:rPr>
          <w:rFonts w:ascii="Arial" w:eastAsia="Calibri" w:hAnsi="Arial" w:cs="Arial"/>
          <w:b/>
          <w:bCs/>
          <w:color w:val="000000" w:themeColor="text1"/>
          <w:sz w:val="22"/>
          <w:lang w:val="es-ES_tradnl"/>
        </w:rPr>
      </w:pPr>
    </w:p>
    <w:p w14:paraId="0663D746" w14:textId="77777777" w:rsidR="00A65130" w:rsidRPr="00A43377" w:rsidRDefault="00A65130" w:rsidP="00A65130">
      <w:pPr>
        <w:spacing w:line="276" w:lineRule="auto"/>
        <w:jc w:val="both"/>
        <w:rPr>
          <w:rFonts w:ascii="Arial" w:eastAsia="Calibri" w:hAnsi="Arial" w:cs="Arial"/>
          <w:color w:val="000000" w:themeColor="text1"/>
          <w:sz w:val="22"/>
          <w:lang w:val="es-ES_tradnl"/>
        </w:rPr>
      </w:pPr>
      <w:r w:rsidRPr="00493521">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2</w:t>
      </w:r>
      <w:r w:rsidRPr="00493521">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Reglamentación del concurso de méritos abierto o con precalificación en el Decreto 399 de 2021</w:t>
      </w:r>
    </w:p>
    <w:p w14:paraId="3F465B1E" w14:textId="77777777" w:rsidR="00A65130" w:rsidRDefault="00A65130" w:rsidP="00A65130">
      <w:pPr>
        <w:spacing w:line="276" w:lineRule="auto"/>
        <w:jc w:val="both"/>
        <w:rPr>
          <w:rFonts w:ascii="Arial" w:eastAsia="Calibri" w:hAnsi="Arial" w:cs="Arial"/>
          <w:color w:val="000000" w:themeColor="text1"/>
          <w:sz w:val="22"/>
          <w:lang w:val="es-ES_tradnl"/>
        </w:rPr>
      </w:pPr>
    </w:p>
    <w:p w14:paraId="09225AB4" w14:textId="77777777" w:rsidR="00A65130" w:rsidRPr="00493521" w:rsidRDefault="00A65130" w:rsidP="00A65130">
      <w:pPr>
        <w:spacing w:line="276" w:lineRule="auto"/>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El artículo 2 del Decreto 399 de 2021 modificó el artículo 2.2.1.2.1.3.2. del Decreto 1082 de 2015, en los siguientes términos:</w:t>
      </w:r>
    </w:p>
    <w:p w14:paraId="05FE65D7"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p>
    <w:p w14:paraId="0B95904C"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Artículo</w:t>
      </w:r>
      <w:bookmarkStart w:id="5" w:name="2"/>
      <w:r w:rsidRPr="00493521">
        <w:rPr>
          <w:rFonts w:ascii="Arial" w:hAnsi="Arial" w:cs="Arial"/>
          <w:color w:val="000000" w:themeColor="text1"/>
          <w:sz w:val="21"/>
          <w:szCs w:val="21"/>
          <w:lang w:val="es-ES_tradnl"/>
        </w:rPr>
        <w:t> </w:t>
      </w:r>
      <w:bookmarkEnd w:id="5"/>
      <w:r w:rsidRPr="00493521">
        <w:rPr>
          <w:rFonts w:ascii="Arial" w:hAnsi="Arial" w:cs="Arial"/>
          <w:color w:val="000000" w:themeColor="text1"/>
          <w:sz w:val="21"/>
          <w:szCs w:val="21"/>
          <w:lang w:val="es-ES_tradnl"/>
        </w:rPr>
        <w:t>2. Modificación del artículo </w:t>
      </w:r>
      <w:hyperlink r:id="rId12" w:anchor="2.2.1.2.1.3.2" w:history="1">
        <w:r w:rsidRPr="00493521">
          <w:rPr>
            <w:rStyle w:val="Hipervnculo"/>
            <w:rFonts w:ascii="Arial" w:hAnsi="Arial" w:cs="Arial"/>
            <w:color w:val="000000" w:themeColor="text1"/>
            <w:sz w:val="21"/>
            <w:szCs w:val="21"/>
            <w:u w:val="none"/>
            <w:lang w:val="es-ES_tradnl"/>
          </w:rPr>
          <w:t>2.2.1.2.1.3.2</w:t>
        </w:r>
      </w:hyperlink>
      <w:r w:rsidRPr="00493521">
        <w:rPr>
          <w:rFonts w:ascii="Arial" w:hAnsi="Arial" w:cs="Arial"/>
          <w:color w:val="000000" w:themeColor="text1"/>
          <w:sz w:val="21"/>
          <w:szCs w:val="21"/>
          <w:lang w:val="es-ES_tradnl"/>
        </w:rPr>
        <w:t>. del Decreto 1082 de 2015, Único Reglamentario del Sector Administrativo de Planeación Nacional. Modifíquese el artículo 2.2.1.2.1.3.2. de la Subsección 3 de la Sección 1 del Capítulo 2 del Título 1 de la Parte 2 del Libro 2 del Decreto 1082 de 2015, Único Reglamentario del Sector Administrativo de Planeación Nacional, el cual quedará así:</w:t>
      </w:r>
    </w:p>
    <w:p w14:paraId="03CD6704"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79F5A8CA"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"Artículo 2.2.1.2.1.3.2. Procedimiento del concurso de méritos. Además de las reglas generales previstas en la ley y en el presente título, las siguientes reglas son aplicables al concurso de méritos abierto o con precalificación:</w:t>
      </w:r>
    </w:p>
    <w:p w14:paraId="60595141"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5D8F1ED3"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1. La Entidad Estatal en los pliegos de condiciones debe indicar la forma como calificará, entre otros, los siguientes criterios: a) la experiencia del interesado y del equipo de trabajo y b) la formación académica del equipo de trabajo.</w:t>
      </w:r>
    </w:p>
    <w:p w14:paraId="569E7A4A"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18C64978"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2. La Entidad Estatal debe publicar durante tres (3) días hábiles el informe de evaluación, el cual debe contener la evaluación de las ofertas frente a todos los requisitos exigidos en el pliego de condiciones, incluyendo los requisitos habilitantes y los de asignación de puntaje.</w:t>
      </w:r>
    </w:p>
    <w:p w14:paraId="09FD393E"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5289BF49"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3. Una vez resueltas las observaciones al informe de evaluación, la entidad adjudicará el contrato mediante acto administrativo al oferente que haya cumplido todos los requisitos exigidos en el pliego de condiciones y haya obtenido el mayor puntaje".</w:t>
      </w:r>
    </w:p>
    <w:p w14:paraId="097C4377" w14:textId="77777777" w:rsidR="00A65130" w:rsidRPr="00493521" w:rsidRDefault="00A65130" w:rsidP="00A65130">
      <w:pPr>
        <w:rPr>
          <w:color w:val="000000" w:themeColor="text1"/>
          <w:lang w:val="es-ES_tradnl"/>
        </w:rPr>
      </w:pPr>
    </w:p>
    <w:p w14:paraId="7F34EDF0" w14:textId="77777777" w:rsidR="00A65130" w:rsidRPr="00493521" w:rsidRDefault="00A65130" w:rsidP="00A65130">
      <w:pPr>
        <w:spacing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lastRenderedPageBreak/>
        <w:t>Como se observa, el artículo 2 del Decreto 399 de 2021 reformó la reglamentación del concurso de méritos, para adecuarla a los pronunciamientos del Consejo de Estado que habían suspendido provisionalmente algunos numerales del artículo 2.2.1.2.1.3.2. del Decreto 1082 de 2015</w:t>
      </w:r>
      <w:r w:rsidRPr="00493521">
        <w:rPr>
          <w:rStyle w:val="Refdenotaalpie"/>
          <w:rFonts w:ascii="Arial" w:eastAsia="Calibri" w:hAnsi="Arial" w:cs="Arial"/>
          <w:color w:val="000000" w:themeColor="text1"/>
          <w:sz w:val="22"/>
          <w:lang w:val="es-ES_tradnl"/>
        </w:rPr>
        <w:footnoteReference w:id="6"/>
      </w:r>
      <w:r w:rsidRPr="00493521">
        <w:rPr>
          <w:rFonts w:ascii="Arial" w:eastAsia="Calibri" w:hAnsi="Arial" w:cs="Arial"/>
          <w:color w:val="000000" w:themeColor="text1"/>
          <w:sz w:val="22"/>
          <w:lang w:val="es-ES_tradnl"/>
        </w:rPr>
        <w:t xml:space="preserve">. A diferencia de lo que establecía este artículo en su redacción inicial, con la </w:t>
      </w:r>
      <w:proofErr w:type="gramStart"/>
      <w:r w:rsidRPr="00493521">
        <w:rPr>
          <w:rFonts w:ascii="Arial" w:eastAsia="Calibri" w:hAnsi="Arial" w:cs="Arial"/>
          <w:color w:val="000000" w:themeColor="text1"/>
          <w:sz w:val="22"/>
          <w:lang w:val="es-ES_tradnl"/>
        </w:rPr>
        <w:t>entrada en vigencia</w:t>
      </w:r>
      <w:proofErr w:type="gramEnd"/>
      <w:r w:rsidRPr="00493521">
        <w:rPr>
          <w:rFonts w:ascii="Arial" w:eastAsia="Calibri" w:hAnsi="Arial" w:cs="Arial"/>
          <w:color w:val="000000" w:themeColor="text1"/>
          <w:sz w:val="22"/>
          <w:lang w:val="es-ES_tradnl"/>
        </w:rPr>
        <w:t xml:space="preserve"> del artículo 2 del Decreto 399 de 2021 se observan los siguientes cambios:</w:t>
      </w:r>
    </w:p>
    <w:p w14:paraId="2C991BDB" w14:textId="1C079E8A" w:rsidR="00A65130" w:rsidRPr="00493521" w:rsidRDefault="00A65130" w:rsidP="00A65130">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i) El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w:t>
      </w:r>
      <w:r w:rsidR="00705311">
        <w:rPr>
          <w:rFonts w:ascii="Arial" w:eastAsia="Calibri" w:hAnsi="Arial" w:cs="Arial"/>
          <w:color w:val="000000" w:themeColor="text1"/>
          <w:sz w:val="22"/>
          <w:lang w:val="es-ES_tradnl"/>
        </w:rPr>
        <w:t>En tal sentido, el informe de evaluación debe dar cuenta de la evaluación completa de las ofertas, lo que incluiría las ofertas económicas. De esta manera, e</w:t>
      </w:r>
      <w:r w:rsidRPr="00493521">
        <w:rPr>
          <w:rFonts w:ascii="Arial" w:eastAsia="Calibri" w:hAnsi="Arial" w:cs="Arial"/>
          <w:color w:val="000000" w:themeColor="text1"/>
          <w:sz w:val="22"/>
          <w:lang w:val="es-ES_tradnl"/>
        </w:rPr>
        <w:t>sta disposición permite que los interesados ejerzan su derecho a conocer el informe de evaluación y a formular las observaciones que consideren pertinentes</w:t>
      </w:r>
      <w:r w:rsidR="00705311">
        <w:rPr>
          <w:rFonts w:ascii="Arial" w:eastAsia="Calibri" w:hAnsi="Arial" w:cs="Arial"/>
          <w:color w:val="000000" w:themeColor="text1"/>
          <w:sz w:val="22"/>
          <w:lang w:val="es-ES_tradnl"/>
        </w:rPr>
        <w:t>, frente a todos los aspectos de la evaluación de las propuestas.</w:t>
      </w:r>
    </w:p>
    <w:p w14:paraId="08CE6A38" w14:textId="718A37F7" w:rsidR="00A65130" w:rsidRPr="00493521" w:rsidRDefault="00A65130" w:rsidP="00A65130">
      <w:pPr>
        <w:spacing w:before="120" w:line="276" w:lineRule="auto"/>
        <w:ind w:firstLine="709"/>
        <w:jc w:val="both"/>
        <w:rPr>
          <w:rFonts w:ascii="Arial" w:eastAsia="Calibri" w:hAnsi="Arial" w:cs="Arial"/>
          <w:color w:val="000000" w:themeColor="text1"/>
          <w:sz w:val="22"/>
          <w:lang w:val="es-ES_tradnl"/>
        </w:rPr>
      </w:pPr>
      <w:proofErr w:type="spellStart"/>
      <w:r w:rsidRPr="00493521">
        <w:rPr>
          <w:rFonts w:ascii="Arial" w:eastAsia="Calibri" w:hAnsi="Arial" w:cs="Arial"/>
          <w:color w:val="000000" w:themeColor="text1"/>
          <w:sz w:val="22"/>
          <w:lang w:val="es-ES_tradnl"/>
        </w:rPr>
        <w:t>ii</w:t>
      </w:r>
      <w:proofErr w:type="spellEnd"/>
      <w:r w:rsidRPr="00493521">
        <w:rPr>
          <w:rFonts w:ascii="Arial" w:eastAsia="Calibri" w:hAnsi="Arial" w:cs="Arial"/>
          <w:color w:val="000000" w:themeColor="text1"/>
          <w:sz w:val="22"/>
          <w:lang w:val="es-ES_tradnl"/>
        </w:rPr>
        <w:t xml:space="preserve">) </w:t>
      </w:r>
      <w:r w:rsidR="003C5C0C">
        <w:rPr>
          <w:rFonts w:ascii="Arial" w:eastAsia="Calibri" w:hAnsi="Arial" w:cs="Arial"/>
          <w:color w:val="000000" w:themeColor="text1"/>
          <w:sz w:val="22"/>
          <w:lang w:val="es-ES_tradnl"/>
        </w:rPr>
        <w:t>En armonía con lo anterior, a</w:t>
      </w:r>
      <w:r w:rsidRPr="00493521">
        <w:rPr>
          <w:rFonts w:ascii="Arial" w:eastAsia="Calibri" w:hAnsi="Arial" w:cs="Arial"/>
          <w:color w:val="000000" w:themeColor="text1"/>
          <w:sz w:val="22"/>
          <w:lang w:val="es-ES_tradnl"/>
        </w:rPr>
        <w:t xml:space="preserve">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w:t>
      </w:r>
      <w:r w:rsidR="00E75099">
        <w:rPr>
          <w:rFonts w:ascii="Arial" w:eastAsia="Calibri" w:hAnsi="Arial" w:cs="Arial"/>
          <w:color w:val="000000" w:themeColor="text1"/>
          <w:sz w:val="22"/>
          <w:lang w:val="es-ES_tradnl"/>
        </w:rPr>
        <w:t>Esto implica</w:t>
      </w:r>
      <w:r w:rsidRPr="00493521">
        <w:rPr>
          <w:rFonts w:ascii="Arial" w:eastAsia="Calibri" w:hAnsi="Arial" w:cs="Arial"/>
          <w:color w:val="000000" w:themeColor="text1"/>
          <w:sz w:val="22"/>
          <w:lang w:val="es-ES_tradnl"/>
        </w:rPr>
        <w:t xml:space="preserve"> que después de la respuesta a las observaciones del informe de evaluación ya la entidad estatal no debe revisar que la oferta económica sea acorde al presupuesto oficial –pues esto lo debió hacer para elaborar el informe de evaluación– y tampoco debe proceder con una fase de «negociación» con el oferente calificado en primer lugar sobre el valor y alcance del contrato, sino que debe proceder a la adjudicación a quien haya presentado </w:t>
      </w:r>
      <w:r w:rsidRPr="00493521">
        <w:rPr>
          <w:rFonts w:ascii="Arial" w:eastAsia="Calibri" w:hAnsi="Arial" w:cs="Arial"/>
          <w:color w:val="000000" w:themeColor="text1"/>
          <w:sz w:val="22"/>
          <w:lang w:val="es-ES_tradnl"/>
        </w:rPr>
        <w:lastRenderedPageBreak/>
        <w:t>objetivamente la mejor oferta, teniendo en cuenta todos los requisitos exigidos en el pliego de condiciones.</w:t>
      </w:r>
    </w:p>
    <w:p w14:paraId="71CD88A8" w14:textId="77777777" w:rsidR="00A65130" w:rsidRPr="00493521" w:rsidRDefault="00A65130" w:rsidP="00A65130">
      <w:pPr>
        <w:spacing w:before="120" w:line="276" w:lineRule="auto"/>
        <w:ind w:firstLine="709"/>
        <w:jc w:val="both"/>
        <w:rPr>
          <w:rFonts w:ascii="Arial" w:eastAsia="Calibri" w:hAnsi="Arial" w:cs="Arial"/>
          <w:color w:val="000000" w:themeColor="text1"/>
          <w:sz w:val="22"/>
          <w:lang w:val="es-ES_tradnl"/>
        </w:rPr>
      </w:pPr>
      <w:proofErr w:type="spellStart"/>
      <w:r w:rsidRPr="00493521">
        <w:rPr>
          <w:rFonts w:ascii="Arial" w:eastAsia="Calibri" w:hAnsi="Arial" w:cs="Arial"/>
          <w:color w:val="000000" w:themeColor="text1"/>
          <w:sz w:val="22"/>
          <w:lang w:val="es-ES_tradnl"/>
        </w:rPr>
        <w:t>iii</w:t>
      </w:r>
      <w:proofErr w:type="spellEnd"/>
      <w:r w:rsidRPr="00493521">
        <w:rPr>
          <w:rFonts w:ascii="Arial" w:eastAsia="Calibri" w:hAnsi="Arial" w:cs="Arial"/>
          <w:color w:val="000000" w:themeColor="text1"/>
          <w:sz w:val="22"/>
          <w:lang w:val="es-ES_tradnl"/>
        </w:rPr>
        <w:t>) Como el nuevo artículo 2.2.1.2.1.3.2. del Decreto 1082 de 2015, modificado por el artículo 2 del Decreto 399 de 2021, ya no establece una fase de negociación entre la entidad estatal y el oferente calificado en el primer lugar de elegibilidad, por sustracción de materia, la entidad estatal tampoco debe intentar un acuerdo con el oferente calificado en el segundo orden de elegibilidad, ni puede ampararse en el carácter fallido de dicho acuerdo para declarar desierto el proceso de selección</w:t>
      </w:r>
      <w:r>
        <w:rPr>
          <w:rFonts w:ascii="Arial" w:eastAsia="Calibri" w:hAnsi="Arial" w:cs="Arial"/>
          <w:color w:val="000000" w:themeColor="text1"/>
          <w:sz w:val="22"/>
          <w:lang w:val="es-ES_tradnl"/>
        </w:rPr>
        <w:t>, en armonía con lo decidido en los Autos del Consejo de Estado antes señalados</w:t>
      </w:r>
      <w:r w:rsidRPr="00493521">
        <w:rPr>
          <w:rFonts w:ascii="Arial" w:eastAsia="Calibri" w:hAnsi="Arial" w:cs="Arial"/>
          <w:color w:val="000000" w:themeColor="text1"/>
          <w:sz w:val="22"/>
          <w:lang w:val="es-ES_tradnl"/>
        </w:rPr>
        <w:t>.</w:t>
      </w:r>
    </w:p>
    <w:p w14:paraId="75009C93" w14:textId="77777777" w:rsidR="00A65130" w:rsidRPr="00493521" w:rsidRDefault="00A65130" w:rsidP="00A65130">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Un aspecto igualmente importante que introduce el Decreto 399 de 2021 y que incide sobre el trámite del concurso de méritos, tiene que ver con el contenido de los estudios y documentos previos que soportan el proceso de contratación. Recuérdese que el numeral 4 del artículo 2.2.1.1.2.1.1. del Decreto 1082 de 2015 establecía que la entidad estatal no debía «[…] publicar las variables utilizadas para calcular el valor estimado del contrato cuando la modalidad de selección del contratista sea en concurso de méritos». Pues bien, el artículo 1 del Decreto 399 de 2021 elimina esta prohibición, para garantizar que los interesados conozcan la información relacionada con el valor estimado del contrato en los concursos de méritos y potenciar la garantía de los principios de publicidad y transparencia. En efecto, así lo justifica el gobierno nacional en las consideraciones de dicho Decreto: </w:t>
      </w:r>
    </w:p>
    <w:p w14:paraId="3383A3DF"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p>
    <w:p w14:paraId="5C326E36"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Que en consideración a la importancia de conocer los valores y criterios utilizados por las entidades estatales que sirvan de soporte para definir el valor estimado del contrato en la modalidad de selección de concurso de méritos, y ante la inexistencia de una reserva legal de esta información, es necesario eliminar la restricción respecto al deber de publicación de dichos análisis.</w:t>
      </w:r>
    </w:p>
    <w:p w14:paraId="15BB0368"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 </w:t>
      </w:r>
    </w:p>
    <w:p w14:paraId="427E74F0" w14:textId="77777777" w:rsidR="00A65130" w:rsidRPr="00493521" w:rsidRDefault="00A65130" w:rsidP="00A65130">
      <w:pPr>
        <w:shd w:val="clear" w:color="auto" w:fill="FFFFFF"/>
        <w:ind w:left="709" w:right="709"/>
        <w:jc w:val="both"/>
        <w:rPr>
          <w:rFonts w:ascii="Arial" w:hAnsi="Arial" w:cs="Arial"/>
          <w:color w:val="000000" w:themeColor="text1"/>
          <w:sz w:val="21"/>
          <w:szCs w:val="21"/>
          <w:lang w:val="es-ES_tradnl"/>
        </w:rPr>
      </w:pPr>
      <w:r w:rsidRPr="00493521">
        <w:rPr>
          <w:rFonts w:ascii="Arial" w:hAnsi="Arial" w:cs="Arial"/>
          <w:color w:val="000000" w:themeColor="text1"/>
          <w:sz w:val="21"/>
          <w:szCs w:val="21"/>
          <w:lang w:val="es-ES_tradnl"/>
        </w:rPr>
        <w:t>Que se considera conveniente dar publicidad a la forma como se calcula el valor del contrato en los concursos de méritos, con la finalidad de garantizar al máximo los principios de publicidad y transparencia. Además, para que los interesados, de conformidad con el artículo 8 de la Ley 1150 de 2007, puedan realizar observaciones al proyecto de pliego de condiciones, que debe incluir el valor estimado del contrato.</w:t>
      </w:r>
      <w:r w:rsidRPr="00493521">
        <w:rPr>
          <w:rFonts w:ascii="Arial" w:eastAsia="Calibri" w:hAnsi="Arial" w:cs="Arial"/>
          <w:color w:val="000000" w:themeColor="text1"/>
          <w:sz w:val="22"/>
          <w:lang w:val="es-ES_tradnl"/>
        </w:rPr>
        <w:t xml:space="preserve">  </w:t>
      </w:r>
    </w:p>
    <w:p w14:paraId="0858F1F5" w14:textId="77777777" w:rsidR="00A65130" w:rsidRPr="00493521" w:rsidRDefault="00A65130" w:rsidP="00A65130">
      <w:pPr>
        <w:spacing w:line="276" w:lineRule="auto"/>
        <w:ind w:firstLine="709"/>
        <w:jc w:val="both"/>
        <w:rPr>
          <w:rFonts w:ascii="Arial" w:eastAsia="Calibri" w:hAnsi="Arial" w:cs="Arial"/>
          <w:color w:val="000000" w:themeColor="text1"/>
          <w:sz w:val="22"/>
          <w:lang w:val="es-ES_tradnl"/>
        </w:rPr>
      </w:pPr>
    </w:p>
    <w:p w14:paraId="57470484" w14:textId="219D6C32" w:rsidR="00A65130" w:rsidRPr="00493521" w:rsidRDefault="00A65130" w:rsidP="00A65130">
      <w:pPr>
        <w:spacing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 xml:space="preserve">Por lo tanto, a partir de la </w:t>
      </w:r>
      <w:proofErr w:type="gramStart"/>
      <w:r w:rsidRPr="00493521">
        <w:rPr>
          <w:rFonts w:ascii="Arial" w:eastAsia="Calibri" w:hAnsi="Arial" w:cs="Arial"/>
          <w:color w:val="000000" w:themeColor="text1"/>
          <w:sz w:val="22"/>
          <w:lang w:val="es-ES_tradnl"/>
        </w:rPr>
        <w:t>entrada en vigencia</w:t>
      </w:r>
      <w:proofErr w:type="gramEnd"/>
      <w:r w:rsidRPr="00493521">
        <w:rPr>
          <w:rFonts w:ascii="Arial" w:eastAsia="Calibri" w:hAnsi="Arial" w:cs="Arial"/>
          <w:color w:val="000000" w:themeColor="text1"/>
          <w:sz w:val="22"/>
          <w:lang w:val="es-ES_tradnl"/>
        </w:rPr>
        <w:t xml:space="preserve"> del Decreto 399 de 2021, las entidades estatales deben incluir en los estudios previos del concurso de méritos la información correspondiente a las variables empleadas para calcular el valor estimado del contrato, determinando así el presupuesto oficial. Además, los interesados pueden formular observaciones al proyecto de pliego de condiciones sobre este tema. Adicionalmente, en el pliego de condiciones deben establecerse con claridad los requisitos habilitantes y criterios de calificación con fundamento en los cuales la entidad estatal elaborará el informe de </w:t>
      </w:r>
      <w:r w:rsidRPr="00493521">
        <w:rPr>
          <w:rFonts w:ascii="Arial" w:eastAsia="Calibri" w:hAnsi="Arial" w:cs="Arial"/>
          <w:color w:val="000000" w:themeColor="text1"/>
          <w:sz w:val="22"/>
          <w:lang w:val="es-ES_tradnl"/>
        </w:rPr>
        <w:lastRenderedPageBreak/>
        <w:t xml:space="preserve">evaluación respectivo. Al respecto, se aclara que el Decreto 399 de 2021 en ningún caso contradice lo establecido en el artículo 5, numeral 4, de la Ley 1150 de 2007; norma que dispone que «En los procesos para la selección de consultores se hará uso de factores de calificación destinados a valorar los aspectos técnicos de la oferta o proyecto […]» y que «En ningún caso se podrá incluir el precio, como factor de escogencia para la selección de consultores». El hecho de que desaparezca la etapa en la cual la entidad estatal debía intentar un acuerdo sobre el alcance y el valor del contrato con el oferente calificado en el primer orden de elegibilidad no significa que se esté introduciendo el precio como factor de escogencia. Lo que se deduce del artículo 2 del Decreto 399 de 2021 es que en el pliego de condiciones debe quedar claramente establecido el presupuesto oficial, así como la prohibición de superarlo como requisito habilitante dentro del concurso de méritos. </w:t>
      </w:r>
    </w:p>
    <w:p w14:paraId="5A8524DA" w14:textId="77777777" w:rsidR="00A65130" w:rsidRPr="00493521" w:rsidRDefault="00A65130" w:rsidP="00A65130">
      <w:pPr>
        <w:spacing w:before="120" w:line="276" w:lineRule="auto"/>
        <w:ind w:firstLine="709"/>
        <w:jc w:val="both"/>
        <w:rPr>
          <w:rFonts w:ascii="Arial" w:eastAsia="Calibri" w:hAnsi="Arial" w:cs="Arial"/>
          <w:color w:val="000000" w:themeColor="text1"/>
          <w:sz w:val="22"/>
          <w:lang w:val="es-ES_tradnl"/>
        </w:rPr>
      </w:pPr>
      <w:r w:rsidRPr="00493521">
        <w:rPr>
          <w:rFonts w:ascii="Arial" w:eastAsia="Calibri" w:hAnsi="Arial" w:cs="Arial"/>
          <w:color w:val="000000" w:themeColor="text1"/>
          <w:sz w:val="22"/>
          <w:lang w:val="es-ES_tradnl"/>
        </w:rPr>
        <w:t>Dicho de otro modo, una vez verificado el cumplimiento de los requisitos habilitantes –entre los cuales está no superar el presupuesto oficial– y de ponderar los factores de calificación, se deberá elaborar el informe de evaluación respectivo –el cual es susceptible de observaciones– y solo se podrá adjudicar el contrato a quien ocupe el primer orden de elegibilidad según los criterios de calificación. Esto significa que luego de resolver las observaciones al informe de evaluación y de quedar en firme este, ya la entidad estatal no puede revisar la conformidad de la oferta económica con el presupuesto oficial –pues esto debió hacerlo antes de publicar el informe de evaluación–, ni intentar un acuerdo sobre el precio, como sí lo permitían los numerales 4 y 5 del artículo 2.2.1.2.1.3.2. del Decreto 1082 de 2015 en su redacción inicial. Lo que procede una vez resueltas las observaciones al informe de evaluació</w:t>
      </w:r>
      <w:r>
        <w:rPr>
          <w:rFonts w:ascii="Arial" w:eastAsia="Calibri" w:hAnsi="Arial" w:cs="Arial"/>
          <w:color w:val="000000" w:themeColor="text1"/>
          <w:sz w:val="22"/>
          <w:lang w:val="es-ES_tradnl"/>
        </w:rPr>
        <w:t>n</w:t>
      </w:r>
      <w:r w:rsidRPr="00493521">
        <w:rPr>
          <w:rFonts w:ascii="Arial" w:eastAsia="Calibri" w:hAnsi="Arial" w:cs="Arial"/>
          <w:color w:val="000000" w:themeColor="text1"/>
          <w:sz w:val="22"/>
          <w:lang w:val="es-ES_tradnl"/>
        </w:rPr>
        <w:t xml:space="preserve"> es la adjudicación del contrato o la declaratoria de desierta, si ninguno de los oferentes cumple los requisitos habilitantes.</w:t>
      </w:r>
    </w:p>
    <w:bookmarkEnd w:id="4"/>
    <w:p w14:paraId="77F046D3" w14:textId="667B72FD" w:rsidR="00740000" w:rsidRPr="002D3620" w:rsidRDefault="00740000" w:rsidP="00740000">
      <w:pPr>
        <w:spacing w:before="120" w:line="276" w:lineRule="auto"/>
        <w:ind w:firstLine="709"/>
        <w:jc w:val="both"/>
        <w:rPr>
          <w:rStyle w:val="Textoennegrita"/>
          <w:rFonts w:ascii="Arial" w:hAnsi="Arial" w:cs="Arial"/>
          <w:b w:val="0"/>
          <w:bCs w:val="0"/>
          <w:sz w:val="22"/>
          <w:szCs w:val="22"/>
          <w:shd w:val="clear" w:color="auto" w:fill="FFFFFF"/>
        </w:rPr>
      </w:pPr>
      <w:r w:rsidRPr="002D3620">
        <w:rPr>
          <w:rFonts w:ascii="Arial" w:eastAsia="Calibri" w:hAnsi="Arial" w:cs="Arial"/>
          <w:sz w:val="22"/>
          <w:lang w:val="es-ES_tradnl"/>
        </w:rPr>
        <w:t xml:space="preserve">De lo explicado previamente, surge el siguiente interrogante: ¿el artículo 2 del Decreto 399 de 2021, normativa que modifica el artículo 2.2.1.2.1.3.2 del Decreto 1082, varía el momento en el cual las entidades estatales </w:t>
      </w:r>
      <w:r w:rsidR="00540A51">
        <w:rPr>
          <w:rFonts w:ascii="Arial" w:eastAsia="Calibri" w:hAnsi="Arial" w:cs="Arial"/>
          <w:sz w:val="22"/>
          <w:lang w:val="es-ES_tradnl"/>
        </w:rPr>
        <w:t>evalúan las ofertas económicas</w:t>
      </w:r>
      <w:r w:rsidRPr="002D3620">
        <w:rPr>
          <w:rFonts w:ascii="Arial" w:eastAsia="Calibri" w:hAnsi="Arial" w:cs="Arial"/>
          <w:sz w:val="22"/>
          <w:lang w:val="es-ES_tradnl"/>
        </w:rPr>
        <w:t>? En la regulación inicialmente prevista por</w:t>
      </w:r>
      <w:r w:rsidRPr="002D3620">
        <w:rPr>
          <w:rStyle w:val="Textoennegrita"/>
          <w:rFonts w:ascii="Arial" w:hAnsi="Arial" w:cs="Arial"/>
          <w:b w:val="0"/>
          <w:bCs w:val="0"/>
          <w:sz w:val="22"/>
          <w:szCs w:val="22"/>
          <w:shd w:val="clear" w:color="auto" w:fill="FFFFFF"/>
        </w:rPr>
        <w:t xml:space="preserve"> </w:t>
      </w:r>
      <w:r w:rsidRPr="002D3620">
        <w:rPr>
          <w:rFonts w:ascii="Arial" w:hAnsi="Arial" w:cs="Arial"/>
          <w:sz w:val="22"/>
          <w:szCs w:val="22"/>
          <w:shd w:val="clear" w:color="auto" w:fill="FFFFFF"/>
        </w:rPr>
        <w:t>el Decreto 1082 de 201</w:t>
      </w:r>
      <w:r w:rsidRPr="002D3620">
        <w:rPr>
          <w:rStyle w:val="Textoennegrita"/>
          <w:rFonts w:ascii="Arial" w:hAnsi="Arial" w:cs="Arial"/>
          <w:b w:val="0"/>
          <w:sz w:val="22"/>
          <w:szCs w:val="22"/>
          <w:shd w:val="clear" w:color="auto" w:fill="FFFFFF"/>
        </w:rPr>
        <w:t>5,</w:t>
      </w:r>
      <w:r w:rsidRPr="002D3620">
        <w:rPr>
          <w:rStyle w:val="Textoennegrita"/>
          <w:rFonts w:ascii="Arial" w:hAnsi="Arial" w:cs="Arial"/>
          <w:b w:val="0"/>
          <w:bCs w:val="0"/>
          <w:sz w:val="22"/>
          <w:szCs w:val="22"/>
          <w:shd w:val="clear" w:color="auto" w:fill="FFFFFF"/>
        </w:rPr>
        <w:t xml:space="preserve"> la </w:t>
      </w:r>
      <w:r w:rsidR="00540A51">
        <w:rPr>
          <w:rStyle w:val="Textoennegrita"/>
          <w:rFonts w:ascii="Arial" w:hAnsi="Arial" w:cs="Arial"/>
          <w:b w:val="0"/>
          <w:bCs w:val="0"/>
          <w:sz w:val="22"/>
          <w:szCs w:val="22"/>
          <w:shd w:val="clear" w:color="auto" w:fill="FFFFFF"/>
        </w:rPr>
        <w:t xml:space="preserve">revisión de las ofertas económicas </w:t>
      </w:r>
      <w:r w:rsidRPr="002D3620">
        <w:rPr>
          <w:rStyle w:val="Textoennegrita"/>
          <w:rFonts w:ascii="Arial" w:hAnsi="Arial" w:cs="Arial"/>
          <w:b w:val="0"/>
          <w:bCs w:val="0"/>
          <w:sz w:val="22"/>
          <w:szCs w:val="22"/>
          <w:shd w:val="clear" w:color="auto" w:fill="FFFFFF"/>
        </w:rPr>
        <w:t>se realizaba luego de publicar el informe de evaluación que contenía la calificación técnica y el orden de elegibilidad</w:t>
      </w:r>
      <w:r w:rsidRPr="002D3620">
        <w:rPr>
          <w:rStyle w:val="Refdenotaalpie"/>
          <w:rFonts w:ascii="Arial" w:hAnsi="Arial" w:cs="Arial"/>
          <w:sz w:val="22"/>
          <w:szCs w:val="22"/>
          <w:shd w:val="clear" w:color="auto" w:fill="FFFFFF"/>
        </w:rPr>
        <w:footnoteReference w:id="7"/>
      </w:r>
      <w:r w:rsidRPr="002D3620">
        <w:rPr>
          <w:rStyle w:val="Textoennegrita"/>
          <w:rFonts w:ascii="Arial" w:hAnsi="Arial" w:cs="Arial"/>
          <w:b w:val="0"/>
          <w:bCs w:val="0"/>
          <w:sz w:val="22"/>
          <w:szCs w:val="22"/>
          <w:shd w:val="clear" w:color="auto" w:fill="FFFFFF"/>
        </w:rPr>
        <w:t xml:space="preserve">. En este sentido, vencido el plazo de la fecha </w:t>
      </w:r>
      <w:r w:rsidRPr="002D3620">
        <w:rPr>
          <w:rStyle w:val="Textoennegrita"/>
          <w:rFonts w:ascii="Arial" w:hAnsi="Arial" w:cs="Arial"/>
          <w:b w:val="0"/>
          <w:bCs w:val="0"/>
          <w:sz w:val="22"/>
          <w:szCs w:val="22"/>
          <w:shd w:val="clear" w:color="auto" w:fill="FFFFFF"/>
        </w:rPr>
        <w:lastRenderedPageBreak/>
        <w:t xml:space="preserve">del cierre del proceso se </w:t>
      </w:r>
      <w:r w:rsidR="00540A51">
        <w:rPr>
          <w:rStyle w:val="Textoennegrita"/>
          <w:rFonts w:ascii="Arial" w:hAnsi="Arial" w:cs="Arial"/>
          <w:b w:val="0"/>
          <w:bCs w:val="0"/>
          <w:sz w:val="22"/>
          <w:szCs w:val="22"/>
          <w:shd w:val="clear" w:color="auto" w:fill="FFFFFF"/>
        </w:rPr>
        <w:t>evaluaban</w:t>
      </w:r>
      <w:r w:rsidRPr="002D3620">
        <w:rPr>
          <w:rStyle w:val="Textoennegrita"/>
          <w:rFonts w:ascii="Arial" w:hAnsi="Arial" w:cs="Arial"/>
          <w:b w:val="0"/>
          <w:bCs w:val="0"/>
          <w:sz w:val="22"/>
          <w:szCs w:val="22"/>
          <w:shd w:val="clear" w:color="auto" w:fill="FFFFFF"/>
        </w:rPr>
        <w:t xml:space="preserve"> los documentos referidos a la calificación técnica, cuyo análisis y revisión quedaba contenido en el informe de evaluación. Publicado este informe en la plataforma del Sistema Electrónico de Contratación Pública </w:t>
      </w:r>
      <w:r w:rsidR="00540A51">
        <w:rPr>
          <w:rStyle w:val="Textoennegrita"/>
          <w:rFonts w:ascii="Arial" w:hAnsi="Arial" w:cs="Arial"/>
          <w:b w:val="0"/>
          <w:bCs w:val="0"/>
          <w:sz w:val="22"/>
          <w:szCs w:val="22"/>
          <w:shd w:val="clear" w:color="auto" w:fill="FFFFFF"/>
        </w:rPr>
        <w:t>–</w:t>
      </w:r>
      <w:r w:rsidRPr="002D3620">
        <w:rPr>
          <w:rStyle w:val="Textoennegrita"/>
          <w:rFonts w:ascii="Arial" w:hAnsi="Arial" w:cs="Arial"/>
          <w:b w:val="0"/>
          <w:bCs w:val="0"/>
          <w:sz w:val="22"/>
          <w:szCs w:val="22"/>
          <w:shd w:val="clear" w:color="auto" w:fill="FFFFFF"/>
        </w:rPr>
        <w:t>SECOP</w:t>
      </w:r>
      <w:r w:rsidR="00540A51">
        <w:rPr>
          <w:rStyle w:val="Textoennegrita"/>
          <w:rFonts w:ascii="Arial" w:hAnsi="Arial" w:cs="Arial"/>
          <w:b w:val="0"/>
          <w:bCs w:val="0"/>
          <w:sz w:val="22"/>
          <w:szCs w:val="22"/>
          <w:shd w:val="clear" w:color="auto" w:fill="FFFFFF"/>
        </w:rPr>
        <w:t>–</w:t>
      </w:r>
      <w:r w:rsidRPr="002D3620">
        <w:rPr>
          <w:rStyle w:val="Textoennegrita"/>
          <w:rFonts w:ascii="Arial" w:hAnsi="Arial" w:cs="Arial"/>
          <w:b w:val="0"/>
          <w:bCs w:val="0"/>
          <w:sz w:val="22"/>
          <w:szCs w:val="22"/>
          <w:shd w:val="clear" w:color="auto" w:fill="FFFFFF"/>
        </w:rPr>
        <w:t xml:space="preserve">, se procedía a </w:t>
      </w:r>
      <w:r w:rsidR="00540A51">
        <w:rPr>
          <w:rStyle w:val="Textoennegrita"/>
          <w:rFonts w:ascii="Arial" w:hAnsi="Arial" w:cs="Arial"/>
          <w:b w:val="0"/>
          <w:bCs w:val="0"/>
          <w:sz w:val="22"/>
          <w:szCs w:val="22"/>
          <w:shd w:val="clear" w:color="auto" w:fill="FFFFFF"/>
        </w:rPr>
        <w:t>revisar</w:t>
      </w:r>
      <w:r w:rsidRPr="002D3620">
        <w:rPr>
          <w:rStyle w:val="Textoennegrita"/>
          <w:rFonts w:ascii="Arial" w:hAnsi="Arial" w:cs="Arial"/>
          <w:b w:val="0"/>
          <w:bCs w:val="0"/>
          <w:sz w:val="22"/>
          <w:szCs w:val="22"/>
          <w:shd w:val="clear" w:color="auto" w:fill="FFFFFF"/>
        </w:rPr>
        <w:t xml:space="preserve"> la oferta económica para determinar que el valor de esta estuviera acorde con el valor del presupuesto estimado por la Entidad. </w:t>
      </w:r>
    </w:p>
    <w:p w14:paraId="57DA0AC1" w14:textId="135CC986" w:rsidR="00740000" w:rsidRDefault="00740000" w:rsidP="00740000">
      <w:pPr>
        <w:spacing w:before="120" w:line="276" w:lineRule="auto"/>
        <w:ind w:firstLine="709"/>
        <w:jc w:val="both"/>
        <w:rPr>
          <w:rStyle w:val="Textoennegrita"/>
          <w:rFonts w:ascii="Arial" w:hAnsi="Arial" w:cs="Arial"/>
          <w:b w:val="0"/>
          <w:bCs w:val="0"/>
          <w:sz w:val="22"/>
          <w:szCs w:val="22"/>
          <w:shd w:val="clear" w:color="auto" w:fill="FFFFFF"/>
        </w:rPr>
      </w:pPr>
      <w:r w:rsidRPr="002D3620">
        <w:rPr>
          <w:rStyle w:val="Textoennegrita"/>
          <w:rFonts w:ascii="Arial" w:hAnsi="Arial" w:cs="Arial"/>
          <w:b w:val="0"/>
          <w:bCs w:val="0"/>
          <w:sz w:val="22"/>
          <w:szCs w:val="22"/>
          <w:shd w:val="clear" w:color="auto" w:fill="FFFFFF"/>
        </w:rPr>
        <w:t xml:space="preserve">Por su parte, con fundamento en </w:t>
      </w:r>
      <w:r w:rsidR="00540A51">
        <w:rPr>
          <w:rStyle w:val="Textoennegrita"/>
          <w:rFonts w:ascii="Arial" w:hAnsi="Arial" w:cs="Arial"/>
          <w:b w:val="0"/>
          <w:bCs w:val="0"/>
          <w:sz w:val="22"/>
          <w:szCs w:val="22"/>
          <w:shd w:val="clear" w:color="auto" w:fill="FFFFFF"/>
        </w:rPr>
        <w:t xml:space="preserve">el </w:t>
      </w:r>
      <w:r w:rsidRPr="002D3620">
        <w:rPr>
          <w:rStyle w:val="Textoennegrita"/>
          <w:rFonts w:ascii="Arial" w:hAnsi="Arial" w:cs="Arial"/>
          <w:b w:val="0"/>
          <w:bCs w:val="0"/>
          <w:sz w:val="22"/>
          <w:szCs w:val="22"/>
          <w:shd w:val="clear" w:color="auto" w:fill="FFFFFF"/>
        </w:rPr>
        <w:t xml:space="preserve">Decreto 399 de 2021, la apertura de las ofertas se realiza al momento del cierre del proceso, esto es, vencido el plazo para presentar las ofertas. Lo anterior, teniendo en cuenta que la entidad estatal debe evaluar en el informe respectivo los requisitos exigidos en el pliego de condiciones, incluidos los requisitos habilitantes y los de asignación de puntaje. Una vez resueltas las observaciones presentadas al informe, la entidad adjudicará el contrato mediante acto administrativo. Por tanto, se entiende que en este informe se evaluará el cumplimiento de todas las exigencias previstas en el pliego de condiciones, esto es, los requisitos habilitantes, los factores de evaluación y </w:t>
      </w:r>
      <w:r w:rsidR="008F5F3F">
        <w:rPr>
          <w:rStyle w:val="Textoennegrita"/>
          <w:rFonts w:ascii="Arial" w:hAnsi="Arial" w:cs="Arial"/>
          <w:b w:val="0"/>
          <w:bCs w:val="0"/>
          <w:sz w:val="22"/>
          <w:szCs w:val="22"/>
          <w:shd w:val="clear" w:color="auto" w:fill="FFFFFF"/>
        </w:rPr>
        <w:t>las</w:t>
      </w:r>
      <w:r w:rsidRPr="002D3620">
        <w:rPr>
          <w:rStyle w:val="Textoennegrita"/>
          <w:rFonts w:ascii="Arial" w:hAnsi="Arial" w:cs="Arial"/>
          <w:b w:val="0"/>
          <w:bCs w:val="0"/>
          <w:sz w:val="22"/>
          <w:szCs w:val="22"/>
          <w:shd w:val="clear" w:color="auto" w:fill="FFFFFF"/>
        </w:rPr>
        <w:t xml:space="preserve"> oferta</w:t>
      </w:r>
      <w:r w:rsidR="008F5F3F">
        <w:rPr>
          <w:rStyle w:val="Textoennegrita"/>
          <w:rFonts w:ascii="Arial" w:hAnsi="Arial" w:cs="Arial"/>
          <w:b w:val="0"/>
          <w:bCs w:val="0"/>
          <w:sz w:val="22"/>
          <w:szCs w:val="22"/>
          <w:shd w:val="clear" w:color="auto" w:fill="FFFFFF"/>
        </w:rPr>
        <w:t>s</w:t>
      </w:r>
      <w:r w:rsidRPr="002D3620">
        <w:rPr>
          <w:rStyle w:val="Textoennegrita"/>
          <w:rFonts w:ascii="Arial" w:hAnsi="Arial" w:cs="Arial"/>
          <w:b w:val="0"/>
          <w:bCs w:val="0"/>
          <w:sz w:val="22"/>
          <w:szCs w:val="22"/>
          <w:shd w:val="clear" w:color="auto" w:fill="FFFFFF"/>
        </w:rPr>
        <w:t xml:space="preserve"> económica</w:t>
      </w:r>
      <w:r w:rsidR="008F5F3F">
        <w:rPr>
          <w:rStyle w:val="Textoennegrita"/>
          <w:rFonts w:ascii="Arial" w:hAnsi="Arial" w:cs="Arial"/>
          <w:b w:val="0"/>
          <w:bCs w:val="0"/>
          <w:sz w:val="22"/>
          <w:szCs w:val="22"/>
          <w:shd w:val="clear" w:color="auto" w:fill="FFFFFF"/>
        </w:rPr>
        <w:t>s</w:t>
      </w:r>
      <w:r w:rsidRPr="002D3620">
        <w:rPr>
          <w:rStyle w:val="Textoennegrita"/>
          <w:rFonts w:ascii="Arial" w:hAnsi="Arial" w:cs="Arial"/>
          <w:b w:val="0"/>
          <w:bCs w:val="0"/>
          <w:sz w:val="22"/>
          <w:szCs w:val="22"/>
          <w:shd w:val="clear" w:color="auto" w:fill="FFFFFF"/>
        </w:rPr>
        <w:t>.</w:t>
      </w:r>
    </w:p>
    <w:p w14:paraId="1A67ACF6" w14:textId="07201D7D" w:rsidR="0028299A" w:rsidRPr="00683A0C" w:rsidRDefault="006E0FF8" w:rsidP="0028299A">
      <w:pPr>
        <w:spacing w:before="120" w:line="276" w:lineRule="auto"/>
        <w:ind w:firstLine="709"/>
        <w:jc w:val="both"/>
        <w:rPr>
          <w:rFonts w:ascii="Arial" w:hAnsi="Arial" w:cs="Arial"/>
          <w:sz w:val="22"/>
          <w:szCs w:val="22"/>
          <w:shd w:val="clear" w:color="auto" w:fill="FFFFFF"/>
        </w:rPr>
      </w:pPr>
      <w:bookmarkStart w:id="6" w:name="_Hlk94629410"/>
      <w:r w:rsidRPr="00683A0C">
        <w:rPr>
          <w:rStyle w:val="Textoennegrita"/>
          <w:rFonts w:ascii="Arial" w:hAnsi="Arial" w:cs="Arial"/>
          <w:b w:val="0"/>
          <w:bCs w:val="0"/>
          <w:sz w:val="22"/>
          <w:szCs w:val="22"/>
          <w:shd w:val="clear" w:color="auto" w:fill="FFFFFF"/>
        </w:rPr>
        <w:t>Ahora bien, con respecto a las correcciones aritméticas dentro de los procedimientos de concurso de méritos</w:t>
      </w:r>
      <w:r w:rsidRPr="00683A0C">
        <w:rPr>
          <w:rFonts w:ascii="Arial" w:eastAsia="Calibri" w:hAnsi="Arial" w:cs="Arial"/>
          <w:sz w:val="22"/>
          <w:szCs w:val="22"/>
          <w:lang w:val="es-ES_tradnl" w:eastAsia="en-US"/>
        </w:rPr>
        <w:t xml:space="preserve">, se resalta que la oferta económica </w:t>
      </w:r>
      <w:r w:rsidR="00546D11" w:rsidRPr="00683A0C">
        <w:rPr>
          <w:rFonts w:ascii="Arial" w:eastAsia="Calibri" w:hAnsi="Arial" w:cs="Arial"/>
          <w:sz w:val="22"/>
          <w:szCs w:val="22"/>
          <w:lang w:val="es-ES_tradnl" w:eastAsia="en-US"/>
        </w:rPr>
        <w:t xml:space="preserve">en </w:t>
      </w:r>
      <w:r w:rsidRPr="00683A0C">
        <w:rPr>
          <w:rFonts w:ascii="Arial" w:eastAsia="Calibri" w:hAnsi="Arial" w:cs="Arial"/>
          <w:sz w:val="22"/>
          <w:szCs w:val="22"/>
          <w:lang w:val="es-ES_tradnl" w:eastAsia="en-US"/>
        </w:rPr>
        <w:t xml:space="preserve">esta modalidad de selección no es un criterio de asignación de puntaje, teniendo en cuenta lo prescrito en el artículo 5, numeral 4, de la Ley 1150 de 2007. Sin embargo, en el evento en que se presente una inconsistencia, concretamente, la necesidad de realizar correcciones aritméticas, </w:t>
      </w:r>
      <w:r w:rsidRPr="00683A0C">
        <w:rPr>
          <w:rFonts w:ascii="Arial" w:eastAsiaTheme="minorHAnsi" w:hAnsi="Arial" w:cs="Arial"/>
          <w:sz w:val="22"/>
          <w:szCs w:val="22"/>
          <w:lang w:val="es-ES_tradnl" w:eastAsia="en-US"/>
        </w:rPr>
        <w:t xml:space="preserve">la entidad debe actuar de acuerdo con lo prescrito en el pliego de condiciones, incluyendo la posibilidad de corregir de forma oficiosa este tipo de aspectos, siempre que esto se haya definido en el pliego respectivo. A modo de ejemplo, </w:t>
      </w:r>
      <w:r w:rsidR="00546D11" w:rsidRPr="00683A0C">
        <w:rPr>
          <w:rFonts w:ascii="Arial" w:eastAsiaTheme="minorHAnsi" w:hAnsi="Arial" w:cs="Arial"/>
          <w:sz w:val="22"/>
          <w:szCs w:val="22"/>
          <w:lang w:val="es-ES_tradnl" w:eastAsia="en-US"/>
        </w:rPr>
        <w:t xml:space="preserve">por ser una regulación que se puede incluir en los pliegos de condiciones, </w:t>
      </w:r>
      <w:r w:rsidRPr="00683A0C">
        <w:rPr>
          <w:rFonts w:ascii="Arial" w:eastAsiaTheme="minorHAnsi" w:hAnsi="Arial" w:cs="Arial"/>
          <w:sz w:val="22"/>
          <w:szCs w:val="22"/>
          <w:lang w:val="es-ES_tradnl" w:eastAsia="en-US"/>
        </w:rPr>
        <w:t xml:space="preserve">en el documento base de los documentos tipo de consultoría de estudios de ingeniería de infraestructura de transporte, al igual que en los documentos tipo de concurso de méritos para interventoría de obras públicas de infraestructuras de transporte, se establece frente a la corrección aritmética lo siguiente: </w:t>
      </w:r>
    </w:p>
    <w:p w14:paraId="166306B4" w14:textId="77777777" w:rsidR="0028299A" w:rsidRPr="00683A0C" w:rsidRDefault="0028299A" w:rsidP="0028299A">
      <w:pPr>
        <w:spacing w:before="120" w:line="276" w:lineRule="auto"/>
        <w:ind w:firstLine="709"/>
        <w:jc w:val="both"/>
        <w:rPr>
          <w:rFonts w:ascii="Arial" w:eastAsiaTheme="minorHAnsi" w:hAnsi="Arial" w:cs="Arial"/>
          <w:sz w:val="22"/>
          <w:szCs w:val="22"/>
          <w:lang w:val="es-ES_tradnl" w:eastAsia="en-US"/>
        </w:rPr>
      </w:pPr>
    </w:p>
    <w:p w14:paraId="7004D6BE" w14:textId="77777777" w:rsidR="0028299A" w:rsidRPr="00683A0C" w:rsidRDefault="0028299A" w:rsidP="0028299A">
      <w:pPr>
        <w:keepNext/>
        <w:keepLines/>
        <w:numPr>
          <w:ilvl w:val="1"/>
          <w:numId w:val="49"/>
        </w:numPr>
        <w:ind w:left="709" w:right="709"/>
        <w:jc w:val="both"/>
        <w:outlineLvl w:val="1"/>
        <w:rPr>
          <w:rFonts w:ascii="Arial" w:eastAsia="Yu Gothic Light" w:hAnsi="Arial"/>
          <w:b/>
          <w:sz w:val="21"/>
          <w:szCs w:val="21"/>
          <w:lang w:eastAsia="en-US"/>
        </w:rPr>
      </w:pPr>
      <w:bookmarkStart w:id="7" w:name="_Toc84417031"/>
      <w:r w:rsidRPr="00683A0C">
        <w:rPr>
          <w:rFonts w:ascii="Arial" w:eastAsia="Yu Gothic Light" w:hAnsi="Arial"/>
          <w:b/>
          <w:sz w:val="21"/>
          <w:szCs w:val="21"/>
          <w:lang w:eastAsia="en-US"/>
        </w:rPr>
        <w:t>CORRECCIONES ARITMÉTICAS</w:t>
      </w:r>
      <w:bookmarkEnd w:id="7"/>
    </w:p>
    <w:p w14:paraId="04AF2F70" w14:textId="77777777" w:rsidR="0028299A" w:rsidRPr="00683A0C" w:rsidRDefault="0028299A" w:rsidP="0028299A">
      <w:pPr>
        <w:keepNext/>
        <w:keepLines/>
        <w:ind w:left="709" w:right="709"/>
        <w:jc w:val="both"/>
        <w:outlineLvl w:val="1"/>
        <w:rPr>
          <w:rFonts w:ascii="Arial" w:eastAsia="Yu Gothic Light" w:hAnsi="Arial"/>
          <w:b/>
          <w:sz w:val="21"/>
          <w:szCs w:val="21"/>
          <w:lang w:eastAsia="en-US"/>
        </w:rPr>
      </w:pPr>
    </w:p>
    <w:p w14:paraId="4FBB8B44" w14:textId="77777777" w:rsidR="0028299A" w:rsidRPr="00683A0C" w:rsidRDefault="0028299A" w:rsidP="0028299A">
      <w:pPr>
        <w:ind w:left="709" w:right="709"/>
        <w:jc w:val="both"/>
        <w:rPr>
          <w:rFonts w:ascii="Arial" w:eastAsia="Calibri" w:hAnsi="Arial" w:cs="Arial"/>
          <w:sz w:val="21"/>
          <w:szCs w:val="21"/>
          <w:lang w:eastAsia="en-US"/>
        </w:rPr>
      </w:pPr>
      <w:r w:rsidRPr="00683A0C">
        <w:rPr>
          <w:rFonts w:ascii="Arial" w:eastAsia="Calibri" w:hAnsi="Arial" w:cs="Arial"/>
          <w:sz w:val="21"/>
          <w:szCs w:val="21"/>
          <w:lang w:eastAsia="en-US"/>
        </w:rPr>
        <w:t>La Entidad solo efectuará correcciones aritméticas originadas por:</w:t>
      </w:r>
    </w:p>
    <w:p w14:paraId="68DA96A7" w14:textId="77777777" w:rsidR="0028299A" w:rsidRPr="00683A0C" w:rsidRDefault="0028299A" w:rsidP="0028299A">
      <w:pPr>
        <w:ind w:left="709" w:right="709"/>
        <w:jc w:val="both"/>
        <w:rPr>
          <w:rFonts w:ascii="Arial" w:eastAsia="Calibri" w:hAnsi="Arial" w:cs="Arial"/>
          <w:sz w:val="21"/>
          <w:szCs w:val="21"/>
          <w:lang w:eastAsia="en-US"/>
        </w:rPr>
      </w:pPr>
    </w:p>
    <w:p w14:paraId="24D2748A" w14:textId="1C1C550C" w:rsidR="0028299A" w:rsidRPr="00683A0C" w:rsidRDefault="005C1B05" w:rsidP="00683A0C">
      <w:pPr>
        <w:ind w:left="709" w:right="709"/>
        <w:contextualSpacing/>
        <w:jc w:val="both"/>
        <w:rPr>
          <w:rFonts w:ascii="Arial" w:eastAsia="Calibri" w:hAnsi="Arial" w:cs="Arial"/>
          <w:sz w:val="21"/>
          <w:szCs w:val="21"/>
          <w:lang w:eastAsia="en-US"/>
        </w:rPr>
      </w:pPr>
      <w:r w:rsidRPr="00683A0C">
        <w:rPr>
          <w:rFonts w:ascii="Arial" w:eastAsia="Calibri" w:hAnsi="Arial" w:cs="Arial"/>
          <w:sz w:val="21"/>
          <w:szCs w:val="21"/>
          <w:lang w:eastAsia="en-US"/>
        </w:rPr>
        <w:t xml:space="preserve">A. </w:t>
      </w:r>
      <w:r w:rsidR="0028299A" w:rsidRPr="00683A0C">
        <w:rPr>
          <w:rFonts w:ascii="Arial" w:eastAsia="Calibri" w:hAnsi="Arial" w:cs="Arial"/>
          <w:sz w:val="21"/>
          <w:szCs w:val="21"/>
          <w:lang w:eastAsia="en-US"/>
        </w:rPr>
        <w:t>Las operaciones aritméticas a que haya lugar en la propuesta económica siempre que exista un error que surja de un cálculo meramente aritmético cuando la operación ha sido erróneamente realizada.</w:t>
      </w:r>
    </w:p>
    <w:p w14:paraId="38CD8CE1" w14:textId="77777777" w:rsidR="0028299A" w:rsidRPr="00683A0C" w:rsidRDefault="0028299A" w:rsidP="0028299A">
      <w:pPr>
        <w:ind w:left="709" w:right="709"/>
        <w:contextualSpacing/>
        <w:jc w:val="both"/>
        <w:rPr>
          <w:rFonts w:ascii="Arial" w:eastAsia="Calibri" w:hAnsi="Arial" w:cs="Arial"/>
          <w:sz w:val="21"/>
          <w:szCs w:val="21"/>
          <w:lang w:eastAsia="en-US"/>
        </w:rPr>
      </w:pPr>
    </w:p>
    <w:p w14:paraId="40A256CD" w14:textId="22F7F186" w:rsidR="0028299A" w:rsidRPr="00683A0C" w:rsidRDefault="005C1B05" w:rsidP="00683A0C">
      <w:pPr>
        <w:ind w:left="709" w:right="709"/>
        <w:contextualSpacing/>
        <w:jc w:val="both"/>
        <w:rPr>
          <w:rFonts w:ascii="Arial" w:eastAsia="Calibri" w:hAnsi="Arial" w:cs="Arial"/>
          <w:sz w:val="21"/>
          <w:szCs w:val="21"/>
          <w:lang w:eastAsia="en-US"/>
        </w:rPr>
      </w:pPr>
      <w:r w:rsidRPr="00683A0C">
        <w:rPr>
          <w:rFonts w:ascii="Arial" w:eastAsia="Calibri" w:hAnsi="Arial" w:cs="Arial"/>
          <w:sz w:val="21"/>
          <w:szCs w:val="21"/>
          <w:lang w:eastAsia="en-US"/>
        </w:rPr>
        <w:lastRenderedPageBreak/>
        <w:t xml:space="preserve">B. </w:t>
      </w:r>
      <w:r w:rsidR="0028299A" w:rsidRPr="00683A0C">
        <w:rPr>
          <w:rFonts w:ascii="Arial" w:eastAsia="Calibri" w:hAnsi="Arial" w:cs="Arial"/>
          <w:sz w:val="21"/>
          <w:szCs w:val="21"/>
          <w:lang w:eastAsia="en-US"/>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2EE8BFC1" w14:textId="77777777" w:rsidR="0028299A" w:rsidRPr="00683A0C" w:rsidRDefault="0028299A" w:rsidP="0028299A">
      <w:pPr>
        <w:ind w:left="709" w:right="709"/>
        <w:jc w:val="both"/>
        <w:rPr>
          <w:rFonts w:ascii="Arial" w:eastAsia="Calibri" w:hAnsi="Arial" w:cs="Arial"/>
          <w:sz w:val="21"/>
          <w:szCs w:val="21"/>
          <w:lang w:eastAsia="en-US"/>
        </w:rPr>
      </w:pPr>
    </w:p>
    <w:p w14:paraId="32111B51" w14:textId="77777777" w:rsidR="0028299A" w:rsidRPr="00683A0C" w:rsidRDefault="0028299A" w:rsidP="0028299A">
      <w:pPr>
        <w:ind w:left="709" w:right="709"/>
        <w:jc w:val="both"/>
        <w:rPr>
          <w:rFonts w:ascii="Arial" w:eastAsia="Calibri" w:hAnsi="Arial" w:cs="Arial"/>
          <w:sz w:val="21"/>
          <w:szCs w:val="21"/>
          <w:lang w:eastAsia="en-US"/>
        </w:rPr>
      </w:pPr>
      <w:r w:rsidRPr="00683A0C">
        <w:rPr>
          <w:rFonts w:ascii="Arial" w:eastAsia="Calibri" w:hAnsi="Arial" w:cs="Arial"/>
          <w:sz w:val="21"/>
          <w:szCs w:val="21"/>
          <w:lang w:eastAsia="en-US"/>
        </w:rPr>
        <w:t>La Entidad a partir del valor total corregido de las propuestas valorará la oferta económica según la normativa vigente aplicable.</w:t>
      </w:r>
    </w:p>
    <w:p w14:paraId="5551C1D9" w14:textId="77777777" w:rsidR="0028299A" w:rsidRPr="00683A0C" w:rsidRDefault="0028299A" w:rsidP="00683A0C">
      <w:pPr>
        <w:spacing w:line="276" w:lineRule="auto"/>
        <w:jc w:val="both"/>
        <w:rPr>
          <w:rFonts w:ascii="Arial" w:eastAsia="Calibri" w:hAnsi="Arial" w:cs="Arial"/>
          <w:color w:val="000000" w:themeColor="text1"/>
          <w:sz w:val="22"/>
        </w:rPr>
      </w:pPr>
    </w:p>
    <w:p w14:paraId="021FE62E" w14:textId="48094336" w:rsidR="000957AD" w:rsidRPr="00683A0C" w:rsidRDefault="0028299A" w:rsidP="00683A0C">
      <w:pPr>
        <w:spacing w:line="276" w:lineRule="auto"/>
        <w:jc w:val="both"/>
        <w:rPr>
          <w:rFonts w:ascii="Arial" w:eastAsiaTheme="minorHAnsi" w:hAnsi="Arial" w:cs="Arial"/>
          <w:sz w:val="22"/>
          <w:szCs w:val="22"/>
          <w:lang w:val="es-ES_tradnl" w:eastAsia="en-US"/>
        </w:rPr>
      </w:pPr>
      <w:r w:rsidRPr="00683A0C">
        <w:rPr>
          <w:rFonts w:ascii="Arial" w:eastAsia="Calibri" w:hAnsi="Arial" w:cs="Arial"/>
          <w:color w:val="000000" w:themeColor="text1"/>
          <w:sz w:val="22"/>
        </w:rPr>
        <w:tab/>
      </w:r>
      <w:r w:rsidR="00714294" w:rsidRPr="00683A0C">
        <w:rPr>
          <w:rFonts w:ascii="Arial" w:eastAsiaTheme="minorHAnsi" w:hAnsi="Arial" w:cs="Arial"/>
          <w:sz w:val="22"/>
          <w:szCs w:val="22"/>
          <w:lang w:val="es-ES_tradnl" w:eastAsia="en-US"/>
        </w:rPr>
        <w:t xml:space="preserve"> </w:t>
      </w:r>
      <w:r w:rsidR="000957AD" w:rsidRPr="00683A0C">
        <w:rPr>
          <w:rFonts w:ascii="Arial" w:eastAsia="Calibri" w:hAnsi="Arial" w:cs="Arial"/>
          <w:color w:val="000000" w:themeColor="text1"/>
          <w:sz w:val="22"/>
        </w:rPr>
        <w:t xml:space="preserve">De acuerdo con lo establecido en estos documentos tipo, en estas condiciones la entidad pública efectuará las correcciones aritméticas de las ofertas económicas presentadas por los proponentes. En este sentido, la entidad puede hacer de oficio las correcciones aritméticas, en aras de garantizar el </w:t>
      </w:r>
      <w:r w:rsidR="000957AD" w:rsidRPr="00683A0C">
        <w:rPr>
          <w:rFonts w:ascii="Arial" w:eastAsiaTheme="minorHAnsi" w:hAnsi="Arial" w:cs="Arial"/>
          <w:sz w:val="22"/>
          <w:szCs w:val="22"/>
          <w:lang w:val="es-ES_tradnl" w:eastAsia="en-US"/>
        </w:rPr>
        <w:t xml:space="preserve">principio de supremacía o prevalencia del derecho sustancial sobre lo procedimental, que se reguló en el artículo 228 constitucional, precisando que dichas correcciones procederán en los términos establecidos en el pliego de condiciones. </w:t>
      </w:r>
      <w:r w:rsidR="00546D11" w:rsidRPr="00683A0C">
        <w:rPr>
          <w:rFonts w:ascii="Arial" w:eastAsiaTheme="minorHAnsi" w:hAnsi="Arial" w:cs="Arial"/>
          <w:sz w:val="22"/>
          <w:szCs w:val="22"/>
          <w:lang w:val="es-ES_tradnl" w:eastAsia="en-US"/>
        </w:rPr>
        <w:t>De esta manera</w:t>
      </w:r>
      <w:r w:rsidR="000957AD" w:rsidRPr="00683A0C">
        <w:rPr>
          <w:rFonts w:ascii="Arial" w:eastAsiaTheme="minorHAnsi" w:hAnsi="Arial" w:cs="Arial"/>
          <w:sz w:val="22"/>
          <w:szCs w:val="22"/>
          <w:lang w:val="es-ES_tradnl" w:eastAsia="en-US"/>
        </w:rPr>
        <w:t xml:space="preserve">, se considera importante dejar constancia de esta circunstancia en el informe de evaluación respectivo, de manera que sea uno de los aspectos objeto de observación por parte de los proponentes. </w:t>
      </w:r>
    </w:p>
    <w:p w14:paraId="7BCAB4B3" w14:textId="0B9CA253" w:rsidR="007872ED" w:rsidRDefault="000957AD" w:rsidP="000957AD">
      <w:pPr>
        <w:spacing w:before="120" w:line="276" w:lineRule="auto"/>
        <w:jc w:val="both"/>
        <w:rPr>
          <w:rFonts w:ascii="Arial" w:hAnsi="Arial" w:cs="Arial"/>
          <w:sz w:val="21"/>
          <w:szCs w:val="21"/>
        </w:rPr>
      </w:pPr>
      <w:r w:rsidRPr="00683A0C">
        <w:rPr>
          <w:rFonts w:ascii="Arial" w:eastAsiaTheme="minorHAnsi" w:hAnsi="Arial" w:cs="Arial"/>
          <w:sz w:val="22"/>
          <w:szCs w:val="22"/>
          <w:lang w:val="es-ES_tradnl" w:eastAsia="en-US"/>
        </w:rPr>
        <w:tab/>
        <w:t>Teniendo en cuenta lo anterior, las entidades estatales bajo la</w:t>
      </w:r>
      <w:r w:rsidRPr="00683A0C">
        <w:rPr>
          <w:rFonts w:ascii="Arial" w:eastAsia="Calibri" w:hAnsi="Arial" w:cs="Arial"/>
          <w:color w:val="000000" w:themeColor="text1"/>
          <w:sz w:val="22"/>
          <w:szCs w:val="22"/>
          <w:lang w:val="es-ES_tradnl"/>
        </w:rPr>
        <w:t xml:space="preserve"> discrecionalidad administrativa, la cual está condicionada a la proporcionalidad de las decisiones que toma en aras de garantizar la pluralidad de oferentes y la selección objetiva</w:t>
      </w:r>
      <w:r w:rsidRPr="00683A0C">
        <w:rPr>
          <w:rStyle w:val="Refdenotaalpie"/>
          <w:rFonts w:ascii="Arial" w:eastAsia="Calibri" w:hAnsi="Arial" w:cs="Arial"/>
          <w:color w:val="000000" w:themeColor="text1"/>
          <w:sz w:val="22"/>
          <w:szCs w:val="22"/>
          <w:lang w:val="es-ES_tradnl"/>
        </w:rPr>
        <w:footnoteReference w:id="8"/>
      </w:r>
      <w:r w:rsidRPr="00683A0C">
        <w:rPr>
          <w:rFonts w:ascii="Arial" w:hAnsi="Arial" w:cs="Arial"/>
          <w:sz w:val="21"/>
          <w:szCs w:val="21"/>
        </w:rPr>
        <w:t xml:space="preserve">, debería incluir en los </w:t>
      </w:r>
      <w:r w:rsidRPr="00683A0C">
        <w:rPr>
          <w:rFonts w:ascii="Arial" w:hAnsi="Arial" w:cs="Arial"/>
          <w:sz w:val="21"/>
          <w:szCs w:val="21"/>
        </w:rPr>
        <w:lastRenderedPageBreak/>
        <w:t xml:space="preserve">pliegos de condiciones las situaciones o eventos en que proceden las correcciones aritméticas de las ofertas económicas en </w:t>
      </w:r>
      <w:r w:rsidR="00546D11" w:rsidRPr="00683A0C">
        <w:rPr>
          <w:rFonts w:ascii="Arial" w:hAnsi="Arial" w:cs="Arial"/>
          <w:sz w:val="21"/>
          <w:szCs w:val="21"/>
        </w:rPr>
        <w:t>los procesos de</w:t>
      </w:r>
      <w:r w:rsidRPr="00683A0C">
        <w:rPr>
          <w:rFonts w:ascii="Arial" w:hAnsi="Arial" w:cs="Arial"/>
          <w:sz w:val="21"/>
          <w:szCs w:val="21"/>
        </w:rPr>
        <w:t xml:space="preserve"> concurso de méritos. Lo anterior, sin perjuicio de lo señalado en los procesos regidos por los documentos tipo a los que se hizo referencia, en los cuales las correcciones aritméticas se realizarán de acuerdo con lo establecido en dichos documentos.</w:t>
      </w:r>
      <w:bookmarkEnd w:id="6"/>
    </w:p>
    <w:p w14:paraId="130C08CC" w14:textId="77777777" w:rsidR="00683A0C" w:rsidRPr="00683A0C" w:rsidRDefault="00683A0C" w:rsidP="000957AD">
      <w:pPr>
        <w:spacing w:before="120" w:line="276" w:lineRule="auto"/>
        <w:jc w:val="both"/>
        <w:rPr>
          <w:rFonts w:ascii="Arial" w:eastAsiaTheme="minorHAnsi" w:hAnsi="Arial" w:cs="Arial"/>
          <w:sz w:val="22"/>
          <w:szCs w:val="22"/>
          <w:lang w:val="es-ES_tradnl" w:eastAsia="en-US"/>
        </w:rPr>
      </w:pPr>
    </w:p>
    <w:p w14:paraId="178016FD" w14:textId="69045A74" w:rsidR="006528FF" w:rsidRPr="00683A0C" w:rsidRDefault="006528FF" w:rsidP="00714294">
      <w:pPr>
        <w:spacing w:before="120" w:line="276" w:lineRule="auto"/>
        <w:jc w:val="both"/>
        <w:rPr>
          <w:rFonts w:ascii="Arial" w:eastAsia="Calibri" w:hAnsi="Arial" w:cs="Arial"/>
          <w:color w:val="000000" w:themeColor="text1"/>
          <w:sz w:val="22"/>
        </w:rPr>
      </w:pPr>
      <w:r w:rsidRPr="00683A0C">
        <w:rPr>
          <w:rFonts w:ascii="Arial" w:hAnsi="Arial" w:cs="Arial"/>
          <w:b/>
          <w:sz w:val="22"/>
          <w:szCs w:val="22"/>
        </w:rPr>
        <w:t>3. R</w:t>
      </w:r>
      <w:r w:rsidR="00885433" w:rsidRPr="00683A0C">
        <w:rPr>
          <w:rFonts w:ascii="Arial" w:hAnsi="Arial" w:cs="Arial"/>
          <w:b/>
          <w:sz w:val="22"/>
          <w:szCs w:val="22"/>
        </w:rPr>
        <w:t>espuesta</w:t>
      </w:r>
    </w:p>
    <w:p w14:paraId="5F82AF8B" w14:textId="77777777" w:rsidR="000A7E0E" w:rsidRPr="00683A0C" w:rsidRDefault="000A7E0E" w:rsidP="00E26446">
      <w:pPr>
        <w:pStyle w:val="NormalWeb"/>
        <w:spacing w:before="0" w:beforeAutospacing="0" w:after="0" w:afterAutospacing="0" w:line="276" w:lineRule="auto"/>
        <w:ind w:left="709" w:right="709"/>
        <w:jc w:val="both"/>
        <w:rPr>
          <w:rFonts w:ascii="Arial" w:eastAsia="Calibri" w:hAnsi="Arial" w:cs="Arial"/>
          <w:bCs/>
          <w:sz w:val="22"/>
          <w:szCs w:val="22"/>
          <w:lang w:val="es-ES_tradnl"/>
        </w:rPr>
      </w:pPr>
    </w:p>
    <w:p w14:paraId="09F1CD60" w14:textId="53593749" w:rsidR="007872ED" w:rsidRPr="00683A0C" w:rsidRDefault="002E6A53" w:rsidP="007623AE">
      <w:pPr>
        <w:spacing w:before="120"/>
        <w:ind w:left="709" w:right="709"/>
        <w:jc w:val="both"/>
        <w:rPr>
          <w:rFonts w:ascii="Arial" w:hAnsi="Arial" w:cs="Arial"/>
          <w:sz w:val="21"/>
          <w:szCs w:val="21"/>
          <w:lang w:val="es-ES"/>
        </w:rPr>
      </w:pPr>
      <w:r w:rsidRPr="00683A0C">
        <w:rPr>
          <w:rFonts w:ascii="Arial" w:hAnsi="Arial" w:cs="Arial"/>
          <w:sz w:val="21"/>
          <w:szCs w:val="21"/>
          <w:lang w:val="es-ES"/>
        </w:rPr>
        <w:t xml:space="preserve">1. </w:t>
      </w:r>
      <w:r w:rsidR="003C5C0C" w:rsidRPr="00683A0C">
        <w:rPr>
          <w:rFonts w:ascii="Arial" w:hAnsi="Arial" w:cs="Arial"/>
          <w:sz w:val="21"/>
          <w:szCs w:val="21"/>
          <w:lang w:val="es-ES"/>
        </w:rPr>
        <w:t>L</w:t>
      </w:r>
      <w:r w:rsidRPr="00683A0C">
        <w:rPr>
          <w:rFonts w:ascii="Arial" w:hAnsi="Arial" w:cs="Arial"/>
          <w:sz w:val="21"/>
          <w:szCs w:val="21"/>
          <w:lang w:val="es-ES"/>
        </w:rPr>
        <w:t>as ofertas económicas se deben evaluar en la etapa de evaluación de los requisitos habilitantes?</w:t>
      </w:r>
    </w:p>
    <w:p w14:paraId="687C2C92" w14:textId="77777777" w:rsidR="000932BC" w:rsidRPr="00683A0C" w:rsidRDefault="000932BC" w:rsidP="007623AE">
      <w:pPr>
        <w:spacing w:before="120"/>
        <w:ind w:left="709" w:right="709"/>
        <w:jc w:val="both"/>
        <w:rPr>
          <w:rFonts w:ascii="Arial" w:hAnsi="Arial" w:cs="Arial"/>
          <w:sz w:val="21"/>
          <w:szCs w:val="21"/>
          <w:lang w:val="es-ES"/>
        </w:rPr>
      </w:pPr>
    </w:p>
    <w:p w14:paraId="74919343" w14:textId="7B9AAFBF" w:rsidR="003C5C0C" w:rsidRPr="00683A0C" w:rsidRDefault="003C5C0C" w:rsidP="00683A0C">
      <w:pPr>
        <w:spacing w:line="276" w:lineRule="auto"/>
        <w:jc w:val="both"/>
        <w:rPr>
          <w:rFonts w:ascii="Arial" w:eastAsia="Calibri" w:hAnsi="Arial" w:cs="Arial"/>
          <w:color w:val="000000" w:themeColor="text1"/>
          <w:sz w:val="22"/>
          <w:lang w:val="es-ES_tradnl"/>
        </w:rPr>
      </w:pPr>
      <w:r w:rsidRPr="00683A0C">
        <w:rPr>
          <w:rFonts w:ascii="Arial" w:hAnsi="Arial" w:cs="Arial"/>
          <w:sz w:val="21"/>
          <w:szCs w:val="21"/>
          <w:lang w:val="es-ES"/>
        </w:rPr>
        <w:t>Como se explicó en las consideraciones, de acuerdo con el Decreto 399 de 2021, que modificó el procedimiento del concurso de méritos, e</w:t>
      </w:r>
      <w:r w:rsidRPr="00683A0C">
        <w:rPr>
          <w:rFonts w:ascii="Arial" w:eastAsia="Calibri" w:hAnsi="Arial" w:cs="Arial"/>
          <w:color w:val="000000" w:themeColor="text1"/>
          <w:sz w:val="22"/>
          <w:lang w:val="es-ES_tradnl"/>
        </w:rPr>
        <w:t>l informe de evaluación, que la entidad debe publicar durante tres (3) días hábiles, debe contener ya no solamente la calificación técnica y el orden de elegibilidad, sino «[…] la evaluación de las ofertas frente a todos los requisitos exigidos en el pliego de condiciones, incluyendo los requisitos habilitantes y los de asignación de puntaje». En tal sentido, el informe de evaluación debe dar cuenta de la evaluación completa de las ofertas, lo que incluiría las ofertas económicas. De esta manera, esta disposición permite que los interesados ejerzan su derecho a conocer el informe de evaluación y a formular las observaciones que consideren pertinentes, frente a todos los aspectos de la evaluación de las propuestas.</w:t>
      </w:r>
    </w:p>
    <w:p w14:paraId="0FCB7524" w14:textId="1BA3F5A1" w:rsidR="003C5C0C" w:rsidRPr="00683A0C" w:rsidRDefault="003C5C0C" w:rsidP="003C5C0C">
      <w:pPr>
        <w:spacing w:before="120" w:line="276" w:lineRule="auto"/>
        <w:ind w:firstLine="709"/>
        <w:jc w:val="both"/>
        <w:rPr>
          <w:rFonts w:ascii="Arial" w:eastAsia="Calibri" w:hAnsi="Arial" w:cs="Arial"/>
          <w:color w:val="000000" w:themeColor="text1"/>
          <w:sz w:val="22"/>
          <w:lang w:val="es-ES_tradnl"/>
        </w:rPr>
      </w:pPr>
      <w:r w:rsidRPr="00683A0C">
        <w:rPr>
          <w:rFonts w:ascii="Arial" w:eastAsia="Calibri" w:hAnsi="Arial" w:cs="Arial"/>
          <w:color w:val="000000" w:themeColor="text1"/>
          <w:sz w:val="22"/>
          <w:lang w:val="es-ES_tradnl"/>
        </w:rPr>
        <w:t xml:space="preserve">En armonía con lo anterior, a diferencia de la reglamentación anterior prevista en la redacción original del artículo 2.2.1.2.1.3.2. del Decreto 1082 de 2015, que establecía que luego de la publicación del informe de evaluación la entidad estatal debía revisar la oferta económica, para constatar su correspondencia con el presupuesto oficial, y que posteriormente debía tratar de llegar a un acuerdo con el oferente calificado en el primer lugar o, en subsidio, con el calificado en segundo orden, el artículo 2 del Decreto 399 de 2021 introduce una modificación trascendental, pues elimina estas etapas y señala, en su lugar, que «Una vez resueltas las observaciones al informe de evaluación, la entidad adjudicará el contrato mediante acto administrativo al oferente que haya cumplido todos los requisitos exigidos en el pliego de condiciones y haya obtenido el mayor puntaje». </w:t>
      </w:r>
      <w:r w:rsidR="00E75099" w:rsidRPr="00683A0C">
        <w:rPr>
          <w:rFonts w:ascii="Arial" w:eastAsia="Calibri" w:hAnsi="Arial" w:cs="Arial"/>
          <w:color w:val="000000" w:themeColor="text1"/>
          <w:sz w:val="22"/>
          <w:lang w:val="es-ES_tradnl"/>
        </w:rPr>
        <w:t>Esto implica</w:t>
      </w:r>
      <w:r w:rsidRPr="00683A0C">
        <w:rPr>
          <w:rFonts w:ascii="Arial" w:eastAsia="Calibri" w:hAnsi="Arial" w:cs="Arial"/>
          <w:color w:val="000000" w:themeColor="text1"/>
          <w:sz w:val="22"/>
          <w:lang w:val="es-ES_tradnl"/>
        </w:rPr>
        <w:t xml:space="preserve"> que después de la respuesta a las observaciones del informe de evaluación ya la entidad estatal no debe revisar que la oferta económica sea acorde al presupuesto oficial –pues esto lo debió hacer para elaborar el informe de evaluación– y tampoco debe proceder </w:t>
      </w:r>
      <w:r w:rsidRPr="00683A0C">
        <w:rPr>
          <w:rFonts w:ascii="Arial" w:eastAsia="Calibri" w:hAnsi="Arial" w:cs="Arial"/>
          <w:color w:val="000000" w:themeColor="text1"/>
          <w:sz w:val="22"/>
          <w:lang w:val="es-ES_tradnl"/>
        </w:rPr>
        <w:lastRenderedPageBreak/>
        <w:t>con una fase de «negociación» con el oferente calificado en primer lugar sobre el valor y alcance del contrato, sino que debe proceder a la adjudicación a quien haya presentado objetivamente la mejor oferta, teniendo en cuenta todos los requisitos exigidos en el pliego de condiciones.</w:t>
      </w:r>
    </w:p>
    <w:p w14:paraId="7A35ADE1" w14:textId="0B59AD0A" w:rsidR="003C5C0C" w:rsidRPr="00683A0C" w:rsidRDefault="003C5C0C" w:rsidP="00683A0C">
      <w:pPr>
        <w:ind w:right="709"/>
        <w:jc w:val="both"/>
        <w:rPr>
          <w:rFonts w:ascii="Arial" w:hAnsi="Arial" w:cs="Arial"/>
          <w:sz w:val="21"/>
          <w:szCs w:val="21"/>
          <w:lang w:val="es-ES_tradnl"/>
        </w:rPr>
      </w:pPr>
    </w:p>
    <w:p w14:paraId="4284D381" w14:textId="20AAC429" w:rsidR="007872ED" w:rsidRPr="00683A0C" w:rsidRDefault="002E6A53" w:rsidP="00683A0C">
      <w:pPr>
        <w:ind w:left="709" w:right="709"/>
        <w:jc w:val="both"/>
        <w:rPr>
          <w:rFonts w:ascii="Arial" w:hAnsi="Arial" w:cs="Arial"/>
          <w:sz w:val="21"/>
          <w:szCs w:val="21"/>
          <w:lang w:val="es-ES"/>
        </w:rPr>
      </w:pPr>
      <w:r w:rsidRPr="00683A0C">
        <w:rPr>
          <w:rFonts w:ascii="Arial" w:hAnsi="Arial" w:cs="Arial"/>
          <w:sz w:val="21"/>
          <w:szCs w:val="21"/>
          <w:lang w:val="es-ES"/>
        </w:rPr>
        <w:t xml:space="preserve"> 2. Se debe solicitar subsanar por una oferta económica que se le realice corrección aritmética? </w:t>
      </w:r>
    </w:p>
    <w:p w14:paraId="0FB21A46" w14:textId="52342E2A" w:rsidR="00107B90" w:rsidRPr="00683A0C" w:rsidRDefault="002E6A53" w:rsidP="00B62F02">
      <w:pPr>
        <w:spacing w:before="120"/>
        <w:ind w:left="709" w:right="709"/>
        <w:jc w:val="both"/>
        <w:rPr>
          <w:rStyle w:val="Hipervnculo"/>
          <w:rFonts w:ascii="Arial" w:eastAsia="Calibri" w:hAnsi="Arial" w:cs="Arial"/>
          <w:color w:val="auto"/>
          <w:sz w:val="21"/>
          <w:szCs w:val="21"/>
        </w:rPr>
      </w:pPr>
      <w:r w:rsidRPr="00683A0C">
        <w:rPr>
          <w:rFonts w:ascii="Arial" w:hAnsi="Arial" w:cs="Arial"/>
          <w:sz w:val="21"/>
          <w:szCs w:val="21"/>
          <w:lang w:val="es-ES"/>
        </w:rPr>
        <w:t>3. ¿Si la respuesta del punto anterior es SI, y si el proponente no subsana en el término establecido en el Cronograma establecido en el proceso se debe rechazar por oferta económica?</w:t>
      </w:r>
    </w:p>
    <w:p w14:paraId="2E1410B4" w14:textId="77777777" w:rsidR="00B62F02" w:rsidRPr="00683A0C" w:rsidRDefault="00B62F02" w:rsidP="00683A0C">
      <w:pPr>
        <w:spacing w:line="276" w:lineRule="auto"/>
        <w:jc w:val="both"/>
        <w:rPr>
          <w:rFonts w:ascii="Arial" w:eastAsia="Calibri" w:hAnsi="Arial" w:cs="Arial"/>
          <w:sz w:val="21"/>
          <w:szCs w:val="21"/>
          <w:u w:val="single"/>
        </w:rPr>
      </w:pPr>
    </w:p>
    <w:p w14:paraId="16A677E8" w14:textId="77777777" w:rsidR="00546D11" w:rsidRPr="00683A0C" w:rsidRDefault="007047C7" w:rsidP="00683A0C">
      <w:pPr>
        <w:spacing w:before="120" w:line="276" w:lineRule="auto"/>
        <w:jc w:val="both"/>
        <w:rPr>
          <w:rFonts w:ascii="Arial" w:hAnsi="Arial" w:cs="Arial"/>
          <w:sz w:val="22"/>
          <w:szCs w:val="22"/>
          <w:shd w:val="clear" w:color="auto" w:fill="FFFFFF"/>
        </w:rPr>
      </w:pPr>
      <w:r w:rsidRPr="00683A0C">
        <w:rPr>
          <w:rStyle w:val="Textoennegrita"/>
          <w:rFonts w:ascii="Arial" w:hAnsi="Arial" w:cs="Arial"/>
          <w:b w:val="0"/>
          <w:bCs w:val="0"/>
          <w:sz w:val="22"/>
          <w:szCs w:val="22"/>
          <w:shd w:val="clear" w:color="auto" w:fill="FFFFFF"/>
        </w:rPr>
        <w:t>Teniendo en cuenta la unidad temática de las preguntas, estas se responderán de forma conjunta. En este sentido, c</w:t>
      </w:r>
      <w:r w:rsidR="003C5C0C" w:rsidRPr="00683A0C">
        <w:rPr>
          <w:rStyle w:val="Textoennegrita"/>
          <w:rFonts w:ascii="Arial" w:hAnsi="Arial" w:cs="Arial"/>
          <w:b w:val="0"/>
          <w:bCs w:val="0"/>
          <w:sz w:val="22"/>
          <w:szCs w:val="22"/>
          <w:shd w:val="clear" w:color="auto" w:fill="FFFFFF"/>
        </w:rPr>
        <w:t>omo se analizó en las consideraciones,</w:t>
      </w:r>
      <w:r w:rsidR="00546D11" w:rsidRPr="00683A0C">
        <w:rPr>
          <w:rStyle w:val="Textoennegrita"/>
          <w:rFonts w:ascii="Arial" w:hAnsi="Arial" w:cs="Arial"/>
          <w:b w:val="0"/>
          <w:bCs w:val="0"/>
          <w:sz w:val="22"/>
          <w:szCs w:val="22"/>
          <w:shd w:val="clear" w:color="auto" w:fill="FFFFFF"/>
        </w:rPr>
        <w:t xml:space="preserve"> respecto a las correcciones aritméticas dentro de los procedimientos de concurso de méritos</w:t>
      </w:r>
      <w:r w:rsidR="00546D11" w:rsidRPr="00683A0C">
        <w:rPr>
          <w:rFonts w:ascii="Arial" w:eastAsia="Calibri" w:hAnsi="Arial" w:cs="Arial"/>
          <w:sz w:val="22"/>
          <w:szCs w:val="22"/>
          <w:lang w:val="es-ES_tradnl" w:eastAsia="en-US"/>
        </w:rPr>
        <w:t xml:space="preserve">, se resalta que la oferta económica en esta modalidad de selección no es un criterio de asignación de puntaje, teniendo en cuenta lo prescrito en el artículo 5, numeral 4, de la Ley 1150 de 2007. Sin embargo, en el evento en que se presente una inconsistencia, concretamente, la necesidad de realizar correcciones aritméticas, </w:t>
      </w:r>
      <w:r w:rsidR="00546D11" w:rsidRPr="00683A0C">
        <w:rPr>
          <w:rFonts w:ascii="Arial" w:eastAsiaTheme="minorHAnsi" w:hAnsi="Arial" w:cs="Arial"/>
          <w:sz w:val="22"/>
          <w:szCs w:val="22"/>
          <w:lang w:val="es-ES_tradnl" w:eastAsia="en-US"/>
        </w:rPr>
        <w:t xml:space="preserve">la entidad debe actuar de acuerdo con lo prescrito en el pliego de condiciones, incluyendo la posibilidad de corregir de forma oficiosa este tipo de aspectos, siempre que esto se haya definido en el pliego respectivo. A modo de ejemplo, por ser una regulación que se puede incluir en los pliegos de condiciones, en el documento base de los documentos tipo de consultoría de estudios de ingeniería de infraestructura de transporte, al igual que en los documentos tipo de concurso de méritos para interventoría de obras públicas de infraestructuras de transporte, se establece frente a la corrección aritmética lo siguiente: </w:t>
      </w:r>
    </w:p>
    <w:p w14:paraId="0B52B8AE" w14:textId="77777777" w:rsidR="00546D11" w:rsidRPr="00683A0C" w:rsidRDefault="00546D11" w:rsidP="00546D11">
      <w:pPr>
        <w:spacing w:before="120" w:line="276" w:lineRule="auto"/>
        <w:ind w:firstLine="709"/>
        <w:jc w:val="both"/>
        <w:rPr>
          <w:rFonts w:ascii="Arial" w:eastAsiaTheme="minorHAnsi" w:hAnsi="Arial" w:cs="Arial"/>
          <w:sz w:val="22"/>
          <w:szCs w:val="22"/>
          <w:lang w:val="es-ES_tradnl" w:eastAsia="en-US"/>
        </w:rPr>
      </w:pPr>
    </w:p>
    <w:p w14:paraId="7F83A3EE" w14:textId="77777777" w:rsidR="00546D11" w:rsidRPr="00683A0C" w:rsidRDefault="00546D11" w:rsidP="00546D11">
      <w:pPr>
        <w:keepNext/>
        <w:keepLines/>
        <w:numPr>
          <w:ilvl w:val="1"/>
          <w:numId w:val="49"/>
        </w:numPr>
        <w:ind w:left="709" w:right="709"/>
        <w:jc w:val="both"/>
        <w:outlineLvl w:val="1"/>
        <w:rPr>
          <w:rFonts w:ascii="Arial" w:eastAsia="Yu Gothic Light" w:hAnsi="Arial"/>
          <w:b/>
          <w:sz w:val="21"/>
          <w:szCs w:val="21"/>
          <w:lang w:eastAsia="en-US"/>
        </w:rPr>
      </w:pPr>
      <w:r w:rsidRPr="00683A0C">
        <w:rPr>
          <w:rFonts w:ascii="Arial" w:eastAsia="Yu Gothic Light" w:hAnsi="Arial"/>
          <w:b/>
          <w:sz w:val="21"/>
          <w:szCs w:val="21"/>
          <w:lang w:eastAsia="en-US"/>
        </w:rPr>
        <w:t>CORRECCIONES ARITMÉTICAS</w:t>
      </w:r>
    </w:p>
    <w:p w14:paraId="7834CE8E" w14:textId="77777777" w:rsidR="00546D11" w:rsidRPr="00683A0C" w:rsidRDefault="00546D11" w:rsidP="00546D11">
      <w:pPr>
        <w:keepNext/>
        <w:keepLines/>
        <w:ind w:left="709" w:right="709"/>
        <w:jc w:val="both"/>
        <w:outlineLvl w:val="1"/>
        <w:rPr>
          <w:rFonts w:ascii="Arial" w:eastAsia="Yu Gothic Light" w:hAnsi="Arial"/>
          <w:b/>
          <w:sz w:val="21"/>
          <w:szCs w:val="21"/>
          <w:lang w:eastAsia="en-US"/>
        </w:rPr>
      </w:pPr>
    </w:p>
    <w:p w14:paraId="1CE50969" w14:textId="77777777" w:rsidR="00546D11" w:rsidRPr="00683A0C" w:rsidRDefault="00546D11" w:rsidP="00546D11">
      <w:pPr>
        <w:ind w:left="709" w:right="709"/>
        <w:jc w:val="both"/>
        <w:rPr>
          <w:rFonts w:ascii="Arial" w:eastAsia="Calibri" w:hAnsi="Arial" w:cs="Arial"/>
          <w:sz w:val="21"/>
          <w:szCs w:val="21"/>
          <w:lang w:eastAsia="en-US"/>
        </w:rPr>
      </w:pPr>
      <w:r w:rsidRPr="00683A0C">
        <w:rPr>
          <w:rFonts w:ascii="Arial" w:eastAsia="Calibri" w:hAnsi="Arial" w:cs="Arial"/>
          <w:sz w:val="21"/>
          <w:szCs w:val="21"/>
          <w:lang w:eastAsia="en-US"/>
        </w:rPr>
        <w:t>La Entidad solo efectuará correcciones aritméticas originadas por:</w:t>
      </w:r>
    </w:p>
    <w:p w14:paraId="19A6C34F" w14:textId="77777777" w:rsidR="00546D11" w:rsidRPr="00683A0C" w:rsidRDefault="00546D11" w:rsidP="00546D11">
      <w:pPr>
        <w:ind w:left="709" w:right="709"/>
        <w:jc w:val="both"/>
        <w:rPr>
          <w:rFonts w:ascii="Arial" w:eastAsia="Calibri" w:hAnsi="Arial" w:cs="Arial"/>
          <w:sz w:val="21"/>
          <w:szCs w:val="21"/>
          <w:lang w:eastAsia="en-US"/>
        </w:rPr>
      </w:pPr>
    </w:p>
    <w:p w14:paraId="2D9F7016" w14:textId="09E23091" w:rsidR="00546D11" w:rsidRPr="00683A0C" w:rsidRDefault="005C1B05" w:rsidP="00683A0C">
      <w:pPr>
        <w:ind w:left="709" w:right="709"/>
        <w:contextualSpacing/>
        <w:jc w:val="both"/>
        <w:rPr>
          <w:rFonts w:ascii="Arial" w:eastAsia="Calibri" w:hAnsi="Arial" w:cs="Arial"/>
          <w:sz w:val="21"/>
          <w:szCs w:val="21"/>
          <w:lang w:eastAsia="en-US"/>
        </w:rPr>
      </w:pPr>
      <w:r w:rsidRPr="00683A0C">
        <w:rPr>
          <w:rFonts w:ascii="Arial" w:eastAsia="Calibri" w:hAnsi="Arial" w:cs="Arial"/>
          <w:sz w:val="21"/>
          <w:szCs w:val="21"/>
          <w:lang w:eastAsia="en-US"/>
        </w:rPr>
        <w:t xml:space="preserve">A. </w:t>
      </w:r>
      <w:r w:rsidR="00546D11" w:rsidRPr="00683A0C">
        <w:rPr>
          <w:rFonts w:ascii="Arial" w:eastAsia="Calibri" w:hAnsi="Arial" w:cs="Arial"/>
          <w:sz w:val="21"/>
          <w:szCs w:val="21"/>
          <w:lang w:eastAsia="en-US"/>
        </w:rPr>
        <w:t>Las operaciones aritméticas a que haya lugar en la propuesta económica siempre que exista un error que surja de un cálculo meramente aritmético cuando la operación ha sido erróneamente realizada.</w:t>
      </w:r>
    </w:p>
    <w:p w14:paraId="589BD348" w14:textId="77777777" w:rsidR="00546D11" w:rsidRPr="00683A0C" w:rsidRDefault="00546D11" w:rsidP="00546D11">
      <w:pPr>
        <w:ind w:left="709" w:right="709"/>
        <w:contextualSpacing/>
        <w:jc w:val="both"/>
        <w:rPr>
          <w:rFonts w:ascii="Arial" w:eastAsia="Calibri" w:hAnsi="Arial" w:cs="Arial"/>
          <w:sz w:val="21"/>
          <w:szCs w:val="21"/>
          <w:lang w:eastAsia="en-US"/>
        </w:rPr>
      </w:pPr>
    </w:p>
    <w:p w14:paraId="6D056272" w14:textId="1D6FEA73" w:rsidR="00546D11" w:rsidRPr="00683A0C" w:rsidRDefault="005C1B05" w:rsidP="00683A0C">
      <w:pPr>
        <w:ind w:left="709" w:right="709"/>
        <w:contextualSpacing/>
        <w:jc w:val="both"/>
        <w:rPr>
          <w:rFonts w:ascii="Arial" w:eastAsia="Calibri" w:hAnsi="Arial" w:cs="Arial"/>
          <w:sz w:val="21"/>
          <w:szCs w:val="21"/>
          <w:lang w:eastAsia="en-US"/>
        </w:rPr>
      </w:pPr>
      <w:r w:rsidRPr="00683A0C">
        <w:rPr>
          <w:rFonts w:ascii="Arial" w:eastAsia="Calibri" w:hAnsi="Arial" w:cs="Arial"/>
          <w:sz w:val="21"/>
          <w:szCs w:val="21"/>
          <w:lang w:eastAsia="en-US"/>
        </w:rPr>
        <w:t xml:space="preserve">B. </w:t>
      </w:r>
      <w:r w:rsidR="00546D11" w:rsidRPr="00683A0C">
        <w:rPr>
          <w:rFonts w:ascii="Arial" w:eastAsia="Calibri" w:hAnsi="Arial" w:cs="Arial"/>
          <w:sz w:val="21"/>
          <w:szCs w:val="21"/>
          <w:lang w:eastAsia="en-US"/>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 entero.</w:t>
      </w:r>
    </w:p>
    <w:p w14:paraId="029EA1D5" w14:textId="77777777" w:rsidR="00546D11" w:rsidRPr="00683A0C" w:rsidRDefault="00546D11" w:rsidP="00546D11">
      <w:pPr>
        <w:ind w:left="709" w:right="709"/>
        <w:jc w:val="both"/>
        <w:rPr>
          <w:rFonts w:ascii="Arial" w:eastAsia="Calibri" w:hAnsi="Arial" w:cs="Arial"/>
          <w:sz w:val="21"/>
          <w:szCs w:val="21"/>
          <w:lang w:eastAsia="en-US"/>
        </w:rPr>
      </w:pPr>
    </w:p>
    <w:p w14:paraId="1AB329F2" w14:textId="77777777" w:rsidR="00546D11" w:rsidRPr="00683A0C" w:rsidRDefault="00546D11" w:rsidP="00546D11">
      <w:pPr>
        <w:ind w:left="709" w:right="709"/>
        <w:jc w:val="both"/>
        <w:rPr>
          <w:rFonts w:ascii="Arial" w:eastAsia="Calibri" w:hAnsi="Arial" w:cs="Arial"/>
          <w:sz w:val="21"/>
          <w:szCs w:val="21"/>
          <w:lang w:eastAsia="en-US"/>
        </w:rPr>
      </w:pPr>
      <w:r w:rsidRPr="00683A0C">
        <w:rPr>
          <w:rFonts w:ascii="Arial" w:eastAsia="Calibri" w:hAnsi="Arial" w:cs="Arial"/>
          <w:sz w:val="21"/>
          <w:szCs w:val="21"/>
          <w:lang w:eastAsia="en-US"/>
        </w:rPr>
        <w:t>La Entidad a partir del valor total corregido de las propuestas valorará la oferta económica según la normativa vigente aplicable.</w:t>
      </w:r>
    </w:p>
    <w:p w14:paraId="665CD9EB" w14:textId="77777777" w:rsidR="00546D11" w:rsidRPr="00683A0C" w:rsidRDefault="00546D11" w:rsidP="00546D11">
      <w:pPr>
        <w:spacing w:line="276" w:lineRule="auto"/>
        <w:jc w:val="both"/>
        <w:rPr>
          <w:rFonts w:ascii="Arial" w:eastAsia="Calibri" w:hAnsi="Arial" w:cs="Arial"/>
          <w:color w:val="000000" w:themeColor="text1"/>
          <w:sz w:val="22"/>
        </w:rPr>
      </w:pPr>
    </w:p>
    <w:p w14:paraId="1320F546" w14:textId="77777777" w:rsidR="00546D11" w:rsidRPr="00683A0C" w:rsidRDefault="00546D11" w:rsidP="00546D11">
      <w:pPr>
        <w:spacing w:line="276" w:lineRule="auto"/>
        <w:jc w:val="both"/>
        <w:rPr>
          <w:rFonts w:ascii="Arial" w:eastAsiaTheme="minorHAnsi" w:hAnsi="Arial" w:cs="Arial"/>
          <w:sz w:val="22"/>
          <w:szCs w:val="22"/>
          <w:lang w:val="es-ES_tradnl" w:eastAsia="en-US"/>
        </w:rPr>
      </w:pPr>
      <w:r w:rsidRPr="00683A0C">
        <w:rPr>
          <w:rFonts w:ascii="Arial" w:eastAsia="Calibri" w:hAnsi="Arial" w:cs="Arial"/>
          <w:color w:val="000000" w:themeColor="text1"/>
          <w:sz w:val="22"/>
        </w:rPr>
        <w:tab/>
      </w:r>
      <w:r w:rsidRPr="00683A0C">
        <w:rPr>
          <w:rFonts w:ascii="Arial" w:eastAsiaTheme="minorHAnsi" w:hAnsi="Arial" w:cs="Arial"/>
          <w:sz w:val="22"/>
          <w:szCs w:val="22"/>
          <w:lang w:val="es-ES_tradnl" w:eastAsia="en-US"/>
        </w:rPr>
        <w:t xml:space="preserve"> </w:t>
      </w:r>
      <w:r w:rsidRPr="00683A0C">
        <w:rPr>
          <w:rFonts w:ascii="Arial" w:eastAsia="Calibri" w:hAnsi="Arial" w:cs="Arial"/>
          <w:color w:val="000000" w:themeColor="text1"/>
          <w:sz w:val="22"/>
        </w:rPr>
        <w:t xml:space="preserve">De acuerdo con lo establecido en estos documentos tipo, en estas condiciones la entidad pública efectuará las correcciones aritméticas de las ofertas económicas presentadas por los proponentes. En este sentido, la entidad puede hacer de oficio las correcciones aritméticas, en aras de garantizar el </w:t>
      </w:r>
      <w:r w:rsidRPr="00683A0C">
        <w:rPr>
          <w:rFonts w:ascii="Arial" w:eastAsiaTheme="minorHAnsi" w:hAnsi="Arial" w:cs="Arial"/>
          <w:sz w:val="22"/>
          <w:szCs w:val="22"/>
          <w:lang w:val="es-ES_tradnl" w:eastAsia="en-US"/>
        </w:rPr>
        <w:t xml:space="preserve">principio de supremacía o prevalencia del derecho sustancial sobre lo procedimental, que se reguló en el artículo 228 constitucional, precisando que dichas correcciones procederán en los términos establecidos en el pliego de condiciones. De esta manera, se considera importante dejar constancia de esta circunstancia en el informe de evaluación respectivo, de manera que sea uno de los aspectos objeto de observación por parte de los proponentes. </w:t>
      </w:r>
    </w:p>
    <w:p w14:paraId="726E3D4B" w14:textId="1869C56A" w:rsidR="00546D11" w:rsidRPr="00683A0C" w:rsidRDefault="00546D11" w:rsidP="00546D11">
      <w:pPr>
        <w:spacing w:before="120" w:line="276" w:lineRule="auto"/>
        <w:jc w:val="both"/>
        <w:rPr>
          <w:rFonts w:ascii="Arial" w:eastAsiaTheme="minorHAnsi" w:hAnsi="Arial" w:cs="Arial"/>
          <w:sz w:val="22"/>
          <w:szCs w:val="22"/>
          <w:lang w:val="es-ES_tradnl" w:eastAsia="en-US"/>
        </w:rPr>
      </w:pPr>
      <w:r w:rsidRPr="00683A0C">
        <w:rPr>
          <w:rFonts w:ascii="Arial" w:eastAsiaTheme="minorHAnsi" w:hAnsi="Arial" w:cs="Arial"/>
          <w:sz w:val="22"/>
          <w:szCs w:val="22"/>
          <w:lang w:val="es-ES_tradnl" w:eastAsia="en-US"/>
        </w:rPr>
        <w:tab/>
        <w:t>Teniendo en cuenta lo anterior, las entidades estatales bajo la</w:t>
      </w:r>
      <w:r w:rsidRPr="00683A0C">
        <w:rPr>
          <w:rFonts w:ascii="Arial" w:eastAsia="Calibri" w:hAnsi="Arial" w:cs="Arial"/>
          <w:color w:val="000000" w:themeColor="text1"/>
          <w:sz w:val="22"/>
          <w:szCs w:val="22"/>
          <w:lang w:val="es-ES_tradnl"/>
        </w:rPr>
        <w:t xml:space="preserve"> discrecionalidad administrativa, la cual está condicionada a la proporcionalidad de las decisiones que toma en aras de garantizar la pluralidad de oferentes y la selección objetiva</w:t>
      </w:r>
      <w:r w:rsidRPr="00683A0C">
        <w:rPr>
          <w:rFonts w:ascii="Arial" w:hAnsi="Arial" w:cs="Arial"/>
          <w:sz w:val="21"/>
          <w:szCs w:val="21"/>
        </w:rPr>
        <w:t>, debería incluir en los pliegos de condiciones las situaciones o eventos en que proceden las correcciones aritméticas de las ofertas económicas en los procesos de concurso de méritos. Lo anterior, sin perjuicio de lo señalado en los procesos regidos por los documentos tipo a los que se hizo referencia, en los cuales las correcciones aritméticas se realizarán de acuerdo con lo establecido en dichos documentos.</w:t>
      </w:r>
    </w:p>
    <w:p w14:paraId="4AC31A44" w14:textId="2DB767EB" w:rsidR="000A7E0E" w:rsidRPr="007872ED" w:rsidRDefault="000A7E0E" w:rsidP="000A7E0E">
      <w:pPr>
        <w:spacing w:line="276" w:lineRule="auto"/>
        <w:jc w:val="both"/>
        <w:rPr>
          <w:rStyle w:val="Textoennegrita"/>
          <w:rFonts w:ascii="Arial" w:hAnsi="Arial" w:cs="Arial"/>
          <w:b w:val="0"/>
          <w:color w:val="FF0000"/>
          <w:sz w:val="22"/>
          <w:szCs w:val="22"/>
          <w:shd w:val="clear" w:color="auto" w:fill="FFFFFF"/>
          <w:lang w:val="es-ES_tradnl"/>
        </w:rPr>
      </w:pPr>
    </w:p>
    <w:p w14:paraId="16BF81D8" w14:textId="0658E359" w:rsidR="00CE44D5" w:rsidRPr="007C4DB5" w:rsidRDefault="00CE44D5" w:rsidP="00C4318E">
      <w:pPr>
        <w:spacing w:line="276" w:lineRule="auto"/>
        <w:jc w:val="both"/>
        <w:rPr>
          <w:rFonts w:ascii="Arial" w:eastAsia="Calibri" w:hAnsi="Arial" w:cs="Arial"/>
          <w:sz w:val="22"/>
          <w:szCs w:val="22"/>
          <w:lang w:eastAsia="en-US"/>
        </w:rPr>
      </w:pPr>
      <w:r w:rsidRPr="007C4DB5">
        <w:rPr>
          <w:rFonts w:ascii="Arial" w:eastAsia="Calibri" w:hAnsi="Arial" w:cs="Arial"/>
          <w:sz w:val="22"/>
          <w:szCs w:val="22"/>
          <w:lang w:eastAsia="en-US"/>
        </w:rPr>
        <w:t>Este concepto tiene el alcance previsto en el artículo 28 del Código de Procedimiento Administrativo y de lo Contencioso Administrativo.</w:t>
      </w:r>
    </w:p>
    <w:p w14:paraId="4BE4F756" w14:textId="37742CF2" w:rsidR="00CE44D5" w:rsidRPr="005C05FF" w:rsidRDefault="00CE44D5" w:rsidP="005C05FF">
      <w:pPr>
        <w:jc w:val="both"/>
        <w:rPr>
          <w:rFonts w:ascii="Arial" w:eastAsia="Calibri" w:hAnsi="Arial" w:cs="Arial"/>
          <w:sz w:val="22"/>
          <w:szCs w:val="22"/>
          <w:lang w:eastAsia="en-US"/>
        </w:rPr>
      </w:pPr>
      <w:r w:rsidRPr="007A64D5">
        <w:rPr>
          <w:rFonts w:asciiTheme="minorHAnsi" w:eastAsiaTheme="minorHAnsi" w:hAnsiTheme="minorHAnsi" w:cstheme="minorBidi"/>
          <w:noProof/>
          <w:color w:val="FF0000"/>
          <w:sz w:val="22"/>
          <w:szCs w:val="22"/>
          <w:lang w:val="en-US" w:eastAsia="en-US"/>
        </w:rPr>
        <mc:AlternateContent>
          <mc:Choice Requires="wps">
            <w:drawing>
              <wp:anchor distT="0" distB="0" distL="114300" distR="114300" simplePos="0" relativeHeight="251659264" behindDoc="0" locked="0" layoutInCell="1" allowOverlap="1" wp14:anchorId="4640AD06" wp14:editId="3A3A9E1D">
                <wp:simplePos x="0" y="0"/>
                <wp:positionH relativeFrom="page">
                  <wp:posOffset>1514475</wp:posOffset>
                </wp:positionH>
                <wp:positionV relativeFrom="paragraph">
                  <wp:posOffset>10160</wp:posOffset>
                </wp:positionV>
                <wp:extent cx="4686300" cy="0"/>
                <wp:effectExtent l="0" t="0" r="0" b="0"/>
                <wp:wrapNone/>
                <wp:docPr id="5" name="Conector recto 5"/>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2442A7C3" id="Conector recto 5"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" strokecolor="#dbdbdb">
                <w10:wrap anchorx="page"/>
              </v:line>
            </w:pict>
          </mc:Fallback>
        </mc:AlternateContent>
      </w:r>
    </w:p>
    <w:p w14:paraId="29F17D1A" w14:textId="77777777" w:rsidR="00CE44D5" w:rsidRPr="00CE44D5" w:rsidRDefault="00CE44D5" w:rsidP="00CE44D5">
      <w:pPr>
        <w:rPr>
          <w:rFonts w:ascii="Arial" w:hAnsi="Arial" w:cs="Arial"/>
          <w:sz w:val="22"/>
          <w:szCs w:val="22"/>
          <w:lang w:eastAsia="es-CO"/>
        </w:rPr>
      </w:pPr>
      <w:r w:rsidRPr="00CE44D5">
        <w:rPr>
          <w:rFonts w:ascii="Arial" w:hAnsi="Arial" w:cs="Arial"/>
          <w:sz w:val="22"/>
          <w:szCs w:val="22"/>
          <w:lang w:eastAsia="es-CO"/>
        </w:rPr>
        <w:t>Atentamente,</w:t>
      </w:r>
    </w:p>
    <w:p w14:paraId="305926A3" w14:textId="77777777" w:rsidR="00CE44D5" w:rsidRPr="00CE44D5" w:rsidRDefault="00CE44D5" w:rsidP="00CE44D5">
      <w:pPr>
        <w:rPr>
          <w:rFonts w:ascii="Arial" w:hAnsi="Arial" w:cs="Arial"/>
          <w:sz w:val="22"/>
          <w:szCs w:val="22"/>
          <w:lang w:eastAsia="es-CO"/>
        </w:rPr>
      </w:pPr>
    </w:p>
    <w:p w14:paraId="6A02EE5B" w14:textId="45963AB5" w:rsidR="00085115" w:rsidRPr="00085115" w:rsidRDefault="00881FF8" w:rsidP="00881FF8">
      <w:pPr>
        <w:spacing w:line="276" w:lineRule="auto"/>
        <w:jc w:val="center"/>
        <w:rPr>
          <w:rFonts w:ascii="Arial" w:hAnsi="Arial" w:cs="Arial"/>
          <w:color w:val="000000" w:themeColor="text1"/>
          <w:sz w:val="22"/>
          <w:szCs w:val="22"/>
          <w:lang w:val="es-ES_tradnl" w:eastAsia="es-CO"/>
        </w:rPr>
      </w:pPr>
      <w:r w:rsidRPr="00881FF8">
        <w:rPr>
          <w:rFonts w:ascii="Calibri" w:eastAsia="Calibri" w:hAnsi="Calibri" w:cs="Calibri"/>
          <w:noProof/>
          <w:lang w:val="es-MX"/>
        </w:rPr>
        <w:drawing>
          <wp:inline distT="0" distB="0" distL="0" distR="0" wp14:anchorId="2F56FAE3" wp14:editId="36E394BB">
            <wp:extent cx="2105025" cy="932909"/>
            <wp:effectExtent l="0" t="0" r="0" b="635"/>
            <wp:docPr id="3" name="Imagen 3"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115394" cy="937504"/>
                    </a:xfrm>
                    <a:prstGeom prst="rect">
                      <a:avLst/>
                    </a:prstGeom>
                    <a:noFill/>
                    <a:ln>
                      <a:noFill/>
                    </a:ln>
                  </pic:spPr>
                </pic:pic>
              </a:graphicData>
            </a:graphic>
          </wp:inline>
        </w:drawing>
      </w:r>
    </w:p>
    <w:p w14:paraId="0D7EF9A5" w14:textId="2F02762D" w:rsidR="00085115" w:rsidRPr="00085115" w:rsidRDefault="00085115" w:rsidP="00085115">
      <w:pPr>
        <w:spacing w:line="276" w:lineRule="auto"/>
        <w:rPr>
          <w:color w:val="000000" w:themeColor="text1"/>
          <w:lang w:val="es-ES_tradnl" w:eastAsia="es-CO"/>
        </w:rPr>
      </w:pPr>
    </w:p>
    <w:tbl>
      <w:tblPr>
        <w:tblStyle w:val="Tablaconcuadrcula1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085115" w:rsidRPr="00085115" w14:paraId="6CFEDDAE" w14:textId="77777777" w:rsidTr="006D051A">
        <w:trPr>
          <w:trHeight w:val="315"/>
        </w:trPr>
        <w:tc>
          <w:tcPr>
            <w:tcW w:w="812" w:type="dxa"/>
            <w:vAlign w:val="center"/>
            <w:hideMark/>
          </w:tcPr>
          <w:p w14:paraId="5B3BE796"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24304B9F"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 xml:space="preserve">José Luis Sánchez Cardona </w:t>
            </w:r>
          </w:p>
          <w:p w14:paraId="6BD1DC57"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Contratista de la Subdirección de Gestión Contractual</w:t>
            </w:r>
          </w:p>
        </w:tc>
      </w:tr>
      <w:tr w:rsidR="00085115" w:rsidRPr="00085115" w14:paraId="56051AF8" w14:textId="77777777" w:rsidTr="006D051A">
        <w:trPr>
          <w:trHeight w:val="330"/>
        </w:trPr>
        <w:tc>
          <w:tcPr>
            <w:tcW w:w="812" w:type="dxa"/>
            <w:vAlign w:val="center"/>
            <w:hideMark/>
          </w:tcPr>
          <w:p w14:paraId="088B4198"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1600E8D"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Sebastián Ramírez Grisales</w:t>
            </w:r>
          </w:p>
          <w:p w14:paraId="3D1B291D" w14:textId="4405B907" w:rsidR="00085115" w:rsidRPr="00085115" w:rsidRDefault="007623AE" w:rsidP="00085115">
            <w:pPr>
              <w:jc w:val="both"/>
              <w:rPr>
                <w:rFonts w:ascii="Arial" w:hAnsi="Arial" w:cs="Arial"/>
                <w:color w:val="000000" w:themeColor="text1"/>
                <w:sz w:val="16"/>
                <w:szCs w:val="16"/>
                <w:lang w:val="es-ES_tradnl" w:eastAsia="es-ES"/>
              </w:rPr>
            </w:pPr>
            <w:r>
              <w:rPr>
                <w:rFonts w:ascii="Arial" w:hAnsi="Arial" w:cs="Arial"/>
                <w:color w:val="000000" w:themeColor="text1"/>
                <w:sz w:val="16"/>
                <w:szCs w:val="16"/>
                <w:lang w:val="es-ES_tradnl" w:eastAsia="es-ES"/>
              </w:rPr>
              <w:t>Contratista de la</w:t>
            </w:r>
            <w:r w:rsidR="00085115" w:rsidRPr="00085115">
              <w:rPr>
                <w:rFonts w:ascii="Arial" w:hAnsi="Arial" w:cs="Arial"/>
                <w:color w:val="000000" w:themeColor="text1"/>
                <w:sz w:val="16"/>
                <w:szCs w:val="16"/>
                <w:lang w:val="es-ES_tradnl" w:eastAsia="es-ES"/>
              </w:rPr>
              <w:t xml:space="preserve"> Subdirección de Gestión Contractual  </w:t>
            </w:r>
          </w:p>
        </w:tc>
      </w:tr>
      <w:tr w:rsidR="00085115" w:rsidRPr="00085115" w14:paraId="410C65C9" w14:textId="77777777" w:rsidTr="006D051A">
        <w:trPr>
          <w:trHeight w:val="300"/>
        </w:trPr>
        <w:tc>
          <w:tcPr>
            <w:tcW w:w="812" w:type="dxa"/>
            <w:vAlign w:val="center"/>
            <w:hideMark/>
          </w:tcPr>
          <w:p w14:paraId="1CE88957"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FE9A201"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Jorge Augusto Tirado Navarro</w:t>
            </w:r>
          </w:p>
          <w:p w14:paraId="60F8BA35" w14:textId="77777777" w:rsidR="00085115" w:rsidRPr="00085115" w:rsidRDefault="00085115" w:rsidP="00085115">
            <w:pPr>
              <w:jc w:val="both"/>
              <w:rPr>
                <w:rFonts w:ascii="Arial" w:hAnsi="Arial" w:cs="Arial"/>
                <w:color w:val="000000" w:themeColor="text1"/>
                <w:sz w:val="16"/>
                <w:szCs w:val="16"/>
                <w:lang w:val="es-ES_tradnl" w:eastAsia="es-ES"/>
              </w:rPr>
            </w:pPr>
            <w:r w:rsidRPr="00085115">
              <w:rPr>
                <w:rFonts w:ascii="Arial" w:hAnsi="Arial" w:cs="Arial"/>
                <w:color w:val="000000" w:themeColor="text1"/>
                <w:sz w:val="16"/>
                <w:szCs w:val="16"/>
                <w:lang w:val="es-ES_tradnl" w:eastAsia="es-ES"/>
              </w:rPr>
              <w:t>Subdirector de Gestión Contractual ANCP – CCE</w:t>
            </w:r>
          </w:p>
        </w:tc>
      </w:tr>
    </w:tbl>
    <w:p w14:paraId="3A70A295" w14:textId="2911F0DF" w:rsidR="00CE44D5" w:rsidRPr="00085115" w:rsidRDefault="00CE44D5" w:rsidP="00CB3721">
      <w:pPr>
        <w:pStyle w:val="NormalWeb"/>
        <w:spacing w:before="0" w:beforeAutospacing="0" w:after="0" w:afterAutospacing="0" w:line="276" w:lineRule="auto"/>
        <w:jc w:val="both"/>
        <w:rPr>
          <w:rFonts w:ascii="Arial" w:hAnsi="Arial" w:cs="Arial"/>
          <w:lang w:val="es-MX"/>
        </w:rPr>
      </w:pPr>
    </w:p>
    <w:p w14:paraId="30525169" w14:textId="77777777" w:rsidR="00CE44D5" w:rsidRPr="00CB3721" w:rsidRDefault="00CE44D5" w:rsidP="00CB3721">
      <w:pPr>
        <w:pStyle w:val="NormalWeb"/>
        <w:spacing w:before="0" w:beforeAutospacing="0" w:after="0" w:afterAutospacing="0" w:line="276" w:lineRule="auto"/>
        <w:jc w:val="both"/>
        <w:rPr>
          <w:rFonts w:ascii="Arial" w:hAnsi="Arial" w:cs="Arial"/>
        </w:rPr>
      </w:pPr>
    </w:p>
    <w:sectPr w:rsidR="00CE44D5" w:rsidRPr="00CB3721" w:rsidSect="00CE3F2A">
      <w:headerReference w:type="default" r:id="rId14"/>
      <w:footerReference w:type="default" r:id="rId15"/>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3EAD7" w14:textId="77777777" w:rsidR="00CD5E4D" w:rsidRDefault="00CD5E4D">
      <w:r>
        <w:separator/>
      </w:r>
    </w:p>
  </w:endnote>
  <w:endnote w:type="continuationSeparator" w:id="0">
    <w:p w14:paraId="7EA98D99" w14:textId="77777777" w:rsidR="00CD5E4D" w:rsidRDefault="00CD5E4D">
      <w:r>
        <w:continuationSeparator/>
      </w:r>
    </w:p>
  </w:endnote>
  <w:endnote w:type="continuationNotice" w:id="1">
    <w:p w14:paraId="21596ADA" w14:textId="77777777" w:rsidR="00CD5E4D" w:rsidRDefault="00CD5E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font>
  <w:font w:name="Yu Gothic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F02A34" w14:textId="77777777" w:rsidR="006F3E44" w:rsidRDefault="006F3E44" w:rsidP="00322937">
    <w:pPr>
      <w:pStyle w:val="Sinespaciado"/>
      <w:jc w:val="right"/>
      <w:rPr>
        <w:rFonts w:ascii="Arial" w:hAnsi="Arial" w:cs="Arial"/>
        <w:sz w:val="18"/>
        <w:szCs w:val="18"/>
      </w:rPr>
    </w:pPr>
  </w:p>
  <w:p w14:paraId="7A3785F3" w14:textId="0E7FD1CA" w:rsidR="006F3E44" w:rsidRPr="008217B7" w:rsidRDefault="006F3E44"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912670">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912670">
      <w:rPr>
        <w:rFonts w:ascii="Arial" w:hAnsi="Arial" w:cs="Arial"/>
        <w:b/>
        <w:bCs/>
        <w:noProof/>
        <w:color w:val="7F7F7F" w:themeColor="text1" w:themeTint="80"/>
        <w:sz w:val="16"/>
        <w:szCs w:val="16"/>
      </w:rPr>
      <w:t>15</w:t>
    </w:r>
    <w:r w:rsidRPr="00084B97">
      <w:rPr>
        <w:rFonts w:ascii="Arial" w:hAnsi="Arial" w:cs="Arial"/>
        <w:b/>
        <w:bCs/>
        <w:color w:val="7F7F7F" w:themeColor="text1" w:themeTint="80"/>
        <w:sz w:val="16"/>
        <w:szCs w:val="16"/>
      </w:rPr>
      <w:fldChar w:fldCharType="end"/>
    </w:r>
  </w:p>
  <w:p w14:paraId="48FC6A04" w14:textId="5FD1A7C9" w:rsidR="006F3E44" w:rsidRDefault="006F3E44" w:rsidP="00322937">
    <w:pPr>
      <w:pStyle w:val="Piedepgina"/>
      <w:jc w:val="center"/>
      <w:rPr>
        <w:lang w:val="es-ES"/>
      </w:rPr>
    </w:pPr>
    <w:r>
      <w:rPr>
        <w:noProof/>
        <w:lang w:val="en-US"/>
      </w:rPr>
      <w:drawing>
        <wp:inline distT="0" distB="0" distL="0" distR="0" wp14:anchorId="608B196D" wp14:editId="0DC5B948">
          <wp:extent cx="3700130" cy="519139"/>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6F3E44" w:rsidRDefault="006F3E44" w:rsidP="007B0854">
    <w:pPr>
      <w:pStyle w:val="Piedepgina"/>
      <w:jc w:val="center"/>
      <w:rPr>
        <w:lang w:val="es-ES"/>
      </w:rPr>
    </w:pPr>
  </w:p>
  <w:p w14:paraId="6C0EFC49" w14:textId="77777777" w:rsidR="006F3E44" w:rsidRPr="007B0854" w:rsidRDefault="006F3E44"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BCEE08" w14:textId="77777777" w:rsidR="00CD5E4D" w:rsidRDefault="00CD5E4D">
      <w:r>
        <w:separator/>
      </w:r>
    </w:p>
  </w:footnote>
  <w:footnote w:type="continuationSeparator" w:id="0">
    <w:p w14:paraId="330E0521" w14:textId="77777777" w:rsidR="00CD5E4D" w:rsidRDefault="00CD5E4D">
      <w:r>
        <w:continuationSeparator/>
      </w:r>
    </w:p>
  </w:footnote>
  <w:footnote w:type="continuationNotice" w:id="1">
    <w:p w14:paraId="3AFD564A" w14:textId="77777777" w:rsidR="00CD5E4D" w:rsidRDefault="00CD5E4D"/>
  </w:footnote>
  <w:footnote w:id="2">
    <w:p w14:paraId="55554FE9" w14:textId="77777777" w:rsidR="00B62F02" w:rsidRDefault="00B62F02" w:rsidP="00A65130">
      <w:pPr>
        <w:pStyle w:val="Textonotapie"/>
        <w:ind w:firstLine="709"/>
        <w:jc w:val="both"/>
        <w:rPr>
          <w:rFonts w:ascii="Arial" w:hAnsi="Arial" w:cs="Arial"/>
          <w:color w:val="000000" w:themeColor="text1"/>
          <w:sz w:val="19"/>
          <w:szCs w:val="19"/>
        </w:rPr>
      </w:pPr>
    </w:p>
    <w:p w14:paraId="3214940A" w14:textId="315CEF4E" w:rsidR="00A65130" w:rsidRPr="00B62F02" w:rsidRDefault="00A65130" w:rsidP="00A65130">
      <w:pPr>
        <w:pStyle w:val="Textonotapie"/>
        <w:ind w:firstLine="709"/>
        <w:jc w:val="both"/>
        <w:rPr>
          <w:rFonts w:ascii="Arial" w:hAnsi="Arial" w:cs="Arial"/>
          <w:color w:val="000000" w:themeColor="text1"/>
          <w:sz w:val="19"/>
          <w:szCs w:val="19"/>
        </w:rPr>
      </w:pPr>
      <w:r w:rsidRPr="00B62F02">
        <w:rPr>
          <w:rStyle w:val="Refdenotaalpie"/>
          <w:rFonts w:ascii="Arial" w:hAnsi="Arial" w:cs="Arial"/>
          <w:color w:val="000000" w:themeColor="text1"/>
          <w:sz w:val="19"/>
          <w:szCs w:val="19"/>
        </w:rPr>
        <w:footnoteRef/>
      </w:r>
      <w:r w:rsidRPr="00B62F02">
        <w:rPr>
          <w:rFonts w:ascii="Arial" w:hAnsi="Arial" w:cs="Arial"/>
          <w:color w:val="000000" w:themeColor="text1"/>
          <w:sz w:val="19"/>
          <w:szCs w:val="19"/>
        </w:rPr>
        <w:t xml:space="preserve"> CONSEJO DE ESTADO. Sección Tercera. Subsección A. Auto del 25 de julio de 2018. Rad. 56.165A. C.P. Marta Nubia Velásquez Rico. </w:t>
      </w:r>
    </w:p>
    <w:p w14:paraId="5A8012AE" w14:textId="77777777" w:rsidR="00A65130" w:rsidRPr="00B62F02" w:rsidRDefault="00A65130" w:rsidP="00A65130">
      <w:pPr>
        <w:pStyle w:val="Textonotapie"/>
        <w:ind w:firstLine="709"/>
        <w:jc w:val="both"/>
        <w:rPr>
          <w:rFonts w:ascii="Arial" w:hAnsi="Arial" w:cs="Arial"/>
          <w:color w:val="000000" w:themeColor="text1"/>
          <w:sz w:val="19"/>
          <w:szCs w:val="19"/>
          <w:lang w:val="es-ES"/>
        </w:rPr>
      </w:pPr>
    </w:p>
  </w:footnote>
  <w:footnote w:id="3">
    <w:p w14:paraId="7E598F40" w14:textId="77777777" w:rsidR="00A65130" w:rsidRPr="00B62F02" w:rsidRDefault="00A65130" w:rsidP="00A65130">
      <w:pPr>
        <w:pStyle w:val="Textonotapie"/>
        <w:ind w:firstLine="709"/>
        <w:jc w:val="both"/>
        <w:rPr>
          <w:rFonts w:ascii="Arial" w:hAnsi="Arial" w:cs="Arial"/>
          <w:color w:val="000000" w:themeColor="text1"/>
          <w:sz w:val="19"/>
          <w:szCs w:val="19"/>
          <w:lang w:val="es-ES"/>
        </w:rPr>
      </w:pPr>
      <w:r w:rsidRPr="00B62F02">
        <w:rPr>
          <w:rStyle w:val="Refdenotaalpie"/>
          <w:rFonts w:ascii="Arial" w:hAnsi="Arial" w:cs="Arial"/>
          <w:color w:val="000000" w:themeColor="text1"/>
          <w:sz w:val="19"/>
          <w:szCs w:val="19"/>
        </w:rPr>
        <w:footnoteRef/>
      </w:r>
      <w:r w:rsidRPr="00B62F02">
        <w:rPr>
          <w:rFonts w:ascii="Arial" w:hAnsi="Arial" w:cs="Arial"/>
          <w:color w:val="000000" w:themeColor="text1"/>
          <w:sz w:val="19"/>
          <w:szCs w:val="19"/>
        </w:rPr>
        <w:t xml:space="preserve"> </w:t>
      </w:r>
      <w:bookmarkStart w:id="1" w:name="_Hlk43903111"/>
      <w:r w:rsidRPr="00B62F02">
        <w:rPr>
          <w:rFonts w:ascii="Arial" w:hAnsi="Arial" w:cs="Arial"/>
          <w:color w:val="000000" w:themeColor="text1"/>
          <w:sz w:val="19"/>
          <w:szCs w:val="19"/>
        </w:rPr>
        <w:t>CONSEJO DE ESTADO. Sección Tercera. Subsección A. Auto del 20 de febrero de 2019. Rad. 61.463. C.P. Carlos Alberto Zambrano Barrera.</w:t>
      </w:r>
      <w:bookmarkEnd w:id="1"/>
    </w:p>
  </w:footnote>
  <w:footnote w:id="4">
    <w:p w14:paraId="1B75F4D5" w14:textId="77777777" w:rsidR="00B62F02" w:rsidRDefault="00B62F02" w:rsidP="00A65130">
      <w:pPr>
        <w:pStyle w:val="Textonotapie"/>
        <w:ind w:firstLine="709"/>
        <w:jc w:val="both"/>
        <w:rPr>
          <w:rFonts w:ascii="Arial" w:hAnsi="Arial" w:cs="Arial"/>
          <w:sz w:val="19"/>
          <w:szCs w:val="19"/>
        </w:rPr>
      </w:pPr>
    </w:p>
    <w:p w14:paraId="4CD9759F" w14:textId="23AF69AE" w:rsidR="00A65130" w:rsidRPr="00B62F02" w:rsidRDefault="00A65130" w:rsidP="00A65130">
      <w:pPr>
        <w:pStyle w:val="Textonotapie"/>
        <w:ind w:firstLine="709"/>
        <w:jc w:val="both"/>
        <w:rPr>
          <w:rFonts w:ascii="Arial" w:hAnsi="Arial" w:cs="Arial"/>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Sobre este aspecto, «[…] los numerales 3, 4 y 5 del artículo 2.2.1.2.1.3.2 del decreto acusado resultan violatorios del citado artículo 5, numeral 4, de la Ley 1150 de 2007, pues, en efecto, revisar la coherencia del «[…] precio ofrecido […]» con la disponibilidad presupuestal (núm. 4, art. 2.2.1.2.1.3.2), así como disponer que se debe llegar a un «acuerdo» sobre el mismo (numerales 4 y 5, art. 2.2.1.2.1.3.2), como lo hace el decreto acusado, desconoce el principio de selección objetiva, en la medida en que incluir factores económicos en los concursos de méritos implica, necesariamente, que el precio se torne determinante para la escogencia de los contratistas, circunstancia que, como se ve, viola la citada norma, pues en ningún caso el precio puede ser factor de escogencia bajo la modalidad del concurso de méritos.</w:t>
      </w:r>
    </w:p>
    <w:p w14:paraId="4D8239D7" w14:textId="77777777" w:rsidR="00A65130" w:rsidRPr="00B62F02" w:rsidRDefault="00A65130" w:rsidP="00A65130">
      <w:pPr>
        <w:pStyle w:val="Textonotapie"/>
        <w:ind w:firstLine="709"/>
        <w:jc w:val="both"/>
        <w:rPr>
          <w:rFonts w:ascii="Arial" w:hAnsi="Arial" w:cs="Arial"/>
          <w:sz w:val="19"/>
          <w:szCs w:val="19"/>
        </w:rPr>
      </w:pPr>
      <w:r w:rsidRPr="00B62F02">
        <w:rPr>
          <w:rFonts w:ascii="Arial" w:hAnsi="Arial" w:cs="Arial"/>
          <w:sz w:val="19"/>
          <w:szCs w:val="19"/>
        </w:rPr>
        <w:t xml:space="preserve">»Sumado a lo anterior, el Despacho encuentra que los numerales 4 y 5 del artículo 2.2.1.2.1.3.2 del decreto acusado violan lo dispuesto en el numeral 2 del artículo 25 de la ley 80 de 1993, pues es claro que se siguen «[…] trámites distintos y adicionales a los expresamente previstos […]» en la ley; en efecto, celebrar un «acuerdo» sobre el precio ofrecido es una situación que, de una u otra forma, aboca a la entidad a una segunda evaluación de lo que para ella sería la oferta más favorable –según el precio–, cuando para este segundo momento se supone que ya se debió haber verificado el cumplimiento de los requisitos exigidos en los pliegos de condiciones para la escogencia del contratista; en consecuencia, no se entiende </w:t>
      </w:r>
      <w:proofErr w:type="spellStart"/>
      <w:r w:rsidRPr="00B62F02">
        <w:rPr>
          <w:rFonts w:ascii="Arial" w:hAnsi="Arial" w:cs="Arial"/>
          <w:sz w:val="19"/>
          <w:szCs w:val="19"/>
        </w:rPr>
        <w:t>porqué</w:t>
      </w:r>
      <w:proofErr w:type="spellEnd"/>
      <w:r w:rsidRPr="00B62F02">
        <w:rPr>
          <w:rFonts w:ascii="Arial" w:hAnsi="Arial" w:cs="Arial"/>
          <w:sz w:val="19"/>
          <w:szCs w:val="19"/>
        </w:rPr>
        <w:t>, luego de agotado todo el procedimiento de selección objetiva, se tenga que realizar un acuerdo sobre el precio ofrecido» (CONSEJO DE ESTADO. Sección Tercera. Subsección A. Auto del 20 de febrero de 2019. Rad. 61.463. C.P. Carlos Alberto Zambrano Barrera).</w:t>
      </w:r>
    </w:p>
    <w:p w14:paraId="17F1C839" w14:textId="77777777" w:rsidR="00A65130" w:rsidRPr="00B62F02" w:rsidRDefault="00A65130" w:rsidP="00A65130">
      <w:pPr>
        <w:pStyle w:val="Textonotapie"/>
        <w:ind w:firstLine="709"/>
        <w:jc w:val="both"/>
        <w:rPr>
          <w:rFonts w:ascii="Arial" w:hAnsi="Arial" w:cs="Arial"/>
          <w:sz w:val="19"/>
          <w:szCs w:val="19"/>
          <w:lang w:val="es-ES"/>
        </w:rPr>
      </w:pPr>
    </w:p>
  </w:footnote>
  <w:footnote w:id="5">
    <w:p w14:paraId="319AE163" w14:textId="77777777" w:rsidR="00A65130" w:rsidRPr="00B62F02" w:rsidRDefault="00A65130" w:rsidP="00A65130">
      <w:pPr>
        <w:pStyle w:val="Textonotapie"/>
        <w:ind w:firstLine="709"/>
        <w:jc w:val="both"/>
        <w:rPr>
          <w:rFonts w:ascii="Arial" w:hAnsi="Arial" w:cs="Arial"/>
          <w:color w:val="000000" w:themeColor="text1"/>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En efecto, «[…] cuando el numeral 6 del artículo 2.2.1.2.1.3.2 del Decreto 1082 de 2015 dispuso que la entidad estatal debe declarar desierto el concurso de méritos cuando aquella no llegue a un acuerdo con el segundo lugar de elegibilidad, sí excedió el contenido de los artículos 25 (numeral 18) de la Ley 80 de 1993 y 5 de la Ley 1150 de 2007, puesto que, se reitera, dado que el legislador previó dicha decisión para cuando se presentaran motivos que impidieran la selección objetiva, sin restringirlos» (</w:t>
      </w:r>
      <w:r w:rsidRPr="00B62F02">
        <w:rPr>
          <w:rFonts w:ascii="Arial" w:hAnsi="Arial" w:cs="Arial"/>
          <w:color w:val="000000" w:themeColor="text1"/>
          <w:sz w:val="19"/>
          <w:szCs w:val="19"/>
        </w:rPr>
        <w:t>CONSEJO DE ESTADO. Sección Tercera. Subsección A. Auto del 25 de julio de 2018. Rad. 56.165A. C.P. Marta Nubia Velásquez Rico)</w:t>
      </w:r>
      <w:r w:rsidRPr="00B62F02">
        <w:rPr>
          <w:rFonts w:ascii="Arial" w:hAnsi="Arial" w:cs="Arial"/>
          <w:sz w:val="19"/>
          <w:szCs w:val="19"/>
        </w:rPr>
        <w:t>.</w:t>
      </w:r>
    </w:p>
  </w:footnote>
  <w:footnote w:id="6">
    <w:p w14:paraId="07C0CBF9" w14:textId="77777777" w:rsidR="00B62F02" w:rsidRDefault="00B62F02" w:rsidP="00A65130">
      <w:pPr>
        <w:ind w:firstLine="709"/>
        <w:jc w:val="both"/>
        <w:rPr>
          <w:rFonts w:ascii="Arial" w:hAnsi="Arial" w:cs="Arial"/>
          <w:sz w:val="19"/>
          <w:szCs w:val="19"/>
        </w:rPr>
      </w:pPr>
    </w:p>
    <w:p w14:paraId="1DC57306" w14:textId="6353250A" w:rsidR="00A65130" w:rsidRPr="00B62F02" w:rsidRDefault="00A65130" w:rsidP="00A65130">
      <w:pPr>
        <w:ind w:firstLine="709"/>
        <w:jc w:val="both"/>
        <w:rPr>
          <w:rFonts w:ascii="Arial" w:eastAsiaTheme="minorHAnsi" w:hAnsi="Arial" w:cs="Arial"/>
          <w:sz w:val="19"/>
          <w:szCs w:val="19"/>
          <w:lang w:val="es-ES" w:eastAsia="en-U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En efecto, dentro de las consideraciones que motivan el Decreto 399 de 2021 se lee la siguiente: «</w:t>
      </w:r>
      <w:r w:rsidRPr="00B62F02">
        <w:rPr>
          <w:rFonts w:ascii="Arial" w:eastAsiaTheme="minorHAnsi" w:hAnsi="Arial" w:cs="Arial"/>
          <w:sz w:val="19"/>
          <w:szCs w:val="19"/>
          <w:lang w:val="es-ES" w:eastAsia="en-US"/>
        </w:rPr>
        <w:t xml:space="preserve">Que teniendo en cuenta que el Auto del 20 de febrero de 2019 </w:t>
      </w:r>
      <w:proofErr w:type="spellStart"/>
      <w:r w:rsidRPr="00B62F02">
        <w:rPr>
          <w:rFonts w:ascii="Arial" w:eastAsiaTheme="minorHAnsi" w:hAnsi="Arial" w:cs="Arial"/>
          <w:sz w:val="19"/>
          <w:szCs w:val="19"/>
          <w:lang w:val="es-ES" w:eastAsia="en-US"/>
        </w:rPr>
        <w:t>Exp</w:t>
      </w:r>
      <w:proofErr w:type="spellEnd"/>
      <w:r w:rsidRPr="00B62F02">
        <w:rPr>
          <w:rFonts w:ascii="Arial" w:eastAsiaTheme="minorHAnsi" w:hAnsi="Arial" w:cs="Arial"/>
          <w:sz w:val="19"/>
          <w:szCs w:val="19"/>
          <w:lang w:val="es-ES" w:eastAsia="en-US"/>
        </w:rPr>
        <w:t xml:space="preserve">. 61.463 de la Subsección A de la Sección Tercera del Consejo de Estado suspendió provisionalmente los numerales 3, 4 y 5 del artículo 2.2.1.2.1.3.2. del Decreto 1082 de 2015, Único Reglamentario del Sector Administrativo de Planeación Nacional y que el Auto del 25 de julio de 2018 </w:t>
      </w:r>
      <w:proofErr w:type="spellStart"/>
      <w:r w:rsidRPr="00B62F02">
        <w:rPr>
          <w:rFonts w:ascii="Arial" w:eastAsiaTheme="minorHAnsi" w:hAnsi="Arial" w:cs="Arial"/>
          <w:sz w:val="19"/>
          <w:szCs w:val="19"/>
          <w:lang w:val="es-ES" w:eastAsia="en-US"/>
        </w:rPr>
        <w:t>Exp</w:t>
      </w:r>
      <w:proofErr w:type="spellEnd"/>
      <w:r w:rsidRPr="00B62F02">
        <w:rPr>
          <w:rFonts w:ascii="Arial" w:eastAsiaTheme="minorHAnsi" w:hAnsi="Arial" w:cs="Arial"/>
          <w:sz w:val="19"/>
          <w:szCs w:val="19"/>
          <w:lang w:val="es-ES" w:eastAsia="en-US"/>
        </w:rPr>
        <w:t>. 56.165 de la Subsección A de la Sección Tercera del Consejo de Estado suspendió provisionalmente el numeral 6 de la misma disposición, los cuales están relacionados con las reglas aplicables al procedimiento de concurso de méritos, es necesario modificar dicho artículo para establecer las reglas aplicables a esta modalidad de selección».</w:t>
      </w:r>
    </w:p>
    <w:p w14:paraId="3ADA81C6" w14:textId="77777777" w:rsidR="00A65130" w:rsidRPr="00B62F02" w:rsidRDefault="00A65130" w:rsidP="00A65130">
      <w:pPr>
        <w:pStyle w:val="Textonotapie"/>
        <w:ind w:firstLine="709"/>
        <w:jc w:val="both"/>
        <w:rPr>
          <w:rFonts w:ascii="Arial" w:hAnsi="Arial" w:cs="Arial"/>
          <w:sz w:val="19"/>
          <w:szCs w:val="19"/>
          <w:lang w:val="es-CO"/>
        </w:rPr>
      </w:pPr>
    </w:p>
  </w:footnote>
  <w:footnote w:id="7">
    <w:p w14:paraId="62CAE958" w14:textId="77777777" w:rsidR="00B62F02" w:rsidRDefault="00B62F02" w:rsidP="00740000">
      <w:pPr>
        <w:pStyle w:val="Textonotapie"/>
        <w:ind w:firstLine="708"/>
        <w:jc w:val="both"/>
        <w:rPr>
          <w:rFonts w:ascii="Arial" w:hAnsi="Arial" w:cs="Arial"/>
          <w:sz w:val="19"/>
          <w:szCs w:val="19"/>
        </w:rPr>
      </w:pPr>
    </w:p>
    <w:p w14:paraId="62DB82ED" w14:textId="14B79B3B" w:rsidR="00740000" w:rsidRPr="00B62F02" w:rsidRDefault="00740000" w:rsidP="00740000">
      <w:pPr>
        <w:pStyle w:val="Textonotapie"/>
        <w:ind w:firstLine="708"/>
        <w:jc w:val="both"/>
        <w:rPr>
          <w:rFonts w:ascii="Arial" w:hAnsi="Arial" w:cs="Arial"/>
          <w:sz w:val="19"/>
          <w:szCs w:val="19"/>
          <w:lang w:val="es-ES"/>
        </w:rPr>
      </w:pPr>
      <w:r w:rsidRPr="00B62F02">
        <w:rPr>
          <w:rStyle w:val="Refdenotaalpie"/>
          <w:rFonts w:ascii="Arial" w:hAnsi="Arial" w:cs="Arial"/>
          <w:sz w:val="19"/>
          <w:szCs w:val="19"/>
        </w:rPr>
        <w:footnoteRef/>
      </w:r>
      <w:r w:rsidRPr="00B62F02">
        <w:rPr>
          <w:rFonts w:ascii="Arial" w:hAnsi="Arial" w:cs="Arial"/>
          <w:sz w:val="19"/>
          <w:szCs w:val="19"/>
        </w:rPr>
        <w:t xml:space="preserve"> </w:t>
      </w:r>
      <w:r w:rsidRPr="00B62F02">
        <w:rPr>
          <w:rFonts w:ascii="Arial" w:hAnsi="Arial" w:cs="Arial"/>
          <w:sz w:val="19"/>
          <w:szCs w:val="19"/>
          <w:lang w:val="es-ES"/>
        </w:rPr>
        <w:t>Decreto 1082 de 2015. Artículo 2.2.1.2.1.3.2. Procedimiento de Concurso de méritos. […]</w:t>
      </w:r>
    </w:p>
    <w:p w14:paraId="1A3A9EC2" w14:textId="77777777" w:rsidR="00740000" w:rsidRPr="00B62F02" w:rsidRDefault="00740000" w:rsidP="00740000">
      <w:pPr>
        <w:pStyle w:val="Textonotapie"/>
        <w:ind w:firstLine="708"/>
        <w:jc w:val="both"/>
        <w:rPr>
          <w:rFonts w:ascii="Arial" w:hAnsi="Arial" w:cs="Arial"/>
          <w:sz w:val="19"/>
          <w:szCs w:val="19"/>
          <w:lang w:val="es-ES"/>
        </w:rPr>
      </w:pPr>
      <w:r w:rsidRPr="00B62F02">
        <w:rPr>
          <w:rFonts w:ascii="Arial" w:hAnsi="Arial" w:cs="Arial"/>
          <w:sz w:val="19"/>
          <w:szCs w:val="19"/>
          <w:lang w:val="es-ES"/>
        </w:rPr>
        <w:t xml:space="preserve">«1. </w:t>
      </w:r>
      <w:r w:rsidRPr="00B62F02">
        <w:rPr>
          <w:rFonts w:ascii="Arial" w:hAnsi="Arial" w:cs="Arial"/>
          <w:sz w:val="19"/>
          <w:szCs w:val="19"/>
          <w:lang w:val="es-CO"/>
        </w:rPr>
        <w:t xml:space="preserve">La </w:t>
      </w:r>
      <w:r w:rsidRPr="00B62F02">
        <w:rPr>
          <w:rFonts w:ascii="Arial" w:hAnsi="Arial" w:cs="Arial"/>
          <w:sz w:val="19"/>
          <w:szCs w:val="19"/>
          <w:lang w:val="es-ES"/>
        </w:rPr>
        <w:t xml:space="preserve">Entidad Estatal en los pliegos de condiciones debe indicar la forma como calificará, entre otros, los siguientes criterios: (a) la experiencia del interesado y del equipo de trabajo; y (b) la formación académica y las publicaciones técnicas y científicas del equipo de trabajo. </w:t>
      </w:r>
    </w:p>
    <w:p w14:paraId="55E93817" w14:textId="77777777" w:rsidR="00740000" w:rsidRPr="00B62F02" w:rsidRDefault="00740000" w:rsidP="00740000">
      <w:pPr>
        <w:pStyle w:val="Textonotapie"/>
        <w:ind w:firstLine="708"/>
        <w:jc w:val="both"/>
        <w:rPr>
          <w:rFonts w:ascii="Arial" w:hAnsi="Arial" w:cs="Arial"/>
          <w:sz w:val="19"/>
          <w:szCs w:val="19"/>
          <w:lang w:val="es-ES"/>
        </w:rPr>
      </w:pPr>
      <w:r w:rsidRPr="00B62F02">
        <w:rPr>
          <w:rFonts w:ascii="Arial" w:hAnsi="Arial" w:cs="Arial"/>
          <w:sz w:val="19"/>
          <w:szCs w:val="19"/>
          <w:lang w:val="es-ES"/>
        </w:rPr>
        <w:t xml:space="preserve">»2. La Entidad Estatal debe publicar durante tres (3) días hábiles el informe de evaluación, el cual debe contener la calificación técnica y el orden de elegibilidad. </w:t>
      </w:r>
    </w:p>
    <w:p w14:paraId="6F19AC5C" w14:textId="77777777" w:rsidR="00740000" w:rsidRPr="00B62F02" w:rsidRDefault="00740000" w:rsidP="00740000">
      <w:pPr>
        <w:pStyle w:val="Textonotapie"/>
        <w:ind w:firstLine="708"/>
        <w:jc w:val="both"/>
        <w:rPr>
          <w:rFonts w:ascii="Arial" w:hAnsi="Arial" w:cs="Arial"/>
          <w:sz w:val="19"/>
          <w:szCs w:val="19"/>
          <w:lang w:val="es-ES"/>
        </w:rPr>
      </w:pPr>
      <w:r w:rsidRPr="00B62F02">
        <w:rPr>
          <w:rFonts w:ascii="Arial" w:hAnsi="Arial" w:cs="Arial"/>
          <w:sz w:val="19"/>
          <w:szCs w:val="19"/>
          <w:lang w:val="es-ES"/>
        </w:rPr>
        <w:t>»3. La Entidad Estatal debe revisar la oferta económica y verificar que está en el rango del valor estimado consignado en los documentos y estudios previos y del presupuesto asignado para el contrato.</w:t>
      </w:r>
    </w:p>
    <w:p w14:paraId="46F635BD" w14:textId="77777777" w:rsidR="00740000" w:rsidRPr="00B62F02" w:rsidRDefault="00740000" w:rsidP="00740000">
      <w:pPr>
        <w:pStyle w:val="Textonotapie"/>
        <w:ind w:firstLine="708"/>
        <w:jc w:val="both"/>
        <w:rPr>
          <w:rFonts w:ascii="Arial" w:hAnsi="Arial" w:cs="Arial"/>
          <w:sz w:val="19"/>
          <w:szCs w:val="19"/>
          <w:lang w:val="es-ES"/>
        </w:rPr>
      </w:pPr>
      <w:r w:rsidRPr="00B62F02">
        <w:rPr>
          <w:rFonts w:ascii="Arial" w:hAnsi="Arial" w:cs="Arial"/>
          <w:sz w:val="19"/>
          <w:szCs w:val="19"/>
          <w:lang w:val="es-ES"/>
        </w:rPr>
        <w:t>»4. La Entidad Estatal debe revisar con el oferente calificado en el primer lugar de elegibilidad la coherencia y consistencia entre: (i) la necesidad identificada por la Entidad Estatal y el alcance de la oferta; (</w:t>
      </w:r>
      <w:proofErr w:type="spellStart"/>
      <w:r w:rsidRPr="00B62F02">
        <w:rPr>
          <w:rFonts w:ascii="Arial" w:hAnsi="Arial" w:cs="Arial"/>
          <w:sz w:val="19"/>
          <w:szCs w:val="19"/>
          <w:lang w:val="es-ES"/>
        </w:rPr>
        <w:t>ii</w:t>
      </w:r>
      <w:proofErr w:type="spellEnd"/>
      <w:r w:rsidRPr="00B62F02">
        <w:rPr>
          <w:rFonts w:ascii="Arial" w:hAnsi="Arial" w:cs="Arial"/>
          <w:sz w:val="19"/>
          <w:szCs w:val="19"/>
          <w:lang w:val="es-ES"/>
        </w:rPr>
        <w:t>) la consultoría y el precio ofrecidos; y (</w:t>
      </w:r>
      <w:proofErr w:type="spellStart"/>
      <w:r w:rsidRPr="00B62F02">
        <w:rPr>
          <w:rFonts w:ascii="Arial" w:hAnsi="Arial" w:cs="Arial"/>
          <w:sz w:val="19"/>
          <w:szCs w:val="19"/>
          <w:lang w:val="es-ES"/>
        </w:rPr>
        <w:t>iii</w:t>
      </w:r>
      <w:proofErr w:type="spellEnd"/>
      <w:r w:rsidRPr="00B62F02">
        <w:rPr>
          <w:rFonts w:ascii="Arial" w:hAnsi="Arial" w:cs="Arial"/>
          <w:sz w:val="19"/>
          <w:szCs w:val="19"/>
          <w:lang w:val="es-ES"/>
        </w:rPr>
        <w:t>) el precio ofrecido y la disponibilidad presupuestal del respectivo Proceso de Contratación. Si la Entidad Estatal y el oferente llegan a un acuerdo sobre el alcance y el valor del contrato, dejarán constancia de este y firmarán el contrato.</w:t>
      </w:r>
    </w:p>
    <w:p w14:paraId="6E787849" w14:textId="77777777" w:rsidR="00740000" w:rsidRPr="00B62F02" w:rsidRDefault="00740000" w:rsidP="00740000">
      <w:pPr>
        <w:pStyle w:val="Textonotapie"/>
        <w:ind w:firstLine="708"/>
        <w:jc w:val="both"/>
        <w:rPr>
          <w:rFonts w:ascii="Arial" w:hAnsi="Arial" w:cs="Arial"/>
          <w:sz w:val="19"/>
          <w:szCs w:val="19"/>
          <w:lang w:val="es-ES"/>
        </w:rPr>
      </w:pPr>
      <w:r w:rsidRPr="00B62F02">
        <w:rPr>
          <w:rFonts w:ascii="Arial" w:hAnsi="Arial" w:cs="Arial"/>
          <w:sz w:val="19"/>
          <w:szCs w:val="19"/>
          <w:lang w:val="es-ES"/>
        </w:rPr>
        <w:t>[…]»</w:t>
      </w:r>
    </w:p>
  </w:footnote>
  <w:footnote w:id="8">
    <w:p w14:paraId="29D8856B" w14:textId="77777777" w:rsidR="000957AD" w:rsidRDefault="000957AD" w:rsidP="000957AD">
      <w:pPr>
        <w:pStyle w:val="Textonotapie"/>
        <w:spacing w:after="60"/>
        <w:ind w:firstLine="709"/>
        <w:jc w:val="both"/>
        <w:rPr>
          <w:rFonts w:ascii="Arial" w:hAnsi="Arial" w:cs="Arial"/>
          <w:sz w:val="19"/>
          <w:szCs w:val="19"/>
        </w:rPr>
      </w:pPr>
    </w:p>
    <w:p w14:paraId="72831EBA" w14:textId="77777777" w:rsidR="000957AD" w:rsidRPr="00B62F02" w:rsidRDefault="000957AD" w:rsidP="000957AD">
      <w:pPr>
        <w:pStyle w:val="Textonotapie"/>
        <w:spacing w:after="60"/>
        <w:ind w:firstLine="709"/>
        <w:jc w:val="both"/>
        <w:rPr>
          <w:rFonts w:ascii="Arial" w:hAnsi="Arial" w:cs="Arial"/>
          <w:sz w:val="19"/>
          <w:szCs w:val="19"/>
        </w:rPr>
      </w:pPr>
      <w:r w:rsidRPr="00B62F02">
        <w:rPr>
          <w:rStyle w:val="Refdenotaalpie"/>
          <w:rFonts w:ascii="Arial" w:hAnsi="Arial" w:cs="Arial"/>
          <w:sz w:val="19"/>
          <w:szCs w:val="19"/>
        </w:rPr>
        <w:footnoteRef/>
      </w:r>
      <w:r w:rsidRPr="00B62F02">
        <w:rPr>
          <w:rFonts w:ascii="Arial" w:hAnsi="Arial" w:cs="Arial"/>
          <w:sz w:val="19"/>
          <w:szCs w:val="19"/>
        </w:rPr>
        <w:t xml:space="preserve"> Sobre el principio de proporcionalidad en la discrecionalidad administrativa la doctrina nacional ha señalado: «[…] resulta viable sostener que la facultad normativamente atribuida a la administración para confeccionar los pliegos de condiciones o sus equivalentes, en un procedimiento administrativo de selección de contratistas, permite ilustrar, de inigualable manera, la forma como ha de operar la discrecionalidad administrativa, siguiendo los parámetros recién aludidos: en primer lugar, las antecitadas normas de rango legal o reglamentario que regulan el contenido mínimo y los criterios a los cuales deben sujetarse la elaboración y la expedición de los referidos actos administrativos, en la medida en que son deliberadamente  incompletas, inacabadas o indeterminadas, defieren a la administración la responsabilidad de fijar, de manera discrecional, las reglas y los criterios que orientarán, a partir del pliego, cada proceso de selección en particular; en segundo término, la administración ejercerá esa facultad discrecional estableciendo, en los pliegos o en sus equivalentes, los mencionados reglas y criterios –objetivos y razonables, de forma completa, precisa y detallada– los cuales –los pliegos– completarán el supuesto de hecho de los preceptos normativos inacabados o incompletos que atribuyen la respectiva facultad, para regir tanto el proceso de selección del contratista como la celebración y ejecución del contrato. Según resulta evidente, esa actividad de la administración es materialmente normativa y en ella se concreta el ejercicio de la discrecionalidad.</w:t>
      </w:r>
    </w:p>
    <w:p w14:paraId="2B3EC300" w14:textId="77777777" w:rsidR="000957AD" w:rsidRPr="00B62F02" w:rsidRDefault="000957AD" w:rsidP="000957AD">
      <w:pPr>
        <w:pStyle w:val="Textonotapie"/>
        <w:ind w:firstLine="708"/>
        <w:jc w:val="both"/>
        <w:rPr>
          <w:rFonts w:ascii="Arial" w:hAnsi="Arial" w:cs="Arial"/>
          <w:sz w:val="19"/>
          <w:szCs w:val="19"/>
        </w:rPr>
      </w:pPr>
      <w:r w:rsidRPr="00B62F02">
        <w:rPr>
          <w:rFonts w:ascii="Arial" w:hAnsi="Arial" w:cs="Arial"/>
          <w:sz w:val="19"/>
          <w:szCs w:val="19"/>
        </w:rPr>
        <w:t xml:space="preserve">»Y,  en  tercer  término,  aquello  que  debe  hacer  la  administración  dentro  del procedimiento  administrativo  de  selección  de  contratistas  del  cual  se  trate,  es  subsumir –procedimiento de aplicación reglada  del derecho– en las normas legales completadas en su supuesto de hecho con los criterios objetivos y razonables  introducidos –en los pliegos de condiciones– por la entidad contratante en cada  caso concreto, los presupuestos fácticos de éste para adoptar, así, la decisión más  conveniente al interés general, lo cual, en materia de contratación estatal, supone, en especial, escoger la mejor propuesta de conformidad con los parámetros fijados  en los mencionados pliegos de condiciones o en sus documentos equivalentes». MARÍN HERNÁNDEZ, Hugo Alberto. Naturaleza jurídica de las facultades de la Administración para confeccionar pliego de condiciones. En: Revista digital de Derecho Administrativo. </w:t>
      </w:r>
      <w:proofErr w:type="spellStart"/>
      <w:r w:rsidRPr="00B62F02">
        <w:rPr>
          <w:rFonts w:ascii="Arial" w:hAnsi="Arial" w:cs="Arial"/>
          <w:sz w:val="19"/>
          <w:szCs w:val="19"/>
        </w:rPr>
        <w:t>Vol</w:t>
      </w:r>
      <w:proofErr w:type="spellEnd"/>
      <w:r w:rsidRPr="00B62F02">
        <w:rPr>
          <w:rFonts w:ascii="Arial" w:hAnsi="Arial" w:cs="Arial"/>
          <w:sz w:val="19"/>
          <w:szCs w:val="19"/>
        </w:rPr>
        <w:t xml:space="preserve"> I. </w:t>
      </w:r>
      <w:proofErr w:type="spellStart"/>
      <w:r w:rsidRPr="00B62F02">
        <w:rPr>
          <w:rFonts w:ascii="Arial" w:hAnsi="Arial" w:cs="Arial"/>
          <w:sz w:val="19"/>
          <w:szCs w:val="19"/>
        </w:rPr>
        <w:t>Bogota</w:t>
      </w:r>
      <w:proofErr w:type="spellEnd"/>
      <w:r w:rsidRPr="00B62F02">
        <w:rPr>
          <w:rFonts w:ascii="Arial" w:hAnsi="Arial" w:cs="Arial"/>
          <w:sz w:val="19"/>
          <w:szCs w:val="19"/>
        </w:rPr>
        <w:t xml:space="preserve">: Universidad Externado de Colombia, 2008. pp. 13-14.  </w:t>
      </w:r>
    </w:p>
    <w:p w14:paraId="21CBB38A" w14:textId="77777777" w:rsidR="000957AD" w:rsidRPr="00B62F02" w:rsidRDefault="000957AD" w:rsidP="000957AD">
      <w:pPr>
        <w:pStyle w:val="Textonotapie"/>
        <w:rPr>
          <w:rFonts w:ascii="Arial" w:hAnsi="Arial" w:cs="Arial"/>
          <w:sz w:val="19"/>
          <w:szCs w:val="19"/>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6F3E44" w:rsidRDefault="006F3E44">
    <w:pPr>
      <w:pStyle w:val="Encabezado"/>
    </w:pPr>
    <w:r>
      <w:rPr>
        <w:noProof/>
        <w:lang w:val="en-US"/>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4A52DAB"/>
    <w:multiLevelType w:val="hybridMultilevel"/>
    <w:tmpl w:val="CAFA1AC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0E748BA"/>
    <w:multiLevelType w:val="multilevel"/>
    <w:tmpl w:val="97C8670A"/>
    <w:lvl w:ilvl="0">
      <w:start w:val="2"/>
      <w:numFmt w:val="decimal"/>
      <w:lvlText w:val="%1."/>
      <w:lvlJc w:val="left"/>
      <w:pPr>
        <w:ind w:left="13016" w:hanging="400"/>
      </w:pPr>
      <w:rPr>
        <w:rFonts w:eastAsiaTheme="minorHAnsi" w:hint="default"/>
      </w:rPr>
    </w:lvl>
    <w:lvl w:ilvl="1">
      <w:start w:val="1"/>
      <w:numFmt w:val="decimal"/>
      <w:lvlText w:val="%1.%2."/>
      <w:lvlJc w:val="left"/>
      <w:pPr>
        <w:ind w:left="13336" w:hanging="720"/>
      </w:pPr>
      <w:rPr>
        <w:rFonts w:eastAsiaTheme="minorHAnsi" w:hint="default"/>
      </w:rPr>
    </w:lvl>
    <w:lvl w:ilvl="2">
      <w:start w:val="1"/>
      <w:numFmt w:val="decimal"/>
      <w:lvlText w:val="%1.%2.%3."/>
      <w:lvlJc w:val="left"/>
      <w:pPr>
        <w:ind w:left="13336" w:hanging="720"/>
      </w:pPr>
      <w:rPr>
        <w:rFonts w:eastAsiaTheme="minorHAnsi" w:hint="default"/>
      </w:rPr>
    </w:lvl>
    <w:lvl w:ilvl="3">
      <w:start w:val="1"/>
      <w:numFmt w:val="decimal"/>
      <w:lvlText w:val="%1.%2.%3.%4."/>
      <w:lvlJc w:val="left"/>
      <w:pPr>
        <w:ind w:left="13696" w:hanging="1080"/>
      </w:pPr>
      <w:rPr>
        <w:rFonts w:eastAsiaTheme="minorHAnsi" w:hint="default"/>
      </w:rPr>
    </w:lvl>
    <w:lvl w:ilvl="4">
      <w:start w:val="1"/>
      <w:numFmt w:val="decimal"/>
      <w:lvlText w:val="%1.%2.%3.%4.%5."/>
      <w:lvlJc w:val="left"/>
      <w:pPr>
        <w:ind w:left="13696" w:hanging="1080"/>
      </w:pPr>
      <w:rPr>
        <w:rFonts w:eastAsiaTheme="minorHAnsi" w:hint="default"/>
      </w:rPr>
    </w:lvl>
    <w:lvl w:ilvl="5">
      <w:start w:val="1"/>
      <w:numFmt w:val="decimal"/>
      <w:lvlText w:val="%1.%2.%3.%4.%5.%6."/>
      <w:lvlJc w:val="left"/>
      <w:pPr>
        <w:ind w:left="14056" w:hanging="1440"/>
      </w:pPr>
      <w:rPr>
        <w:rFonts w:eastAsiaTheme="minorHAnsi" w:hint="default"/>
      </w:rPr>
    </w:lvl>
    <w:lvl w:ilvl="6">
      <w:start w:val="1"/>
      <w:numFmt w:val="decimal"/>
      <w:lvlText w:val="%1.%2.%3.%4.%5.%6.%7."/>
      <w:lvlJc w:val="left"/>
      <w:pPr>
        <w:ind w:left="14056" w:hanging="1440"/>
      </w:pPr>
      <w:rPr>
        <w:rFonts w:eastAsiaTheme="minorHAnsi" w:hint="default"/>
      </w:rPr>
    </w:lvl>
    <w:lvl w:ilvl="7">
      <w:start w:val="1"/>
      <w:numFmt w:val="decimal"/>
      <w:lvlText w:val="%1.%2.%3.%4.%5.%6.%7.%8."/>
      <w:lvlJc w:val="left"/>
      <w:pPr>
        <w:ind w:left="14416" w:hanging="1800"/>
      </w:pPr>
      <w:rPr>
        <w:rFonts w:eastAsiaTheme="minorHAnsi" w:hint="default"/>
      </w:rPr>
    </w:lvl>
    <w:lvl w:ilvl="8">
      <w:start w:val="1"/>
      <w:numFmt w:val="decimal"/>
      <w:lvlText w:val="%1.%2.%3.%4.%5.%6.%7.%8.%9."/>
      <w:lvlJc w:val="left"/>
      <w:pPr>
        <w:ind w:left="14776" w:hanging="2160"/>
      </w:pPr>
      <w:rPr>
        <w:rFonts w:eastAsiaTheme="minorHAnsi" w:hint="default"/>
      </w:rPr>
    </w:lvl>
  </w:abstractNum>
  <w:abstractNum w:abstractNumId="2"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3" w15:restartNumberingAfterBreak="0">
    <w:nsid w:val="02412943"/>
    <w:multiLevelType w:val="hybridMultilevel"/>
    <w:tmpl w:val="3AAC6516"/>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061A34E7"/>
    <w:multiLevelType w:val="multilevel"/>
    <w:tmpl w:val="9852F0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84153D9"/>
    <w:multiLevelType w:val="hybridMultilevel"/>
    <w:tmpl w:val="19B6BD7E"/>
    <w:lvl w:ilvl="0" w:tplc="7F44D50E">
      <w:start w:val="1"/>
      <w:numFmt w:val="lowerRoman"/>
      <w:lvlText w:val="%1)"/>
      <w:lvlJc w:val="left"/>
      <w:pPr>
        <w:ind w:left="1425" w:hanging="72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6" w15:restartNumberingAfterBreak="0">
    <w:nsid w:val="0B4500CD"/>
    <w:multiLevelType w:val="multilevel"/>
    <w:tmpl w:val="CB784AA0"/>
    <w:lvl w:ilvl="0">
      <w:start w:val="2"/>
      <w:numFmt w:val="decimal"/>
      <w:lvlText w:val="%1"/>
      <w:lvlJc w:val="left"/>
      <w:pPr>
        <w:ind w:left="480" w:hanging="480"/>
      </w:pPr>
      <w:rPr>
        <w:rFonts w:eastAsia="MS Mincho" w:hint="default"/>
      </w:rPr>
    </w:lvl>
    <w:lvl w:ilvl="1">
      <w:start w:val="2"/>
      <w:numFmt w:val="decimal"/>
      <w:lvlText w:val="%1.%2"/>
      <w:lvlJc w:val="left"/>
      <w:pPr>
        <w:ind w:left="480" w:hanging="480"/>
      </w:pPr>
      <w:rPr>
        <w:rFonts w:eastAsia="MS Mincho" w:hint="default"/>
      </w:rPr>
    </w:lvl>
    <w:lvl w:ilvl="2">
      <w:start w:val="2"/>
      <w:numFmt w:val="decimal"/>
      <w:lvlText w:val="%1.%2.%3"/>
      <w:lvlJc w:val="left"/>
      <w:pPr>
        <w:ind w:left="720" w:hanging="720"/>
      </w:pPr>
      <w:rPr>
        <w:rFonts w:eastAsia="MS Mincho" w:hint="default"/>
      </w:rPr>
    </w:lvl>
    <w:lvl w:ilvl="3">
      <w:start w:val="1"/>
      <w:numFmt w:val="decimal"/>
      <w:lvlText w:val="%1.%2.%3.%4"/>
      <w:lvlJc w:val="left"/>
      <w:pPr>
        <w:ind w:left="720" w:hanging="720"/>
      </w:pPr>
      <w:rPr>
        <w:rFonts w:eastAsia="MS Mincho" w:hint="default"/>
      </w:rPr>
    </w:lvl>
    <w:lvl w:ilvl="4">
      <w:start w:val="1"/>
      <w:numFmt w:val="decimal"/>
      <w:lvlText w:val="%1.%2.%3.%4.%5"/>
      <w:lvlJc w:val="left"/>
      <w:pPr>
        <w:ind w:left="1080" w:hanging="1080"/>
      </w:pPr>
      <w:rPr>
        <w:rFonts w:eastAsia="MS Mincho" w:hint="default"/>
      </w:rPr>
    </w:lvl>
    <w:lvl w:ilvl="5">
      <w:start w:val="1"/>
      <w:numFmt w:val="decimal"/>
      <w:lvlText w:val="%1.%2.%3.%4.%5.%6"/>
      <w:lvlJc w:val="left"/>
      <w:pPr>
        <w:ind w:left="1080" w:hanging="1080"/>
      </w:pPr>
      <w:rPr>
        <w:rFonts w:eastAsia="MS Mincho" w:hint="default"/>
      </w:rPr>
    </w:lvl>
    <w:lvl w:ilvl="6">
      <w:start w:val="1"/>
      <w:numFmt w:val="decimal"/>
      <w:lvlText w:val="%1.%2.%3.%4.%5.%6.%7"/>
      <w:lvlJc w:val="left"/>
      <w:pPr>
        <w:ind w:left="1440" w:hanging="1440"/>
      </w:pPr>
      <w:rPr>
        <w:rFonts w:eastAsia="MS Mincho" w:hint="default"/>
      </w:rPr>
    </w:lvl>
    <w:lvl w:ilvl="7">
      <w:start w:val="1"/>
      <w:numFmt w:val="decimal"/>
      <w:lvlText w:val="%1.%2.%3.%4.%5.%6.%7.%8"/>
      <w:lvlJc w:val="left"/>
      <w:pPr>
        <w:ind w:left="1440" w:hanging="1440"/>
      </w:pPr>
      <w:rPr>
        <w:rFonts w:eastAsia="MS Mincho" w:hint="default"/>
      </w:rPr>
    </w:lvl>
    <w:lvl w:ilvl="8">
      <w:start w:val="1"/>
      <w:numFmt w:val="decimal"/>
      <w:lvlText w:val="%1.%2.%3.%4.%5.%6.%7.%8.%9"/>
      <w:lvlJc w:val="left"/>
      <w:pPr>
        <w:ind w:left="1800" w:hanging="1800"/>
      </w:pPr>
      <w:rPr>
        <w:rFonts w:eastAsia="MS Mincho" w:hint="default"/>
      </w:rPr>
    </w:lvl>
  </w:abstractNum>
  <w:abstractNum w:abstractNumId="7" w15:restartNumberingAfterBreak="0">
    <w:nsid w:val="0DC73F5C"/>
    <w:multiLevelType w:val="multilevel"/>
    <w:tmpl w:val="F58A38D0"/>
    <w:lvl w:ilvl="0">
      <w:start w:val="1"/>
      <w:numFmt w:val="decimal"/>
      <w:lvlText w:val="%1."/>
      <w:lvlJc w:val="left"/>
      <w:pPr>
        <w:ind w:left="360" w:hanging="360"/>
      </w:pPr>
      <w:rPr>
        <w:rFonts w:hint="default"/>
        <w:b/>
        <w:color w:val="000000" w:themeColor="text1"/>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0E4B4E17"/>
    <w:multiLevelType w:val="hybridMultilevel"/>
    <w:tmpl w:val="5D697817"/>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11" w15:restartNumberingAfterBreak="0">
    <w:nsid w:val="19A62787"/>
    <w:multiLevelType w:val="hybridMultilevel"/>
    <w:tmpl w:val="38068B1A"/>
    <w:lvl w:ilvl="0" w:tplc="240A0001">
      <w:start w:val="1"/>
      <w:numFmt w:val="bullet"/>
      <w:lvlText w:val=""/>
      <w:lvlJc w:val="left"/>
      <w:pPr>
        <w:ind w:left="1440" w:hanging="360"/>
      </w:pPr>
      <w:rPr>
        <w:rFonts w:ascii="Symbol" w:hAnsi="Symbol" w:hint="default"/>
      </w:rPr>
    </w:lvl>
    <w:lvl w:ilvl="1" w:tplc="240A0003" w:tentative="1">
      <w:start w:val="1"/>
      <w:numFmt w:val="bullet"/>
      <w:lvlText w:val="o"/>
      <w:lvlJc w:val="left"/>
      <w:pPr>
        <w:ind w:left="2160" w:hanging="360"/>
      </w:pPr>
      <w:rPr>
        <w:rFonts w:ascii="Courier New" w:hAnsi="Courier New" w:cs="Courier New" w:hint="default"/>
      </w:rPr>
    </w:lvl>
    <w:lvl w:ilvl="2" w:tplc="240A0005" w:tentative="1">
      <w:start w:val="1"/>
      <w:numFmt w:val="bullet"/>
      <w:lvlText w:val=""/>
      <w:lvlJc w:val="left"/>
      <w:pPr>
        <w:ind w:left="2880" w:hanging="360"/>
      </w:pPr>
      <w:rPr>
        <w:rFonts w:ascii="Wingdings" w:hAnsi="Wingdings" w:hint="default"/>
      </w:rPr>
    </w:lvl>
    <w:lvl w:ilvl="3" w:tplc="240A0001" w:tentative="1">
      <w:start w:val="1"/>
      <w:numFmt w:val="bullet"/>
      <w:lvlText w:val=""/>
      <w:lvlJc w:val="left"/>
      <w:pPr>
        <w:ind w:left="3600" w:hanging="360"/>
      </w:pPr>
      <w:rPr>
        <w:rFonts w:ascii="Symbol" w:hAnsi="Symbol" w:hint="default"/>
      </w:rPr>
    </w:lvl>
    <w:lvl w:ilvl="4" w:tplc="240A0003" w:tentative="1">
      <w:start w:val="1"/>
      <w:numFmt w:val="bullet"/>
      <w:lvlText w:val="o"/>
      <w:lvlJc w:val="left"/>
      <w:pPr>
        <w:ind w:left="4320" w:hanging="360"/>
      </w:pPr>
      <w:rPr>
        <w:rFonts w:ascii="Courier New" w:hAnsi="Courier New" w:cs="Courier New" w:hint="default"/>
      </w:rPr>
    </w:lvl>
    <w:lvl w:ilvl="5" w:tplc="240A0005" w:tentative="1">
      <w:start w:val="1"/>
      <w:numFmt w:val="bullet"/>
      <w:lvlText w:val=""/>
      <w:lvlJc w:val="left"/>
      <w:pPr>
        <w:ind w:left="5040" w:hanging="360"/>
      </w:pPr>
      <w:rPr>
        <w:rFonts w:ascii="Wingdings" w:hAnsi="Wingdings" w:hint="default"/>
      </w:rPr>
    </w:lvl>
    <w:lvl w:ilvl="6" w:tplc="240A0001" w:tentative="1">
      <w:start w:val="1"/>
      <w:numFmt w:val="bullet"/>
      <w:lvlText w:val=""/>
      <w:lvlJc w:val="left"/>
      <w:pPr>
        <w:ind w:left="5760" w:hanging="360"/>
      </w:pPr>
      <w:rPr>
        <w:rFonts w:ascii="Symbol" w:hAnsi="Symbol" w:hint="default"/>
      </w:rPr>
    </w:lvl>
    <w:lvl w:ilvl="7" w:tplc="240A0003" w:tentative="1">
      <w:start w:val="1"/>
      <w:numFmt w:val="bullet"/>
      <w:lvlText w:val="o"/>
      <w:lvlJc w:val="left"/>
      <w:pPr>
        <w:ind w:left="6480" w:hanging="360"/>
      </w:pPr>
      <w:rPr>
        <w:rFonts w:ascii="Courier New" w:hAnsi="Courier New" w:cs="Courier New" w:hint="default"/>
      </w:rPr>
    </w:lvl>
    <w:lvl w:ilvl="8" w:tplc="240A0005" w:tentative="1">
      <w:start w:val="1"/>
      <w:numFmt w:val="bullet"/>
      <w:lvlText w:val=""/>
      <w:lvlJc w:val="left"/>
      <w:pPr>
        <w:ind w:left="7200" w:hanging="360"/>
      </w:pPr>
      <w:rPr>
        <w:rFonts w:ascii="Wingdings" w:hAnsi="Wingdings" w:hint="default"/>
      </w:rPr>
    </w:lvl>
  </w:abstractNum>
  <w:abstractNum w:abstractNumId="12" w15:restartNumberingAfterBreak="0">
    <w:nsid w:val="19C6709D"/>
    <w:multiLevelType w:val="hybridMultilevel"/>
    <w:tmpl w:val="1FDA541E"/>
    <w:lvl w:ilvl="0" w:tplc="5A0C052C">
      <w:start w:val="1"/>
      <w:numFmt w:val="bullet"/>
      <w:lvlText w:val=""/>
      <w:lvlJc w:val="left"/>
      <w:pPr>
        <w:ind w:left="720" w:hanging="360"/>
      </w:pPr>
      <w:rPr>
        <w:rFonts w:ascii="Symbol" w:hAnsi="Symbol" w:hint="default"/>
      </w:rPr>
    </w:lvl>
    <w:lvl w:ilvl="1" w:tplc="C2862920">
      <w:start w:val="1"/>
      <w:numFmt w:val="bullet"/>
      <w:lvlText w:val="o"/>
      <w:lvlJc w:val="left"/>
      <w:pPr>
        <w:ind w:left="1440" w:hanging="360"/>
      </w:pPr>
      <w:rPr>
        <w:rFonts w:ascii="Courier New" w:hAnsi="Courier New" w:hint="default"/>
      </w:rPr>
    </w:lvl>
    <w:lvl w:ilvl="2" w:tplc="15F82430">
      <w:start w:val="1"/>
      <w:numFmt w:val="bullet"/>
      <w:lvlText w:val=""/>
      <w:lvlJc w:val="left"/>
      <w:pPr>
        <w:ind w:left="2160" w:hanging="360"/>
      </w:pPr>
      <w:rPr>
        <w:rFonts w:ascii="Wingdings" w:hAnsi="Wingdings" w:hint="default"/>
      </w:rPr>
    </w:lvl>
    <w:lvl w:ilvl="3" w:tplc="A0823E82">
      <w:start w:val="1"/>
      <w:numFmt w:val="bullet"/>
      <w:lvlText w:val=""/>
      <w:lvlJc w:val="left"/>
      <w:pPr>
        <w:ind w:left="2880" w:hanging="360"/>
      </w:pPr>
      <w:rPr>
        <w:rFonts w:ascii="Symbol" w:hAnsi="Symbol" w:hint="default"/>
      </w:rPr>
    </w:lvl>
    <w:lvl w:ilvl="4" w:tplc="4A46BDF6">
      <w:start w:val="1"/>
      <w:numFmt w:val="bullet"/>
      <w:lvlText w:val="o"/>
      <w:lvlJc w:val="left"/>
      <w:pPr>
        <w:ind w:left="3600" w:hanging="360"/>
      </w:pPr>
      <w:rPr>
        <w:rFonts w:ascii="Courier New" w:hAnsi="Courier New" w:hint="default"/>
      </w:rPr>
    </w:lvl>
    <w:lvl w:ilvl="5" w:tplc="28FE1CAE">
      <w:start w:val="1"/>
      <w:numFmt w:val="bullet"/>
      <w:lvlText w:val=""/>
      <w:lvlJc w:val="left"/>
      <w:pPr>
        <w:ind w:left="4320" w:hanging="360"/>
      </w:pPr>
      <w:rPr>
        <w:rFonts w:ascii="Wingdings" w:hAnsi="Wingdings" w:hint="default"/>
      </w:rPr>
    </w:lvl>
    <w:lvl w:ilvl="6" w:tplc="C5E42D50">
      <w:start w:val="1"/>
      <w:numFmt w:val="bullet"/>
      <w:lvlText w:val=""/>
      <w:lvlJc w:val="left"/>
      <w:pPr>
        <w:ind w:left="5040" w:hanging="360"/>
      </w:pPr>
      <w:rPr>
        <w:rFonts w:ascii="Symbol" w:hAnsi="Symbol" w:hint="default"/>
      </w:rPr>
    </w:lvl>
    <w:lvl w:ilvl="7" w:tplc="E168116C">
      <w:start w:val="1"/>
      <w:numFmt w:val="bullet"/>
      <w:lvlText w:val="o"/>
      <w:lvlJc w:val="left"/>
      <w:pPr>
        <w:ind w:left="5760" w:hanging="360"/>
      </w:pPr>
      <w:rPr>
        <w:rFonts w:ascii="Courier New" w:hAnsi="Courier New" w:hint="default"/>
      </w:rPr>
    </w:lvl>
    <w:lvl w:ilvl="8" w:tplc="C8865674">
      <w:start w:val="1"/>
      <w:numFmt w:val="bullet"/>
      <w:lvlText w:val=""/>
      <w:lvlJc w:val="left"/>
      <w:pPr>
        <w:ind w:left="6480" w:hanging="360"/>
      </w:pPr>
      <w:rPr>
        <w:rFonts w:ascii="Wingdings" w:hAnsi="Wingdings" w:hint="default"/>
      </w:rPr>
    </w:lvl>
  </w:abstractNum>
  <w:abstractNum w:abstractNumId="1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16" w15:restartNumberingAfterBreak="0">
    <w:nsid w:val="284B7E21"/>
    <w:multiLevelType w:val="hybridMultilevel"/>
    <w:tmpl w:val="2AEC1E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1B41044"/>
    <w:multiLevelType w:val="hybridMultilevel"/>
    <w:tmpl w:val="836404E2"/>
    <w:lvl w:ilvl="0" w:tplc="0C0A0001">
      <w:start w:val="1"/>
      <w:numFmt w:val="bullet"/>
      <w:lvlText w:val=""/>
      <w:lvlJc w:val="left"/>
      <w:pPr>
        <w:ind w:left="578" w:hanging="360"/>
      </w:pPr>
      <w:rPr>
        <w:rFonts w:ascii="Symbol" w:hAnsi="Symbol" w:hint="default"/>
      </w:rPr>
    </w:lvl>
    <w:lvl w:ilvl="1" w:tplc="0C0A0003" w:tentative="1">
      <w:start w:val="1"/>
      <w:numFmt w:val="bullet"/>
      <w:lvlText w:val="o"/>
      <w:lvlJc w:val="left"/>
      <w:pPr>
        <w:ind w:left="1298" w:hanging="360"/>
      </w:pPr>
      <w:rPr>
        <w:rFonts w:ascii="Courier New" w:hAnsi="Courier New" w:hint="default"/>
      </w:rPr>
    </w:lvl>
    <w:lvl w:ilvl="2" w:tplc="0C0A0005" w:tentative="1">
      <w:start w:val="1"/>
      <w:numFmt w:val="bullet"/>
      <w:lvlText w:val=""/>
      <w:lvlJc w:val="left"/>
      <w:pPr>
        <w:ind w:left="2018" w:hanging="360"/>
      </w:pPr>
      <w:rPr>
        <w:rFonts w:ascii="Wingdings" w:hAnsi="Wingdings" w:hint="default"/>
      </w:rPr>
    </w:lvl>
    <w:lvl w:ilvl="3" w:tplc="0C0A0001" w:tentative="1">
      <w:start w:val="1"/>
      <w:numFmt w:val="bullet"/>
      <w:lvlText w:val=""/>
      <w:lvlJc w:val="left"/>
      <w:pPr>
        <w:ind w:left="2738" w:hanging="360"/>
      </w:pPr>
      <w:rPr>
        <w:rFonts w:ascii="Symbol" w:hAnsi="Symbol" w:hint="default"/>
      </w:rPr>
    </w:lvl>
    <w:lvl w:ilvl="4" w:tplc="0C0A0003" w:tentative="1">
      <w:start w:val="1"/>
      <w:numFmt w:val="bullet"/>
      <w:lvlText w:val="o"/>
      <w:lvlJc w:val="left"/>
      <w:pPr>
        <w:ind w:left="3458" w:hanging="360"/>
      </w:pPr>
      <w:rPr>
        <w:rFonts w:ascii="Courier New" w:hAnsi="Courier New" w:hint="default"/>
      </w:rPr>
    </w:lvl>
    <w:lvl w:ilvl="5" w:tplc="0C0A0005" w:tentative="1">
      <w:start w:val="1"/>
      <w:numFmt w:val="bullet"/>
      <w:lvlText w:val=""/>
      <w:lvlJc w:val="left"/>
      <w:pPr>
        <w:ind w:left="4178" w:hanging="360"/>
      </w:pPr>
      <w:rPr>
        <w:rFonts w:ascii="Wingdings" w:hAnsi="Wingdings" w:hint="default"/>
      </w:rPr>
    </w:lvl>
    <w:lvl w:ilvl="6" w:tplc="0C0A0001" w:tentative="1">
      <w:start w:val="1"/>
      <w:numFmt w:val="bullet"/>
      <w:lvlText w:val=""/>
      <w:lvlJc w:val="left"/>
      <w:pPr>
        <w:ind w:left="4898" w:hanging="360"/>
      </w:pPr>
      <w:rPr>
        <w:rFonts w:ascii="Symbol" w:hAnsi="Symbol" w:hint="default"/>
      </w:rPr>
    </w:lvl>
    <w:lvl w:ilvl="7" w:tplc="0C0A0003" w:tentative="1">
      <w:start w:val="1"/>
      <w:numFmt w:val="bullet"/>
      <w:lvlText w:val="o"/>
      <w:lvlJc w:val="left"/>
      <w:pPr>
        <w:ind w:left="5618" w:hanging="360"/>
      </w:pPr>
      <w:rPr>
        <w:rFonts w:ascii="Courier New" w:hAnsi="Courier New" w:hint="default"/>
      </w:rPr>
    </w:lvl>
    <w:lvl w:ilvl="8" w:tplc="0C0A0005" w:tentative="1">
      <w:start w:val="1"/>
      <w:numFmt w:val="bullet"/>
      <w:lvlText w:val=""/>
      <w:lvlJc w:val="left"/>
      <w:pPr>
        <w:ind w:left="6338" w:hanging="360"/>
      </w:pPr>
      <w:rPr>
        <w:rFonts w:ascii="Wingdings" w:hAnsi="Wingdings" w:hint="default"/>
      </w:rPr>
    </w:lvl>
  </w:abstractNum>
  <w:abstractNum w:abstractNumId="2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22" w15:restartNumberingAfterBreak="0">
    <w:nsid w:val="3D505497"/>
    <w:multiLevelType w:val="hybridMultilevel"/>
    <w:tmpl w:val="62A02EE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3" w15:restartNumberingAfterBreak="0">
    <w:nsid w:val="418969F5"/>
    <w:multiLevelType w:val="hybridMultilevel"/>
    <w:tmpl w:val="4A283896"/>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4" w15:restartNumberingAfterBreak="0">
    <w:nsid w:val="41A47159"/>
    <w:multiLevelType w:val="hybridMultilevel"/>
    <w:tmpl w:val="CBA4F53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5"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42D82879"/>
    <w:multiLevelType w:val="multilevel"/>
    <w:tmpl w:val="E758BE10"/>
    <w:lvl w:ilvl="0">
      <w:start w:val="2"/>
      <w:numFmt w:val="decimal"/>
      <w:lvlText w:val="%1."/>
      <w:lvlJc w:val="left"/>
      <w:pPr>
        <w:ind w:left="540" w:hanging="54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8"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9" w15:restartNumberingAfterBreak="0">
    <w:nsid w:val="4BDC0906"/>
    <w:multiLevelType w:val="hybridMultilevel"/>
    <w:tmpl w:val="CCCEB75C"/>
    <w:lvl w:ilvl="0" w:tplc="240A0015">
      <w:start w:val="1"/>
      <w:numFmt w:val="upperLetter"/>
      <w:lvlText w:val="%1."/>
      <w:lvlJc w:val="left"/>
      <w:pPr>
        <w:ind w:left="720" w:hanging="360"/>
      </w:pPr>
    </w:lvl>
    <w:lvl w:ilvl="1" w:tplc="240A0019">
      <w:start w:val="1"/>
      <w:numFmt w:val="lowerLetter"/>
      <w:lvlText w:val="%2."/>
      <w:lvlJc w:val="left"/>
      <w:pPr>
        <w:ind w:left="1440" w:hanging="360"/>
      </w:pPr>
    </w:lvl>
    <w:lvl w:ilvl="2" w:tplc="240A001B">
      <w:start w:val="1"/>
      <w:numFmt w:val="lowerRoman"/>
      <w:lvlText w:val="%3."/>
      <w:lvlJc w:val="right"/>
      <w:pPr>
        <w:ind w:left="2160" w:hanging="180"/>
      </w:pPr>
    </w:lvl>
    <w:lvl w:ilvl="3" w:tplc="240A000F">
      <w:start w:val="1"/>
      <w:numFmt w:val="decimal"/>
      <w:lvlText w:val="%4."/>
      <w:lvlJc w:val="left"/>
      <w:pPr>
        <w:ind w:left="2880" w:hanging="360"/>
      </w:pPr>
    </w:lvl>
    <w:lvl w:ilvl="4" w:tplc="240A0019">
      <w:start w:val="1"/>
      <w:numFmt w:val="lowerLetter"/>
      <w:lvlText w:val="%5."/>
      <w:lvlJc w:val="left"/>
      <w:pPr>
        <w:ind w:left="3600" w:hanging="360"/>
      </w:pPr>
    </w:lvl>
    <w:lvl w:ilvl="5" w:tplc="240A001B">
      <w:start w:val="1"/>
      <w:numFmt w:val="lowerRoman"/>
      <w:lvlText w:val="%6."/>
      <w:lvlJc w:val="right"/>
      <w:pPr>
        <w:ind w:left="4320" w:hanging="180"/>
      </w:pPr>
    </w:lvl>
    <w:lvl w:ilvl="6" w:tplc="240A000F">
      <w:start w:val="1"/>
      <w:numFmt w:val="decimal"/>
      <w:lvlText w:val="%7."/>
      <w:lvlJc w:val="left"/>
      <w:pPr>
        <w:ind w:left="5040" w:hanging="360"/>
      </w:pPr>
    </w:lvl>
    <w:lvl w:ilvl="7" w:tplc="240A0019">
      <w:start w:val="1"/>
      <w:numFmt w:val="lowerLetter"/>
      <w:lvlText w:val="%8."/>
      <w:lvlJc w:val="left"/>
      <w:pPr>
        <w:ind w:left="5760" w:hanging="360"/>
      </w:pPr>
    </w:lvl>
    <w:lvl w:ilvl="8" w:tplc="240A001B">
      <w:start w:val="1"/>
      <w:numFmt w:val="lowerRoman"/>
      <w:lvlText w:val="%9."/>
      <w:lvlJc w:val="right"/>
      <w:pPr>
        <w:ind w:left="6480" w:hanging="180"/>
      </w:pPr>
    </w:lvl>
  </w:abstractNum>
  <w:abstractNum w:abstractNumId="30" w15:restartNumberingAfterBreak="0">
    <w:nsid w:val="4F1E09F2"/>
    <w:multiLevelType w:val="multilevel"/>
    <w:tmpl w:val="959607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1915CBF"/>
    <w:multiLevelType w:val="multilevel"/>
    <w:tmpl w:val="CDD4E5D0"/>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15:restartNumberingAfterBreak="0">
    <w:nsid w:val="519E6832"/>
    <w:multiLevelType w:val="hybridMultilevel"/>
    <w:tmpl w:val="2864F6F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3"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5" w15:restartNumberingAfterBreak="0">
    <w:nsid w:val="597D4B97"/>
    <w:multiLevelType w:val="multilevel"/>
    <w:tmpl w:val="576C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7"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8"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9" w15:restartNumberingAfterBreak="0">
    <w:nsid w:val="70C9241D"/>
    <w:multiLevelType w:val="hybridMultilevel"/>
    <w:tmpl w:val="B0B487B8"/>
    <w:lvl w:ilvl="0" w:tplc="AAC4AE08">
      <w:start w:val="1"/>
      <w:numFmt w:val="lowerRoman"/>
      <w:lvlText w:val="%1."/>
      <w:lvlJc w:val="right"/>
      <w:pPr>
        <w:ind w:left="1429" w:hanging="360"/>
      </w:pPr>
      <w:rPr>
        <w:rFonts w:ascii="Arial" w:eastAsia="Calibri" w:hAnsi="Arial" w:cs="Arial"/>
      </w:rPr>
    </w:lvl>
    <w:lvl w:ilvl="1" w:tplc="040A0019" w:tentative="1">
      <w:start w:val="1"/>
      <w:numFmt w:val="lowerLetter"/>
      <w:lvlText w:val="%2."/>
      <w:lvlJc w:val="left"/>
      <w:pPr>
        <w:ind w:left="2149" w:hanging="360"/>
      </w:pPr>
    </w:lvl>
    <w:lvl w:ilvl="2" w:tplc="040A001B" w:tentative="1">
      <w:start w:val="1"/>
      <w:numFmt w:val="lowerRoman"/>
      <w:lvlText w:val="%3."/>
      <w:lvlJc w:val="right"/>
      <w:pPr>
        <w:ind w:left="2869" w:hanging="180"/>
      </w:pPr>
    </w:lvl>
    <w:lvl w:ilvl="3" w:tplc="040A000F" w:tentative="1">
      <w:start w:val="1"/>
      <w:numFmt w:val="decimal"/>
      <w:lvlText w:val="%4."/>
      <w:lvlJc w:val="left"/>
      <w:pPr>
        <w:ind w:left="3589" w:hanging="360"/>
      </w:pPr>
    </w:lvl>
    <w:lvl w:ilvl="4" w:tplc="040A0019" w:tentative="1">
      <w:start w:val="1"/>
      <w:numFmt w:val="lowerLetter"/>
      <w:lvlText w:val="%5."/>
      <w:lvlJc w:val="left"/>
      <w:pPr>
        <w:ind w:left="4309" w:hanging="360"/>
      </w:pPr>
    </w:lvl>
    <w:lvl w:ilvl="5" w:tplc="040A001B" w:tentative="1">
      <w:start w:val="1"/>
      <w:numFmt w:val="lowerRoman"/>
      <w:lvlText w:val="%6."/>
      <w:lvlJc w:val="right"/>
      <w:pPr>
        <w:ind w:left="5029" w:hanging="180"/>
      </w:pPr>
    </w:lvl>
    <w:lvl w:ilvl="6" w:tplc="040A000F" w:tentative="1">
      <w:start w:val="1"/>
      <w:numFmt w:val="decimal"/>
      <w:lvlText w:val="%7."/>
      <w:lvlJc w:val="left"/>
      <w:pPr>
        <w:ind w:left="5749" w:hanging="360"/>
      </w:pPr>
    </w:lvl>
    <w:lvl w:ilvl="7" w:tplc="040A0019" w:tentative="1">
      <w:start w:val="1"/>
      <w:numFmt w:val="lowerLetter"/>
      <w:lvlText w:val="%8."/>
      <w:lvlJc w:val="left"/>
      <w:pPr>
        <w:ind w:left="6469" w:hanging="360"/>
      </w:pPr>
    </w:lvl>
    <w:lvl w:ilvl="8" w:tplc="040A001B" w:tentative="1">
      <w:start w:val="1"/>
      <w:numFmt w:val="lowerRoman"/>
      <w:lvlText w:val="%9."/>
      <w:lvlJc w:val="right"/>
      <w:pPr>
        <w:ind w:left="7189" w:hanging="180"/>
      </w:pPr>
    </w:lvl>
  </w:abstractNum>
  <w:abstractNum w:abstractNumId="40" w15:restartNumberingAfterBreak="0">
    <w:nsid w:val="726D1B03"/>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1"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42"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15:restartNumberingAfterBreak="0">
    <w:nsid w:val="78076E6F"/>
    <w:multiLevelType w:val="multilevel"/>
    <w:tmpl w:val="1D489D0C"/>
    <w:lvl w:ilvl="0">
      <w:start w:val="1"/>
      <w:numFmt w:val="decimal"/>
      <w:lvlText w:val="%1."/>
      <w:lvlJc w:val="left"/>
      <w:pPr>
        <w:ind w:left="585" w:hanging="285"/>
      </w:pPr>
      <w:rPr>
        <w:rFonts w:ascii="Arial" w:eastAsia="Arial" w:hAnsi="Arial" w:cs="Arial" w:hint="default"/>
        <w:b/>
        <w:bCs/>
        <w:color w:val="000000" w:themeColor="text1"/>
        <w:spacing w:val="-21"/>
        <w:w w:val="100"/>
        <w:sz w:val="22"/>
        <w:szCs w:val="22"/>
        <w:lang w:val="es-ES" w:eastAsia="es-ES" w:bidi="es-ES"/>
      </w:rPr>
    </w:lvl>
    <w:lvl w:ilvl="1">
      <w:start w:val="1"/>
      <w:numFmt w:val="decimal"/>
      <w:lvlText w:val="%1.%2."/>
      <w:lvlJc w:val="left"/>
      <w:pPr>
        <w:ind w:left="725" w:hanging="426"/>
      </w:pPr>
      <w:rPr>
        <w:rFonts w:ascii="Arial" w:eastAsia="Arial" w:hAnsi="Arial" w:cs="Arial" w:hint="default"/>
        <w:b/>
        <w:bCs/>
        <w:color w:val="000000" w:themeColor="text1"/>
        <w:spacing w:val="-1"/>
        <w:w w:val="100"/>
        <w:sz w:val="22"/>
        <w:szCs w:val="22"/>
        <w:lang w:val="es-ES" w:eastAsia="es-ES" w:bidi="es-ES"/>
      </w:rPr>
    </w:lvl>
    <w:lvl w:ilvl="2">
      <w:numFmt w:val="bullet"/>
      <w:lvlText w:val="•"/>
      <w:lvlJc w:val="left"/>
      <w:pPr>
        <w:ind w:left="1700" w:hanging="426"/>
      </w:pPr>
      <w:rPr>
        <w:rFonts w:hint="default"/>
        <w:lang w:val="es-ES" w:eastAsia="es-ES" w:bidi="es-ES"/>
      </w:rPr>
    </w:lvl>
    <w:lvl w:ilvl="3">
      <w:numFmt w:val="bullet"/>
      <w:lvlText w:val="•"/>
      <w:lvlJc w:val="left"/>
      <w:pPr>
        <w:ind w:left="2680" w:hanging="426"/>
      </w:pPr>
      <w:rPr>
        <w:rFonts w:hint="default"/>
        <w:lang w:val="es-ES" w:eastAsia="es-ES" w:bidi="es-ES"/>
      </w:rPr>
    </w:lvl>
    <w:lvl w:ilvl="4">
      <w:numFmt w:val="bullet"/>
      <w:lvlText w:val="•"/>
      <w:lvlJc w:val="left"/>
      <w:pPr>
        <w:ind w:left="3660" w:hanging="426"/>
      </w:pPr>
      <w:rPr>
        <w:rFonts w:hint="default"/>
        <w:lang w:val="es-ES" w:eastAsia="es-ES" w:bidi="es-ES"/>
      </w:rPr>
    </w:lvl>
    <w:lvl w:ilvl="5">
      <w:numFmt w:val="bullet"/>
      <w:lvlText w:val="•"/>
      <w:lvlJc w:val="left"/>
      <w:pPr>
        <w:ind w:left="4640" w:hanging="426"/>
      </w:pPr>
      <w:rPr>
        <w:rFonts w:hint="default"/>
        <w:lang w:val="es-ES" w:eastAsia="es-ES" w:bidi="es-ES"/>
      </w:rPr>
    </w:lvl>
    <w:lvl w:ilvl="6">
      <w:numFmt w:val="bullet"/>
      <w:lvlText w:val="•"/>
      <w:lvlJc w:val="left"/>
      <w:pPr>
        <w:ind w:left="5620" w:hanging="426"/>
      </w:pPr>
      <w:rPr>
        <w:rFonts w:hint="default"/>
        <w:lang w:val="es-ES" w:eastAsia="es-ES" w:bidi="es-ES"/>
      </w:rPr>
    </w:lvl>
    <w:lvl w:ilvl="7">
      <w:numFmt w:val="bullet"/>
      <w:lvlText w:val="•"/>
      <w:lvlJc w:val="left"/>
      <w:pPr>
        <w:ind w:left="6600" w:hanging="426"/>
      </w:pPr>
      <w:rPr>
        <w:rFonts w:hint="default"/>
        <w:lang w:val="es-ES" w:eastAsia="es-ES" w:bidi="es-ES"/>
      </w:rPr>
    </w:lvl>
    <w:lvl w:ilvl="8">
      <w:numFmt w:val="bullet"/>
      <w:lvlText w:val="•"/>
      <w:lvlJc w:val="left"/>
      <w:pPr>
        <w:ind w:left="7580" w:hanging="426"/>
      </w:pPr>
      <w:rPr>
        <w:rFonts w:hint="default"/>
        <w:lang w:val="es-ES" w:eastAsia="es-ES" w:bidi="es-ES"/>
      </w:rPr>
    </w:lvl>
  </w:abstractNum>
  <w:abstractNum w:abstractNumId="44" w15:restartNumberingAfterBreak="0">
    <w:nsid w:val="7A030E44"/>
    <w:multiLevelType w:val="multilevel"/>
    <w:tmpl w:val="D1204552"/>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45"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46" w15:restartNumberingAfterBreak="0">
    <w:nsid w:val="7FE1412E"/>
    <w:multiLevelType w:val="hybridMultilevel"/>
    <w:tmpl w:val="901C0198"/>
    <w:lvl w:ilvl="0" w:tplc="240A0015">
      <w:start w:val="1"/>
      <w:numFmt w:val="upperLetter"/>
      <w:lvlText w:val="%1."/>
      <w:lvlJc w:val="left"/>
      <w:pPr>
        <w:ind w:left="1079" w:hanging="360"/>
      </w:pPr>
    </w:lvl>
    <w:lvl w:ilvl="1" w:tplc="240A0019" w:tentative="1">
      <w:start w:val="1"/>
      <w:numFmt w:val="lowerLetter"/>
      <w:lvlText w:val="%2."/>
      <w:lvlJc w:val="left"/>
      <w:pPr>
        <w:ind w:left="1799" w:hanging="360"/>
      </w:pPr>
    </w:lvl>
    <w:lvl w:ilvl="2" w:tplc="240A001B" w:tentative="1">
      <w:start w:val="1"/>
      <w:numFmt w:val="lowerRoman"/>
      <w:lvlText w:val="%3."/>
      <w:lvlJc w:val="right"/>
      <w:pPr>
        <w:ind w:left="2519" w:hanging="180"/>
      </w:pPr>
    </w:lvl>
    <w:lvl w:ilvl="3" w:tplc="240A000F" w:tentative="1">
      <w:start w:val="1"/>
      <w:numFmt w:val="decimal"/>
      <w:lvlText w:val="%4."/>
      <w:lvlJc w:val="left"/>
      <w:pPr>
        <w:ind w:left="3239" w:hanging="360"/>
      </w:pPr>
    </w:lvl>
    <w:lvl w:ilvl="4" w:tplc="240A0019" w:tentative="1">
      <w:start w:val="1"/>
      <w:numFmt w:val="lowerLetter"/>
      <w:lvlText w:val="%5."/>
      <w:lvlJc w:val="left"/>
      <w:pPr>
        <w:ind w:left="3959" w:hanging="360"/>
      </w:pPr>
    </w:lvl>
    <w:lvl w:ilvl="5" w:tplc="240A001B" w:tentative="1">
      <w:start w:val="1"/>
      <w:numFmt w:val="lowerRoman"/>
      <w:lvlText w:val="%6."/>
      <w:lvlJc w:val="right"/>
      <w:pPr>
        <w:ind w:left="4679" w:hanging="180"/>
      </w:pPr>
    </w:lvl>
    <w:lvl w:ilvl="6" w:tplc="240A000F" w:tentative="1">
      <w:start w:val="1"/>
      <w:numFmt w:val="decimal"/>
      <w:lvlText w:val="%7."/>
      <w:lvlJc w:val="left"/>
      <w:pPr>
        <w:ind w:left="5399" w:hanging="360"/>
      </w:pPr>
    </w:lvl>
    <w:lvl w:ilvl="7" w:tplc="240A0019" w:tentative="1">
      <w:start w:val="1"/>
      <w:numFmt w:val="lowerLetter"/>
      <w:lvlText w:val="%8."/>
      <w:lvlJc w:val="left"/>
      <w:pPr>
        <w:ind w:left="6119" w:hanging="360"/>
      </w:pPr>
    </w:lvl>
    <w:lvl w:ilvl="8" w:tplc="240A001B" w:tentative="1">
      <w:start w:val="1"/>
      <w:numFmt w:val="lowerRoman"/>
      <w:lvlText w:val="%9."/>
      <w:lvlJc w:val="right"/>
      <w:pPr>
        <w:ind w:left="6839" w:hanging="180"/>
      </w:pPr>
    </w:lvl>
  </w:abstractNum>
  <w:num w:numId="1" w16cid:durableId="1458139000">
    <w:abstractNumId w:val="20"/>
  </w:num>
  <w:num w:numId="2" w16cid:durableId="1168521941">
    <w:abstractNumId w:val="18"/>
  </w:num>
  <w:num w:numId="3" w16cid:durableId="5401547">
    <w:abstractNumId w:val="27"/>
  </w:num>
  <w:num w:numId="4" w16cid:durableId="513610734">
    <w:abstractNumId w:val="34"/>
  </w:num>
  <w:num w:numId="5" w16cid:durableId="1559440761">
    <w:abstractNumId w:val="38"/>
  </w:num>
  <w:num w:numId="6" w16cid:durableId="1561359831">
    <w:abstractNumId w:val="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469326147">
    <w:abstractNumId w:val="36"/>
  </w:num>
  <w:num w:numId="8" w16cid:durableId="458303982">
    <w:abstractNumId w:val="2"/>
  </w:num>
  <w:num w:numId="9" w16cid:durableId="1310667369">
    <w:abstractNumId w:val="13"/>
  </w:num>
  <w:num w:numId="10" w16cid:durableId="1286086387">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244237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65469481">
    <w:abstractNumId w:val="19"/>
  </w:num>
  <w:num w:numId="13" w16cid:durableId="1053432820">
    <w:abstractNumId w:val="25"/>
  </w:num>
  <w:num w:numId="14" w16cid:durableId="2119910150">
    <w:abstractNumId w:val="17"/>
  </w:num>
  <w:num w:numId="15" w16cid:durableId="1385834490">
    <w:abstractNumId w:val="3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46437427">
    <w:abstractNumId w:val="45"/>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77007033">
    <w:abstractNumId w:val="41"/>
  </w:num>
  <w:num w:numId="18" w16cid:durableId="1197541435">
    <w:abstractNumId w:val="28"/>
  </w:num>
  <w:num w:numId="19" w16cid:durableId="1913856865">
    <w:abstractNumId w:val="10"/>
  </w:num>
  <w:num w:numId="20" w16cid:durableId="1473062174">
    <w:abstractNumId w:val="42"/>
  </w:num>
  <w:num w:numId="21" w16cid:durableId="780994319">
    <w:abstractNumId w:val="33"/>
  </w:num>
  <w:num w:numId="22" w16cid:durableId="2085030510">
    <w:abstractNumId w:val="15"/>
  </w:num>
  <w:num w:numId="23" w16cid:durableId="571625292">
    <w:abstractNumId w:val="14"/>
  </w:num>
  <w:num w:numId="24" w16cid:durableId="1549948071">
    <w:abstractNumId w:val="39"/>
  </w:num>
  <w:num w:numId="25" w16cid:durableId="499125884">
    <w:abstractNumId w:val="35"/>
  </w:num>
  <w:num w:numId="26" w16cid:durableId="438112479">
    <w:abstractNumId w:val="12"/>
  </w:num>
  <w:num w:numId="27" w16cid:durableId="971205009">
    <w:abstractNumId w:val="29"/>
  </w:num>
  <w:num w:numId="28" w16cid:durableId="50432094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596640771">
    <w:abstractNumId w:val="24"/>
  </w:num>
  <w:num w:numId="30" w16cid:durableId="789208655">
    <w:abstractNumId w:val="3"/>
  </w:num>
  <w:num w:numId="31" w16cid:durableId="1649289069">
    <w:abstractNumId w:val="1"/>
  </w:num>
  <w:num w:numId="32" w16cid:durableId="787504560">
    <w:abstractNumId w:val="26"/>
  </w:num>
  <w:num w:numId="33" w16cid:durableId="628975833">
    <w:abstractNumId w:val="6"/>
  </w:num>
  <w:num w:numId="34" w16cid:durableId="173961934">
    <w:abstractNumId w:val="4"/>
  </w:num>
  <w:num w:numId="35" w16cid:durableId="1779451419">
    <w:abstractNumId w:val="32"/>
  </w:num>
  <w:num w:numId="36" w16cid:durableId="1376933174">
    <w:abstractNumId w:val="30"/>
  </w:num>
  <w:num w:numId="37" w16cid:durableId="361169694">
    <w:abstractNumId w:val="11"/>
  </w:num>
  <w:num w:numId="38" w16cid:durableId="813451455">
    <w:abstractNumId w:val="16"/>
  </w:num>
  <w:num w:numId="39" w16cid:durableId="1511409064">
    <w:abstractNumId w:val="44"/>
  </w:num>
  <w:num w:numId="40" w16cid:durableId="1326780516">
    <w:abstractNumId w:val="40"/>
  </w:num>
  <w:num w:numId="41" w16cid:durableId="1812675990">
    <w:abstractNumId w:val="23"/>
  </w:num>
  <w:num w:numId="42" w16cid:durableId="452359533">
    <w:abstractNumId w:val="22"/>
  </w:num>
  <w:num w:numId="43" w16cid:durableId="622927367">
    <w:abstractNumId w:val="7"/>
  </w:num>
  <w:num w:numId="44" w16cid:durableId="1965192798">
    <w:abstractNumId w:val="43"/>
  </w:num>
  <w:num w:numId="45" w16cid:durableId="1843928728">
    <w:abstractNumId w:val="8"/>
  </w:num>
  <w:num w:numId="46" w16cid:durableId="1239708520">
    <w:abstractNumId w:val="0"/>
  </w:num>
  <w:num w:numId="47" w16cid:durableId="2100054010">
    <w:abstractNumId w:val="5"/>
  </w:num>
  <w:num w:numId="48" w16cid:durableId="211040809">
    <w:abstractNumId w:val="46"/>
  </w:num>
  <w:num w:numId="49" w16cid:durableId="13885330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0F5"/>
    <w:rsid w:val="00000559"/>
    <w:rsid w:val="0000162E"/>
    <w:rsid w:val="00001A1C"/>
    <w:rsid w:val="00001E00"/>
    <w:rsid w:val="00001FFD"/>
    <w:rsid w:val="00002027"/>
    <w:rsid w:val="000020FE"/>
    <w:rsid w:val="00002173"/>
    <w:rsid w:val="000031A8"/>
    <w:rsid w:val="00003C5C"/>
    <w:rsid w:val="00003D39"/>
    <w:rsid w:val="000040D7"/>
    <w:rsid w:val="00004556"/>
    <w:rsid w:val="00004AAC"/>
    <w:rsid w:val="00004B41"/>
    <w:rsid w:val="000051AF"/>
    <w:rsid w:val="000059D3"/>
    <w:rsid w:val="00005B6D"/>
    <w:rsid w:val="0000600A"/>
    <w:rsid w:val="00006081"/>
    <w:rsid w:val="00006332"/>
    <w:rsid w:val="00007750"/>
    <w:rsid w:val="000077D0"/>
    <w:rsid w:val="000077FD"/>
    <w:rsid w:val="00007E37"/>
    <w:rsid w:val="00010C40"/>
    <w:rsid w:val="000112B4"/>
    <w:rsid w:val="00011DCC"/>
    <w:rsid w:val="00011E59"/>
    <w:rsid w:val="00012532"/>
    <w:rsid w:val="00012B9E"/>
    <w:rsid w:val="00012F37"/>
    <w:rsid w:val="00012FBA"/>
    <w:rsid w:val="00013B5D"/>
    <w:rsid w:val="00013C6B"/>
    <w:rsid w:val="0001406B"/>
    <w:rsid w:val="000143F8"/>
    <w:rsid w:val="00014624"/>
    <w:rsid w:val="00015642"/>
    <w:rsid w:val="00015B44"/>
    <w:rsid w:val="00015E3E"/>
    <w:rsid w:val="00016081"/>
    <w:rsid w:val="000165AC"/>
    <w:rsid w:val="00016651"/>
    <w:rsid w:val="00016B60"/>
    <w:rsid w:val="000171A2"/>
    <w:rsid w:val="00017B65"/>
    <w:rsid w:val="00020158"/>
    <w:rsid w:val="000207E0"/>
    <w:rsid w:val="000207FF"/>
    <w:rsid w:val="000209E2"/>
    <w:rsid w:val="00020F8F"/>
    <w:rsid w:val="00021A95"/>
    <w:rsid w:val="0002256F"/>
    <w:rsid w:val="00023DAE"/>
    <w:rsid w:val="00024855"/>
    <w:rsid w:val="00024896"/>
    <w:rsid w:val="00025BAD"/>
    <w:rsid w:val="00025D0A"/>
    <w:rsid w:val="000263F0"/>
    <w:rsid w:val="00026407"/>
    <w:rsid w:val="00026608"/>
    <w:rsid w:val="00027787"/>
    <w:rsid w:val="000278D2"/>
    <w:rsid w:val="0002797C"/>
    <w:rsid w:val="00030E2A"/>
    <w:rsid w:val="00030F54"/>
    <w:rsid w:val="00031364"/>
    <w:rsid w:val="000315E1"/>
    <w:rsid w:val="0003236E"/>
    <w:rsid w:val="0003339A"/>
    <w:rsid w:val="000341F2"/>
    <w:rsid w:val="00034EA8"/>
    <w:rsid w:val="00035046"/>
    <w:rsid w:val="000351F2"/>
    <w:rsid w:val="000368A6"/>
    <w:rsid w:val="00036E03"/>
    <w:rsid w:val="000406DB"/>
    <w:rsid w:val="0004094D"/>
    <w:rsid w:val="00041029"/>
    <w:rsid w:val="00041357"/>
    <w:rsid w:val="0004149B"/>
    <w:rsid w:val="00041FC6"/>
    <w:rsid w:val="00042961"/>
    <w:rsid w:val="00042C25"/>
    <w:rsid w:val="00042D03"/>
    <w:rsid w:val="00043086"/>
    <w:rsid w:val="000430A0"/>
    <w:rsid w:val="00043D3B"/>
    <w:rsid w:val="0004418C"/>
    <w:rsid w:val="00044204"/>
    <w:rsid w:val="000449D4"/>
    <w:rsid w:val="000458B1"/>
    <w:rsid w:val="000463B5"/>
    <w:rsid w:val="00046717"/>
    <w:rsid w:val="00046A63"/>
    <w:rsid w:val="00046C09"/>
    <w:rsid w:val="0004716A"/>
    <w:rsid w:val="00047385"/>
    <w:rsid w:val="000473E8"/>
    <w:rsid w:val="000504DE"/>
    <w:rsid w:val="00051074"/>
    <w:rsid w:val="00051302"/>
    <w:rsid w:val="00051DC3"/>
    <w:rsid w:val="000526F0"/>
    <w:rsid w:val="0005273D"/>
    <w:rsid w:val="00052B79"/>
    <w:rsid w:val="00052C1C"/>
    <w:rsid w:val="00052E4B"/>
    <w:rsid w:val="00052EA0"/>
    <w:rsid w:val="000536A7"/>
    <w:rsid w:val="000536E3"/>
    <w:rsid w:val="00053896"/>
    <w:rsid w:val="00053A00"/>
    <w:rsid w:val="0005474D"/>
    <w:rsid w:val="00054D74"/>
    <w:rsid w:val="00055CB9"/>
    <w:rsid w:val="0005602F"/>
    <w:rsid w:val="00056565"/>
    <w:rsid w:val="00056F66"/>
    <w:rsid w:val="0005702F"/>
    <w:rsid w:val="00057930"/>
    <w:rsid w:val="00061010"/>
    <w:rsid w:val="00061470"/>
    <w:rsid w:val="00061CE4"/>
    <w:rsid w:val="00061D06"/>
    <w:rsid w:val="00061EAE"/>
    <w:rsid w:val="00062BDF"/>
    <w:rsid w:val="00062CDD"/>
    <w:rsid w:val="00062F44"/>
    <w:rsid w:val="00063AD6"/>
    <w:rsid w:val="000640AF"/>
    <w:rsid w:val="00064940"/>
    <w:rsid w:val="00064CAE"/>
    <w:rsid w:val="00064DB7"/>
    <w:rsid w:val="00064FA7"/>
    <w:rsid w:val="00065195"/>
    <w:rsid w:val="0006536C"/>
    <w:rsid w:val="00065706"/>
    <w:rsid w:val="00065D20"/>
    <w:rsid w:val="0006626E"/>
    <w:rsid w:val="00066B29"/>
    <w:rsid w:val="000701A0"/>
    <w:rsid w:val="00070AF1"/>
    <w:rsid w:val="000714DE"/>
    <w:rsid w:val="0007254F"/>
    <w:rsid w:val="00072878"/>
    <w:rsid w:val="00072D5E"/>
    <w:rsid w:val="0007357C"/>
    <w:rsid w:val="00073ACF"/>
    <w:rsid w:val="00073BA3"/>
    <w:rsid w:val="00073C30"/>
    <w:rsid w:val="00074305"/>
    <w:rsid w:val="000744D0"/>
    <w:rsid w:val="00074B2A"/>
    <w:rsid w:val="00074EEE"/>
    <w:rsid w:val="000753D5"/>
    <w:rsid w:val="00075761"/>
    <w:rsid w:val="00075B3E"/>
    <w:rsid w:val="00076456"/>
    <w:rsid w:val="00076B92"/>
    <w:rsid w:val="0007779B"/>
    <w:rsid w:val="000777E7"/>
    <w:rsid w:val="0007790A"/>
    <w:rsid w:val="0008017B"/>
    <w:rsid w:val="00080ACD"/>
    <w:rsid w:val="000811ED"/>
    <w:rsid w:val="0008139C"/>
    <w:rsid w:val="00081D62"/>
    <w:rsid w:val="00082B74"/>
    <w:rsid w:val="00083099"/>
    <w:rsid w:val="00083EDC"/>
    <w:rsid w:val="0008457F"/>
    <w:rsid w:val="00084B97"/>
    <w:rsid w:val="0008510E"/>
    <w:rsid w:val="00085115"/>
    <w:rsid w:val="000856DE"/>
    <w:rsid w:val="00085F17"/>
    <w:rsid w:val="00085FB0"/>
    <w:rsid w:val="00085FB3"/>
    <w:rsid w:val="00086178"/>
    <w:rsid w:val="0008686B"/>
    <w:rsid w:val="00086B2A"/>
    <w:rsid w:val="00086C11"/>
    <w:rsid w:val="00086ED2"/>
    <w:rsid w:val="000914D6"/>
    <w:rsid w:val="00091569"/>
    <w:rsid w:val="00092057"/>
    <w:rsid w:val="00092CDB"/>
    <w:rsid w:val="00092DCA"/>
    <w:rsid w:val="000932BC"/>
    <w:rsid w:val="0009340B"/>
    <w:rsid w:val="000936F7"/>
    <w:rsid w:val="00093CA0"/>
    <w:rsid w:val="00093ECD"/>
    <w:rsid w:val="000942EB"/>
    <w:rsid w:val="000954FA"/>
    <w:rsid w:val="00095607"/>
    <w:rsid w:val="000957AD"/>
    <w:rsid w:val="00095B70"/>
    <w:rsid w:val="00095E38"/>
    <w:rsid w:val="0009617E"/>
    <w:rsid w:val="0009628D"/>
    <w:rsid w:val="0009663F"/>
    <w:rsid w:val="0009670F"/>
    <w:rsid w:val="00096EEA"/>
    <w:rsid w:val="00097022"/>
    <w:rsid w:val="000979CF"/>
    <w:rsid w:val="000A03C8"/>
    <w:rsid w:val="000A05F2"/>
    <w:rsid w:val="000A06C4"/>
    <w:rsid w:val="000A0861"/>
    <w:rsid w:val="000A0EC4"/>
    <w:rsid w:val="000A0ED1"/>
    <w:rsid w:val="000A10A1"/>
    <w:rsid w:val="000A1258"/>
    <w:rsid w:val="000A12DB"/>
    <w:rsid w:val="000A17C8"/>
    <w:rsid w:val="000A1B74"/>
    <w:rsid w:val="000A20AD"/>
    <w:rsid w:val="000A20D7"/>
    <w:rsid w:val="000A2128"/>
    <w:rsid w:val="000A2142"/>
    <w:rsid w:val="000A2FD7"/>
    <w:rsid w:val="000A31FB"/>
    <w:rsid w:val="000A362F"/>
    <w:rsid w:val="000A3B49"/>
    <w:rsid w:val="000A41FF"/>
    <w:rsid w:val="000A464B"/>
    <w:rsid w:val="000A46FE"/>
    <w:rsid w:val="000A47E6"/>
    <w:rsid w:val="000A4810"/>
    <w:rsid w:val="000A52C0"/>
    <w:rsid w:val="000A5836"/>
    <w:rsid w:val="000A5AAF"/>
    <w:rsid w:val="000A5F97"/>
    <w:rsid w:val="000A600A"/>
    <w:rsid w:val="000A648E"/>
    <w:rsid w:val="000A6E0A"/>
    <w:rsid w:val="000A73BB"/>
    <w:rsid w:val="000A73E8"/>
    <w:rsid w:val="000A7E0E"/>
    <w:rsid w:val="000A7EF4"/>
    <w:rsid w:val="000B081A"/>
    <w:rsid w:val="000B0A15"/>
    <w:rsid w:val="000B103F"/>
    <w:rsid w:val="000B1437"/>
    <w:rsid w:val="000B1470"/>
    <w:rsid w:val="000B17EC"/>
    <w:rsid w:val="000B244D"/>
    <w:rsid w:val="000B248A"/>
    <w:rsid w:val="000B2B86"/>
    <w:rsid w:val="000B2B8A"/>
    <w:rsid w:val="000B3051"/>
    <w:rsid w:val="000B419B"/>
    <w:rsid w:val="000B5781"/>
    <w:rsid w:val="000B5CB1"/>
    <w:rsid w:val="000B68EA"/>
    <w:rsid w:val="000B75F4"/>
    <w:rsid w:val="000C0185"/>
    <w:rsid w:val="000C088D"/>
    <w:rsid w:val="000C0F81"/>
    <w:rsid w:val="000C128D"/>
    <w:rsid w:val="000C137A"/>
    <w:rsid w:val="000C15EE"/>
    <w:rsid w:val="000C17A3"/>
    <w:rsid w:val="000C1D4B"/>
    <w:rsid w:val="000C2CB7"/>
    <w:rsid w:val="000C2DC4"/>
    <w:rsid w:val="000C3260"/>
    <w:rsid w:val="000C3B77"/>
    <w:rsid w:val="000C3BF5"/>
    <w:rsid w:val="000C3F6D"/>
    <w:rsid w:val="000C4F49"/>
    <w:rsid w:val="000C5861"/>
    <w:rsid w:val="000C5BDE"/>
    <w:rsid w:val="000C6076"/>
    <w:rsid w:val="000C639D"/>
    <w:rsid w:val="000C6C31"/>
    <w:rsid w:val="000C6DBC"/>
    <w:rsid w:val="000C6F79"/>
    <w:rsid w:val="000C7476"/>
    <w:rsid w:val="000C7480"/>
    <w:rsid w:val="000C7711"/>
    <w:rsid w:val="000C7AA2"/>
    <w:rsid w:val="000D022A"/>
    <w:rsid w:val="000D0462"/>
    <w:rsid w:val="000D053D"/>
    <w:rsid w:val="000D0887"/>
    <w:rsid w:val="000D0ED2"/>
    <w:rsid w:val="000D1CEB"/>
    <w:rsid w:val="000D218D"/>
    <w:rsid w:val="000D2563"/>
    <w:rsid w:val="000D25BF"/>
    <w:rsid w:val="000D3582"/>
    <w:rsid w:val="000D3FDC"/>
    <w:rsid w:val="000D490B"/>
    <w:rsid w:val="000D4E38"/>
    <w:rsid w:val="000D50DB"/>
    <w:rsid w:val="000D5E5C"/>
    <w:rsid w:val="000D6288"/>
    <w:rsid w:val="000D753A"/>
    <w:rsid w:val="000D7541"/>
    <w:rsid w:val="000D75E1"/>
    <w:rsid w:val="000E0266"/>
    <w:rsid w:val="000E14CE"/>
    <w:rsid w:val="000E1FF3"/>
    <w:rsid w:val="000E22CF"/>
    <w:rsid w:val="000E2977"/>
    <w:rsid w:val="000E2CC0"/>
    <w:rsid w:val="000E30AC"/>
    <w:rsid w:val="000E3B46"/>
    <w:rsid w:val="000E3E11"/>
    <w:rsid w:val="000E42E4"/>
    <w:rsid w:val="000E44ED"/>
    <w:rsid w:val="000E4596"/>
    <w:rsid w:val="000E4B94"/>
    <w:rsid w:val="000E4D50"/>
    <w:rsid w:val="000E5768"/>
    <w:rsid w:val="000E5843"/>
    <w:rsid w:val="000E5948"/>
    <w:rsid w:val="000E6139"/>
    <w:rsid w:val="000E653C"/>
    <w:rsid w:val="000E6BE1"/>
    <w:rsid w:val="000E73E1"/>
    <w:rsid w:val="000E7E0B"/>
    <w:rsid w:val="000F0136"/>
    <w:rsid w:val="000F078A"/>
    <w:rsid w:val="000F09D1"/>
    <w:rsid w:val="000F122D"/>
    <w:rsid w:val="000F1450"/>
    <w:rsid w:val="000F14E8"/>
    <w:rsid w:val="000F1BBD"/>
    <w:rsid w:val="000F290F"/>
    <w:rsid w:val="000F30E1"/>
    <w:rsid w:val="000F4403"/>
    <w:rsid w:val="000F480B"/>
    <w:rsid w:val="000F4E17"/>
    <w:rsid w:val="000F5615"/>
    <w:rsid w:val="000F6578"/>
    <w:rsid w:val="000F6A40"/>
    <w:rsid w:val="000F722C"/>
    <w:rsid w:val="000F7E8F"/>
    <w:rsid w:val="000F7FBB"/>
    <w:rsid w:val="001000FB"/>
    <w:rsid w:val="00100A9E"/>
    <w:rsid w:val="00100F6A"/>
    <w:rsid w:val="001010DA"/>
    <w:rsid w:val="001015F2"/>
    <w:rsid w:val="001022AE"/>
    <w:rsid w:val="00102463"/>
    <w:rsid w:val="00102605"/>
    <w:rsid w:val="00102686"/>
    <w:rsid w:val="00102745"/>
    <w:rsid w:val="00103795"/>
    <w:rsid w:val="00103915"/>
    <w:rsid w:val="00103EA0"/>
    <w:rsid w:val="0010496C"/>
    <w:rsid w:val="00104B7E"/>
    <w:rsid w:val="00104F1C"/>
    <w:rsid w:val="001051E5"/>
    <w:rsid w:val="00105A74"/>
    <w:rsid w:val="00105ACB"/>
    <w:rsid w:val="00105AEF"/>
    <w:rsid w:val="00106259"/>
    <w:rsid w:val="00106896"/>
    <w:rsid w:val="001068EB"/>
    <w:rsid w:val="00107586"/>
    <w:rsid w:val="001078CE"/>
    <w:rsid w:val="00107B90"/>
    <w:rsid w:val="00107EB3"/>
    <w:rsid w:val="00110F61"/>
    <w:rsid w:val="001111BD"/>
    <w:rsid w:val="0011165A"/>
    <w:rsid w:val="00111B2B"/>
    <w:rsid w:val="001124C3"/>
    <w:rsid w:val="00112774"/>
    <w:rsid w:val="00112B2E"/>
    <w:rsid w:val="00113003"/>
    <w:rsid w:val="00113062"/>
    <w:rsid w:val="00113705"/>
    <w:rsid w:val="00113975"/>
    <w:rsid w:val="00113CFC"/>
    <w:rsid w:val="00113FEA"/>
    <w:rsid w:val="00114A22"/>
    <w:rsid w:val="00114E9D"/>
    <w:rsid w:val="0011507B"/>
    <w:rsid w:val="00115819"/>
    <w:rsid w:val="00116328"/>
    <w:rsid w:val="001163CF"/>
    <w:rsid w:val="00116A1C"/>
    <w:rsid w:val="001174C9"/>
    <w:rsid w:val="00117E69"/>
    <w:rsid w:val="00121103"/>
    <w:rsid w:val="00121A9B"/>
    <w:rsid w:val="00121BAB"/>
    <w:rsid w:val="00121E3C"/>
    <w:rsid w:val="00122B23"/>
    <w:rsid w:val="00122B7E"/>
    <w:rsid w:val="001231A9"/>
    <w:rsid w:val="00123E27"/>
    <w:rsid w:val="00123FB5"/>
    <w:rsid w:val="0012400F"/>
    <w:rsid w:val="001249DC"/>
    <w:rsid w:val="00125630"/>
    <w:rsid w:val="0012572D"/>
    <w:rsid w:val="00125BED"/>
    <w:rsid w:val="00125C59"/>
    <w:rsid w:val="00125D4F"/>
    <w:rsid w:val="00127004"/>
    <w:rsid w:val="001278C5"/>
    <w:rsid w:val="00127AF2"/>
    <w:rsid w:val="00127EDC"/>
    <w:rsid w:val="00127F42"/>
    <w:rsid w:val="00127F6D"/>
    <w:rsid w:val="00130355"/>
    <w:rsid w:val="00130365"/>
    <w:rsid w:val="001304E5"/>
    <w:rsid w:val="00130823"/>
    <w:rsid w:val="00130C0F"/>
    <w:rsid w:val="00131B5A"/>
    <w:rsid w:val="00132C30"/>
    <w:rsid w:val="00132EFD"/>
    <w:rsid w:val="001331E1"/>
    <w:rsid w:val="00133AED"/>
    <w:rsid w:val="00133CA2"/>
    <w:rsid w:val="001345AE"/>
    <w:rsid w:val="00134BCD"/>
    <w:rsid w:val="00134E09"/>
    <w:rsid w:val="001350AB"/>
    <w:rsid w:val="001359CF"/>
    <w:rsid w:val="00135DB9"/>
    <w:rsid w:val="0013695C"/>
    <w:rsid w:val="00136BF7"/>
    <w:rsid w:val="00136C78"/>
    <w:rsid w:val="001378B0"/>
    <w:rsid w:val="001378B9"/>
    <w:rsid w:val="00137928"/>
    <w:rsid w:val="00137E75"/>
    <w:rsid w:val="00137FFA"/>
    <w:rsid w:val="00140109"/>
    <w:rsid w:val="0014029B"/>
    <w:rsid w:val="00140464"/>
    <w:rsid w:val="00140A4F"/>
    <w:rsid w:val="001413AB"/>
    <w:rsid w:val="0014153E"/>
    <w:rsid w:val="00141DBF"/>
    <w:rsid w:val="00142E96"/>
    <w:rsid w:val="00142EFD"/>
    <w:rsid w:val="00143AD6"/>
    <w:rsid w:val="00144335"/>
    <w:rsid w:val="0014502F"/>
    <w:rsid w:val="00145282"/>
    <w:rsid w:val="001453B0"/>
    <w:rsid w:val="001454D9"/>
    <w:rsid w:val="0014553F"/>
    <w:rsid w:val="00145D8E"/>
    <w:rsid w:val="00146083"/>
    <w:rsid w:val="001462F7"/>
    <w:rsid w:val="00146312"/>
    <w:rsid w:val="00146418"/>
    <w:rsid w:val="001471AB"/>
    <w:rsid w:val="001474D7"/>
    <w:rsid w:val="00147F35"/>
    <w:rsid w:val="00150005"/>
    <w:rsid w:val="001500B0"/>
    <w:rsid w:val="001509DC"/>
    <w:rsid w:val="00150ACB"/>
    <w:rsid w:val="00151AEB"/>
    <w:rsid w:val="00151B99"/>
    <w:rsid w:val="001521B2"/>
    <w:rsid w:val="0015241B"/>
    <w:rsid w:val="00152EDD"/>
    <w:rsid w:val="00153491"/>
    <w:rsid w:val="0015361C"/>
    <w:rsid w:val="0015372F"/>
    <w:rsid w:val="00153A51"/>
    <w:rsid w:val="00153BFB"/>
    <w:rsid w:val="0015407E"/>
    <w:rsid w:val="0015448E"/>
    <w:rsid w:val="00154A6F"/>
    <w:rsid w:val="00154B26"/>
    <w:rsid w:val="00155D08"/>
    <w:rsid w:val="0015623B"/>
    <w:rsid w:val="00156BE5"/>
    <w:rsid w:val="00157226"/>
    <w:rsid w:val="00157232"/>
    <w:rsid w:val="00160401"/>
    <w:rsid w:val="00160D4E"/>
    <w:rsid w:val="001619DB"/>
    <w:rsid w:val="00161DDA"/>
    <w:rsid w:val="00161E62"/>
    <w:rsid w:val="00161F1C"/>
    <w:rsid w:val="0016200B"/>
    <w:rsid w:val="0016204B"/>
    <w:rsid w:val="00162552"/>
    <w:rsid w:val="001626FA"/>
    <w:rsid w:val="00163C03"/>
    <w:rsid w:val="00163D7A"/>
    <w:rsid w:val="00164281"/>
    <w:rsid w:val="00164B1A"/>
    <w:rsid w:val="00165703"/>
    <w:rsid w:val="001661B9"/>
    <w:rsid w:val="00166204"/>
    <w:rsid w:val="0016685F"/>
    <w:rsid w:val="0016712F"/>
    <w:rsid w:val="00167503"/>
    <w:rsid w:val="001676A9"/>
    <w:rsid w:val="00167A15"/>
    <w:rsid w:val="00167A50"/>
    <w:rsid w:val="00167D1A"/>
    <w:rsid w:val="00167DF5"/>
    <w:rsid w:val="00167ED3"/>
    <w:rsid w:val="00170001"/>
    <w:rsid w:val="00170472"/>
    <w:rsid w:val="00172198"/>
    <w:rsid w:val="0017236C"/>
    <w:rsid w:val="00172612"/>
    <w:rsid w:val="00172817"/>
    <w:rsid w:val="001734E3"/>
    <w:rsid w:val="001742BF"/>
    <w:rsid w:val="001742E1"/>
    <w:rsid w:val="00175E49"/>
    <w:rsid w:val="0017649F"/>
    <w:rsid w:val="0017655B"/>
    <w:rsid w:val="001805C1"/>
    <w:rsid w:val="00180A2E"/>
    <w:rsid w:val="001813AF"/>
    <w:rsid w:val="00182034"/>
    <w:rsid w:val="001823FF"/>
    <w:rsid w:val="001829CD"/>
    <w:rsid w:val="00182F01"/>
    <w:rsid w:val="001833C2"/>
    <w:rsid w:val="001841E2"/>
    <w:rsid w:val="00184219"/>
    <w:rsid w:val="00184F27"/>
    <w:rsid w:val="0018519B"/>
    <w:rsid w:val="00185966"/>
    <w:rsid w:val="00185A2D"/>
    <w:rsid w:val="00185AFE"/>
    <w:rsid w:val="00185E78"/>
    <w:rsid w:val="00185F7F"/>
    <w:rsid w:val="00186550"/>
    <w:rsid w:val="00187177"/>
    <w:rsid w:val="00187A5B"/>
    <w:rsid w:val="00187ABD"/>
    <w:rsid w:val="001904E3"/>
    <w:rsid w:val="0019087A"/>
    <w:rsid w:val="00191753"/>
    <w:rsid w:val="00191C5A"/>
    <w:rsid w:val="00191CEB"/>
    <w:rsid w:val="00191E63"/>
    <w:rsid w:val="00192D68"/>
    <w:rsid w:val="00192E04"/>
    <w:rsid w:val="00192F9B"/>
    <w:rsid w:val="0019388B"/>
    <w:rsid w:val="00193ADE"/>
    <w:rsid w:val="00193B9A"/>
    <w:rsid w:val="00193EEE"/>
    <w:rsid w:val="001940B3"/>
    <w:rsid w:val="001940ED"/>
    <w:rsid w:val="001946AE"/>
    <w:rsid w:val="001946D5"/>
    <w:rsid w:val="00194E8C"/>
    <w:rsid w:val="001962EC"/>
    <w:rsid w:val="001963DD"/>
    <w:rsid w:val="001965DB"/>
    <w:rsid w:val="0019673D"/>
    <w:rsid w:val="00196D01"/>
    <w:rsid w:val="00196DC9"/>
    <w:rsid w:val="00196E95"/>
    <w:rsid w:val="001A0236"/>
    <w:rsid w:val="001A0915"/>
    <w:rsid w:val="001A0AF8"/>
    <w:rsid w:val="001A147D"/>
    <w:rsid w:val="001A1490"/>
    <w:rsid w:val="001A18D5"/>
    <w:rsid w:val="001A1A38"/>
    <w:rsid w:val="001A1BE0"/>
    <w:rsid w:val="001A1D4A"/>
    <w:rsid w:val="001A3011"/>
    <w:rsid w:val="001A3284"/>
    <w:rsid w:val="001A4A9B"/>
    <w:rsid w:val="001A4DAF"/>
    <w:rsid w:val="001A4F82"/>
    <w:rsid w:val="001A54CD"/>
    <w:rsid w:val="001A66DF"/>
    <w:rsid w:val="001A67D0"/>
    <w:rsid w:val="001A6863"/>
    <w:rsid w:val="001A7591"/>
    <w:rsid w:val="001A75B1"/>
    <w:rsid w:val="001A7B06"/>
    <w:rsid w:val="001B0366"/>
    <w:rsid w:val="001B0444"/>
    <w:rsid w:val="001B06E9"/>
    <w:rsid w:val="001B096B"/>
    <w:rsid w:val="001B0F9F"/>
    <w:rsid w:val="001B1197"/>
    <w:rsid w:val="001B123C"/>
    <w:rsid w:val="001B19D8"/>
    <w:rsid w:val="001B1A0D"/>
    <w:rsid w:val="001B1BF1"/>
    <w:rsid w:val="001B2456"/>
    <w:rsid w:val="001B449C"/>
    <w:rsid w:val="001B4AA2"/>
    <w:rsid w:val="001B4ADE"/>
    <w:rsid w:val="001B5530"/>
    <w:rsid w:val="001B5564"/>
    <w:rsid w:val="001B5EF8"/>
    <w:rsid w:val="001B5F4C"/>
    <w:rsid w:val="001B710A"/>
    <w:rsid w:val="001B71E8"/>
    <w:rsid w:val="001C07C6"/>
    <w:rsid w:val="001C15C9"/>
    <w:rsid w:val="001C19CD"/>
    <w:rsid w:val="001C22D5"/>
    <w:rsid w:val="001C2515"/>
    <w:rsid w:val="001C26FB"/>
    <w:rsid w:val="001C33C1"/>
    <w:rsid w:val="001C3801"/>
    <w:rsid w:val="001C3E30"/>
    <w:rsid w:val="001C3E5C"/>
    <w:rsid w:val="001C5072"/>
    <w:rsid w:val="001C5B2A"/>
    <w:rsid w:val="001C600B"/>
    <w:rsid w:val="001C6476"/>
    <w:rsid w:val="001C6898"/>
    <w:rsid w:val="001C6DD8"/>
    <w:rsid w:val="001C7C7B"/>
    <w:rsid w:val="001D00F7"/>
    <w:rsid w:val="001D068D"/>
    <w:rsid w:val="001D12D1"/>
    <w:rsid w:val="001D15DF"/>
    <w:rsid w:val="001D1DFF"/>
    <w:rsid w:val="001D2EEE"/>
    <w:rsid w:val="001D2F03"/>
    <w:rsid w:val="001D30F3"/>
    <w:rsid w:val="001D31A0"/>
    <w:rsid w:val="001D338E"/>
    <w:rsid w:val="001D3DFD"/>
    <w:rsid w:val="001D47BA"/>
    <w:rsid w:val="001D56E9"/>
    <w:rsid w:val="001D65AC"/>
    <w:rsid w:val="001D716B"/>
    <w:rsid w:val="001D796A"/>
    <w:rsid w:val="001D7A84"/>
    <w:rsid w:val="001D7C79"/>
    <w:rsid w:val="001E003B"/>
    <w:rsid w:val="001E1CC4"/>
    <w:rsid w:val="001E1D38"/>
    <w:rsid w:val="001E28A0"/>
    <w:rsid w:val="001E320D"/>
    <w:rsid w:val="001E3FFE"/>
    <w:rsid w:val="001E4258"/>
    <w:rsid w:val="001E5140"/>
    <w:rsid w:val="001E536F"/>
    <w:rsid w:val="001E5D6A"/>
    <w:rsid w:val="001E600E"/>
    <w:rsid w:val="001E6A94"/>
    <w:rsid w:val="001E70FB"/>
    <w:rsid w:val="001E780A"/>
    <w:rsid w:val="001F0D15"/>
    <w:rsid w:val="001F0FA0"/>
    <w:rsid w:val="001F1349"/>
    <w:rsid w:val="001F1863"/>
    <w:rsid w:val="001F1D84"/>
    <w:rsid w:val="001F2356"/>
    <w:rsid w:val="001F2A68"/>
    <w:rsid w:val="001F3059"/>
    <w:rsid w:val="001F472D"/>
    <w:rsid w:val="001F4773"/>
    <w:rsid w:val="001F5008"/>
    <w:rsid w:val="001F56AA"/>
    <w:rsid w:val="001F58AA"/>
    <w:rsid w:val="001F5A4E"/>
    <w:rsid w:val="001F5EF6"/>
    <w:rsid w:val="001F657F"/>
    <w:rsid w:val="001F6FB6"/>
    <w:rsid w:val="001F72BB"/>
    <w:rsid w:val="001F7978"/>
    <w:rsid w:val="001F7A0E"/>
    <w:rsid w:val="001F7A4B"/>
    <w:rsid w:val="0020022E"/>
    <w:rsid w:val="0020054E"/>
    <w:rsid w:val="002007A8"/>
    <w:rsid w:val="00200D7F"/>
    <w:rsid w:val="00201435"/>
    <w:rsid w:val="00201AC4"/>
    <w:rsid w:val="00201F1E"/>
    <w:rsid w:val="00202761"/>
    <w:rsid w:val="002027CC"/>
    <w:rsid w:val="0020299B"/>
    <w:rsid w:val="00202E44"/>
    <w:rsid w:val="002037AA"/>
    <w:rsid w:val="00203A7E"/>
    <w:rsid w:val="00203FE3"/>
    <w:rsid w:val="002042D8"/>
    <w:rsid w:val="00204515"/>
    <w:rsid w:val="00204BF5"/>
    <w:rsid w:val="00204E6B"/>
    <w:rsid w:val="002053EF"/>
    <w:rsid w:val="002058D4"/>
    <w:rsid w:val="0020632A"/>
    <w:rsid w:val="0020697F"/>
    <w:rsid w:val="00207262"/>
    <w:rsid w:val="0020726E"/>
    <w:rsid w:val="00210656"/>
    <w:rsid w:val="002110EB"/>
    <w:rsid w:val="00211338"/>
    <w:rsid w:val="00211388"/>
    <w:rsid w:val="0021148C"/>
    <w:rsid w:val="00211694"/>
    <w:rsid w:val="002118C2"/>
    <w:rsid w:val="0021201A"/>
    <w:rsid w:val="002138FE"/>
    <w:rsid w:val="00213A1F"/>
    <w:rsid w:val="00213C63"/>
    <w:rsid w:val="00214502"/>
    <w:rsid w:val="00214741"/>
    <w:rsid w:val="00214938"/>
    <w:rsid w:val="00214EB1"/>
    <w:rsid w:val="0021539A"/>
    <w:rsid w:val="00215852"/>
    <w:rsid w:val="00215B01"/>
    <w:rsid w:val="00215B8E"/>
    <w:rsid w:val="00216264"/>
    <w:rsid w:val="002176B6"/>
    <w:rsid w:val="0021792D"/>
    <w:rsid w:val="00217DB8"/>
    <w:rsid w:val="002202CE"/>
    <w:rsid w:val="0022032A"/>
    <w:rsid w:val="00220B61"/>
    <w:rsid w:val="00221389"/>
    <w:rsid w:val="0022194E"/>
    <w:rsid w:val="002220B1"/>
    <w:rsid w:val="0022210B"/>
    <w:rsid w:val="002221CE"/>
    <w:rsid w:val="00222BE8"/>
    <w:rsid w:val="00223102"/>
    <w:rsid w:val="002232CB"/>
    <w:rsid w:val="00224022"/>
    <w:rsid w:val="0022595D"/>
    <w:rsid w:val="00226055"/>
    <w:rsid w:val="0022609C"/>
    <w:rsid w:val="0022613F"/>
    <w:rsid w:val="00226236"/>
    <w:rsid w:val="002270C9"/>
    <w:rsid w:val="0022769D"/>
    <w:rsid w:val="00227A8B"/>
    <w:rsid w:val="00230B78"/>
    <w:rsid w:val="00230F0B"/>
    <w:rsid w:val="0023146B"/>
    <w:rsid w:val="002315A0"/>
    <w:rsid w:val="00231748"/>
    <w:rsid w:val="00231EC7"/>
    <w:rsid w:val="002320F9"/>
    <w:rsid w:val="002323F3"/>
    <w:rsid w:val="00232711"/>
    <w:rsid w:val="00232E15"/>
    <w:rsid w:val="00233079"/>
    <w:rsid w:val="0023382C"/>
    <w:rsid w:val="00233977"/>
    <w:rsid w:val="00233C58"/>
    <w:rsid w:val="00233C71"/>
    <w:rsid w:val="002345B6"/>
    <w:rsid w:val="002347A6"/>
    <w:rsid w:val="00234B84"/>
    <w:rsid w:val="00236016"/>
    <w:rsid w:val="00236D3B"/>
    <w:rsid w:val="00237065"/>
    <w:rsid w:val="00237589"/>
    <w:rsid w:val="0023758D"/>
    <w:rsid w:val="002375A7"/>
    <w:rsid w:val="0024004D"/>
    <w:rsid w:val="0024019A"/>
    <w:rsid w:val="00240EC1"/>
    <w:rsid w:val="00241008"/>
    <w:rsid w:val="002411C8"/>
    <w:rsid w:val="0024120F"/>
    <w:rsid w:val="0024131D"/>
    <w:rsid w:val="002415B8"/>
    <w:rsid w:val="00241816"/>
    <w:rsid w:val="00242D5F"/>
    <w:rsid w:val="00242D62"/>
    <w:rsid w:val="002430D0"/>
    <w:rsid w:val="002431D7"/>
    <w:rsid w:val="0024369A"/>
    <w:rsid w:val="00244058"/>
    <w:rsid w:val="00244631"/>
    <w:rsid w:val="002451A6"/>
    <w:rsid w:val="00245718"/>
    <w:rsid w:val="00245E07"/>
    <w:rsid w:val="00246001"/>
    <w:rsid w:val="00246E0D"/>
    <w:rsid w:val="00247550"/>
    <w:rsid w:val="00247712"/>
    <w:rsid w:val="002477B3"/>
    <w:rsid w:val="00250A9E"/>
    <w:rsid w:val="00250EC6"/>
    <w:rsid w:val="00251040"/>
    <w:rsid w:val="002515C7"/>
    <w:rsid w:val="00251866"/>
    <w:rsid w:val="00251A9F"/>
    <w:rsid w:val="00251ABD"/>
    <w:rsid w:val="00252492"/>
    <w:rsid w:val="00252B35"/>
    <w:rsid w:val="00253070"/>
    <w:rsid w:val="0025316D"/>
    <w:rsid w:val="00253A02"/>
    <w:rsid w:val="00253B81"/>
    <w:rsid w:val="002540D8"/>
    <w:rsid w:val="0025469C"/>
    <w:rsid w:val="00254AE9"/>
    <w:rsid w:val="002554DE"/>
    <w:rsid w:val="00255575"/>
    <w:rsid w:val="00255E11"/>
    <w:rsid w:val="00255EA6"/>
    <w:rsid w:val="00256835"/>
    <w:rsid w:val="002569F0"/>
    <w:rsid w:val="00256C01"/>
    <w:rsid w:val="00256D3E"/>
    <w:rsid w:val="00256E1A"/>
    <w:rsid w:val="00256ECF"/>
    <w:rsid w:val="00257652"/>
    <w:rsid w:val="00257730"/>
    <w:rsid w:val="00257999"/>
    <w:rsid w:val="002604AA"/>
    <w:rsid w:val="00260F07"/>
    <w:rsid w:val="0026129B"/>
    <w:rsid w:val="002614FC"/>
    <w:rsid w:val="00261560"/>
    <w:rsid w:val="00261715"/>
    <w:rsid w:val="00261CF9"/>
    <w:rsid w:val="00261EC0"/>
    <w:rsid w:val="0026231B"/>
    <w:rsid w:val="00263101"/>
    <w:rsid w:val="002631D1"/>
    <w:rsid w:val="00263201"/>
    <w:rsid w:val="00263A37"/>
    <w:rsid w:val="00264266"/>
    <w:rsid w:val="0026471F"/>
    <w:rsid w:val="0026480D"/>
    <w:rsid w:val="002653A6"/>
    <w:rsid w:val="00265EB4"/>
    <w:rsid w:val="002661F1"/>
    <w:rsid w:val="00266C2C"/>
    <w:rsid w:val="00266DB6"/>
    <w:rsid w:val="002679AB"/>
    <w:rsid w:val="002711A4"/>
    <w:rsid w:val="00271230"/>
    <w:rsid w:val="00271F13"/>
    <w:rsid w:val="002725C3"/>
    <w:rsid w:val="00272945"/>
    <w:rsid w:val="0027482E"/>
    <w:rsid w:val="00274DB5"/>
    <w:rsid w:val="00275BB1"/>
    <w:rsid w:val="0027770B"/>
    <w:rsid w:val="00277933"/>
    <w:rsid w:val="00277F8D"/>
    <w:rsid w:val="00277FA7"/>
    <w:rsid w:val="00280046"/>
    <w:rsid w:val="0028008D"/>
    <w:rsid w:val="00280B4F"/>
    <w:rsid w:val="00280F3D"/>
    <w:rsid w:val="0028106A"/>
    <w:rsid w:val="0028126A"/>
    <w:rsid w:val="002815C0"/>
    <w:rsid w:val="00281EB4"/>
    <w:rsid w:val="00282042"/>
    <w:rsid w:val="002822DF"/>
    <w:rsid w:val="0028299A"/>
    <w:rsid w:val="00282E03"/>
    <w:rsid w:val="0028308E"/>
    <w:rsid w:val="002834E9"/>
    <w:rsid w:val="00283A52"/>
    <w:rsid w:val="00283C5E"/>
    <w:rsid w:val="00283E26"/>
    <w:rsid w:val="0028428F"/>
    <w:rsid w:val="00284CFC"/>
    <w:rsid w:val="00285832"/>
    <w:rsid w:val="00285969"/>
    <w:rsid w:val="0028663B"/>
    <w:rsid w:val="00286CEC"/>
    <w:rsid w:val="002870F9"/>
    <w:rsid w:val="002871A9"/>
    <w:rsid w:val="00287505"/>
    <w:rsid w:val="00287728"/>
    <w:rsid w:val="002879EB"/>
    <w:rsid w:val="00287BDB"/>
    <w:rsid w:val="0029031D"/>
    <w:rsid w:val="00290781"/>
    <w:rsid w:val="002908AB"/>
    <w:rsid w:val="00291454"/>
    <w:rsid w:val="00291470"/>
    <w:rsid w:val="00291784"/>
    <w:rsid w:val="002919E2"/>
    <w:rsid w:val="00291CF4"/>
    <w:rsid w:val="002920DF"/>
    <w:rsid w:val="002929BB"/>
    <w:rsid w:val="00293D2F"/>
    <w:rsid w:val="00294368"/>
    <w:rsid w:val="00294B78"/>
    <w:rsid w:val="00295416"/>
    <w:rsid w:val="002956FB"/>
    <w:rsid w:val="00295949"/>
    <w:rsid w:val="00295D7C"/>
    <w:rsid w:val="0029624A"/>
    <w:rsid w:val="00296827"/>
    <w:rsid w:val="00296922"/>
    <w:rsid w:val="00297098"/>
    <w:rsid w:val="002A05D4"/>
    <w:rsid w:val="002A06DB"/>
    <w:rsid w:val="002A09FF"/>
    <w:rsid w:val="002A0E60"/>
    <w:rsid w:val="002A1310"/>
    <w:rsid w:val="002A16A6"/>
    <w:rsid w:val="002A1A58"/>
    <w:rsid w:val="002A1B02"/>
    <w:rsid w:val="002A1C53"/>
    <w:rsid w:val="002A244B"/>
    <w:rsid w:val="002A28FC"/>
    <w:rsid w:val="002A2B44"/>
    <w:rsid w:val="002A2C29"/>
    <w:rsid w:val="002A2C63"/>
    <w:rsid w:val="002A2EA5"/>
    <w:rsid w:val="002A3132"/>
    <w:rsid w:val="002A3482"/>
    <w:rsid w:val="002A39B5"/>
    <w:rsid w:val="002A3D94"/>
    <w:rsid w:val="002A40A0"/>
    <w:rsid w:val="002A4736"/>
    <w:rsid w:val="002A4B1C"/>
    <w:rsid w:val="002A55FE"/>
    <w:rsid w:val="002A591D"/>
    <w:rsid w:val="002A6AFB"/>
    <w:rsid w:val="002A733D"/>
    <w:rsid w:val="002A774A"/>
    <w:rsid w:val="002A78F3"/>
    <w:rsid w:val="002A7E5C"/>
    <w:rsid w:val="002A7F6D"/>
    <w:rsid w:val="002B08BA"/>
    <w:rsid w:val="002B0AEE"/>
    <w:rsid w:val="002B1342"/>
    <w:rsid w:val="002B1F83"/>
    <w:rsid w:val="002B27C8"/>
    <w:rsid w:val="002B2A7F"/>
    <w:rsid w:val="002B330B"/>
    <w:rsid w:val="002B39BE"/>
    <w:rsid w:val="002B3F99"/>
    <w:rsid w:val="002B438C"/>
    <w:rsid w:val="002B48DB"/>
    <w:rsid w:val="002B4B34"/>
    <w:rsid w:val="002B541A"/>
    <w:rsid w:val="002B5A82"/>
    <w:rsid w:val="002B5EAB"/>
    <w:rsid w:val="002B5F2E"/>
    <w:rsid w:val="002B6407"/>
    <w:rsid w:val="002B6416"/>
    <w:rsid w:val="002B6459"/>
    <w:rsid w:val="002B6EC3"/>
    <w:rsid w:val="002B7014"/>
    <w:rsid w:val="002B73B0"/>
    <w:rsid w:val="002B7B65"/>
    <w:rsid w:val="002B7C20"/>
    <w:rsid w:val="002C07A9"/>
    <w:rsid w:val="002C24B4"/>
    <w:rsid w:val="002C2B3A"/>
    <w:rsid w:val="002C2B87"/>
    <w:rsid w:val="002C3CF4"/>
    <w:rsid w:val="002C441A"/>
    <w:rsid w:val="002C456E"/>
    <w:rsid w:val="002C4A73"/>
    <w:rsid w:val="002C4B84"/>
    <w:rsid w:val="002C4C0C"/>
    <w:rsid w:val="002C5016"/>
    <w:rsid w:val="002C5C2F"/>
    <w:rsid w:val="002C5D0F"/>
    <w:rsid w:val="002C60B9"/>
    <w:rsid w:val="002C615C"/>
    <w:rsid w:val="002C6CF2"/>
    <w:rsid w:val="002C6F77"/>
    <w:rsid w:val="002C704D"/>
    <w:rsid w:val="002C7102"/>
    <w:rsid w:val="002D0845"/>
    <w:rsid w:val="002D0933"/>
    <w:rsid w:val="002D19BB"/>
    <w:rsid w:val="002D1A9B"/>
    <w:rsid w:val="002D20F8"/>
    <w:rsid w:val="002D21A1"/>
    <w:rsid w:val="002D22BD"/>
    <w:rsid w:val="002D22C5"/>
    <w:rsid w:val="002D233E"/>
    <w:rsid w:val="002D2B4E"/>
    <w:rsid w:val="002D302A"/>
    <w:rsid w:val="002D36C6"/>
    <w:rsid w:val="002D37C1"/>
    <w:rsid w:val="002D444B"/>
    <w:rsid w:val="002D46B4"/>
    <w:rsid w:val="002D4A45"/>
    <w:rsid w:val="002D4B42"/>
    <w:rsid w:val="002D4B43"/>
    <w:rsid w:val="002D4BC1"/>
    <w:rsid w:val="002D5A1B"/>
    <w:rsid w:val="002D64CE"/>
    <w:rsid w:val="002D65BC"/>
    <w:rsid w:val="002D7EB2"/>
    <w:rsid w:val="002E055C"/>
    <w:rsid w:val="002E1050"/>
    <w:rsid w:val="002E107E"/>
    <w:rsid w:val="002E18E5"/>
    <w:rsid w:val="002E1953"/>
    <w:rsid w:val="002E1DC6"/>
    <w:rsid w:val="002E1DD5"/>
    <w:rsid w:val="002E2C3F"/>
    <w:rsid w:val="002E2CB5"/>
    <w:rsid w:val="002E2D7D"/>
    <w:rsid w:val="002E32D0"/>
    <w:rsid w:val="002E3C26"/>
    <w:rsid w:val="002E3D76"/>
    <w:rsid w:val="002E3DC6"/>
    <w:rsid w:val="002E3FF4"/>
    <w:rsid w:val="002E40A1"/>
    <w:rsid w:val="002E48EC"/>
    <w:rsid w:val="002E49E7"/>
    <w:rsid w:val="002E4B44"/>
    <w:rsid w:val="002E4ECB"/>
    <w:rsid w:val="002E4F23"/>
    <w:rsid w:val="002E512C"/>
    <w:rsid w:val="002E56D4"/>
    <w:rsid w:val="002E635A"/>
    <w:rsid w:val="002E6A53"/>
    <w:rsid w:val="002E6D68"/>
    <w:rsid w:val="002E7847"/>
    <w:rsid w:val="002F0073"/>
    <w:rsid w:val="002F02C5"/>
    <w:rsid w:val="002F0CF0"/>
    <w:rsid w:val="002F1C67"/>
    <w:rsid w:val="002F2077"/>
    <w:rsid w:val="002F240B"/>
    <w:rsid w:val="002F27DE"/>
    <w:rsid w:val="002F2F50"/>
    <w:rsid w:val="002F2FBC"/>
    <w:rsid w:val="002F33EC"/>
    <w:rsid w:val="002F34E3"/>
    <w:rsid w:val="002F3601"/>
    <w:rsid w:val="002F3C19"/>
    <w:rsid w:val="002F3E4E"/>
    <w:rsid w:val="002F40E2"/>
    <w:rsid w:val="002F40E3"/>
    <w:rsid w:val="002F45F6"/>
    <w:rsid w:val="002F5A6F"/>
    <w:rsid w:val="002F5AD3"/>
    <w:rsid w:val="002F5D46"/>
    <w:rsid w:val="002F692F"/>
    <w:rsid w:val="002F7575"/>
    <w:rsid w:val="002F7961"/>
    <w:rsid w:val="002F7B66"/>
    <w:rsid w:val="002F7C8C"/>
    <w:rsid w:val="00300CB4"/>
    <w:rsid w:val="00300E24"/>
    <w:rsid w:val="00300F94"/>
    <w:rsid w:val="00301742"/>
    <w:rsid w:val="00302CDD"/>
    <w:rsid w:val="003033BA"/>
    <w:rsid w:val="00303C19"/>
    <w:rsid w:val="003043A3"/>
    <w:rsid w:val="00304BD4"/>
    <w:rsid w:val="00304E41"/>
    <w:rsid w:val="0030500A"/>
    <w:rsid w:val="003052EB"/>
    <w:rsid w:val="00305FCB"/>
    <w:rsid w:val="003063C3"/>
    <w:rsid w:val="0030640A"/>
    <w:rsid w:val="003069DC"/>
    <w:rsid w:val="00306B44"/>
    <w:rsid w:val="00307C44"/>
    <w:rsid w:val="003100E1"/>
    <w:rsid w:val="0031088E"/>
    <w:rsid w:val="00310C45"/>
    <w:rsid w:val="00310D01"/>
    <w:rsid w:val="00311376"/>
    <w:rsid w:val="0031184C"/>
    <w:rsid w:val="00311A1F"/>
    <w:rsid w:val="00311B47"/>
    <w:rsid w:val="00311D52"/>
    <w:rsid w:val="00312190"/>
    <w:rsid w:val="003125E0"/>
    <w:rsid w:val="00312680"/>
    <w:rsid w:val="0031271D"/>
    <w:rsid w:val="003132BB"/>
    <w:rsid w:val="00313337"/>
    <w:rsid w:val="00313447"/>
    <w:rsid w:val="00313748"/>
    <w:rsid w:val="003137DE"/>
    <w:rsid w:val="00313C96"/>
    <w:rsid w:val="00313E3D"/>
    <w:rsid w:val="00313EA3"/>
    <w:rsid w:val="00315365"/>
    <w:rsid w:val="00315457"/>
    <w:rsid w:val="003161A4"/>
    <w:rsid w:val="0031691D"/>
    <w:rsid w:val="00316955"/>
    <w:rsid w:val="0031713F"/>
    <w:rsid w:val="0031720A"/>
    <w:rsid w:val="0031749B"/>
    <w:rsid w:val="003174CD"/>
    <w:rsid w:val="003174E5"/>
    <w:rsid w:val="003176C8"/>
    <w:rsid w:val="00317C9D"/>
    <w:rsid w:val="00317CD2"/>
    <w:rsid w:val="00317D99"/>
    <w:rsid w:val="0032078D"/>
    <w:rsid w:val="00320876"/>
    <w:rsid w:val="00320ADF"/>
    <w:rsid w:val="0032137B"/>
    <w:rsid w:val="00321BD6"/>
    <w:rsid w:val="00321FA3"/>
    <w:rsid w:val="003227D3"/>
    <w:rsid w:val="00322937"/>
    <w:rsid w:val="00323881"/>
    <w:rsid w:val="00324885"/>
    <w:rsid w:val="003251A8"/>
    <w:rsid w:val="003254B1"/>
    <w:rsid w:val="00325AD9"/>
    <w:rsid w:val="00325AE7"/>
    <w:rsid w:val="00325D98"/>
    <w:rsid w:val="0032682A"/>
    <w:rsid w:val="00327A5C"/>
    <w:rsid w:val="003303BE"/>
    <w:rsid w:val="0033092C"/>
    <w:rsid w:val="0033122A"/>
    <w:rsid w:val="003315AC"/>
    <w:rsid w:val="003318F4"/>
    <w:rsid w:val="00331932"/>
    <w:rsid w:val="00331F74"/>
    <w:rsid w:val="00332096"/>
    <w:rsid w:val="00332382"/>
    <w:rsid w:val="00332453"/>
    <w:rsid w:val="0033251B"/>
    <w:rsid w:val="00332E09"/>
    <w:rsid w:val="00333712"/>
    <w:rsid w:val="00333A88"/>
    <w:rsid w:val="00335B15"/>
    <w:rsid w:val="00335B21"/>
    <w:rsid w:val="00335D3F"/>
    <w:rsid w:val="00336104"/>
    <w:rsid w:val="00336610"/>
    <w:rsid w:val="00336729"/>
    <w:rsid w:val="00336CD9"/>
    <w:rsid w:val="0033726D"/>
    <w:rsid w:val="00337CA8"/>
    <w:rsid w:val="00340D3F"/>
    <w:rsid w:val="0034174B"/>
    <w:rsid w:val="0034177C"/>
    <w:rsid w:val="00341B0D"/>
    <w:rsid w:val="00341F1E"/>
    <w:rsid w:val="003420E9"/>
    <w:rsid w:val="00342345"/>
    <w:rsid w:val="00342A5C"/>
    <w:rsid w:val="00342C27"/>
    <w:rsid w:val="0034305D"/>
    <w:rsid w:val="003430C8"/>
    <w:rsid w:val="003432C8"/>
    <w:rsid w:val="003434B3"/>
    <w:rsid w:val="00343536"/>
    <w:rsid w:val="0034399A"/>
    <w:rsid w:val="00343EFB"/>
    <w:rsid w:val="00344760"/>
    <w:rsid w:val="00344E0A"/>
    <w:rsid w:val="003454E8"/>
    <w:rsid w:val="00345574"/>
    <w:rsid w:val="0034680A"/>
    <w:rsid w:val="00346C62"/>
    <w:rsid w:val="00347202"/>
    <w:rsid w:val="00347618"/>
    <w:rsid w:val="0034778E"/>
    <w:rsid w:val="00347A5A"/>
    <w:rsid w:val="003501E2"/>
    <w:rsid w:val="00351716"/>
    <w:rsid w:val="00351E10"/>
    <w:rsid w:val="0035213C"/>
    <w:rsid w:val="003533F4"/>
    <w:rsid w:val="003536F6"/>
    <w:rsid w:val="00353DD5"/>
    <w:rsid w:val="003549FC"/>
    <w:rsid w:val="00355131"/>
    <w:rsid w:val="00355F74"/>
    <w:rsid w:val="003560DB"/>
    <w:rsid w:val="003564DB"/>
    <w:rsid w:val="003566E9"/>
    <w:rsid w:val="00356F87"/>
    <w:rsid w:val="00357198"/>
    <w:rsid w:val="00357E83"/>
    <w:rsid w:val="00360CF3"/>
    <w:rsid w:val="0036137C"/>
    <w:rsid w:val="0036176D"/>
    <w:rsid w:val="00361A59"/>
    <w:rsid w:val="00361ED9"/>
    <w:rsid w:val="003622B1"/>
    <w:rsid w:val="00363348"/>
    <w:rsid w:val="00363857"/>
    <w:rsid w:val="00363D59"/>
    <w:rsid w:val="003640F7"/>
    <w:rsid w:val="00364E04"/>
    <w:rsid w:val="00365D3A"/>
    <w:rsid w:val="003664FF"/>
    <w:rsid w:val="00366BD2"/>
    <w:rsid w:val="003670B8"/>
    <w:rsid w:val="003704A3"/>
    <w:rsid w:val="0037058F"/>
    <w:rsid w:val="003706F2"/>
    <w:rsid w:val="003707CB"/>
    <w:rsid w:val="00370D68"/>
    <w:rsid w:val="00370D8F"/>
    <w:rsid w:val="0037124F"/>
    <w:rsid w:val="00372DF9"/>
    <w:rsid w:val="00373827"/>
    <w:rsid w:val="00373A9C"/>
    <w:rsid w:val="00373B68"/>
    <w:rsid w:val="00374012"/>
    <w:rsid w:val="0037401C"/>
    <w:rsid w:val="0037505F"/>
    <w:rsid w:val="0037507B"/>
    <w:rsid w:val="00375C7C"/>
    <w:rsid w:val="00375DA0"/>
    <w:rsid w:val="003765ED"/>
    <w:rsid w:val="00377027"/>
    <w:rsid w:val="00377135"/>
    <w:rsid w:val="00380272"/>
    <w:rsid w:val="003805DB"/>
    <w:rsid w:val="003808A9"/>
    <w:rsid w:val="003814ED"/>
    <w:rsid w:val="0038152A"/>
    <w:rsid w:val="003819F2"/>
    <w:rsid w:val="00382BAD"/>
    <w:rsid w:val="003835FD"/>
    <w:rsid w:val="00384DF1"/>
    <w:rsid w:val="00384FF3"/>
    <w:rsid w:val="00386456"/>
    <w:rsid w:val="003865A9"/>
    <w:rsid w:val="0039091C"/>
    <w:rsid w:val="0039092B"/>
    <w:rsid w:val="00390F32"/>
    <w:rsid w:val="0039135E"/>
    <w:rsid w:val="00391EFC"/>
    <w:rsid w:val="0039285D"/>
    <w:rsid w:val="0039319C"/>
    <w:rsid w:val="0039346A"/>
    <w:rsid w:val="00393577"/>
    <w:rsid w:val="00393CAE"/>
    <w:rsid w:val="003945F4"/>
    <w:rsid w:val="00394EB5"/>
    <w:rsid w:val="003953B4"/>
    <w:rsid w:val="0039615F"/>
    <w:rsid w:val="003966A0"/>
    <w:rsid w:val="00396837"/>
    <w:rsid w:val="00396A29"/>
    <w:rsid w:val="00397FF0"/>
    <w:rsid w:val="003A00D8"/>
    <w:rsid w:val="003A0878"/>
    <w:rsid w:val="003A0B08"/>
    <w:rsid w:val="003A11E5"/>
    <w:rsid w:val="003A1561"/>
    <w:rsid w:val="003A1CB2"/>
    <w:rsid w:val="003A1D25"/>
    <w:rsid w:val="003A223F"/>
    <w:rsid w:val="003A22A2"/>
    <w:rsid w:val="003A22FC"/>
    <w:rsid w:val="003A2447"/>
    <w:rsid w:val="003A2AA1"/>
    <w:rsid w:val="003A31A5"/>
    <w:rsid w:val="003A329A"/>
    <w:rsid w:val="003A3603"/>
    <w:rsid w:val="003A36D3"/>
    <w:rsid w:val="003A3851"/>
    <w:rsid w:val="003A39DD"/>
    <w:rsid w:val="003A3C6E"/>
    <w:rsid w:val="003A40DB"/>
    <w:rsid w:val="003A4199"/>
    <w:rsid w:val="003A493F"/>
    <w:rsid w:val="003A4A8E"/>
    <w:rsid w:val="003A563C"/>
    <w:rsid w:val="003A5710"/>
    <w:rsid w:val="003A581E"/>
    <w:rsid w:val="003A6160"/>
    <w:rsid w:val="003A65A5"/>
    <w:rsid w:val="003A6DAC"/>
    <w:rsid w:val="003A72F5"/>
    <w:rsid w:val="003A78E5"/>
    <w:rsid w:val="003B0341"/>
    <w:rsid w:val="003B1961"/>
    <w:rsid w:val="003B1E57"/>
    <w:rsid w:val="003B2EF3"/>
    <w:rsid w:val="003B47F0"/>
    <w:rsid w:val="003B534F"/>
    <w:rsid w:val="003B5391"/>
    <w:rsid w:val="003B58CE"/>
    <w:rsid w:val="003B65D7"/>
    <w:rsid w:val="003B65E0"/>
    <w:rsid w:val="003B6BD4"/>
    <w:rsid w:val="003B6F4D"/>
    <w:rsid w:val="003B6FE7"/>
    <w:rsid w:val="003B70CE"/>
    <w:rsid w:val="003B7458"/>
    <w:rsid w:val="003C0C0F"/>
    <w:rsid w:val="003C0D1F"/>
    <w:rsid w:val="003C116A"/>
    <w:rsid w:val="003C1AF4"/>
    <w:rsid w:val="003C1CB8"/>
    <w:rsid w:val="003C22DA"/>
    <w:rsid w:val="003C2550"/>
    <w:rsid w:val="003C287F"/>
    <w:rsid w:val="003C2A55"/>
    <w:rsid w:val="003C3146"/>
    <w:rsid w:val="003C3251"/>
    <w:rsid w:val="003C3339"/>
    <w:rsid w:val="003C375A"/>
    <w:rsid w:val="003C4317"/>
    <w:rsid w:val="003C4C1F"/>
    <w:rsid w:val="003C4D9F"/>
    <w:rsid w:val="003C5247"/>
    <w:rsid w:val="003C5C0C"/>
    <w:rsid w:val="003C5E8A"/>
    <w:rsid w:val="003C622C"/>
    <w:rsid w:val="003C6505"/>
    <w:rsid w:val="003C6EBA"/>
    <w:rsid w:val="003C727D"/>
    <w:rsid w:val="003C73C7"/>
    <w:rsid w:val="003C7CFB"/>
    <w:rsid w:val="003D050B"/>
    <w:rsid w:val="003D0A1F"/>
    <w:rsid w:val="003D0B98"/>
    <w:rsid w:val="003D0C3C"/>
    <w:rsid w:val="003D0DE5"/>
    <w:rsid w:val="003D1351"/>
    <w:rsid w:val="003D21C1"/>
    <w:rsid w:val="003D281F"/>
    <w:rsid w:val="003D2F21"/>
    <w:rsid w:val="003D369D"/>
    <w:rsid w:val="003D3B15"/>
    <w:rsid w:val="003D3B2E"/>
    <w:rsid w:val="003D4101"/>
    <w:rsid w:val="003D484D"/>
    <w:rsid w:val="003D49CB"/>
    <w:rsid w:val="003D4B5B"/>
    <w:rsid w:val="003D577A"/>
    <w:rsid w:val="003D6719"/>
    <w:rsid w:val="003D6B8F"/>
    <w:rsid w:val="003D7566"/>
    <w:rsid w:val="003E0224"/>
    <w:rsid w:val="003E09BB"/>
    <w:rsid w:val="003E159D"/>
    <w:rsid w:val="003E20EA"/>
    <w:rsid w:val="003E210C"/>
    <w:rsid w:val="003E2F55"/>
    <w:rsid w:val="003E34DB"/>
    <w:rsid w:val="003E3833"/>
    <w:rsid w:val="003E3AF9"/>
    <w:rsid w:val="003E3D12"/>
    <w:rsid w:val="003E4A70"/>
    <w:rsid w:val="003E4C48"/>
    <w:rsid w:val="003E4CD9"/>
    <w:rsid w:val="003E52C2"/>
    <w:rsid w:val="003E54B3"/>
    <w:rsid w:val="003E5780"/>
    <w:rsid w:val="003E5B9F"/>
    <w:rsid w:val="003E5CE4"/>
    <w:rsid w:val="003E6072"/>
    <w:rsid w:val="003E6AB6"/>
    <w:rsid w:val="003E6E0B"/>
    <w:rsid w:val="003E6EF6"/>
    <w:rsid w:val="003E71CD"/>
    <w:rsid w:val="003E78DA"/>
    <w:rsid w:val="003E7A8B"/>
    <w:rsid w:val="003F00C2"/>
    <w:rsid w:val="003F060E"/>
    <w:rsid w:val="003F0F7F"/>
    <w:rsid w:val="003F115C"/>
    <w:rsid w:val="003F153A"/>
    <w:rsid w:val="003F1767"/>
    <w:rsid w:val="003F1C15"/>
    <w:rsid w:val="003F23D1"/>
    <w:rsid w:val="003F2A86"/>
    <w:rsid w:val="003F300D"/>
    <w:rsid w:val="003F391F"/>
    <w:rsid w:val="003F3DE6"/>
    <w:rsid w:val="003F3FA1"/>
    <w:rsid w:val="003F42C0"/>
    <w:rsid w:val="003F4599"/>
    <w:rsid w:val="003F45E1"/>
    <w:rsid w:val="003F4A81"/>
    <w:rsid w:val="003F4F6C"/>
    <w:rsid w:val="003F559E"/>
    <w:rsid w:val="003F6098"/>
    <w:rsid w:val="003F6181"/>
    <w:rsid w:val="003F6B40"/>
    <w:rsid w:val="003F6BFC"/>
    <w:rsid w:val="003F6CE8"/>
    <w:rsid w:val="003F6D87"/>
    <w:rsid w:val="003F7343"/>
    <w:rsid w:val="003F7AAD"/>
    <w:rsid w:val="00400002"/>
    <w:rsid w:val="00400054"/>
    <w:rsid w:val="00400134"/>
    <w:rsid w:val="004002C6"/>
    <w:rsid w:val="004004C2"/>
    <w:rsid w:val="00400707"/>
    <w:rsid w:val="004016A3"/>
    <w:rsid w:val="00401B31"/>
    <w:rsid w:val="0040202B"/>
    <w:rsid w:val="00402DE1"/>
    <w:rsid w:val="00402EEB"/>
    <w:rsid w:val="004037C2"/>
    <w:rsid w:val="00404041"/>
    <w:rsid w:val="00404B43"/>
    <w:rsid w:val="00404C61"/>
    <w:rsid w:val="00404D1B"/>
    <w:rsid w:val="00404F5D"/>
    <w:rsid w:val="004052E3"/>
    <w:rsid w:val="00405487"/>
    <w:rsid w:val="00405730"/>
    <w:rsid w:val="00405B8A"/>
    <w:rsid w:val="00405CEA"/>
    <w:rsid w:val="0040602B"/>
    <w:rsid w:val="0040606C"/>
    <w:rsid w:val="004060DC"/>
    <w:rsid w:val="004067D6"/>
    <w:rsid w:val="00406DF5"/>
    <w:rsid w:val="00406F35"/>
    <w:rsid w:val="004075A9"/>
    <w:rsid w:val="004077D0"/>
    <w:rsid w:val="00407A7A"/>
    <w:rsid w:val="00407ABC"/>
    <w:rsid w:val="00407F1E"/>
    <w:rsid w:val="00410A88"/>
    <w:rsid w:val="00411317"/>
    <w:rsid w:val="00411692"/>
    <w:rsid w:val="00411A9E"/>
    <w:rsid w:val="00411F80"/>
    <w:rsid w:val="0041259F"/>
    <w:rsid w:val="00412B1B"/>
    <w:rsid w:val="00412B4D"/>
    <w:rsid w:val="00412C51"/>
    <w:rsid w:val="00412D40"/>
    <w:rsid w:val="00413262"/>
    <w:rsid w:val="0041329C"/>
    <w:rsid w:val="004139F4"/>
    <w:rsid w:val="00413FFA"/>
    <w:rsid w:val="00414246"/>
    <w:rsid w:val="00414D9A"/>
    <w:rsid w:val="00415194"/>
    <w:rsid w:val="00415816"/>
    <w:rsid w:val="00415B88"/>
    <w:rsid w:val="00415D32"/>
    <w:rsid w:val="004160A2"/>
    <w:rsid w:val="0041674B"/>
    <w:rsid w:val="004170D7"/>
    <w:rsid w:val="004177A6"/>
    <w:rsid w:val="00417C23"/>
    <w:rsid w:val="00417EFD"/>
    <w:rsid w:val="004200EE"/>
    <w:rsid w:val="00420478"/>
    <w:rsid w:val="00420786"/>
    <w:rsid w:val="004209D2"/>
    <w:rsid w:val="00420D6E"/>
    <w:rsid w:val="0042152A"/>
    <w:rsid w:val="0042158C"/>
    <w:rsid w:val="00421617"/>
    <w:rsid w:val="00421BD2"/>
    <w:rsid w:val="00421E00"/>
    <w:rsid w:val="00421FCB"/>
    <w:rsid w:val="0042244C"/>
    <w:rsid w:val="00422DCA"/>
    <w:rsid w:val="004232DB"/>
    <w:rsid w:val="00423D04"/>
    <w:rsid w:val="00423F9F"/>
    <w:rsid w:val="004251A1"/>
    <w:rsid w:val="00425C43"/>
    <w:rsid w:val="00426FB4"/>
    <w:rsid w:val="004273FA"/>
    <w:rsid w:val="004275A7"/>
    <w:rsid w:val="00430186"/>
    <w:rsid w:val="00430F17"/>
    <w:rsid w:val="0043269A"/>
    <w:rsid w:val="004333C2"/>
    <w:rsid w:val="00433415"/>
    <w:rsid w:val="00433F82"/>
    <w:rsid w:val="00434787"/>
    <w:rsid w:val="00434C13"/>
    <w:rsid w:val="00435128"/>
    <w:rsid w:val="0043549E"/>
    <w:rsid w:val="00435703"/>
    <w:rsid w:val="00435BD5"/>
    <w:rsid w:val="00436323"/>
    <w:rsid w:val="0043683F"/>
    <w:rsid w:val="00436F40"/>
    <w:rsid w:val="004370FA"/>
    <w:rsid w:val="0043778B"/>
    <w:rsid w:val="00440096"/>
    <w:rsid w:val="004402CD"/>
    <w:rsid w:val="004403DD"/>
    <w:rsid w:val="004405F1"/>
    <w:rsid w:val="00440CF3"/>
    <w:rsid w:val="00440DB0"/>
    <w:rsid w:val="00440DDC"/>
    <w:rsid w:val="00440FAD"/>
    <w:rsid w:val="00441291"/>
    <w:rsid w:val="00441E04"/>
    <w:rsid w:val="004420AB"/>
    <w:rsid w:val="004422D6"/>
    <w:rsid w:val="004427AC"/>
    <w:rsid w:val="00442C7D"/>
    <w:rsid w:val="00442D13"/>
    <w:rsid w:val="00442D4D"/>
    <w:rsid w:val="00442DEA"/>
    <w:rsid w:val="0044374D"/>
    <w:rsid w:val="00443B55"/>
    <w:rsid w:val="00443D27"/>
    <w:rsid w:val="00443D8F"/>
    <w:rsid w:val="00444038"/>
    <w:rsid w:val="0044500B"/>
    <w:rsid w:val="00446037"/>
    <w:rsid w:val="004463DB"/>
    <w:rsid w:val="0044642F"/>
    <w:rsid w:val="00446FBF"/>
    <w:rsid w:val="0044772C"/>
    <w:rsid w:val="00447C11"/>
    <w:rsid w:val="00450591"/>
    <w:rsid w:val="00450846"/>
    <w:rsid w:val="0045084E"/>
    <w:rsid w:val="004514AF"/>
    <w:rsid w:val="00451847"/>
    <w:rsid w:val="00451A52"/>
    <w:rsid w:val="004521DA"/>
    <w:rsid w:val="00452361"/>
    <w:rsid w:val="0045271D"/>
    <w:rsid w:val="00452755"/>
    <w:rsid w:val="00452803"/>
    <w:rsid w:val="004529C6"/>
    <w:rsid w:val="00452EAD"/>
    <w:rsid w:val="004533D1"/>
    <w:rsid w:val="004534D1"/>
    <w:rsid w:val="00454548"/>
    <w:rsid w:val="00454717"/>
    <w:rsid w:val="00455004"/>
    <w:rsid w:val="00455047"/>
    <w:rsid w:val="00455354"/>
    <w:rsid w:val="0045558D"/>
    <w:rsid w:val="00455BD3"/>
    <w:rsid w:val="004567DA"/>
    <w:rsid w:val="00456970"/>
    <w:rsid w:val="00456BB1"/>
    <w:rsid w:val="00456CD4"/>
    <w:rsid w:val="00456DDB"/>
    <w:rsid w:val="00456E61"/>
    <w:rsid w:val="00457031"/>
    <w:rsid w:val="004607C1"/>
    <w:rsid w:val="00460915"/>
    <w:rsid w:val="00460946"/>
    <w:rsid w:val="00461321"/>
    <w:rsid w:val="004614A9"/>
    <w:rsid w:val="00461D8D"/>
    <w:rsid w:val="00461E97"/>
    <w:rsid w:val="0046268F"/>
    <w:rsid w:val="0046284F"/>
    <w:rsid w:val="00462B10"/>
    <w:rsid w:val="00462BB1"/>
    <w:rsid w:val="00462C04"/>
    <w:rsid w:val="0046320A"/>
    <w:rsid w:val="00463515"/>
    <w:rsid w:val="004636CC"/>
    <w:rsid w:val="004638E2"/>
    <w:rsid w:val="00464030"/>
    <w:rsid w:val="0046453A"/>
    <w:rsid w:val="004647F8"/>
    <w:rsid w:val="004647FB"/>
    <w:rsid w:val="00464CAA"/>
    <w:rsid w:val="00465090"/>
    <w:rsid w:val="00465347"/>
    <w:rsid w:val="00465677"/>
    <w:rsid w:val="00466616"/>
    <w:rsid w:val="00466A0C"/>
    <w:rsid w:val="00466A53"/>
    <w:rsid w:val="00470A6A"/>
    <w:rsid w:val="00470D73"/>
    <w:rsid w:val="00470D92"/>
    <w:rsid w:val="00471005"/>
    <w:rsid w:val="0047179C"/>
    <w:rsid w:val="00471DF7"/>
    <w:rsid w:val="004721A4"/>
    <w:rsid w:val="0047288F"/>
    <w:rsid w:val="004734CF"/>
    <w:rsid w:val="00473F17"/>
    <w:rsid w:val="0047586C"/>
    <w:rsid w:val="00475C5A"/>
    <w:rsid w:val="00475C9C"/>
    <w:rsid w:val="00475D79"/>
    <w:rsid w:val="0047676B"/>
    <w:rsid w:val="0047773C"/>
    <w:rsid w:val="004777DF"/>
    <w:rsid w:val="00477C5F"/>
    <w:rsid w:val="00480050"/>
    <w:rsid w:val="0048011C"/>
    <w:rsid w:val="00480170"/>
    <w:rsid w:val="00480662"/>
    <w:rsid w:val="004808DE"/>
    <w:rsid w:val="00481AC4"/>
    <w:rsid w:val="00481DC1"/>
    <w:rsid w:val="00482507"/>
    <w:rsid w:val="0048268A"/>
    <w:rsid w:val="004826F1"/>
    <w:rsid w:val="004831B1"/>
    <w:rsid w:val="00483379"/>
    <w:rsid w:val="004835CA"/>
    <w:rsid w:val="004836F8"/>
    <w:rsid w:val="004836FE"/>
    <w:rsid w:val="004839EB"/>
    <w:rsid w:val="00483FA1"/>
    <w:rsid w:val="00484F0F"/>
    <w:rsid w:val="00484F40"/>
    <w:rsid w:val="0048540C"/>
    <w:rsid w:val="004861B4"/>
    <w:rsid w:val="00486226"/>
    <w:rsid w:val="00486BD0"/>
    <w:rsid w:val="00486D00"/>
    <w:rsid w:val="00486FF7"/>
    <w:rsid w:val="00487224"/>
    <w:rsid w:val="00487263"/>
    <w:rsid w:val="0048734F"/>
    <w:rsid w:val="0048742E"/>
    <w:rsid w:val="0049029D"/>
    <w:rsid w:val="0049030C"/>
    <w:rsid w:val="004903C0"/>
    <w:rsid w:val="00490D3C"/>
    <w:rsid w:val="0049114B"/>
    <w:rsid w:val="004912A8"/>
    <w:rsid w:val="00491577"/>
    <w:rsid w:val="004917DD"/>
    <w:rsid w:val="004918E1"/>
    <w:rsid w:val="0049196A"/>
    <w:rsid w:val="0049196E"/>
    <w:rsid w:val="0049241A"/>
    <w:rsid w:val="00492C1F"/>
    <w:rsid w:val="00492E4C"/>
    <w:rsid w:val="00492FCB"/>
    <w:rsid w:val="00493664"/>
    <w:rsid w:val="004938FD"/>
    <w:rsid w:val="00493E04"/>
    <w:rsid w:val="004940E3"/>
    <w:rsid w:val="004947B8"/>
    <w:rsid w:val="004948A9"/>
    <w:rsid w:val="0049530F"/>
    <w:rsid w:val="004962B2"/>
    <w:rsid w:val="00496664"/>
    <w:rsid w:val="00496786"/>
    <w:rsid w:val="0049695B"/>
    <w:rsid w:val="00496D8F"/>
    <w:rsid w:val="00497463"/>
    <w:rsid w:val="00497BF4"/>
    <w:rsid w:val="004A054C"/>
    <w:rsid w:val="004A08D1"/>
    <w:rsid w:val="004A0905"/>
    <w:rsid w:val="004A0F5B"/>
    <w:rsid w:val="004A16C1"/>
    <w:rsid w:val="004A1CE2"/>
    <w:rsid w:val="004A31BD"/>
    <w:rsid w:val="004A34D2"/>
    <w:rsid w:val="004A4301"/>
    <w:rsid w:val="004A4587"/>
    <w:rsid w:val="004A45E5"/>
    <w:rsid w:val="004A4D93"/>
    <w:rsid w:val="004A58EE"/>
    <w:rsid w:val="004A59B7"/>
    <w:rsid w:val="004A6051"/>
    <w:rsid w:val="004A623B"/>
    <w:rsid w:val="004A6A04"/>
    <w:rsid w:val="004A6A52"/>
    <w:rsid w:val="004A7A6E"/>
    <w:rsid w:val="004B07B2"/>
    <w:rsid w:val="004B0A44"/>
    <w:rsid w:val="004B0F0B"/>
    <w:rsid w:val="004B2197"/>
    <w:rsid w:val="004B298A"/>
    <w:rsid w:val="004B4DE8"/>
    <w:rsid w:val="004B50CB"/>
    <w:rsid w:val="004B512B"/>
    <w:rsid w:val="004B578D"/>
    <w:rsid w:val="004B5BE7"/>
    <w:rsid w:val="004B5E2D"/>
    <w:rsid w:val="004B6C07"/>
    <w:rsid w:val="004B74D3"/>
    <w:rsid w:val="004B755E"/>
    <w:rsid w:val="004B788E"/>
    <w:rsid w:val="004B7E5D"/>
    <w:rsid w:val="004C00BF"/>
    <w:rsid w:val="004C02F7"/>
    <w:rsid w:val="004C1741"/>
    <w:rsid w:val="004C22F7"/>
    <w:rsid w:val="004C2A3E"/>
    <w:rsid w:val="004C2B27"/>
    <w:rsid w:val="004C33FC"/>
    <w:rsid w:val="004C3929"/>
    <w:rsid w:val="004C5212"/>
    <w:rsid w:val="004C5EF0"/>
    <w:rsid w:val="004C64C9"/>
    <w:rsid w:val="004C7226"/>
    <w:rsid w:val="004C74C9"/>
    <w:rsid w:val="004C7915"/>
    <w:rsid w:val="004C7D70"/>
    <w:rsid w:val="004D02F9"/>
    <w:rsid w:val="004D03FE"/>
    <w:rsid w:val="004D0446"/>
    <w:rsid w:val="004D06A3"/>
    <w:rsid w:val="004D0AEA"/>
    <w:rsid w:val="004D0F95"/>
    <w:rsid w:val="004D106A"/>
    <w:rsid w:val="004D1C7E"/>
    <w:rsid w:val="004D1FB0"/>
    <w:rsid w:val="004D245A"/>
    <w:rsid w:val="004D2571"/>
    <w:rsid w:val="004D2590"/>
    <w:rsid w:val="004D25EB"/>
    <w:rsid w:val="004D31EE"/>
    <w:rsid w:val="004D36AF"/>
    <w:rsid w:val="004D3BD1"/>
    <w:rsid w:val="004D4A64"/>
    <w:rsid w:val="004D4BA1"/>
    <w:rsid w:val="004D584D"/>
    <w:rsid w:val="004D5A7E"/>
    <w:rsid w:val="004D6120"/>
    <w:rsid w:val="004D6826"/>
    <w:rsid w:val="004D688D"/>
    <w:rsid w:val="004D69C3"/>
    <w:rsid w:val="004D6A43"/>
    <w:rsid w:val="004D716E"/>
    <w:rsid w:val="004D740B"/>
    <w:rsid w:val="004E023F"/>
    <w:rsid w:val="004E0546"/>
    <w:rsid w:val="004E0742"/>
    <w:rsid w:val="004E0C64"/>
    <w:rsid w:val="004E0F6B"/>
    <w:rsid w:val="004E133F"/>
    <w:rsid w:val="004E1545"/>
    <w:rsid w:val="004E1F1C"/>
    <w:rsid w:val="004E282C"/>
    <w:rsid w:val="004E2A35"/>
    <w:rsid w:val="004E40CE"/>
    <w:rsid w:val="004E5736"/>
    <w:rsid w:val="004E589C"/>
    <w:rsid w:val="004E5A3C"/>
    <w:rsid w:val="004E5B36"/>
    <w:rsid w:val="004E5D5D"/>
    <w:rsid w:val="004E6045"/>
    <w:rsid w:val="004E6F43"/>
    <w:rsid w:val="004E7120"/>
    <w:rsid w:val="004E7200"/>
    <w:rsid w:val="004E787E"/>
    <w:rsid w:val="004E7AA1"/>
    <w:rsid w:val="004E7F32"/>
    <w:rsid w:val="004F0960"/>
    <w:rsid w:val="004F09A9"/>
    <w:rsid w:val="004F0A5C"/>
    <w:rsid w:val="004F150E"/>
    <w:rsid w:val="004F1596"/>
    <w:rsid w:val="004F163F"/>
    <w:rsid w:val="004F18A0"/>
    <w:rsid w:val="004F1A08"/>
    <w:rsid w:val="004F2B64"/>
    <w:rsid w:val="004F31B8"/>
    <w:rsid w:val="004F375E"/>
    <w:rsid w:val="004F3764"/>
    <w:rsid w:val="004F3EEF"/>
    <w:rsid w:val="004F406C"/>
    <w:rsid w:val="004F5180"/>
    <w:rsid w:val="004F5222"/>
    <w:rsid w:val="004F57C9"/>
    <w:rsid w:val="004F57D5"/>
    <w:rsid w:val="004F5930"/>
    <w:rsid w:val="004F5970"/>
    <w:rsid w:val="004F5F0C"/>
    <w:rsid w:val="004F6121"/>
    <w:rsid w:val="004F6161"/>
    <w:rsid w:val="004F66BC"/>
    <w:rsid w:val="004F6C26"/>
    <w:rsid w:val="004F70F1"/>
    <w:rsid w:val="004F7A55"/>
    <w:rsid w:val="004F7AC9"/>
    <w:rsid w:val="0050039C"/>
    <w:rsid w:val="0050062F"/>
    <w:rsid w:val="00500A29"/>
    <w:rsid w:val="00500E74"/>
    <w:rsid w:val="0050160F"/>
    <w:rsid w:val="0050273B"/>
    <w:rsid w:val="0050284E"/>
    <w:rsid w:val="00502911"/>
    <w:rsid w:val="0050306F"/>
    <w:rsid w:val="00503EC8"/>
    <w:rsid w:val="00504579"/>
    <w:rsid w:val="00505DCB"/>
    <w:rsid w:val="005075CA"/>
    <w:rsid w:val="00507B06"/>
    <w:rsid w:val="00507BF1"/>
    <w:rsid w:val="0051074C"/>
    <w:rsid w:val="00510DE9"/>
    <w:rsid w:val="00510E2B"/>
    <w:rsid w:val="005111E2"/>
    <w:rsid w:val="00511231"/>
    <w:rsid w:val="005122C7"/>
    <w:rsid w:val="00512C4F"/>
    <w:rsid w:val="00513042"/>
    <w:rsid w:val="0051334F"/>
    <w:rsid w:val="00513399"/>
    <w:rsid w:val="00513AF2"/>
    <w:rsid w:val="00514575"/>
    <w:rsid w:val="00514C03"/>
    <w:rsid w:val="00514D67"/>
    <w:rsid w:val="0051522A"/>
    <w:rsid w:val="00515515"/>
    <w:rsid w:val="0051635C"/>
    <w:rsid w:val="00516C5B"/>
    <w:rsid w:val="00517612"/>
    <w:rsid w:val="00517CFB"/>
    <w:rsid w:val="00517F85"/>
    <w:rsid w:val="00520235"/>
    <w:rsid w:val="00520899"/>
    <w:rsid w:val="00520922"/>
    <w:rsid w:val="005209FC"/>
    <w:rsid w:val="00520C09"/>
    <w:rsid w:val="00521A30"/>
    <w:rsid w:val="005223EC"/>
    <w:rsid w:val="005224E5"/>
    <w:rsid w:val="00522F8E"/>
    <w:rsid w:val="00523903"/>
    <w:rsid w:val="0052391B"/>
    <w:rsid w:val="005239B6"/>
    <w:rsid w:val="00523C45"/>
    <w:rsid w:val="00523EE1"/>
    <w:rsid w:val="00523F41"/>
    <w:rsid w:val="00524165"/>
    <w:rsid w:val="005246E7"/>
    <w:rsid w:val="00524B08"/>
    <w:rsid w:val="00524C38"/>
    <w:rsid w:val="00524FD2"/>
    <w:rsid w:val="00525621"/>
    <w:rsid w:val="00526431"/>
    <w:rsid w:val="005264BC"/>
    <w:rsid w:val="00526BBF"/>
    <w:rsid w:val="00527532"/>
    <w:rsid w:val="00527DEB"/>
    <w:rsid w:val="00527E57"/>
    <w:rsid w:val="00527F2C"/>
    <w:rsid w:val="005302C8"/>
    <w:rsid w:val="00530405"/>
    <w:rsid w:val="00530522"/>
    <w:rsid w:val="005305E5"/>
    <w:rsid w:val="0053086F"/>
    <w:rsid w:val="00530CBA"/>
    <w:rsid w:val="00530DD7"/>
    <w:rsid w:val="00530F38"/>
    <w:rsid w:val="00531E9A"/>
    <w:rsid w:val="00531F26"/>
    <w:rsid w:val="0053277C"/>
    <w:rsid w:val="005327C0"/>
    <w:rsid w:val="00532B61"/>
    <w:rsid w:val="00533101"/>
    <w:rsid w:val="00533CA9"/>
    <w:rsid w:val="005346AD"/>
    <w:rsid w:val="00534A10"/>
    <w:rsid w:val="00534EFB"/>
    <w:rsid w:val="00534F60"/>
    <w:rsid w:val="005357F1"/>
    <w:rsid w:val="00535D15"/>
    <w:rsid w:val="00536053"/>
    <w:rsid w:val="005369E6"/>
    <w:rsid w:val="005371AC"/>
    <w:rsid w:val="00537672"/>
    <w:rsid w:val="0053772F"/>
    <w:rsid w:val="00537A70"/>
    <w:rsid w:val="00537B64"/>
    <w:rsid w:val="00537B77"/>
    <w:rsid w:val="00537E3C"/>
    <w:rsid w:val="00537FD3"/>
    <w:rsid w:val="00540A51"/>
    <w:rsid w:val="00540C4C"/>
    <w:rsid w:val="00541469"/>
    <w:rsid w:val="00541571"/>
    <w:rsid w:val="00541B1F"/>
    <w:rsid w:val="0054275A"/>
    <w:rsid w:val="005428B8"/>
    <w:rsid w:val="005428BE"/>
    <w:rsid w:val="00542BD7"/>
    <w:rsid w:val="00543084"/>
    <w:rsid w:val="00543584"/>
    <w:rsid w:val="00543A9E"/>
    <w:rsid w:val="0054413A"/>
    <w:rsid w:val="00544288"/>
    <w:rsid w:val="005446BB"/>
    <w:rsid w:val="00544AF9"/>
    <w:rsid w:val="00544DA5"/>
    <w:rsid w:val="00544F43"/>
    <w:rsid w:val="005450E4"/>
    <w:rsid w:val="00545E30"/>
    <w:rsid w:val="00545EA3"/>
    <w:rsid w:val="00546C9B"/>
    <w:rsid w:val="00546D11"/>
    <w:rsid w:val="00547AD6"/>
    <w:rsid w:val="00547BF6"/>
    <w:rsid w:val="00547FB3"/>
    <w:rsid w:val="005500D4"/>
    <w:rsid w:val="00550E25"/>
    <w:rsid w:val="00551098"/>
    <w:rsid w:val="00551598"/>
    <w:rsid w:val="0055162B"/>
    <w:rsid w:val="00551A56"/>
    <w:rsid w:val="00551BFF"/>
    <w:rsid w:val="00551D68"/>
    <w:rsid w:val="00551DFF"/>
    <w:rsid w:val="005525C9"/>
    <w:rsid w:val="00552B3E"/>
    <w:rsid w:val="00552F33"/>
    <w:rsid w:val="005535B9"/>
    <w:rsid w:val="00554D57"/>
    <w:rsid w:val="00554DF6"/>
    <w:rsid w:val="005551AA"/>
    <w:rsid w:val="0055604C"/>
    <w:rsid w:val="00556174"/>
    <w:rsid w:val="005564CA"/>
    <w:rsid w:val="005568EA"/>
    <w:rsid w:val="00557140"/>
    <w:rsid w:val="0055715A"/>
    <w:rsid w:val="0055729E"/>
    <w:rsid w:val="00557984"/>
    <w:rsid w:val="00557A3F"/>
    <w:rsid w:val="00560C87"/>
    <w:rsid w:val="00560F51"/>
    <w:rsid w:val="00561249"/>
    <w:rsid w:val="0056182B"/>
    <w:rsid w:val="00561A88"/>
    <w:rsid w:val="00561AF3"/>
    <w:rsid w:val="00561E0B"/>
    <w:rsid w:val="00562141"/>
    <w:rsid w:val="00562D86"/>
    <w:rsid w:val="00563035"/>
    <w:rsid w:val="005639D8"/>
    <w:rsid w:val="00564220"/>
    <w:rsid w:val="00564704"/>
    <w:rsid w:val="00564712"/>
    <w:rsid w:val="005657A8"/>
    <w:rsid w:val="00565952"/>
    <w:rsid w:val="00566866"/>
    <w:rsid w:val="005668FE"/>
    <w:rsid w:val="005670A5"/>
    <w:rsid w:val="00567285"/>
    <w:rsid w:val="00567368"/>
    <w:rsid w:val="00567723"/>
    <w:rsid w:val="0056772D"/>
    <w:rsid w:val="005678F5"/>
    <w:rsid w:val="00567AB8"/>
    <w:rsid w:val="00570A26"/>
    <w:rsid w:val="00570C49"/>
    <w:rsid w:val="00570CFD"/>
    <w:rsid w:val="00570D7D"/>
    <w:rsid w:val="00571872"/>
    <w:rsid w:val="00571993"/>
    <w:rsid w:val="0057221F"/>
    <w:rsid w:val="00572421"/>
    <w:rsid w:val="00572474"/>
    <w:rsid w:val="00572539"/>
    <w:rsid w:val="0057271F"/>
    <w:rsid w:val="00572A42"/>
    <w:rsid w:val="00573355"/>
    <w:rsid w:val="0057337D"/>
    <w:rsid w:val="00573504"/>
    <w:rsid w:val="00573B84"/>
    <w:rsid w:val="00573BA3"/>
    <w:rsid w:val="0057420C"/>
    <w:rsid w:val="005746B2"/>
    <w:rsid w:val="00574708"/>
    <w:rsid w:val="00574D6B"/>
    <w:rsid w:val="00574D81"/>
    <w:rsid w:val="005756AA"/>
    <w:rsid w:val="00575AE3"/>
    <w:rsid w:val="005764E3"/>
    <w:rsid w:val="0057696F"/>
    <w:rsid w:val="00576DB6"/>
    <w:rsid w:val="00577379"/>
    <w:rsid w:val="005774FE"/>
    <w:rsid w:val="005776CB"/>
    <w:rsid w:val="0058040C"/>
    <w:rsid w:val="00580D6D"/>
    <w:rsid w:val="005813DE"/>
    <w:rsid w:val="00581796"/>
    <w:rsid w:val="00581B45"/>
    <w:rsid w:val="00582480"/>
    <w:rsid w:val="00582805"/>
    <w:rsid w:val="0058290E"/>
    <w:rsid w:val="00582CAB"/>
    <w:rsid w:val="00582FA6"/>
    <w:rsid w:val="005836D5"/>
    <w:rsid w:val="0058375E"/>
    <w:rsid w:val="00584143"/>
    <w:rsid w:val="00584233"/>
    <w:rsid w:val="005842D0"/>
    <w:rsid w:val="005843E8"/>
    <w:rsid w:val="005845FB"/>
    <w:rsid w:val="005855AE"/>
    <w:rsid w:val="00585829"/>
    <w:rsid w:val="00585CA8"/>
    <w:rsid w:val="00585E9D"/>
    <w:rsid w:val="00586412"/>
    <w:rsid w:val="005864B9"/>
    <w:rsid w:val="005866C4"/>
    <w:rsid w:val="005873BE"/>
    <w:rsid w:val="00587547"/>
    <w:rsid w:val="00590D3A"/>
    <w:rsid w:val="00590F1A"/>
    <w:rsid w:val="0059114D"/>
    <w:rsid w:val="00591C03"/>
    <w:rsid w:val="00591E2A"/>
    <w:rsid w:val="005923C4"/>
    <w:rsid w:val="005938C3"/>
    <w:rsid w:val="00593EA2"/>
    <w:rsid w:val="00593F75"/>
    <w:rsid w:val="005940A0"/>
    <w:rsid w:val="0059429A"/>
    <w:rsid w:val="00594A54"/>
    <w:rsid w:val="00594CBE"/>
    <w:rsid w:val="00595AF6"/>
    <w:rsid w:val="00596AF7"/>
    <w:rsid w:val="00596CCE"/>
    <w:rsid w:val="005972DF"/>
    <w:rsid w:val="005A1976"/>
    <w:rsid w:val="005A2120"/>
    <w:rsid w:val="005A2501"/>
    <w:rsid w:val="005A2C80"/>
    <w:rsid w:val="005A3066"/>
    <w:rsid w:val="005A3B35"/>
    <w:rsid w:val="005A3C4B"/>
    <w:rsid w:val="005A3E5A"/>
    <w:rsid w:val="005A43F3"/>
    <w:rsid w:val="005A496F"/>
    <w:rsid w:val="005A4A56"/>
    <w:rsid w:val="005A4F69"/>
    <w:rsid w:val="005A5608"/>
    <w:rsid w:val="005A5A3D"/>
    <w:rsid w:val="005A5CAE"/>
    <w:rsid w:val="005A6035"/>
    <w:rsid w:val="005A6B75"/>
    <w:rsid w:val="005A6E00"/>
    <w:rsid w:val="005A7019"/>
    <w:rsid w:val="005A718A"/>
    <w:rsid w:val="005A7885"/>
    <w:rsid w:val="005B12B2"/>
    <w:rsid w:val="005B143B"/>
    <w:rsid w:val="005B19BD"/>
    <w:rsid w:val="005B1E45"/>
    <w:rsid w:val="005B1FF6"/>
    <w:rsid w:val="005B21C4"/>
    <w:rsid w:val="005B2A28"/>
    <w:rsid w:val="005B3621"/>
    <w:rsid w:val="005B3EBE"/>
    <w:rsid w:val="005B4948"/>
    <w:rsid w:val="005B501D"/>
    <w:rsid w:val="005B54CC"/>
    <w:rsid w:val="005B74AD"/>
    <w:rsid w:val="005B7E96"/>
    <w:rsid w:val="005C0297"/>
    <w:rsid w:val="005C0429"/>
    <w:rsid w:val="005C05FF"/>
    <w:rsid w:val="005C084F"/>
    <w:rsid w:val="005C0EE9"/>
    <w:rsid w:val="005C0FC4"/>
    <w:rsid w:val="005C16A8"/>
    <w:rsid w:val="005C1716"/>
    <w:rsid w:val="005C1954"/>
    <w:rsid w:val="005C1B05"/>
    <w:rsid w:val="005C1C0B"/>
    <w:rsid w:val="005C1F78"/>
    <w:rsid w:val="005C2011"/>
    <w:rsid w:val="005C3534"/>
    <w:rsid w:val="005C3EA3"/>
    <w:rsid w:val="005C44DE"/>
    <w:rsid w:val="005C5011"/>
    <w:rsid w:val="005C5241"/>
    <w:rsid w:val="005C529E"/>
    <w:rsid w:val="005C57BA"/>
    <w:rsid w:val="005C57DD"/>
    <w:rsid w:val="005C5C52"/>
    <w:rsid w:val="005C5D3D"/>
    <w:rsid w:val="005C5F05"/>
    <w:rsid w:val="005C6186"/>
    <w:rsid w:val="005C6247"/>
    <w:rsid w:val="005C635B"/>
    <w:rsid w:val="005C7E45"/>
    <w:rsid w:val="005C7EFA"/>
    <w:rsid w:val="005C7F3E"/>
    <w:rsid w:val="005D065E"/>
    <w:rsid w:val="005D06D3"/>
    <w:rsid w:val="005D0C3B"/>
    <w:rsid w:val="005D1051"/>
    <w:rsid w:val="005D1606"/>
    <w:rsid w:val="005D2044"/>
    <w:rsid w:val="005D209E"/>
    <w:rsid w:val="005D2917"/>
    <w:rsid w:val="005D2EB2"/>
    <w:rsid w:val="005D2F48"/>
    <w:rsid w:val="005D3795"/>
    <w:rsid w:val="005D3B32"/>
    <w:rsid w:val="005D444A"/>
    <w:rsid w:val="005D464B"/>
    <w:rsid w:val="005D466F"/>
    <w:rsid w:val="005D49F0"/>
    <w:rsid w:val="005D51F7"/>
    <w:rsid w:val="005D51FA"/>
    <w:rsid w:val="005D53E8"/>
    <w:rsid w:val="005D5A9D"/>
    <w:rsid w:val="005D5D15"/>
    <w:rsid w:val="005D6651"/>
    <w:rsid w:val="005D691D"/>
    <w:rsid w:val="005D6A72"/>
    <w:rsid w:val="005D6F38"/>
    <w:rsid w:val="005D7544"/>
    <w:rsid w:val="005D789F"/>
    <w:rsid w:val="005D791B"/>
    <w:rsid w:val="005D7CF2"/>
    <w:rsid w:val="005D7F92"/>
    <w:rsid w:val="005E018D"/>
    <w:rsid w:val="005E062C"/>
    <w:rsid w:val="005E06A3"/>
    <w:rsid w:val="005E0D7B"/>
    <w:rsid w:val="005E1595"/>
    <w:rsid w:val="005E1803"/>
    <w:rsid w:val="005E1C9B"/>
    <w:rsid w:val="005E1E12"/>
    <w:rsid w:val="005E1F1D"/>
    <w:rsid w:val="005E273D"/>
    <w:rsid w:val="005E3278"/>
    <w:rsid w:val="005E363B"/>
    <w:rsid w:val="005E3736"/>
    <w:rsid w:val="005E38E9"/>
    <w:rsid w:val="005E4B72"/>
    <w:rsid w:val="005E52C9"/>
    <w:rsid w:val="005E6BD4"/>
    <w:rsid w:val="005F02D8"/>
    <w:rsid w:val="005F1880"/>
    <w:rsid w:val="005F1C09"/>
    <w:rsid w:val="005F1D88"/>
    <w:rsid w:val="005F305B"/>
    <w:rsid w:val="005F31C1"/>
    <w:rsid w:val="005F3361"/>
    <w:rsid w:val="005F3ACA"/>
    <w:rsid w:val="005F3B47"/>
    <w:rsid w:val="005F4481"/>
    <w:rsid w:val="005F47AC"/>
    <w:rsid w:val="005F49AF"/>
    <w:rsid w:val="005F4A58"/>
    <w:rsid w:val="005F54DF"/>
    <w:rsid w:val="005F5888"/>
    <w:rsid w:val="005F5984"/>
    <w:rsid w:val="005F5E43"/>
    <w:rsid w:val="005F5EAB"/>
    <w:rsid w:val="005F6CE2"/>
    <w:rsid w:val="005F6EC8"/>
    <w:rsid w:val="005F6F24"/>
    <w:rsid w:val="005F72E9"/>
    <w:rsid w:val="005F780B"/>
    <w:rsid w:val="0060009B"/>
    <w:rsid w:val="006001C0"/>
    <w:rsid w:val="00600473"/>
    <w:rsid w:val="0060139A"/>
    <w:rsid w:val="006013C9"/>
    <w:rsid w:val="00601B66"/>
    <w:rsid w:val="00601FC4"/>
    <w:rsid w:val="0060270F"/>
    <w:rsid w:val="00602B45"/>
    <w:rsid w:val="00603499"/>
    <w:rsid w:val="006035F5"/>
    <w:rsid w:val="00603CC2"/>
    <w:rsid w:val="006042CD"/>
    <w:rsid w:val="006046F8"/>
    <w:rsid w:val="006047D1"/>
    <w:rsid w:val="0060487D"/>
    <w:rsid w:val="006048A4"/>
    <w:rsid w:val="00604A55"/>
    <w:rsid w:val="00604D4E"/>
    <w:rsid w:val="00604E3E"/>
    <w:rsid w:val="00605AC3"/>
    <w:rsid w:val="00606908"/>
    <w:rsid w:val="00607996"/>
    <w:rsid w:val="00607A37"/>
    <w:rsid w:val="00607E9F"/>
    <w:rsid w:val="0061085E"/>
    <w:rsid w:val="00610FBF"/>
    <w:rsid w:val="00611398"/>
    <w:rsid w:val="006113B4"/>
    <w:rsid w:val="0061186D"/>
    <w:rsid w:val="00611DA7"/>
    <w:rsid w:val="00612322"/>
    <w:rsid w:val="006123C0"/>
    <w:rsid w:val="00613191"/>
    <w:rsid w:val="006131BE"/>
    <w:rsid w:val="006133F9"/>
    <w:rsid w:val="006134B3"/>
    <w:rsid w:val="00613DE1"/>
    <w:rsid w:val="0061401F"/>
    <w:rsid w:val="00614125"/>
    <w:rsid w:val="00614166"/>
    <w:rsid w:val="00614817"/>
    <w:rsid w:val="006149CC"/>
    <w:rsid w:val="006157A9"/>
    <w:rsid w:val="0061591D"/>
    <w:rsid w:val="00615ED0"/>
    <w:rsid w:val="0061604C"/>
    <w:rsid w:val="00616C2B"/>
    <w:rsid w:val="00616D7F"/>
    <w:rsid w:val="006178D1"/>
    <w:rsid w:val="00617A5B"/>
    <w:rsid w:val="00620210"/>
    <w:rsid w:val="00620719"/>
    <w:rsid w:val="0062098D"/>
    <w:rsid w:val="006212C9"/>
    <w:rsid w:val="00621A72"/>
    <w:rsid w:val="00621D0C"/>
    <w:rsid w:val="00622229"/>
    <w:rsid w:val="00622470"/>
    <w:rsid w:val="00622725"/>
    <w:rsid w:val="006231AA"/>
    <w:rsid w:val="00623482"/>
    <w:rsid w:val="00623AC2"/>
    <w:rsid w:val="00623EBC"/>
    <w:rsid w:val="006251D3"/>
    <w:rsid w:val="00625642"/>
    <w:rsid w:val="006257F9"/>
    <w:rsid w:val="00626133"/>
    <w:rsid w:val="006266D7"/>
    <w:rsid w:val="00626D1E"/>
    <w:rsid w:val="00626D42"/>
    <w:rsid w:val="00626EE3"/>
    <w:rsid w:val="006274AD"/>
    <w:rsid w:val="00627519"/>
    <w:rsid w:val="00627532"/>
    <w:rsid w:val="006302AA"/>
    <w:rsid w:val="006307FD"/>
    <w:rsid w:val="00631059"/>
    <w:rsid w:val="006310C3"/>
    <w:rsid w:val="00631245"/>
    <w:rsid w:val="006312E1"/>
    <w:rsid w:val="0063161E"/>
    <w:rsid w:val="00631BB5"/>
    <w:rsid w:val="00631DD0"/>
    <w:rsid w:val="00632AE0"/>
    <w:rsid w:val="00633DBF"/>
    <w:rsid w:val="00634122"/>
    <w:rsid w:val="0063444B"/>
    <w:rsid w:val="00635E32"/>
    <w:rsid w:val="006360FC"/>
    <w:rsid w:val="006361C9"/>
    <w:rsid w:val="006365DE"/>
    <w:rsid w:val="00636BE4"/>
    <w:rsid w:val="00636F88"/>
    <w:rsid w:val="0063732C"/>
    <w:rsid w:val="00637802"/>
    <w:rsid w:val="00637836"/>
    <w:rsid w:val="00637C26"/>
    <w:rsid w:val="00637F44"/>
    <w:rsid w:val="00641078"/>
    <w:rsid w:val="00641242"/>
    <w:rsid w:val="00642A32"/>
    <w:rsid w:val="00642D7A"/>
    <w:rsid w:val="00642DB2"/>
    <w:rsid w:val="006433D5"/>
    <w:rsid w:val="00643412"/>
    <w:rsid w:val="00643751"/>
    <w:rsid w:val="00645CEB"/>
    <w:rsid w:val="006464B6"/>
    <w:rsid w:val="00646B20"/>
    <w:rsid w:val="00646D0F"/>
    <w:rsid w:val="00646D57"/>
    <w:rsid w:val="00646D69"/>
    <w:rsid w:val="00647A36"/>
    <w:rsid w:val="00647DCC"/>
    <w:rsid w:val="00647EFA"/>
    <w:rsid w:val="00647F14"/>
    <w:rsid w:val="00650027"/>
    <w:rsid w:val="00650BBF"/>
    <w:rsid w:val="00650E89"/>
    <w:rsid w:val="006514D4"/>
    <w:rsid w:val="00651B9C"/>
    <w:rsid w:val="00651C47"/>
    <w:rsid w:val="00651D91"/>
    <w:rsid w:val="006528FF"/>
    <w:rsid w:val="00652E70"/>
    <w:rsid w:val="0065339A"/>
    <w:rsid w:val="00653469"/>
    <w:rsid w:val="00653A14"/>
    <w:rsid w:val="00653A35"/>
    <w:rsid w:val="0065443A"/>
    <w:rsid w:val="00654A38"/>
    <w:rsid w:val="00655301"/>
    <w:rsid w:val="00655371"/>
    <w:rsid w:val="00655507"/>
    <w:rsid w:val="00656855"/>
    <w:rsid w:val="00656C4B"/>
    <w:rsid w:val="00656EEE"/>
    <w:rsid w:val="006572A7"/>
    <w:rsid w:val="006573EA"/>
    <w:rsid w:val="006606A4"/>
    <w:rsid w:val="00660748"/>
    <w:rsid w:val="0066087C"/>
    <w:rsid w:val="00661029"/>
    <w:rsid w:val="006610C3"/>
    <w:rsid w:val="0066135A"/>
    <w:rsid w:val="00661A38"/>
    <w:rsid w:val="0066272D"/>
    <w:rsid w:val="00662E58"/>
    <w:rsid w:val="00662F39"/>
    <w:rsid w:val="006635A0"/>
    <w:rsid w:val="00663D26"/>
    <w:rsid w:val="00664351"/>
    <w:rsid w:val="00665968"/>
    <w:rsid w:val="00665BF7"/>
    <w:rsid w:val="006660F0"/>
    <w:rsid w:val="00666178"/>
    <w:rsid w:val="0066639E"/>
    <w:rsid w:val="00666473"/>
    <w:rsid w:val="00666C72"/>
    <w:rsid w:val="00666E6C"/>
    <w:rsid w:val="0066707F"/>
    <w:rsid w:val="00667ED8"/>
    <w:rsid w:val="0067064C"/>
    <w:rsid w:val="00670B20"/>
    <w:rsid w:val="00670E12"/>
    <w:rsid w:val="00670F27"/>
    <w:rsid w:val="0067172A"/>
    <w:rsid w:val="00671E42"/>
    <w:rsid w:val="0067271C"/>
    <w:rsid w:val="00672E80"/>
    <w:rsid w:val="0067333F"/>
    <w:rsid w:val="006734EE"/>
    <w:rsid w:val="006739E4"/>
    <w:rsid w:val="00673DD7"/>
    <w:rsid w:val="00673ECF"/>
    <w:rsid w:val="0067426B"/>
    <w:rsid w:val="00674A1B"/>
    <w:rsid w:val="00674D3C"/>
    <w:rsid w:val="00674F1C"/>
    <w:rsid w:val="006754F8"/>
    <w:rsid w:val="00675579"/>
    <w:rsid w:val="00676127"/>
    <w:rsid w:val="00676945"/>
    <w:rsid w:val="00676AED"/>
    <w:rsid w:val="006771DA"/>
    <w:rsid w:val="00677212"/>
    <w:rsid w:val="00677B26"/>
    <w:rsid w:val="00677F26"/>
    <w:rsid w:val="006800EE"/>
    <w:rsid w:val="006802A7"/>
    <w:rsid w:val="00680A86"/>
    <w:rsid w:val="006811C9"/>
    <w:rsid w:val="006812CE"/>
    <w:rsid w:val="00682640"/>
    <w:rsid w:val="006826C1"/>
    <w:rsid w:val="00682C89"/>
    <w:rsid w:val="006832B8"/>
    <w:rsid w:val="006837B2"/>
    <w:rsid w:val="00683800"/>
    <w:rsid w:val="00683A0C"/>
    <w:rsid w:val="00684462"/>
    <w:rsid w:val="006845CE"/>
    <w:rsid w:val="00684C0D"/>
    <w:rsid w:val="00684C8A"/>
    <w:rsid w:val="00684CF5"/>
    <w:rsid w:val="0068553E"/>
    <w:rsid w:val="0068557F"/>
    <w:rsid w:val="00685D37"/>
    <w:rsid w:val="00685E7B"/>
    <w:rsid w:val="00686551"/>
    <w:rsid w:val="00686CAB"/>
    <w:rsid w:val="00686CF7"/>
    <w:rsid w:val="0068717F"/>
    <w:rsid w:val="0068730C"/>
    <w:rsid w:val="00687504"/>
    <w:rsid w:val="00687A14"/>
    <w:rsid w:val="00687A8C"/>
    <w:rsid w:val="00687F38"/>
    <w:rsid w:val="00690839"/>
    <w:rsid w:val="006908DB"/>
    <w:rsid w:val="00690DE9"/>
    <w:rsid w:val="00691563"/>
    <w:rsid w:val="006918D8"/>
    <w:rsid w:val="00691B88"/>
    <w:rsid w:val="00691DE9"/>
    <w:rsid w:val="00691EAA"/>
    <w:rsid w:val="00692245"/>
    <w:rsid w:val="00692745"/>
    <w:rsid w:val="00692FCD"/>
    <w:rsid w:val="00692FFA"/>
    <w:rsid w:val="00693772"/>
    <w:rsid w:val="00693984"/>
    <w:rsid w:val="00693B3B"/>
    <w:rsid w:val="00693B77"/>
    <w:rsid w:val="00693D11"/>
    <w:rsid w:val="00694160"/>
    <w:rsid w:val="00694945"/>
    <w:rsid w:val="006959A5"/>
    <w:rsid w:val="00695C0C"/>
    <w:rsid w:val="00696567"/>
    <w:rsid w:val="00696736"/>
    <w:rsid w:val="00696A05"/>
    <w:rsid w:val="006974A0"/>
    <w:rsid w:val="006974A9"/>
    <w:rsid w:val="00697665"/>
    <w:rsid w:val="006978E1"/>
    <w:rsid w:val="00697C9A"/>
    <w:rsid w:val="00697E68"/>
    <w:rsid w:val="00697FC1"/>
    <w:rsid w:val="006A0274"/>
    <w:rsid w:val="006A063D"/>
    <w:rsid w:val="006A112B"/>
    <w:rsid w:val="006A27BC"/>
    <w:rsid w:val="006A2948"/>
    <w:rsid w:val="006A2A43"/>
    <w:rsid w:val="006A2BF1"/>
    <w:rsid w:val="006A2F9A"/>
    <w:rsid w:val="006A34E4"/>
    <w:rsid w:val="006A3A5A"/>
    <w:rsid w:val="006A44CF"/>
    <w:rsid w:val="006A457D"/>
    <w:rsid w:val="006A4C06"/>
    <w:rsid w:val="006A4C85"/>
    <w:rsid w:val="006A55EE"/>
    <w:rsid w:val="006A575B"/>
    <w:rsid w:val="006A59DE"/>
    <w:rsid w:val="006A64C6"/>
    <w:rsid w:val="006A6655"/>
    <w:rsid w:val="006A6BF9"/>
    <w:rsid w:val="006A7CB5"/>
    <w:rsid w:val="006A7FD0"/>
    <w:rsid w:val="006B025C"/>
    <w:rsid w:val="006B08ED"/>
    <w:rsid w:val="006B1FF0"/>
    <w:rsid w:val="006B2534"/>
    <w:rsid w:val="006B28DE"/>
    <w:rsid w:val="006B2CB2"/>
    <w:rsid w:val="006B347D"/>
    <w:rsid w:val="006B3CE9"/>
    <w:rsid w:val="006B3E19"/>
    <w:rsid w:val="006B3EB4"/>
    <w:rsid w:val="006B419B"/>
    <w:rsid w:val="006B4488"/>
    <w:rsid w:val="006B4657"/>
    <w:rsid w:val="006B50C4"/>
    <w:rsid w:val="006B53AE"/>
    <w:rsid w:val="006B58B4"/>
    <w:rsid w:val="006B67AC"/>
    <w:rsid w:val="006B786A"/>
    <w:rsid w:val="006B7E4E"/>
    <w:rsid w:val="006C003A"/>
    <w:rsid w:val="006C0630"/>
    <w:rsid w:val="006C0AB9"/>
    <w:rsid w:val="006C107C"/>
    <w:rsid w:val="006C189C"/>
    <w:rsid w:val="006C21AA"/>
    <w:rsid w:val="006C2454"/>
    <w:rsid w:val="006C2551"/>
    <w:rsid w:val="006C37CA"/>
    <w:rsid w:val="006C40D2"/>
    <w:rsid w:val="006C4684"/>
    <w:rsid w:val="006C4B85"/>
    <w:rsid w:val="006C4BBD"/>
    <w:rsid w:val="006C5B15"/>
    <w:rsid w:val="006C5D32"/>
    <w:rsid w:val="006C5DCB"/>
    <w:rsid w:val="006C6475"/>
    <w:rsid w:val="006C70C4"/>
    <w:rsid w:val="006C741F"/>
    <w:rsid w:val="006D04DA"/>
    <w:rsid w:val="006D10F6"/>
    <w:rsid w:val="006D1544"/>
    <w:rsid w:val="006D1688"/>
    <w:rsid w:val="006D1BE1"/>
    <w:rsid w:val="006D1DD3"/>
    <w:rsid w:val="006D1FF3"/>
    <w:rsid w:val="006D2459"/>
    <w:rsid w:val="006D2573"/>
    <w:rsid w:val="006D2611"/>
    <w:rsid w:val="006D2C65"/>
    <w:rsid w:val="006D2DB7"/>
    <w:rsid w:val="006D32C6"/>
    <w:rsid w:val="006D360E"/>
    <w:rsid w:val="006D3697"/>
    <w:rsid w:val="006D39D2"/>
    <w:rsid w:val="006D3A94"/>
    <w:rsid w:val="006D3F2A"/>
    <w:rsid w:val="006D4370"/>
    <w:rsid w:val="006D46A3"/>
    <w:rsid w:val="006D4AB2"/>
    <w:rsid w:val="006D4E32"/>
    <w:rsid w:val="006D5DCB"/>
    <w:rsid w:val="006D62E0"/>
    <w:rsid w:val="006D658F"/>
    <w:rsid w:val="006D6A12"/>
    <w:rsid w:val="006D712D"/>
    <w:rsid w:val="006D7687"/>
    <w:rsid w:val="006D7D1F"/>
    <w:rsid w:val="006D7D8A"/>
    <w:rsid w:val="006E046C"/>
    <w:rsid w:val="006E0572"/>
    <w:rsid w:val="006E05D8"/>
    <w:rsid w:val="006E0628"/>
    <w:rsid w:val="006E08EE"/>
    <w:rsid w:val="006E0FF8"/>
    <w:rsid w:val="006E155A"/>
    <w:rsid w:val="006E26BA"/>
    <w:rsid w:val="006E29E5"/>
    <w:rsid w:val="006E2C34"/>
    <w:rsid w:val="006E359B"/>
    <w:rsid w:val="006E39D1"/>
    <w:rsid w:val="006E3B05"/>
    <w:rsid w:val="006E437F"/>
    <w:rsid w:val="006E4D5B"/>
    <w:rsid w:val="006E602F"/>
    <w:rsid w:val="006E6720"/>
    <w:rsid w:val="006E7275"/>
    <w:rsid w:val="006E76C7"/>
    <w:rsid w:val="006E77B8"/>
    <w:rsid w:val="006E77DF"/>
    <w:rsid w:val="006E7AAF"/>
    <w:rsid w:val="006E7CBA"/>
    <w:rsid w:val="006F0F74"/>
    <w:rsid w:val="006F13BA"/>
    <w:rsid w:val="006F1442"/>
    <w:rsid w:val="006F15CC"/>
    <w:rsid w:val="006F15F6"/>
    <w:rsid w:val="006F2956"/>
    <w:rsid w:val="006F2AE6"/>
    <w:rsid w:val="006F36EA"/>
    <w:rsid w:val="006F3D9B"/>
    <w:rsid w:val="006F3E44"/>
    <w:rsid w:val="006F4147"/>
    <w:rsid w:val="006F4315"/>
    <w:rsid w:val="006F4CB0"/>
    <w:rsid w:val="006F4F78"/>
    <w:rsid w:val="006F4FED"/>
    <w:rsid w:val="006F547E"/>
    <w:rsid w:val="006F5CCF"/>
    <w:rsid w:val="006F6469"/>
    <w:rsid w:val="006F6F04"/>
    <w:rsid w:val="006F71F5"/>
    <w:rsid w:val="007000A6"/>
    <w:rsid w:val="00700610"/>
    <w:rsid w:val="0070138A"/>
    <w:rsid w:val="0070157E"/>
    <w:rsid w:val="007030D4"/>
    <w:rsid w:val="00703279"/>
    <w:rsid w:val="00703B61"/>
    <w:rsid w:val="00703E11"/>
    <w:rsid w:val="00703F76"/>
    <w:rsid w:val="00704102"/>
    <w:rsid w:val="0070437C"/>
    <w:rsid w:val="007045D8"/>
    <w:rsid w:val="0070461C"/>
    <w:rsid w:val="007047C7"/>
    <w:rsid w:val="00704B3D"/>
    <w:rsid w:val="00705311"/>
    <w:rsid w:val="00705631"/>
    <w:rsid w:val="00705818"/>
    <w:rsid w:val="00705F62"/>
    <w:rsid w:val="00706942"/>
    <w:rsid w:val="0070773F"/>
    <w:rsid w:val="00707ED3"/>
    <w:rsid w:val="007101B7"/>
    <w:rsid w:val="00710668"/>
    <w:rsid w:val="00711019"/>
    <w:rsid w:val="007110F4"/>
    <w:rsid w:val="007112B1"/>
    <w:rsid w:val="0071130F"/>
    <w:rsid w:val="007116C4"/>
    <w:rsid w:val="00712714"/>
    <w:rsid w:val="007129AB"/>
    <w:rsid w:val="00712B63"/>
    <w:rsid w:val="00713526"/>
    <w:rsid w:val="00713FC5"/>
    <w:rsid w:val="00714294"/>
    <w:rsid w:val="00714DCA"/>
    <w:rsid w:val="00715BBF"/>
    <w:rsid w:val="00715C29"/>
    <w:rsid w:val="00715CBD"/>
    <w:rsid w:val="00715EAA"/>
    <w:rsid w:val="00716119"/>
    <w:rsid w:val="00716630"/>
    <w:rsid w:val="00716CAD"/>
    <w:rsid w:val="00716F18"/>
    <w:rsid w:val="00717363"/>
    <w:rsid w:val="00717786"/>
    <w:rsid w:val="00717ACB"/>
    <w:rsid w:val="00720CDE"/>
    <w:rsid w:val="0072138B"/>
    <w:rsid w:val="00721BFF"/>
    <w:rsid w:val="00721F89"/>
    <w:rsid w:val="00722C51"/>
    <w:rsid w:val="00723040"/>
    <w:rsid w:val="00723251"/>
    <w:rsid w:val="00723475"/>
    <w:rsid w:val="007236C4"/>
    <w:rsid w:val="007238D1"/>
    <w:rsid w:val="0072411F"/>
    <w:rsid w:val="00724344"/>
    <w:rsid w:val="00724635"/>
    <w:rsid w:val="00724F21"/>
    <w:rsid w:val="00725134"/>
    <w:rsid w:val="0072554B"/>
    <w:rsid w:val="00725AFD"/>
    <w:rsid w:val="00726603"/>
    <w:rsid w:val="007266AC"/>
    <w:rsid w:val="00727B1D"/>
    <w:rsid w:val="00727DDC"/>
    <w:rsid w:val="00730CD6"/>
    <w:rsid w:val="00730F74"/>
    <w:rsid w:val="0073114B"/>
    <w:rsid w:val="00731380"/>
    <w:rsid w:val="007318ED"/>
    <w:rsid w:val="00732029"/>
    <w:rsid w:val="00732151"/>
    <w:rsid w:val="00733E9F"/>
    <w:rsid w:val="007341D8"/>
    <w:rsid w:val="00734952"/>
    <w:rsid w:val="00734990"/>
    <w:rsid w:val="00734E13"/>
    <w:rsid w:val="00734FF5"/>
    <w:rsid w:val="00735233"/>
    <w:rsid w:val="007358FC"/>
    <w:rsid w:val="00735B78"/>
    <w:rsid w:val="00735DA7"/>
    <w:rsid w:val="00736700"/>
    <w:rsid w:val="007368B4"/>
    <w:rsid w:val="00737229"/>
    <w:rsid w:val="007378E0"/>
    <w:rsid w:val="00740000"/>
    <w:rsid w:val="00740529"/>
    <w:rsid w:val="00740876"/>
    <w:rsid w:val="00740F18"/>
    <w:rsid w:val="00741358"/>
    <w:rsid w:val="00741626"/>
    <w:rsid w:val="00742332"/>
    <w:rsid w:val="00742886"/>
    <w:rsid w:val="00742DD2"/>
    <w:rsid w:val="00742F69"/>
    <w:rsid w:val="007437C6"/>
    <w:rsid w:val="007441A2"/>
    <w:rsid w:val="00744E80"/>
    <w:rsid w:val="00745035"/>
    <w:rsid w:val="0074531C"/>
    <w:rsid w:val="00745547"/>
    <w:rsid w:val="007459D0"/>
    <w:rsid w:val="00745CEC"/>
    <w:rsid w:val="0074623A"/>
    <w:rsid w:val="00746420"/>
    <w:rsid w:val="00746A60"/>
    <w:rsid w:val="00746E04"/>
    <w:rsid w:val="00746E08"/>
    <w:rsid w:val="00746E3D"/>
    <w:rsid w:val="007473B9"/>
    <w:rsid w:val="00747C96"/>
    <w:rsid w:val="00747CC7"/>
    <w:rsid w:val="00750075"/>
    <w:rsid w:val="007502EC"/>
    <w:rsid w:val="00750382"/>
    <w:rsid w:val="007503F1"/>
    <w:rsid w:val="0075094E"/>
    <w:rsid w:val="00750FA8"/>
    <w:rsid w:val="00750FB5"/>
    <w:rsid w:val="00751C25"/>
    <w:rsid w:val="007520F0"/>
    <w:rsid w:val="007522E8"/>
    <w:rsid w:val="00752688"/>
    <w:rsid w:val="007529DB"/>
    <w:rsid w:val="007534AD"/>
    <w:rsid w:val="00753A7F"/>
    <w:rsid w:val="00753BAC"/>
    <w:rsid w:val="00754A0B"/>
    <w:rsid w:val="00755229"/>
    <w:rsid w:val="007552DB"/>
    <w:rsid w:val="0075549F"/>
    <w:rsid w:val="00755B08"/>
    <w:rsid w:val="00755DD0"/>
    <w:rsid w:val="00755E32"/>
    <w:rsid w:val="0075647A"/>
    <w:rsid w:val="00756A2F"/>
    <w:rsid w:val="00756A7E"/>
    <w:rsid w:val="00756F05"/>
    <w:rsid w:val="007573E1"/>
    <w:rsid w:val="0075749E"/>
    <w:rsid w:val="00757722"/>
    <w:rsid w:val="00757945"/>
    <w:rsid w:val="00757B2D"/>
    <w:rsid w:val="00757BAD"/>
    <w:rsid w:val="00757D62"/>
    <w:rsid w:val="00757EB2"/>
    <w:rsid w:val="00760021"/>
    <w:rsid w:val="00760561"/>
    <w:rsid w:val="00760867"/>
    <w:rsid w:val="00760EB6"/>
    <w:rsid w:val="007616DB"/>
    <w:rsid w:val="00761AB7"/>
    <w:rsid w:val="00761CE6"/>
    <w:rsid w:val="0076228A"/>
    <w:rsid w:val="007623AE"/>
    <w:rsid w:val="00762440"/>
    <w:rsid w:val="00762499"/>
    <w:rsid w:val="0076275B"/>
    <w:rsid w:val="007629B7"/>
    <w:rsid w:val="00762E60"/>
    <w:rsid w:val="007634AD"/>
    <w:rsid w:val="00763E3A"/>
    <w:rsid w:val="0076445F"/>
    <w:rsid w:val="007645E1"/>
    <w:rsid w:val="00764EC5"/>
    <w:rsid w:val="007651EF"/>
    <w:rsid w:val="007655BF"/>
    <w:rsid w:val="00765E92"/>
    <w:rsid w:val="00766D49"/>
    <w:rsid w:val="00766ECC"/>
    <w:rsid w:val="007672F3"/>
    <w:rsid w:val="007674AC"/>
    <w:rsid w:val="007677B5"/>
    <w:rsid w:val="007678B1"/>
    <w:rsid w:val="00767BE6"/>
    <w:rsid w:val="007708A8"/>
    <w:rsid w:val="00771742"/>
    <w:rsid w:val="00772100"/>
    <w:rsid w:val="00772275"/>
    <w:rsid w:val="007724FE"/>
    <w:rsid w:val="00772CD5"/>
    <w:rsid w:val="007734E4"/>
    <w:rsid w:val="00773719"/>
    <w:rsid w:val="0077380D"/>
    <w:rsid w:val="00773BC8"/>
    <w:rsid w:val="00774549"/>
    <w:rsid w:val="0077466F"/>
    <w:rsid w:val="007752B7"/>
    <w:rsid w:val="007759A8"/>
    <w:rsid w:val="00775C27"/>
    <w:rsid w:val="00775D98"/>
    <w:rsid w:val="00776FE5"/>
    <w:rsid w:val="00777101"/>
    <w:rsid w:val="007774E7"/>
    <w:rsid w:val="007775B1"/>
    <w:rsid w:val="0077768C"/>
    <w:rsid w:val="00777696"/>
    <w:rsid w:val="00777FF4"/>
    <w:rsid w:val="00780251"/>
    <w:rsid w:val="007804FE"/>
    <w:rsid w:val="00780F32"/>
    <w:rsid w:val="0078122E"/>
    <w:rsid w:val="00781678"/>
    <w:rsid w:val="00781939"/>
    <w:rsid w:val="00781ADF"/>
    <w:rsid w:val="00781D29"/>
    <w:rsid w:val="007824F6"/>
    <w:rsid w:val="007825EF"/>
    <w:rsid w:val="0078286B"/>
    <w:rsid w:val="00782D2C"/>
    <w:rsid w:val="00782FC2"/>
    <w:rsid w:val="0078347A"/>
    <w:rsid w:val="00784938"/>
    <w:rsid w:val="00784D65"/>
    <w:rsid w:val="00784FC4"/>
    <w:rsid w:val="00785BBB"/>
    <w:rsid w:val="00786937"/>
    <w:rsid w:val="00786BF2"/>
    <w:rsid w:val="00786E71"/>
    <w:rsid w:val="00786FAD"/>
    <w:rsid w:val="007872ED"/>
    <w:rsid w:val="00787A27"/>
    <w:rsid w:val="00787B1B"/>
    <w:rsid w:val="00787D90"/>
    <w:rsid w:val="00787F5E"/>
    <w:rsid w:val="00790164"/>
    <w:rsid w:val="007905C6"/>
    <w:rsid w:val="00790A24"/>
    <w:rsid w:val="00790A37"/>
    <w:rsid w:val="00790A60"/>
    <w:rsid w:val="0079146D"/>
    <w:rsid w:val="00791C32"/>
    <w:rsid w:val="00791FF0"/>
    <w:rsid w:val="007923D0"/>
    <w:rsid w:val="007930D3"/>
    <w:rsid w:val="0079381F"/>
    <w:rsid w:val="00793A57"/>
    <w:rsid w:val="00793B2E"/>
    <w:rsid w:val="007948F5"/>
    <w:rsid w:val="00795647"/>
    <w:rsid w:val="00795887"/>
    <w:rsid w:val="007963F6"/>
    <w:rsid w:val="00796C4C"/>
    <w:rsid w:val="00796DC8"/>
    <w:rsid w:val="00796E80"/>
    <w:rsid w:val="0079744F"/>
    <w:rsid w:val="00797755"/>
    <w:rsid w:val="0079776F"/>
    <w:rsid w:val="007979AD"/>
    <w:rsid w:val="00797A9C"/>
    <w:rsid w:val="007A0EAB"/>
    <w:rsid w:val="007A11FD"/>
    <w:rsid w:val="007A1D74"/>
    <w:rsid w:val="007A2341"/>
    <w:rsid w:val="007A2754"/>
    <w:rsid w:val="007A38A1"/>
    <w:rsid w:val="007A3BBE"/>
    <w:rsid w:val="007A4766"/>
    <w:rsid w:val="007A5947"/>
    <w:rsid w:val="007A64D5"/>
    <w:rsid w:val="007A717B"/>
    <w:rsid w:val="007A7714"/>
    <w:rsid w:val="007B0313"/>
    <w:rsid w:val="007B0487"/>
    <w:rsid w:val="007B0854"/>
    <w:rsid w:val="007B0E48"/>
    <w:rsid w:val="007B183D"/>
    <w:rsid w:val="007B1D1B"/>
    <w:rsid w:val="007B21AA"/>
    <w:rsid w:val="007B2504"/>
    <w:rsid w:val="007B303E"/>
    <w:rsid w:val="007B32C0"/>
    <w:rsid w:val="007B32F7"/>
    <w:rsid w:val="007B3659"/>
    <w:rsid w:val="007B38B5"/>
    <w:rsid w:val="007B3BF3"/>
    <w:rsid w:val="007B431B"/>
    <w:rsid w:val="007B43C6"/>
    <w:rsid w:val="007B4558"/>
    <w:rsid w:val="007B4632"/>
    <w:rsid w:val="007B46A2"/>
    <w:rsid w:val="007B4828"/>
    <w:rsid w:val="007B4954"/>
    <w:rsid w:val="007B4B2D"/>
    <w:rsid w:val="007B4D4A"/>
    <w:rsid w:val="007B5428"/>
    <w:rsid w:val="007B54F3"/>
    <w:rsid w:val="007B59B7"/>
    <w:rsid w:val="007B655A"/>
    <w:rsid w:val="007B68ED"/>
    <w:rsid w:val="007B6C64"/>
    <w:rsid w:val="007B6CD8"/>
    <w:rsid w:val="007B6EC8"/>
    <w:rsid w:val="007B6F81"/>
    <w:rsid w:val="007B7A88"/>
    <w:rsid w:val="007B7EA2"/>
    <w:rsid w:val="007C097D"/>
    <w:rsid w:val="007C0AF2"/>
    <w:rsid w:val="007C1672"/>
    <w:rsid w:val="007C17AE"/>
    <w:rsid w:val="007C312A"/>
    <w:rsid w:val="007C3485"/>
    <w:rsid w:val="007C3570"/>
    <w:rsid w:val="007C3F3B"/>
    <w:rsid w:val="007C4241"/>
    <w:rsid w:val="007C425E"/>
    <w:rsid w:val="007C4DB5"/>
    <w:rsid w:val="007C55FF"/>
    <w:rsid w:val="007C6339"/>
    <w:rsid w:val="007C6CAE"/>
    <w:rsid w:val="007C753F"/>
    <w:rsid w:val="007C7C43"/>
    <w:rsid w:val="007C7F0D"/>
    <w:rsid w:val="007D06E3"/>
    <w:rsid w:val="007D09E4"/>
    <w:rsid w:val="007D0C3C"/>
    <w:rsid w:val="007D0C4B"/>
    <w:rsid w:val="007D1134"/>
    <w:rsid w:val="007D126A"/>
    <w:rsid w:val="007D231B"/>
    <w:rsid w:val="007D23F7"/>
    <w:rsid w:val="007D2566"/>
    <w:rsid w:val="007D2C18"/>
    <w:rsid w:val="007D2D74"/>
    <w:rsid w:val="007D3693"/>
    <w:rsid w:val="007D3716"/>
    <w:rsid w:val="007D3C6D"/>
    <w:rsid w:val="007D4050"/>
    <w:rsid w:val="007D481A"/>
    <w:rsid w:val="007D4ED0"/>
    <w:rsid w:val="007D540D"/>
    <w:rsid w:val="007D5648"/>
    <w:rsid w:val="007D58C5"/>
    <w:rsid w:val="007D5DE8"/>
    <w:rsid w:val="007D5FF7"/>
    <w:rsid w:val="007D7B1C"/>
    <w:rsid w:val="007D7CFC"/>
    <w:rsid w:val="007E0812"/>
    <w:rsid w:val="007E18DF"/>
    <w:rsid w:val="007E24D5"/>
    <w:rsid w:val="007E2C36"/>
    <w:rsid w:val="007E350D"/>
    <w:rsid w:val="007E39C8"/>
    <w:rsid w:val="007E3ACA"/>
    <w:rsid w:val="007E3EA0"/>
    <w:rsid w:val="007E564D"/>
    <w:rsid w:val="007E5C4A"/>
    <w:rsid w:val="007E64D4"/>
    <w:rsid w:val="007E66E9"/>
    <w:rsid w:val="007E69F2"/>
    <w:rsid w:val="007E7432"/>
    <w:rsid w:val="007E74BF"/>
    <w:rsid w:val="007E77D2"/>
    <w:rsid w:val="007E7D2E"/>
    <w:rsid w:val="007F0721"/>
    <w:rsid w:val="007F14D3"/>
    <w:rsid w:val="007F1D9D"/>
    <w:rsid w:val="007F1E28"/>
    <w:rsid w:val="007F1F63"/>
    <w:rsid w:val="007F2217"/>
    <w:rsid w:val="007F22A0"/>
    <w:rsid w:val="007F2902"/>
    <w:rsid w:val="007F2903"/>
    <w:rsid w:val="007F2F90"/>
    <w:rsid w:val="007F3320"/>
    <w:rsid w:val="007F3AC1"/>
    <w:rsid w:val="007F4976"/>
    <w:rsid w:val="007F5A56"/>
    <w:rsid w:val="007F5D42"/>
    <w:rsid w:val="007F616E"/>
    <w:rsid w:val="007F6B46"/>
    <w:rsid w:val="007F72CB"/>
    <w:rsid w:val="007F736A"/>
    <w:rsid w:val="007F7635"/>
    <w:rsid w:val="007F785F"/>
    <w:rsid w:val="007F7961"/>
    <w:rsid w:val="007F7AF6"/>
    <w:rsid w:val="007F7E36"/>
    <w:rsid w:val="00800DB7"/>
    <w:rsid w:val="00800E6D"/>
    <w:rsid w:val="008014D9"/>
    <w:rsid w:val="0080150F"/>
    <w:rsid w:val="0080153A"/>
    <w:rsid w:val="00801A2A"/>
    <w:rsid w:val="00802041"/>
    <w:rsid w:val="008022A4"/>
    <w:rsid w:val="008022C9"/>
    <w:rsid w:val="00802605"/>
    <w:rsid w:val="00802F9E"/>
    <w:rsid w:val="0080350D"/>
    <w:rsid w:val="00803700"/>
    <w:rsid w:val="00803AB0"/>
    <w:rsid w:val="00803D9D"/>
    <w:rsid w:val="00805898"/>
    <w:rsid w:val="008059C6"/>
    <w:rsid w:val="00805AD7"/>
    <w:rsid w:val="00805BD6"/>
    <w:rsid w:val="00805CEF"/>
    <w:rsid w:val="00805DE3"/>
    <w:rsid w:val="00806C85"/>
    <w:rsid w:val="00807C35"/>
    <w:rsid w:val="00807F35"/>
    <w:rsid w:val="00807F69"/>
    <w:rsid w:val="008100F7"/>
    <w:rsid w:val="00810206"/>
    <w:rsid w:val="0081022B"/>
    <w:rsid w:val="00810EF1"/>
    <w:rsid w:val="00811898"/>
    <w:rsid w:val="00811B64"/>
    <w:rsid w:val="00811CDC"/>
    <w:rsid w:val="008124D8"/>
    <w:rsid w:val="008126A5"/>
    <w:rsid w:val="00813473"/>
    <w:rsid w:val="00813A41"/>
    <w:rsid w:val="00813A7B"/>
    <w:rsid w:val="00813F04"/>
    <w:rsid w:val="00814E1F"/>
    <w:rsid w:val="0081513E"/>
    <w:rsid w:val="00815DA5"/>
    <w:rsid w:val="00816221"/>
    <w:rsid w:val="0081766B"/>
    <w:rsid w:val="008205AC"/>
    <w:rsid w:val="00820705"/>
    <w:rsid w:val="00820CBF"/>
    <w:rsid w:val="00820FA8"/>
    <w:rsid w:val="008211D0"/>
    <w:rsid w:val="008212FD"/>
    <w:rsid w:val="00821489"/>
    <w:rsid w:val="008217B7"/>
    <w:rsid w:val="0082239B"/>
    <w:rsid w:val="00822900"/>
    <w:rsid w:val="0082292E"/>
    <w:rsid w:val="00822D06"/>
    <w:rsid w:val="00822EC4"/>
    <w:rsid w:val="0082348D"/>
    <w:rsid w:val="00823549"/>
    <w:rsid w:val="008236BE"/>
    <w:rsid w:val="00823EC5"/>
    <w:rsid w:val="008241CE"/>
    <w:rsid w:val="0082479F"/>
    <w:rsid w:val="00825240"/>
    <w:rsid w:val="00825B43"/>
    <w:rsid w:val="0082633B"/>
    <w:rsid w:val="008268FB"/>
    <w:rsid w:val="00826F71"/>
    <w:rsid w:val="00827CC0"/>
    <w:rsid w:val="008303C0"/>
    <w:rsid w:val="008306AB"/>
    <w:rsid w:val="00830F04"/>
    <w:rsid w:val="00831026"/>
    <w:rsid w:val="0083119B"/>
    <w:rsid w:val="00831BAE"/>
    <w:rsid w:val="00832216"/>
    <w:rsid w:val="00832CD0"/>
    <w:rsid w:val="00833430"/>
    <w:rsid w:val="00833ADA"/>
    <w:rsid w:val="00834128"/>
    <w:rsid w:val="0083417F"/>
    <w:rsid w:val="00835143"/>
    <w:rsid w:val="0083569B"/>
    <w:rsid w:val="00835741"/>
    <w:rsid w:val="00835ABF"/>
    <w:rsid w:val="00835E5A"/>
    <w:rsid w:val="00836E74"/>
    <w:rsid w:val="00836EAB"/>
    <w:rsid w:val="00837673"/>
    <w:rsid w:val="00837937"/>
    <w:rsid w:val="00837D82"/>
    <w:rsid w:val="00840893"/>
    <w:rsid w:val="00840E88"/>
    <w:rsid w:val="008410B1"/>
    <w:rsid w:val="00841379"/>
    <w:rsid w:val="00841B9B"/>
    <w:rsid w:val="00841BD0"/>
    <w:rsid w:val="008423EC"/>
    <w:rsid w:val="00842640"/>
    <w:rsid w:val="008429A6"/>
    <w:rsid w:val="00843615"/>
    <w:rsid w:val="00843698"/>
    <w:rsid w:val="00843A4B"/>
    <w:rsid w:val="00843B57"/>
    <w:rsid w:val="00843B60"/>
    <w:rsid w:val="00843D33"/>
    <w:rsid w:val="008444F0"/>
    <w:rsid w:val="00844D4F"/>
    <w:rsid w:val="00844F38"/>
    <w:rsid w:val="00845296"/>
    <w:rsid w:val="00845AE3"/>
    <w:rsid w:val="008466A0"/>
    <w:rsid w:val="00847535"/>
    <w:rsid w:val="00847B6D"/>
    <w:rsid w:val="00850542"/>
    <w:rsid w:val="0085092D"/>
    <w:rsid w:val="0085097B"/>
    <w:rsid w:val="008509A5"/>
    <w:rsid w:val="00850C79"/>
    <w:rsid w:val="00850D82"/>
    <w:rsid w:val="00850EA3"/>
    <w:rsid w:val="00850F79"/>
    <w:rsid w:val="0085100B"/>
    <w:rsid w:val="0085304C"/>
    <w:rsid w:val="008532EE"/>
    <w:rsid w:val="008536BB"/>
    <w:rsid w:val="00853A3C"/>
    <w:rsid w:val="008548CA"/>
    <w:rsid w:val="00856B99"/>
    <w:rsid w:val="00856C06"/>
    <w:rsid w:val="00856F87"/>
    <w:rsid w:val="0085790B"/>
    <w:rsid w:val="008579B9"/>
    <w:rsid w:val="00857C95"/>
    <w:rsid w:val="00857E78"/>
    <w:rsid w:val="00860AEF"/>
    <w:rsid w:val="00860B18"/>
    <w:rsid w:val="00860D5E"/>
    <w:rsid w:val="0086122C"/>
    <w:rsid w:val="00861310"/>
    <w:rsid w:val="008613FC"/>
    <w:rsid w:val="00861F53"/>
    <w:rsid w:val="008623A7"/>
    <w:rsid w:val="0086289E"/>
    <w:rsid w:val="008629CB"/>
    <w:rsid w:val="0086394E"/>
    <w:rsid w:val="00863F8A"/>
    <w:rsid w:val="00863FE3"/>
    <w:rsid w:val="008640C4"/>
    <w:rsid w:val="00864241"/>
    <w:rsid w:val="00864423"/>
    <w:rsid w:val="0086468A"/>
    <w:rsid w:val="008650BE"/>
    <w:rsid w:val="00865357"/>
    <w:rsid w:val="00865EAF"/>
    <w:rsid w:val="0086633B"/>
    <w:rsid w:val="00866495"/>
    <w:rsid w:val="00866881"/>
    <w:rsid w:val="00866931"/>
    <w:rsid w:val="00867512"/>
    <w:rsid w:val="008678A3"/>
    <w:rsid w:val="00867C13"/>
    <w:rsid w:val="00867C1D"/>
    <w:rsid w:val="0087033C"/>
    <w:rsid w:val="008715ED"/>
    <w:rsid w:val="00871755"/>
    <w:rsid w:val="008717D8"/>
    <w:rsid w:val="00871E3C"/>
    <w:rsid w:val="00871EF3"/>
    <w:rsid w:val="00872F97"/>
    <w:rsid w:val="008734A1"/>
    <w:rsid w:val="00874027"/>
    <w:rsid w:val="00874607"/>
    <w:rsid w:val="008747E9"/>
    <w:rsid w:val="00874915"/>
    <w:rsid w:val="00874B89"/>
    <w:rsid w:val="00875403"/>
    <w:rsid w:val="00875434"/>
    <w:rsid w:val="00875C1F"/>
    <w:rsid w:val="00876215"/>
    <w:rsid w:val="0087646C"/>
    <w:rsid w:val="00876815"/>
    <w:rsid w:val="00877932"/>
    <w:rsid w:val="00877E1A"/>
    <w:rsid w:val="008808C7"/>
    <w:rsid w:val="0088106B"/>
    <w:rsid w:val="0088107D"/>
    <w:rsid w:val="008813AC"/>
    <w:rsid w:val="0088187A"/>
    <w:rsid w:val="00881E64"/>
    <w:rsid w:val="00881F30"/>
    <w:rsid w:val="00881FF8"/>
    <w:rsid w:val="00882E39"/>
    <w:rsid w:val="00883CE1"/>
    <w:rsid w:val="008850EB"/>
    <w:rsid w:val="00885228"/>
    <w:rsid w:val="00885433"/>
    <w:rsid w:val="008857E3"/>
    <w:rsid w:val="00886377"/>
    <w:rsid w:val="0088662A"/>
    <w:rsid w:val="00886DF2"/>
    <w:rsid w:val="00886FB9"/>
    <w:rsid w:val="00887057"/>
    <w:rsid w:val="00887080"/>
    <w:rsid w:val="00887C79"/>
    <w:rsid w:val="00887E94"/>
    <w:rsid w:val="0089107B"/>
    <w:rsid w:val="008913CC"/>
    <w:rsid w:val="008914AE"/>
    <w:rsid w:val="008919CF"/>
    <w:rsid w:val="00891E4E"/>
    <w:rsid w:val="00891F84"/>
    <w:rsid w:val="00891FC3"/>
    <w:rsid w:val="0089267A"/>
    <w:rsid w:val="008928EC"/>
    <w:rsid w:val="00892E5D"/>
    <w:rsid w:val="00892F50"/>
    <w:rsid w:val="00893290"/>
    <w:rsid w:val="008935CF"/>
    <w:rsid w:val="00893CD7"/>
    <w:rsid w:val="0089436B"/>
    <w:rsid w:val="00894436"/>
    <w:rsid w:val="00894BB1"/>
    <w:rsid w:val="008951D0"/>
    <w:rsid w:val="0089582D"/>
    <w:rsid w:val="008959C6"/>
    <w:rsid w:val="00895C0E"/>
    <w:rsid w:val="00895DCC"/>
    <w:rsid w:val="0089606D"/>
    <w:rsid w:val="00896129"/>
    <w:rsid w:val="00896316"/>
    <w:rsid w:val="0089774F"/>
    <w:rsid w:val="00897875"/>
    <w:rsid w:val="00897B8F"/>
    <w:rsid w:val="008A00D9"/>
    <w:rsid w:val="008A07D5"/>
    <w:rsid w:val="008A1FB7"/>
    <w:rsid w:val="008A20B1"/>
    <w:rsid w:val="008A229A"/>
    <w:rsid w:val="008A2A23"/>
    <w:rsid w:val="008A2AF5"/>
    <w:rsid w:val="008A2B5A"/>
    <w:rsid w:val="008A3F9D"/>
    <w:rsid w:val="008A5474"/>
    <w:rsid w:val="008A5C9A"/>
    <w:rsid w:val="008A6005"/>
    <w:rsid w:val="008A614F"/>
    <w:rsid w:val="008A6A55"/>
    <w:rsid w:val="008A6AA1"/>
    <w:rsid w:val="008A6DF0"/>
    <w:rsid w:val="008A6F6E"/>
    <w:rsid w:val="008A7833"/>
    <w:rsid w:val="008A7888"/>
    <w:rsid w:val="008A796E"/>
    <w:rsid w:val="008B0862"/>
    <w:rsid w:val="008B088C"/>
    <w:rsid w:val="008B1BF5"/>
    <w:rsid w:val="008B1CED"/>
    <w:rsid w:val="008B2543"/>
    <w:rsid w:val="008B263F"/>
    <w:rsid w:val="008B2BE2"/>
    <w:rsid w:val="008B3045"/>
    <w:rsid w:val="008B3F6B"/>
    <w:rsid w:val="008B47A6"/>
    <w:rsid w:val="008B4C7B"/>
    <w:rsid w:val="008B4D60"/>
    <w:rsid w:val="008B5C7C"/>
    <w:rsid w:val="008B63FE"/>
    <w:rsid w:val="008B672C"/>
    <w:rsid w:val="008B733E"/>
    <w:rsid w:val="008B7781"/>
    <w:rsid w:val="008B7B98"/>
    <w:rsid w:val="008C065F"/>
    <w:rsid w:val="008C0743"/>
    <w:rsid w:val="008C0B4C"/>
    <w:rsid w:val="008C0FC8"/>
    <w:rsid w:val="008C11F0"/>
    <w:rsid w:val="008C165C"/>
    <w:rsid w:val="008C1DBA"/>
    <w:rsid w:val="008C24E7"/>
    <w:rsid w:val="008C2500"/>
    <w:rsid w:val="008C2CAC"/>
    <w:rsid w:val="008C3C57"/>
    <w:rsid w:val="008C3E2A"/>
    <w:rsid w:val="008C45BD"/>
    <w:rsid w:val="008C4B19"/>
    <w:rsid w:val="008C4F47"/>
    <w:rsid w:val="008C5194"/>
    <w:rsid w:val="008C62D4"/>
    <w:rsid w:val="008C6B0C"/>
    <w:rsid w:val="008C6B89"/>
    <w:rsid w:val="008C6B97"/>
    <w:rsid w:val="008C731C"/>
    <w:rsid w:val="008C7EF7"/>
    <w:rsid w:val="008D18AA"/>
    <w:rsid w:val="008D1A2A"/>
    <w:rsid w:val="008D1ADE"/>
    <w:rsid w:val="008D2986"/>
    <w:rsid w:val="008D35D9"/>
    <w:rsid w:val="008D360E"/>
    <w:rsid w:val="008D3B36"/>
    <w:rsid w:val="008D3B85"/>
    <w:rsid w:val="008D462D"/>
    <w:rsid w:val="008D5B85"/>
    <w:rsid w:val="008D6084"/>
    <w:rsid w:val="008D64AC"/>
    <w:rsid w:val="008D66CA"/>
    <w:rsid w:val="008D69B1"/>
    <w:rsid w:val="008D7338"/>
    <w:rsid w:val="008D785E"/>
    <w:rsid w:val="008D7D22"/>
    <w:rsid w:val="008D7D66"/>
    <w:rsid w:val="008D7DCE"/>
    <w:rsid w:val="008E0012"/>
    <w:rsid w:val="008E0DF7"/>
    <w:rsid w:val="008E0FAD"/>
    <w:rsid w:val="008E11E4"/>
    <w:rsid w:val="008E1252"/>
    <w:rsid w:val="008E1347"/>
    <w:rsid w:val="008E16E0"/>
    <w:rsid w:val="008E1C15"/>
    <w:rsid w:val="008E1C9A"/>
    <w:rsid w:val="008E28BD"/>
    <w:rsid w:val="008E30C4"/>
    <w:rsid w:val="008E3106"/>
    <w:rsid w:val="008E38B4"/>
    <w:rsid w:val="008E3BA4"/>
    <w:rsid w:val="008E3CC4"/>
    <w:rsid w:val="008E3F88"/>
    <w:rsid w:val="008E44AB"/>
    <w:rsid w:val="008E4CAE"/>
    <w:rsid w:val="008E5179"/>
    <w:rsid w:val="008E5208"/>
    <w:rsid w:val="008E57FE"/>
    <w:rsid w:val="008E5D7D"/>
    <w:rsid w:val="008E6598"/>
    <w:rsid w:val="008E7214"/>
    <w:rsid w:val="008E7497"/>
    <w:rsid w:val="008E7884"/>
    <w:rsid w:val="008E795C"/>
    <w:rsid w:val="008E7D6E"/>
    <w:rsid w:val="008E7E04"/>
    <w:rsid w:val="008E7EAA"/>
    <w:rsid w:val="008F1056"/>
    <w:rsid w:val="008F1385"/>
    <w:rsid w:val="008F1E70"/>
    <w:rsid w:val="008F220A"/>
    <w:rsid w:val="008F2E8D"/>
    <w:rsid w:val="008F361D"/>
    <w:rsid w:val="008F387B"/>
    <w:rsid w:val="008F3DD9"/>
    <w:rsid w:val="008F4163"/>
    <w:rsid w:val="008F4646"/>
    <w:rsid w:val="008F4814"/>
    <w:rsid w:val="008F4B18"/>
    <w:rsid w:val="008F4C38"/>
    <w:rsid w:val="008F4DA6"/>
    <w:rsid w:val="008F538E"/>
    <w:rsid w:val="008F58BE"/>
    <w:rsid w:val="008F5A20"/>
    <w:rsid w:val="008F5ABA"/>
    <w:rsid w:val="008F5F3F"/>
    <w:rsid w:val="008F6603"/>
    <w:rsid w:val="008F71AB"/>
    <w:rsid w:val="008F7905"/>
    <w:rsid w:val="008F7989"/>
    <w:rsid w:val="00900F63"/>
    <w:rsid w:val="00901F1D"/>
    <w:rsid w:val="009028E8"/>
    <w:rsid w:val="00902E5C"/>
    <w:rsid w:val="0090363E"/>
    <w:rsid w:val="00903E0D"/>
    <w:rsid w:val="009046E5"/>
    <w:rsid w:val="009047C5"/>
    <w:rsid w:val="0090783B"/>
    <w:rsid w:val="00910683"/>
    <w:rsid w:val="009108B5"/>
    <w:rsid w:val="00910E00"/>
    <w:rsid w:val="00910E04"/>
    <w:rsid w:val="009116CE"/>
    <w:rsid w:val="00911714"/>
    <w:rsid w:val="00911D04"/>
    <w:rsid w:val="00911EFF"/>
    <w:rsid w:val="00912294"/>
    <w:rsid w:val="00912670"/>
    <w:rsid w:val="00912747"/>
    <w:rsid w:val="0091310F"/>
    <w:rsid w:val="009136D4"/>
    <w:rsid w:val="0091480F"/>
    <w:rsid w:val="00914B9A"/>
    <w:rsid w:val="00914C3F"/>
    <w:rsid w:val="00914F33"/>
    <w:rsid w:val="00915A9E"/>
    <w:rsid w:val="00915EFE"/>
    <w:rsid w:val="00915FCE"/>
    <w:rsid w:val="00916528"/>
    <w:rsid w:val="00916AFE"/>
    <w:rsid w:val="00916FC8"/>
    <w:rsid w:val="009170D3"/>
    <w:rsid w:val="0091759C"/>
    <w:rsid w:val="00920026"/>
    <w:rsid w:val="009203E2"/>
    <w:rsid w:val="00920724"/>
    <w:rsid w:val="00920F61"/>
    <w:rsid w:val="0092119E"/>
    <w:rsid w:val="00921304"/>
    <w:rsid w:val="00921395"/>
    <w:rsid w:val="00921396"/>
    <w:rsid w:val="00921805"/>
    <w:rsid w:val="00921BE2"/>
    <w:rsid w:val="00921E63"/>
    <w:rsid w:val="00922379"/>
    <w:rsid w:val="00922B4A"/>
    <w:rsid w:val="00923396"/>
    <w:rsid w:val="00923F56"/>
    <w:rsid w:val="00924709"/>
    <w:rsid w:val="00924770"/>
    <w:rsid w:val="00925346"/>
    <w:rsid w:val="00925743"/>
    <w:rsid w:val="0092579F"/>
    <w:rsid w:val="00926068"/>
    <w:rsid w:val="009277E9"/>
    <w:rsid w:val="00927DD3"/>
    <w:rsid w:val="00927E8D"/>
    <w:rsid w:val="00927F23"/>
    <w:rsid w:val="009307CD"/>
    <w:rsid w:val="0093094D"/>
    <w:rsid w:val="00931364"/>
    <w:rsid w:val="00931365"/>
    <w:rsid w:val="00931451"/>
    <w:rsid w:val="009314FA"/>
    <w:rsid w:val="0093194F"/>
    <w:rsid w:val="00931BF3"/>
    <w:rsid w:val="00931C55"/>
    <w:rsid w:val="00932014"/>
    <w:rsid w:val="0093241A"/>
    <w:rsid w:val="00933333"/>
    <w:rsid w:val="00933390"/>
    <w:rsid w:val="0093349A"/>
    <w:rsid w:val="0093352B"/>
    <w:rsid w:val="009338BA"/>
    <w:rsid w:val="00933FCB"/>
    <w:rsid w:val="00934396"/>
    <w:rsid w:val="009346C8"/>
    <w:rsid w:val="00934BEF"/>
    <w:rsid w:val="00934CEC"/>
    <w:rsid w:val="00934E69"/>
    <w:rsid w:val="00935A19"/>
    <w:rsid w:val="00935CF8"/>
    <w:rsid w:val="00935E70"/>
    <w:rsid w:val="00935FEA"/>
    <w:rsid w:val="0093609A"/>
    <w:rsid w:val="00937401"/>
    <w:rsid w:val="009376FB"/>
    <w:rsid w:val="0093795B"/>
    <w:rsid w:val="00937CF8"/>
    <w:rsid w:val="00937D6B"/>
    <w:rsid w:val="00940477"/>
    <w:rsid w:val="00940876"/>
    <w:rsid w:val="00940A53"/>
    <w:rsid w:val="00940F3C"/>
    <w:rsid w:val="009410E0"/>
    <w:rsid w:val="009419E9"/>
    <w:rsid w:val="00941A2D"/>
    <w:rsid w:val="00941FA9"/>
    <w:rsid w:val="00942568"/>
    <w:rsid w:val="0094267E"/>
    <w:rsid w:val="00942DD0"/>
    <w:rsid w:val="009439B6"/>
    <w:rsid w:val="00943FCD"/>
    <w:rsid w:val="009444B4"/>
    <w:rsid w:val="00944644"/>
    <w:rsid w:val="0094562F"/>
    <w:rsid w:val="00945E6B"/>
    <w:rsid w:val="00946A24"/>
    <w:rsid w:val="009470D4"/>
    <w:rsid w:val="00947337"/>
    <w:rsid w:val="00947E6E"/>
    <w:rsid w:val="00950019"/>
    <w:rsid w:val="0095041D"/>
    <w:rsid w:val="009512FA"/>
    <w:rsid w:val="009516A1"/>
    <w:rsid w:val="009516A9"/>
    <w:rsid w:val="00951E57"/>
    <w:rsid w:val="00952350"/>
    <w:rsid w:val="00952505"/>
    <w:rsid w:val="00953018"/>
    <w:rsid w:val="009533E2"/>
    <w:rsid w:val="00953554"/>
    <w:rsid w:val="0095385A"/>
    <w:rsid w:val="0095473B"/>
    <w:rsid w:val="00954F3A"/>
    <w:rsid w:val="00955539"/>
    <w:rsid w:val="009570C8"/>
    <w:rsid w:val="00957649"/>
    <w:rsid w:val="0095780A"/>
    <w:rsid w:val="009578C3"/>
    <w:rsid w:val="009579E4"/>
    <w:rsid w:val="00957AA4"/>
    <w:rsid w:val="00957ACB"/>
    <w:rsid w:val="00957F27"/>
    <w:rsid w:val="00957F86"/>
    <w:rsid w:val="00960B5A"/>
    <w:rsid w:val="00960BDB"/>
    <w:rsid w:val="0096105C"/>
    <w:rsid w:val="0096147D"/>
    <w:rsid w:val="00961D53"/>
    <w:rsid w:val="00961E5F"/>
    <w:rsid w:val="00962261"/>
    <w:rsid w:val="009625C6"/>
    <w:rsid w:val="009629B5"/>
    <w:rsid w:val="00962A50"/>
    <w:rsid w:val="00962E97"/>
    <w:rsid w:val="00962FA0"/>
    <w:rsid w:val="00963550"/>
    <w:rsid w:val="00964138"/>
    <w:rsid w:val="0096470C"/>
    <w:rsid w:val="009648D6"/>
    <w:rsid w:val="009649AE"/>
    <w:rsid w:val="00964B3F"/>
    <w:rsid w:val="00964C98"/>
    <w:rsid w:val="009654F9"/>
    <w:rsid w:val="00966F74"/>
    <w:rsid w:val="00967BEF"/>
    <w:rsid w:val="009704FC"/>
    <w:rsid w:val="00971441"/>
    <w:rsid w:val="009715D4"/>
    <w:rsid w:val="0097179A"/>
    <w:rsid w:val="009731F4"/>
    <w:rsid w:val="009732A4"/>
    <w:rsid w:val="00973C05"/>
    <w:rsid w:val="00973CFF"/>
    <w:rsid w:val="009744A9"/>
    <w:rsid w:val="0097494E"/>
    <w:rsid w:val="00974999"/>
    <w:rsid w:val="00974B58"/>
    <w:rsid w:val="00974CBD"/>
    <w:rsid w:val="00975390"/>
    <w:rsid w:val="00975445"/>
    <w:rsid w:val="00975B68"/>
    <w:rsid w:val="0097617D"/>
    <w:rsid w:val="009761ED"/>
    <w:rsid w:val="00977131"/>
    <w:rsid w:val="0098022F"/>
    <w:rsid w:val="009810DE"/>
    <w:rsid w:val="0098152C"/>
    <w:rsid w:val="00981B91"/>
    <w:rsid w:val="009822D7"/>
    <w:rsid w:val="009827E6"/>
    <w:rsid w:val="00982F84"/>
    <w:rsid w:val="009831C3"/>
    <w:rsid w:val="0098427D"/>
    <w:rsid w:val="00984355"/>
    <w:rsid w:val="0098450A"/>
    <w:rsid w:val="00984567"/>
    <w:rsid w:val="00985102"/>
    <w:rsid w:val="009854BC"/>
    <w:rsid w:val="00985A66"/>
    <w:rsid w:val="0098606C"/>
    <w:rsid w:val="009865D5"/>
    <w:rsid w:val="009876F2"/>
    <w:rsid w:val="00987C77"/>
    <w:rsid w:val="00987F55"/>
    <w:rsid w:val="00987FED"/>
    <w:rsid w:val="00990345"/>
    <w:rsid w:val="00990701"/>
    <w:rsid w:val="0099119C"/>
    <w:rsid w:val="0099137A"/>
    <w:rsid w:val="00991D3D"/>
    <w:rsid w:val="0099211C"/>
    <w:rsid w:val="00993013"/>
    <w:rsid w:val="00993B78"/>
    <w:rsid w:val="00994929"/>
    <w:rsid w:val="00994F3F"/>
    <w:rsid w:val="00995119"/>
    <w:rsid w:val="0099531F"/>
    <w:rsid w:val="009953AD"/>
    <w:rsid w:val="00995485"/>
    <w:rsid w:val="009957D7"/>
    <w:rsid w:val="0099583D"/>
    <w:rsid w:val="00996020"/>
    <w:rsid w:val="0099629E"/>
    <w:rsid w:val="00996992"/>
    <w:rsid w:val="00996E1E"/>
    <w:rsid w:val="00997148"/>
    <w:rsid w:val="00997392"/>
    <w:rsid w:val="0099747C"/>
    <w:rsid w:val="0099771C"/>
    <w:rsid w:val="00997728"/>
    <w:rsid w:val="009A01E4"/>
    <w:rsid w:val="009A022C"/>
    <w:rsid w:val="009A0917"/>
    <w:rsid w:val="009A0A33"/>
    <w:rsid w:val="009A1351"/>
    <w:rsid w:val="009A2041"/>
    <w:rsid w:val="009A2435"/>
    <w:rsid w:val="009A35DC"/>
    <w:rsid w:val="009A38AB"/>
    <w:rsid w:val="009A39EE"/>
    <w:rsid w:val="009A3D47"/>
    <w:rsid w:val="009A4D63"/>
    <w:rsid w:val="009A5356"/>
    <w:rsid w:val="009A5468"/>
    <w:rsid w:val="009A5D99"/>
    <w:rsid w:val="009A5E69"/>
    <w:rsid w:val="009A608C"/>
    <w:rsid w:val="009A6FDF"/>
    <w:rsid w:val="009A715F"/>
    <w:rsid w:val="009A76D6"/>
    <w:rsid w:val="009B1E01"/>
    <w:rsid w:val="009B231D"/>
    <w:rsid w:val="009B2374"/>
    <w:rsid w:val="009B2E29"/>
    <w:rsid w:val="009B3163"/>
    <w:rsid w:val="009B35AE"/>
    <w:rsid w:val="009B408A"/>
    <w:rsid w:val="009B422F"/>
    <w:rsid w:val="009B46BC"/>
    <w:rsid w:val="009B497E"/>
    <w:rsid w:val="009B4D1A"/>
    <w:rsid w:val="009B519D"/>
    <w:rsid w:val="009B558B"/>
    <w:rsid w:val="009B5936"/>
    <w:rsid w:val="009B5981"/>
    <w:rsid w:val="009B6D21"/>
    <w:rsid w:val="009B78ED"/>
    <w:rsid w:val="009C0D57"/>
    <w:rsid w:val="009C0F0F"/>
    <w:rsid w:val="009C181C"/>
    <w:rsid w:val="009C186D"/>
    <w:rsid w:val="009C1A44"/>
    <w:rsid w:val="009C1C7F"/>
    <w:rsid w:val="009C1EC7"/>
    <w:rsid w:val="009C28A2"/>
    <w:rsid w:val="009C3239"/>
    <w:rsid w:val="009C3828"/>
    <w:rsid w:val="009C3AD3"/>
    <w:rsid w:val="009C3AF4"/>
    <w:rsid w:val="009C3C8D"/>
    <w:rsid w:val="009C3D2C"/>
    <w:rsid w:val="009C3E47"/>
    <w:rsid w:val="009C48C9"/>
    <w:rsid w:val="009C4987"/>
    <w:rsid w:val="009C4EE8"/>
    <w:rsid w:val="009C4FDE"/>
    <w:rsid w:val="009C523F"/>
    <w:rsid w:val="009C59BF"/>
    <w:rsid w:val="009C5BC0"/>
    <w:rsid w:val="009C5E4F"/>
    <w:rsid w:val="009C5F64"/>
    <w:rsid w:val="009C5F82"/>
    <w:rsid w:val="009C60EA"/>
    <w:rsid w:val="009C66FF"/>
    <w:rsid w:val="009C6BFC"/>
    <w:rsid w:val="009C70F8"/>
    <w:rsid w:val="009C78A3"/>
    <w:rsid w:val="009C7E68"/>
    <w:rsid w:val="009D00D7"/>
    <w:rsid w:val="009D0156"/>
    <w:rsid w:val="009D05DA"/>
    <w:rsid w:val="009D11F6"/>
    <w:rsid w:val="009D138F"/>
    <w:rsid w:val="009D1A14"/>
    <w:rsid w:val="009D1E2A"/>
    <w:rsid w:val="009D1FA0"/>
    <w:rsid w:val="009D28AB"/>
    <w:rsid w:val="009D2BDF"/>
    <w:rsid w:val="009D3736"/>
    <w:rsid w:val="009D3833"/>
    <w:rsid w:val="009D4529"/>
    <w:rsid w:val="009D604F"/>
    <w:rsid w:val="009D61BB"/>
    <w:rsid w:val="009D6410"/>
    <w:rsid w:val="009D68BB"/>
    <w:rsid w:val="009D6909"/>
    <w:rsid w:val="009D7049"/>
    <w:rsid w:val="009D70C2"/>
    <w:rsid w:val="009D7244"/>
    <w:rsid w:val="009D7ADB"/>
    <w:rsid w:val="009D7B33"/>
    <w:rsid w:val="009E020C"/>
    <w:rsid w:val="009E06C3"/>
    <w:rsid w:val="009E0703"/>
    <w:rsid w:val="009E1035"/>
    <w:rsid w:val="009E16C2"/>
    <w:rsid w:val="009E16DA"/>
    <w:rsid w:val="009E1CD4"/>
    <w:rsid w:val="009E2391"/>
    <w:rsid w:val="009E476A"/>
    <w:rsid w:val="009E4E05"/>
    <w:rsid w:val="009E56FF"/>
    <w:rsid w:val="009E59A3"/>
    <w:rsid w:val="009E5CB1"/>
    <w:rsid w:val="009E5E56"/>
    <w:rsid w:val="009E61EA"/>
    <w:rsid w:val="009E6990"/>
    <w:rsid w:val="009E6FEE"/>
    <w:rsid w:val="009E7924"/>
    <w:rsid w:val="009F00B9"/>
    <w:rsid w:val="009F00BF"/>
    <w:rsid w:val="009F060F"/>
    <w:rsid w:val="009F0781"/>
    <w:rsid w:val="009F0850"/>
    <w:rsid w:val="009F1BDF"/>
    <w:rsid w:val="009F1CD3"/>
    <w:rsid w:val="009F1EAE"/>
    <w:rsid w:val="009F2F20"/>
    <w:rsid w:val="009F369D"/>
    <w:rsid w:val="009F36FE"/>
    <w:rsid w:val="009F3D92"/>
    <w:rsid w:val="009F4990"/>
    <w:rsid w:val="009F4F25"/>
    <w:rsid w:val="009F59C2"/>
    <w:rsid w:val="009F5A2A"/>
    <w:rsid w:val="009F5ABB"/>
    <w:rsid w:val="009F62CD"/>
    <w:rsid w:val="009F7263"/>
    <w:rsid w:val="009F76EA"/>
    <w:rsid w:val="009F78EB"/>
    <w:rsid w:val="009F7DB2"/>
    <w:rsid w:val="009F7F32"/>
    <w:rsid w:val="009F7FEB"/>
    <w:rsid w:val="00A0032A"/>
    <w:rsid w:val="00A003D5"/>
    <w:rsid w:val="00A0056C"/>
    <w:rsid w:val="00A00BEF"/>
    <w:rsid w:val="00A00F5E"/>
    <w:rsid w:val="00A0120D"/>
    <w:rsid w:val="00A01852"/>
    <w:rsid w:val="00A0188B"/>
    <w:rsid w:val="00A01C35"/>
    <w:rsid w:val="00A01E73"/>
    <w:rsid w:val="00A023E7"/>
    <w:rsid w:val="00A02B88"/>
    <w:rsid w:val="00A03160"/>
    <w:rsid w:val="00A0329E"/>
    <w:rsid w:val="00A036AC"/>
    <w:rsid w:val="00A03C54"/>
    <w:rsid w:val="00A03DE5"/>
    <w:rsid w:val="00A041BC"/>
    <w:rsid w:val="00A0447F"/>
    <w:rsid w:val="00A046D2"/>
    <w:rsid w:val="00A04A54"/>
    <w:rsid w:val="00A052E9"/>
    <w:rsid w:val="00A058B8"/>
    <w:rsid w:val="00A05B4B"/>
    <w:rsid w:val="00A066C3"/>
    <w:rsid w:val="00A06754"/>
    <w:rsid w:val="00A069E0"/>
    <w:rsid w:val="00A06E4A"/>
    <w:rsid w:val="00A070E9"/>
    <w:rsid w:val="00A07327"/>
    <w:rsid w:val="00A073F1"/>
    <w:rsid w:val="00A07522"/>
    <w:rsid w:val="00A0782F"/>
    <w:rsid w:val="00A078FB"/>
    <w:rsid w:val="00A07CDC"/>
    <w:rsid w:val="00A101E1"/>
    <w:rsid w:val="00A1036D"/>
    <w:rsid w:val="00A1069F"/>
    <w:rsid w:val="00A10ACA"/>
    <w:rsid w:val="00A10D08"/>
    <w:rsid w:val="00A1116F"/>
    <w:rsid w:val="00A11BB6"/>
    <w:rsid w:val="00A11E78"/>
    <w:rsid w:val="00A12355"/>
    <w:rsid w:val="00A12574"/>
    <w:rsid w:val="00A127D2"/>
    <w:rsid w:val="00A1284E"/>
    <w:rsid w:val="00A130AE"/>
    <w:rsid w:val="00A131F8"/>
    <w:rsid w:val="00A13CF5"/>
    <w:rsid w:val="00A143EC"/>
    <w:rsid w:val="00A149E8"/>
    <w:rsid w:val="00A14C30"/>
    <w:rsid w:val="00A14E6E"/>
    <w:rsid w:val="00A1500F"/>
    <w:rsid w:val="00A1549C"/>
    <w:rsid w:val="00A15621"/>
    <w:rsid w:val="00A15670"/>
    <w:rsid w:val="00A157A0"/>
    <w:rsid w:val="00A1585B"/>
    <w:rsid w:val="00A15C19"/>
    <w:rsid w:val="00A15FE9"/>
    <w:rsid w:val="00A1615C"/>
    <w:rsid w:val="00A16809"/>
    <w:rsid w:val="00A16B44"/>
    <w:rsid w:val="00A17584"/>
    <w:rsid w:val="00A17769"/>
    <w:rsid w:val="00A177ED"/>
    <w:rsid w:val="00A17EA2"/>
    <w:rsid w:val="00A20264"/>
    <w:rsid w:val="00A208F1"/>
    <w:rsid w:val="00A20946"/>
    <w:rsid w:val="00A20997"/>
    <w:rsid w:val="00A210D4"/>
    <w:rsid w:val="00A2124E"/>
    <w:rsid w:val="00A213DD"/>
    <w:rsid w:val="00A21454"/>
    <w:rsid w:val="00A216CE"/>
    <w:rsid w:val="00A22025"/>
    <w:rsid w:val="00A22498"/>
    <w:rsid w:val="00A22571"/>
    <w:rsid w:val="00A2298D"/>
    <w:rsid w:val="00A22CDE"/>
    <w:rsid w:val="00A24560"/>
    <w:rsid w:val="00A25B0F"/>
    <w:rsid w:val="00A25BBB"/>
    <w:rsid w:val="00A25F2F"/>
    <w:rsid w:val="00A26D48"/>
    <w:rsid w:val="00A27588"/>
    <w:rsid w:val="00A277F9"/>
    <w:rsid w:val="00A27FB6"/>
    <w:rsid w:val="00A30121"/>
    <w:rsid w:val="00A30368"/>
    <w:rsid w:val="00A3043A"/>
    <w:rsid w:val="00A30E02"/>
    <w:rsid w:val="00A30F6A"/>
    <w:rsid w:val="00A31C3E"/>
    <w:rsid w:val="00A31F92"/>
    <w:rsid w:val="00A32254"/>
    <w:rsid w:val="00A32A8C"/>
    <w:rsid w:val="00A34538"/>
    <w:rsid w:val="00A34677"/>
    <w:rsid w:val="00A3540F"/>
    <w:rsid w:val="00A35630"/>
    <w:rsid w:val="00A35914"/>
    <w:rsid w:val="00A35CC9"/>
    <w:rsid w:val="00A36189"/>
    <w:rsid w:val="00A36210"/>
    <w:rsid w:val="00A37054"/>
    <w:rsid w:val="00A37E73"/>
    <w:rsid w:val="00A37FB6"/>
    <w:rsid w:val="00A409E2"/>
    <w:rsid w:val="00A4104A"/>
    <w:rsid w:val="00A41081"/>
    <w:rsid w:val="00A411CA"/>
    <w:rsid w:val="00A41AE8"/>
    <w:rsid w:val="00A42080"/>
    <w:rsid w:val="00A42096"/>
    <w:rsid w:val="00A426F3"/>
    <w:rsid w:val="00A42FDF"/>
    <w:rsid w:val="00A430A9"/>
    <w:rsid w:val="00A431FE"/>
    <w:rsid w:val="00A4325F"/>
    <w:rsid w:val="00A439E5"/>
    <w:rsid w:val="00A4414E"/>
    <w:rsid w:val="00A4497A"/>
    <w:rsid w:val="00A44AB5"/>
    <w:rsid w:val="00A44BE8"/>
    <w:rsid w:val="00A44C96"/>
    <w:rsid w:val="00A44CDD"/>
    <w:rsid w:val="00A44E33"/>
    <w:rsid w:val="00A44F54"/>
    <w:rsid w:val="00A45F9B"/>
    <w:rsid w:val="00A46574"/>
    <w:rsid w:val="00A477D8"/>
    <w:rsid w:val="00A47849"/>
    <w:rsid w:val="00A500B1"/>
    <w:rsid w:val="00A52A53"/>
    <w:rsid w:val="00A52C90"/>
    <w:rsid w:val="00A52EE5"/>
    <w:rsid w:val="00A53037"/>
    <w:rsid w:val="00A5329C"/>
    <w:rsid w:val="00A532B9"/>
    <w:rsid w:val="00A5351D"/>
    <w:rsid w:val="00A53E79"/>
    <w:rsid w:val="00A54031"/>
    <w:rsid w:val="00A5426D"/>
    <w:rsid w:val="00A54FC2"/>
    <w:rsid w:val="00A55122"/>
    <w:rsid w:val="00A55CEA"/>
    <w:rsid w:val="00A56DE7"/>
    <w:rsid w:val="00A57EB2"/>
    <w:rsid w:val="00A6009E"/>
    <w:rsid w:val="00A60265"/>
    <w:rsid w:val="00A60540"/>
    <w:rsid w:val="00A60B1F"/>
    <w:rsid w:val="00A6109E"/>
    <w:rsid w:val="00A61C60"/>
    <w:rsid w:val="00A62589"/>
    <w:rsid w:val="00A62AD0"/>
    <w:rsid w:val="00A62C3A"/>
    <w:rsid w:val="00A6319C"/>
    <w:rsid w:val="00A63812"/>
    <w:rsid w:val="00A63DCF"/>
    <w:rsid w:val="00A63DF7"/>
    <w:rsid w:val="00A6454D"/>
    <w:rsid w:val="00A64F2F"/>
    <w:rsid w:val="00A65130"/>
    <w:rsid w:val="00A6592B"/>
    <w:rsid w:val="00A65DBF"/>
    <w:rsid w:val="00A6611E"/>
    <w:rsid w:val="00A668BA"/>
    <w:rsid w:val="00A66DDA"/>
    <w:rsid w:val="00A66EFC"/>
    <w:rsid w:val="00A66FA7"/>
    <w:rsid w:val="00A67D7D"/>
    <w:rsid w:val="00A67E16"/>
    <w:rsid w:val="00A67EB1"/>
    <w:rsid w:val="00A703CC"/>
    <w:rsid w:val="00A70C5C"/>
    <w:rsid w:val="00A710A2"/>
    <w:rsid w:val="00A71EA7"/>
    <w:rsid w:val="00A730AD"/>
    <w:rsid w:val="00A73690"/>
    <w:rsid w:val="00A73855"/>
    <w:rsid w:val="00A7393C"/>
    <w:rsid w:val="00A73D39"/>
    <w:rsid w:val="00A73D64"/>
    <w:rsid w:val="00A74216"/>
    <w:rsid w:val="00A74360"/>
    <w:rsid w:val="00A744B4"/>
    <w:rsid w:val="00A751E3"/>
    <w:rsid w:val="00A753B9"/>
    <w:rsid w:val="00A7549A"/>
    <w:rsid w:val="00A75504"/>
    <w:rsid w:val="00A7572E"/>
    <w:rsid w:val="00A75CE1"/>
    <w:rsid w:val="00A75FD7"/>
    <w:rsid w:val="00A769E6"/>
    <w:rsid w:val="00A77168"/>
    <w:rsid w:val="00A7723B"/>
    <w:rsid w:val="00A773C3"/>
    <w:rsid w:val="00A7793C"/>
    <w:rsid w:val="00A779BF"/>
    <w:rsid w:val="00A77B7F"/>
    <w:rsid w:val="00A77D21"/>
    <w:rsid w:val="00A80085"/>
    <w:rsid w:val="00A8043B"/>
    <w:rsid w:val="00A80849"/>
    <w:rsid w:val="00A80DA0"/>
    <w:rsid w:val="00A80DA3"/>
    <w:rsid w:val="00A81323"/>
    <w:rsid w:val="00A81F01"/>
    <w:rsid w:val="00A820CB"/>
    <w:rsid w:val="00A821C2"/>
    <w:rsid w:val="00A82342"/>
    <w:rsid w:val="00A8236F"/>
    <w:rsid w:val="00A82C87"/>
    <w:rsid w:val="00A83BEF"/>
    <w:rsid w:val="00A840C9"/>
    <w:rsid w:val="00A84443"/>
    <w:rsid w:val="00A8483D"/>
    <w:rsid w:val="00A8487F"/>
    <w:rsid w:val="00A849A3"/>
    <w:rsid w:val="00A84A0E"/>
    <w:rsid w:val="00A850C7"/>
    <w:rsid w:val="00A8575D"/>
    <w:rsid w:val="00A86E0B"/>
    <w:rsid w:val="00A90792"/>
    <w:rsid w:val="00A90F12"/>
    <w:rsid w:val="00A9173C"/>
    <w:rsid w:val="00A91DAA"/>
    <w:rsid w:val="00A91EFC"/>
    <w:rsid w:val="00A93101"/>
    <w:rsid w:val="00A93239"/>
    <w:rsid w:val="00A9413E"/>
    <w:rsid w:val="00A941C0"/>
    <w:rsid w:val="00A94293"/>
    <w:rsid w:val="00A9496E"/>
    <w:rsid w:val="00A949F0"/>
    <w:rsid w:val="00A94BDE"/>
    <w:rsid w:val="00A94FCA"/>
    <w:rsid w:val="00A950EC"/>
    <w:rsid w:val="00A95E4C"/>
    <w:rsid w:val="00A9609B"/>
    <w:rsid w:val="00A96C60"/>
    <w:rsid w:val="00A970A1"/>
    <w:rsid w:val="00A9740B"/>
    <w:rsid w:val="00A9766C"/>
    <w:rsid w:val="00A977F8"/>
    <w:rsid w:val="00A979DB"/>
    <w:rsid w:val="00A97C93"/>
    <w:rsid w:val="00AA02C6"/>
    <w:rsid w:val="00AA03E8"/>
    <w:rsid w:val="00AA08E7"/>
    <w:rsid w:val="00AA0A06"/>
    <w:rsid w:val="00AA1351"/>
    <w:rsid w:val="00AA184C"/>
    <w:rsid w:val="00AA1AF4"/>
    <w:rsid w:val="00AA1C84"/>
    <w:rsid w:val="00AA3036"/>
    <w:rsid w:val="00AA3D7B"/>
    <w:rsid w:val="00AA42A0"/>
    <w:rsid w:val="00AA442B"/>
    <w:rsid w:val="00AA46A4"/>
    <w:rsid w:val="00AA4DF5"/>
    <w:rsid w:val="00AA5779"/>
    <w:rsid w:val="00AA58A1"/>
    <w:rsid w:val="00AA61C7"/>
    <w:rsid w:val="00AA669D"/>
    <w:rsid w:val="00AA66ED"/>
    <w:rsid w:val="00AA6B28"/>
    <w:rsid w:val="00AA6B59"/>
    <w:rsid w:val="00AA6BE1"/>
    <w:rsid w:val="00AA7416"/>
    <w:rsid w:val="00AA749C"/>
    <w:rsid w:val="00AA7A60"/>
    <w:rsid w:val="00AA7AF0"/>
    <w:rsid w:val="00AA7B42"/>
    <w:rsid w:val="00AB041C"/>
    <w:rsid w:val="00AB14E8"/>
    <w:rsid w:val="00AB1B1D"/>
    <w:rsid w:val="00AB2216"/>
    <w:rsid w:val="00AB358D"/>
    <w:rsid w:val="00AB37A1"/>
    <w:rsid w:val="00AB3BAD"/>
    <w:rsid w:val="00AB3CFD"/>
    <w:rsid w:val="00AB49BC"/>
    <w:rsid w:val="00AB4DEE"/>
    <w:rsid w:val="00AB4E32"/>
    <w:rsid w:val="00AB5BE7"/>
    <w:rsid w:val="00AB5C19"/>
    <w:rsid w:val="00AB724B"/>
    <w:rsid w:val="00AB726C"/>
    <w:rsid w:val="00AB72B4"/>
    <w:rsid w:val="00AB7411"/>
    <w:rsid w:val="00AB7A7A"/>
    <w:rsid w:val="00AC02AA"/>
    <w:rsid w:val="00AC0537"/>
    <w:rsid w:val="00AC0A84"/>
    <w:rsid w:val="00AC1508"/>
    <w:rsid w:val="00AC1600"/>
    <w:rsid w:val="00AC22DC"/>
    <w:rsid w:val="00AC2A0B"/>
    <w:rsid w:val="00AC2BEE"/>
    <w:rsid w:val="00AC2E53"/>
    <w:rsid w:val="00AC3D22"/>
    <w:rsid w:val="00AC46B0"/>
    <w:rsid w:val="00AC484F"/>
    <w:rsid w:val="00AC4B20"/>
    <w:rsid w:val="00AC56F2"/>
    <w:rsid w:val="00AC5897"/>
    <w:rsid w:val="00AC71C3"/>
    <w:rsid w:val="00AC7204"/>
    <w:rsid w:val="00AC7C73"/>
    <w:rsid w:val="00AD09F7"/>
    <w:rsid w:val="00AD0D42"/>
    <w:rsid w:val="00AD186F"/>
    <w:rsid w:val="00AD1EFA"/>
    <w:rsid w:val="00AD2018"/>
    <w:rsid w:val="00AD2072"/>
    <w:rsid w:val="00AD2DBD"/>
    <w:rsid w:val="00AD2FBF"/>
    <w:rsid w:val="00AD340E"/>
    <w:rsid w:val="00AD3B81"/>
    <w:rsid w:val="00AD455D"/>
    <w:rsid w:val="00AD463C"/>
    <w:rsid w:val="00AD4F60"/>
    <w:rsid w:val="00AD5044"/>
    <w:rsid w:val="00AD50ED"/>
    <w:rsid w:val="00AD5114"/>
    <w:rsid w:val="00AD600E"/>
    <w:rsid w:val="00AD6236"/>
    <w:rsid w:val="00AD69D5"/>
    <w:rsid w:val="00AD6ECF"/>
    <w:rsid w:val="00AD7619"/>
    <w:rsid w:val="00AD76A1"/>
    <w:rsid w:val="00AD7770"/>
    <w:rsid w:val="00AE01F3"/>
    <w:rsid w:val="00AE1638"/>
    <w:rsid w:val="00AE1772"/>
    <w:rsid w:val="00AE1990"/>
    <w:rsid w:val="00AE25E8"/>
    <w:rsid w:val="00AE2AD4"/>
    <w:rsid w:val="00AE2CA7"/>
    <w:rsid w:val="00AE2F1D"/>
    <w:rsid w:val="00AE32A0"/>
    <w:rsid w:val="00AE4C81"/>
    <w:rsid w:val="00AE586F"/>
    <w:rsid w:val="00AE6582"/>
    <w:rsid w:val="00AE6DC5"/>
    <w:rsid w:val="00AE7686"/>
    <w:rsid w:val="00AE799A"/>
    <w:rsid w:val="00AE7A7C"/>
    <w:rsid w:val="00AE7CA3"/>
    <w:rsid w:val="00AF0E81"/>
    <w:rsid w:val="00AF117A"/>
    <w:rsid w:val="00AF16CA"/>
    <w:rsid w:val="00AF186E"/>
    <w:rsid w:val="00AF19DF"/>
    <w:rsid w:val="00AF1A1F"/>
    <w:rsid w:val="00AF1D41"/>
    <w:rsid w:val="00AF26CF"/>
    <w:rsid w:val="00AF2EE8"/>
    <w:rsid w:val="00AF3124"/>
    <w:rsid w:val="00AF33E7"/>
    <w:rsid w:val="00AF344D"/>
    <w:rsid w:val="00AF39B3"/>
    <w:rsid w:val="00AF4402"/>
    <w:rsid w:val="00AF4639"/>
    <w:rsid w:val="00AF4E92"/>
    <w:rsid w:val="00AF554B"/>
    <w:rsid w:val="00AF55C5"/>
    <w:rsid w:val="00AF5C9B"/>
    <w:rsid w:val="00AF5D53"/>
    <w:rsid w:val="00AF5E2D"/>
    <w:rsid w:val="00AF644B"/>
    <w:rsid w:val="00AF69C8"/>
    <w:rsid w:val="00AF69EB"/>
    <w:rsid w:val="00AF6CA6"/>
    <w:rsid w:val="00AF6EB6"/>
    <w:rsid w:val="00AF7796"/>
    <w:rsid w:val="00B011A9"/>
    <w:rsid w:val="00B01BAF"/>
    <w:rsid w:val="00B024ED"/>
    <w:rsid w:val="00B0265B"/>
    <w:rsid w:val="00B02668"/>
    <w:rsid w:val="00B026B8"/>
    <w:rsid w:val="00B02CDF"/>
    <w:rsid w:val="00B02EB3"/>
    <w:rsid w:val="00B02FCB"/>
    <w:rsid w:val="00B033F8"/>
    <w:rsid w:val="00B03C1E"/>
    <w:rsid w:val="00B04400"/>
    <w:rsid w:val="00B04835"/>
    <w:rsid w:val="00B04A73"/>
    <w:rsid w:val="00B05A55"/>
    <w:rsid w:val="00B05DE1"/>
    <w:rsid w:val="00B06595"/>
    <w:rsid w:val="00B06862"/>
    <w:rsid w:val="00B06888"/>
    <w:rsid w:val="00B10109"/>
    <w:rsid w:val="00B1023F"/>
    <w:rsid w:val="00B1085E"/>
    <w:rsid w:val="00B10E5B"/>
    <w:rsid w:val="00B10FD1"/>
    <w:rsid w:val="00B112D5"/>
    <w:rsid w:val="00B1130C"/>
    <w:rsid w:val="00B1219D"/>
    <w:rsid w:val="00B123AE"/>
    <w:rsid w:val="00B12735"/>
    <w:rsid w:val="00B12F44"/>
    <w:rsid w:val="00B13C48"/>
    <w:rsid w:val="00B13E35"/>
    <w:rsid w:val="00B13EC0"/>
    <w:rsid w:val="00B14102"/>
    <w:rsid w:val="00B141BD"/>
    <w:rsid w:val="00B14D32"/>
    <w:rsid w:val="00B14E14"/>
    <w:rsid w:val="00B1507C"/>
    <w:rsid w:val="00B1557C"/>
    <w:rsid w:val="00B155DC"/>
    <w:rsid w:val="00B15766"/>
    <w:rsid w:val="00B15E4A"/>
    <w:rsid w:val="00B1666A"/>
    <w:rsid w:val="00B167C8"/>
    <w:rsid w:val="00B1686D"/>
    <w:rsid w:val="00B16BF7"/>
    <w:rsid w:val="00B16EFF"/>
    <w:rsid w:val="00B16FB6"/>
    <w:rsid w:val="00B17129"/>
    <w:rsid w:val="00B1741D"/>
    <w:rsid w:val="00B17447"/>
    <w:rsid w:val="00B1771D"/>
    <w:rsid w:val="00B17B91"/>
    <w:rsid w:val="00B20209"/>
    <w:rsid w:val="00B203C9"/>
    <w:rsid w:val="00B2088D"/>
    <w:rsid w:val="00B208FF"/>
    <w:rsid w:val="00B20A58"/>
    <w:rsid w:val="00B20E8F"/>
    <w:rsid w:val="00B22E22"/>
    <w:rsid w:val="00B22F5F"/>
    <w:rsid w:val="00B232BD"/>
    <w:rsid w:val="00B23353"/>
    <w:rsid w:val="00B23813"/>
    <w:rsid w:val="00B23FD9"/>
    <w:rsid w:val="00B24591"/>
    <w:rsid w:val="00B245D5"/>
    <w:rsid w:val="00B245EF"/>
    <w:rsid w:val="00B24C36"/>
    <w:rsid w:val="00B24F94"/>
    <w:rsid w:val="00B25126"/>
    <w:rsid w:val="00B25A52"/>
    <w:rsid w:val="00B25AED"/>
    <w:rsid w:val="00B25FC3"/>
    <w:rsid w:val="00B2754F"/>
    <w:rsid w:val="00B27875"/>
    <w:rsid w:val="00B3008D"/>
    <w:rsid w:val="00B30199"/>
    <w:rsid w:val="00B307F1"/>
    <w:rsid w:val="00B30884"/>
    <w:rsid w:val="00B30E11"/>
    <w:rsid w:val="00B30E63"/>
    <w:rsid w:val="00B30EAE"/>
    <w:rsid w:val="00B30EEB"/>
    <w:rsid w:val="00B31423"/>
    <w:rsid w:val="00B317AE"/>
    <w:rsid w:val="00B323E0"/>
    <w:rsid w:val="00B32DC0"/>
    <w:rsid w:val="00B33195"/>
    <w:rsid w:val="00B3346C"/>
    <w:rsid w:val="00B335E4"/>
    <w:rsid w:val="00B33A61"/>
    <w:rsid w:val="00B33C23"/>
    <w:rsid w:val="00B33F86"/>
    <w:rsid w:val="00B345B4"/>
    <w:rsid w:val="00B348B1"/>
    <w:rsid w:val="00B34A28"/>
    <w:rsid w:val="00B35046"/>
    <w:rsid w:val="00B35B6A"/>
    <w:rsid w:val="00B35F1B"/>
    <w:rsid w:val="00B360AA"/>
    <w:rsid w:val="00B3694F"/>
    <w:rsid w:val="00B36C99"/>
    <w:rsid w:val="00B36D2B"/>
    <w:rsid w:val="00B37657"/>
    <w:rsid w:val="00B37AFD"/>
    <w:rsid w:val="00B37B07"/>
    <w:rsid w:val="00B4046F"/>
    <w:rsid w:val="00B406B3"/>
    <w:rsid w:val="00B40A36"/>
    <w:rsid w:val="00B40D1D"/>
    <w:rsid w:val="00B41BCA"/>
    <w:rsid w:val="00B41D39"/>
    <w:rsid w:val="00B41D66"/>
    <w:rsid w:val="00B422C0"/>
    <w:rsid w:val="00B426CA"/>
    <w:rsid w:val="00B426E1"/>
    <w:rsid w:val="00B43820"/>
    <w:rsid w:val="00B4387A"/>
    <w:rsid w:val="00B43B25"/>
    <w:rsid w:val="00B44746"/>
    <w:rsid w:val="00B44854"/>
    <w:rsid w:val="00B44BA5"/>
    <w:rsid w:val="00B4554E"/>
    <w:rsid w:val="00B458D0"/>
    <w:rsid w:val="00B46062"/>
    <w:rsid w:val="00B46696"/>
    <w:rsid w:val="00B46D11"/>
    <w:rsid w:val="00B4792C"/>
    <w:rsid w:val="00B500DC"/>
    <w:rsid w:val="00B50CAE"/>
    <w:rsid w:val="00B512AD"/>
    <w:rsid w:val="00B5196C"/>
    <w:rsid w:val="00B525CB"/>
    <w:rsid w:val="00B52697"/>
    <w:rsid w:val="00B54215"/>
    <w:rsid w:val="00B549B3"/>
    <w:rsid w:val="00B54D8F"/>
    <w:rsid w:val="00B55857"/>
    <w:rsid w:val="00B55C69"/>
    <w:rsid w:val="00B56851"/>
    <w:rsid w:val="00B56D6E"/>
    <w:rsid w:val="00B572F7"/>
    <w:rsid w:val="00B57B9D"/>
    <w:rsid w:val="00B57DAF"/>
    <w:rsid w:val="00B60094"/>
    <w:rsid w:val="00B6022C"/>
    <w:rsid w:val="00B6040C"/>
    <w:rsid w:val="00B60AC0"/>
    <w:rsid w:val="00B614F8"/>
    <w:rsid w:val="00B61994"/>
    <w:rsid w:val="00B61FD4"/>
    <w:rsid w:val="00B62880"/>
    <w:rsid w:val="00B62F02"/>
    <w:rsid w:val="00B63872"/>
    <w:rsid w:val="00B63CB2"/>
    <w:rsid w:val="00B6402D"/>
    <w:rsid w:val="00B64246"/>
    <w:rsid w:val="00B64EDB"/>
    <w:rsid w:val="00B65938"/>
    <w:rsid w:val="00B65C8A"/>
    <w:rsid w:val="00B65CE2"/>
    <w:rsid w:val="00B660AD"/>
    <w:rsid w:val="00B66109"/>
    <w:rsid w:val="00B66349"/>
    <w:rsid w:val="00B66606"/>
    <w:rsid w:val="00B6678D"/>
    <w:rsid w:val="00B67FBF"/>
    <w:rsid w:val="00B7068A"/>
    <w:rsid w:val="00B70803"/>
    <w:rsid w:val="00B70832"/>
    <w:rsid w:val="00B70B39"/>
    <w:rsid w:val="00B71376"/>
    <w:rsid w:val="00B716D7"/>
    <w:rsid w:val="00B717E5"/>
    <w:rsid w:val="00B72110"/>
    <w:rsid w:val="00B72217"/>
    <w:rsid w:val="00B72B91"/>
    <w:rsid w:val="00B73019"/>
    <w:rsid w:val="00B7315F"/>
    <w:rsid w:val="00B7323A"/>
    <w:rsid w:val="00B7353B"/>
    <w:rsid w:val="00B735A5"/>
    <w:rsid w:val="00B737FB"/>
    <w:rsid w:val="00B73E5D"/>
    <w:rsid w:val="00B73EF3"/>
    <w:rsid w:val="00B7423D"/>
    <w:rsid w:val="00B743F2"/>
    <w:rsid w:val="00B74CDA"/>
    <w:rsid w:val="00B74D05"/>
    <w:rsid w:val="00B74EF8"/>
    <w:rsid w:val="00B75893"/>
    <w:rsid w:val="00B764C9"/>
    <w:rsid w:val="00B771F4"/>
    <w:rsid w:val="00B7762A"/>
    <w:rsid w:val="00B777FA"/>
    <w:rsid w:val="00B77850"/>
    <w:rsid w:val="00B7796B"/>
    <w:rsid w:val="00B80476"/>
    <w:rsid w:val="00B80C72"/>
    <w:rsid w:val="00B81964"/>
    <w:rsid w:val="00B81E6F"/>
    <w:rsid w:val="00B82123"/>
    <w:rsid w:val="00B821D4"/>
    <w:rsid w:val="00B8225B"/>
    <w:rsid w:val="00B82BB5"/>
    <w:rsid w:val="00B83182"/>
    <w:rsid w:val="00B836BB"/>
    <w:rsid w:val="00B839F0"/>
    <w:rsid w:val="00B850C2"/>
    <w:rsid w:val="00B851E4"/>
    <w:rsid w:val="00B854CE"/>
    <w:rsid w:val="00B85681"/>
    <w:rsid w:val="00B857EB"/>
    <w:rsid w:val="00B858AD"/>
    <w:rsid w:val="00B86162"/>
    <w:rsid w:val="00B86877"/>
    <w:rsid w:val="00B8695D"/>
    <w:rsid w:val="00B86E66"/>
    <w:rsid w:val="00B871B8"/>
    <w:rsid w:val="00B873BA"/>
    <w:rsid w:val="00B8746F"/>
    <w:rsid w:val="00B8760D"/>
    <w:rsid w:val="00B87706"/>
    <w:rsid w:val="00B90A49"/>
    <w:rsid w:val="00B90A73"/>
    <w:rsid w:val="00B91B8E"/>
    <w:rsid w:val="00B91F2B"/>
    <w:rsid w:val="00B920AD"/>
    <w:rsid w:val="00B92531"/>
    <w:rsid w:val="00B92618"/>
    <w:rsid w:val="00B92751"/>
    <w:rsid w:val="00B92B69"/>
    <w:rsid w:val="00B92CC6"/>
    <w:rsid w:val="00B935C9"/>
    <w:rsid w:val="00B93E3D"/>
    <w:rsid w:val="00B95464"/>
    <w:rsid w:val="00B95C30"/>
    <w:rsid w:val="00B95E3D"/>
    <w:rsid w:val="00B95E56"/>
    <w:rsid w:val="00B95ED6"/>
    <w:rsid w:val="00B9691F"/>
    <w:rsid w:val="00B96D9F"/>
    <w:rsid w:val="00B96EEC"/>
    <w:rsid w:val="00B97392"/>
    <w:rsid w:val="00B976C7"/>
    <w:rsid w:val="00B97A73"/>
    <w:rsid w:val="00B97F6C"/>
    <w:rsid w:val="00BA0C54"/>
    <w:rsid w:val="00BA11C4"/>
    <w:rsid w:val="00BA1382"/>
    <w:rsid w:val="00BA15E3"/>
    <w:rsid w:val="00BA18BD"/>
    <w:rsid w:val="00BA1A8C"/>
    <w:rsid w:val="00BA20B6"/>
    <w:rsid w:val="00BA20D8"/>
    <w:rsid w:val="00BA22A1"/>
    <w:rsid w:val="00BA22FC"/>
    <w:rsid w:val="00BA271E"/>
    <w:rsid w:val="00BA2C2A"/>
    <w:rsid w:val="00BA2CF9"/>
    <w:rsid w:val="00BA2F30"/>
    <w:rsid w:val="00BA3982"/>
    <w:rsid w:val="00BA405F"/>
    <w:rsid w:val="00BA4771"/>
    <w:rsid w:val="00BA482B"/>
    <w:rsid w:val="00BA4BDA"/>
    <w:rsid w:val="00BA5027"/>
    <w:rsid w:val="00BA5A74"/>
    <w:rsid w:val="00BA661F"/>
    <w:rsid w:val="00BA665B"/>
    <w:rsid w:val="00BA6FE8"/>
    <w:rsid w:val="00BA732D"/>
    <w:rsid w:val="00BA7370"/>
    <w:rsid w:val="00BA778B"/>
    <w:rsid w:val="00BB07A6"/>
    <w:rsid w:val="00BB0888"/>
    <w:rsid w:val="00BB0DF1"/>
    <w:rsid w:val="00BB0E2F"/>
    <w:rsid w:val="00BB0E9B"/>
    <w:rsid w:val="00BB2841"/>
    <w:rsid w:val="00BB300F"/>
    <w:rsid w:val="00BB32C9"/>
    <w:rsid w:val="00BB35C5"/>
    <w:rsid w:val="00BB4048"/>
    <w:rsid w:val="00BB4C8E"/>
    <w:rsid w:val="00BB57ED"/>
    <w:rsid w:val="00BB5A2D"/>
    <w:rsid w:val="00BB5DB6"/>
    <w:rsid w:val="00BB606C"/>
    <w:rsid w:val="00BB65C3"/>
    <w:rsid w:val="00BB662E"/>
    <w:rsid w:val="00BB67A9"/>
    <w:rsid w:val="00BB6C01"/>
    <w:rsid w:val="00BB7942"/>
    <w:rsid w:val="00BB7CD1"/>
    <w:rsid w:val="00BC0F33"/>
    <w:rsid w:val="00BC14A7"/>
    <w:rsid w:val="00BC158E"/>
    <w:rsid w:val="00BC17CC"/>
    <w:rsid w:val="00BC2898"/>
    <w:rsid w:val="00BC2928"/>
    <w:rsid w:val="00BC29BD"/>
    <w:rsid w:val="00BC2BB1"/>
    <w:rsid w:val="00BC34A3"/>
    <w:rsid w:val="00BC3FF9"/>
    <w:rsid w:val="00BC43CC"/>
    <w:rsid w:val="00BC4834"/>
    <w:rsid w:val="00BC4A97"/>
    <w:rsid w:val="00BC5A25"/>
    <w:rsid w:val="00BC5FDD"/>
    <w:rsid w:val="00BC63A5"/>
    <w:rsid w:val="00BC68B4"/>
    <w:rsid w:val="00BC6CBE"/>
    <w:rsid w:val="00BC7277"/>
    <w:rsid w:val="00BD0140"/>
    <w:rsid w:val="00BD02CC"/>
    <w:rsid w:val="00BD061A"/>
    <w:rsid w:val="00BD088E"/>
    <w:rsid w:val="00BD0F18"/>
    <w:rsid w:val="00BD12C1"/>
    <w:rsid w:val="00BD182E"/>
    <w:rsid w:val="00BD1BAB"/>
    <w:rsid w:val="00BD2063"/>
    <w:rsid w:val="00BD2950"/>
    <w:rsid w:val="00BD337A"/>
    <w:rsid w:val="00BD33D9"/>
    <w:rsid w:val="00BD38C5"/>
    <w:rsid w:val="00BD3AF1"/>
    <w:rsid w:val="00BD3DEA"/>
    <w:rsid w:val="00BD3E97"/>
    <w:rsid w:val="00BD3E9F"/>
    <w:rsid w:val="00BD40E4"/>
    <w:rsid w:val="00BD52FE"/>
    <w:rsid w:val="00BD62CF"/>
    <w:rsid w:val="00BD67B2"/>
    <w:rsid w:val="00BD68E2"/>
    <w:rsid w:val="00BD6D41"/>
    <w:rsid w:val="00BD76E5"/>
    <w:rsid w:val="00BD78FE"/>
    <w:rsid w:val="00BE0149"/>
    <w:rsid w:val="00BE0767"/>
    <w:rsid w:val="00BE07A6"/>
    <w:rsid w:val="00BE0CDF"/>
    <w:rsid w:val="00BE12D7"/>
    <w:rsid w:val="00BE1372"/>
    <w:rsid w:val="00BE1410"/>
    <w:rsid w:val="00BE1432"/>
    <w:rsid w:val="00BE1775"/>
    <w:rsid w:val="00BE18DA"/>
    <w:rsid w:val="00BE26C0"/>
    <w:rsid w:val="00BE3442"/>
    <w:rsid w:val="00BE37CD"/>
    <w:rsid w:val="00BE47B2"/>
    <w:rsid w:val="00BE48C7"/>
    <w:rsid w:val="00BE4A87"/>
    <w:rsid w:val="00BE4F66"/>
    <w:rsid w:val="00BE4FBF"/>
    <w:rsid w:val="00BE50D0"/>
    <w:rsid w:val="00BE5238"/>
    <w:rsid w:val="00BE5742"/>
    <w:rsid w:val="00BE6074"/>
    <w:rsid w:val="00BE6D73"/>
    <w:rsid w:val="00BE7257"/>
    <w:rsid w:val="00BF020D"/>
    <w:rsid w:val="00BF0609"/>
    <w:rsid w:val="00BF0EE8"/>
    <w:rsid w:val="00BF0F4A"/>
    <w:rsid w:val="00BF10ED"/>
    <w:rsid w:val="00BF1DD2"/>
    <w:rsid w:val="00BF23A3"/>
    <w:rsid w:val="00BF2980"/>
    <w:rsid w:val="00BF2A7E"/>
    <w:rsid w:val="00BF3331"/>
    <w:rsid w:val="00BF3A45"/>
    <w:rsid w:val="00BF436F"/>
    <w:rsid w:val="00BF5C05"/>
    <w:rsid w:val="00BF6FC6"/>
    <w:rsid w:val="00BF7A2F"/>
    <w:rsid w:val="00BF7C52"/>
    <w:rsid w:val="00BF7CD1"/>
    <w:rsid w:val="00BF7F99"/>
    <w:rsid w:val="00C00713"/>
    <w:rsid w:val="00C009A0"/>
    <w:rsid w:val="00C01F74"/>
    <w:rsid w:val="00C02558"/>
    <w:rsid w:val="00C0285F"/>
    <w:rsid w:val="00C028F5"/>
    <w:rsid w:val="00C02F35"/>
    <w:rsid w:val="00C03287"/>
    <w:rsid w:val="00C03305"/>
    <w:rsid w:val="00C03515"/>
    <w:rsid w:val="00C03738"/>
    <w:rsid w:val="00C037A6"/>
    <w:rsid w:val="00C043F5"/>
    <w:rsid w:val="00C044E3"/>
    <w:rsid w:val="00C04607"/>
    <w:rsid w:val="00C04BDB"/>
    <w:rsid w:val="00C052C6"/>
    <w:rsid w:val="00C058F0"/>
    <w:rsid w:val="00C05A61"/>
    <w:rsid w:val="00C05FBA"/>
    <w:rsid w:val="00C05FEE"/>
    <w:rsid w:val="00C06CCF"/>
    <w:rsid w:val="00C0794D"/>
    <w:rsid w:val="00C10E78"/>
    <w:rsid w:val="00C10EF1"/>
    <w:rsid w:val="00C1159D"/>
    <w:rsid w:val="00C11B78"/>
    <w:rsid w:val="00C1233E"/>
    <w:rsid w:val="00C12B65"/>
    <w:rsid w:val="00C12FB3"/>
    <w:rsid w:val="00C132D2"/>
    <w:rsid w:val="00C138BC"/>
    <w:rsid w:val="00C13D85"/>
    <w:rsid w:val="00C1427C"/>
    <w:rsid w:val="00C1453D"/>
    <w:rsid w:val="00C145FE"/>
    <w:rsid w:val="00C14639"/>
    <w:rsid w:val="00C14E82"/>
    <w:rsid w:val="00C14F05"/>
    <w:rsid w:val="00C14FF6"/>
    <w:rsid w:val="00C157FE"/>
    <w:rsid w:val="00C15A85"/>
    <w:rsid w:val="00C15BA8"/>
    <w:rsid w:val="00C16030"/>
    <w:rsid w:val="00C1637C"/>
    <w:rsid w:val="00C1641B"/>
    <w:rsid w:val="00C165FC"/>
    <w:rsid w:val="00C176D5"/>
    <w:rsid w:val="00C17830"/>
    <w:rsid w:val="00C17B4C"/>
    <w:rsid w:val="00C17D24"/>
    <w:rsid w:val="00C2082C"/>
    <w:rsid w:val="00C20B85"/>
    <w:rsid w:val="00C20EB0"/>
    <w:rsid w:val="00C21004"/>
    <w:rsid w:val="00C21005"/>
    <w:rsid w:val="00C220B6"/>
    <w:rsid w:val="00C22D7C"/>
    <w:rsid w:val="00C22DDE"/>
    <w:rsid w:val="00C232EB"/>
    <w:rsid w:val="00C2338B"/>
    <w:rsid w:val="00C233CE"/>
    <w:rsid w:val="00C237DD"/>
    <w:rsid w:val="00C238F4"/>
    <w:rsid w:val="00C2393A"/>
    <w:rsid w:val="00C23A99"/>
    <w:rsid w:val="00C23CB9"/>
    <w:rsid w:val="00C245EE"/>
    <w:rsid w:val="00C24850"/>
    <w:rsid w:val="00C24AE1"/>
    <w:rsid w:val="00C24B8D"/>
    <w:rsid w:val="00C24BD7"/>
    <w:rsid w:val="00C24BF1"/>
    <w:rsid w:val="00C24D71"/>
    <w:rsid w:val="00C25813"/>
    <w:rsid w:val="00C27143"/>
    <w:rsid w:val="00C27490"/>
    <w:rsid w:val="00C276B2"/>
    <w:rsid w:val="00C27D37"/>
    <w:rsid w:val="00C309E8"/>
    <w:rsid w:val="00C30DE0"/>
    <w:rsid w:val="00C31271"/>
    <w:rsid w:val="00C315AC"/>
    <w:rsid w:val="00C32017"/>
    <w:rsid w:val="00C32571"/>
    <w:rsid w:val="00C325CD"/>
    <w:rsid w:val="00C3322E"/>
    <w:rsid w:val="00C337F5"/>
    <w:rsid w:val="00C3383E"/>
    <w:rsid w:val="00C33B90"/>
    <w:rsid w:val="00C33C81"/>
    <w:rsid w:val="00C34161"/>
    <w:rsid w:val="00C34B32"/>
    <w:rsid w:val="00C34B5F"/>
    <w:rsid w:val="00C351BD"/>
    <w:rsid w:val="00C358D4"/>
    <w:rsid w:val="00C365C6"/>
    <w:rsid w:val="00C366F4"/>
    <w:rsid w:val="00C36785"/>
    <w:rsid w:val="00C3711C"/>
    <w:rsid w:val="00C371D9"/>
    <w:rsid w:val="00C37256"/>
    <w:rsid w:val="00C378CD"/>
    <w:rsid w:val="00C37A7B"/>
    <w:rsid w:val="00C37DC1"/>
    <w:rsid w:val="00C37FFE"/>
    <w:rsid w:val="00C40B50"/>
    <w:rsid w:val="00C419E3"/>
    <w:rsid w:val="00C419F4"/>
    <w:rsid w:val="00C41E6A"/>
    <w:rsid w:val="00C42247"/>
    <w:rsid w:val="00C428E7"/>
    <w:rsid w:val="00C4318E"/>
    <w:rsid w:val="00C432FB"/>
    <w:rsid w:val="00C438A2"/>
    <w:rsid w:val="00C4394E"/>
    <w:rsid w:val="00C439BE"/>
    <w:rsid w:val="00C4539B"/>
    <w:rsid w:val="00C45466"/>
    <w:rsid w:val="00C45542"/>
    <w:rsid w:val="00C455C1"/>
    <w:rsid w:val="00C4581D"/>
    <w:rsid w:val="00C4635B"/>
    <w:rsid w:val="00C47472"/>
    <w:rsid w:val="00C500F0"/>
    <w:rsid w:val="00C504A7"/>
    <w:rsid w:val="00C506C9"/>
    <w:rsid w:val="00C50A16"/>
    <w:rsid w:val="00C51157"/>
    <w:rsid w:val="00C51274"/>
    <w:rsid w:val="00C51C97"/>
    <w:rsid w:val="00C51C9A"/>
    <w:rsid w:val="00C5220E"/>
    <w:rsid w:val="00C52C68"/>
    <w:rsid w:val="00C52D98"/>
    <w:rsid w:val="00C52DA1"/>
    <w:rsid w:val="00C532DD"/>
    <w:rsid w:val="00C53D24"/>
    <w:rsid w:val="00C53DF3"/>
    <w:rsid w:val="00C54640"/>
    <w:rsid w:val="00C546D1"/>
    <w:rsid w:val="00C547A6"/>
    <w:rsid w:val="00C54A3A"/>
    <w:rsid w:val="00C55340"/>
    <w:rsid w:val="00C55C32"/>
    <w:rsid w:val="00C56A67"/>
    <w:rsid w:val="00C56CC2"/>
    <w:rsid w:val="00C56D8D"/>
    <w:rsid w:val="00C57498"/>
    <w:rsid w:val="00C5763C"/>
    <w:rsid w:val="00C5780C"/>
    <w:rsid w:val="00C5796B"/>
    <w:rsid w:val="00C57C64"/>
    <w:rsid w:val="00C60CE0"/>
    <w:rsid w:val="00C612C4"/>
    <w:rsid w:val="00C619A1"/>
    <w:rsid w:val="00C6212A"/>
    <w:rsid w:val="00C62370"/>
    <w:rsid w:val="00C6249B"/>
    <w:rsid w:val="00C62A26"/>
    <w:rsid w:val="00C62BBB"/>
    <w:rsid w:val="00C6305F"/>
    <w:rsid w:val="00C6325B"/>
    <w:rsid w:val="00C63DDD"/>
    <w:rsid w:val="00C63E99"/>
    <w:rsid w:val="00C649B8"/>
    <w:rsid w:val="00C64A64"/>
    <w:rsid w:val="00C64E90"/>
    <w:rsid w:val="00C65151"/>
    <w:rsid w:val="00C657F4"/>
    <w:rsid w:val="00C6598D"/>
    <w:rsid w:val="00C660FE"/>
    <w:rsid w:val="00C66119"/>
    <w:rsid w:val="00C66292"/>
    <w:rsid w:val="00C66B7D"/>
    <w:rsid w:val="00C67265"/>
    <w:rsid w:val="00C672A3"/>
    <w:rsid w:val="00C672F1"/>
    <w:rsid w:val="00C673D0"/>
    <w:rsid w:val="00C6742E"/>
    <w:rsid w:val="00C67B0B"/>
    <w:rsid w:val="00C67C0E"/>
    <w:rsid w:val="00C70012"/>
    <w:rsid w:val="00C70E97"/>
    <w:rsid w:val="00C7141C"/>
    <w:rsid w:val="00C71744"/>
    <w:rsid w:val="00C71E2A"/>
    <w:rsid w:val="00C733BA"/>
    <w:rsid w:val="00C73897"/>
    <w:rsid w:val="00C74306"/>
    <w:rsid w:val="00C760DC"/>
    <w:rsid w:val="00C8082B"/>
    <w:rsid w:val="00C80AA3"/>
    <w:rsid w:val="00C81A88"/>
    <w:rsid w:val="00C81BD5"/>
    <w:rsid w:val="00C81D46"/>
    <w:rsid w:val="00C82298"/>
    <w:rsid w:val="00C8331F"/>
    <w:rsid w:val="00C833B4"/>
    <w:rsid w:val="00C83C3E"/>
    <w:rsid w:val="00C84284"/>
    <w:rsid w:val="00C84887"/>
    <w:rsid w:val="00C84C26"/>
    <w:rsid w:val="00C84E33"/>
    <w:rsid w:val="00C856A1"/>
    <w:rsid w:val="00C85FFC"/>
    <w:rsid w:val="00C861FC"/>
    <w:rsid w:val="00C86C87"/>
    <w:rsid w:val="00C9005E"/>
    <w:rsid w:val="00C90111"/>
    <w:rsid w:val="00C9038E"/>
    <w:rsid w:val="00C9077B"/>
    <w:rsid w:val="00C90CA9"/>
    <w:rsid w:val="00C90F88"/>
    <w:rsid w:val="00C9118F"/>
    <w:rsid w:val="00C915F2"/>
    <w:rsid w:val="00C917B1"/>
    <w:rsid w:val="00C9193C"/>
    <w:rsid w:val="00C91B77"/>
    <w:rsid w:val="00C920E2"/>
    <w:rsid w:val="00C92755"/>
    <w:rsid w:val="00C9370F"/>
    <w:rsid w:val="00C93765"/>
    <w:rsid w:val="00C93877"/>
    <w:rsid w:val="00C93D8C"/>
    <w:rsid w:val="00C93E07"/>
    <w:rsid w:val="00C946CC"/>
    <w:rsid w:val="00C959BD"/>
    <w:rsid w:val="00C95DFE"/>
    <w:rsid w:val="00C95F44"/>
    <w:rsid w:val="00C96D1B"/>
    <w:rsid w:val="00C96D36"/>
    <w:rsid w:val="00C97106"/>
    <w:rsid w:val="00C978D4"/>
    <w:rsid w:val="00CA0031"/>
    <w:rsid w:val="00CA0413"/>
    <w:rsid w:val="00CA043A"/>
    <w:rsid w:val="00CA084B"/>
    <w:rsid w:val="00CA0989"/>
    <w:rsid w:val="00CA0BE2"/>
    <w:rsid w:val="00CA0E51"/>
    <w:rsid w:val="00CA1691"/>
    <w:rsid w:val="00CA22BA"/>
    <w:rsid w:val="00CA41E7"/>
    <w:rsid w:val="00CA4A99"/>
    <w:rsid w:val="00CA4AD7"/>
    <w:rsid w:val="00CA4D7D"/>
    <w:rsid w:val="00CA5520"/>
    <w:rsid w:val="00CA5812"/>
    <w:rsid w:val="00CA5BD4"/>
    <w:rsid w:val="00CA5C14"/>
    <w:rsid w:val="00CA5CF3"/>
    <w:rsid w:val="00CA75EF"/>
    <w:rsid w:val="00CA76FC"/>
    <w:rsid w:val="00CA7E7B"/>
    <w:rsid w:val="00CB0236"/>
    <w:rsid w:val="00CB1881"/>
    <w:rsid w:val="00CB1969"/>
    <w:rsid w:val="00CB19E3"/>
    <w:rsid w:val="00CB28CA"/>
    <w:rsid w:val="00CB2C3A"/>
    <w:rsid w:val="00CB2D38"/>
    <w:rsid w:val="00CB31B4"/>
    <w:rsid w:val="00CB3721"/>
    <w:rsid w:val="00CB3725"/>
    <w:rsid w:val="00CB4137"/>
    <w:rsid w:val="00CB50D0"/>
    <w:rsid w:val="00CB52D0"/>
    <w:rsid w:val="00CB5578"/>
    <w:rsid w:val="00CB5671"/>
    <w:rsid w:val="00CB56EB"/>
    <w:rsid w:val="00CB591C"/>
    <w:rsid w:val="00CB5943"/>
    <w:rsid w:val="00CB5FE7"/>
    <w:rsid w:val="00CB61B3"/>
    <w:rsid w:val="00CB6F83"/>
    <w:rsid w:val="00CB72AE"/>
    <w:rsid w:val="00CC00CD"/>
    <w:rsid w:val="00CC0579"/>
    <w:rsid w:val="00CC09B4"/>
    <w:rsid w:val="00CC0AF3"/>
    <w:rsid w:val="00CC0BC6"/>
    <w:rsid w:val="00CC0E68"/>
    <w:rsid w:val="00CC1409"/>
    <w:rsid w:val="00CC1780"/>
    <w:rsid w:val="00CC194E"/>
    <w:rsid w:val="00CC21AC"/>
    <w:rsid w:val="00CC232E"/>
    <w:rsid w:val="00CC2514"/>
    <w:rsid w:val="00CC2C5B"/>
    <w:rsid w:val="00CC2D34"/>
    <w:rsid w:val="00CC2F69"/>
    <w:rsid w:val="00CC315F"/>
    <w:rsid w:val="00CC373A"/>
    <w:rsid w:val="00CC3D38"/>
    <w:rsid w:val="00CC40C3"/>
    <w:rsid w:val="00CC4751"/>
    <w:rsid w:val="00CC4C5F"/>
    <w:rsid w:val="00CC4CB4"/>
    <w:rsid w:val="00CC4E5D"/>
    <w:rsid w:val="00CC50AE"/>
    <w:rsid w:val="00CC5444"/>
    <w:rsid w:val="00CC5E38"/>
    <w:rsid w:val="00CC5FFE"/>
    <w:rsid w:val="00CC61B7"/>
    <w:rsid w:val="00CC61CA"/>
    <w:rsid w:val="00CC69EC"/>
    <w:rsid w:val="00CC6A96"/>
    <w:rsid w:val="00CC71D3"/>
    <w:rsid w:val="00CC743D"/>
    <w:rsid w:val="00CC7601"/>
    <w:rsid w:val="00CD02ED"/>
    <w:rsid w:val="00CD050A"/>
    <w:rsid w:val="00CD0C1D"/>
    <w:rsid w:val="00CD0E85"/>
    <w:rsid w:val="00CD1017"/>
    <w:rsid w:val="00CD19EA"/>
    <w:rsid w:val="00CD205D"/>
    <w:rsid w:val="00CD2A22"/>
    <w:rsid w:val="00CD2B50"/>
    <w:rsid w:val="00CD3172"/>
    <w:rsid w:val="00CD3A6D"/>
    <w:rsid w:val="00CD4506"/>
    <w:rsid w:val="00CD4B40"/>
    <w:rsid w:val="00CD520B"/>
    <w:rsid w:val="00CD54B4"/>
    <w:rsid w:val="00CD5663"/>
    <w:rsid w:val="00CD592E"/>
    <w:rsid w:val="00CD5982"/>
    <w:rsid w:val="00CD5A1A"/>
    <w:rsid w:val="00CD5E4D"/>
    <w:rsid w:val="00CD6438"/>
    <w:rsid w:val="00CD65FA"/>
    <w:rsid w:val="00CD6A5D"/>
    <w:rsid w:val="00CD73C6"/>
    <w:rsid w:val="00CD7DC7"/>
    <w:rsid w:val="00CD7EFA"/>
    <w:rsid w:val="00CE020E"/>
    <w:rsid w:val="00CE0566"/>
    <w:rsid w:val="00CE1CD4"/>
    <w:rsid w:val="00CE2761"/>
    <w:rsid w:val="00CE28FC"/>
    <w:rsid w:val="00CE314E"/>
    <w:rsid w:val="00CE3A85"/>
    <w:rsid w:val="00CE3B81"/>
    <w:rsid w:val="00CE3D5C"/>
    <w:rsid w:val="00CE3E09"/>
    <w:rsid w:val="00CE3E14"/>
    <w:rsid w:val="00CE3F2A"/>
    <w:rsid w:val="00CE44C7"/>
    <w:rsid w:val="00CE44D5"/>
    <w:rsid w:val="00CE53CC"/>
    <w:rsid w:val="00CE5F60"/>
    <w:rsid w:val="00CE65A7"/>
    <w:rsid w:val="00CE68FE"/>
    <w:rsid w:val="00CE69CC"/>
    <w:rsid w:val="00CE6EC4"/>
    <w:rsid w:val="00CE74EC"/>
    <w:rsid w:val="00CE7F26"/>
    <w:rsid w:val="00CE7F71"/>
    <w:rsid w:val="00CF0B48"/>
    <w:rsid w:val="00CF1226"/>
    <w:rsid w:val="00CF1263"/>
    <w:rsid w:val="00CF1ABB"/>
    <w:rsid w:val="00CF1E1D"/>
    <w:rsid w:val="00CF24FE"/>
    <w:rsid w:val="00CF25D7"/>
    <w:rsid w:val="00CF287F"/>
    <w:rsid w:val="00CF35D0"/>
    <w:rsid w:val="00CF3B57"/>
    <w:rsid w:val="00CF3DD5"/>
    <w:rsid w:val="00CF3F14"/>
    <w:rsid w:val="00CF3F3F"/>
    <w:rsid w:val="00CF436F"/>
    <w:rsid w:val="00CF4AF7"/>
    <w:rsid w:val="00CF4D0E"/>
    <w:rsid w:val="00CF4D20"/>
    <w:rsid w:val="00CF5E78"/>
    <w:rsid w:val="00CF73F8"/>
    <w:rsid w:val="00CF7928"/>
    <w:rsid w:val="00CF7CA2"/>
    <w:rsid w:val="00D00911"/>
    <w:rsid w:val="00D00A8E"/>
    <w:rsid w:val="00D00DE0"/>
    <w:rsid w:val="00D00F79"/>
    <w:rsid w:val="00D012BF"/>
    <w:rsid w:val="00D01760"/>
    <w:rsid w:val="00D034D1"/>
    <w:rsid w:val="00D0368E"/>
    <w:rsid w:val="00D03AC3"/>
    <w:rsid w:val="00D03D2D"/>
    <w:rsid w:val="00D03E7B"/>
    <w:rsid w:val="00D03E9B"/>
    <w:rsid w:val="00D0401A"/>
    <w:rsid w:val="00D047E0"/>
    <w:rsid w:val="00D04B9F"/>
    <w:rsid w:val="00D04D43"/>
    <w:rsid w:val="00D04FFB"/>
    <w:rsid w:val="00D055FE"/>
    <w:rsid w:val="00D058E9"/>
    <w:rsid w:val="00D0612A"/>
    <w:rsid w:val="00D1060D"/>
    <w:rsid w:val="00D108CD"/>
    <w:rsid w:val="00D10D14"/>
    <w:rsid w:val="00D10E7C"/>
    <w:rsid w:val="00D11182"/>
    <w:rsid w:val="00D1137B"/>
    <w:rsid w:val="00D11807"/>
    <w:rsid w:val="00D11DB3"/>
    <w:rsid w:val="00D12D82"/>
    <w:rsid w:val="00D12F77"/>
    <w:rsid w:val="00D12F79"/>
    <w:rsid w:val="00D1306E"/>
    <w:rsid w:val="00D130B7"/>
    <w:rsid w:val="00D134CD"/>
    <w:rsid w:val="00D14B5F"/>
    <w:rsid w:val="00D14E13"/>
    <w:rsid w:val="00D14F23"/>
    <w:rsid w:val="00D160F6"/>
    <w:rsid w:val="00D16740"/>
    <w:rsid w:val="00D16A8B"/>
    <w:rsid w:val="00D16B96"/>
    <w:rsid w:val="00D16E39"/>
    <w:rsid w:val="00D171DE"/>
    <w:rsid w:val="00D172A4"/>
    <w:rsid w:val="00D17951"/>
    <w:rsid w:val="00D17AD8"/>
    <w:rsid w:val="00D20FDE"/>
    <w:rsid w:val="00D2104A"/>
    <w:rsid w:val="00D21BB5"/>
    <w:rsid w:val="00D21C8C"/>
    <w:rsid w:val="00D21FFC"/>
    <w:rsid w:val="00D223B6"/>
    <w:rsid w:val="00D223E8"/>
    <w:rsid w:val="00D224E1"/>
    <w:rsid w:val="00D22DC8"/>
    <w:rsid w:val="00D22F18"/>
    <w:rsid w:val="00D2437C"/>
    <w:rsid w:val="00D2477B"/>
    <w:rsid w:val="00D2522A"/>
    <w:rsid w:val="00D2531C"/>
    <w:rsid w:val="00D25428"/>
    <w:rsid w:val="00D2553E"/>
    <w:rsid w:val="00D2742F"/>
    <w:rsid w:val="00D2754F"/>
    <w:rsid w:val="00D277C5"/>
    <w:rsid w:val="00D279D9"/>
    <w:rsid w:val="00D301F8"/>
    <w:rsid w:val="00D31011"/>
    <w:rsid w:val="00D312DC"/>
    <w:rsid w:val="00D31AA2"/>
    <w:rsid w:val="00D31B84"/>
    <w:rsid w:val="00D31C6A"/>
    <w:rsid w:val="00D31C81"/>
    <w:rsid w:val="00D31EDF"/>
    <w:rsid w:val="00D31F39"/>
    <w:rsid w:val="00D31FF9"/>
    <w:rsid w:val="00D32149"/>
    <w:rsid w:val="00D32256"/>
    <w:rsid w:val="00D325D2"/>
    <w:rsid w:val="00D32A27"/>
    <w:rsid w:val="00D32ABC"/>
    <w:rsid w:val="00D33100"/>
    <w:rsid w:val="00D33178"/>
    <w:rsid w:val="00D33772"/>
    <w:rsid w:val="00D33FA4"/>
    <w:rsid w:val="00D34B25"/>
    <w:rsid w:val="00D34C7F"/>
    <w:rsid w:val="00D34F4E"/>
    <w:rsid w:val="00D357F3"/>
    <w:rsid w:val="00D35A63"/>
    <w:rsid w:val="00D35C0E"/>
    <w:rsid w:val="00D36FBF"/>
    <w:rsid w:val="00D373A8"/>
    <w:rsid w:val="00D379A5"/>
    <w:rsid w:val="00D37BB3"/>
    <w:rsid w:val="00D401BE"/>
    <w:rsid w:val="00D40362"/>
    <w:rsid w:val="00D4043A"/>
    <w:rsid w:val="00D4073C"/>
    <w:rsid w:val="00D40DB0"/>
    <w:rsid w:val="00D41093"/>
    <w:rsid w:val="00D41858"/>
    <w:rsid w:val="00D41DB1"/>
    <w:rsid w:val="00D422DB"/>
    <w:rsid w:val="00D42AC2"/>
    <w:rsid w:val="00D4498E"/>
    <w:rsid w:val="00D4515F"/>
    <w:rsid w:val="00D451E8"/>
    <w:rsid w:val="00D45230"/>
    <w:rsid w:val="00D454F2"/>
    <w:rsid w:val="00D466C9"/>
    <w:rsid w:val="00D46A4F"/>
    <w:rsid w:val="00D47275"/>
    <w:rsid w:val="00D47B46"/>
    <w:rsid w:val="00D508EC"/>
    <w:rsid w:val="00D5160B"/>
    <w:rsid w:val="00D517F6"/>
    <w:rsid w:val="00D51AB7"/>
    <w:rsid w:val="00D51E15"/>
    <w:rsid w:val="00D5211B"/>
    <w:rsid w:val="00D522CB"/>
    <w:rsid w:val="00D52B7E"/>
    <w:rsid w:val="00D52E2F"/>
    <w:rsid w:val="00D52F10"/>
    <w:rsid w:val="00D52F59"/>
    <w:rsid w:val="00D53445"/>
    <w:rsid w:val="00D53670"/>
    <w:rsid w:val="00D53D54"/>
    <w:rsid w:val="00D53E3E"/>
    <w:rsid w:val="00D54620"/>
    <w:rsid w:val="00D54A86"/>
    <w:rsid w:val="00D55715"/>
    <w:rsid w:val="00D55904"/>
    <w:rsid w:val="00D5614E"/>
    <w:rsid w:val="00D5616F"/>
    <w:rsid w:val="00D5636D"/>
    <w:rsid w:val="00D56C96"/>
    <w:rsid w:val="00D57940"/>
    <w:rsid w:val="00D57E0A"/>
    <w:rsid w:val="00D60327"/>
    <w:rsid w:val="00D61384"/>
    <w:rsid w:val="00D61526"/>
    <w:rsid w:val="00D61B44"/>
    <w:rsid w:val="00D61C39"/>
    <w:rsid w:val="00D61F81"/>
    <w:rsid w:val="00D6200A"/>
    <w:rsid w:val="00D620A6"/>
    <w:rsid w:val="00D62BE6"/>
    <w:rsid w:val="00D62FB3"/>
    <w:rsid w:val="00D63766"/>
    <w:rsid w:val="00D63912"/>
    <w:rsid w:val="00D63923"/>
    <w:rsid w:val="00D63A05"/>
    <w:rsid w:val="00D6451B"/>
    <w:rsid w:val="00D64B57"/>
    <w:rsid w:val="00D64E46"/>
    <w:rsid w:val="00D651A1"/>
    <w:rsid w:val="00D652C0"/>
    <w:rsid w:val="00D65DEA"/>
    <w:rsid w:val="00D6650F"/>
    <w:rsid w:val="00D66579"/>
    <w:rsid w:val="00D676D3"/>
    <w:rsid w:val="00D67B06"/>
    <w:rsid w:val="00D67BC7"/>
    <w:rsid w:val="00D67EC4"/>
    <w:rsid w:val="00D701F1"/>
    <w:rsid w:val="00D705D3"/>
    <w:rsid w:val="00D70E00"/>
    <w:rsid w:val="00D70F7C"/>
    <w:rsid w:val="00D715AC"/>
    <w:rsid w:val="00D71851"/>
    <w:rsid w:val="00D718CF"/>
    <w:rsid w:val="00D720DD"/>
    <w:rsid w:val="00D728F5"/>
    <w:rsid w:val="00D72E9D"/>
    <w:rsid w:val="00D73249"/>
    <w:rsid w:val="00D7329A"/>
    <w:rsid w:val="00D73419"/>
    <w:rsid w:val="00D73881"/>
    <w:rsid w:val="00D73CA9"/>
    <w:rsid w:val="00D74296"/>
    <w:rsid w:val="00D751B7"/>
    <w:rsid w:val="00D7524B"/>
    <w:rsid w:val="00D75396"/>
    <w:rsid w:val="00D759C0"/>
    <w:rsid w:val="00D75E99"/>
    <w:rsid w:val="00D76353"/>
    <w:rsid w:val="00D765CE"/>
    <w:rsid w:val="00D766C7"/>
    <w:rsid w:val="00D7692B"/>
    <w:rsid w:val="00D7734F"/>
    <w:rsid w:val="00D7791D"/>
    <w:rsid w:val="00D8039E"/>
    <w:rsid w:val="00D8044C"/>
    <w:rsid w:val="00D805D6"/>
    <w:rsid w:val="00D8075E"/>
    <w:rsid w:val="00D80860"/>
    <w:rsid w:val="00D80D4C"/>
    <w:rsid w:val="00D8184D"/>
    <w:rsid w:val="00D81A7B"/>
    <w:rsid w:val="00D81D11"/>
    <w:rsid w:val="00D81F22"/>
    <w:rsid w:val="00D8223C"/>
    <w:rsid w:val="00D82B57"/>
    <w:rsid w:val="00D82CE5"/>
    <w:rsid w:val="00D831E3"/>
    <w:rsid w:val="00D8342C"/>
    <w:rsid w:val="00D834BC"/>
    <w:rsid w:val="00D83751"/>
    <w:rsid w:val="00D84921"/>
    <w:rsid w:val="00D84983"/>
    <w:rsid w:val="00D84C00"/>
    <w:rsid w:val="00D85494"/>
    <w:rsid w:val="00D8582C"/>
    <w:rsid w:val="00D85D61"/>
    <w:rsid w:val="00D8616D"/>
    <w:rsid w:val="00D8711B"/>
    <w:rsid w:val="00D87384"/>
    <w:rsid w:val="00D8771B"/>
    <w:rsid w:val="00D87D48"/>
    <w:rsid w:val="00D90683"/>
    <w:rsid w:val="00D90B2A"/>
    <w:rsid w:val="00D911B3"/>
    <w:rsid w:val="00D91483"/>
    <w:rsid w:val="00D915C8"/>
    <w:rsid w:val="00D9234D"/>
    <w:rsid w:val="00D92B91"/>
    <w:rsid w:val="00D9310B"/>
    <w:rsid w:val="00D931B2"/>
    <w:rsid w:val="00D931F3"/>
    <w:rsid w:val="00D93726"/>
    <w:rsid w:val="00D93F3E"/>
    <w:rsid w:val="00D9405B"/>
    <w:rsid w:val="00D94942"/>
    <w:rsid w:val="00D95145"/>
    <w:rsid w:val="00D953AF"/>
    <w:rsid w:val="00D96594"/>
    <w:rsid w:val="00D967CB"/>
    <w:rsid w:val="00D968D4"/>
    <w:rsid w:val="00D96DEE"/>
    <w:rsid w:val="00D96EE0"/>
    <w:rsid w:val="00D9771D"/>
    <w:rsid w:val="00D97BD1"/>
    <w:rsid w:val="00DA00C3"/>
    <w:rsid w:val="00DA01E9"/>
    <w:rsid w:val="00DA06B8"/>
    <w:rsid w:val="00DA0E8A"/>
    <w:rsid w:val="00DA14A9"/>
    <w:rsid w:val="00DA286D"/>
    <w:rsid w:val="00DA2969"/>
    <w:rsid w:val="00DA29B7"/>
    <w:rsid w:val="00DA2E5F"/>
    <w:rsid w:val="00DA337C"/>
    <w:rsid w:val="00DA3C2F"/>
    <w:rsid w:val="00DA4187"/>
    <w:rsid w:val="00DA4842"/>
    <w:rsid w:val="00DA4C97"/>
    <w:rsid w:val="00DA530A"/>
    <w:rsid w:val="00DA5989"/>
    <w:rsid w:val="00DA5AB1"/>
    <w:rsid w:val="00DA5F9D"/>
    <w:rsid w:val="00DA69B2"/>
    <w:rsid w:val="00DA7462"/>
    <w:rsid w:val="00DA7AD0"/>
    <w:rsid w:val="00DA7C99"/>
    <w:rsid w:val="00DB02D7"/>
    <w:rsid w:val="00DB03CC"/>
    <w:rsid w:val="00DB12D4"/>
    <w:rsid w:val="00DB14F0"/>
    <w:rsid w:val="00DB1745"/>
    <w:rsid w:val="00DB19BB"/>
    <w:rsid w:val="00DB1AFF"/>
    <w:rsid w:val="00DB219A"/>
    <w:rsid w:val="00DB3009"/>
    <w:rsid w:val="00DB3165"/>
    <w:rsid w:val="00DB330D"/>
    <w:rsid w:val="00DB3909"/>
    <w:rsid w:val="00DB4292"/>
    <w:rsid w:val="00DB5023"/>
    <w:rsid w:val="00DB6895"/>
    <w:rsid w:val="00DB6E46"/>
    <w:rsid w:val="00DB7117"/>
    <w:rsid w:val="00DB7760"/>
    <w:rsid w:val="00DB7D33"/>
    <w:rsid w:val="00DB7DD4"/>
    <w:rsid w:val="00DC00B4"/>
    <w:rsid w:val="00DC0585"/>
    <w:rsid w:val="00DC05FD"/>
    <w:rsid w:val="00DC0954"/>
    <w:rsid w:val="00DC0DF8"/>
    <w:rsid w:val="00DC15BA"/>
    <w:rsid w:val="00DC18CD"/>
    <w:rsid w:val="00DC1A68"/>
    <w:rsid w:val="00DC30B8"/>
    <w:rsid w:val="00DC32B1"/>
    <w:rsid w:val="00DC4267"/>
    <w:rsid w:val="00DC478F"/>
    <w:rsid w:val="00DC62E5"/>
    <w:rsid w:val="00DC6D70"/>
    <w:rsid w:val="00DC6F33"/>
    <w:rsid w:val="00DC7349"/>
    <w:rsid w:val="00DD0EA9"/>
    <w:rsid w:val="00DD14D8"/>
    <w:rsid w:val="00DD1599"/>
    <w:rsid w:val="00DD16F1"/>
    <w:rsid w:val="00DD1B03"/>
    <w:rsid w:val="00DD1E43"/>
    <w:rsid w:val="00DD2A62"/>
    <w:rsid w:val="00DD2CEF"/>
    <w:rsid w:val="00DD2F2F"/>
    <w:rsid w:val="00DD2F7A"/>
    <w:rsid w:val="00DD31EF"/>
    <w:rsid w:val="00DD3885"/>
    <w:rsid w:val="00DD5808"/>
    <w:rsid w:val="00DD5946"/>
    <w:rsid w:val="00DD5B04"/>
    <w:rsid w:val="00DD5DAE"/>
    <w:rsid w:val="00DD5EC6"/>
    <w:rsid w:val="00DD605F"/>
    <w:rsid w:val="00DD6C99"/>
    <w:rsid w:val="00DD7024"/>
    <w:rsid w:val="00DD72A0"/>
    <w:rsid w:val="00DD735D"/>
    <w:rsid w:val="00DD7F7D"/>
    <w:rsid w:val="00DE0159"/>
    <w:rsid w:val="00DE064A"/>
    <w:rsid w:val="00DE082D"/>
    <w:rsid w:val="00DE0D15"/>
    <w:rsid w:val="00DE1410"/>
    <w:rsid w:val="00DE1926"/>
    <w:rsid w:val="00DE1E0F"/>
    <w:rsid w:val="00DE20C6"/>
    <w:rsid w:val="00DE2AE4"/>
    <w:rsid w:val="00DE3119"/>
    <w:rsid w:val="00DE3E0B"/>
    <w:rsid w:val="00DE3FF0"/>
    <w:rsid w:val="00DE4105"/>
    <w:rsid w:val="00DE4BE9"/>
    <w:rsid w:val="00DE5189"/>
    <w:rsid w:val="00DE6D5C"/>
    <w:rsid w:val="00DE7108"/>
    <w:rsid w:val="00DE771D"/>
    <w:rsid w:val="00DE78D1"/>
    <w:rsid w:val="00DE78FF"/>
    <w:rsid w:val="00DF00C7"/>
    <w:rsid w:val="00DF0263"/>
    <w:rsid w:val="00DF0330"/>
    <w:rsid w:val="00DF098F"/>
    <w:rsid w:val="00DF0EB4"/>
    <w:rsid w:val="00DF12ED"/>
    <w:rsid w:val="00DF146A"/>
    <w:rsid w:val="00DF158B"/>
    <w:rsid w:val="00DF193C"/>
    <w:rsid w:val="00DF1E36"/>
    <w:rsid w:val="00DF1E80"/>
    <w:rsid w:val="00DF21E3"/>
    <w:rsid w:val="00DF236B"/>
    <w:rsid w:val="00DF2693"/>
    <w:rsid w:val="00DF2A91"/>
    <w:rsid w:val="00DF3889"/>
    <w:rsid w:val="00DF3CC9"/>
    <w:rsid w:val="00DF4451"/>
    <w:rsid w:val="00DF4686"/>
    <w:rsid w:val="00DF49FF"/>
    <w:rsid w:val="00DF4FFB"/>
    <w:rsid w:val="00DF5236"/>
    <w:rsid w:val="00DF5764"/>
    <w:rsid w:val="00DF651F"/>
    <w:rsid w:val="00DF68E5"/>
    <w:rsid w:val="00DF6CC1"/>
    <w:rsid w:val="00DF6F43"/>
    <w:rsid w:val="00DF71EA"/>
    <w:rsid w:val="00DF752F"/>
    <w:rsid w:val="00DF76A2"/>
    <w:rsid w:val="00E00B7A"/>
    <w:rsid w:val="00E01CB0"/>
    <w:rsid w:val="00E02186"/>
    <w:rsid w:val="00E025C2"/>
    <w:rsid w:val="00E026BB"/>
    <w:rsid w:val="00E027C5"/>
    <w:rsid w:val="00E03124"/>
    <w:rsid w:val="00E031C3"/>
    <w:rsid w:val="00E036D1"/>
    <w:rsid w:val="00E03951"/>
    <w:rsid w:val="00E03DB8"/>
    <w:rsid w:val="00E03F17"/>
    <w:rsid w:val="00E0420C"/>
    <w:rsid w:val="00E047D5"/>
    <w:rsid w:val="00E04EDD"/>
    <w:rsid w:val="00E05AA3"/>
    <w:rsid w:val="00E05E70"/>
    <w:rsid w:val="00E064BC"/>
    <w:rsid w:val="00E07225"/>
    <w:rsid w:val="00E076B4"/>
    <w:rsid w:val="00E07B55"/>
    <w:rsid w:val="00E10579"/>
    <w:rsid w:val="00E109DD"/>
    <w:rsid w:val="00E11229"/>
    <w:rsid w:val="00E114CA"/>
    <w:rsid w:val="00E127D1"/>
    <w:rsid w:val="00E13867"/>
    <w:rsid w:val="00E1397F"/>
    <w:rsid w:val="00E13AB8"/>
    <w:rsid w:val="00E1482E"/>
    <w:rsid w:val="00E14CBE"/>
    <w:rsid w:val="00E14FD0"/>
    <w:rsid w:val="00E162D7"/>
    <w:rsid w:val="00E16382"/>
    <w:rsid w:val="00E1699C"/>
    <w:rsid w:val="00E16E75"/>
    <w:rsid w:val="00E1746D"/>
    <w:rsid w:val="00E174E8"/>
    <w:rsid w:val="00E2012A"/>
    <w:rsid w:val="00E20270"/>
    <w:rsid w:val="00E205A2"/>
    <w:rsid w:val="00E205DC"/>
    <w:rsid w:val="00E20BA4"/>
    <w:rsid w:val="00E210D0"/>
    <w:rsid w:val="00E21575"/>
    <w:rsid w:val="00E23137"/>
    <w:rsid w:val="00E23980"/>
    <w:rsid w:val="00E241E9"/>
    <w:rsid w:val="00E257C3"/>
    <w:rsid w:val="00E25A2C"/>
    <w:rsid w:val="00E25CB3"/>
    <w:rsid w:val="00E25DA4"/>
    <w:rsid w:val="00E26237"/>
    <w:rsid w:val="00E26446"/>
    <w:rsid w:val="00E26CB8"/>
    <w:rsid w:val="00E26D16"/>
    <w:rsid w:val="00E26FCF"/>
    <w:rsid w:val="00E27165"/>
    <w:rsid w:val="00E275D9"/>
    <w:rsid w:val="00E27874"/>
    <w:rsid w:val="00E3044A"/>
    <w:rsid w:val="00E30E49"/>
    <w:rsid w:val="00E31A4A"/>
    <w:rsid w:val="00E32B61"/>
    <w:rsid w:val="00E3344A"/>
    <w:rsid w:val="00E33B29"/>
    <w:rsid w:val="00E33B62"/>
    <w:rsid w:val="00E33F67"/>
    <w:rsid w:val="00E3403D"/>
    <w:rsid w:val="00E344BD"/>
    <w:rsid w:val="00E34E6C"/>
    <w:rsid w:val="00E353E2"/>
    <w:rsid w:val="00E3569F"/>
    <w:rsid w:val="00E36345"/>
    <w:rsid w:val="00E36C86"/>
    <w:rsid w:val="00E36CEB"/>
    <w:rsid w:val="00E37A28"/>
    <w:rsid w:val="00E40430"/>
    <w:rsid w:val="00E40690"/>
    <w:rsid w:val="00E40AEB"/>
    <w:rsid w:val="00E40E82"/>
    <w:rsid w:val="00E41141"/>
    <w:rsid w:val="00E4143A"/>
    <w:rsid w:val="00E4159B"/>
    <w:rsid w:val="00E4186F"/>
    <w:rsid w:val="00E41AF1"/>
    <w:rsid w:val="00E424C8"/>
    <w:rsid w:val="00E4251D"/>
    <w:rsid w:val="00E43D00"/>
    <w:rsid w:val="00E443B4"/>
    <w:rsid w:val="00E445E4"/>
    <w:rsid w:val="00E44B3F"/>
    <w:rsid w:val="00E457CB"/>
    <w:rsid w:val="00E45D47"/>
    <w:rsid w:val="00E45DE4"/>
    <w:rsid w:val="00E45E63"/>
    <w:rsid w:val="00E473E8"/>
    <w:rsid w:val="00E4759C"/>
    <w:rsid w:val="00E50A7B"/>
    <w:rsid w:val="00E50B0B"/>
    <w:rsid w:val="00E50C57"/>
    <w:rsid w:val="00E510FE"/>
    <w:rsid w:val="00E514BA"/>
    <w:rsid w:val="00E51E25"/>
    <w:rsid w:val="00E5205B"/>
    <w:rsid w:val="00E521AE"/>
    <w:rsid w:val="00E529A3"/>
    <w:rsid w:val="00E53A21"/>
    <w:rsid w:val="00E53BCA"/>
    <w:rsid w:val="00E53DE2"/>
    <w:rsid w:val="00E53F02"/>
    <w:rsid w:val="00E54276"/>
    <w:rsid w:val="00E5428D"/>
    <w:rsid w:val="00E54534"/>
    <w:rsid w:val="00E548C3"/>
    <w:rsid w:val="00E54F27"/>
    <w:rsid w:val="00E55FF1"/>
    <w:rsid w:val="00E56090"/>
    <w:rsid w:val="00E565B9"/>
    <w:rsid w:val="00E56E7B"/>
    <w:rsid w:val="00E5733B"/>
    <w:rsid w:val="00E5756C"/>
    <w:rsid w:val="00E57811"/>
    <w:rsid w:val="00E601BE"/>
    <w:rsid w:val="00E608EC"/>
    <w:rsid w:val="00E60B5F"/>
    <w:rsid w:val="00E60D8D"/>
    <w:rsid w:val="00E60FF7"/>
    <w:rsid w:val="00E6101C"/>
    <w:rsid w:val="00E613AE"/>
    <w:rsid w:val="00E61429"/>
    <w:rsid w:val="00E61ABB"/>
    <w:rsid w:val="00E61FD7"/>
    <w:rsid w:val="00E623E6"/>
    <w:rsid w:val="00E628A9"/>
    <w:rsid w:val="00E630A2"/>
    <w:rsid w:val="00E630C0"/>
    <w:rsid w:val="00E63107"/>
    <w:rsid w:val="00E6312C"/>
    <w:rsid w:val="00E634E6"/>
    <w:rsid w:val="00E63DCE"/>
    <w:rsid w:val="00E64320"/>
    <w:rsid w:val="00E64700"/>
    <w:rsid w:val="00E65074"/>
    <w:rsid w:val="00E65165"/>
    <w:rsid w:val="00E65E70"/>
    <w:rsid w:val="00E66087"/>
    <w:rsid w:val="00E66395"/>
    <w:rsid w:val="00E66B2D"/>
    <w:rsid w:val="00E66D79"/>
    <w:rsid w:val="00E66F5A"/>
    <w:rsid w:val="00E66FF9"/>
    <w:rsid w:val="00E6706F"/>
    <w:rsid w:val="00E670DD"/>
    <w:rsid w:val="00E673A2"/>
    <w:rsid w:val="00E67856"/>
    <w:rsid w:val="00E679C8"/>
    <w:rsid w:val="00E70314"/>
    <w:rsid w:val="00E71704"/>
    <w:rsid w:val="00E719F2"/>
    <w:rsid w:val="00E724E7"/>
    <w:rsid w:val="00E72B41"/>
    <w:rsid w:val="00E732C1"/>
    <w:rsid w:val="00E7347B"/>
    <w:rsid w:val="00E73792"/>
    <w:rsid w:val="00E73D03"/>
    <w:rsid w:val="00E7471C"/>
    <w:rsid w:val="00E7498A"/>
    <w:rsid w:val="00E75099"/>
    <w:rsid w:val="00E7514E"/>
    <w:rsid w:val="00E753F1"/>
    <w:rsid w:val="00E76537"/>
    <w:rsid w:val="00E76DC5"/>
    <w:rsid w:val="00E773AD"/>
    <w:rsid w:val="00E77784"/>
    <w:rsid w:val="00E77AF5"/>
    <w:rsid w:val="00E807B5"/>
    <w:rsid w:val="00E820F4"/>
    <w:rsid w:val="00E823F9"/>
    <w:rsid w:val="00E82C1F"/>
    <w:rsid w:val="00E83671"/>
    <w:rsid w:val="00E839C4"/>
    <w:rsid w:val="00E840EE"/>
    <w:rsid w:val="00E84314"/>
    <w:rsid w:val="00E849CA"/>
    <w:rsid w:val="00E84A71"/>
    <w:rsid w:val="00E8556F"/>
    <w:rsid w:val="00E85DDE"/>
    <w:rsid w:val="00E85E2E"/>
    <w:rsid w:val="00E86205"/>
    <w:rsid w:val="00E86556"/>
    <w:rsid w:val="00E86D35"/>
    <w:rsid w:val="00E86DC2"/>
    <w:rsid w:val="00E86E32"/>
    <w:rsid w:val="00E86F2E"/>
    <w:rsid w:val="00E8732E"/>
    <w:rsid w:val="00E9011F"/>
    <w:rsid w:val="00E905A2"/>
    <w:rsid w:val="00E906EB"/>
    <w:rsid w:val="00E90AEC"/>
    <w:rsid w:val="00E9170E"/>
    <w:rsid w:val="00E919FB"/>
    <w:rsid w:val="00E91E47"/>
    <w:rsid w:val="00E92034"/>
    <w:rsid w:val="00E9241E"/>
    <w:rsid w:val="00E92460"/>
    <w:rsid w:val="00E924FE"/>
    <w:rsid w:val="00E92E62"/>
    <w:rsid w:val="00E92E75"/>
    <w:rsid w:val="00E93073"/>
    <w:rsid w:val="00E93804"/>
    <w:rsid w:val="00E9429D"/>
    <w:rsid w:val="00E946B7"/>
    <w:rsid w:val="00E9477D"/>
    <w:rsid w:val="00E95434"/>
    <w:rsid w:val="00E957BD"/>
    <w:rsid w:val="00E96467"/>
    <w:rsid w:val="00E966DA"/>
    <w:rsid w:val="00E96948"/>
    <w:rsid w:val="00E9737B"/>
    <w:rsid w:val="00E97522"/>
    <w:rsid w:val="00E97A3F"/>
    <w:rsid w:val="00E97F0A"/>
    <w:rsid w:val="00EA0100"/>
    <w:rsid w:val="00EA09CE"/>
    <w:rsid w:val="00EA0BCE"/>
    <w:rsid w:val="00EA1532"/>
    <w:rsid w:val="00EA22FA"/>
    <w:rsid w:val="00EA2744"/>
    <w:rsid w:val="00EA37B9"/>
    <w:rsid w:val="00EA37E3"/>
    <w:rsid w:val="00EA38CD"/>
    <w:rsid w:val="00EA39F7"/>
    <w:rsid w:val="00EA3AB4"/>
    <w:rsid w:val="00EA3DC2"/>
    <w:rsid w:val="00EA434E"/>
    <w:rsid w:val="00EA4395"/>
    <w:rsid w:val="00EA4757"/>
    <w:rsid w:val="00EA560B"/>
    <w:rsid w:val="00EA5669"/>
    <w:rsid w:val="00EA57BD"/>
    <w:rsid w:val="00EA5CC6"/>
    <w:rsid w:val="00EA6163"/>
    <w:rsid w:val="00EA63EF"/>
    <w:rsid w:val="00EA7182"/>
    <w:rsid w:val="00EA76ED"/>
    <w:rsid w:val="00EA7CBF"/>
    <w:rsid w:val="00EB0329"/>
    <w:rsid w:val="00EB0923"/>
    <w:rsid w:val="00EB0A89"/>
    <w:rsid w:val="00EB1059"/>
    <w:rsid w:val="00EB1573"/>
    <w:rsid w:val="00EB185F"/>
    <w:rsid w:val="00EB1910"/>
    <w:rsid w:val="00EB284C"/>
    <w:rsid w:val="00EB2D83"/>
    <w:rsid w:val="00EB2E97"/>
    <w:rsid w:val="00EB3416"/>
    <w:rsid w:val="00EB3AA6"/>
    <w:rsid w:val="00EB45AE"/>
    <w:rsid w:val="00EB4AE1"/>
    <w:rsid w:val="00EB52F4"/>
    <w:rsid w:val="00EB5694"/>
    <w:rsid w:val="00EB5779"/>
    <w:rsid w:val="00EB5D2F"/>
    <w:rsid w:val="00EB67F1"/>
    <w:rsid w:val="00EB6848"/>
    <w:rsid w:val="00EB6ADA"/>
    <w:rsid w:val="00EB72CD"/>
    <w:rsid w:val="00EB749A"/>
    <w:rsid w:val="00EB74B9"/>
    <w:rsid w:val="00EB76B6"/>
    <w:rsid w:val="00EB7D8A"/>
    <w:rsid w:val="00EC04F7"/>
    <w:rsid w:val="00EC05E2"/>
    <w:rsid w:val="00EC0E84"/>
    <w:rsid w:val="00EC16E2"/>
    <w:rsid w:val="00EC1CE7"/>
    <w:rsid w:val="00EC1DAE"/>
    <w:rsid w:val="00EC26F1"/>
    <w:rsid w:val="00EC30E7"/>
    <w:rsid w:val="00EC3C94"/>
    <w:rsid w:val="00EC44DF"/>
    <w:rsid w:val="00EC46DB"/>
    <w:rsid w:val="00EC4FB9"/>
    <w:rsid w:val="00EC5393"/>
    <w:rsid w:val="00EC5715"/>
    <w:rsid w:val="00EC5741"/>
    <w:rsid w:val="00EC5DA3"/>
    <w:rsid w:val="00EC6014"/>
    <w:rsid w:val="00EC6B3E"/>
    <w:rsid w:val="00EC6E7B"/>
    <w:rsid w:val="00EC6F2D"/>
    <w:rsid w:val="00EC73DE"/>
    <w:rsid w:val="00EC7637"/>
    <w:rsid w:val="00EC7CF2"/>
    <w:rsid w:val="00ED046C"/>
    <w:rsid w:val="00ED053A"/>
    <w:rsid w:val="00ED17B8"/>
    <w:rsid w:val="00ED1F03"/>
    <w:rsid w:val="00ED249D"/>
    <w:rsid w:val="00ED2D27"/>
    <w:rsid w:val="00ED3347"/>
    <w:rsid w:val="00ED3441"/>
    <w:rsid w:val="00ED3626"/>
    <w:rsid w:val="00ED3860"/>
    <w:rsid w:val="00ED3954"/>
    <w:rsid w:val="00ED43A2"/>
    <w:rsid w:val="00ED4967"/>
    <w:rsid w:val="00ED5140"/>
    <w:rsid w:val="00ED5382"/>
    <w:rsid w:val="00ED538C"/>
    <w:rsid w:val="00ED5771"/>
    <w:rsid w:val="00ED587F"/>
    <w:rsid w:val="00ED5964"/>
    <w:rsid w:val="00ED623F"/>
    <w:rsid w:val="00ED63A5"/>
    <w:rsid w:val="00ED69BA"/>
    <w:rsid w:val="00ED6BB2"/>
    <w:rsid w:val="00ED6D1A"/>
    <w:rsid w:val="00ED72E9"/>
    <w:rsid w:val="00ED732E"/>
    <w:rsid w:val="00ED77F0"/>
    <w:rsid w:val="00ED7FBC"/>
    <w:rsid w:val="00EE0253"/>
    <w:rsid w:val="00EE0297"/>
    <w:rsid w:val="00EE050A"/>
    <w:rsid w:val="00EE0E6F"/>
    <w:rsid w:val="00EE1258"/>
    <w:rsid w:val="00EE12EA"/>
    <w:rsid w:val="00EE13DA"/>
    <w:rsid w:val="00EE1668"/>
    <w:rsid w:val="00EE168D"/>
    <w:rsid w:val="00EE1EDB"/>
    <w:rsid w:val="00EE24E2"/>
    <w:rsid w:val="00EE2BF0"/>
    <w:rsid w:val="00EE3295"/>
    <w:rsid w:val="00EE366D"/>
    <w:rsid w:val="00EE5454"/>
    <w:rsid w:val="00EE54C4"/>
    <w:rsid w:val="00EE59B5"/>
    <w:rsid w:val="00EE5FB7"/>
    <w:rsid w:val="00EE6783"/>
    <w:rsid w:val="00EE6AC4"/>
    <w:rsid w:val="00EE7A55"/>
    <w:rsid w:val="00EE7B54"/>
    <w:rsid w:val="00EE7C47"/>
    <w:rsid w:val="00EE7C88"/>
    <w:rsid w:val="00EE7C8B"/>
    <w:rsid w:val="00EF0209"/>
    <w:rsid w:val="00EF056B"/>
    <w:rsid w:val="00EF057C"/>
    <w:rsid w:val="00EF0E50"/>
    <w:rsid w:val="00EF0EA4"/>
    <w:rsid w:val="00EF1E97"/>
    <w:rsid w:val="00EF2436"/>
    <w:rsid w:val="00EF2547"/>
    <w:rsid w:val="00EF2942"/>
    <w:rsid w:val="00EF29D9"/>
    <w:rsid w:val="00EF2B2B"/>
    <w:rsid w:val="00EF2E1C"/>
    <w:rsid w:val="00EF2EE2"/>
    <w:rsid w:val="00EF2FD6"/>
    <w:rsid w:val="00EF326A"/>
    <w:rsid w:val="00EF427A"/>
    <w:rsid w:val="00EF45DF"/>
    <w:rsid w:val="00EF4952"/>
    <w:rsid w:val="00EF498F"/>
    <w:rsid w:val="00EF4A42"/>
    <w:rsid w:val="00EF4CD8"/>
    <w:rsid w:val="00EF507B"/>
    <w:rsid w:val="00EF510C"/>
    <w:rsid w:val="00EF55C4"/>
    <w:rsid w:val="00EF57BC"/>
    <w:rsid w:val="00EF5CA8"/>
    <w:rsid w:val="00EF6784"/>
    <w:rsid w:val="00EF688A"/>
    <w:rsid w:val="00EF6A03"/>
    <w:rsid w:val="00EF6DC2"/>
    <w:rsid w:val="00EF7506"/>
    <w:rsid w:val="00EF760B"/>
    <w:rsid w:val="00EF7BF4"/>
    <w:rsid w:val="00F0030F"/>
    <w:rsid w:val="00F00674"/>
    <w:rsid w:val="00F014F5"/>
    <w:rsid w:val="00F01657"/>
    <w:rsid w:val="00F01D40"/>
    <w:rsid w:val="00F01E67"/>
    <w:rsid w:val="00F02744"/>
    <w:rsid w:val="00F0290B"/>
    <w:rsid w:val="00F02BFD"/>
    <w:rsid w:val="00F02D25"/>
    <w:rsid w:val="00F02E09"/>
    <w:rsid w:val="00F03C3D"/>
    <w:rsid w:val="00F0435D"/>
    <w:rsid w:val="00F04580"/>
    <w:rsid w:val="00F04ECA"/>
    <w:rsid w:val="00F04F8B"/>
    <w:rsid w:val="00F0502B"/>
    <w:rsid w:val="00F06E19"/>
    <w:rsid w:val="00F06F84"/>
    <w:rsid w:val="00F076E7"/>
    <w:rsid w:val="00F07AA1"/>
    <w:rsid w:val="00F105AE"/>
    <w:rsid w:val="00F10618"/>
    <w:rsid w:val="00F1108B"/>
    <w:rsid w:val="00F114FA"/>
    <w:rsid w:val="00F11768"/>
    <w:rsid w:val="00F118A0"/>
    <w:rsid w:val="00F11951"/>
    <w:rsid w:val="00F12262"/>
    <w:rsid w:val="00F12564"/>
    <w:rsid w:val="00F12AF8"/>
    <w:rsid w:val="00F12C52"/>
    <w:rsid w:val="00F12EBE"/>
    <w:rsid w:val="00F13828"/>
    <w:rsid w:val="00F13E62"/>
    <w:rsid w:val="00F13F51"/>
    <w:rsid w:val="00F148B7"/>
    <w:rsid w:val="00F14E28"/>
    <w:rsid w:val="00F14EA9"/>
    <w:rsid w:val="00F15505"/>
    <w:rsid w:val="00F15953"/>
    <w:rsid w:val="00F15BFF"/>
    <w:rsid w:val="00F15DC4"/>
    <w:rsid w:val="00F15F15"/>
    <w:rsid w:val="00F16E4F"/>
    <w:rsid w:val="00F17244"/>
    <w:rsid w:val="00F20ECE"/>
    <w:rsid w:val="00F2121A"/>
    <w:rsid w:val="00F213A0"/>
    <w:rsid w:val="00F21D54"/>
    <w:rsid w:val="00F21EF4"/>
    <w:rsid w:val="00F23113"/>
    <w:rsid w:val="00F23255"/>
    <w:rsid w:val="00F23393"/>
    <w:rsid w:val="00F23759"/>
    <w:rsid w:val="00F24644"/>
    <w:rsid w:val="00F257C7"/>
    <w:rsid w:val="00F25947"/>
    <w:rsid w:val="00F25DDA"/>
    <w:rsid w:val="00F25DE0"/>
    <w:rsid w:val="00F25F9F"/>
    <w:rsid w:val="00F262D6"/>
    <w:rsid w:val="00F26F33"/>
    <w:rsid w:val="00F2748A"/>
    <w:rsid w:val="00F27D90"/>
    <w:rsid w:val="00F300A8"/>
    <w:rsid w:val="00F302C6"/>
    <w:rsid w:val="00F30400"/>
    <w:rsid w:val="00F3079E"/>
    <w:rsid w:val="00F3128B"/>
    <w:rsid w:val="00F3399B"/>
    <w:rsid w:val="00F33F4B"/>
    <w:rsid w:val="00F346ED"/>
    <w:rsid w:val="00F34945"/>
    <w:rsid w:val="00F34E1E"/>
    <w:rsid w:val="00F3570C"/>
    <w:rsid w:val="00F363A4"/>
    <w:rsid w:val="00F36613"/>
    <w:rsid w:val="00F36765"/>
    <w:rsid w:val="00F368F0"/>
    <w:rsid w:val="00F368FF"/>
    <w:rsid w:val="00F36F0E"/>
    <w:rsid w:val="00F37068"/>
    <w:rsid w:val="00F371E2"/>
    <w:rsid w:val="00F37F3F"/>
    <w:rsid w:val="00F40973"/>
    <w:rsid w:val="00F40992"/>
    <w:rsid w:val="00F409C4"/>
    <w:rsid w:val="00F409C6"/>
    <w:rsid w:val="00F40C84"/>
    <w:rsid w:val="00F40F72"/>
    <w:rsid w:val="00F41596"/>
    <w:rsid w:val="00F41B60"/>
    <w:rsid w:val="00F41D8B"/>
    <w:rsid w:val="00F42121"/>
    <w:rsid w:val="00F424B3"/>
    <w:rsid w:val="00F428B1"/>
    <w:rsid w:val="00F428B4"/>
    <w:rsid w:val="00F433CB"/>
    <w:rsid w:val="00F4345D"/>
    <w:rsid w:val="00F4387B"/>
    <w:rsid w:val="00F45138"/>
    <w:rsid w:val="00F45921"/>
    <w:rsid w:val="00F45B91"/>
    <w:rsid w:val="00F46639"/>
    <w:rsid w:val="00F476FD"/>
    <w:rsid w:val="00F50183"/>
    <w:rsid w:val="00F50D92"/>
    <w:rsid w:val="00F51765"/>
    <w:rsid w:val="00F51A51"/>
    <w:rsid w:val="00F51BC6"/>
    <w:rsid w:val="00F51CB4"/>
    <w:rsid w:val="00F520CB"/>
    <w:rsid w:val="00F52324"/>
    <w:rsid w:val="00F52950"/>
    <w:rsid w:val="00F52C9D"/>
    <w:rsid w:val="00F52DC0"/>
    <w:rsid w:val="00F533F1"/>
    <w:rsid w:val="00F537BB"/>
    <w:rsid w:val="00F53B8B"/>
    <w:rsid w:val="00F53FA7"/>
    <w:rsid w:val="00F55679"/>
    <w:rsid w:val="00F55694"/>
    <w:rsid w:val="00F561DA"/>
    <w:rsid w:val="00F561E3"/>
    <w:rsid w:val="00F565E6"/>
    <w:rsid w:val="00F56AFA"/>
    <w:rsid w:val="00F575E2"/>
    <w:rsid w:val="00F579FF"/>
    <w:rsid w:val="00F600E0"/>
    <w:rsid w:val="00F605EC"/>
    <w:rsid w:val="00F60F60"/>
    <w:rsid w:val="00F612CE"/>
    <w:rsid w:val="00F6133C"/>
    <w:rsid w:val="00F61405"/>
    <w:rsid w:val="00F6140F"/>
    <w:rsid w:val="00F62227"/>
    <w:rsid w:val="00F624A7"/>
    <w:rsid w:val="00F62A94"/>
    <w:rsid w:val="00F62AB6"/>
    <w:rsid w:val="00F62E72"/>
    <w:rsid w:val="00F65A3C"/>
    <w:rsid w:val="00F66009"/>
    <w:rsid w:val="00F66282"/>
    <w:rsid w:val="00F6639E"/>
    <w:rsid w:val="00F66D0B"/>
    <w:rsid w:val="00F66F82"/>
    <w:rsid w:val="00F670E9"/>
    <w:rsid w:val="00F67AF1"/>
    <w:rsid w:val="00F67D8B"/>
    <w:rsid w:val="00F701C5"/>
    <w:rsid w:val="00F70961"/>
    <w:rsid w:val="00F70A8F"/>
    <w:rsid w:val="00F71397"/>
    <w:rsid w:val="00F72389"/>
    <w:rsid w:val="00F72516"/>
    <w:rsid w:val="00F72B34"/>
    <w:rsid w:val="00F72FB4"/>
    <w:rsid w:val="00F735E5"/>
    <w:rsid w:val="00F73B82"/>
    <w:rsid w:val="00F73E80"/>
    <w:rsid w:val="00F7469C"/>
    <w:rsid w:val="00F7492E"/>
    <w:rsid w:val="00F74945"/>
    <w:rsid w:val="00F749A3"/>
    <w:rsid w:val="00F74AE8"/>
    <w:rsid w:val="00F74C4D"/>
    <w:rsid w:val="00F74ECA"/>
    <w:rsid w:val="00F76C11"/>
    <w:rsid w:val="00F76C69"/>
    <w:rsid w:val="00F77021"/>
    <w:rsid w:val="00F770AB"/>
    <w:rsid w:val="00F77E61"/>
    <w:rsid w:val="00F80221"/>
    <w:rsid w:val="00F80A0A"/>
    <w:rsid w:val="00F80C81"/>
    <w:rsid w:val="00F815AC"/>
    <w:rsid w:val="00F81606"/>
    <w:rsid w:val="00F8297B"/>
    <w:rsid w:val="00F82E49"/>
    <w:rsid w:val="00F83B33"/>
    <w:rsid w:val="00F83CAE"/>
    <w:rsid w:val="00F840BF"/>
    <w:rsid w:val="00F8427A"/>
    <w:rsid w:val="00F843DF"/>
    <w:rsid w:val="00F84646"/>
    <w:rsid w:val="00F84899"/>
    <w:rsid w:val="00F85585"/>
    <w:rsid w:val="00F85804"/>
    <w:rsid w:val="00F859F0"/>
    <w:rsid w:val="00F85CC1"/>
    <w:rsid w:val="00F86602"/>
    <w:rsid w:val="00F86B5D"/>
    <w:rsid w:val="00F87634"/>
    <w:rsid w:val="00F87C13"/>
    <w:rsid w:val="00F87C5A"/>
    <w:rsid w:val="00F87E29"/>
    <w:rsid w:val="00F87F18"/>
    <w:rsid w:val="00F87F68"/>
    <w:rsid w:val="00F90A25"/>
    <w:rsid w:val="00F90C4D"/>
    <w:rsid w:val="00F9167D"/>
    <w:rsid w:val="00F91CB2"/>
    <w:rsid w:val="00F927E8"/>
    <w:rsid w:val="00F9289C"/>
    <w:rsid w:val="00F93D6F"/>
    <w:rsid w:val="00F93DBC"/>
    <w:rsid w:val="00F93E41"/>
    <w:rsid w:val="00F94644"/>
    <w:rsid w:val="00F952E4"/>
    <w:rsid w:val="00F9537B"/>
    <w:rsid w:val="00F95C08"/>
    <w:rsid w:val="00F96079"/>
    <w:rsid w:val="00F963FC"/>
    <w:rsid w:val="00F97CF1"/>
    <w:rsid w:val="00FA015F"/>
    <w:rsid w:val="00FA0EBD"/>
    <w:rsid w:val="00FA0FAC"/>
    <w:rsid w:val="00FA10F7"/>
    <w:rsid w:val="00FA136A"/>
    <w:rsid w:val="00FA1DA2"/>
    <w:rsid w:val="00FA3414"/>
    <w:rsid w:val="00FA347A"/>
    <w:rsid w:val="00FA3508"/>
    <w:rsid w:val="00FA3CDE"/>
    <w:rsid w:val="00FA478B"/>
    <w:rsid w:val="00FA49B7"/>
    <w:rsid w:val="00FA5043"/>
    <w:rsid w:val="00FA589B"/>
    <w:rsid w:val="00FA60C1"/>
    <w:rsid w:val="00FA65A3"/>
    <w:rsid w:val="00FA67C5"/>
    <w:rsid w:val="00FA6F8B"/>
    <w:rsid w:val="00FA727C"/>
    <w:rsid w:val="00FA729A"/>
    <w:rsid w:val="00FA7A30"/>
    <w:rsid w:val="00FB033F"/>
    <w:rsid w:val="00FB06B8"/>
    <w:rsid w:val="00FB0880"/>
    <w:rsid w:val="00FB12E3"/>
    <w:rsid w:val="00FB1570"/>
    <w:rsid w:val="00FB193B"/>
    <w:rsid w:val="00FB1FBC"/>
    <w:rsid w:val="00FB2625"/>
    <w:rsid w:val="00FB27B7"/>
    <w:rsid w:val="00FB35E3"/>
    <w:rsid w:val="00FB3FBE"/>
    <w:rsid w:val="00FB4727"/>
    <w:rsid w:val="00FB4C98"/>
    <w:rsid w:val="00FB4CE3"/>
    <w:rsid w:val="00FB4E26"/>
    <w:rsid w:val="00FB583C"/>
    <w:rsid w:val="00FB6162"/>
    <w:rsid w:val="00FB630E"/>
    <w:rsid w:val="00FB66DD"/>
    <w:rsid w:val="00FB6738"/>
    <w:rsid w:val="00FB691B"/>
    <w:rsid w:val="00FB6BE6"/>
    <w:rsid w:val="00FB731C"/>
    <w:rsid w:val="00FB7628"/>
    <w:rsid w:val="00FB7F2C"/>
    <w:rsid w:val="00FC05A0"/>
    <w:rsid w:val="00FC0811"/>
    <w:rsid w:val="00FC09B3"/>
    <w:rsid w:val="00FC0AFF"/>
    <w:rsid w:val="00FC1196"/>
    <w:rsid w:val="00FC15EB"/>
    <w:rsid w:val="00FC162C"/>
    <w:rsid w:val="00FC18DC"/>
    <w:rsid w:val="00FC2477"/>
    <w:rsid w:val="00FC2AC4"/>
    <w:rsid w:val="00FC2CFE"/>
    <w:rsid w:val="00FC2F73"/>
    <w:rsid w:val="00FC3216"/>
    <w:rsid w:val="00FC3A9B"/>
    <w:rsid w:val="00FC3AE1"/>
    <w:rsid w:val="00FC3DFC"/>
    <w:rsid w:val="00FC3EAA"/>
    <w:rsid w:val="00FC3EF4"/>
    <w:rsid w:val="00FC3F44"/>
    <w:rsid w:val="00FC431B"/>
    <w:rsid w:val="00FC434C"/>
    <w:rsid w:val="00FC472C"/>
    <w:rsid w:val="00FC49BA"/>
    <w:rsid w:val="00FC4FDF"/>
    <w:rsid w:val="00FC50F4"/>
    <w:rsid w:val="00FC56C7"/>
    <w:rsid w:val="00FC5CF4"/>
    <w:rsid w:val="00FC5D64"/>
    <w:rsid w:val="00FC6A39"/>
    <w:rsid w:val="00FC6DB9"/>
    <w:rsid w:val="00FC76A9"/>
    <w:rsid w:val="00FC79AB"/>
    <w:rsid w:val="00FC7BE7"/>
    <w:rsid w:val="00FC7DAC"/>
    <w:rsid w:val="00FD005D"/>
    <w:rsid w:val="00FD013F"/>
    <w:rsid w:val="00FD04AE"/>
    <w:rsid w:val="00FD0DFA"/>
    <w:rsid w:val="00FD1854"/>
    <w:rsid w:val="00FD1890"/>
    <w:rsid w:val="00FD1994"/>
    <w:rsid w:val="00FD331D"/>
    <w:rsid w:val="00FD3508"/>
    <w:rsid w:val="00FD393C"/>
    <w:rsid w:val="00FD3AFF"/>
    <w:rsid w:val="00FD43BB"/>
    <w:rsid w:val="00FD47F6"/>
    <w:rsid w:val="00FD4AF3"/>
    <w:rsid w:val="00FD4B22"/>
    <w:rsid w:val="00FD537B"/>
    <w:rsid w:val="00FD72B1"/>
    <w:rsid w:val="00FD798D"/>
    <w:rsid w:val="00FE0FFE"/>
    <w:rsid w:val="00FE141E"/>
    <w:rsid w:val="00FE144E"/>
    <w:rsid w:val="00FE1768"/>
    <w:rsid w:val="00FE1DD5"/>
    <w:rsid w:val="00FE1E72"/>
    <w:rsid w:val="00FE24F4"/>
    <w:rsid w:val="00FE2560"/>
    <w:rsid w:val="00FE2F15"/>
    <w:rsid w:val="00FE35D0"/>
    <w:rsid w:val="00FE3FB7"/>
    <w:rsid w:val="00FE4081"/>
    <w:rsid w:val="00FE42ED"/>
    <w:rsid w:val="00FE4E06"/>
    <w:rsid w:val="00FE55A7"/>
    <w:rsid w:val="00FE5C5A"/>
    <w:rsid w:val="00FE6432"/>
    <w:rsid w:val="00FE72A0"/>
    <w:rsid w:val="00FF0050"/>
    <w:rsid w:val="00FF045F"/>
    <w:rsid w:val="00FF13CE"/>
    <w:rsid w:val="00FF13D4"/>
    <w:rsid w:val="00FF2053"/>
    <w:rsid w:val="00FF2312"/>
    <w:rsid w:val="00FF3B37"/>
    <w:rsid w:val="00FF3CC7"/>
    <w:rsid w:val="00FF3D6F"/>
    <w:rsid w:val="00FF4BD8"/>
    <w:rsid w:val="00FF4D11"/>
    <w:rsid w:val="00FF5214"/>
    <w:rsid w:val="00FF596E"/>
    <w:rsid w:val="00FF5B59"/>
    <w:rsid w:val="00FF5BFD"/>
    <w:rsid w:val="00FF6095"/>
    <w:rsid w:val="00FF62FE"/>
    <w:rsid w:val="00FF6553"/>
    <w:rsid w:val="00FF6574"/>
    <w:rsid w:val="00FF7A39"/>
    <w:rsid w:val="1DBC71E9"/>
    <w:rsid w:val="51F41F10"/>
    <w:rsid w:val="68A155D3"/>
    <w:rsid w:val="7DE067CD"/>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FC69B5"/>
  <w15:docId w15:val="{851C538C-BBE8-4A83-AF21-87D4E7B6B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0F07"/>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paragraph" w:styleId="Ttulo2">
    <w:name w:val="heading 2"/>
    <w:basedOn w:val="Normal"/>
    <w:next w:val="Normal"/>
    <w:link w:val="Ttulo2Car"/>
    <w:uiPriority w:val="9"/>
    <w:semiHidden/>
    <w:unhideWhenUsed/>
    <w:qFormat/>
    <w:rsid w:val="00E8431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aliases w:val="Texto nota pie Car Car,Footnote Text Char Car,Footnote Text Char Char Char Char Car,Footnote Text Char Char Char Char Char Char Char Char Car,Footnote Text Char Char Char Char Char Char1 Car,Footnote referenc Car"/>
    <w:basedOn w:val="Fuentedeprrafopredeter"/>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character" w:customStyle="1" w:styleId="baj">
    <w:name w:val="b_aj"/>
    <w:basedOn w:val="Fuentedeprrafopredeter"/>
    <w:rsid w:val="00470D73"/>
  </w:style>
  <w:style w:type="character" w:customStyle="1" w:styleId="Ttulo2Car">
    <w:name w:val="Título 2 Car"/>
    <w:basedOn w:val="Fuentedeprrafopredeter"/>
    <w:link w:val="Ttulo2"/>
    <w:uiPriority w:val="9"/>
    <w:semiHidden/>
    <w:rsid w:val="00E84314"/>
    <w:rPr>
      <w:rFonts w:asciiTheme="majorHAnsi" w:eastAsiaTheme="majorEastAsia" w:hAnsiTheme="majorHAnsi" w:cstheme="majorBidi"/>
      <w:color w:val="365F91" w:themeColor="accent1" w:themeShade="BF"/>
      <w:sz w:val="26"/>
      <w:szCs w:val="26"/>
      <w:lang w:eastAsia="es-ES_tradnl"/>
    </w:rPr>
  </w:style>
  <w:style w:type="paragraph" w:customStyle="1" w:styleId="Sangra2detindependiente2">
    <w:name w:val="Sangría 2 de t. independiente2"/>
    <w:basedOn w:val="Normal"/>
    <w:uiPriority w:val="99"/>
    <w:rsid w:val="00146418"/>
    <w:pPr>
      <w:overflowPunct w:val="0"/>
      <w:autoSpaceDE w:val="0"/>
      <w:autoSpaceDN w:val="0"/>
      <w:adjustRightInd w:val="0"/>
      <w:ind w:left="1418"/>
      <w:jc w:val="both"/>
      <w:textAlignment w:val="baseline"/>
    </w:pPr>
    <w:rPr>
      <w:rFonts w:ascii="Arial" w:hAnsi="Arial"/>
      <w:szCs w:val="20"/>
      <w:lang w:val="es-ES" w:eastAsia="es-ES"/>
    </w:rPr>
  </w:style>
  <w:style w:type="paragraph" w:customStyle="1" w:styleId="bodytext21">
    <w:name w:val="bodytext21"/>
    <w:basedOn w:val="Normal"/>
    <w:rsid w:val="00475D79"/>
    <w:pPr>
      <w:spacing w:before="100" w:beforeAutospacing="1" w:after="100" w:afterAutospacing="1"/>
    </w:pPr>
    <w:rPr>
      <w:lang w:eastAsia="es-CO"/>
    </w:rPr>
  </w:style>
  <w:style w:type="paragraph" w:customStyle="1" w:styleId="txt">
    <w:name w:val="txt"/>
    <w:basedOn w:val="Normal"/>
    <w:rsid w:val="00475D79"/>
    <w:pPr>
      <w:spacing w:before="100" w:beforeAutospacing="1" w:after="100" w:afterAutospacing="1"/>
    </w:pPr>
    <w:rPr>
      <w:lang w:val="es-ES" w:eastAsia="es-ES"/>
    </w:rPr>
  </w:style>
  <w:style w:type="paragraph" w:styleId="Revisin">
    <w:name w:val="Revision"/>
    <w:hidden/>
    <w:uiPriority w:val="99"/>
    <w:semiHidden/>
    <w:rsid w:val="00E14FD0"/>
    <w:pPr>
      <w:spacing w:after="0" w:line="240" w:lineRule="auto"/>
    </w:pPr>
    <w:rPr>
      <w:rFonts w:ascii="Times New Roman" w:eastAsia="Times New Roman" w:hAnsi="Times New Roman" w:cs="Times New Roman"/>
      <w:sz w:val="24"/>
      <w:szCs w:val="24"/>
      <w:lang w:eastAsia="es-ES_tradnl"/>
    </w:rPr>
  </w:style>
  <w:style w:type="paragraph" w:styleId="Textonotaalfinal">
    <w:name w:val="endnote text"/>
    <w:basedOn w:val="Normal"/>
    <w:link w:val="TextonotaalfinalCar"/>
    <w:uiPriority w:val="99"/>
    <w:semiHidden/>
    <w:unhideWhenUsed/>
    <w:rsid w:val="009C5BC0"/>
    <w:rPr>
      <w:sz w:val="20"/>
      <w:szCs w:val="20"/>
    </w:rPr>
  </w:style>
  <w:style w:type="character" w:customStyle="1" w:styleId="TextonotaalfinalCar">
    <w:name w:val="Texto nota al final Car"/>
    <w:basedOn w:val="Fuentedeprrafopredeter"/>
    <w:link w:val="Textonotaalfinal"/>
    <w:uiPriority w:val="99"/>
    <w:semiHidden/>
    <w:rsid w:val="009C5BC0"/>
    <w:rPr>
      <w:rFonts w:ascii="Times New Roman" w:eastAsia="Times New Roman" w:hAnsi="Times New Roman" w:cs="Times New Roman"/>
      <w:sz w:val="20"/>
      <w:szCs w:val="20"/>
      <w:lang w:eastAsia="es-ES_tradnl"/>
    </w:rPr>
  </w:style>
  <w:style w:type="character" w:styleId="Refdenotaalfinal">
    <w:name w:val="endnote reference"/>
    <w:basedOn w:val="Fuentedeprrafopredeter"/>
    <w:uiPriority w:val="99"/>
    <w:semiHidden/>
    <w:unhideWhenUsed/>
    <w:rsid w:val="009C5BC0"/>
    <w:rPr>
      <w:vertAlign w:val="superscript"/>
    </w:rPr>
  </w:style>
  <w:style w:type="character" w:customStyle="1" w:styleId="Mencinsinresolver4">
    <w:name w:val="Mención sin resolver4"/>
    <w:basedOn w:val="Fuentedeprrafopredeter"/>
    <w:uiPriority w:val="99"/>
    <w:semiHidden/>
    <w:unhideWhenUsed/>
    <w:rsid w:val="003318F4"/>
    <w:rPr>
      <w:color w:val="605E5C"/>
      <w:shd w:val="clear" w:color="auto" w:fill="E1DFDD"/>
    </w:rPr>
  </w:style>
  <w:style w:type="character" w:customStyle="1" w:styleId="superscript">
    <w:name w:val="superscript"/>
    <w:basedOn w:val="Fuentedeprrafopredeter"/>
    <w:rsid w:val="00811B64"/>
  </w:style>
  <w:style w:type="paragraph" w:styleId="Textoindependiente2">
    <w:name w:val="Body Text 2"/>
    <w:basedOn w:val="Normal"/>
    <w:link w:val="Textoindependiente2Car"/>
    <w:uiPriority w:val="99"/>
    <w:semiHidden/>
    <w:unhideWhenUsed/>
    <w:rsid w:val="00C53DF3"/>
    <w:pPr>
      <w:spacing w:after="120" w:line="480" w:lineRule="auto"/>
    </w:pPr>
  </w:style>
  <w:style w:type="character" w:customStyle="1" w:styleId="Textoindependiente2Car">
    <w:name w:val="Texto independiente 2 Car"/>
    <w:basedOn w:val="Fuentedeprrafopredeter"/>
    <w:link w:val="Textoindependiente2"/>
    <w:uiPriority w:val="99"/>
    <w:semiHidden/>
    <w:rsid w:val="00C53DF3"/>
    <w:rPr>
      <w:rFonts w:ascii="Times New Roman" w:eastAsia="Times New Roman" w:hAnsi="Times New Roman" w:cs="Times New Roman"/>
      <w:sz w:val="24"/>
      <w:szCs w:val="24"/>
      <w:lang w:eastAsia="es-ES_tradnl"/>
    </w:rPr>
  </w:style>
  <w:style w:type="character" w:customStyle="1" w:styleId="apple-converted-space">
    <w:name w:val="apple-converted-space"/>
    <w:basedOn w:val="Fuentedeprrafopredeter"/>
    <w:rsid w:val="00C53DF3"/>
  </w:style>
  <w:style w:type="paragraph" w:customStyle="1" w:styleId="bodytext2">
    <w:name w:val="bodytext2"/>
    <w:basedOn w:val="Normal"/>
    <w:rsid w:val="00C53DF3"/>
    <w:pPr>
      <w:spacing w:before="100" w:beforeAutospacing="1" w:after="100" w:afterAutospacing="1"/>
    </w:pPr>
  </w:style>
  <w:style w:type="character" w:customStyle="1" w:styleId="iaj">
    <w:name w:val="i_aj"/>
    <w:basedOn w:val="Fuentedeprrafopredeter"/>
    <w:rsid w:val="00E036D1"/>
  </w:style>
  <w:style w:type="table" w:customStyle="1" w:styleId="Tablaconcuadrcula11">
    <w:name w:val="Tabla con cuadrícula11"/>
    <w:basedOn w:val="Tablanormal"/>
    <w:next w:val="Tablaconcuadrcula"/>
    <w:uiPriority w:val="39"/>
    <w:rsid w:val="00796C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39"/>
    <w:rsid w:val="00CB372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CE44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2">
    <w:name w:val="Tabla con cuadrícula12"/>
    <w:basedOn w:val="Tablanormal"/>
    <w:next w:val="Tablaconcuadrcula"/>
    <w:uiPriority w:val="59"/>
    <w:rsid w:val="000851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77295">
      <w:bodyDiv w:val="1"/>
      <w:marLeft w:val="0"/>
      <w:marRight w:val="0"/>
      <w:marTop w:val="0"/>
      <w:marBottom w:val="0"/>
      <w:divBdr>
        <w:top w:val="none" w:sz="0" w:space="0" w:color="auto"/>
        <w:left w:val="none" w:sz="0" w:space="0" w:color="auto"/>
        <w:bottom w:val="none" w:sz="0" w:space="0" w:color="auto"/>
        <w:right w:val="none" w:sz="0" w:space="0" w:color="auto"/>
      </w:divBdr>
    </w:div>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28721193">
      <w:bodyDiv w:val="1"/>
      <w:marLeft w:val="0"/>
      <w:marRight w:val="0"/>
      <w:marTop w:val="0"/>
      <w:marBottom w:val="0"/>
      <w:divBdr>
        <w:top w:val="none" w:sz="0" w:space="0" w:color="auto"/>
        <w:left w:val="none" w:sz="0" w:space="0" w:color="auto"/>
        <w:bottom w:val="none" w:sz="0" w:space="0" w:color="auto"/>
        <w:right w:val="none" w:sz="0" w:space="0" w:color="auto"/>
      </w:divBdr>
      <w:divsChild>
        <w:div w:id="1175001830">
          <w:marLeft w:val="0"/>
          <w:marRight w:val="0"/>
          <w:marTop w:val="0"/>
          <w:marBottom w:val="0"/>
          <w:divBdr>
            <w:top w:val="none" w:sz="0" w:space="0" w:color="auto"/>
            <w:left w:val="none" w:sz="0" w:space="0" w:color="auto"/>
            <w:bottom w:val="none" w:sz="0" w:space="0" w:color="auto"/>
            <w:right w:val="none" w:sz="0" w:space="0" w:color="auto"/>
          </w:divBdr>
        </w:div>
      </w:divsChild>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39747227">
      <w:bodyDiv w:val="1"/>
      <w:marLeft w:val="0"/>
      <w:marRight w:val="0"/>
      <w:marTop w:val="0"/>
      <w:marBottom w:val="0"/>
      <w:divBdr>
        <w:top w:val="none" w:sz="0" w:space="0" w:color="auto"/>
        <w:left w:val="none" w:sz="0" w:space="0" w:color="auto"/>
        <w:bottom w:val="none" w:sz="0" w:space="0" w:color="auto"/>
        <w:right w:val="none" w:sz="0" w:space="0" w:color="auto"/>
      </w:divBdr>
      <w:divsChild>
        <w:div w:id="242494744">
          <w:marLeft w:val="0"/>
          <w:marRight w:val="0"/>
          <w:marTop w:val="0"/>
          <w:marBottom w:val="0"/>
          <w:divBdr>
            <w:top w:val="none" w:sz="0" w:space="0" w:color="auto"/>
            <w:left w:val="none" w:sz="0" w:space="0" w:color="auto"/>
            <w:bottom w:val="none" w:sz="0" w:space="0" w:color="auto"/>
            <w:right w:val="none" w:sz="0" w:space="0" w:color="auto"/>
          </w:divBdr>
          <w:divsChild>
            <w:div w:id="759717124">
              <w:marLeft w:val="0"/>
              <w:marRight w:val="0"/>
              <w:marTop w:val="0"/>
              <w:marBottom w:val="0"/>
              <w:divBdr>
                <w:top w:val="none" w:sz="0" w:space="0" w:color="auto"/>
                <w:left w:val="none" w:sz="0" w:space="0" w:color="auto"/>
                <w:bottom w:val="none" w:sz="0" w:space="0" w:color="auto"/>
                <w:right w:val="none" w:sz="0" w:space="0" w:color="auto"/>
              </w:divBdr>
              <w:divsChild>
                <w:div w:id="343021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48305046">
      <w:bodyDiv w:val="1"/>
      <w:marLeft w:val="0"/>
      <w:marRight w:val="0"/>
      <w:marTop w:val="0"/>
      <w:marBottom w:val="0"/>
      <w:divBdr>
        <w:top w:val="none" w:sz="0" w:space="0" w:color="auto"/>
        <w:left w:val="none" w:sz="0" w:space="0" w:color="auto"/>
        <w:bottom w:val="none" w:sz="0" w:space="0" w:color="auto"/>
        <w:right w:val="none" w:sz="0" w:space="0" w:color="auto"/>
      </w:divBdr>
      <w:divsChild>
        <w:div w:id="262299518">
          <w:marLeft w:val="0"/>
          <w:marRight w:val="0"/>
          <w:marTop w:val="0"/>
          <w:marBottom w:val="0"/>
          <w:divBdr>
            <w:top w:val="none" w:sz="0" w:space="0" w:color="auto"/>
            <w:left w:val="none" w:sz="0" w:space="0" w:color="auto"/>
            <w:bottom w:val="none" w:sz="0" w:space="0" w:color="auto"/>
            <w:right w:val="none" w:sz="0" w:space="0" w:color="auto"/>
          </w:divBdr>
          <w:divsChild>
            <w:div w:id="1744986443">
              <w:marLeft w:val="0"/>
              <w:marRight w:val="0"/>
              <w:marTop w:val="0"/>
              <w:marBottom w:val="0"/>
              <w:divBdr>
                <w:top w:val="none" w:sz="0" w:space="0" w:color="auto"/>
                <w:left w:val="none" w:sz="0" w:space="0" w:color="auto"/>
                <w:bottom w:val="none" w:sz="0" w:space="0" w:color="auto"/>
                <w:right w:val="none" w:sz="0" w:space="0" w:color="auto"/>
              </w:divBdr>
              <w:divsChild>
                <w:div w:id="19572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79496941">
      <w:bodyDiv w:val="1"/>
      <w:marLeft w:val="0"/>
      <w:marRight w:val="0"/>
      <w:marTop w:val="0"/>
      <w:marBottom w:val="0"/>
      <w:divBdr>
        <w:top w:val="none" w:sz="0" w:space="0" w:color="auto"/>
        <w:left w:val="none" w:sz="0" w:space="0" w:color="auto"/>
        <w:bottom w:val="none" w:sz="0" w:space="0" w:color="auto"/>
        <w:right w:val="none" w:sz="0" w:space="0" w:color="auto"/>
      </w:divBdr>
      <w:divsChild>
        <w:div w:id="689528428">
          <w:marLeft w:val="0"/>
          <w:marRight w:val="0"/>
          <w:marTop w:val="0"/>
          <w:marBottom w:val="0"/>
          <w:divBdr>
            <w:top w:val="none" w:sz="0" w:space="0" w:color="auto"/>
            <w:left w:val="none" w:sz="0" w:space="0" w:color="auto"/>
            <w:bottom w:val="none" w:sz="0" w:space="0" w:color="auto"/>
            <w:right w:val="none" w:sz="0" w:space="0" w:color="auto"/>
          </w:divBdr>
          <w:divsChild>
            <w:div w:id="23706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037725">
      <w:bodyDiv w:val="1"/>
      <w:marLeft w:val="0"/>
      <w:marRight w:val="0"/>
      <w:marTop w:val="0"/>
      <w:marBottom w:val="0"/>
      <w:divBdr>
        <w:top w:val="none" w:sz="0" w:space="0" w:color="auto"/>
        <w:left w:val="none" w:sz="0" w:space="0" w:color="auto"/>
        <w:bottom w:val="none" w:sz="0" w:space="0" w:color="auto"/>
        <w:right w:val="none" w:sz="0" w:space="0" w:color="auto"/>
      </w:divBdr>
    </w:div>
    <w:div w:id="83377532">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94985693">
      <w:bodyDiv w:val="1"/>
      <w:marLeft w:val="0"/>
      <w:marRight w:val="0"/>
      <w:marTop w:val="0"/>
      <w:marBottom w:val="0"/>
      <w:divBdr>
        <w:top w:val="none" w:sz="0" w:space="0" w:color="auto"/>
        <w:left w:val="none" w:sz="0" w:space="0" w:color="auto"/>
        <w:bottom w:val="none" w:sz="0" w:space="0" w:color="auto"/>
        <w:right w:val="none" w:sz="0" w:space="0" w:color="auto"/>
      </w:divBdr>
    </w:div>
    <w:div w:id="122775619">
      <w:bodyDiv w:val="1"/>
      <w:marLeft w:val="0"/>
      <w:marRight w:val="0"/>
      <w:marTop w:val="0"/>
      <w:marBottom w:val="0"/>
      <w:divBdr>
        <w:top w:val="none" w:sz="0" w:space="0" w:color="auto"/>
        <w:left w:val="none" w:sz="0" w:space="0" w:color="auto"/>
        <w:bottom w:val="none" w:sz="0" w:space="0" w:color="auto"/>
        <w:right w:val="none" w:sz="0" w:space="0" w:color="auto"/>
      </w:divBdr>
      <w:divsChild>
        <w:div w:id="2062821963">
          <w:marLeft w:val="0"/>
          <w:marRight w:val="0"/>
          <w:marTop w:val="0"/>
          <w:marBottom w:val="0"/>
          <w:divBdr>
            <w:top w:val="none" w:sz="0" w:space="0" w:color="auto"/>
            <w:left w:val="none" w:sz="0" w:space="0" w:color="auto"/>
            <w:bottom w:val="none" w:sz="0" w:space="0" w:color="auto"/>
            <w:right w:val="none" w:sz="0" w:space="0" w:color="auto"/>
          </w:divBdr>
        </w:div>
      </w:divsChild>
    </w:div>
    <w:div w:id="129980973">
      <w:bodyDiv w:val="1"/>
      <w:marLeft w:val="0"/>
      <w:marRight w:val="0"/>
      <w:marTop w:val="0"/>
      <w:marBottom w:val="0"/>
      <w:divBdr>
        <w:top w:val="none" w:sz="0" w:space="0" w:color="auto"/>
        <w:left w:val="none" w:sz="0" w:space="0" w:color="auto"/>
        <w:bottom w:val="none" w:sz="0" w:space="0" w:color="auto"/>
        <w:right w:val="none" w:sz="0" w:space="0" w:color="auto"/>
      </w:divBdr>
      <w:divsChild>
        <w:div w:id="522939710">
          <w:marLeft w:val="0"/>
          <w:marRight w:val="0"/>
          <w:marTop w:val="0"/>
          <w:marBottom w:val="0"/>
          <w:divBdr>
            <w:top w:val="none" w:sz="0" w:space="0" w:color="auto"/>
            <w:left w:val="none" w:sz="0" w:space="0" w:color="auto"/>
            <w:bottom w:val="none" w:sz="0" w:space="0" w:color="auto"/>
            <w:right w:val="none" w:sz="0" w:space="0" w:color="auto"/>
          </w:divBdr>
          <w:divsChild>
            <w:div w:id="1560894338">
              <w:marLeft w:val="0"/>
              <w:marRight w:val="0"/>
              <w:marTop w:val="0"/>
              <w:marBottom w:val="0"/>
              <w:divBdr>
                <w:top w:val="none" w:sz="0" w:space="0" w:color="auto"/>
                <w:left w:val="none" w:sz="0" w:space="0" w:color="auto"/>
                <w:bottom w:val="none" w:sz="0" w:space="0" w:color="auto"/>
                <w:right w:val="none" w:sz="0" w:space="0" w:color="auto"/>
              </w:divBdr>
              <w:divsChild>
                <w:div w:id="110832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39075832">
      <w:bodyDiv w:val="1"/>
      <w:marLeft w:val="0"/>
      <w:marRight w:val="0"/>
      <w:marTop w:val="0"/>
      <w:marBottom w:val="0"/>
      <w:divBdr>
        <w:top w:val="none" w:sz="0" w:space="0" w:color="auto"/>
        <w:left w:val="none" w:sz="0" w:space="0" w:color="auto"/>
        <w:bottom w:val="none" w:sz="0" w:space="0" w:color="auto"/>
        <w:right w:val="none" w:sz="0" w:space="0" w:color="auto"/>
      </w:divBdr>
    </w:div>
    <w:div w:id="154615700">
      <w:bodyDiv w:val="1"/>
      <w:marLeft w:val="0"/>
      <w:marRight w:val="0"/>
      <w:marTop w:val="0"/>
      <w:marBottom w:val="0"/>
      <w:divBdr>
        <w:top w:val="none" w:sz="0" w:space="0" w:color="auto"/>
        <w:left w:val="none" w:sz="0" w:space="0" w:color="auto"/>
        <w:bottom w:val="none" w:sz="0" w:space="0" w:color="auto"/>
        <w:right w:val="none" w:sz="0" w:space="0" w:color="auto"/>
      </w:divBdr>
    </w:div>
    <w:div w:id="165049908">
      <w:bodyDiv w:val="1"/>
      <w:marLeft w:val="0"/>
      <w:marRight w:val="0"/>
      <w:marTop w:val="0"/>
      <w:marBottom w:val="0"/>
      <w:divBdr>
        <w:top w:val="none" w:sz="0" w:space="0" w:color="auto"/>
        <w:left w:val="none" w:sz="0" w:space="0" w:color="auto"/>
        <w:bottom w:val="none" w:sz="0" w:space="0" w:color="auto"/>
        <w:right w:val="none" w:sz="0" w:space="0" w:color="auto"/>
      </w:divBdr>
      <w:divsChild>
        <w:div w:id="1656226426">
          <w:marLeft w:val="0"/>
          <w:marRight w:val="0"/>
          <w:marTop w:val="0"/>
          <w:marBottom w:val="0"/>
          <w:divBdr>
            <w:top w:val="none" w:sz="0" w:space="0" w:color="auto"/>
            <w:left w:val="none" w:sz="0" w:space="0" w:color="auto"/>
            <w:bottom w:val="none" w:sz="0" w:space="0" w:color="auto"/>
            <w:right w:val="none" w:sz="0" w:space="0" w:color="auto"/>
          </w:divBdr>
          <w:divsChild>
            <w:div w:id="148638913">
              <w:marLeft w:val="0"/>
              <w:marRight w:val="0"/>
              <w:marTop w:val="0"/>
              <w:marBottom w:val="0"/>
              <w:divBdr>
                <w:top w:val="none" w:sz="0" w:space="0" w:color="auto"/>
                <w:left w:val="none" w:sz="0" w:space="0" w:color="auto"/>
                <w:bottom w:val="none" w:sz="0" w:space="0" w:color="auto"/>
                <w:right w:val="none" w:sz="0" w:space="0" w:color="auto"/>
              </w:divBdr>
              <w:divsChild>
                <w:div w:id="712195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69032022">
      <w:bodyDiv w:val="1"/>
      <w:marLeft w:val="0"/>
      <w:marRight w:val="0"/>
      <w:marTop w:val="0"/>
      <w:marBottom w:val="0"/>
      <w:divBdr>
        <w:top w:val="none" w:sz="0" w:space="0" w:color="auto"/>
        <w:left w:val="none" w:sz="0" w:space="0" w:color="auto"/>
        <w:bottom w:val="none" w:sz="0" w:space="0" w:color="auto"/>
        <w:right w:val="none" w:sz="0" w:space="0" w:color="auto"/>
      </w:divBdr>
    </w:div>
    <w:div w:id="182325225">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056181">
      <w:bodyDiv w:val="1"/>
      <w:marLeft w:val="0"/>
      <w:marRight w:val="0"/>
      <w:marTop w:val="0"/>
      <w:marBottom w:val="0"/>
      <w:divBdr>
        <w:top w:val="none" w:sz="0" w:space="0" w:color="auto"/>
        <w:left w:val="none" w:sz="0" w:space="0" w:color="auto"/>
        <w:bottom w:val="none" w:sz="0" w:space="0" w:color="auto"/>
        <w:right w:val="none" w:sz="0" w:space="0" w:color="auto"/>
      </w:divBdr>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58679361">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88053694">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0133555">
      <w:bodyDiv w:val="1"/>
      <w:marLeft w:val="0"/>
      <w:marRight w:val="0"/>
      <w:marTop w:val="0"/>
      <w:marBottom w:val="0"/>
      <w:divBdr>
        <w:top w:val="none" w:sz="0" w:space="0" w:color="auto"/>
        <w:left w:val="none" w:sz="0" w:space="0" w:color="auto"/>
        <w:bottom w:val="none" w:sz="0" w:space="0" w:color="auto"/>
        <w:right w:val="none" w:sz="0" w:space="0" w:color="auto"/>
      </w:divBdr>
    </w:div>
    <w:div w:id="310521259">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14844853">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22465053">
      <w:bodyDiv w:val="1"/>
      <w:marLeft w:val="0"/>
      <w:marRight w:val="0"/>
      <w:marTop w:val="0"/>
      <w:marBottom w:val="0"/>
      <w:divBdr>
        <w:top w:val="none" w:sz="0" w:space="0" w:color="auto"/>
        <w:left w:val="none" w:sz="0" w:space="0" w:color="auto"/>
        <w:bottom w:val="none" w:sz="0" w:space="0" w:color="auto"/>
        <w:right w:val="none" w:sz="0" w:space="0" w:color="auto"/>
      </w:divBdr>
    </w:div>
    <w:div w:id="323051629">
      <w:bodyDiv w:val="1"/>
      <w:marLeft w:val="0"/>
      <w:marRight w:val="0"/>
      <w:marTop w:val="0"/>
      <w:marBottom w:val="0"/>
      <w:divBdr>
        <w:top w:val="none" w:sz="0" w:space="0" w:color="auto"/>
        <w:left w:val="none" w:sz="0" w:space="0" w:color="auto"/>
        <w:bottom w:val="none" w:sz="0" w:space="0" w:color="auto"/>
        <w:right w:val="none" w:sz="0" w:space="0" w:color="auto"/>
      </w:divBdr>
    </w:div>
    <w:div w:id="331881237">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39620751">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48802467">
      <w:bodyDiv w:val="1"/>
      <w:marLeft w:val="0"/>
      <w:marRight w:val="0"/>
      <w:marTop w:val="0"/>
      <w:marBottom w:val="0"/>
      <w:divBdr>
        <w:top w:val="none" w:sz="0" w:space="0" w:color="auto"/>
        <w:left w:val="none" w:sz="0" w:space="0" w:color="auto"/>
        <w:bottom w:val="none" w:sz="0" w:space="0" w:color="auto"/>
        <w:right w:val="none" w:sz="0" w:space="0" w:color="auto"/>
      </w:divBdr>
    </w:div>
    <w:div w:id="350959634">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2213253">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414997">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15446229">
      <w:bodyDiv w:val="1"/>
      <w:marLeft w:val="0"/>
      <w:marRight w:val="0"/>
      <w:marTop w:val="0"/>
      <w:marBottom w:val="0"/>
      <w:divBdr>
        <w:top w:val="none" w:sz="0" w:space="0" w:color="auto"/>
        <w:left w:val="none" w:sz="0" w:space="0" w:color="auto"/>
        <w:bottom w:val="none" w:sz="0" w:space="0" w:color="auto"/>
        <w:right w:val="none" w:sz="0" w:space="0" w:color="auto"/>
      </w:divBdr>
      <w:divsChild>
        <w:div w:id="1042360156">
          <w:marLeft w:val="0"/>
          <w:marRight w:val="0"/>
          <w:marTop w:val="0"/>
          <w:marBottom w:val="0"/>
          <w:divBdr>
            <w:top w:val="none" w:sz="0" w:space="0" w:color="auto"/>
            <w:left w:val="none" w:sz="0" w:space="0" w:color="auto"/>
            <w:bottom w:val="none" w:sz="0" w:space="0" w:color="auto"/>
            <w:right w:val="none" w:sz="0" w:space="0" w:color="auto"/>
          </w:divBdr>
          <w:divsChild>
            <w:div w:id="469910124">
              <w:marLeft w:val="0"/>
              <w:marRight w:val="0"/>
              <w:marTop w:val="0"/>
              <w:marBottom w:val="0"/>
              <w:divBdr>
                <w:top w:val="none" w:sz="0" w:space="0" w:color="auto"/>
                <w:left w:val="none" w:sz="0" w:space="0" w:color="auto"/>
                <w:bottom w:val="none" w:sz="0" w:space="0" w:color="auto"/>
                <w:right w:val="none" w:sz="0" w:space="0" w:color="auto"/>
              </w:divBdr>
              <w:divsChild>
                <w:div w:id="1034884912">
                  <w:marLeft w:val="0"/>
                  <w:marRight w:val="0"/>
                  <w:marTop w:val="0"/>
                  <w:marBottom w:val="0"/>
                  <w:divBdr>
                    <w:top w:val="none" w:sz="0" w:space="0" w:color="auto"/>
                    <w:left w:val="none" w:sz="0" w:space="0" w:color="auto"/>
                    <w:bottom w:val="none" w:sz="0" w:space="0" w:color="auto"/>
                    <w:right w:val="none" w:sz="0" w:space="0" w:color="auto"/>
                  </w:divBdr>
                  <w:divsChild>
                    <w:div w:id="172166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2648832">
      <w:bodyDiv w:val="1"/>
      <w:marLeft w:val="0"/>
      <w:marRight w:val="0"/>
      <w:marTop w:val="0"/>
      <w:marBottom w:val="0"/>
      <w:divBdr>
        <w:top w:val="none" w:sz="0" w:space="0" w:color="auto"/>
        <w:left w:val="none" w:sz="0" w:space="0" w:color="auto"/>
        <w:bottom w:val="none" w:sz="0" w:space="0" w:color="auto"/>
        <w:right w:val="none" w:sz="0" w:space="0" w:color="auto"/>
      </w:divBdr>
      <w:divsChild>
        <w:div w:id="1409310219">
          <w:marLeft w:val="0"/>
          <w:marRight w:val="0"/>
          <w:marTop w:val="0"/>
          <w:marBottom w:val="0"/>
          <w:divBdr>
            <w:top w:val="none" w:sz="0" w:space="0" w:color="auto"/>
            <w:left w:val="none" w:sz="0" w:space="0" w:color="auto"/>
            <w:bottom w:val="none" w:sz="0" w:space="0" w:color="auto"/>
            <w:right w:val="none" w:sz="0" w:space="0" w:color="auto"/>
          </w:divBdr>
        </w:div>
        <w:div w:id="1443302327">
          <w:marLeft w:val="0"/>
          <w:marRight w:val="0"/>
          <w:marTop w:val="0"/>
          <w:marBottom w:val="0"/>
          <w:divBdr>
            <w:top w:val="none" w:sz="0" w:space="0" w:color="auto"/>
            <w:left w:val="none" w:sz="0" w:space="0" w:color="auto"/>
            <w:bottom w:val="none" w:sz="0" w:space="0" w:color="auto"/>
            <w:right w:val="none" w:sz="0" w:space="0" w:color="auto"/>
          </w:divBdr>
        </w:div>
        <w:div w:id="1695307968">
          <w:marLeft w:val="0"/>
          <w:marRight w:val="0"/>
          <w:marTop w:val="0"/>
          <w:marBottom w:val="0"/>
          <w:divBdr>
            <w:top w:val="none" w:sz="0" w:space="0" w:color="auto"/>
            <w:left w:val="none" w:sz="0" w:space="0" w:color="auto"/>
            <w:bottom w:val="none" w:sz="0" w:space="0" w:color="auto"/>
            <w:right w:val="none" w:sz="0" w:space="0" w:color="auto"/>
          </w:divBdr>
        </w:div>
        <w:div w:id="2002462326">
          <w:marLeft w:val="0"/>
          <w:marRight w:val="0"/>
          <w:marTop w:val="0"/>
          <w:marBottom w:val="0"/>
          <w:divBdr>
            <w:top w:val="none" w:sz="0" w:space="0" w:color="auto"/>
            <w:left w:val="none" w:sz="0" w:space="0" w:color="auto"/>
            <w:bottom w:val="none" w:sz="0" w:space="0" w:color="auto"/>
            <w:right w:val="none" w:sz="0" w:space="0" w:color="auto"/>
          </w:divBdr>
        </w:div>
      </w:divsChild>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71487835">
      <w:bodyDiv w:val="1"/>
      <w:marLeft w:val="0"/>
      <w:marRight w:val="0"/>
      <w:marTop w:val="0"/>
      <w:marBottom w:val="0"/>
      <w:divBdr>
        <w:top w:val="none" w:sz="0" w:space="0" w:color="auto"/>
        <w:left w:val="none" w:sz="0" w:space="0" w:color="auto"/>
        <w:bottom w:val="none" w:sz="0" w:space="0" w:color="auto"/>
        <w:right w:val="none" w:sz="0" w:space="0" w:color="auto"/>
      </w:divBdr>
    </w:div>
    <w:div w:id="474681217">
      <w:bodyDiv w:val="1"/>
      <w:marLeft w:val="0"/>
      <w:marRight w:val="0"/>
      <w:marTop w:val="0"/>
      <w:marBottom w:val="0"/>
      <w:divBdr>
        <w:top w:val="none" w:sz="0" w:space="0" w:color="auto"/>
        <w:left w:val="none" w:sz="0" w:space="0" w:color="auto"/>
        <w:bottom w:val="none" w:sz="0" w:space="0" w:color="auto"/>
        <w:right w:val="none" w:sz="0" w:space="0" w:color="auto"/>
      </w:divBdr>
    </w:div>
    <w:div w:id="478150842">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488137663">
      <w:bodyDiv w:val="1"/>
      <w:marLeft w:val="0"/>
      <w:marRight w:val="0"/>
      <w:marTop w:val="0"/>
      <w:marBottom w:val="0"/>
      <w:divBdr>
        <w:top w:val="none" w:sz="0" w:space="0" w:color="auto"/>
        <w:left w:val="none" w:sz="0" w:space="0" w:color="auto"/>
        <w:bottom w:val="none" w:sz="0" w:space="0" w:color="auto"/>
        <w:right w:val="none" w:sz="0" w:space="0" w:color="auto"/>
      </w:divBdr>
      <w:divsChild>
        <w:div w:id="12804751">
          <w:marLeft w:val="0"/>
          <w:marRight w:val="0"/>
          <w:marTop w:val="0"/>
          <w:marBottom w:val="0"/>
          <w:divBdr>
            <w:top w:val="none" w:sz="0" w:space="0" w:color="auto"/>
            <w:left w:val="none" w:sz="0" w:space="0" w:color="auto"/>
            <w:bottom w:val="none" w:sz="0" w:space="0" w:color="auto"/>
            <w:right w:val="none" w:sz="0" w:space="0" w:color="auto"/>
          </w:divBdr>
          <w:divsChild>
            <w:div w:id="1757092539">
              <w:marLeft w:val="0"/>
              <w:marRight w:val="0"/>
              <w:marTop w:val="0"/>
              <w:marBottom w:val="0"/>
              <w:divBdr>
                <w:top w:val="none" w:sz="0" w:space="0" w:color="auto"/>
                <w:left w:val="none" w:sz="0" w:space="0" w:color="auto"/>
                <w:bottom w:val="none" w:sz="0" w:space="0" w:color="auto"/>
                <w:right w:val="none" w:sz="0" w:space="0" w:color="auto"/>
              </w:divBdr>
              <w:divsChild>
                <w:div w:id="9059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325819">
          <w:marLeft w:val="0"/>
          <w:marRight w:val="0"/>
          <w:marTop w:val="0"/>
          <w:marBottom w:val="0"/>
          <w:divBdr>
            <w:top w:val="none" w:sz="0" w:space="0" w:color="auto"/>
            <w:left w:val="none" w:sz="0" w:space="0" w:color="auto"/>
            <w:bottom w:val="none" w:sz="0" w:space="0" w:color="auto"/>
            <w:right w:val="none" w:sz="0" w:space="0" w:color="auto"/>
          </w:divBdr>
          <w:divsChild>
            <w:div w:id="526329996">
              <w:marLeft w:val="0"/>
              <w:marRight w:val="0"/>
              <w:marTop w:val="0"/>
              <w:marBottom w:val="0"/>
              <w:divBdr>
                <w:top w:val="none" w:sz="0" w:space="0" w:color="auto"/>
                <w:left w:val="none" w:sz="0" w:space="0" w:color="auto"/>
                <w:bottom w:val="none" w:sz="0" w:space="0" w:color="auto"/>
                <w:right w:val="none" w:sz="0" w:space="0" w:color="auto"/>
              </w:divBdr>
              <w:divsChild>
                <w:div w:id="527795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51323">
          <w:marLeft w:val="0"/>
          <w:marRight w:val="0"/>
          <w:marTop w:val="0"/>
          <w:marBottom w:val="0"/>
          <w:divBdr>
            <w:top w:val="none" w:sz="0" w:space="0" w:color="auto"/>
            <w:left w:val="none" w:sz="0" w:space="0" w:color="auto"/>
            <w:bottom w:val="none" w:sz="0" w:space="0" w:color="auto"/>
            <w:right w:val="none" w:sz="0" w:space="0" w:color="auto"/>
          </w:divBdr>
          <w:divsChild>
            <w:div w:id="1997612402">
              <w:marLeft w:val="0"/>
              <w:marRight w:val="0"/>
              <w:marTop w:val="0"/>
              <w:marBottom w:val="0"/>
              <w:divBdr>
                <w:top w:val="none" w:sz="0" w:space="0" w:color="auto"/>
                <w:left w:val="none" w:sz="0" w:space="0" w:color="auto"/>
                <w:bottom w:val="none" w:sz="0" w:space="0" w:color="auto"/>
                <w:right w:val="none" w:sz="0" w:space="0" w:color="auto"/>
              </w:divBdr>
              <w:divsChild>
                <w:div w:id="1496068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9274498">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3383649">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21301682">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074164726">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18734532">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12846565">
      <w:bodyDiv w:val="1"/>
      <w:marLeft w:val="0"/>
      <w:marRight w:val="0"/>
      <w:marTop w:val="0"/>
      <w:marBottom w:val="0"/>
      <w:divBdr>
        <w:top w:val="none" w:sz="0" w:space="0" w:color="auto"/>
        <w:left w:val="none" w:sz="0" w:space="0" w:color="auto"/>
        <w:bottom w:val="none" w:sz="0" w:space="0" w:color="auto"/>
        <w:right w:val="none" w:sz="0" w:space="0" w:color="auto"/>
      </w:divBdr>
    </w:div>
    <w:div w:id="512959422">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701324343">
          <w:marLeft w:val="0"/>
          <w:marRight w:val="0"/>
          <w:marTop w:val="0"/>
          <w:marBottom w:val="0"/>
          <w:divBdr>
            <w:top w:val="none" w:sz="0" w:space="0" w:color="auto"/>
            <w:left w:val="none" w:sz="0" w:space="0" w:color="auto"/>
            <w:bottom w:val="none" w:sz="0" w:space="0" w:color="auto"/>
            <w:right w:val="none" w:sz="0" w:space="0" w:color="auto"/>
          </w:divBdr>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5942789">
      <w:bodyDiv w:val="1"/>
      <w:marLeft w:val="0"/>
      <w:marRight w:val="0"/>
      <w:marTop w:val="0"/>
      <w:marBottom w:val="0"/>
      <w:divBdr>
        <w:top w:val="none" w:sz="0" w:space="0" w:color="auto"/>
        <w:left w:val="none" w:sz="0" w:space="0" w:color="auto"/>
        <w:bottom w:val="none" w:sz="0" w:space="0" w:color="auto"/>
        <w:right w:val="none" w:sz="0" w:space="0" w:color="auto"/>
      </w:divBdr>
    </w:div>
    <w:div w:id="526409728">
      <w:bodyDiv w:val="1"/>
      <w:marLeft w:val="0"/>
      <w:marRight w:val="0"/>
      <w:marTop w:val="0"/>
      <w:marBottom w:val="0"/>
      <w:divBdr>
        <w:top w:val="none" w:sz="0" w:space="0" w:color="auto"/>
        <w:left w:val="none" w:sz="0" w:space="0" w:color="auto"/>
        <w:bottom w:val="none" w:sz="0" w:space="0" w:color="auto"/>
        <w:right w:val="none" w:sz="0" w:space="0" w:color="auto"/>
      </w:divBdr>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2449049">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59361122">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140375">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5214150">
      <w:bodyDiv w:val="1"/>
      <w:marLeft w:val="0"/>
      <w:marRight w:val="0"/>
      <w:marTop w:val="0"/>
      <w:marBottom w:val="0"/>
      <w:divBdr>
        <w:top w:val="none" w:sz="0" w:space="0" w:color="auto"/>
        <w:left w:val="none" w:sz="0" w:space="0" w:color="auto"/>
        <w:bottom w:val="none" w:sz="0" w:space="0" w:color="auto"/>
        <w:right w:val="none" w:sz="0" w:space="0" w:color="auto"/>
      </w:divBdr>
      <w:divsChild>
        <w:div w:id="1768114359">
          <w:marLeft w:val="0"/>
          <w:marRight w:val="0"/>
          <w:marTop w:val="0"/>
          <w:marBottom w:val="0"/>
          <w:divBdr>
            <w:top w:val="none" w:sz="0" w:space="0" w:color="auto"/>
            <w:left w:val="none" w:sz="0" w:space="0" w:color="auto"/>
            <w:bottom w:val="none" w:sz="0" w:space="0" w:color="auto"/>
            <w:right w:val="none" w:sz="0" w:space="0" w:color="auto"/>
          </w:divBdr>
          <w:divsChild>
            <w:div w:id="1456832263">
              <w:marLeft w:val="0"/>
              <w:marRight w:val="0"/>
              <w:marTop w:val="0"/>
              <w:marBottom w:val="0"/>
              <w:divBdr>
                <w:top w:val="none" w:sz="0" w:space="0" w:color="auto"/>
                <w:left w:val="none" w:sz="0" w:space="0" w:color="auto"/>
                <w:bottom w:val="none" w:sz="0" w:space="0" w:color="auto"/>
                <w:right w:val="none" w:sz="0" w:space="0" w:color="auto"/>
              </w:divBdr>
              <w:divsChild>
                <w:div w:id="401178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05119038">
      <w:bodyDiv w:val="1"/>
      <w:marLeft w:val="0"/>
      <w:marRight w:val="0"/>
      <w:marTop w:val="0"/>
      <w:marBottom w:val="0"/>
      <w:divBdr>
        <w:top w:val="none" w:sz="0" w:space="0" w:color="auto"/>
        <w:left w:val="none" w:sz="0" w:space="0" w:color="auto"/>
        <w:bottom w:val="none" w:sz="0" w:space="0" w:color="auto"/>
        <w:right w:val="none" w:sz="0" w:space="0" w:color="auto"/>
      </w:divBdr>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40422574">
      <w:bodyDiv w:val="1"/>
      <w:marLeft w:val="0"/>
      <w:marRight w:val="0"/>
      <w:marTop w:val="0"/>
      <w:marBottom w:val="0"/>
      <w:divBdr>
        <w:top w:val="none" w:sz="0" w:space="0" w:color="auto"/>
        <w:left w:val="none" w:sz="0" w:space="0" w:color="auto"/>
        <w:bottom w:val="none" w:sz="0" w:space="0" w:color="auto"/>
        <w:right w:val="none" w:sz="0" w:space="0" w:color="auto"/>
      </w:divBdr>
    </w:div>
    <w:div w:id="640500519">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321897">
      <w:bodyDiv w:val="1"/>
      <w:marLeft w:val="0"/>
      <w:marRight w:val="0"/>
      <w:marTop w:val="0"/>
      <w:marBottom w:val="0"/>
      <w:divBdr>
        <w:top w:val="none" w:sz="0" w:space="0" w:color="auto"/>
        <w:left w:val="none" w:sz="0" w:space="0" w:color="auto"/>
        <w:bottom w:val="none" w:sz="0" w:space="0" w:color="auto"/>
        <w:right w:val="none" w:sz="0" w:space="0" w:color="auto"/>
      </w:divBdr>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0984687">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682512875">
      <w:bodyDiv w:val="1"/>
      <w:marLeft w:val="0"/>
      <w:marRight w:val="0"/>
      <w:marTop w:val="0"/>
      <w:marBottom w:val="0"/>
      <w:divBdr>
        <w:top w:val="none" w:sz="0" w:space="0" w:color="auto"/>
        <w:left w:val="none" w:sz="0" w:space="0" w:color="auto"/>
        <w:bottom w:val="none" w:sz="0" w:space="0" w:color="auto"/>
        <w:right w:val="none" w:sz="0" w:space="0" w:color="auto"/>
      </w:divBdr>
    </w:div>
    <w:div w:id="692609703">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8632788">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1758148">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7657133">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0279955">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34757641">
          <w:marLeft w:val="0"/>
          <w:marRight w:val="0"/>
          <w:marTop w:val="0"/>
          <w:marBottom w:val="0"/>
          <w:divBdr>
            <w:top w:val="none" w:sz="0" w:space="0" w:color="auto"/>
            <w:left w:val="none" w:sz="0" w:space="0" w:color="auto"/>
            <w:bottom w:val="none" w:sz="0" w:space="0" w:color="auto"/>
            <w:right w:val="none" w:sz="0" w:space="0" w:color="auto"/>
          </w:divBdr>
        </w:div>
        <w:div w:id="183327756">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315379722">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 w:id="1640528279">
              <w:marLeft w:val="0"/>
              <w:marRight w:val="0"/>
              <w:marTop w:val="0"/>
              <w:marBottom w:val="0"/>
              <w:divBdr>
                <w:top w:val="none" w:sz="0" w:space="0" w:color="auto"/>
                <w:left w:val="none" w:sz="0" w:space="0" w:color="auto"/>
                <w:bottom w:val="none" w:sz="0" w:space="0" w:color="auto"/>
                <w:right w:val="none" w:sz="0" w:space="0" w:color="auto"/>
              </w:divBdr>
            </w:div>
          </w:divsChild>
        </w:div>
        <w:div w:id="1856578142">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sChild>
    </w:div>
    <w:div w:id="794178128">
      <w:bodyDiv w:val="1"/>
      <w:marLeft w:val="0"/>
      <w:marRight w:val="0"/>
      <w:marTop w:val="0"/>
      <w:marBottom w:val="0"/>
      <w:divBdr>
        <w:top w:val="none" w:sz="0" w:space="0" w:color="auto"/>
        <w:left w:val="none" w:sz="0" w:space="0" w:color="auto"/>
        <w:bottom w:val="none" w:sz="0" w:space="0" w:color="auto"/>
        <w:right w:val="none" w:sz="0" w:space="0" w:color="auto"/>
      </w:divBdr>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08321035">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38158970">
      <w:bodyDiv w:val="1"/>
      <w:marLeft w:val="0"/>
      <w:marRight w:val="0"/>
      <w:marTop w:val="0"/>
      <w:marBottom w:val="0"/>
      <w:divBdr>
        <w:top w:val="none" w:sz="0" w:space="0" w:color="auto"/>
        <w:left w:val="none" w:sz="0" w:space="0" w:color="auto"/>
        <w:bottom w:val="none" w:sz="0" w:space="0" w:color="auto"/>
        <w:right w:val="none" w:sz="0" w:space="0" w:color="auto"/>
      </w:divBdr>
    </w:div>
    <w:div w:id="841503518">
      <w:bodyDiv w:val="1"/>
      <w:marLeft w:val="0"/>
      <w:marRight w:val="0"/>
      <w:marTop w:val="0"/>
      <w:marBottom w:val="0"/>
      <w:divBdr>
        <w:top w:val="none" w:sz="0" w:space="0" w:color="auto"/>
        <w:left w:val="none" w:sz="0" w:space="0" w:color="auto"/>
        <w:bottom w:val="none" w:sz="0" w:space="0" w:color="auto"/>
        <w:right w:val="none" w:sz="0" w:space="0" w:color="auto"/>
      </w:divBdr>
      <w:divsChild>
        <w:div w:id="1472594732">
          <w:marLeft w:val="0"/>
          <w:marRight w:val="0"/>
          <w:marTop w:val="0"/>
          <w:marBottom w:val="0"/>
          <w:divBdr>
            <w:top w:val="none" w:sz="0" w:space="0" w:color="auto"/>
            <w:left w:val="none" w:sz="0" w:space="0" w:color="auto"/>
            <w:bottom w:val="none" w:sz="0" w:space="0" w:color="auto"/>
            <w:right w:val="none" w:sz="0" w:space="0" w:color="auto"/>
          </w:divBdr>
          <w:divsChild>
            <w:div w:id="558857304">
              <w:marLeft w:val="0"/>
              <w:marRight w:val="0"/>
              <w:marTop w:val="0"/>
              <w:marBottom w:val="0"/>
              <w:divBdr>
                <w:top w:val="none" w:sz="0" w:space="0" w:color="auto"/>
                <w:left w:val="none" w:sz="0" w:space="0" w:color="auto"/>
                <w:bottom w:val="none" w:sz="0" w:space="0" w:color="auto"/>
                <w:right w:val="none" w:sz="0" w:space="0" w:color="auto"/>
              </w:divBdr>
              <w:divsChild>
                <w:div w:id="1644502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45830520">
      <w:bodyDiv w:val="1"/>
      <w:marLeft w:val="0"/>
      <w:marRight w:val="0"/>
      <w:marTop w:val="0"/>
      <w:marBottom w:val="0"/>
      <w:divBdr>
        <w:top w:val="none" w:sz="0" w:space="0" w:color="auto"/>
        <w:left w:val="none" w:sz="0" w:space="0" w:color="auto"/>
        <w:bottom w:val="none" w:sz="0" w:space="0" w:color="auto"/>
        <w:right w:val="none" w:sz="0" w:space="0" w:color="auto"/>
      </w:divBdr>
    </w:div>
    <w:div w:id="850337716">
      <w:bodyDiv w:val="1"/>
      <w:marLeft w:val="0"/>
      <w:marRight w:val="0"/>
      <w:marTop w:val="0"/>
      <w:marBottom w:val="0"/>
      <w:divBdr>
        <w:top w:val="none" w:sz="0" w:space="0" w:color="auto"/>
        <w:left w:val="none" w:sz="0" w:space="0" w:color="auto"/>
        <w:bottom w:val="none" w:sz="0" w:space="0" w:color="auto"/>
        <w:right w:val="none" w:sz="0" w:space="0" w:color="auto"/>
      </w:divBdr>
      <w:divsChild>
        <w:div w:id="1303539871">
          <w:marLeft w:val="0"/>
          <w:marRight w:val="0"/>
          <w:marTop w:val="0"/>
          <w:marBottom w:val="0"/>
          <w:divBdr>
            <w:top w:val="none" w:sz="0" w:space="0" w:color="auto"/>
            <w:left w:val="none" w:sz="0" w:space="0" w:color="auto"/>
            <w:bottom w:val="none" w:sz="0" w:space="0" w:color="auto"/>
            <w:right w:val="none" w:sz="0" w:space="0" w:color="auto"/>
          </w:divBdr>
          <w:divsChild>
            <w:div w:id="494688211">
              <w:marLeft w:val="0"/>
              <w:marRight w:val="0"/>
              <w:marTop w:val="0"/>
              <w:marBottom w:val="0"/>
              <w:divBdr>
                <w:top w:val="none" w:sz="0" w:space="0" w:color="auto"/>
                <w:left w:val="none" w:sz="0" w:space="0" w:color="auto"/>
                <w:bottom w:val="none" w:sz="0" w:space="0" w:color="auto"/>
                <w:right w:val="none" w:sz="0" w:space="0" w:color="auto"/>
              </w:divBdr>
              <w:divsChild>
                <w:div w:id="1644038439">
                  <w:marLeft w:val="0"/>
                  <w:marRight w:val="0"/>
                  <w:marTop w:val="0"/>
                  <w:marBottom w:val="0"/>
                  <w:divBdr>
                    <w:top w:val="none" w:sz="0" w:space="0" w:color="auto"/>
                    <w:left w:val="none" w:sz="0" w:space="0" w:color="auto"/>
                    <w:bottom w:val="none" w:sz="0" w:space="0" w:color="auto"/>
                    <w:right w:val="none" w:sz="0" w:space="0" w:color="auto"/>
                  </w:divBdr>
                  <w:divsChild>
                    <w:div w:id="9324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5048670">
      <w:bodyDiv w:val="1"/>
      <w:marLeft w:val="0"/>
      <w:marRight w:val="0"/>
      <w:marTop w:val="0"/>
      <w:marBottom w:val="0"/>
      <w:divBdr>
        <w:top w:val="none" w:sz="0" w:space="0" w:color="auto"/>
        <w:left w:val="none" w:sz="0" w:space="0" w:color="auto"/>
        <w:bottom w:val="none" w:sz="0" w:space="0" w:color="auto"/>
        <w:right w:val="none" w:sz="0" w:space="0" w:color="auto"/>
      </w:divBdr>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894200762">
      <w:bodyDiv w:val="1"/>
      <w:marLeft w:val="0"/>
      <w:marRight w:val="0"/>
      <w:marTop w:val="0"/>
      <w:marBottom w:val="0"/>
      <w:divBdr>
        <w:top w:val="none" w:sz="0" w:space="0" w:color="auto"/>
        <w:left w:val="none" w:sz="0" w:space="0" w:color="auto"/>
        <w:bottom w:val="none" w:sz="0" w:space="0" w:color="auto"/>
        <w:right w:val="none" w:sz="0" w:space="0" w:color="auto"/>
      </w:divBdr>
    </w:div>
    <w:div w:id="903639335">
      <w:bodyDiv w:val="1"/>
      <w:marLeft w:val="0"/>
      <w:marRight w:val="0"/>
      <w:marTop w:val="0"/>
      <w:marBottom w:val="0"/>
      <w:divBdr>
        <w:top w:val="none" w:sz="0" w:space="0" w:color="auto"/>
        <w:left w:val="none" w:sz="0" w:space="0" w:color="auto"/>
        <w:bottom w:val="none" w:sz="0" w:space="0" w:color="auto"/>
        <w:right w:val="none" w:sz="0" w:space="0" w:color="auto"/>
      </w:divBdr>
    </w:div>
    <w:div w:id="903835039">
      <w:bodyDiv w:val="1"/>
      <w:marLeft w:val="0"/>
      <w:marRight w:val="0"/>
      <w:marTop w:val="0"/>
      <w:marBottom w:val="0"/>
      <w:divBdr>
        <w:top w:val="none" w:sz="0" w:space="0" w:color="auto"/>
        <w:left w:val="none" w:sz="0" w:space="0" w:color="auto"/>
        <w:bottom w:val="none" w:sz="0" w:space="0" w:color="auto"/>
        <w:right w:val="none" w:sz="0" w:space="0" w:color="auto"/>
      </w:divBdr>
    </w:div>
    <w:div w:id="908031242">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430862631">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149979592">
              <w:marLeft w:val="0"/>
              <w:marRight w:val="0"/>
              <w:marTop w:val="0"/>
              <w:marBottom w:val="0"/>
              <w:divBdr>
                <w:top w:val="none" w:sz="0" w:space="0" w:color="auto"/>
                <w:left w:val="none" w:sz="0" w:space="0" w:color="auto"/>
                <w:bottom w:val="none" w:sz="0" w:space="0" w:color="auto"/>
                <w:right w:val="none" w:sz="0" w:space="0" w:color="auto"/>
              </w:divBdr>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7587085">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617834">
          <w:marLeft w:val="0"/>
          <w:marRight w:val="0"/>
          <w:marTop w:val="0"/>
          <w:marBottom w:val="0"/>
          <w:divBdr>
            <w:top w:val="none" w:sz="0" w:space="0" w:color="auto"/>
            <w:left w:val="none" w:sz="0" w:space="0" w:color="auto"/>
            <w:bottom w:val="none" w:sz="0" w:space="0" w:color="auto"/>
            <w:right w:val="none" w:sz="0" w:space="0" w:color="auto"/>
          </w:divBdr>
        </w:div>
        <w:div w:id="2016032639">
          <w:marLeft w:val="0"/>
          <w:marRight w:val="0"/>
          <w:marTop w:val="0"/>
          <w:marBottom w:val="0"/>
          <w:divBdr>
            <w:top w:val="none" w:sz="0" w:space="0" w:color="auto"/>
            <w:left w:val="none" w:sz="0" w:space="0" w:color="auto"/>
            <w:bottom w:val="none" w:sz="0" w:space="0" w:color="auto"/>
            <w:right w:val="none" w:sz="0" w:space="0" w:color="auto"/>
          </w:divBdr>
        </w:div>
      </w:divsChild>
    </w:div>
    <w:div w:id="911041718">
      <w:bodyDiv w:val="1"/>
      <w:marLeft w:val="0"/>
      <w:marRight w:val="0"/>
      <w:marTop w:val="0"/>
      <w:marBottom w:val="0"/>
      <w:divBdr>
        <w:top w:val="none" w:sz="0" w:space="0" w:color="auto"/>
        <w:left w:val="none" w:sz="0" w:space="0" w:color="auto"/>
        <w:bottom w:val="none" w:sz="0" w:space="0" w:color="auto"/>
        <w:right w:val="none" w:sz="0" w:space="0" w:color="auto"/>
      </w:divBdr>
      <w:divsChild>
        <w:div w:id="1137260476">
          <w:marLeft w:val="0"/>
          <w:marRight w:val="0"/>
          <w:marTop w:val="0"/>
          <w:marBottom w:val="0"/>
          <w:divBdr>
            <w:top w:val="none" w:sz="0" w:space="0" w:color="auto"/>
            <w:left w:val="none" w:sz="0" w:space="0" w:color="auto"/>
            <w:bottom w:val="none" w:sz="0" w:space="0" w:color="auto"/>
            <w:right w:val="none" w:sz="0" w:space="0" w:color="auto"/>
          </w:divBdr>
          <w:divsChild>
            <w:div w:id="583683679">
              <w:marLeft w:val="0"/>
              <w:marRight w:val="0"/>
              <w:marTop w:val="0"/>
              <w:marBottom w:val="0"/>
              <w:divBdr>
                <w:top w:val="none" w:sz="0" w:space="0" w:color="auto"/>
                <w:left w:val="none" w:sz="0" w:space="0" w:color="auto"/>
                <w:bottom w:val="none" w:sz="0" w:space="0" w:color="auto"/>
                <w:right w:val="none" w:sz="0" w:space="0" w:color="auto"/>
              </w:divBdr>
              <w:divsChild>
                <w:div w:id="356733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2814326">
      <w:bodyDiv w:val="1"/>
      <w:marLeft w:val="0"/>
      <w:marRight w:val="0"/>
      <w:marTop w:val="0"/>
      <w:marBottom w:val="0"/>
      <w:divBdr>
        <w:top w:val="none" w:sz="0" w:space="0" w:color="auto"/>
        <w:left w:val="none" w:sz="0" w:space="0" w:color="auto"/>
        <w:bottom w:val="none" w:sz="0" w:space="0" w:color="auto"/>
        <w:right w:val="none" w:sz="0" w:space="0" w:color="auto"/>
      </w:divBdr>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5843760">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0697938">
      <w:bodyDiv w:val="1"/>
      <w:marLeft w:val="0"/>
      <w:marRight w:val="0"/>
      <w:marTop w:val="0"/>
      <w:marBottom w:val="0"/>
      <w:divBdr>
        <w:top w:val="none" w:sz="0" w:space="0" w:color="auto"/>
        <w:left w:val="none" w:sz="0" w:space="0" w:color="auto"/>
        <w:bottom w:val="none" w:sz="0" w:space="0" w:color="auto"/>
        <w:right w:val="none" w:sz="0" w:space="0" w:color="auto"/>
      </w:divBdr>
      <w:divsChild>
        <w:div w:id="828402056">
          <w:marLeft w:val="0"/>
          <w:marRight w:val="0"/>
          <w:marTop w:val="0"/>
          <w:marBottom w:val="0"/>
          <w:divBdr>
            <w:top w:val="none" w:sz="0" w:space="0" w:color="auto"/>
            <w:left w:val="none" w:sz="0" w:space="0" w:color="auto"/>
            <w:bottom w:val="none" w:sz="0" w:space="0" w:color="auto"/>
            <w:right w:val="none" w:sz="0" w:space="0" w:color="auto"/>
          </w:divBdr>
          <w:divsChild>
            <w:div w:id="1376853896">
              <w:marLeft w:val="0"/>
              <w:marRight w:val="0"/>
              <w:marTop w:val="0"/>
              <w:marBottom w:val="0"/>
              <w:divBdr>
                <w:top w:val="none" w:sz="0" w:space="0" w:color="auto"/>
                <w:left w:val="none" w:sz="0" w:space="0" w:color="auto"/>
                <w:bottom w:val="none" w:sz="0" w:space="0" w:color="auto"/>
                <w:right w:val="none" w:sz="0" w:space="0" w:color="auto"/>
              </w:divBdr>
              <w:divsChild>
                <w:div w:id="885603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51285824">
      <w:bodyDiv w:val="1"/>
      <w:marLeft w:val="0"/>
      <w:marRight w:val="0"/>
      <w:marTop w:val="0"/>
      <w:marBottom w:val="0"/>
      <w:divBdr>
        <w:top w:val="none" w:sz="0" w:space="0" w:color="auto"/>
        <w:left w:val="none" w:sz="0" w:space="0" w:color="auto"/>
        <w:bottom w:val="none" w:sz="0" w:space="0" w:color="auto"/>
        <w:right w:val="none" w:sz="0" w:space="0" w:color="auto"/>
      </w:divBdr>
    </w:div>
    <w:div w:id="961688723">
      <w:bodyDiv w:val="1"/>
      <w:marLeft w:val="0"/>
      <w:marRight w:val="0"/>
      <w:marTop w:val="0"/>
      <w:marBottom w:val="0"/>
      <w:divBdr>
        <w:top w:val="none" w:sz="0" w:space="0" w:color="auto"/>
        <w:left w:val="none" w:sz="0" w:space="0" w:color="auto"/>
        <w:bottom w:val="none" w:sz="0" w:space="0" w:color="auto"/>
        <w:right w:val="none" w:sz="0" w:space="0" w:color="auto"/>
      </w:divBdr>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9262557">
      <w:bodyDiv w:val="1"/>
      <w:marLeft w:val="0"/>
      <w:marRight w:val="0"/>
      <w:marTop w:val="0"/>
      <w:marBottom w:val="0"/>
      <w:divBdr>
        <w:top w:val="none" w:sz="0" w:space="0" w:color="auto"/>
        <w:left w:val="none" w:sz="0" w:space="0" w:color="auto"/>
        <w:bottom w:val="none" w:sz="0" w:space="0" w:color="auto"/>
        <w:right w:val="none" w:sz="0" w:space="0" w:color="auto"/>
      </w:divBdr>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991757469">
      <w:bodyDiv w:val="1"/>
      <w:marLeft w:val="0"/>
      <w:marRight w:val="0"/>
      <w:marTop w:val="0"/>
      <w:marBottom w:val="0"/>
      <w:divBdr>
        <w:top w:val="none" w:sz="0" w:space="0" w:color="auto"/>
        <w:left w:val="none" w:sz="0" w:space="0" w:color="auto"/>
        <w:bottom w:val="none" w:sz="0" w:space="0" w:color="auto"/>
        <w:right w:val="none" w:sz="0" w:space="0" w:color="auto"/>
      </w:divBdr>
    </w:div>
    <w:div w:id="995498117">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97680798">
              <w:marLeft w:val="0"/>
              <w:marRight w:val="0"/>
              <w:marTop w:val="0"/>
              <w:marBottom w:val="0"/>
              <w:divBdr>
                <w:top w:val="none" w:sz="0" w:space="0" w:color="auto"/>
                <w:left w:val="none" w:sz="0" w:space="0" w:color="auto"/>
                <w:bottom w:val="none" w:sz="0" w:space="0" w:color="auto"/>
                <w:right w:val="none" w:sz="0" w:space="0" w:color="auto"/>
              </w:divBdr>
            </w:div>
            <w:div w:id="1104544632">
              <w:marLeft w:val="0"/>
              <w:marRight w:val="0"/>
              <w:marTop w:val="0"/>
              <w:marBottom w:val="0"/>
              <w:divBdr>
                <w:top w:val="none" w:sz="0" w:space="0" w:color="auto"/>
                <w:left w:val="none" w:sz="0" w:space="0" w:color="auto"/>
                <w:bottom w:val="none" w:sz="0" w:space="0" w:color="auto"/>
                <w:right w:val="none" w:sz="0" w:space="0" w:color="auto"/>
              </w:divBdr>
              <w:divsChild>
                <w:div w:id="244340040">
                  <w:marLeft w:val="0"/>
                  <w:marRight w:val="0"/>
                  <w:marTop w:val="0"/>
                  <w:marBottom w:val="0"/>
                  <w:divBdr>
                    <w:top w:val="none" w:sz="0" w:space="0" w:color="auto"/>
                    <w:left w:val="none" w:sz="0" w:space="0" w:color="auto"/>
                    <w:bottom w:val="none" w:sz="0" w:space="0" w:color="auto"/>
                    <w:right w:val="none" w:sz="0" w:space="0" w:color="auto"/>
                  </w:divBdr>
                </w:div>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30421742">
                  <w:marLeft w:val="0"/>
                  <w:marRight w:val="0"/>
                  <w:marTop w:val="0"/>
                  <w:marBottom w:val="0"/>
                  <w:divBdr>
                    <w:top w:val="none" w:sz="0" w:space="0" w:color="auto"/>
                    <w:left w:val="none" w:sz="0" w:space="0" w:color="auto"/>
                    <w:bottom w:val="none" w:sz="0" w:space="0" w:color="auto"/>
                    <w:right w:val="none" w:sz="0" w:space="0" w:color="auto"/>
                  </w:divBdr>
                </w:div>
                <w:div w:id="544874625">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2952161">
      <w:bodyDiv w:val="1"/>
      <w:marLeft w:val="0"/>
      <w:marRight w:val="0"/>
      <w:marTop w:val="0"/>
      <w:marBottom w:val="0"/>
      <w:divBdr>
        <w:top w:val="none" w:sz="0" w:space="0" w:color="auto"/>
        <w:left w:val="none" w:sz="0" w:space="0" w:color="auto"/>
        <w:bottom w:val="none" w:sz="0" w:space="0" w:color="auto"/>
        <w:right w:val="none" w:sz="0" w:space="0" w:color="auto"/>
      </w:divBdr>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91754144">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7260892">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sChild>
    </w:div>
    <w:div w:id="1025904290">
      <w:bodyDiv w:val="1"/>
      <w:marLeft w:val="0"/>
      <w:marRight w:val="0"/>
      <w:marTop w:val="0"/>
      <w:marBottom w:val="0"/>
      <w:divBdr>
        <w:top w:val="none" w:sz="0" w:space="0" w:color="auto"/>
        <w:left w:val="none" w:sz="0" w:space="0" w:color="auto"/>
        <w:bottom w:val="none" w:sz="0" w:space="0" w:color="auto"/>
        <w:right w:val="none" w:sz="0" w:space="0" w:color="auto"/>
      </w:divBdr>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48801666">
      <w:bodyDiv w:val="1"/>
      <w:marLeft w:val="0"/>
      <w:marRight w:val="0"/>
      <w:marTop w:val="0"/>
      <w:marBottom w:val="0"/>
      <w:divBdr>
        <w:top w:val="none" w:sz="0" w:space="0" w:color="auto"/>
        <w:left w:val="none" w:sz="0" w:space="0" w:color="auto"/>
        <w:bottom w:val="none" w:sz="0" w:space="0" w:color="auto"/>
        <w:right w:val="none" w:sz="0" w:space="0" w:color="auto"/>
      </w:divBdr>
    </w:div>
    <w:div w:id="1058092731">
      <w:bodyDiv w:val="1"/>
      <w:marLeft w:val="0"/>
      <w:marRight w:val="0"/>
      <w:marTop w:val="0"/>
      <w:marBottom w:val="0"/>
      <w:divBdr>
        <w:top w:val="none" w:sz="0" w:space="0" w:color="auto"/>
        <w:left w:val="none" w:sz="0" w:space="0" w:color="auto"/>
        <w:bottom w:val="none" w:sz="0" w:space="0" w:color="auto"/>
        <w:right w:val="none" w:sz="0" w:space="0" w:color="auto"/>
      </w:divBdr>
      <w:divsChild>
        <w:div w:id="808011002">
          <w:marLeft w:val="0"/>
          <w:marRight w:val="0"/>
          <w:marTop w:val="0"/>
          <w:marBottom w:val="0"/>
          <w:divBdr>
            <w:top w:val="none" w:sz="0" w:space="0" w:color="auto"/>
            <w:left w:val="none" w:sz="0" w:space="0" w:color="auto"/>
            <w:bottom w:val="none" w:sz="0" w:space="0" w:color="auto"/>
            <w:right w:val="none" w:sz="0" w:space="0" w:color="auto"/>
          </w:divBdr>
          <w:divsChild>
            <w:div w:id="681082843">
              <w:marLeft w:val="0"/>
              <w:marRight w:val="0"/>
              <w:marTop w:val="0"/>
              <w:marBottom w:val="0"/>
              <w:divBdr>
                <w:top w:val="none" w:sz="0" w:space="0" w:color="auto"/>
                <w:left w:val="none" w:sz="0" w:space="0" w:color="auto"/>
                <w:bottom w:val="none" w:sz="0" w:space="0" w:color="auto"/>
                <w:right w:val="none" w:sz="0" w:space="0" w:color="auto"/>
              </w:divBdr>
              <w:divsChild>
                <w:div w:id="1184633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086416888">
      <w:bodyDiv w:val="1"/>
      <w:marLeft w:val="0"/>
      <w:marRight w:val="0"/>
      <w:marTop w:val="0"/>
      <w:marBottom w:val="0"/>
      <w:divBdr>
        <w:top w:val="none" w:sz="0" w:space="0" w:color="auto"/>
        <w:left w:val="none" w:sz="0" w:space="0" w:color="auto"/>
        <w:bottom w:val="none" w:sz="0" w:space="0" w:color="auto"/>
        <w:right w:val="none" w:sz="0" w:space="0" w:color="auto"/>
      </w:divBdr>
    </w:div>
    <w:div w:id="1096756538">
      <w:bodyDiv w:val="1"/>
      <w:marLeft w:val="0"/>
      <w:marRight w:val="0"/>
      <w:marTop w:val="0"/>
      <w:marBottom w:val="0"/>
      <w:divBdr>
        <w:top w:val="none" w:sz="0" w:space="0" w:color="auto"/>
        <w:left w:val="none" w:sz="0" w:space="0" w:color="auto"/>
        <w:bottom w:val="none" w:sz="0" w:space="0" w:color="auto"/>
        <w:right w:val="none" w:sz="0" w:space="0" w:color="auto"/>
      </w:divBdr>
      <w:divsChild>
        <w:div w:id="1676226975">
          <w:marLeft w:val="0"/>
          <w:marRight w:val="0"/>
          <w:marTop w:val="0"/>
          <w:marBottom w:val="0"/>
          <w:divBdr>
            <w:top w:val="none" w:sz="0" w:space="0" w:color="auto"/>
            <w:left w:val="none" w:sz="0" w:space="0" w:color="auto"/>
            <w:bottom w:val="none" w:sz="0" w:space="0" w:color="auto"/>
            <w:right w:val="none" w:sz="0" w:space="0" w:color="auto"/>
          </w:divBdr>
          <w:divsChild>
            <w:div w:id="2061784856">
              <w:marLeft w:val="0"/>
              <w:marRight w:val="0"/>
              <w:marTop w:val="0"/>
              <w:marBottom w:val="0"/>
              <w:divBdr>
                <w:top w:val="none" w:sz="0" w:space="0" w:color="auto"/>
                <w:left w:val="none" w:sz="0" w:space="0" w:color="auto"/>
                <w:bottom w:val="none" w:sz="0" w:space="0" w:color="auto"/>
                <w:right w:val="none" w:sz="0" w:space="0" w:color="auto"/>
              </w:divBdr>
              <w:divsChild>
                <w:div w:id="1133212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2533683">
      <w:bodyDiv w:val="1"/>
      <w:marLeft w:val="0"/>
      <w:marRight w:val="0"/>
      <w:marTop w:val="0"/>
      <w:marBottom w:val="0"/>
      <w:divBdr>
        <w:top w:val="none" w:sz="0" w:space="0" w:color="auto"/>
        <w:left w:val="none" w:sz="0" w:space="0" w:color="auto"/>
        <w:bottom w:val="none" w:sz="0" w:space="0" w:color="auto"/>
        <w:right w:val="none" w:sz="0" w:space="0" w:color="auto"/>
      </w:divBdr>
      <w:divsChild>
        <w:div w:id="937952928">
          <w:marLeft w:val="0"/>
          <w:marRight w:val="0"/>
          <w:marTop w:val="0"/>
          <w:marBottom w:val="0"/>
          <w:divBdr>
            <w:top w:val="none" w:sz="0" w:space="0" w:color="auto"/>
            <w:left w:val="none" w:sz="0" w:space="0" w:color="auto"/>
            <w:bottom w:val="none" w:sz="0" w:space="0" w:color="auto"/>
            <w:right w:val="none" w:sz="0" w:space="0" w:color="auto"/>
          </w:divBdr>
          <w:divsChild>
            <w:div w:id="266161672">
              <w:marLeft w:val="0"/>
              <w:marRight w:val="0"/>
              <w:marTop w:val="0"/>
              <w:marBottom w:val="0"/>
              <w:divBdr>
                <w:top w:val="none" w:sz="0" w:space="0" w:color="auto"/>
                <w:left w:val="none" w:sz="0" w:space="0" w:color="auto"/>
                <w:bottom w:val="none" w:sz="0" w:space="0" w:color="auto"/>
                <w:right w:val="none" w:sz="0" w:space="0" w:color="auto"/>
              </w:divBdr>
              <w:divsChild>
                <w:div w:id="1082483636">
                  <w:marLeft w:val="0"/>
                  <w:marRight w:val="0"/>
                  <w:marTop w:val="0"/>
                  <w:marBottom w:val="0"/>
                  <w:divBdr>
                    <w:top w:val="none" w:sz="0" w:space="0" w:color="auto"/>
                    <w:left w:val="none" w:sz="0" w:space="0" w:color="auto"/>
                    <w:bottom w:val="none" w:sz="0" w:space="0" w:color="auto"/>
                    <w:right w:val="none" w:sz="0" w:space="0" w:color="auto"/>
                  </w:divBdr>
                  <w:divsChild>
                    <w:div w:id="1671371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05728353">
      <w:bodyDiv w:val="1"/>
      <w:marLeft w:val="0"/>
      <w:marRight w:val="0"/>
      <w:marTop w:val="0"/>
      <w:marBottom w:val="0"/>
      <w:divBdr>
        <w:top w:val="none" w:sz="0" w:space="0" w:color="auto"/>
        <w:left w:val="none" w:sz="0" w:space="0" w:color="auto"/>
        <w:bottom w:val="none" w:sz="0" w:space="0" w:color="auto"/>
        <w:right w:val="none" w:sz="0" w:space="0" w:color="auto"/>
      </w:divBdr>
    </w:div>
    <w:div w:id="1110005402">
      <w:bodyDiv w:val="1"/>
      <w:marLeft w:val="0"/>
      <w:marRight w:val="0"/>
      <w:marTop w:val="0"/>
      <w:marBottom w:val="0"/>
      <w:divBdr>
        <w:top w:val="none" w:sz="0" w:space="0" w:color="auto"/>
        <w:left w:val="none" w:sz="0" w:space="0" w:color="auto"/>
        <w:bottom w:val="none" w:sz="0" w:space="0" w:color="auto"/>
        <w:right w:val="none" w:sz="0" w:space="0" w:color="auto"/>
      </w:divBdr>
    </w:div>
    <w:div w:id="1112481275">
      <w:bodyDiv w:val="1"/>
      <w:marLeft w:val="0"/>
      <w:marRight w:val="0"/>
      <w:marTop w:val="0"/>
      <w:marBottom w:val="0"/>
      <w:divBdr>
        <w:top w:val="none" w:sz="0" w:space="0" w:color="auto"/>
        <w:left w:val="none" w:sz="0" w:space="0" w:color="auto"/>
        <w:bottom w:val="none" w:sz="0" w:space="0" w:color="auto"/>
        <w:right w:val="none" w:sz="0" w:space="0" w:color="auto"/>
      </w:divBdr>
    </w:div>
    <w:div w:id="1115715178">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40071537">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80585647">
      <w:bodyDiv w:val="1"/>
      <w:marLeft w:val="0"/>
      <w:marRight w:val="0"/>
      <w:marTop w:val="0"/>
      <w:marBottom w:val="0"/>
      <w:divBdr>
        <w:top w:val="none" w:sz="0" w:space="0" w:color="auto"/>
        <w:left w:val="none" w:sz="0" w:space="0" w:color="auto"/>
        <w:bottom w:val="none" w:sz="0" w:space="0" w:color="auto"/>
        <w:right w:val="none" w:sz="0" w:space="0" w:color="auto"/>
      </w:divBdr>
    </w:div>
    <w:div w:id="1191649574">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2572790">
      <w:bodyDiv w:val="1"/>
      <w:marLeft w:val="0"/>
      <w:marRight w:val="0"/>
      <w:marTop w:val="0"/>
      <w:marBottom w:val="0"/>
      <w:divBdr>
        <w:top w:val="none" w:sz="0" w:space="0" w:color="auto"/>
        <w:left w:val="none" w:sz="0" w:space="0" w:color="auto"/>
        <w:bottom w:val="none" w:sz="0" w:space="0" w:color="auto"/>
        <w:right w:val="none" w:sz="0" w:space="0" w:color="auto"/>
      </w:divBdr>
    </w:div>
    <w:div w:id="1213425965">
      <w:bodyDiv w:val="1"/>
      <w:marLeft w:val="0"/>
      <w:marRight w:val="0"/>
      <w:marTop w:val="0"/>
      <w:marBottom w:val="0"/>
      <w:divBdr>
        <w:top w:val="none" w:sz="0" w:space="0" w:color="auto"/>
        <w:left w:val="none" w:sz="0" w:space="0" w:color="auto"/>
        <w:bottom w:val="none" w:sz="0" w:space="0" w:color="auto"/>
        <w:right w:val="none" w:sz="0" w:space="0" w:color="auto"/>
      </w:divBdr>
      <w:divsChild>
        <w:div w:id="1898123514">
          <w:marLeft w:val="0"/>
          <w:marRight w:val="0"/>
          <w:marTop w:val="0"/>
          <w:marBottom w:val="0"/>
          <w:divBdr>
            <w:top w:val="none" w:sz="0" w:space="0" w:color="auto"/>
            <w:left w:val="none" w:sz="0" w:space="0" w:color="auto"/>
            <w:bottom w:val="none" w:sz="0" w:space="0" w:color="auto"/>
            <w:right w:val="none" w:sz="0" w:space="0" w:color="auto"/>
          </w:divBdr>
          <w:divsChild>
            <w:div w:id="577178891">
              <w:marLeft w:val="0"/>
              <w:marRight w:val="0"/>
              <w:marTop w:val="0"/>
              <w:marBottom w:val="0"/>
              <w:divBdr>
                <w:top w:val="none" w:sz="0" w:space="0" w:color="auto"/>
                <w:left w:val="none" w:sz="0" w:space="0" w:color="auto"/>
                <w:bottom w:val="none" w:sz="0" w:space="0" w:color="auto"/>
                <w:right w:val="none" w:sz="0" w:space="0" w:color="auto"/>
              </w:divBdr>
              <w:divsChild>
                <w:div w:id="1346323552">
                  <w:marLeft w:val="0"/>
                  <w:marRight w:val="0"/>
                  <w:marTop w:val="0"/>
                  <w:marBottom w:val="0"/>
                  <w:divBdr>
                    <w:top w:val="none" w:sz="0" w:space="0" w:color="auto"/>
                    <w:left w:val="none" w:sz="0" w:space="0" w:color="auto"/>
                    <w:bottom w:val="none" w:sz="0" w:space="0" w:color="auto"/>
                    <w:right w:val="none" w:sz="0" w:space="0" w:color="auto"/>
                  </w:divBdr>
                  <w:divsChild>
                    <w:div w:id="536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27375474">
      <w:bodyDiv w:val="1"/>
      <w:marLeft w:val="0"/>
      <w:marRight w:val="0"/>
      <w:marTop w:val="0"/>
      <w:marBottom w:val="0"/>
      <w:divBdr>
        <w:top w:val="none" w:sz="0" w:space="0" w:color="auto"/>
        <w:left w:val="none" w:sz="0" w:space="0" w:color="auto"/>
        <w:bottom w:val="none" w:sz="0" w:space="0" w:color="auto"/>
        <w:right w:val="none" w:sz="0" w:space="0" w:color="auto"/>
      </w:divBdr>
    </w:div>
    <w:div w:id="1246646857">
      <w:bodyDiv w:val="1"/>
      <w:marLeft w:val="0"/>
      <w:marRight w:val="0"/>
      <w:marTop w:val="0"/>
      <w:marBottom w:val="0"/>
      <w:divBdr>
        <w:top w:val="none" w:sz="0" w:space="0" w:color="auto"/>
        <w:left w:val="none" w:sz="0" w:space="0" w:color="auto"/>
        <w:bottom w:val="none" w:sz="0" w:space="0" w:color="auto"/>
        <w:right w:val="none" w:sz="0" w:space="0" w:color="auto"/>
      </w:divBdr>
    </w:div>
    <w:div w:id="1280721315">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09088797">
      <w:bodyDiv w:val="1"/>
      <w:marLeft w:val="0"/>
      <w:marRight w:val="0"/>
      <w:marTop w:val="0"/>
      <w:marBottom w:val="0"/>
      <w:divBdr>
        <w:top w:val="none" w:sz="0" w:space="0" w:color="auto"/>
        <w:left w:val="none" w:sz="0" w:space="0" w:color="auto"/>
        <w:bottom w:val="none" w:sz="0" w:space="0" w:color="auto"/>
        <w:right w:val="none" w:sz="0" w:space="0" w:color="auto"/>
      </w:divBdr>
    </w:div>
    <w:div w:id="1312295347">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20426134">
      <w:bodyDiv w:val="1"/>
      <w:marLeft w:val="0"/>
      <w:marRight w:val="0"/>
      <w:marTop w:val="0"/>
      <w:marBottom w:val="0"/>
      <w:divBdr>
        <w:top w:val="none" w:sz="0" w:space="0" w:color="auto"/>
        <w:left w:val="none" w:sz="0" w:space="0" w:color="auto"/>
        <w:bottom w:val="none" w:sz="0" w:space="0" w:color="auto"/>
        <w:right w:val="none" w:sz="0" w:space="0" w:color="auto"/>
      </w:divBdr>
    </w:div>
    <w:div w:id="1327973237">
      <w:bodyDiv w:val="1"/>
      <w:marLeft w:val="0"/>
      <w:marRight w:val="0"/>
      <w:marTop w:val="0"/>
      <w:marBottom w:val="0"/>
      <w:divBdr>
        <w:top w:val="none" w:sz="0" w:space="0" w:color="auto"/>
        <w:left w:val="none" w:sz="0" w:space="0" w:color="auto"/>
        <w:bottom w:val="none" w:sz="0" w:space="0" w:color="auto"/>
        <w:right w:val="none" w:sz="0" w:space="0" w:color="auto"/>
      </w:divBdr>
    </w:div>
    <w:div w:id="1329864676">
      <w:bodyDiv w:val="1"/>
      <w:marLeft w:val="0"/>
      <w:marRight w:val="0"/>
      <w:marTop w:val="0"/>
      <w:marBottom w:val="0"/>
      <w:divBdr>
        <w:top w:val="none" w:sz="0" w:space="0" w:color="auto"/>
        <w:left w:val="none" w:sz="0" w:space="0" w:color="auto"/>
        <w:bottom w:val="none" w:sz="0" w:space="0" w:color="auto"/>
        <w:right w:val="none" w:sz="0" w:space="0" w:color="auto"/>
      </w:divBdr>
      <w:divsChild>
        <w:div w:id="385421705">
          <w:marLeft w:val="0"/>
          <w:marRight w:val="0"/>
          <w:marTop w:val="0"/>
          <w:marBottom w:val="0"/>
          <w:divBdr>
            <w:top w:val="none" w:sz="0" w:space="0" w:color="auto"/>
            <w:left w:val="none" w:sz="0" w:space="0" w:color="auto"/>
            <w:bottom w:val="none" w:sz="0" w:space="0" w:color="auto"/>
            <w:right w:val="none" w:sz="0" w:space="0" w:color="auto"/>
          </w:divBdr>
          <w:divsChild>
            <w:div w:id="179666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61666678">
      <w:bodyDiv w:val="1"/>
      <w:marLeft w:val="0"/>
      <w:marRight w:val="0"/>
      <w:marTop w:val="0"/>
      <w:marBottom w:val="0"/>
      <w:divBdr>
        <w:top w:val="none" w:sz="0" w:space="0" w:color="auto"/>
        <w:left w:val="none" w:sz="0" w:space="0" w:color="auto"/>
        <w:bottom w:val="none" w:sz="0" w:space="0" w:color="auto"/>
        <w:right w:val="none" w:sz="0" w:space="0" w:color="auto"/>
      </w:divBdr>
      <w:divsChild>
        <w:div w:id="1027023326">
          <w:marLeft w:val="0"/>
          <w:marRight w:val="0"/>
          <w:marTop w:val="0"/>
          <w:marBottom w:val="0"/>
          <w:divBdr>
            <w:top w:val="none" w:sz="0" w:space="0" w:color="auto"/>
            <w:left w:val="none" w:sz="0" w:space="0" w:color="auto"/>
            <w:bottom w:val="none" w:sz="0" w:space="0" w:color="auto"/>
            <w:right w:val="none" w:sz="0" w:space="0" w:color="auto"/>
          </w:divBdr>
          <w:divsChild>
            <w:div w:id="2137526825">
              <w:marLeft w:val="0"/>
              <w:marRight w:val="0"/>
              <w:marTop w:val="0"/>
              <w:marBottom w:val="0"/>
              <w:divBdr>
                <w:top w:val="none" w:sz="0" w:space="0" w:color="auto"/>
                <w:left w:val="none" w:sz="0" w:space="0" w:color="auto"/>
                <w:bottom w:val="none" w:sz="0" w:space="0" w:color="auto"/>
                <w:right w:val="none" w:sz="0" w:space="0" w:color="auto"/>
              </w:divBdr>
              <w:divsChild>
                <w:div w:id="1553811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6757060">
      <w:bodyDiv w:val="1"/>
      <w:marLeft w:val="0"/>
      <w:marRight w:val="0"/>
      <w:marTop w:val="0"/>
      <w:marBottom w:val="0"/>
      <w:divBdr>
        <w:top w:val="none" w:sz="0" w:space="0" w:color="auto"/>
        <w:left w:val="none" w:sz="0" w:space="0" w:color="auto"/>
        <w:bottom w:val="none" w:sz="0" w:space="0" w:color="auto"/>
        <w:right w:val="none" w:sz="0" w:space="0" w:color="auto"/>
      </w:divBdr>
      <w:divsChild>
        <w:div w:id="1037394606">
          <w:marLeft w:val="0"/>
          <w:marRight w:val="0"/>
          <w:marTop w:val="0"/>
          <w:marBottom w:val="0"/>
          <w:divBdr>
            <w:top w:val="none" w:sz="0" w:space="0" w:color="auto"/>
            <w:left w:val="none" w:sz="0" w:space="0" w:color="auto"/>
            <w:bottom w:val="none" w:sz="0" w:space="0" w:color="auto"/>
            <w:right w:val="none" w:sz="0" w:space="0" w:color="auto"/>
          </w:divBdr>
          <w:divsChild>
            <w:div w:id="1837072218">
              <w:marLeft w:val="0"/>
              <w:marRight w:val="0"/>
              <w:marTop w:val="0"/>
              <w:marBottom w:val="0"/>
              <w:divBdr>
                <w:top w:val="none" w:sz="0" w:space="0" w:color="auto"/>
                <w:left w:val="none" w:sz="0" w:space="0" w:color="auto"/>
                <w:bottom w:val="none" w:sz="0" w:space="0" w:color="auto"/>
                <w:right w:val="none" w:sz="0" w:space="0" w:color="auto"/>
              </w:divBdr>
              <w:divsChild>
                <w:div w:id="159050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135342158">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631448889">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01537589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266958615">
              <w:marLeft w:val="0"/>
              <w:marRight w:val="0"/>
              <w:marTop w:val="0"/>
              <w:marBottom w:val="0"/>
              <w:divBdr>
                <w:top w:val="none" w:sz="0" w:space="0" w:color="auto"/>
                <w:left w:val="none" w:sz="0" w:space="0" w:color="auto"/>
                <w:bottom w:val="none" w:sz="0" w:space="0" w:color="auto"/>
                <w:right w:val="none" w:sz="0" w:space="0" w:color="auto"/>
              </w:divBdr>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397165323">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2215439">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32169294">
      <w:bodyDiv w:val="1"/>
      <w:marLeft w:val="0"/>
      <w:marRight w:val="0"/>
      <w:marTop w:val="0"/>
      <w:marBottom w:val="0"/>
      <w:divBdr>
        <w:top w:val="none" w:sz="0" w:space="0" w:color="auto"/>
        <w:left w:val="none" w:sz="0" w:space="0" w:color="auto"/>
        <w:bottom w:val="none" w:sz="0" w:space="0" w:color="auto"/>
        <w:right w:val="none" w:sz="0" w:space="0" w:color="auto"/>
      </w:divBdr>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48960988">
      <w:bodyDiv w:val="1"/>
      <w:marLeft w:val="0"/>
      <w:marRight w:val="0"/>
      <w:marTop w:val="0"/>
      <w:marBottom w:val="0"/>
      <w:divBdr>
        <w:top w:val="none" w:sz="0" w:space="0" w:color="auto"/>
        <w:left w:val="none" w:sz="0" w:space="0" w:color="auto"/>
        <w:bottom w:val="none" w:sz="0" w:space="0" w:color="auto"/>
        <w:right w:val="none" w:sz="0" w:space="0" w:color="auto"/>
      </w:divBdr>
    </w:div>
    <w:div w:id="1453130124">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82573150">
      <w:bodyDiv w:val="1"/>
      <w:marLeft w:val="0"/>
      <w:marRight w:val="0"/>
      <w:marTop w:val="0"/>
      <w:marBottom w:val="0"/>
      <w:divBdr>
        <w:top w:val="none" w:sz="0" w:space="0" w:color="auto"/>
        <w:left w:val="none" w:sz="0" w:space="0" w:color="auto"/>
        <w:bottom w:val="none" w:sz="0" w:space="0" w:color="auto"/>
        <w:right w:val="none" w:sz="0" w:space="0" w:color="auto"/>
      </w:divBdr>
    </w:div>
    <w:div w:id="1482842812">
      <w:bodyDiv w:val="1"/>
      <w:marLeft w:val="0"/>
      <w:marRight w:val="0"/>
      <w:marTop w:val="0"/>
      <w:marBottom w:val="0"/>
      <w:divBdr>
        <w:top w:val="none" w:sz="0" w:space="0" w:color="auto"/>
        <w:left w:val="none" w:sz="0" w:space="0" w:color="auto"/>
        <w:bottom w:val="none" w:sz="0" w:space="0" w:color="auto"/>
        <w:right w:val="none" w:sz="0" w:space="0" w:color="auto"/>
      </w:divBdr>
    </w:div>
    <w:div w:id="1489908005">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7138254">
      <w:bodyDiv w:val="1"/>
      <w:marLeft w:val="0"/>
      <w:marRight w:val="0"/>
      <w:marTop w:val="0"/>
      <w:marBottom w:val="0"/>
      <w:divBdr>
        <w:top w:val="none" w:sz="0" w:space="0" w:color="auto"/>
        <w:left w:val="none" w:sz="0" w:space="0" w:color="auto"/>
        <w:bottom w:val="none" w:sz="0" w:space="0" w:color="auto"/>
        <w:right w:val="none" w:sz="0" w:space="0" w:color="auto"/>
      </w:divBdr>
    </w:div>
    <w:div w:id="1508133523">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17885818">
      <w:bodyDiv w:val="1"/>
      <w:marLeft w:val="0"/>
      <w:marRight w:val="0"/>
      <w:marTop w:val="0"/>
      <w:marBottom w:val="0"/>
      <w:divBdr>
        <w:top w:val="none" w:sz="0" w:space="0" w:color="auto"/>
        <w:left w:val="none" w:sz="0" w:space="0" w:color="auto"/>
        <w:bottom w:val="none" w:sz="0" w:space="0" w:color="auto"/>
        <w:right w:val="none" w:sz="0" w:space="0" w:color="auto"/>
      </w:divBdr>
    </w:div>
    <w:div w:id="1524897734">
      <w:bodyDiv w:val="1"/>
      <w:marLeft w:val="0"/>
      <w:marRight w:val="0"/>
      <w:marTop w:val="0"/>
      <w:marBottom w:val="0"/>
      <w:divBdr>
        <w:top w:val="none" w:sz="0" w:space="0" w:color="auto"/>
        <w:left w:val="none" w:sz="0" w:space="0" w:color="auto"/>
        <w:bottom w:val="none" w:sz="0" w:space="0" w:color="auto"/>
        <w:right w:val="none" w:sz="0" w:space="0" w:color="auto"/>
      </w:divBdr>
    </w:div>
    <w:div w:id="1525439513">
      <w:bodyDiv w:val="1"/>
      <w:marLeft w:val="0"/>
      <w:marRight w:val="0"/>
      <w:marTop w:val="0"/>
      <w:marBottom w:val="0"/>
      <w:divBdr>
        <w:top w:val="none" w:sz="0" w:space="0" w:color="auto"/>
        <w:left w:val="none" w:sz="0" w:space="0" w:color="auto"/>
        <w:bottom w:val="none" w:sz="0" w:space="0" w:color="auto"/>
        <w:right w:val="none" w:sz="0" w:space="0" w:color="auto"/>
      </w:divBdr>
    </w:div>
    <w:div w:id="1533374991">
      <w:bodyDiv w:val="1"/>
      <w:marLeft w:val="0"/>
      <w:marRight w:val="0"/>
      <w:marTop w:val="0"/>
      <w:marBottom w:val="0"/>
      <w:divBdr>
        <w:top w:val="none" w:sz="0" w:space="0" w:color="auto"/>
        <w:left w:val="none" w:sz="0" w:space="0" w:color="auto"/>
        <w:bottom w:val="none" w:sz="0" w:space="0" w:color="auto"/>
        <w:right w:val="none" w:sz="0" w:space="0" w:color="auto"/>
      </w:divBdr>
      <w:divsChild>
        <w:div w:id="1029187883">
          <w:marLeft w:val="0"/>
          <w:marRight w:val="0"/>
          <w:marTop w:val="0"/>
          <w:marBottom w:val="0"/>
          <w:divBdr>
            <w:top w:val="none" w:sz="0" w:space="0" w:color="auto"/>
            <w:left w:val="none" w:sz="0" w:space="0" w:color="auto"/>
            <w:bottom w:val="none" w:sz="0" w:space="0" w:color="auto"/>
            <w:right w:val="none" w:sz="0" w:space="0" w:color="auto"/>
          </w:divBdr>
          <w:divsChild>
            <w:div w:id="1338658286">
              <w:marLeft w:val="0"/>
              <w:marRight w:val="0"/>
              <w:marTop w:val="0"/>
              <w:marBottom w:val="0"/>
              <w:divBdr>
                <w:top w:val="none" w:sz="0" w:space="0" w:color="auto"/>
                <w:left w:val="none" w:sz="0" w:space="0" w:color="auto"/>
                <w:bottom w:val="none" w:sz="0" w:space="0" w:color="auto"/>
                <w:right w:val="none" w:sz="0" w:space="0" w:color="auto"/>
              </w:divBdr>
              <w:divsChild>
                <w:div w:id="710961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39202002">
      <w:bodyDiv w:val="1"/>
      <w:marLeft w:val="0"/>
      <w:marRight w:val="0"/>
      <w:marTop w:val="0"/>
      <w:marBottom w:val="0"/>
      <w:divBdr>
        <w:top w:val="none" w:sz="0" w:space="0" w:color="auto"/>
        <w:left w:val="none" w:sz="0" w:space="0" w:color="auto"/>
        <w:bottom w:val="none" w:sz="0" w:space="0" w:color="auto"/>
        <w:right w:val="none" w:sz="0" w:space="0" w:color="auto"/>
      </w:divBdr>
      <w:divsChild>
        <w:div w:id="289094325">
          <w:marLeft w:val="0"/>
          <w:marRight w:val="0"/>
          <w:marTop w:val="0"/>
          <w:marBottom w:val="0"/>
          <w:divBdr>
            <w:top w:val="none" w:sz="0" w:space="0" w:color="auto"/>
            <w:left w:val="none" w:sz="0" w:space="0" w:color="auto"/>
            <w:bottom w:val="none" w:sz="0" w:space="0" w:color="auto"/>
            <w:right w:val="none" w:sz="0" w:space="0" w:color="auto"/>
          </w:divBdr>
          <w:divsChild>
            <w:div w:id="101149594">
              <w:marLeft w:val="0"/>
              <w:marRight w:val="0"/>
              <w:marTop w:val="0"/>
              <w:marBottom w:val="0"/>
              <w:divBdr>
                <w:top w:val="none" w:sz="0" w:space="0" w:color="auto"/>
                <w:left w:val="none" w:sz="0" w:space="0" w:color="auto"/>
                <w:bottom w:val="none" w:sz="0" w:space="0" w:color="auto"/>
                <w:right w:val="none" w:sz="0" w:space="0" w:color="auto"/>
              </w:divBdr>
              <w:divsChild>
                <w:div w:id="565646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66140219">
      <w:bodyDiv w:val="1"/>
      <w:marLeft w:val="0"/>
      <w:marRight w:val="0"/>
      <w:marTop w:val="0"/>
      <w:marBottom w:val="0"/>
      <w:divBdr>
        <w:top w:val="none" w:sz="0" w:space="0" w:color="auto"/>
        <w:left w:val="none" w:sz="0" w:space="0" w:color="auto"/>
        <w:bottom w:val="none" w:sz="0" w:space="0" w:color="auto"/>
        <w:right w:val="none" w:sz="0" w:space="0" w:color="auto"/>
      </w:divBdr>
    </w:div>
    <w:div w:id="1573925530">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244287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627735588">
                  <w:marLeft w:val="0"/>
                  <w:marRight w:val="0"/>
                  <w:marTop w:val="0"/>
                  <w:marBottom w:val="0"/>
                  <w:divBdr>
                    <w:top w:val="none" w:sz="0" w:space="0" w:color="auto"/>
                    <w:left w:val="none" w:sz="0" w:space="0" w:color="auto"/>
                    <w:bottom w:val="none" w:sz="0" w:space="0" w:color="auto"/>
                    <w:right w:val="none" w:sz="0" w:space="0" w:color="auto"/>
                  </w:divBdr>
                </w:div>
                <w:div w:id="1980762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121466798">
                  <w:marLeft w:val="0"/>
                  <w:marRight w:val="0"/>
                  <w:marTop w:val="0"/>
                  <w:marBottom w:val="0"/>
                  <w:divBdr>
                    <w:top w:val="none" w:sz="0" w:space="0" w:color="auto"/>
                    <w:left w:val="none" w:sz="0" w:space="0" w:color="auto"/>
                    <w:bottom w:val="none" w:sz="0" w:space="0" w:color="auto"/>
                    <w:right w:val="none" w:sz="0" w:space="0" w:color="auto"/>
                  </w:divBdr>
                </w:div>
                <w:div w:id="3197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207592">
      <w:bodyDiv w:val="1"/>
      <w:marLeft w:val="0"/>
      <w:marRight w:val="0"/>
      <w:marTop w:val="0"/>
      <w:marBottom w:val="0"/>
      <w:divBdr>
        <w:top w:val="none" w:sz="0" w:space="0" w:color="auto"/>
        <w:left w:val="none" w:sz="0" w:space="0" w:color="auto"/>
        <w:bottom w:val="none" w:sz="0" w:space="0" w:color="auto"/>
        <w:right w:val="none" w:sz="0" w:space="0" w:color="auto"/>
      </w:divBdr>
    </w:div>
    <w:div w:id="1598951388">
      <w:bodyDiv w:val="1"/>
      <w:marLeft w:val="0"/>
      <w:marRight w:val="0"/>
      <w:marTop w:val="0"/>
      <w:marBottom w:val="0"/>
      <w:divBdr>
        <w:top w:val="none" w:sz="0" w:space="0" w:color="auto"/>
        <w:left w:val="none" w:sz="0" w:space="0" w:color="auto"/>
        <w:bottom w:val="none" w:sz="0" w:space="0" w:color="auto"/>
        <w:right w:val="none" w:sz="0" w:space="0" w:color="auto"/>
      </w:divBdr>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19067109">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52902335">
      <w:bodyDiv w:val="1"/>
      <w:marLeft w:val="0"/>
      <w:marRight w:val="0"/>
      <w:marTop w:val="0"/>
      <w:marBottom w:val="0"/>
      <w:divBdr>
        <w:top w:val="none" w:sz="0" w:space="0" w:color="auto"/>
        <w:left w:val="none" w:sz="0" w:space="0" w:color="auto"/>
        <w:bottom w:val="none" w:sz="0" w:space="0" w:color="auto"/>
        <w:right w:val="none" w:sz="0" w:space="0" w:color="auto"/>
      </w:divBdr>
    </w:div>
    <w:div w:id="1652980834">
      <w:bodyDiv w:val="1"/>
      <w:marLeft w:val="0"/>
      <w:marRight w:val="0"/>
      <w:marTop w:val="0"/>
      <w:marBottom w:val="0"/>
      <w:divBdr>
        <w:top w:val="none" w:sz="0" w:space="0" w:color="auto"/>
        <w:left w:val="none" w:sz="0" w:space="0" w:color="auto"/>
        <w:bottom w:val="none" w:sz="0" w:space="0" w:color="auto"/>
        <w:right w:val="none" w:sz="0" w:space="0" w:color="auto"/>
      </w:divBdr>
    </w:div>
    <w:div w:id="1653413945">
      <w:bodyDiv w:val="1"/>
      <w:marLeft w:val="0"/>
      <w:marRight w:val="0"/>
      <w:marTop w:val="0"/>
      <w:marBottom w:val="0"/>
      <w:divBdr>
        <w:top w:val="none" w:sz="0" w:space="0" w:color="auto"/>
        <w:left w:val="none" w:sz="0" w:space="0" w:color="auto"/>
        <w:bottom w:val="none" w:sz="0" w:space="0" w:color="auto"/>
        <w:right w:val="none" w:sz="0" w:space="0" w:color="auto"/>
      </w:divBdr>
    </w:div>
    <w:div w:id="1655529074">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6632618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78800704">
      <w:bodyDiv w:val="1"/>
      <w:marLeft w:val="0"/>
      <w:marRight w:val="0"/>
      <w:marTop w:val="0"/>
      <w:marBottom w:val="0"/>
      <w:divBdr>
        <w:top w:val="none" w:sz="0" w:space="0" w:color="auto"/>
        <w:left w:val="none" w:sz="0" w:space="0" w:color="auto"/>
        <w:bottom w:val="none" w:sz="0" w:space="0" w:color="auto"/>
        <w:right w:val="none" w:sz="0" w:space="0" w:color="auto"/>
      </w:divBdr>
      <w:divsChild>
        <w:div w:id="572349956">
          <w:marLeft w:val="0"/>
          <w:marRight w:val="0"/>
          <w:marTop w:val="0"/>
          <w:marBottom w:val="0"/>
          <w:divBdr>
            <w:top w:val="none" w:sz="0" w:space="0" w:color="auto"/>
            <w:left w:val="none" w:sz="0" w:space="0" w:color="auto"/>
            <w:bottom w:val="none" w:sz="0" w:space="0" w:color="auto"/>
            <w:right w:val="none" w:sz="0" w:space="0" w:color="auto"/>
          </w:divBdr>
        </w:div>
      </w:divsChild>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5423701">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139924342">
              <w:marLeft w:val="0"/>
              <w:marRight w:val="0"/>
              <w:marTop w:val="0"/>
              <w:marBottom w:val="0"/>
              <w:divBdr>
                <w:top w:val="none" w:sz="0" w:space="0" w:color="auto"/>
                <w:left w:val="none" w:sz="0" w:space="0" w:color="auto"/>
                <w:bottom w:val="none" w:sz="0" w:space="0" w:color="auto"/>
                <w:right w:val="none" w:sz="0" w:space="0" w:color="auto"/>
              </w:divBdr>
            </w:div>
            <w:div w:id="258952796">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sChild>
        </w:div>
        <w:div w:id="1479225221">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sChild>
    </w:div>
    <w:div w:id="1708410328">
      <w:bodyDiv w:val="1"/>
      <w:marLeft w:val="0"/>
      <w:marRight w:val="0"/>
      <w:marTop w:val="0"/>
      <w:marBottom w:val="0"/>
      <w:divBdr>
        <w:top w:val="none" w:sz="0" w:space="0" w:color="auto"/>
        <w:left w:val="none" w:sz="0" w:space="0" w:color="auto"/>
        <w:bottom w:val="none" w:sz="0" w:space="0" w:color="auto"/>
        <w:right w:val="none" w:sz="0" w:space="0" w:color="auto"/>
      </w:divBdr>
      <w:divsChild>
        <w:div w:id="932855324">
          <w:marLeft w:val="0"/>
          <w:marRight w:val="0"/>
          <w:marTop w:val="0"/>
          <w:marBottom w:val="0"/>
          <w:divBdr>
            <w:top w:val="none" w:sz="0" w:space="0" w:color="auto"/>
            <w:left w:val="none" w:sz="0" w:space="0" w:color="auto"/>
            <w:bottom w:val="none" w:sz="0" w:space="0" w:color="auto"/>
            <w:right w:val="none" w:sz="0" w:space="0" w:color="auto"/>
          </w:divBdr>
          <w:divsChild>
            <w:div w:id="984509499">
              <w:marLeft w:val="0"/>
              <w:marRight w:val="0"/>
              <w:marTop w:val="0"/>
              <w:marBottom w:val="0"/>
              <w:divBdr>
                <w:top w:val="none" w:sz="0" w:space="0" w:color="auto"/>
                <w:left w:val="none" w:sz="0" w:space="0" w:color="auto"/>
                <w:bottom w:val="none" w:sz="0" w:space="0" w:color="auto"/>
                <w:right w:val="none" w:sz="0" w:space="0" w:color="auto"/>
              </w:divBdr>
              <w:divsChild>
                <w:div w:id="1891262088">
                  <w:marLeft w:val="0"/>
                  <w:marRight w:val="0"/>
                  <w:marTop w:val="0"/>
                  <w:marBottom w:val="0"/>
                  <w:divBdr>
                    <w:top w:val="none" w:sz="0" w:space="0" w:color="auto"/>
                    <w:left w:val="none" w:sz="0" w:space="0" w:color="auto"/>
                    <w:bottom w:val="none" w:sz="0" w:space="0" w:color="auto"/>
                    <w:right w:val="none" w:sz="0" w:space="0" w:color="auto"/>
                  </w:divBdr>
                  <w:divsChild>
                    <w:div w:id="691953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41976763">
      <w:bodyDiv w:val="1"/>
      <w:marLeft w:val="0"/>
      <w:marRight w:val="0"/>
      <w:marTop w:val="0"/>
      <w:marBottom w:val="0"/>
      <w:divBdr>
        <w:top w:val="none" w:sz="0" w:space="0" w:color="auto"/>
        <w:left w:val="none" w:sz="0" w:space="0" w:color="auto"/>
        <w:bottom w:val="none" w:sz="0" w:space="0" w:color="auto"/>
        <w:right w:val="none" w:sz="0" w:space="0" w:color="auto"/>
      </w:divBdr>
    </w:div>
    <w:div w:id="1759400849">
      <w:bodyDiv w:val="1"/>
      <w:marLeft w:val="0"/>
      <w:marRight w:val="0"/>
      <w:marTop w:val="0"/>
      <w:marBottom w:val="0"/>
      <w:divBdr>
        <w:top w:val="none" w:sz="0" w:space="0" w:color="auto"/>
        <w:left w:val="none" w:sz="0" w:space="0" w:color="auto"/>
        <w:bottom w:val="none" w:sz="0" w:space="0" w:color="auto"/>
        <w:right w:val="none" w:sz="0" w:space="0" w:color="auto"/>
      </w:divBdr>
      <w:divsChild>
        <w:div w:id="2108649876">
          <w:marLeft w:val="0"/>
          <w:marRight w:val="0"/>
          <w:marTop w:val="0"/>
          <w:marBottom w:val="0"/>
          <w:divBdr>
            <w:top w:val="none" w:sz="0" w:space="0" w:color="auto"/>
            <w:left w:val="none" w:sz="0" w:space="0" w:color="auto"/>
            <w:bottom w:val="none" w:sz="0" w:space="0" w:color="auto"/>
            <w:right w:val="none" w:sz="0" w:space="0" w:color="auto"/>
          </w:divBdr>
          <w:divsChild>
            <w:div w:id="955403916">
              <w:marLeft w:val="0"/>
              <w:marRight w:val="0"/>
              <w:marTop w:val="0"/>
              <w:marBottom w:val="0"/>
              <w:divBdr>
                <w:top w:val="none" w:sz="0" w:space="0" w:color="auto"/>
                <w:left w:val="none" w:sz="0" w:space="0" w:color="auto"/>
                <w:bottom w:val="none" w:sz="0" w:space="0" w:color="auto"/>
                <w:right w:val="none" w:sz="0" w:space="0" w:color="auto"/>
              </w:divBdr>
              <w:divsChild>
                <w:div w:id="933324785">
                  <w:marLeft w:val="0"/>
                  <w:marRight w:val="0"/>
                  <w:marTop w:val="0"/>
                  <w:marBottom w:val="0"/>
                  <w:divBdr>
                    <w:top w:val="none" w:sz="0" w:space="0" w:color="auto"/>
                    <w:left w:val="none" w:sz="0" w:space="0" w:color="auto"/>
                    <w:bottom w:val="none" w:sz="0" w:space="0" w:color="auto"/>
                    <w:right w:val="none" w:sz="0" w:space="0" w:color="auto"/>
                  </w:divBdr>
                  <w:divsChild>
                    <w:div w:id="316761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4474261">
      <w:bodyDiv w:val="1"/>
      <w:marLeft w:val="0"/>
      <w:marRight w:val="0"/>
      <w:marTop w:val="0"/>
      <w:marBottom w:val="0"/>
      <w:divBdr>
        <w:top w:val="none" w:sz="0" w:space="0" w:color="auto"/>
        <w:left w:val="none" w:sz="0" w:space="0" w:color="auto"/>
        <w:bottom w:val="none" w:sz="0" w:space="0" w:color="auto"/>
        <w:right w:val="none" w:sz="0" w:space="0" w:color="auto"/>
      </w:divBdr>
    </w:div>
    <w:div w:id="1776827981">
      <w:bodyDiv w:val="1"/>
      <w:marLeft w:val="0"/>
      <w:marRight w:val="0"/>
      <w:marTop w:val="0"/>
      <w:marBottom w:val="0"/>
      <w:divBdr>
        <w:top w:val="none" w:sz="0" w:space="0" w:color="auto"/>
        <w:left w:val="none" w:sz="0" w:space="0" w:color="auto"/>
        <w:bottom w:val="none" w:sz="0" w:space="0" w:color="auto"/>
        <w:right w:val="none" w:sz="0" w:space="0" w:color="auto"/>
      </w:divBdr>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305">
      <w:bodyDiv w:val="1"/>
      <w:marLeft w:val="0"/>
      <w:marRight w:val="0"/>
      <w:marTop w:val="0"/>
      <w:marBottom w:val="0"/>
      <w:divBdr>
        <w:top w:val="none" w:sz="0" w:space="0" w:color="auto"/>
        <w:left w:val="none" w:sz="0" w:space="0" w:color="auto"/>
        <w:bottom w:val="none" w:sz="0" w:space="0" w:color="auto"/>
        <w:right w:val="none" w:sz="0" w:space="0" w:color="auto"/>
      </w:divBdr>
    </w:div>
    <w:div w:id="1789466845">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1071208">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6777416">
      <w:bodyDiv w:val="1"/>
      <w:marLeft w:val="0"/>
      <w:marRight w:val="0"/>
      <w:marTop w:val="0"/>
      <w:marBottom w:val="0"/>
      <w:divBdr>
        <w:top w:val="none" w:sz="0" w:space="0" w:color="auto"/>
        <w:left w:val="none" w:sz="0" w:space="0" w:color="auto"/>
        <w:bottom w:val="none" w:sz="0" w:space="0" w:color="auto"/>
        <w:right w:val="none" w:sz="0" w:space="0" w:color="auto"/>
      </w:divBdr>
      <w:divsChild>
        <w:div w:id="878473400">
          <w:marLeft w:val="0"/>
          <w:marRight w:val="0"/>
          <w:marTop w:val="0"/>
          <w:marBottom w:val="0"/>
          <w:divBdr>
            <w:top w:val="none" w:sz="0" w:space="0" w:color="auto"/>
            <w:left w:val="none" w:sz="0" w:space="0" w:color="auto"/>
            <w:bottom w:val="none" w:sz="0" w:space="0" w:color="auto"/>
            <w:right w:val="none" w:sz="0" w:space="0" w:color="auto"/>
          </w:divBdr>
          <w:divsChild>
            <w:div w:id="636031269">
              <w:marLeft w:val="0"/>
              <w:marRight w:val="0"/>
              <w:marTop w:val="0"/>
              <w:marBottom w:val="0"/>
              <w:divBdr>
                <w:top w:val="none" w:sz="0" w:space="0" w:color="auto"/>
                <w:left w:val="none" w:sz="0" w:space="0" w:color="auto"/>
                <w:bottom w:val="none" w:sz="0" w:space="0" w:color="auto"/>
                <w:right w:val="none" w:sz="0" w:space="0" w:color="auto"/>
              </w:divBdr>
              <w:divsChild>
                <w:div w:id="990787999">
                  <w:marLeft w:val="0"/>
                  <w:marRight w:val="0"/>
                  <w:marTop w:val="0"/>
                  <w:marBottom w:val="0"/>
                  <w:divBdr>
                    <w:top w:val="none" w:sz="0" w:space="0" w:color="auto"/>
                    <w:left w:val="none" w:sz="0" w:space="0" w:color="auto"/>
                    <w:bottom w:val="none" w:sz="0" w:space="0" w:color="auto"/>
                    <w:right w:val="none" w:sz="0" w:space="0" w:color="auto"/>
                  </w:divBdr>
                  <w:divsChild>
                    <w:div w:id="210045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1539483">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28783605">
      <w:bodyDiv w:val="1"/>
      <w:marLeft w:val="0"/>
      <w:marRight w:val="0"/>
      <w:marTop w:val="0"/>
      <w:marBottom w:val="0"/>
      <w:divBdr>
        <w:top w:val="none" w:sz="0" w:space="0" w:color="auto"/>
        <w:left w:val="none" w:sz="0" w:space="0" w:color="auto"/>
        <w:bottom w:val="none" w:sz="0" w:space="0" w:color="auto"/>
        <w:right w:val="none" w:sz="0" w:space="0" w:color="auto"/>
      </w:divBdr>
      <w:divsChild>
        <w:div w:id="144781512">
          <w:marLeft w:val="0"/>
          <w:marRight w:val="0"/>
          <w:marTop w:val="0"/>
          <w:marBottom w:val="0"/>
          <w:divBdr>
            <w:top w:val="none" w:sz="0" w:space="0" w:color="auto"/>
            <w:left w:val="none" w:sz="0" w:space="0" w:color="auto"/>
            <w:bottom w:val="none" w:sz="0" w:space="0" w:color="auto"/>
            <w:right w:val="none" w:sz="0" w:space="0" w:color="auto"/>
          </w:divBdr>
        </w:div>
      </w:divsChild>
    </w:div>
    <w:div w:id="1829128773">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918185">
      <w:bodyDiv w:val="1"/>
      <w:marLeft w:val="0"/>
      <w:marRight w:val="0"/>
      <w:marTop w:val="0"/>
      <w:marBottom w:val="0"/>
      <w:divBdr>
        <w:top w:val="none" w:sz="0" w:space="0" w:color="auto"/>
        <w:left w:val="none" w:sz="0" w:space="0" w:color="auto"/>
        <w:bottom w:val="none" w:sz="0" w:space="0" w:color="auto"/>
        <w:right w:val="none" w:sz="0" w:space="0" w:color="auto"/>
      </w:divBdr>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4857320">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327903512">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252204489">
          <w:marLeft w:val="0"/>
          <w:marRight w:val="0"/>
          <w:marTop w:val="0"/>
          <w:marBottom w:val="0"/>
          <w:divBdr>
            <w:top w:val="none" w:sz="0" w:space="0" w:color="auto"/>
            <w:left w:val="none" w:sz="0" w:space="0" w:color="auto"/>
            <w:bottom w:val="none" w:sz="0" w:space="0" w:color="auto"/>
            <w:right w:val="none" w:sz="0" w:space="0" w:color="auto"/>
          </w:divBdr>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882085287">
      <w:bodyDiv w:val="1"/>
      <w:marLeft w:val="0"/>
      <w:marRight w:val="0"/>
      <w:marTop w:val="0"/>
      <w:marBottom w:val="0"/>
      <w:divBdr>
        <w:top w:val="none" w:sz="0" w:space="0" w:color="auto"/>
        <w:left w:val="none" w:sz="0" w:space="0" w:color="auto"/>
        <w:bottom w:val="none" w:sz="0" w:space="0" w:color="auto"/>
        <w:right w:val="none" w:sz="0" w:space="0" w:color="auto"/>
      </w:divBdr>
    </w:div>
    <w:div w:id="1883664025">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159733033">
          <w:marLeft w:val="0"/>
          <w:marRight w:val="0"/>
          <w:marTop w:val="0"/>
          <w:marBottom w:val="0"/>
          <w:divBdr>
            <w:top w:val="none" w:sz="0" w:space="0" w:color="auto"/>
            <w:left w:val="none" w:sz="0" w:space="0" w:color="auto"/>
            <w:bottom w:val="none" w:sz="0" w:space="0" w:color="auto"/>
            <w:right w:val="none" w:sz="0" w:space="0" w:color="auto"/>
          </w:divBdr>
        </w:div>
        <w:div w:id="643392868">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7567204">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749620085">
              <w:marLeft w:val="0"/>
              <w:marRight w:val="0"/>
              <w:marTop w:val="0"/>
              <w:marBottom w:val="0"/>
              <w:divBdr>
                <w:top w:val="none" w:sz="0" w:space="0" w:color="auto"/>
                <w:left w:val="none" w:sz="0" w:space="0" w:color="auto"/>
                <w:bottom w:val="none" w:sz="0" w:space="0" w:color="auto"/>
                <w:right w:val="none" w:sz="0" w:space="0" w:color="auto"/>
              </w:divBdr>
            </w:div>
            <w:div w:id="19859671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6768607">
      <w:bodyDiv w:val="1"/>
      <w:marLeft w:val="0"/>
      <w:marRight w:val="0"/>
      <w:marTop w:val="0"/>
      <w:marBottom w:val="0"/>
      <w:divBdr>
        <w:top w:val="none" w:sz="0" w:space="0" w:color="auto"/>
        <w:left w:val="none" w:sz="0" w:space="0" w:color="auto"/>
        <w:bottom w:val="none" w:sz="0" w:space="0" w:color="auto"/>
        <w:right w:val="none" w:sz="0" w:space="0" w:color="auto"/>
      </w:divBdr>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67008671">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0964369">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09597345">
      <w:bodyDiv w:val="1"/>
      <w:marLeft w:val="0"/>
      <w:marRight w:val="0"/>
      <w:marTop w:val="0"/>
      <w:marBottom w:val="0"/>
      <w:divBdr>
        <w:top w:val="none" w:sz="0" w:space="0" w:color="auto"/>
        <w:left w:val="none" w:sz="0" w:space="0" w:color="auto"/>
        <w:bottom w:val="none" w:sz="0" w:space="0" w:color="auto"/>
        <w:right w:val="none" w:sz="0" w:space="0" w:color="auto"/>
      </w:divBdr>
    </w:div>
    <w:div w:id="2012828402">
      <w:bodyDiv w:val="1"/>
      <w:marLeft w:val="0"/>
      <w:marRight w:val="0"/>
      <w:marTop w:val="0"/>
      <w:marBottom w:val="0"/>
      <w:divBdr>
        <w:top w:val="none" w:sz="0" w:space="0" w:color="auto"/>
        <w:left w:val="none" w:sz="0" w:space="0" w:color="auto"/>
        <w:bottom w:val="none" w:sz="0" w:space="0" w:color="auto"/>
        <w:right w:val="none" w:sz="0" w:space="0" w:color="auto"/>
      </w:divBdr>
    </w:div>
    <w:div w:id="2017071947">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285818572">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541938974">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31392902">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69962719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sChild>
        </w:div>
        <w:div w:id="2124106103">
          <w:marLeft w:val="0"/>
          <w:marRight w:val="0"/>
          <w:marTop w:val="0"/>
          <w:marBottom w:val="0"/>
          <w:divBdr>
            <w:top w:val="none" w:sz="0" w:space="0" w:color="auto"/>
            <w:left w:val="none" w:sz="0" w:space="0" w:color="auto"/>
            <w:bottom w:val="none" w:sz="0" w:space="0" w:color="auto"/>
            <w:right w:val="none" w:sz="0" w:space="0" w:color="auto"/>
          </w:divBdr>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84139968">
      <w:bodyDiv w:val="1"/>
      <w:marLeft w:val="0"/>
      <w:marRight w:val="0"/>
      <w:marTop w:val="0"/>
      <w:marBottom w:val="0"/>
      <w:divBdr>
        <w:top w:val="none" w:sz="0" w:space="0" w:color="auto"/>
        <w:left w:val="none" w:sz="0" w:space="0" w:color="auto"/>
        <w:bottom w:val="none" w:sz="0" w:space="0" w:color="auto"/>
        <w:right w:val="none" w:sz="0" w:space="0" w:color="auto"/>
      </w:divBdr>
      <w:divsChild>
        <w:div w:id="1619019517">
          <w:marLeft w:val="0"/>
          <w:marRight w:val="0"/>
          <w:marTop w:val="0"/>
          <w:marBottom w:val="0"/>
          <w:divBdr>
            <w:top w:val="none" w:sz="0" w:space="0" w:color="auto"/>
            <w:left w:val="none" w:sz="0" w:space="0" w:color="auto"/>
            <w:bottom w:val="none" w:sz="0" w:space="0" w:color="auto"/>
            <w:right w:val="none" w:sz="0" w:space="0" w:color="auto"/>
          </w:divBdr>
          <w:divsChild>
            <w:div w:id="130562231">
              <w:marLeft w:val="0"/>
              <w:marRight w:val="0"/>
              <w:marTop w:val="0"/>
              <w:marBottom w:val="0"/>
              <w:divBdr>
                <w:top w:val="none" w:sz="0" w:space="0" w:color="auto"/>
                <w:left w:val="none" w:sz="0" w:space="0" w:color="auto"/>
                <w:bottom w:val="none" w:sz="0" w:space="0" w:color="auto"/>
                <w:right w:val="none" w:sz="0" w:space="0" w:color="auto"/>
              </w:divBdr>
              <w:divsChild>
                <w:div w:id="1494299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9617740">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095398012">
      <w:bodyDiv w:val="1"/>
      <w:marLeft w:val="0"/>
      <w:marRight w:val="0"/>
      <w:marTop w:val="0"/>
      <w:marBottom w:val="0"/>
      <w:divBdr>
        <w:top w:val="none" w:sz="0" w:space="0" w:color="auto"/>
        <w:left w:val="none" w:sz="0" w:space="0" w:color="auto"/>
        <w:bottom w:val="none" w:sz="0" w:space="0" w:color="auto"/>
        <w:right w:val="none" w:sz="0" w:space="0" w:color="auto"/>
      </w:divBdr>
    </w:div>
    <w:div w:id="2098744137">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570193454">
          <w:marLeft w:val="0"/>
          <w:marRight w:val="0"/>
          <w:marTop w:val="0"/>
          <w:marBottom w:val="0"/>
          <w:divBdr>
            <w:top w:val="none" w:sz="0" w:space="0" w:color="auto"/>
            <w:left w:val="none" w:sz="0" w:space="0" w:color="auto"/>
            <w:bottom w:val="none" w:sz="0" w:space="0" w:color="auto"/>
            <w:right w:val="none" w:sz="0" w:space="0" w:color="auto"/>
          </w:divBdr>
        </w:div>
        <w:div w:id="610279058">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7650556">
      <w:bodyDiv w:val="1"/>
      <w:marLeft w:val="0"/>
      <w:marRight w:val="0"/>
      <w:marTop w:val="0"/>
      <w:marBottom w:val="0"/>
      <w:divBdr>
        <w:top w:val="none" w:sz="0" w:space="0" w:color="auto"/>
        <w:left w:val="none" w:sz="0" w:space="0" w:color="auto"/>
        <w:bottom w:val="none" w:sz="0" w:space="0" w:color="auto"/>
        <w:right w:val="none" w:sz="0" w:space="0" w:color="auto"/>
      </w:divBdr>
    </w:div>
    <w:div w:id="2132896349">
      <w:bodyDiv w:val="1"/>
      <w:marLeft w:val="0"/>
      <w:marRight w:val="0"/>
      <w:marTop w:val="0"/>
      <w:marBottom w:val="0"/>
      <w:divBdr>
        <w:top w:val="none" w:sz="0" w:space="0" w:color="auto"/>
        <w:left w:val="none" w:sz="0" w:space="0" w:color="auto"/>
        <w:bottom w:val="none" w:sz="0" w:space="0" w:color="auto"/>
        <w:right w:val="none" w:sz="0" w:space="0" w:color="auto"/>
      </w:divBdr>
    </w:div>
    <w:div w:id="2133672778">
      <w:bodyDiv w:val="1"/>
      <w:marLeft w:val="0"/>
      <w:marRight w:val="0"/>
      <w:marTop w:val="0"/>
      <w:marBottom w:val="0"/>
      <w:divBdr>
        <w:top w:val="none" w:sz="0" w:space="0" w:color="auto"/>
        <w:left w:val="none" w:sz="0" w:space="0" w:color="auto"/>
        <w:bottom w:val="none" w:sz="0" w:space="0" w:color="auto"/>
        <w:right w:val="none" w:sz="0" w:space="0" w:color="auto"/>
      </w:divBdr>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funcionpublica.gov.co/eva/gestornormativo/norma.php?i=77653"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1F8A0794-686D-4865-B203-B8E2F5EA0DED}">
  <ds:schemaRefs>
    <ds:schemaRef ds:uri="http://schemas.openxmlformats.org/officeDocument/2006/bibliography"/>
  </ds:schemaRefs>
</ds:datastoreItem>
</file>

<file path=customXml/itemProps3.xml><?xml version="1.0" encoding="utf-8"?>
<ds:datastoreItem xmlns:ds="http://schemas.openxmlformats.org/officeDocument/2006/customXml" ds:itemID="{6641654E-897C-4EAB-9CA9-F68F22246D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35</TotalTime>
  <Pages>15</Pages>
  <Words>5691</Words>
  <Characters>31304</Characters>
  <Application>Microsoft Office Word</Application>
  <DocSecurity>0</DocSecurity>
  <Lines>260</Lines>
  <Paragraphs>73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36922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anv</dc:creator>
  <cp:keywords/>
  <dc:description/>
  <cp:lastModifiedBy>Jorge Eliecer Moran Buitrón</cp:lastModifiedBy>
  <cp:revision>5</cp:revision>
  <cp:lastPrinted>2020-01-30T15:05:00Z</cp:lastPrinted>
  <dcterms:created xsi:type="dcterms:W3CDTF">2022-02-02T22:07:00Z</dcterms:created>
  <dcterms:modified xsi:type="dcterms:W3CDTF">2022-04-22T19:30:00Z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