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A3406" w14:textId="332F5BEB" w:rsidR="00B00C9E" w:rsidRPr="00B00C9E" w:rsidRDefault="00B00C9E" w:rsidP="00B00C9E">
      <w:pPr>
        <w:spacing w:after="0"/>
        <w:jc w:val="both"/>
        <w:rPr>
          <w:rFonts w:ascii="Verdana" w:hAnsi="Verdana"/>
        </w:rPr>
      </w:pPr>
      <w:bookmarkStart w:id="0" w:name="_Hlk143780582"/>
      <w:r w:rsidRPr="00B00C9E">
        <w:rPr>
          <w:rFonts w:ascii="Verdana" w:eastAsia="Calibri" w:hAnsi="Verdana" w:cs="Arial"/>
          <w:b/>
          <w:bCs/>
          <w:lang w:val="es-ES_tradnl" w:eastAsia="es-ES"/>
        </w:rPr>
        <w:t>DOCUMENTOS TIPO – Fundamento normativo</w:t>
      </w:r>
    </w:p>
    <w:p w14:paraId="378AC3A4" w14:textId="77777777" w:rsidR="00B00C9E" w:rsidRPr="00B00C9E" w:rsidRDefault="00B00C9E" w:rsidP="00B00C9E">
      <w:pPr>
        <w:spacing w:after="0" w:line="276" w:lineRule="auto"/>
        <w:jc w:val="both"/>
        <w:rPr>
          <w:rFonts w:ascii="Verdana" w:eastAsia="Calibri" w:hAnsi="Verdana" w:cs="Arial"/>
          <w:b/>
          <w:bCs/>
          <w:lang w:val="es-ES_tradnl" w:eastAsia="es-ES"/>
        </w:rPr>
      </w:pPr>
    </w:p>
    <w:p w14:paraId="618045EA" w14:textId="103FA0C8" w:rsidR="00B00C9E" w:rsidRPr="00B00C9E" w:rsidRDefault="00E5774B" w:rsidP="00B00C9E">
      <w:pPr>
        <w:snapToGrid w:val="0"/>
        <w:spacing w:after="0" w:line="240" w:lineRule="auto"/>
        <w:jc w:val="both"/>
        <w:rPr>
          <w:rFonts w:ascii="Verdana" w:eastAsia="Calibri" w:hAnsi="Verdana" w:cs="Times New Roman"/>
          <w:kern w:val="2"/>
          <w:sz w:val="20"/>
          <w:szCs w:val="20"/>
          <w:lang w:val="es-ES_tradnl"/>
          <w14:ligatures w14:val="standardContextual"/>
        </w:rPr>
      </w:pPr>
      <w:r w:rsidRPr="00E5774B">
        <w:rPr>
          <w:rFonts w:ascii="Verdana" w:eastAsia="Calibri"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11070BF6" w14:textId="77777777" w:rsidR="00B00C9E" w:rsidRPr="00B00C9E" w:rsidRDefault="00B00C9E" w:rsidP="00B00C9E">
      <w:pPr>
        <w:spacing w:after="0" w:line="276" w:lineRule="auto"/>
        <w:rPr>
          <w:rFonts w:ascii="Verdana" w:eastAsia="Geomanist Light" w:hAnsi="Verdana" w:cs="Arial"/>
          <w:lang w:val="es-ES_tradnl"/>
        </w:rPr>
      </w:pPr>
    </w:p>
    <w:p w14:paraId="566289B3" w14:textId="77777777" w:rsidR="00B00C9E" w:rsidRPr="00B00C9E" w:rsidRDefault="00B00C9E" w:rsidP="00B00C9E">
      <w:pPr>
        <w:spacing w:after="0" w:line="276" w:lineRule="auto"/>
        <w:jc w:val="both"/>
        <w:rPr>
          <w:rFonts w:ascii="Verdana" w:eastAsia="Geomanist Light" w:hAnsi="Verdana" w:cs="Arial"/>
          <w:b/>
          <w:bCs/>
          <w:lang w:val="es-ES_tradnl"/>
        </w:rPr>
      </w:pPr>
      <w:r w:rsidRPr="00B00C9E">
        <w:rPr>
          <w:rFonts w:ascii="Verdana" w:eastAsia="Geomanist Light" w:hAnsi="Verdana" w:cs="Arial"/>
          <w:b/>
          <w:bCs/>
          <w:lang w:val="es-ES_tradnl"/>
        </w:rPr>
        <w:t>DOCUMENTOS TIPO – Infraestructura de transporte – Ámbito de aplicación – Alumbrado público</w:t>
      </w:r>
    </w:p>
    <w:p w14:paraId="1D496DBF" w14:textId="77777777" w:rsidR="00B00C9E" w:rsidRPr="00B00C9E" w:rsidRDefault="00B00C9E" w:rsidP="00B00C9E">
      <w:pPr>
        <w:spacing w:after="0" w:line="276" w:lineRule="auto"/>
        <w:jc w:val="both"/>
        <w:rPr>
          <w:rFonts w:ascii="Verdana" w:eastAsia="Geomanist Light" w:hAnsi="Verdana" w:cs="Arial"/>
          <w:b/>
          <w:bCs/>
          <w:lang w:val="es-ES_tradnl"/>
        </w:rPr>
      </w:pPr>
    </w:p>
    <w:p w14:paraId="25040A6F" w14:textId="36261A5D" w:rsidR="00B00C9E" w:rsidRPr="00B00C9E" w:rsidRDefault="00B00C9E" w:rsidP="00B00C9E">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B00C9E">
        <w:rPr>
          <w:rFonts w:ascii="Verdana" w:eastAsia="Calibri" w:hAnsi="Verdana" w:cs="Times New Roman"/>
          <w:kern w:val="2"/>
          <w:sz w:val="20"/>
          <w:szCs w:val="20"/>
          <w14:ligatures w14:val="standardContextual"/>
        </w:rPr>
        <w:t>[…]</w:t>
      </w:r>
      <w:r w:rsidR="00F0729C">
        <w:rPr>
          <w:rFonts w:ascii="Verdana" w:eastAsia="Calibri" w:hAnsi="Verdana" w:cs="Times New Roman"/>
          <w:kern w:val="2"/>
          <w:sz w:val="20"/>
          <w:szCs w:val="20"/>
          <w14:ligatures w14:val="standardContextual"/>
        </w:rPr>
        <w:t xml:space="preserve"> </w:t>
      </w:r>
      <w:r w:rsidR="00F0729C" w:rsidRPr="00F0729C">
        <w:rPr>
          <w:rFonts w:ascii="Verdana" w:eastAsia="Calibri" w:hAnsi="Verdana" w:cs="Times New Roman"/>
          <w:kern w:val="2"/>
          <w:sz w:val="20"/>
          <w:szCs w:val="20"/>
          <w14:ligatures w14:val="standardContextual"/>
        </w:rPr>
        <w:t>es importante resaltar que no existe un documento tipo que de manera particular incluya las actividades de alumbrado público. Sin embargo, hay que señalar que en las Matrices de Experiencia de la versión 4 de los documentos tipo de infraestructura de transporte, se incluyen las siguientes actividades relacionadas con la contratación de estos servicios:</w:t>
      </w:r>
    </w:p>
    <w:p w14:paraId="27111A32" w14:textId="77777777" w:rsidR="00B00C9E" w:rsidRPr="00B00C9E" w:rsidRDefault="00B00C9E" w:rsidP="00B00C9E">
      <w:pPr>
        <w:spacing w:after="0" w:line="240" w:lineRule="auto"/>
        <w:ind w:right="709"/>
        <w:jc w:val="both"/>
        <w:rPr>
          <w:rFonts w:ascii="Verdana" w:eastAsia="Calibri" w:hAnsi="Verdana" w:cs="Times New Roman"/>
          <w:kern w:val="2"/>
          <w:sz w:val="20"/>
          <w:szCs w:val="20"/>
          <w14:ligatures w14:val="standardContextual"/>
        </w:rPr>
      </w:pPr>
      <w:r w:rsidRPr="00B00C9E">
        <w:rPr>
          <w:rFonts w:ascii="Verdana" w:eastAsia="Times New Roman" w:hAnsi="Verdana" w:cs="Arial"/>
          <w:kern w:val="2"/>
          <w:sz w:val="20"/>
          <w:szCs w:val="20"/>
          <w:shd w:val="clear" w:color="auto" w:fill="FFFFFF"/>
          <w:lang w:val="es-ES_tradnl" w:eastAsia="es-ES_tradnl"/>
          <w14:ligatures w14:val="standardContextual"/>
        </w:rPr>
        <w:t>[…]</w:t>
      </w:r>
    </w:p>
    <w:p w14:paraId="5626A9C8" w14:textId="7864EF07" w:rsidR="00B00C9E" w:rsidRPr="00B00C9E" w:rsidRDefault="00FF534A" w:rsidP="00B00C9E">
      <w:pPr>
        <w:tabs>
          <w:tab w:val="num" w:pos="720"/>
        </w:tabs>
        <w:spacing w:after="0" w:line="240" w:lineRule="auto"/>
        <w:jc w:val="both"/>
        <w:rPr>
          <w:rFonts w:ascii="Verdana" w:eastAsia="Calibri" w:hAnsi="Verdana" w:cs="Times New Roman"/>
          <w:kern w:val="2"/>
          <w:sz w:val="20"/>
          <w:szCs w:val="20"/>
          <w14:ligatures w14:val="standardContextual"/>
        </w:rPr>
      </w:pPr>
      <w:r w:rsidRPr="00FF534A">
        <w:rPr>
          <w:rFonts w:ascii="Verdana" w:eastAsia="Calibri" w:hAnsi="Verdana" w:cs="Times New Roman"/>
          <w:kern w:val="2"/>
          <w:sz w:val="20"/>
          <w:szCs w:val="20"/>
          <w14:ligatures w14:val="standardContextual"/>
        </w:rPr>
        <w:t xml:space="preserve">La </w:t>
      </w:r>
      <w:r w:rsidRPr="00FF534A">
        <w:rPr>
          <w:rFonts w:ascii="Verdana" w:eastAsia="Calibri" w:hAnsi="Verdana" w:cs="Times New Roman"/>
          <w:b/>
          <w:bCs/>
          <w:kern w:val="2"/>
          <w:sz w:val="20"/>
          <w:szCs w:val="20"/>
          <w14:ligatures w14:val="standardContextual"/>
        </w:rPr>
        <w:t>infraestructura eléctrica</w:t>
      </w:r>
      <w:r w:rsidRPr="00FF534A">
        <w:rPr>
          <w:rFonts w:ascii="Verdana" w:eastAsia="Calibri" w:hAnsi="Verdana" w:cs="Times New Roman"/>
          <w:kern w:val="2"/>
          <w:sz w:val="20"/>
          <w:szCs w:val="20"/>
          <w14:ligatures w14:val="standardContextual"/>
        </w:rPr>
        <w:t xml:space="preserve"> se refiere al conjunto de instalaciones, equipos y sistemas encargados de generar, transmitir, distribuir y controlar la energía eléctrica; en este sentido, el alumbrado público hace parte de la infraestructura eléctrica. Por su parte, el artículo 2.2.3.1.2 del Decreto 1073 de 2015 –modificado por el artículo 1 del Decreto 943 de 2018–, define el sistema de alumbrado público como:</w:t>
      </w:r>
      <w:r w:rsidR="00B00C9E" w:rsidRPr="00B00C9E">
        <w:rPr>
          <w:rFonts w:ascii="Verdana" w:eastAsia="Calibri" w:hAnsi="Verdana" w:cs="Times New Roman"/>
          <w:kern w:val="2"/>
          <w:sz w:val="20"/>
          <w:szCs w:val="20"/>
          <w14:ligatures w14:val="standardContextual"/>
        </w:rPr>
        <w:t xml:space="preserve"> […]</w:t>
      </w:r>
    </w:p>
    <w:p w14:paraId="244C51A6" w14:textId="77777777" w:rsidR="00B00C9E" w:rsidRPr="00B00C9E" w:rsidRDefault="00B00C9E" w:rsidP="00B00C9E">
      <w:pPr>
        <w:spacing w:after="0" w:line="276" w:lineRule="auto"/>
        <w:ind w:left="708"/>
        <w:jc w:val="both"/>
        <w:rPr>
          <w:rFonts w:ascii="Verdana" w:eastAsia="Calibri" w:hAnsi="Verdana" w:cs="Times New Roman"/>
          <w:kern w:val="2"/>
          <w14:ligatures w14:val="standardContextual"/>
        </w:rPr>
      </w:pPr>
    </w:p>
    <w:p w14:paraId="1EE507AD" w14:textId="77777777" w:rsidR="00B00C9E" w:rsidRPr="00B00C9E" w:rsidRDefault="00B00C9E" w:rsidP="00B00C9E">
      <w:pPr>
        <w:spacing w:after="0" w:line="276" w:lineRule="auto"/>
        <w:ind w:firstLine="709"/>
        <w:jc w:val="both"/>
        <w:rPr>
          <w:rFonts w:ascii="Verdana" w:eastAsia="Aptos" w:hAnsi="Verdana" w:cs="Times New Roman"/>
          <w:kern w:val="2"/>
          <w14:ligatures w14:val="standardContextual"/>
        </w:rPr>
      </w:pPr>
    </w:p>
    <w:p w14:paraId="53643E6E" w14:textId="77777777" w:rsidR="00B00C9E" w:rsidRPr="00B00C9E" w:rsidRDefault="00B00C9E" w:rsidP="00B00C9E">
      <w:pPr>
        <w:spacing w:after="0" w:line="276" w:lineRule="auto"/>
        <w:ind w:firstLine="709"/>
        <w:jc w:val="both"/>
        <w:rPr>
          <w:rFonts w:ascii="Verdana" w:eastAsia="Aptos" w:hAnsi="Verdana" w:cs="Times New Roman"/>
          <w:kern w:val="2"/>
          <w14:ligatures w14:val="standardContextual"/>
        </w:rPr>
      </w:pPr>
    </w:p>
    <w:p w14:paraId="47BBDFD9" w14:textId="77777777" w:rsidR="00B00C9E" w:rsidRPr="00B00C9E" w:rsidRDefault="00B00C9E" w:rsidP="00B00C9E">
      <w:pPr>
        <w:spacing w:after="0" w:line="276" w:lineRule="auto"/>
        <w:ind w:firstLine="709"/>
        <w:jc w:val="both"/>
        <w:rPr>
          <w:rFonts w:ascii="Verdana" w:eastAsia="Aptos" w:hAnsi="Verdana" w:cs="Times New Roman"/>
          <w:kern w:val="2"/>
          <w14:ligatures w14:val="standardContextual"/>
        </w:rPr>
      </w:pPr>
    </w:p>
    <w:p w14:paraId="0D87522A" w14:textId="77777777" w:rsidR="00B00C9E" w:rsidRPr="00B00C9E" w:rsidRDefault="00B00C9E" w:rsidP="00B00C9E">
      <w:pPr>
        <w:snapToGrid w:val="0"/>
        <w:spacing w:after="0" w:line="240" w:lineRule="auto"/>
        <w:jc w:val="both"/>
        <w:rPr>
          <w:rFonts w:ascii="Verdana" w:eastAsia="Calibri" w:hAnsi="Verdana" w:cs="Arial"/>
          <w:sz w:val="20"/>
          <w:szCs w:val="20"/>
          <w:lang w:val="es-ES"/>
        </w:rPr>
      </w:pPr>
    </w:p>
    <w:p w14:paraId="1B67CFEE" w14:textId="77777777" w:rsidR="00B00C9E" w:rsidRPr="00B00C9E" w:rsidRDefault="00B00C9E" w:rsidP="00B00C9E">
      <w:pPr>
        <w:spacing w:after="0" w:line="240" w:lineRule="auto"/>
        <w:jc w:val="both"/>
        <w:rPr>
          <w:rFonts w:ascii="Verdana" w:eastAsia="Calibri" w:hAnsi="Verdana" w:cs="Times New Roman"/>
        </w:rPr>
      </w:pPr>
    </w:p>
    <w:p w14:paraId="78A0998D"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442FA9FD"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73991ACF"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53A6777A"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34425BF6"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70CEC1A2"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46E758D1"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3447123C"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25934624"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1DF68B5A"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164CBEFC"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1947815F"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673AD959"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57B1223E" w14:textId="77777777" w:rsidR="00B00C9E" w:rsidRPr="00B00C9E" w:rsidRDefault="00B00C9E" w:rsidP="00B00C9E">
      <w:pPr>
        <w:spacing w:after="0" w:line="240" w:lineRule="auto"/>
        <w:jc w:val="both"/>
        <w:rPr>
          <w:rFonts w:ascii="Verdana" w:eastAsia="Calibri" w:hAnsi="Verdana" w:cs="Arial"/>
          <w:color w:val="000000"/>
          <w:sz w:val="20"/>
          <w:szCs w:val="20"/>
          <w:lang w:val="es-ES"/>
        </w:rPr>
      </w:pPr>
    </w:p>
    <w:p w14:paraId="5834A6CA" w14:textId="77777777" w:rsidR="00B00C9E" w:rsidRDefault="00B00C9E" w:rsidP="00B00C9E">
      <w:pPr>
        <w:spacing w:after="0" w:line="240" w:lineRule="auto"/>
        <w:jc w:val="both"/>
        <w:rPr>
          <w:rFonts w:ascii="Verdana" w:eastAsia="Calibri" w:hAnsi="Verdana" w:cs="Arial"/>
          <w:color w:val="000000"/>
          <w:sz w:val="20"/>
          <w:szCs w:val="20"/>
          <w:lang w:val="es-ES"/>
        </w:rPr>
      </w:pPr>
    </w:p>
    <w:p w14:paraId="168DB91E" w14:textId="33CC73FC" w:rsidR="00B00C9E" w:rsidRDefault="00B00C9E" w:rsidP="00B00C9E">
      <w:pPr>
        <w:spacing w:after="0" w:line="240" w:lineRule="auto"/>
        <w:jc w:val="both"/>
        <w:rPr>
          <w:rFonts w:ascii="Verdana" w:hAnsi="Verdana"/>
        </w:rPr>
      </w:pPr>
      <w:r w:rsidRPr="0044528D">
        <w:rPr>
          <w:rFonts w:ascii="Verdana" w:hAnsi="Verdana"/>
        </w:rPr>
        <w:lastRenderedPageBreak/>
        <w:t>Bogotá D.C.</w:t>
      </w:r>
      <w:r w:rsidR="00B27700">
        <w:rPr>
          <w:rFonts w:ascii="Verdana" w:hAnsi="Verdana"/>
        </w:rPr>
        <w:t xml:space="preserve">, 21 </w:t>
      </w:r>
      <w:proofErr w:type="spellStart"/>
      <w:r w:rsidR="00B27700">
        <w:rPr>
          <w:rFonts w:ascii="Verdana" w:hAnsi="Verdana"/>
        </w:rPr>
        <w:t>Julio</w:t>
      </w:r>
      <w:proofErr w:type="spellEnd"/>
      <w:r w:rsidR="00B27700">
        <w:rPr>
          <w:rFonts w:ascii="Verdana" w:hAnsi="Verdana"/>
        </w:rPr>
        <w:t xml:space="preserve"> 2025</w:t>
      </w:r>
    </w:p>
    <w:p w14:paraId="2CE87D9A" w14:textId="77777777" w:rsidR="00B00C9E" w:rsidRPr="00B00C9E" w:rsidRDefault="00B00C9E" w:rsidP="00B00C9E">
      <w:pPr>
        <w:spacing w:after="0" w:line="240" w:lineRule="auto"/>
        <w:jc w:val="both"/>
        <w:rPr>
          <w:rFonts w:ascii="Verdana" w:eastAsia="Calibri" w:hAnsi="Verdana" w:cs="Arial"/>
          <w:lang w:val="es-ES"/>
        </w:rPr>
      </w:pPr>
    </w:p>
    <w:p w14:paraId="76EF766F" w14:textId="31E3AADD" w:rsidR="00B00C9E" w:rsidRDefault="00532176" w:rsidP="00532176">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061EADB1" wp14:editId="3A828E10">
            <wp:extent cx="2705691" cy="757593"/>
            <wp:effectExtent l="0" t="0" r="0" b="4445"/>
            <wp:docPr id="9980564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6465" name="Imagen 998056465"/>
                    <pic:cNvPicPr/>
                  </pic:nvPicPr>
                  <pic:blipFill>
                    <a:blip r:embed="rId10">
                      <a:extLst>
                        <a:ext uri="{28A0092B-C50C-407E-A947-70E740481C1C}">
                          <a14:useLocalDpi xmlns:a14="http://schemas.microsoft.com/office/drawing/2010/main" val="0"/>
                        </a:ext>
                      </a:extLst>
                    </a:blip>
                    <a:stretch>
                      <a:fillRect/>
                    </a:stretch>
                  </pic:blipFill>
                  <pic:spPr>
                    <a:xfrm>
                      <a:off x="0" y="0"/>
                      <a:ext cx="2722272" cy="762236"/>
                    </a:xfrm>
                    <a:prstGeom prst="rect">
                      <a:avLst/>
                    </a:prstGeom>
                  </pic:spPr>
                </pic:pic>
              </a:graphicData>
            </a:graphic>
          </wp:inline>
        </w:drawing>
      </w:r>
    </w:p>
    <w:p w14:paraId="04D1C70B" w14:textId="77777777" w:rsidR="00532176" w:rsidRPr="00B00C9E" w:rsidRDefault="00532176" w:rsidP="00B00C9E">
      <w:pPr>
        <w:spacing w:after="0" w:line="240" w:lineRule="auto"/>
        <w:jc w:val="both"/>
        <w:rPr>
          <w:rFonts w:ascii="Verdana" w:eastAsia="Calibri" w:hAnsi="Verdana" w:cs="Arial"/>
          <w:lang w:val="es-ES" w:eastAsia="es-ES"/>
        </w:rPr>
      </w:pPr>
    </w:p>
    <w:p w14:paraId="5B9F8578" w14:textId="77777777" w:rsidR="00B00C9E" w:rsidRPr="00B00C9E" w:rsidRDefault="00B00C9E" w:rsidP="00B00C9E">
      <w:pPr>
        <w:spacing w:after="0" w:line="240" w:lineRule="auto"/>
        <w:jc w:val="both"/>
        <w:rPr>
          <w:rFonts w:ascii="Verdana" w:eastAsia="Calibri" w:hAnsi="Verdana" w:cs="Arial"/>
          <w:lang w:val="es-ES" w:eastAsia="es-ES"/>
        </w:rPr>
      </w:pPr>
      <w:r w:rsidRPr="00B00C9E">
        <w:rPr>
          <w:rFonts w:ascii="Verdana" w:eastAsia="Calibri" w:hAnsi="Verdana" w:cs="Arial"/>
          <w:lang w:val="es-ES" w:eastAsia="es-ES"/>
        </w:rPr>
        <w:t>Señora</w:t>
      </w:r>
    </w:p>
    <w:p w14:paraId="11D04442" w14:textId="77777777" w:rsidR="00B00C9E" w:rsidRPr="00B00C9E" w:rsidRDefault="00B00C9E" w:rsidP="55141474">
      <w:pPr>
        <w:spacing w:after="0" w:line="240" w:lineRule="auto"/>
        <w:rPr>
          <w:rFonts w:ascii="Verdana" w:eastAsia="Calibri" w:hAnsi="Verdana" w:cs="Arial"/>
          <w:b/>
          <w:bCs/>
          <w:lang w:val="es-ES" w:eastAsia="es-ES"/>
        </w:rPr>
      </w:pPr>
      <w:proofErr w:type="spellStart"/>
      <w:r w:rsidRPr="55141474">
        <w:rPr>
          <w:rFonts w:ascii="Verdana" w:eastAsia="Calibri" w:hAnsi="Verdana" w:cs="Arial"/>
          <w:b/>
          <w:bCs/>
          <w:lang w:val="es-ES" w:eastAsia="es-ES"/>
        </w:rPr>
        <w:t>Licet</w:t>
      </w:r>
      <w:proofErr w:type="spellEnd"/>
      <w:r w:rsidRPr="55141474">
        <w:rPr>
          <w:rFonts w:ascii="Verdana" w:eastAsia="Calibri" w:hAnsi="Verdana" w:cs="Arial"/>
          <w:b/>
          <w:bCs/>
          <w:lang w:val="es-ES" w:eastAsia="es-ES"/>
        </w:rPr>
        <w:t xml:space="preserve"> Jacqueline Vallejo Ortiz</w:t>
      </w:r>
    </w:p>
    <w:p w14:paraId="7DD74E85" w14:textId="77777777" w:rsidR="00B00C9E" w:rsidRPr="00B00C9E" w:rsidRDefault="00B00C9E" w:rsidP="00B00C9E">
      <w:pPr>
        <w:tabs>
          <w:tab w:val="left" w:pos="1200"/>
        </w:tabs>
        <w:spacing w:after="0" w:line="240" w:lineRule="auto"/>
        <w:rPr>
          <w:rFonts w:ascii="Verdana" w:eastAsia="Calibri" w:hAnsi="Verdana" w:cs="Arial"/>
          <w:lang w:val="es-ES" w:eastAsia="es-ES"/>
        </w:rPr>
      </w:pPr>
      <w:r w:rsidRPr="00B00C9E">
        <w:rPr>
          <w:rFonts w:ascii="Verdana" w:eastAsia="Calibri" w:hAnsi="Verdana" w:cs="Arial"/>
          <w:lang w:val="es-ES" w:eastAsia="es-ES"/>
        </w:rPr>
        <w:t xml:space="preserve">Consultoría Multiservicios </w:t>
      </w:r>
      <w:proofErr w:type="spellStart"/>
      <w:r w:rsidRPr="00B00C9E">
        <w:rPr>
          <w:rFonts w:ascii="Verdana" w:eastAsia="Calibri" w:hAnsi="Verdana" w:cs="Arial"/>
          <w:lang w:val="es-ES" w:eastAsia="es-ES"/>
        </w:rPr>
        <w:t>Zomac</w:t>
      </w:r>
      <w:proofErr w:type="spellEnd"/>
      <w:r w:rsidRPr="00B00C9E">
        <w:rPr>
          <w:rFonts w:ascii="Verdana" w:eastAsia="Calibri" w:hAnsi="Verdana" w:cs="Arial"/>
          <w:lang w:val="es-ES" w:eastAsia="es-ES"/>
        </w:rPr>
        <w:t xml:space="preserve"> S.A.S.</w:t>
      </w:r>
    </w:p>
    <w:p w14:paraId="47EC4D83" w14:textId="77777777" w:rsidR="00B00C9E" w:rsidRPr="00B00C9E" w:rsidRDefault="00B00C9E" w:rsidP="00B00C9E">
      <w:pPr>
        <w:tabs>
          <w:tab w:val="left" w:pos="1200"/>
        </w:tabs>
        <w:spacing w:after="0" w:line="240" w:lineRule="auto"/>
        <w:rPr>
          <w:rFonts w:ascii="Verdana" w:eastAsia="Calibri" w:hAnsi="Verdana" w:cs="Arial"/>
          <w:b/>
          <w:bCs/>
          <w:lang w:val="es-ES" w:eastAsia="es-ES"/>
        </w:rPr>
      </w:pPr>
      <w:r w:rsidRPr="00B00C9E">
        <w:rPr>
          <w:rFonts w:ascii="Verdana" w:eastAsia="Calibri" w:hAnsi="Verdana" w:cs="Arial"/>
          <w:lang w:val="es-ES" w:eastAsia="es-ES"/>
        </w:rPr>
        <w:t>Amalfi, Antioquia</w:t>
      </w:r>
      <w:r w:rsidRPr="00B00C9E">
        <w:rPr>
          <w:rFonts w:ascii="Verdana" w:eastAsia="Calibri" w:hAnsi="Verdana" w:cs="Arial"/>
          <w:lang w:val="es-ES" w:eastAsia="es-ES"/>
        </w:rPr>
        <w:tab/>
      </w:r>
    </w:p>
    <w:p w14:paraId="4F66648B" w14:textId="77777777" w:rsidR="00B00C9E" w:rsidRPr="00B00C9E" w:rsidRDefault="00B00C9E" w:rsidP="00B00C9E">
      <w:pPr>
        <w:spacing w:after="0" w:line="240" w:lineRule="auto"/>
        <w:rPr>
          <w:rFonts w:ascii="Verdana" w:eastAsia="Calibri" w:hAnsi="Verdana" w:cs="Arial"/>
          <w:b/>
          <w:bCs/>
          <w:lang w:val="es-ES_tradnl" w:eastAsia="es-ES_tradnl"/>
        </w:rPr>
      </w:pPr>
    </w:p>
    <w:p w14:paraId="262C0D0D" w14:textId="77777777" w:rsidR="00B00C9E" w:rsidRPr="00B00C9E" w:rsidRDefault="00B00C9E" w:rsidP="00B00C9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00C9E" w:rsidRPr="00B00C9E" w14:paraId="435F4447" w14:textId="77777777" w:rsidTr="008C0948">
        <w:trPr>
          <w:trHeight w:val="884"/>
        </w:trPr>
        <w:tc>
          <w:tcPr>
            <w:tcW w:w="2689" w:type="dxa"/>
          </w:tcPr>
          <w:p w14:paraId="02FD7C6D" w14:textId="77777777" w:rsidR="00B00C9E" w:rsidRPr="00B00C9E" w:rsidRDefault="00B00C9E" w:rsidP="00B00C9E">
            <w:pPr>
              <w:jc w:val="both"/>
              <w:rPr>
                <w:rFonts w:ascii="Verdana" w:eastAsia="Calibri" w:hAnsi="Verdana" w:cs="Arial"/>
                <w:b/>
                <w:bCs/>
                <w:lang w:val="es-ES_tradnl" w:eastAsia="es-ES_tradnl"/>
              </w:rPr>
            </w:pPr>
          </w:p>
        </w:tc>
        <w:tc>
          <w:tcPr>
            <w:tcW w:w="6100" w:type="dxa"/>
          </w:tcPr>
          <w:p w14:paraId="519B06C3" w14:textId="77777777" w:rsidR="00B00C9E" w:rsidRPr="00B00C9E" w:rsidRDefault="00B00C9E" w:rsidP="00B00C9E">
            <w:pPr>
              <w:jc w:val="both"/>
              <w:rPr>
                <w:rFonts w:ascii="Verdana" w:eastAsia="Calibri" w:hAnsi="Verdana" w:cs="Arial"/>
                <w:b/>
                <w:bCs/>
                <w:lang w:val="es-ES" w:eastAsia="es-ES"/>
              </w:rPr>
            </w:pPr>
            <w:r w:rsidRPr="00B00C9E">
              <w:rPr>
                <w:rFonts w:ascii="Verdana" w:eastAsia="Calibri" w:hAnsi="Verdana" w:cs="Arial"/>
                <w:b/>
                <w:bCs/>
                <w:lang w:val="es-ES" w:eastAsia="es-ES"/>
              </w:rPr>
              <w:t>Concepto C – 740 de 2025</w:t>
            </w:r>
          </w:p>
        </w:tc>
      </w:tr>
      <w:tr w:rsidR="00B00C9E" w:rsidRPr="00B00C9E" w14:paraId="638AAEB6" w14:textId="77777777" w:rsidTr="008C0948">
        <w:trPr>
          <w:trHeight w:val="884"/>
        </w:trPr>
        <w:tc>
          <w:tcPr>
            <w:tcW w:w="2689" w:type="dxa"/>
          </w:tcPr>
          <w:p w14:paraId="38CB35AE" w14:textId="77777777" w:rsidR="00B00C9E" w:rsidRPr="00B00C9E" w:rsidRDefault="00B00C9E" w:rsidP="00B00C9E">
            <w:pPr>
              <w:jc w:val="both"/>
              <w:rPr>
                <w:rFonts w:ascii="Verdana" w:eastAsia="Calibri" w:hAnsi="Verdana" w:cs="Arial"/>
                <w:lang w:val="es-ES_tradnl" w:eastAsia="es-ES_tradnl"/>
              </w:rPr>
            </w:pPr>
            <w:r w:rsidRPr="00B00C9E">
              <w:rPr>
                <w:rFonts w:ascii="Verdana" w:eastAsia="Calibri" w:hAnsi="Verdana" w:cs="Arial"/>
                <w:b/>
                <w:lang w:val="es-ES_tradnl" w:eastAsia="es-ES_tradnl"/>
              </w:rPr>
              <w:t>Temas:</w:t>
            </w:r>
            <w:r w:rsidRPr="00B00C9E">
              <w:rPr>
                <w:rFonts w:ascii="Verdana" w:eastAsia="Calibri" w:hAnsi="Verdana" w:cs="Arial"/>
                <w:lang w:val="es-ES_tradnl" w:eastAsia="es-ES_tradnl"/>
              </w:rPr>
              <w:t xml:space="preserve">                   </w:t>
            </w:r>
          </w:p>
        </w:tc>
        <w:tc>
          <w:tcPr>
            <w:tcW w:w="6100" w:type="dxa"/>
          </w:tcPr>
          <w:p w14:paraId="66D71E8A" w14:textId="77777777" w:rsidR="00B00C9E" w:rsidRPr="00B00C9E" w:rsidRDefault="00B00C9E" w:rsidP="00B00C9E">
            <w:pPr>
              <w:spacing w:line="276" w:lineRule="auto"/>
              <w:jc w:val="both"/>
              <w:rPr>
                <w:rFonts w:ascii="Verdana" w:eastAsia="Geomanist Light" w:hAnsi="Verdana" w:cs="Arial"/>
                <w:lang w:val="es-ES_tradnl"/>
              </w:rPr>
            </w:pPr>
            <w:r w:rsidRPr="00B00C9E">
              <w:rPr>
                <w:rFonts w:ascii="Verdana" w:eastAsia="Calibri" w:hAnsi="Verdana" w:cs="Arial"/>
                <w:lang w:val="es-ES_tradnl" w:eastAsia="es-ES"/>
              </w:rPr>
              <w:t xml:space="preserve">DOCUMENTOS TIPO – Fundamento normativo / </w:t>
            </w:r>
            <w:r w:rsidRPr="00B00C9E">
              <w:rPr>
                <w:rFonts w:ascii="Verdana" w:eastAsia="Geomanist Light" w:hAnsi="Verdana" w:cs="Arial"/>
                <w:lang w:val="es-ES_tradnl"/>
              </w:rPr>
              <w:t>DOCUMENTOS TIPO – Infraestructura de transporte – Ámbito de aplicación – Alumbrado público</w:t>
            </w:r>
          </w:p>
          <w:p w14:paraId="65BB752A" w14:textId="77777777" w:rsidR="00B00C9E" w:rsidRPr="00B00C9E" w:rsidRDefault="00B00C9E" w:rsidP="00B00C9E">
            <w:pPr>
              <w:spacing w:line="276" w:lineRule="auto"/>
              <w:jc w:val="both"/>
              <w:rPr>
                <w:rFonts w:ascii="Verdana" w:eastAsia="Calibri" w:hAnsi="Verdana" w:cs="Arial"/>
                <w:highlight w:val="yellow"/>
                <w:lang w:val="es-ES" w:eastAsia="es-ES"/>
              </w:rPr>
            </w:pPr>
          </w:p>
        </w:tc>
      </w:tr>
      <w:tr w:rsidR="00B00C9E" w:rsidRPr="00B00C9E" w14:paraId="27890969" w14:textId="77777777" w:rsidTr="008C0948">
        <w:tc>
          <w:tcPr>
            <w:tcW w:w="2689" w:type="dxa"/>
          </w:tcPr>
          <w:p w14:paraId="5A5D6FE1" w14:textId="77777777" w:rsidR="00B00C9E" w:rsidRPr="00B00C9E" w:rsidRDefault="00B00C9E" w:rsidP="00B00C9E">
            <w:pPr>
              <w:jc w:val="both"/>
              <w:rPr>
                <w:rFonts w:ascii="Verdana" w:eastAsia="Calibri" w:hAnsi="Verdana" w:cs="Arial"/>
                <w:b/>
                <w:lang w:val="es-ES_tradnl" w:eastAsia="es-ES_tradnl"/>
              </w:rPr>
            </w:pPr>
            <w:r w:rsidRPr="00B00C9E">
              <w:rPr>
                <w:rFonts w:ascii="Verdana" w:eastAsia="Calibri" w:hAnsi="Verdana" w:cs="Arial"/>
                <w:b/>
                <w:lang w:val="es-ES_tradnl" w:eastAsia="es-ES_tradnl"/>
              </w:rPr>
              <w:t>Radicación:</w:t>
            </w:r>
            <w:r w:rsidRPr="00B00C9E">
              <w:rPr>
                <w:rFonts w:ascii="Verdana" w:eastAsia="Calibri" w:hAnsi="Verdana" w:cs="Arial"/>
                <w:lang w:val="es-ES_tradnl" w:eastAsia="es-ES_tradnl"/>
              </w:rPr>
              <w:t xml:space="preserve">               </w:t>
            </w:r>
          </w:p>
        </w:tc>
        <w:tc>
          <w:tcPr>
            <w:tcW w:w="6100" w:type="dxa"/>
          </w:tcPr>
          <w:p w14:paraId="4D99FCEE" w14:textId="77777777" w:rsidR="00B00C9E" w:rsidRPr="00B00C9E" w:rsidRDefault="00B00C9E" w:rsidP="00B00C9E">
            <w:pPr>
              <w:jc w:val="both"/>
              <w:rPr>
                <w:rFonts w:ascii="Verdana" w:eastAsia="Calibri" w:hAnsi="Verdana" w:cs="Arial"/>
                <w:lang w:val="es-ES_tradnl" w:eastAsia="es-ES_tradnl"/>
              </w:rPr>
            </w:pPr>
            <w:r w:rsidRPr="00B00C9E">
              <w:rPr>
                <w:rFonts w:ascii="Verdana" w:eastAsia="Calibri" w:hAnsi="Verdana" w:cs="Arial"/>
                <w:lang w:val="es-ES_tradnl" w:eastAsia="es-ES_tradnl"/>
              </w:rPr>
              <w:t>Respuesta a consulta con radicado No. 1-2025-06-09-005668</w:t>
            </w:r>
          </w:p>
        </w:tc>
      </w:tr>
    </w:tbl>
    <w:p w14:paraId="4F3AB78B" w14:textId="77777777" w:rsidR="00B00C9E" w:rsidRPr="00B00C9E" w:rsidRDefault="00B00C9E" w:rsidP="00B00C9E">
      <w:pPr>
        <w:spacing w:after="0" w:line="240" w:lineRule="auto"/>
        <w:jc w:val="both"/>
        <w:rPr>
          <w:rFonts w:ascii="Verdana" w:eastAsia="Calibri" w:hAnsi="Verdana" w:cs="Arial"/>
          <w:lang w:val="es-ES_tradnl" w:eastAsia="es-ES_tradnl"/>
        </w:rPr>
      </w:pPr>
    </w:p>
    <w:p w14:paraId="1AA02464" w14:textId="77777777" w:rsidR="00B00C9E" w:rsidRPr="00B00C9E" w:rsidRDefault="00B00C9E" w:rsidP="00B00C9E">
      <w:pPr>
        <w:spacing w:after="0" w:line="240" w:lineRule="auto"/>
        <w:jc w:val="both"/>
        <w:rPr>
          <w:rFonts w:ascii="Verdana" w:eastAsia="Calibri" w:hAnsi="Verdana" w:cs="Arial"/>
          <w:lang w:val="es-ES_tradnl" w:eastAsia="es-ES_tradnl"/>
        </w:rPr>
      </w:pPr>
    </w:p>
    <w:p w14:paraId="0CA0E274" w14:textId="77777777" w:rsidR="00B00C9E" w:rsidRPr="00B00C9E" w:rsidRDefault="00B00C9E" w:rsidP="00B00C9E">
      <w:pPr>
        <w:spacing w:after="0" w:line="276" w:lineRule="auto"/>
        <w:jc w:val="both"/>
        <w:rPr>
          <w:rFonts w:ascii="Verdana" w:eastAsia="Calibri" w:hAnsi="Verdana" w:cs="Arial"/>
          <w:lang w:val="es-ES" w:eastAsia="es-ES"/>
        </w:rPr>
      </w:pPr>
      <w:r w:rsidRPr="00B00C9E">
        <w:rPr>
          <w:rFonts w:ascii="Verdana" w:eastAsia="Calibri" w:hAnsi="Verdana" w:cs="Arial"/>
          <w:lang w:val="es-ES" w:eastAsia="es-ES"/>
        </w:rPr>
        <w:t xml:space="preserve">Estimada señora Vallejo Ortiz: </w:t>
      </w:r>
    </w:p>
    <w:p w14:paraId="131C329E" w14:textId="77777777" w:rsidR="00B00C9E" w:rsidRPr="00B00C9E" w:rsidRDefault="00B00C9E" w:rsidP="00B00C9E">
      <w:pPr>
        <w:tabs>
          <w:tab w:val="left" w:pos="3768"/>
        </w:tabs>
        <w:spacing w:after="0" w:line="276" w:lineRule="auto"/>
        <w:jc w:val="both"/>
        <w:rPr>
          <w:rFonts w:ascii="Verdana" w:eastAsia="Calibri" w:hAnsi="Verdana" w:cs="Arial"/>
          <w:lang w:val="es-ES" w:eastAsia="es-ES"/>
        </w:rPr>
      </w:pPr>
      <w:r w:rsidRPr="00B00C9E">
        <w:rPr>
          <w:rFonts w:ascii="Verdana" w:eastAsia="Calibri" w:hAnsi="Verdana" w:cs="Arial"/>
          <w:lang w:val="es-ES" w:eastAsia="es-ES"/>
        </w:rPr>
        <w:tab/>
      </w:r>
    </w:p>
    <w:p w14:paraId="3BCE8CE6" w14:textId="77777777" w:rsidR="00B00C9E" w:rsidRPr="00B00C9E" w:rsidRDefault="00B00C9E" w:rsidP="00B00C9E">
      <w:pPr>
        <w:spacing w:after="0" w:line="276" w:lineRule="auto"/>
        <w:jc w:val="both"/>
        <w:rPr>
          <w:rFonts w:ascii="Verdana" w:eastAsia="Calibri" w:hAnsi="Verdana" w:cs="Arial"/>
          <w:lang w:val="es-ES" w:eastAsia="es-ES"/>
        </w:rPr>
      </w:pPr>
      <w:r w:rsidRPr="00B00C9E">
        <w:rPr>
          <w:rFonts w:ascii="Verdana" w:eastAsia="Calibri" w:hAnsi="Verdana" w:cs="Arial"/>
          <w:lang w:val="es-ES" w:eastAsia="es-ES"/>
        </w:rPr>
        <w:t>En ejercicio de la competencia otorgada por los artículos 3, numeral 5º, y 11, numeral 8º, del Decreto Ley 4170 de 2011,</w:t>
      </w:r>
      <w:r w:rsidRPr="00B00C9E">
        <w:rPr>
          <w:rFonts w:ascii="Verdana" w:eastAsia="Arial MT" w:hAnsi="Verdana" w:cs="Arial MT"/>
          <w:lang w:val="es-ES" w:eastAsia="es-ES"/>
        </w:rPr>
        <w:t xml:space="preserve"> </w:t>
      </w:r>
      <w:r w:rsidRPr="00B00C9E">
        <w:rPr>
          <w:rFonts w:ascii="Verdana" w:eastAsia="Calibri" w:hAnsi="Verdana" w:cs="Arial"/>
        </w:rPr>
        <w:t xml:space="preserve">así como lo establecido en el artículo 4 de la Resolución 1707 de 2018 expedida por esta Entidad, </w:t>
      </w:r>
      <w:r w:rsidRPr="00B00C9E">
        <w:rPr>
          <w:rFonts w:ascii="Verdana" w:eastAsia="Calibri" w:hAnsi="Verdana" w:cs="Arial"/>
          <w:lang w:val="es-ES" w:eastAsia="es-ES"/>
        </w:rPr>
        <w:t>la Agencia Nacional de Contratación Pública – Colombia Compra Eficiente responde su solicitud de consulta de fecha 9 de junio de 2025, en la que manifiesta lo siguiente:</w:t>
      </w:r>
    </w:p>
    <w:p w14:paraId="7E00218D" w14:textId="77777777" w:rsidR="00B00C9E" w:rsidRPr="00B00C9E" w:rsidRDefault="00B00C9E" w:rsidP="00B00C9E">
      <w:pPr>
        <w:tabs>
          <w:tab w:val="left" w:pos="2100"/>
        </w:tabs>
        <w:spacing w:after="0" w:line="276" w:lineRule="auto"/>
        <w:jc w:val="both"/>
        <w:rPr>
          <w:rFonts w:ascii="Verdana" w:eastAsia="Calibri" w:hAnsi="Verdana" w:cs="Arial"/>
          <w:lang w:val="es-ES" w:eastAsia="es-ES"/>
        </w:rPr>
      </w:pPr>
      <w:r w:rsidRPr="00B00C9E">
        <w:rPr>
          <w:rFonts w:ascii="Verdana" w:eastAsia="Calibri" w:hAnsi="Verdana" w:cs="Arial"/>
          <w:lang w:val="es-ES" w:eastAsia="es-ES"/>
        </w:rPr>
        <w:tab/>
      </w:r>
    </w:p>
    <w:p w14:paraId="661421CB" w14:textId="77777777" w:rsidR="00B00C9E" w:rsidRPr="00B00C9E" w:rsidRDefault="00B00C9E" w:rsidP="00B00C9E">
      <w:pPr>
        <w:spacing w:after="0" w:line="240" w:lineRule="auto"/>
        <w:ind w:left="709" w:right="709"/>
        <w:jc w:val="both"/>
        <w:rPr>
          <w:rFonts w:ascii="Verdana" w:eastAsia="Calibri" w:hAnsi="Verdana" w:cs="Arial"/>
          <w:sz w:val="21"/>
          <w:szCs w:val="21"/>
          <w:lang w:val="es-ES" w:eastAsia="es-ES"/>
        </w:rPr>
      </w:pPr>
      <w:r w:rsidRPr="00B00C9E">
        <w:rPr>
          <w:rFonts w:ascii="Verdana" w:eastAsia="Calibri" w:hAnsi="Verdana" w:cs="Arial"/>
          <w:sz w:val="21"/>
          <w:szCs w:val="21"/>
          <w:lang w:val="es-ES" w:eastAsia="es-ES"/>
        </w:rPr>
        <w:t>"[…] me permito solicitar de manera respetuosa información relacionada con la existencia de Documentos Tipo definidos por Colombia Compra Eficiente para la contratación del servicio de alumbrado público, ya sea en lo relacionado con su operación, mantenimiento, modernización u otras actividades asociadas.</w:t>
      </w:r>
    </w:p>
    <w:p w14:paraId="2D616774" w14:textId="77777777" w:rsidR="00B00C9E" w:rsidRPr="00B00C9E" w:rsidRDefault="00B00C9E" w:rsidP="00B00C9E">
      <w:pPr>
        <w:spacing w:after="0" w:line="240" w:lineRule="auto"/>
        <w:ind w:left="709" w:right="709"/>
        <w:jc w:val="both"/>
        <w:rPr>
          <w:rFonts w:ascii="Verdana" w:eastAsia="Calibri" w:hAnsi="Verdana" w:cs="Arial"/>
          <w:sz w:val="21"/>
          <w:szCs w:val="21"/>
          <w:lang w:val="es-ES" w:eastAsia="es-ES"/>
        </w:rPr>
      </w:pPr>
      <w:r w:rsidRPr="00B00C9E">
        <w:rPr>
          <w:rFonts w:ascii="Verdana" w:eastAsia="Calibri" w:hAnsi="Verdana" w:cs="Arial"/>
          <w:sz w:val="21"/>
          <w:szCs w:val="21"/>
          <w:lang w:val="es-ES" w:eastAsia="es-ES"/>
        </w:rPr>
        <w:t>Teniendo en cuenta la importancia de estos documentos para promover la estandarización, la eficiencia y la transparencia en los procesos de contratación pública, agradezco se me informe:</w:t>
      </w:r>
    </w:p>
    <w:p w14:paraId="0CCA868A" w14:textId="77777777" w:rsidR="00B00C9E" w:rsidRPr="00B00C9E" w:rsidRDefault="00B00C9E" w:rsidP="00B00C9E">
      <w:pPr>
        <w:spacing w:after="0" w:line="240" w:lineRule="auto"/>
        <w:ind w:left="709" w:right="709"/>
        <w:jc w:val="both"/>
        <w:rPr>
          <w:rFonts w:ascii="Verdana" w:eastAsia="Calibri" w:hAnsi="Verdana" w:cs="Arial"/>
          <w:sz w:val="21"/>
          <w:szCs w:val="21"/>
          <w:lang w:val="es-ES" w:eastAsia="es-ES"/>
        </w:rPr>
      </w:pPr>
    </w:p>
    <w:p w14:paraId="509814DA" w14:textId="77777777" w:rsidR="00B00C9E" w:rsidRPr="00B00C9E" w:rsidRDefault="00B00C9E" w:rsidP="00B00C9E">
      <w:pPr>
        <w:spacing w:after="0" w:line="240" w:lineRule="auto"/>
        <w:ind w:left="709" w:right="709"/>
        <w:jc w:val="both"/>
        <w:rPr>
          <w:rFonts w:ascii="Verdana" w:eastAsia="Calibri" w:hAnsi="Verdana" w:cs="Arial"/>
          <w:sz w:val="21"/>
          <w:szCs w:val="21"/>
          <w:lang w:val="es-ES" w:eastAsia="es-ES"/>
        </w:rPr>
      </w:pPr>
      <w:r w:rsidRPr="00B00C9E">
        <w:rPr>
          <w:rFonts w:ascii="Verdana" w:eastAsia="Calibri" w:hAnsi="Verdana" w:cs="Arial"/>
          <w:sz w:val="21"/>
          <w:szCs w:val="21"/>
          <w:lang w:val="es-ES" w:eastAsia="es-ES"/>
        </w:rPr>
        <w:t>1. Si actualmente existen Documentos Tipo específicos para la contratación del servicio de alumbrado público.</w:t>
      </w:r>
    </w:p>
    <w:p w14:paraId="7564DC4A" w14:textId="77777777" w:rsidR="00B00C9E" w:rsidRPr="00B00C9E" w:rsidRDefault="00B00C9E" w:rsidP="00B00C9E">
      <w:pPr>
        <w:spacing w:after="0" w:line="240" w:lineRule="auto"/>
        <w:ind w:left="709" w:right="709"/>
        <w:jc w:val="both"/>
        <w:rPr>
          <w:rFonts w:ascii="Verdana" w:eastAsia="Calibri" w:hAnsi="Verdana" w:cs="Arial"/>
          <w:sz w:val="21"/>
          <w:szCs w:val="21"/>
          <w:lang w:val="es-ES" w:eastAsia="es-ES"/>
        </w:rPr>
      </w:pPr>
    </w:p>
    <w:p w14:paraId="3963EEB5" w14:textId="77777777" w:rsidR="00B00C9E" w:rsidRPr="00B00C9E" w:rsidRDefault="00B00C9E" w:rsidP="00B00C9E">
      <w:pPr>
        <w:spacing w:after="0" w:line="240" w:lineRule="auto"/>
        <w:ind w:left="709" w:right="709"/>
        <w:jc w:val="both"/>
        <w:rPr>
          <w:rFonts w:ascii="Verdana" w:eastAsia="Calibri" w:hAnsi="Verdana" w:cs="Arial"/>
          <w:sz w:val="21"/>
          <w:szCs w:val="21"/>
          <w:lang w:val="es-ES" w:eastAsia="es-ES"/>
        </w:rPr>
      </w:pPr>
      <w:r w:rsidRPr="00B00C9E">
        <w:rPr>
          <w:rFonts w:ascii="Verdana" w:eastAsia="Calibri" w:hAnsi="Verdana" w:cs="Arial"/>
          <w:sz w:val="21"/>
          <w:szCs w:val="21"/>
          <w:lang w:val="es-ES" w:eastAsia="es-ES"/>
        </w:rPr>
        <w:t>2. En caso afirmativo, dónde pueden ser consultados o descargados oficialmente.</w:t>
      </w:r>
    </w:p>
    <w:p w14:paraId="49C957EA" w14:textId="77777777" w:rsidR="00B00C9E" w:rsidRPr="00B00C9E" w:rsidRDefault="00B00C9E" w:rsidP="00B00C9E">
      <w:pPr>
        <w:spacing w:after="0" w:line="240" w:lineRule="auto"/>
        <w:ind w:left="709" w:right="709"/>
        <w:jc w:val="both"/>
        <w:rPr>
          <w:rFonts w:ascii="Verdana" w:eastAsia="Calibri" w:hAnsi="Verdana" w:cs="Arial"/>
          <w:sz w:val="21"/>
          <w:szCs w:val="21"/>
          <w:lang w:val="es-ES" w:eastAsia="es-ES"/>
        </w:rPr>
      </w:pPr>
    </w:p>
    <w:p w14:paraId="4C3E94C2" w14:textId="77777777" w:rsidR="00B00C9E" w:rsidRPr="00B00C9E" w:rsidRDefault="00B00C9E" w:rsidP="00B00C9E">
      <w:pPr>
        <w:spacing w:after="0" w:line="240" w:lineRule="auto"/>
        <w:ind w:left="709" w:right="709"/>
        <w:jc w:val="both"/>
        <w:rPr>
          <w:rFonts w:ascii="Verdana" w:eastAsia="Calibri" w:hAnsi="Verdana" w:cs="Arial"/>
          <w:sz w:val="21"/>
          <w:szCs w:val="21"/>
          <w:lang w:val="es-ES" w:eastAsia="es-ES"/>
        </w:rPr>
      </w:pPr>
      <w:r w:rsidRPr="00B00C9E">
        <w:rPr>
          <w:rFonts w:ascii="Verdana" w:eastAsia="Calibri" w:hAnsi="Verdana" w:cs="Arial"/>
          <w:sz w:val="21"/>
          <w:szCs w:val="21"/>
          <w:lang w:val="es-ES" w:eastAsia="es-ES"/>
        </w:rPr>
        <w:t>3. Si no existen documentos tipo específicos, si hay lineamientos, guías o recomendaciones técnicas que se deban considerar al momento de estructurar este tipo de procesos contractuales.”</w:t>
      </w:r>
    </w:p>
    <w:p w14:paraId="17DDADC5" w14:textId="77777777" w:rsidR="00B00C9E" w:rsidRPr="00B00C9E" w:rsidRDefault="00B00C9E" w:rsidP="00B00C9E">
      <w:pPr>
        <w:spacing w:after="0" w:line="276" w:lineRule="auto"/>
        <w:ind w:left="709" w:right="709"/>
        <w:jc w:val="both"/>
        <w:rPr>
          <w:rFonts w:ascii="Verdana" w:eastAsia="Calibri" w:hAnsi="Verdana" w:cs="Arial"/>
          <w:lang w:val="es-ES" w:eastAsia="es-ES"/>
        </w:rPr>
      </w:pPr>
    </w:p>
    <w:p w14:paraId="2E60297F" w14:textId="77777777" w:rsidR="00B00C9E" w:rsidRPr="00B00C9E" w:rsidRDefault="00B00C9E" w:rsidP="00B00C9E">
      <w:pPr>
        <w:spacing w:after="120" w:line="276" w:lineRule="auto"/>
        <w:ind w:firstLine="709"/>
        <w:jc w:val="both"/>
        <w:rPr>
          <w:rFonts w:ascii="Verdana" w:eastAsia="Calibri" w:hAnsi="Verdana" w:cs="Arial"/>
          <w:szCs w:val="24"/>
          <w:lang w:val="es-ES_tradnl" w:eastAsia="es-ES_tradnl"/>
        </w:rPr>
      </w:pPr>
      <w:r w:rsidRPr="00B00C9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00C9E">
        <w:rPr>
          <w:rFonts w:ascii="Verdana" w:eastAsia="Calibri" w:hAnsi="Verdana" w:cs="Arial"/>
          <w:szCs w:val="24"/>
          <w:lang w:val="es-ES_tradnl" w:eastAsia="es-ES_tradnl"/>
        </w:rPr>
        <w:tab/>
      </w:r>
    </w:p>
    <w:p w14:paraId="3A24B931" w14:textId="77777777" w:rsidR="00B00C9E" w:rsidRPr="00B00C9E" w:rsidRDefault="00B00C9E" w:rsidP="00B00C9E">
      <w:pPr>
        <w:snapToGrid w:val="0"/>
        <w:spacing w:after="0" w:line="276" w:lineRule="auto"/>
        <w:ind w:firstLine="709"/>
        <w:jc w:val="both"/>
        <w:rPr>
          <w:rFonts w:ascii="Verdana" w:eastAsia="Calibri" w:hAnsi="Verdana" w:cs="Arial"/>
          <w:lang w:val="es-ES" w:eastAsia="es-ES"/>
        </w:rPr>
      </w:pPr>
      <w:r w:rsidRPr="00B00C9E">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B00C9E">
        <w:rPr>
          <w:rFonts w:ascii="Verdana" w:eastAsia="Calibri" w:hAnsi="Verdana" w:cs="Arial"/>
          <w:lang w:val="es-ES" w:eastAsia="es-ES"/>
        </w:rPr>
        <w:tab/>
      </w:r>
    </w:p>
    <w:p w14:paraId="2DE14E4A" w14:textId="77777777" w:rsidR="00B00C9E" w:rsidRPr="00B00C9E" w:rsidRDefault="00B00C9E" w:rsidP="00B00C9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B00C9E">
        <w:rPr>
          <w:rFonts w:ascii="Verdana" w:eastAsia="Century Gothic" w:hAnsi="Verdana" w:cs="Century Gothic"/>
          <w:b/>
          <w:bCs/>
          <w:lang w:val="es-ES"/>
        </w:rPr>
        <w:t>Problema planteado:</w:t>
      </w:r>
    </w:p>
    <w:p w14:paraId="37853D48" w14:textId="77777777" w:rsidR="00B00C9E" w:rsidRPr="00B00C9E" w:rsidRDefault="00B00C9E" w:rsidP="00B00C9E">
      <w:pPr>
        <w:tabs>
          <w:tab w:val="left" w:pos="426"/>
        </w:tabs>
        <w:snapToGrid w:val="0"/>
        <w:spacing w:after="0" w:line="276" w:lineRule="auto"/>
        <w:jc w:val="both"/>
        <w:rPr>
          <w:rFonts w:ascii="Verdana" w:eastAsia="Century Gothic" w:hAnsi="Verdana" w:cs="Century Gothic"/>
          <w:lang w:val="es-ES"/>
        </w:rPr>
      </w:pPr>
    </w:p>
    <w:p w14:paraId="0D8CC92D" w14:textId="77777777" w:rsidR="00B00C9E" w:rsidRPr="00B00C9E" w:rsidRDefault="00B00C9E" w:rsidP="00B00C9E">
      <w:pPr>
        <w:snapToGrid w:val="0"/>
        <w:spacing w:after="0" w:line="276" w:lineRule="auto"/>
        <w:jc w:val="both"/>
        <w:rPr>
          <w:rFonts w:ascii="Verdana" w:eastAsia="Century Gothic" w:hAnsi="Verdana" w:cs="Century Gothic"/>
          <w:lang w:val="es-ES_tradnl"/>
        </w:rPr>
      </w:pPr>
      <w:r w:rsidRPr="00B00C9E">
        <w:rPr>
          <w:rFonts w:ascii="Verdana" w:eastAsia="Century Gothic" w:hAnsi="Verdana" w:cs="Century Gothic"/>
        </w:rPr>
        <w:t xml:space="preserve">De acuerdo con el contenido de su solicitud, esta Agencia resolverá el siguiente problema jurídico: </w:t>
      </w:r>
      <w:r w:rsidRPr="00B00C9E">
        <w:rPr>
          <w:rFonts w:ascii="Verdana" w:eastAsia="Century Gothic" w:hAnsi="Verdana" w:cs="Century Gothic"/>
          <w:lang w:val="es-ES_tradnl"/>
        </w:rPr>
        <w:t>¿existen documentos tipo para la contratación de servicios de alumbrado público y/o cuáles son los lineamientos al respecto?</w:t>
      </w:r>
    </w:p>
    <w:p w14:paraId="6D0E8AE7" w14:textId="77777777" w:rsidR="00B00C9E" w:rsidRPr="00B00C9E" w:rsidRDefault="00B00C9E" w:rsidP="00B00C9E">
      <w:pPr>
        <w:snapToGrid w:val="0"/>
        <w:spacing w:after="0" w:line="276" w:lineRule="auto"/>
        <w:jc w:val="both"/>
        <w:rPr>
          <w:rFonts w:ascii="Verdana" w:eastAsia="Calibri" w:hAnsi="Verdana" w:cs="Arial"/>
          <w:lang w:val="es-ES"/>
        </w:rPr>
      </w:pPr>
    </w:p>
    <w:p w14:paraId="61F3ABAA" w14:textId="77777777" w:rsidR="00B00C9E" w:rsidRPr="00B00C9E" w:rsidRDefault="00B00C9E" w:rsidP="00B00C9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B00C9E">
        <w:rPr>
          <w:rFonts w:ascii="Verdana" w:eastAsia="Century Gothic" w:hAnsi="Verdana" w:cs="Century Gothic"/>
          <w:b/>
          <w:bCs/>
          <w:lang w:val="es-ES"/>
        </w:rPr>
        <w:t>Respuesta:</w:t>
      </w:r>
    </w:p>
    <w:p w14:paraId="5C0D7A63" w14:textId="77777777" w:rsidR="00B00C9E" w:rsidRPr="00B00C9E" w:rsidRDefault="00B00C9E" w:rsidP="00B00C9E">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00C9E" w:rsidRPr="00B00C9E" w14:paraId="6F1F499E" w14:textId="77777777" w:rsidTr="008C0948">
        <w:tc>
          <w:tcPr>
            <w:tcW w:w="8828" w:type="dxa"/>
          </w:tcPr>
          <w:p w14:paraId="0C1D1BCF" w14:textId="77777777" w:rsidR="00B00C9E" w:rsidRPr="00B00C9E" w:rsidRDefault="00B00C9E" w:rsidP="00B00C9E">
            <w:pPr>
              <w:snapToGrid w:val="0"/>
              <w:spacing w:line="276" w:lineRule="auto"/>
              <w:jc w:val="both"/>
              <w:rPr>
                <w:rFonts w:ascii="Verdana" w:eastAsia="Times New Roman" w:hAnsi="Verdana" w:cs="Arial"/>
                <w:shd w:val="clear" w:color="auto" w:fill="FFFFFF"/>
                <w:lang w:val="es-ES_tradnl" w:eastAsia="es-ES_tradnl"/>
              </w:rPr>
            </w:pPr>
            <w:r w:rsidRPr="00B00C9E">
              <w:rPr>
                <w:rFonts w:ascii="Verdana" w:eastAsia="Calibri" w:hAnsi="Verdana" w:cs="Times New Roman"/>
              </w:rPr>
              <w:lastRenderedPageBreak/>
              <w:t>Es importante resaltar que no existe un documento tipo que de manera particular incluya las actividades de alumbrado público. Sin embargo, hay que señalar que en las Matrices de Experiencia de la versión 4 de los documentos tipo de infraestructura de transporte, se incluyen las siguientes actividades relacionadas con la contratación de estos servicios:</w:t>
            </w:r>
          </w:p>
          <w:p w14:paraId="53C080A1" w14:textId="77777777" w:rsidR="00B00C9E" w:rsidRPr="00B00C9E" w:rsidRDefault="00B00C9E" w:rsidP="00B00C9E">
            <w:pPr>
              <w:snapToGrid w:val="0"/>
              <w:spacing w:line="276" w:lineRule="auto"/>
              <w:ind w:firstLine="709"/>
              <w:jc w:val="both"/>
              <w:rPr>
                <w:rFonts w:ascii="Verdana" w:eastAsia="Times New Roman" w:hAnsi="Verdana" w:cs="Arial"/>
                <w:shd w:val="clear" w:color="auto" w:fill="FFFFFF"/>
                <w:lang w:val="es-ES_tradnl" w:eastAsia="es-ES_tradnl"/>
              </w:rPr>
            </w:pPr>
          </w:p>
          <w:p w14:paraId="1B1395AE" w14:textId="77777777" w:rsidR="00B00C9E" w:rsidRPr="00B00C9E" w:rsidRDefault="00B00C9E" w:rsidP="00B00C9E">
            <w:pPr>
              <w:ind w:left="709" w:right="709"/>
              <w:jc w:val="both"/>
              <w:rPr>
                <w:rFonts w:ascii="Verdana" w:eastAsia="Calibri" w:hAnsi="Verdana" w:cs="Times New Roman"/>
                <w:sz w:val="21"/>
                <w:szCs w:val="21"/>
              </w:rPr>
            </w:pPr>
            <w:r w:rsidRPr="00B00C9E">
              <w:rPr>
                <w:rFonts w:ascii="Verdana" w:eastAsia="Calibri" w:hAnsi="Verdana" w:cs="Times New Roman"/>
                <w:sz w:val="21"/>
                <w:szCs w:val="21"/>
              </w:rPr>
              <w:t>“1.9. PROYECTOS DE INSTALACION O MANTENIMIENTO CORRECTIVO O MANTENIMIENTO PREVENTIVO  O  AMPLIACIÓN  DE INFRAESTRUCTURA ELECTRICA ASOCIADA A LA INFRAESTRUCTURA DE TRANSPORTE EN VIAS PRIMARIAS O SECUNDARIAS.”</w:t>
            </w:r>
          </w:p>
          <w:p w14:paraId="5961EAFB" w14:textId="77777777" w:rsidR="00B00C9E" w:rsidRPr="00B00C9E" w:rsidRDefault="00B00C9E" w:rsidP="00B00C9E">
            <w:pPr>
              <w:ind w:left="709" w:right="709"/>
              <w:jc w:val="both"/>
              <w:rPr>
                <w:rFonts w:ascii="Verdana" w:eastAsia="Calibri" w:hAnsi="Verdana" w:cs="Times New Roman"/>
                <w:sz w:val="21"/>
                <w:szCs w:val="21"/>
              </w:rPr>
            </w:pPr>
          </w:p>
          <w:p w14:paraId="1C8096EC" w14:textId="77777777" w:rsidR="00B00C9E" w:rsidRPr="00B00C9E" w:rsidRDefault="00B00C9E" w:rsidP="00B00C9E">
            <w:pPr>
              <w:ind w:left="709" w:right="709"/>
              <w:jc w:val="both"/>
              <w:rPr>
                <w:rFonts w:ascii="Verdana" w:eastAsia="Calibri" w:hAnsi="Verdana" w:cs="Times New Roman"/>
                <w:sz w:val="21"/>
                <w:szCs w:val="21"/>
              </w:rPr>
            </w:pPr>
            <w:r w:rsidRPr="00B00C9E">
              <w:rPr>
                <w:rFonts w:ascii="Verdana" w:eastAsia="Calibri" w:hAnsi="Verdana" w:cs="Times New Roman"/>
                <w:sz w:val="21"/>
                <w:szCs w:val="21"/>
              </w:rPr>
              <w:t>“2.6 PROYECTOS DE INSTALACION O MANTENIMIENTO CORRECTIVO O MANTENIMIENTO PREVENTIVO  O  AMPLIACIÓN  DE INFRAESTRUCTURA ELECTRICA ASOCIADA A LA INFRAESTRUCTURA DE TRANSPORTE EN VIAS PRIMARIAS O SECUNDARIAS.”</w:t>
            </w:r>
          </w:p>
          <w:p w14:paraId="0C2A9941" w14:textId="77777777" w:rsidR="00B00C9E" w:rsidRPr="00B00C9E" w:rsidRDefault="00B00C9E" w:rsidP="00B00C9E">
            <w:pPr>
              <w:spacing w:line="276" w:lineRule="auto"/>
              <w:ind w:left="709" w:right="709"/>
              <w:jc w:val="both"/>
              <w:rPr>
                <w:rFonts w:ascii="Verdana" w:eastAsia="Calibri" w:hAnsi="Verdana" w:cs="Times New Roman"/>
              </w:rPr>
            </w:pPr>
          </w:p>
          <w:p w14:paraId="59460AF5" w14:textId="77777777" w:rsidR="00B00C9E" w:rsidRPr="00B00C9E" w:rsidRDefault="00B00C9E" w:rsidP="00B00C9E">
            <w:pPr>
              <w:snapToGrid w:val="0"/>
              <w:spacing w:line="276" w:lineRule="auto"/>
              <w:ind w:firstLine="709"/>
              <w:jc w:val="both"/>
              <w:rPr>
                <w:rFonts w:ascii="Verdana" w:eastAsia="Times New Roman" w:hAnsi="Verdana" w:cs="Arial"/>
                <w:shd w:val="clear" w:color="auto" w:fill="FFFFFF"/>
                <w:lang w:val="es-ES" w:eastAsia="es-ES"/>
              </w:rPr>
            </w:pPr>
            <w:r w:rsidRPr="00B00C9E">
              <w:rPr>
                <w:rFonts w:ascii="Verdana" w:eastAsia="Calibri" w:hAnsi="Verdana" w:cs="Times New Roman"/>
              </w:rPr>
              <w:t>Estas actividades contemplan la experiencia general y específica que debe ser requerida por la Entidad Estatal. Sin embargo, si en el proceso de selección que adelanta la entidad se requiere experiencia particular en actividades no contempladas en las Matrices de Experiencia, las Entidades Estatales pueden recurrir a la opción planteada en el literal H del numeral 3.5.2.</w:t>
            </w:r>
            <w:r w:rsidRPr="00B00C9E">
              <w:rPr>
                <w:rFonts w:ascii="Verdana" w:eastAsia="Aptos" w:hAnsi="Verdana" w:cs="Times New Roman"/>
                <w:lang w:val="es-ES_tradnl"/>
              </w:rPr>
              <w:t xml:space="preserve"> “</w:t>
            </w:r>
            <w:r w:rsidRPr="00B00C9E">
              <w:rPr>
                <w:rFonts w:ascii="Verdana" w:eastAsia="Calibri" w:hAnsi="Verdana" w:cs="Times New Roman"/>
              </w:rPr>
              <w:t>CARACTERÍSTICAS DE LOS CONTRATOS PRESENTADOS PARA ACREDITAR LA EXPERIENCIA EXIGIDA” del Documento Base de los documentos tipo de infraestructura de Transporte, así como lo contenido en el artículo 4 de las Resoluciones 463 y 465 de 2024 –mediante las cuales se adoptaron las versiones 3 y 4 de los documentos tipo de selección abreviada de menor cuantía y licitación pública de infraestructura de transporte, respectivamente–</w:t>
            </w:r>
            <w:r w:rsidRPr="00B00C9E">
              <w:rPr>
                <w:rFonts w:ascii="Verdana" w:eastAsia="Times New Roman" w:hAnsi="Verdana" w:cs="Segoe UI"/>
                <w:color w:val="000000"/>
              </w:rPr>
              <w:t xml:space="preserve"> </w:t>
            </w:r>
            <w:r w:rsidRPr="00B00C9E">
              <w:rPr>
                <w:rFonts w:ascii="Verdana" w:eastAsia="Calibri" w:hAnsi="Verdana" w:cs="Times New Roman"/>
              </w:rPr>
              <w:t>que se refiere a los bienes adicionales a la obra pública de infraestructura de transporte.</w:t>
            </w:r>
          </w:p>
        </w:tc>
      </w:tr>
    </w:tbl>
    <w:p w14:paraId="1E5832D4" w14:textId="77777777" w:rsidR="00B00C9E" w:rsidRPr="00B00C9E" w:rsidRDefault="00B00C9E" w:rsidP="00B00C9E">
      <w:pPr>
        <w:tabs>
          <w:tab w:val="left" w:pos="142"/>
          <w:tab w:val="left" w:pos="284"/>
        </w:tabs>
        <w:snapToGrid w:val="0"/>
        <w:spacing w:after="0" w:line="276" w:lineRule="auto"/>
        <w:jc w:val="both"/>
        <w:rPr>
          <w:rFonts w:ascii="Verdana" w:eastAsia="Century Gothic" w:hAnsi="Verdana" w:cs="Century Gothic"/>
          <w:b/>
          <w:bCs/>
          <w:lang w:val="es-ES"/>
        </w:rPr>
      </w:pPr>
    </w:p>
    <w:p w14:paraId="38A2AF61" w14:textId="77777777" w:rsidR="00B00C9E" w:rsidRPr="00B00C9E" w:rsidRDefault="00B00C9E" w:rsidP="00B00C9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B00C9E">
        <w:rPr>
          <w:rFonts w:ascii="Verdana" w:eastAsia="Century Gothic" w:hAnsi="Verdana" w:cs="Century Gothic"/>
          <w:b/>
          <w:bCs/>
          <w:lang w:val="es-ES"/>
        </w:rPr>
        <w:t>Razones de la respuesta:</w:t>
      </w:r>
    </w:p>
    <w:p w14:paraId="542EF733" w14:textId="77777777" w:rsidR="00B00C9E" w:rsidRPr="00B00C9E" w:rsidRDefault="00B00C9E" w:rsidP="00B00C9E">
      <w:pPr>
        <w:tabs>
          <w:tab w:val="left" w:pos="142"/>
          <w:tab w:val="left" w:pos="284"/>
        </w:tabs>
        <w:snapToGrid w:val="0"/>
        <w:spacing w:after="0" w:line="276" w:lineRule="auto"/>
        <w:ind w:left="357"/>
        <w:jc w:val="both"/>
        <w:rPr>
          <w:rFonts w:ascii="Verdana" w:eastAsia="Century Gothic" w:hAnsi="Verdana" w:cs="Century Gothic"/>
          <w:b/>
          <w:bCs/>
          <w:lang w:val="es-ES"/>
        </w:rPr>
      </w:pPr>
    </w:p>
    <w:p w14:paraId="28CE4D00" w14:textId="77777777" w:rsidR="00B00C9E" w:rsidRPr="00B00C9E" w:rsidRDefault="00B00C9E" w:rsidP="00B00C9E">
      <w:pPr>
        <w:snapToGrid w:val="0"/>
        <w:spacing w:after="0" w:line="276" w:lineRule="auto"/>
        <w:jc w:val="both"/>
        <w:rPr>
          <w:rFonts w:ascii="Verdana" w:eastAsia="Calibri" w:hAnsi="Verdana" w:cs="Arial"/>
          <w:lang w:val="es-ES"/>
        </w:rPr>
      </w:pPr>
      <w:r w:rsidRPr="00B00C9E">
        <w:rPr>
          <w:rFonts w:ascii="Verdana" w:eastAsia="Calibri" w:hAnsi="Verdana" w:cs="Arial"/>
          <w:lang w:val="es-ES"/>
        </w:rPr>
        <w:t xml:space="preserve">Lo anterior se sustenta en las siguientes consideraciones: </w:t>
      </w:r>
    </w:p>
    <w:p w14:paraId="0D6CBAF1" w14:textId="77777777" w:rsidR="00B00C9E" w:rsidRPr="00B00C9E" w:rsidRDefault="00B00C9E" w:rsidP="00B00C9E">
      <w:pPr>
        <w:spacing w:after="0" w:line="276" w:lineRule="auto"/>
        <w:jc w:val="both"/>
        <w:rPr>
          <w:rFonts w:ascii="Verdana" w:eastAsia="Calibri" w:hAnsi="Verdana" w:cs="Arial"/>
          <w:lang w:val="es-ES"/>
        </w:rPr>
      </w:pPr>
    </w:p>
    <w:p w14:paraId="1F4C5D09" w14:textId="77777777" w:rsidR="00B00C9E" w:rsidRPr="00B00C9E" w:rsidRDefault="00B00C9E" w:rsidP="00B00C9E">
      <w:pPr>
        <w:snapToGrid w:val="0"/>
        <w:spacing w:after="0" w:line="276" w:lineRule="auto"/>
        <w:jc w:val="both"/>
        <w:rPr>
          <w:rFonts w:ascii="Verdana" w:eastAsia="Calibri" w:hAnsi="Verdana" w:cs="Arial"/>
          <w:lang w:val="es-ES_tradnl"/>
        </w:rPr>
      </w:pPr>
      <w:r w:rsidRPr="00B00C9E">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w:t>
      </w:r>
      <w:r w:rsidRPr="00B00C9E">
        <w:rPr>
          <w:rFonts w:ascii="Verdana" w:eastAsia="Calibri" w:hAnsi="Verdana" w:cs="Arial"/>
          <w:lang w:val="es-ES_tradnl"/>
        </w:rPr>
        <w:lastRenderedPageBreak/>
        <w:t>de manera forzosa los Documentos Tipo para desarrollar los Procesos de Contratación en los objetos y modalidades cobijadas por los Pliegos Tipo.</w:t>
      </w:r>
    </w:p>
    <w:p w14:paraId="4F99DF8F" w14:textId="77777777" w:rsidR="00B00C9E" w:rsidRPr="00B00C9E" w:rsidRDefault="00B00C9E" w:rsidP="00B00C9E">
      <w:pPr>
        <w:snapToGrid w:val="0"/>
        <w:spacing w:before="120" w:after="0" w:line="276" w:lineRule="auto"/>
        <w:ind w:firstLine="709"/>
        <w:jc w:val="both"/>
        <w:rPr>
          <w:rFonts w:ascii="Verdana" w:eastAsia="Calibri" w:hAnsi="Verdana" w:cs="Times New Roman"/>
          <w:lang w:val="es-ES"/>
        </w:rPr>
      </w:pPr>
      <w:r w:rsidRPr="00B00C9E">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5D22611E" w14:textId="77777777" w:rsidR="00B00C9E" w:rsidRPr="00B00C9E" w:rsidRDefault="00B00C9E" w:rsidP="00B00C9E">
      <w:pPr>
        <w:snapToGrid w:val="0"/>
        <w:spacing w:before="120" w:after="0" w:line="276" w:lineRule="auto"/>
        <w:ind w:firstLine="709"/>
        <w:jc w:val="both"/>
        <w:rPr>
          <w:rFonts w:ascii="Verdana" w:eastAsia="Calibri" w:hAnsi="Verdana" w:cs="Arial"/>
          <w:lang w:val="es-ES_tradnl"/>
        </w:rPr>
      </w:pPr>
      <w:r w:rsidRPr="00B00C9E">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B00C9E">
        <w:rPr>
          <w:rFonts w:ascii="Verdana" w:eastAsia="Calibri" w:hAnsi="Verdana" w:cs="Times New Roman"/>
          <w:vertAlign w:val="superscript"/>
          <w:lang w:val="es-ES_tradnl"/>
        </w:rPr>
        <w:footnoteReference w:id="1"/>
      </w:r>
      <w:r w:rsidRPr="00B00C9E">
        <w:rPr>
          <w:rFonts w:ascii="Verdana" w:eastAsia="Calibri" w:hAnsi="Verdana" w:cs="Times New Roman"/>
          <w:lang w:val="es-ES_tradnl"/>
        </w:rPr>
        <w:t xml:space="preserve"> </w:t>
      </w:r>
    </w:p>
    <w:p w14:paraId="0AF49285" w14:textId="77777777" w:rsidR="00B00C9E" w:rsidRPr="00B00C9E" w:rsidRDefault="00B00C9E" w:rsidP="00B00C9E">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B00C9E">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B00C9E">
        <w:rPr>
          <w:rFonts w:ascii="Verdana" w:eastAsia="Times New Roman" w:hAnsi="Verdana" w:cs="Arial"/>
          <w:kern w:val="2"/>
          <w:highlight w:val="lightGray"/>
          <w:shd w:val="clear" w:color="auto" w:fill="FFFFFF"/>
          <w:lang w:val="es-ES" w:eastAsia="es-ES"/>
          <w14:ligatures w14:val="standardContextual"/>
        </w:rPr>
        <w:t>[texto]</w:t>
      </w:r>
      <w:r w:rsidRPr="00B00C9E">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63A5AAE4" w14:textId="77777777" w:rsidR="00B00C9E" w:rsidRPr="00B00C9E" w:rsidRDefault="00B00C9E" w:rsidP="00B00C9E">
      <w:pPr>
        <w:snapToGrid w:val="0"/>
        <w:spacing w:before="120" w:after="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B00C9E">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6599DDF8" w14:textId="77777777" w:rsidR="00B00C9E" w:rsidRPr="00B00C9E" w:rsidRDefault="00B00C9E" w:rsidP="00B00C9E">
      <w:pPr>
        <w:snapToGrid w:val="0"/>
        <w:spacing w:before="120"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B00C9E">
        <w:rPr>
          <w:rFonts w:ascii="Verdana" w:eastAsia="Times New Roman" w:hAnsi="Verdana" w:cs="Arial"/>
          <w:kern w:val="2"/>
          <w:shd w:val="clear" w:color="auto" w:fill="FFFFFF"/>
          <w:lang w:val="es-ES_tradnl" w:eastAsia="es-ES_tradnl"/>
          <w14:ligatures w14:val="standardContextual"/>
        </w:rPr>
        <w:t xml:space="preserve">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w:t>
      </w:r>
      <w:r w:rsidRPr="00B00C9E">
        <w:rPr>
          <w:rFonts w:ascii="Verdana" w:eastAsia="Times New Roman" w:hAnsi="Verdana" w:cs="Arial"/>
          <w:kern w:val="2"/>
          <w:shd w:val="clear" w:color="auto" w:fill="FFFFFF"/>
          <w:lang w:val="es-ES_tradnl" w:eastAsia="es-ES_tradnl"/>
          <w14:ligatures w14:val="standardContextual"/>
        </w:rPr>
        <w:lastRenderedPageBreak/>
        <w:t>resulta forzosa. Esto significa que la entidad contratante no podrá prescindir de la implementación de los documentos tipo cuando estos sean obligatorios.</w:t>
      </w:r>
    </w:p>
    <w:p w14:paraId="5AE55792" w14:textId="77777777" w:rsidR="00B00C9E" w:rsidRPr="00B00C9E" w:rsidRDefault="00B00C9E" w:rsidP="00B00C9E">
      <w:pPr>
        <w:snapToGrid w:val="0"/>
        <w:spacing w:after="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B00C9E">
        <w:rPr>
          <w:rFonts w:ascii="Verdana" w:eastAsia="Calibri" w:hAnsi="Verdana" w:cs="Times New Roman"/>
          <w:kern w:val="2"/>
          <w14:ligatures w14:val="standardContextual"/>
        </w:rPr>
        <w:t>Teniendo en cuenta el objeto de su consulta, es importante resaltar que no existe un documento tipo que de manera particular incluya las actividades de alumbrado público. Sin embargo, hay que señalar que en las Matrices de Experiencia de la versión 4 de los documentos tipo de infraestructura de transporte, se incluyen las siguientes actividades relacionadas con la contratación de estos servicios:</w:t>
      </w:r>
    </w:p>
    <w:p w14:paraId="2B5D6C22" w14:textId="77777777" w:rsidR="00B00C9E" w:rsidRPr="00B00C9E" w:rsidRDefault="00B00C9E" w:rsidP="00B00C9E">
      <w:pPr>
        <w:snapToGrid w:val="0"/>
        <w:spacing w:after="0" w:line="276" w:lineRule="auto"/>
        <w:ind w:firstLine="709"/>
        <w:jc w:val="both"/>
        <w:rPr>
          <w:rFonts w:ascii="Verdana" w:eastAsia="Times New Roman" w:hAnsi="Verdana" w:cs="Arial"/>
          <w:kern w:val="2"/>
          <w:shd w:val="clear" w:color="auto" w:fill="FFFFFF"/>
          <w:lang w:val="es-ES_tradnl" w:eastAsia="es-ES_tradnl"/>
          <w14:ligatures w14:val="standardContextual"/>
        </w:rPr>
      </w:pPr>
    </w:p>
    <w:p w14:paraId="3A0A2400"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14:ligatures w14:val="standardContextual"/>
        </w:rPr>
      </w:pPr>
      <w:r w:rsidRPr="00B00C9E">
        <w:rPr>
          <w:rFonts w:ascii="Verdana" w:eastAsia="Calibri" w:hAnsi="Verdana" w:cs="Times New Roman"/>
          <w:kern w:val="2"/>
          <w:sz w:val="21"/>
          <w:szCs w:val="21"/>
          <w14:ligatures w14:val="standardContextual"/>
        </w:rPr>
        <w:t>“1.9. PROYECTOS DE INSTALACION O MANTENIMIENTO CORRECTIVO O MANTENIMIENTO PREVENTIVO  O  AMPLIACIÓN  DE INFRAESTRUCTURA ELECTRICA ASOCIADA A LA INFRAESTRUCTURA DE TRANSPORTE EN VIAS PRIMARIAS O SECUNDARIAS.”</w:t>
      </w:r>
    </w:p>
    <w:p w14:paraId="3213F110"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14:ligatures w14:val="standardContextual"/>
        </w:rPr>
      </w:pPr>
    </w:p>
    <w:p w14:paraId="4213BD37"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14:ligatures w14:val="standardContextual"/>
        </w:rPr>
      </w:pPr>
      <w:r w:rsidRPr="00B00C9E">
        <w:rPr>
          <w:rFonts w:ascii="Verdana" w:eastAsia="Calibri" w:hAnsi="Verdana" w:cs="Times New Roman"/>
          <w:kern w:val="2"/>
          <w:sz w:val="21"/>
          <w:szCs w:val="21"/>
          <w14:ligatures w14:val="standardContextual"/>
        </w:rPr>
        <w:t>“2.6 PROYECTOS DE INSTALACION O MANTENIMIENTO CORRECTIVO O MANTENIMIENTO PREVENTIVO  O  AMPLIACIÓN  DE INFRAESTRUCTURA ELECTRICA ASOCIADA A LA INFRAESTRUCTURA DE TRANSPORTE EN VIAS PRIMARIAS O SECUNDARIAS.”</w:t>
      </w:r>
    </w:p>
    <w:p w14:paraId="0A4ECEFC" w14:textId="77777777" w:rsidR="00B00C9E" w:rsidRPr="00B00C9E" w:rsidRDefault="00B00C9E" w:rsidP="00B00C9E">
      <w:pPr>
        <w:spacing w:after="0" w:line="276" w:lineRule="auto"/>
        <w:jc w:val="both"/>
        <w:rPr>
          <w:rFonts w:ascii="Verdana" w:eastAsia="Calibri" w:hAnsi="Verdana" w:cs="Times New Roman"/>
          <w:kern w:val="2"/>
          <w14:ligatures w14:val="standardContextual"/>
        </w:rPr>
      </w:pPr>
    </w:p>
    <w:p w14:paraId="0C675186" w14:textId="77777777" w:rsidR="00B00C9E" w:rsidRPr="00B00C9E" w:rsidRDefault="00B00C9E" w:rsidP="00B00C9E">
      <w:pPr>
        <w:tabs>
          <w:tab w:val="num" w:pos="720"/>
        </w:tabs>
        <w:spacing w:after="0" w:line="276" w:lineRule="auto"/>
        <w:ind w:firstLine="709"/>
        <w:jc w:val="both"/>
        <w:rPr>
          <w:rFonts w:ascii="Verdana" w:eastAsia="Calibri" w:hAnsi="Verdana" w:cs="Times New Roman"/>
          <w:kern w:val="2"/>
          <w14:ligatures w14:val="standardContextual"/>
        </w:rPr>
      </w:pPr>
      <w:r w:rsidRPr="00B00C9E">
        <w:rPr>
          <w:rFonts w:ascii="Verdana" w:eastAsia="Calibri" w:hAnsi="Verdana" w:cs="Times New Roman"/>
          <w:kern w:val="2"/>
          <w14:ligatures w14:val="standardContextual"/>
        </w:rPr>
        <w:t xml:space="preserve">La </w:t>
      </w:r>
      <w:r w:rsidRPr="00B00C9E">
        <w:rPr>
          <w:rFonts w:ascii="Verdana" w:eastAsia="Calibri" w:hAnsi="Verdana" w:cs="Times New Roman"/>
          <w:b/>
          <w:bCs/>
          <w:kern w:val="2"/>
          <w14:ligatures w14:val="standardContextual"/>
        </w:rPr>
        <w:t>infraestructura eléctrica</w:t>
      </w:r>
      <w:r w:rsidRPr="00B00C9E">
        <w:rPr>
          <w:rFonts w:ascii="Verdana" w:eastAsia="Calibri" w:hAnsi="Verdana" w:cs="Times New Roman"/>
          <w:kern w:val="2"/>
          <w14:ligatures w14:val="standardContextual"/>
        </w:rPr>
        <w:t xml:space="preserve"> se refiere al conjunto de instalaciones, equipos y sistemas encargados de generar, transmitir, distribuir y controlar la energía eléctrica; en este sentido, el alumbrado público hace parte de la infraestructura eléctrica. Por su parte, el artículo 2.2.3.1.2 del Decreto 1073 de 2015 –modificado por el artículo 1 del Decreto 943 de 2018–, define el sistema de alumbrado público como:</w:t>
      </w:r>
    </w:p>
    <w:p w14:paraId="72AF2917" w14:textId="77777777" w:rsidR="00B00C9E" w:rsidRPr="00B00C9E" w:rsidRDefault="00B00C9E" w:rsidP="00B00C9E">
      <w:pPr>
        <w:spacing w:after="0" w:line="276" w:lineRule="auto"/>
        <w:ind w:left="708"/>
        <w:jc w:val="both"/>
        <w:rPr>
          <w:rFonts w:ascii="Verdana" w:eastAsia="Calibri" w:hAnsi="Verdana" w:cs="Times New Roman"/>
          <w:kern w:val="2"/>
          <w14:ligatures w14:val="standardContextual"/>
        </w:rPr>
      </w:pPr>
    </w:p>
    <w:p w14:paraId="44C84606"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14:ligatures w14:val="standardContextual"/>
        </w:rPr>
      </w:pPr>
      <w:r w:rsidRPr="00B00C9E">
        <w:rPr>
          <w:rFonts w:ascii="Verdana" w:eastAsia="Calibri" w:hAnsi="Verdana" w:cs="Times New Roman"/>
          <w:kern w:val="2"/>
          <w:sz w:val="21"/>
          <w:szCs w:val="21"/>
          <w14:ligatures w14:val="standardContextual"/>
        </w:rPr>
        <w:t>"</w:t>
      </w:r>
      <w:r w:rsidRPr="00B00C9E">
        <w:rPr>
          <w:rFonts w:ascii="Verdana" w:eastAsia="Calibri" w:hAnsi="Verdana" w:cs="Times New Roman"/>
          <w:b/>
          <w:bCs/>
          <w:kern w:val="2"/>
          <w:sz w:val="21"/>
          <w:szCs w:val="21"/>
          <w14:ligatures w14:val="standardContextual"/>
        </w:rPr>
        <w:t>Sistema de Alumbrado Público: </w:t>
      </w:r>
      <w:r w:rsidRPr="00B00C9E">
        <w:rPr>
          <w:rFonts w:ascii="Verdana" w:eastAsia="Calibri" w:hAnsi="Verdana" w:cs="Times New Roman"/>
          <w:kern w:val="2"/>
          <w:sz w:val="21"/>
          <w:szCs w:val="21"/>
          <w14:ligatures w14:val="standardContextual"/>
        </w:rPr>
        <w:t>Comprende el conjunto de luminarias, redes eléctricas, transformadores y postes de uso exclusivo, los desarrollos tecnológicos asociados al servicio de alumbrado público, y en general todos los equipos necesarios para la prestación del servicio de alumbrado público que no forman parte del sistema de distribución de energía eléctrica."</w:t>
      </w:r>
    </w:p>
    <w:p w14:paraId="523338F5" w14:textId="77777777" w:rsidR="00B00C9E" w:rsidRPr="00B00C9E" w:rsidRDefault="00B00C9E" w:rsidP="00B00C9E">
      <w:pPr>
        <w:spacing w:after="0" w:line="276" w:lineRule="auto"/>
        <w:jc w:val="both"/>
        <w:rPr>
          <w:rFonts w:ascii="Verdana" w:eastAsia="Calibri" w:hAnsi="Verdana" w:cs="Times New Roman"/>
          <w:kern w:val="2"/>
          <w14:ligatures w14:val="standardContextual"/>
        </w:rPr>
      </w:pPr>
    </w:p>
    <w:p w14:paraId="121CF49C" w14:textId="77777777" w:rsidR="00B00C9E" w:rsidRPr="00B00C9E" w:rsidRDefault="00B00C9E" w:rsidP="00B00C9E">
      <w:pPr>
        <w:spacing w:after="0" w:line="276" w:lineRule="auto"/>
        <w:ind w:firstLine="709"/>
        <w:jc w:val="both"/>
        <w:rPr>
          <w:rFonts w:ascii="Verdana" w:eastAsia="Calibri" w:hAnsi="Verdana" w:cs="Times New Roman"/>
          <w:kern w:val="2"/>
          <w14:ligatures w14:val="standardContextual"/>
        </w:rPr>
      </w:pPr>
      <w:r w:rsidRPr="00B00C9E">
        <w:rPr>
          <w:rFonts w:ascii="Verdana" w:eastAsia="Calibri" w:hAnsi="Verdana" w:cs="Times New Roman"/>
          <w:kern w:val="2"/>
          <w14:ligatures w14:val="standardContextual"/>
        </w:rPr>
        <w:t>Haciendo abstracción del caso concreto de la consulta, hay que mencionar que la experiencia que se solicita en la Matriz 1 de Infraestructura de Transporte hace referencia a la siguiente experiencia general y específica:</w:t>
      </w:r>
    </w:p>
    <w:p w14:paraId="7BE0C3D5" w14:textId="77777777" w:rsidR="00B00C9E" w:rsidRPr="00B00C9E" w:rsidRDefault="00B00C9E" w:rsidP="00B00C9E">
      <w:pPr>
        <w:spacing w:after="0" w:line="276" w:lineRule="auto"/>
        <w:rPr>
          <w:rFonts w:ascii="Verdana" w:eastAsia="Calibri" w:hAnsi="Verdana" w:cs="Times New Roman"/>
          <w:kern w:val="2"/>
          <w14:ligatures w14:val="standardContextual"/>
        </w:rPr>
      </w:pPr>
    </w:p>
    <w:p w14:paraId="78C5C74C" w14:textId="77777777" w:rsidR="00B00C9E" w:rsidRPr="00B00C9E" w:rsidRDefault="00B00C9E" w:rsidP="00B00C9E">
      <w:pPr>
        <w:spacing w:after="0" w:line="240" w:lineRule="auto"/>
        <w:ind w:left="709" w:right="709"/>
        <w:contextualSpacing/>
        <w:rPr>
          <w:rFonts w:ascii="Verdana" w:eastAsia="Calibri" w:hAnsi="Verdana" w:cs="Times New Roman"/>
          <w:kern w:val="2"/>
          <w14:ligatures w14:val="standardContextual"/>
        </w:rPr>
      </w:pPr>
      <w:r w:rsidRPr="00B00C9E">
        <w:rPr>
          <w:rFonts w:ascii="Verdana" w:eastAsia="Calibri" w:hAnsi="Verdana" w:cs="Times New Roman"/>
          <w:kern w:val="2"/>
          <w14:ligatures w14:val="standardContextual"/>
        </w:rPr>
        <w:t xml:space="preserve">Para la </w:t>
      </w:r>
      <w:r w:rsidRPr="00B00C9E">
        <w:rPr>
          <w:rFonts w:ascii="Verdana" w:eastAsia="Calibri" w:hAnsi="Verdana" w:cs="Times New Roman"/>
          <w:kern w:val="2"/>
          <w:u w:val="single"/>
          <w14:ligatures w14:val="standardContextual"/>
        </w:rPr>
        <w:t>Experiencia General:</w:t>
      </w:r>
    </w:p>
    <w:p w14:paraId="567BB7CD" w14:textId="77777777" w:rsidR="00B00C9E" w:rsidRPr="00B00C9E" w:rsidRDefault="00B00C9E" w:rsidP="00B00C9E">
      <w:pPr>
        <w:spacing w:after="0" w:line="240" w:lineRule="auto"/>
        <w:ind w:left="709" w:right="709"/>
        <w:contextualSpacing/>
        <w:rPr>
          <w:rFonts w:ascii="Verdana" w:eastAsia="Calibri" w:hAnsi="Verdana" w:cs="Times New Roman"/>
          <w:kern w:val="2"/>
          <w:sz w:val="21"/>
          <w:szCs w:val="21"/>
          <w14:ligatures w14:val="standardContextual"/>
        </w:rPr>
      </w:pPr>
    </w:p>
    <w:p w14:paraId="634723CA"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14:ligatures w14:val="standardContextual"/>
        </w:rPr>
      </w:pPr>
      <w:r w:rsidRPr="00B00C9E">
        <w:rPr>
          <w:rFonts w:ascii="Verdana" w:eastAsia="Calibri" w:hAnsi="Verdana" w:cs="Times New Roman"/>
          <w:kern w:val="2"/>
          <w:sz w:val="21"/>
          <w:szCs w:val="21"/>
          <w14:ligatures w14:val="standardContextual"/>
        </w:rPr>
        <w:lastRenderedPageBreak/>
        <w:t xml:space="preserve">“INSTALACION  O MANTENIMIENTO CORRECTIVO O MANTENIMIENTO PREVENTIVO  O  AMPLIACIÓN  DE </w:t>
      </w:r>
      <w:r w:rsidRPr="00B00C9E">
        <w:rPr>
          <w:rFonts w:ascii="Verdana" w:eastAsia="Calibri" w:hAnsi="Verdana" w:cs="Times New Roman"/>
          <w:b/>
          <w:bCs/>
          <w:kern w:val="2"/>
          <w:sz w:val="21"/>
          <w:szCs w:val="21"/>
          <w:u w:val="single"/>
          <w14:ligatures w14:val="standardContextual"/>
        </w:rPr>
        <w:t>INFRAESTRUCTURA ELECTRICA</w:t>
      </w:r>
      <w:r w:rsidRPr="00B00C9E">
        <w:rPr>
          <w:rFonts w:ascii="Verdana" w:eastAsia="Calibri" w:hAnsi="Verdana" w:cs="Times New Roman"/>
          <w:kern w:val="2"/>
          <w:sz w:val="21"/>
          <w:szCs w:val="21"/>
          <w14:ligatures w14:val="standardContextual"/>
        </w:rPr>
        <w:t xml:space="preserve"> ASOCIADA A LA INFRAESTRUCTURA DE TRANSPORTE.”</w:t>
      </w:r>
    </w:p>
    <w:p w14:paraId="3B34E0F0"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14:ligatures w14:val="standardContextual"/>
        </w:rPr>
      </w:pPr>
    </w:p>
    <w:p w14:paraId="76A627E2" w14:textId="77777777" w:rsidR="00B00C9E" w:rsidRPr="00B00C9E" w:rsidRDefault="00B00C9E" w:rsidP="00B00C9E">
      <w:pPr>
        <w:spacing w:after="0" w:line="240" w:lineRule="auto"/>
        <w:ind w:left="709" w:right="709"/>
        <w:contextualSpacing/>
        <w:jc w:val="both"/>
        <w:rPr>
          <w:rFonts w:ascii="Verdana" w:eastAsia="Calibri" w:hAnsi="Verdana" w:cs="Times New Roman"/>
          <w:kern w:val="2"/>
          <w14:ligatures w14:val="standardContextual"/>
        </w:rPr>
      </w:pPr>
      <w:r w:rsidRPr="00B00C9E">
        <w:rPr>
          <w:rFonts w:ascii="Verdana" w:eastAsia="Calibri" w:hAnsi="Verdana" w:cs="Times New Roman"/>
          <w:kern w:val="2"/>
          <w14:ligatures w14:val="standardContextual"/>
        </w:rPr>
        <w:t xml:space="preserve">Para la </w:t>
      </w:r>
      <w:r w:rsidRPr="00B00C9E">
        <w:rPr>
          <w:rFonts w:ascii="Verdana" w:eastAsia="Calibri" w:hAnsi="Verdana" w:cs="Times New Roman"/>
          <w:kern w:val="2"/>
          <w:u w:val="single"/>
          <w14:ligatures w14:val="standardContextual"/>
        </w:rPr>
        <w:t>Experiencia Específica:</w:t>
      </w:r>
    </w:p>
    <w:p w14:paraId="5F54FAFE"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14:ligatures w14:val="standardContextual"/>
        </w:rPr>
      </w:pPr>
    </w:p>
    <w:p w14:paraId="5A2DBFB5"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14:ligatures w14:val="standardContextual"/>
        </w:rPr>
      </w:pPr>
      <w:r w:rsidRPr="00B00C9E">
        <w:rPr>
          <w:rFonts w:ascii="Verdana" w:eastAsia="Calibri" w:hAnsi="Verdana" w:cs="Times New Roman"/>
          <w:kern w:val="2"/>
          <w:sz w:val="21"/>
          <w:szCs w:val="21"/>
          <w14:ligatures w14:val="standardContextual"/>
        </w:rPr>
        <w:t>“Por lo menos uno (1) de los contratos válidos aportados como experiencia general sea de un valor correspondiente a por lo menos el 50% del valor de PRESUPUESTO OFICIAL (PO) del presente proceso de contratación.”</w:t>
      </w:r>
    </w:p>
    <w:p w14:paraId="28207000" w14:textId="77777777" w:rsidR="00B00C9E" w:rsidRPr="00B00C9E" w:rsidRDefault="00B00C9E" w:rsidP="00B00C9E">
      <w:pPr>
        <w:spacing w:after="0" w:line="276" w:lineRule="auto"/>
        <w:ind w:left="708"/>
        <w:jc w:val="both"/>
        <w:rPr>
          <w:rFonts w:ascii="Verdana" w:eastAsia="Calibri" w:hAnsi="Verdana" w:cs="Times New Roman"/>
          <w:kern w:val="2"/>
          <w14:ligatures w14:val="standardContextual"/>
        </w:rPr>
      </w:pPr>
    </w:p>
    <w:p w14:paraId="7F758364" w14:textId="77777777" w:rsidR="00B00C9E" w:rsidRPr="00B00C9E" w:rsidRDefault="00B00C9E" w:rsidP="00B00C9E">
      <w:pPr>
        <w:spacing w:after="0" w:line="276" w:lineRule="auto"/>
        <w:ind w:firstLine="709"/>
        <w:jc w:val="both"/>
        <w:rPr>
          <w:rFonts w:ascii="Verdana" w:eastAsia="Calibri" w:hAnsi="Verdana" w:cs="Times New Roman"/>
          <w:kern w:val="2"/>
          <w14:ligatures w14:val="standardContextual"/>
        </w:rPr>
      </w:pPr>
      <w:r w:rsidRPr="00B00C9E">
        <w:rPr>
          <w:rFonts w:ascii="Verdana" w:eastAsia="Calibri" w:hAnsi="Verdana" w:cs="Times New Roman"/>
          <w:kern w:val="2"/>
          <w14:ligatures w14:val="standardContextual"/>
        </w:rPr>
        <w:t>Y de manera adicional, se incluyen las siguientes notas:</w:t>
      </w:r>
    </w:p>
    <w:p w14:paraId="5A3E99E6" w14:textId="77777777" w:rsidR="00B00C9E" w:rsidRPr="00B00C9E" w:rsidRDefault="00B00C9E" w:rsidP="00B00C9E">
      <w:pPr>
        <w:spacing w:after="0" w:line="276" w:lineRule="auto"/>
        <w:ind w:left="708"/>
        <w:jc w:val="both"/>
        <w:rPr>
          <w:rFonts w:ascii="Verdana" w:eastAsia="Calibri" w:hAnsi="Verdana" w:cs="Times New Roman"/>
          <w:kern w:val="2"/>
          <w14:ligatures w14:val="standardContextual"/>
        </w:rPr>
      </w:pPr>
    </w:p>
    <w:p w14:paraId="2EA2EF16"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14:ligatures w14:val="standardContextual"/>
        </w:rPr>
      </w:pPr>
      <w:r w:rsidRPr="00B00C9E">
        <w:rPr>
          <w:rFonts w:ascii="Verdana" w:eastAsia="Calibri" w:hAnsi="Verdana" w:cs="Times New Roman"/>
          <w:kern w:val="2"/>
          <w:sz w:val="21"/>
          <w:szCs w:val="21"/>
          <w14:ligatures w14:val="standardContextual"/>
        </w:rPr>
        <w:t>“Nota 1: La Entidad Para la Experiencia Especifica, de acuerdo con el alcance del proyecto objeto de selección, indicará si se requiere experiencia en manejo de redes de Alta, Media o Baja Tensión.”</w:t>
      </w:r>
    </w:p>
    <w:p w14:paraId="3BBAF35D"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14:ligatures w14:val="standardContextual"/>
        </w:rPr>
      </w:pPr>
    </w:p>
    <w:p w14:paraId="0E16FE7F"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14:ligatures w14:val="standardContextual"/>
        </w:rPr>
      </w:pPr>
      <w:r w:rsidRPr="00B00C9E">
        <w:rPr>
          <w:rFonts w:ascii="Verdana" w:eastAsia="Calibri" w:hAnsi="Verdana" w:cs="Times New Roman"/>
          <w:kern w:val="2"/>
          <w:sz w:val="21"/>
          <w:szCs w:val="21"/>
          <w14:ligatures w14:val="standardContextual"/>
        </w:rPr>
        <w:t>“Nota 2: Las redes eléctricas en vías generalmente incluyen postes de luz, luminarias, cableado subterráneo o aéreo, transformadores y otros componentes necesarios para la distribución de la energía eléctrica de manera segura y eficiente.”</w:t>
      </w:r>
    </w:p>
    <w:p w14:paraId="232DFB19" w14:textId="77777777" w:rsidR="00B00C9E" w:rsidRPr="00B00C9E" w:rsidRDefault="00B00C9E" w:rsidP="00B00C9E">
      <w:pPr>
        <w:spacing w:after="0" w:line="276" w:lineRule="auto"/>
        <w:ind w:left="720"/>
        <w:contextualSpacing/>
        <w:rPr>
          <w:rFonts w:ascii="Verdana" w:eastAsia="Calibri" w:hAnsi="Verdana" w:cs="Times New Roman"/>
          <w:kern w:val="2"/>
          <w14:ligatures w14:val="standardContextual"/>
        </w:rPr>
      </w:pPr>
    </w:p>
    <w:p w14:paraId="3606A0F6" w14:textId="77777777" w:rsidR="00B00C9E" w:rsidRPr="00B00C9E" w:rsidRDefault="00B00C9E" w:rsidP="00B00C9E">
      <w:pPr>
        <w:spacing w:after="120" w:line="276" w:lineRule="auto"/>
        <w:ind w:firstLine="709"/>
        <w:jc w:val="both"/>
        <w:rPr>
          <w:rFonts w:ascii="Verdana" w:eastAsia="Calibri" w:hAnsi="Verdana" w:cs="Times New Roman"/>
          <w:kern w:val="2"/>
          <w14:ligatures w14:val="standardContextual"/>
        </w:rPr>
      </w:pPr>
      <w:r w:rsidRPr="00B00C9E">
        <w:rPr>
          <w:rFonts w:ascii="Verdana" w:eastAsia="Calibri" w:hAnsi="Verdana" w:cs="Times New Roman"/>
          <w:kern w:val="2"/>
          <w14:ligatures w14:val="standardContextual"/>
        </w:rPr>
        <w:t>Si bien la primera nota se refiere a aspectos puntuales relacionados con el manejo de redes de Alta, Media o Baja Tensión, la misma señala que es la Entidad Estatal la que señalará la pertinencia de este tipo de experiencia; y la Nota 2 hace referencia a que la mayoría de las vías incluyen estos componentes, pero no excluye que puedan existir otros.</w:t>
      </w:r>
    </w:p>
    <w:p w14:paraId="3759BDA8" w14:textId="77777777" w:rsidR="00B00C9E" w:rsidRPr="00B00C9E" w:rsidRDefault="00B00C9E" w:rsidP="00B00C9E">
      <w:pPr>
        <w:spacing w:after="0" w:line="276" w:lineRule="auto"/>
        <w:ind w:firstLine="709"/>
        <w:jc w:val="both"/>
        <w:rPr>
          <w:rFonts w:ascii="Verdana" w:eastAsia="Calibri" w:hAnsi="Verdana" w:cs="Times New Roman"/>
          <w:kern w:val="2"/>
          <w14:ligatures w14:val="standardContextual"/>
        </w:rPr>
      </w:pPr>
      <w:r w:rsidRPr="00B00C9E">
        <w:rPr>
          <w:rFonts w:ascii="Verdana" w:eastAsia="Calibri" w:hAnsi="Verdana" w:cs="Times New Roman"/>
          <w:kern w:val="2"/>
          <w14:ligatures w14:val="standardContextual"/>
        </w:rPr>
        <w:t>Finalmente, si en el proceso de selección que adelanta la entidad se requiere experiencia particular en actividades no contempladas en las Matrices de Experiencia, las Entidades Estatales pueden recurrir a la opción planteada en el literal H del numeral 3.5.2.</w:t>
      </w:r>
      <w:r w:rsidRPr="00B00C9E">
        <w:rPr>
          <w:rFonts w:ascii="Verdana" w:eastAsia="Aptos" w:hAnsi="Verdana" w:cs="Times New Roman"/>
          <w:kern w:val="2"/>
          <w:lang w:val="es-ES_tradnl"/>
          <w14:ligatures w14:val="standardContextual"/>
        </w:rPr>
        <w:t xml:space="preserve"> “</w:t>
      </w:r>
      <w:r w:rsidRPr="00B00C9E">
        <w:rPr>
          <w:rFonts w:ascii="Verdana" w:eastAsia="Calibri" w:hAnsi="Verdana" w:cs="Times New Roman"/>
          <w:kern w:val="2"/>
          <w14:ligatures w14:val="standardContextual"/>
        </w:rPr>
        <w:t>CARACTERÍSTICAS DE LOS CONTRATOS PRESENTADOS PARA ACREDITAR LA EXPERIENCIA EXIGIDA” del Documento Base de los documentos tipo de infraestructura de Transporte, así como lo contenido en el artículo 4 de las Resoluciones 463 y 465 de 2024 –mediante las cuales se adoptaron las versiones 3 y 4 de los documentos tipo de selección abreviada de menor cuantía y licitación pública de infraestructura de transporte, respectivamente–</w:t>
      </w:r>
      <w:r w:rsidRPr="00B00C9E">
        <w:rPr>
          <w:rFonts w:ascii="Verdana" w:eastAsia="Times New Roman" w:hAnsi="Verdana" w:cs="Segoe UI"/>
          <w:color w:val="000000"/>
          <w:kern w:val="2"/>
          <w14:ligatures w14:val="standardContextual"/>
        </w:rPr>
        <w:t xml:space="preserve"> </w:t>
      </w:r>
      <w:r w:rsidRPr="00B00C9E">
        <w:rPr>
          <w:rFonts w:ascii="Verdana" w:eastAsia="Calibri" w:hAnsi="Verdana" w:cs="Times New Roman"/>
          <w:kern w:val="2"/>
          <w14:ligatures w14:val="standardContextual"/>
        </w:rPr>
        <w:t>que se refiere a los bienes adicionales a la obra pública de infraestructura de transporte, así:</w:t>
      </w:r>
    </w:p>
    <w:p w14:paraId="08CDAA08" w14:textId="77777777" w:rsidR="00B00C9E" w:rsidRPr="00B00C9E" w:rsidRDefault="00B00C9E" w:rsidP="00B00C9E">
      <w:pPr>
        <w:spacing w:after="0" w:line="276" w:lineRule="auto"/>
        <w:ind w:left="1068"/>
        <w:jc w:val="both"/>
        <w:rPr>
          <w:rFonts w:ascii="Verdana" w:eastAsia="Calibri" w:hAnsi="Verdana" w:cs="Times New Roman"/>
          <w:kern w:val="2"/>
          <w14:ligatures w14:val="standardContextual"/>
        </w:rPr>
      </w:pPr>
    </w:p>
    <w:p w14:paraId="550099C5"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lang w:val="es-MX"/>
          <w14:ligatures w14:val="standardContextual"/>
        </w:rPr>
      </w:pPr>
      <w:r w:rsidRPr="00B00C9E">
        <w:rPr>
          <w:rFonts w:ascii="Verdana" w:eastAsia="Calibri" w:hAnsi="Verdana" w:cs="Times New Roman"/>
          <w:kern w:val="2"/>
          <w:sz w:val="21"/>
          <w:szCs w:val="21"/>
          <w:lang w:val="es-MX"/>
          <w14:ligatures w14:val="standardContextual"/>
        </w:rPr>
        <w:lastRenderedPageBreak/>
        <w:t>“</w:t>
      </w:r>
      <w:r w:rsidRPr="00B00C9E">
        <w:rPr>
          <w:rFonts w:ascii="Verdana" w:eastAsia="Calibri" w:hAnsi="Verdana" w:cs="Times New Roman"/>
          <w:b/>
          <w:bCs/>
          <w:kern w:val="2"/>
          <w:sz w:val="21"/>
          <w:szCs w:val="21"/>
          <w:lang w:val="es-MX"/>
          <w14:ligatures w14:val="standardContextual"/>
        </w:rPr>
        <w:t>Artículo 4. Obras, bienes o servicios adicionales a la obra pública de infraestructura de transporte</w:t>
      </w:r>
      <w:r w:rsidRPr="00B00C9E">
        <w:rPr>
          <w:rFonts w:ascii="Verdana" w:eastAsia="Calibri" w:hAnsi="Verdana" w:cs="Times New Roman"/>
          <w:kern w:val="2"/>
          <w:sz w:val="21"/>
          <w:szCs w:val="21"/>
          <w:lang w:val="es-MX"/>
          <w14:ligatures w14:val="standardContextual"/>
        </w:rPr>
        <w:t>. Cuando el objeto contractual incluya obras, bienes o servicios adicionales a la obra  pública de infraestructura de transporte, la entidad estatal deberá aplicar los documentos tipo. Si de manera excepcional requiere incluir experiencia adicional para evaluar la idoneidad respecto de los bienes o servicios adicionales a la obra pública de infraestructura de transporte, deberá seguir los siguientes parámetros:</w:t>
      </w:r>
    </w:p>
    <w:p w14:paraId="1318027F"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lang w:val="es-MX"/>
          <w14:ligatures w14:val="standardContextual"/>
        </w:rPr>
      </w:pPr>
      <w:r w:rsidRPr="00B00C9E">
        <w:rPr>
          <w:rFonts w:ascii="Verdana" w:eastAsia="Calibri" w:hAnsi="Verdana" w:cs="Times New Roman"/>
          <w:kern w:val="2"/>
          <w:sz w:val="21"/>
          <w:szCs w:val="21"/>
          <w:lang w:val="es-MX"/>
          <w14:ligatures w14:val="standardContextual"/>
        </w:rPr>
        <w:t xml:space="preserve"> </w:t>
      </w:r>
    </w:p>
    <w:p w14:paraId="1B247324" w14:textId="77777777" w:rsidR="00B00C9E" w:rsidRPr="00B00C9E" w:rsidRDefault="00B00C9E" w:rsidP="00B00C9E">
      <w:pPr>
        <w:numPr>
          <w:ilvl w:val="0"/>
          <w:numId w:val="18"/>
        </w:numPr>
        <w:spacing w:after="0" w:line="240" w:lineRule="auto"/>
        <w:ind w:left="709" w:right="709" w:firstLine="0"/>
        <w:contextualSpacing/>
        <w:jc w:val="both"/>
        <w:rPr>
          <w:rFonts w:ascii="Verdana" w:eastAsia="Calibri" w:hAnsi="Verdana" w:cs="Times New Roman"/>
          <w:kern w:val="2"/>
          <w:sz w:val="21"/>
          <w:szCs w:val="21"/>
          <w:lang w:val="es-MX"/>
          <w14:ligatures w14:val="standardContextual"/>
        </w:rPr>
      </w:pPr>
      <w:r w:rsidRPr="00B00C9E">
        <w:rPr>
          <w:rFonts w:ascii="Verdana" w:eastAsia="Calibri" w:hAnsi="Verdana" w:cs="Times New Roman"/>
          <w:kern w:val="2"/>
          <w:sz w:val="21"/>
          <w:szCs w:val="21"/>
          <w:lang w:val="es-MX"/>
          <w14:ligatures w14:val="standardContextual"/>
        </w:rPr>
        <w:t>Demostrar en los estudios previos que ha verificado las condiciones de mercado para la contratación de las obras, bienes o servicios adicionales al componente de obra pública, de tal manera que la experiencia adicional que se exija para tales bienes o servicios procure la pluralidad de oferentes y no limite la concurrencia al proceso de contratación.</w:t>
      </w:r>
    </w:p>
    <w:p w14:paraId="6061FDF9"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lang w:val="es-MX"/>
          <w14:ligatures w14:val="standardContextual"/>
        </w:rPr>
      </w:pPr>
    </w:p>
    <w:p w14:paraId="2A5927C1"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lang w:val="es-MX"/>
          <w14:ligatures w14:val="standardContextual"/>
        </w:rPr>
      </w:pPr>
      <w:r w:rsidRPr="00B00C9E">
        <w:rPr>
          <w:rFonts w:ascii="Verdana" w:eastAsia="Calibri" w:hAnsi="Verdana" w:cs="Times New Roman"/>
          <w:kern w:val="2"/>
          <w:sz w:val="21"/>
          <w:szCs w:val="21"/>
          <w:lang w:val="es-MX"/>
          <w14:ligatures w14:val="standardContextual"/>
        </w:rPr>
        <w:t>Para tal efecto, la entidad realizará el estudio previo y el análisis del sector en los términos de los  artículos 2.2.1.1.1.6.1 y 2.2.1.1.1.6.2 del Decreto 1082 de 2015, o la norma que los adicione, complemente o sustituya.</w:t>
      </w:r>
    </w:p>
    <w:p w14:paraId="3956D8FA"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lang w:val="es-MX"/>
          <w14:ligatures w14:val="standardContextual"/>
        </w:rPr>
      </w:pPr>
    </w:p>
    <w:p w14:paraId="53CEBBB2" w14:textId="77777777" w:rsidR="00B00C9E" w:rsidRPr="00B00C9E" w:rsidRDefault="00B00C9E" w:rsidP="00B00C9E">
      <w:pPr>
        <w:numPr>
          <w:ilvl w:val="0"/>
          <w:numId w:val="18"/>
        </w:numPr>
        <w:spacing w:after="0" w:line="240" w:lineRule="auto"/>
        <w:ind w:left="709" w:right="709" w:firstLine="0"/>
        <w:contextualSpacing/>
        <w:jc w:val="both"/>
        <w:rPr>
          <w:rFonts w:ascii="Verdana" w:eastAsia="Calibri" w:hAnsi="Verdana" w:cs="Times New Roman"/>
          <w:kern w:val="2"/>
          <w:sz w:val="21"/>
          <w:szCs w:val="21"/>
          <w:lang w:val="es-MX"/>
          <w14:ligatures w14:val="standardContextual"/>
        </w:rPr>
      </w:pPr>
      <w:r w:rsidRPr="00B00C9E">
        <w:rPr>
          <w:rFonts w:ascii="Verdana" w:eastAsia="Calibri" w:hAnsi="Verdana" w:cs="Times New Roman"/>
          <w:kern w:val="2"/>
          <w:sz w:val="21"/>
          <w:szCs w:val="21"/>
          <w:lang w:val="es-MX"/>
          <w14:ligatures w14:val="standardContextual"/>
        </w:rPr>
        <w:t>Conservar los requisitos exigidos en los documentos tipo.</w:t>
      </w:r>
    </w:p>
    <w:p w14:paraId="3D038371"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lang w:val="es-MX"/>
          <w14:ligatures w14:val="standardContextual"/>
        </w:rPr>
      </w:pPr>
    </w:p>
    <w:p w14:paraId="4AD64F7B" w14:textId="77777777" w:rsidR="00B00C9E" w:rsidRPr="00B00C9E" w:rsidRDefault="00B00C9E" w:rsidP="00B00C9E">
      <w:pPr>
        <w:numPr>
          <w:ilvl w:val="0"/>
          <w:numId w:val="18"/>
        </w:numPr>
        <w:spacing w:after="0" w:line="240" w:lineRule="auto"/>
        <w:ind w:left="709" w:right="709" w:firstLine="0"/>
        <w:contextualSpacing/>
        <w:jc w:val="both"/>
        <w:rPr>
          <w:rFonts w:ascii="Verdana" w:eastAsia="Calibri" w:hAnsi="Verdana" w:cs="Times New Roman"/>
          <w:kern w:val="2"/>
          <w:sz w:val="21"/>
          <w:szCs w:val="21"/>
          <w:lang w:val="es-MX"/>
          <w14:ligatures w14:val="standardContextual"/>
        </w:rPr>
      </w:pPr>
      <w:r w:rsidRPr="00B00C9E">
        <w:rPr>
          <w:rFonts w:ascii="Verdana" w:eastAsia="Calibri" w:hAnsi="Verdana" w:cs="Times New Roman"/>
          <w:kern w:val="2"/>
          <w:sz w:val="21"/>
          <w:szCs w:val="21"/>
          <w:lang w:val="es-MX"/>
          <w14:ligatures w14:val="standardContextual"/>
        </w:rPr>
        <w:t>Abstenerse de pedir experiencia exclusiva con entidades estatales, experiencia previa en un territorio específico, limitada en el tiempo o que incluya volúmenes o cantidades de obra específica.</w:t>
      </w:r>
    </w:p>
    <w:p w14:paraId="1AB3FBD3" w14:textId="77777777" w:rsidR="00B00C9E" w:rsidRPr="00B00C9E" w:rsidRDefault="00B00C9E" w:rsidP="00B00C9E">
      <w:pPr>
        <w:spacing w:after="0" w:line="240" w:lineRule="auto"/>
        <w:ind w:right="709"/>
        <w:contextualSpacing/>
        <w:jc w:val="both"/>
        <w:rPr>
          <w:rFonts w:ascii="Verdana" w:eastAsia="Calibri" w:hAnsi="Verdana" w:cs="Times New Roman"/>
          <w:kern w:val="2"/>
          <w:sz w:val="21"/>
          <w:szCs w:val="21"/>
          <w:lang w:val="es-MX"/>
          <w14:ligatures w14:val="standardContextual"/>
        </w:rPr>
      </w:pPr>
    </w:p>
    <w:p w14:paraId="05D094D7" w14:textId="77777777" w:rsidR="00B00C9E" w:rsidRPr="00B00C9E" w:rsidRDefault="00B00C9E" w:rsidP="00B00C9E">
      <w:pPr>
        <w:numPr>
          <w:ilvl w:val="0"/>
          <w:numId w:val="18"/>
        </w:numPr>
        <w:spacing w:after="0" w:line="240" w:lineRule="auto"/>
        <w:ind w:left="709" w:right="709" w:firstLine="0"/>
        <w:contextualSpacing/>
        <w:jc w:val="both"/>
        <w:rPr>
          <w:rFonts w:ascii="Verdana" w:eastAsia="Calibri" w:hAnsi="Verdana" w:cs="Times New Roman"/>
          <w:kern w:val="2"/>
          <w:sz w:val="21"/>
          <w:szCs w:val="21"/>
          <w:lang w:val="es-MX"/>
          <w14:ligatures w14:val="standardContextual"/>
        </w:rPr>
      </w:pPr>
      <w:r w:rsidRPr="00B00C9E">
        <w:rPr>
          <w:rFonts w:ascii="Verdana" w:eastAsia="Calibri" w:hAnsi="Verdana" w:cs="Times New Roman"/>
          <w:kern w:val="2"/>
          <w:sz w:val="21"/>
          <w:szCs w:val="21"/>
          <w:lang w:val="es-MX"/>
          <w14:ligatures w14:val="standardContextual"/>
        </w:rPr>
        <w:t>Clasificar la experiencia requerida solo hasta el tercer nivel del Clasificador de Bienes y Servicios e incluir exclusivamente los códigos que estén relacionados directamente con el objeto a contratar.</w:t>
      </w:r>
    </w:p>
    <w:p w14:paraId="2DEA9EA6" w14:textId="77777777" w:rsidR="00B00C9E" w:rsidRPr="00B00C9E" w:rsidRDefault="00B00C9E" w:rsidP="00B00C9E">
      <w:pPr>
        <w:spacing w:after="0" w:line="240" w:lineRule="auto"/>
        <w:ind w:left="709" w:right="709"/>
        <w:contextualSpacing/>
        <w:jc w:val="both"/>
        <w:rPr>
          <w:rFonts w:ascii="Verdana" w:eastAsia="Calibri" w:hAnsi="Verdana" w:cs="Times New Roman"/>
          <w:kern w:val="2"/>
          <w:sz w:val="21"/>
          <w:szCs w:val="21"/>
          <w:lang w:val="es-MX"/>
          <w14:ligatures w14:val="standardContextual"/>
        </w:rPr>
      </w:pPr>
    </w:p>
    <w:p w14:paraId="1CD51608"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lang w:val="es-MX"/>
          <w14:ligatures w14:val="standardContextual"/>
        </w:rPr>
      </w:pPr>
      <w:r w:rsidRPr="00B00C9E">
        <w:rPr>
          <w:rFonts w:ascii="Verdana" w:eastAsia="Calibri" w:hAnsi="Verdana" w:cs="Times New Roman"/>
          <w:kern w:val="2"/>
          <w:sz w:val="21"/>
          <w:szCs w:val="21"/>
          <w:lang w:val="es-MX"/>
          <w14:ligatures w14:val="standardContextual"/>
        </w:rPr>
        <w:t>Parágrafo 1°. En los casos en que el objeto contractual incluya actividades que son abarcadas por otros documentos tipo, la Entidad Estatal aplicará las reglas de combinación de experiencia previstas en el numeral 3.5.2 del documento base.</w:t>
      </w:r>
    </w:p>
    <w:p w14:paraId="35BAEE93"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lang w:val="es-MX"/>
          <w14:ligatures w14:val="standardContextual"/>
        </w:rPr>
      </w:pPr>
    </w:p>
    <w:p w14:paraId="5F5F43AF" w14:textId="77777777" w:rsidR="00B00C9E" w:rsidRPr="00B00C9E" w:rsidRDefault="00B00C9E" w:rsidP="00B00C9E">
      <w:pPr>
        <w:spacing w:after="0" w:line="240" w:lineRule="auto"/>
        <w:ind w:left="709" w:right="709"/>
        <w:jc w:val="both"/>
        <w:rPr>
          <w:rFonts w:ascii="Verdana" w:eastAsia="Calibri" w:hAnsi="Verdana" w:cs="Times New Roman"/>
          <w:kern w:val="2"/>
          <w:sz w:val="21"/>
          <w:szCs w:val="21"/>
          <w14:ligatures w14:val="standardContextual"/>
        </w:rPr>
      </w:pPr>
      <w:r w:rsidRPr="00B00C9E">
        <w:rPr>
          <w:rFonts w:ascii="Verdana" w:eastAsia="Calibri" w:hAnsi="Verdana" w:cs="Times New Roman"/>
          <w:kern w:val="2"/>
          <w:sz w:val="21"/>
          <w:szCs w:val="21"/>
          <w:lang w:val="es-MX"/>
          <w14:ligatures w14:val="standardContextual"/>
        </w:rPr>
        <w:t xml:space="preserve">Parágrafo 2°. Para los efectos de este artículo se entiende por "obras, bienes o servicios adicionales" aquellas actividades que no están incluidas en la matriz de experiencia de los documentos tipo de infraestructura de transporte aplicable, pero que están relacionadas con el contrato a ejecutar. Por ejemplo, en caso de que el proyecto de obra pública a ejecutar esté relacionado con infraestructura de transporte, pero, además, con proyectos de agua potable y saneamiento básico o con proyectos de infraestructura social, el servicio adicional serán las actividades de obra pública en </w:t>
      </w:r>
      <w:r w:rsidRPr="00B00C9E">
        <w:rPr>
          <w:rFonts w:ascii="Verdana" w:eastAsia="Calibri" w:hAnsi="Verdana" w:cs="Times New Roman"/>
          <w:kern w:val="2"/>
          <w:sz w:val="21"/>
          <w:szCs w:val="21"/>
          <w:lang w:val="es-MX"/>
          <w14:ligatures w14:val="standardContextual"/>
        </w:rPr>
        <w:lastRenderedPageBreak/>
        <w:t>infraestructura de agua potable y saneamiento básico o las actividades de obra pública de infraestructura social.”</w:t>
      </w:r>
    </w:p>
    <w:p w14:paraId="64B478F3" w14:textId="77777777" w:rsidR="00B00C9E" w:rsidRPr="00B00C9E" w:rsidRDefault="00B00C9E" w:rsidP="00B00C9E">
      <w:pPr>
        <w:spacing w:after="0" w:line="276" w:lineRule="auto"/>
        <w:jc w:val="both"/>
        <w:rPr>
          <w:rFonts w:ascii="Verdana" w:eastAsia="Calibri" w:hAnsi="Verdana" w:cs="Times New Roman"/>
        </w:rPr>
      </w:pPr>
    </w:p>
    <w:p w14:paraId="7A90DD16" w14:textId="77777777" w:rsidR="00B00C9E" w:rsidRPr="00B00C9E" w:rsidRDefault="00B00C9E" w:rsidP="00B00C9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B00C9E">
        <w:rPr>
          <w:rFonts w:ascii="Verdana" w:eastAsia="Century Gothic" w:hAnsi="Verdana" w:cs="Century Gothic"/>
          <w:b/>
          <w:bCs/>
          <w:lang w:val="es-ES"/>
        </w:rPr>
        <w:t>Referencias normativas, jurisprudenciales y otras fuentes:</w:t>
      </w:r>
    </w:p>
    <w:p w14:paraId="227E9AE4" w14:textId="77777777" w:rsidR="00B00C9E" w:rsidRPr="00B00C9E" w:rsidRDefault="00B00C9E" w:rsidP="00B00C9E">
      <w:pPr>
        <w:widowControl w:val="0"/>
        <w:autoSpaceDE w:val="0"/>
        <w:autoSpaceDN w:val="0"/>
        <w:snapToGrid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B00C9E" w:rsidRPr="00B00C9E" w14:paraId="22053A82" w14:textId="77777777" w:rsidTr="008C0948">
        <w:trPr>
          <w:trHeight w:val="870"/>
        </w:trPr>
        <w:tc>
          <w:tcPr>
            <w:tcW w:w="8647" w:type="dxa"/>
          </w:tcPr>
          <w:p w14:paraId="6E08E714" w14:textId="77777777" w:rsidR="00B00C9E" w:rsidRPr="00B00C9E" w:rsidRDefault="00B00C9E" w:rsidP="00B00C9E">
            <w:pPr>
              <w:widowControl w:val="0"/>
              <w:numPr>
                <w:ilvl w:val="0"/>
                <w:numId w:val="17"/>
              </w:numPr>
              <w:autoSpaceDE w:val="0"/>
              <w:autoSpaceDN w:val="0"/>
              <w:spacing w:after="120" w:line="276" w:lineRule="auto"/>
              <w:jc w:val="both"/>
              <w:rPr>
                <w:rFonts w:ascii="Verdana" w:eastAsia="Calibri" w:hAnsi="Verdana" w:cs="Arial"/>
              </w:rPr>
            </w:pPr>
            <w:r w:rsidRPr="00B00C9E">
              <w:rPr>
                <w:rFonts w:ascii="Verdana" w:eastAsia="Calibri" w:hAnsi="Verdana" w:cs="Arial"/>
              </w:rPr>
              <w:t>Ley 2022 de 2020, artículo 1.</w:t>
            </w:r>
          </w:p>
          <w:p w14:paraId="6695EAB1" w14:textId="77777777" w:rsidR="00B00C9E" w:rsidRPr="00B00C9E" w:rsidRDefault="00B00C9E" w:rsidP="00B00C9E">
            <w:pPr>
              <w:widowControl w:val="0"/>
              <w:numPr>
                <w:ilvl w:val="0"/>
                <w:numId w:val="17"/>
              </w:numPr>
              <w:autoSpaceDE w:val="0"/>
              <w:autoSpaceDN w:val="0"/>
              <w:spacing w:after="120" w:line="276" w:lineRule="auto"/>
              <w:jc w:val="both"/>
              <w:rPr>
                <w:rFonts w:ascii="Verdana" w:eastAsia="Calibri" w:hAnsi="Verdana" w:cs="Arial"/>
              </w:rPr>
            </w:pPr>
            <w:r w:rsidRPr="00B00C9E">
              <w:rPr>
                <w:rFonts w:ascii="Verdana" w:eastAsia="Calibri" w:hAnsi="Verdana" w:cs="Times New Roman"/>
              </w:rPr>
              <w:t>Decreto 1073 de 2015, artículo 2.2.3.1.2.</w:t>
            </w:r>
          </w:p>
          <w:p w14:paraId="20596F08" w14:textId="77777777" w:rsidR="00B00C9E" w:rsidRPr="00B00C9E" w:rsidRDefault="00B00C9E" w:rsidP="00B00C9E">
            <w:pPr>
              <w:widowControl w:val="0"/>
              <w:numPr>
                <w:ilvl w:val="0"/>
                <w:numId w:val="17"/>
              </w:numPr>
              <w:autoSpaceDE w:val="0"/>
              <w:autoSpaceDN w:val="0"/>
              <w:spacing w:after="120" w:line="276" w:lineRule="auto"/>
              <w:jc w:val="both"/>
              <w:rPr>
                <w:rFonts w:ascii="Verdana" w:eastAsia="Calibri" w:hAnsi="Verdana" w:cs="Arial"/>
              </w:rPr>
            </w:pPr>
            <w:r w:rsidRPr="00B00C9E">
              <w:rPr>
                <w:rFonts w:ascii="Verdana" w:eastAsia="Calibri" w:hAnsi="Verdana" w:cs="Arial"/>
              </w:rPr>
              <w:t xml:space="preserve">Documentos Tipo. Disponibles en: </w:t>
            </w:r>
            <w:hyperlink r:id="rId11" w:history="1">
              <w:r w:rsidRPr="00B00C9E">
                <w:rPr>
                  <w:rFonts w:ascii="Verdana" w:eastAsia="Calibri" w:hAnsi="Verdana" w:cs="Arial"/>
                  <w:color w:val="467886"/>
                  <w:u w:val="single"/>
                </w:rPr>
                <w:t>https://www.colombiacompra.gov.co/normativa-y-relatoria/documentos-tipo</w:t>
              </w:r>
            </w:hyperlink>
            <w:r w:rsidRPr="00B00C9E">
              <w:rPr>
                <w:rFonts w:ascii="Verdana" w:eastAsia="Calibri" w:hAnsi="Verdana" w:cs="Arial"/>
              </w:rPr>
              <w:t xml:space="preserve">. </w:t>
            </w:r>
          </w:p>
        </w:tc>
      </w:tr>
    </w:tbl>
    <w:p w14:paraId="3DA25455" w14:textId="77777777" w:rsidR="00B00C9E" w:rsidRPr="00B00C9E" w:rsidRDefault="00B00C9E" w:rsidP="00B00C9E">
      <w:pPr>
        <w:tabs>
          <w:tab w:val="left" w:pos="142"/>
          <w:tab w:val="left" w:pos="284"/>
        </w:tabs>
        <w:spacing w:after="0" w:line="276" w:lineRule="auto"/>
        <w:jc w:val="both"/>
        <w:rPr>
          <w:rFonts w:ascii="Verdana" w:eastAsia="Calibri" w:hAnsi="Verdana" w:cs="Arial"/>
        </w:rPr>
      </w:pPr>
    </w:p>
    <w:p w14:paraId="178A292F" w14:textId="77777777" w:rsidR="00B00C9E" w:rsidRPr="00B00C9E" w:rsidRDefault="00B00C9E" w:rsidP="00B00C9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B00C9E">
        <w:rPr>
          <w:rFonts w:ascii="Verdana" w:eastAsia="Century Gothic" w:hAnsi="Verdana" w:cs="Century Gothic"/>
          <w:b/>
          <w:bCs/>
          <w:lang w:val="es-ES"/>
        </w:rPr>
        <w:t>Doctrina de la Agencia Nacional de Contratación Pública:</w:t>
      </w:r>
    </w:p>
    <w:p w14:paraId="2A5A9D8F" w14:textId="77777777" w:rsidR="00B00C9E" w:rsidRPr="00B00C9E" w:rsidRDefault="00B00C9E" w:rsidP="00B00C9E">
      <w:pPr>
        <w:widowControl w:val="0"/>
        <w:autoSpaceDE w:val="0"/>
        <w:autoSpaceDN w:val="0"/>
        <w:spacing w:after="0" w:line="276" w:lineRule="auto"/>
        <w:jc w:val="both"/>
        <w:rPr>
          <w:rFonts w:ascii="Verdana" w:eastAsia="Calibri" w:hAnsi="Verdana" w:cs="Arial"/>
        </w:rPr>
      </w:pPr>
    </w:p>
    <w:p w14:paraId="715B343D" w14:textId="77777777" w:rsidR="00B00C9E" w:rsidRPr="00B00C9E" w:rsidRDefault="00B00C9E" w:rsidP="00B00C9E">
      <w:pPr>
        <w:widowControl w:val="0"/>
        <w:autoSpaceDE w:val="0"/>
        <w:autoSpaceDN w:val="0"/>
        <w:spacing w:after="0" w:line="276" w:lineRule="auto"/>
        <w:jc w:val="both"/>
        <w:rPr>
          <w:rFonts w:ascii="Verdana" w:eastAsia="Calibri" w:hAnsi="Verdana" w:cs="Arial"/>
          <w:shd w:val="clear" w:color="auto" w:fill="FFFFFF"/>
          <w:lang w:val="es-ES"/>
        </w:rPr>
      </w:pPr>
      <w:r w:rsidRPr="00B00C9E">
        <w:rPr>
          <w:rFonts w:ascii="Verdana" w:eastAsia="Calibri" w:hAnsi="Verdana" w:cs="Arial"/>
          <w:shd w:val="clear" w:color="auto" w:fill="FFFFFF"/>
          <w:lang w:val="es-ES"/>
        </w:rPr>
        <w:t xml:space="preserve">La Agencia Nacional de Contratación Pública – Colombia Compra Eficiente se </w:t>
      </w:r>
      <w:r w:rsidRPr="00B00C9E">
        <w:rPr>
          <w:rFonts w:ascii="Verdana" w:eastAsia="Aptos" w:hAnsi="Verdana" w:cs="Times New Roman"/>
          <w:kern w:val="2"/>
          <w14:ligatures w14:val="standardContextual"/>
        </w:rPr>
        <w:t xml:space="preserve">pronunció </w:t>
      </w:r>
      <w:r w:rsidRPr="00B00C9E">
        <w:rPr>
          <w:rFonts w:ascii="Verdana" w:eastAsia="Calibri" w:hAnsi="Verdana" w:cs="Arial"/>
          <w:color w:val="000000"/>
          <w:kern w:val="2"/>
          <w:shd w:val="clear" w:color="auto" w:fill="FFFFFF"/>
          <w:lang w:val="es-ES"/>
          <w14:ligatures w14:val="standardContextual"/>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y C-684 del 7 de julio de 2025</w:t>
      </w:r>
      <w:r w:rsidRPr="00B00C9E">
        <w:rPr>
          <w:rFonts w:ascii="Verdana" w:eastAsia="Aptos" w:hAnsi="Verdana" w:cs="Times New Roman"/>
          <w:kern w:val="2"/>
          <w14:ligatures w14:val="standardContextual"/>
        </w:rPr>
        <w:t xml:space="preserve">. </w:t>
      </w:r>
      <w:r w:rsidRPr="00B00C9E">
        <w:rPr>
          <w:rFonts w:ascii="Verdana" w:eastAsia="Times New Roman" w:hAnsi="Verdana" w:cs="Arial"/>
          <w:shd w:val="clear" w:color="auto" w:fill="FFFFFF"/>
          <w:lang w:val="es-ES"/>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B00C9E">
          <w:rPr>
            <w:rFonts w:ascii="Verdana" w:eastAsia="Times New Roman" w:hAnsi="Verdana" w:cs="Arial"/>
            <w:shd w:val="clear" w:color="auto" w:fill="FFFFFF"/>
            <w:lang w:val="es-ES"/>
          </w:rPr>
          <w:t>https://relatoria.colombiacompra.gov.co/</w:t>
        </w:r>
      </w:hyperlink>
      <w:r w:rsidRPr="00B00C9E">
        <w:rPr>
          <w:rFonts w:ascii="Verdana" w:eastAsia="Times New Roman" w:hAnsi="Verdana" w:cs="Arial"/>
          <w:shd w:val="clear" w:color="auto" w:fill="FFFFFF"/>
          <w:lang w:val="es-ES"/>
        </w:rPr>
        <w:t>.</w:t>
      </w:r>
    </w:p>
    <w:p w14:paraId="52EFF854" w14:textId="77777777" w:rsidR="00B00C9E" w:rsidRPr="00B00C9E" w:rsidRDefault="00B00C9E" w:rsidP="00B00C9E">
      <w:pPr>
        <w:spacing w:after="0" w:line="240" w:lineRule="auto"/>
        <w:jc w:val="both"/>
        <w:rPr>
          <w:rFonts w:ascii="Verdana" w:eastAsia="Calibri" w:hAnsi="Verdana" w:cs="Arial"/>
          <w:color w:val="000000"/>
          <w:shd w:val="clear" w:color="auto" w:fill="FFFFFF"/>
        </w:rPr>
      </w:pPr>
    </w:p>
    <w:p w14:paraId="5B168535" w14:textId="77777777" w:rsidR="00B00C9E" w:rsidRPr="00B00C9E" w:rsidRDefault="00B00C9E" w:rsidP="00B00C9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00C9E">
        <w:rPr>
          <w:rFonts w:ascii="Verdana" w:eastAsia="Calibri" w:hAnsi="Verdana" w:cs="Arial"/>
          <w:kern w:val="2"/>
          <w:shd w:val="clear" w:color="auto" w:fill="FFFFFF"/>
          <w:lang w:val="es-ES_tradnl"/>
          <w14:ligatures w14:val="standardContextual"/>
        </w:rPr>
        <w:t>La</w:t>
      </w:r>
      <w:r w:rsidRPr="00B00C9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B00C9E">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B00C9E">
        <w:rPr>
          <w:rFonts w:ascii="Verdana" w:eastAsia="Calibri" w:hAnsi="Verdana" w:cs="Arial"/>
          <w:b/>
          <w:bCs/>
          <w:kern w:val="2"/>
          <w:shd w:val="clear" w:color="auto" w:fill="FFFFFF"/>
          <w:lang w:val="es-ES_tradnl"/>
          <w14:ligatures w14:val="standardContextual"/>
        </w:rPr>
        <w:t>Documentos Tipo</w:t>
      </w:r>
      <w:r w:rsidRPr="00B00C9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B00C9E">
        <w:rPr>
          <w:rFonts w:ascii="Verdana" w:eastAsia="Calibri" w:hAnsi="Verdana" w:cs="Arial"/>
          <w:b/>
          <w:bCs/>
          <w:kern w:val="2"/>
          <w:shd w:val="clear" w:color="auto" w:fill="FFFFFF"/>
          <w:lang w:val="es-ES_tradnl"/>
          <w14:ligatures w14:val="standardContextual"/>
        </w:rPr>
        <w:t>transparencia</w:t>
      </w:r>
      <w:r w:rsidRPr="00B00C9E">
        <w:rPr>
          <w:rFonts w:ascii="Verdana" w:eastAsia="Calibri" w:hAnsi="Verdana" w:cs="Arial"/>
          <w:kern w:val="2"/>
          <w:shd w:val="clear" w:color="auto" w:fill="FFFFFF"/>
          <w:lang w:val="es-ES_tradnl"/>
          <w14:ligatures w14:val="standardContextual"/>
        </w:rPr>
        <w:t> y promover un proceso de </w:t>
      </w:r>
      <w:r w:rsidRPr="00B00C9E">
        <w:rPr>
          <w:rFonts w:ascii="Verdana" w:eastAsia="Calibri" w:hAnsi="Verdana" w:cs="Arial"/>
          <w:b/>
          <w:bCs/>
          <w:kern w:val="2"/>
          <w:shd w:val="clear" w:color="auto" w:fill="FFFFFF"/>
          <w:lang w:val="es-ES_tradnl"/>
          <w14:ligatures w14:val="standardContextual"/>
        </w:rPr>
        <w:t>selección objetiva</w:t>
      </w:r>
      <w:r w:rsidRPr="00B00C9E">
        <w:rPr>
          <w:rFonts w:ascii="Verdana" w:eastAsia="Calibri" w:hAnsi="Verdana" w:cs="Arial"/>
          <w:kern w:val="2"/>
          <w:shd w:val="clear" w:color="auto" w:fill="FFFFFF"/>
          <w:lang w:val="es-ES_tradnl"/>
          <w14:ligatures w14:val="standardContextual"/>
        </w:rPr>
        <w:t xml:space="preserve"> en la contratación pública, contribuyendo así a </w:t>
      </w:r>
      <w:r w:rsidRPr="00B00C9E">
        <w:rPr>
          <w:rFonts w:ascii="Verdana" w:eastAsia="Calibri" w:hAnsi="Verdana" w:cs="Arial"/>
          <w:kern w:val="2"/>
          <w:shd w:val="clear" w:color="auto" w:fill="FFFFFF"/>
          <w:lang w:val="es-ES_tradnl"/>
          <w14:ligatures w14:val="standardContextual"/>
        </w:rPr>
        <w:lastRenderedPageBreak/>
        <w:t>mejorar la eficiencia, la competencia y la confianza en el manejo de los recursos del Estado.</w:t>
      </w:r>
    </w:p>
    <w:p w14:paraId="0A01222A" w14:textId="77777777" w:rsidR="00B00C9E" w:rsidRPr="00B00C9E" w:rsidRDefault="00B00C9E" w:rsidP="00B00C9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8886BEA" w14:textId="77777777" w:rsidR="00B00C9E" w:rsidRPr="00B00C9E" w:rsidRDefault="00B00C9E" w:rsidP="00B00C9E">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B00C9E">
        <w:rPr>
          <w:rFonts w:ascii="Verdana" w:eastAsia="Calibri" w:hAnsi="Verdana" w:cs="Arial"/>
          <w:kern w:val="2"/>
          <w:shd w:val="clear" w:color="auto" w:fill="FFFFFF"/>
          <w:lang w:val="es-ES"/>
          <w14:ligatures w14:val="standardContextual"/>
        </w:rPr>
        <w:t>También, le contamos que ya se encuentra disponible la </w:t>
      </w:r>
      <w:r w:rsidRPr="00B00C9E">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B00C9E">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00C9E">
        <w:rPr>
          <w:rFonts w:ascii="Verdana" w:eastAsia="Calibri" w:hAnsi="Verdana" w:cs="Arial"/>
          <w:kern w:val="2"/>
          <w:shd w:val="clear" w:color="auto" w:fill="FFFFFF"/>
          <w:lang w:val="es-ES"/>
          <w14:ligatures w14:val="standardContextual"/>
        </w:rPr>
        <w:t>Wayúu</w:t>
      </w:r>
      <w:proofErr w:type="spellEnd"/>
      <w:r w:rsidRPr="00B00C9E">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B00C9E">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B00C9E">
        <w:rPr>
          <w:rFonts w:ascii="Verdana" w:eastAsia="Calibri" w:hAnsi="Verdana" w:cs="Arial"/>
          <w:kern w:val="2"/>
          <w:u w:val="single"/>
          <w:shd w:val="clear" w:color="auto" w:fill="FFFFFF"/>
          <w:lang w:val="es-ES"/>
          <w14:ligatures w14:val="standardContextual"/>
        </w:rPr>
        <w:t>.</w:t>
      </w:r>
    </w:p>
    <w:p w14:paraId="54A0D4DC" w14:textId="77777777" w:rsidR="00B00C9E" w:rsidRPr="00B00C9E" w:rsidRDefault="00B00C9E" w:rsidP="00B00C9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912E87E" w14:textId="77777777" w:rsidR="00B00C9E" w:rsidRPr="00B00C9E" w:rsidRDefault="00B00C9E" w:rsidP="00B00C9E">
      <w:pPr>
        <w:spacing w:after="0" w:line="276" w:lineRule="auto"/>
        <w:jc w:val="both"/>
        <w:rPr>
          <w:rFonts w:ascii="Verdana" w:eastAsia="Calibri" w:hAnsi="Verdana" w:cs="Times New Roman"/>
          <w:kern w:val="2"/>
          <w:lang w:val="es-ES_tradnl"/>
          <w14:ligatures w14:val="standardContextual"/>
        </w:rPr>
      </w:pPr>
      <w:r w:rsidRPr="00B00C9E">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256E0B2F" w14:textId="77777777" w:rsidR="00B00C9E" w:rsidRPr="00B00C9E" w:rsidRDefault="00B00C9E" w:rsidP="00B00C9E">
      <w:pPr>
        <w:spacing w:after="0" w:line="240" w:lineRule="auto"/>
        <w:jc w:val="both"/>
        <w:rPr>
          <w:rFonts w:ascii="Verdana" w:eastAsia="Calibri" w:hAnsi="Verdana" w:cs="Times New Roman"/>
          <w:kern w:val="2"/>
          <w:lang w:val="es-ES_tradnl"/>
          <w14:ligatures w14:val="standardContextual"/>
        </w:rPr>
      </w:pPr>
    </w:p>
    <w:p w14:paraId="09AFC2A6" w14:textId="77777777" w:rsidR="00B00C9E" w:rsidRPr="00B00C9E" w:rsidRDefault="00B00C9E" w:rsidP="00B00C9E">
      <w:pPr>
        <w:spacing w:after="0" w:line="240" w:lineRule="auto"/>
        <w:jc w:val="both"/>
        <w:rPr>
          <w:rFonts w:ascii="Verdana" w:eastAsia="Calibri" w:hAnsi="Verdana" w:cs="Times New Roman"/>
          <w:kern w:val="2"/>
          <w:lang w:val="es-ES_tradnl"/>
          <w14:ligatures w14:val="standardContextual"/>
        </w:rPr>
      </w:pPr>
      <w:r w:rsidRPr="00B00C9E">
        <w:rPr>
          <w:rFonts w:ascii="Verdana" w:eastAsia="Calibri" w:hAnsi="Verdana" w:cs="Times New Roman"/>
          <w:kern w:val="2"/>
          <w:lang w:val="es-ES_tradnl"/>
          <w14:ligatures w14:val="standardContextual"/>
        </w:rPr>
        <w:t xml:space="preserve">Twitter: </w:t>
      </w:r>
      <w:r w:rsidRPr="00B00C9E">
        <w:rPr>
          <w:rFonts w:ascii="Verdana" w:eastAsia="Calibri" w:hAnsi="Verdana" w:cs="Times New Roman"/>
          <w:kern w:val="2"/>
          <w:u w:val="single"/>
          <w:lang w:val="es-ES_tradnl"/>
          <w14:ligatures w14:val="standardContextual"/>
        </w:rPr>
        <w:t>@colombiacompra</w:t>
      </w:r>
      <w:r w:rsidRPr="00B00C9E">
        <w:rPr>
          <w:rFonts w:ascii="Verdana" w:eastAsia="Calibri" w:hAnsi="Verdana" w:cs="Times New Roman"/>
          <w:kern w:val="2"/>
          <w:lang w:val="es-ES_tradnl"/>
          <w14:ligatures w14:val="standardContextual"/>
        </w:rPr>
        <w:t xml:space="preserve"> </w:t>
      </w:r>
    </w:p>
    <w:p w14:paraId="36CB131A" w14:textId="77777777" w:rsidR="00B00C9E" w:rsidRPr="00B00C9E" w:rsidRDefault="00B00C9E" w:rsidP="00B00C9E">
      <w:pPr>
        <w:spacing w:after="0" w:line="240" w:lineRule="auto"/>
        <w:jc w:val="both"/>
        <w:rPr>
          <w:rFonts w:ascii="Verdana" w:eastAsia="Calibri" w:hAnsi="Verdana" w:cs="Times New Roman"/>
          <w:kern w:val="2"/>
          <w:lang w:val="es-ES"/>
          <w14:ligatures w14:val="standardContextual"/>
        </w:rPr>
      </w:pPr>
      <w:r w:rsidRPr="00B00C9E">
        <w:rPr>
          <w:rFonts w:ascii="Verdana" w:eastAsia="Calibri" w:hAnsi="Verdana" w:cs="Times New Roman"/>
          <w:kern w:val="2"/>
          <w:lang w:val="es-ES"/>
          <w14:ligatures w14:val="standardContextual"/>
        </w:rPr>
        <w:t xml:space="preserve">Facebook: </w:t>
      </w:r>
      <w:proofErr w:type="spellStart"/>
      <w:r w:rsidRPr="00B00C9E">
        <w:rPr>
          <w:rFonts w:ascii="Verdana" w:eastAsia="Calibri" w:hAnsi="Verdana" w:cs="Times New Roman"/>
          <w:kern w:val="2"/>
          <w:u w:val="single"/>
          <w:lang w:val="es-ES"/>
          <w14:ligatures w14:val="standardContextual"/>
        </w:rPr>
        <w:t>ColombiaCompraEficiente</w:t>
      </w:r>
      <w:proofErr w:type="spellEnd"/>
    </w:p>
    <w:p w14:paraId="27A89A26" w14:textId="77777777" w:rsidR="00B00C9E" w:rsidRPr="00B00C9E" w:rsidRDefault="00B00C9E" w:rsidP="00B00C9E">
      <w:pPr>
        <w:spacing w:after="0" w:line="240" w:lineRule="auto"/>
        <w:jc w:val="both"/>
        <w:rPr>
          <w:rFonts w:ascii="Verdana" w:eastAsia="Calibri" w:hAnsi="Verdana" w:cs="Times New Roman"/>
          <w:kern w:val="2"/>
          <w:lang w:val="es-ES_tradnl"/>
          <w14:ligatures w14:val="standardContextual"/>
        </w:rPr>
      </w:pPr>
      <w:r w:rsidRPr="00B00C9E">
        <w:rPr>
          <w:rFonts w:ascii="Verdana" w:eastAsia="Calibri" w:hAnsi="Verdana" w:cs="Times New Roman"/>
          <w:kern w:val="2"/>
          <w:lang w:val="es-ES_tradnl"/>
          <w14:ligatures w14:val="standardContextual"/>
        </w:rPr>
        <w:t xml:space="preserve">LinkedIn: </w:t>
      </w:r>
      <w:r w:rsidRPr="00B00C9E">
        <w:rPr>
          <w:rFonts w:ascii="Verdana" w:eastAsia="Calibri" w:hAnsi="Verdana" w:cs="Times New Roman"/>
          <w:kern w:val="2"/>
          <w:u w:val="single"/>
          <w:lang w:val="es-ES_tradnl"/>
          <w14:ligatures w14:val="standardContextual"/>
        </w:rPr>
        <w:t>Agencia Nacional de Contratación Pública - Colombia Compra Eficiente</w:t>
      </w:r>
      <w:r w:rsidRPr="00B00C9E">
        <w:rPr>
          <w:rFonts w:ascii="Verdana" w:eastAsia="Calibri" w:hAnsi="Verdana" w:cs="Times New Roman"/>
          <w:kern w:val="2"/>
          <w:lang w:val="es-ES_tradnl"/>
          <w14:ligatures w14:val="standardContextual"/>
        </w:rPr>
        <w:t xml:space="preserve"> Instagram: </w:t>
      </w:r>
      <w:r w:rsidRPr="00B00C9E">
        <w:rPr>
          <w:rFonts w:ascii="Verdana" w:eastAsia="Calibri" w:hAnsi="Verdana" w:cs="Times New Roman"/>
          <w:kern w:val="2"/>
          <w:u w:val="single"/>
          <w:lang w:val="es-ES_tradnl"/>
          <w14:ligatures w14:val="standardContextual"/>
        </w:rPr>
        <w:t>@colombiacompraeficiente_cce</w:t>
      </w:r>
    </w:p>
    <w:p w14:paraId="0A2E6525" w14:textId="77777777" w:rsidR="00B00C9E" w:rsidRPr="00B00C9E" w:rsidRDefault="00B00C9E" w:rsidP="00B00C9E">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30EAFEE7" w14:textId="77777777" w:rsidR="00B00C9E" w:rsidRPr="00B00C9E" w:rsidRDefault="00B00C9E" w:rsidP="00B00C9E">
      <w:pPr>
        <w:widowControl w:val="0"/>
        <w:autoSpaceDE w:val="0"/>
        <w:autoSpaceDN w:val="0"/>
        <w:spacing w:after="0" w:line="276" w:lineRule="auto"/>
        <w:jc w:val="both"/>
        <w:rPr>
          <w:rFonts w:ascii="Verdana" w:eastAsia="Calibri" w:hAnsi="Verdana" w:cs="Arial"/>
          <w:kern w:val="2"/>
          <w:lang w:val="es-ES_tradnl"/>
          <w14:ligatures w14:val="standardContextual"/>
        </w:rPr>
      </w:pPr>
      <w:r w:rsidRPr="00B00C9E">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41C22E" w14:textId="77777777" w:rsidR="00B00C9E" w:rsidRPr="00B00C9E" w:rsidRDefault="00B00C9E" w:rsidP="00B00C9E">
      <w:pPr>
        <w:widowControl w:val="0"/>
        <w:autoSpaceDE w:val="0"/>
        <w:autoSpaceDN w:val="0"/>
        <w:spacing w:after="0" w:line="276" w:lineRule="auto"/>
        <w:jc w:val="both"/>
        <w:rPr>
          <w:rFonts w:ascii="Verdana" w:eastAsia="Calibri" w:hAnsi="Verdana" w:cs="Arial"/>
        </w:rPr>
      </w:pPr>
    </w:p>
    <w:p w14:paraId="6FC32584" w14:textId="77777777" w:rsidR="00B00C9E" w:rsidRPr="00B00C9E" w:rsidRDefault="00B00C9E" w:rsidP="00B00C9E">
      <w:pPr>
        <w:spacing w:after="0" w:line="240" w:lineRule="auto"/>
        <w:rPr>
          <w:rFonts w:ascii="Verdana" w:eastAsia="Calibri" w:hAnsi="Verdana" w:cs="Arial"/>
          <w:lang w:eastAsia="es-CO"/>
        </w:rPr>
      </w:pPr>
      <w:r w:rsidRPr="00B00C9E">
        <w:rPr>
          <w:rFonts w:ascii="Verdana" w:eastAsia="Times New Roman" w:hAnsi="Verdana" w:cs="Arial"/>
          <w:lang w:eastAsia="es-CO"/>
        </w:rPr>
        <w:t>Atentamente,</w:t>
      </w:r>
      <w:r w:rsidRPr="00B00C9E">
        <w:rPr>
          <w:rFonts w:ascii="Verdana" w:eastAsia="Calibri" w:hAnsi="Verdana" w:cs="Arial"/>
          <w:lang w:eastAsia="es-CO"/>
        </w:rPr>
        <w:t xml:space="preserve"> </w:t>
      </w:r>
    </w:p>
    <w:p w14:paraId="2C832BBF" w14:textId="67623159" w:rsidR="00B00C9E" w:rsidRPr="00B00C9E" w:rsidRDefault="00B27700" w:rsidP="00B00C9E">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3D0C0783" wp14:editId="118900D0">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00C9E" w:rsidRPr="00B00C9E" w14:paraId="13A02B66" w14:textId="77777777" w:rsidTr="008C0948">
        <w:trPr>
          <w:trHeight w:val="315"/>
        </w:trPr>
        <w:tc>
          <w:tcPr>
            <w:tcW w:w="893" w:type="dxa"/>
            <w:vAlign w:val="center"/>
            <w:hideMark/>
          </w:tcPr>
          <w:p w14:paraId="3F31FC5A" w14:textId="77777777" w:rsidR="00B00C9E" w:rsidRPr="00B00C9E" w:rsidRDefault="00B00C9E" w:rsidP="00B00C9E">
            <w:pPr>
              <w:rPr>
                <w:rFonts w:ascii="Verdana" w:eastAsia="Calibri" w:hAnsi="Verdana" w:cs="Arial"/>
                <w:sz w:val="16"/>
                <w:szCs w:val="16"/>
                <w:lang w:val="es-ES" w:eastAsia="es-ES"/>
              </w:rPr>
            </w:pPr>
            <w:r w:rsidRPr="00B00C9E">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BAAEAD9" w14:textId="77777777" w:rsidR="00B00C9E" w:rsidRPr="00B00C9E" w:rsidRDefault="00B00C9E" w:rsidP="00B00C9E">
            <w:pPr>
              <w:rPr>
                <w:rFonts w:ascii="Verdana" w:eastAsia="Arial" w:hAnsi="Verdana" w:cs="Arial"/>
                <w:sz w:val="16"/>
                <w:szCs w:val="16"/>
              </w:rPr>
            </w:pPr>
            <w:r w:rsidRPr="00B00C9E">
              <w:rPr>
                <w:rFonts w:ascii="Verdana" w:eastAsia="Arial" w:hAnsi="Verdana" w:cs="Arial"/>
                <w:sz w:val="16"/>
                <w:szCs w:val="16"/>
              </w:rPr>
              <w:t>Kevin Arlid Herrera Santa</w:t>
            </w:r>
          </w:p>
          <w:p w14:paraId="67008516" w14:textId="77777777" w:rsidR="00B00C9E" w:rsidRPr="00B00C9E" w:rsidRDefault="00B00C9E" w:rsidP="00B00C9E">
            <w:pPr>
              <w:rPr>
                <w:rFonts w:ascii="Verdana" w:eastAsia="Arial" w:hAnsi="Verdana" w:cs="Arial"/>
                <w:sz w:val="16"/>
                <w:szCs w:val="16"/>
              </w:rPr>
            </w:pPr>
            <w:r w:rsidRPr="00B00C9E">
              <w:rPr>
                <w:rFonts w:ascii="Verdana" w:eastAsia="Arial" w:hAnsi="Verdana" w:cs="Arial"/>
                <w:sz w:val="16"/>
                <w:szCs w:val="16"/>
              </w:rPr>
              <w:t>Contratista de la Subdirección de Gestión Contractual</w:t>
            </w:r>
          </w:p>
          <w:p w14:paraId="19FE7962" w14:textId="77777777" w:rsidR="00B00C9E" w:rsidRPr="00B00C9E" w:rsidRDefault="00B00C9E" w:rsidP="00B00C9E">
            <w:pPr>
              <w:rPr>
                <w:rFonts w:ascii="Verdana" w:eastAsia="Arial" w:hAnsi="Verdana" w:cs="Arial"/>
                <w:sz w:val="16"/>
                <w:szCs w:val="16"/>
              </w:rPr>
            </w:pPr>
            <w:r w:rsidRPr="00B00C9E">
              <w:rPr>
                <w:rFonts w:ascii="Verdana" w:eastAsia="Arial" w:hAnsi="Verdana" w:cs="Arial"/>
                <w:sz w:val="16"/>
                <w:szCs w:val="16"/>
              </w:rPr>
              <w:t xml:space="preserve">Lida Milena </w:t>
            </w:r>
            <w:proofErr w:type="spellStart"/>
            <w:r w:rsidRPr="00B00C9E">
              <w:rPr>
                <w:rFonts w:ascii="Verdana" w:eastAsia="Arial" w:hAnsi="Verdana" w:cs="Arial"/>
                <w:sz w:val="16"/>
                <w:szCs w:val="16"/>
              </w:rPr>
              <w:t>Guanumen</w:t>
            </w:r>
            <w:proofErr w:type="spellEnd"/>
            <w:r w:rsidRPr="00B00C9E">
              <w:rPr>
                <w:rFonts w:ascii="Verdana" w:eastAsia="Arial" w:hAnsi="Verdana" w:cs="Arial"/>
                <w:sz w:val="16"/>
                <w:szCs w:val="16"/>
              </w:rPr>
              <w:t xml:space="preserve"> Pacheco</w:t>
            </w:r>
          </w:p>
          <w:p w14:paraId="528356A7" w14:textId="77777777" w:rsidR="00B00C9E" w:rsidRPr="00B00C9E" w:rsidRDefault="00B00C9E" w:rsidP="00B00C9E">
            <w:pPr>
              <w:rPr>
                <w:rFonts w:ascii="Verdana" w:eastAsia="Arial" w:hAnsi="Verdana" w:cs="Arial"/>
                <w:sz w:val="16"/>
                <w:szCs w:val="16"/>
              </w:rPr>
            </w:pPr>
            <w:r w:rsidRPr="00B00C9E">
              <w:rPr>
                <w:rFonts w:ascii="Verdana" w:eastAsia="Arial" w:hAnsi="Verdana" w:cs="Arial"/>
                <w:sz w:val="16"/>
                <w:szCs w:val="16"/>
              </w:rPr>
              <w:lastRenderedPageBreak/>
              <w:t>Contratista de la Subdirección de Gestión Contractual</w:t>
            </w:r>
          </w:p>
        </w:tc>
      </w:tr>
      <w:tr w:rsidR="00B00C9E" w:rsidRPr="00B00C9E" w14:paraId="47A44F4D" w14:textId="77777777" w:rsidTr="008C0948">
        <w:trPr>
          <w:trHeight w:val="330"/>
        </w:trPr>
        <w:tc>
          <w:tcPr>
            <w:tcW w:w="893" w:type="dxa"/>
            <w:vAlign w:val="center"/>
            <w:hideMark/>
          </w:tcPr>
          <w:p w14:paraId="02AD9CA9" w14:textId="77777777" w:rsidR="00B00C9E" w:rsidRPr="00B00C9E" w:rsidRDefault="00B00C9E" w:rsidP="00B00C9E">
            <w:pPr>
              <w:rPr>
                <w:rFonts w:ascii="Verdana" w:eastAsia="Calibri" w:hAnsi="Verdana" w:cs="Arial"/>
                <w:sz w:val="16"/>
                <w:szCs w:val="16"/>
                <w:lang w:val="es-ES" w:eastAsia="es-ES"/>
              </w:rPr>
            </w:pPr>
            <w:r w:rsidRPr="00B00C9E">
              <w:rPr>
                <w:rFonts w:ascii="Verdana" w:eastAsia="Calibri" w:hAnsi="Verdana" w:cs="Arial"/>
                <w:sz w:val="16"/>
                <w:szCs w:val="16"/>
                <w:lang w:val="es-ES"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595FA023" w14:textId="77777777" w:rsidR="00B00C9E" w:rsidRPr="00B00C9E" w:rsidRDefault="00B00C9E" w:rsidP="00B00C9E">
            <w:pPr>
              <w:textAlignment w:val="baseline"/>
              <w:rPr>
                <w:rFonts w:ascii="Verdana" w:eastAsia="Times New Roman" w:hAnsi="Verdana" w:cs="Segoe UI"/>
                <w:sz w:val="16"/>
                <w:szCs w:val="16"/>
                <w:lang w:eastAsia="es-ES_tradnl"/>
              </w:rPr>
            </w:pPr>
            <w:r w:rsidRPr="00B00C9E">
              <w:rPr>
                <w:rFonts w:ascii="Verdana" w:eastAsia="Times New Roman" w:hAnsi="Verdana" w:cs="Segoe UI"/>
                <w:sz w:val="16"/>
                <w:szCs w:val="16"/>
                <w:lang w:eastAsia="es-ES_tradnl"/>
              </w:rPr>
              <w:t>Juan David Cárdenas Cabeza</w:t>
            </w:r>
          </w:p>
          <w:p w14:paraId="448F4704" w14:textId="77777777" w:rsidR="00B00C9E" w:rsidRPr="00B00C9E" w:rsidRDefault="00B00C9E" w:rsidP="00B00C9E">
            <w:pPr>
              <w:textAlignment w:val="baseline"/>
              <w:rPr>
                <w:rFonts w:ascii="Verdana" w:eastAsia="Times New Roman" w:hAnsi="Verdana" w:cs="Segoe UI"/>
                <w:sz w:val="16"/>
                <w:szCs w:val="16"/>
                <w:lang w:eastAsia="es-ES_tradnl"/>
              </w:rPr>
            </w:pPr>
            <w:r w:rsidRPr="00B00C9E">
              <w:rPr>
                <w:rFonts w:ascii="Verdana" w:eastAsia="Times New Roman" w:hAnsi="Verdana" w:cs="Arial"/>
                <w:sz w:val="16"/>
                <w:szCs w:val="16"/>
                <w:lang w:val="es-ES" w:eastAsia="es-ES_tradnl"/>
              </w:rPr>
              <w:t>Contratista de la Subdirección de Gestión Contractual</w:t>
            </w:r>
            <w:r w:rsidRPr="00B00C9E">
              <w:rPr>
                <w:rFonts w:ascii="Verdana" w:eastAsia="Times New Roman" w:hAnsi="Verdana" w:cs="Arial"/>
                <w:sz w:val="16"/>
                <w:szCs w:val="16"/>
                <w:lang w:eastAsia="es-ES_tradnl"/>
              </w:rPr>
              <w:t> </w:t>
            </w:r>
          </w:p>
        </w:tc>
      </w:tr>
      <w:tr w:rsidR="00B00C9E" w:rsidRPr="00B00C9E" w14:paraId="09FA4FB2" w14:textId="77777777" w:rsidTr="008C0948">
        <w:trPr>
          <w:trHeight w:val="300"/>
        </w:trPr>
        <w:tc>
          <w:tcPr>
            <w:tcW w:w="893" w:type="dxa"/>
            <w:vAlign w:val="center"/>
          </w:tcPr>
          <w:p w14:paraId="05831791" w14:textId="77777777" w:rsidR="00B00C9E" w:rsidRPr="00B00C9E" w:rsidRDefault="00B00C9E" w:rsidP="00B00C9E">
            <w:pPr>
              <w:rPr>
                <w:rFonts w:ascii="Verdana" w:eastAsia="Calibri" w:hAnsi="Verdana" w:cs="Arial"/>
                <w:sz w:val="16"/>
                <w:szCs w:val="16"/>
                <w:lang w:val="es-ES" w:eastAsia="es-ES"/>
              </w:rPr>
            </w:pPr>
            <w:r w:rsidRPr="00B00C9E">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12BB9F2" w14:textId="77777777" w:rsidR="00B00C9E" w:rsidRPr="00B00C9E" w:rsidRDefault="00B00C9E" w:rsidP="00B00C9E">
            <w:pPr>
              <w:rPr>
                <w:rFonts w:ascii="Verdana" w:eastAsia="Calibri" w:hAnsi="Verdana" w:cs="Arial"/>
                <w:sz w:val="16"/>
                <w:szCs w:val="16"/>
                <w:lang w:val="pt-BR" w:eastAsia="es-ES"/>
              </w:rPr>
            </w:pPr>
            <w:r w:rsidRPr="00B00C9E">
              <w:rPr>
                <w:rFonts w:ascii="Verdana" w:eastAsia="Calibri" w:hAnsi="Verdana" w:cs="Arial"/>
                <w:sz w:val="16"/>
                <w:szCs w:val="16"/>
                <w:lang w:val="pt-BR" w:eastAsia="es-ES"/>
              </w:rPr>
              <w:t xml:space="preserve">Carolina Quintero </w:t>
            </w:r>
            <w:proofErr w:type="spellStart"/>
            <w:r w:rsidRPr="00B00C9E">
              <w:rPr>
                <w:rFonts w:ascii="Verdana" w:eastAsia="Calibri" w:hAnsi="Verdana" w:cs="Arial"/>
                <w:sz w:val="16"/>
                <w:szCs w:val="16"/>
                <w:lang w:val="pt-BR" w:eastAsia="es-ES"/>
              </w:rPr>
              <w:t>Gacharná</w:t>
            </w:r>
            <w:proofErr w:type="spellEnd"/>
          </w:p>
          <w:p w14:paraId="55892918" w14:textId="77777777" w:rsidR="00B00C9E" w:rsidRPr="00B00C9E" w:rsidRDefault="00B00C9E" w:rsidP="00B00C9E">
            <w:pPr>
              <w:rPr>
                <w:rFonts w:ascii="Verdana" w:eastAsia="Calibri" w:hAnsi="Verdana" w:cs="Arial"/>
                <w:sz w:val="16"/>
                <w:szCs w:val="16"/>
                <w:lang w:val="pt-BR" w:eastAsia="es-ES"/>
              </w:rPr>
            </w:pPr>
            <w:r w:rsidRPr="00B00C9E">
              <w:rPr>
                <w:rFonts w:ascii="Verdana" w:eastAsia="Calibri" w:hAnsi="Verdana" w:cs="Arial"/>
                <w:sz w:val="16"/>
                <w:szCs w:val="16"/>
                <w:lang w:eastAsia="es-ES"/>
              </w:rPr>
              <w:t>Subdirectora</w:t>
            </w:r>
            <w:r w:rsidRPr="00B00C9E">
              <w:rPr>
                <w:rFonts w:ascii="Verdana" w:eastAsia="Calibri" w:hAnsi="Verdana" w:cs="Arial"/>
                <w:sz w:val="16"/>
                <w:szCs w:val="16"/>
                <w:lang w:val="pt-BR" w:eastAsia="es-ES"/>
              </w:rPr>
              <w:t xml:space="preserve"> de Gestión </w:t>
            </w:r>
            <w:proofErr w:type="spellStart"/>
            <w:r w:rsidRPr="00B00C9E">
              <w:rPr>
                <w:rFonts w:ascii="Verdana" w:eastAsia="Calibri" w:hAnsi="Verdana" w:cs="Arial"/>
                <w:sz w:val="16"/>
                <w:szCs w:val="16"/>
                <w:lang w:val="pt-BR" w:eastAsia="es-ES"/>
              </w:rPr>
              <w:t>Contractual</w:t>
            </w:r>
            <w:proofErr w:type="spellEnd"/>
            <w:r w:rsidRPr="00B00C9E">
              <w:rPr>
                <w:rFonts w:ascii="Verdana" w:eastAsia="Calibri" w:hAnsi="Verdana" w:cs="Arial"/>
                <w:sz w:val="16"/>
                <w:szCs w:val="16"/>
                <w:lang w:val="pt-BR" w:eastAsia="es-ES"/>
              </w:rPr>
              <w:t xml:space="preserve"> ANCP – CCE</w:t>
            </w:r>
          </w:p>
        </w:tc>
      </w:tr>
    </w:tbl>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422D6" w14:textId="77777777" w:rsidR="00ED7384" w:rsidRDefault="00ED7384" w:rsidP="004A1847">
      <w:pPr>
        <w:spacing w:after="0" w:line="240" w:lineRule="auto"/>
      </w:pPr>
      <w:r>
        <w:separator/>
      </w:r>
    </w:p>
  </w:endnote>
  <w:endnote w:type="continuationSeparator" w:id="0">
    <w:p w14:paraId="3EB21CD3"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4EB73" w14:textId="77777777" w:rsidR="00ED7384" w:rsidRDefault="00ED7384" w:rsidP="004A1847">
      <w:pPr>
        <w:spacing w:after="0" w:line="240" w:lineRule="auto"/>
      </w:pPr>
      <w:r>
        <w:separator/>
      </w:r>
    </w:p>
  </w:footnote>
  <w:footnote w:type="continuationSeparator" w:id="0">
    <w:p w14:paraId="32FADA13" w14:textId="77777777" w:rsidR="00ED7384" w:rsidRDefault="00ED7384" w:rsidP="004A1847">
      <w:pPr>
        <w:spacing w:after="0" w:line="240" w:lineRule="auto"/>
      </w:pPr>
      <w:r>
        <w:continuationSeparator/>
      </w:r>
    </w:p>
  </w:footnote>
  <w:footnote w:id="1">
    <w:p w14:paraId="6857FDB2" w14:textId="77777777" w:rsidR="00B00C9E" w:rsidRPr="00590BB7" w:rsidRDefault="00B00C9E" w:rsidP="00B00C9E">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B67E15"/>
    <w:multiLevelType w:val="hybridMultilevel"/>
    <w:tmpl w:val="66C619D4"/>
    <w:lvl w:ilvl="0" w:tplc="FFFFFFFF">
      <w:start w:val="1"/>
      <w:numFmt w:val="decimal"/>
      <w:lvlText w:val="%1."/>
      <w:lvlJc w:val="left"/>
      <w:pPr>
        <w:ind w:left="3192" w:hanging="360"/>
      </w:pPr>
      <w:rPr>
        <w:rFonts w:hint="default"/>
      </w:rPr>
    </w:lvl>
    <w:lvl w:ilvl="1" w:tplc="FFFFFFFF" w:tentative="1">
      <w:start w:val="1"/>
      <w:numFmt w:val="lowerLetter"/>
      <w:lvlText w:val="%2."/>
      <w:lvlJc w:val="left"/>
      <w:pPr>
        <w:ind w:left="3912" w:hanging="360"/>
      </w:pPr>
    </w:lvl>
    <w:lvl w:ilvl="2" w:tplc="FFFFFFFF" w:tentative="1">
      <w:start w:val="1"/>
      <w:numFmt w:val="lowerRoman"/>
      <w:lvlText w:val="%3."/>
      <w:lvlJc w:val="right"/>
      <w:pPr>
        <w:ind w:left="4632" w:hanging="180"/>
      </w:pPr>
    </w:lvl>
    <w:lvl w:ilvl="3" w:tplc="FFFFFFFF" w:tentative="1">
      <w:start w:val="1"/>
      <w:numFmt w:val="decimal"/>
      <w:lvlText w:val="%4."/>
      <w:lvlJc w:val="left"/>
      <w:pPr>
        <w:ind w:left="5352" w:hanging="360"/>
      </w:pPr>
    </w:lvl>
    <w:lvl w:ilvl="4" w:tplc="FFFFFFFF" w:tentative="1">
      <w:start w:val="1"/>
      <w:numFmt w:val="lowerLetter"/>
      <w:lvlText w:val="%5."/>
      <w:lvlJc w:val="left"/>
      <w:pPr>
        <w:ind w:left="6072" w:hanging="360"/>
      </w:pPr>
    </w:lvl>
    <w:lvl w:ilvl="5" w:tplc="FFFFFFFF" w:tentative="1">
      <w:start w:val="1"/>
      <w:numFmt w:val="lowerRoman"/>
      <w:lvlText w:val="%6."/>
      <w:lvlJc w:val="right"/>
      <w:pPr>
        <w:ind w:left="6792" w:hanging="180"/>
      </w:pPr>
    </w:lvl>
    <w:lvl w:ilvl="6" w:tplc="FFFFFFFF" w:tentative="1">
      <w:start w:val="1"/>
      <w:numFmt w:val="decimal"/>
      <w:lvlText w:val="%7."/>
      <w:lvlJc w:val="left"/>
      <w:pPr>
        <w:ind w:left="7512" w:hanging="360"/>
      </w:pPr>
    </w:lvl>
    <w:lvl w:ilvl="7" w:tplc="FFFFFFFF" w:tentative="1">
      <w:start w:val="1"/>
      <w:numFmt w:val="lowerLetter"/>
      <w:lvlText w:val="%8."/>
      <w:lvlJc w:val="left"/>
      <w:pPr>
        <w:ind w:left="8232" w:hanging="360"/>
      </w:pPr>
    </w:lvl>
    <w:lvl w:ilvl="8" w:tplc="FFFFFFFF" w:tentative="1">
      <w:start w:val="1"/>
      <w:numFmt w:val="lowerRoman"/>
      <w:lvlText w:val="%9."/>
      <w:lvlJc w:val="right"/>
      <w:pPr>
        <w:ind w:left="8952"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746193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C5D2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1217"/>
    <w:rsid w:val="003D5B0D"/>
    <w:rsid w:val="003E0499"/>
    <w:rsid w:val="003F3941"/>
    <w:rsid w:val="00406575"/>
    <w:rsid w:val="00414C74"/>
    <w:rsid w:val="0042722E"/>
    <w:rsid w:val="0044528D"/>
    <w:rsid w:val="004A1847"/>
    <w:rsid w:val="004A305D"/>
    <w:rsid w:val="004F21C4"/>
    <w:rsid w:val="004F685F"/>
    <w:rsid w:val="00532176"/>
    <w:rsid w:val="005566E8"/>
    <w:rsid w:val="00574867"/>
    <w:rsid w:val="00591460"/>
    <w:rsid w:val="005B3816"/>
    <w:rsid w:val="005C3777"/>
    <w:rsid w:val="005C5CDC"/>
    <w:rsid w:val="005D476C"/>
    <w:rsid w:val="006219F8"/>
    <w:rsid w:val="006635E3"/>
    <w:rsid w:val="00665D70"/>
    <w:rsid w:val="006900D9"/>
    <w:rsid w:val="006C7BAF"/>
    <w:rsid w:val="006D74AC"/>
    <w:rsid w:val="00706C16"/>
    <w:rsid w:val="00756841"/>
    <w:rsid w:val="00763CE6"/>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0C9E"/>
    <w:rsid w:val="00B01B1A"/>
    <w:rsid w:val="00B27700"/>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A71E1"/>
    <w:rsid w:val="00DC39FC"/>
    <w:rsid w:val="00DF5254"/>
    <w:rsid w:val="00E16408"/>
    <w:rsid w:val="00E20894"/>
    <w:rsid w:val="00E245AB"/>
    <w:rsid w:val="00E2764C"/>
    <w:rsid w:val="00E27F2E"/>
    <w:rsid w:val="00E50AFE"/>
    <w:rsid w:val="00E55B78"/>
    <w:rsid w:val="00E5774B"/>
    <w:rsid w:val="00E75C92"/>
    <w:rsid w:val="00E771DC"/>
    <w:rsid w:val="00E8772A"/>
    <w:rsid w:val="00E90F6B"/>
    <w:rsid w:val="00E92C27"/>
    <w:rsid w:val="00EA0E3D"/>
    <w:rsid w:val="00EC38A7"/>
    <w:rsid w:val="00ED7384"/>
    <w:rsid w:val="00EE1AA8"/>
    <w:rsid w:val="00F0729C"/>
    <w:rsid w:val="00F07EC8"/>
    <w:rsid w:val="00F31EDC"/>
    <w:rsid w:val="00F462B3"/>
    <w:rsid w:val="00F5664F"/>
    <w:rsid w:val="00F666C4"/>
    <w:rsid w:val="00F76AFC"/>
    <w:rsid w:val="00FA47C0"/>
    <w:rsid w:val="00FB5DD1"/>
    <w:rsid w:val="00FC2B5D"/>
    <w:rsid w:val="00FF1449"/>
    <w:rsid w:val="00FF534A"/>
    <w:rsid w:val="165E9519"/>
    <w:rsid w:val="382536D9"/>
    <w:rsid w:val="55141474"/>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00C9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E175BA5-A62B-45C8-BA2D-A0FFF29A755D}"/>
</file>

<file path=customXml/itemProps3.xml><?xml version="1.0" encoding="utf-8"?>
<ds:datastoreItem xmlns:ds="http://schemas.openxmlformats.org/officeDocument/2006/customXml" ds:itemID="{163618BE-28CB-4D69-955E-CDA788483BED}">
  <ds:schemaRefs>
    <ds:schemaRef ds:uri="592fe157-d5c2-474d-aeb4-2e8e8fcba8d3"/>
    <ds:schemaRef ds:uri="http://schemas.microsoft.com/office/2006/metadata/properties"/>
    <ds:schemaRef ds:uri="http://purl.org/dc/dcmitype/"/>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8ae15d26-076e-464e-81a7-6f76a0fb3917"/>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3176</Words>
  <Characters>17470</Characters>
  <Application>Microsoft Office Word</Application>
  <DocSecurity>0</DocSecurity>
  <Lines>145</Lines>
  <Paragraphs>41</Paragraphs>
  <ScaleCrop>false</ScaleCrop>
  <Company/>
  <LinksUpToDate>false</LinksUpToDate>
  <CharactersWithSpaces>20605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2025-07-21T21:22:00Z</dcterms:created>
  <dcterms:modified xsi:type="dcterms:W3CDTF">2025-07-21T21:25:00Z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