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6B06" w14:textId="23C99B99" w:rsidR="001F0265" w:rsidRPr="001F0265" w:rsidRDefault="001F0265" w:rsidP="001F0265">
      <w:pPr>
        <w:spacing w:after="0" w:line="276" w:lineRule="auto"/>
        <w:jc w:val="both"/>
        <w:rPr>
          <w:rFonts w:ascii="Verdana" w:eastAsia="Calibri" w:hAnsi="Verdana" w:cs="Arial"/>
          <w:b/>
          <w:bCs/>
          <w:color w:val="000000" w:themeColor="text1"/>
          <w:sz w:val="21"/>
          <w:szCs w:val="21"/>
          <w:lang w:val="es-ES" w:eastAsia="es-ES"/>
        </w:rPr>
      </w:pPr>
      <w:bookmarkStart w:id="0" w:name="_Hlk143780582"/>
      <w:r w:rsidRPr="00E84233">
        <w:rPr>
          <w:rFonts w:ascii="Verdana" w:eastAsia="Calibri" w:hAnsi="Verdana" w:cs="Arial"/>
          <w:b/>
          <w:bCs/>
          <w:color w:val="000000" w:themeColor="text1"/>
          <w:lang w:val="es-ES" w:eastAsia="es-ES"/>
        </w:rPr>
        <w:t>Principio de Publicidad – Garantía – SECOP</w:t>
      </w:r>
      <w:r w:rsidRPr="001F0265">
        <w:rPr>
          <w:rFonts w:ascii="Verdana" w:eastAsia="Calibri" w:hAnsi="Verdana" w:cs="Arial"/>
          <w:b/>
          <w:bCs/>
          <w:color w:val="000000" w:themeColor="text1"/>
          <w:sz w:val="21"/>
          <w:szCs w:val="21"/>
          <w:lang w:val="es-ES" w:eastAsia="es-ES"/>
        </w:rPr>
        <w:t xml:space="preserve"> - </w:t>
      </w:r>
    </w:p>
    <w:p w14:paraId="56FBF601" w14:textId="50028B29" w:rsidR="001F0265" w:rsidRPr="001F0265" w:rsidRDefault="001F0265" w:rsidP="00310220">
      <w:pPr>
        <w:spacing w:after="0" w:line="240" w:lineRule="auto"/>
        <w:rPr>
          <w:rFonts w:ascii="Verdana" w:hAnsi="Verdana" w:cs="Arial"/>
          <w:color w:val="000000" w:themeColor="text1"/>
          <w:sz w:val="21"/>
          <w:szCs w:val="21"/>
          <w:shd w:val="clear" w:color="auto" w:fill="FFFFFF"/>
          <w:lang w:val="es-ES"/>
        </w:rPr>
      </w:pPr>
    </w:p>
    <w:p w14:paraId="6B8421FF" w14:textId="77777777" w:rsidR="001F0265" w:rsidRPr="001F0265" w:rsidRDefault="001F0265" w:rsidP="001F0265">
      <w:pPr>
        <w:spacing w:after="120" w:line="240" w:lineRule="auto"/>
        <w:jc w:val="both"/>
        <w:rPr>
          <w:rFonts w:ascii="Verdana" w:eastAsia="Calibri" w:hAnsi="Verdana" w:cs="Arial"/>
          <w:sz w:val="21"/>
          <w:szCs w:val="21"/>
        </w:rPr>
      </w:pPr>
      <w:r w:rsidRPr="001F0265">
        <w:rPr>
          <w:rFonts w:ascii="Verdana" w:eastAsia="Calibri" w:hAnsi="Verdana" w:cs="Arial"/>
          <w:sz w:val="21"/>
          <w:szCs w:val="21"/>
        </w:rPr>
        <w:t>En efecto, el principio de publicidad impone a las autoridades administrativas el deber de dar a conocer sus actos, contratos y decisiones, para que se divulguen y eventualmente se controlen dichas actuaciones.</w:t>
      </w:r>
    </w:p>
    <w:p w14:paraId="47193004" w14:textId="590774CF" w:rsidR="001F0265" w:rsidRPr="001F0265" w:rsidRDefault="001F0265" w:rsidP="001F0265">
      <w:pPr>
        <w:spacing w:after="120" w:line="240" w:lineRule="auto"/>
        <w:jc w:val="both"/>
        <w:rPr>
          <w:rFonts w:ascii="Verdana" w:eastAsia="Calibri" w:hAnsi="Verdana" w:cs="Arial"/>
          <w:sz w:val="21"/>
          <w:szCs w:val="21"/>
        </w:rPr>
      </w:pPr>
      <w:r w:rsidRPr="001F0265">
        <w:rPr>
          <w:rFonts w:ascii="Verdana" w:eastAsia="Calibri" w:hAnsi="Verdana" w:cs="Arial"/>
          <w:sz w:val="21"/>
          <w:szCs w:val="21"/>
        </w:rPr>
        <w:t xml:space="preserve">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w:t>
      </w:r>
    </w:p>
    <w:p w14:paraId="29FD0A62" w14:textId="105647A6" w:rsidR="001F0265" w:rsidRPr="001F0265" w:rsidRDefault="001F0265" w:rsidP="001F0265">
      <w:pPr>
        <w:spacing w:after="0" w:line="240" w:lineRule="auto"/>
        <w:jc w:val="both"/>
        <w:rPr>
          <w:rFonts w:ascii="Verdana" w:eastAsia="Calibri" w:hAnsi="Verdana" w:cs="Arial"/>
          <w:sz w:val="21"/>
          <w:szCs w:val="21"/>
        </w:rPr>
      </w:pPr>
      <w:r w:rsidRPr="001F0265">
        <w:rPr>
          <w:rFonts w:ascii="Verdana" w:eastAsia="Calibri" w:hAnsi="Verdana" w:cs="Arial"/>
          <w:sz w:val="21"/>
          <w:szCs w:val="21"/>
        </w:rPr>
        <w:t>Adicionalmente, establece que todas las Entidades Públicas deben publicar la información relativa a su contratación. Por su parte, el literal g) del artículo 11 señala que las Entidades deben garantizar la publicidad de “sus procedimientos, lineamientos, políticas en materia de adquisiciones y compras, así como todos los datos de adjudicación y ejecución de contratos, incluidos concursos y licitaciones”.</w:t>
      </w:r>
    </w:p>
    <w:p w14:paraId="590A4551" w14:textId="77777777" w:rsidR="001F0265" w:rsidRPr="001F0265" w:rsidRDefault="001F0265" w:rsidP="001F0265">
      <w:pPr>
        <w:spacing w:after="0" w:line="240" w:lineRule="auto"/>
        <w:jc w:val="both"/>
        <w:rPr>
          <w:rFonts w:ascii="Verdana" w:eastAsia="Calibri" w:hAnsi="Verdana" w:cs="Arial"/>
          <w:sz w:val="21"/>
          <w:szCs w:val="21"/>
        </w:rPr>
      </w:pPr>
    </w:p>
    <w:p w14:paraId="4A25345A" w14:textId="77777777" w:rsidR="001F0265" w:rsidRPr="00E84233" w:rsidRDefault="001F0265" w:rsidP="001F0265">
      <w:pPr>
        <w:spacing w:after="0" w:line="276" w:lineRule="auto"/>
        <w:jc w:val="both"/>
        <w:rPr>
          <w:rFonts w:ascii="Verdana" w:eastAsia="Calibri" w:hAnsi="Verdana" w:cs="Arial"/>
          <w:b/>
          <w:bCs/>
          <w:color w:val="000000" w:themeColor="text1"/>
          <w:lang w:val="es-ES" w:eastAsia="es-ES"/>
        </w:rPr>
      </w:pPr>
      <w:r w:rsidRPr="00E84233">
        <w:rPr>
          <w:rFonts w:ascii="Verdana" w:eastAsia="Calibri" w:hAnsi="Verdana" w:cs="Arial"/>
          <w:b/>
          <w:bCs/>
          <w:color w:val="000000" w:themeColor="text1"/>
          <w:lang w:val="es-ES" w:eastAsia="es-ES"/>
        </w:rPr>
        <w:t>SECOP II – Plataforma transaccional</w:t>
      </w:r>
    </w:p>
    <w:p w14:paraId="6FB9028B" w14:textId="77777777" w:rsidR="001F0265" w:rsidRPr="001F0265" w:rsidRDefault="001F0265" w:rsidP="001F0265">
      <w:pPr>
        <w:spacing w:after="0" w:line="276" w:lineRule="auto"/>
        <w:jc w:val="both"/>
        <w:rPr>
          <w:rFonts w:ascii="Verdana" w:eastAsia="Calibri" w:hAnsi="Verdana" w:cs="Arial"/>
          <w:b/>
          <w:bCs/>
          <w:color w:val="000000" w:themeColor="text1"/>
          <w:sz w:val="21"/>
          <w:szCs w:val="21"/>
          <w:lang w:val="es-ES" w:eastAsia="es-ES"/>
        </w:rPr>
      </w:pPr>
    </w:p>
    <w:p w14:paraId="32D73356" w14:textId="77777777" w:rsidR="001F0265" w:rsidRPr="001F0265" w:rsidRDefault="001F0265" w:rsidP="001F0265">
      <w:pPr>
        <w:spacing w:after="120" w:line="240" w:lineRule="auto"/>
        <w:jc w:val="both"/>
        <w:rPr>
          <w:rFonts w:ascii="Verdana" w:eastAsia="Calibri" w:hAnsi="Verdana" w:cs="Arial"/>
          <w:sz w:val="21"/>
          <w:szCs w:val="21"/>
          <w:lang w:val="es-ES"/>
        </w:rPr>
      </w:pPr>
      <w:r w:rsidRPr="001F0265">
        <w:rPr>
          <w:rFonts w:ascii="Verdana" w:eastAsia="Calibri" w:hAnsi="Verdana" w:cs="Arial"/>
          <w:color w:val="000000" w:themeColor="text1"/>
          <w:sz w:val="21"/>
          <w:szCs w:val="21"/>
        </w:rPr>
        <w:t xml:space="preserve">El SECOP II es una plataforma transaccional, que permite gestionar en línea todos los procedimientos de contratación, </w:t>
      </w:r>
      <w:r w:rsidRPr="001F0265">
        <w:rPr>
          <w:rFonts w:ascii="Verdana" w:eastAsia="Calibri" w:hAnsi="Verdana" w:cs="Arial"/>
          <w:sz w:val="21"/>
          <w:szCs w:val="21"/>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4D93373" w14:textId="77777777" w:rsidR="001F0265" w:rsidRDefault="001F0265" w:rsidP="001F0265">
      <w:pPr>
        <w:spacing w:after="120" w:line="240" w:lineRule="auto"/>
        <w:jc w:val="both"/>
        <w:rPr>
          <w:rFonts w:ascii="Verdana" w:eastAsia="Calibri" w:hAnsi="Verdana" w:cs="Arial"/>
          <w:lang w:val="es-ES"/>
        </w:rPr>
      </w:pPr>
      <w:r w:rsidRPr="001F0265">
        <w:rPr>
          <w:rFonts w:ascii="Verdana" w:eastAsia="Calibri" w:hAnsi="Verdana" w:cs="Arial"/>
          <w:sz w:val="21"/>
          <w:szCs w:val="21"/>
          <w:lang w:val="es-ES"/>
        </w:rPr>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w:t>
      </w:r>
      <w:r w:rsidRPr="66BB9529">
        <w:rPr>
          <w:rFonts w:ascii="Verdana" w:eastAsia="Calibri" w:hAnsi="Verdana" w:cs="Arial"/>
          <w:lang w:val="es-ES"/>
        </w:rPr>
        <w:t xml:space="preserve">. </w:t>
      </w:r>
    </w:p>
    <w:p w14:paraId="152C8788" w14:textId="77777777" w:rsidR="001F0265" w:rsidRDefault="001F0265" w:rsidP="00310220">
      <w:pPr>
        <w:spacing w:after="0" w:line="240" w:lineRule="auto"/>
        <w:rPr>
          <w:rFonts w:ascii="Verdana" w:eastAsia="Calibri" w:hAnsi="Verdana" w:cs="Arial"/>
          <w:b/>
          <w:bCs/>
          <w:color w:val="000000" w:themeColor="text1"/>
          <w:lang w:val="es-ES" w:eastAsia="es-ES"/>
        </w:rPr>
      </w:pPr>
    </w:p>
    <w:p w14:paraId="18758B25" w14:textId="77777777" w:rsidR="001F0265" w:rsidRDefault="001F0265" w:rsidP="00310220">
      <w:pPr>
        <w:spacing w:after="0" w:line="240" w:lineRule="auto"/>
        <w:rPr>
          <w:rFonts w:ascii="Verdana" w:eastAsia="Calibri" w:hAnsi="Verdana" w:cs="Arial"/>
          <w:b/>
          <w:bCs/>
          <w:color w:val="000000" w:themeColor="text1"/>
          <w:lang w:val="es-ES" w:eastAsia="es-ES"/>
        </w:rPr>
      </w:pPr>
    </w:p>
    <w:p w14:paraId="4CD728B8" w14:textId="62CBFD04" w:rsidR="00E421C2" w:rsidRPr="00310220" w:rsidRDefault="00E421C2" w:rsidP="00310220">
      <w:pPr>
        <w:spacing w:after="0" w:line="240" w:lineRule="auto"/>
        <w:rPr>
          <w:rFonts w:ascii="Verdana" w:eastAsia="Geomanist Light" w:hAnsi="Verdana" w:cs="Arial"/>
          <w:color w:val="201F1E"/>
          <w:lang w:val="es-MX"/>
        </w:rPr>
      </w:pPr>
      <w:r w:rsidRPr="00310220">
        <w:rPr>
          <w:rFonts w:ascii="Verdana" w:eastAsia="Geomanist Light" w:hAnsi="Verdana" w:cs="Arial"/>
          <w:color w:val="000000" w:themeColor="text1"/>
          <w:lang w:val="es-MX"/>
        </w:rPr>
        <w:lastRenderedPageBreak/>
        <w:t>Bogotá D.C., </w:t>
      </w:r>
      <w:r w:rsidR="00121FF5">
        <w:rPr>
          <w:rFonts w:ascii="Verdana" w:eastAsia="Geomanist Light" w:hAnsi="Verdana" w:cs="Arial"/>
          <w:color w:val="201F1E"/>
          <w:lang w:val="es-MX"/>
        </w:rPr>
        <w:t xml:space="preserve">22 </w:t>
      </w:r>
      <w:r w:rsidRPr="00310220">
        <w:rPr>
          <w:rFonts w:ascii="Verdana" w:eastAsia="Geomanist Light" w:hAnsi="Verdana" w:cs="Arial"/>
          <w:color w:val="201F1E"/>
          <w:lang w:val="es-MX"/>
        </w:rPr>
        <w:t xml:space="preserve">de </w:t>
      </w:r>
      <w:r w:rsidR="00121FF5">
        <w:rPr>
          <w:rFonts w:ascii="Verdana" w:eastAsia="Geomanist Light" w:hAnsi="Verdana" w:cs="Arial"/>
          <w:color w:val="201F1E"/>
          <w:lang w:val="es-MX"/>
        </w:rPr>
        <w:t>Julio</w:t>
      </w:r>
      <w:r w:rsidRPr="00310220">
        <w:rPr>
          <w:rFonts w:ascii="Verdana" w:eastAsia="Geomanist Light" w:hAnsi="Verdana" w:cs="Arial"/>
          <w:color w:val="201F1E"/>
          <w:lang w:val="es-MX"/>
        </w:rPr>
        <w:t xml:space="preserve"> de </w:t>
      </w:r>
      <w:r w:rsidR="00121FF5">
        <w:rPr>
          <w:rFonts w:ascii="Verdana" w:eastAsia="Geomanist Light" w:hAnsi="Verdana" w:cs="Arial"/>
          <w:color w:val="201F1E"/>
          <w:lang w:val="es-MX"/>
        </w:rPr>
        <w:t>2024</w:t>
      </w:r>
    </w:p>
    <w:p w14:paraId="7542023E" w14:textId="77777777" w:rsidR="00E421C2" w:rsidRPr="00310220" w:rsidRDefault="00E421C2" w:rsidP="00310220">
      <w:pPr>
        <w:tabs>
          <w:tab w:val="left" w:pos="5220"/>
        </w:tabs>
        <w:spacing w:after="0" w:line="240" w:lineRule="auto"/>
        <w:rPr>
          <w:rFonts w:ascii="Verdana" w:hAnsi="Verdana"/>
        </w:rPr>
      </w:pPr>
      <w:r w:rsidRPr="00310220">
        <w:rPr>
          <w:rFonts w:ascii="Verdana" w:hAnsi="Verdana"/>
        </w:rPr>
        <w:tab/>
      </w:r>
    </w:p>
    <w:p w14:paraId="005CF7D8" w14:textId="56E202C5" w:rsidR="00E421C2" w:rsidRPr="00310220" w:rsidRDefault="00121FF5" w:rsidP="00121FF5">
      <w:pPr>
        <w:tabs>
          <w:tab w:val="left" w:pos="7800"/>
        </w:tabs>
        <w:spacing w:after="0" w:line="240" w:lineRule="auto"/>
        <w:ind w:left="4248"/>
        <w:rPr>
          <w:rFonts w:ascii="Verdana" w:eastAsia="Calibri" w:hAnsi="Verdana" w:cs="Arial"/>
          <w:lang w:eastAsia="es-ES"/>
        </w:rPr>
      </w:pPr>
      <w:r w:rsidRPr="00121FF5">
        <w:rPr>
          <w:rFonts w:ascii="Verdana" w:eastAsia="Calibri" w:hAnsi="Verdana" w:cs="Arial"/>
          <w:noProof/>
          <w:lang w:eastAsia="es-ES"/>
        </w:rPr>
        <w:drawing>
          <wp:inline distT="0" distB="0" distL="0" distR="0" wp14:anchorId="37911B0E" wp14:editId="135D2F80">
            <wp:extent cx="3114675" cy="990600"/>
            <wp:effectExtent l="0" t="0" r="9525" b="0"/>
            <wp:docPr id="908692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92492" name=""/>
                    <pic:cNvPicPr/>
                  </pic:nvPicPr>
                  <pic:blipFill>
                    <a:blip r:embed="rId10"/>
                    <a:stretch>
                      <a:fillRect/>
                    </a:stretch>
                  </pic:blipFill>
                  <pic:spPr>
                    <a:xfrm>
                      <a:off x="0" y="0"/>
                      <a:ext cx="3115113" cy="990739"/>
                    </a:xfrm>
                    <a:prstGeom prst="rect">
                      <a:avLst/>
                    </a:prstGeom>
                  </pic:spPr>
                </pic:pic>
              </a:graphicData>
            </a:graphic>
          </wp:inline>
        </w:drawing>
      </w:r>
    </w:p>
    <w:p w14:paraId="7E557B90" w14:textId="77777777" w:rsidR="00121FF5" w:rsidRDefault="00121FF5" w:rsidP="00310220">
      <w:pPr>
        <w:tabs>
          <w:tab w:val="left" w:pos="7800"/>
        </w:tabs>
        <w:spacing w:after="0" w:line="240" w:lineRule="auto"/>
        <w:rPr>
          <w:rFonts w:ascii="Verdana" w:eastAsia="Calibri" w:hAnsi="Verdana" w:cs="Arial"/>
          <w:lang w:val="es-ES" w:eastAsia="es-ES"/>
        </w:rPr>
      </w:pPr>
    </w:p>
    <w:p w14:paraId="099CBB91" w14:textId="2EC2B2E3" w:rsidR="00E421C2" w:rsidRPr="00310220" w:rsidRDefault="00E421C2" w:rsidP="00310220">
      <w:pPr>
        <w:tabs>
          <w:tab w:val="left" w:pos="7800"/>
        </w:tabs>
        <w:spacing w:after="0" w:line="240" w:lineRule="auto"/>
        <w:rPr>
          <w:rFonts w:ascii="Verdana" w:hAnsi="Verdana"/>
        </w:rPr>
      </w:pPr>
      <w:r w:rsidRPr="00310220">
        <w:rPr>
          <w:rFonts w:ascii="Verdana" w:eastAsia="Calibri" w:hAnsi="Verdana" w:cs="Arial"/>
          <w:lang w:val="es-ES" w:eastAsia="es-ES"/>
        </w:rPr>
        <w:t>Señora</w:t>
      </w:r>
    </w:p>
    <w:p w14:paraId="5CD44F97" w14:textId="77777777" w:rsidR="00E421C2" w:rsidRPr="00310220" w:rsidRDefault="00E421C2" w:rsidP="00310220">
      <w:pPr>
        <w:spacing w:after="0" w:line="240" w:lineRule="auto"/>
        <w:rPr>
          <w:rFonts w:ascii="Verdana" w:eastAsia="Calibri" w:hAnsi="Verdana" w:cs="Arial"/>
          <w:b/>
          <w:bCs/>
          <w:lang w:eastAsia="es-ES_tradnl"/>
        </w:rPr>
      </w:pPr>
      <w:r w:rsidRPr="00310220">
        <w:rPr>
          <w:rFonts w:ascii="Verdana" w:eastAsia="Calibri" w:hAnsi="Verdana" w:cs="Arial"/>
          <w:b/>
          <w:bCs/>
          <w:lang w:eastAsia="es-ES_tradnl"/>
        </w:rPr>
        <w:t xml:space="preserve">Adriana Caballero Pérez </w:t>
      </w:r>
    </w:p>
    <w:p w14:paraId="57FE38A0" w14:textId="77777777" w:rsidR="00E421C2" w:rsidRPr="00310220" w:rsidRDefault="00E421C2" w:rsidP="00310220">
      <w:pPr>
        <w:spacing w:after="0" w:line="240" w:lineRule="auto"/>
        <w:rPr>
          <w:rFonts w:ascii="Verdana" w:eastAsia="Calibri" w:hAnsi="Verdana" w:cs="Arial"/>
          <w:b/>
          <w:bCs/>
          <w:lang w:eastAsia="es-ES_tradnl"/>
        </w:rPr>
      </w:pPr>
      <w:hyperlink r:id="rId11" w:history="1">
        <w:r w:rsidRPr="00310220">
          <w:rPr>
            <w:rStyle w:val="Hipervnculo"/>
            <w:rFonts w:ascii="Verdana" w:hAnsi="Verdana"/>
          </w:rPr>
          <w:t>accaballerop@gmail.com</w:t>
        </w:r>
      </w:hyperlink>
      <w:r w:rsidRPr="00310220">
        <w:rPr>
          <w:rFonts w:ascii="Verdana" w:hAnsi="Verdana"/>
        </w:rPr>
        <w:t xml:space="preserve">; </w:t>
      </w:r>
    </w:p>
    <w:p w14:paraId="4ECF2871" w14:textId="77777777" w:rsidR="00E421C2" w:rsidRPr="00310220" w:rsidRDefault="00E421C2" w:rsidP="00310220">
      <w:pPr>
        <w:spacing w:after="0" w:line="240" w:lineRule="auto"/>
        <w:rPr>
          <w:rFonts w:ascii="Verdana" w:eastAsia="Calibri" w:hAnsi="Verdana" w:cs="Arial"/>
          <w:b/>
          <w:bCs/>
          <w:color w:val="000000"/>
          <w:lang w:eastAsia="es-ES_tradnl"/>
        </w:rPr>
      </w:pPr>
      <w:r w:rsidRPr="00310220">
        <w:rPr>
          <w:rFonts w:ascii="Verdana" w:eastAsia="Calibri" w:hAnsi="Verdana" w:cs="Arial"/>
          <w:lang w:eastAsia="es-ES"/>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421C2" w:rsidRPr="00310220" w14:paraId="3D05C9C0" w14:textId="77777777" w:rsidTr="66BB9529">
        <w:trPr>
          <w:trHeight w:val="204"/>
        </w:trPr>
        <w:tc>
          <w:tcPr>
            <w:tcW w:w="2689" w:type="dxa"/>
          </w:tcPr>
          <w:p w14:paraId="7C4F5A7A" w14:textId="77777777" w:rsidR="00E421C2" w:rsidRPr="00310220" w:rsidRDefault="00E421C2" w:rsidP="00310220">
            <w:pPr>
              <w:ind w:left="720"/>
              <w:jc w:val="both"/>
              <w:rPr>
                <w:rFonts w:ascii="Verdana" w:eastAsia="Calibri" w:hAnsi="Verdana" w:cs="Arial"/>
                <w:b/>
                <w:bCs/>
                <w:color w:val="7030A0"/>
                <w:lang w:eastAsia="es-ES_tradnl"/>
              </w:rPr>
            </w:pPr>
          </w:p>
        </w:tc>
        <w:tc>
          <w:tcPr>
            <w:tcW w:w="6100" w:type="dxa"/>
          </w:tcPr>
          <w:p w14:paraId="0B4EFBF3" w14:textId="77777777" w:rsidR="00E421C2" w:rsidRPr="00310220" w:rsidRDefault="00E421C2" w:rsidP="00310220">
            <w:pPr>
              <w:ind w:left="720"/>
              <w:jc w:val="both"/>
              <w:rPr>
                <w:rFonts w:ascii="Verdana" w:eastAsia="Calibri" w:hAnsi="Verdana" w:cs="Arial"/>
                <w:b/>
                <w:bCs/>
                <w:lang w:val="es-ES" w:eastAsia="es-ES"/>
              </w:rPr>
            </w:pPr>
            <w:r w:rsidRPr="00310220">
              <w:rPr>
                <w:rFonts w:ascii="Verdana" w:eastAsia="Calibri" w:hAnsi="Verdana" w:cs="Arial"/>
                <w:b/>
                <w:bCs/>
                <w:lang w:val="es-ES" w:eastAsia="es-ES"/>
              </w:rPr>
              <w:t>Concepto C-742 de 2025</w:t>
            </w:r>
          </w:p>
          <w:p w14:paraId="7024560B" w14:textId="77777777" w:rsidR="00E421C2" w:rsidRPr="00310220" w:rsidRDefault="00E421C2" w:rsidP="00310220">
            <w:pPr>
              <w:ind w:left="720"/>
              <w:jc w:val="both"/>
              <w:rPr>
                <w:rFonts w:ascii="Verdana" w:eastAsia="Calibri" w:hAnsi="Verdana" w:cs="Arial"/>
                <w:b/>
                <w:bCs/>
                <w:lang w:val="es-ES" w:eastAsia="es-ES"/>
              </w:rPr>
            </w:pPr>
          </w:p>
        </w:tc>
      </w:tr>
      <w:tr w:rsidR="00E421C2" w:rsidRPr="00310220" w14:paraId="6BEDC4CC" w14:textId="77777777" w:rsidTr="66BB9529">
        <w:trPr>
          <w:trHeight w:val="884"/>
        </w:trPr>
        <w:tc>
          <w:tcPr>
            <w:tcW w:w="2689" w:type="dxa"/>
          </w:tcPr>
          <w:p w14:paraId="22199801" w14:textId="77777777" w:rsidR="00E421C2" w:rsidRPr="00310220" w:rsidRDefault="00E421C2" w:rsidP="00310220">
            <w:pPr>
              <w:ind w:left="720"/>
              <w:jc w:val="both"/>
              <w:rPr>
                <w:rFonts w:ascii="Verdana" w:eastAsia="Calibri" w:hAnsi="Verdana" w:cs="Arial"/>
                <w:color w:val="000000"/>
                <w:lang w:val="es-ES_tradnl" w:eastAsia="es-ES_tradnl"/>
              </w:rPr>
            </w:pPr>
            <w:r w:rsidRPr="00310220">
              <w:rPr>
                <w:rFonts w:ascii="Verdana" w:eastAsia="Calibri" w:hAnsi="Verdana" w:cs="Arial"/>
                <w:b/>
                <w:color w:val="000000"/>
                <w:lang w:val="es-ES_tradnl" w:eastAsia="es-ES_tradnl"/>
              </w:rPr>
              <w:t>Temas:</w:t>
            </w:r>
            <w:r w:rsidRPr="00310220">
              <w:rPr>
                <w:rFonts w:ascii="Verdana" w:eastAsia="Calibri" w:hAnsi="Verdana" w:cs="Arial"/>
                <w:color w:val="000000"/>
                <w:lang w:val="es-ES_tradnl" w:eastAsia="es-ES_tradnl"/>
              </w:rPr>
              <w:t xml:space="preserve">                   </w:t>
            </w:r>
          </w:p>
        </w:tc>
        <w:tc>
          <w:tcPr>
            <w:tcW w:w="6100" w:type="dxa"/>
          </w:tcPr>
          <w:p w14:paraId="5F026B46" w14:textId="3E34D39E" w:rsidR="00AD0CF8" w:rsidRDefault="00FC0678" w:rsidP="00310220">
            <w:pPr>
              <w:ind w:left="720"/>
              <w:jc w:val="both"/>
              <w:rPr>
                <w:rFonts w:ascii="Verdana" w:hAnsi="Verdana" w:cs="Arial"/>
                <w:color w:val="000000" w:themeColor="text1"/>
                <w:shd w:val="clear" w:color="auto" w:fill="FFFFFF"/>
                <w:lang w:val="es-ES"/>
              </w:rPr>
            </w:pPr>
            <w:r w:rsidRPr="00310220">
              <w:rPr>
                <w:rFonts w:ascii="Verdana" w:hAnsi="Verdana" w:cs="Arial"/>
                <w:color w:val="000000" w:themeColor="text1"/>
                <w:shd w:val="clear" w:color="auto" w:fill="FFFFFF"/>
                <w:lang w:val="es-ES"/>
              </w:rPr>
              <w:t>Principio de Publicidad – Garantía</w:t>
            </w:r>
            <w:r>
              <w:rPr>
                <w:rFonts w:ascii="Verdana" w:hAnsi="Verdana" w:cs="Arial"/>
                <w:color w:val="000000" w:themeColor="text1"/>
                <w:shd w:val="clear" w:color="auto" w:fill="FFFFFF"/>
                <w:lang w:val="es-ES"/>
              </w:rPr>
              <w:t xml:space="preserve"> – SECOP </w:t>
            </w:r>
            <w:r w:rsidR="00E05860">
              <w:rPr>
                <w:rFonts w:ascii="Verdana" w:hAnsi="Verdana" w:cs="Arial"/>
                <w:color w:val="000000" w:themeColor="text1"/>
                <w:shd w:val="clear" w:color="auto" w:fill="FFFFFF"/>
                <w:lang w:val="es-ES"/>
              </w:rPr>
              <w:t xml:space="preserve">/ </w:t>
            </w:r>
            <w:r w:rsidR="00E05860" w:rsidRPr="00310220">
              <w:rPr>
                <w:rFonts w:ascii="Verdana" w:eastAsia="Calibri" w:hAnsi="Verdana" w:cs="Arial"/>
                <w:lang w:val="es-ES" w:eastAsia="es-ES"/>
              </w:rPr>
              <w:t>SECOP</w:t>
            </w:r>
            <w:r w:rsidR="00E421C2" w:rsidRPr="00310220">
              <w:rPr>
                <w:rFonts w:ascii="Verdana" w:hAnsi="Verdana" w:cs="Arial"/>
                <w:color w:val="000000" w:themeColor="text1"/>
                <w:shd w:val="clear" w:color="auto" w:fill="FFFFFF"/>
                <w:lang w:val="es-ES"/>
              </w:rPr>
              <w:t xml:space="preserve"> II </w:t>
            </w:r>
            <w:r w:rsidR="00E421C2" w:rsidRPr="00310220">
              <w:rPr>
                <w:rFonts w:ascii="Verdana" w:hAnsi="Verdana" w:cs="Arial"/>
                <w:color w:val="000000" w:themeColor="text1"/>
                <w:shd w:val="clear" w:color="auto" w:fill="FFFFFF"/>
                <w:lang w:val="es-MX"/>
              </w:rPr>
              <w:t>–</w:t>
            </w:r>
            <w:r w:rsidR="00E421C2" w:rsidRPr="00310220">
              <w:rPr>
                <w:rFonts w:ascii="Verdana" w:hAnsi="Verdana" w:cs="Arial"/>
                <w:color w:val="000000" w:themeColor="text1"/>
                <w:shd w:val="clear" w:color="auto" w:fill="FFFFFF"/>
                <w:lang w:val="es-ES"/>
              </w:rPr>
              <w:t xml:space="preserve"> Plataforma Transaccional </w:t>
            </w:r>
            <w:r w:rsidR="00E421C2" w:rsidRPr="00310220">
              <w:rPr>
                <w:rFonts w:ascii="Verdana" w:eastAsia="Calibri" w:hAnsi="Verdana" w:cs="Arial"/>
                <w:lang w:val="es-ES" w:eastAsia="es-ES"/>
              </w:rPr>
              <w:t xml:space="preserve">/ </w:t>
            </w:r>
            <w:r w:rsidR="00E421C2" w:rsidRPr="00310220">
              <w:rPr>
                <w:rFonts w:ascii="Verdana" w:hAnsi="Verdana" w:cs="Arial"/>
                <w:color w:val="000000" w:themeColor="text1"/>
                <w:shd w:val="clear" w:color="auto" w:fill="FFFFFF"/>
                <w:lang w:val="es-ES"/>
              </w:rPr>
              <w:t>SECOP II </w:t>
            </w:r>
            <w:r w:rsidR="00E421C2" w:rsidRPr="00310220">
              <w:rPr>
                <w:rFonts w:ascii="Verdana" w:hAnsi="Verdana" w:cs="Arial"/>
                <w:color w:val="000000" w:themeColor="text1"/>
                <w:shd w:val="clear" w:color="auto" w:fill="FFFFFF"/>
                <w:lang w:val="es-MX"/>
              </w:rPr>
              <w:t>–</w:t>
            </w:r>
            <w:r w:rsidR="00E421C2" w:rsidRPr="00310220">
              <w:rPr>
                <w:rFonts w:ascii="Verdana" w:hAnsi="Verdana" w:cs="Arial"/>
                <w:color w:val="000000" w:themeColor="text1"/>
                <w:shd w:val="clear" w:color="auto" w:fill="FFFFFF"/>
                <w:lang w:val="es-ES"/>
              </w:rPr>
              <w:t> </w:t>
            </w:r>
            <w:r>
              <w:rPr>
                <w:rFonts w:ascii="Verdana" w:hAnsi="Verdana" w:cs="Arial"/>
                <w:color w:val="000000" w:themeColor="text1"/>
                <w:shd w:val="clear" w:color="auto" w:fill="FFFFFF"/>
                <w:lang w:val="es-ES"/>
              </w:rPr>
              <w:t>Normas de archivo</w:t>
            </w:r>
          </w:p>
          <w:p w14:paraId="4AE91C41" w14:textId="1FB788A8" w:rsidR="00E421C2" w:rsidRPr="00310220" w:rsidRDefault="00E421C2" w:rsidP="00310220">
            <w:pPr>
              <w:ind w:left="720"/>
              <w:jc w:val="both"/>
              <w:rPr>
                <w:rFonts w:ascii="Verdana" w:eastAsia="Calibri" w:hAnsi="Verdana" w:cs="Arial"/>
                <w:lang w:val="es-ES" w:eastAsia="es-ES"/>
              </w:rPr>
            </w:pPr>
            <w:r w:rsidRPr="00310220">
              <w:rPr>
                <w:rFonts w:ascii="Verdana" w:eastAsia="Calibri" w:hAnsi="Verdana" w:cs="Arial"/>
                <w:lang w:val="es-ES" w:eastAsia="es-ES"/>
              </w:rPr>
              <w:t xml:space="preserve"> </w:t>
            </w:r>
          </w:p>
        </w:tc>
      </w:tr>
      <w:tr w:rsidR="00E421C2" w:rsidRPr="00310220" w14:paraId="66E3B131" w14:textId="77777777" w:rsidTr="66BB9529">
        <w:tc>
          <w:tcPr>
            <w:tcW w:w="2689" w:type="dxa"/>
          </w:tcPr>
          <w:p w14:paraId="1BA3C87D" w14:textId="77777777" w:rsidR="00E421C2" w:rsidRPr="00310220" w:rsidRDefault="00E421C2" w:rsidP="00310220">
            <w:pPr>
              <w:ind w:left="720"/>
              <w:jc w:val="both"/>
              <w:rPr>
                <w:rFonts w:ascii="Verdana" w:eastAsia="Calibri" w:hAnsi="Verdana" w:cs="Arial"/>
                <w:b/>
                <w:lang w:val="es-ES_tradnl" w:eastAsia="es-ES_tradnl"/>
              </w:rPr>
            </w:pPr>
            <w:r w:rsidRPr="00310220">
              <w:rPr>
                <w:rFonts w:ascii="Verdana" w:eastAsia="Calibri" w:hAnsi="Verdana" w:cs="Arial"/>
                <w:b/>
                <w:lang w:val="es-ES_tradnl" w:eastAsia="es-ES_tradnl"/>
              </w:rPr>
              <w:t>Radicación:</w:t>
            </w:r>
            <w:r w:rsidRPr="00310220">
              <w:rPr>
                <w:rFonts w:ascii="Verdana" w:eastAsia="Calibri" w:hAnsi="Verdana" w:cs="Arial"/>
                <w:lang w:val="es-ES_tradnl" w:eastAsia="es-ES_tradnl"/>
              </w:rPr>
              <w:t xml:space="preserve">               </w:t>
            </w:r>
          </w:p>
        </w:tc>
        <w:tc>
          <w:tcPr>
            <w:tcW w:w="6100" w:type="dxa"/>
          </w:tcPr>
          <w:p w14:paraId="696BE70D" w14:textId="77777777" w:rsidR="001F0265" w:rsidRDefault="00E421C2" w:rsidP="66BB9529">
            <w:pPr>
              <w:ind w:left="720"/>
              <w:jc w:val="both"/>
              <w:rPr>
                <w:rFonts w:ascii="Verdana" w:eastAsia="Calibri" w:hAnsi="Verdana" w:cs="Arial"/>
                <w:b/>
                <w:bCs/>
                <w:lang w:val="es-ES" w:eastAsia="es-ES"/>
              </w:rPr>
            </w:pPr>
            <w:r w:rsidRPr="66BB9529">
              <w:rPr>
                <w:rFonts w:ascii="Verdana" w:eastAsia="Calibri" w:hAnsi="Verdana" w:cs="Arial"/>
                <w:lang w:val="es-ES" w:eastAsia="es-ES"/>
              </w:rPr>
              <w:t>Respuesta a la consulta con radicado No.</w:t>
            </w:r>
            <w:r w:rsidR="00310220" w:rsidRPr="66BB9529">
              <w:rPr>
                <w:rFonts w:ascii="Verdana" w:eastAsia="Calibri" w:hAnsi="Verdana" w:cs="Arial"/>
                <w:b/>
                <w:bCs/>
                <w:lang w:val="es-ES" w:eastAsia="es-ES"/>
              </w:rPr>
              <w:t xml:space="preserve"> </w:t>
            </w:r>
          </w:p>
          <w:p w14:paraId="767E5083" w14:textId="5AAAE6FA" w:rsidR="00E421C2" w:rsidRPr="00310220" w:rsidRDefault="00E421C2" w:rsidP="66BB9529">
            <w:pPr>
              <w:ind w:left="720"/>
              <w:jc w:val="both"/>
              <w:rPr>
                <w:rFonts w:ascii="Verdana" w:eastAsia="Calibri" w:hAnsi="Verdana" w:cs="Arial"/>
                <w:b/>
                <w:bCs/>
                <w:lang w:val="es-MX" w:eastAsia="es-ES"/>
              </w:rPr>
            </w:pPr>
            <w:r w:rsidRPr="66BB9529">
              <w:rPr>
                <w:rFonts w:ascii="Verdana" w:eastAsia="Calibri" w:hAnsi="Verdana" w:cs="Arial"/>
                <w:b/>
                <w:bCs/>
                <w:lang w:val="es-ES" w:eastAsia="es-ES"/>
              </w:rPr>
              <w:t xml:space="preserve">1-2025-06-10-005684                              </w:t>
            </w:r>
          </w:p>
        </w:tc>
      </w:tr>
    </w:tbl>
    <w:p w14:paraId="48118B87" w14:textId="77777777" w:rsidR="00E421C2" w:rsidRPr="00D92626" w:rsidRDefault="00E421C2" w:rsidP="00310220">
      <w:pPr>
        <w:spacing w:after="0" w:line="276" w:lineRule="auto"/>
        <w:jc w:val="both"/>
        <w:rPr>
          <w:rFonts w:ascii="Verdana" w:eastAsia="Calibri" w:hAnsi="Verdana" w:cs="Arial"/>
          <w:color w:val="000000"/>
          <w:lang w:val="es-ES_tradnl" w:eastAsia="es-ES_tradnl"/>
        </w:rPr>
      </w:pPr>
    </w:p>
    <w:p w14:paraId="64229501" w14:textId="77777777" w:rsidR="00E421C2" w:rsidRPr="00D92626" w:rsidRDefault="00E421C2" w:rsidP="00310220">
      <w:pPr>
        <w:spacing w:after="0" w:line="276" w:lineRule="auto"/>
        <w:jc w:val="both"/>
        <w:rPr>
          <w:rFonts w:ascii="Verdana" w:eastAsia="Calibri" w:hAnsi="Verdana" w:cs="Arial"/>
          <w:color w:val="000000"/>
          <w:lang w:val="es-ES_tradnl" w:eastAsia="es-ES_tradnl"/>
        </w:rPr>
      </w:pPr>
    </w:p>
    <w:p w14:paraId="1DBB34D6" w14:textId="77777777" w:rsidR="00E421C2" w:rsidRPr="00D92626" w:rsidRDefault="00E421C2" w:rsidP="00310220">
      <w:pPr>
        <w:spacing w:after="0" w:line="276" w:lineRule="auto"/>
        <w:jc w:val="both"/>
        <w:rPr>
          <w:rFonts w:ascii="Verdana" w:eastAsia="Calibri" w:hAnsi="Verdana" w:cs="Arial"/>
          <w:lang w:val="es-ES" w:eastAsia="es-ES"/>
        </w:rPr>
      </w:pPr>
      <w:r w:rsidRPr="00D92626">
        <w:rPr>
          <w:rFonts w:ascii="Verdana" w:eastAsia="Calibri" w:hAnsi="Verdana" w:cs="Arial"/>
          <w:lang w:val="es-ES" w:eastAsia="es-ES"/>
        </w:rPr>
        <w:t>Estimad</w:t>
      </w:r>
      <w:r>
        <w:rPr>
          <w:rFonts w:ascii="Verdana" w:eastAsia="Calibri" w:hAnsi="Verdana" w:cs="Arial"/>
          <w:lang w:val="es-ES" w:eastAsia="es-ES"/>
        </w:rPr>
        <w:t xml:space="preserve">a </w:t>
      </w:r>
      <w:r w:rsidRPr="00D92626">
        <w:rPr>
          <w:rFonts w:ascii="Verdana" w:eastAsia="Calibri" w:hAnsi="Verdana" w:cs="Arial"/>
          <w:lang w:val="es-ES" w:eastAsia="es-ES"/>
        </w:rPr>
        <w:t>seño</w:t>
      </w:r>
      <w:r>
        <w:rPr>
          <w:rFonts w:ascii="Verdana" w:eastAsia="Calibri" w:hAnsi="Verdana" w:cs="Arial"/>
          <w:lang w:val="es-ES" w:eastAsia="es-ES"/>
        </w:rPr>
        <w:t>ra Caballero</w:t>
      </w:r>
      <w:r w:rsidRPr="00D92626">
        <w:rPr>
          <w:rFonts w:ascii="Verdana" w:eastAsia="Calibri" w:hAnsi="Verdana" w:cs="Arial"/>
          <w:lang w:val="es-ES" w:eastAsia="es-ES"/>
        </w:rPr>
        <w:t xml:space="preserve">: </w:t>
      </w:r>
    </w:p>
    <w:p w14:paraId="31E6B7AE" w14:textId="77777777" w:rsidR="00E421C2" w:rsidRPr="00D92626" w:rsidRDefault="00E421C2" w:rsidP="00310220">
      <w:pPr>
        <w:tabs>
          <w:tab w:val="left" w:pos="3768"/>
        </w:tabs>
        <w:spacing w:after="0" w:line="276" w:lineRule="auto"/>
        <w:jc w:val="both"/>
        <w:rPr>
          <w:rFonts w:ascii="Verdana" w:eastAsia="Calibri" w:hAnsi="Verdana" w:cs="Arial"/>
          <w:color w:val="000000" w:themeColor="text1"/>
          <w:lang w:val="es-ES" w:eastAsia="es-ES"/>
        </w:rPr>
      </w:pPr>
      <w:r w:rsidRPr="00D92626">
        <w:rPr>
          <w:rFonts w:ascii="Verdana" w:eastAsia="Calibri" w:hAnsi="Verdana" w:cs="Arial"/>
          <w:color w:val="000000" w:themeColor="text1"/>
          <w:lang w:val="es-ES" w:eastAsia="es-ES"/>
        </w:rPr>
        <w:tab/>
      </w:r>
    </w:p>
    <w:p w14:paraId="7B21620D" w14:textId="77777777" w:rsidR="00E421C2" w:rsidRPr="00D92626" w:rsidRDefault="00E421C2" w:rsidP="00310220">
      <w:pPr>
        <w:spacing w:after="0" w:line="276" w:lineRule="auto"/>
        <w:jc w:val="both"/>
        <w:rPr>
          <w:rFonts w:ascii="Verdana" w:eastAsia="Calibri" w:hAnsi="Verdana" w:cs="Arial"/>
          <w:color w:val="7030A0"/>
          <w:lang w:val="es-ES" w:eastAsia="es-ES"/>
        </w:rPr>
      </w:pPr>
      <w:r w:rsidRPr="00D92626">
        <w:rPr>
          <w:rFonts w:ascii="Verdana" w:eastAsia="Calibri" w:hAnsi="Verdana" w:cs="Arial"/>
          <w:color w:val="000000" w:themeColor="text1"/>
          <w:lang w:val="es-ES" w:eastAsia="es-ES"/>
        </w:rPr>
        <w:t>En ejercicio de la competencia otorgada por los artículos 3, numeral 5º, y 11, numeral 8º, del Decreto Ley 4170 de 2011,</w:t>
      </w:r>
      <w:r w:rsidRPr="00D92626">
        <w:rPr>
          <w:rFonts w:ascii="Verdana" w:eastAsia="Arial MT" w:hAnsi="Verdana" w:cs="Arial MT"/>
          <w:lang w:val="es-ES" w:eastAsia="es-ES"/>
        </w:rPr>
        <w:t xml:space="preserve"> </w:t>
      </w:r>
      <w:r w:rsidRPr="00D92626">
        <w:rPr>
          <w:rFonts w:ascii="Verdana" w:hAnsi="Verdana" w:cs="Arial"/>
        </w:rPr>
        <w:t xml:space="preserve">así como lo establecido en el artículo 4 de la Resolución 1707 de 2018 expedida por esta Entidad, </w:t>
      </w:r>
      <w:r w:rsidRPr="00D92626">
        <w:rPr>
          <w:rFonts w:ascii="Verdana" w:eastAsia="Calibri" w:hAnsi="Verdana" w:cs="Arial"/>
          <w:color w:val="000000" w:themeColor="text1"/>
          <w:lang w:val="es-ES" w:eastAsia="es-ES"/>
        </w:rPr>
        <w:t xml:space="preserve">la Agencia Nacional de Contratación Pública – Colombia Compra Eficiente responde su solicitud de concepto del </w:t>
      </w:r>
      <w:r>
        <w:rPr>
          <w:rFonts w:ascii="Verdana" w:eastAsia="Calibri" w:hAnsi="Verdana" w:cs="Arial"/>
          <w:color w:val="000000" w:themeColor="text1"/>
          <w:lang w:val="es-ES" w:eastAsia="es-ES"/>
        </w:rPr>
        <w:t>10</w:t>
      </w:r>
      <w:r w:rsidRPr="00D92626">
        <w:rPr>
          <w:rFonts w:ascii="Verdana" w:eastAsia="Calibri" w:hAnsi="Verdana" w:cs="Arial"/>
          <w:lang w:val="es-ES" w:eastAsia="es-ES"/>
        </w:rPr>
        <w:t xml:space="preserve"> de </w:t>
      </w:r>
      <w:r>
        <w:rPr>
          <w:rFonts w:ascii="Verdana" w:eastAsia="Calibri" w:hAnsi="Verdana" w:cs="Arial"/>
          <w:lang w:val="es-ES" w:eastAsia="es-ES"/>
        </w:rPr>
        <w:t>junio</w:t>
      </w:r>
      <w:r w:rsidRPr="00D92626">
        <w:rPr>
          <w:rFonts w:ascii="Verdana" w:eastAsia="Calibri" w:hAnsi="Verdana" w:cs="Arial"/>
          <w:lang w:val="es-ES" w:eastAsia="es-ES"/>
        </w:rPr>
        <w:t xml:space="preserve"> de 202</w:t>
      </w:r>
      <w:r>
        <w:rPr>
          <w:rFonts w:ascii="Verdana" w:eastAsia="Calibri" w:hAnsi="Verdana" w:cs="Arial"/>
          <w:lang w:val="es-ES" w:eastAsia="es-ES"/>
        </w:rPr>
        <w:t>5</w:t>
      </w:r>
      <w:r w:rsidRPr="00D92626">
        <w:rPr>
          <w:rFonts w:ascii="Verdana" w:eastAsia="Calibri" w:hAnsi="Verdana" w:cs="Arial"/>
          <w:lang w:val="es-ES" w:eastAsia="es-ES"/>
        </w:rPr>
        <w:t xml:space="preserve">, en la cual consulta </w:t>
      </w:r>
      <w:r w:rsidRPr="00D92626">
        <w:rPr>
          <w:rFonts w:ascii="Verdana" w:eastAsia="Calibri" w:hAnsi="Verdana" w:cs="Arial"/>
          <w:lang w:eastAsia="es-ES"/>
        </w:rPr>
        <w:t>lo siguiente</w:t>
      </w:r>
      <w:r w:rsidRPr="00D92626">
        <w:rPr>
          <w:rFonts w:ascii="Verdana" w:eastAsia="Calibri" w:hAnsi="Verdana" w:cs="Arial"/>
          <w:lang w:val="es-ES" w:eastAsia="es-ES"/>
        </w:rPr>
        <w:t xml:space="preserve">: </w:t>
      </w:r>
    </w:p>
    <w:p w14:paraId="4ABB96BE" w14:textId="77777777" w:rsidR="00E421C2" w:rsidRPr="00D92626" w:rsidRDefault="00E421C2" w:rsidP="00310220">
      <w:pPr>
        <w:tabs>
          <w:tab w:val="left" w:pos="142"/>
          <w:tab w:val="left" w:pos="284"/>
        </w:tabs>
        <w:spacing w:after="0" w:line="276" w:lineRule="auto"/>
        <w:jc w:val="both"/>
        <w:rPr>
          <w:rFonts w:ascii="Verdana" w:eastAsia="Century Gothic" w:hAnsi="Verdana" w:cs="Century Gothic"/>
          <w:b/>
          <w:bCs/>
          <w:lang w:val="es-ES"/>
        </w:rPr>
      </w:pPr>
    </w:p>
    <w:p w14:paraId="1992C0FB" w14:textId="77777777" w:rsidR="00E421C2" w:rsidRDefault="00E421C2" w:rsidP="00E421C2">
      <w:pPr>
        <w:tabs>
          <w:tab w:val="left" w:pos="567"/>
          <w:tab w:val="left" w:pos="709"/>
        </w:tabs>
        <w:spacing w:after="0" w:line="240" w:lineRule="auto"/>
        <w:ind w:left="709" w:right="709"/>
        <w:contextualSpacing/>
        <w:jc w:val="both"/>
        <w:rPr>
          <w:rFonts w:ascii="Verdana" w:eastAsia="Century Gothic" w:hAnsi="Verdana" w:cs="Century Gothic"/>
          <w:sz w:val="20"/>
          <w:szCs w:val="20"/>
        </w:rPr>
      </w:pPr>
      <w:r w:rsidRPr="00EF490B">
        <w:rPr>
          <w:rFonts w:ascii="Verdana" w:eastAsia="Century Gothic" w:hAnsi="Verdana" w:cs="Century Gothic"/>
          <w:sz w:val="20"/>
          <w:szCs w:val="20"/>
          <w:lang w:val="es-ES"/>
        </w:rPr>
        <w:t>“</w:t>
      </w:r>
      <w:r>
        <w:rPr>
          <w:rFonts w:ascii="Verdana" w:eastAsia="Century Gothic" w:hAnsi="Verdana" w:cs="Century Gothic"/>
          <w:sz w:val="20"/>
          <w:szCs w:val="20"/>
          <w:lang w:val="es-ES"/>
        </w:rPr>
        <w:t>[</w:t>
      </w:r>
      <w:r w:rsidRPr="00EF490B">
        <w:rPr>
          <w:rFonts w:ascii="Verdana" w:eastAsia="Century Gothic" w:hAnsi="Verdana" w:cs="Century Gothic"/>
          <w:sz w:val="20"/>
          <w:szCs w:val="20"/>
          <w:lang w:val="es-ES"/>
        </w:rPr>
        <w:t>…</w:t>
      </w:r>
      <w:r>
        <w:rPr>
          <w:rFonts w:ascii="Verdana" w:eastAsia="Century Gothic" w:hAnsi="Verdana" w:cs="Century Gothic"/>
          <w:sz w:val="20"/>
          <w:szCs w:val="20"/>
          <w:lang w:val="es-ES"/>
        </w:rPr>
        <w:t>]</w:t>
      </w:r>
      <w:r w:rsidRPr="00EF490B">
        <w:rPr>
          <w:rFonts w:ascii="Verdana" w:eastAsia="Century Gothic" w:hAnsi="Verdana" w:cs="Century Gothic"/>
          <w:sz w:val="20"/>
          <w:szCs w:val="20"/>
          <w:lang w:val="es-ES"/>
        </w:rPr>
        <w:t xml:space="preserve"> </w:t>
      </w:r>
    </w:p>
    <w:p w14:paraId="2E021B60" w14:textId="77777777" w:rsidR="00E421C2" w:rsidRPr="00391752" w:rsidRDefault="00E421C2" w:rsidP="00E421C2">
      <w:pPr>
        <w:tabs>
          <w:tab w:val="left" w:pos="567"/>
          <w:tab w:val="left" w:pos="709"/>
        </w:tabs>
        <w:spacing w:after="0" w:line="240" w:lineRule="auto"/>
        <w:ind w:left="709" w:right="709"/>
        <w:contextualSpacing/>
        <w:jc w:val="both"/>
        <w:rPr>
          <w:rFonts w:ascii="Verdana" w:eastAsia="Century Gothic" w:hAnsi="Verdana" w:cs="Century Gothic"/>
          <w:sz w:val="20"/>
          <w:szCs w:val="20"/>
        </w:rPr>
      </w:pPr>
      <w:r w:rsidRPr="00391752">
        <w:rPr>
          <w:rFonts w:ascii="Verdana" w:eastAsia="Century Gothic" w:hAnsi="Verdana" w:cs="Century Gothic"/>
          <w:sz w:val="20"/>
          <w:szCs w:val="20"/>
        </w:rPr>
        <w:t xml:space="preserve">1. ¿Es correcto señalar que el SECOP II es un gestor documental? </w:t>
      </w:r>
    </w:p>
    <w:p w14:paraId="21E10293" w14:textId="77777777" w:rsidR="00E421C2" w:rsidRPr="00391752" w:rsidRDefault="00E421C2" w:rsidP="00E421C2">
      <w:pPr>
        <w:tabs>
          <w:tab w:val="left" w:pos="567"/>
          <w:tab w:val="left" w:pos="709"/>
        </w:tabs>
        <w:spacing w:after="0" w:line="240" w:lineRule="auto"/>
        <w:ind w:left="709" w:right="709"/>
        <w:contextualSpacing/>
        <w:jc w:val="both"/>
        <w:rPr>
          <w:rFonts w:ascii="Verdana" w:eastAsia="Century Gothic" w:hAnsi="Verdana" w:cs="Century Gothic"/>
          <w:sz w:val="20"/>
          <w:szCs w:val="20"/>
        </w:rPr>
      </w:pPr>
      <w:r w:rsidRPr="00391752">
        <w:rPr>
          <w:rFonts w:ascii="Verdana" w:eastAsia="Century Gothic" w:hAnsi="Verdana" w:cs="Century Gothic"/>
          <w:sz w:val="20"/>
          <w:szCs w:val="20"/>
        </w:rPr>
        <w:t xml:space="preserve">2. ¿Puede una entidad estatal depender de SECOP II para salvaguardar y tener acceso a la documentación de sus propios procesos de contratación pública? </w:t>
      </w:r>
    </w:p>
    <w:p w14:paraId="502C8CEE" w14:textId="77777777" w:rsidR="00E421C2" w:rsidRPr="00391752" w:rsidRDefault="00E421C2" w:rsidP="00E421C2">
      <w:pPr>
        <w:tabs>
          <w:tab w:val="left" w:pos="567"/>
          <w:tab w:val="left" w:pos="709"/>
        </w:tabs>
        <w:spacing w:after="0" w:line="240" w:lineRule="auto"/>
        <w:ind w:left="709" w:right="709"/>
        <w:contextualSpacing/>
        <w:jc w:val="both"/>
        <w:rPr>
          <w:rFonts w:ascii="Verdana" w:eastAsia="Century Gothic" w:hAnsi="Verdana" w:cs="Century Gothic"/>
          <w:sz w:val="20"/>
          <w:szCs w:val="20"/>
        </w:rPr>
      </w:pPr>
      <w:r w:rsidRPr="00391752">
        <w:rPr>
          <w:rFonts w:ascii="Verdana" w:eastAsia="Century Gothic" w:hAnsi="Verdana" w:cs="Century Gothic"/>
          <w:sz w:val="20"/>
          <w:szCs w:val="20"/>
        </w:rPr>
        <w:t xml:space="preserve">3. ¿Tiene responsabilidad una entidad estatal de salvaguardar y archivar en medio físico o digital la documentación de sus procesos de contratación? </w:t>
      </w:r>
    </w:p>
    <w:p w14:paraId="582763E5" w14:textId="21A473DB" w:rsidR="00E421C2" w:rsidRPr="00391752" w:rsidRDefault="00E421C2" w:rsidP="00E421C2">
      <w:pPr>
        <w:tabs>
          <w:tab w:val="left" w:pos="567"/>
          <w:tab w:val="left" w:pos="709"/>
        </w:tabs>
        <w:spacing w:after="0" w:line="240" w:lineRule="auto"/>
        <w:ind w:left="709" w:right="709"/>
        <w:contextualSpacing/>
        <w:jc w:val="both"/>
        <w:rPr>
          <w:rFonts w:ascii="Verdana" w:eastAsia="Century Gothic" w:hAnsi="Verdana" w:cs="Century Gothic"/>
          <w:sz w:val="20"/>
          <w:szCs w:val="20"/>
        </w:rPr>
      </w:pPr>
      <w:r w:rsidRPr="66BB9529">
        <w:rPr>
          <w:rFonts w:ascii="Verdana" w:eastAsia="Century Gothic" w:hAnsi="Verdana" w:cs="Century Gothic"/>
          <w:sz w:val="20"/>
          <w:szCs w:val="20"/>
        </w:rPr>
        <w:t xml:space="preserve">4. ¿El flujo de aprobación que se gestiona en SECOP II puede reemplazar las formalidades que cada entidad ha definido en sus manuales de </w:t>
      </w:r>
      <w:r w:rsidRPr="66BB9529">
        <w:rPr>
          <w:rFonts w:ascii="Verdana" w:eastAsia="Century Gothic" w:hAnsi="Verdana" w:cs="Century Gothic"/>
          <w:sz w:val="20"/>
          <w:szCs w:val="20"/>
        </w:rPr>
        <w:lastRenderedPageBreak/>
        <w:t>contratación, por ejemplo, formalidades referidas a la elaboración y suscripción de actas de la Junta de Contratación y Comités Evaluadores?</w:t>
      </w:r>
      <w:r w:rsidR="00310220" w:rsidRPr="66BB9529">
        <w:rPr>
          <w:rFonts w:ascii="Verdana" w:eastAsia="Century Gothic" w:hAnsi="Verdana" w:cs="Century Gothic"/>
          <w:sz w:val="20"/>
          <w:szCs w:val="20"/>
        </w:rPr>
        <w:t>”</w:t>
      </w:r>
      <w:r w:rsidRPr="66BB9529">
        <w:rPr>
          <w:rFonts w:ascii="Verdana" w:eastAsia="Century Gothic" w:hAnsi="Verdana" w:cs="Century Gothic"/>
          <w:sz w:val="20"/>
          <w:szCs w:val="20"/>
        </w:rPr>
        <w:t xml:space="preserve"> </w:t>
      </w:r>
    </w:p>
    <w:p w14:paraId="7A30356F" w14:textId="77777777" w:rsidR="00E421C2" w:rsidRDefault="00E421C2" w:rsidP="00E421C2">
      <w:pPr>
        <w:spacing w:after="0" w:line="276" w:lineRule="auto"/>
        <w:jc w:val="both"/>
        <w:rPr>
          <w:rFonts w:ascii="Verdana" w:eastAsia="Calibri" w:hAnsi="Verdana" w:cs="Arial"/>
          <w:color w:val="000000"/>
          <w:lang w:val="es-ES" w:eastAsia="es-ES"/>
        </w:rPr>
      </w:pPr>
    </w:p>
    <w:p w14:paraId="267EDD16" w14:textId="77777777" w:rsidR="00E421C2" w:rsidRPr="00D92626" w:rsidRDefault="00E421C2" w:rsidP="00310220">
      <w:pPr>
        <w:spacing w:after="120" w:line="276" w:lineRule="auto"/>
        <w:ind w:firstLine="709"/>
        <w:jc w:val="both"/>
        <w:rPr>
          <w:rFonts w:ascii="Verdana" w:eastAsia="Calibri" w:hAnsi="Verdana" w:cs="Arial"/>
          <w:color w:val="000000"/>
          <w:lang w:val="es-ES" w:eastAsia="es-ES"/>
        </w:rPr>
      </w:pPr>
      <w:r w:rsidRPr="00D92626">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Pr="00D92626">
        <w:t xml:space="preserve"> </w:t>
      </w:r>
      <w:r w:rsidRPr="00D92626">
        <w:rPr>
          <w:rFonts w:ascii="Verdana" w:eastAsia="Calibri" w:hAnsi="Verdana" w:cs="Arial"/>
          <w:color w:val="000000"/>
          <w:lang w:val="es-ES" w:eastAsia="es-ES"/>
        </w:rPr>
        <w:t xml:space="preserve">De esta manera, le corresponderá a cada entidad definir la viabilidad técnica, jurídica y financiera de celebrar determinado negocio en específico. </w:t>
      </w:r>
      <w:r w:rsidRPr="00D92626">
        <w:rPr>
          <w:rFonts w:ascii="Verdana" w:eastAsia="Calibri" w:hAnsi="Verdana" w:cs="Arial"/>
          <w:color w:val="000000"/>
          <w:szCs w:val="24"/>
          <w:lang w:val="es-ES_tradnl" w:eastAsia="es-ES_tradnl"/>
        </w:rPr>
        <w:tab/>
      </w:r>
    </w:p>
    <w:p w14:paraId="6BF44EE9" w14:textId="032CC1AB" w:rsidR="00E421C2" w:rsidRPr="00D92626" w:rsidRDefault="00E421C2" w:rsidP="00E421C2">
      <w:pPr>
        <w:spacing w:after="0" w:line="276" w:lineRule="auto"/>
        <w:ind w:firstLine="709"/>
        <w:jc w:val="both"/>
        <w:rPr>
          <w:rFonts w:ascii="Verdana" w:eastAsia="Calibri" w:hAnsi="Verdana" w:cs="Arial"/>
          <w:color w:val="000000"/>
          <w:lang w:val="es-ES" w:eastAsia="es-ES"/>
        </w:rPr>
      </w:pPr>
      <w:r w:rsidRPr="66BB9529">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w:t>
      </w:r>
      <w:r w:rsidR="00310220" w:rsidRPr="66BB9529">
        <w:rPr>
          <w:rFonts w:ascii="Verdana" w:eastAsia="Calibri" w:hAnsi="Verdana" w:cs="Arial"/>
          <w:color w:val="000000" w:themeColor="text1"/>
          <w:lang w:val="es-ES" w:eastAsia="es-ES"/>
        </w:rPr>
        <w:t>os</w:t>
      </w:r>
      <w:r w:rsidRPr="66BB9529">
        <w:rPr>
          <w:rFonts w:ascii="Verdana" w:eastAsia="Calibri" w:hAnsi="Verdana" w:cs="Arial"/>
          <w:color w:val="7030A0"/>
          <w:lang w:val="es-ES" w:eastAsia="es-ES"/>
        </w:rPr>
        <w:t xml:space="preserve"> </w:t>
      </w:r>
      <w:r w:rsidRPr="66BB9529">
        <w:rPr>
          <w:rFonts w:ascii="Verdana" w:eastAsia="Calibri" w:hAnsi="Verdana" w:cs="Arial"/>
          <w:color w:val="000000" w:themeColor="text1"/>
          <w:lang w:val="es-ES" w:eastAsia="es-ES"/>
        </w:rPr>
        <w:t>problema</w:t>
      </w:r>
      <w:r w:rsidR="00310220" w:rsidRPr="66BB9529">
        <w:rPr>
          <w:rFonts w:ascii="Verdana" w:eastAsia="Calibri" w:hAnsi="Verdana" w:cs="Arial"/>
          <w:color w:val="000000" w:themeColor="text1"/>
          <w:lang w:val="es-ES" w:eastAsia="es-ES"/>
        </w:rPr>
        <w:t>s</w:t>
      </w:r>
      <w:r w:rsidRPr="66BB9529">
        <w:rPr>
          <w:rFonts w:ascii="Verdana" w:eastAsia="Calibri" w:hAnsi="Verdana" w:cs="Arial"/>
          <w:color w:val="7030A0"/>
          <w:lang w:val="es-ES" w:eastAsia="es-ES"/>
        </w:rPr>
        <w:t xml:space="preserve"> </w:t>
      </w:r>
      <w:r w:rsidRPr="66BB9529">
        <w:rPr>
          <w:rFonts w:ascii="Verdana" w:eastAsia="Calibri" w:hAnsi="Verdana" w:cs="Arial"/>
          <w:color w:val="000000" w:themeColor="text1"/>
          <w:lang w:val="es-ES" w:eastAsia="es-ES"/>
        </w:rPr>
        <w:t>jurídico</w:t>
      </w:r>
      <w:r w:rsidR="00310220" w:rsidRPr="66BB9529">
        <w:rPr>
          <w:rFonts w:ascii="Verdana" w:eastAsia="Calibri" w:hAnsi="Verdana" w:cs="Arial"/>
          <w:color w:val="000000" w:themeColor="text1"/>
          <w:lang w:val="es-ES" w:eastAsia="es-ES"/>
        </w:rPr>
        <w:t>s</w:t>
      </w:r>
      <w:r w:rsidRPr="66BB9529">
        <w:rPr>
          <w:rFonts w:ascii="Verdana" w:eastAsia="Calibri" w:hAnsi="Verdana" w:cs="Arial"/>
          <w:color w:val="7030A0"/>
          <w:lang w:val="es-ES" w:eastAsia="es-ES"/>
        </w:rPr>
        <w:t xml:space="preserve"> </w:t>
      </w:r>
      <w:r w:rsidRPr="66BB9529">
        <w:rPr>
          <w:rFonts w:ascii="Verdana" w:eastAsia="Calibri" w:hAnsi="Verdana" w:cs="Arial"/>
          <w:color w:val="000000" w:themeColor="text1"/>
          <w:lang w:val="es-ES" w:eastAsia="es-ES"/>
        </w:rPr>
        <w:t xml:space="preserve">de su consulta. </w:t>
      </w:r>
    </w:p>
    <w:p w14:paraId="16842A25" w14:textId="77777777" w:rsidR="00E421C2" w:rsidRPr="009D6F3C" w:rsidRDefault="00E421C2" w:rsidP="00310220">
      <w:pPr>
        <w:spacing w:after="0" w:line="276" w:lineRule="auto"/>
        <w:ind w:firstLine="709"/>
        <w:jc w:val="both"/>
        <w:rPr>
          <w:rFonts w:ascii="Verdana" w:eastAsia="Calibri" w:hAnsi="Verdana" w:cs="Arial"/>
          <w:color w:val="000000"/>
          <w:lang w:val="es-ES" w:eastAsia="es-ES"/>
        </w:rPr>
      </w:pPr>
    </w:p>
    <w:p w14:paraId="67519DB0" w14:textId="77777777" w:rsidR="00E421C2" w:rsidRPr="009D6F3C" w:rsidRDefault="00E421C2" w:rsidP="66BB952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66BB9529">
        <w:rPr>
          <w:rFonts w:ascii="Verdana" w:eastAsia="Century Gothic" w:hAnsi="Verdana" w:cs="Century Gothic"/>
          <w:b/>
          <w:bCs/>
          <w:lang w:val="es-ES"/>
        </w:rPr>
        <w:t>Problemas planteados:</w:t>
      </w:r>
    </w:p>
    <w:p w14:paraId="411B5762" w14:textId="77777777" w:rsidR="00E421C2" w:rsidRPr="009D6F3C" w:rsidRDefault="00E421C2" w:rsidP="00310220">
      <w:pPr>
        <w:tabs>
          <w:tab w:val="left" w:pos="426"/>
        </w:tabs>
        <w:spacing w:after="0" w:line="276" w:lineRule="auto"/>
        <w:jc w:val="both"/>
        <w:rPr>
          <w:rFonts w:ascii="Verdana" w:eastAsia="Century Gothic" w:hAnsi="Verdana" w:cs="Century Gothic"/>
          <w:lang w:val="es-ES"/>
        </w:rPr>
      </w:pPr>
    </w:p>
    <w:p w14:paraId="50E0293F" w14:textId="2AF435B2" w:rsidR="00E421C2" w:rsidRPr="009D6F3C" w:rsidRDefault="00E421C2" w:rsidP="66BB9529">
      <w:pPr>
        <w:spacing w:after="0" w:line="276" w:lineRule="auto"/>
        <w:jc w:val="both"/>
        <w:rPr>
          <w:rFonts w:ascii="Verdana" w:hAnsi="Verdana"/>
        </w:rPr>
      </w:pPr>
      <w:r w:rsidRPr="66BB9529">
        <w:rPr>
          <w:rFonts w:ascii="Verdana" w:eastAsia="Century Gothic" w:hAnsi="Verdana" w:cs="Century Gothic"/>
        </w:rPr>
        <w:t xml:space="preserve">De acuerdo con el contenido de su solicitud, esta Agencia resolverá los siguientes problemas jurídicos: </w:t>
      </w:r>
      <w:r w:rsidR="00310220" w:rsidRPr="66BB9529">
        <w:rPr>
          <w:rFonts w:ascii="Verdana" w:eastAsia="Century Gothic" w:hAnsi="Verdana" w:cs="Century Gothic"/>
        </w:rPr>
        <w:t xml:space="preserve">i) </w:t>
      </w:r>
      <w:r w:rsidRPr="66BB9529">
        <w:rPr>
          <w:rFonts w:ascii="Verdana" w:hAnsi="Verdana"/>
        </w:rPr>
        <w:t xml:space="preserve">¿Cómo podría definirse la plataforma SECOP II? </w:t>
      </w:r>
      <w:r w:rsidR="00310220" w:rsidRPr="66BB9529">
        <w:rPr>
          <w:rFonts w:ascii="Verdana" w:hAnsi="Verdana"/>
        </w:rPr>
        <w:t xml:space="preserve">y; </w:t>
      </w:r>
      <w:proofErr w:type="spellStart"/>
      <w:r w:rsidR="00310220" w:rsidRPr="66BB9529">
        <w:rPr>
          <w:rFonts w:ascii="Verdana" w:hAnsi="Verdana"/>
        </w:rPr>
        <w:t>ii</w:t>
      </w:r>
      <w:proofErr w:type="spellEnd"/>
      <w:r w:rsidR="00310220" w:rsidRPr="66BB9529">
        <w:rPr>
          <w:rFonts w:ascii="Verdana" w:hAnsi="Verdana"/>
        </w:rPr>
        <w:t>) ¿Puede una entidad estatal considerar al SECOP II como un gestor documental suficiente para cumplir con sus deberes legales de conservación, archivo y formalización documental en los procesos de contratación pública?</w:t>
      </w:r>
    </w:p>
    <w:p w14:paraId="58BECA81" w14:textId="11A02352" w:rsidR="00E421C2" w:rsidRPr="009D6F3C" w:rsidRDefault="00E421C2" w:rsidP="66BB9529">
      <w:pPr>
        <w:numPr>
          <w:ilvl w:val="0"/>
          <w:numId w:val="18"/>
        </w:numPr>
        <w:spacing w:after="0" w:line="276" w:lineRule="auto"/>
        <w:jc w:val="both"/>
        <w:rPr>
          <w:rFonts w:ascii="Verdana" w:eastAsia="Century Gothic" w:hAnsi="Verdana" w:cs="Century Gothic"/>
        </w:rPr>
      </w:pPr>
    </w:p>
    <w:p w14:paraId="2A6BA828" w14:textId="77777777" w:rsidR="00E421C2" w:rsidRPr="009D6F3C" w:rsidRDefault="00E421C2" w:rsidP="0031022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D6F3C">
        <w:rPr>
          <w:rFonts w:ascii="Verdana" w:eastAsia="Century Gothic" w:hAnsi="Verdana" w:cs="Century Gothic"/>
          <w:b/>
          <w:bCs/>
          <w:lang w:val="es-ES"/>
        </w:rPr>
        <w:t>Respuestas:</w:t>
      </w:r>
    </w:p>
    <w:p w14:paraId="7F1ED294" w14:textId="77777777" w:rsidR="00E421C2" w:rsidRPr="009D6F3C" w:rsidRDefault="00E421C2" w:rsidP="0031022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21C2" w:rsidRPr="00D92626" w14:paraId="6466677E" w14:textId="77777777" w:rsidTr="66BB9529">
        <w:trPr>
          <w:jc w:val="center"/>
        </w:trPr>
        <w:tc>
          <w:tcPr>
            <w:tcW w:w="8828" w:type="dxa"/>
          </w:tcPr>
          <w:p w14:paraId="5C8185FA" w14:textId="1A2F58BE" w:rsidR="00E421C2" w:rsidRDefault="007579C9" w:rsidP="007579C9">
            <w:pPr>
              <w:spacing w:line="276" w:lineRule="auto"/>
              <w:jc w:val="both"/>
              <w:rPr>
                <w:rFonts w:ascii="Verdana" w:eastAsia="Calibri" w:hAnsi="Verdana" w:cs="Arial"/>
                <w:color w:val="000000" w:themeColor="text1"/>
              </w:rPr>
            </w:pPr>
            <w:bookmarkStart w:id="1" w:name="_Hlk171694685"/>
            <w:r w:rsidRPr="66BB9529">
              <w:rPr>
                <w:rFonts w:ascii="Verdana" w:eastAsia="Calibri" w:hAnsi="Verdana" w:cs="Arial"/>
                <w:color w:val="000000" w:themeColor="text1"/>
              </w:rPr>
              <w:t xml:space="preserve">i) </w:t>
            </w:r>
            <w:r w:rsidR="00E421C2" w:rsidRPr="66BB9529">
              <w:rPr>
                <w:rFonts w:ascii="Verdana" w:eastAsia="Calibri" w:hAnsi="Verdana" w:cs="Arial"/>
                <w:color w:val="000000" w:themeColor="text1"/>
              </w:rPr>
              <w:t xml:space="preserve">Respecto al primer interrogante, debe señalarse que el SECOP II es una plataforma transaccional que permite gestionar en línea todos los procedimientos de contratación, con cuentas y usuarios asociados, tanto para </w:t>
            </w:r>
            <w:r w:rsidR="00E421C2" w:rsidRPr="66BB9529">
              <w:rPr>
                <w:rFonts w:ascii="Verdana" w:eastAsia="Calibri" w:hAnsi="Verdana" w:cs="Arial"/>
                <w:color w:val="000000" w:themeColor="text1"/>
              </w:rPr>
              <w:lastRenderedPageBreak/>
              <w:t xml:space="preserve">las entidades como para los proveedores, y ofrece una vista pública para cualquier interesado que desee hacer seguimiento a la contratación pública. De esta manera, cuando el proceso de contratación se adelanta a través del SECOP II, las publicaciones de las actuaciones en la ejecución de un proceso de contratación, para su perfeccionamiento y posterior ejecución, deben efectuarse en dicha plataforma, de conformidad con el procedimiento establecido. </w:t>
            </w:r>
          </w:p>
          <w:p w14:paraId="6F8214E8" w14:textId="77777777" w:rsidR="007579C9" w:rsidRDefault="007579C9" w:rsidP="66BB9529">
            <w:pPr>
              <w:spacing w:line="276" w:lineRule="auto"/>
              <w:jc w:val="both"/>
              <w:rPr>
                <w:rFonts w:ascii="Verdana" w:eastAsia="Calibri" w:hAnsi="Verdana" w:cs="Arial"/>
                <w:color w:val="000000" w:themeColor="text1"/>
              </w:rPr>
            </w:pPr>
          </w:p>
          <w:p w14:paraId="3D4721A8" w14:textId="4B77FF1F" w:rsidR="00936022" w:rsidRDefault="007579C9" w:rsidP="66BB9529">
            <w:pPr>
              <w:spacing w:line="276" w:lineRule="auto"/>
              <w:jc w:val="both"/>
              <w:rPr>
                <w:rFonts w:ascii="Verdana" w:eastAsia="Calibri" w:hAnsi="Verdana" w:cs="Arial"/>
                <w:color w:val="000000" w:themeColor="text1"/>
              </w:rPr>
            </w:pPr>
            <w:proofErr w:type="spellStart"/>
            <w:r w:rsidRPr="66BB9529">
              <w:rPr>
                <w:rFonts w:ascii="Verdana" w:eastAsia="Calibri" w:hAnsi="Verdana" w:cs="Arial"/>
                <w:color w:val="000000" w:themeColor="text1"/>
              </w:rPr>
              <w:t>ii</w:t>
            </w:r>
            <w:proofErr w:type="spellEnd"/>
            <w:r w:rsidRPr="66BB9529">
              <w:rPr>
                <w:rFonts w:ascii="Verdana" w:eastAsia="Calibri" w:hAnsi="Verdana" w:cs="Arial"/>
                <w:color w:val="000000" w:themeColor="text1"/>
              </w:rPr>
              <w:t xml:space="preserve">) </w:t>
            </w:r>
            <w:r w:rsidR="00E421C2" w:rsidRPr="66BB9529">
              <w:rPr>
                <w:rFonts w:ascii="Verdana" w:eastAsia="Calibri" w:hAnsi="Verdana" w:cs="Arial"/>
                <w:color w:val="000000" w:themeColor="text1"/>
              </w:rPr>
              <w:t xml:space="preserve">Respecto al segundo interrogante, </w:t>
            </w:r>
            <w:r w:rsidR="00440D61" w:rsidRPr="66BB9529">
              <w:rPr>
                <w:rFonts w:ascii="Verdana" w:eastAsia="Calibri" w:hAnsi="Verdana" w:cs="Arial"/>
                <w:color w:val="000000" w:themeColor="text1"/>
              </w:rPr>
              <w:t xml:space="preserve">aunque el SECOP II es una plataforma transaccional que permite gestionar en línea los procedimientos de contratación y conformar expedientes electrónicos, no puede considerarse un gestor documental en sentido estricto, ni exime a las </w:t>
            </w:r>
            <w:r w:rsidR="002C0E59" w:rsidRPr="66BB9529">
              <w:rPr>
                <w:rFonts w:ascii="Verdana" w:eastAsia="Calibri" w:hAnsi="Verdana" w:cs="Arial"/>
                <w:color w:val="000000" w:themeColor="text1"/>
              </w:rPr>
              <w:t>Entidades Estatales</w:t>
            </w:r>
            <w:r w:rsidR="00440D61" w:rsidRPr="66BB9529">
              <w:rPr>
                <w:rFonts w:ascii="Verdana" w:eastAsia="Calibri" w:hAnsi="Verdana" w:cs="Arial"/>
                <w:color w:val="000000" w:themeColor="text1"/>
              </w:rPr>
              <w:t xml:space="preserve"> de sus responsabilidades legales en materia de archivo y conservación documental.</w:t>
            </w:r>
            <w:r w:rsidR="00890DFC" w:rsidRPr="66BB9529">
              <w:rPr>
                <w:rFonts w:ascii="Verdana" w:eastAsia="Calibri" w:hAnsi="Verdana" w:cs="Arial"/>
                <w:color w:val="000000" w:themeColor="text1"/>
              </w:rPr>
              <w:t xml:space="preserve"> </w:t>
            </w:r>
          </w:p>
          <w:p w14:paraId="539828DA" w14:textId="482A9482" w:rsidR="00936022" w:rsidRPr="00936022" w:rsidRDefault="00890DFC" w:rsidP="66BB9529">
            <w:pPr>
              <w:spacing w:after="120" w:line="276" w:lineRule="auto"/>
              <w:ind w:firstLine="709"/>
              <w:jc w:val="both"/>
              <w:rPr>
                <w:rFonts w:ascii="Verdana" w:eastAsia="Calibri" w:hAnsi="Verdana" w:cs="Arial"/>
                <w:color w:val="000000" w:themeColor="text1"/>
              </w:rPr>
            </w:pPr>
            <w:r w:rsidRPr="66BB9529">
              <w:rPr>
                <w:rFonts w:ascii="Verdana" w:eastAsia="Calibri" w:hAnsi="Verdana" w:cs="Arial"/>
                <w:color w:val="000000" w:themeColor="text1"/>
              </w:rPr>
              <w:t xml:space="preserve">En ese sentido, </w:t>
            </w:r>
            <w:r w:rsidR="00440D61" w:rsidRPr="66BB9529">
              <w:rPr>
                <w:rFonts w:ascii="Verdana" w:eastAsia="Calibri" w:hAnsi="Verdana" w:cs="Arial"/>
                <w:color w:val="000000" w:themeColor="text1"/>
              </w:rPr>
              <w:t xml:space="preserve">la responsabilidad sobre la administración, custodia, completitud y calidad de la información recae exclusivamente en cada </w:t>
            </w:r>
            <w:r w:rsidR="002C0E59" w:rsidRPr="66BB9529">
              <w:rPr>
                <w:rFonts w:ascii="Verdana" w:eastAsia="Calibri" w:hAnsi="Verdana" w:cs="Arial"/>
                <w:color w:val="000000" w:themeColor="text1"/>
              </w:rPr>
              <w:t>Entidad Estatal</w:t>
            </w:r>
            <w:r w:rsidR="00666099" w:rsidRPr="66BB9529">
              <w:rPr>
                <w:rFonts w:ascii="Verdana" w:eastAsia="Calibri" w:hAnsi="Verdana" w:cs="Arial"/>
                <w:color w:val="000000" w:themeColor="text1"/>
              </w:rPr>
              <w:t>, las cuales deben implementar medidas complementarias para garantizar la integridad y conservación de sus expedientes contractuales.</w:t>
            </w:r>
            <w:r w:rsidR="00936022" w:rsidRPr="66BB9529">
              <w:rPr>
                <w:rFonts w:ascii="Verdana" w:eastAsia="Calibri" w:hAnsi="Verdana" w:cs="Arial"/>
                <w:color w:val="000000" w:themeColor="text1"/>
              </w:rPr>
              <w:t xml:space="preserve"> La Agencia Nacional de Contratación Pública – Colombia Compra Eficiente garantiza la inalterabilidad y disponibilidad de la información en SECOP II, pero no asume la función de archivo institucional ni puede realizar procesos de disposición final de documentos.</w:t>
            </w:r>
          </w:p>
          <w:p w14:paraId="0236215D" w14:textId="77777777" w:rsidR="00666099" w:rsidRDefault="00725A60" w:rsidP="66BB9529">
            <w:pPr>
              <w:spacing w:after="120" w:line="276" w:lineRule="auto"/>
              <w:ind w:firstLine="709"/>
              <w:jc w:val="both"/>
              <w:rPr>
                <w:rFonts w:ascii="Verdana" w:eastAsia="Calibri" w:hAnsi="Verdana" w:cs="Arial"/>
                <w:color w:val="000000" w:themeColor="text1"/>
              </w:rPr>
            </w:pPr>
            <w:r w:rsidRPr="66BB9529">
              <w:rPr>
                <w:rFonts w:ascii="Verdana" w:eastAsia="Calibri" w:hAnsi="Verdana" w:cs="Arial"/>
                <w:color w:val="000000" w:themeColor="text1"/>
              </w:rPr>
              <w:t>Asimismo, e</w:t>
            </w:r>
            <w:r w:rsidR="00440D61" w:rsidRPr="66BB9529">
              <w:rPr>
                <w:rFonts w:ascii="Verdana" w:eastAsia="Calibri" w:hAnsi="Verdana" w:cs="Arial"/>
                <w:color w:val="000000" w:themeColor="text1"/>
              </w:rPr>
              <w:t>l uso del SECOP II no reemplaza las formalidades</w:t>
            </w:r>
            <w:r w:rsidR="00666099" w:rsidRPr="66BB9529">
              <w:rPr>
                <w:rFonts w:ascii="Verdana" w:eastAsia="Calibri" w:hAnsi="Verdana" w:cs="Arial"/>
                <w:color w:val="000000" w:themeColor="text1"/>
              </w:rPr>
              <w:t xml:space="preserve"> o procedimientos</w:t>
            </w:r>
            <w:r w:rsidR="00440D61" w:rsidRPr="66BB9529">
              <w:rPr>
                <w:rFonts w:ascii="Verdana" w:eastAsia="Calibri" w:hAnsi="Verdana" w:cs="Arial"/>
                <w:color w:val="000000" w:themeColor="text1"/>
              </w:rPr>
              <w:t xml:space="preserve"> intern</w:t>
            </w:r>
            <w:r w:rsidR="00666099" w:rsidRPr="66BB9529">
              <w:rPr>
                <w:rFonts w:ascii="Verdana" w:eastAsia="Calibri" w:hAnsi="Verdana" w:cs="Arial"/>
                <w:color w:val="000000" w:themeColor="text1"/>
              </w:rPr>
              <w:t>o</w:t>
            </w:r>
            <w:r w:rsidR="00440D61" w:rsidRPr="66BB9529">
              <w:rPr>
                <w:rFonts w:ascii="Verdana" w:eastAsia="Calibri" w:hAnsi="Verdana" w:cs="Arial"/>
                <w:color w:val="000000" w:themeColor="text1"/>
              </w:rPr>
              <w:t>s definid</w:t>
            </w:r>
            <w:r w:rsidR="00666099" w:rsidRPr="66BB9529">
              <w:rPr>
                <w:rFonts w:ascii="Verdana" w:eastAsia="Calibri" w:hAnsi="Verdana" w:cs="Arial"/>
                <w:color w:val="000000" w:themeColor="text1"/>
              </w:rPr>
              <w:t>o</w:t>
            </w:r>
            <w:r w:rsidR="00440D61" w:rsidRPr="66BB9529">
              <w:rPr>
                <w:rFonts w:ascii="Verdana" w:eastAsia="Calibri" w:hAnsi="Verdana" w:cs="Arial"/>
                <w:color w:val="000000" w:themeColor="text1"/>
              </w:rPr>
              <w:t>s en los manuales de contratación, como la elaboración y suscripción de actas de comités o juntas.</w:t>
            </w:r>
            <w:r w:rsidR="00FD032C" w:rsidRPr="66BB9529">
              <w:rPr>
                <w:rFonts w:ascii="Verdana" w:eastAsia="Calibri" w:hAnsi="Verdana" w:cs="Arial"/>
                <w:color w:val="000000" w:themeColor="text1"/>
              </w:rPr>
              <w:t xml:space="preserve"> </w:t>
            </w:r>
          </w:p>
          <w:p w14:paraId="5667BA64" w14:textId="2E514B76" w:rsidR="00E421C2" w:rsidRPr="002F39B0" w:rsidRDefault="00E421C2" w:rsidP="66BB9529">
            <w:pPr>
              <w:spacing w:after="120" w:line="276" w:lineRule="auto"/>
              <w:ind w:firstLine="709"/>
              <w:jc w:val="both"/>
              <w:rPr>
                <w:rFonts w:ascii="Verdana" w:eastAsia="Calibri" w:hAnsi="Verdana" w:cs="Arial"/>
              </w:rPr>
            </w:pPr>
            <w:r w:rsidRPr="66BB9529">
              <w:rPr>
                <w:rFonts w:ascii="Verdana" w:eastAsia="Calibri" w:hAnsi="Verdana" w:cs="Arial"/>
                <w:color w:val="000000" w:themeColor="text1"/>
              </w:rPr>
              <w:t>Finalmente</w:t>
            </w:r>
            <w:r w:rsidRPr="66BB9529">
              <w:rPr>
                <w:rFonts w:ascii="Verdana" w:eastAsia="Calibri" w:hAnsi="Verdana" w:cs="Arial"/>
                <w:lang w:val="es-ES"/>
              </w:rPr>
              <w:t>, es importante aclarar que, teniendo</w:t>
            </w:r>
            <w:r>
              <w:t xml:space="preserve"> </w:t>
            </w:r>
            <w:r w:rsidRPr="66BB9529">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00936022" w:rsidRPr="66BB9529">
              <w:rPr>
                <w:rFonts w:ascii="Verdana" w:eastAsia="Calibri" w:hAnsi="Verdana" w:cs="Arial"/>
                <w:lang w:val="es-ES"/>
              </w:rPr>
              <w:t xml:space="preserve">pero </w:t>
            </w:r>
            <w:r w:rsidR="00936022" w:rsidRPr="66BB9529">
              <w:rPr>
                <w:rFonts w:ascii="Verdana" w:eastAsia="Calibri" w:hAnsi="Verdana" w:cs="Arial"/>
                <w:i/>
                <w:iCs/>
                <w:lang w:val="es-ES"/>
              </w:rPr>
              <w:t xml:space="preserve">no </w:t>
            </w:r>
            <w:r w:rsidRPr="66BB9529">
              <w:rPr>
                <w:rFonts w:ascii="Verdana" w:eastAsia="Calibri" w:hAnsi="Verdana" w:cs="Arial"/>
                <w:i/>
                <w:iCs/>
                <w:lang w:val="es-ES"/>
              </w:rPr>
              <w:t>es la idónea para establecer la validez de situaci</w:t>
            </w:r>
            <w:r w:rsidR="00936022" w:rsidRPr="66BB9529">
              <w:rPr>
                <w:rFonts w:ascii="Verdana" w:eastAsia="Calibri" w:hAnsi="Verdana" w:cs="Arial"/>
                <w:i/>
                <w:iCs/>
                <w:lang w:val="es-ES"/>
              </w:rPr>
              <w:t xml:space="preserve">ones particulares. </w:t>
            </w:r>
            <w:r w:rsidRPr="66BB9529">
              <w:rPr>
                <w:rFonts w:ascii="Verdana" w:eastAsia="Calibri" w:hAnsi="Verdana" w:cs="Arial"/>
                <w:lang w:val="es-ES"/>
              </w:rPr>
              <w:t>Lo anterior</w:t>
            </w:r>
            <w:r w:rsidRPr="66BB9529">
              <w:rPr>
                <w:rFonts w:ascii="Verdana" w:eastAsia="Calibri" w:hAnsi="Verdana" w:cs="Arial"/>
                <w:color w:val="000000" w:themeColor="text1"/>
              </w:rPr>
              <w:t xml:space="preserve"> debido a que la competencia consultiva se fija con límites claros, con el objeto de evitar que se actúe como una instancia de validación de las actuaciones de las entidades sujetas a la Ley 80 de 1993 o de los demás participantes en la contratación pública, lo cual corresponde a la competencia de los entes de control y los jueces de la República.</w:t>
            </w:r>
          </w:p>
        </w:tc>
      </w:tr>
    </w:tbl>
    <w:p w14:paraId="479D2C75" w14:textId="77777777" w:rsidR="00E421C2" w:rsidRPr="00D92626" w:rsidRDefault="00E421C2" w:rsidP="003C1336">
      <w:pPr>
        <w:tabs>
          <w:tab w:val="left" w:pos="142"/>
          <w:tab w:val="left" w:pos="284"/>
        </w:tabs>
        <w:spacing w:after="0" w:line="276" w:lineRule="auto"/>
        <w:jc w:val="both"/>
        <w:rPr>
          <w:rFonts w:ascii="Verdana" w:eastAsia="Century Gothic" w:hAnsi="Verdana" w:cs="Century Gothic"/>
          <w:b/>
          <w:bCs/>
          <w:lang w:val="es-ES"/>
        </w:rPr>
      </w:pPr>
    </w:p>
    <w:bookmarkEnd w:id="1"/>
    <w:p w14:paraId="73BF5C9E" w14:textId="77777777" w:rsidR="00E421C2" w:rsidRPr="00D92626" w:rsidRDefault="00E421C2" w:rsidP="003C13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Razones de las respuestas:</w:t>
      </w:r>
    </w:p>
    <w:p w14:paraId="0F510A9E" w14:textId="77777777" w:rsidR="00E421C2" w:rsidRPr="00D92626" w:rsidRDefault="00E421C2" w:rsidP="003C1336">
      <w:pPr>
        <w:spacing w:after="0" w:line="276" w:lineRule="auto"/>
        <w:jc w:val="both"/>
        <w:rPr>
          <w:rFonts w:ascii="Verdana" w:eastAsia="Calibri" w:hAnsi="Verdana" w:cs="Arial"/>
          <w:color w:val="7030A0"/>
          <w:lang w:val="es-ES"/>
        </w:rPr>
      </w:pPr>
    </w:p>
    <w:p w14:paraId="3311148F" w14:textId="77777777" w:rsidR="00E421C2" w:rsidRPr="00D92626" w:rsidRDefault="00E421C2" w:rsidP="003C1336">
      <w:pPr>
        <w:spacing w:after="0" w:line="276" w:lineRule="auto"/>
        <w:jc w:val="both"/>
        <w:rPr>
          <w:rFonts w:ascii="Verdana" w:eastAsia="Calibri" w:hAnsi="Verdana" w:cs="Arial"/>
          <w:lang w:val="es-ES"/>
        </w:rPr>
      </w:pPr>
      <w:r w:rsidRPr="00D92626">
        <w:rPr>
          <w:rFonts w:ascii="Verdana" w:eastAsia="Calibri" w:hAnsi="Verdana" w:cs="Arial"/>
          <w:lang w:val="es-ES"/>
        </w:rPr>
        <w:t>Lo anterior se sustenta en las siguientes consideraciones:</w:t>
      </w:r>
    </w:p>
    <w:p w14:paraId="314E7E87" w14:textId="77777777" w:rsidR="00E421C2" w:rsidRPr="00D92626" w:rsidRDefault="00E421C2" w:rsidP="003C1336">
      <w:pPr>
        <w:spacing w:after="0" w:line="276" w:lineRule="auto"/>
        <w:jc w:val="both"/>
        <w:rPr>
          <w:rFonts w:ascii="Verdana" w:eastAsia="Calibri" w:hAnsi="Verdana" w:cs="Arial"/>
          <w:color w:val="000000" w:themeColor="text1"/>
        </w:rPr>
      </w:pPr>
    </w:p>
    <w:p w14:paraId="50F6BC67" w14:textId="77777777" w:rsidR="003C419F" w:rsidRDefault="003C419F" w:rsidP="66BB9529">
      <w:pPr>
        <w:spacing w:after="0" w:line="276" w:lineRule="auto"/>
        <w:jc w:val="both"/>
        <w:rPr>
          <w:rFonts w:ascii="Verdana" w:eastAsia="Calibri" w:hAnsi="Verdana" w:cs="Arial"/>
          <w:color w:val="000000" w:themeColor="text1"/>
        </w:rPr>
      </w:pPr>
    </w:p>
    <w:p w14:paraId="1767F2D2" w14:textId="5B67B2DD" w:rsidR="00F86495" w:rsidRDefault="008056E1" w:rsidP="66BB9529">
      <w:pPr>
        <w:spacing w:after="120" w:line="276" w:lineRule="auto"/>
        <w:jc w:val="both"/>
        <w:rPr>
          <w:rFonts w:ascii="Verdana" w:eastAsia="Calibri" w:hAnsi="Verdana" w:cs="Arial"/>
        </w:rPr>
      </w:pPr>
      <w:r w:rsidRPr="66BB9529">
        <w:rPr>
          <w:rFonts w:ascii="Verdana" w:eastAsia="Calibri" w:hAnsi="Verdana" w:cs="Arial"/>
          <w:lang w:val="es-ES"/>
        </w:rPr>
        <w:t>R</w:t>
      </w:r>
      <w:r w:rsidR="00310220" w:rsidRPr="66BB9529">
        <w:rPr>
          <w:rFonts w:ascii="Verdana" w:eastAsia="Calibri" w:hAnsi="Verdana" w:cs="Arial"/>
          <w:lang w:val="es-ES"/>
        </w:rPr>
        <w:t xml:space="preserve">especto a la obligación de publicar los documentos del proceso de contratación, </w:t>
      </w:r>
      <w:r w:rsidR="00310220" w:rsidRPr="66BB9529">
        <w:rPr>
          <w:rFonts w:ascii="Verdana" w:eastAsia="Calibri" w:hAnsi="Verdana" w:cs="Arial"/>
        </w:rPr>
        <w:t>la Constitución Política de 1991 consagra en varios artículos la publicidad como un principio rector del Estado colombiano. El artículo 209 afirma que la publicidad es uno de los principios que fundamentan el ejercicio de la función administrativa</w:t>
      </w:r>
      <w:r w:rsidR="00F86495" w:rsidRPr="66BB9529">
        <w:rPr>
          <w:rFonts w:ascii="Verdana" w:eastAsia="Calibri" w:hAnsi="Verdana" w:cs="Arial"/>
        </w:rPr>
        <w:t xml:space="preserve">; </w:t>
      </w:r>
      <w:r w:rsidR="00310220" w:rsidRPr="66BB9529">
        <w:rPr>
          <w:rFonts w:ascii="Verdana" w:eastAsia="Calibri" w:hAnsi="Verdana" w:cs="Arial"/>
        </w:rPr>
        <w:t>y el</w:t>
      </w:r>
      <w:r w:rsidR="00F86495" w:rsidRPr="66BB9529">
        <w:rPr>
          <w:rFonts w:ascii="Verdana" w:eastAsia="Calibri" w:hAnsi="Verdana" w:cs="Arial"/>
        </w:rPr>
        <w:t xml:space="preserve"> artículo</w:t>
      </w:r>
      <w:r w:rsidR="00310220" w:rsidRPr="66BB9529">
        <w:rPr>
          <w:rFonts w:ascii="Verdana" w:eastAsia="Calibri" w:hAnsi="Verdana" w:cs="Arial"/>
        </w:rPr>
        <w:t xml:space="preserve"> 74 establece la garantía de acceso a los documentos públicos que no gocen de reserva. </w:t>
      </w:r>
    </w:p>
    <w:p w14:paraId="796F20E6" w14:textId="23809885" w:rsidR="00310220" w:rsidRPr="00886B87" w:rsidRDefault="00310220" w:rsidP="66BB9529">
      <w:pPr>
        <w:spacing w:after="0" w:line="276" w:lineRule="auto"/>
        <w:ind w:firstLine="708"/>
        <w:jc w:val="both"/>
        <w:rPr>
          <w:rFonts w:ascii="Verdana" w:eastAsia="Calibri" w:hAnsi="Verdana" w:cs="Arial"/>
          <w:lang w:val="es-ES"/>
        </w:rPr>
      </w:pPr>
      <w:r w:rsidRPr="66BB9529">
        <w:rPr>
          <w:rFonts w:ascii="Verdana" w:eastAsia="Calibri" w:hAnsi="Verdana" w:cs="Arial"/>
        </w:rPr>
        <w:t>En línea con lo anterior, la Corte Constitucional ha señalado que el principio de publicidad es la garantía que tienen las personas de conocer las actuaciones judiciales y administrativas:</w:t>
      </w:r>
    </w:p>
    <w:p w14:paraId="5F6B3947" w14:textId="77777777" w:rsidR="003C1336" w:rsidRPr="00B428B4" w:rsidRDefault="003C1336" w:rsidP="66BB9529">
      <w:pPr>
        <w:spacing w:after="0" w:line="276" w:lineRule="auto"/>
        <w:ind w:left="709" w:right="709"/>
        <w:jc w:val="both"/>
        <w:rPr>
          <w:rFonts w:ascii="Verdana" w:eastAsia="Calibri" w:hAnsi="Verdana" w:cs="Arial"/>
          <w:lang w:val="es-ES"/>
        </w:rPr>
      </w:pPr>
    </w:p>
    <w:p w14:paraId="374DFDE8" w14:textId="5C9C924E" w:rsidR="00310220" w:rsidRPr="00B428B4" w:rsidRDefault="003C1336" w:rsidP="66BB9529">
      <w:pPr>
        <w:spacing w:after="0" w:line="240" w:lineRule="auto"/>
        <w:ind w:left="709" w:right="709"/>
        <w:jc w:val="both"/>
        <w:rPr>
          <w:rFonts w:ascii="Verdana" w:eastAsia="Calibri" w:hAnsi="Verdana" w:cs="Arial"/>
          <w:sz w:val="20"/>
          <w:szCs w:val="20"/>
          <w:lang w:val="es-ES"/>
        </w:rPr>
      </w:pPr>
      <w:r w:rsidRPr="66BB9529">
        <w:rPr>
          <w:rFonts w:ascii="Verdana" w:eastAsia="Calibri" w:hAnsi="Verdana" w:cs="Arial"/>
          <w:sz w:val="20"/>
          <w:szCs w:val="20"/>
          <w:lang w:val="es-ES"/>
        </w:rPr>
        <w:t>“</w:t>
      </w:r>
      <w:r w:rsidR="00310220" w:rsidRPr="66BB9529">
        <w:rPr>
          <w:rFonts w:ascii="Verdana" w:eastAsia="Calibri" w:hAnsi="Verdana" w:cs="Arial"/>
          <w:sz w:val="20"/>
          <w:szCs w:val="20"/>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2AF098E" w14:textId="77777777" w:rsidR="003C1336" w:rsidRDefault="003C1336" w:rsidP="003C1336">
      <w:pPr>
        <w:spacing w:after="0" w:line="240" w:lineRule="auto"/>
        <w:ind w:left="709" w:right="709"/>
        <w:jc w:val="both"/>
        <w:rPr>
          <w:rFonts w:ascii="Verdana" w:eastAsia="Calibri" w:hAnsi="Verdana" w:cs="Arial"/>
          <w:sz w:val="20"/>
          <w:szCs w:val="20"/>
          <w:lang w:val="es-ES"/>
        </w:rPr>
      </w:pPr>
    </w:p>
    <w:p w14:paraId="46128BEA" w14:textId="70D2ADF3" w:rsidR="00310220" w:rsidRDefault="00310220" w:rsidP="66BB9529">
      <w:pPr>
        <w:spacing w:after="0" w:line="240" w:lineRule="auto"/>
        <w:ind w:left="709" w:right="709"/>
        <w:jc w:val="both"/>
        <w:rPr>
          <w:rFonts w:ascii="Verdana" w:eastAsia="Calibri" w:hAnsi="Verdana" w:cs="Arial"/>
          <w:sz w:val="20"/>
          <w:szCs w:val="20"/>
          <w:lang w:val="es-ES"/>
        </w:rPr>
      </w:pPr>
      <w:r w:rsidRPr="003C1336">
        <w:rPr>
          <w:rFonts w:ascii="Verdana" w:eastAsia="Calibri" w:hAnsi="Verdana" w:cs="Arial"/>
          <w:sz w:val="20"/>
          <w:szCs w:val="20"/>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3C1336">
        <w:rPr>
          <w:rFonts w:ascii="Verdana" w:eastAsia="Calibri" w:hAnsi="Verdana" w:cs="Arial"/>
          <w:sz w:val="20"/>
          <w:szCs w:val="20"/>
          <w:lang w:val="es-ES"/>
        </w:rPr>
        <w:t>autoridades públicas</w:t>
      </w:r>
      <w:proofErr w:type="gramEnd"/>
      <w:r w:rsidRPr="003C1336">
        <w:rPr>
          <w:rFonts w:ascii="Verdana" w:eastAsia="Calibri" w:hAnsi="Verdana" w:cs="Arial"/>
          <w:sz w:val="20"/>
          <w:szCs w:val="20"/>
          <w:lang w:val="es-ES"/>
        </w:rPr>
        <w:t xml:space="preserve"> y, a través de ese conocimiento, a exigir que ellas se surtan conforme a la ley</w:t>
      </w:r>
      <w:r w:rsidR="003C1336">
        <w:rPr>
          <w:rFonts w:ascii="Verdana" w:eastAsia="Calibri" w:hAnsi="Verdana" w:cs="Arial"/>
          <w:sz w:val="20"/>
          <w:szCs w:val="20"/>
          <w:lang w:val="es-ES"/>
        </w:rPr>
        <w:t>”</w:t>
      </w:r>
      <w:r w:rsidRPr="00B428B4">
        <w:rPr>
          <w:rFonts w:ascii="Verdana" w:eastAsia="Calibri" w:hAnsi="Verdana" w:cs="Arial"/>
          <w:sz w:val="20"/>
          <w:szCs w:val="20"/>
          <w:vertAlign w:val="superscript"/>
          <w:lang w:val="es-ES"/>
        </w:rPr>
        <w:footnoteReference w:id="1"/>
      </w:r>
      <w:r w:rsidRPr="003C1336">
        <w:rPr>
          <w:rFonts w:ascii="Verdana" w:eastAsia="Calibri" w:hAnsi="Verdana" w:cs="Arial"/>
          <w:sz w:val="20"/>
          <w:szCs w:val="20"/>
          <w:lang w:val="es-ES"/>
        </w:rPr>
        <w:t>.</w:t>
      </w:r>
    </w:p>
    <w:p w14:paraId="08327A46" w14:textId="77777777" w:rsidR="003C1336" w:rsidRPr="003C1336" w:rsidRDefault="003C1336" w:rsidP="66BB9529">
      <w:pPr>
        <w:spacing w:after="0" w:line="276" w:lineRule="auto"/>
        <w:ind w:left="709" w:right="709" w:firstLine="567"/>
        <w:jc w:val="both"/>
        <w:rPr>
          <w:rFonts w:ascii="Verdana" w:eastAsia="Calibri" w:hAnsi="Verdana" w:cs="Arial"/>
          <w:lang w:val="es-ES"/>
        </w:rPr>
      </w:pPr>
    </w:p>
    <w:p w14:paraId="508E79A8" w14:textId="77777777" w:rsidR="00310220" w:rsidRPr="00886B87" w:rsidRDefault="00310220" w:rsidP="66BB9529">
      <w:pPr>
        <w:spacing w:after="120" w:line="276" w:lineRule="auto"/>
        <w:ind w:firstLine="567"/>
        <w:jc w:val="both"/>
        <w:rPr>
          <w:rFonts w:ascii="Verdana" w:eastAsia="Calibri" w:hAnsi="Verdana" w:cs="Arial"/>
        </w:rPr>
      </w:pPr>
      <w:r w:rsidRPr="66BB9529">
        <w:rPr>
          <w:rFonts w:ascii="Verdana" w:eastAsia="Calibri" w:hAnsi="Verdana" w:cs="Arial"/>
        </w:rPr>
        <w:t>En efecto, el principio de publicidad impone a las autoridades administrativas el deber de dar a conocer sus actos, contratos y decisiones, para que se divulguen y eventualmente se controlen dichas actuaciones.</w:t>
      </w:r>
    </w:p>
    <w:p w14:paraId="04DE0038" w14:textId="77777777" w:rsidR="00310220" w:rsidRPr="00886B87" w:rsidRDefault="00310220" w:rsidP="66BB9529">
      <w:pPr>
        <w:spacing w:after="120" w:line="276" w:lineRule="auto"/>
        <w:ind w:firstLine="567"/>
        <w:jc w:val="both"/>
        <w:rPr>
          <w:rFonts w:ascii="Verdana" w:eastAsia="Calibri" w:hAnsi="Verdana" w:cs="Arial"/>
        </w:rPr>
      </w:pPr>
      <w:r w:rsidRPr="66BB9529">
        <w:rPr>
          <w:rFonts w:ascii="Verdana" w:eastAsia="Calibri" w:hAnsi="Verdana" w:cs="Arial"/>
        </w:rPr>
        <w:t xml:space="preserve">De otra parte, la Ley 1712 de 2014 –Ley Estatutaria de transparencia y derecho de acceso a la información y a los documentos públicos–, identifica como principios que orientan el derecho de acceso a la información pública, los de máxima publicidad, transparencia en la información y buena fe. El principio de máxima publicidad establece que “toda información en posesión, bajo control o custodia de un sujeto obligado es pública y no podrá ser reservada o limitada </w:t>
      </w:r>
      <w:r w:rsidRPr="66BB9529">
        <w:rPr>
          <w:rFonts w:ascii="Verdana" w:eastAsia="Calibri" w:hAnsi="Verdana" w:cs="Arial"/>
        </w:rPr>
        <w:lastRenderedPageBreak/>
        <w:t xml:space="preserve">sino por disposición constitucional o </w:t>
      </w:r>
      <w:r w:rsidRPr="00886B87">
        <w:rPr>
          <w:rFonts w:ascii="Verdana" w:eastAsia="Calibri" w:hAnsi="Verdana" w:cs="Arial"/>
        </w:rPr>
        <w:t>legal”</w:t>
      </w:r>
      <w:r w:rsidRPr="00886B87">
        <w:rPr>
          <w:rFonts w:ascii="Verdana" w:eastAsia="Calibri" w:hAnsi="Verdana" w:cs="Arial"/>
          <w:vertAlign w:val="superscript"/>
        </w:rPr>
        <w:footnoteReference w:id="2"/>
      </w:r>
      <w:r w:rsidRPr="00886B87">
        <w:rPr>
          <w:rFonts w:ascii="Verdana" w:eastAsia="Calibri" w:hAnsi="Verdana" w:cs="Arial"/>
        </w:rPr>
        <w:t xml:space="preserve">. El principio de transparencia en la información alude al deber de los sujetos de proporcionar y facilitar el acceso a la misma en los términos más amplios posibles, y a través de los medios y procedimientos legales. </w:t>
      </w:r>
    </w:p>
    <w:p w14:paraId="53BB242F" w14:textId="47DE7C1E" w:rsidR="00310220" w:rsidRPr="00886B87" w:rsidRDefault="00310220" w:rsidP="66BB9529">
      <w:pPr>
        <w:spacing w:after="120" w:line="276" w:lineRule="auto"/>
        <w:ind w:firstLine="567"/>
        <w:jc w:val="both"/>
        <w:rPr>
          <w:rFonts w:ascii="Verdana" w:eastAsia="Calibri" w:hAnsi="Verdana" w:cs="Arial"/>
        </w:rPr>
      </w:pPr>
      <w:r w:rsidRPr="00886B87">
        <w:rPr>
          <w:rFonts w:ascii="Verdana" w:eastAsia="Calibri" w:hAnsi="Verdana" w:cs="Arial"/>
        </w:rPr>
        <w:t xml:space="preserve">Adicionalmente, establece que todas las </w:t>
      </w:r>
      <w:r w:rsidR="00F86495" w:rsidRPr="00886B87">
        <w:rPr>
          <w:rFonts w:ascii="Verdana" w:eastAsia="Calibri" w:hAnsi="Verdana" w:cs="Arial"/>
        </w:rPr>
        <w:t>Entidades</w:t>
      </w:r>
      <w:r w:rsidR="00F86495" w:rsidRPr="66BB9529">
        <w:rPr>
          <w:rFonts w:ascii="Verdana" w:eastAsia="Calibri" w:hAnsi="Verdana" w:cs="Arial"/>
          <w:lang w:val="es-ES"/>
        </w:rPr>
        <w:t xml:space="preserve"> Públicas</w:t>
      </w:r>
      <w:r w:rsidRPr="00886B87">
        <w:rPr>
          <w:rFonts w:ascii="Verdana" w:eastAsia="Calibri" w:hAnsi="Verdana" w:cs="Arial"/>
          <w:vertAlign w:val="superscript"/>
          <w:lang w:val="es-ES_tradnl"/>
        </w:rPr>
        <w:footnoteReference w:id="3"/>
      </w:r>
      <w:r w:rsidRPr="66BB9529">
        <w:rPr>
          <w:rFonts w:ascii="Verdana" w:eastAsia="Calibri" w:hAnsi="Verdana" w:cs="Arial"/>
          <w:lang w:val="es-ES"/>
        </w:rPr>
        <w:t xml:space="preserve"> deben publicar la información relativa a su contratación.</w:t>
      </w:r>
      <w:r w:rsidRPr="00886B87">
        <w:rPr>
          <w:rFonts w:ascii="Verdana" w:eastAsia="Calibri" w:hAnsi="Verdana" w:cs="Arial"/>
        </w:rPr>
        <w:t xml:space="preserve"> Por su parte, el literal g) del artículo 11 señala que las Entidades deben garantizar la publicidad de “sus procedimientos, lineamientos, políticas en materia de adquisiciones y compras, así como todos los datos de adjudicación y ejecución de contratos, incluidos concursos y licitaciones”. </w:t>
      </w:r>
    </w:p>
    <w:p w14:paraId="4D67EF9F" w14:textId="28A7B7BC" w:rsidR="00310220" w:rsidRPr="00886B87" w:rsidRDefault="00310220" w:rsidP="66BB9529">
      <w:pPr>
        <w:spacing w:after="120" w:line="276" w:lineRule="auto"/>
        <w:ind w:firstLine="567"/>
        <w:jc w:val="both"/>
        <w:rPr>
          <w:rFonts w:ascii="Verdana" w:eastAsia="Calibri" w:hAnsi="Verdana" w:cs="Arial"/>
        </w:rPr>
      </w:pPr>
      <w:r w:rsidRPr="66BB9529">
        <w:rPr>
          <w:rFonts w:ascii="Verdana" w:eastAsia="Calibri" w:hAnsi="Verdana" w:cs="Arial"/>
          <w:lang w:val="es-ES"/>
        </w:rPr>
        <w:t>Esta obligación fue desarrollada expresamente en el Decreto Único Reglamentario 1082 de 2015</w:t>
      </w:r>
      <w:r w:rsidRPr="00886B87">
        <w:rPr>
          <w:rFonts w:ascii="Verdana" w:eastAsia="Calibri" w:hAnsi="Verdana" w:cs="Arial"/>
          <w:vertAlign w:val="superscript"/>
          <w:lang w:val="es-ES_tradnl"/>
        </w:rPr>
        <w:footnoteReference w:id="4"/>
      </w:r>
      <w:r w:rsidRPr="66BB9529">
        <w:rPr>
          <w:rFonts w:ascii="Verdana" w:eastAsia="Calibri" w:hAnsi="Verdana" w:cs="Arial"/>
          <w:lang w:val="es-ES"/>
        </w:rPr>
        <w:t xml:space="preserve">, el cual dispuso que la publicación de la información contractual de los sujetos que contratan con cargo a recursos públicos debe hacerse en el </w:t>
      </w:r>
      <w:r w:rsidR="00E45786" w:rsidRPr="002225F3">
        <w:rPr>
          <w:rFonts w:ascii="Verdana" w:eastAsia="Calibri" w:hAnsi="Verdana" w:cs="Arial"/>
          <w:color w:val="000000" w:themeColor="text1"/>
        </w:rPr>
        <w:t>Sistema Electrónico de Contratación Pública –</w:t>
      </w:r>
      <w:r w:rsidR="00745617">
        <w:rPr>
          <w:rFonts w:ascii="Verdana" w:eastAsia="Calibri" w:hAnsi="Verdana" w:cs="Arial"/>
          <w:color w:val="000000" w:themeColor="text1"/>
        </w:rPr>
        <w:t xml:space="preserve"> </w:t>
      </w:r>
      <w:r w:rsidR="00E45786">
        <w:rPr>
          <w:rFonts w:ascii="Verdana" w:eastAsia="Calibri" w:hAnsi="Verdana" w:cs="Arial"/>
          <w:color w:val="000000" w:themeColor="text1"/>
        </w:rPr>
        <w:t>en a</w:t>
      </w:r>
      <w:r w:rsidR="00745617">
        <w:rPr>
          <w:rFonts w:ascii="Verdana" w:eastAsia="Calibri" w:hAnsi="Verdana" w:cs="Arial"/>
          <w:color w:val="000000" w:themeColor="text1"/>
        </w:rPr>
        <w:t xml:space="preserve">delante </w:t>
      </w:r>
      <w:r w:rsidRPr="66BB9529">
        <w:rPr>
          <w:rFonts w:ascii="Verdana" w:eastAsia="Calibri" w:hAnsi="Verdana" w:cs="Arial"/>
          <w:lang w:val="es-ES"/>
        </w:rPr>
        <w:t>SECOP</w:t>
      </w:r>
      <w:r w:rsidR="00745617" w:rsidRPr="002225F3">
        <w:rPr>
          <w:rFonts w:ascii="Verdana" w:eastAsia="Calibri" w:hAnsi="Verdana" w:cs="Arial"/>
          <w:color w:val="000000" w:themeColor="text1"/>
        </w:rPr>
        <w:t>–</w:t>
      </w:r>
      <w:r w:rsidRPr="66BB9529">
        <w:rPr>
          <w:rFonts w:ascii="Verdana" w:eastAsia="Calibri" w:hAnsi="Verdana" w:cs="Arial"/>
          <w:lang w:val="es-ES"/>
        </w:rPr>
        <w:t xml:space="preserve">. </w:t>
      </w:r>
      <w:r w:rsidR="007D05A5" w:rsidRPr="66BB9529">
        <w:rPr>
          <w:rFonts w:ascii="Verdana" w:eastAsia="Calibri" w:hAnsi="Verdana" w:cs="Arial"/>
          <w:lang w:val="es-ES"/>
        </w:rPr>
        <w:t xml:space="preserve">Particularmente, </w:t>
      </w:r>
      <w:r w:rsidR="007D05A5">
        <w:rPr>
          <w:rFonts w:ascii="Verdana" w:eastAsia="Calibri" w:hAnsi="Verdana" w:cs="Arial"/>
        </w:rPr>
        <w:t>e</w:t>
      </w:r>
      <w:r w:rsidRPr="00886B87">
        <w:rPr>
          <w:rFonts w:ascii="Verdana" w:eastAsia="Calibri" w:hAnsi="Verdana" w:cs="Arial"/>
        </w:rPr>
        <w:t>l artículo 2.2.1.1.1.7.1 del Decreto establece que las Entidades Estatales tienen la obligación de publicar “[…] los Documentos del Proceso y los actos administrativos del Proceso de Contratación, dentro de los tres (3) días siguientes a su expedición […]”. A su vez,</w:t>
      </w:r>
      <w:r w:rsidRPr="66BB9529">
        <w:rPr>
          <w:rFonts w:ascii="Verdana" w:eastAsia="Calibri" w:hAnsi="Verdana" w:cs="Arial"/>
          <w:lang w:val="es-ES"/>
        </w:rPr>
        <w:t xml:space="preserve"> </w:t>
      </w:r>
      <w:r w:rsidRPr="00886B87">
        <w:rPr>
          <w:rFonts w:ascii="Verdana" w:eastAsia="Calibri" w:hAnsi="Verdana" w:cs="Arial"/>
        </w:rPr>
        <w:t xml:space="preserve">la expresión </w:t>
      </w:r>
      <w:r w:rsidRPr="66BB9529">
        <w:rPr>
          <w:rFonts w:ascii="Verdana" w:eastAsia="Calibri" w:hAnsi="Verdana" w:cs="Arial"/>
          <w:i/>
          <w:iCs/>
        </w:rPr>
        <w:t xml:space="preserve">Documentos del Proceso </w:t>
      </w:r>
      <w:r w:rsidRPr="00886B87">
        <w:rPr>
          <w:rFonts w:ascii="Verdana" w:eastAsia="Calibri" w:hAnsi="Verdana" w:cs="Arial"/>
        </w:rPr>
        <w:t xml:space="preserve">está definida en el artículo 2.2.1.1.1.3.1., donde se establece que son: “(a) los estudios y documentos previos; (b) el aviso de convocatoria; (c) los pliegos de condiciones o la invitación; (d) las adendas; (e) la oferta; </w:t>
      </w:r>
      <w:r w:rsidRPr="66BB9529">
        <w:rPr>
          <w:rFonts w:ascii="Verdana" w:eastAsia="Calibri" w:hAnsi="Verdana" w:cs="Arial"/>
          <w:i/>
          <w:iCs/>
        </w:rPr>
        <w:t>(f) el informe de evaluación</w:t>
      </w:r>
      <w:r w:rsidRPr="00886B87">
        <w:rPr>
          <w:rFonts w:ascii="Verdana" w:eastAsia="Calibri" w:hAnsi="Verdana" w:cs="Arial"/>
        </w:rPr>
        <w:t xml:space="preserve">; (g) el contrato; </w:t>
      </w:r>
      <w:r w:rsidRPr="66BB9529">
        <w:rPr>
          <w:rFonts w:ascii="Verdana" w:eastAsia="Calibri" w:hAnsi="Verdana" w:cs="Arial"/>
          <w:i/>
          <w:iCs/>
        </w:rPr>
        <w:t>y cualquier otro documento expedido por la Entidad Estatal durante el Proceso de Contratación</w:t>
      </w:r>
      <w:r w:rsidRPr="00886B87">
        <w:rPr>
          <w:rFonts w:ascii="Verdana" w:eastAsia="Calibri" w:hAnsi="Verdana" w:cs="Arial"/>
        </w:rPr>
        <w:t>”. [Énfasis fuera de texto]</w:t>
      </w:r>
    </w:p>
    <w:p w14:paraId="27608AB8" w14:textId="064E5510" w:rsidR="00310220" w:rsidRPr="00886B87" w:rsidRDefault="00310220" w:rsidP="66BB9529">
      <w:pPr>
        <w:spacing w:after="120" w:line="276" w:lineRule="auto"/>
        <w:ind w:firstLine="567"/>
        <w:jc w:val="both"/>
        <w:rPr>
          <w:rFonts w:ascii="Verdana" w:eastAsia="Calibri" w:hAnsi="Verdana" w:cs="Arial"/>
        </w:rPr>
      </w:pPr>
      <w:r w:rsidRPr="00886B87">
        <w:rPr>
          <w:rFonts w:ascii="Verdana" w:eastAsia="Calibri" w:hAnsi="Verdana" w:cs="Arial"/>
        </w:rPr>
        <w:lastRenderedPageBreak/>
        <w:tab/>
        <w:t xml:space="preserve">El anterior no es un listado taxativo, sino enunciativo, puesto que el artículo 2.2.1.1.1.3.1 incluye en la noción de Documentos del Proceso “cualquier otro documento expedido por la Entidad Estatal durante el Proceso de Contratación”. Este mismo artículo define la expresión </w:t>
      </w:r>
      <w:r w:rsidR="000F7219" w:rsidRPr="66BB9529">
        <w:rPr>
          <w:rFonts w:ascii="Verdana" w:eastAsia="Calibri" w:hAnsi="Verdana" w:cs="Arial"/>
          <w:i/>
          <w:iCs/>
        </w:rPr>
        <w:t>proceso de contratación</w:t>
      </w:r>
      <w:r w:rsidR="000F7219" w:rsidRPr="00886B87">
        <w:rPr>
          <w:rFonts w:ascii="Verdana" w:eastAsia="Calibri" w:hAnsi="Verdana" w:cs="Arial"/>
        </w:rPr>
        <w:t xml:space="preserve"> </w:t>
      </w:r>
      <w:r w:rsidRPr="00886B87">
        <w:rPr>
          <w:rFonts w:ascii="Verdana" w:eastAsia="Calibri" w:hAnsi="Verdana" w:cs="Arial"/>
        </w:rPr>
        <w:t xml:space="preserve">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3DB67429" w14:textId="239062BF" w:rsidR="00310220" w:rsidRPr="00886B87" w:rsidRDefault="00310220" w:rsidP="66BB9529">
      <w:pPr>
        <w:spacing w:after="120" w:line="276" w:lineRule="auto"/>
        <w:ind w:firstLine="567"/>
        <w:jc w:val="both"/>
        <w:rPr>
          <w:rFonts w:ascii="Verdana" w:eastAsia="Calibri" w:hAnsi="Verdana" w:cs="Arial"/>
        </w:rPr>
      </w:pPr>
      <w:r w:rsidRPr="00886B87">
        <w:rPr>
          <w:rFonts w:ascii="Verdana" w:eastAsia="Calibri" w:hAnsi="Verdana" w:cs="Arial"/>
        </w:rPr>
        <w:tab/>
        <w:t xml:space="preserve">En ese sentido, una interpretación sistemática de las disposiciones anteriores del Decreto 1082 de 2015, de acuerdo con el principio de publicidad, indica que las Entidades Estatales tienen la obligación de publicar </w:t>
      </w:r>
      <w:r w:rsidRPr="66BB9529">
        <w:rPr>
          <w:rFonts w:ascii="Verdana" w:eastAsia="Calibri" w:hAnsi="Verdana" w:cs="Arial"/>
          <w:i/>
          <w:iCs/>
        </w:rPr>
        <w:t>todos</w:t>
      </w:r>
      <w:r w:rsidRPr="00886B87">
        <w:rPr>
          <w:rFonts w:ascii="Verdana" w:eastAsia="Calibri" w:hAnsi="Verdana" w:cs="Arial"/>
        </w:rPr>
        <w:t xml:space="preserve"> los documentos que expidan con ocasión del </w:t>
      </w:r>
      <w:r w:rsidR="000F7219" w:rsidRPr="00886B87">
        <w:rPr>
          <w:rFonts w:ascii="Verdana" w:eastAsia="Calibri" w:hAnsi="Verdana" w:cs="Arial"/>
        </w:rPr>
        <w:t>proceso de contratación</w:t>
      </w:r>
      <w:r w:rsidRPr="00886B87">
        <w:rPr>
          <w:rFonts w:ascii="Verdana" w:eastAsia="Calibri" w:hAnsi="Verdana" w:cs="Arial"/>
        </w:rPr>
        <w:t xml:space="preserve">. Este mandato implica que todos los documentos de las etapas precontractual, de ejecución y </w:t>
      </w:r>
      <w:proofErr w:type="spellStart"/>
      <w:r w:rsidRPr="00886B87">
        <w:rPr>
          <w:rFonts w:ascii="Verdana" w:eastAsia="Calibri" w:hAnsi="Verdana" w:cs="Arial"/>
        </w:rPr>
        <w:t>postcontractual</w:t>
      </w:r>
      <w:proofErr w:type="spellEnd"/>
      <w:r w:rsidRPr="00886B87">
        <w:rPr>
          <w:rFonts w:ascii="Verdana" w:eastAsia="Calibri" w:hAnsi="Verdana" w:cs="Arial"/>
        </w:rPr>
        <w:t xml:space="preserve"> deberán ser publicados en SECOP dentro de los tres (3) días siguientes a su expedición para cumplir con lo establecido en el artículo 2.2.1.1.1.7.1. del Decreto 1082 de 2015.</w:t>
      </w:r>
    </w:p>
    <w:p w14:paraId="19D2D94D" w14:textId="3EE26935" w:rsidR="00E139C6" w:rsidRDefault="00E45786" w:rsidP="66BB9529">
      <w:pPr>
        <w:spacing w:after="120" w:line="276" w:lineRule="auto"/>
        <w:ind w:firstLine="567"/>
        <w:jc w:val="both"/>
        <w:rPr>
          <w:rFonts w:ascii="Verdana" w:eastAsia="Calibri" w:hAnsi="Verdana" w:cs="Arial"/>
          <w:color w:val="000000" w:themeColor="text1"/>
        </w:rPr>
      </w:pPr>
      <w:r w:rsidRPr="66BB9529">
        <w:rPr>
          <w:rFonts w:ascii="Verdana" w:eastAsia="Calibri" w:hAnsi="Verdana" w:cs="Arial"/>
          <w:color w:val="000000" w:themeColor="text1"/>
        </w:rPr>
        <w:t>Ahora bien, e</w:t>
      </w:r>
      <w:r w:rsidR="002225F3" w:rsidRPr="66BB9529">
        <w:rPr>
          <w:rFonts w:ascii="Verdana" w:eastAsia="Calibri" w:hAnsi="Verdana" w:cs="Arial"/>
          <w:color w:val="000000" w:themeColor="text1"/>
        </w:rPr>
        <w:t xml:space="preserve">l Sistema Electrónico de Contratación Pública – SECOP </w:t>
      </w:r>
      <w:r w:rsidR="00BD7E99" w:rsidRPr="66BB9529">
        <w:rPr>
          <w:rFonts w:ascii="Verdana" w:eastAsia="Calibri" w:hAnsi="Verdana" w:cs="Arial"/>
          <w:color w:val="000000" w:themeColor="text1"/>
        </w:rPr>
        <w:t xml:space="preserve">– </w:t>
      </w:r>
      <w:r w:rsidR="002225F3" w:rsidRPr="66BB9529">
        <w:rPr>
          <w:rFonts w:ascii="Verdana" w:eastAsia="Calibri" w:hAnsi="Verdana" w:cs="Arial"/>
          <w:color w:val="000000" w:themeColor="text1"/>
        </w:rPr>
        <w:t>es el medio de información oficial de toda la contratación realizada con cargo a recursos públicos. El SECOP es el único punto de ingreso de información y de generación de reportes para las Entidades Estatales, los entes de control y la ciudadanía en general, el cual garantiza que se cumplan los principios de publicidad y transparencia en la gestión contractual.</w:t>
      </w:r>
      <w:r w:rsidR="00E139C6" w:rsidRPr="66BB9529">
        <w:rPr>
          <w:rFonts w:ascii="Verdana" w:eastAsia="Calibri" w:hAnsi="Verdana" w:cs="Arial"/>
          <w:color w:val="000000" w:themeColor="text1"/>
        </w:rPr>
        <w:t xml:space="preserve"> Son componentes del Sistema Electrónico de Contratación las siguientes plataformas administradas por Colombia Compra Eficiente: SECOP I, SECOP II y la Tienda Virtual del Estado Colombiano -TVEC.</w:t>
      </w:r>
      <w:r w:rsidR="00463DB0" w:rsidRPr="66BB9529">
        <w:rPr>
          <w:rFonts w:ascii="Verdana" w:eastAsia="Calibri" w:hAnsi="Verdana" w:cs="Arial"/>
          <w:color w:val="000000" w:themeColor="text1"/>
        </w:rPr>
        <w:t xml:space="preserve"> Teniendo en cuenta el contenido de su consulta, a continuación, se analizará </w:t>
      </w:r>
      <w:r w:rsidR="00805B61" w:rsidRPr="66BB9529">
        <w:rPr>
          <w:rFonts w:ascii="Verdana" w:eastAsia="Calibri" w:hAnsi="Verdana" w:cs="Arial"/>
          <w:color w:val="000000" w:themeColor="text1"/>
        </w:rPr>
        <w:t xml:space="preserve">el carácter y componentes de </w:t>
      </w:r>
      <w:r w:rsidR="004F34C7" w:rsidRPr="66BB9529">
        <w:rPr>
          <w:rFonts w:ascii="Verdana" w:eastAsia="Calibri" w:hAnsi="Verdana" w:cs="Arial"/>
          <w:color w:val="000000" w:themeColor="text1"/>
        </w:rPr>
        <w:t xml:space="preserve">la plataforma SECOP II. </w:t>
      </w:r>
      <w:r w:rsidR="00E139C6" w:rsidRPr="66BB9529">
        <w:rPr>
          <w:rFonts w:ascii="Verdana" w:eastAsia="Calibri" w:hAnsi="Verdana" w:cs="Arial"/>
          <w:color w:val="000000" w:themeColor="text1"/>
        </w:rPr>
        <w:t xml:space="preserve">  </w:t>
      </w:r>
    </w:p>
    <w:p w14:paraId="2B58CCF2" w14:textId="39EF7D76" w:rsidR="00E421C2" w:rsidRPr="00D92626" w:rsidRDefault="00E421C2" w:rsidP="66BB9529">
      <w:pPr>
        <w:spacing w:after="120" w:line="276" w:lineRule="auto"/>
        <w:ind w:firstLine="567"/>
        <w:jc w:val="both"/>
        <w:rPr>
          <w:rFonts w:ascii="Verdana" w:eastAsia="Calibri" w:hAnsi="Verdana" w:cs="Arial"/>
          <w:lang w:val="es-ES"/>
        </w:rPr>
      </w:pPr>
      <w:r w:rsidRPr="66BB9529">
        <w:rPr>
          <w:rFonts w:ascii="Verdana" w:eastAsia="Calibri" w:hAnsi="Verdana" w:cs="Arial"/>
          <w:color w:val="000000" w:themeColor="text1"/>
        </w:rPr>
        <w:t xml:space="preserve">El SECOP II es una plataforma transaccional, que permite gestionar en línea todos los procedimientos de contratación, </w:t>
      </w:r>
      <w:r w:rsidRPr="66BB9529">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F1A4FF8" w14:textId="324FC075" w:rsidR="00204DC7" w:rsidRDefault="00E421C2" w:rsidP="00406CDE">
      <w:pPr>
        <w:spacing w:after="120" w:line="276" w:lineRule="auto"/>
        <w:ind w:firstLine="567"/>
        <w:jc w:val="both"/>
        <w:rPr>
          <w:rFonts w:ascii="Verdana" w:eastAsia="Calibri" w:hAnsi="Verdana" w:cs="Arial"/>
          <w:lang w:val="es-ES"/>
        </w:rPr>
      </w:pPr>
      <w:r w:rsidRPr="66BB9529">
        <w:rPr>
          <w:rFonts w:ascii="Verdana" w:eastAsia="Calibri" w:hAnsi="Verdana" w:cs="Arial"/>
          <w:lang w:val="es-ES"/>
        </w:rPr>
        <w:lastRenderedPageBreak/>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r w:rsidR="00E33778" w:rsidRPr="66BB9529">
        <w:rPr>
          <w:rFonts w:ascii="Verdana" w:eastAsia="Calibri" w:hAnsi="Verdana" w:cs="Arial"/>
          <w:lang w:val="es-ES"/>
        </w:rPr>
        <w:t xml:space="preserve"> </w:t>
      </w:r>
      <w:r w:rsidRPr="66BB9529">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w:t>
      </w:r>
    </w:p>
    <w:p w14:paraId="34BDCC4D" w14:textId="5AF273BD" w:rsidR="00E421C2" w:rsidRPr="00D92626" w:rsidRDefault="00E421C2" w:rsidP="66BB9529">
      <w:pPr>
        <w:spacing w:after="120" w:line="276" w:lineRule="auto"/>
        <w:ind w:firstLine="567"/>
        <w:jc w:val="both"/>
        <w:rPr>
          <w:rFonts w:ascii="Verdana" w:eastAsia="Calibri" w:hAnsi="Verdana" w:cs="Arial"/>
          <w:lang w:val="es-ES"/>
        </w:rPr>
      </w:pPr>
      <w:r w:rsidRPr="66BB9529">
        <w:rPr>
          <w:rFonts w:ascii="Verdana" w:eastAsia="Calibri" w:hAnsi="Verdana" w:cs="Arial"/>
          <w:lang w:val="es-ES"/>
        </w:rPr>
        <w:t xml:space="preserve">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00204DC7" w:rsidRPr="66BB9529">
        <w:rPr>
          <w:rFonts w:ascii="Verdana" w:eastAsia="Calibri" w:hAnsi="Verdana" w:cs="Arial"/>
          <w:i/>
          <w:iCs/>
          <w:lang w:val="es-ES"/>
        </w:rPr>
        <w:t>ibidem</w:t>
      </w:r>
      <w:r w:rsidRPr="66BB9529">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 </w:t>
      </w:r>
    </w:p>
    <w:p w14:paraId="70537492" w14:textId="2944E0CC" w:rsidR="00E421C2" w:rsidRDefault="00E421C2" w:rsidP="66BB9529">
      <w:pPr>
        <w:spacing w:after="120" w:line="276" w:lineRule="auto"/>
        <w:ind w:firstLine="567"/>
        <w:jc w:val="both"/>
        <w:rPr>
          <w:rFonts w:ascii="Verdana" w:eastAsia="Calibri" w:hAnsi="Verdana" w:cs="Arial"/>
          <w:lang w:val="es-ES"/>
        </w:rPr>
      </w:pPr>
      <w:r w:rsidRPr="66BB9529">
        <w:rPr>
          <w:rFonts w:ascii="Verdana" w:eastAsia="Calibri" w:hAnsi="Verdana" w:cs="Arial"/>
          <w:lang w:val="es-ES"/>
        </w:rPr>
        <w:t xml:space="preserve">En este sentido, la implementación del SECOP II como plataforma transaccional para la actividad contractual del Estado, permite que los contratos que se publiquen sean firmados electrónicamente. De este modo, el proceso mediante el cual se efectúa la modificación del contrato y su consecuente aprobación o rechazo es realizado a través del SECOP II. </w:t>
      </w:r>
    </w:p>
    <w:p w14:paraId="40A901A1" w14:textId="77777777" w:rsidR="003702D2" w:rsidRDefault="000B0A8C" w:rsidP="00406CDE">
      <w:pPr>
        <w:spacing w:after="120" w:line="276" w:lineRule="auto"/>
        <w:ind w:firstLine="567"/>
        <w:jc w:val="both"/>
        <w:rPr>
          <w:rFonts w:ascii="Verdana" w:eastAsia="Calibri" w:hAnsi="Verdana" w:cs="Arial"/>
        </w:rPr>
      </w:pPr>
      <w:r w:rsidRPr="66BB9529">
        <w:rPr>
          <w:rFonts w:ascii="Verdana" w:eastAsia="Calibri" w:hAnsi="Verdana" w:cs="Arial"/>
          <w:lang w:val="es-ES"/>
        </w:rPr>
        <w:t xml:space="preserve">Ahora bien, en </w:t>
      </w:r>
      <w:r w:rsidR="009B18A4" w:rsidRPr="66BB9529">
        <w:rPr>
          <w:rFonts w:ascii="Verdana" w:eastAsia="Calibri" w:hAnsi="Verdana" w:cs="Arial"/>
          <w:lang w:val="es-ES"/>
        </w:rPr>
        <w:t>relación</w:t>
      </w:r>
      <w:r w:rsidRPr="66BB9529">
        <w:rPr>
          <w:rFonts w:ascii="Verdana" w:eastAsia="Calibri" w:hAnsi="Verdana" w:cs="Arial"/>
          <w:lang w:val="es-ES"/>
        </w:rPr>
        <w:t xml:space="preserve"> con </w:t>
      </w:r>
      <w:r w:rsidR="009B18A4" w:rsidRPr="66BB9529">
        <w:rPr>
          <w:rFonts w:ascii="Verdana" w:eastAsia="Calibri" w:hAnsi="Verdana" w:cs="Arial"/>
        </w:rPr>
        <w:t>uso del SECOP II para crear, conformar y gestionar los expedientes electrónicos del proceso de contratación la Circular Única Externa</w:t>
      </w:r>
      <w:r w:rsidR="00DA6ACB" w:rsidRPr="66BB9529">
        <w:rPr>
          <w:rFonts w:ascii="Verdana" w:eastAsia="Calibri" w:hAnsi="Verdana" w:cs="Arial"/>
        </w:rPr>
        <w:t xml:space="preserve"> expedida por la Agencia Nacional de Contratación Pública – Colombia Compra Eficiente</w:t>
      </w:r>
      <w:r w:rsidR="009B18A4" w:rsidRPr="66BB9529">
        <w:rPr>
          <w:rFonts w:ascii="Verdana" w:eastAsia="Calibri" w:hAnsi="Verdana" w:cs="Arial"/>
        </w:rPr>
        <w:t xml:space="preserve"> dispone que, </w:t>
      </w:r>
      <w:r w:rsidR="00836250" w:rsidRPr="66BB9529">
        <w:rPr>
          <w:rFonts w:ascii="Verdana" w:eastAsia="Calibri" w:hAnsi="Verdana" w:cs="Arial"/>
        </w:rPr>
        <w:t>los expedientes electrónicos de los procesos de contratación que genera el SECOP II están conformados por documentos electrónicos: formularios o plantillas generados a partir de la información diligenciada por la Entidad Estatal o el proveedor, e imágenes digitales de documentos producidos originalmente en físico que la Entidad Estatal o el proveedor cargan o publican en el SECOP II.</w:t>
      </w:r>
    </w:p>
    <w:p w14:paraId="703500C9" w14:textId="68ACDE3C" w:rsidR="00836250" w:rsidRDefault="003702D2" w:rsidP="66BB9529">
      <w:pPr>
        <w:spacing w:after="120" w:line="276" w:lineRule="auto"/>
        <w:ind w:firstLine="567"/>
        <w:jc w:val="both"/>
        <w:rPr>
          <w:rFonts w:ascii="Verdana" w:eastAsia="Calibri" w:hAnsi="Verdana" w:cs="Arial"/>
        </w:rPr>
      </w:pPr>
      <w:r w:rsidRPr="66BB9529">
        <w:rPr>
          <w:rFonts w:ascii="Verdana" w:eastAsia="Calibri" w:hAnsi="Verdana" w:cs="Arial"/>
        </w:rPr>
        <w:t>Igualmente, la referida Circular señala que,</w:t>
      </w:r>
      <w:r w:rsidR="00836250" w:rsidRPr="66BB9529">
        <w:rPr>
          <w:rFonts w:ascii="Verdana" w:eastAsia="Calibri" w:hAnsi="Verdana" w:cs="Arial"/>
        </w:rPr>
        <w:t xml:space="preserve"> </w:t>
      </w:r>
      <w:r w:rsidRPr="66BB9529">
        <w:rPr>
          <w:rFonts w:ascii="Verdana" w:eastAsia="Calibri" w:hAnsi="Verdana" w:cs="Arial"/>
        </w:rPr>
        <w:t>l</w:t>
      </w:r>
      <w:r w:rsidR="00836250" w:rsidRPr="66BB9529">
        <w:rPr>
          <w:rFonts w:ascii="Verdana" w:eastAsia="Calibri" w:hAnsi="Verdana" w:cs="Arial"/>
        </w:rPr>
        <w:t xml:space="preserve">as Entidades Estatales deberán asegurar la completitud de los documentos en el expediente del proceso de </w:t>
      </w:r>
      <w:r w:rsidR="00836250" w:rsidRPr="66BB9529">
        <w:rPr>
          <w:rFonts w:ascii="Verdana" w:eastAsia="Calibri" w:hAnsi="Verdana" w:cs="Arial"/>
        </w:rPr>
        <w:lastRenderedPageBreak/>
        <w:t>contratación.</w:t>
      </w:r>
      <w:r w:rsidRPr="66BB9529">
        <w:rPr>
          <w:rFonts w:ascii="Verdana" w:eastAsia="Calibri" w:hAnsi="Verdana" w:cs="Arial"/>
        </w:rPr>
        <w:t xml:space="preserve"> En consecuencia, c</w:t>
      </w:r>
      <w:r w:rsidR="00836250" w:rsidRPr="66BB9529">
        <w:rPr>
          <w:rFonts w:ascii="Verdana" w:eastAsia="Calibri" w:hAnsi="Verdana" w:cs="Arial"/>
        </w:rPr>
        <w:t xml:space="preserve">ada Entidad es responsable de la administración de los documentos, custodia y calidad de la información de los procesos de contratación realizados en el SECOP II. En los casos en que el documento original haya sido producido en formato físico, la Entidad Estatal debe conservar su original por el tiempo que indiquen las Tablas de Retención Documental - TRD, e incorporar una copia digitalizada dentro del proceso de contratación en el SECOP II en cumplimiento de la obligación de publicidad. </w:t>
      </w:r>
    </w:p>
    <w:p w14:paraId="352201C1" w14:textId="77777777" w:rsidR="00836250" w:rsidRDefault="00836250" w:rsidP="66BB9529">
      <w:pPr>
        <w:spacing w:after="120" w:line="276" w:lineRule="auto"/>
        <w:ind w:firstLine="567"/>
        <w:jc w:val="both"/>
        <w:rPr>
          <w:rFonts w:ascii="Verdana" w:eastAsia="Calibri" w:hAnsi="Verdana" w:cs="Arial"/>
        </w:rPr>
      </w:pPr>
      <w:r w:rsidRPr="66BB9529">
        <w:rPr>
          <w:rFonts w:ascii="Verdana" w:eastAsia="Calibri" w:hAnsi="Verdana" w:cs="Arial"/>
        </w:rPr>
        <w:t xml:space="preserve">Asimismo, las entidades deberán adoptar las políticas, medidas y estándares necesarios para asegurar la preservación y conservación documental en el ciclo de vida de la información institucional (independientemente del sistema que los generó, tramitó o en el cual se conservan), con el fin de facilitar su consulta en el tiempo y realizar la disposición final de acuerdo con sus instrumentos archivísticos. </w:t>
      </w:r>
    </w:p>
    <w:p w14:paraId="1F98F2D6" w14:textId="6E768C4E" w:rsidR="00836250" w:rsidRDefault="003702D2" w:rsidP="66BB9529">
      <w:pPr>
        <w:spacing w:after="120" w:line="276" w:lineRule="auto"/>
        <w:ind w:firstLine="567"/>
        <w:jc w:val="both"/>
        <w:rPr>
          <w:rFonts w:ascii="Verdana" w:eastAsia="Calibri" w:hAnsi="Verdana" w:cs="Arial"/>
          <w:lang w:val="es-ES"/>
        </w:rPr>
      </w:pPr>
      <w:r w:rsidRPr="66BB9529">
        <w:rPr>
          <w:rFonts w:ascii="Verdana" w:eastAsia="Calibri" w:hAnsi="Verdana" w:cs="Arial"/>
        </w:rPr>
        <w:t xml:space="preserve">Por lo anterior, en atención a las preguntas planteadas, </w:t>
      </w:r>
      <w:r w:rsidR="006F3B4A" w:rsidRPr="66BB9529">
        <w:rPr>
          <w:rFonts w:ascii="Verdana" w:eastAsia="Calibri" w:hAnsi="Verdana" w:cs="Arial"/>
        </w:rPr>
        <w:t>e</w:t>
      </w:r>
      <w:r w:rsidR="00836250" w:rsidRPr="66BB9529">
        <w:rPr>
          <w:rFonts w:ascii="Verdana" w:eastAsia="Calibri" w:hAnsi="Verdana" w:cs="Arial"/>
        </w:rPr>
        <w:t>s responsabilidad de las Entidades Estatales la disposición final de los expedientes de los procesos de contratación, de acuerdo con sus Tablas de Retención Documental – TRD y su actividad derivada de la valoración documental - TVD, luego de cumplido el plazo de retención mínimo de acuerdo con la normatividad vigente, contados a partir de la terminación del plazo del contrato o de su liquidación cuando esta es obligatoria. En este sentido, la Agencia Nacional de Contratación Pública – Colombia Compra Eficiente, en su función de administración del SECOP, es responsable de asegurar la inalterabilidad y disponibilidad de la información gestionada a través de las diferentes plataformas, y no está autorizada a realizar procesos de sustracción, destrucción, u ocultamiento de esta información.</w:t>
      </w:r>
    </w:p>
    <w:p w14:paraId="43471327" w14:textId="7E0FB581" w:rsidR="009B18A4" w:rsidRDefault="00F61526" w:rsidP="66BB9529">
      <w:pPr>
        <w:spacing w:after="120" w:line="276" w:lineRule="auto"/>
        <w:ind w:firstLine="567"/>
        <w:jc w:val="both"/>
        <w:rPr>
          <w:rFonts w:ascii="Verdana" w:eastAsia="Calibri" w:hAnsi="Verdana" w:cs="Arial"/>
        </w:rPr>
      </w:pPr>
      <w:r w:rsidRPr="66BB9529">
        <w:rPr>
          <w:rFonts w:ascii="Verdana" w:eastAsia="Calibri" w:hAnsi="Verdana" w:cs="Arial"/>
          <w:lang w:val="es-ES"/>
        </w:rPr>
        <w:t xml:space="preserve">Sobre la </w:t>
      </w:r>
      <w:r w:rsidR="006F3B4A" w:rsidRPr="66BB9529">
        <w:rPr>
          <w:rFonts w:ascii="Verdana" w:eastAsia="Calibri" w:hAnsi="Verdana" w:cs="Arial"/>
        </w:rPr>
        <w:t xml:space="preserve">custodia, conservación y preservación de los expedientes electrónicos generados </w:t>
      </w:r>
      <w:r w:rsidRPr="66BB9529">
        <w:rPr>
          <w:rFonts w:ascii="Verdana" w:eastAsia="Calibri" w:hAnsi="Verdana" w:cs="Arial"/>
        </w:rPr>
        <w:t>en SECOP II</w:t>
      </w:r>
      <w:r w:rsidR="00A57F18" w:rsidRPr="66BB9529">
        <w:rPr>
          <w:rFonts w:ascii="Verdana" w:eastAsia="Calibri" w:hAnsi="Verdana" w:cs="Arial"/>
        </w:rPr>
        <w:t>,</w:t>
      </w:r>
      <w:r w:rsidRPr="66BB9529">
        <w:rPr>
          <w:rFonts w:ascii="Verdana" w:eastAsia="Calibri" w:hAnsi="Verdana" w:cs="Arial"/>
        </w:rPr>
        <w:t xml:space="preserve"> la Circular Única Externa señala que, las entidades son responsables de la administración de los documentos y expedientes electrónicos de sus Procesos de Contratación adelantados en el</w:t>
      </w:r>
      <w:r w:rsidR="00C86B5F" w:rsidRPr="66BB9529">
        <w:rPr>
          <w:rFonts w:ascii="Verdana" w:eastAsia="Calibri" w:hAnsi="Verdana" w:cs="Arial"/>
        </w:rPr>
        <w:t xml:space="preserve"> SECOP II. En consecuencia, la entidad es responsable de la completitud y calidad de la información del expediente electrónico.</w:t>
      </w:r>
    </w:p>
    <w:p w14:paraId="1F2C2FF0" w14:textId="3C1B9934" w:rsidR="00AE7B29" w:rsidRPr="009362C3" w:rsidRDefault="00AE7B29" w:rsidP="66BB9529">
      <w:pPr>
        <w:spacing w:after="0" w:line="276" w:lineRule="auto"/>
        <w:ind w:firstLine="567"/>
        <w:jc w:val="both"/>
        <w:rPr>
          <w:rFonts w:ascii="Verdana" w:eastAsia="Calibri" w:hAnsi="Verdana" w:cs="Arial"/>
          <w:lang w:val="es-ES"/>
        </w:rPr>
      </w:pPr>
      <w:r w:rsidRPr="66BB9529">
        <w:rPr>
          <w:rFonts w:ascii="Verdana" w:eastAsia="Calibri" w:hAnsi="Verdana" w:cs="Arial"/>
        </w:rPr>
        <w:t xml:space="preserve">Finalmente, </w:t>
      </w:r>
      <w:r w:rsidR="00587A59" w:rsidRPr="66BB9529">
        <w:rPr>
          <w:rFonts w:ascii="Verdana" w:eastAsia="Calibri" w:hAnsi="Verdana" w:cs="Arial"/>
        </w:rPr>
        <w:t xml:space="preserve">es importante señalar </w:t>
      </w:r>
      <w:r w:rsidR="009362C3" w:rsidRPr="66BB9529">
        <w:rPr>
          <w:rFonts w:ascii="Verdana" w:eastAsia="Calibri" w:hAnsi="Verdana" w:cs="Arial"/>
        </w:rPr>
        <w:t>que,</w:t>
      </w:r>
      <w:r w:rsidR="00587A59" w:rsidRPr="66BB9529">
        <w:rPr>
          <w:rFonts w:ascii="Verdana" w:eastAsia="Calibri" w:hAnsi="Verdana" w:cs="Arial"/>
        </w:rPr>
        <w:t xml:space="preserve"> si bien el SECOP II es una herramienta para llevar a cabo los procesos de contratación, lo cierto es que no</w:t>
      </w:r>
      <w:r w:rsidR="009362C3" w:rsidRPr="66BB9529">
        <w:rPr>
          <w:rFonts w:ascii="Verdana" w:eastAsia="Calibri" w:hAnsi="Verdana" w:cs="Arial"/>
        </w:rPr>
        <w:t xml:space="preserve"> reemplaza las formalidades internas definidas en los manuales de contratación, como la elaboración y suscripción de actas de comités o juntas. Tampoco </w:t>
      </w:r>
      <w:r w:rsidR="00E85C26" w:rsidRPr="66BB9529">
        <w:rPr>
          <w:rFonts w:ascii="Verdana" w:eastAsia="Calibri" w:hAnsi="Verdana" w:cs="Arial"/>
        </w:rPr>
        <w:t xml:space="preserve">sustituye las obligaciones archivísticas, las cuales deben implementar medidas </w:t>
      </w:r>
      <w:r w:rsidR="00E85C26" w:rsidRPr="66BB9529">
        <w:rPr>
          <w:rFonts w:ascii="Verdana" w:eastAsia="Calibri" w:hAnsi="Verdana" w:cs="Arial"/>
        </w:rPr>
        <w:lastRenderedPageBreak/>
        <w:t>complementarias para garantizar la integridad y conservación de sus expedientes contractuales.</w:t>
      </w:r>
    </w:p>
    <w:p w14:paraId="6B13CB19" w14:textId="190FEB10" w:rsidR="00E421C2" w:rsidRPr="00886B87" w:rsidDel="00310220" w:rsidRDefault="00E421C2" w:rsidP="66BB9529">
      <w:pPr>
        <w:spacing w:after="0" w:line="276" w:lineRule="auto"/>
        <w:ind w:firstLine="567"/>
        <w:jc w:val="both"/>
        <w:rPr>
          <w:rFonts w:ascii="Verdana" w:eastAsia="Calibri" w:hAnsi="Verdana" w:cs="Arial"/>
          <w:lang w:val="es-ES"/>
        </w:rPr>
      </w:pPr>
      <w:r w:rsidRPr="66BB9529">
        <w:rPr>
          <w:rFonts w:ascii="Verdana" w:eastAsia="Calibri" w:hAnsi="Verdana" w:cs="Arial"/>
          <w:vertAlign w:val="superscript"/>
          <w:lang w:val="es-ES"/>
        </w:rPr>
        <w:footnoteReference w:id="5"/>
      </w:r>
      <w:r w:rsidRPr="66BB9529">
        <w:rPr>
          <w:rFonts w:ascii="Verdana" w:eastAsia="Calibri" w:hAnsi="Verdana" w:cs="Arial"/>
          <w:vertAlign w:val="superscript"/>
        </w:rPr>
        <w:footnoteReference w:id="6"/>
      </w:r>
      <w:r w:rsidRPr="66BB9529">
        <w:rPr>
          <w:rFonts w:ascii="Verdana" w:eastAsia="Calibri" w:hAnsi="Verdana" w:cs="Arial"/>
          <w:vertAlign w:val="superscript"/>
          <w:lang w:val="es-ES"/>
        </w:rPr>
        <w:footnoteReference w:id="7"/>
      </w:r>
      <w:r w:rsidRPr="66BB9529">
        <w:rPr>
          <w:rFonts w:ascii="Verdana" w:eastAsia="Calibri" w:hAnsi="Verdana" w:cs="Arial"/>
          <w:vertAlign w:val="superscript"/>
          <w:lang w:val="es-ES"/>
        </w:rPr>
        <w:footnoteReference w:id="8"/>
      </w:r>
    </w:p>
    <w:p w14:paraId="71636555" w14:textId="77777777" w:rsidR="00E421C2" w:rsidRPr="00D92626" w:rsidRDefault="00E421C2" w:rsidP="00E523D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Referencias normativas y jurisprudenciales:</w:t>
      </w:r>
    </w:p>
    <w:p w14:paraId="0D335369" w14:textId="77777777" w:rsidR="00E421C2" w:rsidRPr="00D92626" w:rsidRDefault="00E421C2" w:rsidP="00E523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21C2" w:rsidRPr="00886B87" w14:paraId="5BF3197B" w14:textId="77777777" w:rsidTr="66BB9529">
        <w:trPr>
          <w:trHeight w:val="870"/>
          <w:jc w:val="center"/>
        </w:trPr>
        <w:tc>
          <w:tcPr>
            <w:tcW w:w="8647" w:type="dxa"/>
          </w:tcPr>
          <w:p w14:paraId="05139B6B" w14:textId="77777777" w:rsidR="00E421C2" w:rsidRPr="00886B87" w:rsidRDefault="00E421C2" w:rsidP="66BB9529">
            <w:pPr>
              <w:pStyle w:val="Prrafodelista"/>
              <w:widowControl w:val="0"/>
              <w:numPr>
                <w:ilvl w:val="0"/>
                <w:numId w:val="17"/>
              </w:numPr>
              <w:autoSpaceDE w:val="0"/>
              <w:autoSpaceDN w:val="0"/>
              <w:spacing w:line="276" w:lineRule="auto"/>
              <w:ind w:left="357" w:hanging="357"/>
              <w:jc w:val="both"/>
              <w:rPr>
                <w:rFonts w:ascii="Verdana" w:hAnsi="Verdana" w:cs="Arial"/>
              </w:rPr>
            </w:pPr>
            <w:r w:rsidRPr="66BB9529">
              <w:rPr>
                <w:rFonts w:ascii="Verdana" w:hAnsi="Verdana" w:cs="Arial"/>
              </w:rPr>
              <w:t>Constitución Política de 1991, artículo 209.</w:t>
            </w:r>
          </w:p>
          <w:p w14:paraId="5C3E1B28" w14:textId="77777777" w:rsidR="00E421C2" w:rsidRPr="00886B87" w:rsidRDefault="00E421C2" w:rsidP="66BB9529">
            <w:pPr>
              <w:widowControl w:val="0"/>
              <w:numPr>
                <w:ilvl w:val="0"/>
                <w:numId w:val="17"/>
              </w:numPr>
              <w:autoSpaceDE w:val="0"/>
              <w:autoSpaceDN w:val="0"/>
              <w:spacing w:line="276" w:lineRule="auto"/>
              <w:ind w:left="357" w:hanging="357"/>
              <w:jc w:val="both"/>
              <w:rPr>
                <w:rFonts w:ascii="Verdana" w:hAnsi="Verdana" w:cs="Arial"/>
                <w:lang w:val="es-MX"/>
              </w:rPr>
            </w:pPr>
            <w:r w:rsidRPr="66BB9529">
              <w:rPr>
                <w:rFonts w:ascii="Verdana" w:hAnsi="Verdana" w:cs="Arial"/>
                <w:lang w:val="es-MX"/>
              </w:rPr>
              <w:t xml:space="preserve">Ley 80 de 1993: </w:t>
            </w:r>
            <w:r w:rsidRPr="66BB9529">
              <w:rPr>
                <w:rFonts w:ascii="Verdana" w:eastAsia="Calibri" w:hAnsi="Verdana" w:cs="Arial"/>
                <w:lang w:val="es-ES"/>
              </w:rPr>
              <w:t>Artículos 32, 25, 40</w:t>
            </w:r>
          </w:p>
          <w:p w14:paraId="55A4ABB7" w14:textId="77777777" w:rsidR="00E421C2" w:rsidRPr="00886B87" w:rsidRDefault="00E421C2" w:rsidP="66BB9529">
            <w:pPr>
              <w:pStyle w:val="Prrafodelista"/>
              <w:widowControl w:val="0"/>
              <w:numPr>
                <w:ilvl w:val="0"/>
                <w:numId w:val="17"/>
              </w:numPr>
              <w:autoSpaceDE w:val="0"/>
              <w:autoSpaceDN w:val="0"/>
              <w:spacing w:line="276" w:lineRule="auto"/>
              <w:ind w:left="357" w:hanging="357"/>
              <w:jc w:val="both"/>
              <w:rPr>
                <w:rFonts w:ascii="Verdana" w:hAnsi="Verdana" w:cs="Arial"/>
              </w:rPr>
            </w:pPr>
            <w:r w:rsidRPr="66BB9529">
              <w:rPr>
                <w:rFonts w:ascii="Verdana" w:hAnsi="Verdana" w:cs="Arial"/>
              </w:rPr>
              <w:t>Ley 1712 de 2014, artículos 9 y 11.</w:t>
            </w:r>
          </w:p>
          <w:p w14:paraId="5A82171F" w14:textId="77777777" w:rsidR="00E421C2" w:rsidRPr="00886B87" w:rsidRDefault="00E421C2" w:rsidP="66BB9529">
            <w:pPr>
              <w:widowControl w:val="0"/>
              <w:numPr>
                <w:ilvl w:val="0"/>
                <w:numId w:val="17"/>
              </w:numPr>
              <w:autoSpaceDE w:val="0"/>
              <w:autoSpaceDN w:val="0"/>
              <w:spacing w:line="276" w:lineRule="auto"/>
              <w:jc w:val="both"/>
              <w:rPr>
                <w:rFonts w:ascii="Verdana" w:hAnsi="Verdana" w:cs="Arial"/>
                <w:lang w:val="es-MX"/>
              </w:rPr>
            </w:pPr>
            <w:r w:rsidRPr="007C24E4">
              <w:rPr>
                <w:rFonts w:ascii="Verdana" w:hAnsi="Verdana"/>
              </w:rPr>
              <w:t>CORTE</w:t>
            </w:r>
            <w:r w:rsidRPr="007C24E4">
              <w:rPr>
                <w:rFonts w:ascii="Verdana" w:hAnsi="Verdana"/>
                <w:spacing w:val="1"/>
              </w:rPr>
              <w:t xml:space="preserve"> </w:t>
            </w:r>
            <w:r w:rsidRPr="007C24E4">
              <w:rPr>
                <w:rFonts w:ascii="Verdana" w:hAnsi="Verdana"/>
              </w:rPr>
              <w:t>CONSTITUCIONAL,</w:t>
            </w:r>
            <w:r w:rsidRPr="007C24E4">
              <w:rPr>
                <w:rFonts w:ascii="Verdana" w:hAnsi="Verdana"/>
                <w:spacing w:val="3"/>
              </w:rPr>
              <w:t xml:space="preserve"> </w:t>
            </w:r>
            <w:r w:rsidRPr="007C24E4">
              <w:rPr>
                <w:rFonts w:ascii="Verdana" w:hAnsi="Verdana"/>
              </w:rPr>
              <w:t>Sentencia</w:t>
            </w:r>
            <w:r w:rsidRPr="007C24E4">
              <w:rPr>
                <w:rFonts w:ascii="Verdana" w:hAnsi="Verdana"/>
                <w:spacing w:val="2"/>
              </w:rPr>
              <w:t xml:space="preserve"> </w:t>
            </w:r>
            <w:r w:rsidRPr="007C24E4">
              <w:rPr>
                <w:rFonts w:ascii="Verdana" w:hAnsi="Verdana"/>
              </w:rPr>
              <w:t>T-017</w:t>
            </w:r>
            <w:r w:rsidRPr="007C24E4">
              <w:rPr>
                <w:rFonts w:ascii="Verdana" w:hAnsi="Verdana"/>
                <w:spacing w:val="1"/>
              </w:rPr>
              <w:t xml:space="preserve"> </w:t>
            </w:r>
            <w:r w:rsidRPr="007C24E4">
              <w:rPr>
                <w:rFonts w:ascii="Verdana" w:hAnsi="Verdana"/>
              </w:rPr>
              <w:t>de</w:t>
            </w:r>
            <w:r w:rsidRPr="007C24E4">
              <w:rPr>
                <w:rFonts w:ascii="Verdana" w:hAnsi="Verdana"/>
                <w:spacing w:val="1"/>
              </w:rPr>
              <w:t xml:space="preserve"> </w:t>
            </w:r>
            <w:r w:rsidRPr="007C24E4">
              <w:rPr>
                <w:rFonts w:ascii="Verdana" w:hAnsi="Verdana"/>
              </w:rPr>
              <w:t>20</w:t>
            </w:r>
            <w:r w:rsidRPr="007C24E4">
              <w:rPr>
                <w:rFonts w:ascii="Verdana" w:hAnsi="Verdana"/>
                <w:spacing w:val="1"/>
              </w:rPr>
              <w:t xml:space="preserve"> </w:t>
            </w:r>
            <w:r w:rsidRPr="007C24E4">
              <w:rPr>
                <w:rFonts w:ascii="Verdana" w:hAnsi="Verdana"/>
              </w:rPr>
              <w:t>de</w:t>
            </w:r>
            <w:r w:rsidRPr="007C24E4">
              <w:rPr>
                <w:rFonts w:ascii="Verdana" w:hAnsi="Verdana"/>
                <w:spacing w:val="1"/>
              </w:rPr>
              <w:t xml:space="preserve"> </w:t>
            </w:r>
            <w:r w:rsidRPr="007C24E4">
              <w:rPr>
                <w:rFonts w:ascii="Verdana" w:hAnsi="Verdana"/>
              </w:rPr>
              <w:t>enero</w:t>
            </w:r>
            <w:r w:rsidRPr="007C24E4">
              <w:rPr>
                <w:rFonts w:ascii="Verdana" w:hAnsi="Verdana"/>
                <w:spacing w:val="1"/>
              </w:rPr>
              <w:t xml:space="preserve"> </w:t>
            </w:r>
            <w:r w:rsidRPr="007C24E4">
              <w:rPr>
                <w:rFonts w:ascii="Verdana" w:hAnsi="Verdana"/>
              </w:rPr>
              <w:t>de</w:t>
            </w:r>
            <w:r w:rsidRPr="007C24E4">
              <w:rPr>
                <w:rFonts w:ascii="Verdana" w:hAnsi="Verdana"/>
                <w:spacing w:val="1"/>
              </w:rPr>
              <w:t xml:space="preserve"> </w:t>
            </w:r>
            <w:r w:rsidRPr="007C24E4">
              <w:rPr>
                <w:rFonts w:ascii="Verdana" w:hAnsi="Verdana"/>
              </w:rPr>
              <w:t>2005,</w:t>
            </w:r>
            <w:r w:rsidRPr="007C24E4">
              <w:rPr>
                <w:rFonts w:ascii="Verdana" w:hAnsi="Verdana"/>
                <w:spacing w:val="3"/>
              </w:rPr>
              <w:t xml:space="preserve"> </w:t>
            </w:r>
            <w:r w:rsidRPr="007C24E4">
              <w:rPr>
                <w:rFonts w:ascii="Verdana" w:hAnsi="Verdana"/>
              </w:rPr>
              <w:t>M.P.</w:t>
            </w:r>
            <w:r w:rsidRPr="007C24E4">
              <w:rPr>
                <w:rFonts w:ascii="Verdana" w:hAnsi="Verdana"/>
                <w:spacing w:val="1"/>
              </w:rPr>
              <w:t xml:space="preserve"> </w:t>
            </w:r>
            <w:r w:rsidRPr="007C24E4">
              <w:rPr>
                <w:rFonts w:ascii="Verdana" w:hAnsi="Verdana"/>
              </w:rPr>
              <w:t>Rodrigo</w:t>
            </w:r>
            <w:r w:rsidRPr="007C24E4">
              <w:rPr>
                <w:rFonts w:ascii="Verdana" w:hAnsi="Verdana"/>
                <w:spacing w:val="2"/>
              </w:rPr>
              <w:t xml:space="preserve"> </w:t>
            </w:r>
            <w:r w:rsidRPr="007C24E4">
              <w:rPr>
                <w:rFonts w:ascii="Verdana" w:hAnsi="Verdana"/>
              </w:rPr>
              <w:t>Escobar</w:t>
            </w:r>
            <w:r w:rsidRPr="007C24E4">
              <w:rPr>
                <w:rFonts w:ascii="Verdana" w:hAnsi="Verdana"/>
                <w:spacing w:val="1"/>
              </w:rPr>
              <w:t xml:space="preserve"> </w:t>
            </w:r>
            <w:r w:rsidRPr="007C24E4">
              <w:rPr>
                <w:rFonts w:ascii="Verdana" w:hAnsi="Verdana"/>
              </w:rPr>
              <w:t>Gil</w:t>
            </w:r>
            <w:r>
              <w:rPr>
                <w:rFonts w:ascii="Verdana" w:hAnsi="Verdana"/>
              </w:rPr>
              <w:t>.</w:t>
            </w:r>
          </w:p>
          <w:p w14:paraId="4BBDE437" w14:textId="77777777" w:rsidR="00E421C2" w:rsidRDefault="00E421C2" w:rsidP="66BB9529">
            <w:pPr>
              <w:pStyle w:val="Prrafodelista"/>
              <w:numPr>
                <w:ilvl w:val="0"/>
                <w:numId w:val="17"/>
              </w:numPr>
              <w:spacing w:line="276" w:lineRule="auto"/>
              <w:ind w:left="357" w:hanging="357"/>
              <w:jc w:val="both"/>
              <w:rPr>
                <w:rFonts w:ascii="Verdana" w:hAnsi="Verdana" w:cs="Arial"/>
              </w:rPr>
            </w:pPr>
            <w:r w:rsidRPr="66BB9529">
              <w:rPr>
                <w:rFonts w:ascii="Verdana" w:hAnsi="Verdana" w:cs="Arial"/>
              </w:rPr>
              <w:t>CORTE CONSTITUCIONAL. Sentencia C- 341 del 4 de junio de 2014. M. P. Mauricio González Cuervo.</w:t>
            </w:r>
          </w:p>
          <w:p w14:paraId="0BA812AD" w14:textId="1823853B" w:rsidR="00E421C2" w:rsidRPr="00707D59" w:rsidDel="00707D59" w:rsidRDefault="00E421C2" w:rsidP="66BB9529">
            <w:pPr>
              <w:pStyle w:val="Prrafodelista"/>
              <w:numPr>
                <w:ilvl w:val="0"/>
                <w:numId w:val="17"/>
              </w:numPr>
              <w:spacing w:line="276" w:lineRule="auto"/>
              <w:jc w:val="both"/>
              <w:rPr>
                <w:rFonts w:ascii="Verdana" w:hAnsi="Verdana" w:cs="Arial"/>
              </w:rPr>
            </w:pPr>
            <w:r w:rsidRPr="007C24E4">
              <w:rPr>
                <w:rFonts w:ascii="Verdana" w:hAnsi="Verdana"/>
              </w:rPr>
              <w:t>CONSEJO</w:t>
            </w:r>
            <w:r w:rsidRPr="007C24E4">
              <w:rPr>
                <w:rFonts w:ascii="Verdana" w:hAnsi="Verdana"/>
                <w:spacing w:val="1"/>
              </w:rPr>
              <w:t xml:space="preserve"> </w:t>
            </w:r>
            <w:r w:rsidRPr="007C24E4">
              <w:rPr>
                <w:rFonts w:ascii="Verdana" w:hAnsi="Verdana"/>
              </w:rPr>
              <w:t>DE</w:t>
            </w:r>
            <w:r w:rsidRPr="007C24E4">
              <w:rPr>
                <w:rFonts w:ascii="Verdana" w:hAnsi="Verdana"/>
                <w:spacing w:val="-4"/>
              </w:rPr>
              <w:t xml:space="preserve"> </w:t>
            </w:r>
            <w:r w:rsidRPr="007C24E4">
              <w:rPr>
                <w:rFonts w:ascii="Verdana" w:hAnsi="Verdana"/>
              </w:rPr>
              <w:t>ESTADO,</w:t>
            </w:r>
            <w:r w:rsidRPr="007C24E4">
              <w:rPr>
                <w:rFonts w:ascii="Verdana" w:hAnsi="Verdana"/>
                <w:spacing w:val="-3"/>
              </w:rPr>
              <w:t xml:space="preserve"> </w:t>
            </w:r>
            <w:r w:rsidRPr="007C24E4">
              <w:rPr>
                <w:rFonts w:ascii="Verdana" w:hAnsi="Verdana"/>
              </w:rPr>
              <w:t>Sala</w:t>
            </w:r>
            <w:r w:rsidRPr="007C24E4">
              <w:rPr>
                <w:rFonts w:ascii="Verdana" w:hAnsi="Verdana"/>
                <w:spacing w:val="-3"/>
              </w:rPr>
              <w:t xml:space="preserve"> </w:t>
            </w:r>
            <w:r w:rsidRPr="007C24E4">
              <w:rPr>
                <w:rFonts w:ascii="Verdana" w:hAnsi="Verdana"/>
              </w:rPr>
              <w:t>de</w:t>
            </w:r>
            <w:r w:rsidRPr="007C24E4">
              <w:rPr>
                <w:rFonts w:ascii="Verdana" w:hAnsi="Verdana"/>
                <w:spacing w:val="-3"/>
              </w:rPr>
              <w:t xml:space="preserve"> </w:t>
            </w:r>
            <w:r w:rsidRPr="007C24E4">
              <w:rPr>
                <w:rFonts w:ascii="Verdana" w:hAnsi="Verdana"/>
              </w:rPr>
              <w:t>Consulta</w:t>
            </w:r>
            <w:r w:rsidRPr="007C24E4">
              <w:rPr>
                <w:rFonts w:ascii="Verdana" w:hAnsi="Verdana"/>
                <w:spacing w:val="-3"/>
              </w:rPr>
              <w:t xml:space="preserve"> </w:t>
            </w:r>
            <w:r w:rsidRPr="007C24E4">
              <w:rPr>
                <w:rFonts w:ascii="Verdana" w:hAnsi="Verdana"/>
              </w:rPr>
              <w:t>y</w:t>
            </w:r>
            <w:r w:rsidRPr="007C24E4">
              <w:rPr>
                <w:rFonts w:ascii="Verdana" w:hAnsi="Verdana"/>
                <w:spacing w:val="-3"/>
              </w:rPr>
              <w:t xml:space="preserve"> </w:t>
            </w:r>
            <w:r w:rsidRPr="007C24E4">
              <w:rPr>
                <w:rFonts w:ascii="Verdana" w:hAnsi="Verdana"/>
              </w:rPr>
              <w:t>Servicio</w:t>
            </w:r>
            <w:r w:rsidRPr="007C24E4">
              <w:rPr>
                <w:rFonts w:ascii="Verdana" w:hAnsi="Verdana"/>
                <w:spacing w:val="-3"/>
              </w:rPr>
              <w:t xml:space="preserve"> </w:t>
            </w:r>
            <w:r w:rsidRPr="007C24E4">
              <w:rPr>
                <w:rFonts w:ascii="Verdana" w:hAnsi="Verdana"/>
              </w:rPr>
              <w:t>Civil,</w:t>
            </w:r>
            <w:r w:rsidRPr="007C24E4">
              <w:rPr>
                <w:rFonts w:ascii="Verdana" w:hAnsi="Verdana"/>
                <w:spacing w:val="-3"/>
              </w:rPr>
              <w:t xml:space="preserve"> </w:t>
            </w:r>
            <w:r w:rsidRPr="007C24E4">
              <w:rPr>
                <w:rFonts w:ascii="Verdana" w:hAnsi="Verdana"/>
              </w:rPr>
              <w:t>Concepto</w:t>
            </w:r>
            <w:r w:rsidRPr="007C24E4">
              <w:rPr>
                <w:rFonts w:ascii="Verdana" w:hAnsi="Verdana"/>
                <w:spacing w:val="-3"/>
              </w:rPr>
              <w:t xml:space="preserve"> </w:t>
            </w:r>
            <w:r w:rsidRPr="007C24E4">
              <w:rPr>
                <w:rFonts w:ascii="Verdana" w:hAnsi="Verdana"/>
              </w:rPr>
              <w:t>de</w:t>
            </w:r>
            <w:r w:rsidRPr="007C24E4">
              <w:rPr>
                <w:rFonts w:ascii="Verdana" w:hAnsi="Verdana"/>
                <w:spacing w:val="-3"/>
              </w:rPr>
              <w:t xml:space="preserve"> </w:t>
            </w:r>
            <w:r w:rsidRPr="007C24E4">
              <w:rPr>
                <w:rFonts w:ascii="Verdana" w:hAnsi="Verdana"/>
              </w:rPr>
              <w:t>12</w:t>
            </w:r>
            <w:r w:rsidRPr="007C24E4">
              <w:rPr>
                <w:rFonts w:ascii="Verdana" w:hAnsi="Verdana"/>
                <w:spacing w:val="-4"/>
              </w:rPr>
              <w:t xml:space="preserve"> </w:t>
            </w:r>
            <w:r w:rsidRPr="007C24E4">
              <w:rPr>
                <w:rFonts w:ascii="Verdana" w:hAnsi="Verdana"/>
              </w:rPr>
              <w:t>de</w:t>
            </w:r>
            <w:r w:rsidRPr="007C24E4">
              <w:rPr>
                <w:rFonts w:ascii="Verdana" w:hAnsi="Verdana"/>
                <w:spacing w:val="-3"/>
              </w:rPr>
              <w:t xml:space="preserve"> </w:t>
            </w:r>
            <w:r w:rsidRPr="007C24E4">
              <w:rPr>
                <w:rFonts w:ascii="Verdana" w:hAnsi="Verdana"/>
              </w:rPr>
              <w:t>diciembre</w:t>
            </w:r>
            <w:r w:rsidRPr="007C24E4">
              <w:rPr>
                <w:rFonts w:ascii="Verdana" w:hAnsi="Verdana"/>
                <w:spacing w:val="-3"/>
              </w:rPr>
              <w:t xml:space="preserve"> </w:t>
            </w:r>
            <w:r w:rsidRPr="007C24E4">
              <w:rPr>
                <w:rFonts w:ascii="Verdana" w:hAnsi="Verdana"/>
              </w:rPr>
              <w:t>de</w:t>
            </w:r>
            <w:r w:rsidRPr="007C24E4">
              <w:rPr>
                <w:rFonts w:ascii="Verdana" w:hAnsi="Verdana"/>
                <w:spacing w:val="-3"/>
              </w:rPr>
              <w:t xml:space="preserve"> </w:t>
            </w:r>
            <w:r w:rsidRPr="007C24E4">
              <w:rPr>
                <w:rFonts w:ascii="Verdana" w:hAnsi="Verdana"/>
              </w:rPr>
              <w:t>2017,</w:t>
            </w:r>
            <w:r w:rsidRPr="007C24E4">
              <w:rPr>
                <w:rFonts w:ascii="Verdana" w:hAnsi="Verdana"/>
                <w:spacing w:val="-3"/>
              </w:rPr>
              <w:t xml:space="preserve"> </w:t>
            </w:r>
            <w:r w:rsidRPr="007C24E4">
              <w:rPr>
                <w:rFonts w:ascii="Verdana" w:hAnsi="Verdana"/>
              </w:rPr>
              <w:t>Rad.</w:t>
            </w:r>
            <w:r w:rsidRPr="007C24E4">
              <w:rPr>
                <w:rFonts w:ascii="Verdana" w:hAnsi="Verdana"/>
                <w:spacing w:val="-3"/>
              </w:rPr>
              <w:t xml:space="preserve"> </w:t>
            </w:r>
            <w:r w:rsidRPr="007C24E4">
              <w:rPr>
                <w:rFonts w:ascii="Verdana" w:hAnsi="Verdana"/>
              </w:rPr>
              <w:t>2338,</w:t>
            </w:r>
            <w:r w:rsidRPr="007C24E4">
              <w:rPr>
                <w:rFonts w:ascii="Verdana" w:hAnsi="Verdana"/>
                <w:spacing w:val="-3"/>
              </w:rPr>
              <w:t xml:space="preserve"> </w:t>
            </w:r>
            <w:r w:rsidRPr="007C24E4">
              <w:rPr>
                <w:rFonts w:ascii="Verdana" w:hAnsi="Verdana"/>
              </w:rPr>
              <w:t>C.P.</w:t>
            </w:r>
            <w:r w:rsidRPr="007C24E4">
              <w:rPr>
                <w:rFonts w:ascii="Verdana" w:hAnsi="Verdana"/>
                <w:spacing w:val="-3"/>
              </w:rPr>
              <w:t xml:space="preserve"> </w:t>
            </w:r>
            <w:r w:rsidRPr="007C24E4">
              <w:rPr>
                <w:rFonts w:ascii="Verdana" w:hAnsi="Verdana"/>
              </w:rPr>
              <w:t>Oscar</w:t>
            </w:r>
            <w:r w:rsidRPr="007C24E4">
              <w:rPr>
                <w:rFonts w:ascii="Verdana" w:hAnsi="Verdana"/>
                <w:spacing w:val="-3"/>
              </w:rPr>
              <w:t xml:space="preserve"> </w:t>
            </w:r>
            <w:r w:rsidRPr="007C24E4">
              <w:rPr>
                <w:rFonts w:ascii="Verdana" w:hAnsi="Verdana"/>
              </w:rPr>
              <w:t>Darío</w:t>
            </w:r>
            <w:r w:rsidRPr="007C24E4">
              <w:rPr>
                <w:rFonts w:ascii="Verdana" w:hAnsi="Verdana"/>
                <w:spacing w:val="-3"/>
              </w:rPr>
              <w:t xml:space="preserve"> </w:t>
            </w:r>
            <w:r w:rsidRPr="007C24E4">
              <w:rPr>
                <w:rFonts w:ascii="Verdana" w:hAnsi="Verdana"/>
              </w:rPr>
              <w:t>Amaya</w:t>
            </w:r>
            <w:r w:rsidRPr="007C24E4">
              <w:rPr>
                <w:rFonts w:ascii="Verdana" w:hAnsi="Verdana"/>
                <w:spacing w:val="-4"/>
              </w:rPr>
              <w:t xml:space="preserve"> </w:t>
            </w:r>
            <w:r w:rsidRPr="007C24E4">
              <w:rPr>
                <w:rFonts w:ascii="Verdana" w:hAnsi="Verdana"/>
              </w:rPr>
              <w:t>Navas</w:t>
            </w:r>
            <w:r w:rsidR="00707D59">
              <w:rPr>
                <w:rFonts w:ascii="Verdana" w:hAnsi="Verdana"/>
              </w:rPr>
              <w:t>.</w:t>
            </w:r>
          </w:p>
          <w:p w14:paraId="5A71D487" w14:textId="292F0EAE" w:rsidR="00E421C2" w:rsidRPr="00B428B4" w:rsidRDefault="00707D59" w:rsidP="66BB9529">
            <w:pPr>
              <w:pStyle w:val="Prrafodelista"/>
              <w:numPr>
                <w:ilvl w:val="0"/>
                <w:numId w:val="17"/>
              </w:numPr>
              <w:spacing w:line="276" w:lineRule="auto"/>
              <w:ind w:left="357" w:hanging="357"/>
              <w:jc w:val="both"/>
              <w:rPr>
                <w:rFonts w:ascii="Verdana" w:hAnsi="Verdana" w:cs="Arial"/>
                <w:lang w:val="es-MX"/>
              </w:rPr>
            </w:pPr>
            <w:r w:rsidRPr="66BB9529">
              <w:rPr>
                <w:rFonts w:ascii="Verdana" w:hAnsi="Verdana" w:cs="Arial"/>
                <w:lang w:val="es-MX"/>
              </w:rPr>
              <w:t xml:space="preserve">Agencia Nacional de Contratación Pública – Colombia Compra Eficiente. Circular Única Externa. Disponible en: </w:t>
            </w:r>
            <w:hyperlink r:id="rId12" w:history="1">
              <w:r w:rsidR="00E523D6" w:rsidRPr="66BB9529">
                <w:rPr>
                  <w:rStyle w:val="Hipervnculo"/>
                  <w:rFonts w:ascii="Verdana" w:hAnsi="Verdana" w:cs="Arial"/>
                  <w:lang w:val="es-MX"/>
                </w:rPr>
                <w:t>https://www.colombiacompra.gov.co/wp-content/uploads/2024/08/circular_externa_unica_version_3_vf49.pdf</w:t>
              </w:r>
            </w:hyperlink>
            <w:r w:rsidR="00E523D6" w:rsidRPr="66BB9529">
              <w:rPr>
                <w:rFonts w:ascii="Verdana" w:hAnsi="Verdana" w:cs="Arial"/>
                <w:lang w:val="es-MX"/>
              </w:rPr>
              <w:t xml:space="preserve"> </w:t>
            </w:r>
          </w:p>
        </w:tc>
      </w:tr>
    </w:tbl>
    <w:p w14:paraId="182566BE" w14:textId="77777777" w:rsidR="00E421C2" w:rsidRPr="006C0418" w:rsidRDefault="00E421C2" w:rsidP="006C0418">
      <w:pPr>
        <w:widowControl w:val="0"/>
        <w:autoSpaceDE w:val="0"/>
        <w:autoSpaceDN w:val="0"/>
        <w:spacing w:after="0" w:line="276" w:lineRule="auto"/>
        <w:jc w:val="both"/>
        <w:rPr>
          <w:rFonts w:ascii="Verdana" w:hAnsi="Verdana" w:cs="Arial"/>
        </w:rPr>
      </w:pPr>
    </w:p>
    <w:p w14:paraId="6DE33F71" w14:textId="77777777" w:rsidR="00E421C2" w:rsidRPr="006C0418" w:rsidRDefault="00E421C2" w:rsidP="006C041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0418">
        <w:rPr>
          <w:rFonts w:ascii="Verdana" w:eastAsia="Century Gothic" w:hAnsi="Verdana" w:cs="Century Gothic"/>
          <w:b/>
          <w:bCs/>
          <w:lang w:val="es-ES"/>
        </w:rPr>
        <w:t>Doctrina de la Agencia Nacional de Contratación Pública:</w:t>
      </w:r>
    </w:p>
    <w:p w14:paraId="4205C9A3" w14:textId="77777777" w:rsidR="00E421C2" w:rsidRPr="006C0418" w:rsidRDefault="00E421C2" w:rsidP="006C0418">
      <w:pPr>
        <w:widowControl w:val="0"/>
        <w:autoSpaceDE w:val="0"/>
        <w:autoSpaceDN w:val="0"/>
        <w:spacing w:after="0" w:line="276" w:lineRule="auto"/>
        <w:jc w:val="both"/>
        <w:rPr>
          <w:rFonts w:ascii="Verdana" w:hAnsi="Verdana" w:cs="Arial"/>
        </w:rPr>
      </w:pPr>
    </w:p>
    <w:p w14:paraId="73154828" w14:textId="77777777" w:rsidR="00E421C2" w:rsidRPr="006C0418" w:rsidRDefault="00E421C2" w:rsidP="006C0418">
      <w:pPr>
        <w:widowControl w:val="0"/>
        <w:autoSpaceDE w:val="0"/>
        <w:autoSpaceDN w:val="0"/>
        <w:spacing w:after="0" w:line="276" w:lineRule="auto"/>
        <w:jc w:val="both"/>
        <w:rPr>
          <w:rFonts w:ascii="Verdana" w:eastAsia="Calibri" w:hAnsi="Verdana" w:cs="Arial"/>
          <w:lang w:eastAsia="es-ES"/>
        </w:rPr>
      </w:pPr>
      <w:r w:rsidRPr="006C0418">
        <w:rPr>
          <w:rFonts w:ascii="Verdana" w:eastAsia="Calibri" w:hAnsi="Verdana" w:cs="Arial"/>
          <w:lang w:eastAsia="es-ES"/>
        </w:rPr>
        <w:t>La Agencia Nacional de Contratación Pública – Colombia Compra Eficiente se ha pronunciado en términos generales sobre</w:t>
      </w:r>
      <w:r w:rsidRPr="006C0418">
        <w:rPr>
          <w:rFonts w:ascii="Verdana" w:hAnsi="Verdana"/>
        </w:rPr>
        <w:t xml:space="preserve"> el mecanismo de resolución de conflictos,</w:t>
      </w:r>
      <w:r w:rsidRPr="006C0418">
        <w:rPr>
          <w:rFonts w:ascii="Verdana" w:hAnsi="Verdana"/>
          <w:spacing w:val="1"/>
        </w:rPr>
        <w:t xml:space="preserve"> </w:t>
      </w:r>
      <w:r w:rsidRPr="006C0418">
        <w:rPr>
          <w:rFonts w:ascii="Verdana" w:hAnsi="Verdana"/>
        </w:rPr>
        <w:t>en los conceptos C-465 del 28 de noviembre de 2023, C-400 del 26 de septiembre de</w:t>
      </w:r>
      <w:r w:rsidRPr="006C0418">
        <w:rPr>
          <w:rFonts w:ascii="Verdana" w:hAnsi="Verdana"/>
          <w:spacing w:val="1"/>
        </w:rPr>
        <w:t xml:space="preserve"> </w:t>
      </w:r>
      <w:r w:rsidRPr="006C0418">
        <w:rPr>
          <w:rFonts w:ascii="Verdana" w:hAnsi="Verdana"/>
        </w:rPr>
        <w:t>2023,</w:t>
      </w:r>
      <w:r w:rsidRPr="006C0418">
        <w:rPr>
          <w:rFonts w:ascii="Verdana" w:hAnsi="Verdana"/>
          <w:spacing w:val="-8"/>
        </w:rPr>
        <w:t xml:space="preserve"> </w:t>
      </w:r>
      <w:r w:rsidRPr="006C0418">
        <w:rPr>
          <w:rFonts w:ascii="Verdana" w:hAnsi="Verdana"/>
        </w:rPr>
        <w:t>C-494</w:t>
      </w:r>
      <w:r w:rsidRPr="006C0418">
        <w:rPr>
          <w:rFonts w:ascii="Verdana" w:hAnsi="Verdana"/>
          <w:spacing w:val="-7"/>
        </w:rPr>
        <w:t xml:space="preserve"> </w:t>
      </w:r>
      <w:r w:rsidRPr="006C0418">
        <w:rPr>
          <w:rFonts w:ascii="Verdana" w:hAnsi="Verdana"/>
        </w:rPr>
        <w:t>del</w:t>
      </w:r>
      <w:r w:rsidRPr="006C0418">
        <w:rPr>
          <w:rFonts w:ascii="Verdana" w:hAnsi="Verdana"/>
          <w:spacing w:val="-8"/>
        </w:rPr>
        <w:t xml:space="preserve"> </w:t>
      </w:r>
      <w:r w:rsidRPr="006C0418">
        <w:rPr>
          <w:rFonts w:ascii="Verdana" w:hAnsi="Verdana"/>
        </w:rPr>
        <w:t>17</w:t>
      </w:r>
      <w:r w:rsidRPr="006C0418">
        <w:rPr>
          <w:rFonts w:ascii="Verdana" w:hAnsi="Verdana"/>
          <w:spacing w:val="-9"/>
        </w:rPr>
        <w:t xml:space="preserve"> </w:t>
      </w:r>
      <w:r w:rsidRPr="006C0418">
        <w:rPr>
          <w:rFonts w:ascii="Verdana" w:hAnsi="Verdana"/>
        </w:rPr>
        <w:t>de</w:t>
      </w:r>
      <w:r w:rsidRPr="006C0418">
        <w:rPr>
          <w:rFonts w:ascii="Verdana" w:hAnsi="Verdana"/>
          <w:spacing w:val="-9"/>
        </w:rPr>
        <w:t xml:space="preserve"> </w:t>
      </w:r>
      <w:r w:rsidRPr="006C0418">
        <w:rPr>
          <w:rFonts w:ascii="Verdana" w:hAnsi="Verdana"/>
        </w:rPr>
        <w:t>septiembre</w:t>
      </w:r>
      <w:r w:rsidRPr="006C0418">
        <w:rPr>
          <w:rFonts w:ascii="Verdana" w:hAnsi="Verdana"/>
          <w:spacing w:val="-6"/>
        </w:rPr>
        <w:t xml:space="preserve"> </w:t>
      </w:r>
      <w:r w:rsidRPr="006C0418">
        <w:rPr>
          <w:rFonts w:ascii="Verdana" w:hAnsi="Verdana"/>
        </w:rPr>
        <w:t>de</w:t>
      </w:r>
      <w:r w:rsidRPr="006C0418">
        <w:rPr>
          <w:rFonts w:ascii="Verdana" w:hAnsi="Verdana"/>
          <w:spacing w:val="32"/>
        </w:rPr>
        <w:t xml:space="preserve"> </w:t>
      </w:r>
      <w:r w:rsidRPr="006C0418">
        <w:rPr>
          <w:rFonts w:ascii="Verdana" w:hAnsi="Verdana"/>
        </w:rPr>
        <w:t>2021</w:t>
      </w:r>
      <w:r w:rsidRPr="006C0418">
        <w:rPr>
          <w:rFonts w:ascii="Verdana" w:hAnsi="Verdana"/>
          <w:spacing w:val="-8"/>
        </w:rPr>
        <w:t xml:space="preserve"> </w:t>
      </w:r>
      <w:r w:rsidRPr="006C0418">
        <w:rPr>
          <w:rFonts w:ascii="Verdana" w:hAnsi="Verdana"/>
        </w:rPr>
        <w:t>C</w:t>
      </w:r>
      <w:r w:rsidRPr="006C0418">
        <w:rPr>
          <w:rFonts w:ascii="Verdana" w:hAnsi="Verdana"/>
          <w:spacing w:val="-9"/>
        </w:rPr>
        <w:t xml:space="preserve"> </w:t>
      </w:r>
      <w:r w:rsidRPr="006C0418">
        <w:rPr>
          <w:rFonts w:ascii="Verdana" w:hAnsi="Verdana"/>
        </w:rPr>
        <w:t>–</w:t>
      </w:r>
      <w:r w:rsidRPr="006C0418">
        <w:rPr>
          <w:rFonts w:ascii="Verdana" w:hAnsi="Verdana"/>
          <w:spacing w:val="-9"/>
        </w:rPr>
        <w:t xml:space="preserve"> </w:t>
      </w:r>
      <w:r w:rsidRPr="006C0418">
        <w:rPr>
          <w:rFonts w:ascii="Verdana" w:hAnsi="Verdana"/>
        </w:rPr>
        <w:t>400</w:t>
      </w:r>
      <w:r w:rsidRPr="006C0418">
        <w:rPr>
          <w:rFonts w:ascii="Verdana" w:hAnsi="Verdana"/>
          <w:spacing w:val="-8"/>
        </w:rPr>
        <w:t xml:space="preserve"> </w:t>
      </w:r>
      <w:r w:rsidRPr="006C0418">
        <w:rPr>
          <w:rFonts w:ascii="Verdana" w:hAnsi="Verdana"/>
        </w:rPr>
        <w:t>del</w:t>
      </w:r>
      <w:r w:rsidRPr="006C0418">
        <w:rPr>
          <w:rFonts w:ascii="Verdana" w:hAnsi="Verdana"/>
          <w:spacing w:val="-8"/>
        </w:rPr>
        <w:t xml:space="preserve"> </w:t>
      </w:r>
      <w:r w:rsidRPr="006C0418">
        <w:rPr>
          <w:rFonts w:ascii="Verdana" w:hAnsi="Verdana"/>
        </w:rPr>
        <w:t>26</w:t>
      </w:r>
      <w:r w:rsidRPr="006C0418">
        <w:rPr>
          <w:rFonts w:ascii="Verdana" w:hAnsi="Verdana"/>
          <w:spacing w:val="-9"/>
        </w:rPr>
        <w:t xml:space="preserve"> </w:t>
      </w:r>
      <w:r w:rsidRPr="006C0418">
        <w:rPr>
          <w:rFonts w:ascii="Verdana" w:hAnsi="Verdana"/>
        </w:rPr>
        <w:t>de</w:t>
      </w:r>
      <w:r w:rsidRPr="006C0418">
        <w:rPr>
          <w:rFonts w:ascii="Verdana" w:hAnsi="Verdana"/>
          <w:spacing w:val="-9"/>
        </w:rPr>
        <w:t xml:space="preserve"> </w:t>
      </w:r>
      <w:r w:rsidRPr="006C0418">
        <w:rPr>
          <w:rFonts w:ascii="Verdana" w:hAnsi="Verdana"/>
        </w:rPr>
        <w:t>septiembre</w:t>
      </w:r>
      <w:r w:rsidRPr="006C0418">
        <w:rPr>
          <w:rFonts w:ascii="Verdana" w:hAnsi="Verdana"/>
          <w:spacing w:val="-6"/>
        </w:rPr>
        <w:t xml:space="preserve"> </w:t>
      </w:r>
      <w:r w:rsidRPr="006C0418">
        <w:rPr>
          <w:rFonts w:ascii="Verdana" w:hAnsi="Verdana"/>
        </w:rPr>
        <w:t>de</w:t>
      </w:r>
      <w:r w:rsidRPr="006C0418">
        <w:rPr>
          <w:rFonts w:ascii="Verdana" w:hAnsi="Verdana"/>
          <w:spacing w:val="-9"/>
        </w:rPr>
        <w:t xml:space="preserve"> </w:t>
      </w:r>
      <w:r w:rsidRPr="006C0418">
        <w:rPr>
          <w:rFonts w:ascii="Verdana" w:hAnsi="Verdana"/>
        </w:rPr>
        <w:t>2023</w:t>
      </w:r>
      <w:r w:rsidRPr="006C0418">
        <w:rPr>
          <w:rFonts w:ascii="Verdana" w:eastAsia="Calibri" w:hAnsi="Verdana" w:cs="Arial"/>
          <w:lang w:eastAsia="es-ES"/>
        </w:rPr>
        <w:t xml:space="preserve">. </w:t>
      </w:r>
      <w:r w:rsidRPr="006C0418">
        <w:rPr>
          <w:rFonts w:ascii="Verdana" w:hAnsi="Verdana" w:cs="Arial"/>
          <w:shd w:val="clear" w:color="auto" w:fill="FFFFFF"/>
          <w:lang w:val="es-ES"/>
        </w:rPr>
        <w:t>Es</w:t>
      </w:r>
      <w:r w:rsidRPr="006C0418">
        <w:rPr>
          <w:rFonts w:ascii="Verdana" w:hAnsi="Verdana"/>
        </w:rPr>
        <w:t>tos y otros conceptos se encuentran disponibles para consulta en el Sistema de relatoría de la Agencia, al cual se puede acceder a través del siguiente enlace:</w:t>
      </w:r>
      <w:r w:rsidRPr="006C0418">
        <w:rPr>
          <w:rFonts w:ascii="Verdana" w:hAnsi="Verdana" w:cs="Arial"/>
          <w:shd w:val="clear" w:color="auto" w:fill="FFFFFF"/>
          <w:lang w:val="es-ES"/>
        </w:rPr>
        <w:t xml:space="preserve"> </w:t>
      </w:r>
      <w:hyperlink r:id="rId13" w:history="1">
        <w:r w:rsidRPr="006C0418">
          <w:rPr>
            <w:rFonts w:ascii="Verdana" w:hAnsi="Verdana" w:cs="Arial"/>
            <w:color w:val="0563C1" w:themeColor="hyperlink"/>
            <w:u w:val="single"/>
            <w:shd w:val="clear" w:color="auto" w:fill="FFFFFF"/>
            <w:lang w:val="es-ES"/>
          </w:rPr>
          <w:t>https://relatoria.colombiacompra.gov.co/busqueda/conceptos</w:t>
        </w:r>
      </w:hyperlink>
      <w:r w:rsidRPr="006C0418">
        <w:rPr>
          <w:rFonts w:ascii="Verdana" w:hAnsi="Verdana" w:cs="Arial"/>
          <w:shd w:val="clear" w:color="auto" w:fill="FFFFFF"/>
          <w:lang w:val="es-ES"/>
        </w:rPr>
        <w:t>.</w:t>
      </w:r>
      <w:r w:rsidRPr="006C0418">
        <w:rPr>
          <w:rFonts w:ascii="Verdana" w:hAnsi="Verdana" w:cs="Arial"/>
          <w:color w:val="FF0000"/>
          <w:shd w:val="clear" w:color="auto" w:fill="FFFFFF"/>
          <w:lang w:val="es-ES"/>
        </w:rPr>
        <w:t xml:space="preserve"> </w:t>
      </w:r>
    </w:p>
    <w:p w14:paraId="127E0D7C" w14:textId="77777777" w:rsidR="00E421C2" w:rsidRPr="006C0418" w:rsidRDefault="00E421C2" w:rsidP="006C0418">
      <w:pPr>
        <w:widowControl w:val="0"/>
        <w:autoSpaceDE w:val="0"/>
        <w:autoSpaceDN w:val="0"/>
        <w:spacing w:after="0" w:line="276" w:lineRule="auto"/>
        <w:jc w:val="both"/>
        <w:rPr>
          <w:rFonts w:ascii="Verdana" w:hAnsi="Verdana" w:cs="Arial"/>
          <w:color w:val="000000" w:themeColor="text1"/>
          <w:shd w:val="clear" w:color="auto" w:fill="FFFFFF"/>
        </w:rPr>
      </w:pPr>
    </w:p>
    <w:bookmarkEnd w:id="0"/>
    <w:p w14:paraId="08D817B5" w14:textId="77777777" w:rsidR="00E421C2" w:rsidRPr="006C0418" w:rsidRDefault="00E421C2" w:rsidP="006C0418">
      <w:pPr>
        <w:spacing w:after="0" w:line="276" w:lineRule="auto"/>
        <w:jc w:val="both"/>
        <w:rPr>
          <w:rFonts w:ascii="Verdana" w:hAnsi="Verdana"/>
        </w:rPr>
      </w:pPr>
      <w:r w:rsidRPr="006C0418">
        <w:rPr>
          <w:rFonts w:ascii="Verdana" w:hAnsi="Verdana"/>
        </w:rPr>
        <w:t xml:space="preserve">Por último, lo invitamos a seguirnos en las redes sociales en las cuales se difunde información institucional: </w:t>
      </w:r>
    </w:p>
    <w:p w14:paraId="65121D12" w14:textId="77777777" w:rsidR="00E421C2" w:rsidRPr="006C0418" w:rsidRDefault="00E421C2" w:rsidP="006C0418">
      <w:pPr>
        <w:spacing w:after="0" w:line="276" w:lineRule="auto"/>
        <w:jc w:val="both"/>
        <w:rPr>
          <w:rFonts w:ascii="Verdana" w:hAnsi="Verdana"/>
        </w:rPr>
      </w:pPr>
    </w:p>
    <w:p w14:paraId="02F21CBA" w14:textId="77777777" w:rsidR="00E421C2" w:rsidRPr="006C0418" w:rsidRDefault="00E421C2" w:rsidP="006C0418">
      <w:pPr>
        <w:spacing w:after="0" w:line="276" w:lineRule="auto"/>
        <w:jc w:val="both"/>
        <w:rPr>
          <w:rFonts w:ascii="Verdana" w:hAnsi="Verdana"/>
        </w:rPr>
      </w:pPr>
      <w:r w:rsidRPr="006C0418">
        <w:rPr>
          <w:rFonts w:ascii="Verdana" w:hAnsi="Verdana"/>
        </w:rPr>
        <w:t xml:space="preserve">Twitter: </w:t>
      </w:r>
      <w:r w:rsidRPr="006C0418">
        <w:rPr>
          <w:rFonts w:ascii="Verdana" w:hAnsi="Verdana"/>
          <w:color w:val="4472C4" w:themeColor="accent1"/>
          <w:u w:val="single"/>
        </w:rPr>
        <w:t>@colombiacompra</w:t>
      </w:r>
      <w:r w:rsidRPr="006C0418">
        <w:rPr>
          <w:rFonts w:ascii="Verdana" w:hAnsi="Verdana"/>
          <w:color w:val="4472C4" w:themeColor="accent1"/>
        </w:rPr>
        <w:t xml:space="preserve"> </w:t>
      </w:r>
    </w:p>
    <w:p w14:paraId="1D44AF3D" w14:textId="77777777" w:rsidR="00E421C2" w:rsidRPr="006C0418" w:rsidRDefault="00E421C2" w:rsidP="006C0418">
      <w:pPr>
        <w:spacing w:after="0" w:line="276" w:lineRule="auto"/>
        <w:jc w:val="both"/>
        <w:rPr>
          <w:rFonts w:ascii="Verdana" w:hAnsi="Verdana"/>
        </w:rPr>
      </w:pPr>
      <w:r w:rsidRPr="006C0418">
        <w:rPr>
          <w:rFonts w:ascii="Verdana" w:hAnsi="Verdana"/>
        </w:rPr>
        <w:lastRenderedPageBreak/>
        <w:t xml:space="preserve">Facebook: </w:t>
      </w:r>
      <w:proofErr w:type="spellStart"/>
      <w:r w:rsidRPr="006C0418">
        <w:rPr>
          <w:rFonts w:ascii="Verdana" w:hAnsi="Verdana"/>
          <w:color w:val="4472C4" w:themeColor="accent1"/>
          <w:u w:val="single"/>
        </w:rPr>
        <w:t>ColombiaCompraEficiente</w:t>
      </w:r>
      <w:proofErr w:type="spellEnd"/>
    </w:p>
    <w:p w14:paraId="6F037C52" w14:textId="77777777" w:rsidR="00E421C2" w:rsidRPr="006C0418" w:rsidRDefault="00E421C2" w:rsidP="006C0418">
      <w:pPr>
        <w:spacing w:after="0" w:line="276" w:lineRule="auto"/>
        <w:jc w:val="both"/>
        <w:rPr>
          <w:rFonts w:ascii="Verdana" w:hAnsi="Verdana"/>
        </w:rPr>
      </w:pPr>
      <w:r w:rsidRPr="006C0418">
        <w:rPr>
          <w:rFonts w:ascii="Verdana" w:hAnsi="Verdana"/>
        </w:rPr>
        <w:t xml:space="preserve">LinkedIn: </w:t>
      </w:r>
      <w:r w:rsidRPr="006C0418">
        <w:rPr>
          <w:rFonts w:ascii="Verdana" w:hAnsi="Verdana"/>
          <w:color w:val="4472C4" w:themeColor="accent1"/>
          <w:u w:val="single"/>
        </w:rPr>
        <w:t>Agencia Nacional de Contratación Pública - Colombia Compra Eficiente</w:t>
      </w:r>
      <w:r w:rsidRPr="006C0418">
        <w:rPr>
          <w:rFonts w:ascii="Verdana" w:hAnsi="Verdana"/>
          <w:color w:val="4472C4" w:themeColor="accent1"/>
        </w:rPr>
        <w:t xml:space="preserve"> </w:t>
      </w:r>
      <w:r w:rsidRPr="006C0418">
        <w:rPr>
          <w:rFonts w:ascii="Verdana" w:hAnsi="Verdana"/>
        </w:rPr>
        <w:t xml:space="preserve">Instagram: </w:t>
      </w:r>
      <w:r w:rsidRPr="006C0418">
        <w:rPr>
          <w:rFonts w:ascii="Verdana" w:hAnsi="Verdana"/>
          <w:color w:val="4472C4" w:themeColor="accent1"/>
          <w:u w:val="single"/>
        </w:rPr>
        <w:t>@colombiacompraeficiente_cce</w:t>
      </w:r>
    </w:p>
    <w:p w14:paraId="73C5395E" w14:textId="77777777" w:rsidR="00E421C2" w:rsidRPr="006C0418" w:rsidRDefault="00E421C2" w:rsidP="006C0418">
      <w:pPr>
        <w:widowControl w:val="0"/>
        <w:autoSpaceDE w:val="0"/>
        <w:autoSpaceDN w:val="0"/>
        <w:spacing w:after="0" w:line="276" w:lineRule="auto"/>
        <w:jc w:val="both"/>
        <w:rPr>
          <w:rFonts w:ascii="Verdana" w:hAnsi="Verdana" w:cs="Arial"/>
        </w:rPr>
      </w:pPr>
    </w:p>
    <w:p w14:paraId="7036B46C" w14:textId="77777777" w:rsidR="00E421C2" w:rsidRPr="006C0418" w:rsidRDefault="00E421C2" w:rsidP="006C0418">
      <w:pPr>
        <w:widowControl w:val="0"/>
        <w:autoSpaceDE w:val="0"/>
        <w:autoSpaceDN w:val="0"/>
        <w:spacing w:after="0" w:line="276" w:lineRule="auto"/>
        <w:jc w:val="both"/>
        <w:rPr>
          <w:rFonts w:ascii="Verdana" w:hAnsi="Verdana" w:cs="Arial"/>
          <w:lang w:val="es-ES_tradnl"/>
        </w:rPr>
      </w:pPr>
      <w:r w:rsidRPr="006C0418">
        <w:rPr>
          <w:rFonts w:ascii="Verdana" w:hAnsi="Verdana" w:cs="Arial"/>
        </w:rPr>
        <w:t xml:space="preserve">Este concepto tiene el alcance previsto en el artículo 28 del Código de Procedimiento Administrativo y de lo Contencioso Administrativo </w:t>
      </w:r>
      <w:r w:rsidRPr="006C0418">
        <w:rPr>
          <w:rFonts w:ascii="Verdana" w:hAnsi="Verdana" w:cs="Arial"/>
          <w:lang w:val="es-ES_tradnl"/>
        </w:rPr>
        <w:t>y las expresiones aquí utilizadas con mayúscula inicial deben ser entendidas con el significado que les otorga el artículo 2.2.1.1.1.3.1. del Decreto 1082 de 2015.</w:t>
      </w:r>
    </w:p>
    <w:p w14:paraId="7DB47503" w14:textId="77777777" w:rsidR="00E421C2" w:rsidRPr="006C0418" w:rsidRDefault="00E421C2" w:rsidP="006C0418">
      <w:pPr>
        <w:widowControl w:val="0"/>
        <w:autoSpaceDE w:val="0"/>
        <w:autoSpaceDN w:val="0"/>
        <w:spacing w:after="0" w:line="276" w:lineRule="auto"/>
        <w:jc w:val="both"/>
        <w:rPr>
          <w:rFonts w:ascii="Verdana" w:hAnsi="Verdana" w:cs="Arial"/>
        </w:rPr>
      </w:pPr>
    </w:p>
    <w:p w14:paraId="0EF9F5F2" w14:textId="77777777" w:rsidR="00E421C2" w:rsidRPr="006C0418" w:rsidRDefault="00E421C2" w:rsidP="006C0418">
      <w:pPr>
        <w:spacing w:after="0" w:line="276" w:lineRule="auto"/>
        <w:rPr>
          <w:rFonts w:ascii="Verdana" w:hAnsi="Verdana" w:cs="Arial"/>
          <w:lang w:eastAsia="es-CO"/>
        </w:rPr>
      </w:pPr>
      <w:r w:rsidRPr="66BB9529">
        <w:rPr>
          <w:rFonts w:ascii="Verdana" w:eastAsia="Times New Roman" w:hAnsi="Verdana" w:cs="Arial"/>
          <w:lang w:eastAsia="es-CO"/>
        </w:rPr>
        <w:t>Atentamente,</w:t>
      </w:r>
      <w:r w:rsidRPr="66BB9529">
        <w:rPr>
          <w:rFonts w:ascii="Verdana" w:hAnsi="Verdana" w:cs="Arial"/>
          <w:lang w:eastAsia="es-CO"/>
        </w:rPr>
        <w:t xml:space="preserve"> </w:t>
      </w:r>
    </w:p>
    <w:p w14:paraId="7C8FE76A" w14:textId="676A482B" w:rsidR="00E421C2" w:rsidRPr="00121FF5" w:rsidRDefault="00121FF5" w:rsidP="00121FF5">
      <w:pPr>
        <w:spacing w:after="0" w:line="276" w:lineRule="auto"/>
      </w:pPr>
      <w:r>
        <w:rPr>
          <w:noProof/>
        </w:rPr>
        <w:drawing>
          <wp:inline distT="0" distB="0" distL="0" distR="0" wp14:anchorId="48C0D9E7" wp14:editId="176D727A">
            <wp:extent cx="3429000" cy="1780878"/>
            <wp:effectExtent l="0" t="0" r="0" b="0"/>
            <wp:docPr id="1211457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57559" name="Imagen 1211457559"/>
                    <pic:cNvPicPr/>
                  </pic:nvPicPr>
                  <pic:blipFill rotWithShape="1">
                    <a:blip r:embed="rId14">
                      <a:extLst>
                        <a:ext uri="{28A0092B-C50C-407E-A947-70E740481C1C}">
                          <a14:useLocalDpi xmlns:a14="http://schemas.microsoft.com/office/drawing/2010/main" val="0"/>
                        </a:ext>
                      </a:extLst>
                    </a:blip>
                    <a:srcRect l="10539" r="8730"/>
                    <a:stretch>
                      <a:fillRect/>
                    </a:stretch>
                  </pic:blipFill>
                  <pic:spPr bwMode="auto">
                    <a:xfrm>
                      <a:off x="0" y="0"/>
                      <a:ext cx="3430051" cy="1781424"/>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306"/>
      </w:tblGrid>
      <w:tr w:rsidR="00E421C2" w:rsidRPr="00DC1DF5" w14:paraId="2A4ECCCE" w14:textId="77777777" w:rsidTr="66BB9529">
        <w:trPr>
          <w:trHeight w:val="292"/>
        </w:trPr>
        <w:tc>
          <w:tcPr>
            <w:tcW w:w="893" w:type="dxa"/>
            <w:vMerge w:val="restart"/>
            <w:vAlign w:val="center"/>
            <w:hideMark/>
          </w:tcPr>
          <w:p w14:paraId="37ADBF40" w14:textId="77777777" w:rsidR="00E421C2" w:rsidRPr="00DC1DF5" w:rsidRDefault="00E421C2" w:rsidP="0053520F">
            <w:pPr>
              <w:rPr>
                <w:rFonts w:ascii="Verdana" w:hAnsi="Verdana" w:cs="Arial"/>
                <w:sz w:val="14"/>
                <w:szCs w:val="14"/>
                <w:lang w:eastAsia="es-ES"/>
              </w:rPr>
            </w:pPr>
            <w:r w:rsidRPr="00DC1DF5">
              <w:rPr>
                <w:rFonts w:ascii="Verdana" w:hAnsi="Verdana" w:cs="Arial"/>
                <w:sz w:val="14"/>
                <w:szCs w:val="14"/>
                <w:lang w:eastAsia="es-ES"/>
              </w:rPr>
              <w:t>Elabor</w:t>
            </w:r>
            <w:r>
              <w:rPr>
                <w:rFonts w:ascii="Verdana" w:hAnsi="Verdana" w:cs="Arial"/>
                <w:sz w:val="14"/>
                <w:szCs w:val="14"/>
                <w:lang w:eastAsia="es-ES"/>
              </w:rPr>
              <w:t>ó</w:t>
            </w:r>
          </w:p>
          <w:p w14:paraId="1F8EC9E7" w14:textId="77777777" w:rsidR="00E421C2" w:rsidRPr="00DC1DF5" w:rsidRDefault="00E421C2" w:rsidP="0053520F">
            <w:pPr>
              <w:rPr>
                <w:rFonts w:ascii="Verdana" w:hAnsi="Verdana" w:cs="Arial"/>
                <w:sz w:val="14"/>
                <w:szCs w:val="14"/>
                <w:lang w:eastAsia="es-ES"/>
              </w:rPr>
            </w:pPr>
          </w:p>
        </w:tc>
        <w:tc>
          <w:tcPr>
            <w:tcW w:w="4306" w:type="dxa"/>
            <w:tcBorders>
              <w:top w:val="nil"/>
              <w:left w:val="nil"/>
              <w:bottom w:val="dotted" w:sz="4" w:space="0" w:color="7F7F7F" w:themeColor="text1" w:themeTint="80"/>
              <w:right w:val="nil"/>
            </w:tcBorders>
            <w:vAlign w:val="center"/>
          </w:tcPr>
          <w:p w14:paraId="43E4599E" w14:textId="77777777" w:rsidR="00E421C2" w:rsidRPr="00DC1DF5" w:rsidRDefault="00E421C2" w:rsidP="0053520F">
            <w:pPr>
              <w:rPr>
                <w:rFonts w:ascii="Verdana" w:hAnsi="Verdana" w:cs="Arial"/>
                <w:sz w:val="14"/>
                <w:szCs w:val="14"/>
                <w:lang w:eastAsia="es-ES"/>
              </w:rPr>
            </w:pPr>
          </w:p>
        </w:tc>
      </w:tr>
      <w:tr w:rsidR="00E421C2" w:rsidRPr="00DC1DF5" w14:paraId="6E05597C" w14:textId="77777777" w:rsidTr="66BB9529">
        <w:trPr>
          <w:trHeight w:val="292"/>
        </w:trPr>
        <w:tc>
          <w:tcPr>
            <w:tcW w:w="893" w:type="dxa"/>
            <w:vMerge/>
            <w:vAlign w:val="center"/>
          </w:tcPr>
          <w:p w14:paraId="2C13BC7A" w14:textId="77777777" w:rsidR="00E421C2" w:rsidRPr="00DC1DF5" w:rsidRDefault="00E421C2" w:rsidP="0053520F">
            <w:pPr>
              <w:rPr>
                <w:rFonts w:ascii="Verdana" w:hAnsi="Verdana" w:cs="Arial"/>
                <w:sz w:val="14"/>
                <w:szCs w:val="14"/>
                <w:lang w:eastAsia="es-ES"/>
              </w:rPr>
            </w:pPr>
          </w:p>
        </w:tc>
        <w:tc>
          <w:tcPr>
            <w:tcW w:w="4306" w:type="dxa"/>
            <w:tcBorders>
              <w:top w:val="nil"/>
              <w:left w:val="nil"/>
              <w:bottom w:val="dotted" w:sz="4" w:space="0" w:color="7F7F7F" w:themeColor="text1" w:themeTint="80"/>
              <w:right w:val="nil"/>
            </w:tcBorders>
            <w:vAlign w:val="center"/>
          </w:tcPr>
          <w:p w14:paraId="0C324C4C" w14:textId="77777777" w:rsidR="00E421C2" w:rsidRPr="00DC1DF5" w:rsidRDefault="00E421C2" w:rsidP="0053520F">
            <w:pPr>
              <w:rPr>
                <w:rFonts w:ascii="Verdana" w:hAnsi="Verdana" w:cs="Arial"/>
                <w:sz w:val="14"/>
                <w:szCs w:val="14"/>
                <w:lang w:eastAsia="es-ES"/>
              </w:rPr>
            </w:pPr>
            <w:r>
              <w:rPr>
                <w:rFonts w:ascii="Verdana" w:hAnsi="Verdana" w:cs="Arial"/>
                <w:sz w:val="14"/>
                <w:szCs w:val="14"/>
                <w:lang w:eastAsia="es-ES"/>
              </w:rPr>
              <w:t>Richard Andrés Montenegro Siefken</w:t>
            </w:r>
          </w:p>
          <w:p w14:paraId="00A5A707" w14:textId="77777777" w:rsidR="00E421C2" w:rsidRPr="00DC1DF5" w:rsidRDefault="00E421C2" w:rsidP="0053520F">
            <w:pPr>
              <w:rPr>
                <w:rFonts w:ascii="Verdana" w:hAnsi="Verdana" w:cs="Arial"/>
                <w:sz w:val="14"/>
                <w:szCs w:val="14"/>
                <w:lang w:eastAsia="es-ES"/>
              </w:rPr>
            </w:pPr>
            <w:r>
              <w:rPr>
                <w:rFonts w:ascii="Verdana" w:hAnsi="Verdana" w:cs="Arial"/>
                <w:sz w:val="14"/>
                <w:szCs w:val="14"/>
                <w:lang w:eastAsia="es-ES"/>
              </w:rPr>
              <w:t>Contratista</w:t>
            </w:r>
            <w:r w:rsidRPr="00DC1DF5">
              <w:rPr>
                <w:rFonts w:ascii="Verdana" w:hAnsi="Verdana" w:cs="Arial"/>
                <w:sz w:val="14"/>
                <w:szCs w:val="14"/>
                <w:lang w:eastAsia="es-ES"/>
              </w:rPr>
              <w:t xml:space="preserve"> de la Subdirección de Gestión Contractual</w:t>
            </w:r>
          </w:p>
        </w:tc>
      </w:tr>
      <w:tr w:rsidR="00E421C2" w:rsidRPr="00DC1DF5" w14:paraId="43468799" w14:textId="77777777" w:rsidTr="66BB9529">
        <w:trPr>
          <w:trHeight w:val="305"/>
        </w:trPr>
        <w:tc>
          <w:tcPr>
            <w:tcW w:w="893" w:type="dxa"/>
            <w:vAlign w:val="center"/>
          </w:tcPr>
          <w:p w14:paraId="5E46CEC0" w14:textId="77777777" w:rsidR="00E421C2" w:rsidRPr="00DC1DF5" w:rsidRDefault="00E421C2" w:rsidP="0053520F">
            <w:pPr>
              <w:rPr>
                <w:rFonts w:ascii="Verdana" w:hAnsi="Verdana" w:cs="Arial"/>
                <w:sz w:val="14"/>
                <w:szCs w:val="14"/>
                <w:lang w:eastAsia="es-ES"/>
              </w:rPr>
            </w:pPr>
            <w:r w:rsidRPr="00DC1DF5">
              <w:rPr>
                <w:rFonts w:ascii="Verdana" w:hAnsi="Verdana" w:cs="Arial"/>
                <w:sz w:val="14"/>
                <w:szCs w:val="14"/>
                <w:lang w:eastAsia="es-ES"/>
              </w:rPr>
              <w:t>Revisó:</w:t>
            </w:r>
          </w:p>
        </w:tc>
        <w:tc>
          <w:tcPr>
            <w:tcW w:w="4306" w:type="dxa"/>
            <w:tcBorders>
              <w:top w:val="dotted" w:sz="4" w:space="0" w:color="7F7F7F" w:themeColor="text1" w:themeTint="80"/>
              <w:left w:val="nil"/>
              <w:bottom w:val="dotted" w:sz="4" w:space="0" w:color="7F7F7F" w:themeColor="text1" w:themeTint="80"/>
              <w:right w:val="nil"/>
            </w:tcBorders>
            <w:vAlign w:val="center"/>
          </w:tcPr>
          <w:p w14:paraId="5D7685EC" w14:textId="77777777" w:rsidR="00E421C2" w:rsidRPr="00DC1DF5" w:rsidRDefault="00E421C2" w:rsidP="0053520F">
            <w:pPr>
              <w:rPr>
                <w:rFonts w:ascii="Verdana" w:hAnsi="Verdana" w:cs="Arial"/>
                <w:sz w:val="14"/>
                <w:szCs w:val="14"/>
                <w:lang w:eastAsia="es-ES"/>
              </w:rPr>
            </w:pPr>
            <w:r>
              <w:rPr>
                <w:rFonts w:ascii="Verdana" w:hAnsi="Verdana" w:cs="Arial"/>
                <w:sz w:val="14"/>
                <w:szCs w:val="14"/>
                <w:lang w:eastAsia="es-ES"/>
              </w:rPr>
              <w:t>Diana Lucia Saavedra Castañeda</w:t>
            </w:r>
          </w:p>
          <w:p w14:paraId="26FC9756" w14:textId="77777777" w:rsidR="00E421C2" w:rsidRPr="00DC1DF5" w:rsidRDefault="00E421C2" w:rsidP="0053520F">
            <w:pPr>
              <w:rPr>
                <w:rFonts w:ascii="Verdana" w:hAnsi="Verdana" w:cs="Arial"/>
                <w:sz w:val="14"/>
                <w:szCs w:val="14"/>
                <w:lang w:eastAsia="es-ES"/>
              </w:rPr>
            </w:pPr>
            <w:r>
              <w:rPr>
                <w:rFonts w:ascii="Verdana" w:hAnsi="Verdana" w:cs="Arial"/>
                <w:sz w:val="14"/>
                <w:szCs w:val="14"/>
                <w:lang w:eastAsia="es-ES"/>
              </w:rPr>
              <w:t xml:space="preserve">Contratista </w:t>
            </w:r>
            <w:r w:rsidRPr="00DC1DF5">
              <w:rPr>
                <w:rFonts w:ascii="Verdana" w:hAnsi="Verdana" w:cs="Arial"/>
                <w:sz w:val="14"/>
                <w:szCs w:val="14"/>
                <w:lang w:eastAsia="es-ES"/>
              </w:rPr>
              <w:t>de la Subdirección de Gestión Contractual</w:t>
            </w:r>
          </w:p>
        </w:tc>
      </w:tr>
      <w:tr w:rsidR="00E421C2" w:rsidRPr="00DC1DF5" w14:paraId="470DD5AA" w14:textId="77777777" w:rsidTr="66BB9529">
        <w:trPr>
          <w:trHeight w:val="278"/>
        </w:trPr>
        <w:tc>
          <w:tcPr>
            <w:tcW w:w="893" w:type="dxa"/>
            <w:vAlign w:val="center"/>
            <w:hideMark/>
          </w:tcPr>
          <w:p w14:paraId="03CCCBC2" w14:textId="77777777" w:rsidR="00E421C2" w:rsidRPr="00DC1DF5" w:rsidRDefault="00E421C2" w:rsidP="0053520F">
            <w:pPr>
              <w:rPr>
                <w:rFonts w:ascii="Verdana" w:hAnsi="Verdana" w:cs="Arial"/>
                <w:sz w:val="14"/>
                <w:szCs w:val="14"/>
                <w:lang w:eastAsia="es-ES"/>
              </w:rPr>
            </w:pPr>
            <w:r w:rsidRPr="00DC1DF5">
              <w:rPr>
                <w:rFonts w:ascii="Verdana" w:hAnsi="Verdana" w:cs="Arial"/>
                <w:sz w:val="14"/>
                <w:szCs w:val="14"/>
                <w:lang w:eastAsia="es-ES"/>
              </w:rPr>
              <w:t>Aprobó:</w:t>
            </w:r>
          </w:p>
        </w:tc>
        <w:tc>
          <w:tcPr>
            <w:tcW w:w="4306" w:type="dxa"/>
            <w:tcBorders>
              <w:top w:val="dotted" w:sz="4" w:space="0" w:color="7F7F7F" w:themeColor="text1" w:themeTint="80"/>
              <w:left w:val="nil"/>
              <w:bottom w:val="dotted" w:sz="4" w:space="0" w:color="7F7F7F" w:themeColor="text1" w:themeTint="80"/>
              <w:right w:val="nil"/>
            </w:tcBorders>
            <w:vAlign w:val="center"/>
            <w:hideMark/>
          </w:tcPr>
          <w:p w14:paraId="62B1766A" w14:textId="4813A6C2" w:rsidR="00E421C2" w:rsidRPr="00DC1DF5" w:rsidRDefault="00516BB7" w:rsidP="0053520F">
            <w:pPr>
              <w:rPr>
                <w:rFonts w:ascii="Verdana" w:hAnsi="Verdana" w:cs="Arial"/>
                <w:sz w:val="14"/>
                <w:szCs w:val="14"/>
                <w:lang w:eastAsia="es-ES"/>
              </w:rPr>
            </w:pPr>
            <w:r w:rsidRPr="66BB9529">
              <w:rPr>
                <w:rFonts w:ascii="Verdana" w:hAnsi="Verdana" w:cs="Arial"/>
                <w:sz w:val="14"/>
                <w:szCs w:val="14"/>
                <w:lang w:eastAsia="es-ES"/>
              </w:rPr>
              <w:t>Ana María Tolosa Rico</w:t>
            </w:r>
          </w:p>
          <w:p w14:paraId="4D18AF67" w14:textId="4C2E1C91" w:rsidR="00E421C2" w:rsidRPr="00DC1DF5" w:rsidRDefault="00E421C2" w:rsidP="0053520F">
            <w:pPr>
              <w:rPr>
                <w:rFonts w:ascii="Verdana" w:hAnsi="Verdana" w:cs="Arial"/>
                <w:sz w:val="14"/>
                <w:szCs w:val="14"/>
                <w:lang w:eastAsia="es-ES"/>
              </w:rPr>
            </w:pPr>
            <w:r w:rsidRPr="66BB9529">
              <w:rPr>
                <w:rFonts w:ascii="Verdana" w:hAnsi="Verdana" w:cs="Arial"/>
                <w:sz w:val="14"/>
                <w:szCs w:val="14"/>
                <w:lang w:eastAsia="es-ES"/>
              </w:rPr>
              <w:t>Subdirectora</w:t>
            </w:r>
            <w:r w:rsidR="00516BB7" w:rsidRPr="66BB9529">
              <w:rPr>
                <w:rFonts w:ascii="Verdana" w:hAnsi="Verdana" w:cs="Arial"/>
                <w:sz w:val="14"/>
                <w:szCs w:val="14"/>
                <w:lang w:eastAsia="es-ES"/>
              </w:rPr>
              <w:t xml:space="preserve"> (E)</w:t>
            </w:r>
            <w:r w:rsidRPr="66BB9529">
              <w:rPr>
                <w:rFonts w:ascii="Verdana" w:hAnsi="Verdana" w:cs="Arial"/>
                <w:sz w:val="14"/>
                <w:szCs w:val="14"/>
                <w:lang w:eastAsia="es-ES"/>
              </w:rPr>
              <w:t xml:space="preserve"> de Gestión Contractual ANCP – CCE</w:t>
            </w:r>
          </w:p>
        </w:tc>
      </w:tr>
    </w:tbl>
    <w:p w14:paraId="78CAAD07" w14:textId="77777777" w:rsidR="00E421C2" w:rsidRPr="006849F1" w:rsidRDefault="00E421C2" w:rsidP="00E421C2">
      <w:pPr>
        <w:spacing w:after="0" w:line="240" w:lineRule="auto"/>
        <w:rPr>
          <w:rFonts w:ascii="Verdana" w:eastAsia="Times New Roman" w:hAnsi="Verdana" w:cs="Arial"/>
          <w:sz w:val="24"/>
          <w:szCs w:val="24"/>
          <w:lang w:eastAsia="es-ES"/>
        </w:rPr>
      </w:pPr>
    </w:p>
    <w:p w14:paraId="125CD052" w14:textId="77777777" w:rsidR="00E421C2" w:rsidRPr="0001121F" w:rsidRDefault="00E421C2" w:rsidP="00E421C2">
      <w:pPr>
        <w:spacing w:after="0" w:line="276" w:lineRule="auto"/>
        <w:jc w:val="both"/>
      </w:pPr>
    </w:p>
    <w:p w14:paraId="3900974D" w14:textId="77777777" w:rsidR="003D5B0D" w:rsidRPr="000050C2" w:rsidRDefault="003D5B0D" w:rsidP="000050C2"/>
    <w:sectPr w:rsidR="003D5B0D" w:rsidRPr="000050C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5B28C" w14:textId="77777777" w:rsidR="00BE5F85" w:rsidRDefault="00BE5F85" w:rsidP="004A1847">
      <w:pPr>
        <w:spacing w:after="0" w:line="240" w:lineRule="auto"/>
      </w:pPr>
      <w:r>
        <w:separator/>
      </w:r>
    </w:p>
  </w:endnote>
  <w:endnote w:type="continuationSeparator" w:id="0">
    <w:p w14:paraId="7BEC6AB2" w14:textId="77777777" w:rsidR="00BE5F85" w:rsidRDefault="00BE5F8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7B4F1" w14:textId="77777777" w:rsidR="00BE5F85" w:rsidRDefault="00BE5F85" w:rsidP="004A1847">
      <w:pPr>
        <w:spacing w:after="0" w:line="240" w:lineRule="auto"/>
      </w:pPr>
      <w:r>
        <w:separator/>
      </w:r>
    </w:p>
  </w:footnote>
  <w:footnote w:type="continuationSeparator" w:id="0">
    <w:p w14:paraId="7C1C958D" w14:textId="77777777" w:rsidR="00BE5F85" w:rsidRDefault="00BE5F85" w:rsidP="004A1847">
      <w:pPr>
        <w:spacing w:after="0" w:line="240" w:lineRule="auto"/>
      </w:pPr>
      <w:r>
        <w:continuationSeparator/>
      </w:r>
    </w:p>
  </w:footnote>
  <w:footnote w:id="1">
    <w:p w14:paraId="1B930F08" w14:textId="77777777" w:rsidR="00310220" w:rsidRDefault="00310220" w:rsidP="00310220">
      <w:pPr>
        <w:pStyle w:val="Textonotapie"/>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sidR="66BB9529">
        <w:rPr>
          <w:rFonts w:ascii="Verdana" w:hAnsi="Verdana" w:cs="Arial"/>
          <w:color w:val="000000" w:themeColor="text1"/>
          <w:sz w:val="16"/>
          <w:szCs w:val="16"/>
        </w:rPr>
        <w:t xml:space="preserve"> Corte Constitucional. Sentencia C- 341 del 4 de junio de 2014. M. P. Mauricio González Cuervo.</w:t>
      </w:r>
    </w:p>
    <w:p w14:paraId="73B459FB" w14:textId="77777777" w:rsidR="00310220" w:rsidRDefault="00310220" w:rsidP="00310220">
      <w:pPr>
        <w:pStyle w:val="Textonotapie"/>
        <w:jc w:val="both"/>
        <w:rPr>
          <w:rFonts w:ascii="Verdana" w:hAnsi="Verdana" w:cs="Arial"/>
          <w:color w:val="000000" w:themeColor="text1"/>
          <w:sz w:val="16"/>
          <w:szCs w:val="16"/>
        </w:rPr>
      </w:pPr>
    </w:p>
  </w:footnote>
  <w:footnote w:id="2">
    <w:p w14:paraId="68ECD53D" w14:textId="77777777" w:rsidR="00310220" w:rsidRDefault="00310220" w:rsidP="00310220">
      <w:pPr>
        <w:pStyle w:val="Textonotapie"/>
        <w:ind w:firstLine="709"/>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sidR="66BB9529">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0BD6418" w14:textId="77777777" w:rsidR="00310220" w:rsidRDefault="00310220" w:rsidP="00310220">
      <w:pPr>
        <w:pStyle w:val="Textonotapie"/>
        <w:ind w:firstLine="709"/>
        <w:jc w:val="both"/>
        <w:rPr>
          <w:rFonts w:ascii="Verdana" w:hAnsi="Verdana" w:cs="Arial"/>
          <w:color w:val="000000" w:themeColor="text1"/>
          <w:sz w:val="16"/>
          <w:szCs w:val="16"/>
          <w:lang w:val="es-CO"/>
        </w:rPr>
      </w:pPr>
    </w:p>
  </w:footnote>
  <w:footnote w:id="3">
    <w:p w14:paraId="5CB5CBE0" w14:textId="77777777" w:rsidR="00310220" w:rsidRDefault="00310220" w:rsidP="00310220">
      <w:pPr>
        <w:pStyle w:val="Textonotapie"/>
        <w:ind w:firstLine="709"/>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sidR="66BB9529">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455B4470" w14:textId="77777777" w:rsidR="00310220" w:rsidRDefault="00310220" w:rsidP="00310220">
      <w:pPr>
        <w:pStyle w:val="Textonotapie"/>
        <w:ind w:firstLine="709"/>
        <w:jc w:val="both"/>
        <w:rPr>
          <w:rFonts w:ascii="Verdana" w:hAnsi="Verdana" w:cs="Arial"/>
          <w:color w:val="000000" w:themeColor="text1"/>
          <w:sz w:val="16"/>
          <w:szCs w:val="16"/>
          <w:lang w:val="es-CO"/>
        </w:rPr>
      </w:pPr>
    </w:p>
  </w:footnote>
  <w:footnote w:id="4">
    <w:p w14:paraId="595D6463" w14:textId="77777777" w:rsidR="00310220" w:rsidRDefault="00310220" w:rsidP="00310220">
      <w:pPr>
        <w:pStyle w:val="Textonotapie"/>
        <w:ind w:firstLine="709"/>
        <w:jc w:val="both"/>
        <w:rPr>
          <w:rFonts w:ascii="Verdana" w:hAnsi="Verdana" w:cs="Arial"/>
          <w:color w:val="000000"/>
          <w:sz w:val="16"/>
          <w:szCs w:val="16"/>
        </w:rPr>
      </w:pPr>
      <w:r>
        <w:rPr>
          <w:rFonts w:ascii="Verdana" w:eastAsia="Times New Roman" w:hAnsi="Verdana" w:cs="Arial"/>
          <w:color w:val="000000"/>
          <w:sz w:val="16"/>
          <w:szCs w:val="16"/>
          <w:vertAlign w:val="superscript"/>
          <w:lang w:val="es-ES" w:eastAsia="es-ES"/>
        </w:rPr>
        <w:footnoteRef/>
      </w:r>
      <w:r w:rsidR="66BB9529">
        <w:rPr>
          <w:rFonts w:ascii="Verdana" w:eastAsia="Times New Roman" w:hAnsi="Verdana" w:cs="Arial"/>
          <w:color w:val="000000"/>
          <w:sz w:val="16"/>
          <w:szCs w:val="16"/>
          <w:vertAlign w:val="superscript"/>
          <w:lang w:val="es-ES" w:eastAsia="es-ES"/>
        </w:rPr>
        <w:t xml:space="preserve"> </w:t>
      </w:r>
      <w:r w:rsidR="66BB9529">
        <w:rPr>
          <w:rFonts w:ascii="Verdana" w:eastAsia="Times New Roman" w:hAnsi="Verdana" w:cs="Arial"/>
          <w:color w:val="000000"/>
          <w:sz w:val="16"/>
          <w:szCs w:val="16"/>
          <w:lang w:val="es-ES" w:eastAsia="es-ES"/>
        </w:rPr>
        <w:t>“</w:t>
      </w:r>
      <w:r w:rsidR="66BB9529">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EE112C9" w14:textId="77777777" w:rsidR="00310220" w:rsidRDefault="66BB9529" w:rsidP="00310220">
      <w:pPr>
        <w:pStyle w:val="Textonotapie"/>
        <w:ind w:firstLine="709"/>
        <w:jc w:val="both"/>
        <w:rPr>
          <w:rFonts w:ascii="Verdana" w:eastAsia="Times New Roman" w:hAnsi="Verdana" w:cs="Arial"/>
          <w:color w:val="000000"/>
          <w:sz w:val="16"/>
          <w:szCs w:val="16"/>
          <w:lang w:val="es-ES" w:eastAsia="es-ES"/>
        </w:rPr>
      </w:pPr>
      <w:r w:rsidRPr="66BB9529">
        <w:rPr>
          <w:rFonts w:ascii="Verdana" w:hAnsi="Verdana" w:cs="Arial"/>
          <w:color w:val="000000" w:themeColor="text1"/>
          <w:sz w:val="16"/>
          <w:szCs w:val="16"/>
        </w:rPr>
        <w:t>[…].</w:t>
      </w:r>
    </w:p>
    <w:p w14:paraId="4B9AADA4" w14:textId="77777777" w:rsidR="00310220" w:rsidRDefault="66BB9529" w:rsidP="00310220">
      <w:pPr>
        <w:pStyle w:val="Textonotapie"/>
        <w:ind w:firstLine="709"/>
        <w:jc w:val="both"/>
        <w:rPr>
          <w:rFonts w:ascii="Verdana" w:eastAsia="Times New Roman" w:hAnsi="Verdana" w:cs="Arial"/>
          <w:color w:val="000000"/>
          <w:sz w:val="16"/>
          <w:szCs w:val="16"/>
          <w:lang w:val="es-ES" w:eastAsia="es-ES"/>
        </w:rPr>
      </w:pPr>
      <w:r w:rsidRPr="66BB9529">
        <w:rPr>
          <w:rFonts w:ascii="Verdana" w:eastAsia="Times New Roman" w:hAnsi="Verdana" w:cs="Arial"/>
          <w:color w:val="000000" w:themeColor="text1"/>
          <w:sz w:val="16"/>
          <w:szCs w:val="16"/>
          <w:lang w:val="es-ES" w:eastAsia="es-ES"/>
        </w:rPr>
        <w:t xml:space="preserve">Los sujetos obligados que contratan con recursos públicos y recursos </w:t>
      </w:r>
      <w:proofErr w:type="gramStart"/>
      <w:r w:rsidRPr="66BB9529">
        <w:rPr>
          <w:rFonts w:ascii="Verdana" w:eastAsia="Times New Roman" w:hAnsi="Verdana" w:cs="Arial"/>
          <w:color w:val="000000" w:themeColor="text1"/>
          <w:sz w:val="16"/>
          <w:szCs w:val="16"/>
          <w:lang w:val="es-ES" w:eastAsia="es-ES"/>
        </w:rPr>
        <w:t>privados,</w:t>
      </w:r>
      <w:proofErr w:type="gramEnd"/>
      <w:r w:rsidRPr="66BB9529">
        <w:rPr>
          <w:rFonts w:ascii="Verdana" w:eastAsia="Times New Roman" w:hAnsi="Verdana" w:cs="Arial"/>
          <w:color w:val="000000" w:themeColor="text1"/>
          <w:sz w:val="16"/>
          <w:szCs w:val="16"/>
          <w:lang w:val="es-ES" w:eastAsia="es-ES"/>
        </w:rPr>
        <w:t xml:space="preserve"> deben publicar la información de su gestión contractual con cargo a recursos públicos en el Sistema Electrónico para la Contratación Pública [SECOP]”.</w:t>
      </w:r>
    </w:p>
    <w:p w14:paraId="080459E7" w14:textId="77777777" w:rsidR="00310220" w:rsidRDefault="00310220" w:rsidP="00310220">
      <w:pPr>
        <w:pStyle w:val="Textonotapie"/>
        <w:ind w:firstLine="709"/>
        <w:jc w:val="both"/>
        <w:rPr>
          <w:rFonts w:ascii="Verdana" w:eastAsia="Times New Roman" w:hAnsi="Verdana" w:cs="Arial"/>
          <w:color w:val="000000"/>
          <w:sz w:val="16"/>
          <w:szCs w:val="16"/>
          <w:lang w:val="es-ES" w:eastAsia="es-ES"/>
        </w:rPr>
      </w:pPr>
    </w:p>
  </w:footnote>
  <w:footnote w:id="5">
    <w:p w14:paraId="19976D4E" w14:textId="77777777" w:rsidR="00E421C2" w:rsidDel="00310220" w:rsidRDefault="00E421C2" w:rsidP="00E421C2">
      <w:pPr>
        <w:pStyle w:val="Textonotapie"/>
        <w:jc w:val="both"/>
        <w:rPr>
          <w:rFonts w:ascii="Verdana" w:hAnsi="Verdana" w:cs="Arial"/>
          <w:color w:val="000000" w:themeColor="text1"/>
          <w:sz w:val="16"/>
          <w:szCs w:val="16"/>
        </w:rPr>
      </w:pPr>
    </w:p>
  </w:footnote>
  <w:footnote w:id="6">
    <w:p w14:paraId="49033EA1" w14:textId="77777777" w:rsidR="00E421C2" w:rsidDel="00310220" w:rsidRDefault="00E421C2" w:rsidP="00E421C2">
      <w:pPr>
        <w:pStyle w:val="Textonotapie"/>
        <w:ind w:firstLine="709"/>
        <w:jc w:val="both"/>
        <w:rPr>
          <w:rFonts w:ascii="Verdana" w:hAnsi="Verdana" w:cs="Arial"/>
          <w:color w:val="000000" w:themeColor="text1"/>
          <w:sz w:val="16"/>
          <w:szCs w:val="16"/>
          <w:lang w:val="es-CO"/>
        </w:rPr>
      </w:pPr>
    </w:p>
  </w:footnote>
  <w:footnote w:id="7">
    <w:p w14:paraId="6FFE5C49" w14:textId="77777777" w:rsidR="00E421C2" w:rsidDel="00310220" w:rsidRDefault="00E421C2" w:rsidP="00E421C2">
      <w:pPr>
        <w:pStyle w:val="Textonotapie"/>
        <w:ind w:firstLine="709"/>
        <w:jc w:val="both"/>
        <w:rPr>
          <w:rFonts w:ascii="Verdana" w:hAnsi="Verdana" w:cs="Arial"/>
          <w:color w:val="000000" w:themeColor="text1"/>
          <w:sz w:val="16"/>
          <w:szCs w:val="16"/>
          <w:lang w:val="es-CO"/>
        </w:rPr>
      </w:pPr>
    </w:p>
  </w:footnote>
  <w:footnote w:id="8">
    <w:p w14:paraId="0C3CE80F" w14:textId="77777777" w:rsidR="00E421C2" w:rsidDel="00310220" w:rsidRDefault="00E421C2" w:rsidP="66BB9529">
      <w:pPr>
        <w:pStyle w:val="Textonotapie"/>
        <w:ind w:firstLine="709"/>
        <w:jc w:val="both"/>
        <w:rPr>
          <w:rFonts w:ascii="Verdana" w:hAnsi="Verdana" w:cs="Arial"/>
          <w:color w:val="000000"/>
          <w:sz w:val="16"/>
          <w:szCs w:val="16"/>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D80953"/>
    <w:multiLevelType w:val="multilevel"/>
    <w:tmpl w:val="EF10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C06699"/>
    <w:multiLevelType w:val="hybridMultilevel"/>
    <w:tmpl w:val="9AD8BD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87447A"/>
    <w:multiLevelType w:val="hybridMultilevel"/>
    <w:tmpl w:val="11AAF150"/>
    <w:lvl w:ilvl="0" w:tplc="F4AE55E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330140246">
    <w:abstractNumId w:val="0"/>
  </w:num>
  <w:num w:numId="17" w16cid:durableId="2117019174">
    <w:abstractNumId w:val="5"/>
  </w:num>
  <w:num w:numId="18" w16cid:durableId="1284731484">
    <w:abstractNumId w:val="11"/>
  </w:num>
  <w:num w:numId="19" w16cid:durableId="476265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0C2"/>
    <w:rsid w:val="00011BF6"/>
    <w:rsid w:val="00016F78"/>
    <w:rsid w:val="00046945"/>
    <w:rsid w:val="00061B2A"/>
    <w:rsid w:val="00082362"/>
    <w:rsid w:val="000A683E"/>
    <w:rsid w:val="000B0A8C"/>
    <w:rsid w:val="000B19B9"/>
    <w:rsid w:val="000D0334"/>
    <w:rsid w:val="000F6486"/>
    <w:rsid w:val="000F7219"/>
    <w:rsid w:val="00121FF5"/>
    <w:rsid w:val="00125105"/>
    <w:rsid w:val="00127233"/>
    <w:rsid w:val="001511A0"/>
    <w:rsid w:val="001E4177"/>
    <w:rsid w:val="001F0265"/>
    <w:rsid w:val="001F7DC6"/>
    <w:rsid w:val="00204DC7"/>
    <w:rsid w:val="002225F3"/>
    <w:rsid w:val="002421BB"/>
    <w:rsid w:val="0025796E"/>
    <w:rsid w:val="002707A2"/>
    <w:rsid w:val="002951A0"/>
    <w:rsid w:val="002962BC"/>
    <w:rsid w:val="002A093D"/>
    <w:rsid w:val="002A0DD0"/>
    <w:rsid w:val="002A49AC"/>
    <w:rsid w:val="002A64FD"/>
    <w:rsid w:val="002C0E59"/>
    <w:rsid w:val="002C7A84"/>
    <w:rsid w:val="002D4FEA"/>
    <w:rsid w:val="002E4FD9"/>
    <w:rsid w:val="00310220"/>
    <w:rsid w:val="00322A85"/>
    <w:rsid w:val="00324168"/>
    <w:rsid w:val="003448F4"/>
    <w:rsid w:val="003702D2"/>
    <w:rsid w:val="00374F5E"/>
    <w:rsid w:val="00377E3E"/>
    <w:rsid w:val="003A779E"/>
    <w:rsid w:val="003C1336"/>
    <w:rsid w:val="003C27F2"/>
    <w:rsid w:val="003C419F"/>
    <w:rsid w:val="003D0F4D"/>
    <w:rsid w:val="003D5B0D"/>
    <w:rsid w:val="003E0499"/>
    <w:rsid w:val="003E0B6F"/>
    <w:rsid w:val="003F3941"/>
    <w:rsid w:val="00406575"/>
    <w:rsid w:val="00406CDE"/>
    <w:rsid w:val="00414C74"/>
    <w:rsid w:val="0042722E"/>
    <w:rsid w:val="00440D61"/>
    <w:rsid w:val="0044528D"/>
    <w:rsid w:val="00460C49"/>
    <w:rsid w:val="00463DB0"/>
    <w:rsid w:val="004A1847"/>
    <w:rsid w:val="004A25A8"/>
    <w:rsid w:val="004A305D"/>
    <w:rsid w:val="004F21C4"/>
    <w:rsid w:val="004F34C7"/>
    <w:rsid w:val="004F685F"/>
    <w:rsid w:val="00516BB7"/>
    <w:rsid w:val="005566E8"/>
    <w:rsid w:val="00574867"/>
    <w:rsid w:val="00587A59"/>
    <w:rsid w:val="00591460"/>
    <w:rsid w:val="005B3816"/>
    <w:rsid w:val="005C3777"/>
    <w:rsid w:val="005C5CDC"/>
    <w:rsid w:val="005D476C"/>
    <w:rsid w:val="006219F8"/>
    <w:rsid w:val="00665D70"/>
    <w:rsid w:val="00666099"/>
    <w:rsid w:val="006900D9"/>
    <w:rsid w:val="006C0418"/>
    <w:rsid w:val="006D490D"/>
    <w:rsid w:val="006F3B4A"/>
    <w:rsid w:val="00706C16"/>
    <w:rsid w:val="00707D59"/>
    <w:rsid w:val="00725A60"/>
    <w:rsid w:val="007418F5"/>
    <w:rsid w:val="00745617"/>
    <w:rsid w:val="00756841"/>
    <w:rsid w:val="007579C9"/>
    <w:rsid w:val="007649AB"/>
    <w:rsid w:val="00771D0C"/>
    <w:rsid w:val="007833AC"/>
    <w:rsid w:val="007B268C"/>
    <w:rsid w:val="007B7171"/>
    <w:rsid w:val="007C0C0F"/>
    <w:rsid w:val="007C3DC2"/>
    <w:rsid w:val="007D05A5"/>
    <w:rsid w:val="007E5497"/>
    <w:rsid w:val="008056E1"/>
    <w:rsid w:val="00805B61"/>
    <w:rsid w:val="00806F5F"/>
    <w:rsid w:val="00820278"/>
    <w:rsid w:val="00836250"/>
    <w:rsid w:val="00867F95"/>
    <w:rsid w:val="008843B6"/>
    <w:rsid w:val="00890DFC"/>
    <w:rsid w:val="00891928"/>
    <w:rsid w:val="008A446D"/>
    <w:rsid w:val="008D180B"/>
    <w:rsid w:val="008F0EA7"/>
    <w:rsid w:val="00923EEF"/>
    <w:rsid w:val="00936022"/>
    <w:rsid w:val="009362C3"/>
    <w:rsid w:val="009419F9"/>
    <w:rsid w:val="0095685E"/>
    <w:rsid w:val="00961B09"/>
    <w:rsid w:val="00965334"/>
    <w:rsid w:val="0097093E"/>
    <w:rsid w:val="0098348A"/>
    <w:rsid w:val="00986AC5"/>
    <w:rsid w:val="009A0DFA"/>
    <w:rsid w:val="009B18A4"/>
    <w:rsid w:val="009B2D26"/>
    <w:rsid w:val="009C71FA"/>
    <w:rsid w:val="009C72E7"/>
    <w:rsid w:val="009D3058"/>
    <w:rsid w:val="009D6F3C"/>
    <w:rsid w:val="009F3A13"/>
    <w:rsid w:val="00A122D3"/>
    <w:rsid w:val="00A17F13"/>
    <w:rsid w:val="00A20739"/>
    <w:rsid w:val="00A33C78"/>
    <w:rsid w:val="00A57F18"/>
    <w:rsid w:val="00A611DE"/>
    <w:rsid w:val="00AB0ADB"/>
    <w:rsid w:val="00AD0CF8"/>
    <w:rsid w:val="00AE7B29"/>
    <w:rsid w:val="00B01B1A"/>
    <w:rsid w:val="00B428B4"/>
    <w:rsid w:val="00B66319"/>
    <w:rsid w:val="00B72CD3"/>
    <w:rsid w:val="00B72FFF"/>
    <w:rsid w:val="00BC3D36"/>
    <w:rsid w:val="00BD7E99"/>
    <w:rsid w:val="00BD7F72"/>
    <w:rsid w:val="00BE5F85"/>
    <w:rsid w:val="00C04FB3"/>
    <w:rsid w:val="00C330EB"/>
    <w:rsid w:val="00C41061"/>
    <w:rsid w:val="00C4488B"/>
    <w:rsid w:val="00C754BE"/>
    <w:rsid w:val="00C76B1C"/>
    <w:rsid w:val="00C86B5F"/>
    <w:rsid w:val="00CB6357"/>
    <w:rsid w:val="00CC1B26"/>
    <w:rsid w:val="00D423A2"/>
    <w:rsid w:val="00D520D8"/>
    <w:rsid w:val="00D63AC2"/>
    <w:rsid w:val="00D7383B"/>
    <w:rsid w:val="00DA231B"/>
    <w:rsid w:val="00DA6ACB"/>
    <w:rsid w:val="00DC39FC"/>
    <w:rsid w:val="00DF5254"/>
    <w:rsid w:val="00E05860"/>
    <w:rsid w:val="00E139C6"/>
    <w:rsid w:val="00E16408"/>
    <w:rsid w:val="00E20894"/>
    <w:rsid w:val="00E245AB"/>
    <w:rsid w:val="00E2764C"/>
    <w:rsid w:val="00E27F2E"/>
    <w:rsid w:val="00E33778"/>
    <w:rsid w:val="00E421C2"/>
    <w:rsid w:val="00E431BD"/>
    <w:rsid w:val="00E45786"/>
    <w:rsid w:val="00E50AFE"/>
    <w:rsid w:val="00E523D6"/>
    <w:rsid w:val="00E75C92"/>
    <w:rsid w:val="00E771DC"/>
    <w:rsid w:val="00E84233"/>
    <w:rsid w:val="00E85C26"/>
    <w:rsid w:val="00E8772A"/>
    <w:rsid w:val="00E90F6B"/>
    <w:rsid w:val="00E92C27"/>
    <w:rsid w:val="00E93556"/>
    <w:rsid w:val="00EA0E3D"/>
    <w:rsid w:val="00EC38A7"/>
    <w:rsid w:val="00ED7384"/>
    <w:rsid w:val="00EE1AA8"/>
    <w:rsid w:val="00F31EDC"/>
    <w:rsid w:val="00F462B3"/>
    <w:rsid w:val="00F52412"/>
    <w:rsid w:val="00F5664F"/>
    <w:rsid w:val="00F61526"/>
    <w:rsid w:val="00F666C4"/>
    <w:rsid w:val="00F76AFC"/>
    <w:rsid w:val="00F86495"/>
    <w:rsid w:val="00F91990"/>
    <w:rsid w:val="00FA47C0"/>
    <w:rsid w:val="00FB5DD1"/>
    <w:rsid w:val="00FC0678"/>
    <w:rsid w:val="00FC2B5D"/>
    <w:rsid w:val="00FD032C"/>
    <w:rsid w:val="00FF1449"/>
    <w:rsid w:val="0A36E20A"/>
    <w:rsid w:val="165E9519"/>
    <w:rsid w:val="382536D9"/>
    <w:rsid w:val="66BB9529"/>
    <w:rsid w:val="6EFDAB80"/>
    <w:rsid w:val="794E2B36"/>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421C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421C2"/>
    <w:rPr>
      <w:rFonts w:ascii="Geomanist Light" w:hAnsi="Geomanist Light"/>
      <w:lang w:val="es-ES"/>
    </w:rPr>
  </w:style>
  <w:style w:type="table" w:customStyle="1" w:styleId="Tablaconcuadrcula11">
    <w:name w:val="Tabla con cuadrícula11"/>
    <w:basedOn w:val="Tablanormal"/>
    <w:next w:val="Tablaconcuadrcula"/>
    <w:uiPriority w:val="59"/>
    <w:qFormat/>
    <w:rsid w:val="00E42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aballerop@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FAD5048-297F-4D46-BE40-4BD14E102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3500</Words>
  <Characters>19256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2025-07-24T22:58:00Z</dcterms:created>
  <dcterms:modified xsi:type="dcterms:W3CDTF">2025-07-24T22:58:00Z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