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5E1390" w14:textId="74F97F59" w:rsidR="00B53DDF" w:rsidRPr="00DE5A72" w:rsidRDefault="00DE5A72" w:rsidP="613A5EC2">
      <w:pPr>
        <w:spacing w:after="0" w:line="240" w:lineRule="auto"/>
        <w:jc w:val="both"/>
        <w:rPr>
          <w:rFonts w:ascii="Verdana" w:hAnsi="Verdana"/>
          <w:b/>
          <w:bCs/>
        </w:rPr>
      </w:pPr>
      <w:bookmarkStart w:id="0" w:name="_Hlk143780582"/>
      <w:bookmarkStart w:id="1" w:name="_Hlk202875225"/>
      <w:bookmarkStart w:id="2" w:name="_Hlk203032812"/>
      <w:r w:rsidRPr="00DE5A72">
        <w:rPr>
          <w:rFonts w:ascii="Verdana" w:hAnsi="Verdana"/>
          <w:b/>
          <w:bCs/>
        </w:rPr>
        <w:t xml:space="preserve">CONTRATO </w:t>
      </w:r>
      <w:r>
        <w:rPr>
          <w:rFonts w:ascii="Verdana" w:hAnsi="Verdana"/>
          <w:b/>
          <w:bCs/>
        </w:rPr>
        <w:t xml:space="preserve">– Definición  </w:t>
      </w:r>
      <w:r w:rsidRPr="00DE5A72">
        <w:rPr>
          <w:rFonts w:ascii="Verdana" w:hAnsi="Verdana"/>
          <w:b/>
          <w:bCs/>
        </w:rPr>
        <w:t xml:space="preserve"> </w:t>
      </w:r>
    </w:p>
    <w:p w14:paraId="660BF381" w14:textId="77777777" w:rsidR="00B53DDF" w:rsidRDefault="00B53DDF" w:rsidP="613A5EC2">
      <w:pPr>
        <w:spacing w:after="0" w:line="240" w:lineRule="auto"/>
        <w:jc w:val="both"/>
        <w:rPr>
          <w:rFonts w:ascii="Verdana" w:hAnsi="Verdana"/>
        </w:rPr>
      </w:pPr>
    </w:p>
    <w:p w14:paraId="0F47A87F" w14:textId="52E42C4B" w:rsidR="00DE5A72" w:rsidRDefault="00DE5A72" w:rsidP="613A5EC2">
      <w:pPr>
        <w:spacing w:after="0" w:line="240" w:lineRule="auto"/>
        <w:jc w:val="both"/>
        <w:rPr>
          <w:rFonts w:ascii="Verdana" w:eastAsia="Arial" w:hAnsi="Verdana" w:cs="Arial"/>
          <w:color w:val="000000" w:themeColor="text1"/>
          <w:sz w:val="20"/>
          <w:szCs w:val="20"/>
          <w:lang w:val="es-ES" w:eastAsia="es-ES"/>
        </w:rPr>
      </w:pPr>
      <w:r w:rsidRPr="00DE5A72">
        <w:rPr>
          <w:rFonts w:ascii="Verdana" w:eastAsia="Arial" w:hAnsi="Verdana" w:cs="Arial"/>
          <w:color w:val="000000" w:themeColor="text1"/>
          <w:sz w:val="20"/>
          <w:szCs w:val="20"/>
          <w:lang w:val="es-ES" w:eastAsia="es-ES"/>
        </w:rPr>
        <w:t>El contrato es un “acto jurídico voluntario, una declaración de voluntad, que tiene por objeto establecer una relación jurídica entre dos personas, obligando a la una para con otra a determinada prestación</w:t>
      </w:r>
      <w:r w:rsidRPr="00DE5A72">
        <w:rPr>
          <w:rFonts w:ascii="Verdana" w:eastAsia="Arial" w:hAnsi="Verdana" w:cs="Arial"/>
          <w:color w:val="000000" w:themeColor="text1"/>
          <w:sz w:val="20"/>
          <w:szCs w:val="20"/>
          <w:lang w:val="es-ES" w:eastAsia="es-ES"/>
        </w:rPr>
        <w:t>.</w:t>
      </w:r>
      <w:r>
        <w:rPr>
          <w:rFonts w:ascii="Verdana" w:eastAsia="Arial" w:hAnsi="Verdana" w:cs="Arial"/>
          <w:color w:val="000000" w:themeColor="text1"/>
          <w:sz w:val="20"/>
          <w:szCs w:val="20"/>
          <w:lang w:val="es-ES" w:eastAsia="es-ES"/>
        </w:rPr>
        <w:t xml:space="preserve"> </w:t>
      </w:r>
      <w:r w:rsidRPr="00DE5A72">
        <w:rPr>
          <w:rFonts w:ascii="Verdana" w:eastAsia="Arial" w:hAnsi="Verdana" w:cs="Arial"/>
          <w:color w:val="000000" w:themeColor="text1"/>
          <w:sz w:val="20"/>
          <w:szCs w:val="20"/>
          <w:lang w:val="es-ES" w:eastAsia="es-ES"/>
        </w:rPr>
        <w:t>Se trata de un negocio jurídico en el sentido de que es el resultado de un acto dispositivo o de autorregulación de intereses de dos o más sujetos con efectos jurídicos para crear, modificar o extinguir relaciones jurídicas</w:t>
      </w:r>
      <w:r>
        <w:rPr>
          <w:rFonts w:ascii="Verdana" w:eastAsia="Arial" w:hAnsi="Verdana" w:cs="Arial"/>
          <w:color w:val="000000" w:themeColor="text1"/>
          <w:sz w:val="20"/>
          <w:szCs w:val="20"/>
          <w:lang w:val="es-ES" w:eastAsia="es-ES"/>
        </w:rPr>
        <w:t>.</w:t>
      </w:r>
    </w:p>
    <w:p w14:paraId="6469DE53" w14:textId="77777777" w:rsidR="00DE5A72" w:rsidRDefault="00DE5A72" w:rsidP="613A5EC2">
      <w:pPr>
        <w:spacing w:after="0" w:line="240" w:lineRule="auto"/>
        <w:jc w:val="both"/>
        <w:rPr>
          <w:rFonts w:ascii="Verdana" w:eastAsia="Arial" w:hAnsi="Verdana" w:cs="Arial"/>
          <w:color w:val="000000" w:themeColor="text1"/>
          <w:sz w:val="20"/>
          <w:szCs w:val="20"/>
          <w:lang w:val="es-ES" w:eastAsia="es-ES"/>
        </w:rPr>
      </w:pPr>
    </w:p>
    <w:p w14:paraId="5A6824F7" w14:textId="39A20C38" w:rsidR="00DE5A72" w:rsidRDefault="001154D0" w:rsidP="613A5EC2">
      <w:pPr>
        <w:spacing w:after="0" w:line="240" w:lineRule="auto"/>
        <w:jc w:val="both"/>
        <w:rPr>
          <w:rFonts w:ascii="Verdana" w:eastAsia="Arial" w:hAnsi="Verdana" w:cs="Arial"/>
          <w:b/>
          <w:bCs/>
          <w:color w:val="000000" w:themeColor="text1"/>
          <w:lang w:val="es-ES" w:eastAsia="es-ES"/>
        </w:rPr>
      </w:pPr>
      <w:r w:rsidRPr="001154D0">
        <w:rPr>
          <w:rFonts w:ascii="Verdana" w:eastAsia="Arial" w:hAnsi="Verdana" w:cs="Arial"/>
          <w:b/>
          <w:bCs/>
          <w:color w:val="000000" w:themeColor="text1"/>
          <w:lang w:val="es-ES" w:eastAsia="es-ES"/>
        </w:rPr>
        <w:t xml:space="preserve">CONTRATOS ESTATALES – Definición </w:t>
      </w:r>
      <w:r w:rsidR="00A817E5">
        <w:rPr>
          <w:rFonts w:ascii="Verdana" w:eastAsia="Arial" w:hAnsi="Verdana" w:cs="Arial"/>
          <w:b/>
          <w:bCs/>
          <w:color w:val="000000" w:themeColor="text1"/>
          <w:lang w:val="es-ES" w:eastAsia="es-ES"/>
        </w:rPr>
        <w:t xml:space="preserve">– EGCAP </w:t>
      </w:r>
    </w:p>
    <w:p w14:paraId="7664D227" w14:textId="77777777" w:rsidR="001154D0" w:rsidRDefault="001154D0" w:rsidP="613A5EC2">
      <w:pPr>
        <w:spacing w:after="0" w:line="240" w:lineRule="auto"/>
        <w:jc w:val="both"/>
        <w:rPr>
          <w:rFonts w:ascii="Verdana" w:eastAsia="Arial" w:hAnsi="Verdana" w:cs="Arial"/>
          <w:b/>
          <w:bCs/>
          <w:color w:val="000000" w:themeColor="text1"/>
          <w:lang w:val="es-ES" w:eastAsia="es-ES"/>
        </w:rPr>
      </w:pPr>
    </w:p>
    <w:p w14:paraId="505B9B11" w14:textId="65AB24FB" w:rsidR="001154D0" w:rsidRDefault="001154D0" w:rsidP="613A5EC2">
      <w:pPr>
        <w:spacing w:after="0" w:line="240" w:lineRule="auto"/>
        <w:jc w:val="both"/>
        <w:rPr>
          <w:rFonts w:ascii="Verdana" w:eastAsia="Arial" w:hAnsi="Verdana" w:cs="Arial"/>
          <w:color w:val="000000" w:themeColor="text1"/>
          <w:sz w:val="20"/>
          <w:szCs w:val="20"/>
          <w:lang w:val="es-ES" w:eastAsia="es-ES"/>
        </w:rPr>
      </w:pPr>
      <w:r w:rsidRPr="001154D0">
        <w:rPr>
          <w:rFonts w:ascii="Verdana" w:eastAsia="Arial" w:hAnsi="Verdana" w:cs="Arial"/>
          <w:color w:val="000000" w:themeColor="text1"/>
          <w:sz w:val="20"/>
          <w:szCs w:val="20"/>
          <w:lang w:val="es-ES" w:eastAsia="es-ES"/>
        </w:rPr>
        <w:t xml:space="preserve">Por su parte, el artículo 1º de la Ley 80 de 1993 –Estatuto General de Contratación de la Administración Pública, en adelante EGCAP–, determina que su objetivo es disponer de reglas y principios que rigen los contratos de las Entidades Estatales. En ese sentido, el artículo 32 </w:t>
      </w:r>
      <w:r w:rsidRPr="001154D0">
        <w:rPr>
          <w:rFonts w:ascii="Verdana" w:eastAsia="Arial" w:hAnsi="Verdana" w:cs="Arial"/>
          <w:i/>
          <w:color w:val="000000" w:themeColor="text1"/>
          <w:sz w:val="20"/>
          <w:szCs w:val="20"/>
          <w:lang w:val="es-ES" w:eastAsia="es-ES"/>
        </w:rPr>
        <w:t>ibidem</w:t>
      </w:r>
      <w:r w:rsidRPr="001154D0">
        <w:rPr>
          <w:rFonts w:ascii="Verdana" w:eastAsia="Arial" w:hAnsi="Verdana" w:cs="Arial"/>
          <w:color w:val="000000" w:themeColor="text1"/>
          <w:sz w:val="20"/>
          <w:szCs w:val="20"/>
          <w:lang w:val="es-ES" w:eastAsia="es-ES"/>
        </w:rPr>
        <w:t xml:space="preserve"> define los contratos estatales como “todos los actos jurídicos, generadores de obligaciones que celebren las entidades a que se refiere este estatuto (art. 2), previstos en el derecho privado o en disposiciones especiales, o derivados del ejercicio de la autonomía de la voluntad,</w:t>
      </w:r>
      <w:r w:rsidRPr="001154D0">
        <w:rPr>
          <w:sz w:val="20"/>
          <w:szCs w:val="20"/>
        </w:rPr>
        <w:t xml:space="preserve"> </w:t>
      </w:r>
      <w:r w:rsidRPr="001154D0">
        <w:rPr>
          <w:rFonts w:ascii="Verdana" w:eastAsia="Arial" w:hAnsi="Verdana" w:cs="Arial"/>
          <w:color w:val="000000" w:themeColor="text1"/>
          <w:sz w:val="20"/>
          <w:szCs w:val="20"/>
          <w:lang w:val="es-ES" w:eastAsia="es-ES"/>
        </w:rPr>
        <w:t>así como los que, a título enunciativo, se definen a continuación</w:t>
      </w:r>
      <w:r>
        <w:rPr>
          <w:rFonts w:ascii="Verdana" w:eastAsia="Arial" w:hAnsi="Verdana" w:cs="Arial"/>
          <w:color w:val="000000" w:themeColor="text1"/>
          <w:sz w:val="20"/>
          <w:szCs w:val="20"/>
          <w:lang w:val="es-ES" w:eastAsia="es-ES"/>
        </w:rPr>
        <w:t>.</w:t>
      </w:r>
    </w:p>
    <w:p w14:paraId="6D98AB74" w14:textId="184F376E" w:rsidR="00A817E5" w:rsidRDefault="00A817E5" w:rsidP="613A5EC2">
      <w:pPr>
        <w:spacing w:after="0" w:line="240" w:lineRule="auto"/>
        <w:jc w:val="both"/>
        <w:rPr>
          <w:rFonts w:ascii="Verdana" w:eastAsia="Arial" w:hAnsi="Verdana" w:cs="Arial"/>
          <w:color w:val="000000" w:themeColor="text1"/>
          <w:sz w:val="20"/>
          <w:szCs w:val="20"/>
          <w:lang w:val="es-ES" w:eastAsia="es-ES"/>
        </w:rPr>
      </w:pPr>
    </w:p>
    <w:p w14:paraId="63652908" w14:textId="36C4F652" w:rsidR="00A817E5" w:rsidRPr="00AC683D" w:rsidRDefault="00A817E5" w:rsidP="613A5EC2">
      <w:pPr>
        <w:spacing w:after="0" w:line="240" w:lineRule="auto"/>
        <w:jc w:val="both"/>
        <w:rPr>
          <w:rFonts w:ascii="Verdana" w:eastAsia="Arial" w:hAnsi="Verdana" w:cs="Arial"/>
          <w:b/>
          <w:bCs/>
          <w:color w:val="000000" w:themeColor="text1"/>
          <w:lang w:val="es-ES" w:eastAsia="es-ES"/>
        </w:rPr>
      </w:pPr>
      <w:r w:rsidRPr="00AC683D">
        <w:rPr>
          <w:rFonts w:ascii="Verdana" w:eastAsia="Arial" w:hAnsi="Verdana" w:cs="Arial"/>
          <w:b/>
          <w:bCs/>
          <w:color w:val="000000" w:themeColor="text1"/>
          <w:lang w:val="es-ES" w:eastAsia="es-ES"/>
        </w:rPr>
        <w:t xml:space="preserve">CONTRATOS ESTATALES – Partes del contrato - Criterio orgánico </w:t>
      </w:r>
    </w:p>
    <w:p w14:paraId="237F465E" w14:textId="77777777" w:rsidR="00A817E5" w:rsidRDefault="00A817E5" w:rsidP="613A5EC2">
      <w:pPr>
        <w:spacing w:after="0" w:line="240" w:lineRule="auto"/>
        <w:jc w:val="both"/>
        <w:rPr>
          <w:rFonts w:ascii="Verdana" w:eastAsia="Arial" w:hAnsi="Verdana" w:cs="Arial"/>
          <w:b/>
          <w:bCs/>
          <w:color w:val="000000" w:themeColor="text1"/>
          <w:sz w:val="20"/>
          <w:szCs w:val="20"/>
          <w:lang w:val="es-ES" w:eastAsia="es-ES"/>
        </w:rPr>
      </w:pPr>
    </w:p>
    <w:p w14:paraId="013FD989" w14:textId="54C5D862" w:rsidR="00A817E5" w:rsidRDefault="00A817E5" w:rsidP="613A5EC2">
      <w:pPr>
        <w:spacing w:after="0" w:line="240" w:lineRule="auto"/>
        <w:jc w:val="both"/>
        <w:rPr>
          <w:rFonts w:ascii="Verdana" w:eastAsia="Arial" w:hAnsi="Verdana" w:cs="Arial"/>
          <w:color w:val="000000" w:themeColor="text1"/>
          <w:sz w:val="20"/>
          <w:szCs w:val="20"/>
          <w:lang w:val="es-ES" w:eastAsia="es-ES"/>
        </w:rPr>
      </w:pPr>
      <w:r w:rsidRPr="00A817E5">
        <w:rPr>
          <w:rFonts w:ascii="Verdana" w:eastAsia="Arial" w:hAnsi="Verdana" w:cs="Arial"/>
          <w:color w:val="000000" w:themeColor="text1"/>
          <w:sz w:val="20"/>
          <w:szCs w:val="20"/>
          <w:lang w:val="es-ES" w:eastAsia="es-ES"/>
        </w:rPr>
        <w:t xml:space="preserve">[…] </w:t>
      </w:r>
      <w:r w:rsidRPr="00A817E5">
        <w:rPr>
          <w:rFonts w:ascii="Verdana" w:eastAsia="Arial" w:hAnsi="Verdana" w:cs="Arial"/>
          <w:color w:val="000000" w:themeColor="text1"/>
          <w:sz w:val="20"/>
          <w:szCs w:val="20"/>
          <w:lang w:val="es-ES" w:eastAsia="es-ES"/>
        </w:rPr>
        <w:t>la Ley 80 de 1993 adoptó un criterio eminentemente orgánico, esto es, en atención a la naturaleza de los sujetos u órganos que intervienen en la formación del vínculo contractual, para efectos de determinar que los contratos podrán catalogarse como estatales únicamente en cuanto en uno de sus extremos, al menos, se encuentre una Entidad Estatal, con independencia del régimen de derecho aplicable.</w:t>
      </w:r>
    </w:p>
    <w:p w14:paraId="55007E2B" w14:textId="77777777" w:rsidR="00A817E5" w:rsidRDefault="00A817E5" w:rsidP="613A5EC2">
      <w:pPr>
        <w:spacing w:after="0" w:line="240" w:lineRule="auto"/>
        <w:jc w:val="both"/>
        <w:rPr>
          <w:rFonts w:ascii="Verdana" w:eastAsia="Arial" w:hAnsi="Verdana" w:cs="Arial"/>
          <w:color w:val="000000" w:themeColor="text1"/>
          <w:sz w:val="20"/>
          <w:szCs w:val="20"/>
          <w:lang w:val="es-ES" w:eastAsia="es-ES"/>
        </w:rPr>
      </w:pPr>
    </w:p>
    <w:p w14:paraId="08B7CF14" w14:textId="77777777" w:rsidR="00B95E03" w:rsidRDefault="00B95E03" w:rsidP="00B95E03">
      <w:pPr>
        <w:spacing w:after="0"/>
        <w:jc w:val="both"/>
        <w:rPr>
          <w:rFonts w:ascii="Verdana" w:hAnsi="Verdana"/>
          <w:b/>
          <w:bCs/>
          <w:lang w:val="es-MX"/>
        </w:rPr>
      </w:pPr>
      <w:r w:rsidRPr="005110F3">
        <w:rPr>
          <w:rFonts w:ascii="Verdana" w:hAnsi="Verdana"/>
          <w:b/>
          <w:bCs/>
          <w:lang w:val="es-MX"/>
        </w:rPr>
        <w:t xml:space="preserve">PRINCIPIO DE PUBLICIDAD – </w:t>
      </w:r>
      <w:r>
        <w:rPr>
          <w:rFonts w:ascii="Verdana" w:hAnsi="Verdana"/>
          <w:b/>
          <w:bCs/>
          <w:lang w:val="es-MX"/>
        </w:rPr>
        <w:t>Principio rector del Estado – Artículo 209 – Constitución Política</w:t>
      </w:r>
      <w:r>
        <w:rPr>
          <w:rFonts w:ascii="Verdana" w:hAnsi="Verdana"/>
          <w:b/>
          <w:bCs/>
          <w:lang w:val="es-MX"/>
        </w:rPr>
        <w:t xml:space="preserve"> </w:t>
      </w:r>
      <w:r>
        <w:rPr>
          <w:rFonts w:ascii="Verdana" w:hAnsi="Verdana"/>
          <w:b/>
          <w:bCs/>
          <w:lang w:val="es-MX"/>
        </w:rPr>
        <w:t xml:space="preserve">– Artículo 74 – Constitución Política </w:t>
      </w:r>
    </w:p>
    <w:p w14:paraId="0E8FDA0E" w14:textId="77777777" w:rsidR="00B95E03" w:rsidRPr="00B95E03" w:rsidRDefault="00B95E03" w:rsidP="00B95E03">
      <w:pPr>
        <w:spacing w:after="0" w:line="240" w:lineRule="auto"/>
        <w:rPr>
          <w:rFonts w:ascii="Verdana" w:hAnsi="Verdana"/>
          <w:b/>
          <w:bCs/>
          <w:sz w:val="20"/>
          <w:szCs w:val="20"/>
          <w:lang w:val="es-MX"/>
        </w:rPr>
      </w:pPr>
    </w:p>
    <w:p w14:paraId="41748BE9" w14:textId="39FBDF0C" w:rsidR="00B95E03" w:rsidRDefault="00B95E03" w:rsidP="00B95E03">
      <w:pPr>
        <w:spacing w:after="0" w:line="240" w:lineRule="auto"/>
        <w:jc w:val="both"/>
        <w:rPr>
          <w:rFonts w:ascii="Verdana" w:eastAsia="Arial" w:hAnsi="Verdana" w:cs="Arial"/>
          <w:sz w:val="20"/>
          <w:szCs w:val="20"/>
          <w:lang w:eastAsia="es-ES"/>
        </w:rPr>
      </w:pPr>
      <w:r w:rsidRPr="00B95E03">
        <w:rPr>
          <w:rFonts w:ascii="Verdana" w:eastAsia="Calibri" w:hAnsi="Verdana" w:cs="Arial"/>
          <w:sz w:val="20"/>
          <w:szCs w:val="20"/>
          <w:lang w:eastAsia="es-ES"/>
        </w:rPr>
        <w:t xml:space="preserve">[…] </w:t>
      </w:r>
      <w:r w:rsidRPr="00B95E03">
        <w:rPr>
          <w:rFonts w:ascii="Verdana" w:eastAsia="Calibri" w:hAnsi="Verdana" w:cs="Arial"/>
          <w:sz w:val="20"/>
          <w:szCs w:val="20"/>
          <w:lang w:eastAsia="es-ES"/>
        </w:rPr>
        <w:t>l</w:t>
      </w:r>
      <w:r w:rsidRPr="00B95E03">
        <w:rPr>
          <w:rFonts w:ascii="Verdana" w:eastAsia="Arial" w:hAnsi="Verdana" w:cs="Arial"/>
          <w:sz w:val="20"/>
          <w:szCs w:val="20"/>
          <w:lang w:eastAsia="es-ES"/>
        </w:rPr>
        <w:t xml:space="preserve">a Constitución Política de 1991 consagra en varios artículos la publicidad como un principio rector del Estado colombiano. Entre los más destacados, puede mencionarse el 209, que afirma que la publicidad es uno de los principios que fundamentan el ejercicio de la función administrativa y el 74, que consagra la garantía de acceso a los documentos públicos que no gocen de reserva –y esta, además, es excepcional, pues solo procede si existe causal constitucional o legal expresa–. </w:t>
      </w:r>
    </w:p>
    <w:p w14:paraId="40B4266F" w14:textId="77777777" w:rsidR="00B95E03" w:rsidRDefault="00B95E03" w:rsidP="00B95E03">
      <w:pPr>
        <w:spacing w:after="0" w:line="240" w:lineRule="auto"/>
        <w:jc w:val="both"/>
        <w:rPr>
          <w:rFonts w:ascii="Verdana" w:eastAsia="Arial" w:hAnsi="Verdana" w:cs="Arial"/>
          <w:sz w:val="20"/>
          <w:szCs w:val="20"/>
          <w:lang w:eastAsia="es-ES"/>
        </w:rPr>
      </w:pPr>
    </w:p>
    <w:p w14:paraId="332FBA61" w14:textId="77777777" w:rsidR="003D5088" w:rsidRPr="002B1E3C" w:rsidRDefault="003D5088" w:rsidP="003D5088">
      <w:pPr>
        <w:spacing w:after="0" w:line="240" w:lineRule="auto"/>
        <w:jc w:val="both"/>
        <w:rPr>
          <w:rFonts w:ascii="Verdana" w:hAnsi="Verdana"/>
          <w:b/>
          <w:bCs/>
          <w:lang w:val="es-ES_tradnl"/>
        </w:rPr>
      </w:pPr>
      <w:r w:rsidRPr="005110F3">
        <w:rPr>
          <w:rFonts w:ascii="Verdana" w:hAnsi="Verdana"/>
          <w:b/>
          <w:bCs/>
          <w:lang w:val="es-MX"/>
        </w:rPr>
        <w:t>PRINCIPIO DE PUBLICIDAD</w:t>
      </w:r>
      <w:r>
        <w:rPr>
          <w:rFonts w:ascii="Verdana" w:hAnsi="Verdana"/>
          <w:b/>
          <w:bCs/>
          <w:lang w:val="es-MX"/>
        </w:rPr>
        <w:t xml:space="preserve"> – </w:t>
      </w:r>
      <w:r w:rsidRPr="002B1E3C">
        <w:rPr>
          <w:rFonts w:ascii="Verdana" w:hAnsi="Verdana"/>
          <w:b/>
          <w:bCs/>
          <w:lang w:val="es-ES_tradnl"/>
        </w:rPr>
        <w:t>SECOP – Deber de publicación – Finalidad – Principio de publicidad</w:t>
      </w:r>
    </w:p>
    <w:p w14:paraId="7AA016B9" w14:textId="77777777" w:rsidR="00B95E03" w:rsidRDefault="00B95E03" w:rsidP="003D5088">
      <w:pPr>
        <w:spacing w:after="0" w:line="240" w:lineRule="auto"/>
        <w:jc w:val="both"/>
        <w:rPr>
          <w:rFonts w:ascii="Verdana" w:eastAsia="Arial" w:hAnsi="Verdana" w:cs="Arial"/>
          <w:sz w:val="20"/>
          <w:szCs w:val="20"/>
          <w:lang w:val="es-ES_tradnl" w:eastAsia="es-ES"/>
        </w:rPr>
      </w:pPr>
    </w:p>
    <w:p w14:paraId="5E23DC9A" w14:textId="020C5CBE" w:rsidR="003D5088" w:rsidRPr="003D5088" w:rsidRDefault="003D5088" w:rsidP="003D5088">
      <w:pPr>
        <w:spacing w:after="0" w:line="240" w:lineRule="auto"/>
        <w:jc w:val="both"/>
        <w:rPr>
          <w:rFonts w:ascii="Verdana" w:eastAsia="Arial" w:hAnsi="Verdana" w:cs="Arial"/>
          <w:sz w:val="20"/>
          <w:szCs w:val="20"/>
          <w:lang w:eastAsia="es-ES"/>
        </w:rPr>
      </w:pPr>
      <w:r w:rsidRPr="003D5088">
        <w:rPr>
          <w:rFonts w:ascii="Verdana" w:eastAsia="Arial" w:hAnsi="Verdana" w:cs="Arial"/>
          <w:sz w:val="20"/>
          <w:szCs w:val="20"/>
          <w:lang w:eastAsia="es-ES"/>
        </w:rPr>
        <w:t xml:space="preserve">El principio de publicidad impone a las autoridades administrativas el deber de dar a conocer sus actos, contratos y decisiones, para que se divulguen y, eventualmente, se controlen dichas actuaciones. Es por eso por lo que, en la contratación estatal, el literal c) del artículo 3 de la Ley 1150 de 2007 establece el Sistema Electrónico para la Contratación Pública –SECOP– como un mecanismo que “contará con la información oficial de la contratación realizada con dineros públicos, para lo cual establecerá los </w:t>
      </w:r>
      <w:r w:rsidRPr="003D5088">
        <w:rPr>
          <w:rFonts w:ascii="Verdana" w:eastAsia="Arial" w:hAnsi="Verdana" w:cs="Arial"/>
          <w:sz w:val="20"/>
          <w:szCs w:val="20"/>
          <w:lang w:eastAsia="es-ES"/>
        </w:rPr>
        <w:lastRenderedPageBreak/>
        <w:t>patrones a que haya lugar y se encargará de su difusión a través de canales electrónicos”.</w:t>
      </w:r>
    </w:p>
    <w:p w14:paraId="1DDB74AB" w14:textId="77777777" w:rsidR="00B95E03" w:rsidRDefault="00B95E03" w:rsidP="613A5EC2">
      <w:pPr>
        <w:spacing w:after="0" w:line="240" w:lineRule="auto"/>
        <w:jc w:val="both"/>
        <w:rPr>
          <w:rFonts w:ascii="Verdana" w:eastAsia="Arial" w:hAnsi="Verdana" w:cs="Arial"/>
          <w:b/>
          <w:bCs/>
          <w:color w:val="000000" w:themeColor="text1"/>
          <w:sz w:val="20"/>
          <w:szCs w:val="20"/>
          <w:lang w:eastAsia="es-ES"/>
        </w:rPr>
      </w:pPr>
    </w:p>
    <w:p w14:paraId="073BCFCA" w14:textId="77777777" w:rsidR="003D5088" w:rsidRPr="002B1E3C" w:rsidRDefault="003D5088" w:rsidP="003D5088">
      <w:pPr>
        <w:spacing w:after="0" w:line="240" w:lineRule="auto"/>
        <w:jc w:val="both"/>
        <w:rPr>
          <w:rFonts w:ascii="Verdana" w:eastAsia="Arial" w:hAnsi="Verdana" w:cs="Arial"/>
          <w:b/>
          <w:bCs/>
          <w:lang w:val="es-ES_tradnl" w:eastAsia="es-ES"/>
        </w:rPr>
      </w:pPr>
      <w:r w:rsidRPr="002B1E3C">
        <w:rPr>
          <w:rFonts w:ascii="Verdana" w:eastAsia="Arial" w:hAnsi="Verdana" w:cs="Arial"/>
          <w:b/>
          <w:bCs/>
          <w:lang w:val="es-ES_tradnl" w:eastAsia="es-ES"/>
        </w:rPr>
        <w:t>DOCUMENTOS DEL PROCESO – Noción – Deber de publicación – Proceso de contratación</w:t>
      </w:r>
    </w:p>
    <w:p w14:paraId="3CE70F1E" w14:textId="77777777" w:rsidR="003D5088" w:rsidRPr="003D5088" w:rsidRDefault="003D5088" w:rsidP="613A5EC2">
      <w:pPr>
        <w:spacing w:after="0" w:line="240" w:lineRule="auto"/>
        <w:jc w:val="both"/>
        <w:rPr>
          <w:rFonts w:ascii="Verdana" w:eastAsia="Arial" w:hAnsi="Verdana" w:cs="Arial"/>
          <w:b/>
          <w:bCs/>
          <w:color w:val="000000" w:themeColor="text1"/>
          <w:sz w:val="20"/>
          <w:szCs w:val="20"/>
          <w:lang w:val="es-ES_tradnl" w:eastAsia="es-ES"/>
        </w:rPr>
      </w:pPr>
    </w:p>
    <w:p w14:paraId="78BA30D9" w14:textId="5CFF186A" w:rsidR="003D5088" w:rsidRPr="003D5088" w:rsidRDefault="003D5088" w:rsidP="003D5088">
      <w:pPr>
        <w:spacing w:after="0" w:line="240" w:lineRule="auto"/>
        <w:jc w:val="both"/>
        <w:rPr>
          <w:rFonts w:ascii="Verdana" w:eastAsia="Arial" w:hAnsi="Verdana" w:cs="Arial"/>
          <w:sz w:val="20"/>
          <w:szCs w:val="20"/>
          <w:lang w:val="es-ES"/>
        </w:rPr>
      </w:pPr>
      <w:r w:rsidRPr="003D5088">
        <w:rPr>
          <w:rFonts w:ascii="Verdana" w:eastAsia="Arial" w:hAnsi="Verdana" w:cs="Arial"/>
          <w:sz w:val="20"/>
          <w:szCs w:val="20"/>
          <w:lang w:val="es-ES"/>
        </w:rPr>
        <w:t xml:space="preserve">[…] </w:t>
      </w:r>
      <w:r w:rsidRPr="003D5088">
        <w:rPr>
          <w:rFonts w:ascii="Verdana" w:eastAsia="Arial" w:hAnsi="Verdana" w:cs="Arial"/>
          <w:sz w:val="20"/>
          <w:szCs w:val="20"/>
          <w:lang w:val="es-ES"/>
        </w:rPr>
        <w:t xml:space="preserve">las Entidades Estatales, conforme al artículo 2.2.1.1.1.7.1. del Decreto 1082 de 2015, tienen la obligación de publicar en el SECOP “los Documentos del Proceso y los actos administrativos del Proceso de Contratación, dentro de los tres (3) días siguientes a su expedición”. La expresión </w:t>
      </w:r>
      <w:r w:rsidRPr="003D5088">
        <w:rPr>
          <w:rFonts w:ascii="Verdana" w:eastAsia="Arial" w:hAnsi="Verdana" w:cs="Arial"/>
          <w:i/>
          <w:sz w:val="20"/>
          <w:szCs w:val="20"/>
          <w:lang w:val="es-ES"/>
        </w:rPr>
        <w:t>Documentos del Proceso</w:t>
      </w:r>
      <w:r w:rsidRPr="003D5088">
        <w:rPr>
          <w:rFonts w:ascii="Verdana" w:eastAsia="Arial" w:hAnsi="Verdana" w:cs="Arial"/>
          <w:sz w:val="20"/>
          <w:szCs w:val="20"/>
          <w:lang w:val="es-ES"/>
        </w:rPr>
        <w:t xml:space="preserve"> está definida en el artículo 2.2.1.1.1.3.1. del Decreto 1082 de 2015, norma en la cual se establece que: “son: (a) los estudios y documentos previos; (b) el aviso de convocatoria; (c) los pliegos de condiciones o la invitación; (d) las adendas; (e) la oferta; (f) el informe de evaluación; (g) el contrato; y cualquier otro documento expedido por la Entidad Estatal durante el Proceso de Contratación”.</w:t>
      </w:r>
    </w:p>
    <w:p w14:paraId="72B67545" w14:textId="77777777" w:rsidR="003D5088" w:rsidRDefault="003D5088" w:rsidP="613A5EC2">
      <w:pPr>
        <w:spacing w:after="0" w:line="240" w:lineRule="auto"/>
        <w:jc w:val="both"/>
        <w:rPr>
          <w:rFonts w:ascii="Verdana" w:eastAsia="Arial" w:hAnsi="Verdana" w:cs="Arial"/>
          <w:b/>
          <w:bCs/>
          <w:color w:val="000000" w:themeColor="text1"/>
          <w:sz w:val="20"/>
          <w:szCs w:val="20"/>
          <w:lang w:val="es-ES" w:eastAsia="es-ES"/>
        </w:rPr>
      </w:pPr>
    </w:p>
    <w:p w14:paraId="2978241B" w14:textId="7D2281DF" w:rsidR="00AE2044" w:rsidRPr="00AE2044" w:rsidRDefault="00AE2044" w:rsidP="613A5EC2">
      <w:pPr>
        <w:spacing w:after="0" w:line="240" w:lineRule="auto"/>
        <w:jc w:val="both"/>
        <w:rPr>
          <w:rFonts w:ascii="Verdana" w:eastAsia="Arial" w:hAnsi="Verdana" w:cs="Arial"/>
          <w:color w:val="000000" w:themeColor="text1"/>
          <w:sz w:val="20"/>
          <w:szCs w:val="20"/>
          <w:lang w:val="es-ES" w:eastAsia="es-ES"/>
        </w:rPr>
      </w:pPr>
      <w:r w:rsidRPr="00AE2044">
        <w:rPr>
          <w:rFonts w:ascii="Verdana" w:eastAsia="Arial" w:hAnsi="Verdana" w:cs="Arial"/>
          <w:color w:val="000000" w:themeColor="text1"/>
          <w:sz w:val="20"/>
          <w:szCs w:val="20"/>
          <w:lang w:val="es-ES" w:eastAsia="es-ES"/>
        </w:rPr>
        <w:t xml:space="preserve">No obstante, para identificar los documentos que deben publicarse, es necesario realizar una interpretación sistemática de las disposiciones del Decreto 1082 del 2015, comoquiera que el anterior no es un listado taxativo, sino enunciativo, porque además de los documentos enlistados, el artículo 2.2.1.1.1.3.1 </w:t>
      </w:r>
      <w:proofErr w:type="spellStart"/>
      <w:r w:rsidRPr="00AE2044">
        <w:rPr>
          <w:rFonts w:ascii="Verdana" w:eastAsia="Arial" w:hAnsi="Verdana" w:cs="Arial"/>
          <w:color w:val="000000" w:themeColor="text1"/>
          <w:sz w:val="20"/>
          <w:szCs w:val="20"/>
          <w:lang w:val="es-ES" w:eastAsia="es-ES"/>
        </w:rPr>
        <w:t>Ibídem</w:t>
      </w:r>
      <w:proofErr w:type="spellEnd"/>
      <w:r w:rsidRPr="00AE2044">
        <w:rPr>
          <w:rFonts w:ascii="Verdana" w:eastAsia="Arial" w:hAnsi="Verdana" w:cs="Arial"/>
          <w:color w:val="000000" w:themeColor="text1"/>
          <w:sz w:val="20"/>
          <w:szCs w:val="20"/>
          <w:lang w:val="es-ES" w:eastAsia="es-ES"/>
        </w:rPr>
        <w:t xml:space="preserve"> recoge en la noción de Documentos del Proceso “cualquier otro documento expedido por la Entidad Estatal durante el Proceso de Contratación”.</w:t>
      </w:r>
    </w:p>
    <w:p w14:paraId="615022BA" w14:textId="77777777" w:rsidR="001154D0" w:rsidRDefault="001154D0" w:rsidP="613A5EC2">
      <w:pPr>
        <w:spacing w:after="0" w:line="240" w:lineRule="auto"/>
        <w:jc w:val="both"/>
        <w:rPr>
          <w:rFonts w:ascii="Verdana" w:hAnsi="Verdana"/>
          <w:sz w:val="20"/>
          <w:szCs w:val="20"/>
        </w:rPr>
      </w:pPr>
    </w:p>
    <w:p w14:paraId="6AB8F1E4" w14:textId="040050A6" w:rsidR="00AE2044" w:rsidRPr="002B1E3C" w:rsidRDefault="00AE2044" w:rsidP="00AE2044">
      <w:pPr>
        <w:spacing w:after="0" w:line="240" w:lineRule="auto"/>
        <w:jc w:val="both"/>
        <w:rPr>
          <w:rFonts w:ascii="Verdana" w:eastAsia="Arial" w:hAnsi="Verdana" w:cs="Arial"/>
          <w:b/>
          <w:bCs/>
          <w:lang w:val="es-ES_tradnl" w:eastAsia="es-ES"/>
        </w:rPr>
      </w:pPr>
      <w:r w:rsidRPr="002B1E3C">
        <w:rPr>
          <w:rFonts w:ascii="Verdana" w:eastAsia="Arial" w:hAnsi="Verdana" w:cs="Arial"/>
          <w:b/>
          <w:bCs/>
          <w:lang w:val="es-ES_tradnl" w:eastAsia="es-ES"/>
        </w:rPr>
        <w:t>DOCUMENTOS DEL PROCESO</w:t>
      </w:r>
      <w:r>
        <w:rPr>
          <w:rFonts w:ascii="Verdana" w:eastAsia="Arial" w:hAnsi="Verdana" w:cs="Arial"/>
          <w:b/>
          <w:bCs/>
          <w:lang w:val="es-ES_tradnl" w:eastAsia="es-ES"/>
        </w:rPr>
        <w:t xml:space="preserve"> </w:t>
      </w:r>
      <w:r w:rsidRPr="002B1E3C">
        <w:rPr>
          <w:rFonts w:ascii="Verdana" w:eastAsia="Arial" w:hAnsi="Verdana" w:cs="Arial"/>
          <w:b/>
          <w:bCs/>
          <w:lang w:val="es-ES_tradnl" w:eastAsia="es-ES"/>
        </w:rPr>
        <w:t>–</w:t>
      </w:r>
      <w:r w:rsidR="00BE423F">
        <w:rPr>
          <w:rFonts w:ascii="Verdana" w:eastAsia="Arial" w:hAnsi="Verdana" w:cs="Arial"/>
          <w:b/>
          <w:bCs/>
          <w:lang w:val="es-ES_tradnl" w:eastAsia="es-ES"/>
        </w:rPr>
        <w:t xml:space="preserve"> </w:t>
      </w:r>
      <w:r w:rsidRPr="002B1E3C">
        <w:rPr>
          <w:rFonts w:ascii="Verdana" w:eastAsia="Arial" w:hAnsi="Verdana" w:cs="Arial"/>
          <w:b/>
          <w:bCs/>
          <w:lang w:val="es-ES_tradnl" w:eastAsia="es-ES"/>
        </w:rPr>
        <w:t>Proceso de contratación</w:t>
      </w:r>
      <w:r w:rsidR="00BE423F">
        <w:rPr>
          <w:rFonts w:ascii="Verdana" w:eastAsia="Arial" w:hAnsi="Verdana" w:cs="Arial"/>
          <w:b/>
          <w:bCs/>
          <w:lang w:val="es-ES_tradnl" w:eastAsia="es-ES"/>
        </w:rPr>
        <w:t>- Definición – Plazo para publicar</w:t>
      </w:r>
    </w:p>
    <w:p w14:paraId="2E145306" w14:textId="77777777" w:rsidR="00BE423F" w:rsidRDefault="00BE423F" w:rsidP="00BE423F">
      <w:pPr>
        <w:spacing w:after="0" w:line="240" w:lineRule="auto"/>
        <w:jc w:val="both"/>
        <w:rPr>
          <w:rFonts w:ascii="Verdana" w:eastAsia="Arial" w:hAnsi="Verdana" w:cs="Arial"/>
          <w:lang w:val="es-ES_tradnl"/>
        </w:rPr>
      </w:pPr>
    </w:p>
    <w:p w14:paraId="01397615" w14:textId="5CC1E1C6" w:rsidR="00AE2044" w:rsidRDefault="00AE2044" w:rsidP="00BE423F">
      <w:pPr>
        <w:spacing w:after="0" w:line="240" w:lineRule="auto"/>
        <w:jc w:val="both"/>
        <w:rPr>
          <w:rFonts w:ascii="Verdana" w:eastAsia="Arial" w:hAnsi="Verdana" w:cs="Arial"/>
          <w:sz w:val="20"/>
          <w:szCs w:val="20"/>
          <w:lang w:val="es-ES"/>
        </w:rPr>
      </w:pPr>
      <w:r w:rsidRPr="00BE423F">
        <w:rPr>
          <w:rFonts w:ascii="Verdana" w:eastAsia="Arial" w:hAnsi="Verdana" w:cs="Arial"/>
          <w:sz w:val="20"/>
          <w:szCs w:val="20"/>
          <w:lang w:val="es-ES"/>
        </w:rPr>
        <w:t xml:space="preserve">Este mismo artículo define la expresión </w:t>
      </w:r>
      <w:r w:rsidRPr="00BE423F">
        <w:rPr>
          <w:rFonts w:ascii="Verdana" w:eastAsia="Arial" w:hAnsi="Verdana" w:cs="Arial"/>
          <w:i/>
          <w:iCs/>
          <w:sz w:val="20"/>
          <w:szCs w:val="20"/>
          <w:lang w:val="es-ES"/>
        </w:rPr>
        <w:t>Proceso de Contratación</w:t>
      </w:r>
      <w:r w:rsidRPr="00BE423F">
        <w:rPr>
          <w:rFonts w:ascii="Verdana" w:eastAsia="Arial" w:hAnsi="Verdana" w:cs="Arial"/>
          <w:sz w:val="20"/>
          <w:szCs w:val="20"/>
          <w:lang w:val="es-ES"/>
        </w:rPr>
        <w:t xml:space="preserve"> como el “Conjunto de actos y actividades, y su secuencia, adelantadas por la Entidad Estatal desde la planeación hasta el vencimiento de las garantías de calidad, estabilidad y mantenimiento, o las condiciones de disposición final o recuperación ambiental de las obras o bienes o el vencimiento del plazo, lo que ocurra más tarde. </w:t>
      </w:r>
    </w:p>
    <w:p w14:paraId="69BA08F3" w14:textId="77777777" w:rsidR="00BE423F" w:rsidRDefault="00BE423F" w:rsidP="00BE423F">
      <w:pPr>
        <w:tabs>
          <w:tab w:val="left" w:pos="709"/>
        </w:tabs>
        <w:spacing w:after="0" w:line="240" w:lineRule="auto"/>
        <w:jc w:val="both"/>
        <w:rPr>
          <w:rFonts w:ascii="Verdana" w:eastAsia="Arial" w:hAnsi="Verdana" w:cs="Arial"/>
          <w:sz w:val="20"/>
          <w:szCs w:val="20"/>
          <w:lang w:val="es-ES"/>
        </w:rPr>
      </w:pPr>
    </w:p>
    <w:p w14:paraId="1473A43A" w14:textId="20F6352F" w:rsidR="00AE2044" w:rsidRPr="00BE423F" w:rsidRDefault="00AE2044" w:rsidP="00BE423F">
      <w:pPr>
        <w:tabs>
          <w:tab w:val="left" w:pos="709"/>
        </w:tabs>
        <w:spacing w:after="0" w:line="240" w:lineRule="auto"/>
        <w:jc w:val="both"/>
        <w:rPr>
          <w:rFonts w:ascii="Verdana" w:hAnsi="Verdana" w:cs="Arial"/>
          <w:sz w:val="20"/>
          <w:szCs w:val="20"/>
          <w:shd w:val="clear" w:color="auto" w:fill="FFFFFF"/>
        </w:rPr>
      </w:pPr>
      <w:r w:rsidRPr="00BE423F">
        <w:rPr>
          <w:rFonts w:ascii="Verdana" w:eastAsia="Arial" w:hAnsi="Verdana" w:cs="Arial"/>
          <w:sz w:val="20"/>
          <w:szCs w:val="20"/>
          <w:lang w:val="es-ES"/>
        </w:rPr>
        <w:t xml:space="preserve">Esto significa que todos los documentos expedidos por la entidad durante las etapas precontractual, de ejecución y </w:t>
      </w:r>
      <w:proofErr w:type="spellStart"/>
      <w:r w:rsidRPr="00BE423F">
        <w:rPr>
          <w:rFonts w:ascii="Verdana" w:eastAsia="Arial" w:hAnsi="Verdana" w:cs="Arial"/>
          <w:sz w:val="20"/>
          <w:szCs w:val="20"/>
          <w:lang w:val="es-ES"/>
        </w:rPr>
        <w:t>postcontractual</w:t>
      </w:r>
      <w:proofErr w:type="spellEnd"/>
      <w:r w:rsidRPr="00BE423F">
        <w:rPr>
          <w:rFonts w:ascii="Verdana" w:eastAsia="Arial" w:hAnsi="Verdana" w:cs="Arial"/>
          <w:sz w:val="20"/>
          <w:szCs w:val="20"/>
          <w:lang w:val="es-ES"/>
        </w:rPr>
        <w:t xml:space="preserve"> deberán ser publicados en SECOP dentro de los tres (3) días siguientes a su expedición, para cumplir el deber de publicidad regulado por el artículo 2.2.1.1.1.7.1. del Decreto 1082 de 2015. </w:t>
      </w:r>
      <w:r w:rsidRPr="00BE423F">
        <w:rPr>
          <w:rFonts w:ascii="Verdana" w:hAnsi="Verdana" w:cs="Arial"/>
          <w:sz w:val="20"/>
          <w:szCs w:val="20"/>
          <w:shd w:val="clear" w:color="auto" w:fill="FFFFFF"/>
        </w:rPr>
        <w:t xml:space="preserve">Dentro de esos documentos se encuentran los correspondientes a los relacionados con la ejecución contractual, como la constancia de pago, es decir, la orden de pago que arroja la plataforma SIIF. </w:t>
      </w:r>
    </w:p>
    <w:p w14:paraId="1ABE43A9" w14:textId="77777777" w:rsidR="00BE423F" w:rsidRDefault="00BE423F" w:rsidP="00BE423F">
      <w:pPr>
        <w:spacing w:after="0" w:line="240" w:lineRule="auto"/>
        <w:jc w:val="both"/>
        <w:rPr>
          <w:rFonts w:ascii="Verdana" w:eastAsia="Calibri" w:hAnsi="Verdana" w:cs="Arial"/>
          <w:sz w:val="20"/>
          <w:szCs w:val="20"/>
          <w:lang w:eastAsia="es-CO"/>
        </w:rPr>
      </w:pPr>
    </w:p>
    <w:p w14:paraId="52DE3349" w14:textId="77777777" w:rsidR="00BE423F" w:rsidRPr="00BE423F" w:rsidRDefault="00BE423F" w:rsidP="00BE423F">
      <w:pPr>
        <w:spacing w:after="0" w:line="240" w:lineRule="auto"/>
        <w:jc w:val="both"/>
        <w:rPr>
          <w:rFonts w:ascii="Verdana" w:eastAsia="Calibri" w:hAnsi="Verdana" w:cs="Arial"/>
          <w:b/>
          <w:bCs/>
          <w:lang w:eastAsia="es-CO"/>
        </w:rPr>
      </w:pPr>
      <w:r w:rsidRPr="00BE423F">
        <w:rPr>
          <w:rFonts w:ascii="Verdana" w:eastAsia="Calibri" w:hAnsi="Verdana" w:cs="Arial"/>
          <w:b/>
          <w:bCs/>
          <w:lang w:eastAsia="es-CO"/>
        </w:rPr>
        <w:t>PUBLICIDAD – Ley de transparencia – Ley 1712 de 20214</w:t>
      </w:r>
    </w:p>
    <w:p w14:paraId="403D307A" w14:textId="77777777" w:rsidR="00BE423F" w:rsidRDefault="00BE423F" w:rsidP="00BE423F">
      <w:pPr>
        <w:spacing w:after="0" w:line="240" w:lineRule="auto"/>
        <w:jc w:val="both"/>
        <w:rPr>
          <w:rFonts w:ascii="Verdana" w:eastAsia="Calibri" w:hAnsi="Verdana" w:cs="Arial"/>
          <w:sz w:val="20"/>
          <w:szCs w:val="20"/>
          <w:lang w:eastAsia="es-CO"/>
        </w:rPr>
      </w:pPr>
    </w:p>
    <w:p w14:paraId="336FF913" w14:textId="39818329" w:rsidR="00AE2044" w:rsidRPr="00BE423F" w:rsidRDefault="00BE423F" w:rsidP="00BE423F">
      <w:pPr>
        <w:spacing w:after="0" w:line="240" w:lineRule="auto"/>
        <w:jc w:val="both"/>
        <w:rPr>
          <w:rFonts w:ascii="Verdana" w:eastAsia="Calibri" w:hAnsi="Verdana" w:cs="Arial"/>
          <w:sz w:val="20"/>
          <w:szCs w:val="20"/>
          <w:lang w:eastAsia="es-CO"/>
        </w:rPr>
      </w:pPr>
      <w:r>
        <w:rPr>
          <w:rFonts w:ascii="Verdana" w:eastAsia="Calibri" w:hAnsi="Verdana" w:cs="Arial"/>
          <w:sz w:val="20"/>
          <w:szCs w:val="20"/>
          <w:lang w:eastAsia="es-CO"/>
        </w:rPr>
        <w:t xml:space="preserve">[…] </w:t>
      </w:r>
      <w:r w:rsidR="00AE2044" w:rsidRPr="00BE423F">
        <w:rPr>
          <w:rFonts w:ascii="Verdana" w:eastAsia="Calibri" w:hAnsi="Verdana" w:cs="Arial"/>
          <w:sz w:val="20"/>
          <w:szCs w:val="20"/>
          <w:lang w:eastAsia="es-CO"/>
        </w:rPr>
        <w:t xml:space="preserve">la Ley 1712 de 2014, normativa de la transparencia y del derecho de acceso a la información pública, señala en el literal g) del artículo 11 que todo sujeto obligado debe publicar sus procedimientos, lineamientos, políticas en materia de adquisiciones y compras, así como todos los datos de adjudicación y ejecución de sus contratos. Esta </w:t>
      </w:r>
      <w:r w:rsidR="00AE2044" w:rsidRPr="00BE423F">
        <w:rPr>
          <w:rFonts w:ascii="Verdana" w:eastAsia="Calibri" w:hAnsi="Verdana" w:cs="Arial"/>
          <w:sz w:val="20"/>
          <w:szCs w:val="20"/>
          <w:lang w:eastAsia="es-CO"/>
        </w:rPr>
        <w:lastRenderedPageBreak/>
        <w:t>obligación, en principio, fue reglamentada por el Decreto 103 de 2015, hoy compilado en el Decreto 1081 de 2015. Este último señala, en el artículo 2.1.1.2.1.7, que las entidades deberán publicar en el SECOP la información de su gestión contractual.</w:t>
      </w:r>
    </w:p>
    <w:p w14:paraId="428671DA" w14:textId="77777777" w:rsidR="00BE423F" w:rsidRDefault="00BE423F" w:rsidP="00BE423F">
      <w:pPr>
        <w:spacing w:after="0" w:line="240" w:lineRule="auto"/>
        <w:jc w:val="both"/>
        <w:rPr>
          <w:rFonts w:ascii="Verdana" w:eastAsia="Calibri" w:hAnsi="Verdana" w:cs="Arial"/>
          <w:sz w:val="20"/>
          <w:szCs w:val="20"/>
        </w:rPr>
      </w:pPr>
    </w:p>
    <w:p w14:paraId="69B30F20" w14:textId="3ACA8572" w:rsidR="00AE2044" w:rsidRPr="00BE423F" w:rsidRDefault="00AE2044" w:rsidP="00BE423F">
      <w:pPr>
        <w:spacing w:after="0" w:line="240" w:lineRule="auto"/>
        <w:jc w:val="both"/>
        <w:rPr>
          <w:rFonts w:ascii="Verdana" w:eastAsia="Calibri" w:hAnsi="Verdana" w:cs="Arial"/>
          <w:sz w:val="20"/>
          <w:szCs w:val="20"/>
          <w:lang w:val="es-ES"/>
        </w:rPr>
      </w:pPr>
      <w:r w:rsidRPr="00BE423F">
        <w:rPr>
          <w:rFonts w:ascii="Verdana" w:eastAsia="Calibri" w:hAnsi="Verdana" w:cs="Arial"/>
          <w:sz w:val="20"/>
          <w:szCs w:val="20"/>
          <w:lang w:val="es-ES"/>
        </w:rPr>
        <w:t xml:space="preserve">De otro lado, el artículo 2.1.1.2.1.8 establece los efectos de </w:t>
      </w:r>
      <w:r w:rsidRPr="00BE423F">
        <w:rPr>
          <w:rFonts w:ascii="Verdana" w:hAnsi="Verdana" w:cs="Arial"/>
          <w:sz w:val="20"/>
          <w:szCs w:val="20"/>
          <w:lang w:val="es-ES"/>
        </w:rPr>
        <w:t>la obligación contenida en el literal g) del artículo 11 de la Ley 1712 de 2014, en relación con los documentos producidos durante la ejecución del contrato, señalando que se</w:t>
      </w:r>
      <w:r w:rsidRPr="00BE423F">
        <w:rPr>
          <w:rFonts w:ascii="Verdana" w:eastAsia="Calibri" w:hAnsi="Verdana" w:cs="Arial"/>
          <w:sz w:val="20"/>
          <w:szCs w:val="20"/>
          <w:lang w:val="es-ES"/>
        </w:rPr>
        <w:t xml:space="preserve"> deben publicar las aprobaciones, autorizaciones, requerimientos o informes del supervisor o interventor, que prueben la ejecución del contrato.</w:t>
      </w:r>
    </w:p>
    <w:p w14:paraId="796DB804" w14:textId="77777777" w:rsidR="00AE2044" w:rsidRPr="00AE2044" w:rsidRDefault="00AE2044" w:rsidP="613A5EC2">
      <w:pPr>
        <w:spacing w:after="0" w:line="240" w:lineRule="auto"/>
        <w:jc w:val="both"/>
        <w:rPr>
          <w:rFonts w:ascii="Verdana" w:hAnsi="Verdana"/>
          <w:sz w:val="20"/>
          <w:szCs w:val="20"/>
          <w:lang w:val="es-ES"/>
        </w:rPr>
      </w:pPr>
    </w:p>
    <w:p w14:paraId="7C865FC6" w14:textId="77777777" w:rsidR="00B53DDF" w:rsidRDefault="00B53DDF" w:rsidP="613A5EC2">
      <w:pPr>
        <w:spacing w:after="0" w:line="240" w:lineRule="auto"/>
        <w:jc w:val="both"/>
        <w:rPr>
          <w:rFonts w:ascii="Verdana" w:hAnsi="Verdana"/>
        </w:rPr>
      </w:pPr>
    </w:p>
    <w:p w14:paraId="2881CB53" w14:textId="77777777" w:rsidR="00B53DDF" w:rsidRDefault="00B53DDF" w:rsidP="613A5EC2">
      <w:pPr>
        <w:spacing w:after="0" w:line="240" w:lineRule="auto"/>
        <w:jc w:val="both"/>
        <w:rPr>
          <w:rFonts w:ascii="Verdana" w:hAnsi="Verdana"/>
        </w:rPr>
      </w:pPr>
    </w:p>
    <w:p w14:paraId="50335D4F" w14:textId="77777777" w:rsidR="00BE423F" w:rsidRDefault="00BE423F" w:rsidP="613A5EC2">
      <w:pPr>
        <w:spacing w:after="0" w:line="240" w:lineRule="auto"/>
        <w:jc w:val="both"/>
        <w:rPr>
          <w:rFonts w:ascii="Verdana" w:hAnsi="Verdana"/>
        </w:rPr>
      </w:pPr>
    </w:p>
    <w:p w14:paraId="6489D10D" w14:textId="77777777" w:rsidR="00BE423F" w:rsidRDefault="00BE423F" w:rsidP="613A5EC2">
      <w:pPr>
        <w:spacing w:after="0" w:line="240" w:lineRule="auto"/>
        <w:jc w:val="both"/>
        <w:rPr>
          <w:rFonts w:ascii="Verdana" w:hAnsi="Verdana"/>
        </w:rPr>
      </w:pPr>
    </w:p>
    <w:p w14:paraId="4551812D" w14:textId="77777777" w:rsidR="00BE423F" w:rsidRDefault="00BE423F" w:rsidP="613A5EC2">
      <w:pPr>
        <w:spacing w:after="0" w:line="240" w:lineRule="auto"/>
        <w:jc w:val="both"/>
        <w:rPr>
          <w:rFonts w:ascii="Verdana" w:hAnsi="Verdana"/>
        </w:rPr>
      </w:pPr>
    </w:p>
    <w:p w14:paraId="31D2660D" w14:textId="77777777" w:rsidR="00BE423F" w:rsidRDefault="00BE423F" w:rsidP="613A5EC2">
      <w:pPr>
        <w:spacing w:after="0" w:line="240" w:lineRule="auto"/>
        <w:jc w:val="both"/>
        <w:rPr>
          <w:rFonts w:ascii="Verdana" w:hAnsi="Verdana"/>
        </w:rPr>
      </w:pPr>
    </w:p>
    <w:p w14:paraId="2CFD527F" w14:textId="77777777" w:rsidR="00BE423F" w:rsidRDefault="00BE423F" w:rsidP="613A5EC2">
      <w:pPr>
        <w:spacing w:after="0" w:line="240" w:lineRule="auto"/>
        <w:jc w:val="both"/>
        <w:rPr>
          <w:rFonts w:ascii="Verdana" w:hAnsi="Verdana"/>
        </w:rPr>
      </w:pPr>
    </w:p>
    <w:p w14:paraId="37ADA6B8" w14:textId="77777777" w:rsidR="00BE423F" w:rsidRDefault="00BE423F" w:rsidP="613A5EC2">
      <w:pPr>
        <w:spacing w:after="0" w:line="240" w:lineRule="auto"/>
        <w:jc w:val="both"/>
        <w:rPr>
          <w:rFonts w:ascii="Verdana" w:hAnsi="Verdana"/>
        </w:rPr>
      </w:pPr>
    </w:p>
    <w:p w14:paraId="39FDC8B3" w14:textId="77777777" w:rsidR="00BE423F" w:rsidRDefault="00BE423F" w:rsidP="613A5EC2">
      <w:pPr>
        <w:spacing w:after="0" w:line="240" w:lineRule="auto"/>
        <w:jc w:val="both"/>
        <w:rPr>
          <w:rFonts w:ascii="Verdana" w:hAnsi="Verdana"/>
        </w:rPr>
      </w:pPr>
    </w:p>
    <w:p w14:paraId="798254E3" w14:textId="77777777" w:rsidR="00BE423F" w:rsidRDefault="00BE423F" w:rsidP="613A5EC2">
      <w:pPr>
        <w:spacing w:after="0" w:line="240" w:lineRule="auto"/>
        <w:jc w:val="both"/>
        <w:rPr>
          <w:rFonts w:ascii="Verdana" w:hAnsi="Verdana"/>
        </w:rPr>
      </w:pPr>
    </w:p>
    <w:p w14:paraId="3E287C87" w14:textId="77777777" w:rsidR="00BE423F" w:rsidRDefault="00BE423F" w:rsidP="613A5EC2">
      <w:pPr>
        <w:spacing w:after="0" w:line="240" w:lineRule="auto"/>
        <w:jc w:val="both"/>
        <w:rPr>
          <w:rFonts w:ascii="Verdana" w:hAnsi="Verdana"/>
        </w:rPr>
      </w:pPr>
    </w:p>
    <w:p w14:paraId="1443F27E" w14:textId="77777777" w:rsidR="00BE423F" w:rsidRDefault="00BE423F" w:rsidP="613A5EC2">
      <w:pPr>
        <w:spacing w:after="0" w:line="240" w:lineRule="auto"/>
        <w:jc w:val="both"/>
        <w:rPr>
          <w:rFonts w:ascii="Verdana" w:hAnsi="Verdana"/>
        </w:rPr>
      </w:pPr>
    </w:p>
    <w:p w14:paraId="4817DBC2" w14:textId="77777777" w:rsidR="00BE423F" w:rsidRDefault="00BE423F" w:rsidP="613A5EC2">
      <w:pPr>
        <w:spacing w:after="0" w:line="240" w:lineRule="auto"/>
        <w:jc w:val="both"/>
        <w:rPr>
          <w:rFonts w:ascii="Verdana" w:hAnsi="Verdana"/>
        </w:rPr>
      </w:pPr>
    </w:p>
    <w:p w14:paraId="4C3EE132" w14:textId="77777777" w:rsidR="00BE423F" w:rsidRDefault="00BE423F" w:rsidP="613A5EC2">
      <w:pPr>
        <w:spacing w:after="0" w:line="240" w:lineRule="auto"/>
        <w:jc w:val="both"/>
        <w:rPr>
          <w:rFonts w:ascii="Verdana" w:hAnsi="Verdana"/>
        </w:rPr>
      </w:pPr>
    </w:p>
    <w:p w14:paraId="1FE56E90" w14:textId="77777777" w:rsidR="00BE423F" w:rsidRDefault="00BE423F" w:rsidP="613A5EC2">
      <w:pPr>
        <w:spacing w:after="0" w:line="240" w:lineRule="auto"/>
        <w:jc w:val="both"/>
        <w:rPr>
          <w:rFonts w:ascii="Verdana" w:hAnsi="Verdana"/>
        </w:rPr>
      </w:pPr>
    </w:p>
    <w:p w14:paraId="0E28CD0C" w14:textId="77777777" w:rsidR="00BE423F" w:rsidRDefault="00BE423F" w:rsidP="613A5EC2">
      <w:pPr>
        <w:spacing w:after="0" w:line="240" w:lineRule="auto"/>
        <w:jc w:val="both"/>
        <w:rPr>
          <w:rFonts w:ascii="Verdana" w:hAnsi="Verdana"/>
        </w:rPr>
      </w:pPr>
    </w:p>
    <w:p w14:paraId="47CF4E5A" w14:textId="77777777" w:rsidR="00BE423F" w:rsidRDefault="00BE423F" w:rsidP="613A5EC2">
      <w:pPr>
        <w:spacing w:after="0" w:line="240" w:lineRule="auto"/>
        <w:jc w:val="both"/>
        <w:rPr>
          <w:rFonts w:ascii="Verdana" w:hAnsi="Verdana"/>
        </w:rPr>
      </w:pPr>
    </w:p>
    <w:p w14:paraId="7D9CEC41" w14:textId="77777777" w:rsidR="00BE423F" w:rsidRDefault="00BE423F" w:rsidP="613A5EC2">
      <w:pPr>
        <w:spacing w:after="0" w:line="240" w:lineRule="auto"/>
        <w:jc w:val="both"/>
        <w:rPr>
          <w:rFonts w:ascii="Verdana" w:hAnsi="Verdana"/>
        </w:rPr>
      </w:pPr>
    </w:p>
    <w:p w14:paraId="6304C09E" w14:textId="77777777" w:rsidR="00BE423F" w:rsidRDefault="00BE423F" w:rsidP="613A5EC2">
      <w:pPr>
        <w:spacing w:after="0" w:line="240" w:lineRule="auto"/>
        <w:jc w:val="both"/>
        <w:rPr>
          <w:rFonts w:ascii="Verdana" w:hAnsi="Verdana"/>
        </w:rPr>
      </w:pPr>
    </w:p>
    <w:p w14:paraId="64F69449" w14:textId="77777777" w:rsidR="00BE423F" w:rsidRDefault="00BE423F" w:rsidP="613A5EC2">
      <w:pPr>
        <w:spacing w:after="0" w:line="240" w:lineRule="auto"/>
        <w:jc w:val="both"/>
        <w:rPr>
          <w:rFonts w:ascii="Verdana" w:hAnsi="Verdana"/>
        </w:rPr>
      </w:pPr>
    </w:p>
    <w:p w14:paraId="3ADDAB76" w14:textId="77777777" w:rsidR="00BE423F" w:rsidRDefault="00BE423F" w:rsidP="613A5EC2">
      <w:pPr>
        <w:spacing w:after="0" w:line="240" w:lineRule="auto"/>
        <w:jc w:val="both"/>
        <w:rPr>
          <w:rFonts w:ascii="Verdana" w:hAnsi="Verdana"/>
        </w:rPr>
      </w:pPr>
    </w:p>
    <w:p w14:paraId="702A0E66" w14:textId="77777777" w:rsidR="00BE423F" w:rsidRDefault="00BE423F" w:rsidP="613A5EC2">
      <w:pPr>
        <w:spacing w:after="0" w:line="240" w:lineRule="auto"/>
        <w:jc w:val="both"/>
        <w:rPr>
          <w:rFonts w:ascii="Verdana" w:hAnsi="Verdana"/>
        </w:rPr>
      </w:pPr>
    </w:p>
    <w:p w14:paraId="36185E1A" w14:textId="77777777" w:rsidR="00BE423F" w:rsidRDefault="00BE423F" w:rsidP="613A5EC2">
      <w:pPr>
        <w:spacing w:after="0" w:line="240" w:lineRule="auto"/>
        <w:jc w:val="both"/>
        <w:rPr>
          <w:rFonts w:ascii="Verdana" w:hAnsi="Verdana"/>
        </w:rPr>
      </w:pPr>
    </w:p>
    <w:p w14:paraId="03A7A35C" w14:textId="77777777" w:rsidR="00BE423F" w:rsidRDefault="00BE423F" w:rsidP="613A5EC2">
      <w:pPr>
        <w:spacing w:after="0" w:line="240" w:lineRule="auto"/>
        <w:jc w:val="both"/>
        <w:rPr>
          <w:rFonts w:ascii="Verdana" w:hAnsi="Verdana"/>
        </w:rPr>
      </w:pPr>
    </w:p>
    <w:p w14:paraId="239094AF" w14:textId="77777777" w:rsidR="00BE423F" w:rsidRDefault="00BE423F" w:rsidP="613A5EC2">
      <w:pPr>
        <w:spacing w:after="0" w:line="240" w:lineRule="auto"/>
        <w:jc w:val="both"/>
        <w:rPr>
          <w:rFonts w:ascii="Verdana" w:hAnsi="Verdana"/>
        </w:rPr>
      </w:pPr>
    </w:p>
    <w:p w14:paraId="55C72A48" w14:textId="77777777" w:rsidR="00BE423F" w:rsidRDefault="00BE423F" w:rsidP="613A5EC2">
      <w:pPr>
        <w:spacing w:after="0" w:line="240" w:lineRule="auto"/>
        <w:jc w:val="both"/>
        <w:rPr>
          <w:rFonts w:ascii="Verdana" w:hAnsi="Verdana"/>
        </w:rPr>
      </w:pPr>
    </w:p>
    <w:p w14:paraId="2ED5F3E1" w14:textId="77777777" w:rsidR="00BE423F" w:rsidRDefault="00BE423F" w:rsidP="613A5EC2">
      <w:pPr>
        <w:spacing w:after="0" w:line="240" w:lineRule="auto"/>
        <w:jc w:val="both"/>
        <w:rPr>
          <w:rFonts w:ascii="Verdana" w:hAnsi="Verdana"/>
        </w:rPr>
      </w:pPr>
    </w:p>
    <w:p w14:paraId="68F41A18" w14:textId="77777777" w:rsidR="00BE423F" w:rsidRDefault="00BE423F" w:rsidP="613A5EC2">
      <w:pPr>
        <w:spacing w:after="0" w:line="240" w:lineRule="auto"/>
        <w:jc w:val="both"/>
        <w:rPr>
          <w:rFonts w:ascii="Verdana" w:hAnsi="Verdana"/>
        </w:rPr>
      </w:pPr>
    </w:p>
    <w:p w14:paraId="6A5A2026" w14:textId="77777777" w:rsidR="00BE423F" w:rsidRDefault="00BE423F" w:rsidP="613A5EC2">
      <w:pPr>
        <w:spacing w:after="0" w:line="240" w:lineRule="auto"/>
        <w:jc w:val="both"/>
        <w:rPr>
          <w:rFonts w:ascii="Verdana" w:hAnsi="Verdana"/>
        </w:rPr>
      </w:pPr>
    </w:p>
    <w:p w14:paraId="1D401B19" w14:textId="77777777" w:rsidR="00BE423F" w:rsidRDefault="00BE423F" w:rsidP="613A5EC2">
      <w:pPr>
        <w:spacing w:after="0" w:line="240" w:lineRule="auto"/>
        <w:jc w:val="both"/>
        <w:rPr>
          <w:rFonts w:ascii="Verdana" w:hAnsi="Verdana"/>
        </w:rPr>
      </w:pPr>
    </w:p>
    <w:p w14:paraId="51DB9627" w14:textId="77777777" w:rsidR="00BE423F" w:rsidRDefault="00BE423F" w:rsidP="613A5EC2">
      <w:pPr>
        <w:spacing w:after="0" w:line="240" w:lineRule="auto"/>
        <w:jc w:val="both"/>
        <w:rPr>
          <w:rFonts w:ascii="Verdana" w:hAnsi="Verdana"/>
        </w:rPr>
      </w:pPr>
    </w:p>
    <w:p w14:paraId="07F6E589" w14:textId="77777777" w:rsidR="00BE423F" w:rsidRDefault="00BE423F" w:rsidP="613A5EC2">
      <w:pPr>
        <w:spacing w:after="0" w:line="240" w:lineRule="auto"/>
        <w:jc w:val="both"/>
        <w:rPr>
          <w:rFonts w:ascii="Verdana" w:hAnsi="Verdana"/>
        </w:rPr>
      </w:pPr>
    </w:p>
    <w:p w14:paraId="481A7B74" w14:textId="77777777" w:rsidR="00BE423F" w:rsidRDefault="00BE423F" w:rsidP="613A5EC2">
      <w:pPr>
        <w:spacing w:after="0" w:line="240" w:lineRule="auto"/>
        <w:jc w:val="both"/>
        <w:rPr>
          <w:rFonts w:ascii="Verdana" w:hAnsi="Verdana"/>
        </w:rPr>
      </w:pPr>
    </w:p>
    <w:p w14:paraId="62E515B2" w14:textId="77777777" w:rsidR="00BE423F" w:rsidRDefault="00BE423F" w:rsidP="613A5EC2">
      <w:pPr>
        <w:spacing w:after="0" w:line="240" w:lineRule="auto"/>
        <w:jc w:val="both"/>
        <w:rPr>
          <w:rFonts w:ascii="Verdana" w:hAnsi="Verdana"/>
        </w:rPr>
      </w:pPr>
    </w:p>
    <w:p w14:paraId="74B6C5E5" w14:textId="4A1526E4" w:rsidR="00B87CFA" w:rsidRDefault="00745FFE" w:rsidP="613A5EC2">
      <w:pPr>
        <w:spacing w:after="0" w:line="240" w:lineRule="auto"/>
        <w:jc w:val="both"/>
      </w:pPr>
      <w:r w:rsidRPr="008E4F36">
        <w:rPr>
          <w:rFonts w:ascii="Verdana" w:hAnsi="Verdana"/>
        </w:rPr>
        <w:lastRenderedPageBreak/>
        <w:t xml:space="preserve">Bogotá D.C., </w:t>
      </w:r>
      <w:r w:rsidR="00B87CFA">
        <w:rPr>
          <w:rFonts w:ascii="Verdana" w:hAnsi="Verdana"/>
        </w:rPr>
        <w:t>22 de julio de 2025</w:t>
      </w:r>
    </w:p>
    <w:p w14:paraId="2989A661" w14:textId="77777777" w:rsidR="00B87CFA" w:rsidRDefault="00B87CFA" w:rsidP="613A5EC2">
      <w:pPr>
        <w:spacing w:after="0" w:line="240" w:lineRule="auto"/>
        <w:jc w:val="both"/>
      </w:pPr>
    </w:p>
    <w:p w14:paraId="28EF446B" w14:textId="2A389AC2" w:rsidR="00B87CFA" w:rsidRPr="008E4F36" w:rsidRDefault="00B87CFA" w:rsidP="00B87CFA">
      <w:pPr>
        <w:spacing w:after="0" w:line="240" w:lineRule="auto"/>
        <w:jc w:val="right"/>
        <w:rPr>
          <w:rFonts w:ascii="Verdana" w:hAnsi="Verdana"/>
        </w:rPr>
      </w:pPr>
      <w:r w:rsidRPr="00B87CFA">
        <w:rPr>
          <w:rFonts w:ascii="Verdana" w:hAnsi="Verdana"/>
          <w:noProof/>
        </w:rPr>
        <w:drawing>
          <wp:inline distT="0" distB="0" distL="0" distR="0" wp14:anchorId="5895D70C" wp14:editId="7F6D27BF">
            <wp:extent cx="2717351" cy="690245"/>
            <wp:effectExtent l="0" t="0" r="6985" b="0"/>
            <wp:docPr id="1669941439" name="Imagen 1" descr="Tex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9941439" name="Imagen 1" descr="Texto"/>
                    <pic:cNvPicPr/>
                  </pic:nvPicPr>
                  <pic:blipFill>
                    <a:blip r:embed="rId11"/>
                    <a:stretch>
                      <a:fillRect/>
                    </a:stretch>
                  </pic:blipFill>
                  <pic:spPr>
                    <a:xfrm>
                      <a:off x="0" y="0"/>
                      <a:ext cx="2726928" cy="692678"/>
                    </a:xfrm>
                    <a:prstGeom prst="rect">
                      <a:avLst/>
                    </a:prstGeom>
                  </pic:spPr>
                </pic:pic>
              </a:graphicData>
            </a:graphic>
          </wp:inline>
        </w:drawing>
      </w:r>
    </w:p>
    <w:p w14:paraId="34219C1E" w14:textId="63AFE50F" w:rsidR="00745FFE" w:rsidRPr="008E4F36" w:rsidRDefault="006302FD" w:rsidP="006302FD">
      <w:pPr>
        <w:spacing w:after="0" w:line="240" w:lineRule="auto"/>
        <w:jc w:val="right"/>
        <w:rPr>
          <w:rFonts w:ascii="Verdana" w:eastAsia="Calibri" w:hAnsi="Verdana" w:cs="Arial"/>
          <w:lang w:eastAsia="es-ES"/>
        </w:rPr>
      </w:pPr>
      <w:bookmarkStart w:id="3" w:name="_Hlk197462763"/>
      <w:bookmarkStart w:id="4" w:name="_Hlk197529996"/>
      <w:r w:rsidRPr="006302FD">
        <w:rPr>
          <w:rFonts w:ascii="Verdana" w:eastAsia="Calibri" w:hAnsi="Verdana" w:cs="Arial"/>
          <w:noProof/>
          <w:lang w:eastAsia="es-ES"/>
        </w:rPr>
        <w:drawing>
          <wp:inline distT="0" distB="0" distL="0" distR="0" wp14:anchorId="6DF36CE7" wp14:editId="44640E4F">
            <wp:extent cx="2700845" cy="729615"/>
            <wp:effectExtent l="0" t="0" r="4445" b="0"/>
            <wp:docPr id="2013616699"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3616699" name=""/>
                    <pic:cNvPicPr/>
                  </pic:nvPicPr>
                  <pic:blipFill>
                    <a:blip r:embed="rId12"/>
                    <a:stretch>
                      <a:fillRect/>
                    </a:stretch>
                  </pic:blipFill>
                  <pic:spPr>
                    <a:xfrm>
                      <a:off x="0" y="0"/>
                      <a:ext cx="2749702" cy="742814"/>
                    </a:xfrm>
                    <a:prstGeom prst="rect">
                      <a:avLst/>
                    </a:prstGeom>
                  </pic:spPr>
                </pic:pic>
              </a:graphicData>
            </a:graphic>
          </wp:inline>
        </w:drawing>
      </w:r>
    </w:p>
    <w:p w14:paraId="086F002C" w14:textId="77777777" w:rsidR="00745FFE" w:rsidRPr="008E4F36" w:rsidRDefault="00745FFE" w:rsidP="00745FFE">
      <w:pPr>
        <w:spacing w:after="0" w:line="240" w:lineRule="auto"/>
        <w:jc w:val="both"/>
        <w:rPr>
          <w:rFonts w:ascii="Verdana" w:eastAsia="Calibri" w:hAnsi="Verdana" w:cs="Arial"/>
          <w:lang w:eastAsia="es-ES"/>
        </w:rPr>
      </w:pPr>
      <w:r w:rsidRPr="008E4F36">
        <w:rPr>
          <w:rFonts w:ascii="Verdana" w:eastAsia="Calibri" w:hAnsi="Verdana" w:cs="Arial"/>
          <w:lang w:eastAsia="es-ES"/>
        </w:rPr>
        <w:t>Señora</w:t>
      </w:r>
    </w:p>
    <w:p w14:paraId="25664039" w14:textId="77777777" w:rsidR="00745FFE" w:rsidRPr="00801462" w:rsidRDefault="00745FFE" w:rsidP="613A5EC2">
      <w:pPr>
        <w:spacing w:after="0" w:line="240" w:lineRule="auto"/>
        <w:jc w:val="both"/>
        <w:rPr>
          <w:rFonts w:ascii="Verdana" w:eastAsia="Calibri" w:hAnsi="Verdana" w:cs="Arial"/>
          <w:b/>
          <w:lang w:eastAsia="es-ES"/>
        </w:rPr>
      </w:pPr>
      <w:r w:rsidRPr="613A5EC2">
        <w:rPr>
          <w:rFonts w:ascii="Verdana" w:eastAsia="Calibri" w:hAnsi="Verdana" w:cs="Arial"/>
          <w:b/>
          <w:lang w:eastAsia="es-ES"/>
        </w:rPr>
        <w:t xml:space="preserve">Lady Beatriz Quevedo Cantor </w:t>
      </w:r>
    </w:p>
    <w:p w14:paraId="5EBA92F0" w14:textId="77777777" w:rsidR="00745FFE" w:rsidRPr="00801462" w:rsidRDefault="00745FFE" w:rsidP="613A5EC2">
      <w:pPr>
        <w:spacing w:after="0" w:line="240" w:lineRule="auto"/>
        <w:jc w:val="both"/>
        <w:rPr>
          <w:rFonts w:ascii="Verdana" w:eastAsia="Calibri" w:hAnsi="Verdana" w:cs="Arial"/>
          <w:lang w:eastAsia="es-ES"/>
        </w:rPr>
      </w:pPr>
      <w:r w:rsidRPr="613A5EC2">
        <w:rPr>
          <w:rFonts w:ascii="Verdana" w:eastAsia="Calibri" w:hAnsi="Verdana" w:cs="Arial"/>
          <w:lang w:eastAsia="es-ES"/>
        </w:rPr>
        <w:t xml:space="preserve">Coordinadora Grupo de Gestión para la Productividad y Competitividad </w:t>
      </w:r>
    </w:p>
    <w:p w14:paraId="36A3DEEC" w14:textId="77777777" w:rsidR="00745FFE" w:rsidRPr="00801462" w:rsidRDefault="00745FFE" w:rsidP="613A5EC2">
      <w:pPr>
        <w:spacing w:after="0" w:line="240" w:lineRule="auto"/>
        <w:jc w:val="both"/>
        <w:rPr>
          <w:rFonts w:ascii="Verdana" w:eastAsia="Calibri" w:hAnsi="Verdana" w:cs="Arial"/>
          <w:lang w:eastAsia="es-ES"/>
        </w:rPr>
      </w:pPr>
      <w:r w:rsidRPr="613A5EC2">
        <w:rPr>
          <w:rFonts w:ascii="Verdana" w:eastAsia="Calibri" w:hAnsi="Verdana" w:cs="Arial"/>
          <w:lang w:eastAsia="es-ES"/>
        </w:rPr>
        <w:t xml:space="preserve">Dirección Sistema Nacional de Formación para el trabajo </w:t>
      </w:r>
    </w:p>
    <w:p w14:paraId="47ABE67D" w14:textId="77777777" w:rsidR="00745FFE" w:rsidRPr="00801462" w:rsidRDefault="00745FFE" w:rsidP="613A5EC2">
      <w:pPr>
        <w:spacing w:after="0" w:line="240" w:lineRule="auto"/>
        <w:jc w:val="both"/>
        <w:rPr>
          <w:rFonts w:ascii="Verdana" w:eastAsia="Calibri" w:hAnsi="Verdana" w:cs="Arial"/>
          <w:b/>
          <w:lang w:eastAsia="es-ES"/>
        </w:rPr>
      </w:pPr>
      <w:r w:rsidRPr="613A5EC2">
        <w:rPr>
          <w:rFonts w:ascii="Verdana" w:eastAsia="Calibri" w:hAnsi="Verdana" w:cs="Arial"/>
          <w:b/>
          <w:lang w:eastAsia="es-ES"/>
        </w:rPr>
        <w:t xml:space="preserve">SERVICIO NACIONAL DE APRENDIZAJE – SENA - </w:t>
      </w:r>
    </w:p>
    <w:p w14:paraId="28B632B0" w14:textId="77777777" w:rsidR="00745FFE" w:rsidRPr="00E144C5" w:rsidRDefault="00745FFE" w:rsidP="613A5EC2">
      <w:pPr>
        <w:spacing w:after="0" w:line="240" w:lineRule="auto"/>
        <w:jc w:val="both"/>
        <w:rPr>
          <w:rFonts w:ascii="Verdana" w:hAnsi="Verdana"/>
          <w:b/>
          <w:bCs/>
        </w:rPr>
      </w:pPr>
      <w:hyperlink r:id="rId13" w:history="1">
        <w:r w:rsidRPr="00E144C5">
          <w:rPr>
            <w:rStyle w:val="Hipervnculo"/>
            <w:rFonts w:ascii="Verdana" w:hAnsi="Verdana"/>
            <w:b/>
            <w:bCs/>
          </w:rPr>
          <w:t>grupoadmondocumentos@sena.edu.co</w:t>
        </w:r>
      </w:hyperlink>
    </w:p>
    <w:p w14:paraId="70C34547" w14:textId="77777777" w:rsidR="00745FFE" w:rsidRDefault="00745FFE" w:rsidP="613A5EC2">
      <w:pPr>
        <w:spacing w:after="0" w:line="240" w:lineRule="auto"/>
        <w:jc w:val="both"/>
        <w:rPr>
          <w:rFonts w:ascii="Verdana" w:hAnsi="Verdana"/>
        </w:rPr>
      </w:pPr>
      <w:r w:rsidRPr="008E4F36">
        <w:rPr>
          <w:rFonts w:ascii="Verdana" w:hAnsi="Verdana"/>
        </w:rPr>
        <w:t>Ciudad</w:t>
      </w:r>
    </w:p>
    <w:p w14:paraId="0E45AF9B" w14:textId="77777777" w:rsidR="00745FFE" w:rsidRPr="00801462" w:rsidRDefault="00745FFE" w:rsidP="613A5EC2">
      <w:pPr>
        <w:spacing w:after="0" w:line="240" w:lineRule="auto"/>
        <w:jc w:val="both"/>
        <w:rPr>
          <w:rFonts w:ascii="Verdana" w:eastAsia="Calibri" w:hAnsi="Verdana" w:cs="Arial"/>
          <w:b/>
          <w:color w:val="000000"/>
          <w:lang w:eastAsia="es-ES"/>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3119"/>
        <w:gridCol w:w="5670"/>
      </w:tblGrid>
      <w:tr w:rsidR="00745FFE" w:rsidRPr="008E4F36" w14:paraId="007F6986" w14:textId="77777777" w:rsidTr="00A72AB0">
        <w:trPr>
          <w:trHeight w:val="162"/>
        </w:trPr>
        <w:tc>
          <w:tcPr>
            <w:tcW w:w="3119" w:type="dxa"/>
          </w:tcPr>
          <w:p w14:paraId="226E75B2" w14:textId="77777777" w:rsidR="00745FFE" w:rsidRPr="008E4F36" w:rsidRDefault="00745FFE" w:rsidP="00A72AB0">
            <w:pPr>
              <w:jc w:val="both"/>
              <w:rPr>
                <w:rFonts w:ascii="Verdana" w:eastAsia="Calibri" w:hAnsi="Verdana" w:cs="Arial"/>
                <w:b/>
                <w:bCs/>
                <w:color w:val="7030A0"/>
                <w:lang w:eastAsia="es-ES_tradnl"/>
              </w:rPr>
            </w:pPr>
          </w:p>
        </w:tc>
        <w:tc>
          <w:tcPr>
            <w:tcW w:w="5670" w:type="dxa"/>
          </w:tcPr>
          <w:p w14:paraId="02A603D6" w14:textId="77777777" w:rsidR="00745FFE" w:rsidRPr="008E4F36" w:rsidRDefault="00745FFE" w:rsidP="613A5EC2">
            <w:pPr>
              <w:jc w:val="both"/>
              <w:rPr>
                <w:rFonts w:ascii="Verdana" w:eastAsia="Calibri" w:hAnsi="Verdana" w:cs="Arial"/>
                <w:b/>
                <w:bCs/>
                <w:lang w:eastAsia="es-ES"/>
              </w:rPr>
            </w:pPr>
            <w:r w:rsidRPr="008E4F36">
              <w:rPr>
                <w:rFonts w:ascii="Verdana" w:eastAsia="Calibri" w:hAnsi="Verdana" w:cs="Arial"/>
                <w:b/>
                <w:bCs/>
                <w:lang w:eastAsia="es-ES"/>
              </w:rPr>
              <w:t>Concepto C- 7</w:t>
            </w:r>
            <w:r>
              <w:rPr>
                <w:rFonts w:ascii="Verdana" w:eastAsia="Calibri" w:hAnsi="Verdana" w:cs="Arial"/>
                <w:b/>
                <w:bCs/>
                <w:lang w:eastAsia="es-ES"/>
              </w:rPr>
              <w:t>44</w:t>
            </w:r>
            <w:r w:rsidRPr="008E4F36">
              <w:rPr>
                <w:rFonts w:ascii="Verdana" w:eastAsia="Calibri" w:hAnsi="Verdana" w:cs="Arial"/>
                <w:b/>
                <w:bCs/>
                <w:lang w:eastAsia="es-ES"/>
              </w:rPr>
              <w:t xml:space="preserve"> de 2025</w:t>
            </w:r>
          </w:p>
          <w:p w14:paraId="35EDD7DF" w14:textId="77777777" w:rsidR="00745FFE" w:rsidRPr="008E4F36" w:rsidRDefault="00745FFE" w:rsidP="00A72AB0">
            <w:pPr>
              <w:jc w:val="both"/>
              <w:rPr>
                <w:rFonts w:ascii="Verdana" w:eastAsia="Calibri" w:hAnsi="Verdana" w:cs="Arial"/>
                <w:b/>
                <w:bCs/>
                <w:color w:val="7030A0"/>
                <w:lang w:eastAsia="es-ES"/>
              </w:rPr>
            </w:pPr>
          </w:p>
        </w:tc>
      </w:tr>
      <w:tr w:rsidR="00745FFE" w:rsidRPr="008E4F36" w14:paraId="6D6C36AC" w14:textId="77777777" w:rsidTr="00A72AB0">
        <w:trPr>
          <w:trHeight w:val="884"/>
        </w:trPr>
        <w:tc>
          <w:tcPr>
            <w:tcW w:w="3119" w:type="dxa"/>
          </w:tcPr>
          <w:p w14:paraId="32FFE630" w14:textId="77777777" w:rsidR="00745FFE" w:rsidRPr="008E4F36" w:rsidRDefault="00745FFE" w:rsidP="00A72AB0">
            <w:pPr>
              <w:jc w:val="both"/>
              <w:rPr>
                <w:rFonts w:ascii="Verdana" w:eastAsia="Calibri" w:hAnsi="Verdana" w:cs="Arial"/>
                <w:color w:val="000000"/>
                <w:lang w:eastAsia="es-ES_tradnl"/>
              </w:rPr>
            </w:pPr>
            <w:r w:rsidRPr="008E4F36">
              <w:rPr>
                <w:rFonts w:ascii="Verdana" w:eastAsia="Calibri" w:hAnsi="Verdana" w:cs="Arial"/>
                <w:b/>
                <w:color w:val="000000"/>
                <w:lang w:eastAsia="es-ES_tradnl"/>
              </w:rPr>
              <w:t>Temas:</w:t>
            </w:r>
            <w:r w:rsidRPr="008E4F36">
              <w:rPr>
                <w:rFonts w:ascii="Verdana" w:eastAsia="Calibri" w:hAnsi="Verdana" w:cs="Arial"/>
                <w:color w:val="000000"/>
                <w:lang w:eastAsia="es-ES_tradnl"/>
              </w:rPr>
              <w:t xml:space="preserve">                   </w:t>
            </w:r>
          </w:p>
        </w:tc>
        <w:tc>
          <w:tcPr>
            <w:tcW w:w="5670" w:type="dxa"/>
          </w:tcPr>
          <w:p w14:paraId="1E2E953C" w14:textId="77777777" w:rsidR="00745FFE" w:rsidRPr="00801462" w:rsidRDefault="00745FFE" w:rsidP="613A5EC2">
            <w:pPr>
              <w:jc w:val="both"/>
              <w:rPr>
                <w:rFonts w:ascii="Verdana" w:eastAsia="Calibri" w:hAnsi="Verdana" w:cs="Arial"/>
                <w:lang w:val="es-ES"/>
              </w:rPr>
            </w:pPr>
            <w:r w:rsidRPr="613A5EC2">
              <w:rPr>
                <w:rFonts w:ascii="Verdana" w:eastAsia="Times New Roman" w:hAnsi="Verdana" w:cs="Arial"/>
                <w:lang w:val="es-ES" w:eastAsia="es-ES"/>
              </w:rPr>
              <w:t xml:space="preserve">CONTRATO – Definición / CONTRATO ESTATAL – Definición / ENTIDADES SOMETIDAS AL EGCAP – Ley 80 de 1993 / </w:t>
            </w:r>
            <w:r w:rsidRPr="009E1037">
              <w:rPr>
                <w:rFonts w:ascii="Verdana" w:eastAsia="Calibri" w:hAnsi="Verdana" w:cs="Arial"/>
              </w:rPr>
              <w:t xml:space="preserve">PUBLICIDAD – Transparencia – </w:t>
            </w:r>
            <w:r>
              <w:rPr>
                <w:rFonts w:ascii="Verdana" w:eastAsia="Calibri" w:hAnsi="Verdana" w:cs="Arial"/>
              </w:rPr>
              <w:t xml:space="preserve">Ley 1150 de 2007 – Decreto 1082 de 2015 - </w:t>
            </w:r>
            <w:r w:rsidRPr="009E1037">
              <w:rPr>
                <w:rFonts w:ascii="Verdana" w:eastAsia="Calibri" w:hAnsi="Verdana" w:cs="Arial"/>
              </w:rPr>
              <w:t xml:space="preserve">Ley 1712 de 2014 </w:t>
            </w:r>
            <w:r w:rsidRPr="613A5EC2">
              <w:rPr>
                <w:rFonts w:ascii="Verdana" w:eastAsia="Calibri" w:hAnsi="Verdana" w:cs="Arial"/>
                <w:lang w:val="es-ES"/>
              </w:rPr>
              <w:t xml:space="preserve">/ DOCUMENTOS DEL PROCESO – Noción – Deber de publicación – DOCUMENTOS CONTRACTUALES – Deber de publicación </w:t>
            </w:r>
          </w:p>
          <w:p w14:paraId="7C1FDCF2" w14:textId="77777777" w:rsidR="00745FFE" w:rsidRPr="00801462" w:rsidRDefault="00745FFE" w:rsidP="613A5EC2">
            <w:pPr>
              <w:jc w:val="both"/>
              <w:rPr>
                <w:rFonts w:ascii="Verdana" w:eastAsia="Calibri" w:hAnsi="Verdana" w:cs="Arial"/>
                <w:lang w:val="es-ES" w:eastAsia="es-ES"/>
              </w:rPr>
            </w:pPr>
          </w:p>
        </w:tc>
      </w:tr>
      <w:tr w:rsidR="00745FFE" w:rsidRPr="008E4F36" w14:paraId="56F9080B" w14:textId="77777777" w:rsidTr="00A72AB0">
        <w:tc>
          <w:tcPr>
            <w:tcW w:w="3119" w:type="dxa"/>
          </w:tcPr>
          <w:p w14:paraId="6B7A455D" w14:textId="77777777" w:rsidR="00745FFE" w:rsidRPr="008E4F36" w:rsidRDefault="00745FFE" w:rsidP="00A72AB0">
            <w:pPr>
              <w:jc w:val="both"/>
              <w:rPr>
                <w:rFonts w:ascii="Verdana" w:eastAsia="Calibri" w:hAnsi="Verdana" w:cs="Arial"/>
                <w:b/>
                <w:lang w:eastAsia="es-ES_tradnl"/>
              </w:rPr>
            </w:pPr>
            <w:r w:rsidRPr="008E4F36">
              <w:rPr>
                <w:rFonts w:ascii="Verdana" w:eastAsia="Calibri" w:hAnsi="Verdana" w:cs="Arial"/>
                <w:b/>
                <w:lang w:eastAsia="es-ES_tradnl"/>
              </w:rPr>
              <w:t>Radicación:</w:t>
            </w:r>
            <w:r w:rsidRPr="008E4F36">
              <w:rPr>
                <w:rFonts w:ascii="Verdana" w:eastAsia="Calibri" w:hAnsi="Verdana" w:cs="Arial"/>
                <w:lang w:eastAsia="es-ES_tradnl"/>
              </w:rPr>
              <w:t xml:space="preserve">               </w:t>
            </w:r>
          </w:p>
        </w:tc>
        <w:tc>
          <w:tcPr>
            <w:tcW w:w="5670" w:type="dxa"/>
          </w:tcPr>
          <w:p w14:paraId="159D84B6" w14:textId="2B7A11D3" w:rsidR="00745FFE" w:rsidRPr="00801462" w:rsidRDefault="00745FFE" w:rsidP="00A72AB0">
            <w:pPr>
              <w:jc w:val="both"/>
              <w:rPr>
                <w:rFonts w:ascii="Verdana" w:eastAsia="Calibri" w:hAnsi="Verdana" w:cs="Arial"/>
                <w:lang w:eastAsia="es-ES"/>
              </w:rPr>
            </w:pPr>
            <w:r w:rsidRPr="613A5EC2">
              <w:rPr>
                <w:rFonts w:ascii="Verdana" w:eastAsia="Calibri" w:hAnsi="Verdana" w:cs="Arial"/>
                <w:lang w:eastAsia="es-ES"/>
              </w:rPr>
              <w:t>Respuesta a consulta con radicado 1_2025_06_11_005746 y 1_2025_06_11_005744 (acumuladas)</w:t>
            </w:r>
          </w:p>
        </w:tc>
      </w:tr>
    </w:tbl>
    <w:p w14:paraId="2AB6643D" w14:textId="77777777" w:rsidR="00745FFE" w:rsidRDefault="00745FFE" w:rsidP="00745FFE">
      <w:pPr>
        <w:spacing w:after="0" w:line="276" w:lineRule="auto"/>
        <w:jc w:val="both"/>
        <w:rPr>
          <w:rFonts w:ascii="Verdana" w:eastAsia="Calibri" w:hAnsi="Verdana" w:cs="Arial"/>
          <w:lang w:eastAsia="es-ES"/>
        </w:rPr>
      </w:pPr>
    </w:p>
    <w:p w14:paraId="3230549F" w14:textId="73258FD4" w:rsidR="00745FFE" w:rsidRPr="008E4F36" w:rsidRDefault="00745FFE" w:rsidP="00745FFE">
      <w:pPr>
        <w:spacing w:after="0" w:line="276" w:lineRule="auto"/>
        <w:jc w:val="both"/>
        <w:rPr>
          <w:rFonts w:ascii="Verdana" w:eastAsia="Calibri" w:hAnsi="Verdana" w:cs="Arial"/>
          <w:lang w:eastAsia="es-ES"/>
        </w:rPr>
      </w:pPr>
      <w:r w:rsidRPr="008E4F36">
        <w:rPr>
          <w:rFonts w:ascii="Verdana" w:eastAsia="Calibri" w:hAnsi="Verdana" w:cs="Arial"/>
          <w:lang w:eastAsia="es-ES"/>
        </w:rPr>
        <w:t xml:space="preserve">Estimada señora </w:t>
      </w:r>
      <w:r w:rsidR="00894A02" w:rsidRPr="613A5EC2">
        <w:rPr>
          <w:rFonts w:ascii="Verdana" w:eastAsia="Calibri" w:hAnsi="Verdana" w:cs="Arial"/>
          <w:lang w:eastAsia="es-ES"/>
        </w:rPr>
        <w:t>Quevedo Cantor</w:t>
      </w:r>
      <w:r w:rsidRPr="008E4F36">
        <w:rPr>
          <w:rFonts w:ascii="Verdana" w:eastAsia="Calibri" w:hAnsi="Verdana" w:cs="Arial"/>
          <w:lang w:eastAsia="es-ES"/>
        </w:rPr>
        <w:t xml:space="preserve">: </w:t>
      </w:r>
    </w:p>
    <w:p w14:paraId="032B3726" w14:textId="77777777" w:rsidR="00745FFE" w:rsidRPr="008E4F36" w:rsidRDefault="00745FFE" w:rsidP="00745FFE">
      <w:pPr>
        <w:tabs>
          <w:tab w:val="left" w:pos="3768"/>
        </w:tabs>
        <w:spacing w:after="0" w:line="276" w:lineRule="auto"/>
        <w:jc w:val="both"/>
        <w:rPr>
          <w:rFonts w:ascii="Verdana" w:eastAsia="Calibri" w:hAnsi="Verdana" w:cs="Arial"/>
          <w:lang w:eastAsia="es-ES"/>
        </w:rPr>
      </w:pPr>
      <w:r w:rsidRPr="008E4F36">
        <w:rPr>
          <w:rFonts w:ascii="Verdana" w:eastAsia="Calibri" w:hAnsi="Verdana" w:cs="Arial"/>
          <w:lang w:eastAsia="es-ES"/>
        </w:rPr>
        <w:tab/>
      </w:r>
    </w:p>
    <w:p w14:paraId="2BEF690C" w14:textId="6D5AE4C4" w:rsidR="00745FFE" w:rsidRPr="008E4F36" w:rsidRDefault="00745FFE" w:rsidP="00745FFE">
      <w:pPr>
        <w:spacing w:after="0" w:line="276" w:lineRule="auto"/>
        <w:jc w:val="both"/>
        <w:rPr>
          <w:rFonts w:ascii="Verdana" w:eastAsia="Calibri" w:hAnsi="Verdana" w:cs="Arial"/>
          <w:lang w:eastAsia="es-ES"/>
        </w:rPr>
      </w:pPr>
      <w:r w:rsidRPr="008E4F36">
        <w:rPr>
          <w:rFonts w:ascii="Verdana" w:eastAsia="Calibri" w:hAnsi="Verdana" w:cs="Arial"/>
          <w:color w:val="000000" w:themeColor="text1"/>
          <w:lang w:eastAsia="es-ES"/>
        </w:rPr>
        <w:t>En ejercicio de la competencia otorgada por los artículos 3, numeral 5º, y 11, numeral 8º, del Decreto Ley 4170 de 2011,</w:t>
      </w:r>
      <w:r w:rsidRPr="008E4F36">
        <w:rPr>
          <w:rFonts w:ascii="Verdana" w:eastAsia="Arial MT" w:hAnsi="Verdana" w:cs="Arial MT"/>
          <w:lang w:eastAsia="es-ES"/>
        </w:rPr>
        <w:t xml:space="preserve"> </w:t>
      </w:r>
      <w:r w:rsidRPr="008E4F36">
        <w:rPr>
          <w:rFonts w:ascii="Verdana" w:hAnsi="Verdana" w:cs="Arial"/>
        </w:rPr>
        <w:t xml:space="preserve">así como lo establecido en el artículo 4 de la Resolución 1707 de 2018 expedida por esta Entidad, </w:t>
      </w:r>
      <w:r w:rsidRPr="008E4F36">
        <w:rPr>
          <w:rFonts w:ascii="Verdana" w:eastAsia="Calibri" w:hAnsi="Verdana" w:cs="Arial"/>
          <w:color w:val="000000" w:themeColor="text1"/>
          <w:lang w:eastAsia="es-ES"/>
        </w:rPr>
        <w:t xml:space="preserve">la Agencia Nacional de Contratación </w:t>
      </w:r>
      <w:r w:rsidRPr="008E4F36">
        <w:rPr>
          <w:rFonts w:ascii="Verdana" w:eastAsia="Calibri" w:hAnsi="Verdana" w:cs="Arial"/>
          <w:lang w:eastAsia="es-ES"/>
        </w:rPr>
        <w:t xml:space="preserve">Pública – Colombia Compra Eficiente– responde su solicitud de consulta de fecha </w:t>
      </w:r>
      <w:r w:rsidR="002A3BAB" w:rsidRPr="613A5EC2">
        <w:rPr>
          <w:rFonts w:ascii="Verdana" w:eastAsia="Calibri" w:hAnsi="Verdana" w:cs="Arial"/>
          <w:lang w:eastAsia="es-ES"/>
        </w:rPr>
        <w:t>10</w:t>
      </w:r>
      <w:r w:rsidRPr="008E4F36">
        <w:rPr>
          <w:rFonts w:ascii="Verdana" w:eastAsia="Calibri" w:hAnsi="Verdana" w:cs="Arial"/>
          <w:lang w:eastAsia="es-ES"/>
        </w:rPr>
        <w:t xml:space="preserve"> de junio de 2025, en la cual manifiesta lo siguiente: </w:t>
      </w:r>
    </w:p>
    <w:p w14:paraId="1A9DCCB4" w14:textId="77777777" w:rsidR="00745FFE" w:rsidRPr="008E4F36" w:rsidRDefault="00745FFE" w:rsidP="00745FFE">
      <w:pPr>
        <w:pStyle w:val="Prrafodelista"/>
        <w:tabs>
          <w:tab w:val="left" w:pos="142"/>
          <w:tab w:val="left" w:pos="284"/>
        </w:tabs>
        <w:spacing w:after="0" w:line="276" w:lineRule="auto"/>
        <w:ind w:left="142"/>
        <w:contextualSpacing w:val="0"/>
        <w:jc w:val="both"/>
        <w:rPr>
          <w:rFonts w:ascii="Verdana" w:eastAsia="Century Gothic" w:hAnsi="Verdana" w:cs="Century Gothic"/>
          <w:b/>
          <w:bCs/>
          <w:i/>
          <w:iCs/>
          <w:sz w:val="20"/>
          <w:szCs w:val="20"/>
        </w:rPr>
      </w:pPr>
    </w:p>
    <w:p w14:paraId="75BD7D06" w14:textId="097E37FE" w:rsidR="00745FFE" w:rsidRDefault="00745FFE" w:rsidP="00BE423F">
      <w:pPr>
        <w:spacing w:after="0" w:line="240" w:lineRule="auto"/>
        <w:ind w:left="709" w:right="709"/>
        <w:jc w:val="both"/>
        <w:rPr>
          <w:rFonts w:ascii="Verdana" w:eastAsia="Century Gothic" w:hAnsi="Verdana" w:cs="Century Gothic"/>
          <w:sz w:val="20"/>
          <w:szCs w:val="20"/>
        </w:rPr>
      </w:pPr>
      <w:bookmarkStart w:id="5" w:name="_Hlk192699624"/>
      <w:bookmarkStart w:id="6" w:name="_Hlk199394899"/>
      <w:r>
        <w:rPr>
          <w:rFonts w:ascii="Verdana" w:eastAsia="Century Gothic" w:hAnsi="Verdana" w:cs="Century Gothic"/>
          <w:sz w:val="20"/>
          <w:szCs w:val="20"/>
        </w:rPr>
        <w:t xml:space="preserve">“(…) Contexto previo a la solicitud: </w:t>
      </w:r>
    </w:p>
    <w:p w14:paraId="01724C17" w14:textId="77777777" w:rsidR="00745FFE" w:rsidRDefault="00745FFE" w:rsidP="00745FFE">
      <w:pPr>
        <w:spacing w:after="0" w:line="240" w:lineRule="auto"/>
        <w:ind w:left="709" w:right="709"/>
        <w:jc w:val="both"/>
        <w:rPr>
          <w:rFonts w:ascii="Verdana" w:eastAsia="Century Gothic" w:hAnsi="Verdana" w:cs="Century Gothic"/>
          <w:sz w:val="20"/>
          <w:szCs w:val="20"/>
        </w:rPr>
      </w:pPr>
      <w:r>
        <w:rPr>
          <w:rFonts w:ascii="Verdana" w:eastAsia="Century Gothic" w:hAnsi="Verdana" w:cs="Century Gothic"/>
          <w:sz w:val="20"/>
          <w:szCs w:val="20"/>
        </w:rPr>
        <w:lastRenderedPageBreak/>
        <w:t xml:space="preserve">Que el Servicio Nacional de Aprendizaje – SENA- cumple la función que le corresponde al estado de invertir en el desarrollo social y técnico de los trabajadores colombianos, ofreciendo y ejecutando la formación profesional integral para la incorporación de las personas en actividades productivas que contribuyan al crecimiento social, económico y tecnológico del país. </w:t>
      </w:r>
    </w:p>
    <w:p w14:paraId="18DDBA0B" w14:textId="77777777" w:rsidR="00745FFE" w:rsidRDefault="00745FFE" w:rsidP="00745FFE">
      <w:pPr>
        <w:spacing w:after="0" w:line="240" w:lineRule="auto"/>
        <w:ind w:left="709" w:right="709"/>
        <w:jc w:val="both"/>
        <w:rPr>
          <w:rFonts w:ascii="Verdana" w:eastAsia="Century Gothic" w:hAnsi="Verdana" w:cs="Century Gothic"/>
          <w:sz w:val="20"/>
          <w:szCs w:val="20"/>
        </w:rPr>
      </w:pPr>
      <w:r w:rsidRPr="00812DFB">
        <w:rPr>
          <w:rFonts w:ascii="Verdana" w:eastAsia="Century Gothic" w:hAnsi="Verdana" w:cs="Century Gothic"/>
          <w:sz w:val="20"/>
          <w:szCs w:val="20"/>
        </w:rPr>
        <w:t>Que teniendo en cuenta lo anterior, el SENA cuenta con la oferta institucional denominada Formación Continua Especializada, por medio del cual empresas; gremios; federaciones gremiales; sindicatos; asociaciones representativas: de empresas, trabajadores, campesinos o de centrales obreras legalmente constituidas(os), que sean aportantes de parafiscales al SENA, presentan proyectos de formación especializada elaborados a la medida de sus necesidades, para ser cofinanciados por la Entidad mediante convenios especiales de cooperación.</w:t>
      </w:r>
    </w:p>
    <w:p w14:paraId="0D36E781" w14:textId="77777777" w:rsidR="00745FFE" w:rsidRDefault="00745FFE" w:rsidP="00745FFE">
      <w:pPr>
        <w:spacing w:after="0" w:line="240" w:lineRule="auto"/>
        <w:ind w:left="709" w:right="709"/>
        <w:jc w:val="both"/>
        <w:rPr>
          <w:rFonts w:ascii="Verdana" w:eastAsia="Century Gothic" w:hAnsi="Verdana" w:cs="Century Gothic"/>
          <w:sz w:val="20"/>
          <w:szCs w:val="20"/>
        </w:rPr>
      </w:pPr>
      <w:r w:rsidRPr="00812DFB">
        <w:rPr>
          <w:rFonts w:ascii="Verdana" w:eastAsia="Century Gothic" w:hAnsi="Verdana" w:cs="Century Gothic"/>
          <w:sz w:val="20"/>
          <w:szCs w:val="20"/>
        </w:rPr>
        <w:br/>
        <w:t>Que ahora bien, en el marco del Programa de Formación Continua Especializada, se suscriben convenios especiales de cooperación en atención a lo señalado en el artículo 28 del Decreto 585 de 1991, los cuales se encuentran regidos específicamente por los Decretos 393 y 591 de 1991.</w:t>
      </w:r>
      <w:r w:rsidRPr="00812DFB">
        <w:rPr>
          <w:rFonts w:ascii="Verdana" w:eastAsia="Century Gothic" w:hAnsi="Verdana" w:cs="Century Gothic"/>
          <w:sz w:val="20"/>
          <w:szCs w:val="20"/>
        </w:rPr>
        <w:br/>
      </w:r>
      <w:r w:rsidRPr="00812DFB">
        <w:rPr>
          <w:rFonts w:ascii="Verdana" w:eastAsia="Century Gothic" w:hAnsi="Verdana" w:cs="Century Gothic"/>
          <w:sz w:val="20"/>
          <w:szCs w:val="20"/>
        </w:rPr>
        <w:br/>
        <w:t>Que de igual manera, el SENA oferta el Programa Formación Especializada para la Economía Campesina - FEEC por medio del cual se suscriben convenios de asociación para la ejecución de formación a la medida de las necesidades del sector campesino. Estos convenios se encuentran regulados por el artículo 355 de la Constitución Política de Colombia, el artículo 96 de la Ley 489 de 1998 y el Decreto 092 de 2017.</w:t>
      </w:r>
      <w:r w:rsidRPr="00812DFB">
        <w:rPr>
          <w:rFonts w:ascii="Verdana" w:eastAsia="Century Gothic" w:hAnsi="Verdana" w:cs="Century Gothic"/>
          <w:sz w:val="20"/>
          <w:szCs w:val="20"/>
        </w:rPr>
        <w:br/>
      </w:r>
      <w:r w:rsidRPr="00812DFB">
        <w:rPr>
          <w:rFonts w:ascii="Verdana" w:eastAsia="Century Gothic" w:hAnsi="Verdana" w:cs="Century Gothic"/>
          <w:sz w:val="20"/>
          <w:szCs w:val="20"/>
        </w:rPr>
        <w:br/>
      </w:r>
      <w:proofErr w:type="gramStart"/>
      <w:r w:rsidRPr="00812DFB">
        <w:rPr>
          <w:rFonts w:ascii="Verdana" w:eastAsia="Century Gothic" w:hAnsi="Verdana" w:cs="Century Gothic"/>
          <w:sz w:val="20"/>
          <w:szCs w:val="20"/>
        </w:rPr>
        <w:t>Que</w:t>
      </w:r>
      <w:proofErr w:type="gramEnd"/>
      <w:r w:rsidRPr="00812DFB">
        <w:rPr>
          <w:rFonts w:ascii="Verdana" w:eastAsia="Century Gothic" w:hAnsi="Verdana" w:cs="Century Gothic"/>
          <w:sz w:val="20"/>
          <w:szCs w:val="20"/>
        </w:rPr>
        <w:t xml:space="preserve"> de otra parte, la Ley 80 de 1993, “Por la cual se expide el estatuto general de contratación de la administración pública” en su artículo 24, establece </w:t>
      </w:r>
      <w:proofErr w:type="gramStart"/>
      <w:r w:rsidRPr="00812DFB">
        <w:rPr>
          <w:rFonts w:ascii="Verdana" w:eastAsia="Century Gothic" w:hAnsi="Verdana" w:cs="Century Gothic"/>
          <w:sz w:val="20"/>
          <w:szCs w:val="20"/>
        </w:rPr>
        <w:t>que</w:t>
      </w:r>
      <w:proofErr w:type="gramEnd"/>
      <w:r w:rsidRPr="00812DFB">
        <w:rPr>
          <w:rFonts w:ascii="Verdana" w:eastAsia="Century Gothic" w:hAnsi="Verdana" w:cs="Century Gothic"/>
          <w:sz w:val="20"/>
          <w:szCs w:val="20"/>
        </w:rPr>
        <w:t xml:space="preserve"> en virtud del principio de transparencia, entre otras cosas “3. Las actuaciones de las autoridades serán públicas y los expedientes que las contengan estarán abiertos al público (…)”.</w:t>
      </w:r>
    </w:p>
    <w:p w14:paraId="0E5C04FD" w14:textId="77777777" w:rsidR="00745FFE" w:rsidRDefault="00745FFE" w:rsidP="00745FFE">
      <w:pPr>
        <w:spacing w:after="0" w:line="240" w:lineRule="auto"/>
        <w:ind w:left="709" w:right="709"/>
        <w:jc w:val="both"/>
        <w:rPr>
          <w:rFonts w:ascii="Verdana" w:eastAsia="Century Gothic" w:hAnsi="Verdana" w:cs="Century Gothic"/>
          <w:sz w:val="20"/>
          <w:szCs w:val="20"/>
        </w:rPr>
      </w:pPr>
      <w:r w:rsidRPr="00812DFB">
        <w:rPr>
          <w:rFonts w:ascii="Verdana" w:eastAsia="Century Gothic" w:hAnsi="Verdana" w:cs="Century Gothic"/>
          <w:sz w:val="20"/>
          <w:szCs w:val="20"/>
        </w:rPr>
        <w:br/>
      </w:r>
      <w:proofErr w:type="gramStart"/>
      <w:r w:rsidRPr="00812DFB">
        <w:rPr>
          <w:rFonts w:ascii="Verdana" w:eastAsia="Century Gothic" w:hAnsi="Verdana" w:cs="Century Gothic"/>
          <w:sz w:val="20"/>
          <w:szCs w:val="20"/>
        </w:rPr>
        <w:t>Que</w:t>
      </w:r>
      <w:proofErr w:type="gramEnd"/>
      <w:r w:rsidRPr="00812DFB">
        <w:rPr>
          <w:rFonts w:ascii="Verdana" w:eastAsia="Century Gothic" w:hAnsi="Verdana" w:cs="Century Gothic"/>
          <w:sz w:val="20"/>
          <w:szCs w:val="20"/>
        </w:rPr>
        <w:t xml:space="preserve"> a su vez, la Ley 1150 de 2007 “por medio de la cual se introducen medidas para la eficiencia y la transparencia en la Ley 80 de 1993 y se dictan otras disposiciones generales sobre la contratación con Recursos Públicos” dispone: “Artículo 2. De las modalidades de selección. // (…) PARÁGRAFO 2. El procedimiento aplicable para la ejecución de cada una de las causales a que se refiere el numeral 2o del presente artículo, deberá observar los principios de transparencia, economía, responsabilidad y las siguientes reglas: // 1. Se dará publicidad a todos los procedimientos y actos. (…)”.</w:t>
      </w:r>
      <w:r w:rsidRPr="00812DFB">
        <w:rPr>
          <w:rFonts w:ascii="Verdana" w:eastAsia="Century Gothic" w:hAnsi="Verdana" w:cs="Century Gothic"/>
          <w:sz w:val="20"/>
          <w:szCs w:val="20"/>
        </w:rPr>
        <w:br/>
      </w:r>
      <w:r w:rsidRPr="00812DFB">
        <w:rPr>
          <w:rFonts w:ascii="Verdana" w:eastAsia="Century Gothic" w:hAnsi="Verdana" w:cs="Century Gothic"/>
          <w:sz w:val="20"/>
          <w:szCs w:val="20"/>
        </w:rPr>
        <w:br/>
      </w:r>
      <w:proofErr w:type="gramStart"/>
      <w:r w:rsidRPr="00812DFB">
        <w:rPr>
          <w:rFonts w:ascii="Verdana" w:eastAsia="Century Gothic" w:hAnsi="Verdana" w:cs="Century Gothic"/>
          <w:sz w:val="20"/>
          <w:szCs w:val="20"/>
        </w:rPr>
        <w:t>Que</w:t>
      </w:r>
      <w:proofErr w:type="gramEnd"/>
      <w:r w:rsidRPr="00812DFB">
        <w:rPr>
          <w:rFonts w:ascii="Verdana" w:eastAsia="Century Gothic" w:hAnsi="Verdana" w:cs="Century Gothic"/>
          <w:sz w:val="20"/>
          <w:szCs w:val="20"/>
        </w:rPr>
        <w:t xml:space="preserve"> de igual manera, el Decreto 1082 de 2015 “por medio del cual se expide el Decreto Único Reglamentario del sector Administrativo de Planeación Nacional” sobre </w:t>
      </w:r>
      <w:proofErr w:type="gramStart"/>
      <w:r w:rsidRPr="00812DFB">
        <w:rPr>
          <w:rFonts w:ascii="Verdana" w:eastAsia="Century Gothic" w:hAnsi="Verdana" w:cs="Century Gothic"/>
          <w:sz w:val="20"/>
          <w:szCs w:val="20"/>
        </w:rPr>
        <w:t>el particular señala</w:t>
      </w:r>
      <w:proofErr w:type="gramEnd"/>
      <w:r w:rsidRPr="00812DFB">
        <w:rPr>
          <w:rFonts w:ascii="Verdana" w:eastAsia="Century Gothic" w:hAnsi="Verdana" w:cs="Century Gothic"/>
          <w:sz w:val="20"/>
          <w:szCs w:val="20"/>
        </w:rPr>
        <w:t xml:space="preserve">: “Artículo 2.2.1.1.1.7.1. </w:t>
      </w:r>
      <w:r w:rsidRPr="00812DFB">
        <w:rPr>
          <w:rFonts w:ascii="Verdana" w:eastAsia="Century Gothic" w:hAnsi="Verdana" w:cs="Century Gothic"/>
          <w:sz w:val="20"/>
          <w:szCs w:val="20"/>
        </w:rPr>
        <w:lastRenderedPageBreak/>
        <w:t xml:space="preserve">Publicidad en el SECOP. La Entidad Estatal está obligada a publicar en el </w:t>
      </w:r>
      <w:proofErr w:type="spellStart"/>
      <w:r w:rsidRPr="00812DFB">
        <w:rPr>
          <w:rFonts w:ascii="Verdana" w:eastAsia="Century Gothic" w:hAnsi="Verdana" w:cs="Century Gothic"/>
          <w:sz w:val="20"/>
          <w:szCs w:val="20"/>
        </w:rPr>
        <w:t>Secop</w:t>
      </w:r>
      <w:proofErr w:type="spellEnd"/>
      <w:r w:rsidRPr="00812DFB">
        <w:rPr>
          <w:rFonts w:ascii="Verdana" w:eastAsia="Century Gothic" w:hAnsi="Verdana" w:cs="Century Gothic"/>
          <w:sz w:val="20"/>
          <w:szCs w:val="20"/>
        </w:rPr>
        <w:t xml:space="preserve"> los Documentos del Proceso y los actos administrativos del Proceso de Contratación, dentro de los tres (3) días siguientes a su expedición”</w:t>
      </w:r>
      <w:r w:rsidRPr="00812DFB">
        <w:rPr>
          <w:rFonts w:ascii="Verdana" w:eastAsia="Century Gothic" w:hAnsi="Verdana" w:cs="Century Gothic"/>
          <w:sz w:val="20"/>
          <w:szCs w:val="20"/>
        </w:rPr>
        <w:br/>
      </w:r>
      <w:r w:rsidRPr="00812DFB">
        <w:rPr>
          <w:rFonts w:ascii="Verdana" w:eastAsia="Century Gothic" w:hAnsi="Verdana" w:cs="Century Gothic"/>
          <w:sz w:val="20"/>
          <w:szCs w:val="20"/>
        </w:rPr>
        <w:br/>
        <w:t xml:space="preserve">Que específicamente para los convenios de asociación, el Decreto 092 de 2017 en su artículo 7 indica: “ARTÍCULO 7º. Aplicación de los principios de la contratación estatal. La contratación a la que hace referencia el presente decreto está sujeta a los principios de la contratación estatal y a las normas presupuestales aplicables. En consecuencia, las normas relativas a la publicidad son de obligatorio cumplimiento, por lo cual, la actividad contractual y los Documentos del Proceso de </w:t>
      </w:r>
      <w:proofErr w:type="spellStart"/>
      <w:r w:rsidRPr="00812DFB">
        <w:rPr>
          <w:rFonts w:ascii="Verdana" w:eastAsia="Century Gothic" w:hAnsi="Verdana" w:cs="Century Gothic"/>
          <w:sz w:val="20"/>
          <w:szCs w:val="20"/>
        </w:rPr>
        <w:t>que</w:t>
      </w:r>
      <w:proofErr w:type="spellEnd"/>
      <w:r w:rsidRPr="00812DFB">
        <w:rPr>
          <w:rFonts w:ascii="Verdana" w:eastAsia="Century Gothic" w:hAnsi="Verdana" w:cs="Century Gothic"/>
          <w:sz w:val="20"/>
          <w:szCs w:val="20"/>
        </w:rPr>
        <w:t xml:space="preserve"> trata el presente decreto deberán ser objeto de publicación en el Sistema Electrónico de Contratación Pública (SECOP). Adicionalmente, la entidad privada sin ánimo de lucro contratista deberá entregar a la Entidad Estatal, y ésta publicar en el SECOP, la información relativa a los subcontratos que suscriba para desarrollar el programa o actividad de interés público previsto en el Plan Nacional o seccional de Desarrollo, incluyendo los datos referentes a la existencia y representación legal de la entidad con quien contrató y la información de pagos”</w:t>
      </w:r>
      <w:r>
        <w:rPr>
          <w:rFonts w:ascii="Verdana" w:eastAsia="Century Gothic" w:hAnsi="Verdana" w:cs="Century Gothic"/>
          <w:sz w:val="20"/>
          <w:szCs w:val="20"/>
        </w:rPr>
        <w:t>.</w:t>
      </w:r>
    </w:p>
    <w:p w14:paraId="7B3813D1" w14:textId="77777777" w:rsidR="00745FFE" w:rsidRDefault="00745FFE" w:rsidP="00745FFE">
      <w:pPr>
        <w:spacing w:after="0" w:line="240" w:lineRule="auto"/>
        <w:ind w:left="709" w:right="709"/>
        <w:jc w:val="both"/>
        <w:rPr>
          <w:rFonts w:ascii="Verdana" w:eastAsia="Century Gothic" w:hAnsi="Verdana" w:cs="Century Gothic"/>
          <w:sz w:val="20"/>
          <w:szCs w:val="20"/>
        </w:rPr>
      </w:pPr>
      <w:r w:rsidRPr="00812DFB">
        <w:rPr>
          <w:rFonts w:ascii="Verdana" w:eastAsia="Century Gothic" w:hAnsi="Verdana" w:cs="Century Gothic"/>
          <w:sz w:val="20"/>
          <w:szCs w:val="20"/>
        </w:rPr>
        <w:br/>
        <w:t xml:space="preserve">Que la Ley 2195 de 2022 “Por medio de la cual se adoptan medidas en materia de transparencia, prevención y lucha contra la corrupción y se dictan otras disposiciones”, en su artículo 53 establece que: “ARTÍCULO 53. Adiciónese los siguientes incisos al Artículo 13 de la Ley 1150 de 2007, el cual quedará así: // Artículo 13. PRINCIPIOS GENERALES DE LA ACTIVIDAD CONTRACTUAL PARA ENTIDADES NO SOMETIDAS AL ESTATUTO GENERAL DE CONTRATACIÓN DE LA ADMINISTRACIÓN PUBLICA. Las entidades estatales que por disposición legal cuenten con un régimen contractual excepcional al del Estatuto General de Contratación de la Administración Pública, aplicaran en desarrollo de su actividad contractual, acorde con su régimen legal especial, los principios de la función administrativa y de la gestión fiscal de que tratan los Artículos 209 y 267 de la Constitución Política, respectivamente según sea el caso y estarán sometidas al régimen de inhabilidades e incompatibilidades previsto legalmente para la contratación estatal. // En desarrollo de los anteriores principios, deberán publicar los documentos relacionados con su actividad contractual en el Sistema Electrónico para la Contratación Pública -SECOP II- o la plataforma transaccional que haga sus veces. Para los efectos de este Artículo, se entiende por actividad contractual los documentos, contratos, actos e información generada por oferentes, contratista, contratante, supervisor o interventor, tanto en la etapa precontractual, como en la contractual y la </w:t>
      </w:r>
      <w:proofErr w:type="spellStart"/>
      <w:r w:rsidRPr="00812DFB">
        <w:rPr>
          <w:rFonts w:ascii="Verdana" w:eastAsia="Century Gothic" w:hAnsi="Verdana" w:cs="Century Gothic"/>
          <w:sz w:val="20"/>
          <w:szCs w:val="20"/>
        </w:rPr>
        <w:t>postcontractual</w:t>
      </w:r>
      <w:proofErr w:type="spellEnd"/>
      <w:r w:rsidRPr="00812DFB">
        <w:rPr>
          <w:rFonts w:ascii="Verdana" w:eastAsia="Century Gothic" w:hAnsi="Verdana" w:cs="Century Gothic"/>
          <w:sz w:val="20"/>
          <w:szCs w:val="20"/>
        </w:rPr>
        <w:t>.”</w:t>
      </w:r>
    </w:p>
    <w:p w14:paraId="315D406F" w14:textId="77777777" w:rsidR="00745FFE" w:rsidRDefault="00745FFE" w:rsidP="00745FFE">
      <w:pPr>
        <w:spacing w:after="0" w:line="240" w:lineRule="auto"/>
        <w:ind w:left="709" w:right="709"/>
        <w:jc w:val="both"/>
        <w:rPr>
          <w:rFonts w:ascii="Verdana" w:eastAsia="Century Gothic" w:hAnsi="Verdana" w:cs="Century Gothic"/>
          <w:sz w:val="20"/>
          <w:szCs w:val="20"/>
        </w:rPr>
      </w:pPr>
      <w:r w:rsidRPr="00812DFB">
        <w:rPr>
          <w:rFonts w:ascii="Verdana" w:eastAsia="Century Gothic" w:hAnsi="Verdana" w:cs="Century Gothic"/>
          <w:sz w:val="20"/>
          <w:szCs w:val="20"/>
        </w:rPr>
        <w:br/>
        <w:t xml:space="preserve">Que finalmente, la Circular Externa No. 002 de 2024 expedida por la Agencia Nacional de Contratación Pública – Colombia Compra Eficiente dispone: “b) Documentos que deben ser publicados: En cuanto a los documentos que deben publicarse en el SECOP II, a efectos de cumplir el </w:t>
      </w:r>
      <w:r w:rsidRPr="00812DFB">
        <w:rPr>
          <w:rFonts w:ascii="Verdana" w:eastAsia="Century Gothic" w:hAnsi="Verdana" w:cs="Century Gothic"/>
          <w:sz w:val="20"/>
          <w:szCs w:val="20"/>
        </w:rPr>
        <w:lastRenderedPageBreak/>
        <w:t xml:space="preserve">mandato consagrado en el artículo 53 de la Ley 2195 de 2022, es preciso advertir que la disposición hace referencia a los documentos relacionados con su actividad contractual, la cual define como “[…] los documentos, contratos, actos e información generada por oferentes, contratista, contratante, supervisor o interventor, tanto en la etapa precontractual, como en la contractual y la </w:t>
      </w:r>
      <w:proofErr w:type="spellStart"/>
      <w:r w:rsidRPr="00812DFB">
        <w:rPr>
          <w:rFonts w:ascii="Verdana" w:eastAsia="Century Gothic" w:hAnsi="Verdana" w:cs="Century Gothic"/>
          <w:sz w:val="20"/>
          <w:szCs w:val="20"/>
        </w:rPr>
        <w:t>postcontractual</w:t>
      </w:r>
      <w:proofErr w:type="spellEnd"/>
      <w:r w:rsidRPr="00812DFB">
        <w:rPr>
          <w:rFonts w:ascii="Verdana" w:eastAsia="Century Gothic" w:hAnsi="Verdana" w:cs="Century Gothic"/>
          <w:sz w:val="20"/>
          <w:szCs w:val="20"/>
        </w:rPr>
        <w:t>”.</w:t>
      </w:r>
    </w:p>
    <w:p w14:paraId="617DBC29" w14:textId="77777777" w:rsidR="00745FFE" w:rsidRDefault="00745FFE" w:rsidP="00745FFE">
      <w:pPr>
        <w:spacing w:after="0" w:line="240" w:lineRule="auto"/>
        <w:ind w:left="709" w:right="709"/>
        <w:jc w:val="both"/>
        <w:rPr>
          <w:rFonts w:ascii="Verdana" w:eastAsia="Century Gothic" w:hAnsi="Verdana" w:cs="Century Gothic"/>
          <w:sz w:val="20"/>
          <w:szCs w:val="20"/>
        </w:rPr>
      </w:pPr>
      <w:r w:rsidRPr="00812DFB">
        <w:rPr>
          <w:rFonts w:ascii="Verdana" w:eastAsia="Century Gothic" w:hAnsi="Verdana" w:cs="Century Gothic"/>
          <w:sz w:val="20"/>
          <w:szCs w:val="20"/>
        </w:rPr>
        <w:t>Corolario de lo anterior, se formulan las siguientes consultas en el marco de los convenios especiales de cooperación y convenios de asociación, referidos:</w:t>
      </w:r>
    </w:p>
    <w:p w14:paraId="2FA868EE" w14:textId="77777777" w:rsidR="00745FFE" w:rsidRDefault="00745FFE" w:rsidP="00745FFE">
      <w:pPr>
        <w:spacing w:after="0" w:line="240" w:lineRule="auto"/>
        <w:ind w:left="709" w:right="709"/>
        <w:jc w:val="both"/>
        <w:rPr>
          <w:rFonts w:ascii="Verdana" w:eastAsia="Century Gothic" w:hAnsi="Verdana" w:cs="Century Gothic"/>
          <w:sz w:val="20"/>
          <w:szCs w:val="20"/>
        </w:rPr>
      </w:pPr>
    </w:p>
    <w:p w14:paraId="6ACE4BD9" w14:textId="77777777" w:rsidR="00745FFE" w:rsidRPr="008E4F36" w:rsidRDefault="00745FFE" w:rsidP="00745FFE">
      <w:pPr>
        <w:spacing w:after="0" w:line="240" w:lineRule="auto"/>
        <w:ind w:left="709" w:right="709"/>
        <w:jc w:val="both"/>
        <w:rPr>
          <w:rFonts w:ascii="Verdana" w:eastAsia="Century Gothic" w:hAnsi="Verdana" w:cs="Century Gothic"/>
          <w:sz w:val="20"/>
          <w:szCs w:val="20"/>
        </w:rPr>
      </w:pPr>
      <w:r w:rsidRPr="008E4F36">
        <w:rPr>
          <w:rFonts w:ascii="Verdana" w:eastAsia="Century Gothic" w:hAnsi="Verdana" w:cs="Century Gothic"/>
          <w:sz w:val="20"/>
          <w:szCs w:val="20"/>
        </w:rPr>
        <w:t xml:space="preserve">“(…) </w:t>
      </w:r>
      <w:bookmarkEnd w:id="5"/>
      <w:r w:rsidRPr="008E4F36">
        <w:rPr>
          <w:rFonts w:ascii="Verdana" w:eastAsia="Century Gothic" w:hAnsi="Verdana" w:cs="Century Gothic"/>
          <w:sz w:val="20"/>
          <w:szCs w:val="20"/>
        </w:rPr>
        <w:t xml:space="preserve">1. </w:t>
      </w:r>
      <w:r>
        <w:rPr>
          <w:rFonts w:ascii="Verdana" w:eastAsia="Century Gothic" w:hAnsi="Verdana" w:cs="Century Gothic"/>
          <w:sz w:val="20"/>
          <w:szCs w:val="20"/>
        </w:rPr>
        <w:t xml:space="preserve">¿Qué documentos específicamente deben publicarse en la plataforma SECOP II, especialmente en la etapa contractual? </w:t>
      </w:r>
    </w:p>
    <w:p w14:paraId="0740B86D" w14:textId="77777777" w:rsidR="00745FFE" w:rsidRPr="008E4F36" w:rsidRDefault="00745FFE" w:rsidP="00745FFE">
      <w:pPr>
        <w:spacing w:after="0" w:line="240" w:lineRule="auto"/>
        <w:ind w:left="709" w:right="709"/>
        <w:jc w:val="both"/>
        <w:rPr>
          <w:rFonts w:ascii="Verdana" w:eastAsia="Century Gothic" w:hAnsi="Verdana" w:cs="Century Gothic"/>
          <w:sz w:val="20"/>
          <w:szCs w:val="20"/>
        </w:rPr>
      </w:pPr>
    </w:p>
    <w:p w14:paraId="58EFD2FC" w14:textId="77777777" w:rsidR="00745FFE" w:rsidRPr="008E4F36" w:rsidRDefault="00745FFE" w:rsidP="00745FFE">
      <w:pPr>
        <w:spacing w:after="0" w:line="240" w:lineRule="auto"/>
        <w:ind w:left="709" w:right="709"/>
        <w:jc w:val="both"/>
        <w:rPr>
          <w:rFonts w:ascii="Verdana" w:eastAsia="Century Gothic" w:hAnsi="Verdana" w:cs="Century Gothic"/>
          <w:sz w:val="20"/>
          <w:szCs w:val="20"/>
        </w:rPr>
      </w:pPr>
      <w:r w:rsidRPr="008E4F36">
        <w:rPr>
          <w:rFonts w:ascii="Verdana" w:eastAsia="Century Gothic" w:hAnsi="Verdana" w:cs="Century Gothic"/>
          <w:sz w:val="20"/>
          <w:szCs w:val="20"/>
        </w:rPr>
        <w:t xml:space="preserve">2. </w:t>
      </w:r>
      <w:r>
        <w:rPr>
          <w:rFonts w:ascii="Verdana" w:eastAsia="Century Gothic" w:hAnsi="Verdana" w:cs="Century Gothic"/>
          <w:sz w:val="20"/>
          <w:szCs w:val="20"/>
        </w:rPr>
        <w:t xml:space="preserve">¿Respecto a los desembolsos en el marco de los convenios, deben publicarse en SECOP II, específicamente las órdenes de pago o es posible publicarse en su defecto, las hojas de ruta expedidas por SSIF Nación, en las cuales se evidencia la información de las órdenes de pago? </w:t>
      </w:r>
    </w:p>
    <w:p w14:paraId="037DFFE4" w14:textId="77777777" w:rsidR="00745FFE" w:rsidRPr="008E4F36" w:rsidRDefault="00745FFE" w:rsidP="00745FFE">
      <w:pPr>
        <w:spacing w:after="0" w:line="240" w:lineRule="auto"/>
        <w:ind w:left="709" w:right="709"/>
        <w:jc w:val="both"/>
        <w:rPr>
          <w:rFonts w:ascii="Verdana" w:eastAsia="Century Gothic" w:hAnsi="Verdana" w:cs="Century Gothic"/>
          <w:sz w:val="20"/>
          <w:szCs w:val="20"/>
        </w:rPr>
      </w:pPr>
    </w:p>
    <w:p w14:paraId="13CE885A" w14:textId="77777777" w:rsidR="00745FFE" w:rsidRPr="00617A31" w:rsidRDefault="00745FFE" w:rsidP="00745FFE">
      <w:pPr>
        <w:spacing w:after="0" w:line="240" w:lineRule="auto"/>
        <w:ind w:left="709" w:right="709"/>
        <w:jc w:val="both"/>
        <w:rPr>
          <w:rFonts w:ascii="Verdana" w:eastAsia="Century Gothic" w:hAnsi="Verdana" w:cs="Century Gothic"/>
          <w:sz w:val="20"/>
          <w:szCs w:val="20"/>
        </w:rPr>
      </w:pPr>
      <w:r w:rsidRPr="008E4F36">
        <w:rPr>
          <w:rFonts w:ascii="Verdana" w:eastAsia="Century Gothic" w:hAnsi="Verdana" w:cs="Century Gothic"/>
          <w:sz w:val="20"/>
          <w:szCs w:val="20"/>
        </w:rPr>
        <w:t>3.</w:t>
      </w:r>
      <w:r>
        <w:rPr>
          <w:rFonts w:ascii="Verdana" w:eastAsia="Century Gothic" w:hAnsi="Verdana" w:cs="Century Gothic"/>
          <w:sz w:val="20"/>
          <w:szCs w:val="20"/>
        </w:rPr>
        <w:t xml:space="preserve"> ¿Toda actuación efectuada por las partes convencionales y documentada (por </w:t>
      </w:r>
      <w:proofErr w:type="gramStart"/>
      <w:r>
        <w:rPr>
          <w:rFonts w:ascii="Verdana" w:eastAsia="Century Gothic" w:hAnsi="Verdana" w:cs="Century Gothic"/>
          <w:sz w:val="20"/>
          <w:szCs w:val="20"/>
        </w:rPr>
        <w:t>ejemplo</w:t>
      </w:r>
      <w:proofErr w:type="gramEnd"/>
      <w:r>
        <w:rPr>
          <w:rFonts w:ascii="Verdana" w:eastAsia="Century Gothic" w:hAnsi="Verdana" w:cs="Century Gothic"/>
          <w:sz w:val="20"/>
          <w:szCs w:val="20"/>
        </w:rPr>
        <w:t xml:space="preserve"> correos electrónicos), debe publicarse en la plataforma SECOP II? (</w:t>
      </w:r>
      <w:r w:rsidRPr="008E4F36">
        <w:rPr>
          <w:rFonts w:ascii="Verdana" w:hAnsi="Verdana"/>
          <w:sz w:val="20"/>
          <w:szCs w:val="20"/>
        </w:rPr>
        <w:t>…)”.</w:t>
      </w:r>
      <w:bookmarkEnd w:id="6"/>
    </w:p>
    <w:p w14:paraId="755192D9" w14:textId="77777777" w:rsidR="00745FFE" w:rsidRPr="008E4F36" w:rsidRDefault="00745FFE" w:rsidP="00745FFE">
      <w:pPr>
        <w:spacing w:after="0" w:line="240" w:lineRule="auto"/>
        <w:ind w:left="709" w:right="709"/>
        <w:jc w:val="both"/>
        <w:rPr>
          <w:rFonts w:ascii="Verdana" w:hAnsi="Verdana"/>
          <w:sz w:val="20"/>
          <w:szCs w:val="20"/>
        </w:rPr>
      </w:pPr>
    </w:p>
    <w:p w14:paraId="557B8AD6" w14:textId="77777777" w:rsidR="00745FFE" w:rsidRPr="008E4F36" w:rsidRDefault="00745FFE" w:rsidP="00745FFE">
      <w:pPr>
        <w:spacing w:after="120" w:line="276" w:lineRule="auto"/>
        <w:ind w:firstLine="709"/>
        <w:jc w:val="both"/>
        <w:rPr>
          <w:rFonts w:ascii="Verdana" w:eastAsia="Calibri" w:hAnsi="Verdana" w:cs="Arial"/>
          <w:color w:val="000000"/>
          <w:szCs w:val="24"/>
          <w:lang w:eastAsia="es-ES_tradnl"/>
        </w:rPr>
      </w:pPr>
      <w:r w:rsidRPr="008E4F36">
        <w:rPr>
          <w:rFonts w:ascii="Verdana" w:eastAsia="Calibri" w:hAnsi="Verdana" w:cs="Arial"/>
          <w:color w:val="000000"/>
          <w:lang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8E4F36">
        <w:rPr>
          <w:rFonts w:ascii="Verdana" w:eastAsia="Calibri" w:hAnsi="Verdana" w:cs="Arial"/>
          <w:color w:val="000000"/>
          <w:szCs w:val="24"/>
          <w:lang w:eastAsia="es-ES_tradnl"/>
        </w:rPr>
        <w:tab/>
      </w:r>
    </w:p>
    <w:p w14:paraId="7F8A2541" w14:textId="77777777" w:rsidR="00745FFE" w:rsidRPr="008E4F36" w:rsidRDefault="00745FFE" w:rsidP="00745FFE">
      <w:pPr>
        <w:spacing w:after="0" w:line="276" w:lineRule="auto"/>
        <w:ind w:firstLine="709"/>
        <w:jc w:val="both"/>
        <w:rPr>
          <w:rFonts w:ascii="Verdana" w:eastAsia="Calibri" w:hAnsi="Verdana" w:cs="Arial"/>
          <w:color w:val="000000"/>
          <w:lang w:eastAsia="es-ES"/>
        </w:rPr>
      </w:pPr>
      <w:r w:rsidRPr="008E4F36">
        <w:rPr>
          <w:rFonts w:ascii="Verdana" w:eastAsia="Calibri" w:hAnsi="Verdana" w:cs="Arial"/>
          <w:color w:val="000000"/>
          <w:lang w:eastAsia="es-ES"/>
        </w:rPr>
        <w:t xml:space="preserve">Conforme lo expuesto, en aras de garantizar el derecho fundamental de petición, se resolverá su petición dentro de los límites de la referida competencia consultiva, esto es, haciendo abstracción del caso particular y concreto señalado en su petición, pero señalando algunas consideraciones sobre las normas generales relacionadas </w:t>
      </w:r>
      <w:r w:rsidRPr="002975A0">
        <w:rPr>
          <w:rFonts w:ascii="Verdana" w:eastAsia="Calibri" w:hAnsi="Verdana" w:cs="Arial"/>
          <w:color w:val="000000"/>
          <w:lang w:eastAsia="es-ES"/>
        </w:rPr>
        <w:t>con el problema jurídico de su consulta.</w:t>
      </w:r>
      <w:r w:rsidRPr="008E4F36">
        <w:rPr>
          <w:rFonts w:ascii="Verdana" w:eastAsia="Calibri" w:hAnsi="Verdana" w:cs="Arial"/>
          <w:color w:val="000000"/>
          <w:lang w:eastAsia="es-ES"/>
        </w:rPr>
        <w:t xml:space="preserve">  </w:t>
      </w:r>
    </w:p>
    <w:p w14:paraId="71C435EE" w14:textId="77777777" w:rsidR="00745FFE" w:rsidRDefault="00745FFE" w:rsidP="00745FFE">
      <w:pPr>
        <w:spacing w:after="0" w:line="276" w:lineRule="auto"/>
        <w:ind w:firstLine="709"/>
        <w:jc w:val="both"/>
        <w:rPr>
          <w:rFonts w:ascii="Verdana" w:eastAsia="Calibri" w:hAnsi="Verdana" w:cs="Arial"/>
          <w:color w:val="000000"/>
          <w:lang w:eastAsia="es-ES"/>
        </w:rPr>
      </w:pPr>
    </w:p>
    <w:p w14:paraId="2FCDCE1B" w14:textId="77777777" w:rsidR="00BE423F" w:rsidRPr="008E4F36" w:rsidRDefault="00BE423F" w:rsidP="00745FFE">
      <w:pPr>
        <w:spacing w:after="0" w:line="276" w:lineRule="auto"/>
        <w:ind w:firstLine="709"/>
        <w:jc w:val="both"/>
        <w:rPr>
          <w:rFonts w:ascii="Verdana" w:eastAsia="Calibri" w:hAnsi="Verdana" w:cs="Arial"/>
          <w:color w:val="000000"/>
          <w:lang w:eastAsia="es-ES"/>
        </w:rPr>
      </w:pPr>
    </w:p>
    <w:p w14:paraId="0F55ED77" w14:textId="77777777" w:rsidR="00745FFE" w:rsidRPr="008E4F36" w:rsidRDefault="00745FFE" w:rsidP="00745FFE">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8E4F36">
        <w:rPr>
          <w:rFonts w:ascii="Verdana" w:eastAsia="Century Gothic" w:hAnsi="Verdana" w:cs="Century Gothic"/>
          <w:b/>
          <w:bCs/>
        </w:rPr>
        <w:lastRenderedPageBreak/>
        <w:t>Problema planteado:</w:t>
      </w:r>
    </w:p>
    <w:p w14:paraId="6E83A766" w14:textId="77777777" w:rsidR="00745FFE" w:rsidRPr="008E4F36" w:rsidRDefault="00745FFE" w:rsidP="00745FFE">
      <w:pPr>
        <w:tabs>
          <w:tab w:val="left" w:pos="426"/>
        </w:tabs>
        <w:spacing w:after="0" w:line="276" w:lineRule="auto"/>
        <w:jc w:val="both"/>
        <w:rPr>
          <w:rFonts w:ascii="Verdana" w:eastAsia="Century Gothic" w:hAnsi="Verdana" w:cs="Century Gothic"/>
        </w:rPr>
      </w:pPr>
    </w:p>
    <w:p w14:paraId="4BB9E499" w14:textId="1A38602F" w:rsidR="00745FFE" w:rsidRPr="008E4F36" w:rsidRDefault="00745FFE" w:rsidP="00745FFE">
      <w:pPr>
        <w:spacing w:after="0" w:line="276" w:lineRule="auto"/>
        <w:jc w:val="both"/>
        <w:rPr>
          <w:rFonts w:ascii="Verdana" w:eastAsia="Century Gothic" w:hAnsi="Verdana" w:cs="Century Gothic"/>
          <w:color w:val="7030A0"/>
        </w:rPr>
      </w:pPr>
      <w:r w:rsidRPr="002975A0">
        <w:rPr>
          <w:rFonts w:ascii="Verdana" w:eastAsia="Century Gothic" w:hAnsi="Verdana" w:cs="Century Gothic"/>
        </w:rPr>
        <w:t>De acuerdo con el contenido de su solicitud, esta Agencia resolverá el siguiente problema jurídico:</w:t>
      </w:r>
      <w:r w:rsidRPr="613A5EC2">
        <w:rPr>
          <w:rFonts w:ascii="Verdana" w:eastAsia="Calibri" w:hAnsi="Verdana" w:cs="Arial"/>
          <w:lang w:eastAsia="es-ES"/>
        </w:rPr>
        <w:t xml:space="preserve"> ¿</w:t>
      </w:r>
      <w:r w:rsidR="003108C8" w:rsidRPr="613A5EC2">
        <w:rPr>
          <w:rFonts w:ascii="Verdana" w:eastAsia="Calibri" w:hAnsi="Verdana" w:cs="Arial"/>
          <w:lang w:eastAsia="es-ES"/>
        </w:rPr>
        <w:t>Cuáles son los documentos que deben cargarse en el SECOP para cumplir con el deber de publicidad impuesto en el ordenamiento jurídico?, en otras palabras,</w:t>
      </w:r>
      <w:r w:rsidRPr="613A5EC2">
        <w:rPr>
          <w:rFonts w:ascii="Verdana" w:eastAsia="Century Gothic" w:hAnsi="Verdana" w:cs="Century Gothic"/>
        </w:rPr>
        <w:t xml:space="preserve"> ¿</w:t>
      </w:r>
      <w:r w:rsidRPr="002975A0">
        <w:rPr>
          <w:rFonts w:ascii="Verdana" w:eastAsia="Century Gothic" w:hAnsi="Verdana" w:cs="Century Gothic"/>
        </w:rPr>
        <w:t>La entidad estatal está obligada a publicar en SECOP II todos los documentos de la etapa contractual?</w:t>
      </w:r>
      <w:r w:rsidRPr="008E4F36">
        <w:rPr>
          <w:rFonts w:ascii="Verdana" w:eastAsia="Century Gothic" w:hAnsi="Verdana" w:cs="Century Gothic"/>
        </w:rPr>
        <w:t xml:space="preserve">    </w:t>
      </w:r>
      <w:r w:rsidRPr="008E4F36">
        <w:rPr>
          <w:rFonts w:ascii="Verdana" w:eastAsia="Century Gothic" w:hAnsi="Verdana" w:cs="Century Gothic"/>
          <w:color w:val="7030A0"/>
        </w:rPr>
        <w:t xml:space="preserve"> </w:t>
      </w:r>
    </w:p>
    <w:p w14:paraId="358394D4" w14:textId="77777777" w:rsidR="00745FFE" w:rsidRPr="008E4F36" w:rsidRDefault="00745FFE" w:rsidP="00745FFE">
      <w:pPr>
        <w:spacing w:after="0" w:line="276" w:lineRule="auto"/>
        <w:jc w:val="both"/>
        <w:rPr>
          <w:rFonts w:ascii="Verdana" w:hAnsi="Verdana"/>
          <w:sz w:val="20"/>
          <w:szCs w:val="20"/>
        </w:rPr>
      </w:pPr>
    </w:p>
    <w:p w14:paraId="13F15B4A" w14:textId="77777777" w:rsidR="00745FFE" w:rsidRPr="008E4F36" w:rsidRDefault="00745FFE" w:rsidP="00745FFE">
      <w:pPr>
        <w:spacing w:after="0" w:line="276" w:lineRule="auto"/>
        <w:jc w:val="both"/>
        <w:rPr>
          <w:rFonts w:ascii="Verdana" w:eastAsia="Century Gothic" w:hAnsi="Verdana" w:cs="Century Gothic"/>
          <w:b/>
          <w:bCs/>
        </w:rPr>
      </w:pPr>
      <w:r w:rsidRPr="008E4F36">
        <w:rPr>
          <w:rFonts w:ascii="Verdana" w:eastAsia="Century Gothic" w:hAnsi="Verdana" w:cs="Century Gothic"/>
          <w:b/>
          <w:bCs/>
        </w:rPr>
        <w:t>2. Respuesta:</w:t>
      </w:r>
    </w:p>
    <w:p w14:paraId="2D47EA4B" w14:textId="77777777" w:rsidR="00745FFE" w:rsidRPr="008E4F36" w:rsidRDefault="00745FFE" w:rsidP="00745FFE">
      <w:pPr>
        <w:tabs>
          <w:tab w:val="left" w:pos="142"/>
          <w:tab w:val="left" w:pos="284"/>
        </w:tabs>
        <w:spacing w:after="0" w:line="276" w:lineRule="auto"/>
        <w:jc w:val="both"/>
        <w:rPr>
          <w:rFonts w:ascii="Verdana" w:eastAsia="Century Gothic" w:hAnsi="Verdana" w:cs="Century Gothic"/>
          <w:b/>
          <w:bCs/>
        </w:rPr>
      </w:pPr>
    </w:p>
    <w:tbl>
      <w:tblPr>
        <w:tblStyle w:val="Tablaconcuadrcula"/>
        <w:tblW w:w="0" w:type="auto"/>
        <w:tblLook w:val="04A0" w:firstRow="1" w:lastRow="0" w:firstColumn="1" w:lastColumn="0" w:noHBand="0" w:noVBand="1"/>
      </w:tblPr>
      <w:tblGrid>
        <w:gridCol w:w="8828"/>
      </w:tblGrid>
      <w:tr w:rsidR="00745FFE" w:rsidRPr="008E4F36" w14:paraId="7A867811" w14:textId="77777777" w:rsidTr="00A72AB0">
        <w:tc>
          <w:tcPr>
            <w:tcW w:w="8828" w:type="dxa"/>
          </w:tcPr>
          <w:p w14:paraId="3AF412DE" w14:textId="77777777" w:rsidR="00745FFE" w:rsidRDefault="00745FFE" w:rsidP="613A5EC2">
            <w:pPr>
              <w:spacing w:after="120" w:line="276" w:lineRule="auto"/>
              <w:jc w:val="both"/>
              <w:rPr>
                <w:rFonts w:ascii="Verdana" w:eastAsia="Arial" w:hAnsi="Verdana" w:cs="Arial"/>
                <w:lang w:eastAsia="es-ES"/>
              </w:rPr>
            </w:pPr>
            <w:r w:rsidRPr="00023973">
              <w:rPr>
                <w:rFonts w:ascii="Verdana" w:eastAsia="Arial" w:hAnsi="Verdana" w:cs="Arial"/>
                <w:lang w:eastAsia="es-ES"/>
              </w:rPr>
              <w:t>El principio de publicidad impone a las autoridades administrativas el deber de dar a conocer sus actos, contratos y decisiones, para que se divulguen y</w:t>
            </w:r>
            <w:r>
              <w:rPr>
                <w:rFonts w:ascii="Verdana" w:eastAsia="Arial" w:hAnsi="Verdana" w:cs="Arial"/>
                <w:lang w:eastAsia="es-ES"/>
              </w:rPr>
              <w:t>,</w:t>
            </w:r>
            <w:r w:rsidRPr="00023973">
              <w:rPr>
                <w:rFonts w:ascii="Verdana" w:eastAsia="Arial" w:hAnsi="Verdana" w:cs="Arial"/>
                <w:lang w:eastAsia="es-ES"/>
              </w:rPr>
              <w:t xml:space="preserve"> eventualmente</w:t>
            </w:r>
            <w:r>
              <w:rPr>
                <w:rFonts w:ascii="Verdana" w:eastAsia="Arial" w:hAnsi="Verdana" w:cs="Arial"/>
                <w:lang w:eastAsia="es-ES"/>
              </w:rPr>
              <w:t>,</w:t>
            </w:r>
            <w:r w:rsidRPr="00023973">
              <w:rPr>
                <w:rFonts w:ascii="Verdana" w:eastAsia="Arial" w:hAnsi="Verdana" w:cs="Arial"/>
                <w:lang w:eastAsia="es-ES"/>
              </w:rPr>
              <w:t xml:space="preserve"> se controlen dichas actuaciones. Es por eso por lo que, en la contratación estatal, el literal c) del artículo 3 de la Ley 1150 de 2007 establece el Sistema Electrónico para la Contratación Pública –SECOP– como un mecanismo que “contará con la información oficial de la contratación realizada con dineros públicos, para lo cual establecerá los patrones a que haya lugar y se encargará de su difusión a través de canales electrónicos”. </w:t>
            </w:r>
          </w:p>
          <w:p w14:paraId="3A972839" w14:textId="6279A762" w:rsidR="00745FFE" w:rsidRDefault="00745FFE" w:rsidP="613A5EC2">
            <w:pPr>
              <w:spacing w:after="120" w:line="276" w:lineRule="auto"/>
              <w:ind w:firstLine="709"/>
              <w:jc w:val="both"/>
              <w:rPr>
                <w:rFonts w:ascii="Verdana" w:eastAsia="Arial" w:hAnsi="Verdana" w:cs="Arial"/>
                <w:lang w:val="es-ES"/>
              </w:rPr>
            </w:pPr>
            <w:r w:rsidRPr="613A5EC2">
              <w:rPr>
                <w:rFonts w:ascii="Verdana" w:eastAsia="Arial" w:hAnsi="Verdana" w:cs="Arial"/>
                <w:lang w:val="es-ES"/>
              </w:rPr>
              <w:t xml:space="preserve">Ahora bien, las entidades estatales, conforme al artículo 2.2.1.1.1.7.1. del Decreto 1082 de 2015, tienen la obligación de publicar en el SECOP “los Documentos del Proceso y los actos administrativos del </w:t>
            </w:r>
            <w:r w:rsidR="42BC8C69" w:rsidRPr="613A5EC2">
              <w:rPr>
                <w:rFonts w:ascii="Verdana" w:eastAsia="Arial" w:hAnsi="Verdana" w:cs="Arial"/>
                <w:lang w:val="es-ES"/>
              </w:rPr>
              <w:t>proceso</w:t>
            </w:r>
            <w:r w:rsidRPr="613A5EC2">
              <w:rPr>
                <w:rFonts w:ascii="Verdana" w:eastAsia="Arial" w:hAnsi="Verdana" w:cs="Arial"/>
                <w:lang w:val="es-ES"/>
              </w:rPr>
              <w:t xml:space="preserve"> de </w:t>
            </w:r>
            <w:r w:rsidR="42BC8C69" w:rsidRPr="613A5EC2">
              <w:rPr>
                <w:rFonts w:ascii="Verdana" w:eastAsia="Arial" w:hAnsi="Verdana" w:cs="Arial"/>
                <w:lang w:val="es-ES"/>
              </w:rPr>
              <w:t>contratación</w:t>
            </w:r>
            <w:r w:rsidRPr="613A5EC2">
              <w:rPr>
                <w:rFonts w:ascii="Verdana" w:eastAsia="Arial" w:hAnsi="Verdana" w:cs="Arial"/>
                <w:lang w:val="es-ES"/>
              </w:rPr>
              <w:t xml:space="preserve">, dentro de los tres (3) días siguientes a su expedición. La expresión </w:t>
            </w:r>
            <w:r w:rsidRPr="613A5EC2">
              <w:rPr>
                <w:rFonts w:ascii="Verdana" w:eastAsia="Arial" w:hAnsi="Verdana" w:cs="Arial"/>
                <w:i/>
                <w:lang w:val="es-ES"/>
              </w:rPr>
              <w:t>Documentos del Proceso</w:t>
            </w:r>
            <w:r w:rsidRPr="613A5EC2">
              <w:rPr>
                <w:rFonts w:ascii="Verdana" w:eastAsia="Arial" w:hAnsi="Verdana" w:cs="Arial"/>
                <w:lang w:val="es-ES"/>
              </w:rPr>
              <w:t xml:space="preserve"> está definida en el artículo 2.2.1.1.1.3.1. del Decreto 1082 de 2015.</w:t>
            </w:r>
          </w:p>
          <w:p w14:paraId="54C63CBA" w14:textId="77777777" w:rsidR="00292A62" w:rsidRPr="00AD6B46" w:rsidRDefault="26D6DCE5" w:rsidP="613A5EC2">
            <w:pPr>
              <w:spacing w:after="120" w:line="276" w:lineRule="auto"/>
              <w:ind w:firstLine="709"/>
              <w:jc w:val="both"/>
              <w:rPr>
                <w:rFonts w:ascii="Verdana" w:eastAsia="Times New Roman" w:hAnsi="Verdana" w:cs="Arial"/>
                <w:lang w:val="es-ES" w:eastAsia="es-ES"/>
                <w14:ligatures w14:val="standardContextual"/>
              </w:rPr>
            </w:pPr>
            <w:r w:rsidRPr="613A5EC2">
              <w:rPr>
                <w:rFonts w:ascii="Verdana" w:eastAsia="Times New Roman" w:hAnsi="Verdana" w:cs="Arial"/>
                <w:lang w:val="es-ES" w:eastAsia="es-ES"/>
                <w14:ligatures w14:val="standardContextual"/>
              </w:rPr>
              <w:t>Al respecto, la</w:t>
            </w:r>
            <w:r w:rsidRPr="00AD6B46">
              <w:rPr>
                <w:rFonts w:ascii="Verdana" w:hAnsi="Verdana" w:cs="Arial"/>
                <w:shd w:val="clear" w:color="auto" w:fill="FFFFFF"/>
              </w:rPr>
              <w:t xml:space="preserve"> expresión </w:t>
            </w:r>
            <w:r w:rsidRPr="613A5EC2">
              <w:rPr>
                <w:rFonts w:ascii="Verdana" w:hAnsi="Verdana" w:cs="Arial"/>
                <w:i/>
                <w:iCs/>
                <w:shd w:val="clear" w:color="auto" w:fill="FFFFFF"/>
              </w:rPr>
              <w:t xml:space="preserve">Documentos del Proceso </w:t>
            </w:r>
            <w:r w:rsidRPr="00AD6B46">
              <w:rPr>
                <w:rFonts w:ascii="Verdana" w:hAnsi="Verdana" w:cs="Arial"/>
                <w:shd w:val="clear" w:color="auto" w:fill="FFFFFF"/>
              </w:rPr>
              <w:t xml:space="preserve">está definida en el artículo 2.2.1.1.1.3.1. del Decreto 1082 de 2015, donde se establece que: “son: (a) los estudios y documentos previos; (b) el aviso de convocatoria; (c) los pliegos de condiciones o la invitación; (d) las adendas; (e) la oferta; (f) el informe de evaluación; (g) el contrato; </w:t>
            </w:r>
            <w:r w:rsidRPr="613A5EC2">
              <w:rPr>
                <w:rFonts w:ascii="Verdana" w:hAnsi="Verdana" w:cs="Arial"/>
                <w:i/>
                <w:iCs/>
                <w:shd w:val="clear" w:color="auto" w:fill="FFFFFF"/>
              </w:rPr>
              <w:t>y cualquier otro documento expedido por la Entidad Estatal durante el Proceso de Contratación</w:t>
            </w:r>
            <w:r w:rsidRPr="00AD6B46">
              <w:rPr>
                <w:rFonts w:ascii="Verdana" w:hAnsi="Verdana" w:cs="Arial"/>
                <w:shd w:val="clear" w:color="auto" w:fill="FFFFFF"/>
              </w:rPr>
              <w:t>”. [Énfasis fuera de texto]</w:t>
            </w:r>
          </w:p>
          <w:p w14:paraId="322A317D" w14:textId="2E030225" w:rsidR="00292A62" w:rsidDel="00480375" w:rsidRDefault="3234FEF3" w:rsidP="613A5EC2">
            <w:pPr>
              <w:tabs>
                <w:tab w:val="left" w:pos="709"/>
              </w:tabs>
              <w:spacing w:after="120" w:line="276" w:lineRule="auto"/>
              <w:ind w:firstLine="709"/>
              <w:jc w:val="both"/>
              <w:rPr>
                <w:rFonts w:ascii="Verdana" w:eastAsia="Arial" w:hAnsi="Verdana" w:cs="Arial"/>
                <w:lang w:val="es-ES"/>
              </w:rPr>
            </w:pPr>
            <w:r w:rsidRPr="00AD6B46">
              <w:rPr>
                <w:rFonts w:ascii="Verdana" w:hAnsi="Verdana" w:cs="Arial"/>
                <w:shd w:val="clear" w:color="auto" w:fill="FFFFFF"/>
              </w:rPr>
              <w:t xml:space="preserve">Este mismo artículo define la expresión Proceso de Contratación como el </w:t>
            </w:r>
            <w:r w:rsidR="00745FFE" w:rsidRPr="613A5EC2">
              <w:rPr>
                <w:rFonts w:ascii="Verdana" w:eastAsia="Arial" w:hAnsi="Verdana" w:cs="Arial"/>
                <w:lang w:val="es-ES"/>
              </w:rPr>
              <w:t xml:space="preserve">“Conjunto de actos y actividades, y su secuencia, adelantadas por la Entidad Estatal desde la planeación hasta el vencimiento de las garantías de calidad, estabilidad y mantenimiento, o las condiciones de disposición final o recuperación ambiental de las obras o bienes o el vencimiento del plazo, lo </w:t>
            </w:r>
            <w:r w:rsidR="00745FFE" w:rsidRPr="613A5EC2">
              <w:rPr>
                <w:rFonts w:ascii="Verdana" w:eastAsia="Arial" w:hAnsi="Verdana" w:cs="Arial"/>
                <w:lang w:val="es-ES"/>
              </w:rPr>
              <w:lastRenderedPageBreak/>
              <w:t>que ocurra más tarde”.</w:t>
            </w:r>
            <w:r w:rsidR="280AF281" w:rsidRPr="613A5EC2">
              <w:rPr>
                <w:rFonts w:ascii="Verdana" w:eastAsia="Arial" w:hAnsi="Verdana" w:cs="Arial"/>
                <w:lang w:val="es-ES"/>
              </w:rPr>
              <w:t xml:space="preserve"> </w:t>
            </w:r>
            <w:r w:rsidR="00745FFE" w:rsidRPr="4000E463">
              <w:rPr>
                <w:rFonts w:ascii="Verdana" w:eastAsia="Arial" w:hAnsi="Verdana" w:cs="Arial"/>
                <w:lang w:val="es-ES"/>
              </w:rPr>
              <w:t xml:space="preserve">Nótese que la norma hace referencia a los documentos “expedidos por la entidad estatal” durante el proceso de contratación, excluyendo la noción de </w:t>
            </w:r>
            <w:r w:rsidR="00745FFE" w:rsidRPr="4000E463">
              <w:rPr>
                <w:rFonts w:ascii="Verdana" w:eastAsia="Arial" w:hAnsi="Verdana" w:cs="Arial"/>
                <w:i/>
                <w:iCs/>
                <w:lang w:val="es-ES"/>
              </w:rPr>
              <w:t>Documentos del Proceso</w:t>
            </w:r>
            <w:r w:rsidR="00745FFE" w:rsidRPr="4000E463">
              <w:rPr>
                <w:rFonts w:ascii="Verdana" w:eastAsia="Arial" w:hAnsi="Verdana" w:cs="Arial"/>
                <w:lang w:val="es-ES"/>
              </w:rPr>
              <w:t xml:space="preserve"> los expedidos por un sujeto distinto a la entidad, salvo la oferta, la cual se incluye expresamente en el artículo 2.2.1.1.1.3.1. </w:t>
            </w:r>
          </w:p>
          <w:p w14:paraId="550AECD1" w14:textId="77777777" w:rsidR="004910F3" w:rsidRDefault="00745FFE" w:rsidP="00E40ABB">
            <w:pPr>
              <w:tabs>
                <w:tab w:val="left" w:pos="709"/>
              </w:tabs>
              <w:spacing w:after="120" w:line="276" w:lineRule="auto"/>
              <w:ind w:firstLine="709"/>
              <w:jc w:val="both"/>
              <w:rPr>
                <w:rFonts w:ascii="Verdana" w:eastAsia="Arial" w:hAnsi="Verdana" w:cs="Arial"/>
                <w:lang w:val="es-ES"/>
              </w:rPr>
            </w:pPr>
            <w:r w:rsidRPr="4000E463">
              <w:rPr>
                <w:rFonts w:ascii="Verdana" w:eastAsia="Arial" w:hAnsi="Verdana" w:cs="Arial"/>
                <w:lang w:val="es-ES"/>
              </w:rPr>
              <w:t xml:space="preserve">En ese sentido, la interpretación sistemática de los preceptos del Decreto 1082 de 2015, de acuerdo con el principio de publicidad, inicialmente indica que las </w:t>
            </w:r>
            <w:r w:rsidR="280AF281" w:rsidRPr="613A5EC2">
              <w:rPr>
                <w:rFonts w:ascii="Verdana" w:eastAsia="Arial" w:hAnsi="Verdana" w:cs="Arial"/>
                <w:lang w:val="es-ES"/>
              </w:rPr>
              <w:t>Entidades Estatales</w:t>
            </w:r>
            <w:r w:rsidRPr="4000E463">
              <w:rPr>
                <w:rFonts w:ascii="Verdana" w:eastAsia="Arial" w:hAnsi="Verdana" w:cs="Arial"/>
                <w:lang w:val="es-ES"/>
              </w:rPr>
              <w:t xml:space="preserve"> tienen la obligación de publicar todos los documentos que expidan con ocasión del </w:t>
            </w:r>
            <w:r w:rsidRPr="4000E463">
              <w:rPr>
                <w:rFonts w:ascii="Verdana" w:eastAsia="Arial" w:hAnsi="Verdana" w:cs="Arial"/>
                <w:i/>
                <w:iCs/>
                <w:lang w:val="es-ES"/>
              </w:rPr>
              <w:t>Proceso de Contratación</w:t>
            </w:r>
            <w:r w:rsidRPr="4000E463">
              <w:rPr>
                <w:rFonts w:ascii="Verdana" w:eastAsia="Arial" w:hAnsi="Verdana" w:cs="Arial"/>
                <w:lang w:val="es-ES"/>
              </w:rPr>
              <w:t xml:space="preserve">, esto es, desde la fase de planeación hasta “el vencimiento de las garantías de calidad, estabilidad y mantenimiento, o las condiciones de disposición final o recuperación ambiental de las obras o bienes o el vencimiento del plazo, lo que ocurra más tarde”. </w:t>
            </w:r>
          </w:p>
          <w:p w14:paraId="6ABF0E92" w14:textId="31C6A835" w:rsidR="00745FFE" w:rsidRPr="00202456" w:rsidRDefault="00745FFE" w:rsidP="613A5EC2">
            <w:pPr>
              <w:tabs>
                <w:tab w:val="left" w:pos="709"/>
              </w:tabs>
              <w:spacing w:after="120" w:line="276" w:lineRule="auto"/>
              <w:ind w:firstLine="709"/>
              <w:jc w:val="both"/>
              <w:rPr>
                <w:rFonts w:ascii="Verdana" w:eastAsia="Calibri" w:hAnsi="Verdana" w:cs="Arial"/>
                <w:lang w:val="es-ES"/>
              </w:rPr>
            </w:pPr>
            <w:r w:rsidRPr="4000E463">
              <w:rPr>
                <w:rFonts w:ascii="Verdana" w:eastAsia="Arial" w:hAnsi="Verdana" w:cs="Arial"/>
                <w:lang w:val="es-ES"/>
              </w:rPr>
              <w:t xml:space="preserve">Esto significa que todos los documentos expedidos por la entidad durante las etapas precontractual, de ejecución y </w:t>
            </w:r>
            <w:proofErr w:type="spellStart"/>
            <w:r w:rsidRPr="4000E463">
              <w:rPr>
                <w:rFonts w:ascii="Verdana" w:eastAsia="Arial" w:hAnsi="Verdana" w:cs="Arial"/>
                <w:lang w:val="es-ES"/>
              </w:rPr>
              <w:t>postcontractual</w:t>
            </w:r>
            <w:proofErr w:type="spellEnd"/>
            <w:r w:rsidRPr="4000E463">
              <w:rPr>
                <w:rFonts w:ascii="Verdana" w:eastAsia="Arial" w:hAnsi="Verdana" w:cs="Arial"/>
                <w:lang w:val="es-ES"/>
              </w:rPr>
              <w:t xml:space="preserve"> deberán ser publicados en SECOP dentro de los tres (3) días siguientes a su expedición, para cumplir el deber de publicidad regulado por el artículo 2.2.1.1.1.7.1. del Decreto 1082 de 2015.</w:t>
            </w:r>
            <w:r w:rsidR="57E777E3">
              <w:rPr>
                <w:rFonts w:ascii="Verdana" w:eastAsia="Arial" w:hAnsi="Verdana" w:cs="Arial"/>
                <w:lang w:val="es-ES"/>
              </w:rPr>
              <w:t xml:space="preserve"> </w:t>
            </w:r>
            <w:r w:rsidR="57E777E3">
              <w:rPr>
                <w:rFonts w:ascii="Verdana" w:hAnsi="Verdana" w:cs="Arial"/>
                <w:shd w:val="clear" w:color="auto" w:fill="FFFFFF"/>
              </w:rPr>
              <w:t xml:space="preserve">Dentro de esos documentos se encuentran los referentes a la ejecución contractual, como la </w:t>
            </w:r>
            <w:r w:rsidR="57E777E3" w:rsidRPr="00123B54">
              <w:rPr>
                <w:rFonts w:ascii="Verdana" w:hAnsi="Verdana" w:cs="Arial"/>
                <w:shd w:val="clear" w:color="auto" w:fill="FFFFFF"/>
              </w:rPr>
              <w:t>constancia de pago, es decir</w:t>
            </w:r>
            <w:r w:rsidR="57E777E3">
              <w:rPr>
                <w:rFonts w:ascii="Verdana" w:hAnsi="Verdana" w:cs="Arial"/>
                <w:shd w:val="clear" w:color="auto" w:fill="FFFFFF"/>
              </w:rPr>
              <w:t>,</w:t>
            </w:r>
            <w:r w:rsidR="57E777E3" w:rsidRPr="00123B54">
              <w:rPr>
                <w:rFonts w:ascii="Verdana" w:hAnsi="Verdana" w:cs="Arial"/>
                <w:shd w:val="clear" w:color="auto" w:fill="FFFFFF"/>
              </w:rPr>
              <w:t xml:space="preserve"> la orden de pago que arroja la plataforma SIIF</w:t>
            </w:r>
            <w:r w:rsidR="57E777E3">
              <w:rPr>
                <w:rFonts w:ascii="Verdana" w:hAnsi="Verdana" w:cs="Arial"/>
                <w:shd w:val="clear" w:color="auto" w:fill="FFFFFF"/>
              </w:rPr>
              <w:t>.</w:t>
            </w:r>
          </w:p>
          <w:p w14:paraId="73409A0A" w14:textId="456ED3D9" w:rsidR="00745FFE" w:rsidRDefault="00745FFE" w:rsidP="613A5EC2">
            <w:pPr>
              <w:spacing w:after="120" w:line="276" w:lineRule="auto"/>
              <w:ind w:firstLine="709"/>
              <w:jc w:val="both"/>
              <w:rPr>
                <w:rFonts w:ascii="Verdana" w:eastAsia="Calibri" w:hAnsi="Verdana" w:cs="Arial"/>
                <w:lang w:eastAsia="es-CO"/>
              </w:rPr>
            </w:pPr>
            <w:r w:rsidRPr="4000E463">
              <w:rPr>
                <w:rFonts w:ascii="Verdana" w:eastAsia="Calibri" w:hAnsi="Verdana" w:cs="Arial"/>
                <w:lang w:eastAsia="es-CO"/>
              </w:rPr>
              <w:t>No obstante, el deber de publicar los documentos relacionados con la contratación no se encuentra regulado solamente por las normas del Estatuto General de Contratación de la Administración Pública, pues la Ley 1712 de 2014, normativa de la transparencia y del derecho de acceso a la información pública, señala en el literal g) del artículo 11 que todo sujeto obligado debe publicar sus procedimientos, lineamientos, políticas en materia de adquisiciones y compras, así como todos los datos de adjudicación y ejecución de sus contratos. Esta obligación, en principio, fue reglamentada por el Decreto 103 de 2015, hoy compilado en el Decreto 1081 de 2015. Este último señala, en el artículo 2.1.1.2.1.7, que las entidades deberán publicar en el SECOP la información de su gestión contractual.</w:t>
            </w:r>
          </w:p>
          <w:p w14:paraId="27FB9B6D" w14:textId="401B726F" w:rsidR="00745FFE" w:rsidRPr="00CA1A5A" w:rsidRDefault="00745FFE" w:rsidP="613A5EC2">
            <w:pPr>
              <w:spacing w:after="120" w:line="276" w:lineRule="auto"/>
              <w:ind w:firstLine="709"/>
              <w:jc w:val="both"/>
              <w:rPr>
                <w:rFonts w:ascii="Verdana" w:eastAsia="Calibri" w:hAnsi="Verdana" w:cs="Arial"/>
                <w:lang w:val="es-ES"/>
              </w:rPr>
            </w:pPr>
            <w:r w:rsidRPr="613A5EC2">
              <w:rPr>
                <w:rFonts w:ascii="Verdana" w:eastAsia="Calibri" w:hAnsi="Verdana" w:cs="Arial"/>
                <w:lang w:val="es-ES"/>
              </w:rPr>
              <w:t xml:space="preserve">De otro lado, el artículo 2.1.1.2.1.8 establece los efectos de </w:t>
            </w:r>
            <w:r w:rsidRPr="613A5EC2">
              <w:rPr>
                <w:rFonts w:ascii="Verdana" w:hAnsi="Verdana" w:cs="Arial"/>
                <w:lang w:val="es-ES"/>
              </w:rPr>
              <w:t xml:space="preserve">la obligación contenida en el literal g) del artículo 11 de la Ley 1712 de 2014, en relación con los documentos producidos durante la ejecución del contrato, señalando </w:t>
            </w:r>
            <w:r w:rsidRPr="613A5EC2">
              <w:rPr>
                <w:rFonts w:ascii="Verdana" w:hAnsi="Verdana" w:cs="Arial"/>
                <w:lang w:val="es-ES"/>
              </w:rPr>
              <w:lastRenderedPageBreak/>
              <w:t>que se</w:t>
            </w:r>
            <w:r w:rsidRPr="613A5EC2">
              <w:rPr>
                <w:rFonts w:ascii="Verdana" w:eastAsia="Calibri" w:hAnsi="Verdana" w:cs="Arial"/>
                <w:lang w:val="es-ES"/>
              </w:rPr>
              <w:t xml:space="preserve"> deben publicar las aprobaciones, autorizaciones, requerimientos o informes del supervisor o interventor, que prueben la ejecución del contrato.</w:t>
            </w:r>
          </w:p>
        </w:tc>
      </w:tr>
    </w:tbl>
    <w:p w14:paraId="13B90B5B" w14:textId="77777777" w:rsidR="00745FFE" w:rsidRDefault="00745FFE" w:rsidP="00745FFE">
      <w:pPr>
        <w:tabs>
          <w:tab w:val="left" w:pos="142"/>
          <w:tab w:val="left" w:pos="284"/>
        </w:tabs>
        <w:spacing w:after="0" w:line="276" w:lineRule="auto"/>
        <w:jc w:val="both"/>
        <w:rPr>
          <w:rFonts w:ascii="Verdana" w:eastAsia="Century Gothic" w:hAnsi="Verdana" w:cs="Century Gothic"/>
          <w:b/>
          <w:bCs/>
        </w:rPr>
      </w:pPr>
    </w:p>
    <w:p w14:paraId="3CF55A2E" w14:textId="77777777" w:rsidR="00745FFE" w:rsidRPr="008E4F36" w:rsidRDefault="00745FFE" w:rsidP="00745FFE">
      <w:pPr>
        <w:tabs>
          <w:tab w:val="left" w:pos="142"/>
          <w:tab w:val="left" w:pos="284"/>
        </w:tabs>
        <w:spacing w:after="0" w:line="276" w:lineRule="auto"/>
        <w:jc w:val="both"/>
        <w:rPr>
          <w:rFonts w:ascii="Verdana" w:eastAsia="Century Gothic" w:hAnsi="Verdana" w:cs="Century Gothic"/>
          <w:b/>
          <w:bCs/>
        </w:rPr>
      </w:pPr>
      <w:r w:rsidRPr="008E4F36">
        <w:rPr>
          <w:rFonts w:ascii="Verdana" w:eastAsia="Century Gothic" w:hAnsi="Verdana" w:cs="Century Gothic"/>
          <w:b/>
          <w:bCs/>
        </w:rPr>
        <w:t>3. Razones de la respuesta:</w:t>
      </w:r>
    </w:p>
    <w:p w14:paraId="2B91726D" w14:textId="77777777" w:rsidR="00745FFE" w:rsidRPr="008E4F36" w:rsidRDefault="00745FFE" w:rsidP="00745FFE">
      <w:pPr>
        <w:tabs>
          <w:tab w:val="left" w:pos="142"/>
          <w:tab w:val="left" w:pos="284"/>
        </w:tabs>
        <w:spacing w:after="0" w:line="276" w:lineRule="auto"/>
        <w:jc w:val="both"/>
        <w:rPr>
          <w:rFonts w:ascii="Verdana" w:eastAsia="Century Gothic" w:hAnsi="Verdana" w:cs="Century Gothic"/>
          <w:b/>
          <w:bCs/>
        </w:rPr>
      </w:pPr>
    </w:p>
    <w:p w14:paraId="05DF7FAA" w14:textId="77777777" w:rsidR="00745FFE" w:rsidRDefault="00745FFE" w:rsidP="00745FFE">
      <w:pPr>
        <w:pStyle w:val="Prrafodelista"/>
        <w:tabs>
          <w:tab w:val="left" w:pos="142"/>
          <w:tab w:val="left" w:pos="284"/>
        </w:tabs>
        <w:spacing w:after="0" w:line="276" w:lineRule="auto"/>
        <w:ind w:left="0"/>
        <w:contextualSpacing w:val="0"/>
        <w:jc w:val="both"/>
        <w:rPr>
          <w:rFonts w:ascii="Verdana" w:eastAsia="Calibri" w:hAnsi="Verdana" w:cs="Arial"/>
        </w:rPr>
      </w:pPr>
      <w:r w:rsidRPr="008E4F36">
        <w:rPr>
          <w:rFonts w:ascii="Verdana" w:eastAsia="Calibri" w:hAnsi="Verdana" w:cs="Arial"/>
        </w:rPr>
        <w:t xml:space="preserve">Lo anterior se sustenta en las siguientes consideraciones: </w:t>
      </w:r>
    </w:p>
    <w:p w14:paraId="6A315BD8" w14:textId="77777777" w:rsidR="00745FFE" w:rsidRDefault="00745FFE" w:rsidP="613A5EC2">
      <w:pPr>
        <w:pStyle w:val="Prrafodelista"/>
        <w:tabs>
          <w:tab w:val="left" w:pos="142"/>
          <w:tab w:val="left" w:pos="284"/>
        </w:tabs>
        <w:spacing w:after="0" w:line="276" w:lineRule="auto"/>
        <w:ind w:left="0"/>
        <w:jc w:val="both"/>
        <w:rPr>
          <w:rFonts w:ascii="Verdana" w:eastAsia="Calibri" w:hAnsi="Verdana" w:cs="Arial"/>
        </w:rPr>
      </w:pPr>
    </w:p>
    <w:p w14:paraId="029D6B6D" w14:textId="10A0889E" w:rsidR="00745FFE" w:rsidRPr="0044679D" w:rsidRDefault="003108C8" w:rsidP="613A5EC2">
      <w:pPr>
        <w:widowControl w:val="0"/>
        <w:autoSpaceDE w:val="0"/>
        <w:autoSpaceDN w:val="0"/>
        <w:spacing w:after="120" w:line="276" w:lineRule="auto"/>
        <w:jc w:val="both"/>
        <w:rPr>
          <w:rFonts w:ascii="Verdana" w:eastAsia="Arial" w:hAnsi="Verdana" w:cs="Arial"/>
          <w:color w:val="000000" w:themeColor="text1"/>
          <w:lang w:val="es-ES" w:eastAsia="es-ES"/>
        </w:rPr>
      </w:pPr>
      <w:bookmarkStart w:id="7" w:name="_Hlk204236668"/>
      <w:r w:rsidRPr="613A5EC2">
        <w:rPr>
          <w:rFonts w:ascii="Verdana" w:eastAsia="Arial" w:hAnsi="Verdana" w:cs="Arial"/>
          <w:color w:val="000000" w:themeColor="text1"/>
          <w:lang w:val="es-ES" w:eastAsia="es-ES"/>
        </w:rPr>
        <w:t xml:space="preserve">i) </w:t>
      </w:r>
      <w:r w:rsidR="00745FFE" w:rsidRPr="613A5EC2">
        <w:rPr>
          <w:rFonts w:ascii="Verdana" w:eastAsia="Arial" w:hAnsi="Verdana" w:cs="Arial"/>
          <w:color w:val="000000" w:themeColor="text1"/>
          <w:lang w:val="es-ES" w:eastAsia="es-ES"/>
        </w:rPr>
        <w:t>El contrato es un “acto jurídico voluntario, una declaración de voluntad, que tiene por objeto establecer una relación jurídica entre dos personas, obligando a la una para con otra a determinada prestación”</w:t>
      </w:r>
      <w:r w:rsidR="00745FFE" w:rsidRPr="613A5EC2">
        <w:rPr>
          <w:rFonts w:ascii="Verdana" w:eastAsia="Arial" w:hAnsi="Verdana" w:cs="Arial"/>
          <w:color w:val="000000" w:themeColor="text1"/>
          <w:vertAlign w:val="superscript"/>
          <w:lang w:val="es-ES" w:eastAsia="es-ES"/>
        </w:rPr>
        <w:footnoteReference w:id="1"/>
      </w:r>
      <w:r w:rsidR="00745FFE" w:rsidRPr="613A5EC2">
        <w:rPr>
          <w:rFonts w:ascii="Verdana" w:eastAsia="Arial" w:hAnsi="Verdana" w:cs="Arial"/>
          <w:color w:val="000000" w:themeColor="text1"/>
          <w:lang w:val="es-ES" w:eastAsia="es-ES"/>
        </w:rPr>
        <w:t>. Se trata de un negocio jurídico en el sentido de que es el resultado de un acto dispositivo o de autorregulación de intereses de dos o más sujetos con efectos jurídicos para crear, modificar o extinguir relaciones jurídicas</w:t>
      </w:r>
      <w:r w:rsidR="00745FFE" w:rsidRPr="613A5EC2">
        <w:rPr>
          <w:rFonts w:ascii="Verdana" w:eastAsia="Arial" w:hAnsi="Verdana" w:cs="Arial"/>
          <w:color w:val="000000" w:themeColor="text1"/>
          <w:vertAlign w:val="superscript"/>
          <w:lang w:val="es-ES" w:eastAsia="es-ES"/>
        </w:rPr>
        <w:footnoteReference w:id="2"/>
      </w:r>
      <w:r w:rsidR="00745FFE" w:rsidRPr="613A5EC2">
        <w:rPr>
          <w:rFonts w:ascii="Verdana" w:eastAsia="Arial" w:hAnsi="Verdana" w:cs="Arial"/>
          <w:color w:val="000000" w:themeColor="text1"/>
          <w:lang w:val="es-ES" w:eastAsia="es-ES"/>
        </w:rPr>
        <w:t xml:space="preserve">. </w:t>
      </w:r>
    </w:p>
    <w:p w14:paraId="6C2EF509" w14:textId="77777777" w:rsidR="00745FFE" w:rsidRPr="0044679D" w:rsidRDefault="00745FFE" w:rsidP="00745FFE">
      <w:pPr>
        <w:widowControl w:val="0"/>
        <w:autoSpaceDE w:val="0"/>
        <w:autoSpaceDN w:val="0"/>
        <w:spacing w:after="120" w:line="276" w:lineRule="auto"/>
        <w:ind w:firstLine="708"/>
        <w:jc w:val="both"/>
        <w:rPr>
          <w:rFonts w:ascii="Verdana" w:eastAsia="Arial" w:hAnsi="Verdana" w:cs="Arial"/>
          <w:color w:val="000000" w:themeColor="text1"/>
          <w:lang w:val="es-ES" w:eastAsia="es-ES"/>
        </w:rPr>
      </w:pPr>
      <w:r w:rsidRPr="0044679D">
        <w:rPr>
          <w:rFonts w:ascii="Verdana" w:eastAsia="Arial" w:hAnsi="Verdana" w:cs="Arial"/>
          <w:color w:val="000000" w:themeColor="text1"/>
          <w:lang w:val="es-ES" w:eastAsia="es-ES"/>
        </w:rPr>
        <w:t>En efecto, el artículo 1495 del Código Civil establece que el “[c]</w:t>
      </w:r>
      <w:proofErr w:type="spellStart"/>
      <w:r w:rsidRPr="0044679D">
        <w:rPr>
          <w:rFonts w:ascii="Verdana" w:eastAsia="Arial" w:hAnsi="Verdana" w:cs="Arial"/>
          <w:color w:val="000000" w:themeColor="text1"/>
          <w:lang w:val="es-ES" w:eastAsia="es-ES"/>
        </w:rPr>
        <w:t>ontrato</w:t>
      </w:r>
      <w:proofErr w:type="spellEnd"/>
      <w:r w:rsidRPr="0044679D">
        <w:rPr>
          <w:rFonts w:ascii="Verdana" w:eastAsia="Arial" w:hAnsi="Verdana" w:cs="Arial"/>
          <w:color w:val="000000" w:themeColor="text1"/>
          <w:lang w:val="es-ES" w:eastAsia="es-ES"/>
        </w:rPr>
        <w:t xml:space="preserve"> o convención es un acto por el cual una parte se obliga para con otra a dar, hacer, o no alguna cosa. Cada parte puede ser de una o muchas personas”. A su turno, el Código de Comercio establece en el artículo 864 que “[e]l contrato es un acuerdo de dos o más partes para constituir, regular o extinguir entre ellas una relación jurídica patrimonial”.</w:t>
      </w:r>
    </w:p>
    <w:p w14:paraId="607B3C34" w14:textId="6EB6DFF8" w:rsidR="00745FFE" w:rsidRPr="0044679D" w:rsidRDefault="00745FFE" w:rsidP="00745FFE">
      <w:pPr>
        <w:widowControl w:val="0"/>
        <w:autoSpaceDE w:val="0"/>
        <w:autoSpaceDN w:val="0"/>
        <w:spacing w:after="120" w:line="276" w:lineRule="auto"/>
        <w:ind w:firstLine="708"/>
        <w:jc w:val="both"/>
        <w:rPr>
          <w:rFonts w:ascii="Verdana" w:eastAsia="Arial" w:hAnsi="Verdana" w:cs="Arial"/>
          <w:color w:val="000000" w:themeColor="text1"/>
          <w:lang w:val="es-ES" w:eastAsia="es-ES"/>
        </w:rPr>
      </w:pPr>
      <w:r w:rsidRPr="613A5EC2">
        <w:rPr>
          <w:rFonts w:ascii="Verdana" w:eastAsia="Arial" w:hAnsi="Verdana" w:cs="Arial"/>
          <w:color w:val="000000" w:themeColor="text1"/>
          <w:lang w:val="es-ES" w:eastAsia="es-ES"/>
        </w:rPr>
        <w:t>Por su parte, el artículo 1º de la Ley 80 de 1993 –Estatuto General de Contratación de la Administración Pública, en adelante EGCAP–, determina que su objetivo es disponer de reglas y principios que rigen los contratos de las Entidades Estatales</w:t>
      </w:r>
      <w:r w:rsidR="00046CEE" w:rsidRPr="613A5EC2">
        <w:rPr>
          <w:rFonts w:ascii="Verdana" w:eastAsia="Arial" w:hAnsi="Verdana" w:cs="Arial"/>
          <w:color w:val="000000" w:themeColor="text1"/>
          <w:lang w:val="es-ES" w:eastAsia="es-ES"/>
        </w:rPr>
        <w:t>.</w:t>
      </w:r>
      <w:r w:rsidRPr="613A5EC2">
        <w:rPr>
          <w:rFonts w:ascii="Verdana" w:eastAsia="Arial" w:hAnsi="Verdana" w:cs="Arial"/>
          <w:color w:val="000000" w:themeColor="text1"/>
          <w:lang w:val="es-ES" w:eastAsia="es-ES"/>
        </w:rPr>
        <w:t xml:space="preserve"> </w:t>
      </w:r>
      <w:r w:rsidR="00046CEE" w:rsidRPr="613A5EC2">
        <w:rPr>
          <w:rFonts w:ascii="Verdana" w:eastAsia="Arial" w:hAnsi="Verdana" w:cs="Arial"/>
          <w:color w:val="000000" w:themeColor="text1"/>
          <w:lang w:val="es-ES" w:eastAsia="es-ES"/>
        </w:rPr>
        <w:t>En</w:t>
      </w:r>
      <w:r w:rsidRPr="613A5EC2">
        <w:rPr>
          <w:rFonts w:ascii="Verdana" w:eastAsia="Arial" w:hAnsi="Verdana" w:cs="Arial"/>
          <w:color w:val="000000" w:themeColor="text1"/>
          <w:lang w:val="es-ES" w:eastAsia="es-ES"/>
        </w:rPr>
        <w:t xml:space="preserve"> ese sentido, el artículo 32 </w:t>
      </w:r>
      <w:r w:rsidRPr="613A5EC2">
        <w:rPr>
          <w:rFonts w:ascii="Verdana" w:eastAsia="Arial" w:hAnsi="Verdana" w:cs="Arial"/>
          <w:i/>
          <w:color w:val="000000" w:themeColor="text1"/>
          <w:lang w:val="es-ES" w:eastAsia="es-ES"/>
        </w:rPr>
        <w:t>ibidem</w:t>
      </w:r>
      <w:r w:rsidRPr="613A5EC2">
        <w:rPr>
          <w:rFonts w:ascii="Verdana" w:eastAsia="Arial" w:hAnsi="Verdana" w:cs="Arial"/>
          <w:color w:val="000000" w:themeColor="text1"/>
          <w:lang w:val="es-ES" w:eastAsia="es-ES"/>
        </w:rPr>
        <w:t xml:space="preserve"> define los contratos estatales como “todos los actos jurídicos, generadores de obligaciones que celebren las entidades a que se refiere este estatuto (art. 2), previstos en el derecho privado o en disposiciones especiales, o derivados del ejercicio de la autonomía de la voluntad,</w:t>
      </w:r>
      <w:r w:rsidRPr="008763E3">
        <w:t xml:space="preserve"> </w:t>
      </w:r>
      <w:r w:rsidRPr="613A5EC2">
        <w:rPr>
          <w:rFonts w:ascii="Verdana" w:eastAsia="Arial" w:hAnsi="Verdana" w:cs="Arial"/>
          <w:color w:val="000000" w:themeColor="text1"/>
          <w:lang w:val="es-ES" w:eastAsia="es-ES"/>
        </w:rPr>
        <w:t xml:space="preserve">así como los que, a título enunciativo, se definen a continuación”. </w:t>
      </w:r>
    </w:p>
    <w:p w14:paraId="72C170E0" w14:textId="77777777" w:rsidR="00745FFE" w:rsidRDefault="00745FFE" w:rsidP="613A5EC2">
      <w:pPr>
        <w:widowControl w:val="0"/>
        <w:autoSpaceDE w:val="0"/>
        <w:autoSpaceDN w:val="0"/>
        <w:spacing w:after="120" w:line="276" w:lineRule="auto"/>
        <w:ind w:firstLine="709"/>
        <w:jc w:val="both"/>
        <w:rPr>
          <w:rFonts w:ascii="Verdana" w:eastAsia="Arial" w:hAnsi="Verdana" w:cs="Arial"/>
          <w:color w:val="000000" w:themeColor="text1"/>
          <w:lang w:val="es-ES" w:eastAsia="es-ES"/>
        </w:rPr>
      </w:pPr>
      <w:r w:rsidRPr="613A5EC2">
        <w:rPr>
          <w:rFonts w:ascii="Verdana" w:eastAsia="Arial" w:hAnsi="Verdana" w:cs="Arial"/>
          <w:color w:val="000000" w:themeColor="text1"/>
          <w:lang w:val="es-ES" w:eastAsia="es-ES"/>
        </w:rPr>
        <w:lastRenderedPageBreak/>
        <w:t xml:space="preserve">De acuerdo con lo anterior, </w:t>
      </w:r>
      <w:bookmarkStart w:id="8" w:name="_Hlk150759794"/>
      <w:r w:rsidRPr="613A5EC2">
        <w:rPr>
          <w:rFonts w:ascii="Verdana" w:eastAsia="Arial" w:hAnsi="Verdana" w:cs="Arial"/>
          <w:color w:val="000000" w:themeColor="text1"/>
          <w:lang w:val="es-ES" w:eastAsia="es-ES"/>
        </w:rPr>
        <w:t>para la definición de contrato estatal basta con que una de las entidades que enumera el artículo 2º de la Ley 80 de 1993</w:t>
      </w:r>
      <w:r w:rsidRPr="613A5EC2">
        <w:rPr>
          <w:rFonts w:ascii="Verdana" w:eastAsia="Arial" w:hAnsi="Verdana" w:cs="Arial"/>
          <w:color w:val="000000" w:themeColor="text1"/>
          <w:vertAlign w:val="superscript"/>
          <w:lang w:val="es-ES" w:eastAsia="es-ES"/>
        </w:rPr>
        <w:footnoteReference w:id="3"/>
      </w:r>
      <w:r w:rsidRPr="613A5EC2">
        <w:rPr>
          <w:rFonts w:ascii="Verdana" w:eastAsia="Arial" w:hAnsi="Verdana" w:cs="Arial"/>
          <w:color w:val="000000" w:themeColor="text1"/>
          <w:lang w:val="es-ES" w:eastAsia="es-ES"/>
        </w:rPr>
        <w:t xml:space="preserve"> sea una de las partes, sin importar el extremo de la relación jurídico negocial que</w:t>
      </w:r>
      <w:r w:rsidRPr="613A5EC2">
        <w:rPr>
          <w:rFonts w:ascii="Verdana" w:eastAsia="Arial" w:hAnsi="Verdana" w:cs="Arial"/>
          <w:color w:val="000000" w:themeColor="text1"/>
          <w:spacing w:val="-14"/>
          <w:lang w:val="es-ES" w:eastAsia="es-ES"/>
        </w:rPr>
        <w:t xml:space="preserve"> </w:t>
      </w:r>
      <w:r w:rsidRPr="613A5EC2">
        <w:rPr>
          <w:rFonts w:ascii="Verdana" w:eastAsia="Arial" w:hAnsi="Verdana" w:cs="Arial"/>
          <w:color w:val="000000" w:themeColor="text1"/>
          <w:lang w:val="es-ES" w:eastAsia="es-ES"/>
        </w:rPr>
        <w:t xml:space="preserve">asuma. </w:t>
      </w:r>
    </w:p>
    <w:p w14:paraId="5F01F27A" w14:textId="6F45B07F" w:rsidR="00745FFE" w:rsidRDefault="00745FFE" w:rsidP="613A5EC2">
      <w:pPr>
        <w:widowControl w:val="0"/>
        <w:autoSpaceDE w:val="0"/>
        <w:autoSpaceDN w:val="0"/>
        <w:spacing w:after="120" w:line="276" w:lineRule="auto"/>
        <w:ind w:firstLine="709"/>
        <w:jc w:val="both"/>
        <w:rPr>
          <w:rFonts w:ascii="Verdana" w:eastAsia="Arial" w:hAnsi="Verdana" w:cs="Arial"/>
          <w:color w:val="000000" w:themeColor="text1"/>
          <w:lang w:val="es-ES" w:eastAsia="es-ES"/>
        </w:rPr>
      </w:pPr>
      <w:r w:rsidRPr="613A5EC2">
        <w:rPr>
          <w:rFonts w:ascii="Verdana" w:eastAsia="Arial" w:hAnsi="Verdana" w:cs="Arial"/>
          <w:color w:val="000000" w:themeColor="text1"/>
          <w:lang w:val="es-ES" w:eastAsia="es-ES"/>
        </w:rPr>
        <w:t>En este escenario, el Servicio Nacional de Aprendizaje – SENA</w:t>
      </w:r>
      <w:r w:rsidR="002E0C5A" w:rsidRPr="613A5EC2">
        <w:rPr>
          <w:rFonts w:ascii="Verdana" w:eastAsia="Arial" w:hAnsi="Verdana" w:cs="Arial"/>
          <w:color w:val="000000" w:themeColor="text1"/>
          <w:lang w:val="es-ES" w:eastAsia="es-ES"/>
        </w:rPr>
        <w:t xml:space="preserve"> –</w:t>
      </w:r>
      <w:r w:rsidRPr="613A5EC2">
        <w:rPr>
          <w:rFonts w:ascii="Verdana" w:eastAsia="Arial" w:hAnsi="Verdana" w:cs="Arial"/>
          <w:color w:val="000000" w:themeColor="text1"/>
          <w:lang w:val="es-ES" w:eastAsia="es-ES"/>
        </w:rPr>
        <w:t xml:space="preserve"> según lo dispuesto en el artículo 1 de la Ley 119 de 1994, es un establecimiento público del orden nacional con personería jurídica, patrimonio propio e independiente, y autonomía administrativa, adscrito al Ministerio de Trabajo y Seguridad Social. Por lo tanto, hace parte de las entidades cuya definición indica el artículo 2 del EGCAP. </w:t>
      </w:r>
      <w:bookmarkEnd w:id="8"/>
    </w:p>
    <w:p w14:paraId="2EBE5A1C" w14:textId="77777777" w:rsidR="00745FFE" w:rsidRDefault="00745FFE" w:rsidP="613A5EC2">
      <w:pPr>
        <w:widowControl w:val="0"/>
        <w:autoSpaceDE w:val="0"/>
        <w:autoSpaceDN w:val="0"/>
        <w:spacing w:after="120" w:line="276" w:lineRule="auto"/>
        <w:ind w:firstLine="709"/>
        <w:jc w:val="both"/>
        <w:rPr>
          <w:rFonts w:ascii="Verdana" w:eastAsia="Arial" w:hAnsi="Verdana" w:cs="Arial"/>
          <w:color w:val="000000" w:themeColor="text1"/>
          <w:lang w:val="es-ES" w:eastAsia="es-ES"/>
        </w:rPr>
      </w:pPr>
      <w:r w:rsidRPr="613A5EC2">
        <w:rPr>
          <w:rFonts w:ascii="Verdana" w:eastAsia="Arial" w:hAnsi="Verdana" w:cs="Arial"/>
          <w:color w:val="000000" w:themeColor="text1"/>
          <w:lang w:val="es-ES" w:eastAsia="es-ES"/>
        </w:rPr>
        <w:t xml:space="preserve">Así pues, el contrato estatal es el acto jurídico creador de obligaciones en cuya celebración concurre una de las Entidades Estatales, independientemente de que se trate de contratos previstos o tipificados en el derecho privado, en disposiciones especiales o que sencillamente resulten del ejercicio de la autonomía de la voluntad, como sucede con los que se clasifican como atípicos e innominados. Por lo tanto, </w:t>
      </w:r>
      <w:bookmarkStart w:id="9" w:name="_Hlk150759930"/>
      <w:r w:rsidRPr="613A5EC2">
        <w:rPr>
          <w:rFonts w:ascii="Verdana" w:eastAsia="Arial" w:hAnsi="Verdana" w:cs="Arial"/>
          <w:color w:val="000000" w:themeColor="text1"/>
          <w:lang w:val="es-ES" w:eastAsia="es-ES"/>
        </w:rPr>
        <w:t>la Ley 80 de 1993 adoptó un criterio eminentemente orgánico, esto es, en atención a la naturaleza de los sujetos u órganos que intervienen en la formación del vínculo contractual, para efectos de determinar que los contratos podrán catalogarse como estatales únicamente en cuanto en uno de sus extremos, al menos, se encuentre una Entidad Estatal</w:t>
      </w:r>
      <w:r w:rsidRPr="613A5EC2">
        <w:rPr>
          <w:rFonts w:ascii="Verdana" w:eastAsia="Arial" w:hAnsi="Verdana" w:cs="Arial"/>
          <w:color w:val="000000" w:themeColor="text1"/>
          <w:vertAlign w:val="superscript"/>
          <w:lang w:val="es-ES" w:eastAsia="es-ES"/>
        </w:rPr>
        <w:footnoteReference w:id="4"/>
      </w:r>
      <w:r w:rsidRPr="613A5EC2">
        <w:rPr>
          <w:rFonts w:ascii="Verdana" w:eastAsia="Arial" w:hAnsi="Verdana" w:cs="Arial"/>
          <w:color w:val="000000" w:themeColor="text1"/>
          <w:lang w:val="es-ES" w:eastAsia="es-ES"/>
        </w:rPr>
        <w:t>, con independencia del régimen de derecho aplicable.</w:t>
      </w:r>
    </w:p>
    <w:bookmarkEnd w:id="9"/>
    <w:p w14:paraId="432CBA89" w14:textId="77777777" w:rsidR="002E0C5A" w:rsidRDefault="00745FFE" w:rsidP="613A5EC2">
      <w:pPr>
        <w:widowControl w:val="0"/>
        <w:autoSpaceDE w:val="0"/>
        <w:autoSpaceDN w:val="0"/>
        <w:spacing w:after="120" w:line="276" w:lineRule="auto"/>
        <w:ind w:firstLine="709"/>
        <w:jc w:val="both"/>
        <w:rPr>
          <w:rFonts w:ascii="Verdana" w:eastAsia="Arial" w:hAnsi="Verdana" w:cs="Arial"/>
          <w:color w:val="000000" w:themeColor="text1"/>
          <w:lang w:eastAsia="es-ES"/>
        </w:rPr>
      </w:pPr>
      <w:r w:rsidRPr="613A5EC2">
        <w:rPr>
          <w:rFonts w:ascii="Verdana" w:eastAsia="Arial" w:hAnsi="Verdana" w:cs="Arial"/>
          <w:color w:val="000000" w:themeColor="text1"/>
          <w:lang w:eastAsia="es-ES"/>
        </w:rPr>
        <w:t xml:space="preserve">Este entendimiento encuentra, además, recepción en los artículos 13 y 40 de la Ley 80 de 1993, los cuales integran al derecho contractual estatal “las disposiciones comerciales y civiles pertinentes”, cuando indican que estos se regirán de forma supletiva por ese régimen jurídico, salvo en las materias expresa y particularmente reguladas por el EGCAP, lo que permite concluir que “mediante la Ley 80, se pretendió que la actividad contractual del Estado </w:t>
      </w:r>
      <w:r w:rsidRPr="613A5EC2">
        <w:rPr>
          <w:rFonts w:ascii="Verdana" w:eastAsia="Arial" w:hAnsi="Verdana" w:cs="Arial"/>
          <w:color w:val="000000" w:themeColor="text1"/>
          <w:lang w:eastAsia="es-ES"/>
        </w:rPr>
        <w:lastRenderedPageBreak/>
        <w:t>quedará</w:t>
      </w:r>
      <w:r w:rsidRPr="613A5EC2">
        <w:rPr>
          <w:rFonts w:ascii="Verdana" w:eastAsia="Arial" w:hAnsi="Verdana" w:cs="Arial"/>
          <w:lang w:eastAsia="es-ES"/>
        </w:rPr>
        <w:t xml:space="preserve"> </w:t>
      </w:r>
      <w:r w:rsidRPr="613A5EC2">
        <w:rPr>
          <w:rFonts w:ascii="Verdana" w:eastAsia="Arial" w:hAnsi="Verdana" w:cs="Arial"/>
          <w:color w:val="000000" w:themeColor="text1"/>
          <w:lang w:eastAsia="es-ES"/>
        </w:rPr>
        <w:t>bajo la égida del contrato estatal, caracterizado por tener un régimen jurídico mixto, integrado por normas de derecho público y derecho privado”</w:t>
      </w:r>
      <w:r w:rsidRPr="613A5EC2">
        <w:rPr>
          <w:rFonts w:ascii="Verdana" w:eastAsia="Arial" w:hAnsi="Verdana" w:cs="Arial"/>
          <w:color w:val="000000" w:themeColor="text1"/>
          <w:vertAlign w:val="superscript"/>
          <w:lang w:eastAsia="es-ES"/>
        </w:rPr>
        <w:footnoteReference w:id="5"/>
      </w:r>
      <w:r w:rsidRPr="613A5EC2">
        <w:rPr>
          <w:rFonts w:ascii="Verdana" w:eastAsia="Arial" w:hAnsi="Verdana" w:cs="Arial"/>
          <w:color w:val="000000" w:themeColor="text1"/>
          <w:lang w:eastAsia="es-ES"/>
        </w:rPr>
        <w:t>.</w:t>
      </w:r>
    </w:p>
    <w:p w14:paraId="56107740" w14:textId="307859A6" w:rsidR="00745FFE" w:rsidRPr="0044679D" w:rsidRDefault="00745FFE" w:rsidP="00745FFE">
      <w:pPr>
        <w:widowControl w:val="0"/>
        <w:autoSpaceDE w:val="0"/>
        <w:autoSpaceDN w:val="0"/>
        <w:spacing w:after="0" w:line="276" w:lineRule="auto"/>
        <w:ind w:firstLine="607"/>
        <w:jc w:val="both"/>
        <w:rPr>
          <w:rFonts w:ascii="Verdana" w:eastAsia="Arial" w:hAnsi="Verdana" w:cs="Arial"/>
          <w:color w:val="000000" w:themeColor="text1"/>
          <w:lang w:eastAsia="es-ES"/>
        </w:rPr>
      </w:pPr>
      <w:r w:rsidRPr="613A5EC2">
        <w:rPr>
          <w:rFonts w:ascii="Verdana" w:eastAsia="Arial" w:hAnsi="Verdana" w:cs="Arial"/>
          <w:color w:val="000000" w:themeColor="text1"/>
          <w:lang w:eastAsia="es-ES"/>
        </w:rPr>
        <w:t>En armonía con lo anterior, la Sala de Consulta y Servicio Civil del Consejo de Estado, expresó que, en tal virtud, por regla general:</w:t>
      </w:r>
    </w:p>
    <w:p w14:paraId="50BBA9D7" w14:textId="77777777" w:rsidR="00745FFE" w:rsidRPr="0044679D" w:rsidRDefault="00745FFE" w:rsidP="00745FFE">
      <w:pPr>
        <w:widowControl w:val="0"/>
        <w:autoSpaceDE w:val="0"/>
        <w:autoSpaceDN w:val="0"/>
        <w:spacing w:after="0" w:line="276" w:lineRule="auto"/>
        <w:ind w:firstLine="607"/>
        <w:jc w:val="both"/>
        <w:rPr>
          <w:rFonts w:ascii="Verdana" w:eastAsia="Arial" w:hAnsi="Verdana" w:cs="Arial"/>
          <w:color w:val="000000" w:themeColor="text1"/>
          <w:lang w:eastAsia="es-ES_tradnl"/>
        </w:rPr>
      </w:pPr>
    </w:p>
    <w:p w14:paraId="4A6F83E8" w14:textId="77777777" w:rsidR="00745FFE" w:rsidRPr="00346954" w:rsidRDefault="00745FFE" w:rsidP="00745FFE">
      <w:pPr>
        <w:widowControl w:val="0"/>
        <w:autoSpaceDE w:val="0"/>
        <w:autoSpaceDN w:val="0"/>
        <w:spacing w:after="0" w:line="240" w:lineRule="auto"/>
        <w:ind w:left="709" w:right="709"/>
        <w:contextualSpacing/>
        <w:jc w:val="both"/>
        <w:rPr>
          <w:rFonts w:ascii="Verdana" w:eastAsia="Arial" w:hAnsi="Verdana" w:cs="Arial"/>
          <w:b/>
          <w:color w:val="000000" w:themeColor="text1"/>
          <w:sz w:val="20"/>
          <w:szCs w:val="20"/>
          <w:lang w:eastAsia="es-ES"/>
        </w:rPr>
      </w:pPr>
      <w:r w:rsidRPr="613A5EC2">
        <w:rPr>
          <w:rFonts w:ascii="Verdana" w:eastAsia="Arial" w:hAnsi="Verdana" w:cs="Arial"/>
          <w:color w:val="000000" w:themeColor="text1"/>
          <w:sz w:val="20"/>
          <w:szCs w:val="20"/>
          <w:lang w:eastAsia="es-ES"/>
        </w:rPr>
        <w:t>“[…] las entidades estatales dentro del ámbito de aplicación del Estatuto General de Contratación de la Administración Púbica, cuando celebren contratos deben cumplir las disposiciones del derecho privado (comerciales y civiles) que resulten aplicables, excepto en aquellas materias expresamente reguladas por el citado Estatuto y las normas que lo modifiquen o adicionen, verbigracia, los mecanismos de selección, los principios de transparencia, economía y responsabilidad, el deber de selección objetiva, las inhabilidades e incompatibilidades para contratar, los requisitos de perfeccionamiento y ejecución del contrato, el equilibrio económico y financiero del contrato, las cláusulas excepcionales (interpretación, modificación y terminación  unilaterales, caducidad, reversión y sometimiento de a las leyes nacionales), la imposición y efectividad de las multas y cláusula penal una vez pactadas, las garantías del contrato, las nulidades específicas del contrato estatal, el silencio administrativo positivo, la liquidación del contrato, entre otras”</w:t>
      </w:r>
      <w:r w:rsidRPr="613A5EC2">
        <w:rPr>
          <w:rFonts w:ascii="Verdana" w:eastAsia="Arial" w:hAnsi="Verdana" w:cs="Arial"/>
          <w:color w:val="000000" w:themeColor="text1"/>
          <w:sz w:val="20"/>
          <w:szCs w:val="20"/>
          <w:vertAlign w:val="superscript"/>
          <w:lang w:eastAsia="es-ES"/>
        </w:rPr>
        <w:footnoteReference w:id="6"/>
      </w:r>
      <w:r w:rsidRPr="613A5EC2">
        <w:rPr>
          <w:rFonts w:ascii="Verdana" w:eastAsia="Arial" w:hAnsi="Verdana" w:cs="Arial"/>
          <w:color w:val="000000" w:themeColor="text1"/>
          <w:sz w:val="20"/>
          <w:szCs w:val="20"/>
          <w:lang w:eastAsia="es-ES"/>
        </w:rPr>
        <w:t>.</w:t>
      </w:r>
      <w:r w:rsidRPr="613A5EC2">
        <w:rPr>
          <w:rFonts w:ascii="Verdana" w:eastAsia="Arial" w:hAnsi="Verdana" w:cs="Arial"/>
          <w:b/>
          <w:color w:val="000000" w:themeColor="text1"/>
          <w:sz w:val="20"/>
          <w:szCs w:val="20"/>
          <w:lang w:eastAsia="es-ES"/>
        </w:rPr>
        <w:t xml:space="preserve"> </w:t>
      </w:r>
    </w:p>
    <w:p w14:paraId="33243D37" w14:textId="77777777" w:rsidR="00745FFE" w:rsidRPr="00346954" w:rsidRDefault="00745FFE" w:rsidP="613A5EC2">
      <w:pPr>
        <w:widowControl w:val="0"/>
        <w:autoSpaceDE w:val="0"/>
        <w:autoSpaceDN w:val="0"/>
        <w:spacing w:after="0" w:line="276" w:lineRule="auto"/>
        <w:ind w:left="709" w:right="709"/>
        <w:jc w:val="both"/>
        <w:rPr>
          <w:rFonts w:ascii="Verdana" w:eastAsia="Arial" w:hAnsi="Verdana" w:cs="Arial"/>
          <w:b/>
          <w:color w:val="000000" w:themeColor="text1"/>
          <w:lang w:eastAsia="es-ES"/>
        </w:rPr>
      </w:pPr>
    </w:p>
    <w:p w14:paraId="104D29F8" w14:textId="4532DBD2" w:rsidR="00745FFE" w:rsidRPr="0044679D" w:rsidRDefault="00745FFE" w:rsidP="00745FFE">
      <w:pPr>
        <w:widowControl w:val="0"/>
        <w:autoSpaceDE w:val="0"/>
        <w:autoSpaceDN w:val="0"/>
        <w:spacing w:after="0" w:line="276" w:lineRule="auto"/>
        <w:ind w:firstLine="607"/>
        <w:jc w:val="both"/>
        <w:rPr>
          <w:rFonts w:ascii="Verdana" w:eastAsia="Arial" w:hAnsi="Verdana" w:cs="Arial"/>
          <w:color w:val="000000" w:themeColor="text1"/>
          <w:lang w:val="es-ES" w:eastAsia="es-ES"/>
        </w:rPr>
      </w:pPr>
      <w:r w:rsidRPr="0044679D">
        <w:rPr>
          <w:rFonts w:ascii="Verdana" w:eastAsia="Arial" w:hAnsi="Verdana" w:cs="Arial"/>
          <w:color w:val="000000" w:themeColor="text1"/>
          <w:lang w:val="es-ES" w:eastAsia="es-ES"/>
        </w:rPr>
        <w:t xml:space="preserve">Ahora bien, como el contrato estatal corresponde al acuerdo de voluntades en que uno de los extremos es una </w:t>
      </w:r>
      <w:r w:rsidR="001F767D" w:rsidRPr="0044679D">
        <w:rPr>
          <w:rFonts w:ascii="Verdana" w:eastAsia="Arial" w:hAnsi="Verdana" w:cs="Arial"/>
          <w:color w:val="000000" w:themeColor="text1"/>
          <w:lang w:val="es-ES" w:eastAsia="es-ES"/>
        </w:rPr>
        <w:t>Entidad Pública</w:t>
      </w:r>
      <w:r w:rsidRPr="0044679D">
        <w:rPr>
          <w:rFonts w:ascii="Verdana" w:eastAsia="Arial" w:hAnsi="Verdana" w:cs="Arial"/>
          <w:color w:val="000000" w:themeColor="text1"/>
          <w:lang w:val="es-ES" w:eastAsia="es-ES"/>
        </w:rPr>
        <w:t xml:space="preserve">, no solo pertenecen a esta categoría los celebrados por las entidades a las que se refiere la Ley 80 de 1993, sino también aquellos en los que interviene como parte cualquier Entidad Pública, independiente del régimen jurídico aplicable. Este criterio es el que ha sido adoptado por el Consejo de Estado, para quien el carácter de contrato estatal se establece por la presencia de una Entidad Estatal como parte </w:t>
      </w:r>
      <w:proofErr w:type="gramStart"/>
      <w:r w:rsidRPr="0044679D">
        <w:rPr>
          <w:rFonts w:ascii="Verdana" w:eastAsia="Arial" w:hAnsi="Verdana" w:cs="Arial"/>
          <w:color w:val="000000" w:themeColor="text1"/>
          <w:lang w:val="es-ES" w:eastAsia="es-ES"/>
        </w:rPr>
        <w:t>del mismo</w:t>
      </w:r>
      <w:proofErr w:type="gramEnd"/>
      <w:r w:rsidRPr="0044679D">
        <w:rPr>
          <w:rFonts w:ascii="Verdana" w:eastAsia="Arial" w:hAnsi="Verdana" w:cs="Arial"/>
          <w:color w:val="000000" w:themeColor="text1"/>
          <w:lang w:val="es-ES" w:eastAsia="es-ES"/>
        </w:rPr>
        <w:t>:</w:t>
      </w:r>
    </w:p>
    <w:p w14:paraId="7B4FD167" w14:textId="77777777" w:rsidR="00745FFE" w:rsidRPr="0044679D" w:rsidRDefault="00745FFE" w:rsidP="00BE423F">
      <w:pPr>
        <w:widowControl w:val="0"/>
        <w:autoSpaceDE w:val="0"/>
        <w:autoSpaceDN w:val="0"/>
        <w:spacing w:after="0" w:line="240" w:lineRule="auto"/>
        <w:ind w:firstLine="607"/>
        <w:jc w:val="both"/>
        <w:rPr>
          <w:rFonts w:ascii="Verdana" w:eastAsia="Arial" w:hAnsi="Verdana" w:cs="Arial"/>
          <w:color w:val="000000" w:themeColor="text1"/>
          <w:lang w:val="es-ES" w:eastAsia="es-ES"/>
        </w:rPr>
      </w:pPr>
    </w:p>
    <w:p w14:paraId="597E01DB" w14:textId="4B469538" w:rsidR="00745FFE" w:rsidRPr="00F1266F" w:rsidRDefault="00745FFE" w:rsidP="00F1266F">
      <w:pPr>
        <w:widowControl w:val="0"/>
        <w:autoSpaceDE w:val="0"/>
        <w:autoSpaceDN w:val="0"/>
        <w:spacing w:after="0" w:line="240" w:lineRule="auto"/>
        <w:ind w:left="709" w:right="709"/>
        <w:jc w:val="both"/>
        <w:rPr>
          <w:rFonts w:ascii="Verdana" w:eastAsia="Arial" w:hAnsi="Verdana" w:cs="Arial"/>
          <w:color w:val="000000" w:themeColor="text1"/>
          <w:sz w:val="20"/>
          <w:szCs w:val="20"/>
          <w:lang w:val="es-ES" w:eastAsia="es-ES"/>
        </w:rPr>
      </w:pPr>
      <w:r w:rsidRPr="613A5EC2">
        <w:rPr>
          <w:rFonts w:ascii="Verdana" w:eastAsia="Arial" w:hAnsi="Verdana" w:cs="Arial"/>
          <w:color w:val="000000" w:themeColor="text1"/>
          <w:sz w:val="20"/>
          <w:szCs w:val="20"/>
          <w:lang w:val="es-ES" w:eastAsia="es-ES"/>
        </w:rPr>
        <w:t xml:space="preserve">“[L]a Jurisprudencia de esta Corporación ha señalado que la naturaleza del contrato no depende de su régimen jurídico, por tanto, al adoptar un criterio orgánico, se ha expuesto que serán considerados contratos estatales aquellos que celebren las entidades de igual naturaleza. En este sentido se ha pronunciado esta Sala: “De este modo, son contratos estatales ‘todos los contratos que celebren las entidades públicas del Estado, ya sea que se regulen por el Estatuto General de Contratación </w:t>
      </w:r>
      <w:r w:rsidRPr="613A5EC2">
        <w:rPr>
          <w:rFonts w:ascii="Verdana" w:eastAsia="Arial" w:hAnsi="Verdana" w:cs="Arial"/>
          <w:color w:val="000000" w:themeColor="text1"/>
          <w:sz w:val="20"/>
          <w:szCs w:val="20"/>
          <w:lang w:val="es-ES" w:eastAsia="es-ES"/>
        </w:rPr>
        <w:lastRenderedPageBreak/>
        <w:t>Administrativa o que estén sujetos a regímenes especiales’”.</w:t>
      </w:r>
      <w:r w:rsidRPr="613A5EC2">
        <w:rPr>
          <w:rFonts w:ascii="Verdana" w:eastAsia="Arial" w:hAnsi="Verdana" w:cs="Arial"/>
          <w:color w:val="000000" w:themeColor="text1"/>
          <w:sz w:val="20"/>
          <w:szCs w:val="20"/>
          <w:vertAlign w:val="superscript"/>
          <w:lang w:val="es-ES" w:eastAsia="es-ES"/>
        </w:rPr>
        <w:footnoteReference w:id="7"/>
      </w:r>
    </w:p>
    <w:p w14:paraId="7ADCA601" w14:textId="77777777" w:rsidR="00BE423F" w:rsidRDefault="00BE423F" w:rsidP="00BE423F">
      <w:pPr>
        <w:widowControl w:val="0"/>
        <w:autoSpaceDE w:val="0"/>
        <w:autoSpaceDN w:val="0"/>
        <w:spacing w:after="0" w:line="240" w:lineRule="auto"/>
        <w:ind w:firstLine="607"/>
        <w:jc w:val="both"/>
        <w:rPr>
          <w:rFonts w:ascii="Verdana" w:eastAsia="Arial" w:hAnsi="Verdana" w:cs="Arial"/>
          <w:color w:val="000000" w:themeColor="text1"/>
          <w:lang w:val="es-ES_tradnl" w:eastAsia="es-ES_tradnl"/>
        </w:rPr>
      </w:pPr>
    </w:p>
    <w:p w14:paraId="521A2099" w14:textId="113A0BA0" w:rsidR="00745FFE" w:rsidRPr="0044679D" w:rsidRDefault="00745FFE" w:rsidP="00745FFE">
      <w:pPr>
        <w:widowControl w:val="0"/>
        <w:autoSpaceDE w:val="0"/>
        <w:autoSpaceDN w:val="0"/>
        <w:spacing w:after="120" w:line="276" w:lineRule="auto"/>
        <w:ind w:firstLine="607"/>
        <w:jc w:val="both"/>
        <w:rPr>
          <w:rFonts w:ascii="Verdana" w:eastAsia="Arial" w:hAnsi="Verdana" w:cs="Arial"/>
          <w:color w:val="000000" w:themeColor="text1"/>
          <w:lang w:val="es-ES_tradnl" w:eastAsia="es-ES_tradnl"/>
        </w:rPr>
      </w:pPr>
      <w:r w:rsidRPr="0044679D">
        <w:rPr>
          <w:rFonts w:ascii="Verdana" w:eastAsia="Arial" w:hAnsi="Verdana" w:cs="Arial"/>
          <w:color w:val="000000" w:themeColor="text1"/>
          <w:lang w:val="es-ES_tradnl" w:eastAsia="es-ES_tradnl"/>
        </w:rPr>
        <w:t>De todos modos, sin perjuicio del régimen normativo que aplique al negocio jurídico estatal, la Entidad Pública exceptuada y con régimen especial de contratación debe observar y acatar los principios consagrados en los artículos 209 y 267 de la Constitución Política, aplicar las mismas inhabilidades e incompatibilidades del régimen general de la contratación estatal y cumplir con el deber de publicidad – como se estudiará más adelante –, según mandato expreso del artículo 13 de la Ley 1150 de 2007, sin perjuicio, de la aplicación de otras disposiciones que aplican de forma transversal a los contratos celebrados por Entidades Públicas.</w:t>
      </w:r>
    </w:p>
    <w:p w14:paraId="4F6178F4" w14:textId="6A0446CD" w:rsidR="00745FFE" w:rsidRDefault="00745FFE" w:rsidP="613A5EC2">
      <w:pPr>
        <w:spacing w:after="0" w:line="276" w:lineRule="auto"/>
        <w:ind w:firstLine="709"/>
        <w:jc w:val="both"/>
        <w:rPr>
          <w:rFonts w:ascii="Verdana" w:eastAsia="Calibri" w:hAnsi="Verdana" w:cs="Arial"/>
          <w:lang w:eastAsia="es-ES"/>
        </w:rPr>
      </w:pPr>
      <w:bookmarkStart w:id="10" w:name="_Hlk121750642"/>
      <w:r w:rsidRPr="613A5EC2">
        <w:rPr>
          <w:rFonts w:ascii="Verdana" w:eastAsia="Times New Roman" w:hAnsi="Verdana" w:cs="Arial"/>
          <w:color w:val="000000" w:themeColor="text1"/>
          <w:lang w:eastAsia="es-ES"/>
        </w:rPr>
        <w:t xml:space="preserve">Ahora bien, es preciso mencionar que las </w:t>
      </w:r>
      <w:r w:rsidRPr="613A5EC2">
        <w:rPr>
          <w:rFonts w:ascii="Verdana" w:eastAsia="Calibri" w:hAnsi="Verdana" w:cs="Arial"/>
          <w:lang w:eastAsia="es-ES"/>
        </w:rPr>
        <w:t xml:space="preserve">Entidades Estatales regidas por el EGCAP pueden celebrar otro tipo de negocios jurídicos autorizados por la ley, como es el caso de los convenios de asociación definidos en los artículos 95 y 96 de la Ley 489 de 1998 o los convenios especiales de cooperación señalados en los </w:t>
      </w:r>
      <w:r w:rsidR="006C0561" w:rsidRPr="613A5EC2">
        <w:rPr>
          <w:rFonts w:ascii="Verdana" w:eastAsia="Calibri" w:hAnsi="Verdana" w:cs="Arial"/>
          <w:lang w:eastAsia="es-ES"/>
        </w:rPr>
        <w:t>D</w:t>
      </w:r>
      <w:r w:rsidRPr="613A5EC2">
        <w:rPr>
          <w:rFonts w:ascii="Verdana" w:eastAsia="Calibri" w:hAnsi="Verdana" w:cs="Arial"/>
          <w:lang w:eastAsia="es-ES"/>
        </w:rPr>
        <w:t xml:space="preserve">ecretos 393 y 591 de 1991, entre otros. Sin embargo, en los convenios que las entidades celebren, deberán dar plena observancia a los principios de la función pública consagrados en el artículo 209 de la Constitución Política. </w:t>
      </w:r>
    </w:p>
    <w:p w14:paraId="1CE1F076" w14:textId="77777777" w:rsidR="0055619C" w:rsidRDefault="0055619C" w:rsidP="613A5EC2">
      <w:pPr>
        <w:spacing w:after="0" w:line="276" w:lineRule="auto"/>
        <w:jc w:val="both"/>
        <w:rPr>
          <w:rFonts w:ascii="Verdana" w:eastAsia="Calibri" w:hAnsi="Verdana" w:cs="Arial"/>
          <w:lang w:eastAsia="es-ES"/>
        </w:rPr>
      </w:pPr>
    </w:p>
    <w:p w14:paraId="3117A9AA" w14:textId="77777777" w:rsidR="0018128D" w:rsidRDefault="0055619C" w:rsidP="613A5EC2">
      <w:pPr>
        <w:spacing w:after="120" w:line="276" w:lineRule="auto"/>
        <w:jc w:val="both"/>
        <w:rPr>
          <w:rFonts w:ascii="Verdana" w:eastAsia="Arial" w:hAnsi="Verdana" w:cs="Arial"/>
          <w:lang w:eastAsia="es-ES"/>
        </w:rPr>
      </w:pPr>
      <w:proofErr w:type="spellStart"/>
      <w:r w:rsidRPr="613A5EC2">
        <w:rPr>
          <w:rFonts w:ascii="Verdana" w:eastAsia="Calibri" w:hAnsi="Verdana" w:cs="Arial"/>
          <w:lang w:eastAsia="es-ES"/>
        </w:rPr>
        <w:t>ii</w:t>
      </w:r>
      <w:proofErr w:type="spellEnd"/>
      <w:r w:rsidRPr="613A5EC2">
        <w:rPr>
          <w:rFonts w:ascii="Verdana" w:eastAsia="Calibri" w:hAnsi="Verdana" w:cs="Arial"/>
          <w:lang w:eastAsia="es-ES"/>
        </w:rPr>
        <w:t xml:space="preserve">) </w:t>
      </w:r>
      <w:r w:rsidR="00745FFE" w:rsidRPr="613A5EC2">
        <w:rPr>
          <w:rFonts w:ascii="Verdana" w:eastAsia="Calibri" w:hAnsi="Verdana" w:cs="Arial"/>
          <w:lang w:eastAsia="es-ES"/>
        </w:rPr>
        <w:t xml:space="preserve">Con base en lo anterior y para dar respuesta la consulta elevada resulta importante indicar que </w:t>
      </w:r>
      <w:bookmarkEnd w:id="10"/>
      <w:r w:rsidR="00745FFE" w:rsidRPr="613A5EC2">
        <w:rPr>
          <w:rFonts w:ascii="Verdana" w:eastAsia="Calibri" w:hAnsi="Verdana" w:cs="Arial"/>
          <w:lang w:eastAsia="es-ES"/>
        </w:rPr>
        <w:t>l</w:t>
      </w:r>
      <w:r w:rsidR="00745FFE" w:rsidRPr="00B87FFD">
        <w:rPr>
          <w:rFonts w:ascii="Verdana" w:eastAsia="Arial" w:hAnsi="Verdana" w:cs="Arial"/>
          <w:lang w:eastAsia="es-ES"/>
        </w:rPr>
        <w:t xml:space="preserve">a Constitución Política de 1991 consagra en varios artículos la publicidad como un principio rector del Estado colombiano. Entre los más destacados, puede mencionarse el 209, que afirma que la publicidad es uno de los principios que fundamentan el ejercicio de la función administrativa y el 74, que consagra la garantía de acceso a los documentos públicos que no gocen de reserva –y esta, además, es excepcional, pues solo procede si existe causal constitucional o legal expresa–. </w:t>
      </w:r>
    </w:p>
    <w:p w14:paraId="249A4716" w14:textId="6C060AF7" w:rsidR="00745FFE" w:rsidRPr="00BE423F" w:rsidRDefault="00745FFE" w:rsidP="00BE423F">
      <w:pPr>
        <w:spacing w:after="0" w:line="276" w:lineRule="auto"/>
        <w:ind w:firstLine="708"/>
        <w:jc w:val="both"/>
        <w:rPr>
          <w:rFonts w:ascii="Verdana" w:eastAsia="Arial" w:hAnsi="Verdana" w:cs="Arial"/>
          <w:lang w:eastAsia="es-ES"/>
        </w:rPr>
      </w:pPr>
      <w:r w:rsidRPr="00B87FFD">
        <w:rPr>
          <w:rFonts w:ascii="Verdana" w:eastAsia="Arial" w:hAnsi="Verdana" w:cs="Arial"/>
          <w:lang w:eastAsia="es-ES"/>
        </w:rPr>
        <w:t>En tal perspectiva, la Corte Constitucional ha señalado que el principio de publicidad es la garantía que tienen las personas de conocer las actuaciones judiciales y administrativas. De este modo, explica:</w:t>
      </w:r>
    </w:p>
    <w:p w14:paraId="4DA5F028" w14:textId="77777777" w:rsidR="00745FFE" w:rsidRDefault="00745FFE" w:rsidP="00745FFE">
      <w:pPr>
        <w:pStyle w:val="Prrafodelista"/>
        <w:tabs>
          <w:tab w:val="left" w:pos="3885"/>
        </w:tabs>
        <w:spacing w:after="0" w:line="240" w:lineRule="auto"/>
        <w:ind w:left="709" w:right="709"/>
        <w:jc w:val="both"/>
        <w:rPr>
          <w:rFonts w:ascii="Verdana" w:eastAsia="Arial" w:hAnsi="Verdana" w:cs="Arial"/>
          <w:sz w:val="20"/>
          <w:szCs w:val="20"/>
          <w:lang w:eastAsia="es-ES"/>
        </w:rPr>
      </w:pPr>
      <w:r>
        <w:rPr>
          <w:rFonts w:ascii="Verdana" w:eastAsia="Arial" w:hAnsi="Verdana" w:cs="Arial"/>
          <w:sz w:val="20"/>
          <w:szCs w:val="20"/>
          <w:lang w:eastAsia="es-ES"/>
        </w:rPr>
        <w:lastRenderedPageBreak/>
        <w:t xml:space="preserve">“(…) </w:t>
      </w:r>
      <w:r w:rsidRPr="0095395A">
        <w:rPr>
          <w:rFonts w:ascii="Verdana" w:eastAsia="Arial" w:hAnsi="Verdana" w:cs="Arial"/>
          <w:sz w:val="20"/>
          <w:szCs w:val="20"/>
          <w:lang w:eastAsia="es-ES"/>
        </w:rPr>
        <w:t>El principio de publicidad se encuentra consagrado en el artículo 209 de la Constitución Política, que señala que la función administrativa está al servicio de los intereses generales y se desarrolla con fundamento entre otros, en el “principio de publicidad”, el cual se evidencia en dos dimensiones.</w:t>
      </w:r>
    </w:p>
    <w:p w14:paraId="71FB0E36" w14:textId="77777777" w:rsidR="00745FFE" w:rsidRPr="0095395A" w:rsidRDefault="00745FFE" w:rsidP="00745FFE">
      <w:pPr>
        <w:pStyle w:val="Prrafodelista"/>
        <w:tabs>
          <w:tab w:val="left" w:pos="3885"/>
        </w:tabs>
        <w:spacing w:after="0" w:line="240" w:lineRule="auto"/>
        <w:ind w:left="709" w:right="709"/>
        <w:jc w:val="both"/>
        <w:rPr>
          <w:rFonts w:ascii="Verdana" w:eastAsia="Arial" w:hAnsi="Verdana" w:cs="Arial"/>
          <w:sz w:val="20"/>
          <w:szCs w:val="20"/>
          <w:lang w:eastAsia="es-ES"/>
        </w:rPr>
      </w:pPr>
    </w:p>
    <w:p w14:paraId="475D2C19" w14:textId="77777777" w:rsidR="00745FFE" w:rsidRPr="009930C5" w:rsidRDefault="00745FFE" w:rsidP="00745FFE">
      <w:pPr>
        <w:pStyle w:val="Prrafodelista"/>
        <w:tabs>
          <w:tab w:val="left" w:pos="3885"/>
          <w:tab w:val="left" w:pos="8222"/>
        </w:tabs>
        <w:spacing w:after="0" w:line="240" w:lineRule="auto"/>
        <w:ind w:left="709" w:right="709"/>
        <w:jc w:val="both"/>
        <w:rPr>
          <w:rFonts w:ascii="Verdana" w:eastAsia="Arial" w:hAnsi="Verdana" w:cs="Arial"/>
          <w:sz w:val="20"/>
          <w:szCs w:val="20"/>
          <w:lang w:eastAsia="es-ES"/>
        </w:rPr>
      </w:pPr>
      <w:r w:rsidRPr="0095395A">
        <w:rPr>
          <w:rFonts w:ascii="Verdana" w:eastAsia="Arial" w:hAnsi="Verdana" w:cs="Arial"/>
          <w:sz w:val="20"/>
          <w:szCs w:val="20"/>
          <w:lang w:eastAsia="es-ES"/>
        </w:rPr>
        <w:t xml:space="preserve">La primera de ellas, como el derecho que tienen las personas directamente involucradas, al conocimiento de las actuaciones judiciales y administrativas, la cual se concreta a través de los mecanismos de comunicación y la segunda, como el reconocimiento del derecho que tiene la comunidad de conocer las actuaciones de las </w:t>
      </w:r>
      <w:proofErr w:type="gramStart"/>
      <w:r w:rsidRPr="0095395A">
        <w:rPr>
          <w:rFonts w:ascii="Verdana" w:eastAsia="Arial" w:hAnsi="Verdana" w:cs="Arial"/>
          <w:sz w:val="20"/>
          <w:szCs w:val="20"/>
          <w:lang w:eastAsia="es-ES"/>
        </w:rPr>
        <w:t>autoridades públicas</w:t>
      </w:r>
      <w:proofErr w:type="gramEnd"/>
      <w:r w:rsidRPr="0095395A">
        <w:rPr>
          <w:rFonts w:ascii="Verdana" w:eastAsia="Arial" w:hAnsi="Verdana" w:cs="Arial"/>
          <w:sz w:val="20"/>
          <w:szCs w:val="20"/>
          <w:lang w:eastAsia="es-ES"/>
        </w:rPr>
        <w:t xml:space="preserve"> y, a través de ese conocimiento, a exigir que ellas se surtan conforme a la ley</w:t>
      </w:r>
      <w:r w:rsidRPr="0095395A">
        <w:rPr>
          <w:rFonts w:ascii="Verdana" w:hAnsi="Verdana"/>
          <w:sz w:val="20"/>
          <w:szCs w:val="20"/>
          <w:vertAlign w:val="superscript"/>
          <w:lang w:eastAsia="es-ES"/>
        </w:rPr>
        <w:footnoteReference w:id="8"/>
      </w:r>
      <w:r w:rsidRPr="0095395A">
        <w:rPr>
          <w:rFonts w:ascii="Verdana" w:eastAsia="Arial" w:hAnsi="Verdana" w:cs="Arial"/>
          <w:sz w:val="20"/>
          <w:szCs w:val="20"/>
          <w:lang w:eastAsia="es-ES"/>
        </w:rPr>
        <w:t>.</w:t>
      </w:r>
    </w:p>
    <w:p w14:paraId="5C7185EF" w14:textId="77777777" w:rsidR="00745FFE" w:rsidRDefault="00745FFE" w:rsidP="613A5EC2">
      <w:pPr>
        <w:spacing w:after="0" w:line="276" w:lineRule="auto"/>
        <w:ind w:firstLine="709"/>
        <w:jc w:val="both"/>
        <w:rPr>
          <w:rFonts w:ascii="Verdana" w:eastAsia="Arial" w:hAnsi="Verdana" w:cs="Arial"/>
          <w:lang w:eastAsia="es-ES"/>
        </w:rPr>
      </w:pPr>
    </w:p>
    <w:p w14:paraId="0A2C0D46" w14:textId="77777777" w:rsidR="00745FFE" w:rsidRDefault="00745FFE" w:rsidP="00745FFE">
      <w:pPr>
        <w:spacing w:after="120" w:line="276" w:lineRule="auto"/>
        <w:ind w:firstLine="709"/>
        <w:jc w:val="both"/>
        <w:rPr>
          <w:rFonts w:ascii="Verdana" w:eastAsia="Arial" w:hAnsi="Verdana" w:cs="Arial"/>
          <w:lang w:eastAsia="es-ES"/>
        </w:rPr>
      </w:pPr>
      <w:r w:rsidRPr="00023973">
        <w:rPr>
          <w:rFonts w:ascii="Verdana" w:eastAsia="Arial" w:hAnsi="Verdana" w:cs="Arial"/>
          <w:lang w:eastAsia="es-ES"/>
        </w:rPr>
        <w:t>El principio de publicidad impone a las autoridades administrativas el deber de dar a conocer sus actos, contratos y decisiones, para que se divulguen y</w:t>
      </w:r>
      <w:r>
        <w:rPr>
          <w:rFonts w:ascii="Verdana" w:eastAsia="Arial" w:hAnsi="Verdana" w:cs="Arial"/>
          <w:lang w:eastAsia="es-ES"/>
        </w:rPr>
        <w:t>,</w:t>
      </w:r>
      <w:r w:rsidRPr="00023973">
        <w:rPr>
          <w:rFonts w:ascii="Verdana" w:eastAsia="Arial" w:hAnsi="Verdana" w:cs="Arial"/>
          <w:lang w:eastAsia="es-ES"/>
        </w:rPr>
        <w:t xml:space="preserve"> eventualmente</w:t>
      </w:r>
      <w:r>
        <w:rPr>
          <w:rFonts w:ascii="Verdana" w:eastAsia="Arial" w:hAnsi="Verdana" w:cs="Arial"/>
          <w:lang w:eastAsia="es-ES"/>
        </w:rPr>
        <w:t>,</w:t>
      </w:r>
      <w:r w:rsidRPr="00023973">
        <w:rPr>
          <w:rFonts w:ascii="Verdana" w:eastAsia="Arial" w:hAnsi="Verdana" w:cs="Arial"/>
          <w:lang w:eastAsia="es-ES"/>
        </w:rPr>
        <w:t xml:space="preserve"> se controlen dichas actuaciones. Es por eso por lo que, en la contratación estatal, el literal c) del artículo 3 de la Ley 1150 de 2007 establece el Sistema Electrónico para la Contratación Pública –SECOP– como un mecanismo que “contará con la información oficial de la contratación realizada con dineros públicos, para lo cual establecerá los patrones a que haya lugar y se encargará de su difusión a través de canales electrónicos”</w:t>
      </w:r>
      <w:r w:rsidRPr="005B4115">
        <w:rPr>
          <w:rFonts w:ascii="Verdana" w:hAnsi="Verdana"/>
          <w:vertAlign w:val="superscript"/>
          <w:lang w:eastAsia="es-ES"/>
        </w:rPr>
        <w:footnoteReference w:id="9"/>
      </w:r>
      <w:r w:rsidRPr="00023973">
        <w:rPr>
          <w:rFonts w:ascii="Verdana" w:eastAsia="Arial" w:hAnsi="Verdana" w:cs="Arial"/>
          <w:lang w:eastAsia="es-ES"/>
        </w:rPr>
        <w:t xml:space="preserve">. </w:t>
      </w:r>
    </w:p>
    <w:p w14:paraId="03CA61B9" w14:textId="137483B1" w:rsidR="00B831C3" w:rsidRPr="005B4115" w:rsidRDefault="00B831C3" w:rsidP="005B4115">
      <w:pPr>
        <w:spacing w:after="120" w:line="276" w:lineRule="auto"/>
        <w:ind w:firstLine="709"/>
        <w:jc w:val="both"/>
        <w:rPr>
          <w:rFonts w:ascii="Verdana" w:eastAsia="Arial" w:hAnsi="Verdana" w:cs="Arial"/>
          <w:lang w:val="es-ES"/>
        </w:rPr>
      </w:pPr>
      <w:r w:rsidRPr="613A5EC2">
        <w:rPr>
          <w:rFonts w:ascii="Verdana" w:eastAsia="Arial" w:hAnsi="Verdana" w:cs="Arial"/>
          <w:lang w:val="es-ES"/>
        </w:rPr>
        <w:t xml:space="preserve">De este modo, del artículo 3 de la Ley 1150 de 2007 se desprende un deber de publicar las actuaciones contractuales, el cual implica que todas las </w:t>
      </w:r>
      <w:r w:rsidR="00147B89" w:rsidRPr="613A5EC2">
        <w:rPr>
          <w:rFonts w:ascii="Verdana" w:eastAsia="Arial" w:hAnsi="Verdana" w:cs="Arial"/>
          <w:lang w:val="es-ES"/>
        </w:rPr>
        <w:t>Entidades Estatales</w:t>
      </w:r>
      <w:r w:rsidRPr="613A5EC2">
        <w:rPr>
          <w:rFonts w:ascii="Verdana" w:eastAsia="Arial" w:hAnsi="Verdana" w:cs="Arial"/>
          <w:lang w:val="es-ES"/>
        </w:rPr>
        <w:t>, publiquen los documentos en los que se evidencia el desarrollo de sus procesos de contratación. Esto, como quiera que el objetivo del deber de dar publicidad a las actuaciones contractuales es materializar el derecho a conocer e intervenir de las decisiones de la Administración Pública.</w:t>
      </w:r>
    </w:p>
    <w:p w14:paraId="32236773" w14:textId="77777777" w:rsidR="00F365C7" w:rsidRPr="005B4115" w:rsidRDefault="00F365C7" w:rsidP="005B4115">
      <w:pPr>
        <w:spacing w:after="120" w:line="276" w:lineRule="auto"/>
        <w:ind w:firstLine="708"/>
        <w:jc w:val="both"/>
        <w:rPr>
          <w:rFonts w:ascii="Verdana" w:eastAsia="Times New Roman" w:hAnsi="Verdana" w:cs="Arial"/>
          <w:lang w:eastAsia="es-CO"/>
        </w:rPr>
      </w:pPr>
      <w:r w:rsidRPr="005B4115">
        <w:rPr>
          <w:rFonts w:ascii="Verdana" w:eastAsia="Arial" w:hAnsi="Verdana" w:cs="Arial"/>
          <w:lang w:val="es-ES"/>
        </w:rPr>
        <w:lastRenderedPageBreak/>
        <w:t>De otra parte, la Ley 1712 de 2014</w:t>
      </w:r>
      <w:r w:rsidRPr="005B4115">
        <w:rPr>
          <w:rStyle w:val="Refdenotaalpie"/>
          <w:rFonts w:ascii="Verdana" w:eastAsia="Arial" w:hAnsi="Verdana" w:cs="Arial"/>
          <w:lang w:val="es-ES"/>
        </w:rPr>
        <w:footnoteReference w:id="10"/>
      </w:r>
      <w:r w:rsidRPr="005B4115">
        <w:rPr>
          <w:rFonts w:ascii="Verdana" w:eastAsia="Arial" w:hAnsi="Verdana" w:cs="Arial"/>
          <w:lang w:val="es-ES"/>
        </w:rPr>
        <w:t xml:space="preserve"> identifica como principios que orientan el derecho de acceso a la información pública los de máxima publicidad, de transparencia en la información y de buena fe. El principio de máxima publicidad establece que “toda información en posesión, bajo control o custodia de un sujeto obligado es pública y no podrá ser reservada o limitada sino por disposición constitucional o legal"</w:t>
      </w:r>
      <w:r w:rsidRPr="005B4115">
        <w:rPr>
          <w:rStyle w:val="Refdenotaalpie"/>
          <w:rFonts w:ascii="Verdana" w:eastAsia="Arial" w:hAnsi="Verdana" w:cs="Arial"/>
          <w:lang w:val="es-ES"/>
        </w:rPr>
        <w:footnoteReference w:id="11"/>
      </w:r>
      <w:r w:rsidRPr="005B4115">
        <w:rPr>
          <w:rFonts w:ascii="Verdana" w:eastAsia="Arial" w:hAnsi="Verdana" w:cs="Arial"/>
          <w:lang w:val="es-ES"/>
        </w:rPr>
        <w:t>. El principio de transparencia en la información alude al deber de los sujetos de proporcionar y facilitar el acceso a la misma en los términos más amplios posibles y, a través de los medios y procedimientos que establezca la ley</w:t>
      </w:r>
      <w:r w:rsidRPr="005B4115">
        <w:rPr>
          <w:rFonts w:ascii="Verdana" w:eastAsia="Times New Roman" w:hAnsi="Verdana" w:cs="Arial"/>
          <w:vertAlign w:val="superscript"/>
          <w:lang w:eastAsia="es-CO"/>
        </w:rPr>
        <w:footnoteReference w:id="12"/>
      </w:r>
      <w:r w:rsidRPr="005B4115">
        <w:rPr>
          <w:rFonts w:ascii="Verdana" w:eastAsia="Times New Roman" w:hAnsi="Verdana" w:cs="Arial"/>
          <w:lang w:eastAsia="es-CO"/>
        </w:rPr>
        <w:t>. Finalmente, el principio de buena fe hace referencia al deber de todo sujeto obligado de cumplir con las obligaciones derivadas del derecho de acceso a la información pública con motivación honesta, leal y desprovista de cualquier intención dolosa o culposa</w:t>
      </w:r>
      <w:r w:rsidRPr="005B4115">
        <w:rPr>
          <w:rFonts w:ascii="Verdana" w:eastAsia="Times New Roman" w:hAnsi="Verdana" w:cs="Arial"/>
          <w:vertAlign w:val="superscript"/>
          <w:lang w:eastAsia="es-CO"/>
        </w:rPr>
        <w:footnoteReference w:id="13"/>
      </w:r>
      <w:r w:rsidRPr="005B4115">
        <w:rPr>
          <w:rFonts w:ascii="Verdana" w:eastAsia="Times New Roman" w:hAnsi="Verdana" w:cs="Arial"/>
          <w:lang w:eastAsia="es-CO"/>
        </w:rPr>
        <w:t xml:space="preserve">. </w:t>
      </w:r>
    </w:p>
    <w:p w14:paraId="13447CCC" w14:textId="469525FC" w:rsidR="00F365C7" w:rsidRPr="005B4115" w:rsidRDefault="00F365C7" w:rsidP="005B4115">
      <w:pPr>
        <w:spacing w:after="120" w:line="276" w:lineRule="auto"/>
        <w:ind w:firstLine="709"/>
        <w:jc w:val="both"/>
        <w:rPr>
          <w:rFonts w:ascii="Verdana" w:eastAsia="Arial" w:hAnsi="Verdana" w:cs="Arial"/>
          <w:lang w:val="es-ES"/>
        </w:rPr>
      </w:pPr>
      <w:r w:rsidRPr="005B4115">
        <w:rPr>
          <w:rFonts w:ascii="Verdana" w:eastAsia="Arial" w:hAnsi="Verdana" w:cs="Arial"/>
          <w:lang w:val="es-ES"/>
        </w:rPr>
        <w:t xml:space="preserve">La ley citada establece, en el literal e) del artículo 9, que los sujetos obligados, que son todas las </w:t>
      </w:r>
      <w:r w:rsidR="00F03522" w:rsidRPr="005B4115">
        <w:rPr>
          <w:rFonts w:ascii="Verdana" w:eastAsia="Arial" w:hAnsi="Verdana" w:cs="Arial"/>
          <w:lang w:val="es-ES"/>
        </w:rPr>
        <w:t>Entidades Públicas</w:t>
      </w:r>
      <w:r w:rsidRPr="005B4115">
        <w:rPr>
          <w:rFonts w:ascii="Verdana" w:eastAsia="Arial" w:hAnsi="Verdana" w:cs="Arial"/>
          <w:lang w:val="es-ES"/>
        </w:rPr>
        <w:t>, deben publicar la información relativa a su contratación</w:t>
      </w:r>
      <w:r w:rsidRPr="005B4115">
        <w:rPr>
          <w:rFonts w:ascii="Verdana" w:eastAsia="Times New Roman" w:hAnsi="Verdana" w:cs="Arial"/>
          <w:vertAlign w:val="superscript"/>
          <w:lang w:eastAsia="es-CO"/>
        </w:rPr>
        <w:footnoteReference w:id="14"/>
      </w:r>
      <w:r w:rsidRPr="005B4115">
        <w:rPr>
          <w:rFonts w:ascii="Verdana" w:eastAsia="Arial" w:hAnsi="Verdana" w:cs="Arial"/>
          <w:lang w:val="es-ES"/>
        </w:rPr>
        <w:t xml:space="preserve">. </w:t>
      </w:r>
      <w:r w:rsidRPr="005B4115">
        <w:rPr>
          <w:rFonts w:ascii="Verdana" w:eastAsia="Arial MT" w:hAnsi="Verdana" w:cs="Arial"/>
          <w:lang w:val="es-ES"/>
        </w:rPr>
        <w:t xml:space="preserve">El artículo 5 </w:t>
      </w:r>
      <w:r w:rsidRPr="613A5EC2">
        <w:rPr>
          <w:rFonts w:ascii="Verdana" w:eastAsia="Arial MT" w:hAnsi="Verdana" w:cs="Arial"/>
          <w:i/>
          <w:iCs/>
          <w:lang w:val="es-ES"/>
        </w:rPr>
        <w:t>ibidem</w:t>
      </w:r>
      <w:r w:rsidRPr="005B4115">
        <w:rPr>
          <w:rFonts w:ascii="Verdana" w:eastAsia="Arial MT" w:hAnsi="Verdana" w:cs="Arial"/>
          <w:lang w:val="es-ES"/>
        </w:rPr>
        <w:t>, al describir qué se entiende por sujetos obligados, consagra una lista cuyo propósito es incluir a cualquier entidad, órgano, organismo, o persona natural que desempeñe funciones públicas o administre recursos públicos</w:t>
      </w:r>
      <w:r w:rsidRPr="005B4115">
        <w:rPr>
          <w:rFonts w:ascii="Verdana" w:eastAsia="Times New Roman" w:hAnsi="Verdana" w:cs="Arial"/>
          <w:vertAlign w:val="superscript"/>
          <w:lang w:eastAsia="es-CO"/>
        </w:rPr>
        <w:footnoteReference w:id="15"/>
      </w:r>
      <w:r w:rsidRPr="005B4115">
        <w:rPr>
          <w:rFonts w:ascii="Verdana" w:eastAsia="Arial MT" w:hAnsi="Verdana" w:cs="Arial"/>
          <w:lang w:val="es-ES"/>
        </w:rPr>
        <w:t>.</w:t>
      </w:r>
      <w:r w:rsidRPr="005B4115">
        <w:rPr>
          <w:rFonts w:ascii="Verdana" w:eastAsia="Times New Roman" w:hAnsi="Verdana" w:cs="Arial"/>
          <w:lang w:eastAsia="es-CO"/>
        </w:rPr>
        <w:t xml:space="preserve"> </w:t>
      </w:r>
      <w:r w:rsidRPr="005B4115">
        <w:rPr>
          <w:rFonts w:ascii="Verdana" w:eastAsia="Arial" w:hAnsi="Verdana" w:cs="Arial"/>
          <w:lang w:val="es-ES"/>
        </w:rPr>
        <w:t xml:space="preserve">Asimismo, de acuerdo con el literal g) </w:t>
      </w:r>
      <w:r w:rsidRPr="005B4115">
        <w:rPr>
          <w:rFonts w:ascii="Verdana" w:eastAsia="Arial" w:hAnsi="Verdana" w:cs="Arial"/>
          <w:lang w:val="es-ES"/>
        </w:rPr>
        <w:lastRenderedPageBreak/>
        <w:t>del artículo 11 de la misma Ley, todos los destinatarios de la Ley de Transparencia deben garantizar la publicidad de “sus procedimientos, lineamientos, políticas en materia de adquisiciones y compras, así como todos los datos de adjudicación y ejecución de contratos, incluidos concursos y licitaciones”, y esta información también debe estar en el SECOP.</w:t>
      </w:r>
    </w:p>
    <w:p w14:paraId="4D9BB3D4" w14:textId="2E17DBDD" w:rsidR="00A660E7" w:rsidRPr="00ED10AD" w:rsidRDefault="00A660E7" w:rsidP="613A5EC2">
      <w:pPr>
        <w:pStyle w:val="Textoindependiente"/>
        <w:spacing w:before="0" w:beforeAutospacing="0" w:after="120" w:afterAutospacing="0" w:line="276" w:lineRule="auto"/>
        <w:ind w:firstLine="709"/>
        <w:jc w:val="both"/>
        <w:rPr>
          <w:rFonts w:ascii="Verdana" w:hAnsi="Verdana"/>
          <w:sz w:val="22"/>
          <w:szCs w:val="22"/>
        </w:rPr>
      </w:pPr>
      <w:r w:rsidRPr="005B4115">
        <w:rPr>
          <w:rFonts w:ascii="Verdana" w:hAnsi="Verdana"/>
          <w:sz w:val="22"/>
          <w:szCs w:val="22"/>
        </w:rPr>
        <w:t>Respecto al problema jurídico planteado en la presente consulta, relacionado los documentos que deben publicarse, debe señalarse que, de acuerdo con lo previsto</w:t>
      </w:r>
      <w:r w:rsidRPr="005B4115">
        <w:rPr>
          <w:rFonts w:ascii="Verdana" w:hAnsi="Verdana"/>
          <w:spacing w:val="-7"/>
          <w:sz w:val="22"/>
          <w:szCs w:val="22"/>
        </w:rPr>
        <w:t xml:space="preserve"> </w:t>
      </w:r>
      <w:r w:rsidRPr="005B4115">
        <w:rPr>
          <w:rFonts w:ascii="Verdana" w:hAnsi="Verdana"/>
          <w:sz w:val="22"/>
          <w:szCs w:val="22"/>
        </w:rPr>
        <w:t>lo</w:t>
      </w:r>
      <w:r w:rsidRPr="005B4115">
        <w:rPr>
          <w:rFonts w:ascii="Verdana" w:hAnsi="Verdana"/>
          <w:spacing w:val="-6"/>
          <w:sz w:val="22"/>
          <w:szCs w:val="22"/>
        </w:rPr>
        <w:t xml:space="preserve"> </w:t>
      </w:r>
      <w:r w:rsidRPr="005B4115">
        <w:rPr>
          <w:rFonts w:ascii="Verdana" w:hAnsi="Verdana"/>
          <w:sz w:val="22"/>
          <w:szCs w:val="22"/>
        </w:rPr>
        <w:t>previsto</w:t>
      </w:r>
      <w:r w:rsidRPr="005B4115">
        <w:rPr>
          <w:rFonts w:ascii="Verdana" w:hAnsi="Verdana"/>
          <w:spacing w:val="-7"/>
          <w:sz w:val="22"/>
          <w:szCs w:val="22"/>
        </w:rPr>
        <w:t xml:space="preserve"> </w:t>
      </w:r>
      <w:r w:rsidRPr="005B4115">
        <w:rPr>
          <w:rFonts w:ascii="Verdana" w:hAnsi="Verdana"/>
          <w:sz w:val="22"/>
          <w:szCs w:val="22"/>
        </w:rPr>
        <w:t>en</w:t>
      </w:r>
      <w:r w:rsidRPr="005B4115">
        <w:rPr>
          <w:rFonts w:ascii="Verdana" w:hAnsi="Verdana"/>
          <w:spacing w:val="-7"/>
          <w:sz w:val="22"/>
          <w:szCs w:val="22"/>
        </w:rPr>
        <w:t xml:space="preserve"> </w:t>
      </w:r>
      <w:r w:rsidRPr="005B4115">
        <w:rPr>
          <w:rFonts w:ascii="Verdana" w:hAnsi="Verdana"/>
          <w:sz w:val="22"/>
          <w:szCs w:val="22"/>
        </w:rPr>
        <w:t>la</w:t>
      </w:r>
      <w:r w:rsidRPr="005B4115">
        <w:rPr>
          <w:rFonts w:ascii="Verdana" w:hAnsi="Verdana"/>
          <w:spacing w:val="-7"/>
          <w:sz w:val="22"/>
          <w:szCs w:val="22"/>
        </w:rPr>
        <w:t xml:space="preserve"> Ley 1150 de 2007 y la </w:t>
      </w:r>
      <w:r w:rsidRPr="005B4115">
        <w:rPr>
          <w:rFonts w:ascii="Verdana" w:hAnsi="Verdana"/>
          <w:sz w:val="22"/>
          <w:szCs w:val="22"/>
        </w:rPr>
        <w:t>Ley</w:t>
      </w:r>
      <w:r w:rsidRPr="005B4115">
        <w:rPr>
          <w:rFonts w:ascii="Verdana" w:hAnsi="Verdana"/>
          <w:spacing w:val="-8"/>
          <w:sz w:val="22"/>
          <w:szCs w:val="22"/>
        </w:rPr>
        <w:t xml:space="preserve"> </w:t>
      </w:r>
      <w:r w:rsidRPr="005B4115">
        <w:rPr>
          <w:rFonts w:ascii="Verdana" w:hAnsi="Verdana"/>
          <w:sz w:val="22"/>
          <w:szCs w:val="22"/>
        </w:rPr>
        <w:t>1712</w:t>
      </w:r>
      <w:r w:rsidRPr="005B4115">
        <w:rPr>
          <w:rFonts w:ascii="Verdana" w:hAnsi="Verdana"/>
          <w:spacing w:val="-6"/>
          <w:sz w:val="22"/>
          <w:szCs w:val="22"/>
        </w:rPr>
        <w:t xml:space="preserve"> </w:t>
      </w:r>
      <w:r w:rsidRPr="005B4115">
        <w:rPr>
          <w:rFonts w:ascii="Verdana" w:hAnsi="Verdana"/>
          <w:sz w:val="22"/>
          <w:szCs w:val="22"/>
        </w:rPr>
        <w:t>de</w:t>
      </w:r>
      <w:r w:rsidRPr="005B4115">
        <w:rPr>
          <w:rFonts w:ascii="Verdana" w:hAnsi="Verdana"/>
          <w:spacing w:val="-9"/>
          <w:sz w:val="22"/>
          <w:szCs w:val="22"/>
        </w:rPr>
        <w:t xml:space="preserve"> </w:t>
      </w:r>
      <w:r w:rsidRPr="005B4115">
        <w:rPr>
          <w:rFonts w:ascii="Verdana" w:hAnsi="Verdana"/>
          <w:sz w:val="22"/>
          <w:szCs w:val="22"/>
        </w:rPr>
        <w:t>2014,</w:t>
      </w:r>
      <w:r w:rsidRPr="005B4115">
        <w:rPr>
          <w:rFonts w:ascii="Verdana" w:hAnsi="Verdana"/>
          <w:spacing w:val="-7"/>
          <w:sz w:val="22"/>
          <w:szCs w:val="22"/>
        </w:rPr>
        <w:t xml:space="preserve"> </w:t>
      </w:r>
      <w:r w:rsidRPr="005B4115">
        <w:rPr>
          <w:rFonts w:ascii="Verdana" w:hAnsi="Verdana"/>
          <w:sz w:val="22"/>
          <w:szCs w:val="22"/>
        </w:rPr>
        <w:t>se</w:t>
      </w:r>
      <w:r w:rsidRPr="005B4115">
        <w:rPr>
          <w:rFonts w:ascii="Verdana" w:hAnsi="Verdana"/>
          <w:spacing w:val="-6"/>
          <w:sz w:val="22"/>
          <w:szCs w:val="22"/>
        </w:rPr>
        <w:t xml:space="preserve"> </w:t>
      </w:r>
      <w:r w:rsidRPr="005B4115">
        <w:rPr>
          <w:rFonts w:ascii="Verdana" w:hAnsi="Verdana"/>
          <w:sz w:val="22"/>
          <w:szCs w:val="22"/>
        </w:rPr>
        <w:t>publicará</w:t>
      </w:r>
      <w:r w:rsidRPr="005B4115">
        <w:rPr>
          <w:rFonts w:ascii="Verdana" w:hAnsi="Verdana"/>
          <w:spacing w:val="-7"/>
          <w:sz w:val="22"/>
          <w:szCs w:val="22"/>
        </w:rPr>
        <w:t xml:space="preserve"> </w:t>
      </w:r>
      <w:r w:rsidRPr="005B4115">
        <w:rPr>
          <w:rFonts w:ascii="Verdana" w:hAnsi="Verdana"/>
          <w:sz w:val="22"/>
          <w:szCs w:val="22"/>
        </w:rPr>
        <w:t>toda la</w:t>
      </w:r>
      <w:r w:rsidRPr="005B4115">
        <w:rPr>
          <w:rFonts w:ascii="Verdana" w:hAnsi="Verdana"/>
          <w:spacing w:val="-3"/>
          <w:sz w:val="22"/>
          <w:szCs w:val="22"/>
        </w:rPr>
        <w:t xml:space="preserve"> </w:t>
      </w:r>
      <w:r w:rsidRPr="005B4115">
        <w:rPr>
          <w:rFonts w:ascii="Verdana" w:hAnsi="Verdana"/>
          <w:sz w:val="22"/>
          <w:szCs w:val="22"/>
        </w:rPr>
        <w:t>información</w:t>
      </w:r>
      <w:r w:rsidRPr="005B4115">
        <w:rPr>
          <w:rFonts w:ascii="Verdana" w:hAnsi="Verdana"/>
          <w:spacing w:val="-2"/>
          <w:sz w:val="22"/>
          <w:szCs w:val="22"/>
        </w:rPr>
        <w:t xml:space="preserve"> </w:t>
      </w:r>
      <w:r w:rsidRPr="005B4115">
        <w:rPr>
          <w:rFonts w:ascii="Verdana" w:hAnsi="Verdana"/>
          <w:sz w:val="22"/>
          <w:szCs w:val="22"/>
        </w:rPr>
        <w:t>que</w:t>
      </w:r>
      <w:r w:rsidRPr="005B4115">
        <w:rPr>
          <w:rFonts w:ascii="Verdana" w:hAnsi="Verdana"/>
          <w:spacing w:val="-2"/>
          <w:sz w:val="22"/>
          <w:szCs w:val="22"/>
        </w:rPr>
        <w:t xml:space="preserve"> </w:t>
      </w:r>
      <w:r w:rsidRPr="005B4115">
        <w:rPr>
          <w:rFonts w:ascii="Verdana" w:hAnsi="Verdana"/>
          <w:sz w:val="22"/>
          <w:szCs w:val="22"/>
        </w:rPr>
        <w:t>se</w:t>
      </w:r>
      <w:r w:rsidRPr="005B4115">
        <w:rPr>
          <w:rFonts w:ascii="Verdana" w:hAnsi="Verdana"/>
          <w:spacing w:val="-4"/>
          <w:sz w:val="22"/>
          <w:szCs w:val="22"/>
        </w:rPr>
        <w:t xml:space="preserve"> </w:t>
      </w:r>
      <w:r w:rsidRPr="005B4115">
        <w:rPr>
          <w:rFonts w:ascii="Verdana" w:hAnsi="Verdana"/>
          <w:sz w:val="22"/>
          <w:szCs w:val="22"/>
        </w:rPr>
        <w:t>genere</w:t>
      </w:r>
      <w:r w:rsidRPr="005B4115">
        <w:rPr>
          <w:rFonts w:ascii="Verdana" w:hAnsi="Verdana"/>
          <w:spacing w:val="-2"/>
          <w:sz w:val="22"/>
          <w:szCs w:val="22"/>
        </w:rPr>
        <w:t xml:space="preserve"> </w:t>
      </w:r>
      <w:r w:rsidRPr="005B4115">
        <w:rPr>
          <w:rFonts w:ascii="Verdana" w:hAnsi="Verdana"/>
          <w:sz w:val="22"/>
          <w:szCs w:val="22"/>
        </w:rPr>
        <w:t>en</w:t>
      </w:r>
      <w:r w:rsidRPr="005B4115">
        <w:rPr>
          <w:rFonts w:ascii="Verdana" w:hAnsi="Verdana"/>
          <w:spacing w:val="-2"/>
          <w:sz w:val="22"/>
          <w:szCs w:val="22"/>
        </w:rPr>
        <w:t xml:space="preserve"> </w:t>
      </w:r>
      <w:r w:rsidRPr="005B4115">
        <w:rPr>
          <w:rFonts w:ascii="Verdana" w:hAnsi="Verdana"/>
          <w:sz w:val="22"/>
          <w:szCs w:val="22"/>
        </w:rPr>
        <w:t>la</w:t>
      </w:r>
      <w:r w:rsidRPr="005B4115">
        <w:rPr>
          <w:rFonts w:ascii="Verdana" w:hAnsi="Verdana"/>
          <w:spacing w:val="-5"/>
          <w:sz w:val="22"/>
          <w:szCs w:val="22"/>
        </w:rPr>
        <w:t xml:space="preserve"> </w:t>
      </w:r>
      <w:r w:rsidRPr="005B4115">
        <w:rPr>
          <w:rFonts w:ascii="Verdana" w:hAnsi="Verdana"/>
          <w:sz w:val="22"/>
          <w:szCs w:val="22"/>
        </w:rPr>
        <w:t>actividad</w:t>
      </w:r>
      <w:r w:rsidRPr="005B4115">
        <w:rPr>
          <w:rFonts w:ascii="Verdana" w:hAnsi="Verdana"/>
          <w:spacing w:val="-3"/>
          <w:sz w:val="22"/>
          <w:szCs w:val="22"/>
        </w:rPr>
        <w:t xml:space="preserve"> </w:t>
      </w:r>
      <w:r w:rsidRPr="005B4115">
        <w:rPr>
          <w:rFonts w:ascii="Verdana" w:hAnsi="Verdana"/>
          <w:sz w:val="22"/>
          <w:szCs w:val="22"/>
        </w:rPr>
        <w:t>contractual,</w:t>
      </w:r>
      <w:r w:rsidRPr="005B4115">
        <w:rPr>
          <w:rFonts w:ascii="Verdana" w:hAnsi="Verdana"/>
          <w:spacing w:val="-2"/>
          <w:sz w:val="22"/>
          <w:szCs w:val="22"/>
        </w:rPr>
        <w:t xml:space="preserve"> </w:t>
      </w:r>
      <w:r w:rsidRPr="005B4115">
        <w:rPr>
          <w:rFonts w:ascii="Verdana" w:hAnsi="Verdana"/>
          <w:sz w:val="22"/>
          <w:szCs w:val="22"/>
        </w:rPr>
        <w:t>salvo</w:t>
      </w:r>
      <w:r w:rsidRPr="005B4115">
        <w:rPr>
          <w:rFonts w:ascii="Verdana" w:hAnsi="Verdana"/>
          <w:spacing w:val="-2"/>
          <w:sz w:val="22"/>
          <w:szCs w:val="22"/>
        </w:rPr>
        <w:t xml:space="preserve"> </w:t>
      </w:r>
      <w:r w:rsidRPr="005B4115">
        <w:rPr>
          <w:rFonts w:ascii="Verdana" w:hAnsi="Verdana"/>
          <w:sz w:val="22"/>
          <w:szCs w:val="22"/>
        </w:rPr>
        <w:t>a</w:t>
      </w:r>
      <w:r w:rsidRPr="005B4115">
        <w:rPr>
          <w:rFonts w:ascii="Verdana" w:hAnsi="Verdana"/>
          <w:spacing w:val="-3"/>
          <w:sz w:val="22"/>
          <w:szCs w:val="22"/>
        </w:rPr>
        <w:t xml:space="preserve"> </w:t>
      </w:r>
      <w:r w:rsidRPr="005B4115">
        <w:rPr>
          <w:rFonts w:ascii="Verdana" w:hAnsi="Verdana"/>
          <w:sz w:val="22"/>
          <w:szCs w:val="22"/>
        </w:rPr>
        <w:t>aquello</w:t>
      </w:r>
      <w:r w:rsidRPr="005B4115">
        <w:rPr>
          <w:rFonts w:ascii="Verdana" w:hAnsi="Verdana"/>
          <w:spacing w:val="-2"/>
          <w:sz w:val="22"/>
          <w:szCs w:val="22"/>
        </w:rPr>
        <w:t xml:space="preserve"> </w:t>
      </w:r>
      <w:r w:rsidRPr="005B4115">
        <w:rPr>
          <w:rFonts w:ascii="Verdana" w:hAnsi="Verdana"/>
          <w:sz w:val="22"/>
          <w:szCs w:val="22"/>
        </w:rPr>
        <w:t>que sea sujeto a reserva legal.</w:t>
      </w:r>
    </w:p>
    <w:p w14:paraId="1BA2DBA9" w14:textId="74676FD8" w:rsidR="00745FFE" w:rsidRPr="005B4115" w:rsidRDefault="00B9586E" w:rsidP="613A5EC2">
      <w:pPr>
        <w:spacing w:after="120" w:line="276" w:lineRule="auto"/>
        <w:ind w:firstLine="709"/>
        <w:jc w:val="both"/>
        <w:rPr>
          <w:rFonts w:ascii="Verdana" w:eastAsia="Arial" w:hAnsi="Verdana" w:cs="Arial"/>
          <w:lang w:val="es-ES"/>
        </w:rPr>
      </w:pPr>
      <w:r w:rsidRPr="613A5EC2">
        <w:rPr>
          <w:rFonts w:ascii="Verdana" w:eastAsia="Arial" w:hAnsi="Verdana" w:cs="Arial"/>
          <w:lang w:val="es-ES"/>
        </w:rPr>
        <w:t xml:space="preserve">En ese </w:t>
      </w:r>
      <w:r w:rsidR="00ED10AD" w:rsidRPr="613A5EC2">
        <w:rPr>
          <w:rFonts w:ascii="Verdana" w:eastAsia="Arial" w:hAnsi="Verdana" w:cs="Arial"/>
          <w:lang w:val="es-ES"/>
        </w:rPr>
        <w:t>contexto,</w:t>
      </w:r>
      <w:r w:rsidR="00745FFE" w:rsidRPr="613A5EC2">
        <w:rPr>
          <w:rFonts w:ascii="Verdana" w:eastAsia="Arial" w:hAnsi="Verdana" w:cs="Arial"/>
          <w:lang w:val="es-ES"/>
        </w:rPr>
        <w:t xml:space="preserve"> las </w:t>
      </w:r>
      <w:r w:rsidR="00A475E8" w:rsidRPr="613A5EC2">
        <w:rPr>
          <w:rFonts w:ascii="Verdana" w:eastAsia="Arial" w:hAnsi="Verdana" w:cs="Arial"/>
          <w:lang w:val="es-ES"/>
        </w:rPr>
        <w:t>Entidades Estatales</w:t>
      </w:r>
      <w:r w:rsidR="00745FFE" w:rsidRPr="613A5EC2">
        <w:rPr>
          <w:rFonts w:ascii="Verdana" w:eastAsia="Arial" w:hAnsi="Verdana" w:cs="Arial"/>
          <w:lang w:val="es-ES"/>
        </w:rPr>
        <w:t>, conforme al artículo 2.2.1.1.1.7.1. del Decreto 1082 de 2015, tienen la obligación de publicar en el SECOP “los Documentos del Proceso y los actos administrativos del Proceso de Contratación, dentro de los tres (3) días siguientes a su expedición”.</w:t>
      </w:r>
      <w:r w:rsidR="00A475E8" w:rsidRPr="613A5EC2">
        <w:rPr>
          <w:rFonts w:ascii="Verdana" w:eastAsia="Arial" w:hAnsi="Verdana" w:cs="Arial"/>
          <w:lang w:val="es-ES"/>
        </w:rPr>
        <w:t xml:space="preserve"> </w:t>
      </w:r>
      <w:r w:rsidR="00745FFE" w:rsidRPr="613A5EC2">
        <w:rPr>
          <w:rFonts w:ascii="Verdana" w:eastAsia="Arial" w:hAnsi="Verdana" w:cs="Arial"/>
          <w:lang w:val="es-ES"/>
        </w:rPr>
        <w:t xml:space="preserve">La expresión </w:t>
      </w:r>
      <w:r w:rsidR="00745FFE" w:rsidRPr="613A5EC2">
        <w:rPr>
          <w:rFonts w:ascii="Verdana" w:eastAsia="Arial" w:hAnsi="Verdana" w:cs="Arial"/>
          <w:i/>
          <w:lang w:val="es-ES"/>
        </w:rPr>
        <w:t>Documentos del Proceso</w:t>
      </w:r>
      <w:r w:rsidR="00745FFE" w:rsidRPr="613A5EC2">
        <w:rPr>
          <w:rFonts w:ascii="Verdana" w:eastAsia="Arial" w:hAnsi="Verdana" w:cs="Arial"/>
          <w:lang w:val="es-ES"/>
        </w:rPr>
        <w:t xml:space="preserve"> está definida en el artículo 2.2.1.1.1.3.1. del Decreto 1082 de 2015, norma en la cual se establece que: “son: (a) los estudios y documentos previos; (b) el aviso de convocatoria; (c) los pliegos de condiciones o la invitación; (d) las adendas; (e) la oferta; (f) el informe de evaluación; (g) el contrato; y cualquier otro documento expedido por la Entidad Estatal durante el Proceso de Contratación”.</w:t>
      </w:r>
    </w:p>
    <w:p w14:paraId="4FF38F13" w14:textId="77777777" w:rsidR="000A45EA" w:rsidRPr="005B4115" w:rsidRDefault="00745FFE" w:rsidP="613A5EC2">
      <w:pPr>
        <w:spacing w:after="120" w:line="276" w:lineRule="auto"/>
        <w:ind w:firstLine="709"/>
        <w:jc w:val="both"/>
        <w:rPr>
          <w:rFonts w:ascii="Verdana" w:eastAsia="Arial" w:hAnsi="Verdana" w:cs="Arial"/>
          <w:lang w:val="es-ES"/>
        </w:rPr>
      </w:pPr>
      <w:r w:rsidRPr="613A5EC2">
        <w:rPr>
          <w:rFonts w:ascii="Verdana" w:eastAsia="Arial" w:hAnsi="Verdana" w:cs="Arial"/>
          <w:lang w:val="es-ES"/>
        </w:rPr>
        <w:t xml:space="preserve">No obstante, para identificar los documentos que deben publicarse, es necesario realizar una interpretación sistemática de las disposiciones del Decreto 1082 del 2015, comoquiera que el anterior no es un listado taxativo, sino enunciativo, porque además de los documentos enlistados, el artículo 2.2.1.1.1.3.1 </w:t>
      </w:r>
      <w:proofErr w:type="spellStart"/>
      <w:r w:rsidRPr="613A5EC2">
        <w:rPr>
          <w:rFonts w:ascii="Verdana" w:eastAsia="Arial" w:hAnsi="Verdana" w:cs="Arial"/>
          <w:i/>
          <w:iCs/>
          <w:lang w:val="es-ES"/>
        </w:rPr>
        <w:t>Ibídem</w:t>
      </w:r>
      <w:proofErr w:type="spellEnd"/>
      <w:r w:rsidRPr="613A5EC2">
        <w:rPr>
          <w:rFonts w:ascii="Verdana" w:eastAsia="Arial" w:hAnsi="Verdana" w:cs="Arial"/>
          <w:lang w:val="es-ES"/>
        </w:rPr>
        <w:t xml:space="preserve"> recoge en la noción de </w:t>
      </w:r>
      <w:r w:rsidRPr="613A5EC2">
        <w:rPr>
          <w:rFonts w:ascii="Verdana" w:eastAsia="Arial" w:hAnsi="Verdana" w:cs="Arial"/>
          <w:i/>
          <w:iCs/>
          <w:lang w:val="es-ES"/>
        </w:rPr>
        <w:t>Documentos del Proceso</w:t>
      </w:r>
      <w:r w:rsidRPr="613A5EC2">
        <w:rPr>
          <w:rFonts w:ascii="Verdana" w:eastAsia="Arial" w:hAnsi="Verdana" w:cs="Arial"/>
          <w:lang w:val="es-ES"/>
        </w:rPr>
        <w:t xml:space="preserve"> “cualquier otro documento expedido por la Entidad Estatal durante el </w:t>
      </w:r>
      <w:r w:rsidRPr="613A5EC2">
        <w:rPr>
          <w:rFonts w:ascii="Verdana" w:eastAsia="Arial" w:hAnsi="Verdana" w:cs="Arial"/>
          <w:i/>
          <w:iCs/>
          <w:lang w:val="es-ES"/>
        </w:rPr>
        <w:t>Proceso de Contratación”</w:t>
      </w:r>
      <w:r w:rsidRPr="613A5EC2">
        <w:rPr>
          <w:rFonts w:ascii="Verdana" w:eastAsia="Arial" w:hAnsi="Verdana" w:cs="Arial"/>
          <w:lang w:val="es-ES"/>
        </w:rPr>
        <w:t xml:space="preserve">. </w:t>
      </w:r>
    </w:p>
    <w:p w14:paraId="5896E97B" w14:textId="00429EF9" w:rsidR="00627E0C" w:rsidRPr="005B4115" w:rsidRDefault="00745FFE" w:rsidP="613A5EC2">
      <w:pPr>
        <w:spacing w:after="120" w:line="276" w:lineRule="auto"/>
        <w:ind w:firstLine="708"/>
        <w:jc w:val="both"/>
        <w:rPr>
          <w:rFonts w:ascii="Verdana" w:eastAsia="Arial" w:hAnsi="Verdana" w:cs="Arial"/>
          <w:lang w:val="es-ES"/>
        </w:rPr>
      </w:pPr>
      <w:r w:rsidRPr="613A5EC2">
        <w:rPr>
          <w:rFonts w:ascii="Verdana" w:eastAsia="Arial" w:hAnsi="Verdana" w:cs="Arial"/>
          <w:lang w:val="es-ES"/>
        </w:rPr>
        <w:t xml:space="preserve">Este mismo artículo define la expresión </w:t>
      </w:r>
      <w:r w:rsidRPr="613A5EC2">
        <w:rPr>
          <w:rFonts w:ascii="Verdana" w:eastAsia="Arial" w:hAnsi="Verdana" w:cs="Arial"/>
          <w:i/>
          <w:iCs/>
          <w:lang w:val="es-ES"/>
        </w:rPr>
        <w:t>Proceso de Contratación</w:t>
      </w:r>
      <w:r w:rsidRPr="613A5EC2">
        <w:rPr>
          <w:rFonts w:ascii="Verdana" w:eastAsia="Arial" w:hAnsi="Verdana" w:cs="Arial"/>
          <w:lang w:val="es-ES"/>
        </w:rPr>
        <w:t xml:space="preserve"> como el “Conjunto de actos y actividades, y su secuencia, adelantadas por la Entidad Estatal desde la planeación hasta el vencimiento de las garantías de calidad, estabilidad y mantenimiento, o las condiciones de disposición final o recuperación ambiental de las obras o bienes o el vencimiento del plazo, lo que </w:t>
      </w:r>
      <w:r w:rsidRPr="613A5EC2">
        <w:rPr>
          <w:rFonts w:ascii="Verdana" w:eastAsia="Arial" w:hAnsi="Verdana" w:cs="Arial"/>
          <w:lang w:val="es-ES"/>
        </w:rPr>
        <w:lastRenderedPageBreak/>
        <w:t>ocurra más tarde</w:t>
      </w:r>
      <w:r w:rsidR="00754C5B" w:rsidRPr="613A5EC2">
        <w:rPr>
          <w:rFonts w:ascii="Verdana" w:eastAsia="Arial" w:hAnsi="Verdana" w:cs="Arial"/>
          <w:lang w:val="es-ES"/>
        </w:rPr>
        <w:t>.</w:t>
      </w:r>
      <w:r w:rsidR="00627E0C" w:rsidRPr="613A5EC2">
        <w:rPr>
          <w:rFonts w:ascii="Verdana" w:eastAsia="Arial" w:hAnsi="Verdana" w:cs="Arial"/>
          <w:lang w:val="es-ES"/>
        </w:rPr>
        <w:t xml:space="preserve"> </w:t>
      </w:r>
      <w:r w:rsidRPr="613A5EC2">
        <w:rPr>
          <w:rFonts w:ascii="Verdana" w:eastAsia="Arial" w:hAnsi="Verdana" w:cs="Arial"/>
          <w:lang w:val="es-ES"/>
        </w:rPr>
        <w:t xml:space="preserve">Nótese que la norma hace referencia a los documentos “expedidos por la entidad estatal” durante el proceso de contratación, excluyendo la noción de </w:t>
      </w:r>
      <w:r w:rsidRPr="613A5EC2">
        <w:rPr>
          <w:rFonts w:ascii="Verdana" w:eastAsia="Arial" w:hAnsi="Verdana" w:cs="Arial"/>
          <w:i/>
          <w:iCs/>
          <w:lang w:val="es-ES"/>
        </w:rPr>
        <w:t>Documentos del Proceso</w:t>
      </w:r>
      <w:r w:rsidRPr="613A5EC2">
        <w:rPr>
          <w:rFonts w:ascii="Verdana" w:eastAsia="Arial" w:hAnsi="Verdana" w:cs="Arial"/>
          <w:lang w:val="es-ES"/>
        </w:rPr>
        <w:t xml:space="preserve"> los expedidos por un sujeto distinto a la entidad, salvo la oferta, la cual se incluye expresamente en el artículo 2.2.1.1.1.3.1. </w:t>
      </w:r>
    </w:p>
    <w:p w14:paraId="01692A99" w14:textId="3CF9575E" w:rsidR="00E33551" w:rsidRPr="005B4115" w:rsidRDefault="00745FFE" w:rsidP="005B4115">
      <w:pPr>
        <w:tabs>
          <w:tab w:val="left" w:pos="709"/>
        </w:tabs>
        <w:spacing w:after="120" w:line="276" w:lineRule="auto"/>
        <w:ind w:firstLine="709"/>
        <w:jc w:val="both"/>
        <w:rPr>
          <w:rFonts w:ascii="Verdana" w:hAnsi="Verdana" w:cs="Arial"/>
          <w:shd w:val="clear" w:color="auto" w:fill="FFFFFF"/>
        </w:rPr>
      </w:pPr>
      <w:r w:rsidRPr="005B4115">
        <w:rPr>
          <w:rFonts w:ascii="Verdana" w:eastAsia="Arial" w:hAnsi="Verdana" w:cs="Arial"/>
          <w:lang w:val="es-ES"/>
        </w:rPr>
        <w:t xml:space="preserve">En ese sentido, la interpretación sistemática de los preceptos del Decreto 1082 de 2015, de acuerdo con el principio de publicidad, inicialmente indica que las </w:t>
      </w:r>
      <w:r w:rsidR="00754C5B" w:rsidRPr="005B4115">
        <w:rPr>
          <w:rFonts w:ascii="Verdana" w:eastAsia="Arial" w:hAnsi="Verdana" w:cs="Arial"/>
          <w:lang w:val="es-ES"/>
        </w:rPr>
        <w:t xml:space="preserve">Entidades Estatales </w:t>
      </w:r>
      <w:r w:rsidRPr="005B4115">
        <w:rPr>
          <w:rFonts w:ascii="Verdana" w:eastAsia="Arial" w:hAnsi="Verdana" w:cs="Arial"/>
          <w:lang w:val="es-ES"/>
        </w:rPr>
        <w:t xml:space="preserve">tienen la obligación de publicar todos los documentos que expidan con ocasión del </w:t>
      </w:r>
      <w:r w:rsidRPr="613A5EC2">
        <w:rPr>
          <w:rFonts w:ascii="Verdana" w:eastAsia="Arial" w:hAnsi="Verdana" w:cs="Arial"/>
          <w:i/>
          <w:iCs/>
          <w:lang w:val="es-ES"/>
        </w:rPr>
        <w:t>Proceso de Contratación</w:t>
      </w:r>
      <w:r w:rsidRPr="005B4115">
        <w:rPr>
          <w:rFonts w:ascii="Verdana" w:eastAsia="Arial" w:hAnsi="Verdana" w:cs="Arial"/>
          <w:lang w:val="es-ES"/>
        </w:rPr>
        <w:t xml:space="preserve">, esto es, desde la fase de planeación hasta “el vencimiento de las garantías de calidad, estabilidad y mantenimiento, o las condiciones de disposición final o recuperación ambiental de las obras o bienes o el vencimiento del plazo, lo que ocurra más tarde”. Esto significa que todos los documentos expedidos por la entidad durante las etapas precontractual, de ejecución y </w:t>
      </w:r>
      <w:proofErr w:type="spellStart"/>
      <w:r w:rsidRPr="005B4115">
        <w:rPr>
          <w:rFonts w:ascii="Verdana" w:eastAsia="Arial" w:hAnsi="Verdana" w:cs="Arial"/>
          <w:lang w:val="es-ES"/>
        </w:rPr>
        <w:t>postcontractual</w:t>
      </w:r>
      <w:proofErr w:type="spellEnd"/>
      <w:r w:rsidRPr="005B4115">
        <w:rPr>
          <w:rFonts w:ascii="Verdana" w:eastAsia="Arial" w:hAnsi="Verdana" w:cs="Arial"/>
          <w:lang w:val="es-ES"/>
        </w:rPr>
        <w:t xml:space="preserve"> deberán ser publicados en SECOP dentro de los tres (3) días siguientes a su expedición, para cumplir el deber de publicidad regulado por el artículo 2.2.1.1.1.7.1. del Decreto 1082 de 2015.</w:t>
      </w:r>
      <w:r w:rsidR="00E33551" w:rsidRPr="005B4115">
        <w:rPr>
          <w:rFonts w:ascii="Verdana" w:eastAsia="Arial" w:hAnsi="Verdana" w:cs="Arial"/>
          <w:lang w:val="es-ES"/>
        </w:rPr>
        <w:t xml:space="preserve"> </w:t>
      </w:r>
      <w:r w:rsidR="00E33551" w:rsidRPr="005B4115">
        <w:rPr>
          <w:rFonts w:ascii="Verdana" w:hAnsi="Verdana" w:cs="Arial"/>
          <w:shd w:val="clear" w:color="auto" w:fill="FFFFFF"/>
        </w:rPr>
        <w:t xml:space="preserve">Dentro de esos documentos se encuentran </w:t>
      </w:r>
      <w:r w:rsidR="00BA0141">
        <w:rPr>
          <w:rFonts w:ascii="Verdana" w:hAnsi="Verdana" w:cs="Arial"/>
          <w:shd w:val="clear" w:color="auto" w:fill="FFFFFF"/>
        </w:rPr>
        <w:t xml:space="preserve">los correspondientes a los relacionados con </w:t>
      </w:r>
      <w:r w:rsidR="00E33551" w:rsidRPr="005B4115">
        <w:rPr>
          <w:rFonts w:ascii="Verdana" w:hAnsi="Verdana" w:cs="Arial"/>
          <w:shd w:val="clear" w:color="auto" w:fill="FFFFFF"/>
        </w:rPr>
        <w:t>la ejecución contractual</w:t>
      </w:r>
      <w:r w:rsidR="00BA0141">
        <w:rPr>
          <w:rFonts w:ascii="Verdana" w:hAnsi="Verdana" w:cs="Arial"/>
          <w:shd w:val="clear" w:color="auto" w:fill="FFFFFF"/>
        </w:rPr>
        <w:t xml:space="preserve">, como </w:t>
      </w:r>
      <w:r w:rsidR="00E33551" w:rsidRPr="005B4115">
        <w:rPr>
          <w:rFonts w:ascii="Verdana" w:hAnsi="Verdana" w:cs="Arial"/>
          <w:shd w:val="clear" w:color="auto" w:fill="FFFFFF"/>
        </w:rPr>
        <w:t xml:space="preserve">la constancia de pago, es decir, la orden de pago que arroja la plataforma SIIF. </w:t>
      </w:r>
    </w:p>
    <w:p w14:paraId="42503467" w14:textId="3EDF8D5B" w:rsidR="00745FFE" w:rsidRDefault="00BA0141" w:rsidP="613A5EC2">
      <w:pPr>
        <w:spacing w:after="120" w:line="276" w:lineRule="auto"/>
        <w:ind w:firstLine="708"/>
        <w:jc w:val="both"/>
        <w:rPr>
          <w:rFonts w:ascii="Verdana" w:eastAsia="Calibri" w:hAnsi="Verdana" w:cs="Arial"/>
          <w:lang w:eastAsia="es-CO"/>
        </w:rPr>
      </w:pPr>
      <w:r>
        <w:rPr>
          <w:rFonts w:ascii="Verdana" w:eastAsia="Calibri" w:hAnsi="Verdana" w:cs="Arial"/>
          <w:lang w:eastAsia="es-CO"/>
        </w:rPr>
        <w:t>Sin perjuicio de lo anterior</w:t>
      </w:r>
      <w:r w:rsidR="00745FFE" w:rsidRPr="005B4115">
        <w:rPr>
          <w:rFonts w:ascii="Verdana" w:eastAsia="Calibri" w:hAnsi="Verdana" w:cs="Arial"/>
          <w:lang w:eastAsia="es-CO"/>
        </w:rPr>
        <w:t>,</w:t>
      </w:r>
      <w:r w:rsidR="00E84E35">
        <w:rPr>
          <w:rFonts w:ascii="Verdana" w:eastAsia="Calibri" w:hAnsi="Verdana" w:cs="Arial"/>
          <w:lang w:eastAsia="es-CO"/>
        </w:rPr>
        <w:t xml:space="preserve"> como se anotó anteriormente</w:t>
      </w:r>
      <w:r w:rsidR="00745FFE" w:rsidRPr="4000E463">
        <w:rPr>
          <w:rFonts w:ascii="Verdana" w:eastAsia="Calibri" w:hAnsi="Verdana" w:cs="Arial"/>
          <w:lang w:eastAsia="es-CO"/>
        </w:rPr>
        <w:t>, el deber de publicar los documentos relacionados con la contratación no se encuentra regulado solamente por las normas del Estatuto General de Contratación de la Administración Pública, pues la Ley 1712 de 2014, normativa de la transparencia y del derecho de acceso a la información pública, señala en el literal g) del artículo 11 que todo sujeto obligado debe publicar sus procedimientos, lineamientos, políticas en materia de adquisiciones y compras, así como todos los datos de adjudicación y ejecución de sus contratos. Esta obligación, en principio, fue reglamentada por el Decreto 103 de 2015, hoy compilado en el Decreto 1081 de 2015. Este último señala, en el artículo 2.1.1.2.1.7, que las entidades deberán publicar en el SECOP la información de su gestión contractual</w:t>
      </w:r>
      <w:r w:rsidR="00745FFE" w:rsidRPr="4000E463">
        <w:rPr>
          <w:rStyle w:val="Refdenotaalpie"/>
          <w:rFonts w:ascii="Verdana" w:eastAsia="Calibri" w:hAnsi="Verdana" w:cs="Arial"/>
        </w:rPr>
        <w:footnoteReference w:id="16"/>
      </w:r>
      <w:r w:rsidR="00745FFE" w:rsidRPr="4000E463">
        <w:rPr>
          <w:rFonts w:ascii="Verdana" w:eastAsia="Calibri" w:hAnsi="Verdana" w:cs="Arial"/>
          <w:lang w:eastAsia="es-CO"/>
        </w:rPr>
        <w:t>.</w:t>
      </w:r>
    </w:p>
    <w:p w14:paraId="19F72039" w14:textId="77777777" w:rsidR="00745FFE" w:rsidRPr="005B4115" w:rsidRDefault="00745FFE" w:rsidP="613A5EC2">
      <w:pPr>
        <w:spacing w:after="120" w:line="276" w:lineRule="auto"/>
        <w:ind w:firstLine="709"/>
        <w:jc w:val="both"/>
        <w:rPr>
          <w:rFonts w:ascii="Verdana" w:eastAsia="Calibri" w:hAnsi="Verdana" w:cs="Arial"/>
          <w:lang w:val="es-ES"/>
        </w:rPr>
      </w:pPr>
      <w:r w:rsidRPr="613A5EC2">
        <w:rPr>
          <w:rFonts w:ascii="Verdana" w:eastAsia="Calibri" w:hAnsi="Verdana" w:cs="Arial"/>
          <w:lang w:val="es-ES"/>
        </w:rPr>
        <w:lastRenderedPageBreak/>
        <w:t xml:space="preserve">De otro lado, el artículo 2.1.1.2.1.8 establece los efectos de </w:t>
      </w:r>
      <w:r w:rsidRPr="613A5EC2">
        <w:rPr>
          <w:rFonts w:ascii="Verdana" w:hAnsi="Verdana" w:cs="Arial"/>
          <w:lang w:val="es-ES"/>
        </w:rPr>
        <w:t>la obligación contenida en el literal g) del artículo 11 de la Ley 1712 de 2014, en relación con los documentos producidos durante la ejecución del contrato, señalando que se</w:t>
      </w:r>
      <w:r w:rsidRPr="613A5EC2">
        <w:rPr>
          <w:rFonts w:ascii="Verdana" w:eastAsia="Calibri" w:hAnsi="Verdana" w:cs="Arial"/>
          <w:lang w:val="es-ES"/>
        </w:rPr>
        <w:t xml:space="preserve"> deben publicar las aprobaciones, autorizaciones, requerimientos o informes del supervisor o interventor, que prueben la ejecución del contrato</w:t>
      </w:r>
      <w:r w:rsidRPr="613A5EC2">
        <w:rPr>
          <w:rFonts w:ascii="Verdana" w:eastAsia="Calibri" w:hAnsi="Verdana" w:cs="Arial"/>
          <w:vertAlign w:val="superscript"/>
          <w:lang w:val="es-ES"/>
        </w:rPr>
        <w:footnoteReference w:id="17"/>
      </w:r>
      <w:r w:rsidRPr="613A5EC2">
        <w:rPr>
          <w:rFonts w:ascii="Verdana" w:eastAsia="Calibri" w:hAnsi="Verdana" w:cs="Arial"/>
          <w:lang w:val="es-ES"/>
        </w:rPr>
        <w:t>.</w:t>
      </w:r>
    </w:p>
    <w:p w14:paraId="389BE527" w14:textId="77777777" w:rsidR="00745FFE" w:rsidRPr="005B4115" w:rsidRDefault="00745FFE" w:rsidP="613A5EC2">
      <w:pPr>
        <w:spacing w:after="120" w:line="276" w:lineRule="auto"/>
        <w:ind w:firstLine="709"/>
        <w:jc w:val="both"/>
        <w:rPr>
          <w:rFonts w:ascii="Verdana" w:eastAsia="Arial" w:hAnsi="Verdana" w:cs="Arial"/>
          <w:lang w:val="es-ES"/>
        </w:rPr>
      </w:pPr>
      <w:r w:rsidRPr="613A5EC2">
        <w:rPr>
          <w:rFonts w:ascii="Verdana" w:eastAsia="Calibri" w:hAnsi="Verdana" w:cs="Arial"/>
          <w:lang w:val="es-ES"/>
        </w:rPr>
        <w:t xml:space="preserve">En ese orden, el deber de publicar la actividad contractual de las entidades estatales no solo está regulado en el artículo 3 de la Ley 1150 de 2007, y en el </w:t>
      </w:r>
      <w:r w:rsidRPr="613A5EC2">
        <w:rPr>
          <w:rFonts w:ascii="Verdana" w:eastAsia="Arial" w:hAnsi="Verdana" w:cs="Arial"/>
          <w:lang w:val="es-ES"/>
        </w:rPr>
        <w:t xml:space="preserve">artículo 2.2.1.1.1.7.1. del Decreto 1082 de 2015, sino también en la Ley 1712 de 2014, y en el Decreto 1081 de 2015. Estas normas no solo refuerzan y complementan al régimen de contratación estatal en cuanto a la publicidad, sino que lo amplía, para incluir la publicación de los “procedimientos” y la información relativa a la “gestión contractual”, sin el condicionamiento de tratarse exclusivamente de los </w:t>
      </w:r>
      <w:r w:rsidRPr="613A5EC2">
        <w:rPr>
          <w:rFonts w:ascii="Verdana" w:eastAsia="Arial" w:hAnsi="Verdana" w:cs="Arial"/>
          <w:i/>
          <w:lang w:val="es-ES"/>
        </w:rPr>
        <w:t xml:space="preserve">Documentos del Proceso </w:t>
      </w:r>
      <w:r w:rsidRPr="613A5EC2">
        <w:rPr>
          <w:rFonts w:ascii="Verdana" w:eastAsia="Arial" w:hAnsi="Verdana" w:cs="Arial"/>
          <w:lang w:val="es-ES"/>
        </w:rPr>
        <w:t>expedidos por la “entidad estatal”.</w:t>
      </w:r>
    </w:p>
    <w:p w14:paraId="4FB2D6B8" w14:textId="1F8A979A" w:rsidR="00745FFE" w:rsidRPr="00E66E04" w:rsidRDefault="00745FFE" w:rsidP="613A5EC2">
      <w:pPr>
        <w:spacing w:after="120" w:line="276" w:lineRule="auto"/>
        <w:ind w:firstLine="709"/>
        <w:jc w:val="both"/>
        <w:rPr>
          <w:rFonts w:ascii="Verdana" w:eastAsia="Calibri" w:hAnsi="Verdana" w:cs="Arial"/>
          <w:lang w:val="es-ES"/>
        </w:rPr>
      </w:pPr>
      <w:r w:rsidRPr="4000E463">
        <w:rPr>
          <w:rFonts w:ascii="Verdana" w:eastAsia="Calibri" w:hAnsi="Verdana" w:cs="Arial"/>
          <w:lang w:val="es-ES"/>
        </w:rPr>
        <w:t xml:space="preserve">Esto quiere decir que las </w:t>
      </w:r>
      <w:r w:rsidR="00EC16EF" w:rsidRPr="005B4115">
        <w:rPr>
          <w:rFonts w:ascii="Verdana" w:eastAsia="Calibri" w:hAnsi="Verdana" w:cs="Arial"/>
          <w:lang w:val="es-ES"/>
        </w:rPr>
        <w:t>Entidades Estatales</w:t>
      </w:r>
      <w:r w:rsidRPr="4000E463">
        <w:rPr>
          <w:rFonts w:ascii="Verdana" w:eastAsia="Calibri" w:hAnsi="Verdana" w:cs="Arial"/>
          <w:lang w:val="es-ES"/>
        </w:rPr>
        <w:t xml:space="preserve">, además de los documentos y actos administrativos </w:t>
      </w:r>
      <w:r w:rsidRPr="00E509D4">
        <w:rPr>
          <w:rFonts w:ascii="Verdana" w:eastAsia="Calibri" w:hAnsi="Verdana" w:cs="Arial"/>
          <w:lang w:val="es-ES_tradnl"/>
        </w:rPr>
        <w:softHyphen/>
      </w:r>
      <w:r w:rsidRPr="4000E463">
        <w:rPr>
          <w:rFonts w:ascii="Verdana" w:eastAsia="Calibri" w:hAnsi="Verdana" w:cs="Arial"/>
          <w:lang w:val="es-ES"/>
        </w:rPr>
        <w:softHyphen/>
        <w:t>–de trámite o definitivos– que expiden durante los procedimientos de contratación</w:t>
      </w:r>
      <w:r w:rsidRPr="4000E463">
        <w:rPr>
          <w:rFonts w:ascii="Verdana" w:eastAsia="Calibri" w:hAnsi="Verdana" w:cs="Arial"/>
          <w:i/>
          <w:iCs/>
          <w:lang w:val="es-ES"/>
        </w:rPr>
        <w:t>,</w:t>
      </w:r>
      <w:r w:rsidRPr="4000E463">
        <w:rPr>
          <w:rFonts w:ascii="Verdana" w:eastAsia="Calibri" w:hAnsi="Verdana" w:cs="Arial"/>
          <w:lang w:val="es-ES"/>
        </w:rPr>
        <w:t xml:space="preserve"> deben publicar los documentos que los impulsan y materializan, incluso los que no produce la entidad, pero que hacen parte del procedimiento. En tal sentido, deben publicarse, por ejemplo, las observaciones formuladas por la ciudadanía al proyecto de pliego de condiciones, o por los proponentes al informe de evaluación, aclaraciones a las ofertas realizadas por los oferentes, y cualquier otra actuación que, a pesar de no tener origen en la entidad estatal, ni cabe en estricto sentido en lo que se entiende con la expresión</w:t>
      </w:r>
      <w:r w:rsidRPr="4000E463">
        <w:rPr>
          <w:rFonts w:ascii="Verdana" w:eastAsia="Calibri" w:hAnsi="Verdana" w:cs="Arial"/>
          <w:i/>
          <w:iCs/>
          <w:lang w:val="es-ES"/>
        </w:rPr>
        <w:t xml:space="preserve"> Documento del Proceso, </w:t>
      </w:r>
      <w:r w:rsidRPr="4000E463">
        <w:rPr>
          <w:rFonts w:ascii="Verdana" w:eastAsia="Calibri" w:hAnsi="Verdana" w:cs="Arial"/>
          <w:lang w:val="es-ES"/>
        </w:rPr>
        <w:t>hace parte de su desarrollo, y que por disposición de la Ley de transparencia y acceso a la información pública, debe publicar la entidad de manera proactiva.</w:t>
      </w:r>
    </w:p>
    <w:p w14:paraId="1AE42A9C" w14:textId="77777777" w:rsidR="00745FFE" w:rsidRPr="00E66E04" w:rsidRDefault="00745FFE" w:rsidP="613A5EC2">
      <w:pPr>
        <w:spacing w:after="120" w:line="276" w:lineRule="auto"/>
        <w:ind w:firstLine="709"/>
        <w:jc w:val="both"/>
        <w:rPr>
          <w:rFonts w:ascii="Verdana" w:eastAsia="Calibri" w:hAnsi="Verdana" w:cs="Arial"/>
          <w:lang w:val="es-ES"/>
        </w:rPr>
      </w:pPr>
      <w:r w:rsidRPr="4000E463">
        <w:rPr>
          <w:rFonts w:ascii="Verdana" w:eastAsia="Calibri" w:hAnsi="Verdana" w:cs="Arial"/>
          <w:lang w:val="es-ES"/>
        </w:rPr>
        <w:t xml:space="preserve">Ahora, es importante resaltar que, al no existir efectos derogatorios o subrogatorios entre las disposiciones del EGCAP y la normativa de la transparencia y el acceso a la información pública, las disposiciones de ambos regímenes deben ser interpretadas de manera complementaria. Esto significa que a pesar de que los documentos objeto de publicación según el Decreto 1082 de 2015, se encuentren recogidos dentro de los que deben ser publicados </w:t>
      </w:r>
      <w:r w:rsidRPr="4000E463">
        <w:rPr>
          <w:rFonts w:ascii="Verdana" w:eastAsia="Calibri" w:hAnsi="Verdana" w:cs="Arial"/>
          <w:lang w:val="es-ES"/>
        </w:rPr>
        <w:lastRenderedPageBreak/>
        <w:t xml:space="preserve">conforme a la Ley 1712 de 2014 y el Decreto 1081 de 2015, deberán respetarse los aspectos expresamente regulados en cada norma, como, por ejemplo, el término de publicación y la excepción de publicación de los documentos de las operaciones que se celebren en bolsa de productos, conforme al </w:t>
      </w:r>
      <w:r w:rsidRPr="4000E463">
        <w:rPr>
          <w:rFonts w:ascii="Verdana" w:eastAsia="Arial" w:hAnsi="Verdana" w:cs="Arial"/>
          <w:lang w:val="es-ES"/>
        </w:rPr>
        <w:t>artículo 2.2.1.1.1.7.1. del Decreto 1082 de 2015.</w:t>
      </w:r>
    </w:p>
    <w:p w14:paraId="3E436D60" w14:textId="77777777" w:rsidR="00745FFE" w:rsidRPr="005B4115" w:rsidRDefault="00745FFE" w:rsidP="613A5EC2">
      <w:pPr>
        <w:spacing w:after="120" w:line="276" w:lineRule="auto"/>
        <w:ind w:firstLine="709"/>
        <w:jc w:val="both"/>
        <w:rPr>
          <w:rFonts w:ascii="Verdana" w:hAnsi="Verdana" w:cs="Arial"/>
          <w:lang w:val="es-ES"/>
        </w:rPr>
      </w:pPr>
      <w:r w:rsidRPr="613A5EC2">
        <w:rPr>
          <w:rFonts w:ascii="Verdana" w:eastAsia="Calibri" w:hAnsi="Verdana" w:cs="Arial"/>
          <w:lang w:val="es-ES"/>
        </w:rPr>
        <w:t xml:space="preserve">De conformidad con lo anterior, esta interpretación de las disposiciones analizadas permite incorporar al EGCAP importantes principios desarrollados por la normativa de la transparencia y acceso a la información pública, como los de </w:t>
      </w:r>
      <w:r w:rsidRPr="613A5EC2">
        <w:rPr>
          <w:rFonts w:ascii="Verdana" w:hAnsi="Verdana" w:cs="Arial"/>
          <w:lang w:val="es-ES"/>
        </w:rPr>
        <w:t>máxima publicidad para un titular universal</w:t>
      </w:r>
      <w:r w:rsidRPr="613A5EC2">
        <w:rPr>
          <w:rFonts w:ascii="Verdana" w:hAnsi="Verdana" w:cs="Arial"/>
          <w:vertAlign w:val="superscript"/>
          <w:lang w:val="es-ES"/>
        </w:rPr>
        <w:footnoteReference w:id="18"/>
      </w:r>
      <w:r w:rsidRPr="613A5EC2">
        <w:rPr>
          <w:rFonts w:ascii="Verdana" w:hAnsi="Verdana" w:cs="Arial"/>
          <w:lang w:val="es-ES"/>
        </w:rPr>
        <w:t>, transparencia, facilitación y divulgación proactiva de la información</w:t>
      </w:r>
      <w:r w:rsidRPr="613A5EC2">
        <w:rPr>
          <w:rFonts w:ascii="Verdana" w:hAnsi="Verdana" w:cs="Arial"/>
          <w:vertAlign w:val="superscript"/>
          <w:lang w:val="es-ES"/>
        </w:rPr>
        <w:footnoteReference w:id="19"/>
      </w:r>
      <w:r w:rsidRPr="613A5EC2">
        <w:rPr>
          <w:rFonts w:ascii="Verdana" w:hAnsi="Verdana" w:cs="Arial"/>
          <w:lang w:val="es-ES"/>
        </w:rPr>
        <w:t>. Ello por cuanto,</w:t>
      </w:r>
      <w:r w:rsidRPr="613A5EC2">
        <w:rPr>
          <w:rFonts w:ascii="Verdana" w:hAnsi="Verdana" w:cs="Arial"/>
          <w:i/>
          <w:lang w:val="es-ES"/>
        </w:rPr>
        <w:t xml:space="preserve"> </w:t>
      </w:r>
      <w:r w:rsidRPr="613A5EC2">
        <w:rPr>
          <w:rFonts w:ascii="Verdana" w:hAnsi="Verdana" w:cs="Arial"/>
          <w:lang w:val="es-ES"/>
        </w:rPr>
        <w:t>al ampliarse la actividad contractual sobre la que recae el deber de publicación, se divulga un mayor volumen de información, que, de por sí, es pública, mediante un mecanismo como el SECOP, que facilita el acceso a la misma desde cualquier dispositivo con acceso a internet. Con ello se garantiza mayor transparencia, al obligarse a las entidades estatales a publicar sus actuaciones de manera proactiva y rutinaria, lo que permite que la ciudadanía conozca con detalle y actualidad el desarrollo de la gestión contractual de la Administración, fomentándose en la contratación pública estándares altos de transparencia.</w:t>
      </w:r>
    </w:p>
    <w:p w14:paraId="3BC7D963" w14:textId="77777777" w:rsidR="00745FFE" w:rsidRPr="005B4115" w:rsidRDefault="00745FFE" w:rsidP="613A5EC2">
      <w:pPr>
        <w:spacing w:after="120" w:line="276" w:lineRule="auto"/>
        <w:ind w:firstLine="709"/>
        <w:jc w:val="both"/>
        <w:rPr>
          <w:rFonts w:ascii="Verdana" w:eastAsia="Calibri" w:hAnsi="Verdana" w:cs="Arial"/>
          <w:lang w:val="es-ES"/>
        </w:rPr>
      </w:pPr>
      <w:r w:rsidRPr="613A5EC2">
        <w:rPr>
          <w:rFonts w:ascii="Verdana" w:hAnsi="Verdana" w:cs="Arial"/>
          <w:lang w:val="es-ES"/>
        </w:rPr>
        <w:t xml:space="preserve">En conclusión, con base en los fundamentos normativos y argumentos expuestos, además del Plan Anual de Adquisiciones, las entidades estatales regidas por el EGCAP deberán publicar en SECOP, entre otros, los siguientes documentos expedidos con ocasión del </w:t>
      </w:r>
      <w:r w:rsidRPr="613A5EC2">
        <w:rPr>
          <w:rFonts w:ascii="Verdana" w:hAnsi="Verdana" w:cs="Arial"/>
          <w:i/>
          <w:lang w:val="es-ES"/>
        </w:rPr>
        <w:t>proceso de contratación</w:t>
      </w:r>
      <w:r w:rsidRPr="613A5EC2">
        <w:rPr>
          <w:rFonts w:ascii="Verdana" w:hAnsi="Verdana" w:cs="Arial"/>
          <w:lang w:val="es-ES"/>
        </w:rPr>
        <w:t xml:space="preserve">: </w:t>
      </w:r>
    </w:p>
    <w:p w14:paraId="7CEB78D0" w14:textId="77777777" w:rsidR="00745FFE" w:rsidRPr="005B4115" w:rsidRDefault="00745FFE" w:rsidP="613A5EC2">
      <w:pPr>
        <w:spacing w:after="120" w:line="276" w:lineRule="auto"/>
        <w:ind w:firstLine="709"/>
        <w:jc w:val="both"/>
        <w:rPr>
          <w:rFonts w:ascii="Verdana" w:hAnsi="Verdana" w:cs="Arial"/>
          <w:lang w:val="es-ES"/>
        </w:rPr>
      </w:pPr>
      <w:r w:rsidRPr="613A5EC2">
        <w:rPr>
          <w:rFonts w:ascii="Verdana" w:hAnsi="Verdana" w:cs="Arial"/>
          <w:lang w:val="es-ES"/>
        </w:rPr>
        <w:lastRenderedPageBreak/>
        <w:t>i) El estudio de oportunidad y conveniencia.</w:t>
      </w:r>
    </w:p>
    <w:p w14:paraId="7086B933" w14:textId="77777777" w:rsidR="00745FFE" w:rsidRPr="0082452D" w:rsidRDefault="00745FFE" w:rsidP="613A5EC2">
      <w:pPr>
        <w:spacing w:after="120" w:line="276" w:lineRule="auto"/>
        <w:ind w:firstLine="709"/>
        <w:jc w:val="both"/>
        <w:rPr>
          <w:rFonts w:ascii="Verdana" w:hAnsi="Verdana" w:cs="Arial"/>
          <w:lang w:val="es-ES"/>
        </w:rPr>
      </w:pPr>
      <w:proofErr w:type="spellStart"/>
      <w:r w:rsidRPr="4000E463">
        <w:rPr>
          <w:rFonts w:ascii="Verdana" w:hAnsi="Verdana" w:cs="Arial"/>
          <w:lang w:val="es-ES"/>
        </w:rPr>
        <w:t>ii</w:t>
      </w:r>
      <w:proofErr w:type="spellEnd"/>
      <w:r w:rsidRPr="4000E463">
        <w:rPr>
          <w:rFonts w:ascii="Verdana" w:hAnsi="Verdana" w:cs="Arial"/>
          <w:lang w:val="es-ES"/>
        </w:rPr>
        <w:t>) Los estudios y documentos previos –técnicos o no–.</w:t>
      </w:r>
    </w:p>
    <w:p w14:paraId="7B7BBA42" w14:textId="77777777" w:rsidR="00745FFE" w:rsidRPr="0082452D" w:rsidRDefault="00745FFE" w:rsidP="613A5EC2">
      <w:pPr>
        <w:spacing w:after="120" w:line="276" w:lineRule="auto"/>
        <w:ind w:firstLine="709"/>
        <w:jc w:val="both"/>
        <w:rPr>
          <w:rFonts w:ascii="Verdana" w:hAnsi="Verdana" w:cs="Arial"/>
          <w:lang w:val="es-ES"/>
        </w:rPr>
      </w:pPr>
      <w:proofErr w:type="spellStart"/>
      <w:r w:rsidRPr="4000E463">
        <w:rPr>
          <w:rFonts w:ascii="Verdana" w:hAnsi="Verdana" w:cs="Arial"/>
          <w:lang w:val="es-ES"/>
        </w:rPr>
        <w:t>iii</w:t>
      </w:r>
      <w:proofErr w:type="spellEnd"/>
      <w:r w:rsidRPr="4000E463">
        <w:rPr>
          <w:rFonts w:ascii="Verdana" w:hAnsi="Verdana" w:cs="Arial"/>
          <w:lang w:val="es-ES"/>
        </w:rPr>
        <w:t xml:space="preserve">) El aviso de convocatoria. </w:t>
      </w:r>
    </w:p>
    <w:p w14:paraId="54A562FF" w14:textId="77777777" w:rsidR="00745FFE" w:rsidRPr="0082452D" w:rsidRDefault="00745FFE" w:rsidP="613A5EC2">
      <w:pPr>
        <w:spacing w:after="120" w:line="276" w:lineRule="auto"/>
        <w:ind w:left="708" w:firstLine="1"/>
        <w:jc w:val="both"/>
        <w:rPr>
          <w:rFonts w:ascii="Verdana" w:hAnsi="Verdana" w:cs="Arial"/>
          <w:lang w:val="es-ES"/>
        </w:rPr>
      </w:pPr>
      <w:proofErr w:type="spellStart"/>
      <w:r w:rsidRPr="4000E463">
        <w:rPr>
          <w:rFonts w:ascii="Verdana" w:hAnsi="Verdana" w:cs="Arial"/>
          <w:lang w:val="es-ES"/>
        </w:rPr>
        <w:t>iv</w:t>
      </w:r>
      <w:proofErr w:type="spellEnd"/>
      <w:r w:rsidRPr="4000E463">
        <w:rPr>
          <w:rFonts w:ascii="Verdana" w:hAnsi="Verdana" w:cs="Arial"/>
          <w:lang w:val="es-ES"/>
        </w:rPr>
        <w:t>) El proyecto de pliego de condiciones y las observaciones que le formulen.</w:t>
      </w:r>
    </w:p>
    <w:p w14:paraId="67D3B590" w14:textId="77777777" w:rsidR="00745FFE" w:rsidRPr="005B4115" w:rsidRDefault="00745FFE" w:rsidP="613A5EC2">
      <w:pPr>
        <w:spacing w:after="120" w:line="276" w:lineRule="auto"/>
        <w:ind w:left="708" w:firstLine="1"/>
        <w:jc w:val="both"/>
        <w:rPr>
          <w:rFonts w:ascii="Verdana" w:hAnsi="Verdana" w:cs="Arial"/>
          <w:lang w:val="es-ES"/>
        </w:rPr>
      </w:pPr>
      <w:r w:rsidRPr="613A5EC2">
        <w:rPr>
          <w:rFonts w:ascii="Verdana" w:hAnsi="Verdana" w:cs="Arial"/>
          <w:lang w:val="es-ES"/>
        </w:rPr>
        <w:t>v) El pliego de condiciones o la invitación, así como las observaciones que se les realicen.</w:t>
      </w:r>
    </w:p>
    <w:p w14:paraId="3FE948DA" w14:textId="77777777" w:rsidR="00745FFE" w:rsidRPr="005B4115" w:rsidRDefault="00745FFE" w:rsidP="613A5EC2">
      <w:pPr>
        <w:spacing w:after="120" w:line="276" w:lineRule="auto"/>
        <w:ind w:firstLine="709"/>
        <w:jc w:val="both"/>
        <w:rPr>
          <w:rFonts w:ascii="Verdana" w:hAnsi="Verdana" w:cs="Arial"/>
          <w:lang w:val="es-ES"/>
        </w:rPr>
      </w:pPr>
      <w:r w:rsidRPr="613A5EC2">
        <w:rPr>
          <w:rFonts w:ascii="Verdana" w:hAnsi="Verdana" w:cs="Arial"/>
          <w:lang w:val="es-ES"/>
        </w:rPr>
        <w:t>vi) Las actas de la audiencia de asignación de riesgos.</w:t>
      </w:r>
    </w:p>
    <w:p w14:paraId="739CB07A" w14:textId="77777777" w:rsidR="00745FFE" w:rsidRPr="0082452D" w:rsidRDefault="00745FFE" w:rsidP="613A5EC2">
      <w:pPr>
        <w:spacing w:after="120" w:line="276" w:lineRule="auto"/>
        <w:ind w:firstLine="709"/>
        <w:jc w:val="both"/>
        <w:rPr>
          <w:rFonts w:ascii="Verdana" w:hAnsi="Verdana" w:cs="Arial"/>
          <w:lang w:val="es-ES"/>
        </w:rPr>
      </w:pPr>
      <w:proofErr w:type="spellStart"/>
      <w:r w:rsidRPr="4000E463">
        <w:rPr>
          <w:rFonts w:ascii="Verdana" w:hAnsi="Verdana" w:cs="Arial"/>
          <w:lang w:val="es-ES"/>
        </w:rPr>
        <w:t>vii</w:t>
      </w:r>
      <w:proofErr w:type="spellEnd"/>
      <w:r w:rsidRPr="4000E463">
        <w:rPr>
          <w:rFonts w:ascii="Verdana" w:hAnsi="Verdana" w:cs="Arial"/>
          <w:lang w:val="es-ES"/>
        </w:rPr>
        <w:t>) El acta de cierre del plazo para presentar ofertas.</w:t>
      </w:r>
    </w:p>
    <w:p w14:paraId="5D2B3DFE" w14:textId="77777777" w:rsidR="00745FFE" w:rsidRPr="0082452D" w:rsidRDefault="00745FFE" w:rsidP="613A5EC2">
      <w:pPr>
        <w:spacing w:after="120" w:line="276" w:lineRule="auto"/>
        <w:ind w:firstLine="709"/>
        <w:jc w:val="both"/>
        <w:rPr>
          <w:rFonts w:ascii="Verdana" w:hAnsi="Verdana" w:cs="Arial"/>
          <w:lang w:val="es-ES"/>
        </w:rPr>
      </w:pPr>
      <w:proofErr w:type="spellStart"/>
      <w:r w:rsidRPr="4000E463">
        <w:rPr>
          <w:rFonts w:ascii="Verdana" w:hAnsi="Verdana" w:cs="Arial"/>
          <w:lang w:val="es-ES"/>
        </w:rPr>
        <w:t>viii</w:t>
      </w:r>
      <w:proofErr w:type="spellEnd"/>
      <w:r w:rsidRPr="4000E463">
        <w:rPr>
          <w:rFonts w:ascii="Verdana" w:hAnsi="Verdana" w:cs="Arial"/>
          <w:lang w:val="es-ES"/>
        </w:rPr>
        <w:t>) Las adendas.</w:t>
      </w:r>
    </w:p>
    <w:p w14:paraId="5EF614E9" w14:textId="77777777" w:rsidR="00745FFE" w:rsidRPr="0082452D" w:rsidRDefault="00745FFE" w:rsidP="613A5EC2">
      <w:pPr>
        <w:spacing w:after="120" w:line="276" w:lineRule="auto"/>
        <w:ind w:left="708" w:firstLine="1"/>
        <w:jc w:val="both"/>
        <w:rPr>
          <w:rFonts w:ascii="Verdana" w:hAnsi="Verdana" w:cs="Arial"/>
          <w:lang w:val="es-ES"/>
        </w:rPr>
      </w:pPr>
      <w:proofErr w:type="spellStart"/>
      <w:r w:rsidRPr="4000E463">
        <w:rPr>
          <w:rFonts w:ascii="Verdana" w:hAnsi="Verdana" w:cs="Arial"/>
          <w:lang w:val="es-ES"/>
        </w:rPr>
        <w:t>ix</w:t>
      </w:r>
      <w:proofErr w:type="spellEnd"/>
      <w:r w:rsidRPr="4000E463">
        <w:rPr>
          <w:rFonts w:ascii="Verdana" w:hAnsi="Verdana" w:cs="Arial"/>
          <w:lang w:val="es-ES"/>
        </w:rPr>
        <w:t>) En procesos cuya publicación deba realizarse en SECOP I, la oferta del adjudicatario y las aclaraciones que se le realicen.</w:t>
      </w:r>
    </w:p>
    <w:p w14:paraId="218D0E1B" w14:textId="77777777" w:rsidR="00745FFE" w:rsidRPr="005B4115" w:rsidRDefault="00745FFE" w:rsidP="613A5EC2">
      <w:pPr>
        <w:spacing w:after="120" w:line="276" w:lineRule="auto"/>
        <w:ind w:firstLine="709"/>
        <w:jc w:val="both"/>
        <w:rPr>
          <w:rFonts w:ascii="Verdana" w:hAnsi="Verdana" w:cs="Arial"/>
          <w:lang w:val="es-ES"/>
        </w:rPr>
      </w:pPr>
      <w:r w:rsidRPr="613A5EC2">
        <w:rPr>
          <w:rFonts w:ascii="Verdana" w:hAnsi="Verdana" w:cs="Arial"/>
          <w:lang w:val="es-ES"/>
        </w:rPr>
        <w:t>x) El informe de precalificación y las observaciones que se formulen.</w:t>
      </w:r>
    </w:p>
    <w:p w14:paraId="3B62E505" w14:textId="77777777" w:rsidR="00745FFE" w:rsidRPr="005B4115" w:rsidRDefault="00745FFE" w:rsidP="613A5EC2">
      <w:pPr>
        <w:spacing w:after="120" w:line="276" w:lineRule="auto"/>
        <w:ind w:firstLine="709"/>
        <w:jc w:val="both"/>
        <w:rPr>
          <w:rFonts w:ascii="Verdana" w:hAnsi="Verdana" w:cs="Arial"/>
          <w:lang w:val="es-ES"/>
        </w:rPr>
      </w:pPr>
      <w:r w:rsidRPr="613A5EC2">
        <w:rPr>
          <w:rFonts w:ascii="Verdana" w:hAnsi="Verdana" w:cs="Arial"/>
          <w:lang w:val="es-ES"/>
        </w:rPr>
        <w:t xml:space="preserve">xi) El informe de evaluación y las observaciones que se formulen. </w:t>
      </w:r>
    </w:p>
    <w:p w14:paraId="5BF8C808" w14:textId="77777777" w:rsidR="00745FFE" w:rsidRPr="0082452D" w:rsidRDefault="00745FFE" w:rsidP="613A5EC2">
      <w:pPr>
        <w:spacing w:after="120" w:line="276" w:lineRule="auto"/>
        <w:ind w:firstLine="709"/>
        <w:jc w:val="both"/>
        <w:rPr>
          <w:rFonts w:ascii="Verdana" w:hAnsi="Verdana" w:cs="Arial"/>
          <w:lang w:val="es-ES"/>
        </w:rPr>
      </w:pPr>
      <w:proofErr w:type="spellStart"/>
      <w:r w:rsidRPr="4000E463">
        <w:rPr>
          <w:rFonts w:ascii="Verdana" w:hAnsi="Verdana" w:cs="Arial"/>
          <w:lang w:val="es-ES"/>
        </w:rPr>
        <w:t>xii</w:t>
      </w:r>
      <w:proofErr w:type="spellEnd"/>
      <w:r w:rsidRPr="4000E463">
        <w:rPr>
          <w:rFonts w:ascii="Verdana" w:hAnsi="Verdana" w:cs="Arial"/>
          <w:lang w:val="es-ES"/>
        </w:rPr>
        <w:t xml:space="preserve">) Las respuestas a las observaciones. </w:t>
      </w:r>
    </w:p>
    <w:p w14:paraId="721EC53A" w14:textId="77777777" w:rsidR="00745FFE" w:rsidRPr="0082452D" w:rsidRDefault="00745FFE" w:rsidP="613A5EC2">
      <w:pPr>
        <w:spacing w:after="120" w:line="276" w:lineRule="auto"/>
        <w:ind w:firstLine="709"/>
        <w:jc w:val="both"/>
        <w:rPr>
          <w:rFonts w:ascii="Verdana" w:hAnsi="Verdana" w:cs="Arial"/>
          <w:lang w:val="es-ES"/>
        </w:rPr>
      </w:pPr>
      <w:proofErr w:type="spellStart"/>
      <w:r w:rsidRPr="4000E463">
        <w:rPr>
          <w:rFonts w:ascii="Verdana" w:hAnsi="Verdana" w:cs="Arial"/>
          <w:lang w:val="es-ES"/>
        </w:rPr>
        <w:t>xiii</w:t>
      </w:r>
      <w:proofErr w:type="spellEnd"/>
      <w:r w:rsidRPr="4000E463">
        <w:rPr>
          <w:rFonts w:ascii="Verdana" w:hAnsi="Verdana" w:cs="Arial"/>
          <w:lang w:val="es-ES"/>
        </w:rPr>
        <w:t>) El contrato y los otrosíes o modificaciones.</w:t>
      </w:r>
    </w:p>
    <w:p w14:paraId="2181389C" w14:textId="77777777" w:rsidR="00745FFE" w:rsidRPr="0082452D" w:rsidRDefault="00745FFE" w:rsidP="613A5EC2">
      <w:pPr>
        <w:spacing w:after="120" w:line="276" w:lineRule="auto"/>
        <w:ind w:firstLine="709"/>
        <w:jc w:val="both"/>
        <w:rPr>
          <w:rFonts w:ascii="Verdana" w:hAnsi="Verdana" w:cs="Arial"/>
          <w:lang w:val="es-ES"/>
        </w:rPr>
      </w:pPr>
      <w:proofErr w:type="spellStart"/>
      <w:r w:rsidRPr="4000E463">
        <w:rPr>
          <w:rFonts w:ascii="Verdana" w:hAnsi="Verdana" w:cs="Arial"/>
          <w:lang w:val="es-ES"/>
        </w:rPr>
        <w:t>xiv</w:t>
      </w:r>
      <w:proofErr w:type="spellEnd"/>
      <w:r w:rsidRPr="4000E463">
        <w:rPr>
          <w:rFonts w:ascii="Verdana" w:hAnsi="Verdana" w:cs="Arial"/>
          <w:lang w:val="es-ES"/>
        </w:rPr>
        <w:t xml:space="preserve">) El acta de inicio. </w:t>
      </w:r>
    </w:p>
    <w:p w14:paraId="756579EE" w14:textId="77777777" w:rsidR="00745FFE" w:rsidRPr="0082452D" w:rsidRDefault="00745FFE" w:rsidP="613A5EC2">
      <w:pPr>
        <w:spacing w:after="120" w:line="276" w:lineRule="auto"/>
        <w:ind w:firstLine="709"/>
        <w:jc w:val="both"/>
        <w:rPr>
          <w:rFonts w:ascii="Verdana" w:hAnsi="Verdana" w:cs="Arial"/>
          <w:lang w:val="es-ES"/>
        </w:rPr>
      </w:pPr>
      <w:proofErr w:type="spellStart"/>
      <w:r w:rsidRPr="4000E463">
        <w:rPr>
          <w:rFonts w:ascii="Verdana" w:hAnsi="Verdana" w:cs="Arial"/>
          <w:lang w:val="es-ES"/>
        </w:rPr>
        <w:t>xv</w:t>
      </w:r>
      <w:proofErr w:type="spellEnd"/>
      <w:r w:rsidRPr="4000E463">
        <w:rPr>
          <w:rFonts w:ascii="Verdana" w:hAnsi="Verdana" w:cs="Arial"/>
          <w:lang w:val="es-ES"/>
        </w:rPr>
        <w:t xml:space="preserve">) Las garantías. </w:t>
      </w:r>
    </w:p>
    <w:p w14:paraId="5103A7AE" w14:textId="77777777" w:rsidR="00745FFE" w:rsidRPr="0082452D" w:rsidRDefault="00745FFE" w:rsidP="613A5EC2">
      <w:pPr>
        <w:spacing w:after="120" w:line="276" w:lineRule="auto"/>
        <w:ind w:firstLine="709"/>
        <w:jc w:val="both"/>
        <w:rPr>
          <w:rFonts w:ascii="Verdana" w:hAnsi="Verdana" w:cs="Arial"/>
          <w:lang w:val="es-ES"/>
        </w:rPr>
      </w:pPr>
      <w:proofErr w:type="spellStart"/>
      <w:r w:rsidRPr="4000E463">
        <w:rPr>
          <w:rFonts w:ascii="Verdana" w:hAnsi="Verdana" w:cs="Arial"/>
          <w:lang w:val="es-ES"/>
        </w:rPr>
        <w:t>xvi</w:t>
      </w:r>
      <w:proofErr w:type="spellEnd"/>
      <w:r w:rsidRPr="4000E463">
        <w:rPr>
          <w:rFonts w:ascii="Verdana" w:hAnsi="Verdana" w:cs="Arial"/>
          <w:lang w:val="es-ES"/>
        </w:rPr>
        <w:t xml:space="preserve">) El acta de liquidación. </w:t>
      </w:r>
    </w:p>
    <w:p w14:paraId="1444A0BF" w14:textId="77777777" w:rsidR="00745FFE" w:rsidRPr="00E66E04" w:rsidRDefault="00745FFE" w:rsidP="613A5EC2">
      <w:pPr>
        <w:spacing w:after="120" w:line="276" w:lineRule="auto"/>
        <w:ind w:left="708" w:firstLine="1"/>
        <w:jc w:val="both"/>
        <w:rPr>
          <w:rFonts w:ascii="Verdana" w:hAnsi="Verdana" w:cs="Arial"/>
          <w:lang w:val="es-ES"/>
        </w:rPr>
      </w:pPr>
      <w:proofErr w:type="spellStart"/>
      <w:r w:rsidRPr="4000E463">
        <w:rPr>
          <w:rFonts w:ascii="Verdana" w:hAnsi="Verdana" w:cs="Arial"/>
          <w:lang w:val="es-ES"/>
        </w:rPr>
        <w:t>xvii</w:t>
      </w:r>
      <w:proofErr w:type="spellEnd"/>
      <w:r w:rsidRPr="4000E463">
        <w:rPr>
          <w:rFonts w:ascii="Verdana" w:hAnsi="Verdana" w:cs="Arial"/>
          <w:lang w:val="es-ES"/>
        </w:rPr>
        <w:t>) Los actos administrativos expedidos con ocasión del procedimiento de selección o la ejecución del contrato, como las resoluciones de apertura, de adjudicación, las que se impongan multas, la cláusula penal o declaren la caducidad del contrato.</w:t>
      </w:r>
    </w:p>
    <w:p w14:paraId="27D76D65" w14:textId="77777777" w:rsidR="00745FFE" w:rsidRPr="00E66E04" w:rsidRDefault="00745FFE" w:rsidP="613A5EC2">
      <w:pPr>
        <w:spacing w:after="120" w:line="276" w:lineRule="auto"/>
        <w:ind w:left="708" w:firstLine="1"/>
        <w:jc w:val="both"/>
        <w:rPr>
          <w:rFonts w:ascii="Verdana" w:hAnsi="Verdana" w:cs="Arial"/>
          <w:lang w:val="es-ES"/>
        </w:rPr>
      </w:pPr>
      <w:proofErr w:type="spellStart"/>
      <w:r w:rsidRPr="4000E463">
        <w:rPr>
          <w:rFonts w:ascii="Verdana" w:hAnsi="Verdana" w:cs="Arial"/>
          <w:lang w:val="es-ES"/>
        </w:rPr>
        <w:t>xviii</w:t>
      </w:r>
      <w:proofErr w:type="spellEnd"/>
      <w:r w:rsidRPr="4000E463">
        <w:rPr>
          <w:rFonts w:ascii="Verdana" w:hAnsi="Verdana" w:cs="Arial"/>
          <w:lang w:val="es-ES"/>
        </w:rPr>
        <w:t xml:space="preserve">) Los documentos de los procesos por incumplimiento contractual que se lleven a cabo conforme al artículo 86 de la Ley 1474 de 2011, como la citación, las pruebas que se practiquen, la resolución que resuelve la actuación y demás documentos que se produzcan. </w:t>
      </w:r>
    </w:p>
    <w:p w14:paraId="0E8C8367" w14:textId="77777777" w:rsidR="00745FFE" w:rsidRPr="00E66E04" w:rsidRDefault="00745FFE" w:rsidP="613A5EC2">
      <w:pPr>
        <w:spacing w:after="120" w:line="276" w:lineRule="auto"/>
        <w:ind w:left="708" w:firstLine="1"/>
        <w:jc w:val="both"/>
        <w:rPr>
          <w:rFonts w:ascii="Verdana" w:hAnsi="Verdana" w:cs="Arial"/>
          <w:lang w:val="es-ES"/>
        </w:rPr>
      </w:pPr>
      <w:proofErr w:type="spellStart"/>
      <w:r w:rsidRPr="4000E463">
        <w:rPr>
          <w:rFonts w:ascii="Verdana" w:hAnsi="Verdana" w:cs="Arial"/>
          <w:lang w:val="es-ES"/>
        </w:rPr>
        <w:t>ix</w:t>
      </w:r>
      <w:proofErr w:type="spellEnd"/>
      <w:r w:rsidRPr="4000E463">
        <w:rPr>
          <w:rFonts w:ascii="Verdana" w:hAnsi="Verdana" w:cs="Arial"/>
          <w:lang w:val="es-ES"/>
        </w:rPr>
        <w:t xml:space="preserve">) Las reclamaciones que presenten las partes y las respuestas que se expidan a las mismas. </w:t>
      </w:r>
    </w:p>
    <w:p w14:paraId="3F99B360" w14:textId="77777777" w:rsidR="00745FFE" w:rsidRPr="00E66E04" w:rsidRDefault="00745FFE" w:rsidP="613A5EC2">
      <w:pPr>
        <w:spacing w:after="120" w:line="276" w:lineRule="auto"/>
        <w:ind w:firstLine="709"/>
        <w:jc w:val="both"/>
        <w:rPr>
          <w:rFonts w:ascii="Verdana" w:hAnsi="Verdana" w:cs="Arial"/>
          <w:lang w:val="es-ES"/>
        </w:rPr>
      </w:pPr>
      <w:proofErr w:type="spellStart"/>
      <w:r w:rsidRPr="4000E463">
        <w:rPr>
          <w:rFonts w:ascii="Verdana" w:hAnsi="Verdana" w:cs="Arial"/>
          <w:lang w:val="es-ES"/>
        </w:rPr>
        <w:t>xx</w:t>
      </w:r>
      <w:proofErr w:type="spellEnd"/>
      <w:r w:rsidRPr="4000E463">
        <w:rPr>
          <w:rFonts w:ascii="Verdana" w:hAnsi="Verdana" w:cs="Arial"/>
          <w:lang w:val="es-ES"/>
        </w:rPr>
        <w:t xml:space="preserve">) Las actas de entrega o recibo. </w:t>
      </w:r>
    </w:p>
    <w:p w14:paraId="0683431E" w14:textId="77777777" w:rsidR="00745FFE" w:rsidRPr="00E66E04" w:rsidRDefault="00745FFE" w:rsidP="613A5EC2">
      <w:pPr>
        <w:spacing w:after="120" w:line="276" w:lineRule="auto"/>
        <w:ind w:firstLine="709"/>
        <w:jc w:val="both"/>
        <w:rPr>
          <w:rFonts w:ascii="Verdana" w:hAnsi="Verdana" w:cs="Arial"/>
          <w:lang w:val="es-ES"/>
        </w:rPr>
      </w:pPr>
      <w:proofErr w:type="spellStart"/>
      <w:r w:rsidRPr="4000E463">
        <w:rPr>
          <w:rFonts w:ascii="Verdana" w:hAnsi="Verdana" w:cs="Arial"/>
          <w:lang w:val="es-ES"/>
        </w:rPr>
        <w:lastRenderedPageBreak/>
        <w:t>xxi</w:t>
      </w:r>
      <w:proofErr w:type="spellEnd"/>
      <w:r w:rsidRPr="4000E463">
        <w:rPr>
          <w:rFonts w:ascii="Verdana" w:hAnsi="Verdana" w:cs="Arial"/>
          <w:lang w:val="es-ES"/>
        </w:rPr>
        <w:t xml:space="preserve">) Los informes de supervisión y/o interventoría. </w:t>
      </w:r>
    </w:p>
    <w:p w14:paraId="74B2962F" w14:textId="77777777" w:rsidR="00745FFE" w:rsidRPr="00E66E04" w:rsidRDefault="00745FFE" w:rsidP="613A5EC2">
      <w:pPr>
        <w:spacing w:after="120" w:line="276" w:lineRule="auto"/>
        <w:ind w:left="708" w:firstLine="1"/>
        <w:jc w:val="both"/>
        <w:rPr>
          <w:rFonts w:ascii="Verdana" w:hAnsi="Verdana" w:cs="Arial"/>
          <w:lang w:val="es-ES"/>
        </w:rPr>
      </w:pPr>
      <w:proofErr w:type="spellStart"/>
      <w:r w:rsidRPr="4000E463">
        <w:rPr>
          <w:rFonts w:ascii="Verdana" w:hAnsi="Verdana" w:cs="Arial"/>
          <w:lang w:val="es-ES"/>
        </w:rPr>
        <w:t>xxii</w:t>
      </w:r>
      <w:proofErr w:type="spellEnd"/>
      <w:r w:rsidRPr="4000E463">
        <w:rPr>
          <w:rFonts w:ascii="Verdana" w:hAnsi="Verdana" w:cs="Arial"/>
          <w:lang w:val="es-ES"/>
        </w:rPr>
        <w:t>) En cuanto a la ejecución, de conformidad con el artículo 2.1.1.2.1.8 de Decreto 1081 de 2015, deberán publicarse las aprobaciones, autorizaciones, requerimientos o informes del supervisor o del interventor, que prueben la ejecución del contrato.</w:t>
      </w:r>
    </w:p>
    <w:p w14:paraId="02388370" w14:textId="77777777" w:rsidR="00745FFE" w:rsidRPr="00E66E04" w:rsidRDefault="00745FFE" w:rsidP="613A5EC2">
      <w:pPr>
        <w:spacing w:after="120" w:line="276" w:lineRule="auto"/>
        <w:ind w:firstLine="709"/>
        <w:jc w:val="both"/>
        <w:rPr>
          <w:rFonts w:ascii="Verdana" w:hAnsi="Verdana" w:cs="Arial"/>
          <w:lang w:val="es-ES"/>
        </w:rPr>
      </w:pPr>
      <w:proofErr w:type="spellStart"/>
      <w:r w:rsidRPr="4000E463">
        <w:rPr>
          <w:rFonts w:ascii="Verdana" w:hAnsi="Verdana" w:cs="Arial"/>
          <w:lang w:val="es-ES"/>
        </w:rPr>
        <w:t>xxiii</w:t>
      </w:r>
      <w:proofErr w:type="spellEnd"/>
      <w:r w:rsidRPr="4000E463">
        <w:rPr>
          <w:rFonts w:ascii="Verdana" w:hAnsi="Verdana" w:cs="Arial"/>
          <w:lang w:val="es-ES"/>
        </w:rPr>
        <w:t xml:space="preserve">) La liquidación unilateral. </w:t>
      </w:r>
    </w:p>
    <w:p w14:paraId="4D1704A0" w14:textId="77777777" w:rsidR="00745FFE" w:rsidRPr="00E66E04" w:rsidRDefault="00745FFE" w:rsidP="613A5EC2">
      <w:pPr>
        <w:spacing w:after="120" w:line="276" w:lineRule="auto"/>
        <w:ind w:left="708" w:firstLine="1"/>
        <w:jc w:val="both"/>
        <w:rPr>
          <w:rFonts w:ascii="Verdana" w:hAnsi="Verdana" w:cs="Arial"/>
          <w:lang w:val="es-ES"/>
        </w:rPr>
      </w:pPr>
      <w:proofErr w:type="spellStart"/>
      <w:r w:rsidRPr="4000E463">
        <w:rPr>
          <w:rFonts w:ascii="Verdana" w:hAnsi="Verdana" w:cs="Arial"/>
          <w:lang w:val="es-ES"/>
        </w:rPr>
        <w:t>xxiv</w:t>
      </w:r>
      <w:proofErr w:type="spellEnd"/>
      <w:r w:rsidRPr="4000E463">
        <w:rPr>
          <w:rFonts w:ascii="Verdana" w:hAnsi="Verdana" w:cs="Arial"/>
          <w:lang w:val="es-ES"/>
        </w:rPr>
        <w:t xml:space="preserve">) En general, cualquier otro documento producido o expedido con ocasión del </w:t>
      </w:r>
      <w:r w:rsidRPr="4000E463">
        <w:rPr>
          <w:rFonts w:ascii="Verdana" w:hAnsi="Verdana" w:cs="Arial"/>
          <w:i/>
          <w:iCs/>
          <w:lang w:val="es-ES"/>
        </w:rPr>
        <w:t>Proceso de Contratación</w:t>
      </w:r>
      <w:r w:rsidRPr="4000E463">
        <w:rPr>
          <w:rFonts w:ascii="Verdana" w:hAnsi="Verdana" w:cs="Arial"/>
          <w:lang w:val="es-ES"/>
        </w:rPr>
        <w:t>, sin importar quién sea su autor –la Administración o el contratista–, con excepción de los que pertenecen a</w:t>
      </w:r>
      <w:r w:rsidRPr="4000E463">
        <w:rPr>
          <w:rFonts w:ascii="Verdana" w:eastAsia="Arial" w:hAnsi="Verdana" w:cs="Arial"/>
          <w:lang w:val="es-ES"/>
        </w:rPr>
        <w:t xml:space="preserve">l marco de operaciones de bolsa de productos, expresamente excluidos de publicación por el artículo 2.2.1.1.1.7.1. del Decreto 1082 de 2015. </w:t>
      </w:r>
    </w:p>
    <w:p w14:paraId="19D58E34" w14:textId="77777777" w:rsidR="00533168" w:rsidRDefault="00745FFE" w:rsidP="005B4115">
      <w:pPr>
        <w:tabs>
          <w:tab w:val="left" w:pos="709"/>
        </w:tabs>
        <w:spacing w:after="120" w:line="276" w:lineRule="auto"/>
        <w:ind w:firstLine="709"/>
        <w:jc w:val="both"/>
        <w:rPr>
          <w:rFonts w:ascii="Verdana" w:hAnsi="Verdana" w:cs="Arial"/>
          <w:shd w:val="clear" w:color="auto" w:fill="FFFFFF"/>
        </w:rPr>
      </w:pPr>
      <w:r w:rsidRPr="00597A98">
        <w:rPr>
          <w:rFonts w:ascii="Verdana" w:hAnsi="Verdana" w:cs="Arial"/>
          <w:shd w:val="clear" w:color="auto" w:fill="FFFFFF"/>
        </w:rPr>
        <w:t xml:space="preserve">Finalmente, </w:t>
      </w:r>
      <w:r w:rsidRPr="00A81666">
        <w:rPr>
          <w:rFonts w:ascii="Verdana" w:hAnsi="Verdana" w:cs="Arial"/>
          <w:shd w:val="clear" w:color="auto" w:fill="FFFFFF"/>
        </w:rPr>
        <w:t xml:space="preserve">la obligatoriedad </w:t>
      </w:r>
      <w:r w:rsidRPr="008440E1">
        <w:rPr>
          <w:rFonts w:ascii="Verdana" w:hAnsi="Verdana" w:cs="Arial"/>
          <w:shd w:val="clear" w:color="auto" w:fill="FFFFFF"/>
        </w:rPr>
        <w:t xml:space="preserve">de publicar la información contractual en el Sistema Electrónico para la Contratación Pública (SECOP) está establecida por la Ley 1150 de 2007, lo cual se desarrolla en la </w:t>
      </w:r>
      <w:r w:rsidRPr="008440E1">
        <w:rPr>
          <w:rFonts w:ascii="Verdana" w:eastAsia="Calibri" w:hAnsi="Verdana" w:cs="Arial"/>
          <w:lang w:val="es-ES"/>
        </w:rPr>
        <w:t xml:space="preserve">Circular </w:t>
      </w:r>
      <w:r>
        <w:rPr>
          <w:rFonts w:ascii="Verdana" w:eastAsia="Calibri" w:hAnsi="Verdana" w:cs="Arial"/>
          <w:lang w:val="es-ES"/>
        </w:rPr>
        <w:t>Única Externa</w:t>
      </w:r>
      <w:r>
        <w:rPr>
          <w:rStyle w:val="Refdenotaalpie"/>
          <w:rFonts w:ascii="Verdana" w:eastAsia="Calibri" w:hAnsi="Verdana" w:cs="Arial"/>
          <w:lang w:val="es-ES"/>
        </w:rPr>
        <w:footnoteReference w:id="20"/>
      </w:r>
      <w:r>
        <w:rPr>
          <w:rFonts w:ascii="Verdana" w:eastAsia="Calibri" w:hAnsi="Verdana" w:cs="Arial"/>
          <w:lang w:val="es-ES"/>
        </w:rPr>
        <w:t xml:space="preserve"> </w:t>
      </w:r>
      <w:r w:rsidRPr="008440E1">
        <w:rPr>
          <w:rFonts w:ascii="Verdana" w:eastAsia="Calibri" w:hAnsi="Verdana" w:cs="Arial"/>
          <w:lang w:val="es-ES"/>
        </w:rPr>
        <w:t>de Colombia Compra Eficiente</w:t>
      </w:r>
      <w:r w:rsidRPr="008440E1">
        <w:rPr>
          <w:rFonts w:ascii="Verdana" w:hAnsi="Verdana" w:cs="Arial"/>
          <w:shd w:val="clear" w:color="auto" w:fill="FFFFFF"/>
        </w:rPr>
        <w:t xml:space="preserve"> exigiendo a todas las </w:t>
      </w:r>
      <w:r w:rsidR="00533168" w:rsidRPr="005B4115">
        <w:rPr>
          <w:rFonts w:ascii="Verdana" w:hAnsi="Verdana" w:cs="Arial"/>
          <w:shd w:val="clear" w:color="auto" w:fill="FFFFFF"/>
        </w:rPr>
        <w:t>Entidades Estatales</w:t>
      </w:r>
      <w:r w:rsidRPr="008440E1">
        <w:rPr>
          <w:rFonts w:ascii="Verdana" w:hAnsi="Verdana" w:cs="Arial"/>
          <w:shd w:val="clear" w:color="auto" w:fill="FFFFFF"/>
        </w:rPr>
        <w:t xml:space="preserve">, incluidas aquellas con regímenes contractuales especiales, la publicación de documentos relacionados con su actividad contractual en dicha plataforma. </w:t>
      </w:r>
    </w:p>
    <w:p w14:paraId="07195D06" w14:textId="5D081334" w:rsidR="00745FFE" w:rsidRPr="00A81666" w:rsidRDefault="00745FFE" w:rsidP="613A5EC2">
      <w:pPr>
        <w:tabs>
          <w:tab w:val="left" w:pos="709"/>
        </w:tabs>
        <w:spacing w:after="120" w:line="276" w:lineRule="auto"/>
        <w:ind w:firstLine="709"/>
        <w:jc w:val="both"/>
        <w:rPr>
          <w:rStyle w:val="eop"/>
          <w:rFonts w:ascii="Verdana" w:hAnsi="Verdana" w:cs="Arial"/>
          <w:shd w:val="clear" w:color="auto" w:fill="FFFFFF"/>
        </w:rPr>
      </w:pPr>
      <w:r w:rsidRPr="008440E1">
        <w:rPr>
          <w:rFonts w:ascii="Verdana" w:hAnsi="Verdana" w:cs="Arial"/>
          <w:shd w:val="clear" w:color="auto" w:fill="FFFFFF"/>
        </w:rPr>
        <w:t>Esta obligación incluye todos los documentos generados durante las fases</w:t>
      </w:r>
      <w:r w:rsidRPr="00A81666">
        <w:rPr>
          <w:rFonts w:ascii="Verdana" w:hAnsi="Verdana" w:cs="Arial"/>
          <w:shd w:val="clear" w:color="auto" w:fill="FFFFFF"/>
        </w:rPr>
        <w:t xml:space="preserve"> precontractual, contractual y </w:t>
      </w:r>
      <w:proofErr w:type="spellStart"/>
      <w:r w:rsidRPr="00A81666">
        <w:rPr>
          <w:rFonts w:ascii="Verdana" w:hAnsi="Verdana" w:cs="Arial"/>
          <w:shd w:val="clear" w:color="auto" w:fill="FFFFFF"/>
        </w:rPr>
        <w:t>postcontractual</w:t>
      </w:r>
      <w:proofErr w:type="spellEnd"/>
      <w:r w:rsidRPr="00A81666">
        <w:rPr>
          <w:rFonts w:ascii="Verdana" w:hAnsi="Verdana" w:cs="Arial"/>
          <w:shd w:val="clear" w:color="auto" w:fill="FFFFFF"/>
        </w:rPr>
        <w:t xml:space="preserve">, como contratos, actos administrativos e información sobre los involucrados en el proceso. </w:t>
      </w:r>
      <w:r>
        <w:rPr>
          <w:rFonts w:ascii="Verdana" w:hAnsi="Verdana" w:cs="Arial"/>
          <w:shd w:val="clear" w:color="auto" w:fill="FFFFFF"/>
        </w:rPr>
        <w:t>Esto</w:t>
      </w:r>
      <w:r w:rsidRPr="00A81666">
        <w:rPr>
          <w:rFonts w:ascii="Verdana" w:hAnsi="Verdana" w:cs="Arial"/>
          <w:shd w:val="clear" w:color="auto" w:fill="FFFFFF"/>
        </w:rPr>
        <w:t xml:space="preserve"> tiene como objetivo garantizar la transparencia, el acceso público a la información y el control social sobre la contratación pública, permitiendo que la ciudadanía tenga acceso a los documentos en un sistema unificado y oficial, el SECOP II o la plataforma transaccional que haga sus veces en el futuro.</w:t>
      </w:r>
    </w:p>
    <w:p w14:paraId="73127310" w14:textId="77777777" w:rsidR="00745FFE" w:rsidRPr="00DE35B7" w:rsidRDefault="00745FFE" w:rsidP="00533168">
      <w:pPr>
        <w:tabs>
          <w:tab w:val="left" w:pos="709"/>
        </w:tabs>
        <w:spacing w:before="120" w:after="0" w:line="276" w:lineRule="auto"/>
        <w:ind w:firstLine="709"/>
        <w:jc w:val="both"/>
        <w:rPr>
          <w:rFonts w:ascii="Verdana" w:hAnsi="Verdana" w:cs="Arial"/>
          <w:shd w:val="clear" w:color="auto" w:fill="FFFFFF"/>
        </w:rPr>
      </w:pPr>
      <w:r>
        <w:rPr>
          <w:rFonts w:ascii="Verdana" w:hAnsi="Verdana" w:cs="Arial"/>
          <w:shd w:val="clear" w:color="auto" w:fill="FFFFFF"/>
        </w:rPr>
        <w:t>Por último,</w:t>
      </w:r>
      <w:r w:rsidRPr="00DE35B7">
        <w:rPr>
          <w:rFonts w:ascii="Verdana" w:hAnsi="Verdana" w:cs="Arial"/>
          <w:shd w:val="clear" w:color="auto" w:fill="FFFFFF"/>
        </w:rPr>
        <w:t xml:space="preserve"> se precisa, que corresponderá a la Entidad Estatal, previo concepto de sus órganos asesores, dar cumplimiento a la publicación de los documentos que expiden dentro de un Proceso de Contratación en el SECOP, en cumplimiento de las disposiciones legales y reglamentarias. La responsabilidad de la información relacionada con los Procesos de Contratación contenidos en SECOP, es únicamente de la entidad contratante y sus funcionarios. </w:t>
      </w:r>
    </w:p>
    <w:bookmarkEnd w:id="7"/>
    <w:p w14:paraId="7818A54E" w14:textId="77777777" w:rsidR="00533168" w:rsidRDefault="00533168" w:rsidP="613A5EC2">
      <w:pPr>
        <w:tabs>
          <w:tab w:val="left" w:pos="709"/>
        </w:tabs>
        <w:spacing w:after="0" w:line="276" w:lineRule="auto"/>
        <w:ind w:firstLine="709"/>
        <w:jc w:val="both"/>
        <w:rPr>
          <w:rFonts w:ascii="Verdana" w:hAnsi="Verdana" w:cs="Arial"/>
          <w:shd w:val="clear" w:color="auto" w:fill="FFFFFF"/>
        </w:rPr>
      </w:pPr>
    </w:p>
    <w:p w14:paraId="7F0B7C41" w14:textId="77777777" w:rsidR="00BE423F" w:rsidRDefault="00BE423F" w:rsidP="613A5EC2">
      <w:pPr>
        <w:tabs>
          <w:tab w:val="left" w:pos="709"/>
        </w:tabs>
        <w:spacing w:after="0" w:line="276" w:lineRule="auto"/>
        <w:ind w:firstLine="709"/>
        <w:jc w:val="both"/>
        <w:rPr>
          <w:rFonts w:ascii="Verdana" w:hAnsi="Verdana" w:cs="Arial"/>
          <w:shd w:val="clear" w:color="auto" w:fill="FFFFFF"/>
        </w:rPr>
      </w:pPr>
    </w:p>
    <w:p w14:paraId="13464F12" w14:textId="77777777" w:rsidR="00BE423F" w:rsidRPr="00DE35B7" w:rsidRDefault="00BE423F" w:rsidP="613A5EC2">
      <w:pPr>
        <w:tabs>
          <w:tab w:val="left" w:pos="709"/>
        </w:tabs>
        <w:spacing w:after="0" w:line="276" w:lineRule="auto"/>
        <w:ind w:firstLine="709"/>
        <w:jc w:val="both"/>
        <w:rPr>
          <w:rFonts w:ascii="Verdana" w:hAnsi="Verdana" w:cs="Arial"/>
          <w:shd w:val="clear" w:color="auto" w:fill="FFFFFF"/>
        </w:rPr>
      </w:pPr>
    </w:p>
    <w:p w14:paraId="25D51C62" w14:textId="77777777" w:rsidR="00745FFE" w:rsidRPr="008E4F36" w:rsidRDefault="00745FFE" w:rsidP="00745FFE">
      <w:pPr>
        <w:spacing w:after="0" w:line="276" w:lineRule="auto"/>
        <w:rPr>
          <w:rFonts w:ascii="Verdana" w:eastAsia="Calibri" w:hAnsi="Verdana" w:cs="Times New Roman"/>
          <w:b/>
          <w:bCs/>
        </w:rPr>
      </w:pPr>
      <w:r w:rsidRPr="008E4F36">
        <w:rPr>
          <w:rFonts w:ascii="Verdana" w:eastAsia="Calibri" w:hAnsi="Verdana" w:cs="Times New Roman"/>
          <w:b/>
          <w:bCs/>
        </w:rPr>
        <w:lastRenderedPageBreak/>
        <w:t>4. Referencias normativas, jurisprudenciales y otras fuentes:</w:t>
      </w:r>
    </w:p>
    <w:p w14:paraId="7BAEA0E8" w14:textId="77777777" w:rsidR="00745FFE" w:rsidRPr="008E4F36" w:rsidRDefault="00745FFE" w:rsidP="00745FFE">
      <w:pPr>
        <w:widowControl w:val="0"/>
        <w:autoSpaceDE w:val="0"/>
        <w:autoSpaceDN w:val="0"/>
        <w:spacing w:after="0" w:line="276" w:lineRule="auto"/>
        <w:jc w:val="both"/>
        <w:rPr>
          <w:rFonts w:ascii="Verdana" w:hAnsi="Verdana" w:cs="Arial"/>
        </w:rPr>
      </w:pPr>
    </w:p>
    <w:tbl>
      <w:tblPr>
        <w:tblStyle w:val="Tablaconcuadrcula"/>
        <w:tblW w:w="8647"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745FFE" w:rsidRPr="008E4F36" w14:paraId="54E84043" w14:textId="77777777" w:rsidTr="00A72AB0">
        <w:trPr>
          <w:trHeight w:val="477"/>
          <w:jc w:val="center"/>
        </w:trPr>
        <w:tc>
          <w:tcPr>
            <w:tcW w:w="8647" w:type="dxa"/>
          </w:tcPr>
          <w:p w14:paraId="58C0804F" w14:textId="1BD02B91" w:rsidR="00963F78" w:rsidRDefault="7A0A835C" w:rsidP="45F516D2">
            <w:pPr>
              <w:pStyle w:val="Prrafodelista"/>
              <w:widowControl w:val="0"/>
              <w:numPr>
                <w:ilvl w:val="0"/>
                <w:numId w:val="17"/>
              </w:numPr>
              <w:autoSpaceDE w:val="0"/>
              <w:autoSpaceDN w:val="0"/>
              <w:jc w:val="both"/>
              <w:rPr>
                <w:rFonts w:ascii="Verdana" w:hAnsi="Verdana" w:cs="Arial"/>
              </w:rPr>
            </w:pPr>
            <w:r w:rsidRPr="45F516D2">
              <w:rPr>
                <w:rFonts w:ascii="Verdana" w:hAnsi="Verdana" w:cs="Arial"/>
              </w:rPr>
              <w:t xml:space="preserve">Constitución Política. Artículos: 209 y 267. </w:t>
            </w:r>
          </w:p>
          <w:p w14:paraId="7AE7198D" w14:textId="09AD8377" w:rsidR="00745FFE" w:rsidRDefault="00745FFE" w:rsidP="45F516D2">
            <w:pPr>
              <w:pStyle w:val="Prrafodelista"/>
              <w:widowControl w:val="0"/>
              <w:numPr>
                <w:ilvl w:val="0"/>
                <w:numId w:val="17"/>
              </w:numPr>
              <w:autoSpaceDE w:val="0"/>
              <w:autoSpaceDN w:val="0"/>
              <w:jc w:val="both"/>
              <w:rPr>
                <w:rFonts w:ascii="Verdana" w:hAnsi="Verdana" w:cs="Arial"/>
              </w:rPr>
            </w:pPr>
            <w:r>
              <w:rPr>
                <w:rFonts w:ascii="Verdana" w:hAnsi="Verdana" w:cs="Arial"/>
              </w:rPr>
              <w:t xml:space="preserve">Código Civil. Artículo 1495. </w:t>
            </w:r>
          </w:p>
          <w:p w14:paraId="4B7343CB" w14:textId="236733E3" w:rsidR="00745FFE" w:rsidRPr="007B1A42" w:rsidRDefault="00745FFE" w:rsidP="45F516D2">
            <w:pPr>
              <w:pStyle w:val="Prrafodelista"/>
              <w:widowControl w:val="0"/>
              <w:numPr>
                <w:ilvl w:val="0"/>
                <w:numId w:val="17"/>
              </w:numPr>
              <w:jc w:val="both"/>
              <w:rPr>
                <w:rFonts w:ascii="Verdana" w:hAnsi="Verdana" w:cs="Arial"/>
              </w:rPr>
            </w:pPr>
            <w:r>
              <w:rPr>
                <w:rFonts w:ascii="Verdana" w:hAnsi="Verdana" w:cs="Arial"/>
              </w:rPr>
              <w:t xml:space="preserve">Ley 80 de 1993. Artículos: 1, 2, 13, 40. </w:t>
            </w:r>
          </w:p>
          <w:p w14:paraId="127975E1" w14:textId="1EFA0073" w:rsidR="00745FFE" w:rsidRDefault="00745FFE" w:rsidP="613A5EC2">
            <w:pPr>
              <w:pStyle w:val="Prrafodelista"/>
              <w:widowControl w:val="0"/>
              <w:numPr>
                <w:ilvl w:val="0"/>
                <w:numId w:val="17"/>
              </w:numPr>
              <w:jc w:val="both"/>
              <w:rPr>
                <w:rFonts w:ascii="Verdana" w:hAnsi="Verdana" w:cs="Arial"/>
              </w:rPr>
            </w:pPr>
            <w:r>
              <w:rPr>
                <w:rFonts w:ascii="Verdana" w:hAnsi="Verdana" w:cs="Arial"/>
              </w:rPr>
              <w:t xml:space="preserve">Ley 119 de 1994. Artículo 1. </w:t>
            </w:r>
          </w:p>
          <w:p w14:paraId="1EE45E2A" w14:textId="74E994E9" w:rsidR="00745FFE" w:rsidRPr="00725BA7" w:rsidRDefault="7A0A835C" w:rsidP="45F516D2">
            <w:pPr>
              <w:pStyle w:val="Prrafodelista"/>
              <w:widowControl w:val="0"/>
              <w:numPr>
                <w:ilvl w:val="0"/>
                <w:numId w:val="17"/>
              </w:numPr>
              <w:jc w:val="both"/>
              <w:rPr>
                <w:rFonts w:ascii="Verdana" w:hAnsi="Verdana" w:cs="Arial"/>
              </w:rPr>
            </w:pPr>
            <w:r w:rsidRPr="45F516D2">
              <w:rPr>
                <w:rFonts w:ascii="Verdana" w:hAnsi="Verdana" w:cs="Arial"/>
              </w:rPr>
              <w:t>Ley 489 de 1998.</w:t>
            </w:r>
            <w:r w:rsidR="00745FFE">
              <w:rPr>
                <w:rFonts w:ascii="Verdana" w:hAnsi="Verdana" w:cs="Arial"/>
              </w:rPr>
              <w:t xml:space="preserve"> Artículos</w:t>
            </w:r>
            <w:r w:rsidRPr="45F516D2">
              <w:rPr>
                <w:rFonts w:ascii="Verdana" w:hAnsi="Verdana" w:cs="Arial"/>
              </w:rPr>
              <w:t xml:space="preserve"> 95 y 96. </w:t>
            </w:r>
          </w:p>
          <w:p w14:paraId="6AE5BE0C" w14:textId="314E5FDB" w:rsidR="00745FFE" w:rsidRDefault="00745FFE" w:rsidP="00745FFE">
            <w:pPr>
              <w:pStyle w:val="Prrafodelista"/>
              <w:widowControl w:val="0"/>
              <w:numPr>
                <w:ilvl w:val="0"/>
                <w:numId w:val="17"/>
              </w:numPr>
              <w:autoSpaceDE w:val="0"/>
              <w:autoSpaceDN w:val="0"/>
              <w:jc w:val="both"/>
              <w:rPr>
                <w:rFonts w:ascii="Verdana" w:hAnsi="Verdana" w:cs="Arial"/>
              </w:rPr>
            </w:pPr>
            <w:r>
              <w:rPr>
                <w:rFonts w:ascii="Verdana" w:hAnsi="Verdana" w:cs="Arial"/>
              </w:rPr>
              <w:t>Ley 1150 de 2007. Artículo 13.</w:t>
            </w:r>
          </w:p>
          <w:p w14:paraId="5F8B6B9A" w14:textId="2FEFC89F" w:rsidR="00745FFE" w:rsidRPr="00725BA7" w:rsidRDefault="00745FFE" w:rsidP="45F516D2">
            <w:pPr>
              <w:pStyle w:val="Prrafodelista"/>
              <w:widowControl w:val="0"/>
              <w:numPr>
                <w:ilvl w:val="0"/>
                <w:numId w:val="17"/>
              </w:numPr>
              <w:jc w:val="both"/>
              <w:rPr>
                <w:rFonts w:ascii="Verdana" w:hAnsi="Verdana" w:cs="Arial"/>
              </w:rPr>
            </w:pPr>
            <w:r w:rsidRPr="45F516D2">
              <w:rPr>
                <w:rFonts w:ascii="Verdana" w:eastAsia="Calibri" w:hAnsi="Verdana" w:cs="Arial"/>
                <w:lang w:eastAsia="es-CO"/>
              </w:rPr>
              <w:t xml:space="preserve">Ley </w:t>
            </w:r>
            <w:r w:rsidR="7A0A835C" w:rsidRPr="45F516D2">
              <w:rPr>
                <w:rFonts w:ascii="Verdana" w:eastAsia="Calibri" w:hAnsi="Verdana" w:cs="Arial"/>
                <w:lang w:eastAsia="es-CO"/>
              </w:rPr>
              <w:t>1712</w:t>
            </w:r>
            <w:r w:rsidRPr="45F516D2">
              <w:rPr>
                <w:rFonts w:ascii="Verdana" w:eastAsia="Calibri" w:hAnsi="Verdana" w:cs="Arial"/>
                <w:lang w:eastAsia="es-CO"/>
              </w:rPr>
              <w:t xml:space="preserve"> de </w:t>
            </w:r>
            <w:r w:rsidR="7A0A835C" w:rsidRPr="45F516D2">
              <w:rPr>
                <w:rFonts w:ascii="Verdana" w:eastAsia="Calibri" w:hAnsi="Verdana" w:cs="Arial"/>
                <w:lang w:eastAsia="es-CO"/>
              </w:rPr>
              <w:t>2014.</w:t>
            </w:r>
            <w:r w:rsidRPr="45F516D2">
              <w:rPr>
                <w:rFonts w:ascii="Verdana" w:eastAsia="Calibri" w:hAnsi="Verdana" w:cs="Arial"/>
                <w:lang w:eastAsia="es-CO"/>
              </w:rPr>
              <w:t xml:space="preserve"> Artículos</w:t>
            </w:r>
            <w:r w:rsidR="7A0A835C" w:rsidRPr="45F516D2">
              <w:rPr>
                <w:rFonts w:ascii="Verdana" w:eastAsia="Calibri" w:hAnsi="Verdana" w:cs="Arial"/>
                <w:lang w:eastAsia="es-CO"/>
              </w:rPr>
              <w:t>: 2, 3, 11 literal g)</w:t>
            </w:r>
          </w:p>
          <w:p w14:paraId="176863D4" w14:textId="39FB3AE7" w:rsidR="00745FFE" w:rsidRPr="00725BA7" w:rsidRDefault="00745FFE" w:rsidP="45F516D2">
            <w:pPr>
              <w:pStyle w:val="Prrafodelista"/>
              <w:widowControl w:val="0"/>
              <w:numPr>
                <w:ilvl w:val="0"/>
                <w:numId w:val="17"/>
              </w:numPr>
              <w:jc w:val="both"/>
              <w:rPr>
                <w:rFonts w:ascii="Verdana" w:hAnsi="Verdana" w:cs="Arial"/>
              </w:rPr>
            </w:pPr>
            <w:r>
              <w:rPr>
                <w:rFonts w:ascii="Verdana" w:hAnsi="Verdana" w:cs="Arial"/>
              </w:rPr>
              <w:t xml:space="preserve">Decreto 393 de 1991. </w:t>
            </w:r>
          </w:p>
          <w:p w14:paraId="63635A9A" w14:textId="1F23D68B" w:rsidR="00745FFE" w:rsidRPr="00736D8C" w:rsidRDefault="00745FFE" w:rsidP="45F516D2">
            <w:pPr>
              <w:pStyle w:val="Prrafodelista"/>
              <w:widowControl w:val="0"/>
              <w:numPr>
                <w:ilvl w:val="0"/>
                <w:numId w:val="17"/>
              </w:numPr>
              <w:jc w:val="both"/>
              <w:rPr>
                <w:rFonts w:ascii="Verdana" w:hAnsi="Verdana" w:cs="Arial"/>
              </w:rPr>
            </w:pPr>
            <w:r>
              <w:rPr>
                <w:rFonts w:ascii="Verdana" w:hAnsi="Verdana" w:cs="Arial"/>
              </w:rPr>
              <w:t xml:space="preserve">Decreto 591 de 1991. </w:t>
            </w:r>
          </w:p>
          <w:p w14:paraId="6EA985B0" w14:textId="4F7DC786" w:rsidR="00963F78" w:rsidRPr="00D23A99" w:rsidRDefault="7A0A835C" w:rsidP="45F516D2">
            <w:pPr>
              <w:pStyle w:val="Prrafodelista"/>
              <w:widowControl w:val="0"/>
              <w:numPr>
                <w:ilvl w:val="0"/>
                <w:numId w:val="17"/>
              </w:numPr>
              <w:autoSpaceDE w:val="0"/>
              <w:autoSpaceDN w:val="0"/>
              <w:jc w:val="both"/>
              <w:rPr>
                <w:rFonts w:ascii="Verdana" w:hAnsi="Verdana" w:cs="Arial"/>
              </w:rPr>
            </w:pPr>
            <w:r w:rsidRPr="45F516D2">
              <w:rPr>
                <w:rFonts w:ascii="Verdana" w:hAnsi="Verdana" w:cs="Arial"/>
              </w:rPr>
              <w:t xml:space="preserve">Decreto 1081 de 2015. Artículo </w:t>
            </w:r>
            <w:r w:rsidRPr="45F516D2">
              <w:rPr>
                <w:rFonts w:ascii="Verdana" w:eastAsia="Calibri" w:hAnsi="Verdana" w:cs="Arial"/>
                <w:lang w:eastAsia="es-CO"/>
              </w:rPr>
              <w:t xml:space="preserve">2.1.1.2.1.7, </w:t>
            </w:r>
            <w:r w:rsidRPr="45F516D2">
              <w:rPr>
                <w:rFonts w:ascii="Verdana" w:eastAsia="Calibri" w:hAnsi="Verdana" w:cs="Arial"/>
              </w:rPr>
              <w:t xml:space="preserve">2.1.1.2.1.8. </w:t>
            </w:r>
          </w:p>
          <w:p w14:paraId="027AD0AD" w14:textId="22B7E8E9" w:rsidR="00745FFE" w:rsidRPr="007B1A42" w:rsidRDefault="00745FFE" w:rsidP="45F516D2">
            <w:pPr>
              <w:pStyle w:val="Prrafodelista"/>
              <w:widowControl w:val="0"/>
              <w:numPr>
                <w:ilvl w:val="0"/>
                <w:numId w:val="17"/>
              </w:numPr>
              <w:jc w:val="both"/>
              <w:rPr>
                <w:rFonts w:ascii="Verdana" w:hAnsi="Verdana" w:cs="Arial"/>
              </w:rPr>
            </w:pPr>
            <w:r>
              <w:rPr>
                <w:rFonts w:ascii="Verdana" w:hAnsi="Verdana" w:cs="Arial"/>
              </w:rPr>
              <w:t xml:space="preserve">Decreto 1082 de 2015. Artículos: </w:t>
            </w:r>
            <w:r w:rsidRPr="4000E463">
              <w:rPr>
                <w:rFonts w:ascii="Verdana" w:eastAsia="Arial" w:hAnsi="Verdana" w:cs="Arial"/>
              </w:rPr>
              <w:t>2.2.1.1.1.3.1</w:t>
            </w:r>
            <w:r>
              <w:rPr>
                <w:rFonts w:ascii="Verdana" w:eastAsia="Arial" w:hAnsi="Verdana" w:cs="Arial"/>
              </w:rPr>
              <w:t>,</w:t>
            </w:r>
            <w:r>
              <w:rPr>
                <w:rFonts w:ascii="Verdana" w:hAnsi="Verdana" w:cs="Arial"/>
              </w:rPr>
              <w:t xml:space="preserve"> </w:t>
            </w:r>
            <w:r w:rsidRPr="45F516D2">
              <w:rPr>
                <w:rFonts w:ascii="Verdana" w:eastAsia="Arial" w:hAnsi="Verdana" w:cs="Arial"/>
              </w:rPr>
              <w:t>2.2.1.1.1.7.1.</w:t>
            </w:r>
          </w:p>
          <w:p w14:paraId="5DB4D151" w14:textId="706ECBE4" w:rsidR="00801462" w:rsidRPr="00801462" w:rsidRDefault="5E910BB6" w:rsidP="45F516D2">
            <w:pPr>
              <w:pStyle w:val="Prrafodelista"/>
              <w:widowControl w:val="0"/>
              <w:numPr>
                <w:ilvl w:val="0"/>
                <w:numId w:val="17"/>
              </w:numPr>
              <w:spacing w:after="160" w:line="259" w:lineRule="auto"/>
              <w:jc w:val="both"/>
              <w:rPr>
                <w:rFonts w:ascii="Verdana" w:hAnsi="Verdana" w:cs="Arial"/>
              </w:rPr>
            </w:pPr>
            <w:r w:rsidRPr="45F516D2">
              <w:rPr>
                <w:rFonts w:ascii="Verdana" w:hAnsi="Verdana" w:cs="Arial"/>
              </w:rPr>
              <w:t>Corte Constitucional. Sentencia C- 341 del 4 de junio de 2014. M. P. Mauricio González Cuervo.</w:t>
            </w:r>
          </w:p>
          <w:p w14:paraId="491F5517" w14:textId="10C0934F" w:rsidR="00963F78" w:rsidRPr="00963F78" w:rsidRDefault="7A0A835C" w:rsidP="45F516D2">
            <w:pPr>
              <w:pStyle w:val="Prrafodelista"/>
              <w:widowControl w:val="0"/>
              <w:numPr>
                <w:ilvl w:val="0"/>
                <w:numId w:val="17"/>
              </w:numPr>
              <w:autoSpaceDE w:val="0"/>
              <w:autoSpaceDN w:val="0"/>
              <w:jc w:val="both"/>
              <w:rPr>
                <w:rFonts w:ascii="Verdana" w:hAnsi="Verdana" w:cs="Arial"/>
              </w:rPr>
            </w:pPr>
            <w:r w:rsidRPr="45F516D2">
              <w:rPr>
                <w:rFonts w:ascii="Verdana" w:hAnsi="Verdana" w:cs="Arial"/>
              </w:rPr>
              <w:t>Consejo de Estado. Sección Tercera. Sentencia de 23 de septiembre de 1997, Rad. S-701</w:t>
            </w:r>
          </w:p>
          <w:p w14:paraId="4A606A0E" w14:textId="2759CFE3" w:rsidR="00745FFE" w:rsidRPr="007B1A42" w:rsidRDefault="00745FFE" w:rsidP="45F516D2">
            <w:pPr>
              <w:pStyle w:val="Prrafodelista"/>
              <w:widowControl w:val="0"/>
              <w:numPr>
                <w:ilvl w:val="0"/>
                <w:numId w:val="17"/>
              </w:numPr>
              <w:jc w:val="both"/>
              <w:rPr>
                <w:rFonts w:ascii="Verdana" w:hAnsi="Verdana" w:cs="Arial"/>
              </w:rPr>
            </w:pPr>
            <w:r w:rsidRPr="007B1A42">
              <w:rPr>
                <w:rFonts w:ascii="Verdana" w:hAnsi="Verdana" w:cs="Arial"/>
              </w:rPr>
              <w:t>Consejo de Estado. Sección Tercera, Auto del 30 de enero de 2008. Rad. 32.867, M.P. Mauricio Fajardo Gómez.</w:t>
            </w:r>
          </w:p>
          <w:p w14:paraId="6FD16C15" w14:textId="77777777" w:rsidR="00745FFE" w:rsidRDefault="00745FFE" w:rsidP="00745FFE">
            <w:pPr>
              <w:pStyle w:val="Prrafodelista"/>
              <w:widowControl w:val="0"/>
              <w:numPr>
                <w:ilvl w:val="0"/>
                <w:numId w:val="17"/>
              </w:numPr>
              <w:autoSpaceDE w:val="0"/>
              <w:autoSpaceDN w:val="0"/>
              <w:jc w:val="both"/>
              <w:rPr>
                <w:rFonts w:ascii="Verdana" w:hAnsi="Verdana" w:cs="Arial"/>
              </w:rPr>
            </w:pPr>
            <w:r w:rsidRPr="007B1A42">
              <w:rPr>
                <w:rFonts w:ascii="Verdana" w:hAnsi="Verdana" w:cs="Arial"/>
              </w:rPr>
              <w:t>Consejo de Estado. Sala de Consulta y Servicio Civil. Concepto de 15 de mayo de 2018, Rad. 2335.</w:t>
            </w:r>
          </w:p>
          <w:p w14:paraId="08B64E58" w14:textId="0A8CEAA5" w:rsidR="00745FFE" w:rsidRPr="008379FC" w:rsidRDefault="00745FFE" w:rsidP="45F516D2">
            <w:pPr>
              <w:pStyle w:val="Prrafodelista"/>
              <w:widowControl w:val="0"/>
              <w:numPr>
                <w:ilvl w:val="0"/>
                <w:numId w:val="17"/>
              </w:numPr>
              <w:autoSpaceDE w:val="0"/>
              <w:autoSpaceDN w:val="0"/>
              <w:rPr>
                <w:rFonts w:ascii="Verdana" w:hAnsi="Verdana" w:cs="Arial"/>
              </w:rPr>
            </w:pPr>
            <w:r w:rsidRPr="45F516D2">
              <w:rPr>
                <w:rFonts w:ascii="Verdana" w:eastAsia="Calibri" w:hAnsi="Verdana" w:cs="Arial"/>
              </w:rPr>
              <w:t xml:space="preserve">Circular única Externa. </w:t>
            </w:r>
            <w:r w:rsidR="5E910BB6" w:rsidRPr="45F516D2">
              <w:rPr>
                <w:rFonts w:ascii="Verdana" w:eastAsia="Calibri" w:hAnsi="Verdana" w:cs="Arial"/>
              </w:rPr>
              <w:t>Disponible e</w:t>
            </w:r>
            <w:r w:rsidRPr="45F516D2">
              <w:rPr>
                <w:rFonts w:ascii="Verdana" w:eastAsia="Calibri" w:hAnsi="Verdana" w:cs="Arial"/>
              </w:rPr>
              <w:t>n</w:t>
            </w:r>
            <w:r w:rsidR="5E910BB6" w:rsidRPr="45F516D2">
              <w:rPr>
                <w:rFonts w:ascii="Verdana" w:eastAsia="Calibri" w:hAnsi="Verdana" w:cs="Arial"/>
              </w:rPr>
              <w:t>:</w:t>
            </w:r>
            <w:r w:rsidRPr="45F516D2">
              <w:rPr>
                <w:rFonts w:ascii="Verdana" w:eastAsia="Calibri" w:hAnsi="Verdana" w:cs="Arial"/>
              </w:rPr>
              <w:t xml:space="preserve"> </w:t>
            </w:r>
            <w:hyperlink r:id="rId14">
              <w:r w:rsidRPr="45F516D2">
                <w:rPr>
                  <w:rStyle w:val="Hipervnculo"/>
                  <w:rFonts w:ascii="Verdana" w:eastAsia="Calibri" w:hAnsi="Verdana" w:cs="Arial"/>
                </w:rPr>
                <w:t>circular_externa_unica_version_3_vf49.pdf</w:t>
              </w:r>
            </w:hyperlink>
          </w:p>
        </w:tc>
      </w:tr>
    </w:tbl>
    <w:p w14:paraId="6CF63051" w14:textId="77777777" w:rsidR="00745FFE" w:rsidRPr="008E4F36" w:rsidRDefault="00745FFE" w:rsidP="00745FFE">
      <w:pPr>
        <w:spacing w:after="0" w:line="276" w:lineRule="auto"/>
        <w:ind w:right="709"/>
        <w:jc w:val="both"/>
        <w:rPr>
          <w:rFonts w:ascii="Verdana" w:hAnsi="Verdana" w:cs="Arial"/>
          <w:color w:val="000000" w:themeColor="text1"/>
        </w:rPr>
      </w:pPr>
    </w:p>
    <w:p w14:paraId="3BA8756F" w14:textId="77777777" w:rsidR="00745FFE" w:rsidRPr="008E4F36" w:rsidRDefault="00745FFE" w:rsidP="00745FFE">
      <w:pPr>
        <w:spacing w:after="0" w:line="276" w:lineRule="auto"/>
        <w:rPr>
          <w:rFonts w:ascii="Verdana" w:eastAsia="Calibri" w:hAnsi="Verdana" w:cs="Times New Roman"/>
          <w:b/>
          <w:bCs/>
        </w:rPr>
      </w:pPr>
      <w:r w:rsidRPr="008E4F36">
        <w:rPr>
          <w:rFonts w:ascii="Verdana" w:eastAsia="Calibri" w:hAnsi="Verdana" w:cs="Times New Roman"/>
          <w:b/>
          <w:bCs/>
        </w:rPr>
        <w:t>5. Doctrina de la Agencia Nacional de Contratación Pública:</w:t>
      </w:r>
    </w:p>
    <w:p w14:paraId="48ADED47" w14:textId="77777777" w:rsidR="00745FFE" w:rsidRPr="008E4F36" w:rsidRDefault="00745FFE" w:rsidP="613A5EC2">
      <w:pPr>
        <w:widowControl w:val="0"/>
        <w:autoSpaceDE w:val="0"/>
        <w:autoSpaceDN w:val="0"/>
        <w:spacing w:after="0" w:line="276" w:lineRule="auto"/>
        <w:jc w:val="both"/>
        <w:rPr>
          <w:rFonts w:ascii="Verdana" w:hAnsi="Verdana" w:cs="Arial"/>
          <w:bCs/>
          <w:shd w:val="clear" w:color="auto" w:fill="FFFFFF"/>
        </w:rPr>
      </w:pPr>
    </w:p>
    <w:p w14:paraId="5374A159" w14:textId="77777777" w:rsidR="00745FFE" w:rsidRDefault="00745FFE" w:rsidP="00745FFE">
      <w:pPr>
        <w:widowControl w:val="0"/>
        <w:autoSpaceDE w:val="0"/>
        <w:autoSpaceDN w:val="0"/>
        <w:spacing w:after="0" w:line="276" w:lineRule="auto"/>
        <w:jc w:val="both"/>
        <w:rPr>
          <w:rFonts w:ascii="Verdana" w:eastAsia="Aptos" w:hAnsi="Verdana" w:cs="Segoe UI"/>
          <w:kern w:val="2"/>
          <w14:ligatures w14:val="standardContextual"/>
        </w:rPr>
      </w:pPr>
      <w:r>
        <w:rPr>
          <w:rFonts w:ascii="Verdana" w:eastAsia="Aptos" w:hAnsi="Verdana" w:cs="Segoe UI"/>
          <w:kern w:val="2"/>
          <w14:ligatures w14:val="standardContextual"/>
        </w:rPr>
        <w:t xml:space="preserve">Sobre la definición de los contratos estales y el carácter orgánico de los sujetos de la relación contractual, esta Subdirección de ha pronunciado en los conceptos </w:t>
      </w:r>
      <w:r w:rsidRPr="003B6F66">
        <w:rPr>
          <w:rFonts w:ascii="Verdana" w:eastAsia="Aptos" w:hAnsi="Verdana" w:cs="Segoe UI"/>
          <w:kern w:val="2"/>
          <w:lang w:val="es-ES"/>
          <w14:ligatures w14:val="standardContextual"/>
        </w:rPr>
        <w:t>4201912000006493 del 15 de noviembre de 2019, 4201912000006710 del 19 de noviembre de 2019, C-466 del 21 de julio de 2022, C-604 del 23 de septiembre de 2022</w:t>
      </w:r>
      <w:r>
        <w:rPr>
          <w:rFonts w:ascii="Verdana" w:eastAsia="Aptos" w:hAnsi="Verdana" w:cs="Segoe UI"/>
          <w:kern w:val="2"/>
          <w:lang w:val="es-ES"/>
          <w14:ligatures w14:val="standardContextual"/>
        </w:rPr>
        <w:t>,</w:t>
      </w:r>
      <w:r w:rsidRPr="003B6F66">
        <w:rPr>
          <w:rFonts w:ascii="Verdana" w:eastAsia="Aptos" w:hAnsi="Verdana" w:cs="Segoe UI"/>
          <w:kern w:val="2"/>
          <w:lang w:val="es-ES"/>
          <w14:ligatures w14:val="standardContextual"/>
        </w:rPr>
        <w:t xml:space="preserve"> C-823 del 21 de diciembre de 2022</w:t>
      </w:r>
      <w:r>
        <w:rPr>
          <w:rFonts w:ascii="Verdana" w:eastAsia="Aptos" w:hAnsi="Verdana" w:cs="Segoe UI"/>
          <w:kern w:val="2"/>
          <w:lang w:val="es-ES"/>
          <w14:ligatures w14:val="standardContextual"/>
        </w:rPr>
        <w:t>,</w:t>
      </w:r>
      <w:r>
        <w:rPr>
          <w:rFonts w:ascii="Verdana" w:eastAsia="Aptos" w:hAnsi="Verdana" w:cs="Segoe UI"/>
          <w:kern w:val="2"/>
          <w14:ligatures w14:val="standardContextual"/>
        </w:rPr>
        <w:t xml:space="preserve"> C-597 del 17 de junio de 2025, C-826 del 9 de julio de 2025, entre otros. </w:t>
      </w:r>
    </w:p>
    <w:p w14:paraId="3C5EA408" w14:textId="77777777" w:rsidR="00745FFE" w:rsidRDefault="00745FFE" w:rsidP="00745FFE">
      <w:pPr>
        <w:widowControl w:val="0"/>
        <w:autoSpaceDE w:val="0"/>
        <w:autoSpaceDN w:val="0"/>
        <w:spacing w:after="0" w:line="276" w:lineRule="auto"/>
        <w:jc w:val="both"/>
        <w:rPr>
          <w:rFonts w:ascii="Verdana" w:eastAsia="Aptos" w:hAnsi="Verdana" w:cs="Segoe UI"/>
          <w:kern w:val="2"/>
          <w14:ligatures w14:val="standardContextual"/>
        </w:rPr>
      </w:pPr>
    </w:p>
    <w:p w14:paraId="15C79270" w14:textId="77777777" w:rsidR="00745FFE" w:rsidRPr="003B6F66" w:rsidRDefault="00745FFE" w:rsidP="00745FFE">
      <w:pPr>
        <w:widowControl w:val="0"/>
        <w:autoSpaceDE w:val="0"/>
        <w:autoSpaceDN w:val="0"/>
        <w:spacing w:after="0" w:line="276" w:lineRule="auto"/>
        <w:jc w:val="both"/>
        <w:rPr>
          <w:rFonts w:ascii="Verdana" w:eastAsia="Aptos" w:hAnsi="Verdana" w:cs="Segoe UI"/>
          <w:kern w:val="2"/>
          <w14:ligatures w14:val="standardContextual"/>
        </w:rPr>
      </w:pPr>
      <w:r w:rsidRPr="00AD5C2D">
        <w:rPr>
          <w:rFonts w:ascii="Verdana" w:hAnsi="Verdana" w:cs="Arial"/>
          <w:lang w:val="es-ES"/>
        </w:rPr>
        <w:t xml:space="preserve">Sobre </w:t>
      </w:r>
      <w:r w:rsidRPr="00AD5C2D">
        <w:rPr>
          <w:rFonts w:ascii="Verdana" w:hAnsi="Verdana" w:cs="Arial"/>
          <w:lang w:val="es-ES_tradnl"/>
        </w:rPr>
        <w:t>la publicación de documentación contractual de las entidades sometidas al EGCP</w:t>
      </w:r>
      <w:r w:rsidRPr="00AD5C2D">
        <w:rPr>
          <w:rFonts w:ascii="Verdana" w:hAnsi="Verdana" w:cs="Arial"/>
          <w:lang w:val="es-ES"/>
        </w:rPr>
        <w:t xml:space="preserve">, se pronunció esta Subdirección en los Conceptos, </w:t>
      </w:r>
      <w:r w:rsidRPr="00AD5C2D">
        <w:rPr>
          <w:rFonts w:ascii="Verdana" w:hAnsi="Verdana" w:cs="Arial"/>
          <w:lang w:val="es-ES_tradnl"/>
        </w:rPr>
        <w:t>radicado No. 4201912000007253 del 4 de diciembre de 2019, reiterado en el concepto con radicado No. 4201912000007289 de la misma fecha, C-336 del 2 de junio de 2020</w:t>
      </w:r>
      <w:r w:rsidRPr="00AD5C2D">
        <w:rPr>
          <w:rFonts w:ascii="Verdana" w:eastAsia="Aptos" w:hAnsi="Verdana" w:cs="Segoe UI"/>
          <w:kern w:val="2"/>
          <w14:ligatures w14:val="standardContextual"/>
        </w:rPr>
        <w:t>, C- 284 del 17 de julio de 2023, C- 478 de 23 de septiembre de 2024, C-893 de 5 de diciembre de 2024, C- 906 de 27 de diciembre de 2024,</w:t>
      </w:r>
      <w:r>
        <w:rPr>
          <w:rFonts w:ascii="Verdana" w:eastAsia="Aptos" w:hAnsi="Verdana" w:cs="Segoe UI"/>
          <w:kern w:val="2"/>
          <w14:ligatures w14:val="standardContextual"/>
        </w:rPr>
        <w:t xml:space="preserve"> C-144 del 14 de marzo de 2025, C-185 del 24 de marzo de 2025, entre otros. </w:t>
      </w:r>
      <w:r w:rsidRPr="009A330A">
        <w:rPr>
          <w:rFonts w:ascii="Verdana" w:eastAsia="Calibri" w:hAnsi="Verdana" w:cs="Times New Roman"/>
        </w:rPr>
        <w:t xml:space="preserve">Estos y otros </w:t>
      </w:r>
      <w:r w:rsidRPr="009A330A">
        <w:rPr>
          <w:rFonts w:ascii="Verdana" w:eastAsia="Calibri" w:hAnsi="Verdana" w:cs="Times New Roman"/>
        </w:rPr>
        <w:lastRenderedPageBreak/>
        <w:t>conceptos</w:t>
      </w:r>
      <w:r w:rsidRPr="008E4F36">
        <w:rPr>
          <w:rFonts w:ascii="Verdana" w:eastAsia="Calibri" w:hAnsi="Verdana" w:cs="Times New Roman"/>
        </w:rPr>
        <w:t xml:space="preserve"> se encuentran disponibles para consulta en el Sistema de Relatoría de la Agencia, en el cual también podrás encontrar jurisprudencia del Consejo de Estado, laudos arbitrales y la normativa de la contratación concordada con la doctrina de la Subdirección de </w:t>
      </w:r>
      <w:proofErr w:type="spellStart"/>
      <w:r w:rsidRPr="008E4F36">
        <w:rPr>
          <w:rFonts w:ascii="Verdana" w:eastAsia="Calibri" w:hAnsi="Verdana" w:cs="Times New Roman"/>
        </w:rPr>
        <w:t>Getión</w:t>
      </w:r>
      <w:proofErr w:type="spellEnd"/>
      <w:r w:rsidRPr="008E4F36">
        <w:rPr>
          <w:rFonts w:ascii="Verdana" w:eastAsia="Calibri" w:hAnsi="Verdana" w:cs="Times New Roman"/>
        </w:rPr>
        <w:t xml:space="preserve"> Contractual, accede a través del siguiente enlace:</w:t>
      </w:r>
    </w:p>
    <w:p w14:paraId="244989C3" w14:textId="77777777" w:rsidR="00745FFE" w:rsidRPr="008E4F36" w:rsidRDefault="00745FFE" w:rsidP="613A5EC2">
      <w:pPr>
        <w:spacing w:after="0" w:line="276" w:lineRule="auto"/>
        <w:jc w:val="both"/>
        <w:rPr>
          <w:rFonts w:ascii="Verdana" w:eastAsia="Calibri" w:hAnsi="Verdana" w:cs="Times New Roman"/>
        </w:rPr>
      </w:pPr>
      <w:hyperlink r:id="rId15" w:history="1">
        <w:r w:rsidRPr="008E4F36">
          <w:rPr>
            <w:rStyle w:val="Hipervnculo"/>
            <w:rFonts w:ascii="Verdana" w:hAnsi="Verdana"/>
          </w:rPr>
          <w:t>https://www.colombiacompra.gov.co/normativa-y-relatoria/conoce-la-relatoria</w:t>
        </w:r>
      </w:hyperlink>
      <w:r w:rsidRPr="008E4F36">
        <w:rPr>
          <w:rFonts w:ascii="Verdana" w:hAnsi="Verdana"/>
        </w:rPr>
        <w:t xml:space="preserve"> </w:t>
      </w:r>
    </w:p>
    <w:p w14:paraId="3436C4B9" w14:textId="77777777" w:rsidR="00745FFE" w:rsidRPr="008E4F36" w:rsidRDefault="00745FFE" w:rsidP="613A5EC2">
      <w:pPr>
        <w:spacing w:after="0" w:line="276" w:lineRule="auto"/>
        <w:jc w:val="both"/>
        <w:rPr>
          <w:rFonts w:ascii="Verdana" w:eastAsia="Calibri" w:hAnsi="Verdana" w:cs="Times New Roman"/>
        </w:rPr>
      </w:pPr>
    </w:p>
    <w:p w14:paraId="14122DC2" w14:textId="10714BEA" w:rsidR="00745FFE" w:rsidRDefault="00745FFE" w:rsidP="45F516D2">
      <w:pPr>
        <w:spacing w:after="0" w:line="276" w:lineRule="auto"/>
        <w:jc w:val="both"/>
        <w:rPr>
          <w:rFonts w:ascii="Verdana" w:hAnsi="Verdana"/>
        </w:rPr>
      </w:pPr>
      <w:r w:rsidRPr="45F516D2">
        <w:rPr>
          <w:rFonts w:ascii="Verdana" w:hAnsi="Verdana"/>
        </w:rPr>
        <w:t>Aprovechamos la oportunidad para manifestar la entera disposición de la Agencia Nacional de Contratación Pública –Colombia Compra Eficiente– para atender las peticiones o solicitudes, así como para brindar el apoyo que se requiera en el marco de nuestras funciones a través de nuestros diferentes canales de atención</w:t>
      </w:r>
      <w:r w:rsidR="2AD347EA" w:rsidRPr="45F516D2">
        <w:rPr>
          <w:rFonts w:ascii="Verdana" w:hAnsi="Verdana"/>
        </w:rPr>
        <w:t>.</w:t>
      </w:r>
    </w:p>
    <w:p w14:paraId="762EEACC" w14:textId="77777777" w:rsidR="00745FFE" w:rsidRPr="008E4F36" w:rsidRDefault="00745FFE" w:rsidP="613A5EC2">
      <w:pPr>
        <w:spacing w:after="0" w:line="276" w:lineRule="auto"/>
        <w:jc w:val="both"/>
        <w:rPr>
          <w:rFonts w:ascii="Verdana" w:hAnsi="Verdana"/>
        </w:rPr>
      </w:pPr>
    </w:p>
    <w:p w14:paraId="00F28C60" w14:textId="77777777" w:rsidR="00745FFE" w:rsidRPr="008E4F36" w:rsidRDefault="00745FFE" w:rsidP="613A5EC2">
      <w:pPr>
        <w:spacing w:after="0" w:line="276" w:lineRule="auto"/>
        <w:jc w:val="both"/>
        <w:rPr>
          <w:rFonts w:ascii="Verdana" w:eastAsia="Calibri" w:hAnsi="Verdana" w:cs="Times New Roman"/>
          <w:bCs/>
        </w:rPr>
      </w:pPr>
      <w:r w:rsidRPr="008E4F36">
        <w:rPr>
          <w:rFonts w:ascii="Verdana" w:eastAsia="Calibri" w:hAnsi="Verdana" w:cs="Times New Roman"/>
        </w:rPr>
        <w:t>Este concepto tiene el alcance previsto en el artículo 28 del Código de Procedimiento Administrativo y de lo Contencioso Administrativo y las expresiones utilizadas con mayúscula inicial deben ser entendidas con el significado que les otorga el artículo 2.2.1.1.1.3.1 del Decreto 1082 de 2015.</w:t>
      </w:r>
    </w:p>
    <w:p w14:paraId="73FFE084" w14:textId="77777777" w:rsidR="00745FFE" w:rsidRPr="008E4F36" w:rsidRDefault="00745FFE" w:rsidP="613A5EC2">
      <w:pPr>
        <w:spacing w:after="0" w:line="276" w:lineRule="auto"/>
        <w:jc w:val="both"/>
        <w:rPr>
          <w:rFonts w:ascii="Verdana" w:eastAsia="Calibri" w:hAnsi="Verdana" w:cs="Times New Roman"/>
        </w:rPr>
      </w:pPr>
    </w:p>
    <w:p w14:paraId="3A551726" w14:textId="77777777" w:rsidR="00745FFE" w:rsidRPr="008E4F36" w:rsidRDefault="00745FFE" w:rsidP="613A5EC2">
      <w:pPr>
        <w:spacing w:after="0" w:line="276" w:lineRule="auto"/>
        <w:jc w:val="both"/>
        <w:rPr>
          <w:rFonts w:ascii="Verdana" w:eastAsia="Calibri" w:hAnsi="Verdana" w:cs="Times New Roman"/>
        </w:rPr>
      </w:pPr>
      <w:r w:rsidRPr="008E4F36">
        <w:rPr>
          <w:rFonts w:ascii="Verdana" w:eastAsia="Calibri" w:hAnsi="Verdana" w:cs="Times New Roman"/>
        </w:rPr>
        <w:t>Atentamente,</w:t>
      </w:r>
    </w:p>
    <w:p w14:paraId="24F69CF9" w14:textId="77777777" w:rsidR="00745FFE" w:rsidRDefault="00745FFE" w:rsidP="001924A2">
      <w:pPr>
        <w:spacing w:after="0" w:line="256" w:lineRule="auto"/>
        <w:rPr>
          <w:rFonts w:eastAsia="Times New Roman" w:cs="Arial"/>
          <w:noProof/>
          <w:sz w:val="24"/>
          <w:szCs w:val="24"/>
        </w:rPr>
      </w:pPr>
    </w:p>
    <w:bookmarkEnd w:id="3"/>
    <w:bookmarkEnd w:id="4"/>
    <w:p w14:paraId="0323FDCC" w14:textId="0942EF85" w:rsidR="000155DB" w:rsidRPr="008E4F36" w:rsidRDefault="00B87CFA" w:rsidP="613A5EC2">
      <w:pPr>
        <w:spacing w:after="0" w:line="256" w:lineRule="auto"/>
        <w:jc w:val="center"/>
      </w:pPr>
      <w:r w:rsidRPr="00B87CFA">
        <w:rPr>
          <w:noProof/>
        </w:rPr>
        <w:drawing>
          <wp:inline distT="0" distB="0" distL="0" distR="0" wp14:anchorId="67EB7E15" wp14:editId="4CD6EF4F">
            <wp:extent cx="3543300" cy="1714704"/>
            <wp:effectExtent l="0" t="0" r="0" b="0"/>
            <wp:docPr id="409741957" name="Imagen 1" descr="Texto, Carta&#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9741957" name="Imagen 1" descr="Texto, Carta&#10;&#10;El contenido generado por IA puede ser incorrecto."/>
                    <pic:cNvPicPr/>
                  </pic:nvPicPr>
                  <pic:blipFill>
                    <a:blip r:embed="rId16"/>
                    <a:stretch>
                      <a:fillRect/>
                    </a:stretch>
                  </pic:blipFill>
                  <pic:spPr>
                    <a:xfrm>
                      <a:off x="0" y="0"/>
                      <a:ext cx="3559883" cy="1722729"/>
                    </a:xfrm>
                    <a:prstGeom prst="rect">
                      <a:avLst/>
                    </a:prstGeom>
                  </pic:spPr>
                </pic:pic>
              </a:graphicData>
            </a:graphic>
          </wp:inline>
        </w:drawing>
      </w:r>
    </w:p>
    <w:p w14:paraId="16CC3688" w14:textId="77777777" w:rsidR="000155DB" w:rsidRDefault="000155DB" w:rsidP="000155DB">
      <w:pPr>
        <w:spacing w:after="0" w:line="256" w:lineRule="auto"/>
        <w:rPr>
          <w:rFonts w:eastAsia="Times New Roman" w:cs="Arial"/>
          <w:noProof/>
          <w:sz w:val="24"/>
          <w:szCs w:val="24"/>
        </w:rPr>
      </w:pPr>
    </w:p>
    <w:p w14:paraId="1B3D0253" w14:textId="6078B668" w:rsidR="000155DB" w:rsidRPr="00BF2F99" w:rsidRDefault="000155DB" w:rsidP="000155DB">
      <w:pPr>
        <w:spacing w:after="0" w:line="256" w:lineRule="auto"/>
        <w:jc w:val="center"/>
        <w:rPr>
          <w:rFonts w:ascii="Verdana" w:eastAsia="Times New Roman" w:hAnsi="Verdana" w:cs="Arial"/>
          <w:b/>
          <w:bCs/>
        </w:rPr>
      </w:pPr>
    </w:p>
    <w:tbl>
      <w:tblPr>
        <w:tblStyle w:val="Tablaconcuadrcula"/>
        <w:tblW w:w="595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061"/>
      </w:tblGrid>
      <w:tr w:rsidR="000155DB" w:rsidRPr="008E4F36" w14:paraId="73301FD6" w14:textId="77777777" w:rsidTr="00561B3A">
        <w:trPr>
          <w:trHeight w:val="315"/>
        </w:trPr>
        <w:tc>
          <w:tcPr>
            <w:tcW w:w="893" w:type="dxa"/>
            <w:vAlign w:val="center"/>
            <w:hideMark/>
          </w:tcPr>
          <w:p w14:paraId="0E8EDAB6" w14:textId="77777777" w:rsidR="000155DB" w:rsidRPr="008E4F36" w:rsidRDefault="000155DB" w:rsidP="00561B3A">
            <w:pPr>
              <w:contextualSpacing/>
              <w:rPr>
                <w:rFonts w:ascii="Verdana" w:hAnsi="Verdana" w:cs="Arial"/>
                <w:sz w:val="16"/>
                <w:szCs w:val="16"/>
                <w:lang w:eastAsia="es-ES"/>
              </w:rPr>
            </w:pPr>
            <w:r w:rsidRPr="008E4F36">
              <w:rPr>
                <w:rFonts w:ascii="Verdana" w:hAnsi="Verdana" w:cs="Arial"/>
                <w:sz w:val="16"/>
                <w:szCs w:val="16"/>
                <w:lang w:eastAsia="es-ES"/>
              </w:rPr>
              <w:t>Elaboró:</w:t>
            </w:r>
          </w:p>
        </w:tc>
        <w:tc>
          <w:tcPr>
            <w:tcW w:w="5061" w:type="dxa"/>
            <w:tcBorders>
              <w:top w:val="nil"/>
              <w:left w:val="nil"/>
              <w:bottom w:val="dotted" w:sz="4" w:space="0" w:color="7F7F7F" w:themeColor="text1" w:themeTint="80"/>
              <w:right w:val="nil"/>
            </w:tcBorders>
            <w:vAlign w:val="center"/>
            <w:hideMark/>
          </w:tcPr>
          <w:p w14:paraId="19692035" w14:textId="77777777" w:rsidR="000155DB" w:rsidRPr="008E4F36" w:rsidRDefault="000155DB" w:rsidP="00561B3A">
            <w:pPr>
              <w:contextualSpacing/>
              <w:rPr>
                <w:rStyle w:val="normaltextrun"/>
                <w:rFonts w:ascii="Verdana" w:hAnsi="Verdana"/>
                <w:sz w:val="16"/>
                <w:szCs w:val="16"/>
              </w:rPr>
            </w:pPr>
            <w:r w:rsidRPr="008E4F36">
              <w:rPr>
                <w:rStyle w:val="normaltextrun"/>
                <w:rFonts w:ascii="Verdana" w:hAnsi="Verdana"/>
                <w:sz w:val="16"/>
                <w:szCs w:val="16"/>
              </w:rPr>
              <w:t xml:space="preserve">Esperanza Contreras P </w:t>
            </w:r>
          </w:p>
          <w:p w14:paraId="71054B8C" w14:textId="77777777" w:rsidR="000155DB" w:rsidRPr="008E4F36" w:rsidRDefault="000155DB" w:rsidP="00561B3A">
            <w:pPr>
              <w:contextualSpacing/>
              <w:rPr>
                <w:rFonts w:ascii="Verdana" w:eastAsia="Arial" w:hAnsi="Verdana" w:cs="Arial"/>
                <w:sz w:val="16"/>
                <w:szCs w:val="16"/>
              </w:rPr>
            </w:pPr>
            <w:r w:rsidRPr="008E4F36">
              <w:rPr>
                <w:rStyle w:val="normaltextrun"/>
                <w:rFonts w:ascii="Verdana" w:hAnsi="Verdana" w:cs="Arial"/>
                <w:sz w:val="16"/>
                <w:szCs w:val="16"/>
              </w:rPr>
              <w:t>Contratista de la Subdirección de Gestión Contractual</w:t>
            </w:r>
            <w:r w:rsidRPr="008E4F36">
              <w:rPr>
                <w:rStyle w:val="eop"/>
                <w:rFonts w:ascii="Verdana" w:hAnsi="Verdana" w:cs="Arial"/>
                <w:sz w:val="16"/>
                <w:szCs w:val="16"/>
              </w:rPr>
              <w:t> </w:t>
            </w:r>
          </w:p>
        </w:tc>
      </w:tr>
      <w:tr w:rsidR="000155DB" w:rsidRPr="008E4F36" w14:paraId="3DBC6CB5" w14:textId="77777777" w:rsidTr="00561B3A">
        <w:trPr>
          <w:trHeight w:val="330"/>
        </w:trPr>
        <w:tc>
          <w:tcPr>
            <w:tcW w:w="893" w:type="dxa"/>
            <w:vAlign w:val="center"/>
            <w:hideMark/>
          </w:tcPr>
          <w:p w14:paraId="184236D3" w14:textId="77777777" w:rsidR="000155DB" w:rsidRPr="008E4F36" w:rsidRDefault="000155DB" w:rsidP="00561B3A">
            <w:pPr>
              <w:contextualSpacing/>
              <w:rPr>
                <w:rFonts w:ascii="Verdana" w:hAnsi="Verdana" w:cs="Arial"/>
                <w:sz w:val="16"/>
                <w:szCs w:val="16"/>
                <w:lang w:eastAsia="es-ES"/>
              </w:rPr>
            </w:pPr>
            <w:r w:rsidRPr="008E4F36">
              <w:rPr>
                <w:rFonts w:ascii="Verdana" w:hAnsi="Verdana" w:cs="Arial"/>
                <w:sz w:val="16"/>
                <w:szCs w:val="16"/>
                <w:lang w:eastAsia="es-ES"/>
              </w:rPr>
              <w:t>Revisó:</w:t>
            </w:r>
          </w:p>
        </w:tc>
        <w:tc>
          <w:tcPr>
            <w:tcW w:w="5061" w:type="dxa"/>
            <w:tcBorders>
              <w:top w:val="dotted" w:sz="4" w:space="0" w:color="7F7F7F" w:themeColor="text1" w:themeTint="80"/>
              <w:left w:val="nil"/>
              <w:bottom w:val="dotted" w:sz="4" w:space="0" w:color="7F7F7F" w:themeColor="text1" w:themeTint="80"/>
              <w:right w:val="nil"/>
            </w:tcBorders>
            <w:vAlign w:val="center"/>
            <w:hideMark/>
          </w:tcPr>
          <w:p w14:paraId="3F3E0DA6" w14:textId="77777777" w:rsidR="000155DB" w:rsidRPr="008E4F36" w:rsidRDefault="000155DB" w:rsidP="00561B3A">
            <w:pPr>
              <w:pStyle w:val="paragraph"/>
              <w:spacing w:before="0" w:beforeAutospacing="0" w:after="0" w:afterAutospacing="0"/>
              <w:contextualSpacing/>
              <w:textAlignment w:val="baseline"/>
              <w:rPr>
                <w:rStyle w:val="normaltextrun"/>
                <w:rFonts w:ascii="Verdana" w:hAnsi="Verdana"/>
                <w:sz w:val="16"/>
                <w:szCs w:val="16"/>
              </w:rPr>
            </w:pPr>
            <w:r w:rsidRPr="008E4F36">
              <w:rPr>
                <w:rStyle w:val="normaltextrun"/>
                <w:rFonts w:ascii="Verdana" w:hAnsi="Verdana"/>
                <w:sz w:val="16"/>
                <w:szCs w:val="16"/>
              </w:rPr>
              <w:t xml:space="preserve">Diana Lucía Saavedra Castañeda </w:t>
            </w:r>
          </w:p>
          <w:p w14:paraId="4A9E80B5" w14:textId="77777777" w:rsidR="000155DB" w:rsidRPr="008E4F36" w:rsidRDefault="000155DB" w:rsidP="00561B3A">
            <w:pPr>
              <w:pStyle w:val="paragraph"/>
              <w:spacing w:before="0" w:beforeAutospacing="0" w:after="0" w:afterAutospacing="0"/>
              <w:contextualSpacing/>
              <w:textAlignment w:val="baseline"/>
              <w:rPr>
                <w:rFonts w:ascii="Verdana" w:hAnsi="Verdana" w:cs="Segoe UI"/>
                <w:sz w:val="16"/>
                <w:szCs w:val="16"/>
              </w:rPr>
            </w:pPr>
            <w:r w:rsidRPr="008E4F36">
              <w:rPr>
                <w:rStyle w:val="eop"/>
                <w:rFonts w:ascii="Verdana" w:hAnsi="Verdana" w:cs="Arial"/>
                <w:sz w:val="16"/>
                <w:szCs w:val="16"/>
              </w:rPr>
              <w:t xml:space="preserve">Contratista de la Subdirección de Negocios </w:t>
            </w:r>
          </w:p>
        </w:tc>
      </w:tr>
      <w:tr w:rsidR="000155DB" w:rsidRPr="008E4F36" w14:paraId="270F13D4" w14:textId="77777777" w:rsidTr="00561B3A">
        <w:trPr>
          <w:trHeight w:val="300"/>
        </w:trPr>
        <w:tc>
          <w:tcPr>
            <w:tcW w:w="893" w:type="dxa"/>
            <w:vAlign w:val="center"/>
          </w:tcPr>
          <w:p w14:paraId="00A32424" w14:textId="77777777" w:rsidR="000155DB" w:rsidRPr="008E4F36" w:rsidRDefault="000155DB" w:rsidP="00561B3A">
            <w:pPr>
              <w:contextualSpacing/>
              <w:rPr>
                <w:rFonts w:ascii="Verdana" w:hAnsi="Verdana" w:cs="Arial"/>
                <w:sz w:val="16"/>
                <w:szCs w:val="16"/>
                <w:lang w:eastAsia="es-ES"/>
              </w:rPr>
            </w:pPr>
            <w:r w:rsidRPr="008E4F36">
              <w:rPr>
                <w:rFonts w:ascii="Verdana" w:hAnsi="Verdana" w:cs="Arial"/>
                <w:sz w:val="16"/>
                <w:szCs w:val="16"/>
                <w:lang w:eastAsia="es-ES"/>
              </w:rPr>
              <w:t>Aprobó:</w:t>
            </w:r>
          </w:p>
        </w:tc>
        <w:tc>
          <w:tcPr>
            <w:tcW w:w="5061" w:type="dxa"/>
            <w:tcBorders>
              <w:top w:val="dotted" w:sz="4" w:space="0" w:color="7F7F7F" w:themeColor="text1" w:themeTint="80"/>
              <w:left w:val="nil"/>
              <w:bottom w:val="dotted" w:sz="4" w:space="0" w:color="7F7F7F" w:themeColor="text1" w:themeTint="80"/>
              <w:right w:val="nil"/>
            </w:tcBorders>
            <w:vAlign w:val="center"/>
          </w:tcPr>
          <w:p w14:paraId="0DAE1807" w14:textId="77777777" w:rsidR="000155DB" w:rsidRPr="008E4F36" w:rsidRDefault="000155DB" w:rsidP="00561B3A">
            <w:pPr>
              <w:contextualSpacing/>
              <w:rPr>
                <w:rFonts w:ascii="Verdana" w:eastAsia="Calibri" w:hAnsi="Verdana" w:cs="Arial"/>
                <w:sz w:val="16"/>
                <w:szCs w:val="16"/>
                <w:lang w:eastAsia="es-ES"/>
              </w:rPr>
            </w:pPr>
            <w:r>
              <w:rPr>
                <w:rFonts w:ascii="Verdana" w:eastAsia="Calibri" w:hAnsi="Verdana" w:cs="Arial"/>
                <w:sz w:val="16"/>
                <w:szCs w:val="16"/>
                <w:lang w:eastAsia="es-ES"/>
              </w:rPr>
              <w:t xml:space="preserve">Ana María Tolosa Rico </w:t>
            </w:r>
          </w:p>
          <w:p w14:paraId="6ADC78B1" w14:textId="77777777" w:rsidR="000155DB" w:rsidRPr="008E4F36" w:rsidRDefault="000155DB" w:rsidP="00561B3A">
            <w:pPr>
              <w:contextualSpacing/>
              <w:rPr>
                <w:rFonts w:ascii="Verdana" w:eastAsia="Calibri" w:hAnsi="Verdana" w:cs="Arial"/>
                <w:sz w:val="16"/>
                <w:szCs w:val="16"/>
                <w:lang w:eastAsia="es-ES"/>
              </w:rPr>
            </w:pPr>
            <w:r w:rsidRPr="008E4F36">
              <w:rPr>
                <w:rFonts w:ascii="Verdana" w:eastAsia="Calibri" w:hAnsi="Verdana" w:cs="Arial"/>
                <w:sz w:val="16"/>
                <w:szCs w:val="16"/>
                <w:lang w:eastAsia="es-ES"/>
              </w:rPr>
              <w:t>Subdirectora de Gestión Contractual</w:t>
            </w:r>
            <w:r>
              <w:rPr>
                <w:rFonts w:ascii="Verdana" w:eastAsia="Calibri" w:hAnsi="Verdana" w:cs="Arial"/>
                <w:sz w:val="16"/>
                <w:szCs w:val="16"/>
                <w:lang w:eastAsia="es-ES"/>
              </w:rPr>
              <w:t xml:space="preserve"> (E) </w:t>
            </w:r>
            <w:r w:rsidRPr="008E4F36">
              <w:rPr>
                <w:rFonts w:ascii="Verdana" w:eastAsia="Calibri" w:hAnsi="Verdana" w:cs="Arial"/>
                <w:sz w:val="16"/>
                <w:szCs w:val="16"/>
                <w:lang w:eastAsia="es-ES"/>
              </w:rPr>
              <w:t>ANCP – CCE</w:t>
            </w:r>
          </w:p>
        </w:tc>
      </w:tr>
    </w:tbl>
    <w:p w14:paraId="08786F15" w14:textId="77777777" w:rsidR="000155DB" w:rsidRPr="008E4F36" w:rsidRDefault="000155DB" w:rsidP="000155DB">
      <w:pPr>
        <w:spacing w:after="0"/>
        <w:rPr>
          <w:rFonts w:ascii="Verdana" w:hAnsi="Verdana"/>
        </w:rPr>
      </w:pPr>
    </w:p>
    <w:p w14:paraId="0F4A1B8C" w14:textId="77777777" w:rsidR="000155DB" w:rsidRPr="008E4F36" w:rsidRDefault="000155DB" w:rsidP="000155DB">
      <w:pPr>
        <w:spacing w:after="0"/>
        <w:jc w:val="both"/>
        <w:rPr>
          <w:rStyle w:val="Hipervnculo"/>
          <w:rFonts w:ascii="Verdana" w:hAnsi="Verdana"/>
        </w:rPr>
      </w:pPr>
    </w:p>
    <w:p w14:paraId="290F9610" w14:textId="77777777" w:rsidR="000155DB" w:rsidRPr="003F061C" w:rsidRDefault="000155DB" w:rsidP="000155DB"/>
    <w:p w14:paraId="20F0CBF5" w14:textId="77777777" w:rsidR="00745FFE" w:rsidRPr="008E4F36" w:rsidRDefault="00745FFE" w:rsidP="00745FFE">
      <w:pPr>
        <w:spacing w:after="0"/>
        <w:jc w:val="both"/>
        <w:rPr>
          <w:rStyle w:val="Hipervnculo"/>
          <w:rFonts w:ascii="Verdana" w:hAnsi="Verdana"/>
        </w:rPr>
      </w:pPr>
    </w:p>
    <w:bookmarkEnd w:id="0"/>
    <w:bookmarkEnd w:id="1"/>
    <w:bookmarkEnd w:id="2"/>
    <w:p w14:paraId="3900974D" w14:textId="77777777" w:rsidR="003D5B0D" w:rsidRPr="003F061C" w:rsidRDefault="003D5B0D" w:rsidP="003F061C"/>
    <w:sectPr w:rsidR="003D5B0D" w:rsidRPr="003F061C" w:rsidSect="007C0C0F">
      <w:headerReference w:type="default" r:id="rId17"/>
      <w:footerReference w:type="default" r:id="rId18"/>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E5CC9D" w14:textId="77777777" w:rsidR="00F343C3" w:rsidRDefault="00F343C3" w:rsidP="004A1847">
      <w:pPr>
        <w:spacing w:after="0" w:line="240" w:lineRule="auto"/>
      </w:pPr>
      <w:r>
        <w:separator/>
      </w:r>
    </w:p>
  </w:endnote>
  <w:endnote w:type="continuationSeparator" w:id="0">
    <w:p w14:paraId="2DD0ED7F" w14:textId="77777777" w:rsidR="00F343C3" w:rsidRDefault="00F343C3"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593AA28F" w:rsidR="006219F8" w:rsidRDefault="00D520D8"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00FA47C0" w:rsidRPr="004A305D">
      <w:rPr>
        <w:rFonts w:ascii="Century Gothic" w:eastAsia="Geo" w:hAnsi="Century Gothic" w:cs="Geo"/>
        <w:b/>
        <w:color w:val="000000"/>
        <w:sz w:val="16"/>
        <w:szCs w:val="16"/>
        <w:lang w:eastAsia="es-CO"/>
      </w:rPr>
      <w:t xml:space="preserve">Código: </w:t>
    </w:r>
    <w:r w:rsidR="00FA47C0" w:rsidRPr="004A305D">
      <w:rPr>
        <w:rFonts w:ascii="Century Gothic" w:eastAsia="Geo" w:hAnsi="Century Gothic" w:cs="Geo"/>
        <w:bCs/>
        <w:color w:val="000000"/>
        <w:sz w:val="16"/>
        <w:szCs w:val="16"/>
        <w:lang w:eastAsia="es-CO"/>
      </w:rPr>
      <w:t>CCE-</w:t>
    </w:r>
    <w:r w:rsidR="00FA47C0">
      <w:rPr>
        <w:rFonts w:ascii="Century Gothic" w:eastAsia="Geo" w:hAnsi="Century Gothic" w:cs="Geo"/>
        <w:bCs/>
        <w:color w:val="000000"/>
        <w:sz w:val="16"/>
        <w:szCs w:val="16"/>
        <w:lang w:eastAsia="es-CO"/>
      </w:rPr>
      <w:t>REC</w:t>
    </w:r>
    <w:r w:rsidR="00FA47C0" w:rsidRPr="004A305D">
      <w:rPr>
        <w:rFonts w:ascii="Century Gothic" w:eastAsia="Geo" w:hAnsi="Century Gothic" w:cs="Geo"/>
        <w:bCs/>
        <w:color w:val="000000"/>
        <w:sz w:val="16"/>
        <w:szCs w:val="16"/>
        <w:lang w:eastAsia="es-CO"/>
      </w:rPr>
      <w:t>-FM-</w:t>
    </w:r>
    <w:r w:rsidR="00FA47C0">
      <w:rPr>
        <w:rFonts w:ascii="Century Gothic" w:eastAsia="Geo" w:hAnsi="Century Gothic" w:cs="Geo"/>
        <w:bCs/>
        <w:color w:val="000000"/>
        <w:sz w:val="16"/>
        <w:szCs w:val="16"/>
        <w:lang w:eastAsia="es-CO"/>
      </w:rPr>
      <w:t>17</w:t>
    </w:r>
    <w:r w:rsidR="0025796E">
      <w:rPr>
        <w:rFonts w:ascii="Century Gothic" w:eastAsia="Geo" w:hAnsi="Century Gothic" w:cs="Geo"/>
        <w:bCs/>
        <w:color w:val="000000"/>
        <w:sz w:val="16"/>
        <w:szCs w:val="16"/>
        <w:lang w:eastAsia="es-CO"/>
      </w:rPr>
      <w:t xml:space="preserve"> </w:t>
    </w:r>
    <w:r w:rsidR="00FA47C0" w:rsidRPr="004A305D">
      <w:rPr>
        <w:rFonts w:ascii="Century Gothic" w:eastAsia="Geo" w:hAnsi="Century Gothic" w:cs="Geo"/>
        <w:b/>
        <w:color w:val="000000"/>
        <w:sz w:val="16"/>
        <w:szCs w:val="16"/>
        <w:lang w:eastAsia="es-CO"/>
      </w:rPr>
      <w:t>Versión</w:t>
    </w:r>
    <w:r w:rsidR="00FA47C0" w:rsidRPr="004A305D">
      <w:rPr>
        <w:rFonts w:ascii="Century Gothic" w:eastAsia="Arial Nova" w:hAnsi="Century Gothic" w:cs="Arial Nova"/>
        <w:b/>
        <w:color w:val="000000"/>
        <w:sz w:val="16"/>
        <w:szCs w:val="16"/>
        <w:lang w:eastAsia="es-CO"/>
      </w:rPr>
      <w:t xml:space="preserve">: </w:t>
    </w:r>
    <w:r w:rsidR="00FA47C0" w:rsidRPr="004A305D">
      <w:rPr>
        <w:rFonts w:ascii="Century Gothic" w:eastAsia="Geo" w:hAnsi="Century Gothic" w:cs="Geo"/>
        <w:sz w:val="16"/>
        <w:szCs w:val="16"/>
        <w:lang w:eastAsia="es-CO"/>
      </w:rPr>
      <w:t>0</w:t>
    </w:r>
    <w:r w:rsidR="00FA47C0">
      <w:rPr>
        <w:rFonts w:ascii="Century Gothic" w:eastAsia="Geo" w:hAnsi="Century Gothic" w:cs="Geo"/>
        <w:sz w:val="16"/>
        <w:szCs w:val="16"/>
        <w:lang w:eastAsia="es-CO"/>
      </w:rPr>
      <w:t>2</w:t>
    </w:r>
    <w:r w:rsidR="00FA47C0" w:rsidRPr="004A305D">
      <w:rPr>
        <w:rFonts w:ascii="Century Gothic" w:eastAsia="Geo" w:hAnsi="Century Gothic" w:cs="Geo"/>
        <w:sz w:val="16"/>
        <w:szCs w:val="16"/>
        <w:lang w:eastAsia="es-CO"/>
      </w:rPr>
      <w:t xml:space="preserve"> </w:t>
    </w:r>
    <w:r w:rsidR="0025796E">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50E736" w14:textId="77777777" w:rsidR="00F343C3" w:rsidRDefault="00F343C3" w:rsidP="004A1847">
      <w:pPr>
        <w:spacing w:after="0" w:line="240" w:lineRule="auto"/>
      </w:pPr>
      <w:r>
        <w:separator/>
      </w:r>
    </w:p>
  </w:footnote>
  <w:footnote w:type="continuationSeparator" w:id="0">
    <w:p w14:paraId="1E45898A" w14:textId="77777777" w:rsidR="00F343C3" w:rsidRDefault="00F343C3" w:rsidP="004A1847">
      <w:pPr>
        <w:spacing w:after="0" w:line="240" w:lineRule="auto"/>
      </w:pPr>
      <w:r>
        <w:continuationSeparator/>
      </w:r>
    </w:p>
  </w:footnote>
  <w:footnote w:id="1">
    <w:p w14:paraId="6E244320" w14:textId="77777777" w:rsidR="00745FFE" w:rsidRPr="002E0FBD" w:rsidRDefault="00745FFE" w:rsidP="00745FFE">
      <w:pPr>
        <w:pStyle w:val="Textonotapie"/>
        <w:ind w:firstLine="709"/>
        <w:contextualSpacing/>
        <w:jc w:val="both"/>
        <w:rPr>
          <w:rFonts w:ascii="Verdana" w:hAnsi="Verdana" w:cs="Arial"/>
          <w:sz w:val="14"/>
          <w:szCs w:val="14"/>
          <w:lang w:val="es-CO"/>
        </w:rPr>
      </w:pPr>
      <w:r w:rsidRPr="002E0FBD">
        <w:rPr>
          <w:rStyle w:val="Refdenotaalpie"/>
          <w:rFonts w:ascii="Verdana" w:hAnsi="Verdana" w:cs="Arial"/>
          <w:sz w:val="14"/>
          <w:szCs w:val="14"/>
        </w:rPr>
        <w:footnoteRef/>
      </w:r>
      <w:r w:rsidRPr="002E0FBD">
        <w:rPr>
          <w:rFonts w:ascii="Verdana" w:hAnsi="Verdana" w:cs="Arial"/>
          <w:sz w:val="14"/>
          <w:szCs w:val="14"/>
        </w:rPr>
        <w:t xml:space="preserve"> </w:t>
      </w:r>
      <w:r w:rsidRPr="002E0FBD">
        <w:rPr>
          <w:rFonts w:ascii="Verdana" w:hAnsi="Verdana" w:cs="Arial"/>
          <w:sz w:val="14"/>
          <w:szCs w:val="14"/>
          <w:lang w:val="es-CO"/>
        </w:rPr>
        <w:t xml:space="preserve">CLARO SOLAR, Luis. Explicaciones de derecho civil chileno y comparado. Tomo Décimo – Obligaciones y contratos 1. Santiago de Chile, Nascimiento, 1936. </w:t>
      </w:r>
    </w:p>
    <w:p w14:paraId="00301A24" w14:textId="77777777" w:rsidR="00745FFE" w:rsidRPr="002E0FBD" w:rsidRDefault="00745FFE" w:rsidP="00745FFE">
      <w:pPr>
        <w:pStyle w:val="Textonotapie"/>
        <w:ind w:firstLine="709"/>
        <w:contextualSpacing/>
        <w:jc w:val="both"/>
        <w:rPr>
          <w:rFonts w:ascii="Verdana" w:hAnsi="Verdana" w:cs="Arial"/>
          <w:sz w:val="14"/>
          <w:szCs w:val="14"/>
          <w:lang w:val="es-CO"/>
        </w:rPr>
      </w:pPr>
    </w:p>
  </w:footnote>
  <w:footnote w:id="2">
    <w:p w14:paraId="50677FC3" w14:textId="77777777" w:rsidR="00745FFE" w:rsidRDefault="00745FFE" w:rsidP="00745FFE">
      <w:pPr>
        <w:pStyle w:val="Textoindependiente"/>
        <w:spacing w:before="0" w:beforeAutospacing="0" w:after="0" w:afterAutospacing="0"/>
        <w:ind w:firstLine="709"/>
        <w:contextualSpacing/>
        <w:jc w:val="both"/>
        <w:rPr>
          <w:rFonts w:ascii="Verdana" w:hAnsi="Verdana" w:cs="Arial"/>
          <w:sz w:val="14"/>
          <w:szCs w:val="14"/>
        </w:rPr>
      </w:pPr>
      <w:r w:rsidRPr="002E0FBD">
        <w:rPr>
          <w:rStyle w:val="Refdenotaalpie"/>
          <w:rFonts w:ascii="Verdana" w:eastAsiaTheme="majorEastAsia" w:hAnsi="Verdana" w:cs="Arial"/>
          <w:sz w:val="14"/>
          <w:szCs w:val="14"/>
        </w:rPr>
        <w:footnoteRef/>
      </w:r>
      <w:r w:rsidRPr="002E0FBD">
        <w:rPr>
          <w:rFonts w:ascii="Verdana" w:hAnsi="Verdana" w:cs="Arial"/>
          <w:sz w:val="14"/>
          <w:szCs w:val="14"/>
        </w:rPr>
        <w:t xml:space="preserve"> “[...]</w:t>
      </w:r>
      <w:r>
        <w:rPr>
          <w:rFonts w:ascii="Verdana" w:hAnsi="Verdana" w:cs="Arial"/>
          <w:sz w:val="14"/>
          <w:szCs w:val="14"/>
        </w:rPr>
        <w:t xml:space="preserve"> </w:t>
      </w:r>
      <w:r w:rsidRPr="002E0FBD">
        <w:rPr>
          <w:rFonts w:ascii="Verdana" w:hAnsi="Verdana" w:cs="Arial"/>
          <w:sz w:val="14"/>
          <w:szCs w:val="14"/>
        </w:rPr>
        <w:t xml:space="preserve">el negocio jurídico es un acto de autonomía privada jurídicamente relevante; acto de autorregulación de los propios intereses: la ley no delimita totalmente su contenido, señala orientaciones y límites a la actividad dispositiva, indaga sobre su observancia y, no hallando reparo que formular, interpreta el comportamiento, lo ubica dentro del marco de circunstancias en que se realizó y, una vez encasillado dentro de uno de los tipos socialmente reconocidos, le asigna los efectos que mejor correspondan a la determinación particular así alindada y calificada”. (HINESTROSA, Fernando, Tratado de las Obligaciones II De las fuentes de las obligaciones: </w:t>
      </w:r>
      <w:r w:rsidRPr="002E0FBD">
        <w:rPr>
          <w:rFonts w:ascii="Verdana" w:hAnsi="Verdana" w:cs="Arial"/>
          <w:i/>
          <w:sz w:val="14"/>
          <w:szCs w:val="14"/>
        </w:rPr>
        <w:t>El Negocio Jurídico</w:t>
      </w:r>
      <w:r w:rsidRPr="002E0FBD">
        <w:rPr>
          <w:rFonts w:ascii="Verdana" w:hAnsi="Verdana" w:cs="Arial"/>
          <w:sz w:val="14"/>
          <w:szCs w:val="14"/>
        </w:rPr>
        <w:t>, Volumen I, Universidad Externado de Colombia, Bogotá, 2015, pág. 107).</w:t>
      </w:r>
    </w:p>
    <w:p w14:paraId="2D9D4DE2" w14:textId="77777777" w:rsidR="00745FFE" w:rsidRPr="002E0FBD" w:rsidRDefault="00745FFE" w:rsidP="00745FFE">
      <w:pPr>
        <w:pStyle w:val="Textoindependiente"/>
        <w:spacing w:before="0" w:beforeAutospacing="0" w:after="0" w:afterAutospacing="0"/>
        <w:ind w:firstLine="709"/>
        <w:contextualSpacing/>
        <w:jc w:val="both"/>
        <w:rPr>
          <w:rFonts w:ascii="Verdana" w:hAnsi="Verdana" w:cs="Arial"/>
          <w:sz w:val="14"/>
          <w:szCs w:val="14"/>
        </w:rPr>
      </w:pPr>
    </w:p>
  </w:footnote>
  <w:footnote w:id="3">
    <w:p w14:paraId="06C1AA80" w14:textId="77777777" w:rsidR="00745FFE" w:rsidRDefault="00745FFE" w:rsidP="00745FFE">
      <w:pPr>
        <w:pStyle w:val="Textoindependiente"/>
        <w:spacing w:before="0" w:beforeAutospacing="0" w:after="0" w:afterAutospacing="0"/>
        <w:ind w:firstLine="708"/>
        <w:contextualSpacing/>
        <w:jc w:val="both"/>
        <w:rPr>
          <w:rFonts w:ascii="Verdana" w:hAnsi="Verdana" w:cs="Arial"/>
          <w:sz w:val="14"/>
          <w:szCs w:val="14"/>
        </w:rPr>
      </w:pPr>
      <w:r w:rsidRPr="002E0FBD">
        <w:rPr>
          <w:rStyle w:val="Refdenotaalpie"/>
          <w:rFonts w:ascii="Verdana" w:eastAsiaTheme="majorEastAsia" w:hAnsi="Verdana" w:cs="Arial"/>
          <w:sz w:val="14"/>
          <w:szCs w:val="14"/>
        </w:rPr>
        <w:footnoteRef/>
      </w:r>
      <w:r w:rsidRPr="002E0FBD">
        <w:rPr>
          <w:rFonts w:ascii="Verdana" w:hAnsi="Verdana" w:cs="Arial"/>
          <w:sz w:val="14"/>
          <w:szCs w:val="14"/>
        </w:rPr>
        <w:t xml:space="preserve"> </w:t>
      </w:r>
      <w:r w:rsidRPr="613A5EC2">
        <w:rPr>
          <w:rFonts w:ascii="Verdana" w:hAnsi="Verdana" w:cs="Arial"/>
          <w:sz w:val="14"/>
          <w:szCs w:val="14"/>
          <w:lang w:val="es-ES"/>
        </w:rPr>
        <w:t xml:space="preserve">El artículo 2º define, para los efectos del ámbito de sujeción del estatuto, que se denominan entidades estatales: a) </w:t>
      </w:r>
      <w:r w:rsidRPr="002E0FBD">
        <w:rPr>
          <w:rFonts w:ascii="Verdana" w:hAnsi="Verdana" w:cs="Arial"/>
          <w:sz w:val="14"/>
          <w:szCs w:val="14"/>
        </w:rPr>
        <w:t xml:space="preserve">La Nación, las regiones, los departamentos, las provincias, el distrito capital y los distritos especiales, las áreas metropolitanas, las asociaciones de municipios, los territorios indígenas y los municipios; </w:t>
      </w:r>
      <w:r w:rsidRPr="002E0FBD">
        <w:rPr>
          <w:rFonts w:ascii="Verdana" w:hAnsi="Verdana" w:cs="Arial"/>
          <w:sz w:val="14"/>
          <w:szCs w:val="14"/>
          <w:u w:val="single"/>
        </w:rPr>
        <w:t>los establecimientos públicos</w:t>
      </w:r>
      <w:r w:rsidRPr="002E0FBD">
        <w:rPr>
          <w:rFonts w:ascii="Verdana" w:hAnsi="Verdana" w:cs="Arial"/>
          <w:sz w:val="14"/>
          <w:szCs w:val="14"/>
        </w:rPr>
        <w:t>, las empresas industriales y comerciales del Estado, las sociedades de economía mixta en las que el Estado tenga participación superior al cincuenta por ciento (50%), así como las entidades descentralizadas indirectas y las demás personas jurídicas en las que exista dicha participación pública mayoritaria, cualquiera sea la denominación que ellas adopten, en todos los órdenes y niveles. b) El Senado de la República, la Cámara de Representantes, el Consejo Superior de la Judicatura, la Fiscalía General de la Nación, la Contraloría General de la República, las contralorías departamentales, distritales y municipales, la Procuraduría General de la Nación, la Registraduría Nacional del Estado Civil, los ministerios, los departamentos administrativos, las superintendencias, las unidades administrativas especiales y, en general, los organismos o dependencias del Estado a los que la ley otorgue capacidad para celebrar contratos.</w:t>
      </w:r>
      <w:r>
        <w:rPr>
          <w:rFonts w:ascii="Verdana" w:hAnsi="Verdana" w:cs="Arial"/>
          <w:sz w:val="14"/>
          <w:szCs w:val="14"/>
        </w:rPr>
        <w:t xml:space="preserve"> (Énfasis resaltado)</w:t>
      </w:r>
    </w:p>
    <w:p w14:paraId="4EB6AA58" w14:textId="45AC5F89" w:rsidR="00745FFE" w:rsidRPr="002E0FBD" w:rsidRDefault="00745FFE" w:rsidP="00745FFE">
      <w:pPr>
        <w:pStyle w:val="Textoindependiente"/>
        <w:spacing w:before="0" w:beforeAutospacing="0" w:after="0" w:afterAutospacing="0"/>
        <w:ind w:firstLine="708"/>
        <w:contextualSpacing/>
        <w:jc w:val="both"/>
        <w:rPr>
          <w:rFonts w:ascii="Verdana" w:hAnsi="Verdana" w:cs="Arial"/>
          <w:sz w:val="14"/>
          <w:szCs w:val="14"/>
        </w:rPr>
      </w:pPr>
    </w:p>
  </w:footnote>
  <w:footnote w:id="4">
    <w:p w14:paraId="50B1D480" w14:textId="77777777" w:rsidR="00745FFE" w:rsidRPr="009930C5" w:rsidRDefault="00745FFE" w:rsidP="00745FFE">
      <w:pPr>
        <w:spacing w:after="0" w:line="240" w:lineRule="auto"/>
        <w:ind w:firstLine="707"/>
        <w:contextualSpacing/>
        <w:jc w:val="both"/>
        <w:rPr>
          <w:rFonts w:ascii="Verdana" w:hAnsi="Verdana" w:cs="Arial"/>
          <w:sz w:val="14"/>
          <w:szCs w:val="14"/>
        </w:rPr>
      </w:pPr>
      <w:r w:rsidRPr="009930C5">
        <w:rPr>
          <w:rStyle w:val="Refdenotaalpie"/>
          <w:rFonts w:ascii="Verdana" w:hAnsi="Verdana" w:cs="Arial"/>
          <w:sz w:val="14"/>
          <w:szCs w:val="14"/>
        </w:rPr>
        <w:footnoteRef/>
      </w:r>
      <w:r w:rsidRPr="009930C5">
        <w:rPr>
          <w:rFonts w:ascii="Verdana" w:hAnsi="Verdana" w:cs="Arial"/>
          <w:sz w:val="14"/>
          <w:szCs w:val="14"/>
        </w:rPr>
        <w:t xml:space="preserve"> Consejo de Estado. Sección Tercera, Auto del 30 de enero de 2008. Rad. 32.867, M.P. Mauricio Fajardo Gómez.</w:t>
      </w:r>
    </w:p>
    <w:p w14:paraId="513206DE" w14:textId="77777777" w:rsidR="00745FFE" w:rsidRPr="009930C5" w:rsidRDefault="00745FFE" w:rsidP="00745FFE">
      <w:pPr>
        <w:spacing w:after="0" w:line="240" w:lineRule="auto"/>
        <w:ind w:firstLine="707"/>
        <w:contextualSpacing/>
        <w:jc w:val="both"/>
        <w:rPr>
          <w:rFonts w:ascii="Verdana" w:hAnsi="Verdana" w:cs="Arial"/>
          <w:sz w:val="14"/>
          <w:szCs w:val="14"/>
        </w:rPr>
      </w:pPr>
    </w:p>
  </w:footnote>
  <w:footnote w:id="5">
    <w:p w14:paraId="073E60B9" w14:textId="77777777" w:rsidR="00745FFE" w:rsidRPr="009930C5" w:rsidRDefault="00745FFE" w:rsidP="00745FFE">
      <w:pPr>
        <w:spacing w:after="0" w:line="240" w:lineRule="auto"/>
        <w:ind w:firstLine="707"/>
        <w:contextualSpacing/>
        <w:jc w:val="both"/>
        <w:rPr>
          <w:rFonts w:ascii="Verdana" w:hAnsi="Verdana" w:cs="Arial"/>
          <w:sz w:val="14"/>
          <w:szCs w:val="14"/>
        </w:rPr>
      </w:pPr>
      <w:r w:rsidRPr="009930C5">
        <w:rPr>
          <w:rStyle w:val="Refdenotaalpie"/>
          <w:rFonts w:ascii="Verdana" w:hAnsi="Verdana" w:cs="Arial"/>
          <w:sz w:val="14"/>
          <w:szCs w:val="14"/>
        </w:rPr>
        <w:footnoteRef/>
      </w:r>
      <w:r w:rsidRPr="009930C5">
        <w:rPr>
          <w:rFonts w:ascii="Verdana" w:hAnsi="Verdana" w:cs="Arial"/>
          <w:sz w:val="14"/>
          <w:szCs w:val="14"/>
        </w:rPr>
        <w:t xml:space="preserve"> Consejo de Estado. Sección Tercera. Sentencia de 23 de septiembre de 1997, Rad. S-701.</w:t>
      </w:r>
    </w:p>
    <w:p w14:paraId="7F114629" w14:textId="77777777" w:rsidR="00745FFE" w:rsidRPr="009930C5" w:rsidRDefault="00745FFE" w:rsidP="00745FFE">
      <w:pPr>
        <w:spacing w:after="0" w:line="240" w:lineRule="auto"/>
        <w:ind w:firstLine="709"/>
        <w:contextualSpacing/>
        <w:jc w:val="both"/>
        <w:rPr>
          <w:rFonts w:ascii="Verdana" w:hAnsi="Verdana" w:cs="Arial"/>
          <w:sz w:val="14"/>
          <w:szCs w:val="14"/>
        </w:rPr>
      </w:pPr>
    </w:p>
  </w:footnote>
  <w:footnote w:id="6">
    <w:p w14:paraId="54BD927F" w14:textId="77777777" w:rsidR="00745FFE" w:rsidRDefault="00745FFE" w:rsidP="00745FFE">
      <w:pPr>
        <w:spacing w:after="0" w:line="240" w:lineRule="auto"/>
        <w:ind w:firstLine="707"/>
        <w:contextualSpacing/>
        <w:jc w:val="both"/>
        <w:rPr>
          <w:rFonts w:ascii="Verdana" w:hAnsi="Verdana" w:cs="Arial"/>
          <w:sz w:val="14"/>
          <w:szCs w:val="14"/>
        </w:rPr>
      </w:pPr>
      <w:r w:rsidRPr="009930C5">
        <w:rPr>
          <w:rStyle w:val="Refdenotaalpie"/>
          <w:rFonts w:ascii="Verdana" w:hAnsi="Verdana" w:cs="Arial"/>
          <w:sz w:val="14"/>
          <w:szCs w:val="14"/>
        </w:rPr>
        <w:footnoteRef/>
      </w:r>
      <w:r w:rsidRPr="009930C5">
        <w:rPr>
          <w:rFonts w:ascii="Verdana" w:hAnsi="Verdana" w:cs="Arial"/>
          <w:sz w:val="14"/>
          <w:szCs w:val="14"/>
        </w:rPr>
        <w:t xml:space="preserve"> Consejo de Estado. Sala de Consulta y Servicio Civil. Concepto de 15 de mayo de 2018, Rad. 2335.</w:t>
      </w:r>
    </w:p>
    <w:p w14:paraId="07A9F8DE" w14:textId="77777777" w:rsidR="00745FFE" w:rsidRPr="009930C5" w:rsidRDefault="00745FFE" w:rsidP="00745FFE">
      <w:pPr>
        <w:spacing w:after="0" w:line="240" w:lineRule="auto"/>
        <w:ind w:firstLine="707"/>
        <w:contextualSpacing/>
        <w:jc w:val="both"/>
        <w:rPr>
          <w:rFonts w:ascii="Verdana" w:hAnsi="Verdana" w:cs="Arial"/>
          <w:sz w:val="14"/>
          <w:szCs w:val="14"/>
        </w:rPr>
      </w:pPr>
    </w:p>
  </w:footnote>
  <w:footnote w:id="7">
    <w:p w14:paraId="1EBD1140" w14:textId="77777777" w:rsidR="00745FFE" w:rsidRDefault="00745FFE" w:rsidP="00B33BB1">
      <w:pPr>
        <w:spacing w:after="0" w:line="240" w:lineRule="auto"/>
        <w:ind w:firstLine="707"/>
        <w:contextualSpacing/>
        <w:jc w:val="both"/>
        <w:rPr>
          <w:rFonts w:ascii="Verdana" w:hAnsi="Verdana" w:cs="Arial"/>
          <w:sz w:val="14"/>
          <w:szCs w:val="14"/>
        </w:rPr>
      </w:pPr>
      <w:r w:rsidRPr="009930C5">
        <w:rPr>
          <w:rStyle w:val="Refdenotaalpie"/>
          <w:rFonts w:ascii="Verdana" w:hAnsi="Verdana" w:cs="Arial"/>
          <w:sz w:val="14"/>
          <w:szCs w:val="14"/>
        </w:rPr>
        <w:footnoteRef/>
      </w:r>
      <w:r w:rsidRPr="009930C5">
        <w:rPr>
          <w:rFonts w:ascii="Verdana" w:hAnsi="Verdana" w:cs="Arial"/>
          <w:sz w:val="14"/>
          <w:szCs w:val="14"/>
        </w:rPr>
        <w:t xml:space="preserve"> Consejo de Estado. Sala de lo Contencioso Administrativo. Sección Tercera. Subsección A. Sentencia de 31 de marzo de 2011, Rad. 16246, M.P.</w:t>
      </w:r>
      <w:r w:rsidRPr="009930C5">
        <w:rPr>
          <w:rFonts w:ascii="Verdana" w:eastAsiaTheme="majorEastAsia" w:hAnsi="Verdana" w:cs="Arial"/>
          <w:sz w:val="14"/>
          <w:szCs w:val="14"/>
        </w:rPr>
        <w:t xml:space="preserve"> </w:t>
      </w:r>
      <w:r w:rsidRPr="009930C5">
        <w:rPr>
          <w:rFonts w:ascii="Verdana" w:hAnsi="Verdana" w:cs="Arial"/>
          <w:sz w:val="14"/>
          <w:szCs w:val="14"/>
        </w:rPr>
        <w:t>Hernán Andrade Rincón. Al adoptar un criterio orgánico o subjetivo, en el que la sola presencia de una entidad estatal como parte del mismo le imprime al negocio jurídico la naturaleza o categoría jurídica de contrato estatal, “tiene la virtud de englobar todos los contratos que celebren las entidades públicas del Estado, ya sea que se regulen por el estatuto general de contratación administrativa o que estén sujetos a regímenes especiales. De tal manera es dable hablar genéricamente de dos tipos de contratos: 1. Contratos estatales regidos por la Ley 80 de 1993. 2. Contratos estatales especiales...”. (Consejo de Estado, Sala de lo Contencioso Administrativo, Sección Tercera, Auto del 8 de febrero de 2001, Rad. No. 16661) En igual sentido, auto de 20 de agosto de 1998, Rad. 14.202; auto de 7 de octubre de 2004, Rad.2675 y sentencia de 20 de abril de 2005, Rad. 14519, entre otras providencias.</w:t>
      </w:r>
    </w:p>
    <w:p w14:paraId="009B8E2A" w14:textId="77777777" w:rsidR="00745FFE" w:rsidRPr="009930C5" w:rsidRDefault="00745FFE" w:rsidP="00745FFE">
      <w:pPr>
        <w:spacing w:after="0" w:line="240" w:lineRule="auto"/>
        <w:ind w:firstLine="707"/>
        <w:contextualSpacing/>
        <w:jc w:val="both"/>
        <w:rPr>
          <w:rFonts w:ascii="Verdana" w:hAnsi="Verdana" w:cs="Arial"/>
          <w:sz w:val="14"/>
          <w:szCs w:val="14"/>
        </w:rPr>
      </w:pPr>
    </w:p>
  </w:footnote>
  <w:footnote w:id="8">
    <w:p w14:paraId="564B8B5B" w14:textId="77777777" w:rsidR="00745FFE" w:rsidRPr="00204FA0" w:rsidRDefault="00745FFE" w:rsidP="00745FFE">
      <w:pPr>
        <w:pStyle w:val="Textonotapie"/>
        <w:jc w:val="both"/>
        <w:rPr>
          <w:rFonts w:ascii="Verdana" w:hAnsi="Verdana" w:cs="Arial"/>
          <w:color w:val="000000" w:themeColor="text1"/>
          <w:sz w:val="14"/>
          <w:szCs w:val="14"/>
        </w:rPr>
      </w:pPr>
    </w:p>
    <w:p w14:paraId="2B2E0A5C" w14:textId="77777777" w:rsidR="00745FFE" w:rsidRPr="00204FA0" w:rsidRDefault="00745FFE" w:rsidP="00745FFE">
      <w:pPr>
        <w:pStyle w:val="Textonotapie"/>
        <w:ind w:firstLine="709"/>
        <w:jc w:val="both"/>
        <w:rPr>
          <w:rFonts w:ascii="Verdana" w:hAnsi="Verdana" w:cs="Arial"/>
          <w:color w:val="000000" w:themeColor="text1"/>
          <w:sz w:val="14"/>
          <w:szCs w:val="14"/>
        </w:rPr>
      </w:pPr>
      <w:r w:rsidRPr="00204FA0">
        <w:rPr>
          <w:rStyle w:val="Refdenotaalpie"/>
          <w:rFonts w:ascii="Verdana" w:hAnsi="Verdana" w:cs="Arial"/>
          <w:color w:val="000000" w:themeColor="text1"/>
          <w:sz w:val="14"/>
          <w:szCs w:val="14"/>
        </w:rPr>
        <w:footnoteRef/>
      </w:r>
      <w:r w:rsidRPr="00204FA0">
        <w:rPr>
          <w:rFonts w:ascii="Verdana" w:hAnsi="Verdana" w:cs="Arial"/>
          <w:color w:val="000000" w:themeColor="text1"/>
          <w:sz w:val="14"/>
          <w:szCs w:val="14"/>
        </w:rPr>
        <w:t xml:space="preserve"> Corte Constitucional. Sentencia C- 341 del 4 de junio de 2014. M. P. Mauricio González Cuervo.</w:t>
      </w:r>
    </w:p>
    <w:p w14:paraId="20503F45" w14:textId="77777777" w:rsidR="00745FFE" w:rsidRPr="00204FA0" w:rsidRDefault="00745FFE" w:rsidP="00745FFE">
      <w:pPr>
        <w:pStyle w:val="Textonotapie"/>
        <w:ind w:firstLine="709"/>
        <w:jc w:val="both"/>
        <w:rPr>
          <w:rFonts w:ascii="Verdana" w:hAnsi="Verdana" w:cs="Arial"/>
          <w:color w:val="000000" w:themeColor="text1"/>
          <w:sz w:val="14"/>
          <w:szCs w:val="14"/>
        </w:rPr>
      </w:pPr>
    </w:p>
  </w:footnote>
  <w:footnote w:id="9">
    <w:p w14:paraId="4197F75C" w14:textId="77777777" w:rsidR="00745FFE" w:rsidRPr="00204FA0" w:rsidRDefault="00745FFE" w:rsidP="00745FFE">
      <w:pPr>
        <w:pStyle w:val="Textonotapie"/>
        <w:ind w:firstLine="709"/>
        <w:jc w:val="both"/>
        <w:rPr>
          <w:rFonts w:ascii="Verdana" w:hAnsi="Verdana" w:cs="Arial"/>
          <w:color w:val="000000" w:themeColor="text1"/>
          <w:sz w:val="14"/>
          <w:szCs w:val="14"/>
        </w:rPr>
      </w:pPr>
      <w:r w:rsidRPr="00204FA0">
        <w:rPr>
          <w:rStyle w:val="Refdenotaalpie"/>
          <w:rFonts w:ascii="Verdana" w:hAnsi="Verdana" w:cs="Arial"/>
          <w:color w:val="000000" w:themeColor="text1"/>
          <w:sz w:val="14"/>
          <w:szCs w:val="14"/>
        </w:rPr>
        <w:footnoteRef/>
      </w:r>
      <w:r w:rsidRPr="00204FA0">
        <w:rPr>
          <w:rFonts w:ascii="Verdana" w:hAnsi="Verdana" w:cs="Arial"/>
          <w:color w:val="000000" w:themeColor="text1"/>
          <w:sz w:val="14"/>
          <w:szCs w:val="14"/>
        </w:rPr>
        <w:t xml:space="preserve"> Ley 1150 de 2007: “Artículo 3. De conformidad con lo dispuesto en la Ley 527 de 1999, la sustanciación de las actuaciones, la expedición de los actos administrativos, los documentos, contratos y en general los actos derivados de la actividad precontractual y contractual, podrán tener lugar por medios electrónicos. Para el trámite, notificación y publicación de tales actos, podrán utilizarse soportes, medios y aplicaciones electrónicas. Los mecanismos e instrumentos por medio de los cuales las entidades cumplirán con las obligaciones de publicidad del proceso contractual serán señalados por el Gobierno Nacional.</w:t>
      </w:r>
    </w:p>
    <w:p w14:paraId="7DF94E39" w14:textId="77777777" w:rsidR="00745FFE" w:rsidRPr="00204FA0" w:rsidRDefault="00745FFE" w:rsidP="00745FFE">
      <w:pPr>
        <w:pStyle w:val="Textonotapie"/>
        <w:ind w:firstLine="709"/>
        <w:jc w:val="both"/>
        <w:rPr>
          <w:rFonts w:ascii="Verdana" w:hAnsi="Verdana" w:cs="Arial"/>
          <w:color w:val="000000" w:themeColor="text1"/>
          <w:sz w:val="14"/>
          <w:szCs w:val="14"/>
        </w:rPr>
      </w:pPr>
      <w:r w:rsidRPr="00204FA0">
        <w:rPr>
          <w:rFonts w:ascii="Verdana" w:hAnsi="Verdana" w:cs="Arial"/>
          <w:color w:val="000000" w:themeColor="text1"/>
          <w:sz w:val="14"/>
          <w:szCs w:val="14"/>
        </w:rPr>
        <w:t>“Lo anterior, sin perjuicio de las publicaciones previstas en el numeral 3 del artículo 30 de la Ley 80 de 1993.</w:t>
      </w:r>
    </w:p>
    <w:p w14:paraId="603ADDB0" w14:textId="77777777" w:rsidR="00745FFE" w:rsidRPr="00204FA0" w:rsidRDefault="00745FFE" w:rsidP="00745FFE">
      <w:pPr>
        <w:pStyle w:val="Textonotapie"/>
        <w:ind w:firstLine="709"/>
        <w:jc w:val="both"/>
        <w:rPr>
          <w:rFonts w:ascii="Verdana" w:hAnsi="Verdana" w:cs="Arial"/>
          <w:color w:val="000000" w:themeColor="text1"/>
          <w:sz w:val="14"/>
          <w:szCs w:val="14"/>
        </w:rPr>
      </w:pPr>
      <w:r w:rsidRPr="00204FA0">
        <w:rPr>
          <w:rFonts w:ascii="Verdana" w:hAnsi="Verdana" w:cs="Arial"/>
          <w:color w:val="000000" w:themeColor="text1"/>
          <w:sz w:val="14"/>
          <w:szCs w:val="14"/>
        </w:rPr>
        <w:t xml:space="preserve">“Con el fin de materializar los objetivos a que se refiere el inciso anterior, el Gobierno Nacional desarrollará el Sistema Electrónico para la Contratación Pública, Secop, el cual: </w:t>
      </w:r>
    </w:p>
    <w:p w14:paraId="4D5781E0" w14:textId="77777777" w:rsidR="00745FFE" w:rsidRPr="00204FA0" w:rsidRDefault="00745FFE" w:rsidP="00745FFE">
      <w:pPr>
        <w:pStyle w:val="Textonotapie"/>
        <w:ind w:firstLine="709"/>
        <w:jc w:val="both"/>
        <w:rPr>
          <w:rFonts w:ascii="Verdana" w:hAnsi="Verdana" w:cs="Arial"/>
          <w:color w:val="000000" w:themeColor="text1"/>
          <w:sz w:val="14"/>
          <w:szCs w:val="14"/>
        </w:rPr>
      </w:pPr>
      <w:r w:rsidRPr="00204FA0">
        <w:rPr>
          <w:rFonts w:ascii="Verdana" w:hAnsi="Verdana" w:cs="Arial"/>
          <w:color w:val="000000" w:themeColor="text1"/>
          <w:sz w:val="14"/>
          <w:szCs w:val="14"/>
        </w:rPr>
        <w:t>[…]</w:t>
      </w:r>
    </w:p>
    <w:p w14:paraId="311E5F85" w14:textId="77777777" w:rsidR="00745FFE" w:rsidRPr="00204FA0" w:rsidRDefault="00745FFE" w:rsidP="00745FFE">
      <w:pPr>
        <w:pStyle w:val="Textonotapie"/>
        <w:ind w:firstLine="709"/>
        <w:jc w:val="both"/>
        <w:rPr>
          <w:rFonts w:ascii="Verdana" w:hAnsi="Verdana" w:cs="Arial"/>
          <w:color w:val="000000" w:themeColor="text1"/>
          <w:sz w:val="14"/>
          <w:szCs w:val="14"/>
        </w:rPr>
      </w:pPr>
      <w:r w:rsidRPr="00204FA0">
        <w:rPr>
          <w:rFonts w:ascii="Verdana" w:hAnsi="Verdana" w:cs="Arial"/>
          <w:color w:val="000000" w:themeColor="text1"/>
          <w:sz w:val="14"/>
          <w:szCs w:val="14"/>
        </w:rPr>
        <w:t xml:space="preserve">“c) Contará con la información oficial de la contratación realizada con dineros públicos, para lo cual establecerá los patrones a que haya lugar y se encargará de su difusión a través de canales electrónico”. </w:t>
      </w:r>
    </w:p>
    <w:p w14:paraId="75432F6E" w14:textId="77777777" w:rsidR="00745FFE" w:rsidRPr="0009387C" w:rsidRDefault="00745FFE" w:rsidP="00745FFE">
      <w:pPr>
        <w:pStyle w:val="Textonotapie"/>
        <w:ind w:firstLine="709"/>
        <w:jc w:val="both"/>
        <w:rPr>
          <w:rFonts w:ascii="Verdana" w:hAnsi="Verdana" w:cs="Arial"/>
          <w:color w:val="000000" w:themeColor="text1"/>
          <w:sz w:val="14"/>
          <w:szCs w:val="14"/>
          <w:lang w:val="es-CO"/>
        </w:rPr>
      </w:pPr>
    </w:p>
  </w:footnote>
  <w:footnote w:id="10">
    <w:p w14:paraId="457465AA" w14:textId="77777777" w:rsidR="00F365C7" w:rsidRDefault="00F365C7" w:rsidP="00B33BB1">
      <w:pPr>
        <w:pStyle w:val="Textonotapie"/>
        <w:ind w:firstLine="709"/>
        <w:contextualSpacing/>
        <w:jc w:val="both"/>
        <w:rPr>
          <w:rFonts w:ascii="Verdana" w:hAnsi="Verdana"/>
          <w:sz w:val="14"/>
          <w:szCs w:val="14"/>
        </w:rPr>
      </w:pPr>
      <w:r w:rsidRPr="0009387C">
        <w:rPr>
          <w:rStyle w:val="Refdenotaalpie"/>
          <w:rFonts w:ascii="Verdana" w:hAnsi="Verdana"/>
          <w:sz w:val="14"/>
          <w:szCs w:val="14"/>
        </w:rPr>
        <w:footnoteRef/>
      </w:r>
      <w:r w:rsidR="613A5EC2" w:rsidRPr="00B33BB1">
        <w:rPr>
          <w:rFonts w:ascii="Verdana" w:hAnsi="Verdana"/>
          <w:sz w:val="14"/>
          <w:szCs w:val="14"/>
        </w:rPr>
        <w:t xml:space="preserve"> Por medio de la cual se crea la Ley de Transparencia y del Derecho de Acceso a la Información Pública Nacional y se dictan otras disposiciones.</w:t>
      </w:r>
    </w:p>
    <w:p w14:paraId="54F10C0F" w14:textId="77777777" w:rsidR="00B33BB1" w:rsidRPr="0009387C" w:rsidRDefault="00B33BB1" w:rsidP="00B33BB1">
      <w:pPr>
        <w:pStyle w:val="Textonotapie"/>
        <w:ind w:firstLine="709"/>
        <w:contextualSpacing/>
        <w:jc w:val="both"/>
        <w:rPr>
          <w:rFonts w:ascii="Verdana" w:hAnsi="Verdana"/>
          <w:sz w:val="14"/>
          <w:szCs w:val="14"/>
          <w:lang w:val="es-ES"/>
        </w:rPr>
      </w:pPr>
    </w:p>
  </w:footnote>
  <w:footnote w:id="11">
    <w:p w14:paraId="1D6D1682" w14:textId="77777777" w:rsidR="00F365C7" w:rsidRPr="0009387C" w:rsidRDefault="00F365C7" w:rsidP="00B33BB1">
      <w:pPr>
        <w:pStyle w:val="Textonotapie"/>
        <w:ind w:firstLine="709"/>
        <w:contextualSpacing/>
        <w:jc w:val="both"/>
        <w:rPr>
          <w:rFonts w:ascii="Verdana" w:hAnsi="Verdana"/>
          <w:sz w:val="14"/>
          <w:szCs w:val="14"/>
        </w:rPr>
      </w:pPr>
      <w:r w:rsidRPr="0009387C">
        <w:rPr>
          <w:rStyle w:val="Refdenotaalpie"/>
          <w:rFonts w:ascii="Verdana" w:hAnsi="Verdana"/>
          <w:sz w:val="14"/>
          <w:szCs w:val="14"/>
        </w:rPr>
        <w:footnoteRef/>
      </w:r>
      <w:r w:rsidR="613A5EC2" w:rsidRPr="00B33BB1">
        <w:rPr>
          <w:rFonts w:ascii="Verdana" w:hAnsi="Verdana"/>
          <w:sz w:val="14"/>
          <w:szCs w:val="14"/>
        </w:rPr>
        <w:t xml:space="preserve"> </w:t>
      </w:r>
      <w:r w:rsidR="613A5EC2" w:rsidRPr="00B33BB1">
        <w:rPr>
          <w:rFonts w:ascii="Verdana" w:hAnsi="Verdana" w:cs="Arial"/>
          <w:color w:val="000000" w:themeColor="text1"/>
          <w:sz w:val="14"/>
          <w:szCs w:val="14"/>
        </w:rPr>
        <w:t>Ley 1712 de 2014: Artículo 2. Toda información en posesión, bajo control o custodia de un sujeto obligado es pública y no podrá ser reservada o limitada sino por disposición constitucional o legal, de conformidad con la presente ley”.</w:t>
      </w:r>
    </w:p>
  </w:footnote>
  <w:footnote w:id="12">
    <w:p w14:paraId="7D053457" w14:textId="77777777" w:rsidR="00F365C7" w:rsidRPr="0009387C" w:rsidRDefault="00F365C7" w:rsidP="00B33BB1">
      <w:pPr>
        <w:pStyle w:val="Textonotapie"/>
        <w:ind w:firstLine="707"/>
        <w:contextualSpacing/>
        <w:jc w:val="both"/>
        <w:rPr>
          <w:rFonts w:ascii="Verdana" w:hAnsi="Verdana" w:cs="Arial"/>
          <w:sz w:val="14"/>
          <w:szCs w:val="14"/>
          <w:lang w:val="es-CO"/>
        </w:rPr>
      </w:pPr>
      <w:r w:rsidRPr="0009387C">
        <w:rPr>
          <w:rStyle w:val="Refdenotaalpie"/>
          <w:rFonts w:ascii="Verdana" w:hAnsi="Verdana" w:cs="Arial"/>
          <w:sz w:val="14"/>
          <w:szCs w:val="14"/>
        </w:rPr>
        <w:footnoteRef/>
      </w:r>
      <w:r w:rsidR="613A5EC2" w:rsidRPr="00B33BB1">
        <w:rPr>
          <w:rFonts w:ascii="Verdana" w:hAnsi="Verdana" w:cs="Arial"/>
          <w:sz w:val="14"/>
          <w:szCs w:val="14"/>
          <w:vertAlign w:val="superscript"/>
        </w:rPr>
        <w:t xml:space="preserve"> </w:t>
      </w:r>
      <w:r w:rsidR="613A5EC2" w:rsidRPr="00B33BB1">
        <w:rPr>
          <w:rFonts w:ascii="Verdana" w:hAnsi="Verdana" w:cs="Arial"/>
          <w:sz w:val="14"/>
          <w:szCs w:val="14"/>
        </w:rPr>
        <w:t xml:space="preserve">Ley 1712 de 2014: “Artículo 3. </w:t>
      </w:r>
      <w:bookmarkStart w:id="11" w:name="3"/>
      <w:r w:rsidR="613A5EC2" w:rsidRPr="00B33BB1">
        <w:rPr>
          <w:rFonts w:ascii="Verdana" w:hAnsi="Verdana" w:cs="Arial"/>
          <w:sz w:val="14"/>
          <w:szCs w:val="14"/>
          <w:lang w:val="es-CO"/>
        </w:rPr>
        <w:t>Otros principios de la transparencia y acceso a la información pública.</w:t>
      </w:r>
      <w:bookmarkEnd w:id="11"/>
      <w:r w:rsidR="613A5EC2" w:rsidRPr="00B33BB1">
        <w:rPr>
          <w:rFonts w:ascii="Verdana" w:hAnsi="Verdana" w:cs="Arial"/>
          <w:sz w:val="14"/>
          <w:szCs w:val="14"/>
          <w:lang w:val="es-CO"/>
        </w:rPr>
        <w:t> </w:t>
      </w:r>
    </w:p>
    <w:p w14:paraId="4BB5F9DF" w14:textId="77777777" w:rsidR="00F365C7" w:rsidRPr="0009387C" w:rsidRDefault="613A5EC2" w:rsidP="00B33BB1">
      <w:pPr>
        <w:pStyle w:val="Textonotapie"/>
        <w:ind w:firstLine="707"/>
        <w:contextualSpacing/>
        <w:jc w:val="both"/>
        <w:rPr>
          <w:rFonts w:ascii="Verdana" w:hAnsi="Verdana" w:cs="Arial"/>
          <w:sz w:val="14"/>
          <w:szCs w:val="14"/>
          <w:lang w:val="es-CO"/>
        </w:rPr>
      </w:pPr>
      <w:r w:rsidRPr="613A5EC2">
        <w:rPr>
          <w:rFonts w:ascii="Verdana" w:hAnsi="Verdana" w:cs="Arial"/>
          <w:sz w:val="14"/>
          <w:szCs w:val="14"/>
          <w:lang w:val="es-CO"/>
        </w:rPr>
        <w:t>[…]</w:t>
      </w:r>
    </w:p>
    <w:p w14:paraId="1F3FBB0D" w14:textId="77777777" w:rsidR="00F365C7" w:rsidRDefault="613A5EC2" w:rsidP="00B33BB1">
      <w:pPr>
        <w:pStyle w:val="Textonotapie"/>
        <w:ind w:firstLine="707"/>
        <w:contextualSpacing/>
        <w:jc w:val="both"/>
        <w:rPr>
          <w:rFonts w:ascii="Verdana" w:hAnsi="Verdana" w:cs="Arial"/>
          <w:sz w:val="14"/>
          <w:szCs w:val="14"/>
        </w:rPr>
      </w:pPr>
      <w:r w:rsidRPr="613A5EC2">
        <w:rPr>
          <w:rStyle w:val="baj"/>
          <w:rFonts w:ascii="Verdana" w:hAnsi="Verdana" w:cs="Arial"/>
          <w:sz w:val="14"/>
          <w:szCs w:val="14"/>
        </w:rPr>
        <w:t>Principio de transparencia</w:t>
      </w:r>
      <w:r w:rsidRPr="613A5EC2">
        <w:rPr>
          <w:rFonts w:ascii="Verdana" w:hAnsi="Verdana" w:cs="Arial"/>
          <w:sz w:val="14"/>
          <w:szCs w:val="14"/>
        </w:rPr>
        <w:t>. Principio conforme al cual toda la información en poder de los sujetos obligados definidos en esta ley se presume pública, en consecuencia de lo cual dichos sujetos están en el deber de proporcionar y facilitar el acceso a la misma en los términos más amplios posibles y a través de los medios y procedimientos que al efecto establezca la ley, excluyendo solo aquello que esté sujeto a las excepciones constitucionales y legales y bajo el cumplimiento de los requisitos establecidos en esta ley”.</w:t>
      </w:r>
    </w:p>
    <w:p w14:paraId="5B61D0A8" w14:textId="77777777" w:rsidR="00B33BB1" w:rsidRPr="0009387C" w:rsidRDefault="00B33BB1" w:rsidP="00B33BB1">
      <w:pPr>
        <w:pStyle w:val="Textonotapie"/>
        <w:ind w:firstLine="707"/>
        <w:contextualSpacing/>
        <w:jc w:val="both"/>
        <w:rPr>
          <w:rFonts w:ascii="Verdana" w:hAnsi="Verdana" w:cs="Arial"/>
          <w:sz w:val="14"/>
          <w:szCs w:val="14"/>
          <w:lang w:val="es-CO"/>
        </w:rPr>
      </w:pPr>
    </w:p>
  </w:footnote>
  <w:footnote w:id="13">
    <w:p w14:paraId="6AF7AFCC" w14:textId="77777777" w:rsidR="00F365C7" w:rsidRPr="0009387C" w:rsidRDefault="00F365C7" w:rsidP="00B33BB1">
      <w:pPr>
        <w:pStyle w:val="Textonotapie"/>
        <w:ind w:firstLine="707"/>
        <w:contextualSpacing/>
        <w:jc w:val="both"/>
        <w:rPr>
          <w:rFonts w:ascii="Verdana" w:hAnsi="Verdana" w:cs="Arial"/>
          <w:sz w:val="14"/>
          <w:szCs w:val="14"/>
          <w:lang w:val="es-CO"/>
        </w:rPr>
      </w:pPr>
      <w:r w:rsidRPr="0009387C">
        <w:rPr>
          <w:rStyle w:val="Refdenotaalpie"/>
          <w:rFonts w:ascii="Verdana" w:hAnsi="Verdana" w:cs="Arial"/>
          <w:sz w:val="14"/>
          <w:szCs w:val="14"/>
        </w:rPr>
        <w:footnoteRef/>
      </w:r>
      <w:r w:rsidR="613A5EC2" w:rsidRPr="00B33BB1">
        <w:rPr>
          <w:rFonts w:ascii="Verdana" w:hAnsi="Verdana" w:cs="Arial"/>
          <w:sz w:val="14"/>
          <w:szCs w:val="14"/>
          <w:vertAlign w:val="superscript"/>
        </w:rPr>
        <w:t xml:space="preserve"> </w:t>
      </w:r>
      <w:r w:rsidR="613A5EC2" w:rsidRPr="00B33BB1">
        <w:rPr>
          <w:rFonts w:ascii="Verdana" w:hAnsi="Verdana" w:cs="Arial"/>
          <w:sz w:val="14"/>
          <w:szCs w:val="14"/>
        </w:rPr>
        <w:t xml:space="preserve">Ley 1712 de 2014: “Artículo 3. </w:t>
      </w:r>
      <w:r w:rsidR="613A5EC2" w:rsidRPr="00B33BB1">
        <w:rPr>
          <w:rFonts w:ascii="Verdana" w:hAnsi="Verdana" w:cs="Arial"/>
          <w:sz w:val="14"/>
          <w:szCs w:val="14"/>
          <w:lang w:val="es-CO"/>
        </w:rPr>
        <w:t>Otros principios de la transparencia y acceso a la información pública. </w:t>
      </w:r>
    </w:p>
    <w:p w14:paraId="3B20094A" w14:textId="77777777" w:rsidR="00F365C7" w:rsidRPr="0009387C" w:rsidRDefault="613A5EC2" w:rsidP="00B33BB1">
      <w:pPr>
        <w:pStyle w:val="Textonotapie"/>
        <w:ind w:firstLine="707"/>
        <w:contextualSpacing/>
        <w:jc w:val="both"/>
        <w:rPr>
          <w:rFonts w:ascii="Verdana" w:hAnsi="Verdana" w:cs="Arial"/>
          <w:sz w:val="14"/>
          <w:szCs w:val="14"/>
          <w:lang w:val="es-ES"/>
        </w:rPr>
      </w:pPr>
      <w:r w:rsidRPr="613A5EC2">
        <w:rPr>
          <w:rFonts w:ascii="Verdana" w:hAnsi="Verdana" w:cs="Arial"/>
          <w:sz w:val="14"/>
          <w:szCs w:val="14"/>
          <w:lang w:val="es-ES"/>
        </w:rPr>
        <w:t>[…]</w:t>
      </w:r>
    </w:p>
    <w:p w14:paraId="5711302D" w14:textId="77777777" w:rsidR="00F365C7" w:rsidRPr="0009387C" w:rsidRDefault="613A5EC2" w:rsidP="00B33BB1">
      <w:pPr>
        <w:pStyle w:val="Textonotapie"/>
        <w:ind w:firstLine="707"/>
        <w:contextualSpacing/>
        <w:jc w:val="both"/>
        <w:rPr>
          <w:rFonts w:ascii="Verdana" w:hAnsi="Verdana" w:cs="Arial"/>
          <w:sz w:val="14"/>
          <w:szCs w:val="14"/>
          <w:lang w:val="es-ES"/>
        </w:rPr>
      </w:pPr>
      <w:r w:rsidRPr="613A5EC2">
        <w:rPr>
          <w:rStyle w:val="baj"/>
          <w:rFonts w:ascii="Verdana" w:hAnsi="Verdana" w:cs="Arial"/>
          <w:sz w:val="14"/>
          <w:szCs w:val="14"/>
        </w:rPr>
        <w:t>Principio de buena fe</w:t>
      </w:r>
      <w:r w:rsidRPr="613A5EC2">
        <w:rPr>
          <w:rFonts w:ascii="Verdana" w:hAnsi="Verdana" w:cs="Arial"/>
          <w:sz w:val="14"/>
          <w:szCs w:val="14"/>
        </w:rPr>
        <w:t>. En virtud del cual todo sujeto obligado, al cumplir con las obligaciones derivadas del derecho de acceso a la información pública, lo hará con motivación honesta, leal y desprovista de cualquier intención dolosa o culposa”.</w:t>
      </w:r>
    </w:p>
  </w:footnote>
  <w:footnote w:id="14">
    <w:p w14:paraId="699545B0" w14:textId="77777777" w:rsidR="00B33BB1" w:rsidRDefault="00B33BB1" w:rsidP="00B33BB1">
      <w:pPr>
        <w:pStyle w:val="Textonotapie"/>
        <w:ind w:firstLine="707"/>
        <w:contextualSpacing/>
        <w:jc w:val="both"/>
        <w:rPr>
          <w:rFonts w:ascii="Verdana" w:hAnsi="Verdana" w:cs="Arial"/>
          <w:sz w:val="14"/>
          <w:szCs w:val="14"/>
        </w:rPr>
      </w:pPr>
    </w:p>
    <w:p w14:paraId="49721573" w14:textId="668A7AC8" w:rsidR="00F365C7" w:rsidRPr="0009387C" w:rsidRDefault="00F365C7" w:rsidP="00B33BB1">
      <w:pPr>
        <w:pStyle w:val="Textonotapie"/>
        <w:ind w:firstLine="707"/>
        <w:contextualSpacing/>
        <w:jc w:val="both"/>
        <w:rPr>
          <w:rFonts w:ascii="Verdana" w:hAnsi="Verdana" w:cs="Arial"/>
          <w:sz w:val="14"/>
          <w:szCs w:val="14"/>
          <w:shd w:val="clear" w:color="auto" w:fill="FFFFFF"/>
        </w:rPr>
      </w:pPr>
      <w:r w:rsidRPr="0009387C">
        <w:rPr>
          <w:rStyle w:val="Refdenotaalpie"/>
          <w:rFonts w:ascii="Verdana" w:hAnsi="Verdana" w:cs="Arial"/>
          <w:sz w:val="14"/>
          <w:szCs w:val="14"/>
        </w:rPr>
        <w:footnoteRef/>
      </w:r>
      <w:r w:rsidR="613A5EC2" w:rsidRPr="00B33BB1">
        <w:rPr>
          <w:rFonts w:ascii="Verdana" w:hAnsi="Verdana" w:cs="Arial"/>
          <w:sz w:val="14"/>
          <w:szCs w:val="14"/>
        </w:rPr>
        <w:t xml:space="preserve"> Ley 1712 de 2014: “Artículo 9. </w:t>
      </w:r>
      <w:r w:rsidR="613A5EC2" w:rsidRPr="00B33BB1">
        <w:rPr>
          <w:rFonts w:ascii="Verdana" w:hAnsi="Verdana" w:cs="Arial"/>
          <w:sz w:val="14"/>
          <w:szCs w:val="14"/>
          <w:shd w:val="clear" w:color="auto" w:fill="FFFFFF"/>
        </w:rPr>
        <w:t> </w:t>
      </w:r>
      <w:r w:rsidR="613A5EC2" w:rsidRPr="00B33BB1">
        <w:rPr>
          <w:rStyle w:val="nfasis"/>
          <w:rFonts w:ascii="Verdana" w:hAnsi="Verdana" w:cs="Arial"/>
          <w:sz w:val="14"/>
          <w:szCs w:val="14"/>
          <w:shd w:val="clear" w:color="auto" w:fill="FFFFFF"/>
        </w:rPr>
        <w:t>Información mínima obligatoria respecto a la estructura del sujeto obligado. </w:t>
      </w:r>
      <w:r w:rsidR="613A5EC2" w:rsidRPr="00B33BB1">
        <w:rPr>
          <w:rFonts w:ascii="Verdana" w:hAnsi="Verdana" w:cs="Arial"/>
          <w:sz w:val="14"/>
          <w:szCs w:val="14"/>
          <w:shd w:val="clear" w:color="auto" w:fill="FFFFFF"/>
        </w:rPr>
        <w:t>Todo sujeto obligado deberá publicar la siguiente información mínima obligatoria de manera proactiva en los sistemas de información del Estado o herramientas que lo sustituyan:</w:t>
      </w:r>
    </w:p>
    <w:p w14:paraId="38ADB438" w14:textId="77777777" w:rsidR="00F365C7" w:rsidRPr="0009387C" w:rsidRDefault="613A5EC2" w:rsidP="00B33BB1">
      <w:pPr>
        <w:pStyle w:val="Textonotapie"/>
        <w:ind w:firstLine="707"/>
        <w:contextualSpacing/>
        <w:jc w:val="both"/>
        <w:rPr>
          <w:rFonts w:ascii="Verdana" w:hAnsi="Verdana" w:cs="Arial"/>
          <w:sz w:val="14"/>
          <w:szCs w:val="14"/>
          <w:shd w:val="clear" w:color="auto" w:fill="FFFFFF"/>
        </w:rPr>
      </w:pPr>
      <w:r w:rsidRPr="00B33BB1">
        <w:rPr>
          <w:rFonts w:ascii="Verdana" w:hAnsi="Verdana" w:cs="Arial"/>
          <w:sz w:val="14"/>
          <w:szCs w:val="14"/>
          <w:shd w:val="clear" w:color="auto" w:fill="FFFFFF"/>
        </w:rPr>
        <w:t>[…]</w:t>
      </w:r>
    </w:p>
    <w:p w14:paraId="7AE7A135" w14:textId="77777777" w:rsidR="00F365C7" w:rsidRPr="0009387C" w:rsidRDefault="613A5EC2" w:rsidP="00B33BB1">
      <w:pPr>
        <w:pStyle w:val="Textonotapie"/>
        <w:ind w:firstLine="707"/>
        <w:contextualSpacing/>
        <w:jc w:val="both"/>
        <w:rPr>
          <w:rFonts w:ascii="Verdana" w:hAnsi="Verdana" w:cs="Arial"/>
          <w:sz w:val="14"/>
          <w:szCs w:val="14"/>
          <w:lang w:val="es-ES"/>
        </w:rPr>
      </w:pPr>
      <w:r w:rsidRPr="00B33BB1">
        <w:rPr>
          <w:rFonts w:ascii="Verdana" w:hAnsi="Verdana" w:cs="Arial"/>
          <w:sz w:val="14"/>
          <w:szCs w:val="14"/>
          <w:shd w:val="clear" w:color="auto" w:fill="FFFFFF"/>
        </w:rPr>
        <w:t>e) Su respectivo plan de compras anual, así como las contrataciones adjudicadas para la correspondiente vigencia en lo relacionado con funcionamiento e inversión, las obras públicas, los bienes adquiridos, arrendados y en caso de los servicios de estudios o investigaciones deberá señalarse el tema específico, de conformidad con el artículo 74</w:t>
      </w:r>
      <w:r w:rsidRPr="00B33BB1">
        <w:rPr>
          <w:rFonts w:ascii="Verdana" w:hAnsi="Verdana" w:cs="Arial"/>
          <w:sz w:val="14"/>
          <w:szCs w:val="14"/>
        </w:rPr>
        <w:t xml:space="preserve"> </w:t>
      </w:r>
      <w:r w:rsidRPr="00B33BB1">
        <w:rPr>
          <w:rFonts w:ascii="Verdana" w:hAnsi="Verdana" w:cs="Arial"/>
          <w:sz w:val="14"/>
          <w:szCs w:val="14"/>
          <w:shd w:val="clear" w:color="auto" w:fill="FFFFFF"/>
        </w:rPr>
        <w:t>de la Ley 1474 de 2011. En el caso de las personas naturales con contratos de prestación de servicios, deberá publicarse el objeto del contrato, monto de los honorarios y direcciones de correo electrónico, de conformidad con el formato de información de servidores públicos y contratistas;</w:t>
      </w:r>
      <w:r w:rsidRPr="00B33BB1">
        <w:rPr>
          <w:rFonts w:ascii="Verdana" w:hAnsi="Verdana" w:cs="Arial"/>
          <w:sz w:val="14"/>
          <w:szCs w:val="14"/>
        </w:rPr>
        <w:t>”.</w:t>
      </w:r>
    </w:p>
  </w:footnote>
  <w:footnote w:id="15">
    <w:p w14:paraId="6E8C65C5" w14:textId="77777777" w:rsidR="00B33BB1" w:rsidRDefault="00B33BB1" w:rsidP="00B33BB1">
      <w:pPr>
        <w:spacing w:after="0" w:line="240" w:lineRule="auto"/>
        <w:ind w:firstLine="707"/>
        <w:contextualSpacing/>
        <w:jc w:val="both"/>
        <w:rPr>
          <w:rFonts w:ascii="Verdana" w:hAnsi="Verdana" w:cs="Arial"/>
          <w:sz w:val="14"/>
          <w:szCs w:val="14"/>
        </w:rPr>
      </w:pPr>
    </w:p>
    <w:p w14:paraId="2320586E" w14:textId="507689AC" w:rsidR="00F365C7" w:rsidRPr="0009387C" w:rsidRDefault="00F365C7" w:rsidP="00B33BB1">
      <w:pPr>
        <w:spacing w:after="0" w:line="240" w:lineRule="auto"/>
        <w:ind w:firstLine="707"/>
        <w:contextualSpacing/>
        <w:jc w:val="both"/>
        <w:rPr>
          <w:rFonts w:ascii="Verdana" w:hAnsi="Verdana" w:cs="Arial"/>
          <w:sz w:val="14"/>
          <w:szCs w:val="14"/>
        </w:rPr>
      </w:pPr>
      <w:r w:rsidRPr="0009387C">
        <w:rPr>
          <w:rStyle w:val="Refdenotaalpie"/>
          <w:rFonts w:ascii="Verdana" w:hAnsi="Verdana" w:cs="Arial"/>
          <w:sz w:val="14"/>
          <w:szCs w:val="14"/>
        </w:rPr>
        <w:footnoteRef/>
      </w:r>
      <w:r w:rsidR="613A5EC2" w:rsidRPr="00B33BB1">
        <w:rPr>
          <w:rFonts w:ascii="Verdana" w:hAnsi="Verdana" w:cs="Arial"/>
          <w:sz w:val="14"/>
          <w:szCs w:val="14"/>
        </w:rPr>
        <w:t xml:space="preserve"> Ley 1712 de 2014: “Artículo 5. Ámbito de aplicación. Las disposiciones de esta ley serán aplicables a las siguientes personas en calidad de sujetos obligados:</w:t>
      </w:r>
    </w:p>
    <w:p w14:paraId="2AED3646" w14:textId="77777777" w:rsidR="00F365C7" w:rsidRDefault="613A5EC2" w:rsidP="00B33BB1">
      <w:pPr>
        <w:spacing w:after="0" w:line="240" w:lineRule="auto"/>
        <w:ind w:firstLine="707"/>
        <w:contextualSpacing/>
        <w:jc w:val="both"/>
        <w:rPr>
          <w:rFonts w:ascii="Verdana" w:hAnsi="Verdana" w:cs="Arial"/>
          <w:sz w:val="14"/>
          <w:szCs w:val="14"/>
        </w:rPr>
      </w:pPr>
      <w:r w:rsidRPr="613A5EC2">
        <w:rPr>
          <w:rFonts w:ascii="Verdana" w:hAnsi="Verdana" w:cs="Arial"/>
          <w:sz w:val="14"/>
          <w:szCs w:val="14"/>
        </w:rPr>
        <w:t>a) Toda entidad pública, incluyendo las pertenecientes a todas las Ramas del Poder Público, en todos los niveles de la estructura estatal, central o descentralizada por servicios o territorialmente, en los órdenes nacional, departamental, municipal y distrital”.</w:t>
      </w:r>
    </w:p>
    <w:p w14:paraId="1BBF6953" w14:textId="77777777" w:rsidR="00B33BB1" w:rsidRPr="007807B4" w:rsidRDefault="00B33BB1" w:rsidP="00B33BB1">
      <w:pPr>
        <w:spacing w:after="0" w:line="240" w:lineRule="auto"/>
        <w:ind w:firstLine="707"/>
        <w:contextualSpacing/>
        <w:jc w:val="both"/>
        <w:rPr>
          <w:rFonts w:ascii="Verdana" w:hAnsi="Verdana"/>
          <w:sz w:val="14"/>
          <w:szCs w:val="14"/>
        </w:rPr>
      </w:pPr>
    </w:p>
  </w:footnote>
  <w:footnote w:id="16">
    <w:p w14:paraId="2D7F7F0E" w14:textId="77777777" w:rsidR="00745FFE" w:rsidRPr="00204FA0" w:rsidRDefault="00745FFE" w:rsidP="00745FFE">
      <w:pPr>
        <w:pStyle w:val="NormalWeb"/>
        <w:spacing w:before="0" w:beforeAutospacing="0" w:after="0" w:afterAutospacing="0"/>
        <w:ind w:firstLine="708"/>
        <w:jc w:val="both"/>
        <w:rPr>
          <w:rFonts w:ascii="Verdana" w:hAnsi="Verdana" w:cs="Arial"/>
          <w:color w:val="000000"/>
          <w:sz w:val="14"/>
          <w:szCs w:val="14"/>
        </w:rPr>
      </w:pPr>
      <w:r w:rsidRPr="00204FA0">
        <w:rPr>
          <w:rStyle w:val="Refdenotaalpie"/>
          <w:rFonts w:ascii="Verdana" w:eastAsiaTheme="majorEastAsia" w:hAnsi="Verdana"/>
          <w:sz w:val="14"/>
          <w:szCs w:val="14"/>
        </w:rPr>
        <w:footnoteRef/>
      </w:r>
      <w:r w:rsidRPr="00204FA0">
        <w:rPr>
          <w:rFonts w:ascii="Verdana" w:hAnsi="Verdana"/>
          <w:sz w:val="14"/>
          <w:szCs w:val="14"/>
        </w:rPr>
        <w:t xml:space="preserve"> </w:t>
      </w:r>
      <w:r w:rsidRPr="00204FA0">
        <w:rPr>
          <w:rFonts w:ascii="Verdana" w:hAnsi="Verdana" w:cs="Arial"/>
          <w:sz w:val="14"/>
          <w:szCs w:val="14"/>
        </w:rPr>
        <w:t>Decreto 1081 de 2015 «</w:t>
      </w:r>
      <w:r w:rsidRPr="00204FA0">
        <w:rPr>
          <w:rFonts w:ascii="Verdana" w:hAnsi="Verdana" w:cs="Arial"/>
          <w:color w:val="000000"/>
          <w:sz w:val="14"/>
          <w:szCs w:val="14"/>
        </w:rPr>
        <w:t>Artículo 2.1.1.2.1.7. Publicación de la información contractual. De conformidad con el literal (c) del artículo 3° de la Ley 1150 de 2007, el sistema de información del Estado en el cual los sujetos obligados que contratan con cargo a recursos públicos deben cumplir la obligación de publicar la información de su gestión contractual es el Sistema Electrónico para la Contratación Pública (SECOP). </w:t>
      </w:r>
    </w:p>
    <w:p w14:paraId="0F3A0BBD" w14:textId="77777777" w:rsidR="00745FFE" w:rsidRPr="00204FA0" w:rsidRDefault="00745FFE" w:rsidP="00745FFE">
      <w:pPr>
        <w:spacing w:after="0" w:line="240" w:lineRule="auto"/>
        <w:jc w:val="both"/>
        <w:rPr>
          <w:rFonts w:ascii="Verdana" w:hAnsi="Verdana" w:cs="Arial"/>
          <w:color w:val="000000"/>
          <w:sz w:val="14"/>
          <w:szCs w:val="14"/>
          <w:lang w:eastAsia="es-CO"/>
        </w:rPr>
      </w:pPr>
      <w:r w:rsidRPr="00204FA0">
        <w:rPr>
          <w:rFonts w:ascii="Verdana" w:hAnsi="Verdana" w:cs="Arial"/>
          <w:color w:val="000000"/>
          <w:sz w:val="14"/>
          <w:szCs w:val="14"/>
          <w:lang w:eastAsia="es-CO"/>
        </w:rPr>
        <w:t>  </w:t>
      </w:r>
      <w:r w:rsidRPr="00204FA0">
        <w:rPr>
          <w:rFonts w:ascii="Verdana" w:hAnsi="Verdana" w:cs="Arial"/>
          <w:color w:val="000000"/>
          <w:sz w:val="14"/>
          <w:szCs w:val="14"/>
          <w:lang w:eastAsia="es-CO"/>
        </w:rPr>
        <w:tab/>
        <w:t>-Los sujetos obligados que contratan con cargo a recursos públicos deben publicar la información de su gestión contractual en el plazo previsto en el artículo 19 del Decreto 1510 de 2013, o el que lo modifique, sustituya o adicione. </w:t>
      </w:r>
    </w:p>
    <w:p w14:paraId="40E1085C" w14:textId="77777777" w:rsidR="00745FFE" w:rsidRPr="00204FA0" w:rsidRDefault="00745FFE" w:rsidP="00745FFE">
      <w:pPr>
        <w:spacing w:after="0" w:line="240" w:lineRule="auto"/>
        <w:jc w:val="both"/>
        <w:rPr>
          <w:rFonts w:ascii="Verdana" w:hAnsi="Verdana" w:cs="Arial"/>
          <w:sz w:val="14"/>
          <w:szCs w:val="14"/>
        </w:rPr>
      </w:pPr>
      <w:r w:rsidRPr="00204FA0">
        <w:rPr>
          <w:rFonts w:ascii="Verdana" w:hAnsi="Verdana" w:cs="Arial"/>
          <w:color w:val="000000"/>
          <w:sz w:val="14"/>
          <w:szCs w:val="14"/>
          <w:lang w:eastAsia="es-CO"/>
        </w:rPr>
        <w:t>  </w:t>
      </w:r>
      <w:r w:rsidRPr="00204FA0">
        <w:rPr>
          <w:rFonts w:ascii="Verdana" w:hAnsi="Verdana" w:cs="Arial"/>
          <w:color w:val="000000"/>
          <w:sz w:val="14"/>
          <w:szCs w:val="14"/>
          <w:lang w:eastAsia="es-CO"/>
        </w:rPr>
        <w:tab/>
        <w:t>-Los sujetos obligados que contratan con recursos públicos y recursos privados, deben publicar la información de su gestión contractual con cargo a recursos públicos en el Sistema Electrónico para la Contratación Pública (SECOP)</w:t>
      </w:r>
      <w:r w:rsidRPr="00204FA0">
        <w:rPr>
          <w:rFonts w:ascii="Verdana" w:hAnsi="Verdana" w:cs="Arial"/>
          <w:sz w:val="14"/>
          <w:szCs w:val="14"/>
        </w:rPr>
        <w:t>».</w:t>
      </w:r>
    </w:p>
  </w:footnote>
  <w:footnote w:id="17">
    <w:p w14:paraId="75E3D7C3" w14:textId="77777777" w:rsidR="00B33BB1" w:rsidRDefault="00B33BB1" w:rsidP="00B33BB1">
      <w:pPr>
        <w:pStyle w:val="Textonotapie"/>
        <w:ind w:right="49" w:firstLine="709"/>
        <w:jc w:val="both"/>
        <w:rPr>
          <w:rFonts w:ascii="Verdana" w:hAnsi="Verdana" w:cs="Arial"/>
          <w:color w:val="000000"/>
          <w:sz w:val="14"/>
          <w:szCs w:val="14"/>
        </w:rPr>
      </w:pPr>
    </w:p>
    <w:p w14:paraId="140A7BD4" w14:textId="54C3C831" w:rsidR="00745FFE" w:rsidRPr="00204FA0" w:rsidRDefault="00745FFE" w:rsidP="00745FFE">
      <w:pPr>
        <w:pStyle w:val="Textonotapie"/>
        <w:ind w:right="49" w:firstLine="709"/>
        <w:jc w:val="both"/>
        <w:rPr>
          <w:rFonts w:ascii="Verdana" w:hAnsi="Verdana" w:cs="Arial"/>
          <w:color w:val="000000"/>
          <w:sz w:val="14"/>
          <w:szCs w:val="14"/>
        </w:rPr>
      </w:pPr>
      <w:r w:rsidRPr="00204FA0">
        <w:rPr>
          <w:rStyle w:val="Refdenotaalpie"/>
          <w:rFonts w:ascii="Verdana" w:hAnsi="Verdana" w:cs="Arial"/>
          <w:color w:val="000000"/>
          <w:sz w:val="14"/>
          <w:szCs w:val="14"/>
        </w:rPr>
        <w:footnoteRef/>
      </w:r>
      <w:r w:rsidRPr="00204FA0">
        <w:rPr>
          <w:rFonts w:ascii="Verdana" w:hAnsi="Verdana" w:cs="Arial"/>
          <w:color w:val="000000"/>
          <w:sz w:val="14"/>
          <w:szCs w:val="14"/>
        </w:rPr>
        <w:t xml:space="preserve"> Decreto 1081 de 2015: “Artículo 2.1.1.2.1.8. Publicación de la ejecución de contratos. Para efectos del cumplimiento de la obligación contenida en el literal g) del artículo 11 de la Ley 1712 de 2014, relativa a la información sobre la ejecución de contratos, el sujeto obligado debe publicar las aprobaciones, autorizaciones, requerimientos o informes del supervisor o del interventor, que prueben la ejecución del contrato”.</w:t>
      </w:r>
    </w:p>
    <w:p w14:paraId="713D35A6" w14:textId="77777777" w:rsidR="00745FFE" w:rsidRPr="00D23A99" w:rsidRDefault="00745FFE" w:rsidP="00745FFE">
      <w:pPr>
        <w:pStyle w:val="Textonotapie"/>
        <w:ind w:right="49" w:firstLine="709"/>
        <w:jc w:val="both"/>
        <w:rPr>
          <w:rFonts w:ascii="Verdana" w:hAnsi="Verdana" w:cs="Arial"/>
          <w:color w:val="000000"/>
          <w:sz w:val="14"/>
          <w:szCs w:val="14"/>
        </w:rPr>
      </w:pPr>
    </w:p>
  </w:footnote>
  <w:footnote w:id="18">
    <w:p w14:paraId="54402600" w14:textId="77777777" w:rsidR="00745FFE" w:rsidRDefault="00745FFE" w:rsidP="00745FFE">
      <w:pPr>
        <w:pStyle w:val="Textonotapie"/>
        <w:ind w:firstLine="708"/>
        <w:jc w:val="both"/>
        <w:rPr>
          <w:rFonts w:ascii="Verdana" w:hAnsi="Verdana" w:cs="Arial"/>
          <w:sz w:val="14"/>
          <w:szCs w:val="14"/>
        </w:rPr>
      </w:pPr>
      <w:r w:rsidRPr="00204FA0">
        <w:rPr>
          <w:rStyle w:val="Refdenotaalpie"/>
          <w:rFonts w:ascii="Verdana" w:hAnsi="Verdana" w:cs="Arial"/>
          <w:sz w:val="14"/>
          <w:szCs w:val="14"/>
        </w:rPr>
        <w:footnoteRef/>
      </w:r>
      <w:r w:rsidRPr="00204FA0">
        <w:rPr>
          <w:rFonts w:ascii="Verdana" w:hAnsi="Verdana" w:cs="Arial"/>
          <w:sz w:val="14"/>
          <w:szCs w:val="14"/>
        </w:rPr>
        <w:t xml:space="preserve">  Ley 1712 de 2014 “Artículo 2°. Principio de máxima publicidad para titular universal. Toda información en posesión, bajo control o custodia de un sujeto obligado es pública y no podrá ser reservada o limitada sino por disposición constitucional o legal, de conformidad con la presente ley”.</w:t>
      </w:r>
    </w:p>
    <w:p w14:paraId="3BFEC237" w14:textId="77777777" w:rsidR="00745FFE" w:rsidRPr="00204FA0" w:rsidRDefault="00745FFE" w:rsidP="00745FFE">
      <w:pPr>
        <w:pStyle w:val="Textonotapie"/>
        <w:ind w:firstLine="708"/>
        <w:jc w:val="both"/>
        <w:rPr>
          <w:rFonts w:ascii="Verdana" w:hAnsi="Verdana" w:cs="Arial"/>
          <w:sz w:val="14"/>
          <w:szCs w:val="14"/>
          <w:lang w:val="es-CO"/>
        </w:rPr>
      </w:pPr>
    </w:p>
  </w:footnote>
  <w:footnote w:id="19">
    <w:p w14:paraId="376D8741" w14:textId="77777777" w:rsidR="00745FFE" w:rsidRPr="00204FA0" w:rsidRDefault="00745FFE" w:rsidP="00745FFE">
      <w:pPr>
        <w:pStyle w:val="NormalWeb"/>
        <w:spacing w:before="0" w:beforeAutospacing="0" w:after="0" w:afterAutospacing="0"/>
        <w:ind w:firstLine="708"/>
        <w:jc w:val="both"/>
        <w:rPr>
          <w:rFonts w:ascii="Verdana" w:hAnsi="Verdana" w:cs="Arial"/>
          <w:color w:val="000000"/>
          <w:sz w:val="14"/>
          <w:szCs w:val="14"/>
        </w:rPr>
      </w:pPr>
      <w:r w:rsidRPr="00204FA0">
        <w:rPr>
          <w:rStyle w:val="Refdenotaalpie"/>
          <w:rFonts w:ascii="Verdana" w:eastAsiaTheme="majorEastAsia" w:hAnsi="Verdana" w:cs="Arial"/>
          <w:sz w:val="14"/>
          <w:szCs w:val="14"/>
        </w:rPr>
        <w:footnoteRef/>
      </w:r>
      <w:r w:rsidRPr="00204FA0">
        <w:rPr>
          <w:rFonts w:ascii="Verdana" w:hAnsi="Verdana" w:cs="Arial"/>
          <w:sz w:val="14"/>
          <w:szCs w:val="14"/>
        </w:rPr>
        <w:t xml:space="preserve">  Ley 1712 de 2014 “</w:t>
      </w:r>
      <w:r w:rsidRPr="00204FA0">
        <w:rPr>
          <w:rFonts w:ascii="Verdana" w:hAnsi="Verdana" w:cs="Arial"/>
          <w:color w:val="000000"/>
          <w:sz w:val="14"/>
          <w:szCs w:val="14"/>
        </w:rPr>
        <w:t>Artículo 3°. Otros principios de la transparencia y acceso a la información pública. En la interpretación del derecho de acceso a la información se deberá adoptar un criterio de razonabilidad y proporcionalidad, así como aplicar los siguientes principios: </w:t>
      </w:r>
    </w:p>
    <w:p w14:paraId="7FEAA931" w14:textId="77777777" w:rsidR="00745FFE" w:rsidRPr="00204FA0" w:rsidRDefault="00745FFE" w:rsidP="00745FFE">
      <w:pPr>
        <w:spacing w:after="0" w:line="240" w:lineRule="auto"/>
        <w:jc w:val="both"/>
        <w:rPr>
          <w:rFonts w:ascii="Verdana" w:hAnsi="Verdana" w:cs="Arial"/>
          <w:color w:val="000000"/>
          <w:sz w:val="14"/>
          <w:szCs w:val="14"/>
          <w:lang w:eastAsia="es-CO"/>
        </w:rPr>
      </w:pPr>
      <w:r w:rsidRPr="00204FA0">
        <w:rPr>
          <w:rFonts w:ascii="Verdana" w:hAnsi="Verdana" w:cs="Arial"/>
          <w:color w:val="000000"/>
          <w:sz w:val="14"/>
          <w:szCs w:val="14"/>
          <w:lang w:eastAsia="es-CO"/>
        </w:rPr>
        <w:t> </w:t>
      </w:r>
      <w:r w:rsidRPr="00204FA0">
        <w:rPr>
          <w:rFonts w:ascii="Verdana" w:hAnsi="Verdana" w:cs="Arial"/>
          <w:color w:val="000000"/>
          <w:sz w:val="14"/>
          <w:szCs w:val="14"/>
          <w:lang w:eastAsia="es-CO"/>
        </w:rPr>
        <w:tab/>
        <w:t>-Principio de transparencia. Principio conforme al cual toda la información en poder de los sujetos obligados definidos en esta ley se presume pública, en consecuencia de lo cual dichos sujetos están en el deber de proporcionar y facilitar el acceso a la misma en los términos más amplios posibles y a través de los medios y procedimientos que al efecto establezca la ley, excluyendo solo aquello que esté sujeto a las excepciones constitucionales y legales y bajo el cumplimiento de los requisitos establecidos en esta ley. </w:t>
      </w:r>
    </w:p>
    <w:p w14:paraId="6869C22C" w14:textId="77777777" w:rsidR="00745FFE" w:rsidRPr="00204FA0" w:rsidRDefault="00745FFE" w:rsidP="00745FFE">
      <w:pPr>
        <w:spacing w:after="0" w:line="240" w:lineRule="auto"/>
        <w:jc w:val="both"/>
        <w:rPr>
          <w:rFonts w:ascii="Verdana" w:hAnsi="Verdana" w:cs="Arial"/>
          <w:color w:val="000000"/>
          <w:sz w:val="14"/>
          <w:szCs w:val="14"/>
          <w:lang w:eastAsia="es-CO"/>
        </w:rPr>
      </w:pPr>
      <w:r w:rsidRPr="00204FA0">
        <w:rPr>
          <w:rFonts w:ascii="Verdana" w:hAnsi="Verdana" w:cs="Arial"/>
          <w:color w:val="000000"/>
          <w:sz w:val="14"/>
          <w:szCs w:val="14"/>
          <w:lang w:eastAsia="es-CO"/>
        </w:rPr>
        <w:t>  </w:t>
      </w:r>
      <w:r w:rsidRPr="00204FA0">
        <w:rPr>
          <w:rFonts w:ascii="Verdana" w:hAnsi="Verdana" w:cs="Arial"/>
          <w:color w:val="000000"/>
          <w:sz w:val="14"/>
          <w:szCs w:val="14"/>
          <w:lang w:eastAsia="es-CO"/>
        </w:rPr>
        <w:tab/>
        <w:t>[…] </w:t>
      </w:r>
    </w:p>
    <w:p w14:paraId="3C4AF81D" w14:textId="77777777" w:rsidR="00745FFE" w:rsidRPr="00204FA0" w:rsidRDefault="00745FFE" w:rsidP="00745FFE">
      <w:pPr>
        <w:spacing w:after="0" w:line="240" w:lineRule="auto"/>
        <w:jc w:val="both"/>
        <w:rPr>
          <w:rFonts w:ascii="Verdana" w:hAnsi="Verdana" w:cs="Arial"/>
          <w:color w:val="000000"/>
          <w:sz w:val="14"/>
          <w:szCs w:val="14"/>
          <w:lang w:eastAsia="es-CO"/>
        </w:rPr>
      </w:pPr>
      <w:r w:rsidRPr="00204FA0">
        <w:rPr>
          <w:rFonts w:ascii="Verdana" w:hAnsi="Verdana" w:cs="Arial"/>
          <w:color w:val="000000"/>
          <w:sz w:val="14"/>
          <w:szCs w:val="14"/>
          <w:lang w:eastAsia="es-CO"/>
        </w:rPr>
        <w:t>  </w:t>
      </w:r>
      <w:r w:rsidRPr="00204FA0">
        <w:rPr>
          <w:rFonts w:ascii="Verdana" w:hAnsi="Verdana" w:cs="Arial"/>
          <w:color w:val="000000"/>
          <w:sz w:val="14"/>
          <w:szCs w:val="14"/>
          <w:lang w:eastAsia="es-CO"/>
        </w:rPr>
        <w:tab/>
        <w:t>-Principio de facilitación. En virtud de este principio los sujetos obligados deberán facilitar el ejercicio del derecho de acceso a la información pública, excluyendo exigencias o requisitos que puedan obstruirlo o impedirlo. </w:t>
      </w:r>
    </w:p>
    <w:p w14:paraId="231D3A1E" w14:textId="77777777" w:rsidR="00745FFE" w:rsidRPr="00204FA0" w:rsidRDefault="00745FFE" w:rsidP="00745FFE">
      <w:pPr>
        <w:spacing w:after="0" w:line="240" w:lineRule="auto"/>
        <w:jc w:val="both"/>
        <w:rPr>
          <w:rFonts w:ascii="Verdana" w:hAnsi="Verdana" w:cs="Arial"/>
          <w:color w:val="000000"/>
          <w:sz w:val="14"/>
          <w:szCs w:val="14"/>
          <w:lang w:eastAsia="es-CO"/>
        </w:rPr>
      </w:pPr>
      <w:r w:rsidRPr="00204FA0">
        <w:rPr>
          <w:rFonts w:ascii="Verdana" w:hAnsi="Verdana" w:cs="Arial"/>
          <w:color w:val="000000"/>
          <w:sz w:val="14"/>
          <w:szCs w:val="14"/>
          <w:lang w:eastAsia="es-CO"/>
        </w:rPr>
        <w:t>  </w:t>
      </w:r>
      <w:r w:rsidRPr="00204FA0">
        <w:rPr>
          <w:rFonts w:ascii="Verdana" w:hAnsi="Verdana" w:cs="Arial"/>
          <w:color w:val="000000"/>
          <w:sz w:val="14"/>
          <w:szCs w:val="14"/>
          <w:lang w:eastAsia="es-CO"/>
        </w:rPr>
        <w:tab/>
        <w:t>[…]</w:t>
      </w:r>
    </w:p>
    <w:p w14:paraId="334B529D" w14:textId="77777777" w:rsidR="00745FFE" w:rsidRPr="00204FA0" w:rsidRDefault="00745FFE" w:rsidP="00745FFE">
      <w:pPr>
        <w:spacing w:after="0" w:line="240" w:lineRule="auto"/>
        <w:jc w:val="both"/>
        <w:rPr>
          <w:rFonts w:ascii="Verdana" w:hAnsi="Verdana" w:cs="Arial"/>
          <w:color w:val="000000"/>
          <w:sz w:val="14"/>
          <w:szCs w:val="14"/>
          <w:lang w:eastAsia="es-CO"/>
        </w:rPr>
      </w:pPr>
      <w:r w:rsidRPr="613A5EC2">
        <w:rPr>
          <w:rFonts w:ascii="Verdana" w:hAnsi="Verdana" w:cs="Arial"/>
          <w:color w:val="000000" w:themeColor="text1"/>
          <w:sz w:val="14"/>
          <w:szCs w:val="14"/>
          <w:lang w:eastAsia="es-CO"/>
        </w:rPr>
        <w:t>  </w:t>
      </w:r>
      <w:r>
        <w:tab/>
      </w:r>
      <w:r w:rsidRPr="613A5EC2">
        <w:rPr>
          <w:rFonts w:ascii="Verdana" w:hAnsi="Verdana" w:cs="Arial"/>
          <w:color w:val="000000" w:themeColor="text1"/>
          <w:sz w:val="14"/>
          <w:szCs w:val="14"/>
          <w:lang w:eastAsia="es-CO"/>
        </w:rPr>
        <w:t>-Principio de la divulgación proactiva de la información. El derecho de acceso a la información no radica únicamente en la obligación de dar respuesta a las peticiones de la sociedad, sino también en el deber de los sujetos obligados de promover y generar una cultura de transparencia, lo que conlleva la obligación de publicar y divulgar documentos y archivos que plasman la actividad estatal y de interés público, de forma rutinaria y proactiva, actualizada, accesible y comprensible, atendiendo a límites razonables del talento humano y recursos físicos y financieros […]”.</w:t>
      </w:r>
    </w:p>
    <w:p w14:paraId="6BAD0FF9" w14:textId="77777777" w:rsidR="00745FFE" w:rsidRPr="00D23A99" w:rsidRDefault="00745FFE" w:rsidP="00745FFE">
      <w:pPr>
        <w:pStyle w:val="Textonotapie"/>
        <w:rPr>
          <w:rFonts w:ascii="Verdana" w:hAnsi="Verdana" w:cs="Arial"/>
          <w:sz w:val="14"/>
          <w:szCs w:val="14"/>
          <w:lang w:val="es-CO"/>
        </w:rPr>
      </w:pPr>
    </w:p>
  </w:footnote>
  <w:footnote w:id="20">
    <w:p w14:paraId="694AB379" w14:textId="77777777" w:rsidR="00745FFE" w:rsidRPr="002329B8" w:rsidRDefault="00745FFE" w:rsidP="00745FFE">
      <w:pPr>
        <w:pStyle w:val="Textonotapie"/>
        <w:ind w:firstLine="709"/>
        <w:jc w:val="both"/>
        <w:rPr>
          <w:rFonts w:ascii="Verdana" w:hAnsi="Verdana"/>
          <w:sz w:val="14"/>
          <w:szCs w:val="14"/>
          <w:lang w:val="es-ES"/>
        </w:rPr>
      </w:pPr>
      <w:r w:rsidRPr="002329B8">
        <w:rPr>
          <w:rStyle w:val="Refdenotaalpie"/>
          <w:rFonts w:ascii="Verdana" w:hAnsi="Verdana"/>
          <w:sz w:val="14"/>
          <w:szCs w:val="14"/>
        </w:rPr>
        <w:footnoteRef/>
      </w:r>
      <w:r w:rsidRPr="002329B8">
        <w:rPr>
          <w:rFonts w:ascii="Verdana" w:hAnsi="Verdana"/>
          <w:sz w:val="14"/>
          <w:szCs w:val="14"/>
        </w:rPr>
        <w:t xml:space="preserve"> </w:t>
      </w:r>
      <w:r w:rsidRPr="002329B8">
        <w:rPr>
          <w:rFonts w:ascii="Verdana" w:hAnsi="Verdana"/>
          <w:sz w:val="14"/>
          <w:szCs w:val="14"/>
          <w:lang w:val="es-ES"/>
        </w:rPr>
        <w:t xml:space="preserve">En </w:t>
      </w:r>
      <w:hyperlink r:id="rId1" w:history="1">
        <w:r w:rsidRPr="002329B8">
          <w:rPr>
            <w:rStyle w:val="Hipervnculo"/>
            <w:rFonts w:ascii="Verdana" w:hAnsi="Verdana"/>
            <w:sz w:val="14"/>
            <w:szCs w:val="14"/>
            <w:lang w:val="es-CO"/>
          </w:rPr>
          <w:t>circular_externa_unica_version_3_vf49.pdf</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pPr>
      <w:pStyle w:val="Encabezad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3079FC11" w14:textId="77777777" w:rsidR="00DC39FC" w:rsidRDefault="00DC39FC" w:rsidP="004A305D">
    <w:pPr>
      <w:spacing w:after="0"/>
      <w:rPr>
        <w:rFonts w:ascii="Verdana" w:hAnsi="Verdana"/>
        <w:b/>
        <w:bCs/>
      </w:rPr>
    </w:pPr>
  </w:p>
  <w:p w14:paraId="7FE1230C" w14:textId="77E53D9F" w:rsidR="004A305D" w:rsidRPr="00DC39FC" w:rsidRDefault="004A305D" w:rsidP="004A305D">
    <w:pPr>
      <w:spacing w:after="0"/>
      <w:rPr>
        <w:rFonts w:ascii="Verdana" w:hAnsi="Verdana"/>
        <w:b/>
        <w:bCs/>
      </w:rPr>
    </w:pPr>
    <w:r w:rsidRPr="00DC39FC">
      <w:rPr>
        <w:rFonts w:ascii="Verdana" w:hAnsi="Verdana"/>
        <w:b/>
        <w:bCs/>
      </w:rPr>
      <w:t>FORMATO PQRSD</w:t>
    </w: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1FD1C243" w14:textId="6D74A3CF" w:rsidR="008A446D" w:rsidRDefault="008A446D"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63" type="#_x0000_t75" style="width:11.5pt;height:11.5pt" o:bullet="t">
        <v:imagedata r:id="rId1" o:title="mso1B13"/>
      </v:shape>
    </w:pict>
  </w:numPicBullet>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45A8054B"/>
    <w:multiLevelType w:val="hybridMultilevel"/>
    <w:tmpl w:val="80104DC6"/>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0" w15:restartNumberingAfterBreak="0">
    <w:nsid w:val="636C03B0"/>
    <w:multiLevelType w:val="hybridMultilevel"/>
    <w:tmpl w:val="87183FAA"/>
    <w:lvl w:ilvl="0" w:tplc="240A0007">
      <w:start w:val="1"/>
      <w:numFmt w:val="bullet"/>
      <w:lvlText w:val=""/>
      <w:lvlPicBulletId w:val="0"/>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1"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6"/>
  </w:num>
  <w:num w:numId="2" w16cid:durableId="19822139">
    <w:abstractNumId w:val="2"/>
  </w:num>
  <w:num w:numId="3" w16cid:durableId="876742304">
    <w:abstractNumId w:val="4"/>
  </w:num>
  <w:num w:numId="4" w16cid:durableId="24518640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3"/>
  </w:num>
  <w:num w:numId="7" w16cid:durableId="1946422806">
    <w:abstractNumId w:val="5"/>
  </w:num>
  <w:num w:numId="8" w16cid:durableId="152644682">
    <w:abstractNumId w:val="12"/>
  </w:num>
  <w:num w:numId="9" w16cid:durableId="1317221377">
    <w:abstractNumId w:val="7"/>
  </w:num>
  <w:num w:numId="10" w16cid:durableId="1471245386">
    <w:abstractNumId w:val="11"/>
  </w:num>
  <w:num w:numId="11" w16cid:durableId="289172385">
    <w:abstractNumId w:val="8"/>
  </w:num>
  <w:num w:numId="12" w16cid:durableId="1470781324">
    <w:abstractNumId w:val="1"/>
  </w:num>
  <w:num w:numId="13" w16cid:durableId="1512908409">
    <w:abstractNumId w:val="3"/>
  </w:num>
  <w:num w:numId="14" w16cid:durableId="895897244">
    <w:abstractNumId w:val="14"/>
  </w:num>
  <w:num w:numId="15" w16cid:durableId="390349800">
    <w:abstractNumId w:val="10"/>
  </w:num>
  <w:num w:numId="16" w16cid:durableId="341274352">
    <w:abstractNumId w:val="0"/>
  </w:num>
  <w:num w:numId="17" w16cid:durableId="174629657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55DB"/>
    <w:rsid w:val="00016F78"/>
    <w:rsid w:val="00046945"/>
    <w:rsid w:val="00046CEE"/>
    <w:rsid w:val="00061B2A"/>
    <w:rsid w:val="00082362"/>
    <w:rsid w:val="0009387C"/>
    <w:rsid w:val="000A45EA"/>
    <w:rsid w:val="000A683E"/>
    <w:rsid w:val="000B19B9"/>
    <w:rsid w:val="000C21A8"/>
    <w:rsid w:val="000C6949"/>
    <w:rsid w:val="000D0334"/>
    <w:rsid w:val="000F6486"/>
    <w:rsid w:val="00110468"/>
    <w:rsid w:val="001154D0"/>
    <w:rsid w:val="00125105"/>
    <w:rsid w:val="00127233"/>
    <w:rsid w:val="00147B89"/>
    <w:rsid w:val="001511A0"/>
    <w:rsid w:val="0018128D"/>
    <w:rsid w:val="001924A2"/>
    <w:rsid w:val="001A46EC"/>
    <w:rsid w:val="001E4177"/>
    <w:rsid w:val="001F767D"/>
    <w:rsid w:val="001F7DC6"/>
    <w:rsid w:val="002421BB"/>
    <w:rsid w:val="0025796E"/>
    <w:rsid w:val="002707A2"/>
    <w:rsid w:val="0027779A"/>
    <w:rsid w:val="00292A62"/>
    <w:rsid w:val="002951A0"/>
    <w:rsid w:val="002962BC"/>
    <w:rsid w:val="002A093D"/>
    <w:rsid w:val="002A0DD0"/>
    <w:rsid w:val="002A3BAB"/>
    <w:rsid w:val="002A49AC"/>
    <w:rsid w:val="002A64FD"/>
    <w:rsid w:val="002C7A84"/>
    <w:rsid w:val="002E0C5A"/>
    <w:rsid w:val="002E4FD9"/>
    <w:rsid w:val="003108C8"/>
    <w:rsid w:val="00322A85"/>
    <w:rsid w:val="00324168"/>
    <w:rsid w:val="003448F4"/>
    <w:rsid w:val="00346954"/>
    <w:rsid w:val="00374F5E"/>
    <w:rsid w:val="00377E3E"/>
    <w:rsid w:val="003965D7"/>
    <w:rsid w:val="003A779E"/>
    <w:rsid w:val="003B1DE8"/>
    <w:rsid w:val="003D0F4D"/>
    <w:rsid w:val="003D5088"/>
    <w:rsid w:val="003D5B0D"/>
    <w:rsid w:val="003E0499"/>
    <w:rsid w:val="003F061C"/>
    <w:rsid w:val="003F3941"/>
    <w:rsid w:val="00406575"/>
    <w:rsid w:val="00412DF3"/>
    <w:rsid w:val="00414C74"/>
    <w:rsid w:val="00415C4B"/>
    <w:rsid w:val="00425BCA"/>
    <w:rsid w:val="0042722E"/>
    <w:rsid w:val="0044528D"/>
    <w:rsid w:val="00462786"/>
    <w:rsid w:val="00477DC8"/>
    <w:rsid w:val="00480375"/>
    <w:rsid w:val="004910F3"/>
    <w:rsid w:val="004A1847"/>
    <w:rsid w:val="004A305D"/>
    <w:rsid w:val="004F21C4"/>
    <w:rsid w:val="004F685F"/>
    <w:rsid w:val="00533168"/>
    <w:rsid w:val="0055619C"/>
    <w:rsid w:val="005566E8"/>
    <w:rsid w:val="00574867"/>
    <w:rsid w:val="00591460"/>
    <w:rsid w:val="005A7A17"/>
    <w:rsid w:val="005B3816"/>
    <w:rsid w:val="005B4115"/>
    <w:rsid w:val="005C3777"/>
    <w:rsid w:val="005C5CDC"/>
    <w:rsid w:val="005D476C"/>
    <w:rsid w:val="00610656"/>
    <w:rsid w:val="006219F8"/>
    <w:rsid w:val="00627E0C"/>
    <w:rsid w:val="006302FD"/>
    <w:rsid w:val="00665D70"/>
    <w:rsid w:val="006900D9"/>
    <w:rsid w:val="006C0561"/>
    <w:rsid w:val="006C5A89"/>
    <w:rsid w:val="00706C16"/>
    <w:rsid w:val="00745FFE"/>
    <w:rsid w:val="00753B76"/>
    <w:rsid w:val="00754C5B"/>
    <w:rsid w:val="00756841"/>
    <w:rsid w:val="007649AB"/>
    <w:rsid w:val="00771D0C"/>
    <w:rsid w:val="007807B4"/>
    <w:rsid w:val="007833AC"/>
    <w:rsid w:val="007B268C"/>
    <w:rsid w:val="007B7171"/>
    <w:rsid w:val="007C0C0F"/>
    <w:rsid w:val="007C3DC2"/>
    <w:rsid w:val="007E5497"/>
    <w:rsid w:val="00801462"/>
    <w:rsid w:val="00806F5F"/>
    <w:rsid w:val="00820278"/>
    <w:rsid w:val="00830BAE"/>
    <w:rsid w:val="00860FD2"/>
    <w:rsid w:val="0086269A"/>
    <w:rsid w:val="00867F95"/>
    <w:rsid w:val="008843B6"/>
    <w:rsid w:val="00891928"/>
    <w:rsid w:val="00894A02"/>
    <w:rsid w:val="008A446D"/>
    <w:rsid w:val="008D180B"/>
    <w:rsid w:val="008F0EA7"/>
    <w:rsid w:val="00923EEF"/>
    <w:rsid w:val="009419F9"/>
    <w:rsid w:val="0095685E"/>
    <w:rsid w:val="00961B09"/>
    <w:rsid w:val="00963F78"/>
    <w:rsid w:val="00965334"/>
    <w:rsid w:val="0097093E"/>
    <w:rsid w:val="0098348A"/>
    <w:rsid w:val="00986AC5"/>
    <w:rsid w:val="0099399C"/>
    <w:rsid w:val="009A0DFA"/>
    <w:rsid w:val="009B2D26"/>
    <w:rsid w:val="009C71FA"/>
    <w:rsid w:val="009C72E7"/>
    <w:rsid w:val="009D3058"/>
    <w:rsid w:val="009F3A13"/>
    <w:rsid w:val="00A122D3"/>
    <w:rsid w:val="00A17F13"/>
    <w:rsid w:val="00A20739"/>
    <w:rsid w:val="00A33C78"/>
    <w:rsid w:val="00A433A1"/>
    <w:rsid w:val="00A475E8"/>
    <w:rsid w:val="00A660E7"/>
    <w:rsid w:val="00A817E5"/>
    <w:rsid w:val="00A90AC8"/>
    <w:rsid w:val="00AB0ADB"/>
    <w:rsid w:val="00AC683D"/>
    <w:rsid w:val="00AE2044"/>
    <w:rsid w:val="00B01B1A"/>
    <w:rsid w:val="00B33BB1"/>
    <w:rsid w:val="00B53DDF"/>
    <w:rsid w:val="00B66319"/>
    <w:rsid w:val="00B72CD3"/>
    <w:rsid w:val="00B72FFF"/>
    <w:rsid w:val="00B831C3"/>
    <w:rsid w:val="00B87CFA"/>
    <w:rsid w:val="00B9586E"/>
    <w:rsid w:val="00B95E03"/>
    <w:rsid w:val="00BA0141"/>
    <w:rsid w:val="00BC3D36"/>
    <w:rsid w:val="00BD7F72"/>
    <w:rsid w:val="00BE423F"/>
    <w:rsid w:val="00C04FB3"/>
    <w:rsid w:val="00C323B9"/>
    <w:rsid w:val="00C330EB"/>
    <w:rsid w:val="00C40EB6"/>
    <w:rsid w:val="00C41061"/>
    <w:rsid w:val="00C754BE"/>
    <w:rsid w:val="00C76B1C"/>
    <w:rsid w:val="00CB6357"/>
    <w:rsid w:val="00CC1B26"/>
    <w:rsid w:val="00D077E0"/>
    <w:rsid w:val="00D23A99"/>
    <w:rsid w:val="00D423A2"/>
    <w:rsid w:val="00D520D8"/>
    <w:rsid w:val="00D63AC2"/>
    <w:rsid w:val="00D7383B"/>
    <w:rsid w:val="00DA231B"/>
    <w:rsid w:val="00DC39FC"/>
    <w:rsid w:val="00DE5A72"/>
    <w:rsid w:val="00DF5254"/>
    <w:rsid w:val="00E16408"/>
    <w:rsid w:val="00E20894"/>
    <w:rsid w:val="00E245AB"/>
    <w:rsid w:val="00E2764C"/>
    <w:rsid w:val="00E27F2E"/>
    <w:rsid w:val="00E33551"/>
    <w:rsid w:val="00E40ABB"/>
    <w:rsid w:val="00E50AFE"/>
    <w:rsid w:val="00E75C92"/>
    <w:rsid w:val="00E771DC"/>
    <w:rsid w:val="00E84E35"/>
    <w:rsid w:val="00E8772A"/>
    <w:rsid w:val="00E90F6B"/>
    <w:rsid w:val="00E92C27"/>
    <w:rsid w:val="00E93F04"/>
    <w:rsid w:val="00EA0E3D"/>
    <w:rsid w:val="00EC16EF"/>
    <w:rsid w:val="00EC38A7"/>
    <w:rsid w:val="00ED10AD"/>
    <w:rsid w:val="00ED7384"/>
    <w:rsid w:val="00EE1AA8"/>
    <w:rsid w:val="00EF34C6"/>
    <w:rsid w:val="00F03522"/>
    <w:rsid w:val="00F1266F"/>
    <w:rsid w:val="00F31EDC"/>
    <w:rsid w:val="00F343C3"/>
    <w:rsid w:val="00F365C7"/>
    <w:rsid w:val="00F462B3"/>
    <w:rsid w:val="00F5664F"/>
    <w:rsid w:val="00F666C4"/>
    <w:rsid w:val="00F76AFC"/>
    <w:rsid w:val="00F84B2E"/>
    <w:rsid w:val="00FA47C0"/>
    <w:rsid w:val="00FB5DD1"/>
    <w:rsid w:val="00FC2B5D"/>
    <w:rsid w:val="00FF0006"/>
    <w:rsid w:val="00FF1449"/>
    <w:rsid w:val="03F0988A"/>
    <w:rsid w:val="165E9519"/>
    <w:rsid w:val="18232098"/>
    <w:rsid w:val="26D6DCE5"/>
    <w:rsid w:val="280AF281"/>
    <w:rsid w:val="2AD347EA"/>
    <w:rsid w:val="3234FEF3"/>
    <w:rsid w:val="382536D9"/>
    <w:rsid w:val="42BC8C69"/>
    <w:rsid w:val="436E8395"/>
    <w:rsid w:val="45F516D2"/>
    <w:rsid w:val="4FBC1FC1"/>
    <w:rsid w:val="57E777E3"/>
    <w:rsid w:val="5E910BB6"/>
    <w:rsid w:val="613A5EC2"/>
    <w:rsid w:val="6EFDAB80"/>
    <w:rsid w:val="7A0A835C"/>
    <w:rsid w:val="7B6AA7A6"/>
    <w:rsid w:val="7C183931"/>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Foot,List Paragraph"/>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link w:val="NormalWebCar"/>
    <w:uiPriority w:val="99"/>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745FFE"/>
    <w:pPr>
      <w:spacing w:line="240" w:lineRule="exact"/>
    </w:pPr>
    <w:rPr>
      <w:vertAlign w:val="superscript"/>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45FFE"/>
    <w:rPr>
      <w:rFonts w:ascii="Geomanist Light" w:hAnsi="Geomanist Light"/>
      <w:lang w:val="es-ES"/>
    </w:rPr>
  </w:style>
  <w:style w:type="paragraph" w:styleId="Textoindependiente">
    <w:name w:val="Body Text"/>
    <w:basedOn w:val="Normal"/>
    <w:link w:val="TextoindependienteCar"/>
    <w:uiPriority w:val="1"/>
    <w:unhideWhenUsed/>
    <w:qFormat/>
    <w:rsid w:val="00745FFE"/>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extoindependienteCar">
    <w:name w:val="Texto independiente Car"/>
    <w:basedOn w:val="Fuentedeprrafopredeter"/>
    <w:link w:val="Textoindependiente"/>
    <w:uiPriority w:val="1"/>
    <w:rsid w:val="00745FFE"/>
    <w:rPr>
      <w:rFonts w:ascii="Times New Roman" w:eastAsia="Times New Roman" w:hAnsi="Times New Roman" w:cs="Times New Roman"/>
      <w:sz w:val="24"/>
      <w:szCs w:val="24"/>
      <w:lang w:eastAsia="es-CO"/>
    </w:rPr>
  </w:style>
  <w:style w:type="character" w:customStyle="1" w:styleId="NormalWebCar">
    <w:name w:val="Normal (Web) Car"/>
    <w:link w:val="NormalWeb"/>
    <w:uiPriority w:val="99"/>
    <w:locked/>
    <w:rsid w:val="00745FFE"/>
    <w:rPr>
      <w:rFonts w:ascii="Times New Roman" w:eastAsia="Times New Roman" w:hAnsi="Times New Roman" w:cs="Times New Roman"/>
      <w:sz w:val="24"/>
      <w:szCs w:val="24"/>
      <w:lang w:eastAsia="es-CO"/>
    </w:rPr>
  </w:style>
  <w:style w:type="character" w:customStyle="1" w:styleId="baj">
    <w:name w:val="b_aj"/>
    <w:basedOn w:val="Fuentedeprrafopredeter"/>
    <w:rsid w:val="00610656"/>
  </w:style>
  <w:style w:type="character" w:styleId="nfasis">
    <w:name w:val="Emphasis"/>
    <w:basedOn w:val="Fuentedeprrafopredeter"/>
    <w:uiPriority w:val="20"/>
    <w:qFormat/>
    <w:rsid w:val="00610656"/>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grupoadmondocumentos@sena.edu.co" TargetMode="External"/><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3.png"/><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4.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5" Type="http://schemas.openxmlformats.org/officeDocument/2006/relationships/numbering" Target="numbering.xml"/><Relationship Id="rId15" Type="http://schemas.openxmlformats.org/officeDocument/2006/relationships/hyperlink" Target="https://www.colombiacompra.gov.co/normativa-y-relatoria/conoce-la-relatoria" TargetMode="Externa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operaciones.colombiacompra.gov.co/sites/cce_public/files/cce_circulares/circular_externa_unica_version_3_vf49.pdf"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s://operaciones.colombiacompra.gov.co/sites/cce_public/files/cce_circulares/circular_externa_unica_version_3_vf49.pdf"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6.png"/><Relationship Id="rId1" Type="http://schemas.openxmlformats.org/officeDocument/2006/relationships/image" Target="media/image5.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9d85dbaf-23eb-4e57-a637-93dcacc8b1a1">
      <Terms xmlns="http://schemas.microsoft.com/office/infopath/2007/PartnerControls"/>
    </lcf76f155ced4ddcb4097134ff3c332f>
    <TaxCatchAll xmlns="a6cb9e4b-f1d1-4245-83ec-6cad768d538a" xsi:nil="true"/>
    <No xmlns="9d85dbaf-23eb-4e57-a637-93dcacc8b1a1" xsi:nil="true"/>
    <_Flow_SignoffStatus xmlns="9d85dbaf-23eb-4e57-a637-93dcacc8b1a1" xsi:nil="true"/>
  </documentManagement>
</p:properties>
</file>

<file path=customXml/itemProps1.xml><?xml version="1.0" encoding="utf-8"?>
<ds:datastoreItem xmlns:ds="http://schemas.openxmlformats.org/officeDocument/2006/customXml" ds:itemID="{612E5D6A-D490-4A0C-B50A-CB3E390FB5A5}">
  <ds:schemaRefs>
    <ds:schemaRef ds:uri="http://schemas.openxmlformats.org/officeDocument/2006/bibliography"/>
  </ds:schemaRefs>
</ds:datastoreItem>
</file>

<file path=customXml/itemProps2.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3.xml><?xml version="1.0" encoding="utf-8"?>
<ds:datastoreItem xmlns:ds="http://schemas.openxmlformats.org/officeDocument/2006/customXml" ds:itemID="{346F79EE-1CA8-4081-B6EE-60A15F4CCCC2}"/>
</file>

<file path=customXml/itemProps4.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592fe157-d5c2-474d-aeb4-2e8e8fcba8d3"/>
    <ds:schemaRef ds:uri="8ae15d26-076e-464e-81a7-6f76a0fb3917"/>
  </ds:schemaRefs>
</ds:datastoreItem>
</file>

<file path=docProps/app.xml><?xml version="1.0" encoding="utf-8"?>
<Properties xmlns="http://schemas.openxmlformats.org/officeDocument/2006/extended-properties" xmlns:vt="http://schemas.openxmlformats.org/officeDocument/2006/docPropsVTypes">
  <Template>Normal</Template>
  <TotalTime>355</TotalTime>
  <Pages>24</Pages>
  <Words>7268</Words>
  <Characters>39975</Characters>
  <Application>Microsoft Office Word</Application>
  <DocSecurity>0</DocSecurity>
  <Lines>333</Lines>
  <Paragraphs>94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47149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Esperanza Contreras Pedreros</cp:lastModifiedBy>
  <cp:revision>10</cp:revision>
  <cp:lastPrinted>2023-01-10T21:18:00Z</cp:lastPrinted>
  <dcterms:created xsi:type="dcterms:W3CDTF">2025-07-22T15:57:00Z</dcterms:created>
  <dcterms:modified xsi:type="dcterms:W3CDTF">2025-07-24T18:47:00Z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