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63D7B" w14:textId="77777777" w:rsidR="00C8267D" w:rsidRPr="00C8267D" w:rsidRDefault="00C8267D">
      <w:pPr>
        <w:spacing w:after="0" w:line="240" w:lineRule="auto"/>
        <w:jc w:val="left"/>
        <w:rPr>
          <w:rFonts w:ascii="Geomanist Light" w:eastAsia="Calibri" w:hAnsi="Geomanist Light" w:cs="Arial"/>
          <w:b/>
          <w:bCs/>
          <w:sz w:val="22"/>
          <w:lang w:val="es-CO"/>
        </w:rPr>
      </w:pPr>
      <w:bookmarkStart w:id="0" w:name="_Hlk96417464"/>
      <w:r w:rsidRPr="00C8267D">
        <w:rPr>
          <w:rFonts w:ascii="Geomanist Light" w:eastAsia="Calibri" w:hAnsi="Geomanist Light" w:cs="Arial"/>
          <w:b/>
          <w:bCs/>
          <w:sz w:val="22"/>
        </w:rPr>
        <w:t xml:space="preserve">CAPACIDAD RESIDUAL – Causal de rechazo – Régimen jurídico </w:t>
      </w:r>
      <w:r w:rsidRPr="00C8267D">
        <w:rPr>
          <w:rFonts w:ascii="Geomanist Light" w:eastAsia="Calibri" w:hAnsi="Geomanist Light" w:cs="Arial"/>
          <w:b/>
          <w:bCs/>
          <w:sz w:val="22"/>
          <w:lang w:val="es-CO"/>
        </w:rPr>
        <w:t xml:space="preserve">– Literales E, H y Z </w:t>
      </w:r>
    </w:p>
    <w:p w14:paraId="6C0A3DE0" w14:textId="303ECC98" w:rsidR="00C8267D" w:rsidRDefault="00C8267D">
      <w:pPr>
        <w:spacing w:after="0" w:line="240" w:lineRule="auto"/>
        <w:jc w:val="left"/>
        <w:rPr>
          <w:rFonts w:ascii="Geomanist Light" w:eastAsia="Calibri" w:hAnsi="Geomanist Light" w:cs="Arial"/>
          <w:sz w:val="22"/>
          <w:lang w:val="es-CO"/>
        </w:rPr>
      </w:pPr>
    </w:p>
    <w:p w14:paraId="60ED1AC5" w14:textId="6B2955DD" w:rsidR="00761F8F" w:rsidRPr="00761F8F" w:rsidRDefault="00761F8F" w:rsidP="00761F8F">
      <w:pPr>
        <w:rPr>
          <w:rFonts w:ascii="Geomanist Light" w:hAnsi="Geomanist Light"/>
          <w:sz w:val="22"/>
          <w:szCs w:val="20"/>
        </w:rPr>
      </w:pPr>
      <w:r w:rsidRPr="00761F8F">
        <w:rPr>
          <w:rFonts w:ascii="Geomanist Light" w:hAnsi="Geomanist Light"/>
          <w:sz w:val="22"/>
          <w:szCs w:val="20"/>
          <w:lang w:val="es-CO"/>
        </w:rPr>
        <w:t>A</w:t>
      </w:r>
      <w:proofErr w:type="spellStart"/>
      <w:r w:rsidRPr="00761F8F">
        <w:rPr>
          <w:rFonts w:ascii="Geomanist Light" w:hAnsi="Geomanist Light"/>
          <w:sz w:val="22"/>
          <w:szCs w:val="20"/>
        </w:rPr>
        <w:t>unque</w:t>
      </w:r>
      <w:proofErr w:type="spellEnd"/>
      <w:r w:rsidRPr="00761F8F">
        <w:rPr>
          <w:rFonts w:ascii="Geomanist Light" w:hAnsi="Geomanist Light"/>
          <w:sz w:val="22"/>
          <w:szCs w:val="20"/>
        </w:rPr>
        <w:t xml:space="preserve"> las causales de rechazo del literal E, H y Z del numeral 1.15 de los documentos tipo se relacionan con la capacidad residual como requisito habilitante, estas se aplican en supuestos diferentes, de acuerdo con lo explicado </w:t>
      </w:r>
      <w:r w:rsidRPr="00761F8F">
        <w:rPr>
          <w:rFonts w:ascii="Geomanist Light" w:hAnsi="Geomanist Light"/>
          <w:i/>
          <w:sz w:val="22"/>
          <w:szCs w:val="20"/>
        </w:rPr>
        <w:t>ut supra</w:t>
      </w:r>
      <w:r w:rsidRPr="00761F8F">
        <w:rPr>
          <w:rFonts w:ascii="Geomanist Light" w:hAnsi="Geomanist Light"/>
          <w:sz w:val="22"/>
          <w:szCs w:val="20"/>
        </w:rPr>
        <w:t>.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En contraste, la causal del literal Z se presenta cuando el proponente deja de informar la totalidad de los contratos que tiene en ejecución antes del cierre o no reporta la información de los contratos exigida en el documento base. Por ejemplo, en el supuesto en que el proponente, teniendo tres contratos de obra en ejecución antes del cierre, no informa la totalidad de estos.</w:t>
      </w:r>
    </w:p>
    <w:p w14:paraId="091C5270" w14:textId="77777777" w:rsidR="00C8267D" w:rsidRDefault="00C8267D">
      <w:pPr>
        <w:spacing w:after="0" w:line="240" w:lineRule="auto"/>
        <w:jc w:val="left"/>
        <w:rPr>
          <w:rFonts w:ascii="Geomanist Light" w:eastAsia="Calibri" w:hAnsi="Geomanist Light" w:cs="Arial"/>
          <w:sz w:val="22"/>
          <w:lang w:val="es-CO"/>
        </w:rPr>
      </w:pPr>
    </w:p>
    <w:p w14:paraId="1F4FA066" w14:textId="59D60035" w:rsidR="00C8267D" w:rsidRPr="00761F8F" w:rsidRDefault="00C8267D">
      <w:pPr>
        <w:spacing w:after="0" w:line="240" w:lineRule="auto"/>
        <w:jc w:val="left"/>
        <w:rPr>
          <w:rFonts w:ascii="Geomanist Light" w:eastAsia="Calibri" w:hAnsi="Geomanist Light" w:cs="Arial"/>
          <w:b/>
          <w:sz w:val="22"/>
        </w:rPr>
      </w:pPr>
      <w:r w:rsidRPr="00C8267D">
        <w:rPr>
          <w:rFonts w:ascii="Geomanist Light" w:eastAsia="Calibri" w:hAnsi="Geomanist Light" w:cs="Arial"/>
          <w:b/>
          <w:sz w:val="22"/>
        </w:rPr>
        <w:t xml:space="preserve">DEBER DE VERIFICACIÓN – Aplicabilidad </w:t>
      </w:r>
    </w:p>
    <w:p w14:paraId="111E6E83" w14:textId="5AAE9B32" w:rsidR="00C56BB4" w:rsidRDefault="00C56BB4">
      <w:pPr>
        <w:spacing w:after="0" w:line="240" w:lineRule="auto"/>
        <w:jc w:val="left"/>
        <w:rPr>
          <w:rFonts w:ascii="Geomanist Light" w:eastAsia="Calibri" w:hAnsi="Geomanist Light" w:cs="Arial"/>
          <w:sz w:val="22"/>
          <w:lang w:val="es-CO"/>
        </w:rPr>
      </w:pPr>
    </w:p>
    <w:p w14:paraId="37364E4C" w14:textId="081CFA36" w:rsidR="003F3D86" w:rsidRPr="003F3D86" w:rsidRDefault="003F3D86" w:rsidP="00761F8F">
      <w:pPr>
        <w:spacing w:after="0" w:line="240" w:lineRule="auto"/>
        <w:rPr>
          <w:rFonts w:ascii="Geomanist Light" w:eastAsia="Calibri" w:hAnsi="Geomanist Light" w:cs="Arial"/>
          <w:sz w:val="22"/>
        </w:rPr>
      </w:pPr>
      <w:r>
        <w:rPr>
          <w:rFonts w:ascii="Geomanist Light" w:eastAsia="Calibri" w:hAnsi="Geomanist Light" w:cs="Arial"/>
          <w:sz w:val="22"/>
        </w:rPr>
        <w:t>L</w:t>
      </w:r>
      <w:r w:rsidRPr="003F3D86">
        <w:rPr>
          <w:rFonts w:ascii="Geomanist Light" w:eastAsia="Calibri" w:hAnsi="Geomanist Light" w:cs="Arial"/>
          <w:sz w:val="22"/>
        </w:rPr>
        <w:t>a prerrogativa de verificación es una herramienta para que la Administración adquiera certeza en el cumplimiento de los requisitos del procedimiento de selección y del comportamiento leal que se exige a los proponentes</w:t>
      </w:r>
      <w:r>
        <w:rPr>
          <w:rFonts w:ascii="Geomanist Light" w:eastAsia="Calibri" w:hAnsi="Geomanist Light" w:cs="Arial"/>
          <w:sz w:val="22"/>
        </w:rPr>
        <w:t xml:space="preserve">… </w:t>
      </w:r>
      <w:r w:rsidRPr="003F3D86">
        <w:rPr>
          <w:rFonts w:ascii="Geomanist Light" w:eastAsia="Calibri" w:hAnsi="Geomanist Light" w:cs="Arial"/>
          <w:sz w:val="22"/>
        </w:rPr>
        <w:t>La regla de verificación de la información prevista en el numeral 1.11 del documento base aplica frente a la totalidad de la información y documentación aportada para cumplir los requisitos exigidos en el pliego de condiciones. Además, consagra dos supuestos con consecuencias diferentes: el primero, señala que una vez verificada la información y evidenciada la inconsistencia, la entidad estatal la tendrá por no acreditada</w:t>
      </w:r>
      <w:r>
        <w:rPr>
          <w:rFonts w:ascii="Geomanist Light" w:eastAsia="Calibri" w:hAnsi="Geomanist Light" w:cs="Arial"/>
          <w:sz w:val="22"/>
        </w:rPr>
        <w:t>…</w:t>
      </w:r>
      <w:r w:rsidR="00761F8F" w:rsidRPr="00761F8F">
        <w:rPr>
          <w:rFonts w:ascii="Geomanist Light" w:eastAsia="Calibri" w:hAnsi="Geomanist Light" w:cs="Arial"/>
          <w:sz w:val="22"/>
        </w:rPr>
        <w:t>El segundo evento se configura cuando de la verificación se corrobora que las inconsistencias obedecerían a una presunta falsedad no desvirtuada por el proponente, caso en el cual se rechaza la oferta y se informa a las autoridades correspondientes</w:t>
      </w:r>
    </w:p>
    <w:p w14:paraId="7784C45F" w14:textId="3B6E7057" w:rsidR="00C8267D" w:rsidRPr="003F3D86" w:rsidRDefault="00C8267D">
      <w:pPr>
        <w:spacing w:after="0" w:line="240" w:lineRule="auto"/>
        <w:jc w:val="left"/>
        <w:rPr>
          <w:rFonts w:ascii="Geomanist Light" w:eastAsia="Calibri" w:hAnsi="Geomanist Light" w:cs="Arial"/>
          <w:sz w:val="22"/>
        </w:rPr>
      </w:pPr>
    </w:p>
    <w:p w14:paraId="340512A1" w14:textId="41A87F28" w:rsidR="00C8267D" w:rsidRDefault="00C8267D">
      <w:pPr>
        <w:spacing w:after="0" w:line="240" w:lineRule="auto"/>
        <w:jc w:val="left"/>
        <w:rPr>
          <w:rFonts w:ascii="Geomanist Light" w:eastAsia="Calibri" w:hAnsi="Geomanist Light" w:cs="Arial"/>
          <w:sz w:val="22"/>
          <w:lang w:val="es-CO"/>
        </w:rPr>
      </w:pPr>
    </w:p>
    <w:p w14:paraId="7823051C" w14:textId="78D1A6AB" w:rsidR="00C8267D" w:rsidRPr="00C8267D" w:rsidRDefault="00C8267D">
      <w:pPr>
        <w:spacing w:after="0" w:line="240" w:lineRule="auto"/>
        <w:jc w:val="left"/>
        <w:rPr>
          <w:rFonts w:ascii="Geomanist Light" w:eastAsia="Calibri" w:hAnsi="Geomanist Light" w:cs="Arial"/>
          <w:b/>
          <w:sz w:val="22"/>
        </w:rPr>
      </w:pPr>
      <w:r w:rsidRPr="00C8267D">
        <w:rPr>
          <w:rFonts w:ascii="Geomanist Light" w:eastAsia="Calibri" w:hAnsi="Geomanist Light" w:cs="Arial"/>
          <w:b/>
          <w:sz w:val="22"/>
        </w:rPr>
        <w:t xml:space="preserve">CAUSALES DE RECHAZO </w:t>
      </w:r>
      <w:r w:rsidRPr="00C8267D">
        <w:rPr>
          <w:rFonts w:ascii="Geomanist Light" w:eastAsia="Calibri" w:hAnsi="Geomanist Light" w:cs="Arial"/>
          <w:b/>
          <w:sz w:val="22"/>
          <w:lang w:val="es-CO"/>
        </w:rPr>
        <w:t xml:space="preserve">– Consecuencias – Falsedad – </w:t>
      </w:r>
      <w:proofErr w:type="spellStart"/>
      <w:r w:rsidRPr="00C8267D">
        <w:rPr>
          <w:rFonts w:ascii="Geomanist Light" w:eastAsia="Calibri" w:hAnsi="Geomanist Light" w:cs="Arial"/>
          <w:b/>
          <w:sz w:val="22"/>
        </w:rPr>
        <w:t>Subsanabilidad</w:t>
      </w:r>
      <w:proofErr w:type="spellEnd"/>
      <w:r w:rsidRPr="00C8267D">
        <w:rPr>
          <w:rFonts w:ascii="Geomanist Light" w:eastAsia="Calibri" w:hAnsi="Geomanist Light" w:cs="Arial"/>
          <w:b/>
          <w:sz w:val="22"/>
        </w:rPr>
        <w:t xml:space="preserve">  </w:t>
      </w:r>
    </w:p>
    <w:p w14:paraId="1DF3E256" w14:textId="77777777" w:rsidR="00C8267D" w:rsidRDefault="00C8267D">
      <w:pPr>
        <w:spacing w:after="0" w:line="240" w:lineRule="auto"/>
        <w:jc w:val="left"/>
        <w:rPr>
          <w:rFonts w:ascii="Geomanist Light" w:eastAsia="Calibri" w:hAnsi="Geomanist Light" w:cs="Arial"/>
          <w:sz w:val="22"/>
          <w:lang w:val="es-CO"/>
        </w:rPr>
      </w:pPr>
    </w:p>
    <w:p w14:paraId="451C2B9A" w14:textId="1491D3C3" w:rsidR="00761F8F" w:rsidRPr="00761F8F" w:rsidRDefault="00761F8F" w:rsidP="00761F8F">
      <w:pPr>
        <w:spacing w:after="0" w:line="240" w:lineRule="auto"/>
        <w:rPr>
          <w:rFonts w:ascii="Geomanist Light" w:eastAsia="Calibri" w:hAnsi="Geomanist Light" w:cs="Arial"/>
          <w:sz w:val="22"/>
        </w:rPr>
      </w:pPr>
      <w:r w:rsidRPr="00761F8F">
        <w:rPr>
          <w:rFonts w:ascii="Geomanist Light" w:eastAsia="Calibri" w:hAnsi="Geomanist Light" w:cs="Arial"/>
          <w:sz w:val="22"/>
        </w:rPr>
        <w:t xml:space="preserve">Esta distinción tiene efectos en las reglas de </w:t>
      </w:r>
      <w:proofErr w:type="spellStart"/>
      <w:r w:rsidRPr="00761F8F">
        <w:rPr>
          <w:rFonts w:ascii="Geomanist Light" w:eastAsia="Calibri" w:hAnsi="Geomanist Light" w:cs="Arial"/>
          <w:sz w:val="22"/>
        </w:rPr>
        <w:t>subsanabilidad</w:t>
      </w:r>
      <w:proofErr w:type="spellEnd"/>
      <w:r w:rsidRPr="00761F8F">
        <w:rPr>
          <w:rFonts w:ascii="Geomanist Light" w:eastAsia="Calibri" w:hAnsi="Geomanist Light" w:cs="Arial"/>
          <w:sz w:val="22"/>
        </w:rPr>
        <w:t xml:space="preserve"> de las ofertas de la Ley 1150 de 2007, pues solo habrá lugar a subsanar en los eventos en los que el proponente omite información sobre los contratos informados, esto es, en el evento de la causal del literal E. Dicho de otra forma, no se puede subsanar cuando se incurre las causales H y Z, eventos en los cuales el rechazo procede de forma automática, es decir, sin permitirle al proponente subsanar la «inexactitud» de la oferta o el número de contratos de obra que tenía el deber de reportar</w:t>
      </w:r>
      <w:r>
        <w:rPr>
          <w:rFonts w:ascii="Geomanist Light" w:eastAsia="Calibri" w:hAnsi="Geomanist Light" w:cs="Arial"/>
          <w:sz w:val="22"/>
        </w:rPr>
        <w:t xml:space="preserve">… </w:t>
      </w:r>
      <w:r w:rsidRPr="00761F8F">
        <w:rPr>
          <w:rFonts w:ascii="Geomanist Light" w:eastAsia="Calibri" w:hAnsi="Geomanist Light" w:cs="Arial"/>
          <w:sz w:val="22"/>
        </w:rPr>
        <w:t xml:space="preserve">Según lo expuesto, al verificarse que el proponente no incluyó información contractual que afecte su capacidad residual, la entidad no estará en posición de solicitar aclaraciones, o acudir al régimen de </w:t>
      </w:r>
      <w:proofErr w:type="spellStart"/>
      <w:r w:rsidRPr="00761F8F">
        <w:rPr>
          <w:rFonts w:ascii="Geomanist Light" w:eastAsia="Calibri" w:hAnsi="Geomanist Light" w:cs="Arial"/>
          <w:sz w:val="22"/>
        </w:rPr>
        <w:t>subsanabilidad</w:t>
      </w:r>
      <w:proofErr w:type="spellEnd"/>
      <w:r w:rsidRPr="00761F8F">
        <w:rPr>
          <w:rFonts w:ascii="Geomanist Light" w:eastAsia="Calibri" w:hAnsi="Geomanist Light" w:cs="Arial"/>
          <w:sz w:val="22"/>
        </w:rPr>
        <w:t xml:space="preserve"> de ofertas. Esto en la medida que tal circunstancia constituye una causal de rechazo en los términos de los literales H y Z del </w:t>
      </w:r>
      <w:r w:rsidRPr="00761F8F">
        <w:rPr>
          <w:rFonts w:ascii="Geomanist Light" w:eastAsia="Calibri" w:hAnsi="Geomanist Light" w:cs="Arial"/>
          <w:sz w:val="22"/>
        </w:rPr>
        <w:lastRenderedPageBreak/>
        <w:t>numeral 1.15 del documento base, las cuales deberán analizar, caso a caso, las entidades contratantes conforme a los parámetros antes mencionados.</w:t>
      </w:r>
    </w:p>
    <w:p w14:paraId="4BF74236" w14:textId="4F90F430" w:rsidR="00C8267D" w:rsidRDefault="00C8267D">
      <w:pPr>
        <w:spacing w:after="0" w:line="240" w:lineRule="auto"/>
        <w:jc w:val="left"/>
        <w:rPr>
          <w:rFonts w:ascii="Geomanist Light" w:eastAsia="Calibri" w:hAnsi="Geomanist Light" w:cs="Arial"/>
          <w:sz w:val="22"/>
          <w:lang w:val="es-CO"/>
        </w:rPr>
      </w:pPr>
    </w:p>
    <w:p w14:paraId="06F4B606" w14:textId="7FE3026E" w:rsidR="0093548E" w:rsidRDefault="0093548E">
      <w:pPr>
        <w:spacing w:after="0" w:line="240" w:lineRule="auto"/>
        <w:jc w:val="left"/>
        <w:rPr>
          <w:rFonts w:ascii="Geomanist Light" w:eastAsia="Calibri" w:hAnsi="Geomanist Light" w:cs="Arial"/>
          <w:sz w:val="22"/>
          <w:lang w:val="es-CO"/>
        </w:rPr>
      </w:pPr>
      <w:r>
        <w:rPr>
          <w:rFonts w:ascii="Geomanist Light" w:eastAsia="Calibri" w:hAnsi="Geomanist Light" w:cs="Arial"/>
          <w:sz w:val="22"/>
          <w:lang w:val="es-CO"/>
        </w:rPr>
        <w:t>Bogotá 10 de noviembre de 2011</w:t>
      </w:r>
    </w:p>
    <w:p w14:paraId="3E937D5B" w14:textId="5C570317" w:rsidR="00B92028" w:rsidRPr="003C281F" w:rsidRDefault="00B92028" w:rsidP="00B92028">
      <w:pPr>
        <w:spacing w:after="0" w:line="240" w:lineRule="auto"/>
        <w:rPr>
          <w:rFonts w:ascii="Geomanist Light" w:eastAsia="Calibri" w:hAnsi="Geomanist Light" w:cs="Arial"/>
          <w:sz w:val="22"/>
          <w:lang w:val="es-CO"/>
        </w:rPr>
      </w:pPr>
      <w:r w:rsidRPr="003C281F">
        <w:rPr>
          <w:rFonts w:ascii="Geomanist Light" w:eastAsia="Calibri" w:hAnsi="Geomanist Light" w:cs="Arial"/>
          <w:sz w:val="22"/>
          <w:lang w:val="es-CO"/>
        </w:rPr>
        <w:t>Señor</w:t>
      </w:r>
      <w:r w:rsidR="00014C37" w:rsidRPr="003C281F">
        <w:rPr>
          <w:rFonts w:ascii="Geomanist Light" w:eastAsia="Calibri" w:hAnsi="Geomanist Light" w:cs="Arial"/>
          <w:sz w:val="22"/>
          <w:lang w:val="es-CO"/>
        </w:rPr>
        <w:t>a</w:t>
      </w:r>
    </w:p>
    <w:p w14:paraId="3B3CE41A" w14:textId="2CDC7A1A" w:rsidR="00B92028" w:rsidRPr="003C281F" w:rsidRDefault="00014C37" w:rsidP="00B92028">
      <w:pPr>
        <w:spacing w:after="0" w:line="240" w:lineRule="auto"/>
        <w:rPr>
          <w:rFonts w:ascii="Geomanist Light" w:eastAsia="Calibri" w:hAnsi="Geomanist Light" w:cs="Arial"/>
          <w:b/>
          <w:bCs/>
          <w:sz w:val="22"/>
          <w:lang w:val="es-CO"/>
        </w:rPr>
      </w:pPr>
      <w:r w:rsidRPr="003C281F">
        <w:rPr>
          <w:rFonts w:ascii="Geomanist Light" w:eastAsia="Calibri" w:hAnsi="Geomanist Light" w:cs="Arial"/>
          <w:b/>
          <w:bCs/>
          <w:sz w:val="22"/>
          <w:lang w:val="es-CO"/>
        </w:rPr>
        <w:t xml:space="preserve">María Fernanda </w:t>
      </w:r>
      <w:proofErr w:type="spellStart"/>
      <w:r w:rsidRPr="003C281F">
        <w:rPr>
          <w:rFonts w:ascii="Geomanist Light" w:eastAsia="Calibri" w:hAnsi="Geomanist Light" w:cs="Arial"/>
          <w:b/>
          <w:bCs/>
          <w:sz w:val="22"/>
          <w:lang w:val="es-CO"/>
        </w:rPr>
        <w:t>Monotya</w:t>
      </w:r>
      <w:proofErr w:type="spellEnd"/>
      <w:r w:rsidRPr="003C281F">
        <w:rPr>
          <w:rFonts w:ascii="Geomanist Light" w:eastAsia="Calibri" w:hAnsi="Geomanist Light" w:cs="Arial"/>
          <w:b/>
          <w:bCs/>
          <w:sz w:val="22"/>
          <w:lang w:val="es-CO"/>
        </w:rPr>
        <w:t xml:space="preserve"> </w:t>
      </w:r>
      <w:proofErr w:type="spellStart"/>
      <w:r w:rsidRPr="003C281F">
        <w:rPr>
          <w:rFonts w:ascii="Geomanist Light" w:eastAsia="Calibri" w:hAnsi="Geomanist Light" w:cs="Arial"/>
          <w:b/>
          <w:bCs/>
          <w:sz w:val="22"/>
          <w:lang w:val="es-CO"/>
        </w:rPr>
        <w:t>Mendez</w:t>
      </w:r>
      <w:proofErr w:type="spellEnd"/>
    </w:p>
    <w:p w14:paraId="2A077D55" w14:textId="5E0AE72D" w:rsidR="00B92028" w:rsidRPr="003C281F" w:rsidRDefault="00014C37" w:rsidP="00B92028">
      <w:pPr>
        <w:spacing w:after="0" w:line="240" w:lineRule="auto"/>
        <w:rPr>
          <w:rFonts w:ascii="Geomanist Light" w:eastAsia="Calibri" w:hAnsi="Geomanist Light" w:cs="Arial"/>
          <w:sz w:val="22"/>
          <w:lang w:val="es-CO"/>
        </w:rPr>
      </w:pPr>
      <w:r w:rsidRPr="003C281F">
        <w:rPr>
          <w:rFonts w:ascii="Geomanist Light" w:eastAsia="Calibri" w:hAnsi="Geomanist Light" w:cs="Arial"/>
          <w:sz w:val="22"/>
          <w:lang w:val="es-CO"/>
        </w:rPr>
        <w:t>Ibagué</w:t>
      </w:r>
      <w:r w:rsidR="00B92028" w:rsidRPr="003C281F">
        <w:rPr>
          <w:rFonts w:ascii="Geomanist Light" w:eastAsia="Calibri" w:hAnsi="Geomanist Light" w:cs="Arial"/>
          <w:sz w:val="22"/>
          <w:lang w:val="es-CO"/>
        </w:rPr>
        <w:t xml:space="preserve">, </w:t>
      </w:r>
      <w:r w:rsidRPr="003C281F">
        <w:rPr>
          <w:rFonts w:ascii="Geomanist Light" w:eastAsia="Calibri" w:hAnsi="Geomanist Light" w:cs="Arial"/>
          <w:sz w:val="22"/>
          <w:lang w:val="es-CO"/>
        </w:rPr>
        <w:t>Tolima</w:t>
      </w:r>
      <w:r w:rsidR="0093548E">
        <w:rPr>
          <w:rFonts w:ascii="Geomanist Light" w:eastAsia="Calibri" w:hAnsi="Geomanist Light" w:cs="Arial"/>
          <w:sz w:val="22"/>
          <w:lang w:val="es-CO"/>
        </w:rPr>
        <w:t xml:space="preserve">                                        </w:t>
      </w:r>
      <w:r w:rsidR="0093548E">
        <w:rPr>
          <w:noProof/>
        </w:rPr>
        <w:drawing>
          <wp:inline distT="0" distB="0" distL="0" distR="0" wp14:anchorId="6353941E" wp14:editId="18663CE2">
            <wp:extent cx="1828800" cy="55245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0"/>
                    <a:stretch>
                      <a:fillRect/>
                    </a:stretch>
                  </pic:blipFill>
                  <pic:spPr>
                    <a:xfrm>
                      <a:off x="0" y="0"/>
                      <a:ext cx="1828800" cy="552450"/>
                    </a:xfrm>
                    <a:prstGeom prst="rect">
                      <a:avLst/>
                    </a:prstGeom>
                  </pic:spPr>
                </pic:pic>
              </a:graphicData>
            </a:graphic>
          </wp:inline>
        </w:drawing>
      </w:r>
    </w:p>
    <w:p w14:paraId="7C5FEF15" w14:textId="77777777" w:rsidR="00B92028" w:rsidRPr="003C281F" w:rsidRDefault="00B92028" w:rsidP="00B92028">
      <w:pPr>
        <w:spacing w:after="0" w:line="240" w:lineRule="auto"/>
        <w:rPr>
          <w:rFonts w:ascii="Geomanist Light" w:eastAsia="Calibri" w:hAnsi="Geomanist Light" w:cs="Arial"/>
          <w:sz w:val="22"/>
          <w:lang w:val="es-CO"/>
        </w:rPr>
      </w:pPr>
    </w:p>
    <w:p w14:paraId="0763E43B" w14:textId="77777777" w:rsidR="00B92028" w:rsidRPr="003C281F" w:rsidRDefault="00B92028" w:rsidP="00B92028">
      <w:pPr>
        <w:spacing w:after="0" w:line="240" w:lineRule="auto"/>
        <w:rPr>
          <w:rFonts w:ascii="Geomanist Light" w:eastAsia="Calibri" w:hAnsi="Geomanist Light" w:cs="Arial"/>
          <w:sz w:val="22"/>
          <w:lang w:val="es-CO"/>
        </w:rPr>
      </w:pPr>
    </w:p>
    <w:p w14:paraId="1E37589E" w14:textId="08548731" w:rsidR="00B92028" w:rsidRPr="003C281F" w:rsidRDefault="00B92028" w:rsidP="00B92028">
      <w:pPr>
        <w:spacing w:after="0" w:line="240" w:lineRule="auto"/>
        <w:rPr>
          <w:rFonts w:ascii="Geomanist Light" w:hAnsi="Geomanist Light" w:cs="Arial"/>
          <w:sz w:val="22"/>
          <w:lang w:val="es-CO"/>
        </w:rPr>
      </w:pPr>
      <w:r w:rsidRPr="003C281F">
        <w:rPr>
          <w:rFonts w:ascii="Geomanist Light" w:eastAsia="Calibri" w:hAnsi="Geomanist Light" w:cs="Arial"/>
          <w:sz w:val="22"/>
          <w:lang w:val="es-CO"/>
        </w:rPr>
        <w:t xml:space="preserve">                      </w:t>
      </w:r>
      <w:r w:rsidRPr="003C281F">
        <w:rPr>
          <w:rFonts w:ascii="Geomanist Light" w:eastAsia="Calibri" w:hAnsi="Geomanist Light" w:cs="Arial"/>
          <w:sz w:val="22"/>
          <w:lang w:val="es-CO"/>
        </w:rPr>
        <w:tab/>
      </w:r>
      <w:r w:rsidRPr="003C281F">
        <w:rPr>
          <w:rFonts w:ascii="Geomanist Light" w:eastAsia="Calibri" w:hAnsi="Geomanist Light" w:cs="Arial"/>
          <w:sz w:val="22"/>
          <w:lang w:val="es-CO"/>
        </w:rPr>
        <w:tab/>
      </w:r>
      <w:r w:rsidRPr="003C281F">
        <w:rPr>
          <w:rFonts w:ascii="Geomanist Light" w:eastAsia="Calibri" w:hAnsi="Geomanist Light" w:cs="Arial"/>
          <w:sz w:val="22"/>
          <w:lang w:val="es-CO"/>
        </w:rPr>
        <w:tab/>
      </w:r>
      <w:r w:rsidRPr="003C281F">
        <w:rPr>
          <w:rFonts w:ascii="Geomanist Light" w:eastAsia="Calibri" w:hAnsi="Geomanist Light" w:cs="Arial"/>
          <w:b/>
          <w:sz w:val="22"/>
          <w:lang w:val="es-CO"/>
        </w:rPr>
        <w:t>Concepto C – 748 de 2022</w:t>
      </w:r>
      <w:r w:rsidRPr="003C281F">
        <w:rPr>
          <w:rFonts w:ascii="Geomanist Light" w:hAnsi="Geomanist Light" w:cs="Arial"/>
          <w:sz w:val="22"/>
          <w:lang w:val="es-CO"/>
        </w:rPr>
        <w:t xml:space="preserve"> </w:t>
      </w:r>
    </w:p>
    <w:p w14:paraId="4C4F6D2E" w14:textId="77777777" w:rsidR="00B92028" w:rsidRPr="003C281F" w:rsidRDefault="00B92028" w:rsidP="00B92028">
      <w:pPr>
        <w:spacing w:after="0" w:line="240" w:lineRule="auto"/>
        <w:rPr>
          <w:rFonts w:ascii="Geomanist Light" w:eastAsia="Calibri" w:hAnsi="Geomanist Light"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2028" w:rsidRPr="000829C1" w14:paraId="6A21FA92" w14:textId="77777777" w:rsidTr="2FAAB275">
        <w:trPr>
          <w:trHeight w:val="485"/>
        </w:trPr>
        <w:tc>
          <w:tcPr>
            <w:tcW w:w="2689" w:type="dxa"/>
            <w:hideMark/>
          </w:tcPr>
          <w:p w14:paraId="1E1C5800" w14:textId="77777777" w:rsidR="00B92028" w:rsidRPr="003C281F" w:rsidRDefault="00B92028" w:rsidP="00921DDD">
            <w:pPr>
              <w:spacing w:after="0" w:line="240" w:lineRule="auto"/>
              <w:contextualSpacing/>
              <w:rPr>
                <w:rFonts w:ascii="Geomanist Light" w:eastAsia="Calibri" w:hAnsi="Geomanist Light" w:cs="Arial"/>
                <w:noProof/>
                <w:lang w:val="es-ES_tradnl"/>
              </w:rPr>
            </w:pPr>
            <w:r w:rsidRPr="003C281F">
              <w:rPr>
                <w:rFonts w:ascii="Geomanist Light" w:eastAsia="Calibri" w:hAnsi="Geomanist Light" w:cs="Arial"/>
                <w:b/>
                <w:noProof/>
                <w:lang w:val="es-ES_tradnl"/>
              </w:rPr>
              <w:t>Temas:</w:t>
            </w:r>
            <w:r w:rsidRPr="003C281F">
              <w:rPr>
                <w:rFonts w:ascii="Geomanist Light" w:eastAsia="Calibri" w:hAnsi="Geomanist Light" w:cs="Arial"/>
                <w:noProof/>
                <w:lang w:val="es-ES_tradnl"/>
              </w:rPr>
              <w:t xml:space="preserve">    </w:t>
            </w:r>
          </w:p>
        </w:tc>
        <w:tc>
          <w:tcPr>
            <w:tcW w:w="6237" w:type="dxa"/>
            <w:hideMark/>
          </w:tcPr>
          <w:p w14:paraId="4068CD1E" w14:textId="10AEB86C" w:rsidR="00B92028" w:rsidRPr="003C281F" w:rsidRDefault="00014C37" w:rsidP="2FAAB275">
            <w:pPr>
              <w:spacing w:after="0" w:line="240" w:lineRule="auto"/>
              <w:ind w:right="703"/>
              <w:contextualSpacing/>
              <w:rPr>
                <w:rFonts w:ascii="Geomanist Light" w:eastAsia="Calibri" w:hAnsi="Geomanist Light" w:cs="Arial"/>
              </w:rPr>
            </w:pPr>
            <w:r w:rsidRPr="2FAAB275">
              <w:rPr>
                <w:rFonts w:ascii="Geomanist Light" w:eastAsia="Calibri" w:hAnsi="Geomanist Light" w:cs="Arial"/>
              </w:rPr>
              <w:t>CAPACIDAD RESIDUAL</w:t>
            </w:r>
            <w:r w:rsidR="00B92028" w:rsidRPr="2FAAB275">
              <w:rPr>
                <w:rFonts w:ascii="Geomanist Light" w:eastAsia="Calibri" w:hAnsi="Geomanist Light" w:cs="Arial"/>
              </w:rPr>
              <w:t xml:space="preserve"> – </w:t>
            </w:r>
            <w:r w:rsidRPr="2FAAB275">
              <w:rPr>
                <w:rFonts w:ascii="Geomanist Light" w:eastAsia="Calibri" w:hAnsi="Geomanist Light" w:cs="Arial"/>
              </w:rPr>
              <w:t>Causal de rechazo</w:t>
            </w:r>
            <w:r w:rsidR="00B92028" w:rsidRPr="2FAAB275">
              <w:rPr>
                <w:rFonts w:ascii="Geomanist Light" w:eastAsia="Calibri" w:hAnsi="Geomanist Light" w:cs="Arial"/>
              </w:rPr>
              <w:t xml:space="preserve"> – </w:t>
            </w:r>
            <w:r w:rsidRPr="2FAAB275">
              <w:rPr>
                <w:rFonts w:ascii="Geomanist Light" w:eastAsia="Calibri" w:hAnsi="Geomanist Light" w:cs="Arial"/>
              </w:rPr>
              <w:t>Régimen jurídico</w:t>
            </w:r>
            <w:r w:rsidR="00B92028" w:rsidRPr="2FAAB275">
              <w:rPr>
                <w:rFonts w:ascii="Geomanist Light" w:eastAsia="Calibri" w:hAnsi="Geomanist Light" w:cs="Arial"/>
              </w:rPr>
              <w:t xml:space="preserve"> </w:t>
            </w:r>
            <w:r w:rsidRPr="2FAAB275">
              <w:rPr>
                <w:rFonts w:ascii="Geomanist Light" w:eastAsia="Calibri" w:hAnsi="Geomanist Light" w:cs="Arial"/>
                <w:color w:val="000000" w:themeColor="text1"/>
                <w:lang w:val="es-CO"/>
              </w:rPr>
              <w:t xml:space="preserve">– Literales </w:t>
            </w:r>
            <w:r w:rsidR="007A0906" w:rsidRPr="2FAAB275">
              <w:rPr>
                <w:rFonts w:ascii="Geomanist Light" w:eastAsia="Calibri" w:hAnsi="Geomanist Light" w:cs="Arial"/>
                <w:color w:val="000000" w:themeColor="text1"/>
                <w:lang w:val="es-CO"/>
              </w:rPr>
              <w:t xml:space="preserve">E, H y Z </w:t>
            </w:r>
            <w:r w:rsidR="00B92028" w:rsidRPr="2FAAB275">
              <w:rPr>
                <w:rFonts w:ascii="Geomanist Light" w:eastAsia="Calibri" w:hAnsi="Geomanist Light" w:cs="Arial"/>
              </w:rPr>
              <w:t xml:space="preserve">/ </w:t>
            </w:r>
            <w:r w:rsidRPr="2FAAB275">
              <w:rPr>
                <w:rFonts w:ascii="Geomanist Light" w:eastAsia="Calibri" w:hAnsi="Geomanist Light" w:cs="Arial"/>
              </w:rPr>
              <w:t>DEBER DE VERIFICACIÓN</w:t>
            </w:r>
            <w:r w:rsidR="00B92028" w:rsidRPr="2FAAB275">
              <w:rPr>
                <w:rFonts w:ascii="Geomanist Light" w:eastAsia="Calibri" w:hAnsi="Geomanist Light" w:cs="Arial"/>
              </w:rPr>
              <w:t xml:space="preserve"> – </w:t>
            </w:r>
            <w:r w:rsidRPr="2FAAB275">
              <w:rPr>
                <w:rFonts w:ascii="Geomanist Light" w:eastAsia="Calibri" w:hAnsi="Geomanist Light" w:cs="Arial"/>
              </w:rPr>
              <w:t>Aplicabilidad</w:t>
            </w:r>
            <w:r w:rsidR="00B92028" w:rsidRPr="2FAAB275">
              <w:rPr>
                <w:rFonts w:ascii="Geomanist Light" w:eastAsia="Calibri" w:hAnsi="Geomanist Light" w:cs="Arial"/>
              </w:rPr>
              <w:t xml:space="preserve"> / </w:t>
            </w:r>
            <w:r w:rsidRPr="2FAAB275">
              <w:rPr>
                <w:rFonts w:ascii="Geomanist Light" w:eastAsia="Calibri" w:hAnsi="Geomanist Light" w:cs="Arial"/>
              </w:rPr>
              <w:t>CAUSALES DE RECHAZO</w:t>
            </w:r>
            <w:r w:rsidR="00B92028" w:rsidRPr="2FAAB275">
              <w:rPr>
                <w:rFonts w:ascii="Geomanist Light" w:eastAsia="Calibri" w:hAnsi="Geomanist Light" w:cs="Arial"/>
              </w:rPr>
              <w:t xml:space="preserve"> </w:t>
            </w:r>
            <w:r w:rsidR="00B92028" w:rsidRPr="2FAAB275">
              <w:rPr>
                <w:rFonts w:ascii="Geomanist Light" w:eastAsia="Calibri" w:hAnsi="Geomanist Light" w:cs="Arial"/>
                <w:color w:val="000000" w:themeColor="text1"/>
                <w:lang w:val="es-CO"/>
              </w:rPr>
              <w:t xml:space="preserve">– </w:t>
            </w:r>
            <w:r w:rsidRPr="2FAAB275">
              <w:rPr>
                <w:rFonts w:ascii="Geomanist Light" w:eastAsia="Calibri" w:hAnsi="Geomanist Light" w:cs="Arial"/>
                <w:color w:val="000000" w:themeColor="text1"/>
                <w:lang w:val="es-CO"/>
              </w:rPr>
              <w:t>Consecuencias</w:t>
            </w:r>
            <w:r w:rsidR="007A0906" w:rsidRPr="2FAAB275">
              <w:rPr>
                <w:rFonts w:ascii="Geomanist Light" w:eastAsia="Calibri" w:hAnsi="Geomanist Light" w:cs="Arial"/>
                <w:color w:val="000000" w:themeColor="text1"/>
                <w:lang w:val="es-CO"/>
              </w:rPr>
              <w:t xml:space="preserve"> – Falsedad</w:t>
            </w:r>
            <w:r w:rsidR="00B92028" w:rsidRPr="2FAAB275">
              <w:rPr>
                <w:rFonts w:ascii="Geomanist Light" w:eastAsia="Calibri" w:hAnsi="Geomanist Light" w:cs="Arial"/>
                <w:color w:val="000000" w:themeColor="text1"/>
                <w:lang w:val="es-CO"/>
              </w:rPr>
              <w:t xml:space="preserve"> – </w:t>
            </w:r>
            <w:r w:rsidR="00B92028" w:rsidRPr="2FAAB275">
              <w:rPr>
                <w:rFonts w:ascii="Geomanist Light" w:eastAsia="Calibri" w:hAnsi="Geomanist Light" w:cs="Arial"/>
              </w:rPr>
              <w:t xml:space="preserve">Subsanabilidad  </w:t>
            </w:r>
          </w:p>
          <w:p w14:paraId="0F91DEEE" w14:textId="77777777" w:rsidR="00B92028" w:rsidRPr="003C281F" w:rsidRDefault="00B92028" w:rsidP="00921DDD">
            <w:pPr>
              <w:spacing w:after="0" w:line="240" w:lineRule="auto"/>
              <w:ind w:right="703"/>
              <w:contextualSpacing/>
              <w:rPr>
                <w:rFonts w:ascii="Geomanist Light" w:eastAsia="Calibri" w:hAnsi="Geomanist Light" w:cs="Arial"/>
                <w:bCs/>
              </w:rPr>
            </w:pPr>
          </w:p>
        </w:tc>
      </w:tr>
      <w:tr w:rsidR="00B92028" w:rsidRPr="000829C1" w14:paraId="2F25EC83" w14:textId="77777777" w:rsidTr="2FAAB275">
        <w:tc>
          <w:tcPr>
            <w:tcW w:w="2689" w:type="dxa"/>
          </w:tcPr>
          <w:p w14:paraId="34969007" w14:textId="77777777" w:rsidR="00B92028" w:rsidRPr="003C281F" w:rsidRDefault="00B92028" w:rsidP="00921DDD">
            <w:pPr>
              <w:spacing w:after="0" w:line="240" w:lineRule="auto"/>
              <w:contextualSpacing/>
              <w:rPr>
                <w:rFonts w:ascii="Geomanist Light" w:eastAsia="Calibri" w:hAnsi="Geomanist Light" w:cs="Arial"/>
                <w:b/>
                <w:noProof/>
                <w:lang w:val="es-ES_tradnl"/>
              </w:rPr>
            </w:pPr>
            <w:r w:rsidRPr="003C281F">
              <w:rPr>
                <w:rFonts w:ascii="Geomanist Light" w:eastAsia="Calibri" w:hAnsi="Geomanist Light" w:cs="Arial"/>
                <w:b/>
                <w:noProof/>
                <w:lang w:val="es-ES_tradnl"/>
              </w:rPr>
              <w:t xml:space="preserve"> Radicación:</w:t>
            </w:r>
            <w:r w:rsidRPr="003C281F">
              <w:rPr>
                <w:rFonts w:ascii="Geomanist Light" w:eastAsia="Calibri" w:hAnsi="Geomanist Light" w:cs="Arial"/>
                <w:noProof/>
                <w:lang w:val="es-ES_tradnl"/>
              </w:rPr>
              <w:t xml:space="preserve">               </w:t>
            </w:r>
          </w:p>
        </w:tc>
        <w:tc>
          <w:tcPr>
            <w:tcW w:w="6237" w:type="dxa"/>
          </w:tcPr>
          <w:p w14:paraId="0F201FFB" w14:textId="606F1C6D" w:rsidR="00B92028" w:rsidRPr="003C281F" w:rsidRDefault="00B92028" w:rsidP="00921DDD">
            <w:pPr>
              <w:spacing w:after="0" w:line="240" w:lineRule="auto"/>
              <w:contextualSpacing/>
              <w:rPr>
                <w:rFonts w:ascii="Geomanist Light" w:eastAsia="Calibri" w:hAnsi="Geomanist Light" w:cs="Arial"/>
                <w:noProof/>
                <w:lang w:val="es-ES_tradnl"/>
              </w:rPr>
            </w:pPr>
            <w:r w:rsidRPr="003C281F">
              <w:rPr>
                <w:rFonts w:ascii="Geomanist Light" w:eastAsia="Calibri" w:hAnsi="Geomanist Light" w:cs="Arial"/>
                <w:noProof/>
                <w:lang w:val="es-ES_tradnl"/>
              </w:rPr>
              <w:t>Respuesta a consulta P20220927009729</w:t>
            </w:r>
          </w:p>
          <w:p w14:paraId="5E77A5F1" w14:textId="77777777" w:rsidR="00B92028" w:rsidRPr="003C281F" w:rsidRDefault="00B92028" w:rsidP="00921DDD">
            <w:pPr>
              <w:spacing w:after="0" w:line="240" w:lineRule="auto"/>
              <w:contextualSpacing/>
              <w:rPr>
                <w:rFonts w:ascii="Geomanist Light" w:eastAsia="Calibri" w:hAnsi="Geomanist Light" w:cs="Arial"/>
                <w:noProof/>
                <w:lang w:val="es-ES_tradnl"/>
              </w:rPr>
            </w:pPr>
            <w:r w:rsidRPr="003C281F">
              <w:rPr>
                <w:rFonts w:ascii="Geomanist Light" w:eastAsia="Calibri" w:hAnsi="Geomanist Light" w:cs="Arial"/>
                <w:noProof/>
                <w:lang w:val="es-ES_tradnl"/>
              </w:rPr>
              <w:t xml:space="preserve">                  </w:t>
            </w:r>
          </w:p>
        </w:tc>
      </w:tr>
    </w:tbl>
    <w:p w14:paraId="5CEF2EE3" w14:textId="77777777" w:rsidR="00B92028" w:rsidRPr="003C281F" w:rsidRDefault="00B92028" w:rsidP="00B92028">
      <w:pPr>
        <w:spacing w:after="0"/>
        <w:contextualSpacing/>
        <w:rPr>
          <w:rFonts w:ascii="Geomanist Light" w:eastAsia="Calibri" w:hAnsi="Geomanist Light" w:cs="Arial"/>
          <w:sz w:val="22"/>
          <w:lang w:val="es-CO"/>
        </w:rPr>
      </w:pPr>
    </w:p>
    <w:p w14:paraId="5EE69760" w14:textId="7FEC9E1E" w:rsidR="00B92028" w:rsidRPr="003C281F" w:rsidRDefault="00B92028" w:rsidP="00B92028">
      <w:pPr>
        <w:spacing w:after="0"/>
        <w:contextualSpacing/>
        <w:rPr>
          <w:rFonts w:ascii="Geomanist Light" w:eastAsia="Calibri" w:hAnsi="Geomanist Light" w:cs="Arial"/>
          <w:sz w:val="22"/>
          <w:lang w:val="es-CO"/>
        </w:rPr>
      </w:pPr>
      <w:r w:rsidRPr="003C281F">
        <w:rPr>
          <w:rFonts w:ascii="Geomanist Light" w:eastAsia="Calibri" w:hAnsi="Geomanist Light" w:cs="Arial"/>
          <w:sz w:val="22"/>
          <w:lang w:val="es-CO"/>
        </w:rPr>
        <w:t>Estimad</w:t>
      </w:r>
      <w:r w:rsidR="00014C37" w:rsidRPr="003C281F">
        <w:rPr>
          <w:rFonts w:ascii="Geomanist Light" w:eastAsia="Calibri" w:hAnsi="Geomanist Light" w:cs="Arial"/>
          <w:sz w:val="22"/>
          <w:lang w:val="es-CO"/>
        </w:rPr>
        <w:t>a</w:t>
      </w:r>
      <w:r w:rsidRPr="003C281F">
        <w:rPr>
          <w:rFonts w:ascii="Geomanist Light" w:eastAsia="Calibri" w:hAnsi="Geomanist Light" w:cs="Arial"/>
          <w:sz w:val="22"/>
          <w:lang w:val="es-CO"/>
        </w:rPr>
        <w:t xml:space="preserve"> Señor</w:t>
      </w:r>
      <w:r w:rsidR="00014C37" w:rsidRPr="003C281F">
        <w:rPr>
          <w:rFonts w:ascii="Geomanist Light" w:eastAsia="Calibri" w:hAnsi="Geomanist Light" w:cs="Arial"/>
          <w:sz w:val="22"/>
          <w:lang w:val="es-CO"/>
        </w:rPr>
        <w:t>a</w:t>
      </w:r>
      <w:r w:rsidRPr="003C281F">
        <w:rPr>
          <w:rFonts w:ascii="Geomanist Light" w:eastAsia="Calibri" w:hAnsi="Geomanist Light" w:cs="Arial"/>
          <w:sz w:val="22"/>
          <w:lang w:val="es-CO"/>
        </w:rPr>
        <w:t xml:space="preserve"> </w:t>
      </w:r>
      <w:proofErr w:type="spellStart"/>
      <w:r w:rsidR="00014C37" w:rsidRPr="003C281F">
        <w:rPr>
          <w:rFonts w:ascii="Geomanist Light" w:eastAsia="Calibri" w:hAnsi="Geomanist Light" w:cs="Arial"/>
          <w:sz w:val="22"/>
          <w:lang w:val="es-CO"/>
        </w:rPr>
        <w:t>Monotya</w:t>
      </w:r>
      <w:proofErr w:type="spellEnd"/>
      <w:r w:rsidRPr="003C281F">
        <w:rPr>
          <w:rFonts w:ascii="Geomanist Light" w:eastAsia="Calibri" w:hAnsi="Geomanist Light" w:cs="Arial"/>
          <w:sz w:val="22"/>
          <w:lang w:val="es-CO"/>
        </w:rPr>
        <w:t xml:space="preserve">: </w:t>
      </w:r>
    </w:p>
    <w:p w14:paraId="4F4A20B4" w14:textId="77777777" w:rsidR="00B92028" w:rsidRPr="003C281F" w:rsidRDefault="00B92028" w:rsidP="00B92028">
      <w:pPr>
        <w:spacing w:after="0"/>
        <w:ind w:firstLine="709"/>
        <w:contextualSpacing/>
        <w:rPr>
          <w:rFonts w:ascii="Geomanist Light" w:eastAsia="Calibri" w:hAnsi="Geomanist Light" w:cs="Arial"/>
          <w:sz w:val="22"/>
          <w:lang w:val="es-CO"/>
        </w:rPr>
      </w:pPr>
    </w:p>
    <w:p w14:paraId="69D589A2" w14:textId="2083D67A" w:rsidR="00B92028" w:rsidRPr="003C281F" w:rsidRDefault="00B92028" w:rsidP="00B92028">
      <w:pPr>
        <w:spacing w:after="0"/>
        <w:ind w:right="51"/>
        <w:contextualSpacing/>
        <w:rPr>
          <w:rFonts w:ascii="Geomanist Light" w:eastAsia="Calibri" w:hAnsi="Geomanist Light" w:cs="Arial"/>
          <w:sz w:val="22"/>
          <w:lang w:val="es-CO"/>
        </w:rPr>
      </w:pPr>
      <w:r w:rsidRPr="003C281F">
        <w:rPr>
          <w:rFonts w:ascii="Geomanist Light" w:eastAsia="Calibri" w:hAnsi="Geomanist Light"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radicada el </w:t>
      </w:r>
      <w:r w:rsidR="00014C37" w:rsidRPr="003C281F">
        <w:rPr>
          <w:rFonts w:ascii="Geomanist Light" w:eastAsia="Calibri" w:hAnsi="Geomanist Light" w:cs="Arial"/>
          <w:sz w:val="22"/>
          <w:lang w:val="es-CO"/>
        </w:rPr>
        <w:t>27</w:t>
      </w:r>
      <w:r w:rsidRPr="003C281F">
        <w:rPr>
          <w:rFonts w:ascii="Geomanist Light" w:eastAsia="Calibri" w:hAnsi="Geomanist Light" w:cs="Arial"/>
          <w:sz w:val="22"/>
          <w:lang w:val="es-CO"/>
        </w:rPr>
        <w:t xml:space="preserve"> de septiembre de 2022. </w:t>
      </w:r>
    </w:p>
    <w:p w14:paraId="400DE970" w14:textId="77777777" w:rsidR="00B92028" w:rsidRPr="003C281F" w:rsidRDefault="00B92028" w:rsidP="00B92028">
      <w:pPr>
        <w:spacing w:after="0"/>
        <w:ind w:right="51"/>
        <w:contextualSpacing/>
        <w:rPr>
          <w:rFonts w:ascii="Geomanist Light" w:eastAsia="Calibri" w:hAnsi="Geomanist Light" w:cs="Arial"/>
          <w:sz w:val="22"/>
          <w:lang w:val="es-CO"/>
        </w:rPr>
      </w:pPr>
    </w:p>
    <w:p w14:paraId="70C14281" w14:textId="77777777" w:rsidR="00B92028" w:rsidRPr="003C281F" w:rsidRDefault="00B92028" w:rsidP="00B92028">
      <w:pPr>
        <w:pStyle w:val="Prrafodelista"/>
        <w:numPr>
          <w:ilvl w:val="0"/>
          <w:numId w:val="1"/>
        </w:numPr>
        <w:tabs>
          <w:tab w:val="left" w:pos="284"/>
        </w:tabs>
        <w:spacing w:line="276" w:lineRule="auto"/>
        <w:ind w:left="426"/>
        <w:rPr>
          <w:rFonts w:ascii="Geomanist Light" w:eastAsia="Calibri" w:hAnsi="Geomanist Light" w:cs="Arial"/>
          <w:b/>
          <w:sz w:val="22"/>
          <w:szCs w:val="22"/>
        </w:rPr>
      </w:pPr>
      <w:r w:rsidRPr="003C281F">
        <w:rPr>
          <w:rFonts w:ascii="Geomanist Light" w:eastAsia="Calibri" w:hAnsi="Geomanist Light" w:cs="Arial"/>
          <w:b/>
          <w:sz w:val="22"/>
          <w:szCs w:val="22"/>
        </w:rPr>
        <w:t xml:space="preserve">Problema planteado </w:t>
      </w:r>
    </w:p>
    <w:p w14:paraId="41214061" w14:textId="77777777" w:rsidR="00B92028" w:rsidRPr="003C281F" w:rsidRDefault="00B92028" w:rsidP="00B92028">
      <w:pPr>
        <w:pStyle w:val="Prrafodelista"/>
        <w:tabs>
          <w:tab w:val="left" w:pos="284"/>
        </w:tabs>
        <w:spacing w:line="276" w:lineRule="auto"/>
        <w:rPr>
          <w:rFonts w:ascii="Geomanist Light" w:eastAsia="Calibri" w:hAnsi="Geomanist Light" w:cs="Arial"/>
          <w:b/>
          <w:sz w:val="22"/>
          <w:szCs w:val="22"/>
        </w:rPr>
      </w:pPr>
    </w:p>
    <w:p w14:paraId="64FD6557" w14:textId="7BD8A3D0" w:rsidR="00B92028" w:rsidRDefault="00B92028" w:rsidP="000829C1">
      <w:pPr>
        <w:spacing w:after="0"/>
        <w:rPr>
          <w:rFonts w:ascii="Geomanist Light" w:hAnsi="Geomanist Light" w:cs="Arial"/>
          <w:sz w:val="22"/>
        </w:rPr>
      </w:pPr>
      <w:bookmarkStart w:id="1" w:name="_Hlk103091300"/>
      <w:r w:rsidRPr="003C281F">
        <w:rPr>
          <w:rFonts w:ascii="Geomanist Light" w:eastAsia="Times New Roman" w:hAnsi="Geomanist Light" w:cs="Arial"/>
          <w:sz w:val="22"/>
          <w:lang w:val="es-CO" w:eastAsia="es-CO"/>
        </w:rPr>
        <w:t>Usted formula la siguiente consulta:</w:t>
      </w:r>
      <w:bookmarkStart w:id="2" w:name="_Hlk78966613"/>
      <w:bookmarkStart w:id="3" w:name="_Hlk100226189"/>
      <w:bookmarkEnd w:id="1"/>
      <w:r w:rsidR="000829C1" w:rsidRPr="003C281F">
        <w:rPr>
          <w:rFonts w:ascii="Geomanist Light" w:hAnsi="Geomanist Light" w:cs="Arial"/>
          <w:color w:val="000000" w:themeColor="text1"/>
          <w:sz w:val="22"/>
          <w:lang w:val="es-ES_tradnl"/>
        </w:rPr>
        <w:t xml:space="preserve"> </w:t>
      </w:r>
      <w:r w:rsidRPr="003C281F">
        <w:rPr>
          <w:rFonts w:ascii="Geomanist Light" w:hAnsi="Geomanist Light" w:cs="Arial"/>
          <w:color w:val="000000" w:themeColor="text1"/>
          <w:sz w:val="22"/>
          <w:lang w:val="es-ES_tradnl"/>
        </w:rPr>
        <w:t>«</w:t>
      </w:r>
      <w:bookmarkEnd w:id="2"/>
      <w:r w:rsidRPr="003C281F">
        <w:rPr>
          <w:rFonts w:ascii="Geomanist Light" w:hAnsi="Geomanist Light" w:cs="Arial"/>
          <w:color w:val="000000" w:themeColor="text1"/>
          <w:sz w:val="22"/>
          <w:lang w:val="es-ES_tradnl"/>
        </w:rPr>
        <w:t xml:space="preserve">¿Si la información reportada en el formato 5 (capacidad residual) está avalada por un contador y/o revisor fiscal que da fe pública, se entiende que la información inexacta presentada en dicho formulario la cual no corresponde a la realidad del contrato como ejemplo (valor, plazo, estado de ejecución </w:t>
      </w:r>
      <w:proofErr w:type="spellStart"/>
      <w:r w:rsidRPr="003C281F">
        <w:rPr>
          <w:rFonts w:ascii="Geomanist Light" w:hAnsi="Geomanist Light" w:cs="Arial"/>
          <w:color w:val="000000" w:themeColor="text1"/>
          <w:sz w:val="22"/>
          <w:lang w:val="es-ES_tradnl"/>
        </w:rPr>
        <w:t>etc</w:t>
      </w:r>
      <w:proofErr w:type="spellEnd"/>
      <w:r w:rsidRPr="003C281F">
        <w:rPr>
          <w:rFonts w:ascii="Geomanist Light" w:hAnsi="Geomanist Light" w:cs="Arial"/>
          <w:color w:val="000000" w:themeColor="text1"/>
          <w:sz w:val="22"/>
          <w:lang w:val="es-ES_tradnl"/>
        </w:rPr>
        <w:t>) tiene connotación de posible falsedad y por tal razón sería un requisito insubsanable por ser aplicable la causal de rechazo H del pliego tipo?»</w:t>
      </w:r>
      <w:bookmarkEnd w:id="3"/>
      <w:r w:rsidRPr="003C281F">
        <w:rPr>
          <w:rFonts w:ascii="Geomanist Light" w:hAnsi="Geomanist Light" w:cs="Arial"/>
          <w:sz w:val="22"/>
        </w:rPr>
        <w:t xml:space="preserve"> [sic].</w:t>
      </w:r>
    </w:p>
    <w:p w14:paraId="7FCCEBD8" w14:textId="77777777" w:rsidR="000829C1" w:rsidRPr="003C281F" w:rsidRDefault="000829C1" w:rsidP="003C281F">
      <w:pPr>
        <w:spacing w:after="0"/>
        <w:rPr>
          <w:rFonts w:ascii="Geomanist Light" w:hAnsi="Geomanist Light" w:cs="Arial"/>
          <w:color w:val="000000" w:themeColor="text1"/>
          <w:sz w:val="22"/>
          <w:lang w:val="es-ES_tradnl"/>
        </w:rPr>
      </w:pPr>
    </w:p>
    <w:p w14:paraId="6825A18E" w14:textId="77777777" w:rsidR="00B92028" w:rsidRPr="003C281F" w:rsidRDefault="00B92028" w:rsidP="00B92028">
      <w:pPr>
        <w:pStyle w:val="NormalWeb"/>
        <w:spacing w:before="0" w:beforeAutospacing="0" w:after="0" w:afterAutospacing="0"/>
        <w:ind w:right="709"/>
        <w:contextualSpacing/>
        <w:rPr>
          <w:rFonts w:ascii="Geomanist Light" w:eastAsia="Calibri" w:hAnsi="Geomanist Light" w:cs="Arial"/>
          <w:b/>
          <w:sz w:val="22"/>
          <w:szCs w:val="22"/>
        </w:rPr>
      </w:pPr>
      <w:r w:rsidRPr="003C281F">
        <w:rPr>
          <w:rFonts w:ascii="Geomanist Light" w:eastAsia="Calibri" w:hAnsi="Geomanist Light" w:cs="Arial"/>
          <w:b/>
          <w:sz w:val="22"/>
          <w:szCs w:val="22"/>
        </w:rPr>
        <w:t>2. Consideraciones</w:t>
      </w:r>
    </w:p>
    <w:p w14:paraId="7E62AE34" w14:textId="62A8222B" w:rsidR="00B92028" w:rsidRPr="003C281F" w:rsidRDefault="00B92028" w:rsidP="003C281F">
      <w:pPr>
        <w:spacing w:before="120"/>
        <w:rPr>
          <w:rStyle w:val="normaltextrun"/>
          <w:rFonts w:ascii="Geomanist Light" w:eastAsia="Calibri" w:hAnsi="Geomanist Light" w:cs="Arial"/>
          <w:color w:val="000000" w:themeColor="text1"/>
          <w:sz w:val="22"/>
        </w:rPr>
      </w:pPr>
      <w:bookmarkStart w:id="4" w:name="_Hlk57650395"/>
      <w:r w:rsidRPr="003C281F">
        <w:rPr>
          <w:rFonts w:ascii="Geomanist Light" w:eastAsia="Calibri" w:hAnsi="Geomanist Light" w:cs="Arial"/>
          <w:color w:val="000000" w:themeColor="text1"/>
          <w:sz w:val="22"/>
        </w:rPr>
        <w:t>La Agencia Nacional de Contratación Pública − Colombia Compra Eficiente en los conceptos del 13, 20 y 25 de septiembre de 2019 −radicados Nos. 2201913000006805, 2201913000007017, 2201913000007009, 2201913000007117, respectivamente−, estudió las causales de rechazo en los documentos tipo. Igualmente, 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21 de agosto de 2020, C-642 de 30 de octubre de 2020, C-720 del 11 de diciembre de 2020, C-042 del 4 de marzo de 2021, C-460 del 2 de septiembre de 2021 y C-513 del 23 de septiembre de 2021, analizó el rechazo de propuestas por falta de acreditación del requisito de capacidad residual. Las tesis desarrolladas en estos conceptos en lo pertinente se reiteran a continuación:</w:t>
      </w:r>
    </w:p>
    <w:p w14:paraId="6C720CEA" w14:textId="436A5E15" w:rsidR="00B92028" w:rsidRPr="003C281F" w:rsidRDefault="00B92028" w:rsidP="00B92028">
      <w:pPr>
        <w:tabs>
          <w:tab w:val="left" w:pos="426"/>
        </w:tabs>
        <w:rPr>
          <w:rFonts w:ascii="Geomanist Light" w:hAnsi="Geomanist Light" w:cs="Arial"/>
          <w:b/>
          <w:bCs/>
          <w:sz w:val="22"/>
          <w:szCs w:val="20"/>
        </w:rPr>
      </w:pPr>
      <w:r w:rsidRPr="003C281F">
        <w:rPr>
          <w:rFonts w:ascii="Geomanist Light" w:eastAsia="Calibri" w:hAnsi="Geomanist Light" w:cs="Arial"/>
          <w:b/>
          <w:bCs/>
          <w:color w:val="000000"/>
          <w:sz w:val="22"/>
          <w:lang w:eastAsia="en-GB"/>
        </w:rPr>
        <w:t>2.1. La capacidad residual y su relación con las causales de rechazo de la oferta en los documentos tipo de</w:t>
      </w:r>
      <w:r w:rsidRPr="003C281F">
        <w:rPr>
          <w:rFonts w:ascii="Geomanist Light" w:eastAsia="Calibri" w:hAnsi="Geomanist Light" w:cs="Arial"/>
          <w:color w:val="000000" w:themeColor="text1"/>
          <w:sz w:val="22"/>
        </w:rPr>
        <w:t xml:space="preserve"> </w:t>
      </w:r>
      <w:r w:rsidRPr="003C281F">
        <w:rPr>
          <w:rFonts w:ascii="Geomanist Light" w:eastAsia="Calibri" w:hAnsi="Geomanist Light" w:cs="Arial"/>
          <w:b/>
          <w:bCs/>
          <w:color w:val="000000"/>
          <w:sz w:val="22"/>
          <w:lang w:eastAsia="en-GB"/>
        </w:rPr>
        <w:t>licitación de obra pública de infraestructura de transporte – versión 3</w:t>
      </w:r>
    </w:p>
    <w:p w14:paraId="67004A66" w14:textId="7BA35114" w:rsidR="00B92028" w:rsidRPr="003C281F" w:rsidRDefault="00B92028" w:rsidP="00B92028">
      <w:pPr>
        <w:tabs>
          <w:tab w:val="left" w:pos="426"/>
        </w:tabs>
        <w:rPr>
          <w:rFonts w:ascii="Geomanist Light" w:eastAsia="Calibri" w:hAnsi="Geomanist Light" w:cs="Arial"/>
          <w:b/>
          <w:bCs/>
          <w:color w:val="000000"/>
          <w:sz w:val="22"/>
          <w:lang w:eastAsia="en-GB"/>
        </w:rPr>
      </w:pPr>
      <w:r w:rsidRPr="003C281F">
        <w:rPr>
          <w:rFonts w:ascii="Geomanist Light" w:eastAsia="Calibri" w:hAnsi="Geomanist Light" w:cs="Arial"/>
          <w:sz w:val="22"/>
          <w:szCs w:val="20"/>
        </w:rPr>
        <w:t>El numeral 3.10 del documento base de obra de licitación para obra pública de infraestructura de transporte –versión 3– establece como requisito habilitante la capacidad residual. En este documento tipo, al menos tres causales de rechazo del numeral 1.15 se relacionan con la capacidad residual como requisito habilitante, esto es, los literales E, H y Z. Estas causales disponen lo siguiente:</w:t>
      </w:r>
    </w:p>
    <w:p w14:paraId="113319E0" w14:textId="77777777" w:rsidR="00B92028" w:rsidRPr="003C281F" w:rsidRDefault="00B92028" w:rsidP="00B92028">
      <w:pPr>
        <w:spacing w:after="160"/>
        <w:ind w:left="709" w:right="709"/>
        <w:rPr>
          <w:rFonts w:ascii="Geomanist Light" w:eastAsia="Calibri" w:hAnsi="Geomanist Light" w:cs="Arial"/>
          <w:b/>
          <w:bCs/>
          <w:sz w:val="21"/>
          <w:szCs w:val="21"/>
        </w:rPr>
      </w:pPr>
      <w:r w:rsidRPr="003C281F">
        <w:rPr>
          <w:rFonts w:ascii="Geomanist Light" w:eastAsia="Calibri" w:hAnsi="Geomanist Light" w:cs="Arial"/>
          <w:b/>
          <w:bCs/>
          <w:sz w:val="21"/>
          <w:szCs w:val="21"/>
        </w:rPr>
        <w:t>1.15.</w:t>
      </w:r>
      <w:r w:rsidRPr="003C281F">
        <w:rPr>
          <w:rFonts w:ascii="Geomanist Light" w:eastAsia="Calibri" w:hAnsi="Geomanist Light" w:cs="Arial"/>
          <w:b/>
          <w:bCs/>
          <w:sz w:val="21"/>
          <w:szCs w:val="21"/>
        </w:rPr>
        <w:tab/>
        <w:t xml:space="preserve">CAUSALES DE RECHAZO </w:t>
      </w:r>
    </w:p>
    <w:p w14:paraId="707472A6" w14:textId="77777777" w:rsidR="00B92028" w:rsidRPr="003C281F" w:rsidRDefault="00B92028" w:rsidP="00B92028">
      <w:pPr>
        <w:spacing w:after="160"/>
        <w:ind w:left="709" w:right="709"/>
        <w:rPr>
          <w:rFonts w:ascii="Geomanist Light" w:eastAsia="Calibri" w:hAnsi="Geomanist Light" w:cs="Arial"/>
          <w:sz w:val="21"/>
          <w:szCs w:val="21"/>
        </w:rPr>
      </w:pPr>
      <w:r w:rsidRPr="003C281F">
        <w:rPr>
          <w:rFonts w:ascii="Geomanist Light" w:eastAsia="Calibri" w:hAnsi="Geomanist Light" w:cs="Arial"/>
          <w:sz w:val="21"/>
          <w:szCs w:val="21"/>
        </w:rPr>
        <w:t>Son causales de rechazo las siguientes [Las Entidades no podrán modificar o incluir causales de rechazo distintas a las señaladas en la presente sección]:</w:t>
      </w:r>
    </w:p>
    <w:p w14:paraId="3E5F4710" w14:textId="77777777" w:rsidR="00B92028" w:rsidRPr="003C281F" w:rsidRDefault="00B92028" w:rsidP="00B92028">
      <w:pPr>
        <w:spacing w:after="120"/>
        <w:ind w:left="709" w:right="709"/>
        <w:rPr>
          <w:rFonts w:ascii="Geomanist Light" w:eastAsia="Calibri" w:hAnsi="Geomanist Light" w:cs="Arial"/>
          <w:sz w:val="21"/>
          <w:szCs w:val="21"/>
        </w:rPr>
      </w:pPr>
      <w:r w:rsidRPr="003C281F">
        <w:rPr>
          <w:rFonts w:ascii="Geomanist Light" w:eastAsia="Calibri" w:hAnsi="Geomanist Light" w:cs="Arial"/>
          <w:sz w:val="21"/>
          <w:szCs w:val="21"/>
        </w:rPr>
        <w:t>[…]</w:t>
      </w:r>
    </w:p>
    <w:p w14:paraId="6835F4EC" w14:textId="77777777" w:rsidR="00B92028" w:rsidRPr="003C281F" w:rsidRDefault="00B92028" w:rsidP="00B92028">
      <w:pPr>
        <w:spacing w:after="160"/>
        <w:ind w:left="709" w:right="709"/>
        <w:rPr>
          <w:rFonts w:ascii="Geomanist Light" w:eastAsia="Calibri" w:hAnsi="Geomanist Light" w:cs="Arial"/>
          <w:sz w:val="21"/>
          <w:szCs w:val="21"/>
        </w:rPr>
      </w:pPr>
      <w:r w:rsidRPr="003C281F">
        <w:rPr>
          <w:rFonts w:ascii="Geomanist Light" w:eastAsia="Calibri" w:hAnsi="Geomanist Light" w:cs="Arial"/>
          <w:sz w:val="21"/>
          <w:szCs w:val="21"/>
        </w:rPr>
        <w:t>E. Que el Proponente no aclare, subsane o aporte documentos necesarios para el cumplimiento de un requisito habilitante en los términos establecidos en la sección 1.6.</w:t>
      </w:r>
    </w:p>
    <w:p w14:paraId="7901DFD7" w14:textId="77777777" w:rsidR="00B92028" w:rsidRPr="003C281F" w:rsidRDefault="00B92028" w:rsidP="00B92028">
      <w:pPr>
        <w:spacing w:after="160"/>
        <w:ind w:left="709" w:right="709"/>
        <w:rPr>
          <w:rFonts w:ascii="Geomanist Light" w:eastAsia="Calibri" w:hAnsi="Geomanist Light" w:cs="Arial"/>
          <w:sz w:val="21"/>
          <w:szCs w:val="21"/>
        </w:rPr>
      </w:pPr>
      <w:r w:rsidRPr="003C281F">
        <w:rPr>
          <w:rFonts w:ascii="Geomanist Light" w:eastAsia="Calibri" w:hAnsi="Geomanist Light" w:cs="Arial"/>
          <w:sz w:val="21"/>
          <w:szCs w:val="21"/>
        </w:rPr>
        <w:t>[…]</w:t>
      </w:r>
    </w:p>
    <w:p w14:paraId="57F540B4" w14:textId="77777777" w:rsidR="00B92028" w:rsidRPr="003C281F" w:rsidRDefault="00B92028" w:rsidP="00B92028">
      <w:pPr>
        <w:spacing w:before="120" w:after="160"/>
        <w:ind w:left="709" w:right="709"/>
        <w:rPr>
          <w:rFonts w:ascii="Geomanist Light" w:eastAsia="Calibri" w:hAnsi="Geomanist Light" w:cs="Arial"/>
          <w:sz w:val="21"/>
          <w:szCs w:val="21"/>
        </w:rPr>
      </w:pPr>
      <w:r w:rsidRPr="003C281F">
        <w:rPr>
          <w:rFonts w:ascii="Geomanist Light" w:eastAsia="Calibri" w:hAnsi="Geomanist Light" w:cs="Arial"/>
          <w:sz w:val="21"/>
          <w:szCs w:val="21"/>
        </w:rPr>
        <w:t>H. Que el Proponente aporte información inexacta sobre la cual pueda existir una posible falsedad en los términos de la sección 1.11.</w:t>
      </w:r>
    </w:p>
    <w:p w14:paraId="76C00E22" w14:textId="77777777" w:rsidR="00B92028" w:rsidRPr="003C281F" w:rsidRDefault="00B92028" w:rsidP="00B92028">
      <w:pPr>
        <w:spacing w:after="120"/>
        <w:ind w:left="709" w:right="709"/>
        <w:rPr>
          <w:rFonts w:ascii="Geomanist Light" w:eastAsia="Calibri" w:hAnsi="Geomanist Light" w:cs="Arial"/>
          <w:sz w:val="21"/>
          <w:szCs w:val="21"/>
        </w:rPr>
      </w:pPr>
      <w:r w:rsidRPr="003C281F">
        <w:rPr>
          <w:rFonts w:ascii="Geomanist Light" w:eastAsia="Calibri" w:hAnsi="Geomanist Light" w:cs="Arial"/>
          <w:sz w:val="21"/>
          <w:szCs w:val="21"/>
        </w:rPr>
        <w:t>[…]</w:t>
      </w:r>
    </w:p>
    <w:p w14:paraId="162714C9" w14:textId="1185EE06" w:rsidR="00B92028" w:rsidRPr="003C281F" w:rsidRDefault="00B92028" w:rsidP="00B92028">
      <w:pPr>
        <w:ind w:left="709" w:right="709"/>
        <w:rPr>
          <w:rFonts w:ascii="Geomanist Light" w:eastAsia="Calibri" w:hAnsi="Geomanist Light" w:cs="Arial"/>
          <w:sz w:val="21"/>
          <w:szCs w:val="21"/>
        </w:rPr>
      </w:pPr>
      <w:r w:rsidRPr="003C281F">
        <w:rPr>
          <w:rFonts w:ascii="Geomanist Light" w:eastAsia="Calibri" w:hAnsi="Geomanist Light" w:cs="Arial"/>
          <w:sz w:val="21"/>
          <w:szCs w:val="21"/>
        </w:rPr>
        <w:t>Z. No informar todos los contratos que el Proponente tenga en ejecución antes del cierre, necesarios para acreditar su capacidad residual conforme a la sección 3.10.</w:t>
      </w:r>
    </w:p>
    <w:p w14:paraId="745525B4" w14:textId="77777777" w:rsidR="00B92028" w:rsidRPr="003C281F" w:rsidRDefault="00B92028" w:rsidP="00B92028">
      <w:pPr>
        <w:spacing w:after="160"/>
        <w:ind w:firstLine="708"/>
        <w:rPr>
          <w:rFonts w:ascii="Geomanist Light" w:eastAsia="Calibri" w:hAnsi="Geomanist Light" w:cs="Arial"/>
          <w:sz w:val="22"/>
          <w:szCs w:val="20"/>
        </w:rPr>
      </w:pPr>
      <w:r w:rsidRPr="003C281F">
        <w:rPr>
          <w:rFonts w:ascii="Geomanist Light" w:eastAsia="Calibri" w:hAnsi="Geomanist Light" w:cs="Arial"/>
          <w:sz w:val="22"/>
          <w:szCs w:val="20"/>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01945D8F" w14:textId="77777777" w:rsidR="00B92028" w:rsidRPr="003C281F" w:rsidRDefault="00B92028" w:rsidP="00B92028">
      <w:pPr>
        <w:spacing w:before="120" w:after="160"/>
        <w:ind w:firstLine="708"/>
        <w:rPr>
          <w:rFonts w:ascii="Geomanist Light" w:eastAsia="Calibri" w:hAnsi="Geomanist Light" w:cs="Arial"/>
          <w:i/>
          <w:iCs/>
          <w:sz w:val="22"/>
        </w:rPr>
      </w:pPr>
      <w:r w:rsidRPr="003C281F">
        <w:rPr>
          <w:rFonts w:ascii="Geomanist Light" w:eastAsia="Calibri" w:hAnsi="Geomanist Light" w:cs="Arial"/>
          <w:i/>
          <w:sz w:val="22"/>
          <w:szCs w:val="20"/>
        </w:rPr>
        <w:t>i)</w:t>
      </w:r>
      <w:r w:rsidRPr="003C281F">
        <w:rPr>
          <w:rFonts w:ascii="Geomanist Light" w:eastAsia="Calibri" w:hAnsi="Geomanist Light" w:cs="Arial"/>
          <w:sz w:val="22"/>
          <w:szCs w:val="20"/>
        </w:rPr>
        <w:t xml:space="preserve">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w:t>
      </w:r>
      <w:r w:rsidRPr="003C281F">
        <w:rPr>
          <w:rFonts w:ascii="Geomanist Light" w:eastAsia="Calibri" w:hAnsi="Geomanist Light" w:cs="Arial"/>
          <w:sz w:val="22"/>
        </w:rPr>
        <w:t>configuración de la causal de rechazo del literal Z es objetiva, pues solo aplica ante la omisión del proponente de informar el número total de contratos en ejecución antes del cierre</w:t>
      </w:r>
      <w:r w:rsidRPr="003C281F">
        <w:rPr>
          <w:rFonts w:ascii="Geomanist Light" w:eastAsia="Calibri" w:hAnsi="Geomanist Light" w:cs="Arial"/>
          <w:sz w:val="22"/>
          <w:szCs w:val="20"/>
        </w:rPr>
        <w:t xml:space="preserve">. </w:t>
      </w:r>
    </w:p>
    <w:p w14:paraId="33D5F178" w14:textId="77777777" w:rsidR="00B92028" w:rsidRPr="003C281F" w:rsidRDefault="00B92028" w:rsidP="00B92028">
      <w:pPr>
        <w:spacing w:before="120" w:after="160"/>
        <w:ind w:firstLine="708"/>
        <w:rPr>
          <w:rFonts w:ascii="Geomanist Light" w:eastAsia="Calibri" w:hAnsi="Geomanist Light" w:cs="Arial"/>
          <w:sz w:val="22"/>
          <w:szCs w:val="20"/>
        </w:rPr>
      </w:pPr>
      <w:r w:rsidRPr="003C281F">
        <w:rPr>
          <w:rFonts w:ascii="Geomanist Light" w:eastAsia="Calibri" w:hAnsi="Geomanist Light" w:cs="Arial"/>
          <w:i/>
          <w:sz w:val="22"/>
          <w:szCs w:val="20"/>
        </w:rPr>
        <w:t xml:space="preserve">ii) </w:t>
      </w:r>
      <w:r w:rsidRPr="003C281F">
        <w:rPr>
          <w:rFonts w:ascii="Geomanist Light" w:eastAsia="Calibri" w:hAnsi="Geomanist Light" w:cs="Arial"/>
          <w:sz w:val="22"/>
          <w:szCs w:val="20"/>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7D0A02AD" w14:textId="55D586DB" w:rsidR="00B92028" w:rsidRPr="003C281F" w:rsidRDefault="00B92028" w:rsidP="00B92028">
      <w:pPr>
        <w:spacing w:before="120"/>
        <w:ind w:firstLine="708"/>
        <w:rPr>
          <w:rFonts w:ascii="Geomanist Light" w:eastAsia="Calibri" w:hAnsi="Geomanist Light" w:cs="Arial"/>
          <w:sz w:val="22"/>
          <w:szCs w:val="20"/>
        </w:rPr>
      </w:pPr>
      <w:r w:rsidRPr="003C281F">
        <w:rPr>
          <w:rFonts w:ascii="Geomanist Light" w:eastAsia="Calibri" w:hAnsi="Geomanist Light" w:cs="Arial"/>
          <w:i/>
          <w:sz w:val="22"/>
          <w:szCs w:val="20"/>
        </w:rPr>
        <w:t xml:space="preserve">iii) </w:t>
      </w:r>
      <w:r w:rsidRPr="003C281F">
        <w:rPr>
          <w:rFonts w:ascii="Geomanist Light" w:eastAsia="Calibri" w:hAnsi="Geomanist Light" w:cs="Arial"/>
          <w:sz w:val="22"/>
          <w:szCs w:val="20"/>
        </w:rPr>
        <w:t xml:space="preserve">Lo dicho en los numerales precedentes tampoco descarta la posibilidad de que la entidad rechace la oferta si encuentra configurada la causal establecida en el literal H del numeral 1.15, que aplica </w:t>
      </w:r>
      <w:bookmarkStart w:id="5" w:name="_Hlk88663672"/>
      <w:r w:rsidRPr="003C281F">
        <w:rPr>
          <w:rFonts w:ascii="Geomanist Light" w:eastAsia="Calibri" w:hAnsi="Geomanist Light" w:cs="Arial"/>
          <w:sz w:val="22"/>
          <w:szCs w:val="20"/>
        </w:rPr>
        <w:t>cuando el proponente aporta información inexacta</w:t>
      </w:r>
      <w:bookmarkEnd w:id="5"/>
      <w:r w:rsidRPr="003C281F">
        <w:rPr>
          <w:rFonts w:ascii="Geomanist Light" w:eastAsia="Calibri" w:hAnsi="Geomanist Light" w:cs="Arial"/>
          <w:sz w:val="22"/>
          <w:szCs w:val="20"/>
        </w:rPr>
        <w:t xml:space="preserve">, de acuerdo con lo señalado en el numeral 1.11. del documento base: </w:t>
      </w:r>
    </w:p>
    <w:p w14:paraId="0415A6F1" w14:textId="77777777" w:rsidR="00B92028" w:rsidRPr="003C281F" w:rsidRDefault="00B92028" w:rsidP="00B92028">
      <w:pPr>
        <w:spacing w:after="120"/>
        <w:ind w:left="709" w:right="709"/>
        <w:rPr>
          <w:rFonts w:ascii="Geomanist Light" w:hAnsi="Geomanist Light" w:cs="Arial"/>
          <w:b/>
          <w:bCs/>
          <w:sz w:val="21"/>
          <w:szCs w:val="21"/>
        </w:rPr>
      </w:pPr>
      <w:bookmarkStart w:id="6" w:name="_Toc508648251"/>
      <w:bookmarkStart w:id="7" w:name="_Toc508984035"/>
      <w:bookmarkStart w:id="8" w:name="_Toc509843865"/>
      <w:bookmarkStart w:id="9" w:name="_Toc511924773"/>
      <w:bookmarkStart w:id="10" w:name="_Toc520226862"/>
      <w:bookmarkStart w:id="11" w:name="_Toc520297832"/>
      <w:bookmarkStart w:id="12" w:name="_Toc520317097"/>
      <w:bookmarkStart w:id="13" w:name="_Toc533083698"/>
      <w:bookmarkStart w:id="14" w:name="_Ref4940712"/>
      <w:bookmarkStart w:id="15" w:name="_Toc5006129"/>
      <w:r w:rsidRPr="003C281F">
        <w:rPr>
          <w:rFonts w:ascii="Geomanist Light" w:hAnsi="Geomanist Light" w:cs="Arial"/>
          <w:b/>
          <w:bCs/>
          <w:sz w:val="21"/>
          <w:szCs w:val="21"/>
        </w:rPr>
        <w:t>1.11 INFORMACIÓN INEXACTA</w:t>
      </w:r>
      <w:bookmarkEnd w:id="6"/>
      <w:bookmarkEnd w:id="7"/>
      <w:bookmarkEnd w:id="8"/>
      <w:bookmarkEnd w:id="9"/>
      <w:bookmarkEnd w:id="10"/>
      <w:bookmarkEnd w:id="11"/>
      <w:bookmarkEnd w:id="12"/>
      <w:bookmarkEnd w:id="13"/>
      <w:bookmarkEnd w:id="14"/>
      <w:bookmarkEnd w:id="15"/>
      <w:r w:rsidRPr="003C281F">
        <w:rPr>
          <w:rFonts w:ascii="Geomanist Light" w:hAnsi="Geomanist Light" w:cs="Arial"/>
          <w:b/>
          <w:bCs/>
          <w:sz w:val="21"/>
          <w:szCs w:val="21"/>
        </w:rPr>
        <w:t xml:space="preserve"> </w:t>
      </w:r>
    </w:p>
    <w:p w14:paraId="4DB21FA0" w14:textId="77777777" w:rsidR="00B92028" w:rsidRPr="003C281F" w:rsidRDefault="00B92028" w:rsidP="00B92028">
      <w:pPr>
        <w:spacing w:after="120"/>
        <w:ind w:left="709" w:right="709"/>
        <w:rPr>
          <w:rFonts w:ascii="Geomanist Light" w:hAnsi="Geomanist Light" w:cs="Arial"/>
          <w:sz w:val="21"/>
          <w:szCs w:val="21"/>
        </w:rPr>
      </w:pPr>
      <w:r w:rsidRPr="003C281F">
        <w:rPr>
          <w:rFonts w:ascii="Geomanist Light" w:hAnsi="Geomanist Light" w:cs="Arial"/>
          <w:sz w:val="21"/>
          <w:szCs w:val="21"/>
        </w:rPr>
        <w:t xml:space="preserve">La Entidad se reserva el derecho de verificar integralmente la información aportada por el Proponente. Para esto, puede acudir a las autoridades, personas, empresas o entidades respectivas. </w:t>
      </w:r>
    </w:p>
    <w:p w14:paraId="4574202E" w14:textId="77777777" w:rsidR="00B92028" w:rsidRPr="003C281F" w:rsidRDefault="00B92028" w:rsidP="00B92028">
      <w:pPr>
        <w:spacing w:after="120"/>
        <w:ind w:left="709" w:right="709"/>
        <w:rPr>
          <w:rFonts w:ascii="Geomanist Light" w:hAnsi="Geomanist Light" w:cs="Arial"/>
          <w:sz w:val="21"/>
          <w:szCs w:val="21"/>
        </w:rPr>
      </w:pPr>
      <w:r w:rsidRPr="003C281F">
        <w:rPr>
          <w:rFonts w:ascii="Geomanist Light" w:hAnsi="Geomanist Light" w:cs="Arial"/>
          <w:sz w:val="21"/>
          <w:szCs w:val="21"/>
        </w:rPr>
        <w:t xml:space="preserve">Cuando exista inconsistencia entre la información suministrada por el Proponente y la efectivamente verificada por la Entidad, la información que pretende demostrar el Proponente se tendrá por no acreditada. </w:t>
      </w:r>
    </w:p>
    <w:p w14:paraId="040CD05D" w14:textId="47F15CE7" w:rsidR="00B92028" w:rsidRPr="003C281F" w:rsidRDefault="00B92028" w:rsidP="00B92028">
      <w:pPr>
        <w:ind w:left="709" w:right="709"/>
        <w:rPr>
          <w:rFonts w:ascii="Geomanist Light" w:hAnsi="Geomanist Light" w:cs="Arial"/>
          <w:sz w:val="21"/>
          <w:szCs w:val="21"/>
        </w:rPr>
      </w:pPr>
      <w:r w:rsidRPr="003C281F">
        <w:rPr>
          <w:rFonts w:ascii="Geomanist Light" w:hAnsi="Geomanist Light" w:cs="Arial"/>
          <w:sz w:val="21"/>
          <w:szCs w:val="21"/>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7AA22F5D" w14:textId="77777777" w:rsidR="00B92028" w:rsidRPr="003C281F" w:rsidRDefault="00B92028" w:rsidP="003C281F">
      <w:pPr>
        <w:spacing w:after="120"/>
        <w:ind w:firstLine="709"/>
        <w:rPr>
          <w:rFonts w:ascii="Geomanist Light" w:eastAsia="Calibri" w:hAnsi="Geomanist Light" w:cs="Arial"/>
          <w:sz w:val="22"/>
        </w:rPr>
      </w:pPr>
      <w:proofErr w:type="gramStart"/>
      <w:r w:rsidRPr="003C281F">
        <w:rPr>
          <w:rFonts w:ascii="Geomanist Light" w:eastAsia="Calibri" w:hAnsi="Geomanist Light" w:cs="Arial"/>
          <w:sz w:val="22"/>
        </w:rPr>
        <w:t>Este numeral faculta</w:t>
      </w:r>
      <w:proofErr w:type="gramEnd"/>
      <w:r w:rsidRPr="003C281F">
        <w:rPr>
          <w:rFonts w:ascii="Geomanist Light" w:eastAsia="Calibri" w:hAnsi="Geomanist Light" w:cs="Arial"/>
          <w:sz w:val="22"/>
        </w:rPr>
        <w:t xml:space="preserve">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3C281F">
        <w:rPr>
          <w:rFonts w:ascii="Geomanist Light" w:eastAsia="Calibri" w:hAnsi="Geomanist Light" w:cs="Arial"/>
          <w:sz w:val="22"/>
          <w:vertAlign w:val="superscript"/>
        </w:rPr>
        <w:footnoteReference w:id="1"/>
      </w:r>
      <w:r w:rsidRPr="003C281F">
        <w:rPr>
          <w:rFonts w:ascii="Geomanist Light" w:eastAsia="Calibri" w:hAnsi="Geomanist Light" w:cs="Arial"/>
          <w:sz w:val="22"/>
        </w:rPr>
        <w:t>. Conforme a ello, la prerrogativa de verificación es una herramienta para que la Administración adquiera certeza en el cumplimiento de los requisitos del procedimiento de selección y del comportamiento leal que se exige a los proponentes.</w:t>
      </w:r>
    </w:p>
    <w:p w14:paraId="3AFFE9BD" w14:textId="77777777" w:rsidR="00B92028" w:rsidRPr="003C281F" w:rsidRDefault="00B92028" w:rsidP="003C281F">
      <w:pPr>
        <w:spacing w:before="120" w:after="120"/>
        <w:ind w:firstLine="708"/>
        <w:rPr>
          <w:rFonts w:ascii="Geomanist Light" w:hAnsi="Geomanist Light" w:cs="Arial"/>
          <w:sz w:val="22"/>
          <w:lang w:eastAsia="es-CO"/>
        </w:rPr>
      </w:pPr>
      <w:r w:rsidRPr="003C281F">
        <w:rPr>
          <w:rFonts w:ascii="Geomanist Light" w:hAnsi="Geomanist Light" w:cs="Arial"/>
          <w:sz w:val="22"/>
          <w:lang w:eastAsia="es-CO"/>
        </w:rPr>
        <w:t>Según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06B6C152" w14:textId="48ADE4E7" w:rsidR="00B92028" w:rsidRPr="003C281F" w:rsidRDefault="00B92028" w:rsidP="003C281F">
      <w:pPr>
        <w:spacing w:before="120" w:after="120"/>
        <w:ind w:firstLine="709"/>
        <w:rPr>
          <w:rFonts w:ascii="Geomanist Light" w:eastAsia="Calibri" w:hAnsi="Geomanist Light" w:cs="Arial"/>
          <w:sz w:val="22"/>
        </w:rPr>
      </w:pPr>
      <w:r w:rsidRPr="003C281F">
        <w:rPr>
          <w:rFonts w:ascii="Geomanist Light" w:eastAsia="Calibri" w:hAnsi="Geomanist Light" w:cs="Arial"/>
          <w:sz w:val="22"/>
        </w:rPr>
        <w:t xml:space="preserve">La regla de verificación de la información prevista en el numeral 1.11 del documento base aplica frente a la totalidad de la información y documentación aportada para cumplir los requisitos exigidos en el pliego de condiciones. Además, consagra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2C23091C" w14:textId="77777777" w:rsidR="00B92028" w:rsidRPr="003C281F" w:rsidRDefault="00B92028" w:rsidP="003C281F">
      <w:pPr>
        <w:spacing w:before="120" w:after="120"/>
        <w:ind w:firstLine="709"/>
        <w:rPr>
          <w:rFonts w:ascii="Geomanist Light" w:eastAsia="Calibri" w:hAnsi="Geomanist Light" w:cs="Arial"/>
          <w:sz w:val="22"/>
        </w:rPr>
      </w:pPr>
      <w:r w:rsidRPr="003C281F">
        <w:rPr>
          <w:rFonts w:ascii="Geomanist Light" w:eastAsia="Calibri" w:hAnsi="Geomanist Light" w:cs="Arial"/>
          <w:sz w:val="22"/>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572131FD" w14:textId="77777777" w:rsidR="00B92028" w:rsidRPr="003C281F" w:rsidRDefault="00B92028" w:rsidP="003C281F">
      <w:pPr>
        <w:spacing w:before="120" w:after="120"/>
        <w:ind w:firstLine="708"/>
        <w:rPr>
          <w:rFonts w:ascii="Geomanist Light" w:eastAsia="Calibri" w:hAnsi="Geomanist Light" w:cs="Arial"/>
          <w:sz w:val="22"/>
        </w:rPr>
      </w:pPr>
      <w:r w:rsidRPr="003C281F">
        <w:rPr>
          <w:rFonts w:ascii="Geomanist Light" w:eastAsia="Calibri" w:hAnsi="Geomanist Light" w:cs="Arial"/>
          <w:sz w:val="22"/>
        </w:rPr>
        <w:t>Ahora bien, aunque las</w:t>
      </w:r>
      <w:r w:rsidRPr="003C281F">
        <w:rPr>
          <w:rFonts w:ascii="Geomanist Light" w:eastAsia="Calibri" w:hAnsi="Geomanist Light" w:cs="Arial"/>
          <w:sz w:val="22"/>
          <w:szCs w:val="20"/>
        </w:rPr>
        <w:t xml:space="preserve"> causales de rechazo del literal E, H y Z del numeral 1.15 de los documentos tipo se relacionan con la capacidad residual como requisito habilitante</w:t>
      </w:r>
      <w:r w:rsidRPr="003C281F">
        <w:rPr>
          <w:rFonts w:ascii="Geomanist Light" w:eastAsia="Calibri" w:hAnsi="Geomanist Light" w:cs="Arial"/>
          <w:sz w:val="22"/>
        </w:rPr>
        <w:t xml:space="preserve">, estas se aplican en supuestos diferentes, de acuerdo con lo explicado </w:t>
      </w:r>
      <w:r w:rsidRPr="003C281F">
        <w:rPr>
          <w:rFonts w:ascii="Geomanist Light" w:eastAsia="Calibri" w:hAnsi="Geomanist Light" w:cs="Arial"/>
          <w:i/>
          <w:sz w:val="22"/>
        </w:rPr>
        <w:t>ut supra</w:t>
      </w:r>
      <w:r w:rsidRPr="003C281F">
        <w:rPr>
          <w:rFonts w:ascii="Geomanist Light" w:eastAsia="Calibri" w:hAnsi="Geomanist Light" w:cs="Arial"/>
          <w:sz w:val="22"/>
        </w:rPr>
        <w:t>.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En contraste, la causal del literal Z se presenta cuando el proponente deja de informar la totalidad de los contratos que tiene en ejecución antes del cierre o no reporta la información de los contratos exigida en el documento base. Por ejemplo, en el supuesto en que el proponente, teniendo tres contratos de obra en ejecución antes del cierre, no informa la totalidad de estos.</w:t>
      </w:r>
    </w:p>
    <w:p w14:paraId="2F87A74E" w14:textId="77777777" w:rsidR="00B92028" w:rsidRPr="003C281F" w:rsidRDefault="00B92028" w:rsidP="003C281F">
      <w:pPr>
        <w:spacing w:before="120" w:after="120"/>
        <w:ind w:firstLine="709"/>
        <w:rPr>
          <w:rFonts w:ascii="Geomanist Light" w:eastAsia="Calibri" w:hAnsi="Geomanist Light" w:cs="Arial"/>
          <w:sz w:val="22"/>
        </w:rPr>
      </w:pPr>
      <w:r w:rsidRPr="00761F8F">
        <w:rPr>
          <w:rFonts w:ascii="Geomanist Light" w:eastAsia="Calibri" w:hAnsi="Geomanist Light" w:cs="Arial"/>
          <w:sz w:val="22"/>
        </w:rPr>
        <w:t>Esta distinción tiene efectos en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 las causales H y Z, eventos en los cuales el rechazo procede de forma automática, es decir, sin permitirle al proponente subsanar la «inexactitud» de la oferta o el número de contratos de obra que tenía el deber de reportar.</w:t>
      </w:r>
    </w:p>
    <w:p w14:paraId="022A2080" w14:textId="77777777" w:rsidR="00B92028" w:rsidRPr="003C281F" w:rsidRDefault="00B92028" w:rsidP="003C281F">
      <w:pPr>
        <w:spacing w:before="120" w:after="120"/>
        <w:ind w:firstLine="709"/>
        <w:rPr>
          <w:rFonts w:ascii="Geomanist Light" w:eastAsia="Calibri" w:hAnsi="Geomanist Light" w:cs="Arial"/>
          <w:sz w:val="22"/>
        </w:rPr>
      </w:pPr>
      <w:r w:rsidRPr="003C281F">
        <w:rPr>
          <w:rFonts w:ascii="Geomanist Light" w:eastAsia="Calibri" w:hAnsi="Geomanist Light" w:cs="Arial"/>
          <w:noProof/>
          <w:sz w:val="22"/>
        </w:rPr>
        <w:t>Lo</w:t>
      </w:r>
      <w:r w:rsidRPr="003C281F">
        <w:rPr>
          <w:rFonts w:ascii="Geomanist Light" w:eastAsia="Calibri" w:hAnsi="Geomanist Light" w:cs="Arial"/>
          <w:sz w:val="22"/>
        </w:rPr>
        <w:t xml:space="preserve"> expresado en el párrafo precedente no contradice lo dispuesto en el artículo 5, parágrafo 1, de la Ley 1150 de 2007, adicionado por el artículo 5 de la Ley 1882 de 2018, norma que dispone que «[…] todos aquellos requisitos de la propuesta que no afecten la asignación de </w:t>
      </w:r>
      <w:proofErr w:type="gramStart"/>
      <w:r w:rsidRPr="003C281F">
        <w:rPr>
          <w:rFonts w:ascii="Geomanist Light" w:eastAsia="Calibri" w:hAnsi="Geomanist Light" w:cs="Arial"/>
          <w:sz w:val="22"/>
        </w:rPr>
        <w:t>puntaje,</w:t>
      </w:r>
      <w:proofErr w:type="gramEnd"/>
      <w:r w:rsidRPr="003C281F">
        <w:rPr>
          <w:rFonts w:ascii="Geomanist Light" w:eastAsia="Calibri" w:hAnsi="Geomanist Light" w:cs="Arial"/>
          <w:sz w:val="22"/>
        </w:rPr>
        <w:t xml:space="preserv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diez (10) requisitos habilitantes a los que se refiere el Capítulo III del documento base. Sin embargo, los supuestos de hecho en los que se fundamentan las causales de rechazo no permiten la subsanación. La imposibilidad de subsanar se deriva, entonces, del supuesto de hecho de aquellas causales, sin que en esto sea relevante que se otorguen o no puntos a la propuesta por el requisito de capacidad residual. </w:t>
      </w:r>
    </w:p>
    <w:p w14:paraId="252D74B7" w14:textId="77777777" w:rsidR="00B92028" w:rsidRPr="003C281F" w:rsidRDefault="00B92028" w:rsidP="00B92028">
      <w:pPr>
        <w:spacing w:before="120" w:after="160"/>
        <w:ind w:firstLine="709"/>
        <w:rPr>
          <w:rFonts w:ascii="Geomanist Light" w:eastAsia="Calibri" w:hAnsi="Geomanist Light" w:cs="Arial"/>
          <w:sz w:val="22"/>
        </w:rPr>
      </w:pPr>
      <w:r w:rsidRPr="003C281F">
        <w:rPr>
          <w:rFonts w:ascii="Geomanist Light" w:eastAsia="Calibri" w:hAnsi="Geomanist Light" w:cs="Arial"/>
          <w:sz w:val="22"/>
        </w:rPr>
        <w:t xml:space="preserve">En particular, frente a la causal del literal H del numeral 1.15. del documento base, lo que genera el rechazo de la oferta es la acción del proponente de aportar «[…] información inexacta sobre la cual pueda existir una posible falsedad […]», no la ausencia de la información que podría haberse tomado del contrato viciado de falsedad. </w:t>
      </w:r>
      <w:bookmarkStart w:id="16" w:name="_Hlk88745204"/>
      <w:r w:rsidRPr="003C281F">
        <w:rPr>
          <w:rFonts w:ascii="Geomanist Light" w:eastAsia="Calibri" w:hAnsi="Geomanist Light" w:cs="Arial"/>
          <w:sz w:val="22"/>
        </w:rPr>
        <w:t xml:space="preserve">En este sentido, la configuración de la causal se determinará teniendo en cuenta si la información inexacta conduce a una posible falsedad. </w:t>
      </w:r>
    </w:p>
    <w:p w14:paraId="5BE35C62" w14:textId="77777777" w:rsidR="00B92028" w:rsidRPr="003C281F" w:rsidRDefault="00B92028" w:rsidP="00B92028">
      <w:pPr>
        <w:spacing w:before="120" w:after="160"/>
        <w:ind w:firstLine="709"/>
        <w:rPr>
          <w:rFonts w:ascii="Geomanist Light" w:eastAsia="Calibri" w:hAnsi="Geomanist Light" w:cs="Arial"/>
          <w:sz w:val="22"/>
        </w:rPr>
      </w:pPr>
      <w:r w:rsidRPr="003C281F">
        <w:rPr>
          <w:rFonts w:ascii="Geomanist Light" w:eastAsia="Calibri" w:hAnsi="Geomanist Light" w:cs="Arial"/>
          <w:sz w:val="22"/>
        </w:rPr>
        <w:t xml:space="preserve">En el evento en que </w:t>
      </w:r>
      <w:r w:rsidRPr="003C281F">
        <w:rPr>
          <w:rFonts w:ascii="Geomanist Light" w:hAnsi="Geomanist Light" w:cs="Arial"/>
          <w:sz w:val="22"/>
        </w:rPr>
        <w:t xml:space="preserve">el proponente reporta todos los contratos de obra en ejecución en el formato de saldos de contratos en ejecución, pero </w:t>
      </w:r>
      <w:r w:rsidRPr="003C281F">
        <w:rPr>
          <w:rFonts w:ascii="Geomanist Light" w:eastAsia="Calibri" w:hAnsi="Geomanist Light" w:cs="Arial"/>
          <w:sz w:val="22"/>
          <w:szCs w:val="20"/>
        </w:rPr>
        <w:t>incurre en algún error en la información de estos contratos, como por ejemplo en el valor o el plazo</w:t>
      </w:r>
      <w:r w:rsidRPr="003C281F">
        <w:rPr>
          <w:rFonts w:ascii="Geomanist Light" w:hAnsi="Geomanist Light" w:cs="Arial"/>
          <w:sz w:val="22"/>
        </w:rPr>
        <w:t xml:space="preserve">. </w:t>
      </w:r>
      <w:r w:rsidRPr="003C281F">
        <w:rPr>
          <w:rFonts w:ascii="Geomanist Light" w:eastAsia="Calibri" w:hAnsi="Geomanist Light" w:cs="Arial"/>
          <w:sz w:val="22"/>
        </w:rPr>
        <w:t xml:space="preserve">En este caso, conforme a la explicación precedente, en principio, no se trata de información inexacta que tenga la connotación de falsedad por lo que no habría lugar a rechazo de la propuesta por esta causal. Por ello, si </w:t>
      </w:r>
      <w:r w:rsidRPr="003C281F">
        <w:rPr>
          <w:rFonts w:ascii="Geomanist Light" w:hAnsi="Geomanist Light" w:cs="Arial"/>
          <w:sz w:val="22"/>
        </w:rPr>
        <w:t>el proponente omite o se equivoca en la información específica de un contrato incluido en el formato respectivo</w:t>
      </w:r>
      <w:r w:rsidRPr="003C281F">
        <w:rPr>
          <w:rFonts w:ascii="Geomanist Light" w:eastAsia="Calibri" w:hAnsi="Geomanist Light" w:cs="Arial"/>
          <w:sz w:val="22"/>
          <w:szCs w:val="20"/>
        </w:rPr>
        <w:t xml:space="preserve">, la entidad podrá requerirlo para que aclare la información y, en caso de no responder, rechazar la propuesta por la causal que consagra el literal E del numeral 1.15. </w:t>
      </w:r>
    </w:p>
    <w:bookmarkEnd w:id="16"/>
    <w:p w14:paraId="3C5C0C85" w14:textId="77777777" w:rsidR="00B92028" w:rsidRPr="003C281F" w:rsidRDefault="00B92028" w:rsidP="003C281F">
      <w:pPr>
        <w:spacing w:before="120" w:after="120"/>
        <w:ind w:firstLine="709"/>
        <w:rPr>
          <w:rFonts w:ascii="Geomanist Light" w:eastAsia="Calibri" w:hAnsi="Geomanist Light" w:cs="Arial"/>
          <w:sz w:val="22"/>
        </w:rPr>
      </w:pPr>
      <w:r w:rsidRPr="003C281F">
        <w:rPr>
          <w:rFonts w:ascii="Geomanist Light" w:eastAsia="Calibri" w:hAnsi="Geomanist Light" w:cs="Arial"/>
          <w:sz w:val="22"/>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w:t>
      </w:r>
      <w:r w:rsidRPr="003C281F">
        <w:rPr>
          <w:rFonts w:ascii="Geomanist Light" w:hAnsi="Geomanist Light" w:cs="Arial"/>
          <w:sz w:val="22"/>
        </w:rPr>
        <w:t xml:space="preserve">Por ejemplo, </w:t>
      </w:r>
      <w:r w:rsidRPr="003C281F">
        <w:rPr>
          <w:rFonts w:ascii="Geomanist Light" w:eastAsia="Calibri" w:hAnsi="Geomanist Light" w:cs="Arial"/>
          <w:sz w:val="22"/>
          <w:szCs w:val="20"/>
        </w:rPr>
        <w:t>en el evento en que se reporten todos los contratos y la entidad advierta que se consignó información errada en el formato respectivo soportada en documentos presuntamente falsos. En este caso,</w:t>
      </w:r>
      <w:r w:rsidRPr="003C281F">
        <w:rPr>
          <w:rFonts w:ascii="Geomanist Light" w:eastAsia="Calibri" w:hAnsi="Geomanist Light" w:cs="Arial"/>
          <w:sz w:val="22"/>
        </w:rPr>
        <w:t xml:space="preserve"> los datos erróneos corresponden a información inexacta sobre la cual pueda existir una posible falsedad, lo cual da lugar a la configuración de la causal de rechazo del literal H </w:t>
      </w:r>
      <w:r w:rsidRPr="003C281F">
        <w:rPr>
          <w:rFonts w:ascii="Geomanist Light" w:eastAsia="Calibri" w:hAnsi="Geomanist Light" w:cs="Arial"/>
          <w:sz w:val="22"/>
          <w:szCs w:val="20"/>
        </w:rPr>
        <w:t xml:space="preserve">del numeral 1.15. del documento base </w:t>
      </w:r>
      <w:r w:rsidRPr="003C281F">
        <w:rPr>
          <w:rFonts w:ascii="Geomanist Light" w:eastAsia="Calibri" w:hAnsi="Geomanist Light" w:cs="Arial"/>
          <w:sz w:val="22"/>
        </w:rPr>
        <w:t xml:space="preserve">e impide la subsanabilidad de la oferta en este aspecto. </w:t>
      </w:r>
    </w:p>
    <w:p w14:paraId="1F4315EC" w14:textId="159A26F7" w:rsidR="00B92028" w:rsidRPr="003C281F" w:rsidRDefault="00B92028" w:rsidP="00B92028">
      <w:pPr>
        <w:spacing w:before="120"/>
        <w:ind w:firstLine="708"/>
        <w:rPr>
          <w:rFonts w:ascii="Geomanist Light" w:eastAsia="Calibri" w:hAnsi="Geomanist Light" w:cs="Arial"/>
          <w:sz w:val="22"/>
        </w:rPr>
      </w:pPr>
      <w:r w:rsidRPr="003C281F">
        <w:rPr>
          <w:rFonts w:ascii="Geomanist Light" w:eastAsia="Calibri" w:hAnsi="Geomanist Light" w:cs="Arial"/>
          <w:sz w:val="22"/>
        </w:rPr>
        <w:t xml:space="preserve">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 así: </w:t>
      </w:r>
    </w:p>
    <w:p w14:paraId="6BACCD42" w14:textId="77777777" w:rsidR="00B92028" w:rsidRPr="003C281F" w:rsidRDefault="00B92028" w:rsidP="00B92028">
      <w:pPr>
        <w:keepNext/>
        <w:spacing w:after="120"/>
        <w:ind w:left="709" w:right="709"/>
        <w:outlineLvl w:val="1"/>
        <w:rPr>
          <w:rFonts w:ascii="Geomanist Light" w:hAnsi="Geomanist Light" w:cs="Arial"/>
          <w:b/>
          <w:sz w:val="21"/>
          <w:szCs w:val="21"/>
          <w:lang w:eastAsia="es-CO"/>
        </w:rPr>
      </w:pPr>
      <w:bookmarkStart w:id="17" w:name="_Toc32096843"/>
      <w:bookmarkStart w:id="18" w:name="_Toc32144836"/>
      <w:r w:rsidRPr="003C281F">
        <w:rPr>
          <w:rFonts w:ascii="Geomanist Light" w:hAnsi="Geomanist Light" w:cs="Arial"/>
          <w:b/>
          <w:sz w:val="21"/>
          <w:szCs w:val="21"/>
          <w:lang w:eastAsia="es-CO"/>
        </w:rPr>
        <w:t>3.10. CAPACIDAD RESIDUAL</w:t>
      </w:r>
      <w:bookmarkEnd w:id="17"/>
      <w:bookmarkEnd w:id="18"/>
      <w:r w:rsidRPr="003C281F">
        <w:rPr>
          <w:rFonts w:ascii="Geomanist Light" w:hAnsi="Geomanist Light" w:cs="Arial"/>
          <w:b/>
          <w:sz w:val="21"/>
          <w:szCs w:val="21"/>
          <w:lang w:eastAsia="es-CO"/>
        </w:rPr>
        <w:t xml:space="preserve"> </w:t>
      </w:r>
    </w:p>
    <w:p w14:paraId="6593A9E0" w14:textId="7559EB05" w:rsidR="00B92028" w:rsidRPr="003C281F" w:rsidRDefault="00B92028" w:rsidP="00B92028">
      <w:pPr>
        <w:widowControl w:val="0"/>
        <w:ind w:left="709" w:right="709"/>
        <w:rPr>
          <w:rFonts w:ascii="Geomanist Light" w:eastAsia="Arial" w:hAnsi="Geomanist Light" w:cs="Arial"/>
          <w:sz w:val="21"/>
          <w:szCs w:val="21"/>
        </w:rPr>
      </w:pPr>
      <w:r w:rsidRPr="003C281F">
        <w:rPr>
          <w:rFonts w:ascii="Geomanist Light" w:eastAsia="Calibri" w:hAnsi="Geomanist Light" w:cs="Arial"/>
          <w:sz w:val="21"/>
          <w:szCs w:val="21"/>
        </w:rPr>
        <w:t>El</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Proponente</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será</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hábil</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si</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la</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capacidad</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residual</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del</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Proponente</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(CRP)</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es</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mayor</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o</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igual</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a</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la</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capacidad</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residual</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de</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Proceso de Contratación</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(CRPC).</w:t>
      </w:r>
      <w:r w:rsidRPr="003C281F">
        <w:rPr>
          <w:rFonts w:ascii="Geomanist Light" w:eastAsia="Arial" w:hAnsi="Geomanist Light" w:cs="Arial"/>
          <w:sz w:val="21"/>
          <w:szCs w:val="21"/>
        </w:rPr>
        <w:t xml:space="preserve"> </w:t>
      </w:r>
      <w:r w:rsidRPr="003C281F">
        <w:rPr>
          <w:rFonts w:ascii="Geomanist Light" w:eastAsia="Calibri" w:hAnsi="Geomanist Light" w:cs="Arial"/>
          <w:sz w:val="21"/>
          <w:szCs w:val="21"/>
        </w:rPr>
        <w:t>Así:</w:t>
      </w:r>
      <w:r w:rsidRPr="003C281F">
        <w:rPr>
          <w:rFonts w:ascii="Geomanist Light" w:eastAsia="Arial" w:hAnsi="Geomanist Light" w:cs="Arial"/>
          <w:sz w:val="21"/>
          <w:szCs w:val="21"/>
        </w:rPr>
        <w:t xml:space="preserve"> </w:t>
      </w:r>
    </w:p>
    <w:p w14:paraId="6CE8DFB9" w14:textId="77777777" w:rsidR="00B92028" w:rsidRPr="003C281F" w:rsidRDefault="00B92028" w:rsidP="00B92028">
      <w:pPr>
        <w:widowControl w:val="0"/>
        <w:ind w:left="709" w:right="709"/>
        <w:jc w:val="center"/>
        <w:rPr>
          <w:rFonts w:ascii="Geomanist Light" w:hAnsi="Geomanist Light" w:cs="Arial"/>
          <w:sz w:val="21"/>
          <w:szCs w:val="21"/>
        </w:rPr>
      </w:pPr>
      <m:oMathPara>
        <m:oMath>
          <m:r>
            <w:rPr>
              <w:rFonts w:ascii="Cambria Math" w:eastAsia="Calibri" w:hAnsi="Cambria Math" w:cs="Arial"/>
              <w:sz w:val="21"/>
              <w:szCs w:val="21"/>
            </w:rPr>
            <m:t>CRP ≥CRPC</m:t>
          </m:r>
        </m:oMath>
      </m:oMathPara>
    </w:p>
    <w:p w14:paraId="3CDBA4E2" w14:textId="77777777" w:rsidR="00B92028" w:rsidRPr="003C281F" w:rsidRDefault="00B92028" w:rsidP="00B92028">
      <w:pPr>
        <w:widowControl w:val="0"/>
        <w:ind w:left="709" w:right="709"/>
        <w:jc w:val="center"/>
        <w:rPr>
          <w:rFonts w:ascii="Geomanist Light" w:eastAsia="Calibri" w:hAnsi="Geomanist Light" w:cs="Arial"/>
          <w:sz w:val="21"/>
          <w:szCs w:val="21"/>
        </w:rPr>
      </w:pPr>
    </w:p>
    <w:p w14:paraId="51514280" w14:textId="77777777" w:rsidR="00B92028" w:rsidRPr="003C281F" w:rsidRDefault="00B92028" w:rsidP="00B92028">
      <w:pPr>
        <w:widowControl w:val="0"/>
        <w:spacing w:after="120"/>
        <w:ind w:left="709" w:right="709"/>
        <w:rPr>
          <w:rFonts w:ascii="Geomanist Light" w:eastAsia="Arial" w:hAnsi="Geomanist Light" w:cs="Arial"/>
          <w:sz w:val="21"/>
          <w:szCs w:val="21"/>
        </w:rPr>
      </w:pPr>
      <w:r w:rsidRPr="003C281F">
        <w:rPr>
          <w:rFonts w:ascii="Geomanist Light" w:eastAsia="Calibri" w:hAnsi="Geomanist Light" w:cs="Arial"/>
          <w:sz w:val="21"/>
          <w:szCs w:val="21"/>
        </w:rPr>
        <w:t xml:space="preserve">Los Proponentes acreditarán la capacidad residual o K de contratación conforme se describe a continuación. </w:t>
      </w:r>
      <w:r w:rsidRPr="003C281F">
        <w:rPr>
          <w:rFonts w:ascii="Geomanist Light" w:eastAsia="Calibri" w:hAnsi="Geomanist Light" w:cs="Arial"/>
          <w:i/>
          <w:iCs/>
          <w:sz w:val="21"/>
          <w:szCs w:val="21"/>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3C281F">
        <w:rPr>
          <w:rFonts w:ascii="Geomanist Light" w:eastAsia="Calibri" w:hAnsi="Geomanist Light" w:cs="Arial"/>
          <w:sz w:val="21"/>
          <w:szCs w:val="21"/>
        </w:rPr>
        <w:t xml:space="preserve">. </w:t>
      </w:r>
    </w:p>
    <w:p w14:paraId="3570FE85" w14:textId="77777777" w:rsidR="00B92028" w:rsidRPr="003C281F" w:rsidRDefault="00B92028" w:rsidP="00B92028">
      <w:pPr>
        <w:widowControl w:val="0"/>
        <w:spacing w:after="120"/>
        <w:ind w:left="709" w:right="709"/>
        <w:rPr>
          <w:rFonts w:ascii="Geomanist Light" w:eastAsia="Calibri" w:hAnsi="Geomanist Light" w:cs="Arial"/>
          <w:sz w:val="21"/>
          <w:szCs w:val="21"/>
        </w:rPr>
      </w:pPr>
      <w:r w:rsidRPr="003C281F">
        <w:rPr>
          <w:rFonts w:ascii="Geomanist Light" w:eastAsia="Calibri" w:hAnsi="Geomanist Light" w:cs="Arial"/>
          <w:sz w:val="21"/>
          <w:szCs w:val="21"/>
        </w:rPr>
        <w:t>Lo anterior, sin perjuicio de las acciones administrativas y/o judiciales a que haya lugar, en contra de la (s) persona (s) que haya (n) suscrito las certificaciones exigidas para el cálculo de la capacidad residual.</w:t>
      </w:r>
    </w:p>
    <w:p w14:paraId="342B85C2" w14:textId="531F5DAF" w:rsidR="00B92028" w:rsidRPr="003C281F" w:rsidRDefault="00B92028" w:rsidP="00B92028">
      <w:pPr>
        <w:widowControl w:val="0"/>
        <w:ind w:left="709" w:right="709"/>
        <w:rPr>
          <w:rFonts w:ascii="Geomanist Light" w:eastAsia="Calibri" w:hAnsi="Geomanist Light" w:cs="Arial"/>
          <w:sz w:val="21"/>
          <w:szCs w:val="21"/>
        </w:rPr>
      </w:pPr>
      <w:r w:rsidRPr="003C281F">
        <w:rPr>
          <w:rFonts w:ascii="Geomanist Light" w:eastAsia="Calibri" w:hAnsi="Geomanist Light" w:cs="Arial"/>
          <w:sz w:val="21"/>
          <w:szCs w:val="21"/>
        </w:rPr>
        <w:t xml:space="preserve">[…] (Énfasis fuera de texto) </w:t>
      </w:r>
    </w:p>
    <w:p w14:paraId="04B744F6" w14:textId="77777777" w:rsidR="00B92028" w:rsidRPr="003C281F" w:rsidRDefault="00B92028" w:rsidP="003C281F">
      <w:pPr>
        <w:spacing w:after="120"/>
        <w:ind w:firstLine="709"/>
        <w:rPr>
          <w:rFonts w:ascii="Geomanist Light" w:eastAsia="Calibri" w:hAnsi="Geomanist Light" w:cs="Arial"/>
          <w:sz w:val="22"/>
        </w:rPr>
      </w:pPr>
      <w:r w:rsidRPr="003C281F">
        <w:rPr>
          <w:rFonts w:ascii="Geomanist Light" w:eastAsia="Calibri" w:hAnsi="Geomanist Light" w:cs="Arial"/>
          <w:sz w:val="22"/>
        </w:rPr>
        <w:t xml:space="preserve">De conformidad con esta regla, </w:t>
      </w:r>
      <w:bookmarkStart w:id="19" w:name="_Hlk81551358"/>
      <w:r w:rsidRPr="003C281F">
        <w:rPr>
          <w:rFonts w:ascii="Geomanist Light" w:eastAsia="Calibri" w:hAnsi="Geomanist Light" w:cs="Arial"/>
          <w:sz w:val="22"/>
        </w:rPr>
        <w:t xml:space="preserve">el rechazo de la oferta procede cuando en ejercicio de la potestad verificadora se advierta que se dejó de incluir información que afecta la capacidad residual del proponente, esto es, la referente a contratos de obra en ejecución.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19"/>
      <w:r w:rsidRPr="003C281F">
        <w:rPr>
          <w:rFonts w:ascii="Geomanist Light" w:eastAsia="Calibri" w:hAnsi="Geomanist Light" w:cs="Arial"/>
          <w:sz w:val="22"/>
        </w:rPr>
        <w:t>Esto concuerda con la causal de rechazo prevista en el literal «H» del numeral 1.15 del documento base, el cual autoriza el rechazo de la propuesta en el evento en «</w:t>
      </w:r>
      <w:r w:rsidRPr="003C281F">
        <w:rPr>
          <w:rFonts w:ascii="Geomanist Light" w:eastAsia="Arial" w:hAnsi="Geomanist Light" w:cs="Arial"/>
          <w:sz w:val="22"/>
          <w:lang w:eastAsia="es-CO"/>
        </w:rPr>
        <w:t>Que</w:t>
      </w:r>
      <w:r w:rsidRPr="003C281F">
        <w:rPr>
          <w:rFonts w:ascii="Geomanist Light" w:eastAsia="Arial,Calibri" w:hAnsi="Geomanist Light" w:cs="Arial"/>
          <w:sz w:val="22"/>
          <w:lang w:eastAsia="es-CO"/>
        </w:rPr>
        <w:t xml:space="preserve"> </w:t>
      </w:r>
      <w:r w:rsidRPr="003C281F">
        <w:rPr>
          <w:rFonts w:ascii="Geomanist Light" w:eastAsia="Arial" w:hAnsi="Geomanist Light" w:cs="Arial"/>
          <w:sz w:val="22"/>
          <w:lang w:eastAsia="es-CO"/>
        </w:rPr>
        <w:t>el</w:t>
      </w:r>
      <w:r w:rsidRPr="003C281F">
        <w:rPr>
          <w:rFonts w:ascii="Geomanist Light" w:eastAsia="Arial,Calibri" w:hAnsi="Geomanist Light" w:cs="Arial"/>
          <w:sz w:val="22"/>
          <w:lang w:eastAsia="es-CO"/>
        </w:rPr>
        <w:t xml:space="preserve"> </w:t>
      </w:r>
      <w:r w:rsidRPr="003C281F">
        <w:rPr>
          <w:rFonts w:ascii="Geomanist Light" w:eastAsia="Arial" w:hAnsi="Geomanist Light" w:cs="Arial"/>
          <w:sz w:val="22"/>
          <w:lang w:eastAsia="es-CO"/>
        </w:rPr>
        <w:t>Proponente</w:t>
      </w:r>
      <w:r w:rsidRPr="003C281F">
        <w:rPr>
          <w:rFonts w:ascii="Geomanist Light" w:eastAsia="Arial,Calibri" w:hAnsi="Geomanist Light" w:cs="Arial"/>
          <w:sz w:val="22"/>
          <w:lang w:eastAsia="es-CO"/>
        </w:rPr>
        <w:t xml:space="preserve"> </w:t>
      </w:r>
      <w:r w:rsidRPr="003C281F">
        <w:rPr>
          <w:rFonts w:ascii="Geomanist Light" w:eastAsia="Arial" w:hAnsi="Geomanist Light" w:cs="Arial"/>
          <w:sz w:val="22"/>
          <w:lang w:eastAsia="es-CO"/>
        </w:rPr>
        <w:t xml:space="preserve">aporte información inexacta </w:t>
      </w:r>
      <w:r w:rsidRPr="003C281F">
        <w:rPr>
          <w:rFonts w:ascii="Geomanist Light" w:hAnsi="Geomanist Light" w:cs="Arial"/>
          <w:sz w:val="22"/>
          <w:lang w:eastAsia="es-CO"/>
        </w:rPr>
        <w:t>sobre la cual pueda existir una posible falsedad</w:t>
      </w:r>
      <w:r w:rsidRPr="003C281F" w:rsidDel="003061D1">
        <w:rPr>
          <w:rFonts w:ascii="Geomanist Light" w:hAnsi="Geomanist Light" w:cs="Arial"/>
          <w:sz w:val="22"/>
          <w:lang w:eastAsia="es-CO"/>
        </w:rPr>
        <w:t xml:space="preserve"> </w:t>
      </w:r>
      <w:r w:rsidRPr="003C281F">
        <w:rPr>
          <w:rFonts w:ascii="Geomanist Light" w:hAnsi="Geomanist Light" w:cs="Arial"/>
          <w:sz w:val="22"/>
          <w:lang w:eastAsia="es-CO"/>
        </w:rPr>
        <w:t>en los términos de la sección 1.11».</w:t>
      </w:r>
    </w:p>
    <w:p w14:paraId="05DD50E9" w14:textId="77777777" w:rsidR="00B92028" w:rsidRPr="003C281F" w:rsidRDefault="00B92028" w:rsidP="003C281F">
      <w:pPr>
        <w:spacing w:before="120" w:after="0"/>
        <w:ind w:firstLine="708"/>
        <w:rPr>
          <w:rFonts w:ascii="Geomanist Light" w:eastAsia="Calibri" w:hAnsi="Geomanist Light" w:cs="Arial"/>
          <w:sz w:val="22"/>
        </w:rPr>
      </w:pPr>
      <w:r w:rsidRPr="003C281F">
        <w:rPr>
          <w:rFonts w:ascii="Geomanist Light" w:eastAsia="Calibri" w:hAnsi="Geomanist Light" w:cs="Arial"/>
          <w:sz w:val="22"/>
        </w:rPr>
        <w:t>Según lo expuesto, al verificarse que el proponente no incluyó información contractual que afecte su capacidad residual, la entidad no estará en posición de solicitar aclaraciones, o acudir al régimen de subsanabilidad de ofertas</w:t>
      </w:r>
      <w:r w:rsidRPr="003C281F">
        <w:rPr>
          <w:rFonts w:ascii="Geomanist Light" w:eastAsia="Calibri" w:hAnsi="Geomanist Light" w:cs="Arial"/>
          <w:sz w:val="22"/>
          <w:vertAlign w:val="superscript"/>
        </w:rPr>
        <w:footnoteReference w:id="2"/>
      </w:r>
      <w:r w:rsidRPr="003C281F">
        <w:rPr>
          <w:rFonts w:ascii="Geomanist Light" w:eastAsia="Calibri" w:hAnsi="Geomanist Light" w:cs="Arial"/>
          <w:sz w:val="22"/>
        </w:rPr>
        <w:t>.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1675AF52" w14:textId="77777777" w:rsidR="00B92028" w:rsidRPr="003C281F" w:rsidRDefault="00B92028" w:rsidP="003C281F">
      <w:pPr>
        <w:spacing w:after="0"/>
        <w:rPr>
          <w:rFonts w:ascii="Geomanist Light" w:hAnsi="Geomanist Light" w:cs="Arial"/>
          <w:color w:val="000000" w:themeColor="text1"/>
          <w:sz w:val="22"/>
        </w:rPr>
      </w:pPr>
    </w:p>
    <w:p w14:paraId="502FC181" w14:textId="7D62426A" w:rsidR="00B92028" w:rsidRPr="003C281F" w:rsidRDefault="00B92028" w:rsidP="00B92028">
      <w:pPr>
        <w:tabs>
          <w:tab w:val="left" w:pos="0"/>
        </w:tabs>
        <w:rPr>
          <w:rFonts w:ascii="Geomanist Light" w:eastAsia="Calibri" w:hAnsi="Geomanist Light" w:cs="Arial"/>
          <w:b/>
          <w:color w:val="000000" w:themeColor="text1"/>
          <w:sz w:val="22"/>
          <w:lang w:val="es-ES_tradnl"/>
        </w:rPr>
      </w:pPr>
      <w:r w:rsidRPr="003C281F">
        <w:rPr>
          <w:rFonts w:ascii="Geomanist Light" w:eastAsia="Calibri" w:hAnsi="Geomanist Light" w:cs="Arial"/>
          <w:b/>
          <w:color w:val="000000" w:themeColor="text1"/>
          <w:sz w:val="22"/>
          <w:lang w:val="es-ES_tradnl"/>
        </w:rPr>
        <w:t>3. Respuesta</w:t>
      </w:r>
    </w:p>
    <w:p w14:paraId="4A0158FE" w14:textId="3D9AE6C0" w:rsidR="007A0906" w:rsidRDefault="00B92028" w:rsidP="003C281F">
      <w:pPr>
        <w:spacing w:after="0" w:line="240" w:lineRule="auto"/>
        <w:ind w:left="709" w:right="709"/>
        <w:rPr>
          <w:rFonts w:ascii="Geomanist Light" w:hAnsi="Geomanist Light" w:cs="Arial"/>
          <w:color w:val="000000" w:themeColor="text1"/>
          <w:sz w:val="21"/>
          <w:lang w:val="es-ES_tradnl"/>
        </w:rPr>
      </w:pPr>
      <w:r w:rsidRPr="003C281F">
        <w:rPr>
          <w:rFonts w:ascii="Geomanist Light" w:hAnsi="Geomanist Light" w:cs="Arial"/>
          <w:color w:val="000000" w:themeColor="text1"/>
          <w:sz w:val="21"/>
          <w:lang w:val="es-ES_tradnl"/>
        </w:rPr>
        <w:t xml:space="preserve">«¿Si la información reportada en el formato 5 (capacidad residual) está avalada por un contador y/o revisor fiscal que da fe pública, se entiende que la información inexacta presentada en dicho formulario la cual no corresponde a la realidad del contrato como ejemplo (valor, plazo, estado de ejecución </w:t>
      </w:r>
      <w:proofErr w:type="spellStart"/>
      <w:r w:rsidRPr="003C281F">
        <w:rPr>
          <w:rFonts w:ascii="Geomanist Light" w:hAnsi="Geomanist Light" w:cs="Arial"/>
          <w:color w:val="000000" w:themeColor="text1"/>
          <w:sz w:val="21"/>
          <w:lang w:val="es-ES_tradnl"/>
        </w:rPr>
        <w:t>etc</w:t>
      </w:r>
      <w:proofErr w:type="spellEnd"/>
      <w:r w:rsidRPr="003C281F">
        <w:rPr>
          <w:rFonts w:ascii="Geomanist Light" w:hAnsi="Geomanist Light" w:cs="Arial"/>
          <w:color w:val="000000" w:themeColor="text1"/>
          <w:sz w:val="21"/>
          <w:lang w:val="es-ES_tradnl"/>
        </w:rPr>
        <w:t>) tiene connotación de posible falsedad y por tal razón sería un requisito insubsanable por ser aplicable la causal de rechazo H del pliego tipo?»</w:t>
      </w:r>
    </w:p>
    <w:p w14:paraId="79C9B9ED" w14:textId="77777777" w:rsidR="002F7780" w:rsidRPr="003C281F" w:rsidRDefault="002F7780" w:rsidP="003C281F">
      <w:pPr>
        <w:spacing w:after="0" w:line="240" w:lineRule="auto"/>
        <w:ind w:left="708"/>
        <w:rPr>
          <w:rFonts w:ascii="Geomanist Light" w:hAnsi="Geomanist Light" w:cs="Arial"/>
          <w:color w:val="000000" w:themeColor="text1"/>
          <w:sz w:val="21"/>
          <w:lang w:val="es-ES_tradnl"/>
        </w:rPr>
      </w:pPr>
    </w:p>
    <w:p w14:paraId="52A31A35" w14:textId="2EF7B9EF" w:rsidR="00B92028" w:rsidRPr="003C281F" w:rsidRDefault="002F7780" w:rsidP="003C281F">
      <w:pPr>
        <w:rPr>
          <w:rFonts w:ascii="Geomanist Light" w:hAnsi="Geomanist Light" w:cs="Arial"/>
          <w:sz w:val="22"/>
        </w:rPr>
      </w:pPr>
      <w:r>
        <w:rPr>
          <w:rFonts w:ascii="Geomanist Light" w:hAnsi="Geomanist Light" w:cs="Arial"/>
          <w:sz w:val="22"/>
        </w:rPr>
        <w:t>Conforme a lo expuesto, l</w:t>
      </w:r>
      <w:r w:rsidR="00B92028" w:rsidRPr="003C281F">
        <w:rPr>
          <w:rFonts w:ascii="Geomanist Light" w:hAnsi="Geomanist Light" w:cs="Arial"/>
          <w:sz w:val="22"/>
        </w:rPr>
        <w:t xml:space="preserve">a causal de rechazo del literal H del numeral 1.15 aplica cuando el proponente aporta información inexacta sobre la cual pueda existir una posible falsedad, de acuerdo con lo señalado en el numeral 1.11. del documento base. Este último numeral aplica frente a la totalidad de la información y documentación aportada para cumplir los requisitos exigidos en el pliego de condiciones. Además, regula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39D39576" w14:textId="6733C3F4" w:rsidR="00B92028" w:rsidRPr="003C281F" w:rsidRDefault="00B92028" w:rsidP="003C281F">
      <w:pPr>
        <w:spacing w:before="120" w:after="120"/>
        <w:ind w:right="51" w:firstLine="709"/>
        <w:rPr>
          <w:rFonts w:ascii="Geomanist Light" w:hAnsi="Geomanist Light" w:cs="Arial"/>
          <w:sz w:val="22"/>
        </w:rPr>
      </w:pPr>
      <w:r w:rsidRPr="003C281F">
        <w:rPr>
          <w:rFonts w:ascii="Geomanist Light" w:hAnsi="Geomanist Light" w:cs="Arial"/>
          <w:sz w:val="22"/>
        </w:rPr>
        <w:t>El segundo evento se configura cuando de la verificación se corrobora que las inconsistencias obedecerían a una presunta falsedad no desvirtuada por el proponente, caso en el cual se rechaza la oferta y se informa a las autoridades correspondientes. Por ejemplo, cuando frente a la certificación de experiencia, la entidad que adelanta el procedimiento de selección se comunica con la entidad para quien se ejecutó el contrato a acreditar y le informan que la certificación aportada por el proponente no fue expedida por esta, por cuanto ese objeto no fue ejecutado ni contratado. En este supuesto, cuando la entidad tiene el suficiente convencimiento de la existencia de la presunta falsedad, y lo corrobora luego de dar la oportunidad para que el proponente se manifieste, es procedente rechazar la oferta y compulsar copias a las autoridades competentes, quienes adelantarán las respectivas investigaciones.</w:t>
      </w:r>
    </w:p>
    <w:p w14:paraId="05199E79" w14:textId="77777777" w:rsidR="00B92028" w:rsidRDefault="00B92028" w:rsidP="003363F3">
      <w:pPr>
        <w:spacing w:after="0"/>
        <w:ind w:firstLine="708"/>
        <w:rPr>
          <w:rFonts w:ascii="Geomanist Light" w:eastAsia="Calibri" w:hAnsi="Geomanist Light" w:cs="Arial"/>
          <w:sz w:val="22"/>
          <w:szCs w:val="20"/>
        </w:rPr>
      </w:pPr>
      <w:r w:rsidRPr="003C281F">
        <w:rPr>
          <w:rFonts w:ascii="Geomanist Light" w:hAnsi="Geomanist Light" w:cs="Arial"/>
          <w:sz w:val="22"/>
        </w:rPr>
        <w:t xml:space="preserve">De acuerdo con las consideraciones expuestas, la configuración de la causal de rechazo del literal H del numeral 1.15 se determinará teniendo en cuenta si la información inexacta conduce a una posible falsedad. </w:t>
      </w:r>
      <w:r w:rsidRPr="003C281F">
        <w:rPr>
          <w:rFonts w:ascii="Geomanist Light" w:eastAsia="Calibri" w:hAnsi="Geomanist Light" w:cs="Arial"/>
          <w:sz w:val="22"/>
        </w:rPr>
        <w:t>Por ejemplo, frente a un</w:t>
      </w:r>
      <w:r w:rsidRPr="003C281F">
        <w:rPr>
          <w:rFonts w:ascii="Geomanist Light" w:eastAsia="Calibri" w:hAnsi="Geomanist Light" w:cs="Arial"/>
          <w:sz w:val="22"/>
          <w:szCs w:val="20"/>
        </w:rPr>
        <w:t xml:space="preserve"> error en el valor o el plazo</w:t>
      </w:r>
      <w:r w:rsidRPr="003C281F">
        <w:rPr>
          <w:rFonts w:ascii="Geomanist Light" w:eastAsia="Calibri" w:hAnsi="Geomanist Light" w:cs="Arial"/>
          <w:sz w:val="22"/>
        </w:rPr>
        <w:t xml:space="preserve">, conforme a lo explicado, en principio, no se trata de información inexacta que tenga la connotación de falsedad por lo que no habría lugar a rechazo de la propuesta por esta causal. Si </w:t>
      </w:r>
      <w:r w:rsidRPr="003C281F">
        <w:rPr>
          <w:rFonts w:ascii="Geomanist Light" w:hAnsi="Geomanist Light" w:cs="Arial"/>
          <w:sz w:val="22"/>
        </w:rPr>
        <w:t>el proponente omite o se equivoca en la información específica de un contrato incluido en el formato respectivo</w:t>
      </w:r>
      <w:r w:rsidRPr="003C281F">
        <w:rPr>
          <w:rFonts w:ascii="Geomanist Light" w:eastAsia="Calibri" w:hAnsi="Geomanist Light" w:cs="Arial"/>
          <w:sz w:val="22"/>
          <w:szCs w:val="20"/>
        </w:rPr>
        <w:t>, la entidad podrá requerirlo para que aclare la información y, en caso de no responder, rechazar la propuesta por la causal que consagra el literal E del numeral 1.15.</w:t>
      </w:r>
    </w:p>
    <w:p w14:paraId="7DFB1C05" w14:textId="77777777" w:rsidR="003363F3" w:rsidRPr="003C281F" w:rsidRDefault="003363F3" w:rsidP="003C281F">
      <w:pPr>
        <w:spacing w:after="0"/>
        <w:ind w:firstLine="708"/>
        <w:rPr>
          <w:rFonts w:ascii="Geomanist Light" w:hAnsi="Geomanist Light" w:cs="Arial"/>
          <w:sz w:val="22"/>
        </w:rPr>
      </w:pPr>
    </w:p>
    <w:p w14:paraId="5286259C" w14:textId="77777777" w:rsidR="00B92028" w:rsidRPr="003C281F" w:rsidRDefault="00B92028" w:rsidP="00B92028">
      <w:pPr>
        <w:spacing w:after="0"/>
        <w:rPr>
          <w:rFonts w:ascii="Geomanist Light" w:eastAsia="Times New Roman" w:hAnsi="Geomanist Light" w:cs="Arial"/>
          <w:sz w:val="22"/>
          <w:lang w:val="es-CO" w:eastAsia="es-ES_tradnl"/>
        </w:rPr>
      </w:pPr>
      <w:r w:rsidRPr="003C281F">
        <w:rPr>
          <w:rFonts w:ascii="Geomanist Light" w:eastAsia="Calibri" w:hAnsi="Geomanist Light" w:cs="Arial"/>
          <w:sz w:val="22"/>
          <w:lang w:val="es-CO"/>
        </w:rPr>
        <w:t>Este concepto tiene el alcance previsto en el artículo 28 del Código de Procedimiento Administrativo y de lo Contencioso Administrativo.</w:t>
      </w:r>
    </w:p>
    <w:p w14:paraId="7F5DA105" w14:textId="77777777" w:rsidR="00B92028" w:rsidRPr="003C281F" w:rsidRDefault="00B92028" w:rsidP="00B92028">
      <w:pPr>
        <w:spacing w:after="0"/>
        <w:rPr>
          <w:rFonts w:ascii="Geomanist Light" w:eastAsia="Times New Roman" w:hAnsi="Geomanist Light" w:cs="Arial"/>
          <w:sz w:val="22"/>
          <w:lang w:val="es-CO" w:eastAsia="es-ES_tradnl"/>
        </w:rPr>
      </w:pPr>
    </w:p>
    <w:p w14:paraId="21FC5FD3" w14:textId="77777777" w:rsidR="00F12F8F" w:rsidRPr="003C281F" w:rsidRDefault="00B92028" w:rsidP="00F12F8F">
      <w:pPr>
        <w:rPr>
          <w:rFonts w:ascii="Geomanist Light" w:eastAsia="Times New Roman" w:hAnsi="Geomanist Light" w:cs="Arial"/>
          <w:sz w:val="22"/>
          <w:lang w:val="es-CO" w:eastAsia="es-CO"/>
        </w:rPr>
      </w:pPr>
      <w:r w:rsidRPr="003C281F">
        <w:rPr>
          <w:rFonts w:ascii="Geomanist Light" w:eastAsia="Times New Roman" w:hAnsi="Geomanist Light" w:cs="Arial"/>
          <w:sz w:val="22"/>
          <w:lang w:val="es-CO" w:eastAsia="es-CO"/>
        </w:rPr>
        <w:t>Atentamente,</w:t>
      </w:r>
      <w:bookmarkEnd w:id="0"/>
      <w:bookmarkEnd w:id="4"/>
    </w:p>
    <w:p w14:paraId="38AD7D69" w14:textId="7391A970" w:rsidR="00B92028" w:rsidRPr="003C281F" w:rsidRDefault="00F12F8F" w:rsidP="00F12F8F">
      <w:pPr>
        <w:jc w:val="center"/>
        <w:rPr>
          <w:rFonts w:ascii="Geomanist Light" w:eastAsia="Times New Roman" w:hAnsi="Geomanist Light" w:cs="Arial"/>
          <w:sz w:val="22"/>
          <w:lang w:val="es-CO" w:eastAsia="es-CO"/>
        </w:rPr>
      </w:pPr>
      <w:r w:rsidRPr="003C281F">
        <w:rPr>
          <w:rFonts w:ascii="Geomanist Light" w:eastAsia="Times New Roman" w:hAnsi="Geomanist Light" w:cs="Arial"/>
          <w:noProof/>
          <w:color w:val="000000"/>
          <w:sz w:val="22"/>
          <w:lang w:val="es-ES_tradnl" w:eastAsia="es-CO"/>
        </w:rPr>
        <w:drawing>
          <wp:inline distT="0" distB="0" distL="0" distR="0" wp14:anchorId="454F7F3C" wp14:editId="1B71B0A0">
            <wp:extent cx="2359159" cy="743479"/>
            <wp:effectExtent l="0" t="0" r="3175"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3816" cy="75125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12F8F" w:rsidRPr="000829C1" w14:paraId="319F1F63" w14:textId="77777777" w:rsidTr="00921DDD">
        <w:trPr>
          <w:trHeight w:val="315"/>
        </w:trPr>
        <w:tc>
          <w:tcPr>
            <w:tcW w:w="812" w:type="dxa"/>
            <w:vAlign w:val="center"/>
          </w:tcPr>
          <w:p w14:paraId="3ECC508A" w14:textId="77777777" w:rsidR="00F12F8F" w:rsidRPr="003C281F" w:rsidRDefault="00F12F8F" w:rsidP="00921DDD">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Elaboró:</w:t>
            </w:r>
          </w:p>
        </w:tc>
        <w:tc>
          <w:tcPr>
            <w:tcW w:w="4413" w:type="dxa"/>
            <w:tcBorders>
              <w:bottom w:val="dotted" w:sz="4" w:space="0" w:color="7F7F7F" w:themeColor="text1" w:themeTint="80"/>
            </w:tcBorders>
            <w:vAlign w:val="center"/>
          </w:tcPr>
          <w:p w14:paraId="3F3AA65C" w14:textId="77777777" w:rsidR="00F12F8F" w:rsidRPr="003C281F" w:rsidRDefault="00F12F8F" w:rsidP="00921DDD">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Juan Carlos Covilla Martínez</w:t>
            </w:r>
          </w:p>
          <w:p w14:paraId="480CE44C" w14:textId="77777777" w:rsidR="00F12F8F" w:rsidRPr="003C281F" w:rsidRDefault="00F12F8F" w:rsidP="00921DDD">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 xml:space="preserve">Contratista de la Subdirección de Gestión Contractual </w:t>
            </w:r>
          </w:p>
        </w:tc>
      </w:tr>
      <w:tr w:rsidR="00F12F8F" w:rsidRPr="000829C1" w14:paraId="23F34D38" w14:textId="77777777" w:rsidTr="00921DDD">
        <w:trPr>
          <w:trHeight w:val="330"/>
        </w:trPr>
        <w:tc>
          <w:tcPr>
            <w:tcW w:w="812" w:type="dxa"/>
            <w:vAlign w:val="center"/>
          </w:tcPr>
          <w:p w14:paraId="4083E265" w14:textId="77777777" w:rsidR="00F12F8F" w:rsidRPr="003C281F" w:rsidRDefault="00F12F8F" w:rsidP="00921DDD">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1E9116D5" w14:textId="77777777" w:rsidR="00F12F8F" w:rsidRPr="003C281F" w:rsidRDefault="00F12F8F" w:rsidP="00921DDD">
            <w:pPr>
              <w:spacing w:after="0"/>
              <w:rPr>
                <w:rFonts w:ascii="Geomanist Light" w:hAnsi="Geomanist Light" w:cs="Arial"/>
                <w:sz w:val="16"/>
                <w:szCs w:val="16"/>
                <w:lang w:eastAsia="es-ES"/>
              </w:rPr>
            </w:pPr>
            <w:r w:rsidRPr="003C281F">
              <w:rPr>
                <w:rFonts w:ascii="Geomanist Light" w:hAnsi="Geomanist Light" w:cs="Arial"/>
                <w:sz w:val="16"/>
                <w:szCs w:val="16"/>
                <w:lang w:eastAsia="es-ES"/>
              </w:rPr>
              <w:t>Alejandro Sarmiento Cantillo</w:t>
            </w:r>
          </w:p>
          <w:p w14:paraId="3F25B090" w14:textId="77777777" w:rsidR="00F12F8F" w:rsidRPr="003C281F" w:rsidRDefault="00F12F8F" w:rsidP="00921DDD">
            <w:pPr>
              <w:spacing w:after="0"/>
              <w:rPr>
                <w:rFonts w:ascii="Geomanist Light" w:eastAsia="Times New Roman" w:hAnsi="Geomanist Light" w:cs="Arial"/>
                <w:sz w:val="16"/>
                <w:szCs w:val="16"/>
                <w:lang w:eastAsia="es-ES"/>
              </w:rPr>
            </w:pPr>
            <w:r w:rsidRPr="003C281F">
              <w:rPr>
                <w:rFonts w:ascii="Geomanist Light" w:hAnsi="Geomanist Light" w:cs="Arial"/>
                <w:sz w:val="16"/>
                <w:szCs w:val="16"/>
                <w:lang w:eastAsia="es-ES"/>
              </w:rPr>
              <w:t>Gestor T1-15 de la Subdirección de Gestión Contractual</w:t>
            </w:r>
          </w:p>
        </w:tc>
      </w:tr>
      <w:tr w:rsidR="00F12F8F" w:rsidRPr="000829C1" w14:paraId="0B47BC26" w14:textId="77777777" w:rsidTr="00921DDD">
        <w:trPr>
          <w:trHeight w:val="300"/>
        </w:trPr>
        <w:tc>
          <w:tcPr>
            <w:tcW w:w="812" w:type="dxa"/>
            <w:vAlign w:val="center"/>
          </w:tcPr>
          <w:p w14:paraId="47E62D11" w14:textId="77777777" w:rsidR="00F12F8F" w:rsidRPr="003C281F" w:rsidRDefault="00F12F8F" w:rsidP="00921DDD">
            <w:pPr>
              <w:spacing w:after="0"/>
              <w:rPr>
                <w:rFonts w:ascii="Geomanist Light" w:eastAsia="Times New Roman" w:hAnsi="Geomanist Light" w:cs="Arial"/>
                <w:sz w:val="16"/>
                <w:szCs w:val="16"/>
                <w:lang w:eastAsia="es-ES"/>
              </w:rPr>
            </w:pPr>
            <w:r w:rsidRPr="003C281F">
              <w:rPr>
                <w:rFonts w:ascii="Geomanist Light" w:eastAsia="Times New Roman" w:hAnsi="Geomanist Light"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45BC934" w14:textId="2A375201" w:rsidR="00F12F8F" w:rsidRPr="00C56BB4" w:rsidRDefault="00F12F8F" w:rsidP="00921DDD">
            <w:pPr>
              <w:spacing w:after="0"/>
              <w:rPr>
                <w:rFonts w:ascii="Geomanist Light" w:eastAsia="Calibri" w:hAnsi="Geomanist Light" w:cs="Arial"/>
                <w:sz w:val="16"/>
                <w:szCs w:val="16"/>
                <w:lang w:val="es-CO" w:eastAsia="es-ES"/>
              </w:rPr>
            </w:pPr>
            <w:r w:rsidRPr="00C56BB4">
              <w:rPr>
                <w:rFonts w:ascii="Geomanist Light" w:eastAsia="Calibri" w:hAnsi="Geomanist Light" w:cs="Arial"/>
                <w:sz w:val="16"/>
                <w:szCs w:val="16"/>
                <w:lang w:val="es-CO" w:eastAsia="es-ES"/>
              </w:rPr>
              <w:t xml:space="preserve">Nohelia del Carmen </w:t>
            </w:r>
            <w:proofErr w:type="spellStart"/>
            <w:r w:rsidRPr="00C56BB4">
              <w:rPr>
                <w:rFonts w:ascii="Geomanist Light" w:eastAsia="Calibri" w:hAnsi="Geomanist Light" w:cs="Arial"/>
                <w:sz w:val="16"/>
                <w:szCs w:val="16"/>
                <w:lang w:val="es-CO" w:eastAsia="es-ES"/>
              </w:rPr>
              <w:t>Zawady</w:t>
            </w:r>
            <w:proofErr w:type="spellEnd"/>
            <w:r w:rsidRPr="00C56BB4">
              <w:rPr>
                <w:rFonts w:ascii="Geomanist Light" w:eastAsia="Calibri" w:hAnsi="Geomanist Light" w:cs="Arial"/>
                <w:sz w:val="16"/>
                <w:szCs w:val="16"/>
                <w:lang w:val="es-CO" w:eastAsia="es-ES"/>
              </w:rPr>
              <w:t xml:space="preserve"> Palacio</w:t>
            </w:r>
          </w:p>
          <w:p w14:paraId="3042BC8A" w14:textId="71BD459A" w:rsidR="00F12F8F" w:rsidRPr="003C281F" w:rsidRDefault="00F12F8F" w:rsidP="00921DDD">
            <w:pPr>
              <w:spacing w:after="0"/>
              <w:rPr>
                <w:rFonts w:ascii="Geomanist Light" w:eastAsia="Times New Roman" w:hAnsi="Geomanist Light" w:cs="Arial"/>
                <w:sz w:val="16"/>
                <w:szCs w:val="16"/>
                <w:lang w:eastAsia="es-ES"/>
              </w:rPr>
            </w:pPr>
            <w:r w:rsidRPr="003C281F">
              <w:rPr>
                <w:rFonts w:ascii="Geomanist Light" w:eastAsia="Calibri" w:hAnsi="Geomanist Light" w:cs="Arial"/>
                <w:sz w:val="16"/>
                <w:szCs w:val="16"/>
                <w:lang w:eastAsia="es-ES"/>
              </w:rPr>
              <w:t xml:space="preserve">Subdirectora de Gestión Contractual </w:t>
            </w:r>
          </w:p>
        </w:tc>
      </w:tr>
    </w:tbl>
    <w:p w14:paraId="44377468" w14:textId="77777777" w:rsidR="00651A7A" w:rsidRPr="003C281F" w:rsidRDefault="00651A7A">
      <w:pPr>
        <w:rPr>
          <w:rFonts w:ascii="Geomanist Light" w:hAnsi="Geomanist Light"/>
        </w:rPr>
      </w:pPr>
    </w:p>
    <w:sectPr w:rsidR="00651A7A" w:rsidRPr="003C281F" w:rsidSect="00491E2D">
      <w:headerReference w:type="default" r:id="rId12"/>
      <w:footerReference w:type="default" r:id="rId13"/>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F6898" w14:textId="77777777" w:rsidR="004B56AD" w:rsidRDefault="004B56AD" w:rsidP="00B92028">
      <w:pPr>
        <w:spacing w:after="0" w:line="240" w:lineRule="auto"/>
      </w:pPr>
      <w:r>
        <w:separator/>
      </w:r>
    </w:p>
  </w:endnote>
  <w:endnote w:type="continuationSeparator" w:id="0">
    <w:p w14:paraId="4F908806" w14:textId="77777777" w:rsidR="004B56AD" w:rsidRDefault="004B56AD" w:rsidP="00B92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2000503000000020004"/>
    <w:charset w:val="00"/>
    <w:family w:val="modern"/>
    <w:notTrueType/>
    <w:pitch w:val="variable"/>
    <w:sig w:usb0="A000002F" w:usb1="1000004A" w:usb2="00000000" w:usb3="00000000" w:csb0="00000193" w:csb1="00000000"/>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Geomanist Bold">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EB3C4" w14:textId="77777777" w:rsidR="00993A2A" w:rsidRDefault="00BF345D" w:rsidP="00993A2A">
    <w:pPr>
      <w:pStyle w:val="Piedepgina"/>
      <w:spacing w:after="0"/>
    </w:pPr>
    <w:r>
      <w:rPr>
        <w:noProof/>
        <w:lang w:val="en-US"/>
      </w:rPr>
      <w:drawing>
        <wp:inline distT="0" distB="0" distL="0" distR="0" wp14:anchorId="202FB333" wp14:editId="60FA7CE6">
          <wp:extent cx="5742143" cy="892175"/>
          <wp:effectExtent l="0" t="0" r="0" b="3175"/>
          <wp:docPr id="11" name="Imagen 1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93A2A" w:rsidRPr="00080DA3" w14:paraId="10F81EEF" w14:textId="77777777" w:rsidTr="00993A2A">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A43109D" w14:textId="77777777" w:rsidR="00993A2A" w:rsidRPr="00080DA3" w:rsidRDefault="00BF345D" w:rsidP="00993A2A">
          <w:pPr>
            <w:pStyle w:val="Piedepgina"/>
            <w:spacing w:after="0"/>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9E12988" w14:textId="77777777" w:rsidR="00993A2A" w:rsidRPr="00080DA3" w:rsidRDefault="00BF345D" w:rsidP="00993A2A">
          <w:pPr>
            <w:pStyle w:val="Piedepgina"/>
            <w:spacing w:after="0"/>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E031FB9" w14:textId="77777777" w:rsidR="00993A2A" w:rsidRPr="00080DA3" w:rsidRDefault="00BF345D" w:rsidP="00993A2A">
          <w:pPr>
            <w:pStyle w:val="Piedepgina"/>
            <w:spacing w:after="0"/>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28E4C377" w14:textId="77777777" w:rsidR="00993A2A" w:rsidRPr="004B6B0E" w:rsidRDefault="00BF345D" w:rsidP="00993A2A">
          <w:pPr>
            <w:pBdr>
              <w:top w:val="nil"/>
              <w:left w:val="nil"/>
              <w:bottom w:val="nil"/>
              <w:right w:val="nil"/>
              <w:between w:val="nil"/>
            </w:pBdr>
            <w:tabs>
              <w:tab w:val="center" w:pos="4419"/>
              <w:tab w:val="right" w:pos="8838"/>
              <w:tab w:val="center" w:pos="5400"/>
            </w:tabs>
            <w:spacing w:after="0"/>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B2B7C1A" w14:textId="77777777" w:rsidR="00993A2A" w:rsidRPr="00080DA3" w:rsidRDefault="00BF345D" w:rsidP="00993A2A">
          <w:pPr>
            <w:pStyle w:val="Piedepgina"/>
            <w:spacing w:after="0"/>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44E368" w14:textId="77777777" w:rsidR="00993A2A" w:rsidRPr="00080DA3" w:rsidRDefault="00BF345D" w:rsidP="00993A2A">
          <w:pPr>
            <w:pStyle w:val="Piedepgina"/>
            <w:spacing w:after="0"/>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3D517A0" w14:textId="77777777" w:rsidR="00993A2A" w:rsidRPr="00080DA3" w:rsidRDefault="00BF345D" w:rsidP="00993A2A">
          <w:pPr>
            <w:pStyle w:val="Piedepgina"/>
            <w:spacing w:after="0"/>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14:paraId="19C76715" w14:textId="77777777" w:rsidR="00412132" w:rsidRPr="007B0854" w:rsidRDefault="00000000" w:rsidP="00993A2A">
    <w:pPr>
      <w:pStyle w:val="Piedepgina"/>
      <w:spacing w:after="0"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B6084" w14:textId="77777777" w:rsidR="004B56AD" w:rsidRDefault="004B56AD" w:rsidP="00B92028">
      <w:pPr>
        <w:spacing w:after="0" w:line="240" w:lineRule="auto"/>
      </w:pPr>
      <w:r>
        <w:separator/>
      </w:r>
    </w:p>
  </w:footnote>
  <w:footnote w:type="continuationSeparator" w:id="0">
    <w:p w14:paraId="1C495BE7" w14:textId="77777777" w:rsidR="004B56AD" w:rsidRDefault="004B56AD" w:rsidP="00B92028">
      <w:pPr>
        <w:spacing w:after="0" w:line="240" w:lineRule="auto"/>
      </w:pPr>
      <w:r>
        <w:continuationSeparator/>
      </w:r>
    </w:p>
  </w:footnote>
  <w:footnote w:id="1">
    <w:p w14:paraId="42E129D3" w14:textId="77777777" w:rsidR="00B92028" w:rsidRPr="00F50E2F" w:rsidRDefault="00B92028" w:rsidP="00B92028">
      <w:pPr>
        <w:pStyle w:val="Textonotapie"/>
        <w:ind w:firstLine="708"/>
        <w:jc w:val="both"/>
        <w:rPr>
          <w:sz w:val="19"/>
          <w:szCs w:val="19"/>
        </w:rPr>
      </w:pPr>
      <w:r w:rsidRPr="00F50E2F">
        <w:rPr>
          <w:rStyle w:val="Refdenotaalpie"/>
          <w:sz w:val="19"/>
          <w:szCs w:val="19"/>
        </w:rPr>
        <w:footnoteRef/>
      </w:r>
      <w:r w:rsidRPr="00F50E2F">
        <w:rPr>
          <w:sz w:val="19"/>
          <w:szCs w:val="19"/>
        </w:rPr>
        <w:t xml:space="preserve"> </w:t>
      </w:r>
      <w:r w:rsidRPr="00B637F3">
        <w:rPr>
          <w:sz w:val="19"/>
          <w:szCs w:val="19"/>
        </w:rPr>
        <w:t xml:space="preserve">Colombia Compra Eficiente. </w:t>
      </w:r>
      <w:r w:rsidRPr="0085162C">
        <w:rPr>
          <w:sz w:val="19"/>
          <w:szCs w:val="19"/>
        </w:rPr>
        <w:t>Concepto C-297 del 4 de junio de 2020.</w:t>
      </w:r>
      <w:r w:rsidRPr="00B637F3">
        <w:rPr>
          <w:sz w:val="19"/>
          <w:szCs w:val="19"/>
        </w:rPr>
        <w:t xml:space="preserve"> </w:t>
      </w:r>
    </w:p>
  </w:footnote>
  <w:footnote w:id="2">
    <w:p w14:paraId="530E6163" w14:textId="77777777" w:rsidR="00B92028" w:rsidRPr="00B637F3" w:rsidRDefault="00B92028" w:rsidP="00B92028">
      <w:pPr>
        <w:pStyle w:val="Textonotapie"/>
        <w:ind w:firstLine="708"/>
        <w:jc w:val="both"/>
        <w:rPr>
          <w:sz w:val="19"/>
          <w:szCs w:val="19"/>
        </w:rPr>
      </w:pPr>
      <w:r w:rsidRPr="00B637F3">
        <w:rPr>
          <w:rStyle w:val="Refdenotaalpie"/>
          <w:sz w:val="19"/>
          <w:szCs w:val="19"/>
        </w:rPr>
        <w:footnoteRef/>
      </w:r>
      <w:r w:rsidRPr="00B637F3">
        <w:rPr>
          <w:sz w:val="19"/>
          <w:szCs w:val="19"/>
        </w:rPr>
        <w:t xml:space="preserve"> </w:t>
      </w:r>
      <w:r>
        <w:rPr>
          <w:sz w:val="19"/>
          <w:szCs w:val="19"/>
        </w:rPr>
        <w:t>C</w:t>
      </w:r>
      <w:r w:rsidRPr="006A0072">
        <w:rPr>
          <w:sz w:val="19"/>
          <w:szCs w:val="19"/>
        </w:rPr>
        <w:t>oncepto C-196 de 2020</w:t>
      </w:r>
      <w:r>
        <w:rPr>
          <w:sz w:val="19"/>
          <w:szCs w:val="19"/>
        </w:rPr>
        <w:t xml:space="preserve">. </w:t>
      </w:r>
      <w:r w:rsidRPr="00B637F3">
        <w:rPr>
          <w:sz w:val="19"/>
          <w:szCs w:val="19"/>
        </w:rPr>
        <w:t>Radicado de entrada No. 4202013000001559. Radicado de salida No. 2202013000002534.</w:t>
      </w:r>
    </w:p>
    <w:p w14:paraId="69BAF5B8" w14:textId="77777777" w:rsidR="00B92028" w:rsidRPr="00B637F3" w:rsidRDefault="00B92028" w:rsidP="00B92028">
      <w:pPr>
        <w:pStyle w:val="Textonotapie"/>
        <w:jc w:val="both"/>
        <w:rPr>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8747" w14:textId="77777777" w:rsidR="00993A2A" w:rsidRPr="003F58A1" w:rsidRDefault="00BF345D" w:rsidP="00993A2A">
    <w:pPr>
      <w:spacing w:after="0"/>
      <w:rPr>
        <w:rFonts w:ascii="Geomanist Bold" w:hAnsi="Geomanist Bold"/>
        <w:color w:val="002060"/>
        <w:szCs w:val="24"/>
      </w:rPr>
    </w:pPr>
    <w:r w:rsidRPr="008614E5">
      <w:rPr>
        <w:rFonts w:eastAsia="Arial Nova" w:cs="Arial Nova"/>
        <w:noProof/>
        <w:szCs w:val="24"/>
        <w:lang w:val="en-US"/>
      </w:rPr>
      <w:drawing>
        <wp:anchor distT="0" distB="0" distL="0" distR="0" simplePos="0" relativeHeight="251659264" behindDoc="1" locked="0" layoutInCell="1" hidden="0" allowOverlap="1" wp14:anchorId="17811309" wp14:editId="4DC3FE62">
          <wp:simplePos x="0" y="0"/>
          <wp:positionH relativeFrom="margin">
            <wp:align>right</wp:align>
          </wp:positionH>
          <wp:positionV relativeFrom="paragraph">
            <wp:posOffset>6985</wp:posOffset>
          </wp:positionV>
          <wp:extent cx="1657350" cy="676275"/>
          <wp:effectExtent l="0" t="0" r="0" b="9525"/>
          <wp:wrapNone/>
          <wp:docPr id="9"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93A2A" w:rsidRPr="00367110" w14:paraId="11783816" w14:textId="77777777" w:rsidTr="00B53489">
      <w:tc>
        <w:tcPr>
          <w:tcW w:w="6756" w:type="dxa"/>
        </w:tcPr>
        <w:p w14:paraId="215A6964" w14:textId="77777777" w:rsidR="00993A2A" w:rsidRPr="006478E3" w:rsidRDefault="00BF345D" w:rsidP="00993A2A">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489D674" w14:textId="77777777" w:rsidR="00993A2A" w:rsidRPr="0057618A" w:rsidRDefault="00BF345D" w:rsidP="00993A2A">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6F4F1A9" w14:textId="77777777" w:rsidR="00993A2A" w:rsidRPr="00367110" w:rsidRDefault="00000000" w:rsidP="00993A2A">
          <w:pPr>
            <w:jc w:val="right"/>
            <w:rPr>
              <w:rFonts w:eastAsia="Arial Nova" w:cs="Arial Nova"/>
              <w:lang w:eastAsia="es-CO"/>
            </w:rPr>
          </w:pPr>
        </w:p>
      </w:tc>
      <w:tc>
        <w:tcPr>
          <w:tcW w:w="1324" w:type="dxa"/>
        </w:tcPr>
        <w:p w14:paraId="0DE7D237" w14:textId="77777777" w:rsidR="00993A2A" w:rsidRPr="00367110" w:rsidRDefault="00000000" w:rsidP="00993A2A">
          <w:pPr>
            <w:jc w:val="right"/>
            <w:rPr>
              <w:rFonts w:eastAsia="Arial Nova" w:cs="Arial Nova"/>
              <w:lang w:eastAsia="es-CO"/>
            </w:rPr>
          </w:pPr>
        </w:p>
      </w:tc>
    </w:tr>
  </w:tbl>
  <w:p w14:paraId="4C0C6EFF" w14:textId="77777777" w:rsidR="00993A2A" w:rsidRPr="00906B3C" w:rsidRDefault="00BF345D" w:rsidP="00993A2A">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7302E5B1" wp14:editId="5132AD50">
          <wp:simplePos x="0" y="0"/>
          <wp:positionH relativeFrom="column">
            <wp:posOffset>62866</wp:posOffset>
          </wp:positionH>
          <wp:positionV relativeFrom="paragraph">
            <wp:posOffset>1905</wp:posOffset>
          </wp:positionV>
          <wp:extent cx="3238500" cy="7620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231754A"/>
    <w:multiLevelType w:val="hybridMultilevel"/>
    <w:tmpl w:val="29F6206A"/>
    <w:lvl w:ilvl="0" w:tplc="D3C6F798">
      <w:start w:val="1"/>
      <w:numFmt w:val="lowerRoman"/>
      <w:lvlText w:val="%1)"/>
      <w:lvlJc w:val="left"/>
      <w:pPr>
        <w:ind w:left="1080" w:hanging="72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300"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num w:numId="1" w16cid:durableId="76945674">
    <w:abstractNumId w:val="0"/>
  </w:num>
  <w:num w:numId="2" w16cid:durableId="1393382980">
    <w:abstractNumId w:val="2"/>
  </w:num>
  <w:num w:numId="3" w16cid:durableId="2906019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028"/>
    <w:rsid w:val="00014C37"/>
    <w:rsid w:val="000829C1"/>
    <w:rsid w:val="000A47CF"/>
    <w:rsid w:val="002229A0"/>
    <w:rsid w:val="002F7780"/>
    <w:rsid w:val="003363F3"/>
    <w:rsid w:val="003C281F"/>
    <w:rsid w:val="003F3D86"/>
    <w:rsid w:val="004262E6"/>
    <w:rsid w:val="004B56AD"/>
    <w:rsid w:val="00651A7A"/>
    <w:rsid w:val="006F1936"/>
    <w:rsid w:val="00737ABD"/>
    <w:rsid w:val="00761F8F"/>
    <w:rsid w:val="007A0906"/>
    <w:rsid w:val="0093548E"/>
    <w:rsid w:val="009633F9"/>
    <w:rsid w:val="00B92028"/>
    <w:rsid w:val="00BF345D"/>
    <w:rsid w:val="00C56BB4"/>
    <w:rsid w:val="00C8267D"/>
    <w:rsid w:val="00CE04D9"/>
    <w:rsid w:val="00D327AA"/>
    <w:rsid w:val="00E96A8B"/>
    <w:rsid w:val="00ED2C50"/>
    <w:rsid w:val="00F12F8F"/>
    <w:rsid w:val="2FAAB275"/>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F1AEB"/>
  <w15:chartTrackingRefBased/>
  <w15:docId w15:val="{4E8BF209-64F0-E246-9F65-146EB355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F8F"/>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B92028"/>
    <w:pPr>
      <w:tabs>
        <w:tab w:val="center" w:pos="4419"/>
        <w:tab w:val="right" w:pos="8838"/>
      </w:tabs>
    </w:pPr>
  </w:style>
  <w:style w:type="character" w:customStyle="1" w:styleId="PiedepginaCar">
    <w:name w:val="Pie de página Car"/>
    <w:basedOn w:val="Fuentedeprrafopredeter"/>
    <w:link w:val="Piedepgina"/>
    <w:uiPriority w:val="99"/>
    <w:rsid w:val="00B92028"/>
    <w:rPr>
      <w:szCs w:val="22"/>
      <w:lang w:val="es-MX"/>
    </w:rPr>
  </w:style>
  <w:style w:type="paragraph" w:styleId="Encabezado">
    <w:name w:val="header"/>
    <w:basedOn w:val="Normal"/>
    <w:link w:val="EncabezadoCar"/>
    <w:uiPriority w:val="99"/>
    <w:unhideWhenUsed/>
    <w:rsid w:val="00B92028"/>
    <w:pPr>
      <w:tabs>
        <w:tab w:val="center" w:pos="4252"/>
        <w:tab w:val="right" w:pos="8504"/>
      </w:tabs>
    </w:pPr>
  </w:style>
  <w:style w:type="character" w:customStyle="1" w:styleId="EncabezadoCar">
    <w:name w:val="Encabezado Car"/>
    <w:basedOn w:val="Fuentedeprrafopredeter"/>
    <w:link w:val="Encabezado"/>
    <w:uiPriority w:val="99"/>
    <w:rsid w:val="00B92028"/>
    <w:rPr>
      <w:szCs w:val="22"/>
      <w:lang w:val="es-MX"/>
    </w:rPr>
  </w:style>
  <w:style w:type="table" w:styleId="Tablaconcuadrcula">
    <w:name w:val="Table Grid"/>
    <w:basedOn w:val="Tablanormal"/>
    <w:uiPriority w:val="59"/>
    <w:qFormat/>
    <w:rsid w:val="00B92028"/>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B92028"/>
    <w:pPr>
      <w:spacing w:before="100" w:beforeAutospacing="1" w:after="100" w:afterAutospacing="1"/>
    </w:pPr>
    <w:rPr>
      <w:rFonts w:ascii="Times New Roman" w:eastAsia="Times New Roman" w:hAnsi="Times New Roman" w:cs="Times New Roman"/>
      <w:szCs w:val="24"/>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B92028"/>
    <w:rPr>
      <w:vertAlign w:val="superscript"/>
    </w:rPr>
  </w:style>
  <w:style w:type="paragraph" w:customStyle="1" w:styleId="Appelnotedebasde">
    <w:name w:val="Appel note de bas de..."/>
    <w:basedOn w:val="Normal"/>
    <w:link w:val="Refdenotaalpie"/>
    <w:uiPriority w:val="99"/>
    <w:rsid w:val="00B92028"/>
    <w:pPr>
      <w:spacing w:after="160" w:line="240" w:lineRule="exact"/>
    </w:pPr>
    <w:rPr>
      <w:szCs w:val="24"/>
      <w:vertAlign w:val="superscript"/>
      <w:lang w:val="es-CO"/>
    </w:rPr>
  </w:style>
  <w:style w:type="character" w:customStyle="1" w:styleId="NormalWebCar">
    <w:name w:val="Normal (Web) Car"/>
    <w:link w:val="NormalWeb"/>
    <w:uiPriority w:val="99"/>
    <w:locked/>
    <w:rsid w:val="00B92028"/>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B920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B92028"/>
    <w:pPr>
      <w:spacing w:after="0" w:line="240" w:lineRule="auto"/>
      <w:ind w:left="720"/>
      <w:contextualSpacing/>
      <w:jc w:val="left"/>
    </w:pPr>
    <w:rPr>
      <w:szCs w:val="24"/>
      <w:lang w:val="es-CO"/>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B92028"/>
    <w:pPr>
      <w:widowControl w:val="0"/>
      <w:autoSpaceDE w:val="0"/>
      <w:autoSpaceDN w:val="0"/>
      <w:spacing w:after="0" w:line="240" w:lineRule="auto"/>
      <w:jc w:val="left"/>
    </w:pPr>
    <w:rPr>
      <w:rFonts w:ascii="Arial" w:eastAsia="Arial" w:hAnsi="Arial" w:cs="Arial"/>
      <w:sz w:val="20"/>
      <w:szCs w:val="20"/>
      <w:lang w:val="es-E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B92028"/>
    <w:rPr>
      <w:rFonts w:ascii="Arial" w:eastAsia="Arial" w:hAnsi="Arial" w:cs="Arial"/>
      <w:sz w:val="20"/>
      <w:szCs w:val="20"/>
      <w:lang w:val="es-ES"/>
    </w:rPr>
  </w:style>
  <w:style w:type="character" w:customStyle="1" w:styleId="normaltextrun">
    <w:name w:val="normaltextrun"/>
    <w:basedOn w:val="Fuentedeprrafopredeter"/>
    <w:rsid w:val="00B92028"/>
  </w:style>
  <w:style w:type="paragraph" w:styleId="Sinespaciado">
    <w:name w:val="No Spacing"/>
    <w:uiPriority w:val="1"/>
    <w:qFormat/>
    <w:rsid w:val="00B92028"/>
    <w:pPr>
      <w:jc w:val="both"/>
    </w:pPr>
    <w:rPr>
      <w:szCs w:val="22"/>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92028"/>
  </w:style>
  <w:style w:type="paragraph" w:styleId="Textoindependiente">
    <w:name w:val="Body Text"/>
    <w:basedOn w:val="Normal"/>
    <w:link w:val="TextoindependienteCar"/>
    <w:uiPriority w:val="1"/>
    <w:qFormat/>
    <w:rsid w:val="00B92028"/>
    <w:pPr>
      <w:widowControl w:val="0"/>
      <w:autoSpaceDE w:val="0"/>
      <w:autoSpaceDN w:val="0"/>
      <w:spacing w:after="0" w:line="240" w:lineRule="auto"/>
      <w:jc w:val="left"/>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92028"/>
    <w:rPr>
      <w:rFonts w:ascii="Arial" w:eastAsia="Arial" w:hAnsi="Arial" w:cs="Arial"/>
      <w:sz w:val="22"/>
      <w:szCs w:val="22"/>
      <w:lang w:val="es-ES"/>
    </w:rPr>
  </w:style>
  <w:style w:type="paragraph" w:styleId="Revisin">
    <w:name w:val="Revision"/>
    <w:hidden/>
    <w:uiPriority w:val="99"/>
    <w:semiHidden/>
    <w:rsid w:val="000829C1"/>
    <w:rPr>
      <w:szCs w:val="22"/>
      <w:lang w:val="es-MX"/>
    </w:rPr>
  </w:style>
  <w:style w:type="character" w:styleId="Refdecomentario">
    <w:name w:val="annotation reference"/>
    <w:basedOn w:val="Fuentedeprrafopredeter"/>
    <w:uiPriority w:val="99"/>
    <w:semiHidden/>
    <w:unhideWhenUsed/>
    <w:rsid w:val="000829C1"/>
    <w:rPr>
      <w:sz w:val="16"/>
      <w:szCs w:val="16"/>
    </w:rPr>
  </w:style>
  <w:style w:type="paragraph" w:styleId="Textocomentario">
    <w:name w:val="annotation text"/>
    <w:basedOn w:val="Normal"/>
    <w:link w:val="TextocomentarioCar"/>
    <w:uiPriority w:val="99"/>
    <w:unhideWhenUsed/>
    <w:rsid w:val="000829C1"/>
    <w:pPr>
      <w:spacing w:line="240" w:lineRule="auto"/>
    </w:pPr>
    <w:rPr>
      <w:sz w:val="20"/>
      <w:szCs w:val="20"/>
    </w:rPr>
  </w:style>
  <w:style w:type="character" w:customStyle="1" w:styleId="TextocomentarioCar">
    <w:name w:val="Texto comentario Car"/>
    <w:basedOn w:val="Fuentedeprrafopredeter"/>
    <w:link w:val="Textocomentario"/>
    <w:uiPriority w:val="99"/>
    <w:rsid w:val="000829C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0829C1"/>
    <w:rPr>
      <w:b/>
      <w:bCs/>
    </w:rPr>
  </w:style>
  <w:style w:type="character" w:customStyle="1" w:styleId="AsuntodelcomentarioCar">
    <w:name w:val="Asunto del comentario Car"/>
    <w:basedOn w:val="TextocomentarioCar"/>
    <w:link w:val="Asuntodelcomentario"/>
    <w:uiPriority w:val="99"/>
    <w:semiHidden/>
    <w:rsid w:val="000829C1"/>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2345668">
      <w:bodyDiv w:val="1"/>
      <w:marLeft w:val="0"/>
      <w:marRight w:val="0"/>
      <w:marTop w:val="0"/>
      <w:marBottom w:val="0"/>
      <w:divBdr>
        <w:top w:val="none" w:sz="0" w:space="0" w:color="auto"/>
        <w:left w:val="none" w:sz="0" w:space="0" w:color="auto"/>
        <w:bottom w:val="none" w:sz="0" w:space="0" w:color="auto"/>
        <w:right w:val="none" w:sz="0" w:space="0" w:color="auto"/>
      </w:divBdr>
    </w:div>
    <w:div w:id="191319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F12E24-0390-437F-BEB2-848DC7CEC0FD}">
  <ds:schemaRefs>
    <ds:schemaRef ds:uri="http://schemas.microsoft.com/sharepoint/v3/contenttype/forms"/>
  </ds:schemaRefs>
</ds:datastoreItem>
</file>

<file path=customXml/itemProps2.xml><?xml version="1.0" encoding="utf-8"?>
<ds:datastoreItem xmlns:ds="http://schemas.openxmlformats.org/officeDocument/2006/customXml" ds:itemID="{0E834A50-928D-40D9-B67D-F374ABF83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8E1303-C6A8-4A14-9C97-A0C0569FBB9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3710</Words>
  <Characters>20405</Characters>
  <Application>Microsoft Office Word</Application>
  <DocSecurity>0</DocSecurity>
  <Lines>170</Lines>
  <Paragraphs>48</Paragraphs>
  <ScaleCrop>false</ScaleCrop>
  <Company/>
  <LinksUpToDate>false</LinksUpToDate>
  <CharactersWithSpaces>24067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dc:creator>
  <cp:keywords/>
  <dc:description/>
  <cp:lastModifiedBy>Liliana Patricia Sanguino Arenas</cp:lastModifiedBy>
  <cp:revision>2</cp:revision>
  <dcterms:created xsi:type="dcterms:W3CDTF">2022-11-17T15:51:00Z</dcterms:created>
  <dcterms:modified xsi:type="dcterms:W3CDTF">2022-11-17T15:51:00Z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