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C1759C" w14:textId="77777777" w:rsidR="00CC1214" w:rsidRPr="00396DBB" w:rsidRDefault="00CC1214" w:rsidP="00CC1214">
      <w:pPr>
        <w:pStyle w:val="Textoindependiente"/>
        <w:spacing w:after="0" w:line="240" w:lineRule="auto"/>
        <w:ind w:right="102"/>
        <w:jc w:val="both"/>
        <w:rPr>
          <w:rFonts w:ascii="Verdana" w:hAnsi="Verdana" w:cs="Arial"/>
          <w:b/>
          <w:color w:val="000000" w:themeColor="text1"/>
          <w:sz w:val="20"/>
          <w:szCs w:val="20"/>
          <w:lang w:val="es-ES_tradnl"/>
        </w:rPr>
      </w:pPr>
    </w:p>
    <w:p w14:paraId="5DC98EA1" w14:textId="77777777" w:rsidR="00CC1214" w:rsidRPr="00396DBB" w:rsidRDefault="00CC1214" w:rsidP="00CC1214">
      <w:pPr>
        <w:pStyle w:val="Textoindependiente"/>
        <w:spacing w:after="0" w:line="240" w:lineRule="auto"/>
        <w:ind w:right="102"/>
        <w:jc w:val="both"/>
        <w:rPr>
          <w:rFonts w:ascii="Verdana" w:hAnsi="Verdana" w:cs="Arial"/>
          <w:b/>
          <w:color w:val="000000" w:themeColor="text1"/>
          <w:lang w:val="es-ES_tradnl"/>
        </w:rPr>
      </w:pPr>
      <w:r>
        <w:rPr>
          <w:rFonts w:ascii="Verdana" w:hAnsi="Verdana" w:cs="Arial"/>
          <w:b/>
          <w:color w:val="000000" w:themeColor="text1"/>
          <w:lang w:val="es-ES_tradnl"/>
        </w:rPr>
        <w:t>SELECCIÓN ABREVIADA</w:t>
      </w:r>
      <w:r w:rsidRPr="00396DBB">
        <w:rPr>
          <w:rFonts w:ascii="Verdana" w:hAnsi="Verdana" w:cs="Arial"/>
          <w:b/>
          <w:color w:val="000000" w:themeColor="text1"/>
          <w:lang w:val="es-ES_tradnl"/>
        </w:rPr>
        <w:t xml:space="preserve"> – </w:t>
      </w:r>
      <w:r>
        <w:rPr>
          <w:rFonts w:ascii="Verdana" w:hAnsi="Verdana" w:cs="Arial"/>
          <w:b/>
          <w:color w:val="000000" w:themeColor="text1"/>
          <w:lang w:val="es-ES_tradnl"/>
        </w:rPr>
        <w:t>Marco normativo</w:t>
      </w:r>
      <w:r w:rsidRPr="00396DBB">
        <w:rPr>
          <w:rFonts w:ascii="Verdana" w:hAnsi="Verdana" w:cs="Arial"/>
          <w:b/>
          <w:color w:val="000000" w:themeColor="text1"/>
          <w:lang w:val="es-ES_tradnl"/>
        </w:rPr>
        <w:t xml:space="preserve"> </w:t>
      </w:r>
    </w:p>
    <w:p w14:paraId="18718FBB" w14:textId="77777777" w:rsidR="00CC1214" w:rsidRPr="00396DBB" w:rsidRDefault="00CC1214" w:rsidP="00CC1214">
      <w:pPr>
        <w:pStyle w:val="Textoindependiente"/>
        <w:spacing w:after="0" w:line="240" w:lineRule="auto"/>
        <w:ind w:right="102"/>
        <w:jc w:val="both"/>
        <w:rPr>
          <w:rFonts w:ascii="Verdana" w:hAnsi="Verdana" w:cs="Arial"/>
          <w:color w:val="000000" w:themeColor="text1"/>
          <w:sz w:val="20"/>
          <w:szCs w:val="20"/>
          <w:lang w:val="es-ES_tradnl"/>
        </w:rPr>
      </w:pPr>
    </w:p>
    <w:p w14:paraId="57A3B939" w14:textId="77777777" w:rsidR="00CC1214" w:rsidRDefault="00CC1214" w:rsidP="00CC1214">
      <w:pPr>
        <w:spacing w:after="0" w:line="240" w:lineRule="auto"/>
        <w:jc w:val="both"/>
        <w:rPr>
          <w:rFonts w:ascii="Verdana" w:eastAsia="Arial" w:hAnsi="Verdana" w:cs="Arial"/>
          <w:color w:val="000000" w:themeColor="text1"/>
          <w:sz w:val="20"/>
          <w:szCs w:val="20"/>
        </w:rPr>
      </w:pPr>
      <w:r w:rsidRPr="00C371AB">
        <w:rPr>
          <w:rFonts w:ascii="Verdana" w:eastAsia="Arial" w:hAnsi="Verdana" w:cs="Arial"/>
          <w:bCs/>
          <w:color w:val="000000" w:themeColor="text1"/>
          <w:sz w:val="20"/>
          <w:szCs w:val="20"/>
          <w:lang w:val="es-MX"/>
        </w:rPr>
        <w:t xml:space="preserve">Respecto a la selección abreviada, </w:t>
      </w:r>
      <w:r w:rsidRPr="00C371AB">
        <w:rPr>
          <w:rFonts w:ascii="Verdana" w:eastAsia="Arial" w:hAnsi="Verdana" w:cs="Arial"/>
          <w:color w:val="000000" w:themeColor="text1"/>
          <w:sz w:val="20"/>
          <w:szCs w:val="20"/>
        </w:rPr>
        <w:t xml:space="preserve">el numeral 2 del artículo 2 de la Ley 1150 de 2007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 </w:t>
      </w:r>
    </w:p>
    <w:p w14:paraId="3F0593B4" w14:textId="77777777" w:rsidR="00CC1214" w:rsidRPr="00C371AB" w:rsidRDefault="00CC1214" w:rsidP="00CC1214">
      <w:pPr>
        <w:spacing w:after="0" w:line="240" w:lineRule="auto"/>
        <w:jc w:val="both"/>
        <w:rPr>
          <w:rFonts w:ascii="Verdana" w:eastAsia="Arial" w:hAnsi="Verdana" w:cs="Arial"/>
          <w:color w:val="000000" w:themeColor="text1"/>
          <w:sz w:val="20"/>
          <w:szCs w:val="20"/>
        </w:rPr>
      </w:pPr>
    </w:p>
    <w:p w14:paraId="54002B9E" w14:textId="77777777" w:rsidR="00CC1214" w:rsidRDefault="00CC1214" w:rsidP="00CC1214">
      <w:pPr>
        <w:spacing w:after="0" w:line="240" w:lineRule="auto"/>
        <w:jc w:val="both"/>
        <w:rPr>
          <w:rFonts w:ascii="Verdana" w:eastAsia="Arial" w:hAnsi="Verdana" w:cs="Arial"/>
          <w:color w:val="000000" w:themeColor="text1"/>
          <w:sz w:val="20"/>
          <w:szCs w:val="20"/>
        </w:rPr>
      </w:pPr>
      <w:r w:rsidRPr="00C371AB">
        <w:rPr>
          <w:rFonts w:ascii="Verdana" w:eastAsia="Arial" w:hAnsi="Verdana" w:cs="Arial"/>
          <w:color w:val="000000" w:themeColor="text1"/>
          <w:sz w:val="20"/>
          <w:szCs w:val="20"/>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r>
        <w:rPr>
          <w:rFonts w:ascii="Verdana" w:eastAsia="Arial" w:hAnsi="Verdana" w:cs="Arial"/>
          <w:color w:val="000000" w:themeColor="text1"/>
          <w:sz w:val="20"/>
          <w:szCs w:val="20"/>
        </w:rPr>
        <w:t>.</w:t>
      </w:r>
    </w:p>
    <w:p w14:paraId="25963453" w14:textId="77777777" w:rsidR="00CC1214" w:rsidRDefault="00CC1214" w:rsidP="00CC1214">
      <w:pPr>
        <w:spacing w:after="0" w:line="240" w:lineRule="auto"/>
        <w:jc w:val="both"/>
        <w:rPr>
          <w:rFonts w:ascii="Verdana" w:eastAsia="Arial" w:hAnsi="Verdana" w:cs="Arial"/>
          <w:color w:val="000000" w:themeColor="text1"/>
          <w:sz w:val="20"/>
          <w:szCs w:val="20"/>
        </w:rPr>
      </w:pPr>
    </w:p>
    <w:p w14:paraId="0E622B86" w14:textId="77777777" w:rsidR="00CC1214" w:rsidRPr="00FB1576" w:rsidRDefault="00CC1214" w:rsidP="00CC1214">
      <w:pPr>
        <w:spacing w:after="0" w:line="240" w:lineRule="auto"/>
        <w:jc w:val="both"/>
        <w:rPr>
          <w:rFonts w:ascii="Verdana" w:eastAsia="Arial" w:hAnsi="Verdana" w:cs="Arial"/>
          <w:color w:val="000000" w:themeColor="text1"/>
          <w:sz w:val="20"/>
          <w:szCs w:val="20"/>
        </w:rPr>
      </w:pPr>
      <w:r w:rsidRPr="00C371AB">
        <w:rPr>
          <w:rFonts w:ascii="Verdana" w:eastAsia="Arial" w:hAnsi="Verdana" w:cs="Arial"/>
          <w:color w:val="000000" w:themeColor="text1"/>
          <w:sz w:val="20"/>
          <w:szCs w:val="20"/>
        </w:rPr>
        <w:t>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Pr>
          <w:rFonts w:ascii="Verdana" w:eastAsia="Arial" w:hAnsi="Verdana" w:cs="Arial"/>
          <w:color w:val="000000" w:themeColor="text1"/>
          <w:sz w:val="20"/>
          <w:szCs w:val="20"/>
        </w:rPr>
        <w:t>.</w:t>
      </w:r>
      <w:r w:rsidRPr="00FB1576">
        <w:rPr>
          <w:rFonts w:ascii="Verdana" w:eastAsia="Arial" w:hAnsi="Verdana" w:cs="Arial"/>
          <w:color w:val="000000" w:themeColor="text1"/>
          <w:sz w:val="20"/>
          <w:szCs w:val="20"/>
        </w:rPr>
        <w:t xml:space="preserve"> </w:t>
      </w:r>
    </w:p>
    <w:p w14:paraId="672C5F36" w14:textId="77777777" w:rsidR="00CC1214" w:rsidRPr="00396DBB" w:rsidRDefault="00CC1214" w:rsidP="00CC1214">
      <w:pPr>
        <w:spacing w:after="0" w:line="240" w:lineRule="auto"/>
        <w:jc w:val="both"/>
        <w:rPr>
          <w:rFonts w:ascii="Verdana" w:eastAsia="Calibri" w:hAnsi="Verdana" w:cs="Arial"/>
          <w:b/>
          <w:color w:val="000000" w:themeColor="text1"/>
          <w:lang w:val="es-ES_tradnl"/>
        </w:rPr>
      </w:pPr>
    </w:p>
    <w:p w14:paraId="2C4D88EA" w14:textId="77777777" w:rsidR="00CC1214" w:rsidRPr="00396DBB" w:rsidRDefault="00CC1214" w:rsidP="00CC1214">
      <w:pPr>
        <w:spacing w:after="0" w:line="240" w:lineRule="auto"/>
        <w:jc w:val="both"/>
        <w:rPr>
          <w:rFonts w:ascii="Verdana" w:eastAsia="Calibri" w:hAnsi="Verdana" w:cs="Arial"/>
          <w:b/>
          <w:color w:val="000000" w:themeColor="text1"/>
          <w:lang w:val="es-ES_tradnl"/>
        </w:rPr>
      </w:pPr>
      <w:r w:rsidRPr="00C371AB">
        <w:rPr>
          <w:rFonts w:ascii="Verdana" w:eastAsia="Calibri" w:hAnsi="Verdana" w:cs="Arial"/>
          <w:b/>
          <w:color w:val="000000" w:themeColor="text1"/>
          <w:lang w:val="es-ES_tradnl"/>
        </w:rPr>
        <w:t>BIENES Y SERVICIOS DE CARACTERÍSTICAS TÉCNICAS UNIFORMES</w:t>
      </w:r>
      <w:r w:rsidRPr="00782519">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Definición </w:t>
      </w:r>
      <w:r w:rsidRPr="00396DBB">
        <w:rPr>
          <w:rFonts w:ascii="Verdana" w:eastAsia="Calibri" w:hAnsi="Verdana" w:cs="Arial"/>
          <w:b/>
          <w:color w:val="000000" w:themeColor="text1"/>
          <w:lang w:val="es-ES_tradnl"/>
        </w:rPr>
        <w:t xml:space="preserve"> </w:t>
      </w:r>
    </w:p>
    <w:p w14:paraId="358A3ADF" w14:textId="77777777" w:rsidR="00CC1214" w:rsidRPr="00396DBB" w:rsidRDefault="00CC1214" w:rsidP="00CC1214">
      <w:pPr>
        <w:spacing w:after="0" w:line="240" w:lineRule="auto"/>
        <w:jc w:val="both"/>
        <w:rPr>
          <w:rFonts w:ascii="Verdana" w:eastAsia="Calibri" w:hAnsi="Verdana" w:cs="Arial"/>
          <w:bCs/>
          <w:color w:val="000000" w:themeColor="text1"/>
          <w:sz w:val="20"/>
          <w:szCs w:val="20"/>
          <w:lang w:val="es-ES_tradnl"/>
        </w:rPr>
      </w:pPr>
    </w:p>
    <w:p w14:paraId="130149E4" w14:textId="77777777" w:rsidR="00CC1214" w:rsidRDefault="00CC1214" w:rsidP="00CC1214">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S</w:t>
      </w:r>
      <w:r w:rsidRPr="00C371AB">
        <w:rPr>
          <w:rFonts w:ascii="Verdana" w:hAnsi="Verdana" w:cs="Arial"/>
          <w:color w:val="000000" w:themeColor="text1"/>
          <w:sz w:val="20"/>
          <w:szCs w:val="20"/>
        </w:rPr>
        <w:t>egún el literal a) del artículo 2.2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w:t>
      </w:r>
      <w:r w:rsidRPr="00782519">
        <w:rPr>
          <w:rFonts w:ascii="Verdana" w:hAnsi="Verdana" w:cs="Arial"/>
          <w:color w:val="000000" w:themeColor="text1"/>
          <w:sz w:val="20"/>
          <w:szCs w:val="20"/>
        </w:rPr>
        <w:t>.</w:t>
      </w:r>
    </w:p>
    <w:p w14:paraId="337C713E" w14:textId="77777777" w:rsidR="00CC1214" w:rsidRPr="00396DBB" w:rsidRDefault="00CC1214" w:rsidP="00CC1214">
      <w:pPr>
        <w:spacing w:after="0" w:line="240" w:lineRule="auto"/>
        <w:jc w:val="both"/>
        <w:rPr>
          <w:rFonts w:ascii="Verdana" w:hAnsi="Verdana" w:cs="Arial"/>
          <w:color w:val="000000" w:themeColor="text1"/>
          <w:sz w:val="21"/>
          <w:szCs w:val="21"/>
          <w:lang w:val="es-ES_tradnl"/>
        </w:rPr>
      </w:pPr>
    </w:p>
    <w:p w14:paraId="481120F4" w14:textId="77777777" w:rsidR="00CC1214" w:rsidRPr="00396DBB" w:rsidRDefault="00CC1214" w:rsidP="00CC1214">
      <w:pPr>
        <w:spacing w:after="0" w:line="240" w:lineRule="auto"/>
        <w:jc w:val="both"/>
        <w:rPr>
          <w:rFonts w:ascii="Verdana" w:eastAsia="Calibri" w:hAnsi="Verdana" w:cs="Arial"/>
          <w:b/>
          <w:color w:val="000000" w:themeColor="text1"/>
          <w:lang w:val="es-ES_tradnl"/>
        </w:rPr>
      </w:pPr>
      <w:r w:rsidRPr="00C371AB">
        <w:rPr>
          <w:rFonts w:ascii="Verdana" w:eastAsia="Calibri" w:hAnsi="Verdana" w:cs="Arial"/>
          <w:b/>
          <w:color w:val="000000" w:themeColor="text1"/>
          <w:lang w:val="es-ES_tradnl"/>
        </w:rPr>
        <w:t>BIENES Y SERVICIOS DE CARACTERÍSTICAS TÉCNICAS UNIFORMES</w:t>
      </w:r>
      <w:r w:rsidRPr="00782519">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Características – Formas de adquisición </w:t>
      </w:r>
    </w:p>
    <w:p w14:paraId="542A0AC7" w14:textId="77777777" w:rsidR="00CC1214" w:rsidRPr="00782519" w:rsidRDefault="00CC1214" w:rsidP="00CC1214">
      <w:pPr>
        <w:tabs>
          <w:tab w:val="left" w:pos="426"/>
        </w:tabs>
        <w:spacing w:after="0" w:line="240" w:lineRule="auto"/>
        <w:contextualSpacing/>
        <w:jc w:val="both"/>
        <w:rPr>
          <w:rFonts w:ascii="Verdana" w:eastAsia="Calibri" w:hAnsi="Verdana" w:cs="Arial"/>
          <w:b/>
          <w:bCs/>
          <w:sz w:val="20"/>
          <w:szCs w:val="20"/>
          <w:lang w:val="es-MX"/>
        </w:rPr>
      </w:pPr>
    </w:p>
    <w:p w14:paraId="6BEC61D6" w14:textId="77777777" w:rsidR="00CC1214" w:rsidRDefault="00CC1214" w:rsidP="00CC1214">
      <w:pPr>
        <w:tabs>
          <w:tab w:val="left" w:pos="426"/>
        </w:tabs>
        <w:spacing w:after="0" w:line="240" w:lineRule="auto"/>
        <w:contextualSpacing/>
        <w:jc w:val="both"/>
        <w:rPr>
          <w:rFonts w:ascii="Verdana" w:eastAsia="Calibri" w:hAnsi="Verdana" w:cs="Arial"/>
          <w:noProof/>
          <w:sz w:val="20"/>
          <w:szCs w:val="20"/>
          <w:lang w:val="es-ES_tradnl"/>
        </w:rPr>
      </w:pPr>
      <w:r w:rsidRPr="00C371AB">
        <w:rPr>
          <w:rFonts w:ascii="Verdana" w:eastAsia="Calibri" w:hAnsi="Verdana" w:cs="Arial"/>
          <w:noProof/>
          <w:sz w:val="20"/>
          <w:szCs w:val="20"/>
          <w:lang w:val="es-ES_tradnl"/>
        </w:rPr>
        <w:t xml:space="preserve">Para identificar los bienes y servicios que corresponden a este tipo, se destacan dos (2) aspectos importantes: la común utilización y la homogeneidad. Para la doctrina, la </w:t>
      </w:r>
      <w:r w:rsidRPr="00C371AB">
        <w:rPr>
          <w:rFonts w:ascii="Verdana" w:eastAsia="Calibri" w:hAnsi="Verdana" w:cs="Arial"/>
          <w:i/>
          <w:iCs/>
          <w:noProof/>
          <w:sz w:val="20"/>
          <w:szCs w:val="20"/>
          <w:lang w:val="es-ES_tradnl"/>
        </w:rPr>
        <w:t>común utilización</w:t>
      </w:r>
      <w:r w:rsidRPr="00C371AB">
        <w:rPr>
          <w:rFonts w:ascii="Verdana" w:eastAsia="Calibri" w:hAnsi="Verdana" w:cs="Arial"/>
          <w:noProof/>
          <w:sz w:val="20"/>
          <w:szCs w:val="20"/>
          <w:lang w:val="es-ES_tradnl"/>
        </w:rPr>
        <w:t xml:space="preserve"> “[…] busca que los bienes o servicios que se compren en esta categoría sean de los que se ofrecen en un mercado con un estándar para quienes los demandan, o lo que es igual, que la oferta de los mismos en el mercado ocurriese en condiciones equivalentes para todo interesado en adquirirlos”. Por su parte, la </w:t>
      </w:r>
      <w:r w:rsidRPr="00C371AB">
        <w:rPr>
          <w:rFonts w:ascii="Verdana" w:eastAsia="Calibri" w:hAnsi="Verdana" w:cs="Arial"/>
          <w:i/>
          <w:iCs/>
          <w:noProof/>
          <w:sz w:val="20"/>
          <w:szCs w:val="20"/>
          <w:lang w:val="es-ES_tradnl"/>
        </w:rPr>
        <w:t>homogeneidad</w:t>
      </w:r>
      <w:r w:rsidRPr="00C371AB">
        <w:rPr>
          <w:rFonts w:ascii="Verdana" w:eastAsia="Calibri" w:hAnsi="Verdana" w:cs="Arial"/>
          <w:noProof/>
          <w:sz w:val="20"/>
          <w:szCs w:val="20"/>
          <w:lang w:val="es-ES_tradnl"/>
        </w:rPr>
        <w:t xml:space="preserve"> se </w:t>
      </w:r>
      <w:r w:rsidRPr="00C371AB">
        <w:rPr>
          <w:rFonts w:ascii="Verdana" w:eastAsia="Calibri" w:hAnsi="Verdana" w:cs="Arial"/>
          <w:noProof/>
          <w:sz w:val="20"/>
          <w:szCs w:val="20"/>
          <w:lang w:val="es-ES_tradnl"/>
        </w:rPr>
        <w:lastRenderedPageBreak/>
        <w:t>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p>
    <w:p w14:paraId="66723E02" w14:textId="77777777" w:rsidR="00CC1214" w:rsidRPr="00C371AB" w:rsidRDefault="00CC1214" w:rsidP="00CC1214">
      <w:pPr>
        <w:tabs>
          <w:tab w:val="left" w:pos="426"/>
        </w:tabs>
        <w:spacing w:after="0" w:line="240" w:lineRule="auto"/>
        <w:contextualSpacing/>
        <w:jc w:val="both"/>
        <w:rPr>
          <w:rFonts w:ascii="Verdana" w:eastAsia="Calibri" w:hAnsi="Verdana" w:cs="Arial"/>
          <w:noProof/>
          <w:sz w:val="20"/>
          <w:szCs w:val="20"/>
          <w:lang w:val="es-ES_tradnl"/>
        </w:rPr>
      </w:pPr>
    </w:p>
    <w:p w14:paraId="47C1C8E3" w14:textId="77777777" w:rsidR="00CC1214" w:rsidRDefault="00CC1214" w:rsidP="00CC1214">
      <w:pPr>
        <w:tabs>
          <w:tab w:val="left" w:pos="426"/>
        </w:tabs>
        <w:spacing w:after="0" w:line="240" w:lineRule="auto"/>
        <w:contextualSpacing/>
        <w:jc w:val="both"/>
        <w:rPr>
          <w:rFonts w:ascii="Verdana" w:eastAsia="Calibri" w:hAnsi="Verdana" w:cs="Arial"/>
          <w:noProof/>
          <w:sz w:val="20"/>
          <w:szCs w:val="20"/>
          <w:lang w:val="es-ES_tradnl"/>
        </w:rPr>
      </w:pPr>
      <w:r w:rsidRPr="00C371AB">
        <w:rPr>
          <w:rFonts w:ascii="Verdana" w:eastAsia="Calibri" w:hAnsi="Verdana" w:cs="Arial"/>
          <w:noProof/>
          <w:sz w:val="20"/>
          <w:szCs w:val="20"/>
          <w:lang w:val="es-ES_tradnl"/>
        </w:rPr>
        <w:t>Los elementos centrales para definir si un bien o servicio se considera de características técnicas uniformes consiste en que posea las mismas especificaciones técnicas y compartan patrones de desempeño y calidad objetivamente definidos. Por ello, es posible adquirirlos en el mercado en condiciones estandarizadas u homogéneas, con independencia de su diseño o de sus características descriptivas, pues éstas no afectan su funcionalidad. La forma cómo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w:t>
      </w:r>
      <w:r w:rsidRPr="00782519">
        <w:rPr>
          <w:rFonts w:ascii="Verdana" w:eastAsia="Calibri" w:hAnsi="Verdana" w:cs="Arial"/>
          <w:noProof/>
          <w:sz w:val="20"/>
          <w:szCs w:val="20"/>
          <w:lang w:val="es-ES_tradnl"/>
        </w:rPr>
        <w:t xml:space="preserve">. </w:t>
      </w:r>
    </w:p>
    <w:p w14:paraId="70449776" w14:textId="77777777" w:rsidR="00CC1214" w:rsidRPr="00396DBB" w:rsidRDefault="00CC1214" w:rsidP="00CC1214">
      <w:pPr>
        <w:spacing w:after="0" w:line="240" w:lineRule="auto"/>
        <w:jc w:val="both"/>
        <w:rPr>
          <w:rFonts w:ascii="Verdana" w:hAnsi="Verdana" w:cs="Arial"/>
          <w:color w:val="000000" w:themeColor="text1"/>
          <w:sz w:val="21"/>
          <w:szCs w:val="21"/>
          <w:lang w:val="es-ES_tradnl"/>
        </w:rPr>
      </w:pPr>
    </w:p>
    <w:p w14:paraId="12737265" w14:textId="56723C90" w:rsidR="00CC1214" w:rsidRPr="00396DBB" w:rsidRDefault="00CC1214" w:rsidP="00CC1214">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 xml:space="preserve">SERVICIOS DE VIGILANCIA PRIVADA – </w:t>
      </w:r>
      <w:r w:rsidRPr="00CC1214">
        <w:rPr>
          <w:rFonts w:ascii="Verdana" w:eastAsia="Calibri" w:hAnsi="Verdana" w:cs="Arial"/>
          <w:b/>
          <w:color w:val="000000" w:themeColor="text1"/>
          <w:lang w:val="es-ES_tradnl"/>
        </w:rPr>
        <w:t>Licitación pública – Menor cuantía – Contratación</w:t>
      </w:r>
      <w:r>
        <w:rPr>
          <w:rFonts w:ascii="Verdana" w:eastAsia="Calibri" w:hAnsi="Verdana" w:cs="Arial"/>
          <w:b/>
          <w:color w:val="000000" w:themeColor="text1"/>
          <w:lang w:val="es-ES_tradnl"/>
        </w:rPr>
        <w:t xml:space="preserve">  </w:t>
      </w:r>
    </w:p>
    <w:p w14:paraId="71F84F26" w14:textId="77777777" w:rsidR="00CC1214" w:rsidRPr="00782519" w:rsidRDefault="00CC1214" w:rsidP="00CC1214">
      <w:pPr>
        <w:tabs>
          <w:tab w:val="left" w:pos="426"/>
        </w:tabs>
        <w:spacing w:after="0" w:line="240" w:lineRule="auto"/>
        <w:contextualSpacing/>
        <w:jc w:val="both"/>
        <w:rPr>
          <w:rFonts w:ascii="Verdana" w:eastAsia="Calibri" w:hAnsi="Verdana" w:cs="Arial"/>
          <w:b/>
          <w:bCs/>
          <w:sz w:val="20"/>
          <w:szCs w:val="20"/>
          <w:lang w:val="es-MX"/>
        </w:rPr>
      </w:pPr>
    </w:p>
    <w:p w14:paraId="3FD44C4C" w14:textId="77777777" w:rsidR="00CC1214" w:rsidRDefault="00CC1214" w:rsidP="00CC1214">
      <w:pPr>
        <w:tabs>
          <w:tab w:val="left" w:pos="426"/>
        </w:tabs>
        <w:spacing w:after="0" w:line="240" w:lineRule="auto"/>
        <w:contextualSpacing/>
        <w:jc w:val="both"/>
        <w:rPr>
          <w:rFonts w:ascii="Verdana" w:eastAsia="Calibri" w:hAnsi="Verdana" w:cs="Arial"/>
          <w:noProof/>
          <w:sz w:val="20"/>
          <w:szCs w:val="20"/>
          <w:lang w:val="es-ES_tradnl"/>
        </w:rPr>
      </w:pPr>
      <w:r w:rsidRPr="00CC1214">
        <w:rPr>
          <w:rFonts w:ascii="Verdana" w:eastAsia="Calibri" w:hAnsi="Verdana" w:cs="Arial"/>
          <w:noProof/>
          <w:sz w:val="20"/>
          <w:szCs w:val="20"/>
          <w:lang w:val="es-ES_tradnl"/>
        </w:rPr>
        <w:t xml:space="preserve">Respecto a los servicios de vigilancia y seguridad privada regulados por el Decreto Ley 356 de 1994, si bien nada se opone a que sean considerados como de características técnicas uniformes, la contratación de éstos a través de las modalidades antes indicadas no es funcional para garantizar la selección objetiva. Esto comoquiera que las tarifas mínimas establecidas para estos servicios en la Circular Externa de la Superintendencia de Vigilancia y Seguridad Privada 20231300001105 del 30 de diciembre de 2023 representan una medida regulatoria que hace que los ofrecimientos para la prestación de este tipo de servicios tiendan al valor mínimo permitido por regulación tarifaria, lo que hace que las Entidades Estatales no puedan elegir la oferta más favorable con base en el menor precio ofertado, como bien podría suceder con otros bienes o servicios que no tienen un precio mínimo regulado. </w:t>
      </w:r>
    </w:p>
    <w:p w14:paraId="330D15F1" w14:textId="7DA54ADC" w:rsidR="00CC1214" w:rsidRPr="00CC1214" w:rsidRDefault="00CC1214" w:rsidP="00CC1214">
      <w:pPr>
        <w:tabs>
          <w:tab w:val="left" w:pos="426"/>
        </w:tabs>
        <w:spacing w:after="0" w:line="240" w:lineRule="auto"/>
        <w:contextualSpacing/>
        <w:jc w:val="both"/>
        <w:rPr>
          <w:rFonts w:ascii="Verdana" w:eastAsia="Calibri" w:hAnsi="Verdana" w:cs="Arial"/>
          <w:noProof/>
          <w:sz w:val="20"/>
          <w:szCs w:val="20"/>
          <w:lang w:val="es-ES_tradnl"/>
        </w:rPr>
      </w:pPr>
      <w:r w:rsidRPr="00CC1214">
        <w:rPr>
          <w:rFonts w:ascii="Verdana" w:eastAsia="Calibri" w:hAnsi="Verdana" w:cs="Arial"/>
          <w:noProof/>
          <w:sz w:val="20"/>
          <w:szCs w:val="20"/>
          <w:lang w:val="es-ES_tradnl"/>
        </w:rPr>
        <w:t xml:space="preserve">  </w:t>
      </w:r>
    </w:p>
    <w:p w14:paraId="5FC22C91" w14:textId="77777777" w:rsidR="00CC1214" w:rsidRDefault="00CC1214" w:rsidP="00CC1214">
      <w:pPr>
        <w:tabs>
          <w:tab w:val="left" w:pos="426"/>
        </w:tabs>
        <w:spacing w:after="0" w:line="240" w:lineRule="auto"/>
        <w:contextualSpacing/>
        <w:jc w:val="both"/>
        <w:rPr>
          <w:rFonts w:ascii="Verdana" w:eastAsia="Calibri" w:hAnsi="Verdana" w:cs="Arial"/>
          <w:noProof/>
          <w:sz w:val="20"/>
          <w:szCs w:val="20"/>
          <w:lang w:val="es-ES_tradnl"/>
        </w:rPr>
      </w:pPr>
      <w:r w:rsidRPr="00CC1214">
        <w:rPr>
          <w:rFonts w:ascii="Verdana" w:eastAsia="Calibri" w:hAnsi="Verdana" w:cs="Arial"/>
          <w:noProof/>
          <w:sz w:val="20"/>
          <w:szCs w:val="20"/>
          <w:lang w:val="es-ES_tradnl"/>
        </w:rPr>
        <w:t xml:space="preserve">En atención a esto, la modalidad de selección más adecuada para la contratación de servicios de vigilancia y seguridad privada es la licitación pública prevista en el numeral 1 del artículo 2 de la Ley 1150 de 2007 como la regla general para objetos no sujetos a alguna modalidad en específico. Esto además debido a que la licitación pública es la modalidad que brinda más garantías para la selección objetiva, ya que de acuerdo con el artículo 5, numeral 2, de la Ley 1150 de 2007, reglamentado en el artículo 2.2.1.1.2.2.2 del Decreto 1082 de 2015, en este tipo de procedimientos la oferta más favorable es aquella que represente la mejor relación calidad-precio, cuestión que debe determinarse valorando, además del precio, factores de calidad, criterios sociales y ambientales, sin perjuicio de la aplicación de puntajes adicionales y acciones afirmativas previstos en la normativa de la contratación pública. Esto además resulta coherente con lo dispuesto en el artículo 6 de la Ley 1920 de 2018, que se refiere de manera expresa a la licitación pública como una modalidad de selección aplicable para contratar los servicios servicios de vigilancia y seguridad privada, previendo además la aplicación de factores de evaluación distintos del precio. </w:t>
      </w:r>
    </w:p>
    <w:p w14:paraId="2A363BEA" w14:textId="77777777" w:rsidR="00CC1214" w:rsidRPr="00CC1214" w:rsidRDefault="00CC1214" w:rsidP="00CC1214">
      <w:pPr>
        <w:tabs>
          <w:tab w:val="left" w:pos="426"/>
        </w:tabs>
        <w:spacing w:after="0" w:line="240" w:lineRule="auto"/>
        <w:contextualSpacing/>
        <w:jc w:val="both"/>
        <w:rPr>
          <w:rFonts w:ascii="Verdana" w:eastAsia="Calibri" w:hAnsi="Verdana" w:cs="Arial"/>
          <w:noProof/>
          <w:sz w:val="20"/>
          <w:szCs w:val="20"/>
          <w:lang w:val="es-ES_tradnl"/>
        </w:rPr>
      </w:pPr>
    </w:p>
    <w:p w14:paraId="7D37BCFD" w14:textId="373490AA" w:rsidR="00CC1214" w:rsidRPr="00782519" w:rsidRDefault="00CC1214" w:rsidP="00CC1214">
      <w:pPr>
        <w:tabs>
          <w:tab w:val="left" w:pos="426"/>
        </w:tabs>
        <w:spacing w:after="0" w:line="240" w:lineRule="auto"/>
        <w:contextualSpacing/>
        <w:jc w:val="both"/>
        <w:rPr>
          <w:rFonts w:ascii="Verdana" w:eastAsia="Calibri" w:hAnsi="Verdana" w:cs="Arial"/>
          <w:noProof/>
          <w:sz w:val="20"/>
          <w:szCs w:val="20"/>
          <w:lang w:val="es-ES_tradnl"/>
        </w:rPr>
      </w:pPr>
      <w:r w:rsidRPr="00CC1214">
        <w:rPr>
          <w:rFonts w:ascii="Verdana" w:eastAsia="Calibri" w:hAnsi="Verdana" w:cs="Arial"/>
          <w:noProof/>
          <w:sz w:val="20"/>
          <w:szCs w:val="20"/>
          <w:lang w:val="es-ES_tradnl"/>
        </w:rPr>
        <w:t xml:space="preserve">Lo anterior sin perjuicio de la aplicación de la modalidad de selección abreviada de menor cuantía cuando se requiera contratar servicios vigilancia y seguridad privada por valores que se ubiquen dentro de la menor cuantía de la respectiva Entidad Estatal, de acuerdo con los rangos establecidos en el literal b) del numeral 2 del artículo 2 de la Ley 1150 de 2007. En esta modalidad, al igual que en la licitación, la oferta más favorable se determina de acuerdo con lo establecido en el numeral 2 del artículo 5 de la Ley 1150 de 2007, esto es, en atención a la mejor relación calidad-precio. </w:t>
      </w:r>
      <w:r w:rsidRPr="009673B4">
        <w:rPr>
          <w:rFonts w:ascii="Verdana" w:eastAsia="Calibri" w:hAnsi="Verdana" w:cs="Arial"/>
          <w:noProof/>
          <w:sz w:val="20"/>
          <w:szCs w:val="20"/>
          <w:lang w:val="es-ES_tradnl"/>
        </w:rPr>
        <w:t xml:space="preserve">  </w:t>
      </w:r>
      <w:r w:rsidRPr="00782519">
        <w:rPr>
          <w:rFonts w:ascii="Verdana" w:eastAsia="Calibri" w:hAnsi="Verdana" w:cs="Arial"/>
          <w:noProof/>
          <w:sz w:val="20"/>
          <w:szCs w:val="20"/>
          <w:lang w:val="es-ES_tradnl"/>
        </w:rPr>
        <w:t xml:space="preserve"> </w:t>
      </w:r>
    </w:p>
    <w:p w14:paraId="684B1599" w14:textId="77777777" w:rsidR="00CC1214" w:rsidRPr="00CC1214" w:rsidRDefault="00CC1214" w:rsidP="0086331F">
      <w:pPr>
        <w:spacing w:after="0" w:line="240" w:lineRule="auto"/>
        <w:rPr>
          <w:rFonts w:ascii="Verdana" w:eastAsia="Geomanist Light" w:hAnsi="Verdana" w:cs="Arial"/>
          <w:color w:val="000000" w:themeColor="text1"/>
          <w:lang w:val="es-ES_tradnl"/>
        </w:rPr>
      </w:pPr>
    </w:p>
    <w:p w14:paraId="45B5AAE7" w14:textId="77777777" w:rsidR="00CC1214" w:rsidRDefault="00CC1214" w:rsidP="0086331F">
      <w:pPr>
        <w:spacing w:after="0" w:line="240" w:lineRule="auto"/>
        <w:rPr>
          <w:rFonts w:ascii="Verdana" w:eastAsia="Geomanist Light" w:hAnsi="Verdana" w:cs="Arial"/>
          <w:color w:val="000000" w:themeColor="text1"/>
          <w:lang w:val="es-MX"/>
        </w:rPr>
      </w:pPr>
    </w:p>
    <w:p w14:paraId="379854C1" w14:textId="77777777" w:rsidR="00CC1214" w:rsidRDefault="00CC1214" w:rsidP="0086331F">
      <w:pPr>
        <w:spacing w:after="0" w:line="240" w:lineRule="auto"/>
        <w:rPr>
          <w:rFonts w:ascii="Verdana" w:eastAsia="Geomanist Light" w:hAnsi="Verdana" w:cs="Arial"/>
          <w:color w:val="000000" w:themeColor="text1"/>
          <w:lang w:val="es-MX"/>
        </w:rPr>
      </w:pPr>
    </w:p>
    <w:p w14:paraId="61FC8C00" w14:textId="77777777" w:rsidR="00CC1214" w:rsidRDefault="00CC1214" w:rsidP="0086331F">
      <w:pPr>
        <w:spacing w:after="0" w:line="240" w:lineRule="auto"/>
        <w:rPr>
          <w:rFonts w:ascii="Verdana" w:eastAsia="Geomanist Light" w:hAnsi="Verdana" w:cs="Arial"/>
          <w:color w:val="000000" w:themeColor="text1"/>
          <w:lang w:val="es-MX"/>
        </w:rPr>
      </w:pPr>
    </w:p>
    <w:p w14:paraId="30C48779" w14:textId="77777777" w:rsidR="00CC1214" w:rsidRDefault="00CC1214" w:rsidP="0086331F">
      <w:pPr>
        <w:spacing w:after="0" w:line="240" w:lineRule="auto"/>
        <w:rPr>
          <w:rFonts w:ascii="Verdana" w:eastAsia="Geomanist Light" w:hAnsi="Verdana" w:cs="Arial"/>
          <w:color w:val="000000" w:themeColor="text1"/>
          <w:lang w:val="es-MX"/>
        </w:rPr>
      </w:pPr>
    </w:p>
    <w:p w14:paraId="27B64828" w14:textId="77777777" w:rsidR="00CC1214" w:rsidRDefault="00CC1214" w:rsidP="0086331F">
      <w:pPr>
        <w:spacing w:after="0" w:line="240" w:lineRule="auto"/>
        <w:rPr>
          <w:rFonts w:ascii="Verdana" w:eastAsia="Geomanist Light" w:hAnsi="Verdana" w:cs="Arial"/>
          <w:color w:val="000000" w:themeColor="text1"/>
          <w:lang w:val="es-MX"/>
        </w:rPr>
      </w:pPr>
    </w:p>
    <w:p w14:paraId="33D76A61" w14:textId="77777777" w:rsidR="00CC1214" w:rsidRDefault="00CC1214" w:rsidP="0086331F">
      <w:pPr>
        <w:spacing w:after="0" w:line="240" w:lineRule="auto"/>
        <w:rPr>
          <w:rFonts w:ascii="Verdana" w:eastAsia="Geomanist Light" w:hAnsi="Verdana" w:cs="Arial"/>
          <w:color w:val="000000" w:themeColor="text1"/>
          <w:lang w:val="es-MX"/>
        </w:rPr>
      </w:pPr>
    </w:p>
    <w:p w14:paraId="54AF2940" w14:textId="77777777" w:rsidR="00CC1214" w:rsidRDefault="00CC1214" w:rsidP="0086331F">
      <w:pPr>
        <w:spacing w:after="0" w:line="240" w:lineRule="auto"/>
        <w:rPr>
          <w:rFonts w:ascii="Verdana" w:eastAsia="Geomanist Light" w:hAnsi="Verdana" w:cs="Arial"/>
          <w:color w:val="000000" w:themeColor="text1"/>
          <w:lang w:val="es-MX"/>
        </w:rPr>
      </w:pPr>
    </w:p>
    <w:p w14:paraId="307E175A" w14:textId="77777777" w:rsidR="00CC1214" w:rsidRDefault="00CC1214" w:rsidP="0086331F">
      <w:pPr>
        <w:spacing w:after="0" w:line="240" w:lineRule="auto"/>
        <w:rPr>
          <w:rFonts w:ascii="Verdana" w:eastAsia="Geomanist Light" w:hAnsi="Verdana" w:cs="Arial"/>
          <w:color w:val="000000" w:themeColor="text1"/>
          <w:lang w:val="es-MX"/>
        </w:rPr>
      </w:pPr>
    </w:p>
    <w:p w14:paraId="2CCB44F7" w14:textId="77777777" w:rsidR="00CC1214" w:rsidRDefault="00CC1214" w:rsidP="0086331F">
      <w:pPr>
        <w:spacing w:after="0" w:line="240" w:lineRule="auto"/>
        <w:rPr>
          <w:rFonts w:ascii="Verdana" w:eastAsia="Geomanist Light" w:hAnsi="Verdana" w:cs="Arial"/>
          <w:color w:val="000000" w:themeColor="text1"/>
          <w:lang w:val="es-MX"/>
        </w:rPr>
      </w:pPr>
    </w:p>
    <w:p w14:paraId="580ECB6C" w14:textId="77777777" w:rsidR="00CC1214" w:rsidRDefault="00CC1214" w:rsidP="0086331F">
      <w:pPr>
        <w:spacing w:after="0" w:line="240" w:lineRule="auto"/>
        <w:rPr>
          <w:rFonts w:ascii="Verdana" w:eastAsia="Geomanist Light" w:hAnsi="Verdana" w:cs="Arial"/>
          <w:color w:val="000000" w:themeColor="text1"/>
          <w:lang w:val="es-MX"/>
        </w:rPr>
      </w:pPr>
    </w:p>
    <w:p w14:paraId="2EE1931F" w14:textId="77777777" w:rsidR="00CC1214" w:rsidRDefault="00CC1214" w:rsidP="0086331F">
      <w:pPr>
        <w:spacing w:after="0" w:line="240" w:lineRule="auto"/>
        <w:rPr>
          <w:rFonts w:ascii="Verdana" w:eastAsia="Geomanist Light" w:hAnsi="Verdana" w:cs="Arial"/>
          <w:color w:val="000000" w:themeColor="text1"/>
          <w:lang w:val="es-MX"/>
        </w:rPr>
      </w:pPr>
    </w:p>
    <w:p w14:paraId="0D70B610" w14:textId="77777777" w:rsidR="00CC1214" w:rsidRDefault="00CC1214" w:rsidP="0086331F">
      <w:pPr>
        <w:spacing w:after="0" w:line="240" w:lineRule="auto"/>
        <w:rPr>
          <w:rFonts w:ascii="Verdana" w:eastAsia="Geomanist Light" w:hAnsi="Verdana" w:cs="Arial"/>
          <w:color w:val="000000" w:themeColor="text1"/>
          <w:lang w:val="es-MX"/>
        </w:rPr>
      </w:pPr>
    </w:p>
    <w:p w14:paraId="3B7FFF8C" w14:textId="77777777" w:rsidR="00CC1214" w:rsidRDefault="00CC1214" w:rsidP="0086331F">
      <w:pPr>
        <w:spacing w:after="0" w:line="240" w:lineRule="auto"/>
        <w:rPr>
          <w:rFonts w:ascii="Verdana" w:eastAsia="Geomanist Light" w:hAnsi="Verdana" w:cs="Arial"/>
          <w:color w:val="000000" w:themeColor="text1"/>
          <w:lang w:val="es-MX"/>
        </w:rPr>
      </w:pPr>
    </w:p>
    <w:p w14:paraId="71B4D654" w14:textId="77777777" w:rsidR="00CC1214" w:rsidRDefault="00CC1214" w:rsidP="0086331F">
      <w:pPr>
        <w:spacing w:after="0" w:line="240" w:lineRule="auto"/>
        <w:rPr>
          <w:rFonts w:ascii="Verdana" w:eastAsia="Geomanist Light" w:hAnsi="Verdana" w:cs="Arial"/>
          <w:color w:val="000000" w:themeColor="text1"/>
          <w:lang w:val="es-MX"/>
        </w:rPr>
      </w:pPr>
    </w:p>
    <w:p w14:paraId="3178969D" w14:textId="77777777" w:rsidR="00CC1214" w:rsidRDefault="00CC1214" w:rsidP="0086331F">
      <w:pPr>
        <w:spacing w:after="0" w:line="240" w:lineRule="auto"/>
        <w:rPr>
          <w:rFonts w:ascii="Verdana" w:eastAsia="Geomanist Light" w:hAnsi="Verdana" w:cs="Arial"/>
          <w:color w:val="000000" w:themeColor="text1"/>
          <w:lang w:val="es-MX"/>
        </w:rPr>
      </w:pPr>
    </w:p>
    <w:p w14:paraId="24537D18" w14:textId="77777777" w:rsidR="00CC1214" w:rsidRDefault="00CC1214" w:rsidP="0086331F">
      <w:pPr>
        <w:spacing w:after="0" w:line="240" w:lineRule="auto"/>
        <w:rPr>
          <w:rFonts w:ascii="Verdana" w:eastAsia="Geomanist Light" w:hAnsi="Verdana" w:cs="Arial"/>
          <w:color w:val="000000" w:themeColor="text1"/>
          <w:lang w:val="es-MX"/>
        </w:rPr>
      </w:pPr>
    </w:p>
    <w:p w14:paraId="4ACCE66B" w14:textId="77777777" w:rsidR="00CC1214" w:rsidRDefault="00CC1214" w:rsidP="0086331F">
      <w:pPr>
        <w:spacing w:after="0" w:line="240" w:lineRule="auto"/>
        <w:rPr>
          <w:rFonts w:ascii="Verdana" w:eastAsia="Geomanist Light" w:hAnsi="Verdana" w:cs="Arial"/>
          <w:color w:val="000000" w:themeColor="text1"/>
          <w:lang w:val="es-MX"/>
        </w:rPr>
      </w:pPr>
    </w:p>
    <w:p w14:paraId="57769815" w14:textId="77777777" w:rsidR="00CC1214" w:rsidRDefault="00CC1214" w:rsidP="0086331F">
      <w:pPr>
        <w:spacing w:after="0" w:line="240" w:lineRule="auto"/>
        <w:rPr>
          <w:rFonts w:ascii="Verdana" w:eastAsia="Geomanist Light" w:hAnsi="Verdana" w:cs="Arial"/>
          <w:color w:val="000000" w:themeColor="text1"/>
          <w:lang w:val="es-MX"/>
        </w:rPr>
      </w:pPr>
    </w:p>
    <w:p w14:paraId="7520259A" w14:textId="77777777" w:rsidR="00CC1214" w:rsidRDefault="00CC1214" w:rsidP="0086331F">
      <w:pPr>
        <w:spacing w:after="0" w:line="240" w:lineRule="auto"/>
        <w:rPr>
          <w:rFonts w:ascii="Verdana" w:eastAsia="Geomanist Light" w:hAnsi="Verdana" w:cs="Arial"/>
          <w:color w:val="000000" w:themeColor="text1"/>
          <w:lang w:val="es-MX"/>
        </w:rPr>
      </w:pPr>
    </w:p>
    <w:p w14:paraId="1FD9075D" w14:textId="77777777" w:rsidR="00CC1214" w:rsidRDefault="00CC1214" w:rsidP="0086331F">
      <w:pPr>
        <w:spacing w:after="0" w:line="240" w:lineRule="auto"/>
        <w:rPr>
          <w:rFonts w:ascii="Verdana" w:eastAsia="Geomanist Light" w:hAnsi="Verdana" w:cs="Arial"/>
          <w:color w:val="000000" w:themeColor="text1"/>
          <w:lang w:val="es-MX"/>
        </w:rPr>
      </w:pPr>
    </w:p>
    <w:p w14:paraId="5DC3C3C9" w14:textId="77777777" w:rsidR="00CC1214" w:rsidRDefault="00CC1214" w:rsidP="0086331F">
      <w:pPr>
        <w:spacing w:after="0" w:line="240" w:lineRule="auto"/>
        <w:rPr>
          <w:rFonts w:ascii="Verdana" w:eastAsia="Geomanist Light" w:hAnsi="Verdana" w:cs="Arial"/>
          <w:color w:val="000000" w:themeColor="text1"/>
          <w:lang w:val="es-MX"/>
        </w:rPr>
      </w:pPr>
    </w:p>
    <w:p w14:paraId="7E41F136" w14:textId="77777777" w:rsidR="00CC1214" w:rsidRDefault="00CC1214" w:rsidP="0086331F">
      <w:pPr>
        <w:spacing w:after="0" w:line="240" w:lineRule="auto"/>
        <w:rPr>
          <w:rFonts w:ascii="Verdana" w:eastAsia="Geomanist Light" w:hAnsi="Verdana" w:cs="Arial"/>
          <w:color w:val="000000" w:themeColor="text1"/>
          <w:lang w:val="es-MX"/>
        </w:rPr>
      </w:pPr>
    </w:p>
    <w:p w14:paraId="3046BCD1" w14:textId="77777777" w:rsidR="00CC1214" w:rsidRDefault="00CC1214" w:rsidP="0086331F">
      <w:pPr>
        <w:spacing w:after="0" w:line="240" w:lineRule="auto"/>
        <w:rPr>
          <w:rFonts w:ascii="Verdana" w:eastAsia="Geomanist Light" w:hAnsi="Verdana" w:cs="Arial"/>
          <w:color w:val="000000" w:themeColor="text1"/>
          <w:lang w:val="es-MX"/>
        </w:rPr>
      </w:pPr>
    </w:p>
    <w:p w14:paraId="6B695D55" w14:textId="77777777" w:rsidR="00CC1214" w:rsidRDefault="00CC1214" w:rsidP="0086331F">
      <w:pPr>
        <w:spacing w:after="0" w:line="240" w:lineRule="auto"/>
        <w:rPr>
          <w:rFonts w:ascii="Verdana" w:eastAsia="Geomanist Light" w:hAnsi="Verdana" w:cs="Arial"/>
          <w:color w:val="000000" w:themeColor="text1"/>
          <w:lang w:val="es-MX"/>
        </w:rPr>
      </w:pPr>
    </w:p>
    <w:p w14:paraId="44EC670E" w14:textId="77777777" w:rsidR="00CC1214" w:rsidRDefault="00CC1214" w:rsidP="0086331F">
      <w:pPr>
        <w:spacing w:after="0" w:line="240" w:lineRule="auto"/>
        <w:rPr>
          <w:rFonts w:ascii="Verdana" w:eastAsia="Geomanist Light" w:hAnsi="Verdana" w:cs="Arial"/>
          <w:color w:val="000000" w:themeColor="text1"/>
          <w:lang w:val="es-MX"/>
        </w:rPr>
      </w:pPr>
    </w:p>
    <w:p w14:paraId="26577D17" w14:textId="77777777" w:rsidR="00CC1214" w:rsidRDefault="00CC1214" w:rsidP="0086331F">
      <w:pPr>
        <w:spacing w:after="0" w:line="240" w:lineRule="auto"/>
        <w:rPr>
          <w:rFonts w:ascii="Verdana" w:eastAsia="Geomanist Light" w:hAnsi="Verdana" w:cs="Arial"/>
          <w:color w:val="000000" w:themeColor="text1"/>
          <w:lang w:val="es-MX"/>
        </w:rPr>
      </w:pPr>
    </w:p>
    <w:p w14:paraId="4DE94BDD" w14:textId="77777777" w:rsidR="00CC1214" w:rsidRDefault="00CC1214" w:rsidP="0086331F">
      <w:pPr>
        <w:spacing w:after="0" w:line="240" w:lineRule="auto"/>
        <w:rPr>
          <w:rFonts w:ascii="Verdana" w:eastAsia="Geomanist Light" w:hAnsi="Verdana" w:cs="Arial"/>
          <w:color w:val="000000" w:themeColor="text1"/>
          <w:lang w:val="es-MX"/>
        </w:rPr>
      </w:pPr>
    </w:p>
    <w:p w14:paraId="2DA65B33" w14:textId="77777777" w:rsidR="00CC1214" w:rsidRDefault="00CC1214" w:rsidP="0086331F">
      <w:pPr>
        <w:spacing w:after="0" w:line="240" w:lineRule="auto"/>
        <w:rPr>
          <w:rFonts w:ascii="Verdana" w:eastAsia="Geomanist Light" w:hAnsi="Verdana" w:cs="Arial"/>
          <w:color w:val="000000" w:themeColor="text1"/>
          <w:lang w:val="es-MX"/>
        </w:rPr>
      </w:pPr>
    </w:p>
    <w:p w14:paraId="0901CCDA" w14:textId="77777777" w:rsidR="00CC1214" w:rsidRDefault="00CC1214" w:rsidP="0086331F">
      <w:pPr>
        <w:spacing w:after="0" w:line="240" w:lineRule="auto"/>
        <w:rPr>
          <w:rFonts w:ascii="Verdana" w:eastAsia="Geomanist Light" w:hAnsi="Verdana" w:cs="Arial"/>
          <w:color w:val="000000" w:themeColor="text1"/>
          <w:lang w:val="es-MX"/>
        </w:rPr>
      </w:pPr>
    </w:p>
    <w:p w14:paraId="507B4B94" w14:textId="77777777" w:rsidR="00CC1214" w:rsidRDefault="00CC1214" w:rsidP="0086331F">
      <w:pPr>
        <w:spacing w:after="0" w:line="240" w:lineRule="auto"/>
        <w:rPr>
          <w:rFonts w:ascii="Verdana" w:eastAsia="Geomanist Light" w:hAnsi="Verdana" w:cs="Arial"/>
          <w:color w:val="000000" w:themeColor="text1"/>
          <w:lang w:val="es-MX"/>
        </w:rPr>
      </w:pPr>
    </w:p>
    <w:p w14:paraId="570E8EBA" w14:textId="77777777" w:rsidR="00CC1214" w:rsidRDefault="00CC1214" w:rsidP="0086331F">
      <w:pPr>
        <w:spacing w:after="0" w:line="240" w:lineRule="auto"/>
        <w:rPr>
          <w:rFonts w:ascii="Verdana" w:eastAsia="Geomanist Light" w:hAnsi="Verdana" w:cs="Arial"/>
          <w:color w:val="000000" w:themeColor="text1"/>
          <w:lang w:val="es-MX"/>
        </w:rPr>
      </w:pPr>
    </w:p>
    <w:p w14:paraId="1352F645" w14:textId="77777777" w:rsidR="00CC1214" w:rsidRDefault="00CC1214" w:rsidP="0086331F">
      <w:pPr>
        <w:spacing w:after="0" w:line="240" w:lineRule="auto"/>
        <w:rPr>
          <w:rFonts w:ascii="Verdana" w:eastAsia="Geomanist Light" w:hAnsi="Verdana" w:cs="Arial"/>
          <w:color w:val="000000" w:themeColor="text1"/>
          <w:lang w:val="es-MX"/>
        </w:rPr>
      </w:pPr>
    </w:p>
    <w:p w14:paraId="5774E35C" w14:textId="77777777" w:rsidR="00CC1214" w:rsidRDefault="00CC1214" w:rsidP="0086331F">
      <w:pPr>
        <w:spacing w:after="0" w:line="240" w:lineRule="auto"/>
        <w:rPr>
          <w:rFonts w:ascii="Verdana" w:eastAsia="Geomanist Light" w:hAnsi="Verdana" w:cs="Arial"/>
          <w:color w:val="000000" w:themeColor="text1"/>
          <w:lang w:val="es-MX"/>
        </w:rPr>
      </w:pPr>
    </w:p>
    <w:p w14:paraId="3DD1714D" w14:textId="77777777" w:rsidR="00CC1214" w:rsidRDefault="00CC1214" w:rsidP="0086331F">
      <w:pPr>
        <w:spacing w:after="0" w:line="240" w:lineRule="auto"/>
        <w:rPr>
          <w:rFonts w:ascii="Verdana" w:eastAsia="Geomanist Light" w:hAnsi="Verdana" w:cs="Arial"/>
          <w:color w:val="000000" w:themeColor="text1"/>
          <w:lang w:val="es-MX"/>
        </w:rPr>
      </w:pPr>
    </w:p>
    <w:p w14:paraId="0B67A3ED" w14:textId="77777777" w:rsidR="00CC1214" w:rsidRDefault="00CC1214" w:rsidP="0086331F">
      <w:pPr>
        <w:spacing w:after="0" w:line="240" w:lineRule="auto"/>
        <w:rPr>
          <w:rFonts w:ascii="Verdana" w:eastAsia="Geomanist Light" w:hAnsi="Verdana" w:cs="Arial"/>
          <w:color w:val="000000" w:themeColor="text1"/>
          <w:lang w:val="es-MX"/>
        </w:rPr>
      </w:pPr>
    </w:p>
    <w:p w14:paraId="50D56FB4" w14:textId="26F47635" w:rsidR="000361D8" w:rsidRPr="00165F2C" w:rsidRDefault="000361D8" w:rsidP="0086331F">
      <w:pPr>
        <w:spacing w:after="0" w:line="240" w:lineRule="auto"/>
        <w:rPr>
          <w:rFonts w:ascii="Verdana" w:eastAsia="Geomanist Light" w:hAnsi="Verdana" w:cs="Arial"/>
          <w:color w:val="201F1E"/>
          <w:lang w:val="es-MX"/>
        </w:rPr>
      </w:pPr>
      <w:r w:rsidRPr="00165F2C">
        <w:rPr>
          <w:rFonts w:ascii="Verdana" w:eastAsia="Geomanist Light" w:hAnsi="Verdana" w:cs="Arial"/>
          <w:color w:val="000000" w:themeColor="text1"/>
          <w:lang w:val="es-MX"/>
        </w:rPr>
        <w:lastRenderedPageBreak/>
        <w:t>Bogotá D.C., </w:t>
      </w:r>
      <w:r w:rsidR="0086331F" w:rsidRPr="0086331F">
        <w:rPr>
          <w:rFonts w:ascii="Verdana" w:eastAsia="Geomanist Light" w:hAnsi="Verdana" w:cs="Arial"/>
          <w:color w:val="201F1E"/>
          <w:lang w:val="es-MX"/>
        </w:rPr>
        <w:t>12 de Noviembre de</w:t>
      </w:r>
      <w:r w:rsidR="0086331F">
        <w:rPr>
          <w:rFonts w:ascii="Verdana" w:eastAsia="Geomanist Light" w:hAnsi="Verdana" w:cs="Arial"/>
          <w:color w:val="201F1E"/>
          <w:lang w:val="es-MX"/>
        </w:rPr>
        <w:t xml:space="preserve"> </w:t>
      </w:r>
      <w:r w:rsidR="0086331F" w:rsidRPr="0086331F">
        <w:rPr>
          <w:rFonts w:ascii="Verdana" w:eastAsia="Geomanist Light" w:hAnsi="Verdana" w:cs="Arial"/>
          <w:color w:val="201F1E"/>
          <w:lang w:val="es-MX"/>
        </w:rPr>
        <w:t>2024</w:t>
      </w:r>
    </w:p>
    <w:p w14:paraId="272B2AF4" w14:textId="77777777" w:rsidR="000361D8" w:rsidRDefault="000361D8" w:rsidP="000361D8">
      <w:pPr>
        <w:spacing w:after="0" w:line="240" w:lineRule="auto"/>
        <w:jc w:val="both"/>
        <w:rPr>
          <w:rFonts w:ascii="Verdana" w:eastAsia="Calibri" w:hAnsi="Verdana" w:cs="Arial"/>
          <w:color w:val="000000"/>
          <w:lang w:val="es-MX"/>
        </w:rPr>
      </w:pPr>
    </w:p>
    <w:p w14:paraId="55A49CA2" w14:textId="4494EE3E" w:rsidR="0086331F" w:rsidRPr="0086331F" w:rsidRDefault="0086331F" w:rsidP="0086331F">
      <w:pPr>
        <w:spacing w:after="0" w:line="240" w:lineRule="auto"/>
        <w:jc w:val="right"/>
        <w:rPr>
          <w:rFonts w:ascii="Verdana" w:eastAsia="Calibri" w:hAnsi="Verdana" w:cs="Arial"/>
          <w:color w:val="000000"/>
          <w:lang w:val="es-MX"/>
        </w:rPr>
      </w:pPr>
      <w:r w:rsidRPr="0086331F">
        <w:rPr>
          <w:rFonts w:ascii="Verdana" w:eastAsia="Calibri" w:hAnsi="Verdana" w:cs="Arial"/>
          <w:noProof/>
          <w:color w:val="000000"/>
          <w:lang w:val="es-MX"/>
        </w:rPr>
        <w:drawing>
          <wp:inline distT="0" distB="0" distL="0" distR="0" wp14:anchorId="2084AAA0" wp14:editId="1C927765">
            <wp:extent cx="3238500" cy="901700"/>
            <wp:effectExtent l="0" t="0" r="0" b="0"/>
            <wp:docPr id="10539593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959394" name=""/>
                    <pic:cNvPicPr/>
                  </pic:nvPicPr>
                  <pic:blipFill>
                    <a:blip r:embed="rId10"/>
                    <a:stretch>
                      <a:fillRect/>
                    </a:stretch>
                  </pic:blipFill>
                  <pic:spPr>
                    <a:xfrm>
                      <a:off x="0" y="0"/>
                      <a:ext cx="3238500" cy="901700"/>
                    </a:xfrm>
                    <a:prstGeom prst="rect">
                      <a:avLst/>
                    </a:prstGeom>
                  </pic:spPr>
                </pic:pic>
              </a:graphicData>
            </a:graphic>
          </wp:inline>
        </w:drawing>
      </w:r>
    </w:p>
    <w:p w14:paraId="3E1B8EF5" w14:textId="77777777" w:rsidR="000361D8" w:rsidRPr="00165F2C" w:rsidRDefault="000361D8" w:rsidP="000361D8">
      <w:pPr>
        <w:spacing w:after="0" w:line="240" w:lineRule="auto"/>
        <w:jc w:val="both"/>
        <w:rPr>
          <w:rFonts w:ascii="Verdana" w:eastAsia="Calibri" w:hAnsi="Verdana" w:cs="Arial"/>
          <w:color w:val="000000"/>
          <w:lang w:val="es-ES"/>
        </w:rPr>
      </w:pPr>
    </w:p>
    <w:p w14:paraId="42482F4F" w14:textId="77777777" w:rsidR="000361D8" w:rsidRPr="00165F2C" w:rsidRDefault="000361D8" w:rsidP="000361D8">
      <w:pPr>
        <w:spacing w:after="0" w:line="240" w:lineRule="auto"/>
        <w:jc w:val="both"/>
        <w:rPr>
          <w:rFonts w:ascii="Verdana" w:eastAsia="Calibri" w:hAnsi="Verdana" w:cs="Arial"/>
          <w:lang w:val="es-ES" w:eastAsia="es-ES"/>
        </w:rPr>
      </w:pPr>
      <w:r w:rsidRPr="00165F2C">
        <w:rPr>
          <w:rFonts w:ascii="Verdana" w:eastAsia="Calibri" w:hAnsi="Verdana" w:cs="Arial"/>
          <w:lang w:val="es-ES" w:eastAsia="es-ES"/>
        </w:rPr>
        <w:t>Señor</w:t>
      </w:r>
    </w:p>
    <w:p w14:paraId="664BCF86" w14:textId="77777777" w:rsidR="000361D8" w:rsidRPr="00165F2C" w:rsidRDefault="000361D8" w:rsidP="000361D8">
      <w:pPr>
        <w:spacing w:after="0" w:line="240" w:lineRule="auto"/>
        <w:rPr>
          <w:rFonts w:ascii="Verdana" w:eastAsia="Calibri" w:hAnsi="Verdana" w:cs="Arial"/>
          <w:b/>
          <w:lang w:val="es-ES_tradnl" w:eastAsia="es-ES_tradnl"/>
        </w:rPr>
      </w:pPr>
      <w:r w:rsidRPr="00165F2C">
        <w:rPr>
          <w:rFonts w:ascii="Verdana" w:eastAsia="Calibri" w:hAnsi="Verdana" w:cs="Arial"/>
          <w:b/>
          <w:lang w:val="es-ES_tradnl" w:eastAsia="es-ES_tradnl"/>
        </w:rPr>
        <w:t xml:space="preserve">Mario Alejandro Franco Vanegas </w:t>
      </w:r>
    </w:p>
    <w:p w14:paraId="0565421E" w14:textId="77777777" w:rsidR="000361D8" w:rsidRPr="00165F2C" w:rsidRDefault="000361D8" w:rsidP="000361D8">
      <w:pPr>
        <w:spacing w:after="0" w:line="240" w:lineRule="auto"/>
        <w:rPr>
          <w:rFonts w:ascii="Verdana" w:eastAsia="Calibri" w:hAnsi="Verdana" w:cs="Arial"/>
          <w:bCs/>
          <w:lang w:val="es-ES_tradnl" w:eastAsia="es-ES_tradnl"/>
        </w:rPr>
      </w:pPr>
      <w:r w:rsidRPr="00165F2C">
        <w:rPr>
          <w:rFonts w:ascii="Verdana" w:eastAsia="Calibri" w:hAnsi="Verdana" w:cs="Arial"/>
          <w:bCs/>
          <w:lang w:val="es-ES_tradnl" w:eastAsia="es-ES_tradnl"/>
        </w:rPr>
        <w:t>Coordinador Grupo de Trabajo Élite Contra Colusiones</w:t>
      </w:r>
    </w:p>
    <w:p w14:paraId="18A624BC" w14:textId="77777777" w:rsidR="000361D8" w:rsidRPr="00165F2C" w:rsidRDefault="000361D8" w:rsidP="000361D8">
      <w:pPr>
        <w:spacing w:after="0" w:line="240" w:lineRule="auto"/>
        <w:rPr>
          <w:rFonts w:ascii="Verdana" w:eastAsia="Calibri" w:hAnsi="Verdana" w:cs="Arial"/>
          <w:bCs/>
          <w:lang w:val="es-ES_tradnl" w:eastAsia="es-ES_tradnl"/>
        </w:rPr>
      </w:pPr>
      <w:r w:rsidRPr="00165F2C">
        <w:rPr>
          <w:rFonts w:ascii="Verdana" w:eastAsia="Calibri" w:hAnsi="Verdana" w:cs="Arial"/>
          <w:bCs/>
          <w:lang w:val="es-ES_tradnl" w:eastAsia="es-ES_tradnl"/>
        </w:rPr>
        <w:t>Superintendencia de Industria y Comercio</w:t>
      </w:r>
    </w:p>
    <w:p w14:paraId="38DBFDBD" w14:textId="77777777" w:rsidR="000361D8" w:rsidRPr="00165F2C" w:rsidRDefault="000361D8" w:rsidP="000361D8">
      <w:pPr>
        <w:spacing w:after="0" w:line="240" w:lineRule="auto"/>
        <w:rPr>
          <w:rFonts w:ascii="Verdana" w:eastAsia="Calibri" w:hAnsi="Verdana" w:cs="Arial"/>
          <w:lang w:val="es-ES" w:eastAsia="es-ES"/>
        </w:rPr>
      </w:pPr>
      <w:hyperlink r:id="rId11" w:history="1">
        <w:r w:rsidRPr="00165F2C">
          <w:rPr>
            <w:rStyle w:val="Hipervnculo"/>
            <w:rFonts w:ascii="Verdana" w:hAnsi="Verdana"/>
          </w:rPr>
          <w:t>contactenos@sic.gov.co</w:t>
        </w:r>
      </w:hyperlink>
      <w:r w:rsidRPr="00165F2C">
        <w:rPr>
          <w:rFonts w:ascii="Verdana" w:hAnsi="Verdana"/>
        </w:rPr>
        <w:t xml:space="preserve">       </w:t>
      </w:r>
      <w:r w:rsidRPr="00165F2C">
        <w:rPr>
          <w:rFonts w:ascii="Verdana" w:eastAsia="Calibri" w:hAnsi="Verdana" w:cs="Arial"/>
          <w:lang w:val="es-ES" w:eastAsia="es-ES"/>
        </w:rPr>
        <w:t xml:space="preserve">    </w:t>
      </w:r>
    </w:p>
    <w:p w14:paraId="6AA21366" w14:textId="77777777" w:rsidR="000361D8" w:rsidRPr="00165F2C" w:rsidRDefault="000361D8" w:rsidP="000361D8">
      <w:pPr>
        <w:spacing w:after="0" w:line="240" w:lineRule="auto"/>
        <w:rPr>
          <w:rFonts w:ascii="Verdana" w:eastAsia="Calibri" w:hAnsi="Verdana" w:cs="Arial"/>
          <w:lang w:val="es-ES" w:eastAsia="es-ES"/>
        </w:rPr>
      </w:pPr>
      <w:r w:rsidRPr="00165F2C">
        <w:rPr>
          <w:rFonts w:ascii="Verdana" w:eastAsia="Calibri" w:hAnsi="Verdana" w:cs="Arial"/>
          <w:lang w:val="es-ES" w:eastAsia="es-ES"/>
        </w:rPr>
        <w:t xml:space="preserve">Bogotá D.C. </w:t>
      </w:r>
    </w:p>
    <w:p w14:paraId="66CF24CA" w14:textId="77777777" w:rsidR="000361D8" w:rsidRPr="00165F2C" w:rsidRDefault="000361D8" w:rsidP="000361D8">
      <w:pPr>
        <w:spacing w:after="0" w:line="240" w:lineRule="auto"/>
        <w:rPr>
          <w:rFonts w:ascii="Verdana" w:eastAsia="Calibri" w:hAnsi="Verdana" w:cs="Arial"/>
          <w:b/>
          <w:bCs/>
          <w:color w:val="000000"/>
          <w:lang w:val="es-ES_tradnl" w:eastAsia="es-ES_tradnl"/>
        </w:rPr>
      </w:pPr>
    </w:p>
    <w:p w14:paraId="33C35970" w14:textId="77777777" w:rsidR="000361D8" w:rsidRPr="00165F2C" w:rsidRDefault="000361D8" w:rsidP="000361D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361D8" w:rsidRPr="00165F2C" w14:paraId="4F048B20" w14:textId="77777777">
        <w:trPr>
          <w:trHeight w:val="884"/>
        </w:trPr>
        <w:tc>
          <w:tcPr>
            <w:tcW w:w="2689" w:type="dxa"/>
          </w:tcPr>
          <w:p w14:paraId="684AE16C" w14:textId="77777777" w:rsidR="000361D8" w:rsidRPr="00165F2C" w:rsidRDefault="000361D8">
            <w:pPr>
              <w:jc w:val="both"/>
              <w:rPr>
                <w:rFonts w:ascii="Verdana" w:eastAsia="Calibri" w:hAnsi="Verdana" w:cs="Arial"/>
                <w:b/>
                <w:bCs/>
                <w:color w:val="7030A0"/>
                <w:lang w:val="es-ES_tradnl" w:eastAsia="es-ES_tradnl"/>
              </w:rPr>
            </w:pPr>
          </w:p>
        </w:tc>
        <w:tc>
          <w:tcPr>
            <w:tcW w:w="6100" w:type="dxa"/>
          </w:tcPr>
          <w:p w14:paraId="1BB6CDDE" w14:textId="77777777" w:rsidR="000361D8" w:rsidRPr="00165F2C" w:rsidRDefault="000361D8">
            <w:pPr>
              <w:jc w:val="both"/>
              <w:rPr>
                <w:rFonts w:ascii="Verdana" w:eastAsia="Calibri" w:hAnsi="Verdana" w:cs="Arial"/>
                <w:b/>
                <w:bCs/>
                <w:color w:val="7030A0"/>
                <w:lang w:val="es-ES" w:eastAsia="es-ES"/>
              </w:rPr>
            </w:pPr>
            <w:r w:rsidRPr="00165F2C">
              <w:rPr>
                <w:rFonts w:ascii="Verdana" w:eastAsia="Calibri" w:hAnsi="Verdana" w:cs="Arial"/>
                <w:b/>
                <w:bCs/>
                <w:lang w:val="es-ES" w:eastAsia="es-ES"/>
              </w:rPr>
              <w:t>Concepto C – 749 de 2024</w:t>
            </w:r>
          </w:p>
        </w:tc>
      </w:tr>
      <w:tr w:rsidR="000361D8" w:rsidRPr="00165F2C" w14:paraId="1C7C76DE" w14:textId="77777777">
        <w:trPr>
          <w:trHeight w:val="884"/>
        </w:trPr>
        <w:tc>
          <w:tcPr>
            <w:tcW w:w="2689" w:type="dxa"/>
          </w:tcPr>
          <w:p w14:paraId="7C5A1D6B" w14:textId="77777777" w:rsidR="000361D8" w:rsidRPr="00165F2C" w:rsidRDefault="000361D8">
            <w:pPr>
              <w:jc w:val="both"/>
              <w:rPr>
                <w:rFonts w:ascii="Verdana" w:eastAsia="Calibri" w:hAnsi="Verdana" w:cs="Arial"/>
                <w:color w:val="000000"/>
                <w:lang w:val="es-ES_tradnl" w:eastAsia="es-ES_tradnl"/>
              </w:rPr>
            </w:pPr>
            <w:r w:rsidRPr="00165F2C">
              <w:rPr>
                <w:rFonts w:ascii="Verdana" w:eastAsia="Calibri" w:hAnsi="Verdana" w:cs="Arial"/>
                <w:b/>
                <w:color w:val="000000"/>
                <w:lang w:val="es-ES_tradnl" w:eastAsia="es-ES_tradnl"/>
              </w:rPr>
              <w:t>Temas:</w:t>
            </w:r>
            <w:r w:rsidRPr="00165F2C">
              <w:rPr>
                <w:rFonts w:ascii="Verdana" w:eastAsia="Calibri" w:hAnsi="Verdana" w:cs="Arial"/>
                <w:color w:val="000000"/>
                <w:lang w:val="es-ES_tradnl" w:eastAsia="es-ES_tradnl"/>
              </w:rPr>
              <w:t xml:space="preserve">                   </w:t>
            </w:r>
          </w:p>
        </w:tc>
        <w:tc>
          <w:tcPr>
            <w:tcW w:w="6100" w:type="dxa"/>
          </w:tcPr>
          <w:p w14:paraId="28278710" w14:textId="3E69F98D" w:rsidR="000361D8" w:rsidRPr="00165F2C" w:rsidRDefault="000361D8">
            <w:pPr>
              <w:spacing w:line="276" w:lineRule="auto"/>
              <w:jc w:val="both"/>
              <w:rPr>
                <w:rFonts w:ascii="Verdana" w:eastAsia="Calibri" w:hAnsi="Verdana" w:cs="Arial"/>
                <w:lang w:val="es-ES" w:eastAsia="es-ES"/>
              </w:rPr>
            </w:pPr>
            <w:r w:rsidRPr="00165F2C">
              <w:rPr>
                <w:rFonts w:ascii="Verdana" w:eastAsia="Calibri" w:hAnsi="Verdana" w:cs="Arial"/>
                <w:lang w:val="es-ES" w:eastAsia="es-ES"/>
              </w:rPr>
              <w:t>SELECCIÓN ABREVIADA – Marco normativo / BIENES Y SERVICIOS DE CARACTERÍSTICAS TÉCNICAS UNIFORMES – Definición / BIENES Y SERVICIOS DE CARACTERÍSTICAS TÉCNICAS UNIFORMES ‒ Características – Formas de adquisición / SERVICIOS DE VIGILANCIA PRIVADA –</w:t>
            </w:r>
            <w:r w:rsidR="00CD08DD" w:rsidRPr="00165F2C">
              <w:rPr>
                <w:rFonts w:ascii="Verdana" w:eastAsia="Calibri" w:hAnsi="Verdana" w:cs="Arial"/>
                <w:lang w:val="es-ES" w:eastAsia="es-ES"/>
              </w:rPr>
              <w:t xml:space="preserve"> </w:t>
            </w:r>
            <w:r w:rsidRPr="00165F2C">
              <w:rPr>
                <w:rFonts w:ascii="Verdana" w:eastAsia="Calibri" w:hAnsi="Verdana" w:cs="Arial"/>
                <w:lang w:val="es-ES" w:eastAsia="es-ES"/>
              </w:rPr>
              <w:t>Licitación pública –</w:t>
            </w:r>
            <w:r w:rsidR="00CD08DD" w:rsidRPr="00165F2C">
              <w:rPr>
                <w:rFonts w:ascii="Verdana" w:eastAsia="Calibri" w:hAnsi="Verdana" w:cs="Arial"/>
                <w:lang w:val="es-ES" w:eastAsia="es-ES"/>
              </w:rPr>
              <w:t xml:space="preserve"> Menor cuantía –</w:t>
            </w:r>
            <w:r w:rsidRPr="00165F2C">
              <w:rPr>
                <w:rFonts w:ascii="Verdana" w:eastAsia="Calibri" w:hAnsi="Verdana" w:cs="Arial"/>
                <w:lang w:val="es-ES" w:eastAsia="es-ES"/>
              </w:rPr>
              <w:t xml:space="preserve"> Contratación           </w:t>
            </w:r>
          </w:p>
          <w:p w14:paraId="0F752797" w14:textId="77777777" w:rsidR="000361D8" w:rsidRPr="00165F2C" w:rsidRDefault="000361D8">
            <w:pPr>
              <w:spacing w:line="276" w:lineRule="auto"/>
              <w:jc w:val="both"/>
              <w:rPr>
                <w:rFonts w:ascii="Verdana" w:eastAsia="Calibri" w:hAnsi="Verdana" w:cs="Arial"/>
                <w:lang w:val="es-ES" w:eastAsia="es-ES"/>
              </w:rPr>
            </w:pPr>
            <w:r w:rsidRPr="00165F2C">
              <w:rPr>
                <w:rFonts w:ascii="Verdana" w:eastAsia="Calibri" w:hAnsi="Verdana" w:cs="Arial"/>
                <w:lang w:val="es-ES" w:eastAsia="es-ES"/>
              </w:rPr>
              <w:t xml:space="preserve">  </w:t>
            </w:r>
          </w:p>
        </w:tc>
      </w:tr>
      <w:tr w:rsidR="000361D8" w:rsidRPr="00165F2C" w14:paraId="2275B95A" w14:textId="77777777">
        <w:tc>
          <w:tcPr>
            <w:tcW w:w="2689" w:type="dxa"/>
          </w:tcPr>
          <w:p w14:paraId="6DE8E029" w14:textId="77777777" w:rsidR="000361D8" w:rsidRPr="00165F2C" w:rsidRDefault="000361D8">
            <w:pPr>
              <w:jc w:val="both"/>
              <w:rPr>
                <w:rFonts w:ascii="Verdana" w:eastAsia="Calibri" w:hAnsi="Verdana" w:cs="Arial"/>
                <w:b/>
                <w:lang w:val="es-ES_tradnl" w:eastAsia="es-ES_tradnl"/>
              </w:rPr>
            </w:pPr>
            <w:r w:rsidRPr="00165F2C">
              <w:rPr>
                <w:rFonts w:ascii="Verdana" w:eastAsia="Calibri" w:hAnsi="Verdana" w:cs="Arial"/>
                <w:b/>
                <w:lang w:val="es-ES_tradnl" w:eastAsia="es-ES_tradnl"/>
              </w:rPr>
              <w:t>Radicación:</w:t>
            </w:r>
            <w:r w:rsidRPr="00165F2C">
              <w:rPr>
                <w:rFonts w:ascii="Verdana" w:eastAsia="Calibri" w:hAnsi="Verdana" w:cs="Arial"/>
                <w:lang w:val="es-ES_tradnl" w:eastAsia="es-ES_tradnl"/>
              </w:rPr>
              <w:t xml:space="preserve">               </w:t>
            </w:r>
          </w:p>
        </w:tc>
        <w:tc>
          <w:tcPr>
            <w:tcW w:w="6100" w:type="dxa"/>
          </w:tcPr>
          <w:p w14:paraId="19EC89F8" w14:textId="77777777" w:rsidR="000361D8" w:rsidRPr="00165F2C" w:rsidRDefault="000361D8">
            <w:pPr>
              <w:spacing w:line="276" w:lineRule="auto"/>
              <w:jc w:val="both"/>
              <w:rPr>
                <w:rFonts w:ascii="Verdana" w:eastAsia="Calibri" w:hAnsi="Verdana" w:cs="Arial"/>
                <w:lang w:eastAsia="es-ES_tradnl"/>
              </w:rPr>
            </w:pPr>
            <w:r w:rsidRPr="00165F2C">
              <w:rPr>
                <w:rFonts w:ascii="Verdana" w:eastAsia="Calibri" w:hAnsi="Verdana" w:cs="Arial"/>
                <w:lang w:val="es-ES_tradnl" w:eastAsia="es-ES_tradnl"/>
              </w:rPr>
              <w:t xml:space="preserve">Respuesta a la consulta con radicado No. P20241017010549                                      </w:t>
            </w:r>
          </w:p>
        </w:tc>
      </w:tr>
    </w:tbl>
    <w:p w14:paraId="19546566" w14:textId="77777777" w:rsidR="000361D8" w:rsidRPr="00165F2C" w:rsidRDefault="000361D8" w:rsidP="000361D8">
      <w:pPr>
        <w:spacing w:after="0" w:line="240" w:lineRule="auto"/>
        <w:jc w:val="both"/>
        <w:rPr>
          <w:rFonts w:ascii="Verdana" w:eastAsia="Calibri" w:hAnsi="Verdana" w:cs="Arial"/>
          <w:color w:val="000000"/>
          <w:lang w:val="es-ES_tradnl" w:eastAsia="es-ES_tradnl"/>
        </w:rPr>
      </w:pPr>
    </w:p>
    <w:p w14:paraId="55C2BA44" w14:textId="77777777" w:rsidR="000361D8" w:rsidRPr="00165F2C" w:rsidRDefault="000361D8" w:rsidP="000361D8">
      <w:pPr>
        <w:spacing w:after="0" w:line="240" w:lineRule="auto"/>
        <w:jc w:val="both"/>
        <w:rPr>
          <w:rFonts w:ascii="Verdana" w:eastAsia="Calibri" w:hAnsi="Verdana" w:cs="Arial"/>
          <w:color w:val="000000"/>
          <w:lang w:val="es-ES_tradnl" w:eastAsia="es-ES_tradnl"/>
        </w:rPr>
      </w:pPr>
    </w:p>
    <w:p w14:paraId="2A70B618" w14:textId="77777777" w:rsidR="000361D8" w:rsidRPr="00165F2C" w:rsidRDefault="000361D8" w:rsidP="000361D8">
      <w:pPr>
        <w:spacing w:after="0" w:line="276" w:lineRule="auto"/>
        <w:jc w:val="both"/>
        <w:rPr>
          <w:rFonts w:ascii="Verdana" w:eastAsia="Calibri" w:hAnsi="Verdana" w:cs="Arial"/>
          <w:lang w:val="es-ES" w:eastAsia="es-ES"/>
        </w:rPr>
      </w:pPr>
      <w:r w:rsidRPr="00165F2C">
        <w:rPr>
          <w:rFonts w:ascii="Verdana" w:eastAsia="Calibri" w:hAnsi="Verdana" w:cs="Arial"/>
          <w:lang w:val="es-ES" w:eastAsia="es-ES"/>
        </w:rPr>
        <w:t xml:space="preserve">Estimado señor Franco Vanegas: </w:t>
      </w:r>
    </w:p>
    <w:p w14:paraId="41068611" w14:textId="77777777" w:rsidR="000361D8" w:rsidRPr="00165F2C" w:rsidRDefault="000361D8" w:rsidP="000361D8">
      <w:pPr>
        <w:tabs>
          <w:tab w:val="left" w:pos="3768"/>
        </w:tabs>
        <w:spacing w:after="0" w:line="276" w:lineRule="auto"/>
        <w:jc w:val="both"/>
        <w:rPr>
          <w:rFonts w:ascii="Verdana" w:eastAsia="Calibri" w:hAnsi="Verdana" w:cs="Arial"/>
          <w:color w:val="000000" w:themeColor="text1"/>
          <w:lang w:val="es-ES" w:eastAsia="es-ES"/>
        </w:rPr>
      </w:pPr>
      <w:r w:rsidRPr="00165F2C">
        <w:rPr>
          <w:rFonts w:ascii="Verdana" w:eastAsia="Calibri" w:hAnsi="Verdana" w:cs="Arial"/>
          <w:color w:val="000000" w:themeColor="text1"/>
          <w:lang w:val="es-ES" w:eastAsia="es-ES"/>
        </w:rPr>
        <w:tab/>
      </w:r>
    </w:p>
    <w:p w14:paraId="325221BA" w14:textId="77777777" w:rsidR="000361D8" w:rsidRPr="00165F2C" w:rsidRDefault="000361D8" w:rsidP="000361D8">
      <w:pPr>
        <w:spacing w:after="0" w:line="276" w:lineRule="auto"/>
        <w:jc w:val="both"/>
        <w:rPr>
          <w:rFonts w:ascii="Verdana" w:eastAsia="Calibri" w:hAnsi="Verdana" w:cs="Arial"/>
          <w:color w:val="7030A0"/>
          <w:lang w:val="es-ES" w:eastAsia="es-ES"/>
        </w:rPr>
      </w:pPr>
      <w:r w:rsidRPr="00165F2C">
        <w:rPr>
          <w:rFonts w:ascii="Verdana" w:eastAsia="Calibri" w:hAnsi="Verdana" w:cs="Arial"/>
          <w:color w:val="000000" w:themeColor="text1"/>
          <w:lang w:val="es-ES" w:eastAsia="es-ES"/>
        </w:rPr>
        <w:t>En ejercicio de la competencia otorgada por los artículos 3, numeral 5º, y 11, numeral 8º, del Decreto Ley 4170 de 2011,</w:t>
      </w:r>
      <w:r w:rsidRPr="00165F2C">
        <w:rPr>
          <w:rFonts w:ascii="Verdana" w:eastAsia="Arial MT" w:hAnsi="Verdana" w:cs="Arial MT"/>
          <w:lang w:val="es-ES" w:eastAsia="es-ES"/>
        </w:rPr>
        <w:t xml:space="preserve"> </w:t>
      </w:r>
      <w:r w:rsidRPr="00165F2C">
        <w:rPr>
          <w:rFonts w:ascii="Verdana" w:hAnsi="Verdana" w:cs="Arial"/>
        </w:rPr>
        <w:t xml:space="preserve">así como lo establecido en el artículo 4 de la Resolución 1707 de 2018 expedida por esta Entidad, </w:t>
      </w:r>
      <w:r w:rsidRPr="00165F2C">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165F2C">
        <w:rPr>
          <w:rFonts w:ascii="Verdana" w:eastAsia="Calibri" w:hAnsi="Verdana" w:cs="Arial"/>
          <w:lang w:val="es-ES" w:eastAsia="es-ES"/>
        </w:rPr>
        <w:t xml:space="preserve">fecha 17 de octubre de 2024, en la cual pregunta lo siguiente: </w:t>
      </w:r>
    </w:p>
    <w:p w14:paraId="13E4B776" w14:textId="77777777" w:rsidR="000361D8" w:rsidRPr="00165F2C" w:rsidRDefault="000361D8" w:rsidP="00CB3885">
      <w:pPr>
        <w:pStyle w:val="Prrafodelista"/>
        <w:tabs>
          <w:tab w:val="left" w:pos="142"/>
          <w:tab w:val="left" w:pos="284"/>
        </w:tabs>
        <w:spacing w:after="0" w:line="276" w:lineRule="auto"/>
        <w:ind w:left="0"/>
        <w:jc w:val="both"/>
        <w:rPr>
          <w:rFonts w:ascii="Verdana" w:eastAsia="Century Gothic" w:hAnsi="Verdana" w:cs="Century Gothic"/>
          <w:b/>
          <w:bCs/>
        </w:rPr>
      </w:pPr>
    </w:p>
    <w:p w14:paraId="485EEA01" w14:textId="77777777" w:rsidR="000361D8" w:rsidRPr="00165F2C" w:rsidRDefault="000361D8" w:rsidP="000361D8">
      <w:pPr>
        <w:spacing w:after="120" w:line="240" w:lineRule="auto"/>
        <w:ind w:left="709" w:right="709"/>
        <w:jc w:val="both"/>
        <w:rPr>
          <w:rFonts w:ascii="Verdana" w:eastAsia="Century Gothic" w:hAnsi="Verdana" w:cs="Century Gothic"/>
          <w:sz w:val="21"/>
          <w:szCs w:val="21"/>
          <w:lang w:val="es-ES"/>
        </w:rPr>
      </w:pPr>
      <w:bookmarkStart w:id="0" w:name="_Hlk95313578"/>
      <w:r w:rsidRPr="00165F2C">
        <w:rPr>
          <w:rFonts w:ascii="Verdana" w:eastAsia="Century Gothic" w:hAnsi="Verdana" w:cs="Century Gothic"/>
          <w:sz w:val="21"/>
          <w:szCs w:val="21"/>
          <w:lang w:val="es-ES"/>
        </w:rPr>
        <w:t>“</w:t>
      </w:r>
      <w:bookmarkEnd w:id="0"/>
      <w:r w:rsidRPr="00165F2C">
        <w:rPr>
          <w:rFonts w:ascii="Verdana" w:eastAsia="Century Gothic" w:hAnsi="Verdana" w:cs="Century Gothic"/>
          <w:sz w:val="21"/>
          <w:szCs w:val="21"/>
          <w:lang w:val="es-ES"/>
        </w:rPr>
        <w:t xml:space="preserve">- Si la </w:t>
      </w:r>
      <w:r w:rsidRPr="00165F2C">
        <w:rPr>
          <w:rFonts w:ascii="Verdana" w:eastAsia="Century Gothic" w:hAnsi="Verdana" w:cs="Century Gothic"/>
          <w:b/>
          <w:bCs/>
          <w:sz w:val="21"/>
          <w:szCs w:val="21"/>
          <w:lang w:val="es-ES"/>
        </w:rPr>
        <w:t>AGENCIA NACIONAL DE CONTRATACIÓN PÚBLICA - COLOMBIA COMPRA EFICIENTE</w:t>
      </w:r>
      <w:r w:rsidRPr="00165F2C">
        <w:rPr>
          <w:rFonts w:ascii="Verdana" w:eastAsia="Century Gothic" w:hAnsi="Verdana" w:cs="Century Gothic"/>
          <w:sz w:val="21"/>
          <w:szCs w:val="21"/>
          <w:lang w:val="es-ES"/>
        </w:rPr>
        <w:t xml:space="preserve"> ha establecido en sus directrices, </w:t>
      </w:r>
      <w:r w:rsidRPr="00165F2C">
        <w:rPr>
          <w:rFonts w:ascii="Verdana" w:eastAsia="Century Gothic" w:hAnsi="Verdana" w:cs="Century Gothic"/>
          <w:sz w:val="21"/>
          <w:szCs w:val="21"/>
          <w:lang w:val="es-ES"/>
        </w:rPr>
        <w:lastRenderedPageBreak/>
        <w:t>conceptos, etc., que los servicios de vigilancia privada son bienes y servicios de características técnicas uniformes.</w:t>
      </w:r>
    </w:p>
    <w:p w14:paraId="7C4414C8" w14:textId="77777777" w:rsidR="000361D8" w:rsidRPr="00165F2C" w:rsidRDefault="000361D8" w:rsidP="000361D8">
      <w:pPr>
        <w:spacing w:after="120" w:line="240" w:lineRule="auto"/>
        <w:ind w:left="709" w:right="709"/>
        <w:jc w:val="both"/>
        <w:rPr>
          <w:rFonts w:ascii="Verdana" w:eastAsia="Century Gothic" w:hAnsi="Verdana" w:cs="Century Gothic"/>
          <w:sz w:val="21"/>
          <w:szCs w:val="21"/>
          <w:lang w:val="es-ES"/>
        </w:rPr>
      </w:pPr>
      <w:r w:rsidRPr="00165F2C">
        <w:rPr>
          <w:rFonts w:ascii="Verdana" w:eastAsia="Century Gothic" w:hAnsi="Verdana" w:cs="Century Gothic"/>
          <w:sz w:val="21"/>
          <w:szCs w:val="21"/>
          <w:lang w:val="es-ES"/>
        </w:rPr>
        <w:t xml:space="preserve">- En caso de que la respuesta sea afirmativa, señale las razones jurídicas, técnicas, etc., por las cuales la </w:t>
      </w:r>
      <w:r w:rsidRPr="00165F2C">
        <w:rPr>
          <w:rFonts w:ascii="Verdana" w:eastAsia="Century Gothic" w:hAnsi="Verdana" w:cs="Century Gothic"/>
          <w:b/>
          <w:bCs/>
          <w:sz w:val="21"/>
          <w:szCs w:val="21"/>
          <w:lang w:val="es-ES"/>
        </w:rPr>
        <w:t>AGENCIA NACIONAL DE CONTRATACIÓN PÚBLICA - COLOMBIA COMPRA EFICIENTE</w:t>
      </w:r>
      <w:r w:rsidRPr="00165F2C">
        <w:rPr>
          <w:rFonts w:ascii="Verdana" w:eastAsia="Century Gothic" w:hAnsi="Verdana" w:cs="Century Gothic"/>
          <w:sz w:val="21"/>
          <w:szCs w:val="21"/>
          <w:lang w:val="es-ES"/>
        </w:rPr>
        <w:t xml:space="preserve"> ha considerado que los servicios de vigilancia privada son bienes y servicios de características técnicas uniformes.</w:t>
      </w:r>
    </w:p>
    <w:p w14:paraId="5ADE367D" w14:textId="77777777" w:rsidR="000361D8" w:rsidRPr="00165F2C" w:rsidRDefault="000361D8" w:rsidP="000361D8">
      <w:pPr>
        <w:spacing w:after="0" w:line="240" w:lineRule="auto"/>
        <w:ind w:left="709" w:right="709"/>
        <w:jc w:val="both"/>
        <w:rPr>
          <w:rFonts w:ascii="Verdana" w:eastAsia="Century Gothic" w:hAnsi="Verdana" w:cs="Century Gothic"/>
          <w:sz w:val="21"/>
          <w:szCs w:val="21"/>
          <w:lang w:val="es-ES"/>
        </w:rPr>
      </w:pPr>
      <w:r w:rsidRPr="00165F2C">
        <w:rPr>
          <w:rFonts w:ascii="Verdana" w:eastAsia="Century Gothic" w:hAnsi="Verdana" w:cs="Century Gothic"/>
          <w:sz w:val="21"/>
          <w:szCs w:val="21"/>
          <w:lang w:val="es-ES"/>
        </w:rPr>
        <w:t xml:space="preserve">- Indique si, en su concepto técnico, los servicios de vigilancia pueden ser adquiridos como bienes y servicios de características técnicas uniformes, a través del mercado de compras públicas de la </w:t>
      </w:r>
      <w:r w:rsidRPr="00165F2C">
        <w:rPr>
          <w:rFonts w:ascii="Verdana" w:eastAsia="Century Gothic" w:hAnsi="Verdana" w:cs="Century Gothic"/>
          <w:b/>
          <w:bCs/>
          <w:sz w:val="21"/>
          <w:szCs w:val="21"/>
          <w:lang w:val="es-ES"/>
        </w:rPr>
        <w:t>BMC BOLSA MERCANTIL DE COLOMBIA S.A.S</w:t>
      </w:r>
      <w:r w:rsidRPr="00165F2C">
        <w:rPr>
          <w:rFonts w:ascii="Verdana" w:eastAsia="Century Gothic" w:hAnsi="Verdana" w:cs="Century Gothic"/>
          <w:sz w:val="21"/>
          <w:szCs w:val="21"/>
          <w:lang w:val="es-ES"/>
        </w:rPr>
        <w:t>”.</w:t>
      </w:r>
      <w:r w:rsidRPr="00165F2C">
        <w:rPr>
          <w:rFonts w:ascii="Verdana" w:eastAsia="Century Gothic" w:hAnsi="Verdana" w:cs="Century Gothic"/>
          <w:sz w:val="20"/>
          <w:szCs w:val="20"/>
          <w:lang w:val="es-ES"/>
        </w:rPr>
        <w:t xml:space="preserve"> (Énfasis dentro del texto) </w:t>
      </w:r>
    </w:p>
    <w:p w14:paraId="19DD4097" w14:textId="77777777" w:rsidR="000361D8" w:rsidRPr="00165F2C" w:rsidRDefault="000361D8" w:rsidP="00CB3885">
      <w:pPr>
        <w:pStyle w:val="Prrafodelista"/>
        <w:tabs>
          <w:tab w:val="left" w:pos="142"/>
          <w:tab w:val="left" w:pos="284"/>
        </w:tabs>
        <w:spacing w:after="0" w:line="276" w:lineRule="auto"/>
        <w:ind w:left="0"/>
        <w:jc w:val="both"/>
        <w:rPr>
          <w:rFonts w:ascii="Verdana" w:eastAsia="Century Gothic" w:hAnsi="Verdana" w:cs="Century Gothic"/>
          <w:b/>
          <w:bCs/>
        </w:rPr>
      </w:pPr>
    </w:p>
    <w:p w14:paraId="580398E7" w14:textId="77777777" w:rsidR="000361D8" w:rsidRPr="00165F2C" w:rsidRDefault="000361D8" w:rsidP="000361D8">
      <w:pPr>
        <w:spacing w:after="120" w:line="276" w:lineRule="auto"/>
        <w:ind w:firstLine="709"/>
        <w:jc w:val="both"/>
        <w:rPr>
          <w:rFonts w:ascii="Verdana" w:eastAsia="Calibri" w:hAnsi="Verdana" w:cs="Arial"/>
          <w:color w:val="000000"/>
          <w:lang w:val="es-ES" w:eastAsia="es-ES"/>
        </w:rPr>
      </w:pPr>
      <w:r w:rsidRPr="00165F2C">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D0DAAAA" w14:textId="77777777" w:rsidR="000361D8" w:rsidRPr="00165F2C" w:rsidRDefault="000361D8" w:rsidP="000361D8">
      <w:pPr>
        <w:spacing w:after="0" w:line="276" w:lineRule="auto"/>
        <w:ind w:firstLine="708"/>
        <w:jc w:val="both"/>
        <w:rPr>
          <w:rFonts w:ascii="Verdana" w:eastAsia="Calibri" w:hAnsi="Verdana" w:cs="Arial"/>
          <w:color w:val="000000"/>
          <w:lang w:val="es-ES" w:eastAsia="es-ES"/>
        </w:rPr>
      </w:pPr>
      <w:r w:rsidRPr="00165F2C">
        <w:rPr>
          <w:rFonts w:ascii="Verdana" w:hAnsi="Verdana" w:cs="Arial"/>
          <w:bCs/>
          <w:color w:val="1A1A1A" w:themeColor="background1" w:themeShade="1A"/>
        </w:rPr>
        <w:t xml:space="preserve">El inciso 3 del artículo 226 del Código General del Proceso expresamente que “No serán admisibles los dictámenes periciales que versen sobre puntos de derecho”. </w:t>
      </w:r>
      <w:r w:rsidRPr="00165F2C">
        <w:rPr>
          <w:rFonts w:ascii="Verdana" w:eastAsia="Calibri" w:hAnsi="Verdana" w:cs="Arial"/>
          <w:lang w:val="es-ES"/>
        </w:rPr>
        <w:t xml:space="preserve">Por tanto, </w:t>
      </w:r>
      <w:r w:rsidRPr="00165F2C">
        <w:rPr>
          <w:rFonts w:ascii="Verdana" w:hAnsi="Verdana" w:cs="Arial"/>
          <w:bCs/>
          <w:color w:val="1A1A1A" w:themeColor="background1" w:themeShade="1A"/>
        </w:rPr>
        <w:t>lo decidido en torno a los procedimientos administrativos adelantados por la presunta infracción de las normas sobre competencia</w:t>
      </w:r>
      <w:r w:rsidRPr="00165F2C">
        <w:rPr>
          <w:rFonts w:ascii="Verdana" w:hAnsi="Verdana" w:cs="Arial"/>
          <w:color w:val="000000" w:themeColor="text1"/>
          <w:lang w:val="es-ES_tradnl"/>
        </w:rPr>
        <w:t xml:space="preserve"> es responsabilidad única y exclusiva de la </w:t>
      </w:r>
      <w:r w:rsidRPr="00165F2C">
        <w:rPr>
          <w:rFonts w:ascii="Verdana" w:eastAsia="Calibri" w:hAnsi="Verdana" w:cs="Arial"/>
          <w:lang w:val="es-ES" w:eastAsia="es-ES"/>
        </w:rPr>
        <w:t>Superintendencia de Industria y Comercio</w:t>
      </w:r>
      <w:r w:rsidRPr="00165F2C">
        <w:rPr>
          <w:rFonts w:ascii="Verdana" w:eastAsia="Calibri" w:hAnsi="Verdana" w:cs="Arial"/>
          <w:bCs/>
          <w:lang w:eastAsia="es-ES_tradnl"/>
        </w:rPr>
        <w:t xml:space="preserve">. </w:t>
      </w:r>
      <w:r w:rsidRPr="00165F2C">
        <w:rPr>
          <w:rFonts w:ascii="Verdana" w:eastAsia="Calibri" w:hAnsi="Verdana" w:cs="Arial"/>
        </w:rPr>
        <w:t>Sin perjuicio de lo anterior</w:t>
      </w:r>
      <w:r w:rsidRPr="00165F2C">
        <w:rPr>
          <w:rFonts w:ascii="Verdana" w:eastAsia="Calibri" w:hAnsi="Verdana" w:cs="Arial"/>
          <w:color w:val="000000"/>
          <w:lang w:val="es-ES" w:eastAsia="es-ES"/>
        </w:rPr>
        <w:t>,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w:t>
      </w:r>
      <w:r w:rsidRPr="00165F2C">
        <w:rPr>
          <w:rFonts w:ascii="Verdana" w:eastAsia="Calibri" w:hAnsi="Verdana" w:cs="Arial"/>
          <w:color w:val="7030A0"/>
          <w:lang w:val="es-ES" w:eastAsia="es-ES"/>
        </w:rPr>
        <w:t xml:space="preserve"> </w:t>
      </w:r>
      <w:r w:rsidRPr="00165F2C">
        <w:rPr>
          <w:rFonts w:ascii="Verdana" w:eastAsia="Calibri" w:hAnsi="Verdana" w:cs="Arial"/>
          <w:color w:val="000000"/>
          <w:lang w:val="es-ES" w:eastAsia="es-ES"/>
        </w:rPr>
        <w:t>problema</w:t>
      </w:r>
      <w:r w:rsidRPr="00165F2C">
        <w:rPr>
          <w:rFonts w:ascii="Verdana" w:eastAsia="Calibri" w:hAnsi="Verdana" w:cs="Arial"/>
          <w:color w:val="7030A0"/>
          <w:lang w:val="es-ES" w:eastAsia="es-ES"/>
        </w:rPr>
        <w:t xml:space="preserve"> </w:t>
      </w:r>
      <w:r w:rsidRPr="00165F2C">
        <w:rPr>
          <w:rFonts w:ascii="Verdana" w:eastAsia="Calibri" w:hAnsi="Verdana" w:cs="Arial"/>
          <w:color w:val="000000"/>
          <w:lang w:val="es-ES" w:eastAsia="es-ES"/>
        </w:rPr>
        <w:t>jurídico</w:t>
      </w:r>
      <w:r w:rsidRPr="00165F2C">
        <w:rPr>
          <w:rFonts w:ascii="Verdana" w:eastAsia="Calibri" w:hAnsi="Verdana" w:cs="Arial"/>
          <w:color w:val="7030A0"/>
          <w:lang w:val="es-ES" w:eastAsia="es-ES"/>
        </w:rPr>
        <w:t xml:space="preserve"> </w:t>
      </w:r>
      <w:r w:rsidRPr="00165F2C">
        <w:rPr>
          <w:rFonts w:ascii="Verdana" w:eastAsia="Calibri" w:hAnsi="Verdana" w:cs="Arial"/>
          <w:color w:val="000000"/>
          <w:lang w:val="es-ES" w:eastAsia="es-ES"/>
        </w:rPr>
        <w:t xml:space="preserve">de su consulta.  </w:t>
      </w:r>
    </w:p>
    <w:p w14:paraId="3058FFF2" w14:textId="77777777" w:rsidR="000361D8" w:rsidRPr="00165F2C" w:rsidRDefault="000361D8" w:rsidP="000361D8">
      <w:pPr>
        <w:spacing w:after="0" w:line="276" w:lineRule="auto"/>
        <w:ind w:firstLine="709"/>
        <w:jc w:val="both"/>
        <w:rPr>
          <w:rFonts w:ascii="Verdana" w:eastAsia="Calibri" w:hAnsi="Verdana" w:cs="Arial"/>
          <w:color w:val="000000"/>
          <w:lang w:val="es-ES" w:eastAsia="es-ES"/>
        </w:rPr>
      </w:pPr>
    </w:p>
    <w:p w14:paraId="615FA5A1" w14:textId="77777777" w:rsidR="000361D8" w:rsidRPr="00165F2C" w:rsidRDefault="000361D8" w:rsidP="000361D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65F2C">
        <w:rPr>
          <w:rFonts w:ascii="Verdana" w:eastAsia="Century Gothic" w:hAnsi="Verdana" w:cs="Century Gothic"/>
          <w:b/>
          <w:bCs/>
        </w:rPr>
        <w:t>Problema planteado:</w:t>
      </w:r>
    </w:p>
    <w:p w14:paraId="2D61EC9A" w14:textId="77777777" w:rsidR="000361D8" w:rsidRPr="00165F2C" w:rsidRDefault="000361D8" w:rsidP="000361D8">
      <w:pPr>
        <w:tabs>
          <w:tab w:val="left" w:pos="426"/>
        </w:tabs>
        <w:spacing w:after="0" w:line="276" w:lineRule="auto"/>
        <w:jc w:val="both"/>
        <w:rPr>
          <w:rFonts w:ascii="Verdana" w:eastAsia="Century Gothic" w:hAnsi="Verdana" w:cs="Century Gothic"/>
          <w:lang w:val="es-ES"/>
        </w:rPr>
      </w:pPr>
    </w:p>
    <w:p w14:paraId="20BEA4FE" w14:textId="4E506D7B" w:rsidR="000361D8" w:rsidRPr="00165F2C" w:rsidRDefault="000361D8" w:rsidP="000361D8">
      <w:pPr>
        <w:spacing w:after="0" w:line="276" w:lineRule="auto"/>
        <w:jc w:val="both"/>
        <w:rPr>
          <w:rFonts w:ascii="Verdana" w:eastAsia="Century Gothic" w:hAnsi="Verdana" w:cs="Century Gothic"/>
        </w:rPr>
      </w:pPr>
      <w:r w:rsidRPr="00165F2C">
        <w:rPr>
          <w:rFonts w:ascii="Verdana" w:eastAsia="Century Gothic" w:hAnsi="Verdana" w:cs="Century Gothic"/>
        </w:rPr>
        <w:lastRenderedPageBreak/>
        <w:t>De acuerdo con el contenido de su solicitud, esta Agencia resolverá el siguiente problema jurídico: ¿cuál es el alcance de la causal de selección abreviada del literal a) del artículo 2</w:t>
      </w:r>
      <w:r w:rsidR="00902620" w:rsidRPr="00165F2C">
        <w:rPr>
          <w:rFonts w:ascii="Verdana" w:eastAsia="Century Gothic" w:hAnsi="Verdana" w:cs="Century Gothic"/>
        </w:rPr>
        <w:t xml:space="preserve">, numeral </w:t>
      </w:r>
      <w:r w:rsidRPr="00165F2C">
        <w:rPr>
          <w:rFonts w:ascii="Verdana" w:eastAsia="Century Gothic" w:hAnsi="Verdana" w:cs="Century Gothic"/>
        </w:rPr>
        <w:t>2 de la Ley 1150 de 2007</w:t>
      </w:r>
      <w:r w:rsidR="00902620" w:rsidRPr="00165F2C">
        <w:rPr>
          <w:rFonts w:ascii="Verdana" w:eastAsia="Century Gothic" w:hAnsi="Verdana" w:cs="Century Gothic"/>
        </w:rPr>
        <w:t xml:space="preserve"> </w:t>
      </w:r>
      <w:r w:rsidR="001F0192" w:rsidRPr="00165F2C">
        <w:rPr>
          <w:rFonts w:ascii="Verdana" w:eastAsia="Century Gothic" w:hAnsi="Verdana" w:cs="Century Gothic"/>
        </w:rPr>
        <w:t>respecto de la contratación se servicios de vigilancia y seguridad privada</w:t>
      </w:r>
      <w:r w:rsidRPr="00165F2C">
        <w:rPr>
          <w:rFonts w:ascii="Verdana" w:eastAsia="Century Gothic" w:hAnsi="Verdana" w:cs="Century Gothic"/>
        </w:rPr>
        <w:t xml:space="preserve">?       </w:t>
      </w:r>
      <w:r w:rsidRPr="00165F2C">
        <w:rPr>
          <w:rFonts w:ascii="Verdana" w:eastAsia="Century Gothic" w:hAnsi="Verdana" w:cs="Century Gothic"/>
          <w:color w:val="7030A0"/>
        </w:rPr>
        <w:t xml:space="preserve"> </w:t>
      </w:r>
    </w:p>
    <w:p w14:paraId="4CCC5DF8" w14:textId="77777777" w:rsidR="000361D8" w:rsidRPr="00165F2C" w:rsidRDefault="000361D8" w:rsidP="000361D8">
      <w:pPr>
        <w:spacing w:after="0" w:line="276" w:lineRule="auto"/>
        <w:jc w:val="both"/>
        <w:rPr>
          <w:rFonts w:ascii="Verdana" w:eastAsia="Calibri" w:hAnsi="Verdana" w:cs="Arial"/>
          <w:color w:val="7030A0"/>
        </w:rPr>
      </w:pPr>
    </w:p>
    <w:p w14:paraId="573DC7B0" w14:textId="77777777" w:rsidR="000361D8" w:rsidRPr="00165F2C" w:rsidRDefault="000361D8" w:rsidP="000361D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65F2C">
        <w:rPr>
          <w:rFonts w:ascii="Verdana" w:eastAsia="Century Gothic" w:hAnsi="Verdana" w:cs="Century Gothic"/>
          <w:b/>
          <w:bCs/>
        </w:rPr>
        <w:t>Respuesta:</w:t>
      </w:r>
    </w:p>
    <w:p w14:paraId="7822878C" w14:textId="77777777" w:rsidR="000361D8" w:rsidRPr="00165F2C" w:rsidRDefault="000361D8" w:rsidP="000361D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361D8" w:rsidRPr="00165F2C" w14:paraId="53174CC3" w14:textId="77777777">
        <w:trPr>
          <w:jc w:val="center"/>
        </w:trPr>
        <w:tc>
          <w:tcPr>
            <w:tcW w:w="8828" w:type="dxa"/>
            <w:shd w:val="clear" w:color="auto" w:fill="auto"/>
          </w:tcPr>
          <w:p w14:paraId="5FB6F32E" w14:textId="29E58615" w:rsidR="000361D8" w:rsidRPr="00165F2C" w:rsidRDefault="000361D8">
            <w:pPr>
              <w:spacing w:after="120" w:line="276" w:lineRule="auto"/>
              <w:jc w:val="both"/>
              <w:rPr>
                <w:rFonts w:ascii="Verdana" w:eastAsia="Times New Roman" w:hAnsi="Verdana" w:cs="Arial"/>
                <w:color w:val="000000"/>
                <w:lang w:val="es-ES_tradnl" w:eastAsia="es-ES_tradnl"/>
              </w:rPr>
            </w:pPr>
            <w:bookmarkStart w:id="1" w:name="_Hlk171694685"/>
            <w:r w:rsidRPr="00165F2C">
              <w:rPr>
                <w:rFonts w:ascii="Verdana" w:eastAsia="Times New Roman" w:hAnsi="Verdana" w:cs="Arial"/>
                <w:color w:val="000000"/>
                <w:lang w:val="es-ES_tradnl" w:eastAsia="es-ES_tradnl"/>
              </w:rPr>
              <w:t>Conforme a la interpretación de las normas generales del sistema de compras públicas, según el literal a) del artículo 2</w:t>
            </w:r>
            <w:r w:rsidR="00423555" w:rsidRPr="00165F2C">
              <w:rPr>
                <w:rFonts w:ascii="Verdana" w:eastAsia="Times New Roman" w:hAnsi="Verdana" w:cs="Arial"/>
                <w:color w:val="000000"/>
                <w:lang w:val="es-ES_tradnl" w:eastAsia="es-ES_tradnl"/>
              </w:rPr>
              <w:t xml:space="preserve">, numeral </w:t>
            </w:r>
            <w:r w:rsidRPr="00165F2C">
              <w:rPr>
                <w:rFonts w:ascii="Verdana" w:eastAsia="Times New Roman" w:hAnsi="Verdana" w:cs="Arial"/>
                <w:color w:val="000000"/>
                <w:lang w:val="es-ES_tradnl" w:eastAsia="es-ES_tradnl"/>
              </w:rPr>
              <w:t xml:space="preserve">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w:t>
            </w:r>
          </w:p>
          <w:p w14:paraId="089C0627" w14:textId="655598F0" w:rsidR="000361D8" w:rsidRPr="00165F2C" w:rsidRDefault="000361D8">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La nota común de este conjunto de bienes y servicios es que, con independencia de sus características descriptivas, comparten patrones de desempeño y calidad similares para la satisfacción de la necesidad a la que atienden. Igualmente, el inciso segundo del literal a) del artículo 2</w:t>
            </w:r>
            <w:r w:rsidR="005E7B93" w:rsidRPr="00165F2C">
              <w:rPr>
                <w:rFonts w:ascii="Verdana" w:eastAsia="Calibri" w:hAnsi="Verdana" w:cs="Arial"/>
                <w:bCs/>
                <w:color w:val="000000" w:themeColor="text1"/>
              </w:rPr>
              <w:t xml:space="preserve">, numeral </w:t>
            </w:r>
            <w:r w:rsidRPr="00165F2C">
              <w:rPr>
                <w:rFonts w:ascii="Verdana" w:eastAsia="Calibri" w:hAnsi="Verdana" w:cs="Arial"/>
                <w:bCs/>
                <w:color w:val="000000" w:themeColor="text1"/>
              </w:rPr>
              <w:t>2</w:t>
            </w:r>
            <w:r w:rsidR="008949B2" w:rsidRPr="00165F2C">
              <w:rPr>
                <w:rFonts w:ascii="Verdana" w:eastAsia="Calibri" w:hAnsi="Verdana" w:cs="Arial"/>
                <w:bCs/>
                <w:color w:val="000000" w:themeColor="text1"/>
              </w:rPr>
              <w:t>,</w:t>
            </w:r>
            <w:r w:rsidRPr="00165F2C">
              <w:rPr>
                <w:rFonts w:ascii="Verdana" w:eastAsia="Calibri" w:hAnsi="Verdana" w:cs="Arial"/>
                <w:bCs/>
                <w:color w:val="000000" w:themeColor="text1"/>
              </w:rPr>
              <w:t xml:space="preserve"> de la Ley 1150 de 2007 dispone que “</w:t>
            </w:r>
            <w:r w:rsidRPr="00165F2C">
              <w:rPr>
                <w:rFonts w:ascii="Verdana" w:eastAsia="Calibri" w:hAnsi="Verdana" w:cs="Arial"/>
                <w:bCs/>
                <w:i/>
                <w:iCs/>
                <w:color w:val="000000" w:themeColor="text1"/>
              </w:rPr>
              <w:t>Para la adquisición de estos bienes y servicios las entidades deberán</w:t>
            </w:r>
            <w:r w:rsidRPr="00165F2C">
              <w:rPr>
                <w:rFonts w:ascii="Verdana" w:eastAsia="Calibri" w:hAnsi="Verdana" w:cs="Arial"/>
                <w:bCs/>
                <w:color w:val="000000" w:themeColor="text1"/>
              </w:rPr>
              <w:t xml:space="preserve">, siempre que el reglamento así lo señale, </w:t>
            </w:r>
            <w:r w:rsidRPr="00165F2C">
              <w:rPr>
                <w:rFonts w:ascii="Verdana" w:eastAsia="Calibri" w:hAnsi="Verdana" w:cs="Arial"/>
                <w:bCs/>
                <w:i/>
                <w:iCs/>
                <w:color w:val="000000" w:themeColor="text1"/>
              </w:rPr>
              <w:t>hacer uso</w:t>
            </w:r>
            <w:r w:rsidRPr="00165F2C">
              <w:rPr>
                <w:rFonts w:ascii="Verdana" w:eastAsia="Calibri" w:hAnsi="Verdana" w:cs="Arial"/>
                <w:bCs/>
                <w:color w:val="000000" w:themeColor="text1"/>
              </w:rPr>
              <w:t xml:space="preserve"> de procedimientos de subasta inversa o de instrumentos de compra por catálogo derivados de la celebración de acuerdos marco de precios o </w:t>
            </w:r>
            <w:r w:rsidRPr="00165F2C">
              <w:rPr>
                <w:rFonts w:ascii="Verdana" w:eastAsia="Calibri" w:hAnsi="Verdana" w:cs="Arial"/>
                <w:bCs/>
                <w:i/>
                <w:iCs/>
                <w:color w:val="000000" w:themeColor="text1"/>
              </w:rPr>
              <w:t>de procedimientos de adquisición en bolsas de productos</w:t>
            </w:r>
            <w:r w:rsidRPr="00165F2C">
              <w:rPr>
                <w:rFonts w:ascii="Verdana" w:eastAsia="Calibri" w:hAnsi="Verdana" w:cs="Arial"/>
                <w:bCs/>
                <w:color w:val="000000" w:themeColor="text1"/>
              </w:rPr>
              <w:t>” (Énfasis fuera de texto). Estos mecanismos se aplicarán en la forma que disponga el Decreto 1082 de 2015 para para cada uno de ellos.</w:t>
            </w:r>
          </w:p>
          <w:p w14:paraId="0897480C" w14:textId="178FBFA0" w:rsidR="008A2CB0" w:rsidRPr="00165F2C" w:rsidRDefault="008A2CB0" w:rsidP="008A2CB0">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 xml:space="preserve">Respecto a los servicios de vigilancia y seguridad privada regulados por el Decreto Ley 356 de 1994, si bien nada se opone a que sean considerados como de características técnicas uniformes, la contratación de éstos a través de las modalidades antes indicadas no es funcional para garantizar la selección objetiva. Esto comoquiera que las tarifas mínimas establecidas para estos servicios en la Circular Externa de la Superintendencia de Vigilancia y Seguridad Privada 20231300001105 del 30 de diciembre de 2023 representan </w:t>
            </w:r>
            <w:r w:rsidRPr="00165F2C">
              <w:rPr>
                <w:rFonts w:ascii="Verdana" w:eastAsia="Calibri" w:hAnsi="Verdana" w:cs="Arial"/>
                <w:bCs/>
                <w:color w:val="000000" w:themeColor="text1"/>
              </w:rPr>
              <w:lastRenderedPageBreak/>
              <w:t xml:space="preserve">una medida regulatoria que hace que los ofrecimientos para la prestación de este tipo de servicios tiendan al valor mínimo permitido por regulación tarifaria, lo que hace que las Entidades Estatales no puedan elegir la oferta más favorable con base en el menor precio ofertado, como bien podría suceder con otros bienes o servicios que no tienen un precio mínimo regulado.   </w:t>
            </w:r>
          </w:p>
          <w:p w14:paraId="2EB39960" w14:textId="0932DF10" w:rsidR="008A2CB0" w:rsidRPr="00165F2C" w:rsidRDefault="008A2CB0" w:rsidP="008A2CB0">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En atención a esto, la modalidad de selección más adecuada para la contratación de servicios de vigilancia y seguridad privada es la licitación pública prevista en el numeral 1 del artículo 2 de la Ley 1150 de 2007 como la regla general para objetos no sujetos a alguna modalidad en específico. Esto además debido a que la licitación pública es la modalidad que brinda más garantías para la selección objetiva, ya que de acuerdo con el artículo 5, numeral 2, de la Ley 1150 de 2007, reglamentado en el artículo 2.2.1.1.2.2.2 del Decreto 1082 de 2015, en este tipo de procedimientos la oferta más favorable es aquella que represente la mejor relación calidad-precio, cuestión que debe determinarse valorando, además del precio, factores de calidad, criterios sociales y ambientales, sin perjuicio de la aplicación de puntajes adicionales y acciones afirmativas previstos en la normativa de la contratación pública. Esto además resulta coherente con lo dispuesto en el</w:t>
            </w:r>
            <w:r w:rsidRPr="00165F2C">
              <w:rPr>
                <w:rFonts w:ascii="Verdana" w:eastAsia="Calibri" w:hAnsi="Verdana" w:cs="Arial"/>
                <w:color w:val="000000"/>
                <w:lang w:val="es-ES_tradnl"/>
              </w:rPr>
              <w:t xml:space="preserve"> artículo 6 de la Ley 1920 de 2018, que </w:t>
            </w:r>
            <w:r w:rsidRPr="00165F2C">
              <w:rPr>
                <w:rFonts w:ascii="Verdana" w:eastAsia="Calibri" w:hAnsi="Verdana" w:cs="Arial"/>
                <w:bCs/>
                <w:color w:val="000000"/>
                <w:lang w:val="es-ES_tradnl"/>
              </w:rPr>
              <w:t xml:space="preserve">se refiere de manera expresa a la licitación pública como una modalidad de selección aplicable para contratar los servicios </w:t>
            </w:r>
            <w:r w:rsidRPr="00165F2C">
              <w:rPr>
                <w:rFonts w:ascii="Verdana" w:eastAsia="Calibri" w:hAnsi="Verdana" w:cs="Arial"/>
                <w:bCs/>
                <w:color w:val="000000" w:themeColor="text1"/>
              </w:rPr>
              <w:t xml:space="preserve">servicios de vigilancia y seguridad privada, previendo además la aplicación de factores de evaluación distintos del precio. </w:t>
            </w:r>
          </w:p>
          <w:p w14:paraId="1FD450B5" w14:textId="4B636806" w:rsidR="000361D8" w:rsidRPr="00165F2C" w:rsidRDefault="008A2CB0" w:rsidP="008A2CB0">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 xml:space="preserve">Lo anterior sin perjuicio de la aplicación de la modalidad de selección abreviada de menor cuantía cuando se requiera contratar servicios vigilancia y seguridad privada por valores que se ubiquen dentro de la menor cuantía de la respectiva Entidad Estatal, de acuerdo con los rangos establecidos en el literal b) del numeral 2 del artículo 2 de la Ley 1150 de 2007. En esta modalidad, al igual que en la licitación, la oferta más favorable se determina de acuerdo con lo establecido en el numeral 2 del artículo 5 de la Ley 1150 de 2007, esto es, en atención a la mejor relación calidad-precio. </w:t>
            </w:r>
          </w:p>
          <w:p w14:paraId="2F2900FA" w14:textId="77777777" w:rsidR="000361D8" w:rsidRPr="00165F2C" w:rsidRDefault="000361D8">
            <w:pPr>
              <w:spacing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 xml:space="preserve">Al margen de la explicación precedente debe advertirse que el análisis requerido para identificar los bienes y servicios de características técnicas uniformes, así como del proceso de selección aplicable para su contratación, debe ser realizado por quienes tengan interés en ello, de acuerdo con lo explicado la aclaración preliminar del presente oficio. Por tanto, cada entidad definirá la forma de adelantar su gestión contractual, sin que sea atribución </w:t>
            </w:r>
            <w:r w:rsidRPr="00165F2C">
              <w:rPr>
                <w:rFonts w:ascii="Verdana" w:eastAsia="Calibri" w:hAnsi="Verdana" w:cs="Arial"/>
                <w:bCs/>
                <w:color w:val="000000" w:themeColor="text1"/>
              </w:rPr>
              <w:lastRenderedPageBreak/>
              <w:t>de Colombia Compra Eficiente validar sus actuaciones frente a las autoridades en materia de competencia económica.</w:t>
            </w:r>
          </w:p>
        </w:tc>
      </w:tr>
    </w:tbl>
    <w:p w14:paraId="3FE8BBCB" w14:textId="77777777" w:rsidR="000361D8" w:rsidRPr="00165F2C" w:rsidRDefault="000361D8" w:rsidP="000361D8">
      <w:pPr>
        <w:tabs>
          <w:tab w:val="left" w:pos="142"/>
          <w:tab w:val="left" w:pos="284"/>
        </w:tabs>
        <w:spacing w:after="0" w:line="276" w:lineRule="auto"/>
        <w:jc w:val="both"/>
        <w:rPr>
          <w:rFonts w:ascii="Verdana" w:eastAsia="Century Gothic" w:hAnsi="Verdana" w:cs="Century Gothic"/>
          <w:b/>
          <w:bCs/>
          <w:lang w:val="es-ES"/>
        </w:rPr>
      </w:pPr>
    </w:p>
    <w:bookmarkEnd w:id="1"/>
    <w:p w14:paraId="5E792440" w14:textId="77777777" w:rsidR="000361D8" w:rsidRPr="00165F2C" w:rsidRDefault="000361D8" w:rsidP="000361D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65F2C">
        <w:rPr>
          <w:rFonts w:ascii="Verdana" w:eastAsia="Century Gothic" w:hAnsi="Verdana" w:cs="Century Gothic"/>
          <w:b/>
          <w:bCs/>
        </w:rPr>
        <w:t>Razones de la respuesta:</w:t>
      </w:r>
    </w:p>
    <w:p w14:paraId="68708C5B" w14:textId="77777777" w:rsidR="000361D8" w:rsidRPr="00165F2C" w:rsidRDefault="000361D8" w:rsidP="000361D8">
      <w:pPr>
        <w:spacing w:after="0" w:line="276" w:lineRule="auto"/>
        <w:jc w:val="both"/>
        <w:rPr>
          <w:rFonts w:ascii="Verdana" w:eastAsia="Calibri" w:hAnsi="Verdana" w:cs="Arial"/>
          <w:color w:val="7030A0"/>
          <w:lang w:val="es-ES"/>
        </w:rPr>
      </w:pPr>
    </w:p>
    <w:p w14:paraId="40C5687C" w14:textId="77777777" w:rsidR="000361D8" w:rsidRPr="00165F2C" w:rsidRDefault="000361D8" w:rsidP="000361D8">
      <w:pPr>
        <w:spacing w:after="0" w:line="276" w:lineRule="auto"/>
        <w:jc w:val="both"/>
        <w:rPr>
          <w:rFonts w:ascii="Verdana" w:eastAsia="Calibri" w:hAnsi="Verdana" w:cs="Arial"/>
          <w:lang w:val="es-ES"/>
        </w:rPr>
      </w:pPr>
      <w:r w:rsidRPr="00165F2C">
        <w:rPr>
          <w:rFonts w:ascii="Verdana" w:eastAsia="Calibri" w:hAnsi="Verdana" w:cs="Arial"/>
          <w:lang w:val="es-ES"/>
        </w:rPr>
        <w:t>Lo anterior se sustenta en las siguientes consideraciones:</w:t>
      </w:r>
    </w:p>
    <w:p w14:paraId="70462653" w14:textId="77777777" w:rsidR="000361D8" w:rsidRPr="00165F2C" w:rsidRDefault="000361D8" w:rsidP="000361D8">
      <w:pPr>
        <w:spacing w:after="0" w:line="276" w:lineRule="auto"/>
        <w:jc w:val="both"/>
        <w:rPr>
          <w:rFonts w:ascii="Verdana" w:eastAsia="Calibri" w:hAnsi="Verdana" w:cs="Arial"/>
          <w:lang w:val="es-ES"/>
        </w:rPr>
      </w:pPr>
    </w:p>
    <w:p w14:paraId="4E3930B8" w14:textId="77777777" w:rsidR="000361D8" w:rsidRPr="00165F2C" w:rsidRDefault="000361D8" w:rsidP="000361D8">
      <w:pPr>
        <w:spacing w:after="120" w:line="276" w:lineRule="auto"/>
        <w:jc w:val="both"/>
        <w:rPr>
          <w:rFonts w:ascii="Verdana" w:eastAsia="Calibri" w:hAnsi="Verdana" w:cs="Arial"/>
          <w:bCs/>
          <w:lang w:val="es-MX" w:eastAsia="es-ES_tradnl"/>
        </w:rPr>
      </w:pPr>
      <w:r w:rsidRPr="00165F2C">
        <w:rPr>
          <w:rFonts w:ascii="Verdana" w:eastAsia="Calibri" w:hAnsi="Verdana" w:cs="Arial"/>
          <w:color w:val="000000"/>
          <w:szCs w:val="24"/>
          <w:lang w:val="es-ES_tradnl" w:eastAsia="es-ES_tradnl"/>
        </w:rPr>
        <w:t>P</w:t>
      </w:r>
      <w:r w:rsidRPr="00165F2C">
        <w:rPr>
          <w:rFonts w:ascii="Verdana" w:hAnsi="Verdana" w:cs="Arial"/>
          <w:lang w:val="es-ES"/>
        </w:rPr>
        <w:t xml:space="preserve">ara las entidades sometidas al Estatuto General de Contratación de la Administración Pública, los procesos de selección se rigen por </w:t>
      </w:r>
      <w:r w:rsidRPr="00165F2C">
        <w:rPr>
          <w:rFonts w:ascii="Verdana" w:hAnsi="Verdana" w:cs="Arial"/>
          <w:bCs/>
          <w:lang w:val="es-ES_tradnl"/>
        </w:rPr>
        <w:t>el artículo 2 de la Ley 1150 de 2007</w:t>
      </w:r>
      <w:r w:rsidRPr="00165F2C">
        <w:rPr>
          <w:rFonts w:ascii="Verdana" w:hAnsi="Verdana" w:cs="Arial"/>
          <w:lang w:val="es-ES"/>
        </w:rPr>
        <w:t xml:space="preserve">. El </w:t>
      </w:r>
      <w:r w:rsidRPr="00165F2C">
        <w:rPr>
          <w:rFonts w:ascii="Verdana" w:eastAsia="Calibri" w:hAnsi="Verdana" w:cs="Arial"/>
          <w:bCs/>
          <w:lang w:val="es-MX" w:eastAsia="es-ES_tradnl"/>
        </w:rPr>
        <w:t>numeral uno, inciso primero, de la norma citada</w:t>
      </w:r>
      <w:r w:rsidRPr="00165F2C">
        <w:rPr>
          <w:rFonts w:ascii="Verdana" w:hAnsi="Verdana" w:cs="Arial"/>
          <w:bCs/>
          <w:lang w:val="es-ES_tradnl"/>
        </w:rPr>
        <w:t xml:space="preserve"> </w:t>
      </w:r>
      <w:r w:rsidRPr="00165F2C">
        <w:rPr>
          <w:rFonts w:ascii="Verdana" w:eastAsia="Calibri" w:hAnsi="Verdana" w:cs="Arial"/>
          <w:bCs/>
          <w:lang w:val="es-MX" w:eastAsia="es-ES_tradnl"/>
        </w:rPr>
        <w:t xml:space="preserve">dispone que “La escogencia del contratista se efectuará por </w:t>
      </w:r>
      <w:r w:rsidRPr="00165F2C">
        <w:rPr>
          <w:rFonts w:ascii="Verdana" w:eastAsia="Calibri" w:hAnsi="Verdana" w:cs="Arial"/>
          <w:bCs/>
          <w:i/>
          <w:iCs/>
          <w:lang w:val="es-MX" w:eastAsia="es-ES_tradnl"/>
        </w:rPr>
        <w:t>regla general</w:t>
      </w:r>
      <w:r w:rsidRPr="00165F2C">
        <w:rPr>
          <w:rFonts w:ascii="Verdana" w:eastAsia="Calibri" w:hAnsi="Verdana" w:cs="Arial"/>
          <w:bCs/>
          <w:lang w:val="es-MX" w:eastAsia="es-ES_tradnl"/>
        </w:rPr>
        <w:t xml:space="preserve"> a través de licitación pública, con las </w:t>
      </w:r>
      <w:r w:rsidRPr="00165F2C">
        <w:rPr>
          <w:rFonts w:ascii="Verdana" w:eastAsia="Calibri" w:hAnsi="Verdana" w:cs="Arial"/>
          <w:bCs/>
          <w:i/>
          <w:iCs/>
          <w:lang w:val="es-MX" w:eastAsia="es-ES_tradnl"/>
        </w:rPr>
        <w:t>excepciones</w:t>
      </w:r>
      <w:r w:rsidRPr="00165F2C">
        <w:rPr>
          <w:rFonts w:ascii="Verdana" w:eastAsia="Calibri" w:hAnsi="Verdana" w:cs="Arial"/>
          <w:bCs/>
          <w:lang w:val="es-MX" w:eastAsia="es-ES_tradnl"/>
        </w:rPr>
        <w:t xml:space="preserve"> que se señalan en los numerales 2, 3 y 4 del presente artículo”, norma que sustituye el derogado numeral 1 del artículo 24 de la Ley 80 de 1993 sobre el principio de transparencia</w:t>
      </w:r>
      <w:r w:rsidRPr="00165F2C">
        <w:rPr>
          <w:rStyle w:val="Refdenotaalpie"/>
          <w:rFonts w:ascii="Verdana" w:eastAsia="Calibri" w:hAnsi="Verdana" w:cs="Arial"/>
          <w:bCs/>
          <w:lang w:val="es-MX" w:eastAsia="es-ES_tradnl"/>
        </w:rPr>
        <w:footnoteReference w:id="2"/>
      </w:r>
      <w:r w:rsidRPr="00165F2C">
        <w:rPr>
          <w:rFonts w:ascii="Verdana" w:eastAsia="Calibri" w:hAnsi="Verdana" w:cs="Arial"/>
          <w:bCs/>
          <w:lang w:val="es-MX" w:eastAsia="es-ES_tradnl"/>
        </w:rPr>
        <w:t xml:space="preserve">. </w:t>
      </w:r>
    </w:p>
    <w:p w14:paraId="030ED259" w14:textId="77777777" w:rsidR="000361D8" w:rsidRPr="00165F2C" w:rsidRDefault="000361D8" w:rsidP="000361D8">
      <w:pPr>
        <w:spacing w:after="120" w:line="276" w:lineRule="auto"/>
        <w:ind w:firstLine="708"/>
        <w:jc w:val="both"/>
        <w:rPr>
          <w:rFonts w:ascii="Verdana" w:eastAsia="Calibri" w:hAnsi="Verdana" w:cs="Arial"/>
          <w:bCs/>
          <w:lang w:val="es-MX" w:eastAsia="es-ES_tradnl"/>
        </w:rPr>
      </w:pPr>
      <w:r w:rsidRPr="00165F2C">
        <w:rPr>
          <w:rFonts w:ascii="Verdana" w:eastAsia="Calibri" w:hAnsi="Verdana" w:cs="Arial"/>
          <w:bCs/>
          <w:lang w:val="es-MX" w:eastAsia="es-ES_tradnl"/>
        </w:rPr>
        <w:t>Salvo norma especial que ordene la celebración del negocio jurídico por otra modalidad de selección, debe aplicarse la regla general de licitación pública</w:t>
      </w:r>
      <w:r w:rsidRPr="00165F2C">
        <w:rPr>
          <w:rStyle w:val="Refdenotaalpie"/>
          <w:rFonts w:ascii="Verdana" w:eastAsia="Calibri" w:hAnsi="Verdana" w:cs="Arial"/>
          <w:bCs/>
          <w:lang w:val="es-MX" w:eastAsia="es-ES_tradnl"/>
        </w:rPr>
        <w:footnoteReference w:id="3"/>
      </w:r>
      <w:r w:rsidRPr="00165F2C">
        <w:rPr>
          <w:rFonts w:ascii="Verdana" w:eastAsia="Calibri" w:hAnsi="Verdana" w:cs="Arial"/>
          <w:bCs/>
          <w:lang w:val="es-MX" w:eastAsia="es-ES_tradnl"/>
        </w:rPr>
        <w:t>. Por ello, dependiendo del objeto o el valor de presupuesto oficial, es posible la aplicación de otros procedimientos contractuales. Estos pueden ser con pluralidad de oferentes –v. gr. la selección abreviada de menor cuantía o la mínima cuantía– o sin concurrencia de proponentes –por ejemplo, la contratación directa–.</w:t>
      </w:r>
    </w:p>
    <w:p w14:paraId="6AA84917" w14:textId="77777777" w:rsidR="000361D8" w:rsidRPr="00165F2C" w:rsidRDefault="000361D8" w:rsidP="000361D8">
      <w:pPr>
        <w:spacing w:after="120" w:line="276" w:lineRule="auto"/>
        <w:ind w:firstLine="708"/>
        <w:jc w:val="both"/>
        <w:rPr>
          <w:rFonts w:ascii="Verdana" w:eastAsia="Calibri" w:hAnsi="Verdana" w:cs="Arial"/>
        </w:rPr>
      </w:pPr>
      <w:r w:rsidRPr="00165F2C">
        <w:rPr>
          <w:rFonts w:ascii="Verdana" w:eastAsia="Calibri" w:hAnsi="Verdana" w:cs="Arial"/>
          <w:bCs/>
          <w:lang w:val="es-MX" w:eastAsia="es-ES_tradnl"/>
        </w:rPr>
        <w:lastRenderedPageBreak/>
        <w:t xml:space="preserve">Respecto a la selección abreviada, </w:t>
      </w:r>
      <w:bookmarkStart w:id="2" w:name="_Hlk39070608"/>
      <w:r w:rsidRPr="00165F2C">
        <w:rPr>
          <w:rFonts w:ascii="Verdana" w:eastAsia="Calibri" w:hAnsi="Verdana" w:cs="Arial"/>
        </w:rPr>
        <w:t>el numeral 2 del artículo 2 de la Ley 1150 de 2007</w:t>
      </w:r>
      <w:bookmarkEnd w:id="2"/>
      <w:r w:rsidRPr="00165F2C">
        <w:rPr>
          <w:rFonts w:ascii="Verdana" w:eastAsia="Calibri" w:hAnsi="Verdana" w:cs="Arial"/>
        </w:rPr>
        <w:t xml:space="preserve">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w:t>
      </w:r>
      <w:r w:rsidRPr="00165F2C">
        <w:rPr>
          <w:rStyle w:val="Refdenotaalpie"/>
          <w:rFonts w:ascii="Verdana" w:eastAsia="Calibri" w:hAnsi="Verdana" w:cs="Arial"/>
        </w:rPr>
        <w:footnoteReference w:id="4"/>
      </w:r>
      <w:r w:rsidRPr="00165F2C">
        <w:rPr>
          <w:rFonts w:ascii="Verdana" w:eastAsia="Calibri" w:hAnsi="Verdana" w:cs="Arial"/>
        </w:rPr>
        <w:t xml:space="preserve">. </w:t>
      </w:r>
    </w:p>
    <w:p w14:paraId="5508F05E" w14:textId="77777777" w:rsidR="000361D8" w:rsidRPr="00165F2C" w:rsidRDefault="000361D8" w:rsidP="000361D8">
      <w:pPr>
        <w:spacing w:after="0" w:line="276" w:lineRule="auto"/>
        <w:ind w:firstLine="708"/>
        <w:jc w:val="both"/>
        <w:rPr>
          <w:rFonts w:ascii="Verdana" w:eastAsia="Calibri" w:hAnsi="Verdana" w:cs="Arial"/>
        </w:rPr>
      </w:pPr>
      <w:bookmarkStart w:id="3" w:name="_Hlk39174727"/>
      <w:r w:rsidRPr="00165F2C">
        <w:rPr>
          <w:rFonts w:ascii="Verdana" w:eastAsia="Calibri" w:hAnsi="Verdana" w:cs="Arial"/>
        </w:rPr>
        <w:t xml:space="preserve">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w:t>
      </w:r>
      <w:r w:rsidRPr="00165F2C">
        <w:rPr>
          <w:rFonts w:ascii="Verdana" w:eastAsia="Calibri" w:hAnsi="Verdana" w:cs="Arial"/>
        </w:rPr>
        <w:lastRenderedPageBreak/>
        <w:t>de participantes sin sacrificar los principios de eficacia y eficiencia en el proceso de selección</w:t>
      </w:r>
      <w:bookmarkEnd w:id="3"/>
      <w:r w:rsidRPr="00165F2C">
        <w:rPr>
          <w:rFonts w:ascii="Verdana" w:eastAsia="Calibri" w:hAnsi="Verdana" w:cs="Arial"/>
        </w:rPr>
        <w:t>. En la exposición de motivos se explica lo siguiente:</w:t>
      </w:r>
    </w:p>
    <w:p w14:paraId="52FA1E0A" w14:textId="77777777" w:rsidR="000361D8" w:rsidRPr="00165F2C" w:rsidRDefault="000361D8" w:rsidP="000361D8">
      <w:pPr>
        <w:spacing w:after="0" w:line="276" w:lineRule="auto"/>
        <w:jc w:val="both"/>
        <w:rPr>
          <w:rFonts w:ascii="Verdana" w:eastAsia="Calibri" w:hAnsi="Verdana" w:cs="Arial"/>
        </w:rPr>
      </w:pPr>
    </w:p>
    <w:p w14:paraId="605F41F1" w14:textId="77777777" w:rsidR="000361D8" w:rsidRPr="00165F2C" w:rsidRDefault="000361D8" w:rsidP="000361D8">
      <w:pPr>
        <w:spacing w:after="120" w:line="240" w:lineRule="auto"/>
        <w:ind w:left="709" w:right="709"/>
        <w:jc w:val="both"/>
        <w:rPr>
          <w:rFonts w:ascii="Verdana" w:eastAsia="Calibri" w:hAnsi="Verdana" w:cs="Arial"/>
          <w:sz w:val="21"/>
          <w:szCs w:val="21"/>
        </w:rPr>
      </w:pPr>
      <w:r w:rsidRPr="00165F2C">
        <w:rPr>
          <w:rFonts w:ascii="Verdana" w:eastAsia="Calibri" w:hAnsi="Verdana" w:cs="Arial"/>
          <w:sz w:val="21"/>
          <w:szCs w:val="21"/>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4171B25D" w14:textId="77777777" w:rsidR="000361D8" w:rsidRPr="00165F2C" w:rsidRDefault="000361D8" w:rsidP="000361D8">
      <w:pPr>
        <w:spacing w:after="0" w:line="240" w:lineRule="auto"/>
        <w:ind w:left="709" w:right="709"/>
        <w:jc w:val="both"/>
        <w:rPr>
          <w:rFonts w:ascii="Verdana" w:eastAsia="Calibri" w:hAnsi="Verdana" w:cs="Arial"/>
          <w:sz w:val="21"/>
          <w:szCs w:val="21"/>
        </w:rPr>
      </w:pPr>
      <w:r w:rsidRPr="00165F2C">
        <w:rPr>
          <w:rFonts w:ascii="Verdana" w:eastAsia="Calibri" w:hAnsi="Verdana" w:cs="Arial"/>
          <w:sz w:val="21"/>
          <w:szCs w:val="21"/>
        </w:rPr>
        <w:t>– Se crea la llamada ‘selección abreviada’, para permitir la existencia de procedimientos de selección que, basados estrictamente en los principios cardinales de la contratación pública, permitan de manera ágil la adopción de decisiones de selección […]”</w:t>
      </w:r>
      <w:r w:rsidRPr="00165F2C">
        <w:rPr>
          <w:rStyle w:val="Refdenotaalpie"/>
          <w:rFonts w:ascii="Verdana" w:eastAsia="Calibri" w:hAnsi="Verdana" w:cs="Arial"/>
          <w:sz w:val="21"/>
          <w:szCs w:val="21"/>
        </w:rPr>
        <w:footnoteReference w:id="5"/>
      </w:r>
      <w:r w:rsidRPr="00165F2C">
        <w:rPr>
          <w:rFonts w:ascii="Verdana" w:eastAsia="Calibri" w:hAnsi="Verdana" w:cs="Arial"/>
          <w:sz w:val="21"/>
          <w:szCs w:val="21"/>
        </w:rPr>
        <w:t>.</w:t>
      </w:r>
    </w:p>
    <w:p w14:paraId="41D45E45" w14:textId="77777777" w:rsidR="000361D8" w:rsidRPr="00165F2C" w:rsidRDefault="000361D8" w:rsidP="000361D8">
      <w:pPr>
        <w:spacing w:after="0" w:line="276" w:lineRule="auto"/>
        <w:jc w:val="both"/>
        <w:rPr>
          <w:rFonts w:ascii="Verdana" w:eastAsia="Calibri" w:hAnsi="Verdana" w:cs="Arial"/>
        </w:rPr>
      </w:pPr>
    </w:p>
    <w:p w14:paraId="0B3157A9" w14:textId="77777777" w:rsidR="000361D8" w:rsidRPr="00165F2C" w:rsidRDefault="000361D8" w:rsidP="000361D8">
      <w:pPr>
        <w:spacing w:after="120" w:line="276" w:lineRule="auto"/>
        <w:ind w:firstLine="709"/>
        <w:jc w:val="both"/>
        <w:rPr>
          <w:rFonts w:ascii="Verdana" w:eastAsia="Calibri" w:hAnsi="Verdana" w:cs="Arial"/>
        </w:rPr>
      </w:pPr>
      <w:r w:rsidRPr="00165F2C">
        <w:rPr>
          <w:rFonts w:ascii="Verdana" w:eastAsia="Calibri" w:hAnsi="Verdana" w:cs="Arial"/>
        </w:rPr>
        <w:t>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165F2C">
        <w:rPr>
          <w:rStyle w:val="Refdenotaalpie"/>
          <w:rFonts w:ascii="Verdana" w:eastAsia="Calibri" w:hAnsi="Verdana" w:cs="Arial"/>
        </w:rPr>
        <w:footnoteReference w:id="6"/>
      </w:r>
      <w:r w:rsidRPr="00165F2C">
        <w:rPr>
          <w:rFonts w:ascii="Verdana" w:eastAsia="Calibri" w:hAnsi="Verdana" w:cs="Arial"/>
        </w:rPr>
        <w:t xml:space="preserve">. </w:t>
      </w:r>
    </w:p>
    <w:p w14:paraId="7EFC92A8" w14:textId="77777777" w:rsidR="000361D8" w:rsidRPr="00165F2C" w:rsidRDefault="000361D8" w:rsidP="000361D8">
      <w:pPr>
        <w:spacing w:after="120" w:line="276" w:lineRule="auto"/>
        <w:ind w:firstLine="709"/>
        <w:jc w:val="both"/>
        <w:rPr>
          <w:rFonts w:ascii="Verdana" w:eastAsia="Calibri" w:hAnsi="Verdana" w:cs="Arial"/>
          <w:color w:val="000000"/>
          <w:szCs w:val="24"/>
          <w:lang w:val="es-ES_tradnl" w:eastAsia="es-ES_tradnl"/>
        </w:rPr>
      </w:pPr>
      <w:r w:rsidRPr="00165F2C">
        <w:rPr>
          <w:rFonts w:ascii="Verdana" w:eastAsia="Calibri" w:hAnsi="Verdana" w:cs="Arial"/>
          <w:color w:val="000000"/>
          <w:szCs w:val="24"/>
          <w:lang w:val="es-ES_tradnl" w:eastAsia="es-ES_tradnl"/>
        </w:rPr>
        <w:t xml:space="preserve">Así, el literal a) del artículo 2.2 de la Ley 1150 de 2007 regula la adquisición o suministro de bienes y servicios de características técnicas uniformes y de común utilización como causal de selección abreviada. Para entender su alcance, es necesario tener en cuenta que </w:t>
      </w:r>
      <w:r w:rsidRPr="00165F2C">
        <w:rPr>
          <w:rFonts w:ascii="Verdana" w:eastAsia="Calibri" w:hAnsi="Verdana" w:cs="Arial"/>
          <w:bCs/>
          <w:color w:val="000000" w:themeColor="text1"/>
        </w:rPr>
        <w:t xml:space="preserve">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165F2C">
        <w:rPr>
          <w:rFonts w:ascii="Verdana" w:eastAsia="Calibri" w:hAnsi="Verdana" w:cs="Arial"/>
          <w:bCs/>
          <w:i/>
          <w:iCs/>
          <w:color w:val="000000" w:themeColor="text1"/>
        </w:rPr>
        <w:t>ibidem</w:t>
      </w:r>
      <w:r w:rsidRPr="00165F2C">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165F2C">
        <w:rPr>
          <w:rStyle w:val="Refdenotaalpie"/>
          <w:rFonts w:ascii="Verdana" w:eastAsia="Calibri" w:hAnsi="Verdana" w:cs="Arial"/>
          <w:bCs/>
          <w:color w:val="000000" w:themeColor="text1"/>
        </w:rPr>
        <w:footnoteReference w:id="7"/>
      </w:r>
      <w:r w:rsidRPr="00165F2C">
        <w:rPr>
          <w:rFonts w:ascii="Verdana" w:eastAsia="Calibri" w:hAnsi="Verdana" w:cs="Arial"/>
          <w:bCs/>
          <w:color w:val="000000" w:themeColor="text1"/>
        </w:rPr>
        <w:t xml:space="preserve">. </w:t>
      </w:r>
    </w:p>
    <w:p w14:paraId="3A9333F0" w14:textId="134DE254" w:rsidR="000361D8" w:rsidRPr="00165F2C" w:rsidRDefault="000361D8" w:rsidP="000361D8">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lastRenderedPageBreak/>
        <w:t>Por ello, según el literal a) del artículo 2</w:t>
      </w:r>
      <w:r w:rsidR="00611165" w:rsidRPr="00165F2C">
        <w:rPr>
          <w:rFonts w:ascii="Verdana" w:eastAsia="Calibri" w:hAnsi="Verdana" w:cs="Arial"/>
          <w:bCs/>
          <w:color w:val="000000" w:themeColor="text1"/>
        </w:rPr>
        <w:t>, numeral</w:t>
      </w:r>
      <w:r w:rsidR="008949B2" w:rsidRPr="00165F2C">
        <w:rPr>
          <w:rFonts w:ascii="Verdana" w:eastAsia="Calibri" w:hAnsi="Verdana" w:cs="Arial"/>
          <w:bCs/>
          <w:color w:val="000000" w:themeColor="text1"/>
        </w:rPr>
        <w:t>,</w:t>
      </w:r>
      <w:r w:rsidR="00611165" w:rsidRPr="00165F2C">
        <w:rPr>
          <w:rFonts w:ascii="Verdana" w:eastAsia="Calibri" w:hAnsi="Verdana" w:cs="Arial"/>
          <w:bCs/>
          <w:color w:val="000000" w:themeColor="text1"/>
        </w:rPr>
        <w:t xml:space="preserve"> </w:t>
      </w:r>
      <w:r w:rsidRPr="00165F2C">
        <w:rPr>
          <w:rFonts w:ascii="Verdana" w:eastAsia="Calibri" w:hAnsi="Verdana" w:cs="Arial"/>
          <w:bCs/>
          <w:color w:val="000000" w:themeColor="text1"/>
        </w:rPr>
        <w:t xml:space="preserve">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  </w:t>
      </w:r>
    </w:p>
    <w:p w14:paraId="3C3C503C" w14:textId="77777777" w:rsidR="000361D8" w:rsidRPr="00165F2C" w:rsidRDefault="000361D8" w:rsidP="000361D8">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 xml:space="preserve">Para identificar los bienes y servicios que corresponden a este tipo, se destacan dos (2) aspectos importantes: la común utilización y la homogeneidad. Para la doctrina, la </w:t>
      </w:r>
      <w:r w:rsidRPr="00165F2C">
        <w:rPr>
          <w:rFonts w:ascii="Verdana" w:eastAsia="Calibri" w:hAnsi="Verdana" w:cs="Arial"/>
          <w:bCs/>
          <w:i/>
          <w:iCs/>
          <w:color w:val="000000" w:themeColor="text1"/>
        </w:rPr>
        <w:t>común utilización</w:t>
      </w:r>
      <w:r w:rsidRPr="00165F2C">
        <w:rPr>
          <w:rFonts w:ascii="Verdana" w:eastAsia="Calibri" w:hAnsi="Verdana" w:cs="Arial"/>
          <w:bCs/>
          <w:color w:val="000000" w:themeColor="text1"/>
        </w:rPr>
        <w:t xml:space="preserve"> “[…] busca que los bienes o servicios que se compren en esta categoría sean de los que se ofrecen en un mercado con un estándar para quienes los demandan, o lo que es igual, que la oferta de los mismos en el mercado ocurriese en condiciones equivalentes para todo interesado en adquirirlos”</w:t>
      </w:r>
      <w:r w:rsidRPr="00165F2C">
        <w:rPr>
          <w:rStyle w:val="Refdenotaalpie"/>
          <w:rFonts w:ascii="Verdana" w:eastAsia="Calibri" w:hAnsi="Verdana" w:cs="Arial"/>
          <w:bCs/>
          <w:color w:val="000000" w:themeColor="text1"/>
        </w:rPr>
        <w:footnoteReference w:id="8"/>
      </w:r>
      <w:r w:rsidRPr="00165F2C">
        <w:rPr>
          <w:rFonts w:ascii="Verdana" w:eastAsia="Calibri" w:hAnsi="Verdana" w:cs="Arial"/>
          <w:bCs/>
          <w:color w:val="000000" w:themeColor="text1"/>
        </w:rPr>
        <w:t xml:space="preserve">. Por su parte, la </w:t>
      </w:r>
      <w:r w:rsidRPr="00165F2C">
        <w:rPr>
          <w:rFonts w:ascii="Verdana" w:eastAsia="Calibri" w:hAnsi="Verdana" w:cs="Arial"/>
          <w:bCs/>
          <w:i/>
          <w:iCs/>
          <w:color w:val="000000" w:themeColor="text1"/>
        </w:rPr>
        <w:t>homogeneidad</w:t>
      </w:r>
      <w:r w:rsidRPr="00165F2C">
        <w:rPr>
          <w:rFonts w:ascii="Verdana" w:eastAsia="Calibri" w:hAnsi="Verdana" w:cs="Arial"/>
          <w:bCs/>
          <w:color w:val="000000" w:themeColor="text1"/>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r w:rsidRPr="00165F2C">
        <w:rPr>
          <w:rStyle w:val="Refdenotaalpie"/>
          <w:rFonts w:ascii="Verdana" w:eastAsia="Calibri" w:hAnsi="Verdana" w:cs="Arial"/>
          <w:bCs/>
          <w:color w:val="000000" w:themeColor="text1"/>
        </w:rPr>
        <w:footnoteReference w:id="9"/>
      </w:r>
      <w:r w:rsidRPr="00165F2C">
        <w:rPr>
          <w:rFonts w:ascii="Verdana" w:eastAsia="Calibri" w:hAnsi="Verdana" w:cs="Arial"/>
          <w:bCs/>
          <w:color w:val="000000" w:themeColor="text1"/>
        </w:rPr>
        <w:t>.</w:t>
      </w:r>
    </w:p>
    <w:p w14:paraId="70DEE3A9" w14:textId="77777777" w:rsidR="000361D8" w:rsidRPr="00165F2C" w:rsidRDefault="000361D8" w:rsidP="000361D8">
      <w:pPr>
        <w:spacing w:after="0" w:line="276" w:lineRule="auto"/>
        <w:ind w:firstLine="708"/>
        <w:jc w:val="both"/>
        <w:rPr>
          <w:rFonts w:ascii="Verdana" w:eastAsia="Calibri" w:hAnsi="Verdana" w:cs="Arial"/>
        </w:rPr>
      </w:pPr>
      <w:r w:rsidRPr="00165F2C">
        <w:rPr>
          <w:rFonts w:ascii="Verdana" w:eastAsia="Calibri" w:hAnsi="Verdana" w:cs="Arial"/>
          <w:bCs/>
          <w:color w:val="000000" w:themeColor="text1"/>
        </w:rPr>
        <w:t xml:space="preserve">Los elementos centrales para definir si un bien o servicio se considera de características técnicas uniformes consiste en que posea las mismas especificaciones técnicas y compartan patrones de desempeño y calidad </w:t>
      </w:r>
      <w:r w:rsidRPr="00165F2C">
        <w:rPr>
          <w:rFonts w:ascii="Verdana" w:eastAsia="Calibri" w:hAnsi="Verdana" w:cs="Arial"/>
          <w:bCs/>
          <w:color w:val="000000" w:themeColor="text1"/>
        </w:rPr>
        <w:lastRenderedPageBreak/>
        <w:t xml:space="preserve">objetivamente definidos. Por ello, es posible adquirirlos en el mercado en condiciones estandarizadas u homogéneas, con independencia de su diseño o de sus características descriptivas, pues éstas no afectan su funcionalidad. La forma cómo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 Al respecto, la exposición de motivos de la Ley 1150 de 2007 explica que: </w:t>
      </w:r>
    </w:p>
    <w:p w14:paraId="31D0D0BE" w14:textId="77777777" w:rsidR="000361D8" w:rsidRPr="00165F2C" w:rsidRDefault="000361D8" w:rsidP="000361D8">
      <w:pPr>
        <w:spacing w:after="0" w:line="276" w:lineRule="auto"/>
        <w:jc w:val="both"/>
        <w:rPr>
          <w:rFonts w:ascii="Verdana" w:eastAsia="Calibri" w:hAnsi="Verdana" w:cs="Arial"/>
        </w:rPr>
      </w:pPr>
    </w:p>
    <w:p w14:paraId="32E4D6BA" w14:textId="77777777" w:rsidR="000361D8" w:rsidRPr="00165F2C" w:rsidRDefault="000361D8" w:rsidP="000361D8">
      <w:pPr>
        <w:spacing w:after="0" w:line="240" w:lineRule="auto"/>
        <w:ind w:left="709" w:right="709"/>
        <w:jc w:val="both"/>
        <w:rPr>
          <w:rFonts w:ascii="Verdana" w:eastAsia="Calibri" w:hAnsi="Verdana" w:cs="Arial"/>
          <w:sz w:val="21"/>
          <w:szCs w:val="21"/>
        </w:rPr>
      </w:pPr>
      <w:r w:rsidRPr="00165F2C">
        <w:rPr>
          <w:rFonts w:ascii="Verdana" w:eastAsia="Calibri" w:hAnsi="Verdana" w:cs="Arial"/>
          <w:sz w:val="21"/>
          <w:szCs w:val="21"/>
        </w:rPr>
        <w:t xml:space="preserve">“[…] las innovaciones del proceso de selección abreviada empiezan por una medida trascendental, para llevar a sólo horas los contratos referidos a la adquisición de bienes de ‘características técnicas uniformes y de común utilización’ que según cálculos del Departamento Nacional de Planeación, corresponden a más del 80% en número de contratos. </w:t>
      </w:r>
      <w:r w:rsidRPr="00165F2C">
        <w:rPr>
          <w:rFonts w:ascii="Verdana" w:eastAsia="Calibri" w:hAnsi="Verdana" w:cs="Arial"/>
          <w:i/>
          <w:iCs/>
          <w:sz w:val="21"/>
          <w:szCs w:val="21"/>
        </w:rPr>
        <w:t>De esta forma, en la medida en la cual se trate de adquirir un objeto cuyas características técnicas puedan reducirse a unas comunes a su funcionalidad y calidad, tal proceso debe realizarse únicamente en función del precio del bien, una vez se han verificado las condiciones de capacidad de los proponentes para cumplir con el contrato (‘pasa, no pasa’)</w:t>
      </w:r>
      <w:r w:rsidRPr="00165F2C">
        <w:rPr>
          <w:rFonts w:ascii="Verdana" w:eastAsia="Calibri" w:hAnsi="Verdana" w:cs="Arial"/>
          <w:sz w:val="21"/>
          <w:szCs w:val="21"/>
        </w:rPr>
        <w:t xml:space="preserve"> […]”</w:t>
      </w:r>
      <w:r w:rsidRPr="00165F2C">
        <w:rPr>
          <w:rStyle w:val="Refdenotaalpie"/>
          <w:rFonts w:ascii="Verdana" w:eastAsia="Calibri" w:hAnsi="Verdana" w:cs="Arial"/>
          <w:sz w:val="21"/>
          <w:szCs w:val="21"/>
        </w:rPr>
        <w:footnoteReference w:id="10"/>
      </w:r>
      <w:r w:rsidRPr="00165F2C">
        <w:rPr>
          <w:rFonts w:ascii="Verdana" w:eastAsia="Calibri" w:hAnsi="Verdana" w:cs="Arial"/>
          <w:sz w:val="21"/>
          <w:szCs w:val="21"/>
        </w:rPr>
        <w:t>. (Énfasis fuera de texto)</w:t>
      </w:r>
    </w:p>
    <w:p w14:paraId="100E5EE9" w14:textId="77777777" w:rsidR="000361D8" w:rsidRPr="00165F2C" w:rsidRDefault="000361D8" w:rsidP="000361D8">
      <w:pPr>
        <w:spacing w:after="0" w:line="276" w:lineRule="auto"/>
        <w:jc w:val="both"/>
        <w:rPr>
          <w:rFonts w:ascii="Verdana" w:eastAsia="Calibri" w:hAnsi="Verdana" w:cs="Arial"/>
        </w:rPr>
      </w:pPr>
    </w:p>
    <w:p w14:paraId="125BD31C" w14:textId="77777777" w:rsidR="000361D8" w:rsidRPr="00165F2C" w:rsidRDefault="000361D8" w:rsidP="000361D8">
      <w:pPr>
        <w:spacing w:after="120" w:line="276" w:lineRule="auto"/>
        <w:ind w:firstLine="709"/>
        <w:jc w:val="both"/>
        <w:rPr>
          <w:rFonts w:ascii="Verdana" w:eastAsia="Calibri" w:hAnsi="Verdana" w:cs="Arial"/>
        </w:rPr>
      </w:pPr>
      <w:r w:rsidRPr="00165F2C">
        <w:rPr>
          <w:rFonts w:ascii="Verdana" w:eastAsia="Calibri" w:hAnsi="Verdana" w:cs="Arial"/>
        </w:rPr>
        <w:t>En este contexto, la doctrina identifica como bienes o servicios de características técnicas los insumos de oficina  –bolígrafos, cartuchos de tinta, papel de impresora, tijeras, cuadernos, entre otros–, los insumos de limpieza –bolsas de basura, esponjas, limpiador de pisos, papel higiénico, toallas de papel, entre otros–, y los insumos de cocina –agua, aromáticas, azúcar, café, servilletas, entre otros–. También identifica como tales los muebles y enseres –archivos, asientos, escritorios, mesas, entre otros–, los equipos –computadores, escáneres, impresoras, proyectores, entre otros–, los combustibles –ACPM, biodiesel, gasolina, combustible diésel, entre otros–, los servicios de mantenimiento –equipos electrónicos, de comunicaciones, entre otros–, etc.</w:t>
      </w:r>
      <w:r w:rsidRPr="00165F2C">
        <w:rPr>
          <w:rStyle w:val="Refdenotaalpie"/>
          <w:rFonts w:ascii="Verdana" w:eastAsia="Calibri" w:hAnsi="Verdana" w:cs="Arial"/>
        </w:rPr>
        <w:footnoteReference w:id="11"/>
      </w:r>
    </w:p>
    <w:p w14:paraId="67BE9111" w14:textId="77777777" w:rsidR="000361D8" w:rsidRPr="00165F2C" w:rsidRDefault="000361D8" w:rsidP="000361D8">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 xml:space="preserve">En definitiva, la nota común de este conjunto de bienes y servicios es que, con independencia de sus características descriptivas, comparten patrones de desempeño y calidad similares para la satisfacción de la necesidad a la que atienden. Igualmente, el inciso segundo del literal a) del artículo 2.2 de la Ley </w:t>
      </w:r>
      <w:r w:rsidRPr="00165F2C">
        <w:rPr>
          <w:rFonts w:ascii="Verdana" w:eastAsia="Calibri" w:hAnsi="Verdana" w:cs="Arial"/>
          <w:bCs/>
          <w:color w:val="000000" w:themeColor="text1"/>
        </w:rPr>
        <w:lastRenderedPageBreak/>
        <w:t>1150 de 2007 dispone que “</w:t>
      </w:r>
      <w:r w:rsidRPr="00165F2C">
        <w:rPr>
          <w:rFonts w:ascii="Verdana" w:eastAsia="Calibri" w:hAnsi="Verdana" w:cs="Arial"/>
          <w:bCs/>
          <w:i/>
          <w:iCs/>
          <w:color w:val="000000" w:themeColor="text1"/>
        </w:rPr>
        <w:t>Para la adquisición de estos bienes y servicios las entidades deberán</w:t>
      </w:r>
      <w:r w:rsidRPr="00165F2C">
        <w:rPr>
          <w:rFonts w:ascii="Verdana" w:eastAsia="Calibri" w:hAnsi="Verdana" w:cs="Arial"/>
          <w:bCs/>
          <w:color w:val="000000" w:themeColor="text1"/>
        </w:rPr>
        <w:t xml:space="preserve">, siempre que el reglamento así lo señale, </w:t>
      </w:r>
      <w:r w:rsidRPr="00165F2C">
        <w:rPr>
          <w:rFonts w:ascii="Verdana" w:eastAsia="Calibri" w:hAnsi="Verdana" w:cs="Arial"/>
          <w:bCs/>
          <w:i/>
          <w:iCs/>
          <w:color w:val="000000" w:themeColor="text1"/>
        </w:rPr>
        <w:t>hacer uso</w:t>
      </w:r>
      <w:r w:rsidRPr="00165F2C">
        <w:rPr>
          <w:rFonts w:ascii="Verdana" w:eastAsia="Calibri" w:hAnsi="Verdana" w:cs="Arial"/>
          <w:bCs/>
          <w:color w:val="000000" w:themeColor="text1"/>
        </w:rPr>
        <w:t xml:space="preserve"> de procedimientos de subasta inversa o de instrumentos de compra por catálogo derivados de la celebración de acuerdos marco de precios o </w:t>
      </w:r>
      <w:r w:rsidRPr="00165F2C">
        <w:rPr>
          <w:rFonts w:ascii="Verdana" w:eastAsia="Calibri" w:hAnsi="Verdana" w:cs="Arial"/>
          <w:bCs/>
          <w:i/>
          <w:iCs/>
          <w:color w:val="000000" w:themeColor="text1"/>
        </w:rPr>
        <w:t>de procedimientos de adquisición en bolsas de productos</w:t>
      </w:r>
      <w:r w:rsidRPr="00165F2C">
        <w:rPr>
          <w:rFonts w:ascii="Verdana" w:eastAsia="Calibri" w:hAnsi="Verdana" w:cs="Arial"/>
          <w:bCs/>
          <w:color w:val="000000" w:themeColor="text1"/>
        </w:rPr>
        <w:t>” (Énfasis fuera de texto). Estos mecanismos se aplicarán en la forma que disponga el Decreto 1082 de 2015 para para cada uno de ellos.</w:t>
      </w:r>
    </w:p>
    <w:p w14:paraId="14D02659" w14:textId="77777777" w:rsidR="000361D8" w:rsidRPr="00165F2C" w:rsidRDefault="000361D8" w:rsidP="000361D8">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 xml:space="preserve">Respecto a los servicios de vigilancia privada, nada se opone a que puedan considerarse como de características técnicas uniformes. Esto en la medida en que –de acuerdo con el artículo 2 del Decreto Ley 356 de 1994– corresponden a “[…] las actividades que en forma remunerada o en beneficio de una organización pública o privada, desarrollan las personas naturales o jurídicas, tendientes a prevenir o detener perturbaciones a la seguridad y tranquilidad individual en lo relacionado con la vida y los bienes propios o de terceros y la fabricación, instalación, comercialización y utilización de equipos para vigilancia y seguridad privada, blindajes y transportes con este mismo fin”. </w:t>
      </w:r>
    </w:p>
    <w:p w14:paraId="105BF0C3" w14:textId="77777777" w:rsidR="000361D8" w:rsidRPr="00165F2C" w:rsidRDefault="000361D8" w:rsidP="000361D8">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 xml:space="preserve">Su prestación se encuentra estandarizada desde el punto de vista normativo, pues los artículos 5 y 6 </w:t>
      </w:r>
      <w:r w:rsidRPr="00165F2C">
        <w:rPr>
          <w:rFonts w:ascii="Verdana" w:eastAsia="Calibri" w:hAnsi="Verdana" w:cs="Arial"/>
          <w:bCs/>
          <w:i/>
          <w:iCs/>
          <w:color w:val="000000" w:themeColor="text1"/>
        </w:rPr>
        <w:t>ibidem</w:t>
      </w:r>
      <w:r w:rsidRPr="00165F2C">
        <w:rPr>
          <w:rFonts w:ascii="Verdana" w:eastAsia="Calibri" w:hAnsi="Verdana" w:cs="Arial"/>
          <w:bCs/>
          <w:color w:val="000000" w:themeColor="text1"/>
        </w:rPr>
        <w:t xml:space="preserve"> autorizan la vigilancia fija, la vigilancia móvil, el servicio de escolta y el transporte de valores, y permite la utilización de armas de fuego, recursos humanos, animales, tecnológicos o materiales, vehículos e instalaciones físicas, y cualquier otro medio autorizado por la Superintendencia de Vigilancia y Seguridad Privada. Asimismo, el decreto ley fija condiciones para el servicio cuando las actividades se ejecutan con o sin armas, imponiéndoles tanto una serie de principios, deberes y obligaciones como de disposiciones comunes.</w:t>
      </w:r>
    </w:p>
    <w:p w14:paraId="323026CF" w14:textId="64319523" w:rsidR="000361D8" w:rsidRPr="00165F2C" w:rsidRDefault="00336B0D" w:rsidP="000361D8">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 xml:space="preserve">Estos servicios además se encuentran sujetos a las tarifas mínimas establecidas en la Circular Externa de la Superintendencia de Vigilancia y Seguridad Privada 20231300001105 del 30 de diciembre de 2023. No obstante, este elemento normativo no hace parte de las definiciones del literal a) del artículo 2, numeral 2, de la Ley 1150 de 2007 ni del artículo 2.2.1.1.1.3.1 del Decreto 1082 de 2015. Es decir, mientras que su prestación comparta patrones de desempeño y calidad similares para la satisfacción de la necesidad a la que atienden, éstos son de características técnicas uniformes, con independencia de que el precio se encuentre o no regulado. </w:t>
      </w:r>
      <w:r w:rsidR="000361D8" w:rsidRPr="00165F2C">
        <w:rPr>
          <w:rFonts w:ascii="Verdana" w:eastAsia="Calibri" w:hAnsi="Verdana" w:cs="Arial"/>
          <w:bCs/>
          <w:color w:val="000000" w:themeColor="text1"/>
        </w:rPr>
        <w:t xml:space="preserve"> </w:t>
      </w:r>
    </w:p>
    <w:p w14:paraId="273971C4" w14:textId="1C558AE3" w:rsidR="00864BCA" w:rsidRPr="00165F2C" w:rsidRDefault="00864BCA" w:rsidP="00864BCA">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 xml:space="preserve">Sin embargo, las tarifas mínimas establecidas a para este tipo de servicios representan una medida regulatoria que hace que los ofertas para la prestación de este tipo de servicios tiendan al valor mínimo permitido por la regulación </w:t>
      </w:r>
      <w:r w:rsidRPr="00165F2C">
        <w:rPr>
          <w:rFonts w:ascii="Verdana" w:eastAsia="Calibri" w:hAnsi="Verdana" w:cs="Arial"/>
          <w:bCs/>
          <w:color w:val="000000" w:themeColor="text1"/>
        </w:rPr>
        <w:lastRenderedPageBreak/>
        <w:t xml:space="preserve">tarifaria, lo que hace que dificulta que las Entidades Estatales puedan determinar la oferta más favorable con base en el menor precio, como bien podría suceder con bienes o servicios que no tienen un precio mínimo regulado, de acuerdo con lo previsto en el numeral 3 del artículo 5 de la Ley 1150 de 2007. Es por esto que la aplicación de mecanismos de subasta, catálogos derivados de acuerdos de precios y bolsa de productos no resultan funcionales para garantizar la selección objetiva, al no permitir la aplicación de factores de evaluación distintos del precio.      </w:t>
      </w:r>
    </w:p>
    <w:p w14:paraId="61CE3C13" w14:textId="77777777" w:rsidR="00864BCA" w:rsidRPr="00165F2C" w:rsidRDefault="00864BCA" w:rsidP="00864BCA">
      <w:pPr>
        <w:shd w:val="clear" w:color="auto" w:fill="FFFFFF"/>
        <w:spacing w:after="0" w:line="276" w:lineRule="auto"/>
        <w:ind w:right="51" w:firstLine="709"/>
        <w:jc w:val="both"/>
        <w:rPr>
          <w:rFonts w:ascii="Verdana" w:eastAsia="Calibri" w:hAnsi="Verdana" w:cs="Arial"/>
          <w:color w:val="000000"/>
          <w:lang w:val="es-ES_tradnl"/>
        </w:rPr>
      </w:pPr>
      <w:r w:rsidRPr="00165F2C">
        <w:rPr>
          <w:rFonts w:ascii="Verdana" w:eastAsia="Calibri" w:hAnsi="Verdana" w:cs="Arial"/>
          <w:color w:val="000000"/>
          <w:lang w:val="es-ES_tradnl"/>
        </w:rPr>
        <w:t xml:space="preserve">Sobre el particular, resulta pertinente traer a colación lo manifestado en el salvamento de voto de la sentencia de 17 de junio de 2024, expedida por la Sección Tercera del Consejo de Estado, en el marco del cual, el consejero Martín Bermúdez Muñoz, realizó las siguientes consideraciones sobre la modalidad de selección aplicable para la contratación de servicios de vigilancia y seguridad privada:   </w:t>
      </w:r>
    </w:p>
    <w:p w14:paraId="4824A5A8" w14:textId="77777777" w:rsidR="00864BCA" w:rsidRPr="00165F2C" w:rsidRDefault="00864BCA" w:rsidP="00864BCA">
      <w:pPr>
        <w:shd w:val="clear" w:color="auto" w:fill="FFFFFF"/>
        <w:spacing w:after="0" w:line="276" w:lineRule="auto"/>
        <w:ind w:right="51" w:firstLine="709"/>
        <w:jc w:val="both"/>
        <w:rPr>
          <w:rFonts w:ascii="Verdana" w:eastAsia="Calibri" w:hAnsi="Verdana" w:cs="Arial"/>
          <w:color w:val="000000"/>
          <w:lang w:val="es-ES_tradnl"/>
        </w:rPr>
      </w:pPr>
    </w:p>
    <w:p w14:paraId="3FE396DE" w14:textId="77777777" w:rsidR="00864BCA" w:rsidRPr="00165F2C" w:rsidRDefault="00864BCA" w:rsidP="00864BCA">
      <w:pPr>
        <w:spacing w:after="0" w:line="240" w:lineRule="auto"/>
        <w:ind w:left="709" w:right="709"/>
        <w:jc w:val="both"/>
        <w:textAlignment w:val="baseline"/>
        <w:rPr>
          <w:rFonts w:ascii="Verdana" w:eastAsia="Arial" w:hAnsi="Verdana" w:cs="Arial"/>
          <w:sz w:val="21"/>
          <w:szCs w:val="21"/>
        </w:rPr>
      </w:pPr>
      <w:r w:rsidRPr="00165F2C">
        <w:rPr>
          <w:rFonts w:ascii="Verdana" w:eastAsia="Arial" w:hAnsi="Verdana" w:cs="Arial"/>
          <w:sz w:val="21"/>
          <w:szCs w:val="21"/>
        </w:rPr>
        <w:t>“Apartándose de la posición mayoritaria de la Sala, que estima que la consideración anterior es suficiente, el ponente consideraba importante incluir una reflexión acerca de si la subasta inversa para adjudicar un contrato de vigilancia en el que la tarifa se encuentra regulada por la ley era el método de selección apropiado y si a través del mismo podía escogerse el contratista que ofreciera el mejor servicio para la entidad, que es lo que debe perseguir cualquier proceso de selección. Adjudicar por un proceso de subasta inversa en el que resulta admisible que la puja sea de un peso ($1) a ($0.1) para celebrar un contrato en el que es evidente que este valor no tiene ningún tipo de incidencia, implica preguntarse si –en serio– este es el proceso que garantiza los propósitos de la contratación pública y evita prácticas colusorias en este tipo de contratos. El hecho de que la tarifa de un servicio esté regulada indica que la selección por subasta inversa no es apropiada porque esa regulación impide competir ofreciendo el precio más bajo; esta constatación conlleva la necesidad de estudiar oportunamente la opción de escoger un proceso de selección que permita considerar y medir objetivamente otros criterios de adjudicación en los cuales ella dependa de factores distintos que privilegien, entre otras cosas, la calidad del servicio”.</w:t>
      </w:r>
      <w:r w:rsidRPr="00165F2C">
        <w:rPr>
          <w:rStyle w:val="Refdenotaalpie"/>
          <w:rFonts w:ascii="Verdana" w:eastAsia="Arial" w:hAnsi="Verdana" w:cs="Arial"/>
          <w:sz w:val="21"/>
          <w:szCs w:val="21"/>
        </w:rPr>
        <w:footnoteReference w:id="12"/>
      </w:r>
      <w:r w:rsidRPr="00165F2C">
        <w:rPr>
          <w:rFonts w:ascii="Verdana" w:eastAsia="Arial" w:hAnsi="Verdana" w:cs="Arial"/>
          <w:sz w:val="21"/>
          <w:szCs w:val="21"/>
        </w:rPr>
        <w:t xml:space="preserve"> </w:t>
      </w:r>
    </w:p>
    <w:p w14:paraId="191FA70E" w14:textId="77777777" w:rsidR="00864BCA" w:rsidRPr="00165F2C" w:rsidRDefault="00864BCA" w:rsidP="00864BCA">
      <w:pPr>
        <w:spacing w:after="0" w:line="276" w:lineRule="auto"/>
        <w:ind w:left="709" w:right="709"/>
        <w:jc w:val="both"/>
        <w:textAlignment w:val="baseline"/>
        <w:rPr>
          <w:rFonts w:ascii="Verdana" w:eastAsia="Arial" w:hAnsi="Verdana" w:cs="Arial"/>
        </w:rPr>
      </w:pPr>
    </w:p>
    <w:p w14:paraId="6E5886D8" w14:textId="7DD48968" w:rsidR="00864BCA" w:rsidRPr="00165F2C" w:rsidRDefault="00864BCA" w:rsidP="00864BCA">
      <w:pPr>
        <w:shd w:val="clear" w:color="auto" w:fill="FFFFFF" w:themeFill="background1"/>
        <w:spacing w:after="120" w:line="276" w:lineRule="auto"/>
        <w:ind w:right="51" w:firstLine="709"/>
        <w:jc w:val="both"/>
        <w:rPr>
          <w:rFonts w:ascii="Verdana" w:eastAsia="Calibri" w:hAnsi="Verdana" w:cs="Arial"/>
          <w:color w:val="000000" w:themeColor="text1"/>
          <w:lang w:val="es-ES"/>
        </w:rPr>
      </w:pPr>
      <w:r w:rsidRPr="00165F2C">
        <w:rPr>
          <w:rFonts w:ascii="Verdana" w:eastAsia="Calibri" w:hAnsi="Verdana" w:cs="Arial"/>
          <w:color w:val="000000" w:themeColor="text1"/>
          <w:lang w:val="es-ES"/>
        </w:rPr>
        <w:t xml:space="preserve">Las consideraciones transcritas de este salvamento de voto, si bien no constituyen un criterio jurisprudencial unificado de la Sección Tercera del Consejo de Estado que tengan un efecto directo en procesos de contratación </w:t>
      </w:r>
      <w:r w:rsidRPr="00165F2C">
        <w:rPr>
          <w:rFonts w:ascii="Verdana" w:eastAsia="Calibri" w:hAnsi="Verdana" w:cs="Arial"/>
          <w:color w:val="000000" w:themeColor="text1"/>
          <w:lang w:val="es-ES"/>
        </w:rPr>
        <w:lastRenderedPageBreak/>
        <w:t xml:space="preserve">específicos, sí llaman la atención sobre la necesidad de que la selección objetiva de contratistas para la prestación de servicios de vigilancia y seguridad privada se haga a través de un procedimiento que permita comparar las ofertas a partir de factores distintos del precio. </w:t>
      </w:r>
    </w:p>
    <w:p w14:paraId="553A069A" w14:textId="5BD5ABA0" w:rsidR="00864BCA" w:rsidRPr="00165F2C" w:rsidRDefault="00864BCA" w:rsidP="00864BCA">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En atención a lo anterior, esta Subdirección estima que la modalidad de selección más adecuada para la contratación de servicios de vigilancia y seguridad privada es la licitación pública no sólo porque de acuerdo con el artículo 2, numeral 1, de la Ley 1150 de 2007 es la regla general para objetos no sujetos a alguna modalidad en específico, sino también por ser el procedimiento donde se cuentan con más elementos para garantizar la selección objetiva a partir de factores distintos del precio. De acuerdo con lo establecido en el numeral 2 del artículo 5 de la Ley 1150 de 2007, reglamentado en el artículo 2.2.1.1.2.2.2 del Decreto 1082 de 2015, en esta modalidad de selección la oferta más favorable es la que represente la mejor relación calidad-precio, la cual debe determinarse ponderando el valor de la oferta económica con factores de calidad, criterios sociales y ambientales, sin perjuicio de la aplicación de puntajes adicionales dispuestos por la normativa de contratación pública –</w:t>
      </w:r>
      <w:r w:rsidRPr="00165F2C">
        <w:rPr>
          <w:rFonts w:ascii="Verdana" w:eastAsia="Calibri" w:hAnsi="Verdana" w:cs="Arial"/>
          <w:bCs/>
          <w:i/>
          <w:iCs/>
          <w:color w:val="000000" w:themeColor="text1"/>
        </w:rPr>
        <w:t>v.g.</w:t>
      </w:r>
      <w:r w:rsidRPr="00165F2C">
        <w:rPr>
          <w:rFonts w:ascii="Verdana" w:eastAsia="Calibri" w:hAnsi="Verdana" w:cs="Arial"/>
          <w:bCs/>
          <w:color w:val="000000" w:themeColor="text1"/>
        </w:rPr>
        <w:t xml:space="preserve"> Ley 816 de 2003, Ley 1920 de 2018, Ley 2069 de 2020, etc.–. </w:t>
      </w:r>
    </w:p>
    <w:p w14:paraId="7C4D8EFD" w14:textId="5DB5E199" w:rsidR="000361D8" w:rsidRPr="00165F2C" w:rsidRDefault="00864BCA" w:rsidP="00864BCA">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Esto además resulta coherente con lo dispuesto en el</w:t>
      </w:r>
      <w:r w:rsidRPr="00165F2C">
        <w:rPr>
          <w:rFonts w:ascii="Verdana" w:eastAsia="Calibri" w:hAnsi="Verdana" w:cs="Arial"/>
          <w:color w:val="000000"/>
          <w:lang w:val="es-ES_tradnl"/>
        </w:rPr>
        <w:t xml:space="preserve"> artículo 6 de la Ley 1920 de 2018, que </w:t>
      </w:r>
      <w:r w:rsidRPr="00165F2C">
        <w:rPr>
          <w:rFonts w:ascii="Verdana" w:eastAsia="Calibri" w:hAnsi="Verdana" w:cs="Arial"/>
          <w:bCs/>
          <w:color w:val="000000"/>
          <w:lang w:val="es-ES_tradnl"/>
        </w:rPr>
        <w:t xml:space="preserve">se refiere de manera expresa a la licitación pública como una modalidad de selección aplicable para contratar los servicios </w:t>
      </w:r>
      <w:r w:rsidRPr="00165F2C">
        <w:rPr>
          <w:rFonts w:ascii="Verdana" w:eastAsia="Calibri" w:hAnsi="Verdana" w:cs="Arial"/>
          <w:bCs/>
          <w:color w:val="000000" w:themeColor="text1"/>
        </w:rPr>
        <w:t>servicios de vigilancia y seguridad privada</w:t>
      </w:r>
      <w:r w:rsidR="000361D8" w:rsidRPr="00165F2C">
        <w:rPr>
          <w:rFonts w:ascii="Verdana" w:eastAsia="Calibri" w:hAnsi="Verdana" w:cs="Arial"/>
          <w:bCs/>
          <w:color w:val="000000" w:themeColor="text1"/>
        </w:rPr>
        <w:t>. E</w:t>
      </w:r>
      <w:r w:rsidR="000361D8" w:rsidRPr="00165F2C">
        <w:rPr>
          <w:rFonts w:ascii="Verdana" w:eastAsia="Calibri" w:hAnsi="Verdana" w:cs="Arial"/>
          <w:color w:val="000000"/>
          <w:lang w:val="es-ES_tradnl"/>
        </w:rPr>
        <w:t>l inciso primero del artículo 6 dispone que “El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p>
    <w:p w14:paraId="46737E2A" w14:textId="77777777" w:rsidR="000361D8" w:rsidRPr="00165F2C" w:rsidRDefault="000361D8" w:rsidP="000361D8">
      <w:pPr>
        <w:tabs>
          <w:tab w:val="left" w:pos="426"/>
        </w:tabs>
        <w:spacing w:after="120" w:line="276" w:lineRule="auto"/>
        <w:jc w:val="both"/>
        <w:rPr>
          <w:rFonts w:ascii="Verdana" w:eastAsia="Calibri" w:hAnsi="Verdana" w:cs="Arial"/>
          <w:color w:val="000000"/>
          <w:lang w:val="es-ES"/>
        </w:rPr>
      </w:pPr>
      <w:r w:rsidRPr="00165F2C">
        <w:rPr>
          <w:rFonts w:ascii="Verdana" w:eastAsia="Calibri" w:hAnsi="Verdana" w:cs="Arial"/>
          <w:color w:val="000000"/>
          <w:sz w:val="21"/>
          <w:szCs w:val="21"/>
          <w:lang w:val="es-ES_tradnl"/>
        </w:rPr>
        <w:tab/>
      </w:r>
      <w:r w:rsidRPr="00165F2C">
        <w:rPr>
          <w:rFonts w:ascii="Verdana" w:eastAsia="Calibri" w:hAnsi="Verdana" w:cs="Arial"/>
          <w:color w:val="000000"/>
          <w:sz w:val="21"/>
          <w:szCs w:val="21"/>
          <w:lang w:val="es-ES_tradnl"/>
        </w:rPr>
        <w:tab/>
      </w:r>
      <w:r w:rsidRPr="00165F2C">
        <w:rPr>
          <w:rFonts w:ascii="Verdana" w:eastAsia="Calibri" w:hAnsi="Verdana" w:cs="Arial"/>
          <w:color w:val="000000"/>
          <w:lang w:val="es-ES_tradnl"/>
        </w:rPr>
        <w:t xml:space="preserve">Este incentivo </w:t>
      </w:r>
      <w:r w:rsidRPr="00165F2C">
        <w:rPr>
          <w:rFonts w:ascii="Verdana" w:eastAsia="Calibri" w:hAnsi="Verdana" w:cs="Arial"/>
          <w:bCs/>
          <w:color w:val="000000"/>
          <w:lang w:val="es-ES_tradnl"/>
        </w:rPr>
        <w:t xml:space="preserve">impulsa la vinculación laboral de este tipo de población circunscrito a mujeres, personas con discapacidad y personas mayores de 45 años, mediante la creación de un puntaje adicional en los procesos contractuales para la adquisición del servicio de vigilancia y seguridad privada de los proveedores del mercado. En este sentido, la </w:t>
      </w:r>
      <w:r w:rsidRPr="00165F2C">
        <w:rPr>
          <w:rFonts w:ascii="Verdana" w:eastAsia="Calibri" w:hAnsi="Verdana" w:cs="Arial"/>
          <w:color w:val="000000"/>
          <w:lang w:val="es-ES"/>
        </w:rPr>
        <w:t xml:space="preserve">contratación pública puede utilizarse como un mecanismo para promover condiciones de trabajo equitativas, el desarrollo económico, oportunidades económicas para los sectores de la </w:t>
      </w:r>
      <w:r w:rsidRPr="00165F2C">
        <w:rPr>
          <w:rFonts w:ascii="Verdana" w:eastAsia="Calibri" w:hAnsi="Verdana" w:cs="Arial"/>
          <w:color w:val="000000"/>
          <w:lang w:val="es-ES"/>
        </w:rPr>
        <w:lastRenderedPageBreak/>
        <w:t>población o las regiones más vulnerables dentro del territorio nacional, y para promover la adquisición de acuerdo con criterios de sostenibilidad ambiental</w:t>
      </w:r>
      <w:r w:rsidRPr="00165F2C">
        <w:rPr>
          <w:rFonts w:ascii="Verdana" w:eastAsia="Calibri" w:hAnsi="Verdana" w:cs="Arial"/>
          <w:color w:val="000000"/>
          <w:vertAlign w:val="superscript"/>
          <w:lang w:val="es-ES"/>
        </w:rPr>
        <w:footnoteReference w:id="13"/>
      </w:r>
      <w:r w:rsidRPr="00165F2C">
        <w:rPr>
          <w:rFonts w:ascii="Verdana" w:eastAsia="Calibri" w:hAnsi="Verdana" w:cs="Arial"/>
          <w:color w:val="000000"/>
          <w:lang w:val="es-ES"/>
        </w:rPr>
        <w:t>.</w:t>
      </w:r>
    </w:p>
    <w:p w14:paraId="57BBEDA5" w14:textId="77777777" w:rsidR="000361D8" w:rsidRPr="00165F2C" w:rsidRDefault="000361D8" w:rsidP="000361D8">
      <w:pPr>
        <w:tabs>
          <w:tab w:val="left" w:pos="426"/>
        </w:tabs>
        <w:spacing w:after="120" w:line="276" w:lineRule="auto"/>
        <w:jc w:val="both"/>
        <w:rPr>
          <w:rFonts w:ascii="Verdana" w:eastAsia="Calibri" w:hAnsi="Verdana" w:cs="Arial"/>
          <w:color w:val="000000"/>
          <w:lang w:val="es-ES"/>
        </w:rPr>
      </w:pPr>
      <w:r w:rsidRPr="00165F2C">
        <w:rPr>
          <w:rFonts w:ascii="Verdana" w:eastAsia="Calibri" w:hAnsi="Verdana" w:cs="Arial"/>
          <w:bCs/>
          <w:color w:val="000000"/>
          <w:lang w:val="es-ES_tradnl"/>
        </w:rPr>
        <w:tab/>
      </w:r>
      <w:r w:rsidRPr="00165F2C">
        <w:rPr>
          <w:rFonts w:ascii="Verdana" w:eastAsia="Calibri" w:hAnsi="Verdana" w:cs="Arial"/>
          <w:bCs/>
          <w:color w:val="000000"/>
          <w:lang w:val="es-ES_tradnl"/>
        </w:rPr>
        <w:tab/>
        <w:t>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Aunque el decreto fue suspendido provisionalmente mediante el Auto del 27 de septiembre de 2023 por la Subsección C de la Sección Tercera del Consejo de Estado, posibilitaba que las entidades estatales sometidas al Estatuto General de Contratación de la Administración Pública establecieran puntajes adicionales en los procesos de licitación pública que se iniciaran para la contratación de los servicios que prestan las empresas y cooperativas de vigilancia y seguridad privada, cuando éstos proveedores acreditaran que dentro de su personal operativo contaban con mujeres, personas con discapacidad y personas mayores de 45 años vinculadas con todas las garantías que establece la ley.</w:t>
      </w:r>
    </w:p>
    <w:p w14:paraId="5F98AB5B" w14:textId="77777777" w:rsidR="000361D8" w:rsidRPr="00165F2C" w:rsidRDefault="000361D8" w:rsidP="000361D8">
      <w:pPr>
        <w:shd w:val="clear" w:color="auto" w:fill="FFFFFF"/>
        <w:spacing w:after="120" w:line="276" w:lineRule="auto"/>
        <w:ind w:right="51" w:firstLine="709"/>
        <w:jc w:val="both"/>
        <w:rPr>
          <w:rFonts w:ascii="Verdana" w:eastAsia="Calibri" w:hAnsi="Verdana" w:cs="Arial"/>
          <w:color w:val="000000"/>
          <w:lang w:val="es-ES_tradnl"/>
        </w:rPr>
      </w:pPr>
      <w:r w:rsidRPr="00165F2C">
        <w:rPr>
          <w:rFonts w:ascii="Verdana" w:eastAsia="Calibri" w:hAnsi="Verdana" w:cs="Arial"/>
          <w:bCs/>
          <w:color w:val="000000"/>
          <w:lang w:val="es-ES_tradnl"/>
        </w:rPr>
        <w:t xml:space="preserve">Pese a que </w:t>
      </w:r>
      <w:r w:rsidRPr="00165F2C">
        <w:rPr>
          <w:rFonts w:ascii="Verdana" w:eastAsia="Calibri" w:hAnsi="Verdana" w:cs="Arial"/>
          <w:color w:val="000000"/>
          <w:lang w:val="es-ES_tradnl"/>
        </w:rPr>
        <w:t>el artículo 6 de la Ley 1920 de 2018 también se refiere a la regulación de un puntaje adicional en los procesos de concurso de méritos y contratación directa, es necesario tener en cuenta que –de acuerdo con la memoria justificativa del decreto reglamentario– este se limita a la licitación pública. Lo anterior en la medida que, por un lado, los servicios de vigilancia no hacen parte del objeto de los contratos de consultoría y, por tanto, no se contratan a través del concurso de méritos y que, por otro, en la contratación directa no existe ponderación ni comparación entre diferentes propuestas, ya que es un proceso con un único oferente, pero no significa que se garantice un estudio del sector o del mercado</w:t>
      </w:r>
      <w:r w:rsidRPr="00165F2C">
        <w:rPr>
          <w:rFonts w:ascii="Verdana" w:eastAsia="Calibri" w:hAnsi="Verdana" w:cs="Arial"/>
          <w:color w:val="000000"/>
          <w:vertAlign w:val="superscript"/>
          <w:lang w:val="es-ES_tradnl"/>
        </w:rPr>
        <w:footnoteReference w:id="14"/>
      </w:r>
      <w:r w:rsidRPr="00165F2C">
        <w:rPr>
          <w:rFonts w:ascii="Verdana" w:eastAsia="Calibri" w:hAnsi="Verdana" w:cs="Arial"/>
          <w:color w:val="000000"/>
          <w:lang w:val="es-ES_tradnl"/>
        </w:rPr>
        <w:t xml:space="preserve">.  </w:t>
      </w:r>
    </w:p>
    <w:p w14:paraId="7EF2A8C8" w14:textId="1173CB7E" w:rsidR="000361D8" w:rsidRPr="00165F2C" w:rsidRDefault="000361D8" w:rsidP="000361D8">
      <w:pPr>
        <w:shd w:val="clear" w:color="auto" w:fill="FFFFFF"/>
        <w:spacing w:after="120" w:line="276" w:lineRule="auto"/>
        <w:ind w:right="51" w:firstLine="709"/>
        <w:jc w:val="both"/>
        <w:rPr>
          <w:rFonts w:ascii="Verdana" w:eastAsia="Calibri" w:hAnsi="Verdana" w:cs="Arial"/>
          <w:bCs/>
          <w:color w:val="000000"/>
          <w:lang w:val="es-ES_tradnl"/>
        </w:rPr>
      </w:pPr>
      <w:r w:rsidRPr="00165F2C">
        <w:rPr>
          <w:rFonts w:ascii="Verdana" w:eastAsia="Calibri" w:hAnsi="Verdana" w:cs="Arial"/>
          <w:color w:val="000000"/>
          <w:lang w:val="es-ES_tradnl"/>
        </w:rPr>
        <w:t xml:space="preserve">Aunque el </w:t>
      </w:r>
      <w:r w:rsidRPr="00165F2C">
        <w:rPr>
          <w:rFonts w:ascii="Verdana" w:eastAsia="Calibri" w:hAnsi="Verdana" w:cs="Arial"/>
          <w:bCs/>
          <w:color w:val="000000"/>
          <w:lang w:val="es-ES_tradnl"/>
        </w:rPr>
        <w:t>Decreto 1279 de 2021 es actualmente inaplicable en virtud de la medida cautelar, de</w:t>
      </w:r>
      <w:r w:rsidRPr="00165F2C">
        <w:rPr>
          <w:rFonts w:ascii="Verdana" w:eastAsia="Calibri" w:hAnsi="Verdana" w:cs="Arial"/>
          <w:color w:val="000000"/>
          <w:lang w:val="es-ES_tradnl"/>
        </w:rPr>
        <w:t>l artículo 6 de la Ley 1920 de 2018</w:t>
      </w:r>
      <w:r w:rsidRPr="00165F2C">
        <w:rPr>
          <w:rFonts w:ascii="Verdana" w:eastAsia="Calibri" w:hAnsi="Verdana" w:cs="Arial"/>
          <w:bCs/>
          <w:color w:val="000000"/>
          <w:lang w:val="es-ES_tradnl"/>
        </w:rPr>
        <w:t xml:space="preserve"> se infiere que la licitación pública –al igual que la causal de selección abreviada del literal a) del artículo 2.2 de la Ley 1150 de 2007– también es un proceso de selección adecuado para contratar los servicios </w:t>
      </w:r>
      <w:r w:rsidRPr="00165F2C">
        <w:rPr>
          <w:rFonts w:ascii="Verdana" w:eastAsia="Calibri" w:hAnsi="Verdana" w:cs="Arial"/>
          <w:bCs/>
          <w:color w:val="000000" w:themeColor="text1"/>
        </w:rPr>
        <w:t>servicios de vigilancia privada. En este caso, los puntajes previstos en los artículos 2.2.1.2.4.2.10, 2.2.1.2.4.2.11, 2.2.1.2.4.2.12 y 2.2.1.2.4.2.13 del Decreto 1082 de 2015</w:t>
      </w:r>
      <w:r w:rsidR="004A5EB2" w:rsidRPr="00165F2C">
        <w:rPr>
          <w:rFonts w:ascii="Verdana" w:eastAsia="Calibri" w:hAnsi="Verdana" w:cs="Arial"/>
          <w:bCs/>
          <w:color w:val="000000" w:themeColor="text1"/>
        </w:rPr>
        <w:t>, eventualmente,</w:t>
      </w:r>
      <w:r w:rsidRPr="00165F2C">
        <w:rPr>
          <w:rFonts w:ascii="Verdana" w:eastAsia="Calibri" w:hAnsi="Verdana" w:cs="Arial"/>
          <w:bCs/>
          <w:color w:val="000000" w:themeColor="text1"/>
        </w:rPr>
        <w:t xml:space="preserve"> </w:t>
      </w:r>
      <w:r w:rsidRPr="00165F2C">
        <w:rPr>
          <w:rFonts w:ascii="Verdana" w:eastAsia="Calibri" w:hAnsi="Verdana" w:cs="Arial"/>
          <w:bCs/>
          <w:color w:val="000000" w:themeColor="text1"/>
        </w:rPr>
        <w:lastRenderedPageBreak/>
        <w:t>regirán nuevamente cuando el Consejo de Estado levante la suspensión provisional.</w:t>
      </w:r>
      <w:r w:rsidRPr="00165F2C">
        <w:rPr>
          <w:rFonts w:ascii="Verdana" w:eastAsia="Calibri" w:hAnsi="Verdana" w:cs="Arial"/>
          <w:bCs/>
          <w:color w:val="000000"/>
          <w:lang w:val="es-ES_tradnl"/>
        </w:rPr>
        <w:t xml:space="preserve"> </w:t>
      </w:r>
      <w:r w:rsidRPr="00165F2C">
        <w:rPr>
          <w:rFonts w:ascii="Verdana" w:eastAsia="Calibri" w:hAnsi="Verdana" w:cs="Arial"/>
          <w:color w:val="000000"/>
          <w:lang w:val="es-ES_tradnl"/>
        </w:rPr>
        <w:t xml:space="preserve"> </w:t>
      </w:r>
    </w:p>
    <w:p w14:paraId="108F4080" w14:textId="16CA1636" w:rsidR="00CC4522" w:rsidRPr="00165F2C" w:rsidRDefault="00864BCA" w:rsidP="00864BCA">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 xml:space="preserve">Lo anterior sin perjuicio de la aplicación de la modalidad de selección abreviada de menor cuantía cuando se requiera contratar servicios vigilancia y seguridad privada por valores que se ubiquen dentro de la menor cuantía de la respectiva Entidad Estatal, de acuerdo con los rangos establecidos en el literal b) del numeral 2 del artículo 2 de la Ley 1150 de 2007. En esta modalidad, al igual que en la licitación, la oferta más favorable se determina de acuerdo con lo establecido en el numeral 2 del artículo 5 de la Ley 1150 de 2007, esto es, en atención a la mejor relación calidad-precio. </w:t>
      </w:r>
      <w:r w:rsidR="00E8065E" w:rsidRPr="00165F2C">
        <w:rPr>
          <w:rFonts w:ascii="Verdana" w:eastAsia="Calibri" w:hAnsi="Verdana" w:cs="Arial"/>
          <w:color w:val="000000"/>
          <w:lang w:val="es-ES_tradnl"/>
        </w:rPr>
        <w:t xml:space="preserve"> </w:t>
      </w:r>
      <w:r w:rsidR="007B6CE2" w:rsidRPr="00165F2C">
        <w:rPr>
          <w:rFonts w:ascii="Verdana" w:eastAsia="Calibri" w:hAnsi="Verdana" w:cs="Arial"/>
          <w:color w:val="000000"/>
          <w:lang w:val="es-ES_tradnl"/>
        </w:rPr>
        <w:t xml:space="preserve">  </w:t>
      </w:r>
      <w:r w:rsidR="00365D26" w:rsidRPr="00165F2C">
        <w:rPr>
          <w:rFonts w:ascii="Verdana" w:eastAsia="Calibri" w:hAnsi="Verdana" w:cs="Arial"/>
          <w:color w:val="000000"/>
          <w:lang w:val="es-ES_tradnl"/>
        </w:rPr>
        <w:t xml:space="preserve"> </w:t>
      </w:r>
    </w:p>
    <w:p w14:paraId="3E4201FC" w14:textId="77777777" w:rsidR="000361D8" w:rsidRPr="00165F2C" w:rsidRDefault="000361D8" w:rsidP="000361D8">
      <w:pPr>
        <w:spacing w:after="12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 xml:space="preserve">Al margen de la explicación precedente debe advertirse que el análisis requerido para identificar los bienes y servicios de características técnicas uniformes, así como del proceso de selección aplicable para su contratación,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procesos </w:t>
      </w:r>
      <w:r w:rsidRPr="00165F2C">
        <w:rPr>
          <w:rFonts w:ascii="Verdana" w:hAnsi="Verdana" w:cs="Arial"/>
          <w:bCs/>
          <w:color w:val="1A1A1A" w:themeColor="background1" w:themeShade="1A"/>
        </w:rPr>
        <w:t>administrativos adelantados por el grupo de colusiones de la SIC.</w:t>
      </w:r>
      <w:r w:rsidRPr="00165F2C">
        <w:rPr>
          <w:rFonts w:ascii="Verdana" w:eastAsia="Calibri" w:hAnsi="Verdana" w:cs="Arial"/>
          <w:bCs/>
          <w:color w:val="000000" w:themeColor="text1"/>
        </w:rPr>
        <w:t xml:space="preserve"> Por lo anterior, previo concepto de sus asesores, la solución de situaciones particulares corresponde a los interesados adoptar la decisión correspondiente y, en caso de conflicto, a las autoridades judiciales.</w:t>
      </w:r>
    </w:p>
    <w:p w14:paraId="0552E7A8" w14:textId="77777777" w:rsidR="000361D8" w:rsidRPr="00165F2C" w:rsidRDefault="000361D8" w:rsidP="000361D8">
      <w:pPr>
        <w:spacing w:after="0" w:line="276" w:lineRule="auto"/>
        <w:ind w:firstLine="709"/>
        <w:jc w:val="both"/>
        <w:rPr>
          <w:rFonts w:ascii="Verdana" w:eastAsia="Calibri" w:hAnsi="Verdana" w:cs="Arial"/>
          <w:bCs/>
          <w:color w:val="000000" w:themeColor="text1"/>
        </w:rPr>
      </w:pPr>
      <w:r w:rsidRPr="00165F2C">
        <w:rPr>
          <w:rFonts w:ascii="Verdana" w:eastAsia="Calibri" w:hAnsi="Verdana" w:cs="Arial"/>
          <w:bCs/>
          <w:color w:val="000000" w:themeColor="text1"/>
        </w:rPr>
        <w:t>Dentro de este marco, el órgano competente definirá en cada caso concreto lo relacionado con la tipicidad de las conductas previstas en el Decreto Ley 2153 de 1992. Dado que sólo tiene a cargo la interpretación abstracta de las normas del sistema de compras y contratación pública, la Agencia no puede definir un criterio universal y absoluto,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frente a las autoridades en materia de competencia económica.</w:t>
      </w:r>
    </w:p>
    <w:p w14:paraId="588DD9F8" w14:textId="77777777" w:rsidR="000361D8" w:rsidRPr="00165F2C" w:rsidRDefault="000361D8" w:rsidP="000361D8">
      <w:pPr>
        <w:tabs>
          <w:tab w:val="left" w:pos="709"/>
        </w:tabs>
        <w:spacing w:after="0" w:line="276" w:lineRule="auto"/>
        <w:jc w:val="both"/>
        <w:rPr>
          <w:rFonts w:ascii="Verdana" w:eastAsia="Calibri" w:hAnsi="Verdana" w:cs="Arial"/>
          <w:color w:val="000000" w:themeColor="text1"/>
          <w:lang w:val="es-ES_tradnl"/>
        </w:rPr>
      </w:pPr>
    </w:p>
    <w:p w14:paraId="54EFD2F0" w14:textId="77777777" w:rsidR="000361D8" w:rsidRPr="00165F2C" w:rsidRDefault="000361D8" w:rsidP="000361D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65F2C">
        <w:rPr>
          <w:rFonts w:ascii="Verdana" w:eastAsia="Century Gothic" w:hAnsi="Verdana" w:cs="Century Gothic"/>
          <w:b/>
          <w:bCs/>
        </w:rPr>
        <w:t>Referencias normativas:</w:t>
      </w:r>
    </w:p>
    <w:p w14:paraId="0F7C24D8" w14:textId="77777777" w:rsidR="000361D8" w:rsidRPr="00165F2C" w:rsidRDefault="000361D8" w:rsidP="000361D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361D8" w:rsidRPr="00165F2C" w14:paraId="1F28B02A" w14:textId="77777777">
        <w:trPr>
          <w:trHeight w:val="870"/>
          <w:jc w:val="center"/>
        </w:trPr>
        <w:tc>
          <w:tcPr>
            <w:tcW w:w="8647" w:type="dxa"/>
          </w:tcPr>
          <w:p w14:paraId="289E3C46" w14:textId="77777777" w:rsidR="000361D8" w:rsidRPr="00165F2C" w:rsidRDefault="000361D8" w:rsidP="000361D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5F2C">
              <w:rPr>
                <w:rFonts w:ascii="Verdana" w:hAnsi="Verdana" w:cs="Arial"/>
              </w:rPr>
              <w:t>Decreto Ley 354 de 1994, artículos 2, 5 y 6.</w:t>
            </w:r>
          </w:p>
          <w:p w14:paraId="597B200C" w14:textId="77777777" w:rsidR="000361D8" w:rsidRPr="00165F2C" w:rsidRDefault="000361D8" w:rsidP="000361D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5F2C">
              <w:rPr>
                <w:rFonts w:ascii="Verdana" w:hAnsi="Verdana" w:cs="Arial"/>
              </w:rPr>
              <w:t xml:space="preserve">Ley 1150 de 2007, artículo 2. </w:t>
            </w:r>
          </w:p>
          <w:p w14:paraId="6389454C" w14:textId="77777777" w:rsidR="000361D8" w:rsidRPr="00165F2C" w:rsidRDefault="000361D8" w:rsidP="000361D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5F2C">
              <w:rPr>
                <w:rFonts w:ascii="Verdana" w:hAnsi="Verdana" w:cs="Arial"/>
              </w:rPr>
              <w:lastRenderedPageBreak/>
              <w:t>Ley 1920 de 2018, artículo 6.</w:t>
            </w:r>
          </w:p>
          <w:p w14:paraId="4A1E255B" w14:textId="77777777" w:rsidR="00864BCA" w:rsidRPr="00165F2C" w:rsidRDefault="000361D8" w:rsidP="00864BCA">
            <w:pPr>
              <w:pStyle w:val="Prrafodelista"/>
              <w:numPr>
                <w:ilvl w:val="0"/>
                <w:numId w:val="17"/>
              </w:numPr>
              <w:spacing w:after="120"/>
              <w:ind w:left="714" w:hanging="357"/>
              <w:jc w:val="both"/>
              <w:rPr>
                <w:rFonts w:ascii="Verdana" w:hAnsi="Verdana" w:cs="Arial"/>
              </w:rPr>
            </w:pPr>
            <w:r w:rsidRPr="00165F2C">
              <w:rPr>
                <w:rFonts w:ascii="Verdana" w:hAnsi="Verdana" w:cs="Arial"/>
              </w:rPr>
              <w:t xml:space="preserve">Decreto 1082 de 2015, </w:t>
            </w:r>
            <w:r w:rsidR="00864BCA" w:rsidRPr="00165F2C">
              <w:rPr>
                <w:rFonts w:ascii="Verdana" w:hAnsi="Verdana" w:cs="Arial"/>
              </w:rPr>
              <w:t>artículos 2.2.2.1.1.1.3.1, 2.2.1.1.2.2.2 2.2.1.2.4.2.10, 2.2.1.2.4.2.11, 2.2.1.2.4.2.12 y 2.2.1.2.4.2.13</w:t>
            </w:r>
            <w:r w:rsidRPr="00165F2C">
              <w:rPr>
                <w:rFonts w:ascii="Verdana" w:hAnsi="Verdana" w:cs="Arial"/>
              </w:rPr>
              <w:t>.</w:t>
            </w:r>
          </w:p>
          <w:p w14:paraId="243465C1" w14:textId="308E4E2A" w:rsidR="000361D8" w:rsidRPr="00165F2C" w:rsidRDefault="000361D8" w:rsidP="00864BCA">
            <w:pPr>
              <w:pStyle w:val="Prrafodelista"/>
              <w:spacing w:after="120"/>
              <w:ind w:left="714"/>
              <w:jc w:val="both"/>
              <w:rPr>
                <w:rFonts w:ascii="Verdana" w:hAnsi="Verdana" w:cs="Arial"/>
                <w:sz w:val="12"/>
                <w:szCs w:val="12"/>
              </w:rPr>
            </w:pPr>
          </w:p>
          <w:p w14:paraId="09305B3C" w14:textId="77777777" w:rsidR="000361D8" w:rsidRPr="00165F2C" w:rsidRDefault="000361D8" w:rsidP="000361D8">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165F2C">
              <w:rPr>
                <w:rFonts w:ascii="Verdana" w:hAnsi="Verdana" w:cs="Arial"/>
              </w:rPr>
              <w:t>Código Civil, artículos 28 y 29.</w:t>
            </w:r>
          </w:p>
        </w:tc>
      </w:tr>
    </w:tbl>
    <w:p w14:paraId="76FB0AE7" w14:textId="77777777" w:rsidR="000361D8" w:rsidRPr="00165F2C" w:rsidRDefault="000361D8" w:rsidP="000361D8">
      <w:pPr>
        <w:widowControl w:val="0"/>
        <w:autoSpaceDE w:val="0"/>
        <w:autoSpaceDN w:val="0"/>
        <w:spacing w:after="0" w:line="276" w:lineRule="auto"/>
        <w:jc w:val="both"/>
        <w:rPr>
          <w:rFonts w:ascii="Verdana" w:hAnsi="Verdana" w:cs="Arial"/>
        </w:rPr>
      </w:pPr>
    </w:p>
    <w:p w14:paraId="17DE4358" w14:textId="77777777" w:rsidR="000361D8" w:rsidRPr="00165F2C" w:rsidRDefault="000361D8" w:rsidP="000361D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65F2C">
        <w:rPr>
          <w:rFonts w:ascii="Verdana" w:eastAsia="Century Gothic" w:hAnsi="Verdana" w:cs="Century Gothic"/>
          <w:b/>
          <w:bCs/>
        </w:rPr>
        <w:t>Doctrina de la Agencia Nacional de Contratación Pública:</w:t>
      </w:r>
    </w:p>
    <w:p w14:paraId="44CA515F" w14:textId="77777777" w:rsidR="000361D8" w:rsidRPr="00165F2C" w:rsidRDefault="000361D8" w:rsidP="000361D8">
      <w:pPr>
        <w:widowControl w:val="0"/>
        <w:autoSpaceDE w:val="0"/>
        <w:autoSpaceDN w:val="0"/>
        <w:spacing w:after="0" w:line="276" w:lineRule="auto"/>
        <w:jc w:val="both"/>
        <w:rPr>
          <w:rFonts w:ascii="Verdana" w:hAnsi="Verdana" w:cs="Arial"/>
        </w:rPr>
      </w:pPr>
    </w:p>
    <w:p w14:paraId="20A09184" w14:textId="77777777" w:rsidR="000361D8" w:rsidRPr="00165F2C" w:rsidRDefault="000361D8" w:rsidP="000361D8">
      <w:pPr>
        <w:widowControl w:val="0"/>
        <w:autoSpaceDE w:val="0"/>
        <w:autoSpaceDN w:val="0"/>
        <w:spacing w:after="0" w:line="276" w:lineRule="auto"/>
        <w:jc w:val="both"/>
        <w:rPr>
          <w:rStyle w:val="normaltextrun"/>
          <w:rFonts w:ascii="Verdana" w:hAnsi="Verdana" w:cs="Arial"/>
          <w:shd w:val="clear" w:color="auto" w:fill="FFFFFF"/>
        </w:rPr>
      </w:pPr>
      <w:r w:rsidRPr="00165F2C">
        <w:rPr>
          <w:rFonts w:ascii="Verdana" w:hAnsi="Verdana" w:cs="Arial"/>
          <w:shd w:val="clear" w:color="auto" w:fill="FFFFFF"/>
        </w:rPr>
        <w:t>Esta Subdirección se ha pronunciado sobre la definición de los bienes y servicios de características técnicas uniformes en los Conceptos C-678 del 24 de noviembre de 2020, C-024 del 24 de febrero de 2021, C-123 del 5 de abril de 2021, C-565 del 12 de septiembre de 2022, C-669 del 18 de octubre de 2022, C-850 del 16 de diciembre de 2022, C-905 del 28 de diciembre de 2022 y C-456 del 27 de octubre de 2023</w:t>
      </w:r>
      <w:r w:rsidRPr="00165F2C">
        <w:rPr>
          <w:rFonts w:ascii="Verdana" w:hAnsi="Verdana"/>
        </w:rPr>
        <w:t>.</w:t>
      </w:r>
      <w:r w:rsidRPr="00165F2C">
        <w:rPr>
          <w:rFonts w:ascii="Verdana" w:hAnsi="Verdana" w:cs="Arial"/>
          <w:shd w:val="clear" w:color="auto" w:fill="FFFFFF"/>
        </w:rPr>
        <w:t xml:space="preserve"> Estos y otros </w:t>
      </w:r>
      <w:r w:rsidRPr="00165F2C">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65F2C">
          <w:rPr>
            <w:rStyle w:val="Hipervnculo"/>
            <w:rFonts w:ascii="Verdana" w:hAnsi="Verdana" w:cs="Arial"/>
            <w:shd w:val="clear" w:color="auto" w:fill="FFFFFF"/>
          </w:rPr>
          <w:t>https://relatoria.colombiacompra.gov.co/busqueda/conceptos</w:t>
        </w:r>
      </w:hyperlink>
      <w:r w:rsidRPr="00165F2C">
        <w:rPr>
          <w:rStyle w:val="normaltextrun"/>
          <w:rFonts w:ascii="Verdana" w:hAnsi="Verdana" w:cs="Arial"/>
          <w:shd w:val="clear" w:color="auto" w:fill="FFFFFF"/>
        </w:rPr>
        <w:t xml:space="preserve">. </w:t>
      </w:r>
      <w:r w:rsidRPr="00165F2C">
        <w:rPr>
          <w:rStyle w:val="normaltextrun"/>
          <w:rFonts w:ascii="Verdana" w:hAnsi="Verdana" w:cs="Arial"/>
          <w:color w:val="FF0000"/>
          <w:shd w:val="clear" w:color="auto" w:fill="FFFFFF"/>
          <w:lang w:val="es-ES"/>
        </w:rPr>
        <w:t xml:space="preserve"> </w:t>
      </w:r>
    </w:p>
    <w:p w14:paraId="4AFB2CED" w14:textId="77777777" w:rsidR="000361D8" w:rsidRPr="00165F2C" w:rsidRDefault="000361D8" w:rsidP="000361D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0F74DE0" w14:textId="77777777" w:rsidR="000361D8" w:rsidRPr="00165F2C" w:rsidRDefault="000361D8" w:rsidP="000361D8">
      <w:pPr>
        <w:widowControl w:val="0"/>
        <w:autoSpaceDE w:val="0"/>
        <w:autoSpaceDN w:val="0"/>
        <w:spacing w:after="0" w:line="276" w:lineRule="auto"/>
        <w:jc w:val="both"/>
        <w:rPr>
          <w:rFonts w:ascii="Verdana" w:hAnsi="Verdana" w:cs="Arial"/>
          <w:color w:val="000000" w:themeColor="text1"/>
          <w:shd w:val="clear" w:color="auto" w:fill="FFFFFF"/>
        </w:rPr>
      </w:pPr>
      <w:r w:rsidRPr="00165F2C">
        <w:rPr>
          <w:rFonts w:ascii="Verdana" w:hAnsi="Verdana" w:cs="Arial"/>
          <w:color w:val="000000" w:themeColor="text1"/>
          <w:shd w:val="clear" w:color="auto" w:fill="FFFFFF"/>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3" w:tooltip="Original URL:&#10;https://www.colombiacompra.gov.co/content/borrador-de-documentos-tipo-de-consultoria-de-obra-publica-de-infraestructura-de-transporte&#10;&#10;Click to follow link." w:history="1">
        <w:r w:rsidRPr="00165F2C">
          <w:rPr>
            <w:rStyle w:val="Hipervnculo"/>
            <w:rFonts w:ascii="Verdana" w:hAnsi="Verdana" w:cs="Arial"/>
            <w:shd w:val="clear" w:color="auto" w:fill="FFFFFF"/>
          </w:rPr>
          <w:t>https://www.colombiacompra.gov.co/content/borrador-de-documentos-tipo-de-consultoria-de-obra-publica-de-infraestructura-de-transporte</w:t>
        </w:r>
      </w:hyperlink>
      <w:r w:rsidRPr="00165F2C">
        <w:rPr>
          <w:rFonts w:ascii="Verdana" w:hAnsi="Verdana" w:cs="Arial"/>
          <w:color w:val="000000" w:themeColor="text1"/>
          <w:shd w:val="clear" w:color="auto" w:fill="FFFFFF"/>
        </w:rPr>
        <w:t> y </w:t>
      </w:r>
      <w:hyperlink r:id="rId14" w:tooltip="Original URL:&#10;https://www.colombiacompra.gov.co/content/borrador-de-documentos-tipo-de-interventoria-de-obra-publica-de-infraestructura-de&#10;&#10;Click to follow link." w:history="1">
        <w:r w:rsidRPr="00165F2C">
          <w:rPr>
            <w:rStyle w:val="Hipervnculo"/>
            <w:rFonts w:ascii="Verdana" w:hAnsi="Verdana" w:cs="Arial"/>
            <w:shd w:val="clear" w:color="auto" w:fill="FFFFFF"/>
          </w:rPr>
          <w:t>https://www.colombiacompra.gov.co/content/borrador-de-documentos-tipo-de-interventoria-de-obra-publica-de-infraestructura-de</w:t>
        </w:r>
      </w:hyperlink>
      <w:r w:rsidRPr="00165F2C">
        <w:rPr>
          <w:rFonts w:ascii="Verdana" w:hAnsi="Verdana" w:cs="Arial"/>
          <w:color w:val="000000" w:themeColor="text1"/>
          <w:shd w:val="clear" w:color="auto" w:fill="FFFFFF"/>
        </w:rPr>
        <w:t>.</w:t>
      </w:r>
    </w:p>
    <w:p w14:paraId="4A7352AE" w14:textId="77777777" w:rsidR="000361D8" w:rsidRPr="00165F2C" w:rsidRDefault="000361D8" w:rsidP="000361D8">
      <w:pPr>
        <w:widowControl w:val="0"/>
        <w:autoSpaceDE w:val="0"/>
        <w:autoSpaceDN w:val="0"/>
        <w:spacing w:after="0" w:line="276" w:lineRule="auto"/>
        <w:jc w:val="both"/>
        <w:rPr>
          <w:rFonts w:ascii="Verdana" w:hAnsi="Verdana" w:cs="Arial"/>
          <w:color w:val="000000" w:themeColor="text1"/>
          <w:shd w:val="clear" w:color="auto" w:fill="FFFFFF"/>
        </w:rPr>
      </w:pPr>
    </w:p>
    <w:p w14:paraId="4537C1EA" w14:textId="77777777" w:rsidR="000361D8" w:rsidRPr="00165F2C" w:rsidRDefault="000361D8" w:rsidP="000361D8">
      <w:pPr>
        <w:widowControl w:val="0"/>
        <w:autoSpaceDE w:val="0"/>
        <w:autoSpaceDN w:val="0"/>
        <w:spacing w:after="0" w:line="276" w:lineRule="auto"/>
        <w:jc w:val="both"/>
        <w:rPr>
          <w:rFonts w:ascii="Verdana" w:hAnsi="Verdana" w:cs="Arial"/>
          <w:color w:val="000000" w:themeColor="text1"/>
          <w:shd w:val="clear" w:color="auto" w:fill="FFFFFF"/>
        </w:rPr>
      </w:pPr>
      <w:r w:rsidRPr="00165F2C">
        <w:rPr>
          <w:rFonts w:ascii="Verdana" w:hAnsi="Verdana" w:cs="Arial"/>
          <w:color w:val="000000" w:themeColor="text1"/>
          <w:shd w:val="clear" w:color="auto" w:fill="FFFFFF"/>
        </w:rPr>
        <w:t>De otra parte, te contamos que ya publicamos el borrador de la nueva Guía de Contratación Pública Sostenible y Socialmente Responsable. Conoce el documento y realiza tus comentarios hasta el 14 de noviembre de 2024 a través del siguiente enlace: </w:t>
      </w:r>
      <w:hyperlink r:id="rId15" w:tooltip="Original URL:&#10;https://www.sucop.gov.co/entidades/colombiacompra/Normativa?IDNorma=18320&#10;&#10;Click to follow link." w:history="1">
        <w:r w:rsidRPr="00165F2C">
          <w:rPr>
            <w:rStyle w:val="Hipervnculo"/>
            <w:rFonts w:ascii="Verdana" w:hAnsi="Verdana" w:cs="Arial"/>
            <w:shd w:val="clear" w:color="auto" w:fill="FFFFFF"/>
          </w:rPr>
          <w:t>https://www.sucop.gov.co/entidades/colombiacompra/Normativa?IDNorma=18320</w:t>
        </w:r>
      </w:hyperlink>
      <w:r w:rsidRPr="00165F2C">
        <w:rPr>
          <w:rFonts w:ascii="Verdana" w:hAnsi="Verdana" w:cs="Arial"/>
          <w:color w:val="000000" w:themeColor="text1"/>
          <w:shd w:val="clear" w:color="auto" w:fill="FFFFFF"/>
          <w:lang w:val="es-ES"/>
        </w:rPr>
        <w:t>.</w:t>
      </w:r>
      <w:r w:rsidRPr="00165F2C">
        <w:rPr>
          <w:rFonts w:ascii="Verdana" w:hAnsi="Verdana" w:cs="Arial"/>
          <w:color w:val="000000" w:themeColor="text1"/>
          <w:shd w:val="clear" w:color="auto" w:fill="FFFFFF"/>
        </w:rPr>
        <w:t>  </w:t>
      </w:r>
    </w:p>
    <w:p w14:paraId="07170CA5" w14:textId="77777777" w:rsidR="000361D8" w:rsidRPr="00165F2C" w:rsidRDefault="000361D8" w:rsidP="000361D8">
      <w:pPr>
        <w:widowControl w:val="0"/>
        <w:autoSpaceDE w:val="0"/>
        <w:autoSpaceDN w:val="0"/>
        <w:spacing w:after="0" w:line="276" w:lineRule="auto"/>
        <w:jc w:val="both"/>
        <w:rPr>
          <w:rFonts w:ascii="Verdana" w:hAnsi="Verdana" w:cs="Arial"/>
          <w:color w:val="000000" w:themeColor="text1"/>
          <w:shd w:val="clear" w:color="auto" w:fill="FFFFFF"/>
        </w:rPr>
      </w:pPr>
      <w:r w:rsidRPr="00165F2C">
        <w:rPr>
          <w:rFonts w:ascii="Verdana" w:hAnsi="Verdana" w:cs="Arial"/>
          <w:color w:val="000000" w:themeColor="text1"/>
          <w:shd w:val="clear" w:color="auto" w:fill="FFFFFF"/>
        </w:rPr>
        <w:t>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r:id="rId16" w:tgtFrame="_blank" w:tooltip="Original URL:&#10;https://www.colombiacompra.gov.co/sala-de-prensa/boletin-digital&#10;&#10;Click to follow link." w:history="1">
        <w:r w:rsidRPr="00165F2C">
          <w:rPr>
            <w:rStyle w:val="Hipervnculo"/>
            <w:rFonts w:ascii="Verdana" w:hAnsi="Verdana" w:cs="Arial"/>
            <w:shd w:val="clear" w:color="auto" w:fill="FFFFFF"/>
          </w:rPr>
          <w:t>https://www.colombiacompra.gov.co/sala-de-prensa/boletin-digital</w:t>
        </w:r>
      </w:hyperlink>
      <w:r w:rsidRPr="00165F2C">
        <w:rPr>
          <w:rFonts w:ascii="Verdana" w:hAnsi="Verdana" w:cs="Arial"/>
          <w:color w:val="000000" w:themeColor="text1"/>
          <w:shd w:val="clear" w:color="auto" w:fill="FFFFFF"/>
          <w:lang w:val="es-ES"/>
        </w:rPr>
        <w:t>.</w:t>
      </w:r>
      <w:r w:rsidRPr="00165F2C">
        <w:rPr>
          <w:rFonts w:ascii="Verdana" w:hAnsi="Verdana" w:cs="Arial"/>
          <w:color w:val="000000" w:themeColor="text1"/>
          <w:shd w:val="clear" w:color="auto" w:fill="FFFFFF"/>
        </w:rPr>
        <w:t> </w:t>
      </w:r>
    </w:p>
    <w:p w14:paraId="1A4CD93B" w14:textId="77777777" w:rsidR="000361D8" w:rsidRPr="00165F2C" w:rsidRDefault="000361D8" w:rsidP="000361D8">
      <w:pPr>
        <w:widowControl w:val="0"/>
        <w:autoSpaceDE w:val="0"/>
        <w:autoSpaceDN w:val="0"/>
        <w:spacing w:after="120" w:line="276" w:lineRule="auto"/>
        <w:jc w:val="both"/>
        <w:rPr>
          <w:rFonts w:ascii="Verdana" w:hAnsi="Verdana" w:cs="Arial"/>
          <w:color w:val="FF0000"/>
          <w:shd w:val="clear" w:color="auto" w:fill="FFFFFF"/>
          <w:lang w:val="es-MX"/>
        </w:rPr>
      </w:pPr>
      <w:r w:rsidRPr="00165F2C">
        <w:rPr>
          <w:rStyle w:val="normaltextrun"/>
          <w:rFonts w:ascii="Verdana" w:hAnsi="Verdana" w:cs="Arial"/>
          <w:color w:val="FF0000"/>
          <w:shd w:val="clear" w:color="auto" w:fill="FFFFFF"/>
          <w:lang w:val="es-ES"/>
        </w:rPr>
        <w:lastRenderedPageBreak/>
        <w:t xml:space="preserve">    </w:t>
      </w:r>
    </w:p>
    <w:p w14:paraId="11366442" w14:textId="77777777" w:rsidR="000361D8" w:rsidRPr="00165F2C" w:rsidRDefault="000361D8" w:rsidP="000361D8">
      <w:pPr>
        <w:widowControl w:val="0"/>
        <w:autoSpaceDE w:val="0"/>
        <w:autoSpaceDN w:val="0"/>
        <w:spacing w:after="0" w:line="276" w:lineRule="auto"/>
        <w:jc w:val="both"/>
        <w:rPr>
          <w:rFonts w:ascii="Verdana" w:hAnsi="Verdana" w:cs="Arial"/>
          <w:lang w:val="es-ES_tradnl"/>
        </w:rPr>
      </w:pPr>
      <w:r w:rsidRPr="00165F2C">
        <w:rPr>
          <w:rFonts w:ascii="Verdana" w:hAnsi="Verdana" w:cs="Arial"/>
        </w:rPr>
        <w:t xml:space="preserve">Este concepto tiene el alcance previsto en el artículo 28 del Código de Procedimiento Administrativo y de lo Contencioso Administrativo </w:t>
      </w:r>
      <w:r w:rsidRPr="00165F2C">
        <w:rPr>
          <w:rFonts w:ascii="Verdana" w:hAnsi="Verdana" w:cs="Arial"/>
          <w:lang w:val="es-ES_tradnl"/>
        </w:rPr>
        <w:t>y las expresiones aquí utilizadas con mayúscula inicial deben ser entendidas con el significado que les otorga el artículo 2.2.1.1.1.3.1. del Decreto 1082 de 2015. De acuerdo con el inciso 3 del artículo 226 del Código General del Proceso, el presente oficio no tiene el valor de un dictamen pericial, pues versa sobre puntos de derecho. En consecuencia, lo decidido en torno a los procedimientos administrativos adelantados por la presunta infracción de las normas sobre competencia es responsabilidad única y exclusiva de la Superintendencia de Industria y Comercio.</w:t>
      </w:r>
    </w:p>
    <w:p w14:paraId="6EB0F7D0" w14:textId="77777777" w:rsidR="000361D8" w:rsidRPr="00165F2C" w:rsidRDefault="000361D8" w:rsidP="000361D8">
      <w:pPr>
        <w:widowControl w:val="0"/>
        <w:autoSpaceDE w:val="0"/>
        <w:autoSpaceDN w:val="0"/>
        <w:spacing w:after="0" w:line="276" w:lineRule="auto"/>
        <w:jc w:val="both"/>
        <w:rPr>
          <w:rFonts w:ascii="Verdana" w:hAnsi="Verdana" w:cs="Arial"/>
        </w:rPr>
      </w:pPr>
    </w:p>
    <w:p w14:paraId="161FDD7A" w14:textId="77777777" w:rsidR="000361D8" w:rsidRPr="00165F2C" w:rsidRDefault="000361D8" w:rsidP="000361D8">
      <w:pPr>
        <w:spacing w:after="0" w:line="240" w:lineRule="auto"/>
        <w:rPr>
          <w:rFonts w:ascii="Verdana" w:hAnsi="Verdana" w:cs="Arial"/>
          <w:lang w:eastAsia="es-CO"/>
        </w:rPr>
      </w:pPr>
      <w:r w:rsidRPr="00165F2C">
        <w:rPr>
          <w:rFonts w:ascii="Verdana" w:eastAsia="Times New Roman" w:hAnsi="Verdana" w:cs="Arial"/>
          <w:lang w:eastAsia="es-CO"/>
        </w:rPr>
        <w:t>Atentamente,</w:t>
      </w:r>
      <w:r w:rsidRPr="00165F2C">
        <w:rPr>
          <w:rFonts w:ascii="Verdana" w:hAnsi="Verdana" w:cs="Arial"/>
          <w:lang w:eastAsia="es-CO"/>
        </w:rPr>
        <w:t xml:space="preserve"> </w:t>
      </w:r>
    </w:p>
    <w:p w14:paraId="5F804EFC" w14:textId="0A54182E" w:rsidR="000361D8" w:rsidRPr="00165F2C" w:rsidRDefault="001A1B0F" w:rsidP="000361D8">
      <w:pPr>
        <w:spacing w:line="276" w:lineRule="auto"/>
        <w:jc w:val="center"/>
        <w:rPr>
          <w:rFonts w:ascii="Verdana" w:hAnsi="Verdana" w:cs="Arial"/>
          <w:color w:val="000000"/>
          <w:lang w:val="es-ES_tradnl" w:eastAsia="es-CO"/>
        </w:rPr>
      </w:pPr>
      <w:r>
        <w:rPr>
          <w:noProof/>
        </w:rPr>
        <w:drawing>
          <wp:inline distT="0" distB="0" distL="0" distR="0" wp14:anchorId="5730447F" wp14:editId="71C0A748">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361D8" w:rsidRPr="00165F2C" w14:paraId="58ACF76D" w14:textId="77777777">
        <w:trPr>
          <w:trHeight w:val="315"/>
        </w:trPr>
        <w:tc>
          <w:tcPr>
            <w:tcW w:w="893" w:type="dxa"/>
            <w:vAlign w:val="center"/>
            <w:hideMark/>
          </w:tcPr>
          <w:p w14:paraId="58630631" w14:textId="77777777" w:rsidR="000361D8" w:rsidRPr="00165F2C" w:rsidRDefault="000361D8">
            <w:pPr>
              <w:contextualSpacing/>
              <w:rPr>
                <w:rFonts w:ascii="Verdana" w:hAnsi="Verdana" w:cs="Arial"/>
                <w:sz w:val="16"/>
                <w:szCs w:val="16"/>
                <w:lang w:val="es-ES" w:eastAsia="es-ES"/>
              </w:rPr>
            </w:pPr>
            <w:r w:rsidRPr="00165F2C">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9F16E2C" w14:textId="77777777" w:rsidR="000361D8" w:rsidRPr="00165F2C" w:rsidRDefault="000361D8">
            <w:pPr>
              <w:contextualSpacing/>
              <w:rPr>
                <w:rStyle w:val="normaltextrun"/>
                <w:rFonts w:ascii="Verdana" w:hAnsi="Verdana"/>
                <w:sz w:val="16"/>
                <w:szCs w:val="16"/>
              </w:rPr>
            </w:pPr>
            <w:r w:rsidRPr="00165F2C">
              <w:rPr>
                <w:rStyle w:val="normaltextrun"/>
                <w:rFonts w:ascii="Verdana" w:hAnsi="Verdana"/>
                <w:sz w:val="16"/>
                <w:szCs w:val="16"/>
              </w:rPr>
              <w:t>Juan David Montoya Penagos</w:t>
            </w:r>
          </w:p>
          <w:p w14:paraId="6E1C8F29" w14:textId="77777777" w:rsidR="000361D8" w:rsidRPr="00165F2C" w:rsidRDefault="000361D8">
            <w:pPr>
              <w:contextualSpacing/>
              <w:rPr>
                <w:rFonts w:ascii="Verdana" w:eastAsia="Arial" w:hAnsi="Verdana" w:cs="Arial"/>
                <w:sz w:val="16"/>
                <w:szCs w:val="16"/>
              </w:rPr>
            </w:pPr>
            <w:r w:rsidRPr="00165F2C">
              <w:rPr>
                <w:rStyle w:val="normaltextrun"/>
                <w:rFonts w:ascii="Verdana" w:hAnsi="Verdana"/>
                <w:sz w:val="16"/>
                <w:szCs w:val="16"/>
              </w:rPr>
              <w:t>Contratista de la Subdirección de Gestión Contractual</w:t>
            </w:r>
          </w:p>
        </w:tc>
      </w:tr>
      <w:tr w:rsidR="000361D8" w:rsidRPr="00165F2C" w14:paraId="4B548D6E" w14:textId="77777777">
        <w:trPr>
          <w:trHeight w:val="330"/>
        </w:trPr>
        <w:tc>
          <w:tcPr>
            <w:tcW w:w="893" w:type="dxa"/>
            <w:vAlign w:val="center"/>
            <w:hideMark/>
          </w:tcPr>
          <w:p w14:paraId="7E9D0136" w14:textId="77777777" w:rsidR="000361D8" w:rsidRPr="00165F2C" w:rsidRDefault="000361D8">
            <w:pPr>
              <w:contextualSpacing/>
              <w:rPr>
                <w:rFonts w:ascii="Verdana" w:hAnsi="Verdana" w:cs="Arial"/>
                <w:sz w:val="16"/>
                <w:szCs w:val="16"/>
                <w:lang w:val="es-ES" w:eastAsia="es-ES"/>
              </w:rPr>
            </w:pPr>
            <w:r w:rsidRPr="00165F2C">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844750B" w14:textId="77777777" w:rsidR="000361D8" w:rsidRPr="00165F2C" w:rsidRDefault="000361D8">
            <w:pPr>
              <w:pStyle w:val="paragraph"/>
              <w:spacing w:after="0"/>
              <w:contextualSpacing/>
              <w:textAlignment w:val="baseline"/>
              <w:rPr>
                <w:rStyle w:val="normaltextrun"/>
                <w:rFonts w:ascii="Verdana" w:hAnsi="Verdana" w:cs="Arial"/>
                <w:sz w:val="16"/>
                <w:szCs w:val="16"/>
                <w:lang w:val="es-ES"/>
              </w:rPr>
            </w:pPr>
            <w:r w:rsidRPr="00165F2C">
              <w:rPr>
                <w:rStyle w:val="normaltextrun"/>
                <w:rFonts w:ascii="Verdana" w:hAnsi="Verdana" w:cs="Arial"/>
                <w:sz w:val="16"/>
                <w:szCs w:val="16"/>
                <w:lang w:val="es-ES"/>
              </w:rPr>
              <w:t>Alejandro Sarmiento Cantillo</w:t>
            </w:r>
          </w:p>
          <w:p w14:paraId="254B0D93" w14:textId="77777777" w:rsidR="000361D8" w:rsidRPr="00165F2C" w:rsidRDefault="000361D8">
            <w:pPr>
              <w:pStyle w:val="paragraph"/>
              <w:spacing w:before="0" w:beforeAutospacing="0" w:after="0" w:afterAutospacing="0"/>
              <w:contextualSpacing/>
              <w:textAlignment w:val="baseline"/>
              <w:rPr>
                <w:rFonts w:ascii="Verdana" w:hAnsi="Verdana" w:cs="Segoe UI"/>
                <w:sz w:val="16"/>
                <w:szCs w:val="16"/>
              </w:rPr>
            </w:pPr>
            <w:r w:rsidRPr="00165F2C">
              <w:rPr>
                <w:rStyle w:val="normaltextrun"/>
                <w:rFonts w:ascii="Verdana" w:hAnsi="Verdana" w:cs="Arial"/>
                <w:sz w:val="16"/>
                <w:szCs w:val="16"/>
                <w:lang w:val="es-ES"/>
              </w:rPr>
              <w:t>Gestor T1 ‒ 15 de la Subdirección de Gestión Contractual</w:t>
            </w:r>
          </w:p>
        </w:tc>
      </w:tr>
      <w:tr w:rsidR="000361D8" w:rsidRPr="00593A5F" w14:paraId="73C55137" w14:textId="77777777">
        <w:trPr>
          <w:trHeight w:val="300"/>
        </w:trPr>
        <w:tc>
          <w:tcPr>
            <w:tcW w:w="893" w:type="dxa"/>
            <w:vAlign w:val="center"/>
          </w:tcPr>
          <w:p w14:paraId="05C28450" w14:textId="77777777" w:rsidR="000361D8" w:rsidRPr="00165F2C" w:rsidRDefault="000361D8">
            <w:pPr>
              <w:contextualSpacing/>
              <w:rPr>
                <w:rFonts w:ascii="Verdana" w:hAnsi="Verdana" w:cs="Arial"/>
                <w:sz w:val="16"/>
                <w:szCs w:val="16"/>
                <w:lang w:val="es-ES" w:eastAsia="es-ES"/>
              </w:rPr>
            </w:pPr>
            <w:r w:rsidRPr="00165F2C">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25AB241" w14:textId="77777777" w:rsidR="000361D8" w:rsidRPr="00165F2C" w:rsidRDefault="000361D8">
            <w:pPr>
              <w:contextualSpacing/>
              <w:rPr>
                <w:rFonts w:ascii="Verdana" w:eastAsia="Calibri" w:hAnsi="Verdana" w:cs="Arial"/>
                <w:sz w:val="16"/>
                <w:szCs w:val="16"/>
                <w:lang w:val="pt-BR" w:eastAsia="es-ES"/>
              </w:rPr>
            </w:pPr>
            <w:r w:rsidRPr="00165F2C">
              <w:rPr>
                <w:rFonts w:ascii="Verdana" w:eastAsia="Calibri" w:hAnsi="Verdana" w:cs="Arial"/>
                <w:sz w:val="16"/>
                <w:szCs w:val="16"/>
                <w:lang w:val="pt-BR" w:eastAsia="es-ES"/>
              </w:rPr>
              <w:t xml:space="preserve">Carolina Quintero </w:t>
            </w:r>
            <w:proofErr w:type="spellStart"/>
            <w:r w:rsidRPr="00165F2C">
              <w:rPr>
                <w:rFonts w:ascii="Verdana" w:eastAsia="Calibri" w:hAnsi="Verdana" w:cs="Arial"/>
                <w:sz w:val="16"/>
                <w:szCs w:val="16"/>
                <w:lang w:val="pt-BR" w:eastAsia="es-ES"/>
              </w:rPr>
              <w:t>Gacharná</w:t>
            </w:r>
            <w:proofErr w:type="spellEnd"/>
          </w:p>
          <w:p w14:paraId="3C751C23" w14:textId="77777777" w:rsidR="000361D8" w:rsidRPr="003751C7" w:rsidRDefault="000361D8">
            <w:pPr>
              <w:contextualSpacing/>
              <w:rPr>
                <w:rFonts w:ascii="Verdana" w:eastAsia="Calibri" w:hAnsi="Verdana" w:cs="Arial"/>
                <w:sz w:val="16"/>
                <w:szCs w:val="16"/>
                <w:lang w:val="pt-BR" w:eastAsia="es-ES"/>
              </w:rPr>
            </w:pPr>
            <w:r w:rsidRPr="00165F2C">
              <w:rPr>
                <w:rFonts w:ascii="Verdana" w:eastAsia="Calibri" w:hAnsi="Verdana" w:cs="Arial"/>
                <w:sz w:val="16"/>
                <w:szCs w:val="16"/>
                <w:lang w:eastAsia="es-ES"/>
              </w:rPr>
              <w:t>Subdirectora</w:t>
            </w:r>
            <w:r w:rsidRPr="00165F2C">
              <w:rPr>
                <w:rFonts w:ascii="Verdana" w:eastAsia="Calibri" w:hAnsi="Verdana" w:cs="Arial"/>
                <w:sz w:val="16"/>
                <w:szCs w:val="16"/>
                <w:lang w:val="pt-BR" w:eastAsia="es-ES"/>
              </w:rPr>
              <w:t xml:space="preserve"> de Gestión </w:t>
            </w:r>
            <w:proofErr w:type="spellStart"/>
            <w:r w:rsidRPr="00165F2C">
              <w:rPr>
                <w:rFonts w:ascii="Verdana" w:eastAsia="Calibri" w:hAnsi="Verdana" w:cs="Arial"/>
                <w:sz w:val="16"/>
                <w:szCs w:val="16"/>
                <w:lang w:val="pt-BR" w:eastAsia="es-ES"/>
              </w:rPr>
              <w:t>Contractual</w:t>
            </w:r>
            <w:proofErr w:type="spellEnd"/>
            <w:r w:rsidRPr="00165F2C">
              <w:rPr>
                <w:rFonts w:ascii="Verdana" w:eastAsia="Calibri" w:hAnsi="Verdana" w:cs="Arial"/>
                <w:sz w:val="16"/>
                <w:szCs w:val="16"/>
                <w:lang w:val="pt-BR" w:eastAsia="es-ES"/>
              </w:rPr>
              <w:t xml:space="preserve"> ANCP – CCE</w:t>
            </w:r>
          </w:p>
        </w:tc>
      </w:tr>
    </w:tbl>
    <w:p w14:paraId="73C99766" w14:textId="77777777" w:rsidR="000361D8" w:rsidRPr="00593A5F" w:rsidRDefault="000361D8" w:rsidP="000361D8">
      <w:pPr>
        <w:spacing w:after="0" w:line="240" w:lineRule="auto"/>
        <w:rPr>
          <w:rFonts w:ascii="Verdana" w:eastAsia="Times New Roman" w:hAnsi="Verdana" w:cs="Arial"/>
          <w:sz w:val="24"/>
          <w:szCs w:val="24"/>
          <w:lang w:eastAsia="es-ES"/>
        </w:rPr>
      </w:pPr>
    </w:p>
    <w:p w14:paraId="17C21DF7" w14:textId="77777777" w:rsidR="000361D8" w:rsidRPr="00593A5F" w:rsidRDefault="000361D8" w:rsidP="000361D8">
      <w:pPr>
        <w:spacing w:after="0" w:line="240" w:lineRule="auto"/>
        <w:rPr>
          <w:rFonts w:ascii="Verdana" w:eastAsia="Times New Roman" w:hAnsi="Verdana" w:cs="Arial"/>
          <w:sz w:val="24"/>
          <w:szCs w:val="24"/>
          <w:lang w:eastAsia="es-ES"/>
        </w:rPr>
      </w:pPr>
    </w:p>
    <w:p w14:paraId="0F293BF4" w14:textId="7BBFAB11" w:rsidR="00127233" w:rsidRPr="007D627B" w:rsidRDefault="00127233" w:rsidP="007D627B"/>
    <w:sectPr w:rsidR="00127233" w:rsidRPr="007D627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FB0BD2" w14:textId="77777777" w:rsidR="000147F7" w:rsidRDefault="000147F7" w:rsidP="004A1847">
      <w:pPr>
        <w:spacing w:after="0" w:line="240" w:lineRule="auto"/>
      </w:pPr>
      <w:r>
        <w:separator/>
      </w:r>
    </w:p>
  </w:endnote>
  <w:endnote w:type="continuationSeparator" w:id="0">
    <w:p w14:paraId="677A2CB5" w14:textId="77777777" w:rsidR="000147F7" w:rsidRDefault="000147F7" w:rsidP="004A1847">
      <w:pPr>
        <w:spacing w:after="0" w:line="240" w:lineRule="auto"/>
      </w:pPr>
      <w:r>
        <w:continuationSeparator/>
      </w:r>
    </w:p>
  </w:endnote>
  <w:endnote w:type="continuationNotice" w:id="1">
    <w:p w14:paraId="30DBCDCB" w14:textId="77777777" w:rsidR="000147F7" w:rsidRDefault="000147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C3B3F9" w14:textId="77777777" w:rsidR="000147F7" w:rsidRDefault="000147F7" w:rsidP="004A1847">
      <w:pPr>
        <w:spacing w:after="0" w:line="240" w:lineRule="auto"/>
      </w:pPr>
      <w:r>
        <w:separator/>
      </w:r>
    </w:p>
  </w:footnote>
  <w:footnote w:type="continuationSeparator" w:id="0">
    <w:p w14:paraId="43061D2E" w14:textId="77777777" w:rsidR="000147F7" w:rsidRDefault="000147F7" w:rsidP="004A1847">
      <w:pPr>
        <w:spacing w:after="0" w:line="240" w:lineRule="auto"/>
      </w:pPr>
      <w:r>
        <w:continuationSeparator/>
      </w:r>
    </w:p>
  </w:footnote>
  <w:footnote w:type="continuationNotice" w:id="1">
    <w:p w14:paraId="27A067E9" w14:textId="77777777" w:rsidR="000147F7" w:rsidRDefault="000147F7">
      <w:pPr>
        <w:spacing w:after="0" w:line="240" w:lineRule="auto"/>
      </w:pPr>
    </w:p>
  </w:footnote>
  <w:footnote w:id="2">
    <w:p w14:paraId="4CED99BF" w14:textId="77777777" w:rsidR="000361D8" w:rsidRPr="00457B8D" w:rsidRDefault="000361D8" w:rsidP="000361D8">
      <w:pPr>
        <w:pStyle w:val="Textonotapie"/>
        <w:ind w:firstLine="708"/>
        <w:jc w:val="both"/>
        <w:rPr>
          <w:rFonts w:ascii="Verdana" w:hAnsi="Verdana" w:cs="Arial"/>
          <w:sz w:val="16"/>
          <w:szCs w:val="16"/>
        </w:rPr>
      </w:pPr>
      <w:r w:rsidRPr="00457B8D">
        <w:rPr>
          <w:rStyle w:val="Refdenotaalpie"/>
          <w:rFonts w:ascii="Verdana" w:hAnsi="Verdana" w:cs="Arial"/>
          <w:sz w:val="16"/>
          <w:szCs w:val="16"/>
        </w:rPr>
        <w:footnoteRef/>
      </w:r>
      <w:r w:rsidRPr="00457B8D">
        <w:rPr>
          <w:rFonts w:ascii="Verdana" w:hAnsi="Verdana" w:cs="Arial"/>
          <w:sz w:val="16"/>
          <w:szCs w:val="16"/>
        </w:rPr>
        <w:t xml:space="preserve"> El inciso primero de norma disponía que, conforme al principio de transparencia, “</w:t>
      </w:r>
      <w:r w:rsidRPr="00457B8D">
        <w:rPr>
          <w:rFonts w:ascii="Verdana" w:hAnsi="Verdana" w:cs="Arial"/>
          <w:i/>
          <w:iCs/>
          <w:sz w:val="16"/>
          <w:szCs w:val="16"/>
        </w:rPr>
        <w:t>La escogencia del contratista se efectuará siempre a través de licitación o concurso públicos</w:t>
      </w:r>
      <w:r w:rsidRPr="00457B8D">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3">
    <w:p w14:paraId="52301BDD" w14:textId="77777777" w:rsidR="000361D8" w:rsidRPr="00457B8D" w:rsidRDefault="000361D8" w:rsidP="000361D8">
      <w:pPr>
        <w:pStyle w:val="Textonotapie"/>
        <w:ind w:firstLine="708"/>
        <w:jc w:val="both"/>
        <w:rPr>
          <w:rFonts w:ascii="Verdana" w:hAnsi="Verdana" w:cs="Arial"/>
          <w:sz w:val="16"/>
          <w:szCs w:val="16"/>
        </w:rPr>
      </w:pPr>
      <w:r w:rsidRPr="00457B8D">
        <w:rPr>
          <w:rStyle w:val="Refdenotaalpie"/>
          <w:rFonts w:ascii="Verdana" w:hAnsi="Verdana" w:cs="Arial"/>
          <w:sz w:val="16"/>
          <w:szCs w:val="16"/>
        </w:rPr>
        <w:footnoteRef/>
      </w:r>
      <w:r w:rsidRPr="00457B8D">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457B8D">
        <w:rPr>
          <w:rFonts w:ascii="Verdana" w:hAnsi="Verdana" w:cs="Arial"/>
          <w:i/>
          <w:iCs/>
          <w:sz w:val="16"/>
          <w:szCs w:val="16"/>
        </w:rPr>
        <w:t>Presentación de la oferta de manera dinámica</w:t>
      </w:r>
      <w:r w:rsidRPr="00457B8D">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4">
    <w:p w14:paraId="1AA9C135" w14:textId="77777777" w:rsidR="000361D8" w:rsidRPr="00457B8D" w:rsidRDefault="000361D8" w:rsidP="000361D8">
      <w:pPr>
        <w:pStyle w:val="Textonotapie"/>
        <w:ind w:firstLine="708"/>
        <w:jc w:val="both"/>
        <w:rPr>
          <w:rFonts w:ascii="Verdana" w:hAnsi="Verdana" w:cs="Arial"/>
          <w:sz w:val="16"/>
          <w:szCs w:val="16"/>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cs="Arial"/>
          <w:sz w:val="16"/>
          <w:szCs w:val="16"/>
        </w:rPr>
        <w:t xml:space="preserve">El numeral 2 del artículo 2 de la Ley 1150 de 2007 prescribe: </w:t>
      </w:r>
      <w:r w:rsidRPr="00457B8D">
        <w:rPr>
          <w:rFonts w:ascii="Verdana" w:hAnsi="Verdana"/>
          <w:sz w:val="16"/>
          <w:szCs w:val="16"/>
        </w:rPr>
        <w:t xml:space="preserve">“[…] </w:t>
      </w:r>
      <w:r w:rsidRPr="00457B8D">
        <w:rPr>
          <w:rFonts w:ascii="Verdana" w:hAnsi="Verdana" w:cs="Arial"/>
          <w:sz w:val="16"/>
          <w:szCs w:val="16"/>
        </w:rPr>
        <w:t>Serán causales de selección abreviada las siguientes:</w:t>
      </w:r>
    </w:p>
    <w:p w14:paraId="7D65D283" w14:textId="77777777" w:rsidR="000361D8" w:rsidRPr="00457B8D" w:rsidRDefault="000361D8" w:rsidP="000361D8">
      <w:pPr>
        <w:pStyle w:val="Textonotapie"/>
        <w:ind w:firstLine="708"/>
        <w:jc w:val="both"/>
        <w:rPr>
          <w:rFonts w:ascii="Verdana" w:hAnsi="Verdana" w:cs="Arial"/>
          <w:sz w:val="16"/>
          <w:szCs w:val="16"/>
        </w:rPr>
      </w:pPr>
      <w:r w:rsidRPr="00457B8D">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4649D7A3" w14:textId="77777777" w:rsidR="000361D8" w:rsidRPr="00457B8D" w:rsidRDefault="000361D8" w:rsidP="000361D8">
      <w:pPr>
        <w:pStyle w:val="Textonotapie"/>
        <w:ind w:firstLine="708"/>
        <w:jc w:val="both"/>
        <w:rPr>
          <w:rFonts w:ascii="Verdana" w:hAnsi="Verdana" w:cs="Arial"/>
          <w:sz w:val="16"/>
          <w:szCs w:val="16"/>
        </w:rPr>
      </w:pPr>
      <w:r w:rsidRPr="00457B8D">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19E25F36" w14:textId="77777777" w:rsidR="000361D8" w:rsidRPr="00457B8D" w:rsidRDefault="000361D8" w:rsidP="000361D8">
      <w:pPr>
        <w:pStyle w:val="Textonotapie"/>
        <w:ind w:firstLine="708"/>
        <w:jc w:val="both"/>
        <w:rPr>
          <w:rFonts w:ascii="Verdana" w:hAnsi="Verdana" w:cs="Arial"/>
          <w:sz w:val="16"/>
          <w:szCs w:val="16"/>
        </w:rPr>
      </w:pPr>
      <w:r w:rsidRPr="00457B8D">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1C6B49AD" w14:textId="77777777" w:rsidR="000361D8" w:rsidRPr="00457B8D" w:rsidRDefault="000361D8" w:rsidP="000361D8">
      <w:pPr>
        <w:pStyle w:val="Textonotapie"/>
        <w:ind w:firstLine="708"/>
        <w:jc w:val="both"/>
        <w:rPr>
          <w:rFonts w:ascii="Verdana" w:hAnsi="Verdana" w:cs="Arial"/>
          <w:sz w:val="16"/>
          <w:szCs w:val="16"/>
        </w:rPr>
      </w:pPr>
      <w:r w:rsidRPr="00457B8D">
        <w:rPr>
          <w:rFonts w:ascii="Verdana" w:hAnsi="Verdana" w:cs="Arial"/>
          <w:sz w:val="16"/>
          <w:szCs w:val="16"/>
        </w:rPr>
        <w:t>[…];</w:t>
      </w:r>
    </w:p>
    <w:p w14:paraId="5AF62805" w14:textId="77777777" w:rsidR="000361D8" w:rsidRPr="00457B8D" w:rsidRDefault="000361D8" w:rsidP="000361D8">
      <w:pPr>
        <w:pStyle w:val="Textonotapie"/>
        <w:ind w:firstLine="708"/>
        <w:jc w:val="both"/>
        <w:rPr>
          <w:rFonts w:ascii="Verdana" w:hAnsi="Verdana" w:cs="Arial"/>
          <w:sz w:val="16"/>
          <w:szCs w:val="16"/>
        </w:rPr>
      </w:pPr>
      <w:r w:rsidRPr="00457B8D">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306A2E2B" w14:textId="77777777" w:rsidR="000361D8" w:rsidRPr="00457B8D" w:rsidRDefault="000361D8" w:rsidP="000361D8">
      <w:pPr>
        <w:pStyle w:val="Textonotapie"/>
        <w:ind w:firstLine="708"/>
        <w:jc w:val="both"/>
        <w:rPr>
          <w:rFonts w:ascii="Verdana" w:hAnsi="Verdana" w:cs="Arial"/>
          <w:sz w:val="16"/>
          <w:szCs w:val="16"/>
        </w:rPr>
      </w:pPr>
      <w:r w:rsidRPr="00457B8D">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747A061A" w14:textId="77777777" w:rsidR="000361D8" w:rsidRPr="00457B8D" w:rsidRDefault="000361D8" w:rsidP="000361D8">
      <w:pPr>
        <w:pStyle w:val="Textonotapie"/>
        <w:ind w:firstLine="708"/>
        <w:jc w:val="both"/>
        <w:rPr>
          <w:rFonts w:ascii="Verdana" w:hAnsi="Verdana" w:cs="Arial"/>
          <w:sz w:val="16"/>
          <w:szCs w:val="16"/>
        </w:rPr>
      </w:pPr>
      <w:r w:rsidRPr="00457B8D">
        <w:rPr>
          <w:rFonts w:ascii="Verdana" w:hAnsi="Verdana" w:cs="Arial"/>
          <w:sz w:val="16"/>
          <w:szCs w:val="16"/>
        </w:rPr>
        <w:t>e) La enajenación de bienes del Estado, con excepción de aquellos a que se refiere la Ley 226 de 1995.</w:t>
      </w:r>
    </w:p>
    <w:p w14:paraId="08491586" w14:textId="77777777" w:rsidR="000361D8" w:rsidRPr="00457B8D" w:rsidRDefault="000361D8" w:rsidP="000361D8">
      <w:pPr>
        <w:pStyle w:val="Textonotapie"/>
        <w:ind w:firstLine="708"/>
        <w:jc w:val="both"/>
        <w:rPr>
          <w:rFonts w:ascii="Verdana" w:hAnsi="Verdana" w:cs="Arial"/>
          <w:sz w:val="16"/>
          <w:szCs w:val="16"/>
        </w:rPr>
      </w:pPr>
      <w:r w:rsidRPr="00457B8D">
        <w:rPr>
          <w:rFonts w:ascii="Verdana" w:hAnsi="Verdana" w:cs="Arial"/>
          <w:sz w:val="16"/>
          <w:szCs w:val="16"/>
        </w:rPr>
        <w:t xml:space="preserve">[…]; </w:t>
      </w:r>
    </w:p>
    <w:p w14:paraId="76CB75BE" w14:textId="77777777" w:rsidR="000361D8" w:rsidRPr="00457B8D" w:rsidRDefault="000361D8" w:rsidP="000361D8">
      <w:pPr>
        <w:pStyle w:val="Textonotapie"/>
        <w:ind w:firstLine="708"/>
        <w:jc w:val="both"/>
        <w:rPr>
          <w:rFonts w:ascii="Verdana" w:hAnsi="Verdana" w:cs="Arial"/>
          <w:sz w:val="16"/>
          <w:szCs w:val="16"/>
        </w:rPr>
      </w:pPr>
      <w:r w:rsidRPr="00457B8D">
        <w:rPr>
          <w:rFonts w:ascii="Verdana" w:hAnsi="Verdana" w:cs="Arial"/>
          <w:sz w:val="16"/>
          <w:szCs w:val="16"/>
        </w:rPr>
        <w:t xml:space="preserve">f) Productos de origen o destinación agropecuarios que se ofrezcan en las bolsas de productos legalmente constituidas; </w:t>
      </w:r>
    </w:p>
    <w:p w14:paraId="7670DF79" w14:textId="77777777" w:rsidR="000361D8" w:rsidRPr="00457B8D" w:rsidRDefault="000361D8" w:rsidP="000361D8">
      <w:pPr>
        <w:pStyle w:val="Textonotapie"/>
        <w:ind w:firstLine="708"/>
        <w:jc w:val="both"/>
        <w:rPr>
          <w:rFonts w:ascii="Verdana" w:hAnsi="Verdana" w:cs="Arial"/>
          <w:sz w:val="16"/>
          <w:szCs w:val="16"/>
        </w:rPr>
      </w:pPr>
      <w:r w:rsidRPr="00457B8D">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633A22E9" w14:textId="77777777" w:rsidR="000361D8" w:rsidRPr="00457B8D" w:rsidRDefault="000361D8" w:rsidP="000361D8">
      <w:pPr>
        <w:pStyle w:val="Textonotapie"/>
        <w:ind w:firstLine="708"/>
        <w:jc w:val="both"/>
        <w:rPr>
          <w:rFonts w:ascii="Verdana" w:hAnsi="Verdana" w:cs="Arial"/>
          <w:sz w:val="16"/>
          <w:szCs w:val="16"/>
        </w:rPr>
      </w:pPr>
      <w:r w:rsidRPr="00457B8D">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485A2B85" w14:textId="77777777" w:rsidR="000361D8" w:rsidRPr="00457B8D" w:rsidRDefault="000361D8" w:rsidP="000361D8">
      <w:pPr>
        <w:pStyle w:val="Textonotapie"/>
        <w:ind w:firstLine="708"/>
        <w:jc w:val="both"/>
        <w:rPr>
          <w:rFonts w:ascii="Verdana" w:hAnsi="Verdana" w:cs="Arial"/>
          <w:sz w:val="16"/>
          <w:szCs w:val="16"/>
        </w:rPr>
      </w:pPr>
      <w:r w:rsidRPr="00457B8D">
        <w:rPr>
          <w:rFonts w:ascii="Verdana" w:hAnsi="Verdana" w:cs="Arial"/>
          <w:sz w:val="16"/>
          <w:szCs w:val="16"/>
        </w:rPr>
        <w:t>i) La contratación de bienes y servicios que se requieran para la defensa y seguridad nacional.</w:t>
      </w:r>
    </w:p>
    <w:p w14:paraId="46447637" w14:textId="77777777" w:rsidR="000361D8" w:rsidRPr="00457B8D" w:rsidRDefault="000361D8" w:rsidP="000361D8">
      <w:pPr>
        <w:pStyle w:val="Textonotapie"/>
        <w:ind w:firstLine="708"/>
        <w:jc w:val="both"/>
        <w:rPr>
          <w:rFonts w:ascii="Verdana" w:hAnsi="Verdana" w:cs="Arial"/>
          <w:sz w:val="16"/>
          <w:szCs w:val="16"/>
        </w:rPr>
      </w:pPr>
      <w:r w:rsidRPr="00457B8D">
        <w:rPr>
          <w:rFonts w:ascii="Verdana" w:hAnsi="Verdana" w:cs="Arial"/>
          <w:sz w:val="16"/>
          <w:szCs w:val="16"/>
        </w:rPr>
        <w:t>j) Los bienes y servicios no uniformes de común utilización por parte de las entidades públicas, para lo cual la Agencia Nacional de Contratación Pública - Colombia Compra Eficiente - 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5">
    <w:p w14:paraId="4B780135" w14:textId="77777777" w:rsidR="000361D8" w:rsidRPr="00457B8D" w:rsidRDefault="000361D8" w:rsidP="000361D8">
      <w:pPr>
        <w:pStyle w:val="Textonotapie"/>
        <w:ind w:firstLine="708"/>
        <w:jc w:val="both"/>
        <w:rPr>
          <w:rFonts w:ascii="Verdana" w:hAnsi="Verdana" w:cs="Arial"/>
          <w:sz w:val="16"/>
          <w:szCs w:val="16"/>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cs="Arial"/>
          <w:sz w:val="16"/>
          <w:szCs w:val="16"/>
        </w:rPr>
        <w:t xml:space="preserve">CONGRESO DE LA REPÚBLICA. Exposición de motivos de la Ley 1150 de 2007. Gaceta del Congreso No. 458 del 1º de agosto de 2005. p. 8. </w:t>
      </w:r>
    </w:p>
  </w:footnote>
  <w:footnote w:id="6">
    <w:p w14:paraId="55D3374D" w14:textId="77777777" w:rsidR="000361D8" w:rsidRPr="00457B8D" w:rsidRDefault="000361D8" w:rsidP="000361D8">
      <w:pPr>
        <w:pStyle w:val="Textonotapie"/>
        <w:ind w:firstLine="708"/>
        <w:jc w:val="both"/>
        <w:rPr>
          <w:rFonts w:ascii="Verdana" w:hAnsi="Verdana" w:cs="Arial"/>
          <w:sz w:val="16"/>
          <w:szCs w:val="16"/>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cs="Arial"/>
          <w:sz w:val="16"/>
          <w:szCs w:val="16"/>
        </w:rPr>
        <w:t xml:space="preserve">CONSEJO DE ESTADO. Sección Tercera. Subsección A. Sentencia del 23 de julio de 2015. Exp. 36.805. C. P. Hernán Andrade Rincón. </w:t>
      </w:r>
    </w:p>
  </w:footnote>
  <w:footnote w:id="7">
    <w:p w14:paraId="22FD7824" w14:textId="77777777" w:rsidR="000361D8" w:rsidRPr="00457B8D" w:rsidRDefault="000361D8" w:rsidP="000361D8">
      <w:pPr>
        <w:pStyle w:val="Textonotapie"/>
        <w:ind w:firstLine="708"/>
        <w:jc w:val="both"/>
        <w:rPr>
          <w:rFonts w:ascii="Verdana" w:hAnsi="Verdana"/>
          <w:sz w:val="16"/>
          <w:szCs w:val="16"/>
          <w:lang w:val="es-CO"/>
        </w:rPr>
      </w:pPr>
      <w:r w:rsidRPr="00457B8D">
        <w:rPr>
          <w:rStyle w:val="Refdenotaalpie"/>
          <w:rFonts w:ascii="Verdana" w:hAnsi="Verdana"/>
          <w:sz w:val="16"/>
          <w:szCs w:val="16"/>
        </w:rPr>
        <w:footnoteRef/>
      </w:r>
      <w:r w:rsidRPr="00457B8D">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457B8D">
        <w:rPr>
          <w:rFonts w:ascii="Verdana" w:hAnsi="Verdana"/>
          <w:i/>
          <w:iCs/>
          <w:sz w:val="16"/>
          <w:szCs w:val="16"/>
        </w:rPr>
        <w:t>las palabras de la ley se entenderán en su sentido natural y obvio, según el uso general de las mismas palabras</w:t>
      </w:r>
      <w:r w:rsidRPr="00457B8D">
        <w:rPr>
          <w:rFonts w:ascii="Verdana" w:hAnsi="Verdana"/>
          <w:sz w:val="16"/>
          <w:szCs w:val="16"/>
        </w:rPr>
        <w:t>’, es decir, el uso de la gente educada. El Diccionario de la Lengua publicado por la Real Academia Española goza a este respecto de gran autoridad. ‘</w:t>
      </w:r>
      <w:r w:rsidRPr="00457B8D">
        <w:rPr>
          <w:rFonts w:ascii="Verdana" w:hAnsi="Verdana"/>
          <w:i/>
          <w:iCs/>
          <w:sz w:val="16"/>
          <w:szCs w:val="16"/>
        </w:rPr>
        <w:t>Pero cuando el legislador</w:t>
      </w:r>
      <w:r w:rsidRPr="00457B8D">
        <w:rPr>
          <w:rFonts w:ascii="Verdana" w:hAnsi="Verdana"/>
          <w:sz w:val="16"/>
          <w:szCs w:val="16"/>
        </w:rPr>
        <w:t xml:space="preserve">, agrega el artículo 20, </w:t>
      </w:r>
      <w:r w:rsidRPr="00457B8D">
        <w:rPr>
          <w:rFonts w:ascii="Verdana" w:hAnsi="Verdana"/>
          <w:i/>
          <w:iCs/>
          <w:sz w:val="16"/>
          <w:szCs w:val="16"/>
        </w:rPr>
        <w:t>las haya definido expresamente para ciertas materias se les dará en éstas su significado legal</w:t>
      </w:r>
      <w:r w:rsidRPr="00457B8D">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8">
    <w:p w14:paraId="70F6B785" w14:textId="77777777" w:rsidR="000361D8" w:rsidRPr="00457B8D" w:rsidRDefault="000361D8" w:rsidP="000361D8">
      <w:pPr>
        <w:pStyle w:val="Textonotapie"/>
        <w:ind w:firstLine="708"/>
        <w:jc w:val="both"/>
        <w:rPr>
          <w:rFonts w:ascii="Verdana" w:hAnsi="Verdana"/>
          <w:sz w:val="16"/>
          <w:szCs w:val="16"/>
        </w:rPr>
      </w:pPr>
      <w:r w:rsidRPr="00457B8D">
        <w:rPr>
          <w:rStyle w:val="Refdenotaalpie"/>
          <w:rFonts w:ascii="Verdana" w:hAnsi="Verdana"/>
          <w:sz w:val="16"/>
          <w:szCs w:val="16"/>
        </w:rPr>
        <w:footnoteRef/>
      </w:r>
      <w:r w:rsidRPr="00457B8D">
        <w:rPr>
          <w:rFonts w:ascii="Verdana" w:hAnsi="Verdana"/>
          <w:sz w:val="16"/>
          <w:szCs w:val="16"/>
        </w:rPr>
        <w:t xml:space="preserve"> SUÁREZ BELTRÁN, Gonzalo. Estudios de derecho contractual público. Colombia: Bogotá, 2014. p. 72.</w:t>
      </w:r>
    </w:p>
  </w:footnote>
  <w:footnote w:id="9">
    <w:p w14:paraId="43EB5D3B" w14:textId="77777777" w:rsidR="000361D8" w:rsidRPr="002223F1" w:rsidRDefault="000361D8" w:rsidP="000361D8">
      <w:pPr>
        <w:pStyle w:val="Textonotapie"/>
        <w:ind w:firstLine="708"/>
        <w:jc w:val="both"/>
        <w:rPr>
          <w:rFonts w:ascii="Verdana" w:hAnsi="Verdana"/>
          <w:sz w:val="16"/>
          <w:szCs w:val="16"/>
          <w:lang w:val="es-CO"/>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i/>
          <w:iCs/>
          <w:sz w:val="16"/>
          <w:szCs w:val="16"/>
        </w:rPr>
        <w:t>Ibidem</w:t>
      </w:r>
      <w:r w:rsidRPr="00457B8D">
        <w:rPr>
          <w:rFonts w:ascii="Verdana" w:hAnsi="Verdana"/>
          <w:sz w:val="16"/>
          <w:szCs w:val="16"/>
        </w:rPr>
        <w:t>.</w:t>
      </w:r>
    </w:p>
  </w:footnote>
  <w:footnote w:id="10">
    <w:p w14:paraId="37647A46" w14:textId="77777777" w:rsidR="000361D8" w:rsidRPr="00457B8D" w:rsidRDefault="000361D8" w:rsidP="000361D8">
      <w:pPr>
        <w:pStyle w:val="Textonotapie"/>
        <w:ind w:firstLine="708"/>
        <w:jc w:val="both"/>
        <w:rPr>
          <w:rFonts w:ascii="Verdana" w:hAnsi="Verdana" w:cs="Arial"/>
          <w:sz w:val="16"/>
          <w:szCs w:val="16"/>
        </w:rPr>
      </w:pPr>
      <w:r w:rsidRPr="00457B8D">
        <w:rPr>
          <w:rStyle w:val="Refdenotaalpie"/>
          <w:rFonts w:ascii="Verdana" w:hAnsi="Verdana"/>
          <w:sz w:val="16"/>
          <w:szCs w:val="16"/>
        </w:rPr>
        <w:footnoteRef/>
      </w:r>
      <w:r w:rsidRPr="00457B8D">
        <w:rPr>
          <w:rFonts w:ascii="Verdana" w:hAnsi="Verdana"/>
          <w:sz w:val="16"/>
          <w:szCs w:val="16"/>
        </w:rPr>
        <w:t xml:space="preserve"> </w:t>
      </w:r>
      <w:r w:rsidRPr="00457B8D">
        <w:rPr>
          <w:rFonts w:ascii="Verdana" w:hAnsi="Verdana" w:cs="Arial"/>
          <w:sz w:val="16"/>
          <w:szCs w:val="16"/>
        </w:rPr>
        <w:t xml:space="preserve">CONGRESO DE LA REPÚBLICA. Exposición de motivos de la Ley 1150 de 2007. Gaceta del Congreso No. 458 del 1º de agosto de 2005. p. 8. </w:t>
      </w:r>
    </w:p>
  </w:footnote>
  <w:footnote w:id="11">
    <w:p w14:paraId="24B3A11B" w14:textId="77777777" w:rsidR="000361D8" w:rsidRPr="001A1B0F" w:rsidRDefault="000361D8" w:rsidP="000361D8">
      <w:pPr>
        <w:pStyle w:val="Textonotapie"/>
        <w:ind w:firstLine="708"/>
        <w:jc w:val="both"/>
        <w:rPr>
          <w:rFonts w:ascii="Verdana" w:hAnsi="Verdana"/>
          <w:sz w:val="16"/>
          <w:szCs w:val="16"/>
          <w:lang w:val="es-CO"/>
        </w:rPr>
      </w:pPr>
      <w:r w:rsidRPr="00457B8D">
        <w:rPr>
          <w:rStyle w:val="Refdenotaalpie"/>
          <w:rFonts w:ascii="Verdana" w:hAnsi="Verdana"/>
          <w:sz w:val="16"/>
          <w:szCs w:val="16"/>
        </w:rPr>
        <w:footnoteRef/>
      </w:r>
      <w:r w:rsidRPr="00457B8D">
        <w:rPr>
          <w:rFonts w:ascii="Verdana" w:hAnsi="Verdana"/>
          <w:sz w:val="16"/>
          <w:szCs w:val="16"/>
        </w:rPr>
        <w:t xml:space="preserve"> DÁVILA VINUEZA, Luis Guillermo. Régimen jurídico de la contratación estatal. </w:t>
      </w:r>
      <w:r w:rsidRPr="001A1B0F">
        <w:rPr>
          <w:rFonts w:ascii="Verdana" w:hAnsi="Verdana" w:cs="Arial"/>
          <w:sz w:val="16"/>
          <w:szCs w:val="16"/>
          <w:lang w:val="es-CO"/>
        </w:rPr>
        <w:t>Tercera Edición</w:t>
      </w:r>
      <w:r w:rsidRPr="001A1B0F">
        <w:rPr>
          <w:rFonts w:ascii="Verdana" w:hAnsi="Verdana"/>
          <w:sz w:val="16"/>
          <w:szCs w:val="16"/>
          <w:lang w:val="es-CO"/>
        </w:rPr>
        <w:t>. Bogotá: Legis, 2016. pp. 466-467.</w:t>
      </w:r>
    </w:p>
  </w:footnote>
  <w:footnote w:id="12">
    <w:p w14:paraId="07CFFAC8" w14:textId="77777777" w:rsidR="00864BCA" w:rsidRPr="00165F2C" w:rsidRDefault="00864BCA" w:rsidP="00864BCA">
      <w:pPr>
        <w:pStyle w:val="Textonotapie"/>
        <w:ind w:firstLine="705"/>
        <w:rPr>
          <w:rFonts w:ascii="Verdana" w:hAnsi="Verdana"/>
          <w:sz w:val="16"/>
          <w:szCs w:val="16"/>
        </w:rPr>
      </w:pPr>
      <w:r w:rsidRPr="00165F2C">
        <w:rPr>
          <w:rStyle w:val="Refdenotaalpie"/>
          <w:rFonts w:ascii="Verdana" w:hAnsi="Verdana"/>
          <w:sz w:val="16"/>
          <w:szCs w:val="16"/>
        </w:rPr>
        <w:footnoteRef/>
      </w:r>
      <w:r w:rsidRPr="00165F2C">
        <w:rPr>
          <w:rFonts w:ascii="Verdana" w:hAnsi="Verdana"/>
          <w:sz w:val="16"/>
          <w:szCs w:val="16"/>
        </w:rPr>
        <w:t xml:space="preserve"> </w:t>
      </w:r>
      <w:r w:rsidRPr="00165F2C">
        <w:rPr>
          <w:rStyle w:val="normaltextrun"/>
          <w:rFonts w:ascii="Verdana" w:hAnsi="Verdana" w:cs="Arial"/>
          <w:color w:val="000000"/>
          <w:sz w:val="16"/>
          <w:szCs w:val="16"/>
          <w:shd w:val="clear" w:color="auto" w:fill="FFFFFF"/>
        </w:rPr>
        <w:t xml:space="preserve">CONSEJO DE ESTADO. Sección Tercera. Subsección C. Sentencia del 17 de junio de 2024. Rad. 69575. C.P. </w:t>
      </w:r>
      <w:r w:rsidRPr="00165F2C">
        <w:rPr>
          <w:rFonts w:ascii="Verdana" w:hAnsi="Verdana" w:cs="Arial"/>
          <w:color w:val="000000"/>
          <w:sz w:val="16"/>
          <w:szCs w:val="16"/>
          <w:shd w:val="clear" w:color="auto" w:fill="FFFFFF"/>
          <w:lang w:val="es-CO"/>
        </w:rPr>
        <w:t>Martín Bermúdez Muñoz</w:t>
      </w:r>
      <w:r w:rsidRPr="00165F2C">
        <w:rPr>
          <w:rStyle w:val="normaltextrun"/>
          <w:rFonts w:ascii="Verdana" w:hAnsi="Verdana" w:cs="Arial"/>
          <w:color w:val="000000"/>
          <w:sz w:val="16"/>
          <w:szCs w:val="16"/>
          <w:shd w:val="clear" w:color="auto" w:fill="FFFFFF"/>
        </w:rPr>
        <w:t xml:space="preserve">. Nota al pie No. 7. </w:t>
      </w:r>
      <w:r w:rsidRPr="00165F2C">
        <w:rPr>
          <w:rStyle w:val="eop"/>
          <w:rFonts w:ascii="Verdana" w:hAnsi="Verdana" w:cs="Arial"/>
          <w:color w:val="000000"/>
          <w:sz w:val="16"/>
          <w:szCs w:val="16"/>
          <w:shd w:val="clear" w:color="auto" w:fill="FFFFFF"/>
        </w:rPr>
        <w:t> </w:t>
      </w:r>
    </w:p>
  </w:footnote>
  <w:footnote w:id="13">
    <w:p w14:paraId="1A383BD6" w14:textId="77777777" w:rsidR="000361D8" w:rsidRPr="00311A20" w:rsidRDefault="000361D8" w:rsidP="000361D8">
      <w:pPr>
        <w:pStyle w:val="Textonotapie"/>
        <w:ind w:firstLine="708"/>
        <w:jc w:val="both"/>
        <w:rPr>
          <w:rFonts w:ascii="Verdana" w:hAnsi="Verdana" w:cs="Arial"/>
          <w:color w:val="000000"/>
          <w:sz w:val="16"/>
          <w:szCs w:val="16"/>
          <w:lang w:val="en-US"/>
        </w:rPr>
      </w:pPr>
      <w:r w:rsidRPr="00311A20">
        <w:rPr>
          <w:rStyle w:val="Refdenotaalpie"/>
          <w:rFonts w:ascii="Verdana" w:hAnsi="Verdana" w:cs="Arial"/>
          <w:color w:val="000000"/>
          <w:sz w:val="16"/>
          <w:szCs w:val="16"/>
        </w:rPr>
        <w:footnoteRef/>
      </w:r>
      <w:r w:rsidRPr="00311A20">
        <w:rPr>
          <w:rFonts w:ascii="Verdana" w:hAnsi="Verdana" w:cs="Arial"/>
          <w:color w:val="000000"/>
          <w:sz w:val="16"/>
          <w:szCs w:val="16"/>
          <w:lang w:val="en-US"/>
        </w:rPr>
        <w:t xml:space="preserve"> EUROPEAN COMMISSION. Buying Green – A handbook on green procurement, 2016, disponible en: </w:t>
      </w:r>
      <w:hyperlink r:id="rId1" w:history="1">
        <w:r w:rsidRPr="00311A20">
          <w:rPr>
            <w:rStyle w:val="Hipervnculo"/>
            <w:rFonts w:ascii="Verdana" w:hAnsi="Verdana" w:cs="Arial"/>
            <w:sz w:val="16"/>
            <w:szCs w:val="16"/>
            <w:lang w:val="en-US"/>
          </w:rPr>
          <w:t>https://ec.europa.eu/environment/gpp/pdf/Buying-Green-Handbook-3rd-Edition.pdf</w:t>
        </w:r>
      </w:hyperlink>
      <w:r w:rsidRPr="00311A20">
        <w:rPr>
          <w:rFonts w:ascii="Verdana" w:hAnsi="Verdana" w:cs="Arial"/>
          <w:color w:val="000000"/>
          <w:sz w:val="16"/>
          <w:szCs w:val="16"/>
          <w:lang w:val="en-US"/>
        </w:rPr>
        <w:t>.</w:t>
      </w:r>
    </w:p>
  </w:footnote>
  <w:footnote w:id="14">
    <w:p w14:paraId="7A5C4EF7" w14:textId="77777777" w:rsidR="000361D8" w:rsidRPr="00311A20" w:rsidRDefault="000361D8" w:rsidP="000361D8">
      <w:pPr>
        <w:pStyle w:val="Textonotapie"/>
        <w:ind w:firstLine="708"/>
        <w:jc w:val="both"/>
        <w:rPr>
          <w:rFonts w:ascii="Verdana" w:hAnsi="Verdana" w:cs="Arial"/>
          <w:sz w:val="16"/>
          <w:szCs w:val="16"/>
        </w:rPr>
      </w:pPr>
      <w:r w:rsidRPr="00311A20">
        <w:rPr>
          <w:rStyle w:val="Refdenotaalpie"/>
          <w:rFonts w:ascii="Verdana" w:hAnsi="Verdana" w:cs="Arial"/>
          <w:sz w:val="16"/>
          <w:szCs w:val="16"/>
        </w:rPr>
        <w:footnoteRef/>
      </w:r>
      <w:r w:rsidRPr="00311A20">
        <w:rPr>
          <w:rFonts w:ascii="Verdana" w:hAnsi="Verdana" w:cs="Arial"/>
          <w:sz w:val="16"/>
          <w:szCs w:val="16"/>
        </w:rPr>
        <w:t xml:space="preserve"> Cfr. </w:t>
      </w:r>
      <w:hyperlink r:id="rId2" w:history="1">
        <w:r w:rsidRPr="00311A20">
          <w:rPr>
            <w:rStyle w:val="Hipervnculo"/>
            <w:rFonts w:ascii="Verdana" w:hAnsi="Verdana" w:cs="Arial"/>
            <w:sz w:val="16"/>
            <w:szCs w:val="16"/>
          </w:rPr>
          <w:t>https://colaboracion.dnp.gov.co/CDT/DNP/Soporte%20t%c3%a9cnico%20Ley%20del%20Vigilante.pdf</w:t>
        </w:r>
      </w:hyperlink>
      <w:r w:rsidRPr="00311A20">
        <w:rPr>
          <w:rFonts w:ascii="Verdana" w:hAnsi="Verdana" w:cs="Arial"/>
          <w:sz w:val="16"/>
          <w:szCs w:val="16"/>
        </w:rPr>
        <w:t xml:space="preserve">. Consultado el </w:t>
      </w:r>
      <w:r>
        <w:rPr>
          <w:rFonts w:ascii="Verdana" w:hAnsi="Verdana" w:cs="Arial"/>
          <w:sz w:val="16"/>
          <w:szCs w:val="16"/>
        </w:rPr>
        <w:t xml:space="preserve">5 de noviembre </w:t>
      </w:r>
      <w:r w:rsidRPr="00311A20">
        <w:rPr>
          <w:rFonts w:ascii="Verdana" w:hAnsi="Verdana" w:cs="Arial"/>
          <w:sz w:val="16"/>
          <w:szCs w:val="16"/>
        </w:rPr>
        <w:t>de 202</w:t>
      </w:r>
      <w:r>
        <w:rPr>
          <w:rFonts w:ascii="Verdana" w:hAnsi="Verdana" w:cs="Arial"/>
          <w:sz w:val="16"/>
          <w:szCs w:val="16"/>
        </w:rPr>
        <w:t>4</w:t>
      </w:r>
      <w:r w:rsidRPr="00311A20">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7.5pt;height:7.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034"/>
    <w:rsid w:val="000147F7"/>
    <w:rsid w:val="000361D8"/>
    <w:rsid w:val="00061B2A"/>
    <w:rsid w:val="00061DA9"/>
    <w:rsid w:val="00082362"/>
    <w:rsid w:val="000A683E"/>
    <w:rsid w:val="000B19B9"/>
    <w:rsid w:val="000D0334"/>
    <w:rsid w:val="000F6486"/>
    <w:rsid w:val="00125105"/>
    <w:rsid w:val="00127233"/>
    <w:rsid w:val="001411B3"/>
    <w:rsid w:val="00150E6E"/>
    <w:rsid w:val="00165F2C"/>
    <w:rsid w:val="00197F7B"/>
    <w:rsid w:val="001A1B0F"/>
    <w:rsid w:val="001C54A8"/>
    <w:rsid w:val="001E4177"/>
    <w:rsid w:val="001F0192"/>
    <w:rsid w:val="001F7DC6"/>
    <w:rsid w:val="00203E5B"/>
    <w:rsid w:val="002421BB"/>
    <w:rsid w:val="002439F3"/>
    <w:rsid w:val="0025796E"/>
    <w:rsid w:val="002707A2"/>
    <w:rsid w:val="00284B48"/>
    <w:rsid w:val="002951A0"/>
    <w:rsid w:val="002962BC"/>
    <w:rsid w:val="002A093D"/>
    <w:rsid w:val="002A0DD0"/>
    <w:rsid w:val="002A49AC"/>
    <w:rsid w:val="002A64FD"/>
    <w:rsid w:val="002C7A84"/>
    <w:rsid w:val="002D44BC"/>
    <w:rsid w:val="002E0AC5"/>
    <w:rsid w:val="002E4FD9"/>
    <w:rsid w:val="00302CEB"/>
    <w:rsid w:val="00322A85"/>
    <w:rsid w:val="003234D1"/>
    <w:rsid w:val="00324168"/>
    <w:rsid w:val="00326326"/>
    <w:rsid w:val="00336B0D"/>
    <w:rsid w:val="003448F4"/>
    <w:rsid w:val="00365D26"/>
    <w:rsid w:val="0037022E"/>
    <w:rsid w:val="00374F5E"/>
    <w:rsid w:val="00377E3E"/>
    <w:rsid w:val="003965B4"/>
    <w:rsid w:val="003A26D1"/>
    <w:rsid w:val="003A779E"/>
    <w:rsid w:val="003D0F4D"/>
    <w:rsid w:val="003D5B0D"/>
    <w:rsid w:val="003E0499"/>
    <w:rsid w:val="003F3941"/>
    <w:rsid w:val="00406575"/>
    <w:rsid w:val="004206BB"/>
    <w:rsid w:val="00423555"/>
    <w:rsid w:val="0042722E"/>
    <w:rsid w:val="00433B94"/>
    <w:rsid w:val="0044528D"/>
    <w:rsid w:val="004A1847"/>
    <w:rsid w:val="004A305D"/>
    <w:rsid w:val="004A5EB2"/>
    <w:rsid w:val="004D3AF2"/>
    <w:rsid w:val="004F21C4"/>
    <w:rsid w:val="004F685F"/>
    <w:rsid w:val="00532769"/>
    <w:rsid w:val="00541E86"/>
    <w:rsid w:val="005566E8"/>
    <w:rsid w:val="00574867"/>
    <w:rsid w:val="00591460"/>
    <w:rsid w:val="00592628"/>
    <w:rsid w:val="005C3777"/>
    <w:rsid w:val="005C5CDC"/>
    <w:rsid w:val="005D476C"/>
    <w:rsid w:val="005E7B93"/>
    <w:rsid w:val="00610812"/>
    <w:rsid w:val="00611165"/>
    <w:rsid w:val="006219F8"/>
    <w:rsid w:val="00650FF7"/>
    <w:rsid w:val="00665D70"/>
    <w:rsid w:val="00671DAC"/>
    <w:rsid w:val="006900D9"/>
    <w:rsid w:val="006D12F8"/>
    <w:rsid w:val="006F36F3"/>
    <w:rsid w:val="00706C16"/>
    <w:rsid w:val="00707807"/>
    <w:rsid w:val="00756841"/>
    <w:rsid w:val="007649AB"/>
    <w:rsid w:val="00771D0C"/>
    <w:rsid w:val="007833AC"/>
    <w:rsid w:val="00787D9A"/>
    <w:rsid w:val="007B190D"/>
    <w:rsid w:val="007B268C"/>
    <w:rsid w:val="007B6CE2"/>
    <w:rsid w:val="007B7171"/>
    <w:rsid w:val="007C0C0F"/>
    <w:rsid w:val="007C3DC2"/>
    <w:rsid w:val="007D144E"/>
    <w:rsid w:val="007D627B"/>
    <w:rsid w:val="007E5497"/>
    <w:rsid w:val="00806F5F"/>
    <w:rsid w:val="00820278"/>
    <w:rsid w:val="0084660B"/>
    <w:rsid w:val="00847E61"/>
    <w:rsid w:val="0086331F"/>
    <w:rsid w:val="00864BCA"/>
    <w:rsid w:val="00865165"/>
    <w:rsid w:val="008843B6"/>
    <w:rsid w:val="00891928"/>
    <w:rsid w:val="008949B2"/>
    <w:rsid w:val="008A2CB0"/>
    <w:rsid w:val="008A446D"/>
    <w:rsid w:val="008D180B"/>
    <w:rsid w:val="008F0EA7"/>
    <w:rsid w:val="00902620"/>
    <w:rsid w:val="0090636D"/>
    <w:rsid w:val="00923EEF"/>
    <w:rsid w:val="00926AFA"/>
    <w:rsid w:val="009419F9"/>
    <w:rsid w:val="009545E0"/>
    <w:rsid w:val="0095685E"/>
    <w:rsid w:val="00961B09"/>
    <w:rsid w:val="00965334"/>
    <w:rsid w:val="0097093E"/>
    <w:rsid w:val="009A0DFA"/>
    <w:rsid w:val="009B2D26"/>
    <w:rsid w:val="009C71FA"/>
    <w:rsid w:val="009C72E7"/>
    <w:rsid w:val="009D3058"/>
    <w:rsid w:val="009E7FAA"/>
    <w:rsid w:val="009F3A13"/>
    <w:rsid w:val="00A00399"/>
    <w:rsid w:val="00A122D3"/>
    <w:rsid w:val="00A17F13"/>
    <w:rsid w:val="00A20739"/>
    <w:rsid w:val="00A33C78"/>
    <w:rsid w:val="00AB0ADB"/>
    <w:rsid w:val="00B01B1A"/>
    <w:rsid w:val="00B305E0"/>
    <w:rsid w:val="00B3060F"/>
    <w:rsid w:val="00B31797"/>
    <w:rsid w:val="00B52D81"/>
    <w:rsid w:val="00B6433D"/>
    <w:rsid w:val="00B7066F"/>
    <w:rsid w:val="00B72CD3"/>
    <w:rsid w:val="00B72FFF"/>
    <w:rsid w:val="00BA2094"/>
    <w:rsid w:val="00BC3D36"/>
    <w:rsid w:val="00BD7F72"/>
    <w:rsid w:val="00C04FB3"/>
    <w:rsid w:val="00C330EB"/>
    <w:rsid w:val="00C534C4"/>
    <w:rsid w:val="00C754BE"/>
    <w:rsid w:val="00C76B1C"/>
    <w:rsid w:val="00C849BF"/>
    <w:rsid w:val="00C860A0"/>
    <w:rsid w:val="00C92442"/>
    <w:rsid w:val="00C92476"/>
    <w:rsid w:val="00CB3885"/>
    <w:rsid w:val="00CB6357"/>
    <w:rsid w:val="00CC073D"/>
    <w:rsid w:val="00CC1214"/>
    <w:rsid w:val="00CC1B26"/>
    <w:rsid w:val="00CC4522"/>
    <w:rsid w:val="00CD08DD"/>
    <w:rsid w:val="00D165F5"/>
    <w:rsid w:val="00D33F9A"/>
    <w:rsid w:val="00D423A2"/>
    <w:rsid w:val="00D520D8"/>
    <w:rsid w:val="00D63AC2"/>
    <w:rsid w:val="00D7383B"/>
    <w:rsid w:val="00D95C4B"/>
    <w:rsid w:val="00D97FCB"/>
    <w:rsid w:val="00DA231B"/>
    <w:rsid w:val="00DA23A0"/>
    <w:rsid w:val="00DC39FC"/>
    <w:rsid w:val="00DE642A"/>
    <w:rsid w:val="00DF5254"/>
    <w:rsid w:val="00E16408"/>
    <w:rsid w:val="00E20894"/>
    <w:rsid w:val="00E245AB"/>
    <w:rsid w:val="00E2764C"/>
    <w:rsid w:val="00E27F2E"/>
    <w:rsid w:val="00E366EF"/>
    <w:rsid w:val="00E413EA"/>
    <w:rsid w:val="00E50AFE"/>
    <w:rsid w:val="00E578B6"/>
    <w:rsid w:val="00E75C92"/>
    <w:rsid w:val="00E771DC"/>
    <w:rsid w:val="00E8065E"/>
    <w:rsid w:val="00E82C61"/>
    <w:rsid w:val="00E8772A"/>
    <w:rsid w:val="00E90F6B"/>
    <w:rsid w:val="00E92C27"/>
    <w:rsid w:val="00EA0E3D"/>
    <w:rsid w:val="00EC38A7"/>
    <w:rsid w:val="00EE1AA8"/>
    <w:rsid w:val="00EF6007"/>
    <w:rsid w:val="00F31EDC"/>
    <w:rsid w:val="00F42B4A"/>
    <w:rsid w:val="00F462B3"/>
    <w:rsid w:val="00F5664F"/>
    <w:rsid w:val="00F62EF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D1DAB48-5B5F-7A49-93D2-F9C4C858E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50E6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50E6E"/>
    <w:rPr>
      <w:rFonts w:ascii="Geomanist Light" w:hAnsi="Geomanist Light"/>
      <w:lang w:val="es-ES"/>
    </w:rPr>
  </w:style>
  <w:style w:type="paragraph" w:styleId="Textoindependiente">
    <w:name w:val="Body Text"/>
    <w:basedOn w:val="Normal"/>
    <w:link w:val="TextoindependienteCar"/>
    <w:uiPriority w:val="99"/>
    <w:unhideWhenUsed/>
    <w:rsid w:val="00150E6E"/>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150E6E"/>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borrador-de-documentos-tipo-de-consultoria-de-obra-publica-de-infraestructura-de-transporte&amp;data=05%7C02%7Cjuan.montoya%40colombiacompra.gov.co%7C096eca3fdcca424ff1c708dcf932f947%7C7b09041e245149d08cb179d5e3d8c1be%7C0%7C0%7C638659244563336796%7CUnknown%7CTWFpbGZsb3d8eyJWIjoiMC4wLjAwMDAiLCJQIjoiV2luMzIiLCJBTiI6Ik1haWwiLCJXVCI6Mn0%3D%7C0%7C%7C%7C&amp;sdata=ACt0eZDE%2BWgdCZNXWRTvjmNKZTIAVcOoG8estYExi6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juan.montoya%40colombiacompra.gov.co%7C096eca3fdcca424ff1c708dcf932f947%7C7b09041e245149d08cb179d5e3d8c1be%7C0%7C0%7C638659244563402756%7CUnknown%7CTWFpbGZsb3d8eyJWIjoiMC4wLjAwMDAiLCJQIjoiV2luMzIiLCJBTiI6Ik1haWwiLCJXVCI6Mn0%3D%7C0%7C%7C%7C&amp;sdata=ziaTaUr4px%2Bi6BnUSLwY1aQyDb82MVgoD4NV6LS6tDk%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actenos@sic.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sucop.gov.co%2Fentidades%2Fcolombiacompra%2FNormativa%3FIDNorma%3D18320&amp;data=05%7C02%7Cjuan.montoya%40colombiacompra.gov.co%7C096eca3fdcca424ff1c708dcf932f947%7C7b09041e245149d08cb179d5e3d8c1be%7C0%7C0%7C638659244563382274%7CUnknown%7CTWFpbGZsb3d8eyJWIjoiMC4wLjAwMDAiLCJQIjoiV2luMzIiLCJBTiI6Ik1haWwiLCJXVCI6Mn0%3D%7C0%7C%7C%7C&amp;sdata=K%2FmQEBoUP%2BNVLQTORj3YYOIpqViAfh0UKkgJgBDO6hk%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borrador-de-documentos-tipo-de-interventoria-de-obra-publica-de-infraestructura-de&amp;data=05%7C02%7Cjuan.montoya%40colombiacompra.gov.co%7C096eca3fdcca424ff1c708dcf932f947%7C7b09041e245149d08cb179d5e3d8c1be%7C0%7C0%7C638659244563361880%7CUnknown%7CTWFpbGZsb3d8eyJWIjoiMC4wLjAwMDAiLCJQIjoiV2luMzIiLCJBTiI6Ik1haWwiLCJXVCI6Mn0%3D%7C0%7C%7C%7C&amp;sdata=FF1vZobAbjk8Xf52XANo0qZhCal6l7PX7ytm4gNUzpI%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olaboracion.dnp.gov.co/CDT/DNP/Soporte%20t%c3%a9cnico%20Ley%20del%20Vigilante.pdf" TargetMode="External"/><Relationship Id="rId1" Type="http://schemas.openxmlformats.org/officeDocument/2006/relationships/hyperlink" Target="https://ec.europa.eu/environment/gpp/pdf/Buying-Green-Handbook-3rd-Edition.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734110F0-0C0C-4CA2-A071-8C94A2592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6655</Words>
  <Characters>36604</Characters>
  <Application>Microsoft Office Word</Application>
  <DocSecurity>0</DocSecurity>
  <Lines>305</Lines>
  <Paragraphs>86</Paragraphs>
  <ScaleCrop>false</ScaleCrop>
  <Company/>
  <LinksUpToDate>false</LinksUpToDate>
  <CharactersWithSpaces>43173</CharactersWithSpaces>
  <SharedDoc>false</SharedDoc>
  <HLinks>
    <vt:vector size="48" baseType="variant">
      <vt:variant>
        <vt:i4>2424953</vt:i4>
      </vt:variant>
      <vt:variant>
        <vt:i4>15</vt:i4>
      </vt:variant>
      <vt:variant>
        <vt:i4>0</vt:i4>
      </vt:variant>
      <vt:variant>
        <vt:i4>5</vt:i4>
      </vt:variant>
      <vt:variant>
        <vt:lpwstr>https://nam02.safelinks.protection.outlook.com/?url=https%3A%2F%2Fwww.colombiacompra.gov.co%2Fsala-de-prensa%2Fboletin-digital&amp;data=05%7C02%7Cjuan.montoya%40colombiacompra.gov.co%7C096eca3fdcca424ff1c708dcf932f947%7C7b09041e245149d08cb179d5e3d8c1be%7C0%7C0%7C638659244563402756%7CUnknown%7CTWFpbGZsb3d8eyJWIjoiMC4wLjAwMDAiLCJQIjoiV2luMzIiLCJBTiI6Ik1haWwiLCJXVCI6Mn0%3D%7C0%7C%7C%7C&amp;sdata=ziaTaUr4px%2Bi6BnUSLwY1aQyDb82MVgoD4NV6LS6tDk%3D&amp;reserved=0</vt:lpwstr>
      </vt:variant>
      <vt:variant>
        <vt:lpwstr/>
      </vt:variant>
      <vt:variant>
        <vt:i4>8061036</vt:i4>
      </vt:variant>
      <vt:variant>
        <vt:i4>12</vt:i4>
      </vt:variant>
      <vt:variant>
        <vt:i4>0</vt:i4>
      </vt:variant>
      <vt:variant>
        <vt:i4>5</vt:i4>
      </vt:variant>
      <vt:variant>
        <vt:lpwstr>https://nam02.safelinks.protection.outlook.com/?url=https%3A%2F%2Fwww.sucop.gov.co%2Fentidades%2Fcolombiacompra%2FNormativa%3FIDNorma%3D18320&amp;data=05%7C02%7Cjuan.montoya%40colombiacompra.gov.co%7C096eca3fdcca424ff1c708dcf932f947%7C7b09041e245149d08cb179d5e3d8c1be%7C0%7C0%7C638659244563382274%7CUnknown%7CTWFpbGZsb3d8eyJWIjoiMC4wLjAwMDAiLCJQIjoiV2luMzIiLCJBTiI6Ik1haWwiLCJXVCI6Mn0%3D%7C0%7C%7C%7C&amp;sdata=K%2FmQEBoUP%2BNVLQTORj3YYOIpqViAfh0UKkgJgBDO6hk%3D&amp;reserved=0</vt:lpwstr>
      </vt:variant>
      <vt:variant>
        <vt:lpwstr/>
      </vt:variant>
      <vt:variant>
        <vt:i4>3997814</vt:i4>
      </vt:variant>
      <vt:variant>
        <vt:i4>9</vt:i4>
      </vt:variant>
      <vt:variant>
        <vt:i4>0</vt:i4>
      </vt:variant>
      <vt:variant>
        <vt:i4>5</vt:i4>
      </vt:variant>
      <vt:variant>
        <vt:lpwstr>https://nam02.safelinks.protection.outlook.com/?url=https%3A%2F%2Fwww.colombiacompra.gov.co%2Fcontent%2Fborrador-de-documentos-tipo-de-interventoria-de-obra-publica-de-infraestructura-de&amp;data=05%7C02%7Cjuan.montoya%40colombiacompra.gov.co%7C096eca3fdcca424ff1c708dcf932f947%7C7b09041e245149d08cb179d5e3d8c1be%7C0%7C0%7C638659244563361880%7CUnknown%7CTWFpbGZsb3d8eyJWIjoiMC4wLjAwMDAiLCJQIjoiV2luMzIiLCJBTiI6Ik1haWwiLCJXVCI6Mn0%3D%7C0%7C%7C%7C&amp;sdata=FF1vZobAbjk8Xf52XANo0qZhCal6l7PX7ytm4gNUzpI%3D&amp;reserved=0</vt:lpwstr>
      </vt:variant>
      <vt:variant>
        <vt:lpwstr/>
      </vt:variant>
      <vt:variant>
        <vt:i4>8257641</vt:i4>
      </vt:variant>
      <vt:variant>
        <vt:i4>6</vt:i4>
      </vt:variant>
      <vt:variant>
        <vt:i4>0</vt:i4>
      </vt:variant>
      <vt:variant>
        <vt:i4>5</vt:i4>
      </vt:variant>
      <vt:variant>
        <vt:lpwstr>https://nam02.safelinks.protection.outlook.com/?url=https%3A%2F%2Fwww.colombiacompra.gov.co%2Fcontent%2Fborrador-de-documentos-tipo-de-consultoria-de-obra-publica-de-infraestructura-de-transporte&amp;data=05%7C02%7Cjuan.montoya%40colombiacompra.gov.co%7C096eca3fdcca424ff1c708dcf932f947%7C7b09041e245149d08cb179d5e3d8c1be%7C0%7C0%7C638659244563336796%7CUnknown%7CTWFpbGZsb3d8eyJWIjoiMC4wLjAwMDAiLCJQIjoiV2luMzIiLCJBTiI6Ik1haWwiLCJXVCI6Mn0%3D%7C0%7C%7C%7C&amp;sdata=ACt0eZDE%2BWgdCZNXWRTvjmNKZTIAVcOoG8estYExi6M%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327806</vt:i4>
      </vt:variant>
      <vt:variant>
        <vt:i4>0</vt:i4>
      </vt:variant>
      <vt:variant>
        <vt:i4>0</vt:i4>
      </vt:variant>
      <vt:variant>
        <vt:i4>5</vt:i4>
      </vt:variant>
      <vt:variant>
        <vt:lpwstr>mailto:contactenos@sic.gov.co</vt:lpwstr>
      </vt:variant>
      <vt:variant>
        <vt:lpwstr/>
      </vt:variant>
      <vt:variant>
        <vt:i4>7209085</vt:i4>
      </vt:variant>
      <vt:variant>
        <vt:i4>3</vt:i4>
      </vt:variant>
      <vt:variant>
        <vt:i4>0</vt:i4>
      </vt:variant>
      <vt:variant>
        <vt:i4>5</vt:i4>
      </vt:variant>
      <vt:variant>
        <vt:lpwstr>https://colaboracion.dnp.gov.co/CDT/DNP/Soporte t%c3%a9cnico Ley del Vigilante.pdf</vt:lpwstr>
      </vt:variant>
      <vt:variant>
        <vt:lpwstr/>
      </vt:variant>
      <vt:variant>
        <vt:i4>7864369</vt:i4>
      </vt:variant>
      <vt:variant>
        <vt:i4>0</vt:i4>
      </vt:variant>
      <vt:variant>
        <vt:i4>0</vt:i4>
      </vt:variant>
      <vt:variant>
        <vt:i4>5</vt:i4>
      </vt:variant>
      <vt:variant>
        <vt:lpwstr>https://ec.europa.eu/environment/gpp/pdf/Buying-Green-Handbook-3rd-Edition.pdf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2</cp:revision>
  <cp:lastPrinted>2023-01-10T21:18:00Z</cp:lastPrinted>
  <dcterms:created xsi:type="dcterms:W3CDTF">2024-11-28T16:38:00Z</dcterms:created>
  <dcterms:modified xsi:type="dcterms:W3CDTF">2024-11-28T16:38:00Z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