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F3014" w14:textId="77777777" w:rsidR="005E1E7C" w:rsidRPr="00682C93" w:rsidRDefault="005E1E7C" w:rsidP="005E1E7C">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2F743B8B" w14:textId="77777777" w:rsidR="005E1E7C" w:rsidRDefault="005E1E7C" w:rsidP="005E1E7C">
      <w:pPr>
        <w:spacing w:after="0" w:line="240" w:lineRule="auto"/>
        <w:jc w:val="both"/>
        <w:rPr>
          <w:rFonts w:ascii="Verdana" w:hAnsi="Verdana" w:cs="Arial"/>
          <w:b/>
          <w:lang w:val="es-MX" w:eastAsia="es-ES_tradnl"/>
        </w:rPr>
      </w:pPr>
    </w:p>
    <w:p w14:paraId="191D19E4" w14:textId="77777777" w:rsidR="005E1E7C" w:rsidRDefault="005E1E7C" w:rsidP="005E1E7C">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0C7703DE" w14:textId="77777777" w:rsidR="005E1E7C" w:rsidRPr="00682C93" w:rsidRDefault="005E1E7C" w:rsidP="005E1E7C">
      <w:pPr>
        <w:spacing w:after="0" w:line="240" w:lineRule="auto"/>
        <w:jc w:val="both"/>
        <w:rPr>
          <w:rFonts w:ascii="Verdana" w:hAnsi="Verdana" w:cs="Arial"/>
          <w:b/>
          <w:sz w:val="20"/>
          <w:lang w:val="es-MX" w:eastAsia="es-ES_tradnl"/>
        </w:rPr>
      </w:pPr>
    </w:p>
    <w:p w14:paraId="4CDC0C6D" w14:textId="77777777" w:rsidR="005E1E7C" w:rsidRPr="00682C93" w:rsidRDefault="005E1E7C" w:rsidP="005E1E7C">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 límite</w:t>
      </w:r>
    </w:p>
    <w:p w14:paraId="30D594F4" w14:textId="77777777" w:rsidR="005E1E7C" w:rsidRDefault="005E1E7C" w:rsidP="005E1E7C">
      <w:pPr>
        <w:spacing w:after="0" w:line="240" w:lineRule="auto"/>
        <w:jc w:val="both"/>
        <w:rPr>
          <w:rFonts w:ascii="Verdana" w:hAnsi="Verdana" w:cs="Arial"/>
          <w:b/>
          <w:lang w:val="es-MX" w:eastAsia="es-ES_tradnl"/>
        </w:rPr>
      </w:pPr>
    </w:p>
    <w:p w14:paraId="0CC028F0" w14:textId="77777777" w:rsidR="005E1E7C" w:rsidRPr="00E41F23" w:rsidRDefault="005E1E7C" w:rsidP="005E1E7C">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2EF3FED" w14:textId="77777777" w:rsidR="005E1E7C" w:rsidRPr="00E41F23" w:rsidRDefault="005E1E7C" w:rsidP="005E1E7C">
      <w:pPr>
        <w:spacing w:after="0" w:line="240" w:lineRule="auto"/>
        <w:jc w:val="both"/>
        <w:rPr>
          <w:rFonts w:ascii="Verdana" w:eastAsia="Calibri" w:hAnsi="Verdana" w:cs="Arial"/>
          <w:sz w:val="20"/>
        </w:rPr>
      </w:pPr>
    </w:p>
    <w:p w14:paraId="6F743E89" w14:textId="77777777" w:rsidR="005E1E7C" w:rsidRDefault="005E1E7C" w:rsidP="005E1E7C">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59900CFF" w14:textId="77777777" w:rsidR="005E1E7C" w:rsidRPr="00E41F23" w:rsidRDefault="005E1E7C" w:rsidP="005E1E7C">
      <w:pPr>
        <w:widowControl w:val="0"/>
        <w:autoSpaceDE w:val="0"/>
        <w:autoSpaceDN w:val="0"/>
        <w:spacing w:after="0" w:line="240" w:lineRule="auto"/>
        <w:ind w:right="113"/>
        <w:jc w:val="both"/>
        <w:rPr>
          <w:rFonts w:ascii="Verdana" w:eastAsia="Arial" w:hAnsi="Verdana" w:cs="Arial"/>
          <w:sz w:val="20"/>
          <w:lang w:val="es-ES" w:eastAsia="es-ES" w:bidi="es-ES"/>
        </w:rPr>
      </w:pPr>
    </w:p>
    <w:p w14:paraId="064F7CF7" w14:textId="77777777" w:rsidR="005E1E7C" w:rsidRPr="00E41F23" w:rsidRDefault="005E1E7C" w:rsidP="005E1E7C">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279B98B" w14:textId="77777777" w:rsidR="005E1E7C" w:rsidRPr="00682C93" w:rsidRDefault="005E1E7C" w:rsidP="005E1E7C">
      <w:pPr>
        <w:spacing w:after="0" w:line="240" w:lineRule="auto"/>
        <w:jc w:val="both"/>
        <w:rPr>
          <w:rFonts w:ascii="Verdana" w:hAnsi="Verdana" w:cs="Arial"/>
          <w:b/>
          <w:lang w:val="es-ES" w:eastAsia="es-ES_tradnl"/>
        </w:rPr>
      </w:pPr>
    </w:p>
    <w:p w14:paraId="02CFCA9D" w14:textId="77777777" w:rsidR="005E1E7C" w:rsidRPr="00682C93" w:rsidRDefault="005E1E7C" w:rsidP="005E1E7C">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 Contratos y convenios interadministrativos – Criterio orgánico </w:t>
      </w:r>
    </w:p>
    <w:p w14:paraId="789C9697" w14:textId="77777777" w:rsidR="005E1E7C" w:rsidRDefault="005E1E7C" w:rsidP="005E1E7C">
      <w:pPr>
        <w:spacing w:after="0" w:line="240" w:lineRule="auto"/>
        <w:jc w:val="both"/>
        <w:rPr>
          <w:rFonts w:ascii="Verdana" w:hAnsi="Verdana" w:cs="Arial"/>
          <w:b/>
          <w:lang w:val="es-MX" w:eastAsia="es-ES_tradnl"/>
        </w:rPr>
      </w:pPr>
    </w:p>
    <w:p w14:paraId="2A4A097B" w14:textId="77777777" w:rsidR="005E1E7C" w:rsidRPr="00E41F23" w:rsidRDefault="005E1E7C" w:rsidP="005E1E7C">
      <w:pPr>
        <w:spacing w:after="0" w:line="240" w:lineRule="auto"/>
        <w:jc w:val="both"/>
        <w:rPr>
          <w:rFonts w:ascii="Verdana" w:eastAsia="Calibri" w:hAnsi="Verdana" w:cs="Arial"/>
          <w:sz w:val="20"/>
          <w:lang w:bidi="es-ES"/>
        </w:rPr>
      </w:pPr>
      <w:r w:rsidRPr="00E41F23">
        <w:rPr>
          <w:rFonts w:ascii="Verdana" w:eastAsia="Times New Roman" w:hAnsi="Verdana" w:cs="Arial"/>
          <w:sz w:val="20"/>
          <w:lang w:val="es-MX" w:eastAsia="x-none"/>
        </w:rPr>
        <w:lastRenderedPageBreak/>
        <w:t xml:space="preserve">Sobre este aspecto, es importante señalar que esta Subdirección, en los conceptos emitidos sobre la aplicación de la Ley de Garantías Electorales, ha defendido y mantenido la postura acerca de que la prohibición señalada en </w:t>
      </w:r>
      <w:r w:rsidRPr="00E41F23">
        <w:rPr>
          <w:rFonts w:ascii="Verdana" w:eastAsia="Arial" w:hAnsi="Verdana" w:cs="Arial"/>
          <w:sz w:val="20"/>
          <w:lang w:val="es-ES" w:eastAsia="es-ES" w:bidi="es-ES"/>
        </w:rPr>
        <w:t>e</w:t>
      </w:r>
      <w:r w:rsidRPr="00E41F23">
        <w:rPr>
          <w:rFonts w:ascii="Verdana" w:eastAsia="Calibri" w:hAnsi="Verdana" w:cs="Arial"/>
          <w:sz w:val="20"/>
        </w:rPr>
        <w:t xml:space="preserve">l parágrafo del artículo 38 cobija tanto a los convenios como a los contratos interadministrativos. Esta tesis se fundamenta en que </w:t>
      </w:r>
      <w:r w:rsidRPr="00E41F23">
        <w:rPr>
          <w:rFonts w:ascii="Verdana" w:eastAsia="Calibri" w:hAnsi="Verdana" w:cs="Arial"/>
          <w:sz w:val="20"/>
          <w:lang w:bidi="es-ES"/>
        </w:rPr>
        <w:t xml:space="preserve">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755A905E" w14:textId="77777777" w:rsidR="005E1E7C" w:rsidRPr="00682C93" w:rsidRDefault="005E1E7C" w:rsidP="005E1E7C">
      <w:pPr>
        <w:spacing w:after="0" w:line="240" w:lineRule="auto"/>
        <w:jc w:val="both"/>
        <w:rPr>
          <w:rFonts w:ascii="Verdana" w:hAnsi="Verdana" w:cs="Arial"/>
          <w:b/>
          <w:lang w:val="es-MX" w:eastAsia="es-ES_tradnl"/>
        </w:rPr>
      </w:pPr>
    </w:p>
    <w:p w14:paraId="2E615A70" w14:textId="77777777" w:rsidR="005E1E7C" w:rsidRDefault="005E1E7C" w:rsidP="005E1E7C">
      <w:pPr>
        <w:spacing w:after="0" w:line="240" w:lineRule="auto"/>
        <w:jc w:val="both"/>
        <w:rPr>
          <w:rFonts w:ascii="Verdana" w:hAnsi="Verdana" w:cs="Arial"/>
          <w:b/>
          <w:lang w:val="es-MX" w:eastAsia="es-ES_tradnl"/>
        </w:rPr>
      </w:pPr>
      <w:r w:rsidRPr="00682C93">
        <w:rPr>
          <w:rFonts w:ascii="Verdana" w:hAnsi="Verdana" w:cs="Arial"/>
          <w:b/>
          <w:lang w:val="es-MX" w:eastAsia="es-ES_tradnl"/>
        </w:rPr>
        <w:t>CONTRATOS Y CONVENIOS INTERADMINISTRATIVOS – Definición – Criterio org</w:t>
      </w:r>
      <w:r>
        <w:rPr>
          <w:rFonts w:ascii="Verdana" w:hAnsi="Verdana" w:cs="Arial"/>
          <w:b/>
          <w:lang w:val="es-MX" w:eastAsia="es-ES_tradnl"/>
        </w:rPr>
        <w:t>ánico</w:t>
      </w:r>
    </w:p>
    <w:p w14:paraId="67D750EE" w14:textId="77777777" w:rsidR="005E1E7C" w:rsidRDefault="005E1E7C" w:rsidP="005E1E7C">
      <w:pPr>
        <w:spacing w:after="0" w:line="240" w:lineRule="auto"/>
        <w:jc w:val="both"/>
        <w:rPr>
          <w:rFonts w:ascii="Verdana" w:hAnsi="Verdana" w:cs="Arial"/>
          <w:b/>
          <w:lang w:val="es-MX" w:eastAsia="es-ES_tradnl"/>
        </w:rPr>
      </w:pPr>
    </w:p>
    <w:p w14:paraId="4A4896EC" w14:textId="77777777" w:rsidR="005E1E7C" w:rsidRPr="003F2A9C" w:rsidRDefault="005E1E7C" w:rsidP="005E1E7C">
      <w:pPr>
        <w:spacing w:after="0" w:line="240" w:lineRule="auto"/>
        <w:jc w:val="both"/>
        <w:rPr>
          <w:rFonts w:ascii="Verdana" w:hAnsi="Verdana" w:cs="Arial"/>
          <w:b/>
          <w:lang w:val="es-MX" w:eastAsia="es-ES_tradnl"/>
        </w:rPr>
      </w:pPr>
      <w:r w:rsidRPr="003F2A9C">
        <w:rPr>
          <w:rFonts w:ascii="Verdana" w:eastAsia="Calibri" w:hAnsi="Verdana" w:cs="Arial"/>
          <w:sz w:val="20"/>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3F2A9C">
        <w:rPr>
          <w:rFonts w:ascii="Verdana" w:eastAsia="Arial" w:hAnsi="Verdana" w:cs="Arial"/>
          <w:sz w:val="20"/>
          <w:lang w:val="es-ES" w:eastAsia="es-ES"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w:t>
      </w:r>
      <w:r>
        <w:rPr>
          <w:rFonts w:ascii="Verdana" w:eastAsia="Arial" w:hAnsi="Verdana" w:cs="Arial"/>
          <w:sz w:val="20"/>
          <w:lang w:val="es-ES" w:eastAsia="es-ES" w:bidi="es-ES"/>
        </w:rPr>
        <w:t>eradministrativos</w:t>
      </w:r>
      <w:r w:rsidRPr="003F2A9C">
        <w:rPr>
          <w:rFonts w:ascii="Verdana" w:eastAsia="Arial" w:hAnsi="Verdana" w:cs="Arial"/>
          <w:sz w:val="20"/>
          <w:lang w:val="es-ES" w:eastAsia="es-ES" w:bidi="es-ES"/>
        </w:rPr>
        <w:t>.</w:t>
      </w:r>
    </w:p>
    <w:p w14:paraId="5DD2BB1E" w14:textId="77777777" w:rsidR="005E1E7C" w:rsidRPr="003F2A9C" w:rsidRDefault="005E1E7C" w:rsidP="005E1E7C">
      <w:pPr>
        <w:spacing w:after="0" w:line="240" w:lineRule="auto"/>
        <w:jc w:val="both"/>
        <w:rPr>
          <w:rFonts w:ascii="Verdana" w:eastAsia="Calibri" w:hAnsi="Verdana" w:cs="Arial"/>
          <w:sz w:val="20"/>
          <w:lang w:bidi="es-ES"/>
        </w:rPr>
      </w:pPr>
    </w:p>
    <w:p w14:paraId="78615080" w14:textId="77777777" w:rsidR="005E1E7C" w:rsidRDefault="005E1E7C" w:rsidP="005E1E7C">
      <w:pPr>
        <w:spacing w:after="0" w:line="240" w:lineRule="auto"/>
        <w:jc w:val="both"/>
        <w:rPr>
          <w:rFonts w:ascii="Verdana" w:eastAsia="Arial" w:hAnsi="Verdana" w:cs="Arial"/>
          <w:sz w:val="20"/>
          <w:lang w:val="es-ES" w:eastAsia="es-ES" w:bidi="es-ES"/>
        </w:rPr>
      </w:pPr>
      <w:r w:rsidRPr="003F2A9C">
        <w:rPr>
          <w:rFonts w:ascii="Verdana" w:eastAsia="Calibri" w:hAnsi="Verdana" w:cs="Arial"/>
          <w:sz w:val="20"/>
          <w:lang w:val="es-ES" w:bidi="es-ES"/>
        </w:rPr>
        <w:t>De este modo, en la Circular Externa</w:t>
      </w:r>
      <w:r w:rsidRPr="003F2A9C">
        <w:rPr>
          <w:rFonts w:ascii="Verdana" w:eastAsia="Arial" w:hAnsi="Verdana" w:cs="Arial"/>
          <w:sz w:val="20"/>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w:t>
      </w:r>
      <w:r>
        <w:rPr>
          <w:rFonts w:ascii="Verdana" w:eastAsia="Arial" w:hAnsi="Verdana" w:cs="Arial"/>
          <w:sz w:val="20"/>
          <w:lang w:val="es-ES" w:eastAsia="es-ES" w:bidi="es-ES"/>
        </w:rPr>
        <w:t>.</w:t>
      </w:r>
    </w:p>
    <w:p w14:paraId="485A4033" w14:textId="77777777" w:rsidR="005E1E7C" w:rsidRDefault="005E1E7C" w:rsidP="005E1E7C">
      <w:pPr>
        <w:spacing w:after="0"/>
        <w:rPr>
          <w:rFonts w:ascii="Verdana" w:hAnsi="Verdana"/>
        </w:rPr>
      </w:pPr>
    </w:p>
    <w:p w14:paraId="495DCE8D" w14:textId="77777777" w:rsidR="005E1E7C" w:rsidRDefault="005E1E7C" w:rsidP="005E1E7C">
      <w:pPr>
        <w:spacing w:after="0"/>
        <w:jc w:val="both"/>
        <w:rPr>
          <w:rFonts w:ascii="Verdana" w:hAnsi="Verdana"/>
          <w:b/>
        </w:rPr>
      </w:pPr>
      <w:r w:rsidRPr="00206CC8">
        <w:rPr>
          <w:rFonts w:ascii="Verdana" w:hAnsi="Verdana" w:cs="Arial"/>
          <w:b/>
          <w:lang w:val="es-MX" w:eastAsia="es-ES_tradnl"/>
        </w:rPr>
        <w:t>CONTRATOS Y CONVENIOS INTERADMINISTRATIVOS – Circular Externa Única – Auto de suspensión –numeral 16.2.</w:t>
      </w:r>
    </w:p>
    <w:p w14:paraId="2EC9D1E3" w14:textId="77777777" w:rsidR="005E1E7C" w:rsidRDefault="005E1E7C" w:rsidP="005E1E7C">
      <w:pPr>
        <w:spacing w:after="0"/>
        <w:jc w:val="both"/>
        <w:rPr>
          <w:rFonts w:ascii="Verdana" w:hAnsi="Verdana"/>
          <w:b/>
        </w:rPr>
      </w:pPr>
    </w:p>
    <w:p w14:paraId="0F85C311" w14:textId="77777777" w:rsidR="005E1E7C" w:rsidRPr="00206CC8" w:rsidRDefault="005E1E7C" w:rsidP="005E1E7C">
      <w:pPr>
        <w:spacing w:after="0" w:line="240" w:lineRule="auto"/>
        <w:jc w:val="both"/>
        <w:rPr>
          <w:rFonts w:ascii="Verdana" w:hAnsi="Verdana"/>
          <w:sz w:val="18"/>
          <w:szCs w:val="20"/>
        </w:rPr>
      </w:pPr>
      <w:r w:rsidRPr="00206CC8">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sidRPr="00206CC8">
        <w:rPr>
          <w:rFonts w:ascii="Verdana" w:hAnsi="Verdana"/>
          <w:sz w:val="20"/>
        </w:rPr>
        <w:t>numeral 16.2 de la Circular Externa Única de 2022 expedida por la Agencia Nacional de Contratación Pública -Colombia Compra Eficiente-, concretamente, respecto de los siguientes apartes normativos</w:t>
      </w:r>
      <w:r w:rsidRPr="00206CC8">
        <w:rPr>
          <w:rFonts w:ascii="Verdana" w:hAnsi="Verdana"/>
          <w:sz w:val="18"/>
          <w:szCs w:val="20"/>
        </w:rPr>
        <w:t xml:space="preserve"> </w:t>
      </w:r>
    </w:p>
    <w:p w14:paraId="19990F3C" w14:textId="77777777" w:rsidR="005E1E7C" w:rsidRPr="00206CC8" w:rsidRDefault="005E1E7C" w:rsidP="005E1E7C">
      <w:pPr>
        <w:spacing w:after="0" w:line="240" w:lineRule="auto"/>
        <w:ind w:left="709" w:right="709"/>
        <w:jc w:val="both"/>
        <w:rPr>
          <w:rFonts w:ascii="Verdana" w:hAnsi="Verdana"/>
          <w:sz w:val="20"/>
        </w:rPr>
      </w:pPr>
    </w:p>
    <w:p w14:paraId="1FEA4325" w14:textId="77777777" w:rsidR="005E1E7C" w:rsidRDefault="005E1E7C" w:rsidP="005E1E7C">
      <w:pPr>
        <w:spacing w:after="0" w:line="240" w:lineRule="auto"/>
        <w:jc w:val="both"/>
        <w:rPr>
          <w:rFonts w:ascii="Verdana" w:eastAsia="Arial" w:hAnsi="Verdana" w:cs="Arial"/>
          <w:i/>
          <w:iCs/>
          <w:sz w:val="20"/>
          <w:lang w:eastAsia="es-ES" w:bidi="es-ES"/>
        </w:rPr>
      </w:pPr>
      <w:r w:rsidRPr="00206CC8">
        <w:rPr>
          <w:rFonts w:ascii="Verdana" w:eastAsia="Arial" w:hAnsi="Verdana" w:cs="Arial"/>
          <w:sz w:val="20"/>
          <w:lang w:val="es-MX" w:eastAsia="es-ES" w:bidi="es-ES"/>
        </w:rPr>
        <w:t xml:space="preserve">De conformidad con los argumentos de dicha providencia, se parte de la distinción entre los conceptos </w:t>
      </w:r>
      <w:r w:rsidRPr="00206CC8">
        <w:rPr>
          <w:rFonts w:ascii="Verdana" w:eastAsia="Arial" w:hAnsi="Verdana" w:cs="Arial"/>
          <w:sz w:val="20"/>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206CC8">
        <w:rPr>
          <w:rFonts w:ascii="Verdana" w:eastAsia="Arial" w:hAnsi="Verdana" w:cs="Arial"/>
          <w:i/>
          <w:iCs/>
          <w:sz w:val="20"/>
          <w:lang w:eastAsia="es-ES" w:bidi="es-ES"/>
        </w:rPr>
        <w:t xml:space="preserve">“si el </w:t>
      </w:r>
      <w:r w:rsidRPr="00206CC8">
        <w:rPr>
          <w:rFonts w:ascii="Verdana" w:eastAsia="Arial" w:hAnsi="Verdana" w:cs="Arial"/>
          <w:i/>
          <w:iCs/>
          <w:sz w:val="20"/>
          <w:lang w:eastAsia="es-ES" w:bidi="es-ES"/>
        </w:rPr>
        <w:lastRenderedPageBreak/>
        <w:t xml:space="preserve">legislador no diferenció al establecer la prohibición o la restricción, mal haría el reglamento en aplicar un efecto expansivo o extensivo para incluir una categoría no cobijada con la limitación, (…)”. </w:t>
      </w:r>
      <w:r w:rsidRPr="00206CC8">
        <w:rPr>
          <w:rFonts w:ascii="Verdana" w:eastAsia="Arial" w:hAnsi="Verdana" w:cs="Arial"/>
          <w:sz w:val="20"/>
          <w:lang w:eastAsia="es-ES" w:bidi="es-ES"/>
        </w:rPr>
        <w:t xml:space="preserve">Por tal motivo, para efectos de decretar la medida de suspensión provisional de los apartes señalados del numeral 16.2 de la Circular Externa Única, argumentó que </w:t>
      </w:r>
      <w:r w:rsidRPr="00206CC8">
        <w:rPr>
          <w:rFonts w:ascii="Verdana" w:eastAsia="Arial" w:hAnsi="Verdana" w:cs="Arial"/>
          <w:i/>
          <w:iCs/>
          <w:sz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791EADD1" w14:textId="77777777" w:rsidR="005E1E7C" w:rsidRPr="00206CC8" w:rsidRDefault="005E1E7C" w:rsidP="005E1E7C">
      <w:pPr>
        <w:spacing w:after="0" w:line="240" w:lineRule="auto"/>
        <w:jc w:val="both"/>
        <w:rPr>
          <w:rFonts w:ascii="Verdana" w:eastAsia="Arial" w:hAnsi="Verdana" w:cs="Arial"/>
          <w:i/>
          <w:iCs/>
          <w:sz w:val="20"/>
          <w:lang w:val="es-MX" w:eastAsia="es-ES" w:bidi="es-ES"/>
        </w:rPr>
      </w:pPr>
    </w:p>
    <w:p w14:paraId="28FF20CA" w14:textId="77777777" w:rsidR="005E1E7C" w:rsidRPr="00206CC8" w:rsidRDefault="005E1E7C" w:rsidP="005E1E7C">
      <w:pPr>
        <w:spacing w:after="0" w:line="240" w:lineRule="auto"/>
        <w:jc w:val="both"/>
        <w:rPr>
          <w:rFonts w:ascii="Verdana" w:eastAsia="Calibri" w:hAnsi="Verdana" w:cs="Arial"/>
          <w:sz w:val="20"/>
          <w:lang w:val="es-MX"/>
        </w:rPr>
      </w:pPr>
      <w:r w:rsidRPr="00206CC8">
        <w:rPr>
          <w:rFonts w:ascii="Verdana" w:eastAsia="Arial" w:hAnsi="Verdana" w:cs="Arial"/>
          <w:sz w:val="20"/>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206CC8">
        <w:rPr>
          <w:rFonts w:ascii="Verdana" w:eastAsia="Arial" w:hAnsi="Verdana" w:cs="Arial"/>
          <w:sz w:val="20"/>
          <w:lang w:eastAsia="es-ES" w:bidi="es-ES"/>
        </w:rPr>
        <w:t>16.2 de la Circular Externa Única</w:t>
      </w:r>
      <w:r w:rsidRPr="00206CC8">
        <w:rPr>
          <w:rFonts w:ascii="Verdana" w:eastAsia="Arial" w:hAnsi="Verdana" w:cs="Arial"/>
          <w:sz w:val="20"/>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206CC8">
        <w:rPr>
          <w:rFonts w:ascii="Verdana" w:eastAsia="Times New Roman" w:hAnsi="Verdana" w:cs="Arial"/>
          <w:sz w:val="20"/>
          <w:lang w:val="es-MX" w:eastAsia="es-CO"/>
        </w:rPr>
        <w:t xml:space="preserve">evitar cualquier tipo de arbitrariedad, de ventaja injustificada, de uso irregular de los recursos del Estado en las campañas políticas, o que </w:t>
      </w:r>
      <w:r w:rsidRPr="00206CC8">
        <w:rPr>
          <w:rFonts w:ascii="Verdana" w:eastAsia="Calibri" w:hAnsi="Verdana" w:cs="Arial"/>
          <w:sz w:val="20"/>
          <w:lang w:val="es-MX"/>
        </w:rPr>
        <w:t xml:space="preserve">los recursos del Estado se ejecuten para lograr apoyos indebidos mediante la suscripción de contratos y/o convenios, que para efectos de la Ley de Garantías tienen la misma connotación y propósitos. </w:t>
      </w:r>
    </w:p>
    <w:p w14:paraId="0B1FF374" w14:textId="77777777" w:rsidR="005E1E7C" w:rsidRDefault="005E1E7C" w:rsidP="00A279FC">
      <w:pPr>
        <w:spacing w:after="0"/>
        <w:rPr>
          <w:rFonts w:ascii="Verdana" w:hAnsi="Verdana"/>
        </w:rPr>
      </w:pPr>
    </w:p>
    <w:p w14:paraId="1DBD0C39" w14:textId="77777777" w:rsidR="005E1E7C" w:rsidRPr="00682C93" w:rsidRDefault="005E1E7C" w:rsidP="005E1E7C">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 Prohibición artículo 33 – Contratación directa – Alcance </w:t>
      </w:r>
    </w:p>
    <w:p w14:paraId="788A9589" w14:textId="77777777" w:rsidR="005E1E7C" w:rsidRDefault="005E1E7C" w:rsidP="005E1E7C">
      <w:pPr>
        <w:spacing w:after="0" w:line="240" w:lineRule="auto"/>
        <w:jc w:val="both"/>
        <w:rPr>
          <w:rFonts w:ascii="Verdana" w:hAnsi="Verdana" w:cs="Arial"/>
          <w:b/>
          <w:lang w:val="es-MX" w:eastAsia="es-ES_tradnl"/>
        </w:rPr>
      </w:pPr>
    </w:p>
    <w:p w14:paraId="779796C3" w14:textId="77777777" w:rsidR="005E1E7C" w:rsidRPr="00E41F23" w:rsidRDefault="005E1E7C" w:rsidP="005E1E7C">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0D7FA98F" w14:textId="77777777" w:rsidR="005E1E7C" w:rsidRPr="00E41F23" w:rsidRDefault="005E1E7C" w:rsidP="005E1E7C">
      <w:pPr>
        <w:spacing w:after="0" w:line="240" w:lineRule="auto"/>
        <w:jc w:val="both"/>
        <w:rPr>
          <w:rFonts w:ascii="Verdana" w:hAnsi="Verdana" w:cs="Arial"/>
          <w:b/>
          <w:lang w:eastAsia="es-ES_tradnl"/>
        </w:rPr>
      </w:pPr>
    </w:p>
    <w:p w14:paraId="75988A05" w14:textId="77777777" w:rsidR="005E1E7C" w:rsidRPr="00682C93" w:rsidRDefault="005E1E7C" w:rsidP="005E1E7C">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77F3CF0F" w14:textId="77777777" w:rsidR="005E1E7C" w:rsidRPr="00E41F23" w:rsidRDefault="005E1E7C" w:rsidP="005E1E7C">
      <w:pPr>
        <w:spacing w:after="0" w:line="240" w:lineRule="auto"/>
        <w:jc w:val="both"/>
        <w:rPr>
          <w:rFonts w:ascii="Verdana" w:hAnsi="Verdana" w:cs="Arial"/>
          <w:b/>
          <w:sz w:val="20"/>
          <w:lang w:val="es-MX" w:eastAsia="es-ES_tradnl"/>
        </w:rPr>
      </w:pPr>
    </w:p>
    <w:p w14:paraId="5F5B6C5B" w14:textId="77777777" w:rsidR="005E1E7C" w:rsidRPr="00E41F23" w:rsidRDefault="005E1E7C" w:rsidP="005E1E7C">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xml:space="preserve">) los utilizados para la reconstrucción de vías, puentes, carreteras, infraestructura energética y de comunicaciones, en caso de que hayan sido objeto de </w:t>
      </w:r>
      <w:r w:rsidRPr="00E41F23">
        <w:rPr>
          <w:rFonts w:ascii="Verdana" w:eastAsia="Times New Roman" w:hAnsi="Verdana" w:cs="Arial"/>
          <w:bCs/>
          <w:sz w:val="20"/>
          <w:lang w:val="es-MX" w:eastAsia="x-none"/>
        </w:rPr>
        <w:lastRenderedPageBreak/>
        <w:t>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158CD47" w14:textId="77777777" w:rsidR="005E1E7C" w:rsidRPr="00682C93" w:rsidRDefault="005E1E7C" w:rsidP="005E1E7C">
      <w:pPr>
        <w:spacing w:after="0" w:line="240" w:lineRule="auto"/>
        <w:jc w:val="both"/>
        <w:rPr>
          <w:rFonts w:ascii="Verdana" w:hAnsi="Verdana" w:cs="Arial"/>
          <w:b/>
          <w:lang w:val="es-MX" w:eastAsia="es-ES_tradnl"/>
        </w:rPr>
      </w:pPr>
    </w:p>
    <w:p w14:paraId="56C7FE0C" w14:textId="77777777" w:rsidR="005E1E7C" w:rsidRPr="00682C93" w:rsidRDefault="005E1E7C" w:rsidP="005E1E7C">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516A09B8" w14:textId="77777777" w:rsidR="005E1E7C" w:rsidRDefault="005E1E7C" w:rsidP="005E1E7C">
      <w:pPr>
        <w:spacing w:after="0"/>
        <w:rPr>
          <w:rFonts w:ascii="Verdana" w:hAnsi="Verdana" w:cs="Arial"/>
          <w:lang w:val="es-MX" w:eastAsia="es-ES_tradnl"/>
        </w:rPr>
      </w:pPr>
    </w:p>
    <w:p w14:paraId="6C03BF3E" w14:textId="7AA7F19D" w:rsidR="005E1E7C" w:rsidRDefault="005E1E7C" w:rsidP="005E1E7C">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17ED1464" w14:textId="5F5A557A" w:rsidR="005E1E7C" w:rsidRDefault="005E1E7C" w:rsidP="005E1E7C">
      <w:pPr>
        <w:spacing w:after="0" w:line="240" w:lineRule="auto"/>
        <w:jc w:val="both"/>
        <w:rPr>
          <w:rFonts w:ascii="Verdana" w:eastAsia="Calibri" w:hAnsi="Verdana" w:cs="Arial"/>
          <w:sz w:val="20"/>
          <w:lang w:val="es-MX"/>
        </w:rPr>
      </w:pPr>
    </w:p>
    <w:p w14:paraId="278E2182" w14:textId="3DD91A5F" w:rsidR="005E1E7C" w:rsidRPr="005E1E7C" w:rsidRDefault="005E1E7C" w:rsidP="005E1E7C">
      <w:pPr>
        <w:spacing w:after="0" w:line="240" w:lineRule="auto"/>
        <w:jc w:val="both"/>
        <w:rPr>
          <w:rFonts w:ascii="Verdana" w:eastAsia="Calibri" w:hAnsi="Verdana" w:cs="Arial"/>
          <w:b/>
          <w:sz w:val="20"/>
          <w:lang w:val="es-MX"/>
        </w:rPr>
      </w:pPr>
      <w:r w:rsidRPr="005E1E7C">
        <w:rPr>
          <w:rFonts w:ascii="Verdana" w:hAnsi="Verdana" w:cs="Arial"/>
          <w:b/>
          <w:lang w:val="es-MX" w:eastAsia="es-ES_tradnl"/>
        </w:rPr>
        <w:t>LEY DE GARANTÍAS ELECTORALES – Condiciones de igualdad – Contratación directa.</w:t>
      </w:r>
    </w:p>
    <w:p w14:paraId="10D74D2E" w14:textId="268B2991" w:rsidR="005E1E7C" w:rsidRDefault="005E1E7C" w:rsidP="005E1E7C">
      <w:pPr>
        <w:spacing w:after="0" w:line="240" w:lineRule="auto"/>
        <w:jc w:val="both"/>
        <w:rPr>
          <w:rFonts w:ascii="Verdana" w:eastAsia="Calibri" w:hAnsi="Verdana" w:cs="Arial"/>
          <w:sz w:val="20"/>
          <w:lang w:val="es-MX"/>
        </w:rPr>
      </w:pPr>
    </w:p>
    <w:p w14:paraId="4739BB14" w14:textId="77777777" w:rsidR="005E1E7C" w:rsidRPr="005E1E7C" w:rsidRDefault="005E1E7C" w:rsidP="005E1E7C">
      <w:pPr>
        <w:spacing w:after="0" w:line="240" w:lineRule="auto"/>
        <w:jc w:val="both"/>
        <w:rPr>
          <w:rFonts w:ascii="Verdana" w:eastAsia="Calibri" w:hAnsi="Verdana" w:cs="Arial"/>
          <w:bCs/>
          <w:sz w:val="20"/>
          <w:lang w:val="es-MX"/>
        </w:rPr>
      </w:pPr>
      <w:r w:rsidRPr="005E1E7C">
        <w:rPr>
          <w:rFonts w:ascii="Verdana" w:eastAsia="Calibri" w:hAnsi="Verdana" w:cs="Arial"/>
          <w:bCs/>
          <w:sz w:val="20"/>
          <w:lang w:val="es-MX"/>
        </w:rPr>
        <w:t xml:space="preserve">En tal sentido, atendiendo al desarrollo realizado de la prohibición establecida en el artículo 33 de la Ley de Garantías Electorales y señalados algunos pronunciamientos relevantes en la materia, le compete a cada entidad estatal que considera celebrar un contrato específico, definir si este se enmarca en la prohibición establecida en el artículo 33 que restringe la contratación directa en el periodo preelectoral a las elecciones presidenciales. Lo anterior, adicionalmente, teniendo en cuenta las excepciones a la prohibición establecidas en el inciso segundo del mismo artículo 33. Además,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43C676D1" w14:textId="2AF42F47" w:rsidR="005E1E7C" w:rsidRDefault="005E1E7C" w:rsidP="005E1E7C">
      <w:pPr>
        <w:spacing w:after="0" w:line="240" w:lineRule="auto"/>
        <w:jc w:val="both"/>
        <w:rPr>
          <w:rFonts w:ascii="Verdana" w:eastAsia="Calibri" w:hAnsi="Verdana" w:cs="Arial"/>
          <w:sz w:val="20"/>
          <w:lang w:val="es-MX"/>
        </w:rPr>
      </w:pPr>
    </w:p>
    <w:p w14:paraId="74C6713C" w14:textId="7FDBC505" w:rsidR="005E1E7C" w:rsidRDefault="005E1E7C" w:rsidP="005E1E7C">
      <w:pPr>
        <w:spacing w:after="0" w:line="240" w:lineRule="auto"/>
        <w:jc w:val="both"/>
        <w:rPr>
          <w:rFonts w:ascii="Verdana" w:eastAsia="Calibri" w:hAnsi="Verdana" w:cs="Arial"/>
          <w:sz w:val="20"/>
          <w:lang w:val="es-MX"/>
        </w:rPr>
      </w:pPr>
    </w:p>
    <w:p w14:paraId="2D223FDD" w14:textId="670BD5FC" w:rsidR="005E1E7C" w:rsidRDefault="005E1E7C" w:rsidP="005E1E7C">
      <w:pPr>
        <w:spacing w:after="0" w:line="240" w:lineRule="auto"/>
        <w:jc w:val="both"/>
        <w:rPr>
          <w:rFonts w:ascii="Verdana" w:eastAsia="Calibri" w:hAnsi="Verdana" w:cs="Arial"/>
          <w:sz w:val="20"/>
          <w:lang w:val="es-MX"/>
        </w:rPr>
      </w:pPr>
    </w:p>
    <w:p w14:paraId="4C1D0488" w14:textId="2202401C" w:rsidR="005E1E7C" w:rsidRDefault="005E1E7C" w:rsidP="005E1E7C">
      <w:pPr>
        <w:spacing w:after="0" w:line="240" w:lineRule="auto"/>
        <w:jc w:val="both"/>
        <w:rPr>
          <w:rFonts w:ascii="Verdana" w:eastAsia="Calibri" w:hAnsi="Verdana" w:cs="Arial"/>
          <w:sz w:val="20"/>
          <w:lang w:val="es-MX"/>
        </w:rPr>
      </w:pPr>
    </w:p>
    <w:p w14:paraId="4B624019" w14:textId="289D622B" w:rsidR="005E1E7C" w:rsidRDefault="005E1E7C" w:rsidP="005E1E7C">
      <w:pPr>
        <w:spacing w:after="0" w:line="240" w:lineRule="auto"/>
        <w:jc w:val="both"/>
        <w:rPr>
          <w:rFonts w:ascii="Verdana" w:eastAsia="Calibri" w:hAnsi="Verdana" w:cs="Arial"/>
          <w:sz w:val="20"/>
          <w:lang w:val="es-MX"/>
        </w:rPr>
      </w:pPr>
    </w:p>
    <w:p w14:paraId="78EED01B" w14:textId="45CCCF07" w:rsidR="005E1E7C" w:rsidRPr="00E41F23" w:rsidRDefault="005E1E7C" w:rsidP="005E1E7C">
      <w:pPr>
        <w:spacing w:after="0" w:line="240" w:lineRule="auto"/>
        <w:jc w:val="both"/>
        <w:rPr>
          <w:rFonts w:ascii="Verdana" w:hAnsi="Verdana" w:cs="Arial"/>
          <w:sz w:val="20"/>
          <w:lang w:val="es-MX" w:eastAsia="es-ES_tradnl"/>
        </w:rPr>
      </w:pPr>
    </w:p>
    <w:p w14:paraId="1B6146E1" w14:textId="60CBF26C" w:rsidR="00A279FC" w:rsidRPr="0044528D" w:rsidRDefault="00F11753" w:rsidP="00A279FC">
      <w:pPr>
        <w:spacing w:after="0"/>
        <w:rPr>
          <w:rFonts w:ascii="Verdana" w:hAnsi="Verdana"/>
        </w:rPr>
      </w:pPr>
      <w:r>
        <w:rPr>
          <w:rFonts w:ascii="Verdana" w:hAnsi="Verdana"/>
        </w:rPr>
        <w:lastRenderedPageBreak/>
        <w:t>Bogotá D.C., 14 de julio de 2025</w:t>
      </w:r>
      <w:r w:rsidR="00A279FC" w:rsidRPr="0044528D">
        <w:rPr>
          <w:rFonts w:ascii="Verdana" w:hAnsi="Verdana"/>
        </w:rPr>
        <w:tab/>
      </w:r>
    </w:p>
    <w:p w14:paraId="7DE8E8F2" w14:textId="6FED29CE" w:rsidR="00A279FC" w:rsidRDefault="005E1E7C" w:rsidP="00A279FC">
      <w:pPr>
        <w:spacing w:after="0"/>
        <w:rPr>
          <w:rFonts w:ascii="Verdana" w:hAnsi="Verdana"/>
        </w:rPr>
      </w:pPr>
      <w:r>
        <w:rPr>
          <w:noProof/>
          <w:lang w:val="en-US"/>
        </w:rPr>
        <w:drawing>
          <wp:anchor distT="0" distB="0" distL="114300" distR="114300" simplePos="0" relativeHeight="251658240" behindDoc="0" locked="0" layoutInCell="1" allowOverlap="1" wp14:anchorId="47EC31E8" wp14:editId="3A3FC272">
            <wp:simplePos x="0" y="0"/>
            <wp:positionH relativeFrom="margin">
              <wp:align>right</wp:align>
            </wp:positionH>
            <wp:positionV relativeFrom="paragraph">
              <wp:posOffset>18415</wp:posOffset>
            </wp:positionV>
            <wp:extent cx="2686050" cy="74676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86050" cy="746760"/>
                    </a:xfrm>
                    <a:prstGeom prst="rect">
                      <a:avLst/>
                    </a:prstGeom>
                  </pic:spPr>
                </pic:pic>
              </a:graphicData>
            </a:graphic>
          </wp:anchor>
        </w:drawing>
      </w:r>
    </w:p>
    <w:p w14:paraId="6B3D897E" w14:textId="77777777" w:rsidR="00A279FC" w:rsidRPr="007215D5" w:rsidRDefault="00A279FC" w:rsidP="00A279FC">
      <w:pPr>
        <w:spacing w:after="0"/>
        <w:rPr>
          <w:rFonts w:ascii="Verdana" w:hAnsi="Verdana"/>
        </w:rPr>
      </w:pPr>
    </w:p>
    <w:p w14:paraId="32D09119" w14:textId="77777777" w:rsidR="00A279FC" w:rsidRPr="007215D5" w:rsidRDefault="00A279FC" w:rsidP="00A279FC">
      <w:pPr>
        <w:spacing w:after="0" w:line="240" w:lineRule="auto"/>
        <w:rPr>
          <w:rFonts w:ascii="Verdana" w:eastAsia="Calibri" w:hAnsi="Verdana" w:cs="Times New Roman"/>
          <w:lang w:val="es-MX"/>
        </w:rPr>
      </w:pPr>
      <w:r>
        <w:rPr>
          <w:rFonts w:ascii="Verdana" w:eastAsia="Calibri" w:hAnsi="Verdana" w:cs="Times New Roman"/>
          <w:lang w:val="es-MX"/>
        </w:rPr>
        <w:t>Doctora</w:t>
      </w:r>
    </w:p>
    <w:p w14:paraId="065B3C56" w14:textId="77777777" w:rsidR="00A279FC" w:rsidRPr="00454F08" w:rsidRDefault="00A279FC" w:rsidP="00A279FC">
      <w:pPr>
        <w:spacing w:after="0" w:line="240" w:lineRule="auto"/>
        <w:rPr>
          <w:rFonts w:ascii="Verdana" w:eastAsia="Calibri" w:hAnsi="Verdana" w:cs="Times New Roman"/>
          <w:b/>
          <w:lang w:val="es-MX"/>
        </w:rPr>
      </w:pPr>
      <w:r w:rsidRPr="00A019A9">
        <w:rPr>
          <w:rFonts w:ascii="Verdana" w:eastAsia="Calibri" w:hAnsi="Verdana" w:cs="Times New Roman"/>
          <w:b/>
          <w:lang w:val="es-MX"/>
        </w:rPr>
        <w:t xml:space="preserve">Nicole Andrea </w:t>
      </w:r>
      <w:proofErr w:type="spellStart"/>
      <w:r w:rsidRPr="00A019A9">
        <w:rPr>
          <w:rFonts w:ascii="Verdana" w:eastAsia="Calibri" w:hAnsi="Verdana" w:cs="Times New Roman"/>
          <w:b/>
          <w:lang w:val="es-MX"/>
        </w:rPr>
        <w:t>Paez</w:t>
      </w:r>
      <w:proofErr w:type="spellEnd"/>
      <w:r w:rsidRPr="00A019A9">
        <w:rPr>
          <w:rFonts w:ascii="Verdana" w:eastAsia="Calibri" w:hAnsi="Verdana" w:cs="Times New Roman"/>
          <w:b/>
          <w:lang w:val="es-MX"/>
        </w:rPr>
        <w:t xml:space="preserve"> Aldana</w:t>
      </w:r>
      <w:r w:rsidRPr="007215D5">
        <w:rPr>
          <w:rFonts w:ascii="Verdana" w:eastAsia="Calibri" w:hAnsi="Verdana" w:cs="Times New Roman"/>
          <w:b/>
          <w:lang w:val="es-MX"/>
        </w:rPr>
        <w:t xml:space="preserve"> </w:t>
      </w:r>
    </w:p>
    <w:p w14:paraId="752650F5" w14:textId="77777777" w:rsidR="00A279FC" w:rsidRDefault="00A279FC" w:rsidP="00A279FC">
      <w:pPr>
        <w:spacing w:after="0" w:line="240" w:lineRule="auto"/>
        <w:rPr>
          <w:rFonts w:ascii="Verdana" w:eastAsia="Calibri" w:hAnsi="Verdana" w:cs="Times New Roman"/>
        </w:rPr>
      </w:pPr>
      <w:r>
        <w:rPr>
          <w:rFonts w:ascii="Verdana" w:eastAsia="Calibri" w:hAnsi="Verdana" w:cs="Times New Roman"/>
        </w:rPr>
        <w:t>Subgerente de Protección Social</w:t>
      </w:r>
    </w:p>
    <w:p w14:paraId="59FCBD2A" w14:textId="77777777" w:rsidR="00A279FC" w:rsidRDefault="00A279FC" w:rsidP="00A279FC">
      <w:pPr>
        <w:spacing w:after="0" w:line="240" w:lineRule="auto"/>
        <w:rPr>
          <w:rFonts w:ascii="Verdana" w:eastAsia="Calibri" w:hAnsi="Verdana" w:cs="Times New Roman"/>
        </w:rPr>
      </w:pPr>
      <w:proofErr w:type="spellStart"/>
      <w:r>
        <w:rPr>
          <w:rFonts w:ascii="Verdana" w:eastAsia="Calibri" w:hAnsi="Verdana" w:cs="Times New Roman"/>
        </w:rPr>
        <w:t>Beneficiencia</w:t>
      </w:r>
      <w:proofErr w:type="spellEnd"/>
      <w:r>
        <w:rPr>
          <w:rFonts w:ascii="Verdana" w:eastAsia="Calibri" w:hAnsi="Verdana" w:cs="Times New Roman"/>
        </w:rPr>
        <w:t xml:space="preserve"> de Cundinamarca</w:t>
      </w:r>
    </w:p>
    <w:p w14:paraId="4FF1DF54" w14:textId="77777777" w:rsidR="00A279FC" w:rsidRDefault="00A279FC" w:rsidP="00A279FC">
      <w:pPr>
        <w:spacing w:after="0" w:line="240" w:lineRule="auto"/>
        <w:rPr>
          <w:rFonts w:ascii="Verdana" w:eastAsia="Calibri" w:hAnsi="Verdana" w:cs="Times New Roman"/>
        </w:rPr>
      </w:pPr>
      <w:r w:rsidRPr="00A019A9">
        <w:rPr>
          <w:rFonts w:ascii="Verdana" w:eastAsia="Calibri" w:hAnsi="Verdana" w:cs="Times New Roman"/>
        </w:rPr>
        <w:t>contactenos-benecun@cundinamarca.gov.co</w:t>
      </w:r>
    </w:p>
    <w:p w14:paraId="0D118903" w14:textId="77777777" w:rsidR="00A279FC" w:rsidRDefault="00A279FC" w:rsidP="00A279FC">
      <w:pPr>
        <w:spacing w:after="0" w:line="240" w:lineRule="auto"/>
        <w:rPr>
          <w:rFonts w:ascii="Verdana" w:eastAsia="Calibri" w:hAnsi="Verdana" w:cs="Times New Roman"/>
        </w:rPr>
      </w:pPr>
      <w:r>
        <w:rPr>
          <w:rFonts w:ascii="Verdana" w:eastAsia="Calibri" w:hAnsi="Verdana" w:cs="Times New Roman"/>
        </w:rPr>
        <w:t>Bogotá D.C.</w:t>
      </w:r>
    </w:p>
    <w:p w14:paraId="74C1F65A" w14:textId="77777777" w:rsidR="00A279FC" w:rsidRDefault="00A279FC" w:rsidP="00A279FC">
      <w:pPr>
        <w:spacing w:after="0" w:line="256" w:lineRule="auto"/>
        <w:rPr>
          <w:rFonts w:ascii="Verdana" w:eastAsia="Calibri" w:hAnsi="Verdana" w:cs="Times New Roman"/>
        </w:rPr>
      </w:pPr>
    </w:p>
    <w:p w14:paraId="5014D8B9" w14:textId="77777777" w:rsidR="00A279FC" w:rsidRPr="00A12CB6" w:rsidRDefault="00A279FC" w:rsidP="00A279FC">
      <w:pPr>
        <w:spacing w:after="0" w:line="256" w:lineRule="auto"/>
        <w:rPr>
          <w:rFonts w:ascii="Verdana" w:eastAsia="Calibri" w:hAnsi="Verdana" w:cs="Times New Roman"/>
        </w:rPr>
      </w:pPr>
    </w:p>
    <w:p w14:paraId="4ACB1F20" w14:textId="77777777" w:rsidR="00A279FC" w:rsidRPr="00A12CB6" w:rsidRDefault="00A279FC" w:rsidP="00A279FC">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C–750 </w:t>
      </w:r>
      <w:r w:rsidRPr="00A12CB6">
        <w:rPr>
          <w:rFonts w:ascii="Verdana" w:eastAsia="Calibri" w:hAnsi="Verdana" w:cs="Times New Roman"/>
          <w:b/>
          <w:bCs/>
          <w:lang w:val="es-ES"/>
        </w:rPr>
        <w:t>de 2025</w:t>
      </w:r>
    </w:p>
    <w:p w14:paraId="6D75FA5F" w14:textId="77777777" w:rsidR="00A279FC" w:rsidRPr="00A12CB6" w:rsidRDefault="00A279FC" w:rsidP="00A279FC">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279FC" w:rsidRPr="00A12CB6" w14:paraId="7EEE73ED" w14:textId="77777777" w:rsidTr="005C301F">
        <w:trPr>
          <w:trHeight w:val="645"/>
        </w:trPr>
        <w:tc>
          <w:tcPr>
            <w:tcW w:w="2685" w:type="dxa"/>
            <w:hideMark/>
          </w:tcPr>
          <w:p w14:paraId="6212EFFE" w14:textId="77777777" w:rsidR="00A279FC" w:rsidRPr="00A12CB6" w:rsidRDefault="00A279FC" w:rsidP="005C301F">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0B8DC941" w14:textId="77777777" w:rsidR="00A279FC" w:rsidRPr="00273620" w:rsidRDefault="00A279FC" w:rsidP="005C301F">
            <w:pPr>
              <w:spacing w:line="276" w:lineRule="auto"/>
              <w:jc w:val="both"/>
              <w:rPr>
                <w:rFonts w:ascii="Verdana" w:hAnsi="Verdana" w:cs="Arial"/>
                <w:lang w:val="es-ES" w:eastAsia="es-ES"/>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w:t>
            </w:r>
            <w:r w:rsidRPr="00273620">
              <w:rPr>
                <w:rFonts w:ascii="Verdana" w:hAnsi="Verdana" w:cs="Arial"/>
                <w:lang w:val="es-MX" w:eastAsia="es-ES_tradnl"/>
              </w:rPr>
              <w:t xml:space="preserve"> / LEY DE GARANTÍAS ELECTORALES </w:t>
            </w:r>
            <w:r>
              <w:rPr>
                <w:rFonts w:ascii="Verdana" w:hAnsi="Verdana" w:cs="Arial"/>
                <w:lang w:val="es-MX" w:eastAsia="es-ES_tradnl"/>
              </w:rPr>
              <w:t xml:space="preserve">– Contratos y convenios interadministrativos – Criterio orgánico / CONTRATOS Y CONVENIOS INTERADMINISTRATIVOS – Definición – Criterio orgánico / CONTRATOS Y CONVENIOS INTERADMINISTRATIVOS – Circular Externa Única – Auto de suspensión –numeral 16.2 / </w:t>
            </w:r>
            <w:r w:rsidRPr="007040CD">
              <w:rPr>
                <w:rFonts w:ascii="Verdana" w:hAnsi="Verdana" w:cs="Arial"/>
                <w:lang w:val="es-MX" w:eastAsia="es-ES_tradnl"/>
              </w:rPr>
              <w:t>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w:t>
            </w:r>
          </w:p>
        </w:tc>
        <w:tc>
          <w:tcPr>
            <w:tcW w:w="6237" w:type="dxa"/>
          </w:tcPr>
          <w:p w14:paraId="596E7E41" w14:textId="77777777" w:rsidR="00A279FC" w:rsidRPr="00A12CB6" w:rsidRDefault="00A279FC" w:rsidP="005C301F">
            <w:pPr>
              <w:spacing w:line="256" w:lineRule="auto"/>
              <w:rPr>
                <w:rFonts w:ascii="Verdana" w:hAnsi="Verdana"/>
              </w:rPr>
            </w:pPr>
          </w:p>
        </w:tc>
      </w:tr>
      <w:tr w:rsidR="00A279FC" w:rsidRPr="00A12CB6" w14:paraId="3AADCEC9" w14:textId="77777777" w:rsidTr="005C301F">
        <w:tc>
          <w:tcPr>
            <w:tcW w:w="2685" w:type="dxa"/>
          </w:tcPr>
          <w:p w14:paraId="1CE25604" w14:textId="77777777" w:rsidR="00A279FC" w:rsidRDefault="00A279FC" w:rsidP="005C301F">
            <w:pPr>
              <w:spacing w:line="256" w:lineRule="auto"/>
              <w:rPr>
                <w:rFonts w:ascii="Verdana" w:hAnsi="Verdana"/>
                <w:b/>
                <w:bCs/>
                <w:lang w:val="es-ES_tradnl"/>
              </w:rPr>
            </w:pPr>
          </w:p>
          <w:p w14:paraId="320AA84D" w14:textId="77777777" w:rsidR="00A279FC" w:rsidRDefault="00A279FC" w:rsidP="005C301F">
            <w:pPr>
              <w:spacing w:line="256" w:lineRule="auto"/>
              <w:rPr>
                <w:rFonts w:ascii="Verdana" w:hAnsi="Verdana"/>
                <w:b/>
                <w:bCs/>
                <w:lang w:val="es-ES_tradnl"/>
              </w:rPr>
            </w:pPr>
          </w:p>
          <w:p w14:paraId="5DE76B6F" w14:textId="77777777" w:rsidR="00A279FC" w:rsidRPr="00A12CB6" w:rsidRDefault="00A279FC" w:rsidP="005C301F">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12117CE2" w14:textId="77777777" w:rsidR="00A279FC" w:rsidRPr="00273620" w:rsidRDefault="00A279FC" w:rsidP="005C301F">
            <w:pPr>
              <w:spacing w:line="257" w:lineRule="auto"/>
              <w:jc w:val="both"/>
              <w:rPr>
                <w:rFonts w:ascii="Verdana" w:hAnsi="Verdana"/>
                <w:lang w:val="es-ES_tradnl"/>
              </w:rPr>
            </w:pPr>
          </w:p>
          <w:p w14:paraId="43F0B1BC" w14:textId="77777777" w:rsidR="00A279FC" w:rsidRPr="00273620" w:rsidRDefault="00A279FC" w:rsidP="005C301F">
            <w:pPr>
              <w:spacing w:line="257" w:lineRule="auto"/>
              <w:jc w:val="both"/>
              <w:rPr>
                <w:rFonts w:ascii="Verdana" w:hAnsi="Verdana"/>
                <w:lang w:val="es-ES_tradnl"/>
              </w:rPr>
            </w:pPr>
          </w:p>
          <w:p w14:paraId="03DF45A7" w14:textId="77777777" w:rsidR="00A279FC" w:rsidRPr="00273620" w:rsidRDefault="00A279FC" w:rsidP="005C301F">
            <w:pPr>
              <w:spacing w:line="257" w:lineRule="auto"/>
              <w:jc w:val="both"/>
              <w:rPr>
                <w:rFonts w:ascii="Verdana" w:hAnsi="Verdana"/>
              </w:rPr>
            </w:pPr>
            <w:r w:rsidRPr="00273620">
              <w:rPr>
                <w:rFonts w:ascii="Verdana" w:hAnsi="Verdana"/>
                <w:lang w:val="es-ES_tradnl"/>
              </w:rPr>
              <w:t xml:space="preserve">Respuesta a consulta con radicado No. </w:t>
            </w:r>
            <w:r w:rsidRPr="00145441">
              <w:rPr>
                <w:rFonts w:ascii="Verdana" w:hAnsi="Verdana"/>
              </w:rPr>
              <w:t>1_2025_06_11_005730</w:t>
            </w:r>
          </w:p>
          <w:p w14:paraId="277FCEAB" w14:textId="77777777" w:rsidR="00A279FC" w:rsidRPr="00273620" w:rsidRDefault="00A279FC" w:rsidP="005C301F">
            <w:pPr>
              <w:spacing w:line="257" w:lineRule="auto"/>
              <w:jc w:val="both"/>
              <w:rPr>
                <w:rFonts w:ascii="Verdana" w:hAnsi="Verdana"/>
              </w:rPr>
            </w:pPr>
          </w:p>
        </w:tc>
        <w:tc>
          <w:tcPr>
            <w:tcW w:w="6237" w:type="dxa"/>
          </w:tcPr>
          <w:p w14:paraId="6D283608" w14:textId="77777777" w:rsidR="00A279FC" w:rsidRPr="00A12CB6" w:rsidRDefault="00A279FC" w:rsidP="005C301F">
            <w:pPr>
              <w:spacing w:line="256" w:lineRule="auto"/>
              <w:rPr>
                <w:rFonts w:ascii="Verdana" w:hAnsi="Verdana"/>
                <w:lang w:val="es-ES_tradnl"/>
              </w:rPr>
            </w:pPr>
          </w:p>
        </w:tc>
      </w:tr>
    </w:tbl>
    <w:p w14:paraId="38E2D4DB" w14:textId="77777777" w:rsidR="00A279FC" w:rsidRPr="00A12CB6" w:rsidRDefault="00A279FC" w:rsidP="00A279FC">
      <w:pPr>
        <w:spacing w:after="0" w:line="256" w:lineRule="auto"/>
        <w:rPr>
          <w:rFonts w:ascii="Verdana" w:eastAsia="Calibri" w:hAnsi="Verdana" w:cs="Times New Roman"/>
          <w:lang w:val="es-ES"/>
        </w:rPr>
      </w:pPr>
      <w:r>
        <w:rPr>
          <w:rFonts w:ascii="Verdana" w:eastAsia="Calibri" w:hAnsi="Verdana" w:cs="Times New Roman"/>
          <w:lang w:val="es-ES"/>
        </w:rPr>
        <w:t>Estimada Doctora Nicole</w:t>
      </w:r>
      <w:r w:rsidRPr="003469FD">
        <w:rPr>
          <w:rFonts w:ascii="Verdana" w:eastAsia="Calibri" w:hAnsi="Verdana" w:cs="Times New Roman"/>
          <w:lang w:val="es-ES"/>
        </w:rPr>
        <w:t>:</w:t>
      </w:r>
      <w:r w:rsidRPr="00A12CB6">
        <w:rPr>
          <w:rFonts w:ascii="Verdana" w:eastAsia="Calibri" w:hAnsi="Verdana" w:cs="Times New Roman"/>
          <w:lang w:val="es-ES"/>
        </w:rPr>
        <w:t xml:space="preserve"> </w:t>
      </w:r>
    </w:p>
    <w:p w14:paraId="710C953F" w14:textId="77777777" w:rsidR="00A279FC" w:rsidRPr="00A12CB6" w:rsidRDefault="00A279FC" w:rsidP="00A279FC">
      <w:pPr>
        <w:spacing w:after="0" w:line="256" w:lineRule="auto"/>
        <w:rPr>
          <w:rFonts w:ascii="Verdana" w:eastAsia="Calibri" w:hAnsi="Verdana" w:cs="Times New Roman"/>
          <w:lang w:val="es-ES"/>
        </w:rPr>
      </w:pPr>
    </w:p>
    <w:p w14:paraId="0AC67ADD" w14:textId="77777777" w:rsidR="00A279FC" w:rsidRDefault="00A279FC" w:rsidP="00A279FC">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Pr>
          <w:rFonts w:ascii="Verdana" w:eastAsia="Calibri" w:hAnsi="Verdana" w:cs="Times New Roman"/>
          <w:lang w:val="es-ES"/>
        </w:rPr>
        <w:t>ud de consulta presentada el 11 de junio de 2025, en la cual manifiesta</w:t>
      </w:r>
      <w:r w:rsidRPr="00A12061">
        <w:rPr>
          <w:rFonts w:ascii="Verdana" w:eastAsia="Calibri" w:hAnsi="Verdana" w:cs="Times New Roman"/>
          <w:lang w:val="es-ES"/>
        </w:rPr>
        <w:t>:</w:t>
      </w:r>
      <w:r w:rsidRPr="000D6D0E">
        <w:rPr>
          <w:rFonts w:ascii="Verdana" w:eastAsia="Calibri" w:hAnsi="Verdana" w:cs="Times New Roman"/>
        </w:rPr>
        <w:t xml:space="preserve"> </w:t>
      </w:r>
    </w:p>
    <w:p w14:paraId="7B643631" w14:textId="77777777" w:rsidR="00A279FC" w:rsidRPr="004252BF" w:rsidRDefault="00A279FC" w:rsidP="00A279FC">
      <w:pPr>
        <w:spacing w:after="0" w:line="240" w:lineRule="auto"/>
        <w:ind w:right="709"/>
        <w:jc w:val="both"/>
        <w:rPr>
          <w:rFonts w:ascii="Verdana" w:eastAsia="Calibri" w:hAnsi="Verdana" w:cs="Times New Roman"/>
          <w:iCs/>
          <w:sz w:val="20"/>
        </w:rPr>
      </w:pPr>
    </w:p>
    <w:p w14:paraId="4E7FE1B2" w14:textId="77777777" w:rsidR="00A279FC" w:rsidRPr="00A019A9" w:rsidRDefault="00A279FC" w:rsidP="00A279FC">
      <w:pPr>
        <w:pStyle w:val="Prrafodelista"/>
        <w:spacing w:line="240" w:lineRule="auto"/>
        <w:ind w:right="709"/>
        <w:jc w:val="both"/>
        <w:rPr>
          <w:rFonts w:ascii="Verdana" w:eastAsia="Calibri" w:hAnsi="Verdana" w:cs="Times New Roman"/>
          <w:iCs/>
          <w:sz w:val="20"/>
          <w:szCs w:val="20"/>
          <w:lang w:val="es-CO"/>
        </w:rPr>
      </w:pPr>
      <w:r w:rsidRPr="004252BF">
        <w:rPr>
          <w:rFonts w:ascii="Verdana" w:eastAsia="Calibri" w:hAnsi="Verdana" w:cs="Times New Roman"/>
          <w:iCs/>
          <w:sz w:val="20"/>
          <w:szCs w:val="20"/>
        </w:rPr>
        <w:lastRenderedPageBreak/>
        <w:t>“</w:t>
      </w:r>
      <w:r w:rsidRPr="00A019A9">
        <w:rPr>
          <w:rFonts w:ascii="Verdana" w:eastAsia="Calibri" w:hAnsi="Verdana" w:cs="Times New Roman"/>
          <w:iCs/>
          <w:sz w:val="20"/>
          <w:szCs w:val="20"/>
          <w:lang w:val="es-CO"/>
        </w:rPr>
        <w:t xml:space="preserve">1. Con ocasión de la jornada electoral del año 2026 </w:t>
      </w:r>
      <w:r w:rsidRPr="00A019A9">
        <w:rPr>
          <w:rFonts w:ascii="Verdana" w:eastAsia="Calibri" w:hAnsi="Verdana" w:cs="Times New Roman"/>
          <w:b/>
          <w:bCs/>
          <w:iCs/>
          <w:sz w:val="20"/>
          <w:szCs w:val="20"/>
          <w:lang w:val="es-CO"/>
        </w:rPr>
        <w:t>Senado y la Cámara de Representantes</w:t>
      </w:r>
      <w:r>
        <w:rPr>
          <w:rFonts w:ascii="Verdana" w:eastAsia="Calibri" w:hAnsi="Verdana" w:cs="Times New Roman"/>
          <w:iCs/>
          <w:sz w:val="20"/>
          <w:szCs w:val="20"/>
          <w:lang w:val="es-CO"/>
        </w:rPr>
        <w:t xml:space="preserve">, </w:t>
      </w:r>
      <w:r w:rsidRPr="00A019A9">
        <w:rPr>
          <w:rFonts w:ascii="Verdana" w:eastAsia="Calibri" w:hAnsi="Verdana" w:cs="Times New Roman"/>
          <w:iCs/>
          <w:sz w:val="20"/>
          <w:szCs w:val="20"/>
          <w:lang w:val="es-CO"/>
        </w:rPr>
        <w:t>¿Es aplicable la restricción contenida en la Ley 996 de 2005 de suscribir</w:t>
      </w:r>
      <w:r>
        <w:rPr>
          <w:rFonts w:ascii="Verdana" w:eastAsia="Calibri" w:hAnsi="Verdana" w:cs="Times New Roman"/>
          <w:iCs/>
          <w:sz w:val="20"/>
          <w:szCs w:val="20"/>
          <w:lang w:val="es-CO"/>
        </w:rPr>
        <w:t xml:space="preserve"> </w:t>
      </w:r>
      <w:r w:rsidRPr="00A019A9">
        <w:rPr>
          <w:rFonts w:ascii="Verdana" w:eastAsia="Calibri" w:hAnsi="Verdana" w:cs="Times New Roman"/>
          <w:iCs/>
          <w:sz w:val="20"/>
          <w:szCs w:val="20"/>
          <w:lang w:val="es-CO"/>
        </w:rPr>
        <w:t>convenios/contratos interadministrativos a la Beneficencia de Cundinamarca?,</w:t>
      </w:r>
      <w:r>
        <w:rPr>
          <w:rFonts w:ascii="Verdana" w:eastAsia="Calibri" w:hAnsi="Verdana" w:cs="Times New Roman"/>
          <w:iCs/>
          <w:sz w:val="20"/>
          <w:szCs w:val="20"/>
          <w:lang w:val="es-CO"/>
        </w:rPr>
        <w:t xml:space="preserve"> </w:t>
      </w:r>
      <w:r w:rsidRPr="00A019A9">
        <w:rPr>
          <w:rFonts w:ascii="Verdana" w:eastAsia="Calibri" w:hAnsi="Verdana" w:cs="Times New Roman"/>
          <w:iCs/>
          <w:sz w:val="20"/>
          <w:szCs w:val="20"/>
          <w:lang w:val="es-CO"/>
        </w:rPr>
        <w:t>específicamente los convenios interadministrativos relacionados con la atención</w:t>
      </w:r>
      <w:r>
        <w:rPr>
          <w:rFonts w:ascii="Verdana" w:eastAsia="Calibri" w:hAnsi="Verdana" w:cs="Times New Roman"/>
          <w:iCs/>
          <w:sz w:val="20"/>
          <w:szCs w:val="20"/>
          <w:lang w:val="es-CO"/>
        </w:rPr>
        <w:t xml:space="preserve"> </w:t>
      </w:r>
      <w:r w:rsidRPr="00A019A9">
        <w:rPr>
          <w:rFonts w:ascii="Verdana" w:eastAsia="Calibri" w:hAnsi="Verdana" w:cs="Times New Roman"/>
          <w:iCs/>
          <w:sz w:val="20"/>
          <w:szCs w:val="20"/>
          <w:lang w:val="es-CO"/>
        </w:rPr>
        <w:t>social integral a la población adulta mayor y a personas con discapacidad mental y cognitiva vulnerable, que suscribe la entidad con los municipios del departamento de Cundinamarca.</w:t>
      </w:r>
    </w:p>
    <w:p w14:paraId="1B025916" w14:textId="77777777" w:rsidR="00A279FC" w:rsidRPr="00A019A9" w:rsidRDefault="00A279FC" w:rsidP="00A279FC">
      <w:pPr>
        <w:pStyle w:val="Prrafodelista"/>
        <w:spacing w:line="240" w:lineRule="auto"/>
        <w:ind w:right="709"/>
        <w:jc w:val="both"/>
        <w:rPr>
          <w:rFonts w:ascii="Verdana" w:eastAsia="Calibri" w:hAnsi="Verdana" w:cs="Times New Roman"/>
          <w:iCs/>
          <w:sz w:val="20"/>
          <w:szCs w:val="20"/>
          <w:lang w:val="es-CO"/>
        </w:rPr>
      </w:pPr>
      <w:r w:rsidRPr="00A019A9">
        <w:rPr>
          <w:rFonts w:ascii="Verdana" w:eastAsia="Calibri" w:hAnsi="Verdana" w:cs="Times New Roman"/>
          <w:iCs/>
          <w:sz w:val="20"/>
          <w:szCs w:val="20"/>
          <w:lang w:val="es-CO"/>
        </w:rPr>
        <w:t xml:space="preserve">2. Con ocasión de la jornada electoral del año 2026 para la </w:t>
      </w:r>
      <w:r w:rsidRPr="00A019A9">
        <w:rPr>
          <w:rFonts w:ascii="Verdana" w:eastAsia="Calibri" w:hAnsi="Verdana" w:cs="Times New Roman"/>
          <w:b/>
          <w:bCs/>
          <w:iCs/>
          <w:sz w:val="20"/>
          <w:szCs w:val="20"/>
          <w:lang w:val="es-CO"/>
        </w:rPr>
        <w:t>Presidencia de la República</w:t>
      </w:r>
      <w:r>
        <w:rPr>
          <w:rFonts w:ascii="Verdana" w:eastAsia="Calibri" w:hAnsi="Verdana" w:cs="Times New Roman"/>
          <w:iCs/>
          <w:sz w:val="20"/>
          <w:szCs w:val="20"/>
          <w:lang w:val="es-CO"/>
        </w:rPr>
        <w:t xml:space="preserve">, </w:t>
      </w:r>
      <w:r w:rsidRPr="00A019A9">
        <w:rPr>
          <w:rFonts w:ascii="Verdana" w:eastAsia="Calibri" w:hAnsi="Verdana" w:cs="Times New Roman"/>
          <w:iCs/>
          <w:sz w:val="20"/>
          <w:szCs w:val="20"/>
          <w:lang w:val="es-CO"/>
        </w:rPr>
        <w:t>¿Es aplicable la restricción contenida en la Ley 996 de 2005 de suscribir</w:t>
      </w:r>
      <w:r>
        <w:rPr>
          <w:rFonts w:ascii="Verdana" w:eastAsia="Calibri" w:hAnsi="Verdana" w:cs="Times New Roman"/>
          <w:iCs/>
          <w:sz w:val="20"/>
          <w:szCs w:val="20"/>
          <w:lang w:val="es-CO"/>
        </w:rPr>
        <w:t xml:space="preserve"> </w:t>
      </w:r>
      <w:r w:rsidRPr="00A019A9">
        <w:rPr>
          <w:rFonts w:ascii="Verdana" w:eastAsia="Calibri" w:hAnsi="Verdana" w:cs="Times New Roman"/>
          <w:iCs/>
          <w:sz w:val="20"/>
          <w:szCs w:val="20"/>
          <w:lang w:val="es-CO"/>
        </w:rPr>
        <w:t>convenios/contratos interadministrativos a la Beneficencia de Cundinamarca?, específicamente los convenios interadministrativos relacionados con la atención social integral a la población adulta mayor y a personas con discapacidad mental y cognitiva vulnerable, que suscribe la entidad con los municipios del departamento de Cundinamarca</w:t>
      </w:r>
      <w:r>
        <w:rPr>
          <w:rFonts w:ascii="Verdana" w:eastAsia="Calibri" w:hAnsi="Verdana" w:cs="Times New Roman"/>
          <w:iCs/>
          <w:sz w:val="20"/>
          <w:szCs w:val="20"/>
          <w:lang w:val="es-CO"/>
        </w:rPr>
        <w:t>”. (énfasis dentro de texto)</w:t>
      </w:r>
      <w:r w:rsidRPr="00A019A9">
        <w:rPr>
          <w:rFonts w:ascii="Verdana" w:eastAsia="Calibri" w:hAnsi="Verdana" w:cs="Times New Roman"/>
          <w:iCs/>
          <w:sz w:val="20"/>
          <w:szCs w:val="20"/>
          <w:lang w:val="es-CO"/>
        </w:rPr>
        <w:t xml:space="preserve">. </w:t>
      </w:r>
    </w:p>
    <w:p w14:paraId="4420584A" w14:textId="77777777" w:rsidR="00A279FC" w:rsidRPr="0038606D" w:rsidRDefault="00A279FC" w:rsidP="00A279FC">
      <w:pPr>
        <w:spacing w:after="0" w:line="240" w:lineRule="auto"/>
        <w:ind w:right="709"/>
        <w:jc w:val="both"/>
        <w:rPr>
          <w:rFonts w:ascii="Verdana" w:eastAsia="Calibri" w:hAnsi="Verdana" w:cs="Times New Roman"/>
          <w:i/>
          <w:iCs/>
          <w:sz w:val="20"/>
        </w:rPr>
      </w:pPr>
    </w:p>
    <w:p w14:paraId="27E7EAAC" w14:textId="77777777" w:rsidR="00A279FC" w:rsidRPr="00A12CB6" w:rsidRDefault="00A279FC" w:rsidP="00A279FC">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7228F85" w14:textId="77777777" w:rsidR="00A279FC" w:rsidRPr="00A12CB6" w:rsidRDefault="00A279FC" w:rsidP="00A279FC">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53E89C49" w14:textId="77777777" w:rsidR="00A279FC" w:rsidRPr="00A12CB6" w:rsidRDefault="00A279FC" w:rsidP="00A279FC">
      <w:pPr>
        <w:spacing w:after="0" w:line="256" w:lineRule="auto"/>
        <w:rPr>
          <w:rFonts w:ascii="Verdana" w:eastAsia="Calibri" w:hAnsi="Verdana" w:cs="Times New Roman"/>
          <w:lang w:val="es-ES"/>
        </w:rPr>
      </w:pPr>
    </w:p>
    <w:p w14:paraId="1DC0747D" w14:textId="77777777" w:rsidR="00A279FC" w:rsidRPr="00A12CB6" w:rsidRDefault="00A279FC" w:rsidP="00A279FC">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7B419C53" w14:textId="77777777" w:rsidR="00A279FC" w:rsidRPr="00A12CB6" w:rsidRDefault="00A279FC" w:rsidP="00A279FC">
      <w:pPr>
        <w:spacing w:after="0" w:line="256" w:lineRule="auto"/>
        <w:rPr>
          <w:rFonts w:ascii="Verdana" w:eastAsia="Calibri" w:hAnsi="Verdana" w:cs="Times New Roman"/>
        </w:rPr>
      </w:pPr>
    </w:p>
    <w:p w14:paraId="1F170FD8" w14:textId="77777777" w:rsidR="00A279FC" w:rsidRDefault="00A279FC" w:rsidP="00A279FC">
      <w:pPr>
        <w:spacing w:after="0" w:line="276" w:lineRule="auto"/>
        <w:jc w:val="both"/>
        <w:rPr>
          <w:rFonts w:ascii="Verdana" w:eastAsia="Calibri" w:hAnsi="Verdana" w:cs="Times New Roman"/>
          <w:i/>
          <w:iCs/>
          <w:lang w:val="es-ES"/>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 ¿</w:t>
      </w:r>
      <w:r w:rsidRPr="00A019A9">
        <w:rPr>
          <w:rFonts w:ascii="Verdana" w:eastAsia="Calibri" w:hAnsi="Verdana" w:cs="Times New Roman"/>
          <w:iCs/>
        </w:rPr>
        <w:t xml:space="preserve">Es aplicable la restricción contenida en la Ley </w:t>
      </w:r>
      <w:r w:rsidRPr="00A019A9">
        <w:rPr>
          <w:rFonts w:ascii="Verdana" w:eastAsia="Calibri" w:hAnsi="Verdana" w:cs="Times New Roman"/>
          <w:iCs/>
        </w:rPr>
        <w:lastRenderedPageBreak/>
        <w:t>996</w:t>
      </w:r>
      <w:r>
        <w:rPr>
          <w:rFonts w:ascii="Verdana" w:eastAsia="Calibri" w:hAnsi="Verdana" w:cs="Times New Roman"/>
          <w:iCs/>
        </w:rPr>
        <w:t xml:space="preserve"> de 2005 de suscribir convenios y/o </w:t>
      </w:r>
      <w:r w:rsidRPr="00A019A9">
        <w:rPr>
          <w:rFonts w:ascii="Verdana" w:eastAsia="Calibri" w:hAnsi="Verdana" w:cs="Times New Roman"/>
          <w:iCs/>
        </w:rPr>
        <w:t xml:space="preserve">contratos interadministrativos relacionados con la atención social integral a la población adulta mayor y a personas con discapacidad mental y cognitiva vulnerable, que </w:t>
      </w:r>
      <w:r>
        <w:rPr>
          <w:rFonts w:ascii="Verdana" w:eastAsia="Calibri" w:hAnsi="Verdana" w:cs="Times New Roman"/>
          <w:iCs/>
        </w:rPr>
        <w:t>suscribe un establecimiento público del orden departamental</w:t>
      </w:r>
      <w:r w:rsidRPr="00A019A9">
        <w:rPr>
          <w:rFonts w:ascii="Verdana" w:eastAsia="Calibri" w:hAnsi="Verdana" w:cs="Times New Roman"/>
          <w:iCs/>
        </w:rPr>
        <w:t xml:space="preserve"> con los municipios </w:t>
      </w:r>
      <w:r>
        <w:rPr>
          <w:rFonts w:ascii="Verdana" w:eastAsia="Calibri" w:hAnsi="Verdana" w:cs="Times New Roman"/>
          <w:iCs/>
        </w:rPr>
        <w:t>en las elecciones a Congreso de la República y Presidencia de la República?</w:t>
      </w:r>
    </w:p>
    <w:p w14:paraId="52C79654" w14:textId="77777777" w:rsidR="00A279FC" w:rsidRPr="00277150" w:rsidRDefault="00A279FC" w:rsidP="00A279FC">
      <w:pPr>
        <w:spacing w:after="0" w:line="276" w:lineRule="auto"/>
        <w:jc w:val="both"/>
        <w:rPr>
          <w:rFonts w:ascii="Verdana" w:eastAsia="Calibri" w:hAnsi="Verdana" w:cs="Times New Roman"/>
          <w:i/>
          <w:iCs/>
          <w:lang w:val="es-ES"/>
        </w:rPr>
      </w:pPr>
    </w:p>
    <w:p w14:paraId="4DDEEB95" w14:textId="77777777" w:rsidR="00A279FC" w:rsidRDefault="00A279FC" w:rsidP="00A279FC">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7C008F83" w14:textId="77777777" w:rsidR="00A279FC" w:rsidRPr="00A12CB6" w:rsidRDefault="00A279FC" w:rsidP="00A279FC">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A279FC" w:rsidRPr="001205D1" w14:paraId="2B2F81CC" w14:textId="77777777" w:rsidTr="005C301F">
        <w:trPr>
          <w:trHeight w:val="345"/>
          <w:jc w:val="center"/>
        </w:trPr>
        <w:tc>
          <w:tcPr>
            <w:tcW w:w="8784" w:type="dxa"/>
            <w:tcBorders>
              <w:bottom w:val="single" w:sz="4" w:space="0" w:color="auto"/>
            </w:tcBorders>
          </w:tcPr>
          <w:p w14:paraId="3C8E935E" w14:textId="77777777" w:rsidR="00A279FC" w:rsidRDefault="00A279FC" w:rsidP="005C301F">
            <w:pPr>
              <w:spacing w:before="120" w:after="120" w:line="276" w:lineRule="auto"/>
              <w:jc w:val="both"/>
              <w:rPr>
                <w:rFonts w:ascii="Verdana" w:eastAsia="Calibri" w:hAnsi="Verdana" w:cs="Times New Roman"/>
                <w:lang w:bidi="es-ES"/>
              </w:rPr>
            </w:pPr>
            <w:r w:rsidRPr="0030056F">
              <w:rPr>
                <w:rFonts w:ascii="Verdana" w:eastAsia="Calibri" w:hAnsi="Verdana" w:cs="Times New Roman"/>
              </w:rPr>
              <w:t xml:space="preserve">En cuanto al problema jurídico, objeto de consulta, </w:t>
            </w:r>
            <w:r>
              <w:rPr>
                <w:rFonts w:ascii="Verdana" w:eastAsia="Calibri" w:hAnsi="Verdana" w:cs="Times New Roman"/>
                <w:lang w:bidi="es-ES"/>
              </w:rPr>
              <w:t>se precisa que,</w:t>
            </w:r>
            <w:r w:rsidRPr="003D36F8">
              <w:rPr>
                <w:rFonts w:ascii="Verdana" w:eastAsia="Calibri" w:hAnsi="Verdana" w:cs="Times New Roman"/>
                <w:lang w:bidi="es-ES"/>
              </w:rPr>
              <w:t xml:space="preserve"> </w:t>
            </w:r>
            <w:proofErr w:type="gramStart"/>
            <w:r w:rsidRPr="003D36F8">
              <w:rPr>
                <w:rFonts w:ascii="Verdana" w:eastAsia="Calibri" w:hAnsi="Verdana" w:cs="Times New Roman"/>
                <w:lang w:bidi="es-ES"/>
              </w:rPr>
              <w:t>de acuerdo a</w:t>
            </w:r>
            <w:proofErr w:type="gramEnd"/>
            <w:r w:rsidRPr="003D36F8">
              <w:rPr>
                <w:rFonts w:ascii="Verdana" w:eastAsia="Calibri" w:hAnsi="Verdana" w:cs="Times New Roman"/>
                <w:lang w:bidi="es-ES"/>
              </w:rPr>
              <w:t xml:space="preserve"> </w:t>
            </w:r>
            <w:r w:rsidRPr="003D36F8">
              <w:rPr>
                <w:rFonts w:ascii="Verdana" w:eastAsia="Calibri" w:hAnsi="Verdana" w:cs="Times New Roman"/>
              </w:rPr>
              <w:t>la interpretación de las normas generales del sistema de compras públicas,</w:t>
            </w:r>
            <w:r w:rsidRPr="003D36F8">
              <w:rPr>
                <w:rFonts w:ascii="Verdana" w:eastAsia="Calibri" w:hAnsi="Verdana" w:cs="Times New Roman"/>
                <w:lang w:bidi="es-ES"/>
              </w:rPr>
              <w:t xml:space="preserve"> la Ley 996 de 2005 establece dos (2) tipos de restricciones en materia de contratación, las cuales coinciden parcialmente.</w:t>
            </w:r>
            <w:r>
              <w:rPr>
                <w:rFonts w:ascii="Verdana" w:eastAsia="Calibri" w:hAnsi="Verdana" w:cs="Times New Roman"/>
                <w:i/>
                <w:lang w:bidi="es-ES"/>
              </w:rPr>
              <w:t xml:space="preserve"> Como primera restricción</w:t>
            </w:r>
            <w:r>
              <w:rPr>
                <w:rFonts w:ascii="Verdana" w:eastAsia="Calibri" w:hAnsi="Verdana" w:cs="Times New Roman"/>
                <w:lang w:bidi="es-ES"/>
              </w:rPr>
              <w:t>, se encuentra l</w:t>
            </w:r>
            <w:r w:rsidRPr="003D36F8">
              <w:rPr>
                <w:rFonts w:ascii="Verdana" w:eastAsia="Calibri" w:hAnsi="Verdana" w:cs="Times New Roman"/>
                <w:lang w:bidi="es-ES"/>
              </w:rPr>
              <w:t xml:space="preserve">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44B863E0" w14:textId="77777777" w:rsidR="00A279FC" w:rsidRDefault="00A279FC" w:rsidP="005C301F">
            <w:pPr>
              <w:spacing w:before="120" w:after="120" w:line="276" w:lineRule="auto"/>
              <w:ind w:firstLine="708"/>
              <w:jc w:val="both"/>
              <w:rPr>
                <w:rFonts w:ascii="Verdana" w:eastAsia="Times New Roman" w:hAnsi="Verdana" w:cs="Arial"/>
                <w:bCs/>
                <w:lang w:val="es-MX" w:eastAsia="es-CO"/>
              </w:rPr>
            </w:pPr>
            <w:r>
              <w:rPr>
                <w:rFonts w:ascii="Verdana" w:eastAsia="Times New Roman" w:hAnsi="Verdana" w:cs="Arial"/>
                <w:bCs/>
                <w:lang w:eastAsia="x-none"/>
              </w:rPr>
              <w:t>Sin embargo</w:t>
            </w:r>
            <w:r w:rsidRPr="0057193B">
              <w:rPr>
                <w:rFonts w:ascii="Verdana" w:eastAsia="Times New Roman" w:hAnsi="Verdana" w:cs="Arial"/>
                <w:bCs/>
                <w:lang w:val="es-MX" w:eastAsia="x-none"/>
              </w:rPr>
              <w:t xml:space="preserve">, </w:t>
            </w:r>
            <w:r>
              <w:rPr>
                <w:rFonts w:ascii="Verdana" w:eastAsia="Times New Roman" w:hAnsi="Verdana" w:cs="Arial"/>
                <w:bCs/>
                <w:lang w:val="es-MX" w:eastAsia="x-none"/>
              </w:rPr>
              <w:t xml:space="preserve">existen </w:t>
            </w:r>
            <w:r w:rsidRPr="0057193B">
              <w:rPr>
                <w:rFonts w:ascii="Verdana" w:eastAsia="Times New Roman" w:hAnsi="Verdana" w:cs="Arial"/>
                <w:bCs/>
                <w:lang w:val="es-MX" w:eastAsia="x-none"/>
              </w:rPr>
              <w:t xml:space="preserve">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w:t>
            </w:r>
            <w:r w:rsidRPr="0057193B">
              <w:rPr>
                <w:rFonts w:ascii="Verdana" w:eastAsia="Times New Roman" w:hAnsi="Verdana" w:cs="Arial"/>
                <w:bCs/>
                <w:lang w:val="es-MX" w:eastAsia="es-CO"/>
              </w:rPr>
              <w:lastRenderedPageBreak/>
              <w:t>excepciones, de manera que se le permita realizar la contratación que necesite en forma directa.</w:t>
            </w:r>
          </w:p>
          <w:p w14:paraId="70DC6356" w14:textId="77777777" w:rsidR="00A279FC" w:rsidRDefault="00A279FC" w:rsidP="005C301F">
            <w:pPr>
              <w:spacing w:before="120" w:after="120" w:line="276" w:lineRule="auto"/>
              <w:ind w:firstLine="708"/>
              <w:jc w:val="both"/>
              <w:rPr>
                <w:rFonts w:ascii="Verdana" w:eastAsia="Times New Roman" w:hAnsi="Verdana" w:cs="Arial"/>
                <w:bCs/>
                <w:iCs/>
                <w:lang w:eastAsia="es-CO"/>
              </w:rPr>
            </w:pPr>
            <w:r>
              <w:rPr>
                <w:rFonts w:ascii="Verdana" w:eastAsia="Calibri" w:hAnsi="Verdana" w:cs="Times New Roman"/>
                <w:i/>
                <w:lang w:val="es-MX" w:bidi="es-ES"/>
              </w:rPr>
              <w:t>Como segunda restricción,</w:t>
            </w:r>
            <w:r w:rsidRPr="003D36F8">
              <w:rPr>
                <w:rFonts w:ascii="Verdana" w:eastAsia="Calibri" w:hAnsi="Verdana" w:cs="Times New Roman"/>
                <w:lang w:bidi="es-ES"/>
              </w:rPr>
              <w:t xml:space="preserve"> </w:t>
            </w:r>
            <w:r w:rsidRPr="00B60AC4">
              <w:rPr>
                <w:rFonts w:ascii="Verdana" w:eastAsia="Calibri" w:hAnsi="Verdana" w:cs="Times New Roman"/>
                <w:i/>
                <w:iCs/>
                <w:lang w:bidi="es-ES"/>
              </w:rPr>
              <w:t>el parágrafo del artículo 38 de la Ley 996 de 2005</w:t>
            </w:r>
            <w:r w:rsidRPr="00B60AC4">
              <w:rPr>
                <w:rFonts w:ascii="Verdana" w:eastAsia="Calibri" w:hAnsi="Verdana" w:cs="Times New Roman"/>
                <w:lang w:bidi="es-ES"/>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C35C33">
              <w:rPr>
                <w:rFonts w:ascii="Verdana" w:eastAsia="Calibri" w:hAnsi="Verdana" w:cs="Times New Roman"/>
                <w:i/>
                <w:iCs/>
                <w:lang w:bidi="es-ES"/>
              </w:rPr>
              <w:t xml:space="preserve">“[…] </w:t>
            </w:r>
            <w:r w:rsidRPr="00C35C33">
              <w:rPr>
                <w:rFonts w:ascii="Verdana" w:eastAsia="Calibri" w:hAnsi="Verdana" w:cs="Times New Roman"/>
                <w:i/>
                <w:iCs/>
                <w:lang w:val="es-MX" w:bidi="es-E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35C33">
              <w:rPr>
                <w:rFonts w:ascii="Verdana" w:eastAsia="Calibri" w:hAnsi="Verdana" w:cs="Times New Roman"/>
                <w:i/>
                <w:iCs/>
                <w:lang w:bidi="es-ES"/>
              </w:rPr>
              <w:t>”</w:t>
            </w:r>
            <w:r w:rsidRPr="00C35C33">
              <w:rPr>
                <w:rFonts w:ascii="Verdana" w:eastAsia="Calibri" w:hAnsi="Verdana" w:cs="Times New Roman"/>
                <w:i/>
                <w:iCs/>
                <w:lang w:val="es-MX" w:bidi="es-ES"/>
              </w:rPr>
              <w:t>.</w:t>
            </w:r>
            <w:r w:rsidRPr="00B60AC4">
              <w:rPr>
                <w:rFonts w:ascii="Verdana" w:eastAsia="Calibri" w:hAnsi="Verdana" w:cs="Times New Roman"/>
                <w:lang w:val="es-ES" w:bidi="es-ES"/>
              </w:rPr>
              <w:t xml:space="preserve"> </w:t>
            </w:r>
            <w:r>
              <w:rPr>
                <w:rFonts w:ascii="Verdana" w:eastAsia="Times New Roman" w:hAnsi="Verdana" w:cs="Arial"/>
                <w:bCs/>
                <w:lang w:val="es-ES" w:eastAsia="es-CO"/>
              </w:rPr>
              <w:t xml:space="preserve">En tal sentido, dicha prohibición no contempla una excepción para la posibilidad de suscribir convenios y/o contratos interadministrativos de un establecimiento público del orden departamental, como es el caso de la entidad consultante con los municipios, que tengan como objeto </w:t>
            </w:r>
            <w:r w:rsidRPr="003C16F7">
              <w:rPr>
                <w:rFonts w:ascii="Verdana" w:eastAsia="Times New Roman" w:hAnsi="Verdana" w:cs="Arial"/>
                <w:bCs/>
                <w:iCs/>
                <w:lang w:eastAsia="es-CO"/>
              </w:rPr>
              <w:t>la atención social integral a la población adulta mayor y a personas con discapacida</w:t>
            </w:r>
            <w:r>
              <w:rPr>
                <w:rFonts w:ascii="Verdana" w:eastAsia="Times New Roman" w:hAnsi="Verdana" w:cs="Arial"/>
                <w:bCs/>
                <w:iCs/>
                <w:lang w:eastAsia="es-CO"/>
              </w:rPr>
              <w:t>d mental y cognitiva vulnerable.</w:t>
            </w:r>
          </w:p>
          <w:p w14:paraId="51DBC7B6" w14:textId="77777777" w:rsidR="00A279FC" w:rsidRPr="0030056F" w:rsidRDefault="00A279FC" w:rsidP="005C301F">
            <w:pPr>
              <w:spacing w:before="120" w:after="120" w:line="276" w:lineRule="auto"/>
              <w:ind w:firstLine="709"/>
              <w:jc w:val="both"/>
              <w:rPr>
                <w:rFonts w:ascii="Verdana" w:hAnsi="Verdana"/>
              </w:rPr>
            </w:pPr>
            <w:r w:rsidRPr="0030056F">
              <w:rPr>
                <w:rFonts w:ascii="Verdana" w:eastAsia="Arial" w:hAnsi="Verdana" w:cs="Arial"/>
                <w:lang w:val="es-MX" w:eastAsia="es-ES" w:bidi="es-ES"/>
              </w:rPr>
              <w:t>No obstante, conviene</w:t>
            </w:r>
            <w:r>
              <w:rPr>
                <w:rFonts w:ascii="Verdana" w:eastAsia="Arial" w:hAnsi="Verdana" w:cs="Arial"/>
                <w:lang w:val="es-MX" w:eastAsia="es-ES" w:bidi="es-ES"/>
              </w:rPr>
              <w:t xml:space="preserve"> señalar que, mediante A</w:t>
            </w:r>
            <w:r w:rsidRPr="0030056F">
              <w:rPr>
                <w:rFonts w:ascii="Verdana" w:eastAsia="Arial" w:hAnsi="Verdana" w:cs="Arial"/>
                <w:lang w:val="es-MX" w:eastAsia="es-ES" w:bidi="es-ES"/>
              </w:rPr>
              <w:t xml:space="preserve">uto de 4 de octubre del 2024, el Consejo de Estado, Sección Tercera, decretó medida de suspensión provisional parcial del </w:t>
            </w:r>
            <w:r w:rsidRPr="0030056F">
              <w:rPr>
                <w:rFonts w:ascii="Verdana" w:hAnsi="Verdana"/>
              </w:rPr>
              <w:t>numeral 16.2 de la Circular Externa Única de 2022 expedida por la Agencia Nacional de Contratación Pública -Co</w:t>
            </w:r>
            <w:r>
              <w:rPr>
                <w:rFonts w:ascii="Verdana" w:hAnsi="Verdana"/>
              </w:rPr>
              <w:t>lombia Compra Eficiente</w:t>
            </w:r>
            <w:r w:rsidRPr="0030056F">
              <w:rPr>
                <w:rFonts w:ascii="Verdana" w:hAnsi="Verdana"/>
              </w:rPr>
              <w:t xml:space="preserve">, concretamente, respecto de </w:t>
            </w:r>
            <w:r>
              <w:rPr>
                <w:rFonts w:ascii="Verdana" w:hAnsi="Verdana"/>
              </w:rPr>
              <w:t xml:space="preserve">los aspectos </w:t>
            </w:r>
            <w:r w:rsidRPr="0030056F">
              <w:rPr>
                <w:rFonts w:ascii="Verdana" w:hAnsi="Verdana"/>
              </w:rPr>
              <w:t>normativos</w:t>
            </w:r>
            <w:r w:rsidRPr="0030056F">
              <w:rPr>
                <w:rFonts w:ascii="Verdana" w:hAnsi="Verdana"/>
                <w:vertAlign w:val="superscript"/>
              </w:rPr>
              <w:t xml:space="preserve"> </w:t>
            </w:r>
            <w:r w:rsidRPr="0030056F">
              <w:rPr>
                <w:rFonts w:ascii="Verdana" w:hAnsi="Verdana"/>
              </w:rPr>
              <w:t>que alude</w:t>
            </w:r>
            <w:r>
              <w:rPr>
                <w:rFonts w:ascii="Verdana" w:hAnsi="Verdana"/>
              </w:rPr>
              <w:t>n</w:t>
            </w:r>
            <w:r w:rsidRPr="0030056F">
              <w:rPr>
                <w:rFonts w:ascii="Verdana" w:hAnsi="Verdana"/>
              </w:rPr>
              <w:t xml:space="preserve"> a que la restricción del artículo 38 se refiere a los convenios como a los contratos interadministrativos, pues </w:t>
            </w:r>
            <w:r w:rsidRPr="0030056F">
              <w:rPr>
                <w:rFonts w:ascii="Verdana" w:eastAsia="Calibri" w:hAnsi="Verdana" w:cs="Arial"/>
              </w:rPr>
              <w:t xml:space="preserve">no hay una definición legal que diferencie el concepto de convenio del concepto de contrato, la denominación prevista por la Ley 80 de 1993 y la Ley 1150 de 2007 para tal fin se entenderán en el mismo significado, para efectos de la prohibición. </w:t>
            </w:r>
          </w:p>
          <w:p w14:paraId="7789797D" w14:textId="77777777" w:rsidR="00A279FC" w:rsidRPr="0030056F" w:rsidRDefault="00A279FC" w:rsidP="005C301F">
            <w:pPr>
              <w:spacing w:before="120" w:after="120" w:line="276" w:lineRule="auto"/>
              <w:ind w:firstLine="709"/>
              <w:jc w:val="both"/>
              <w:rPr>
                <w:rFonts w:ascii="Verdana" w:eastAsia="Arial" w:hAnsi="Verdana" w:cs="Arial"/>
                <w:i/>
                <w:iCs/>
                <w:lang w:val="es-MX" w:eastAsia="es-ES" w:bidi="es-ES"/>
              </w:rPr>
            </w:pPr>
            <w:r w:rsidRPr="0030056F">
              <w:rPr>
                <w:rFonts w:ascii="Verdana" w:eastAsia="Arial" w:hAnsi="Verdana" w:cs="Arial"/>
                <w:lang w:val="es-MX" w:eastAsia="es-ES" w:bidi="es-ES"/>
              </w:rPr>
              <w:t xml:space="preserve">De conformidad con los argumentos de dicha providencia, se parte de la distinción entre los conceptos </w:t>
            </w:r>
            <w:r w:rsidRPr="0030056F">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30056F">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30056F">
              <w:rPr>
                <w:rFonts w:ascii="Verdana" w:eastAsia="Arial" w:hAnsi="Verdana" w:cs="Arial"/>
                <w:lang w:eastAsia="es-ES" w:bidi="es-ES"/>
              </w:rPr>
              <w:t xml:space="preserve">Por tal motivo, para efectos de decretar la medida de suspensión provisional de los apartes señalados del </w:t>
            </w:r>
            <w:r w:rsidRPr="0030056F">
              <w:rPr>
                <w:rFonts w:ascii="Verdana" w:eastAsia="Arial" w:hAnsi="Verdana" w:cs="Arial"/>
                <w:lang w:eastAsia="es-ES" w:bidi="es-ES"/>
              </w:rPr>
              <w:lastRenderedPageBreak/>
              <w:t xml:space="preserve">numeral 16.2 de la Circular Externa Única, argumentó que </w:t>
            </w:r>
            <w:r w:rsidRPr="0030056F">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7006B195" w14:textId="77777777" w:rsidR="00A279FC" w:rsidRPr="009B5611" w:rsidRDefault="00A279FC" w:rsidP="005C301F">
            <w:pPr>
              <w:spacing w:before="120" w:after="120" w:line="276" w:lineRule="auto"/>
              <w:ind w:firstLine="709"/>
              <w:jc w:val="both"/>
              <w:rPr>
                <w:rFonts w:ascii="Verdana" w:eastAsia="Calibri" w:hAnsi="Verdana" w:cs="Arial"/>
                <w:lang w:val="es-MX"/>
              </w:rPr>
            </w:pPr>
            <w:r w:rsidRPr="0030056F">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30056F">
              <w:rPr>
                <w:rFonts w:ascii="Verdana" w:eastAsia="Arial" w:hAnsi="Verdana" w:cs="Arial"/>
                <w:lang w:eastAsia="es-ES" w:bidi="es-ES"/>
              </w:rPr>
              <w:t>16.2 de la Circular Externa Única</w:t>
            </w:r>
            <w:r w:rsidRPr="0030056F">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30056F">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30056F">
              <w:rPr>
                <w:rFonts w:ascii="Verdana" w:eastAsia="Calibri" w:hAnsi="Verdana" w:cs="Arial"/>
                <w:lang w:val="es-MX"/>
              </w:rPr>
              <w:t>los recursos del Estado se ejecuten para lograr apoyos indebidos mediante la suscripción de contratos y/o convenios, que para efectos de la Ley de Garantías tienen la misma connotación y propósitos.</w:t>
            </w:r>
            <w:r>
              <w:rPr>
                <w:rFonts w:ascii="Verdana" w:eastAsia="Calibri" w:hAnsi="Verdana" w:cs="Arial"/>
                <w:lang w:val="es-MX"/>
              </w:rPr>
              <w:t xml:space="preserve"> </w:t>
            </w:r>
            <w:r w:rsidRPr="0030056F">
              <w:rPr>
                <w:rFonts w:ascii="Verdana" w:eastAsia="Calibri" w:hAnsi="Verdana" w:cs="Arial"/>
                <w:lang w:val="es-MX"/>
              </w:rPr>
              <w:t xml:space="preserve"> </w:t>
            </w:r>
          </w:p>
          <w:p w14:paraId="4BD7A706" w14:textId="77777777" w:rsidR="00A279FC" w:rsidRPr="00397FD5" w:rsidRDefault="00A279FC" w:rsidP="005C301F">
            <w:pPr>
              <w:spacing w:before="120" w:after="120" w:line="276" w:lineRule="auto"/>
              <w:ind w:firstLine="709"/>
              <w:jc w:val="both"/>
              <w:rPr>
                <w:rFonts w:ascii="Verdana" w:eastAsia="Arial" w:hAnsi="Verdana" w:cs="Arial"/>
                <w:lang w:val="es-ES" w:eastAsia="es-ES" w:bidi="es-ES"/>
              </w:rPr>
            </w:pPr>
            <w:r>
              <w:rPr>
                <w:rFonts w:ascii="Verdana" w:eastAsia="Times New Roman" w:hAnsi="Verdana" w:cs="Arial"/>
                <w:lang w:val="es-ES" w:eastAsia="es-CO" w:bidi="es-ES"/>
              </w:rPr>
              <w:t>Así mismo</w:t>
            </w:r>
            <w:r w:rsidRPr="00E2397D">
              <w:rPr>
                <w:rFonts w:ascii="Verdana" w:eastAsia="Arial" w:hAnsi="Verdana" w:cs="Arial"/>
                <w:lang w:val="es-ES" w:eastAsia="es-ES" w:bidi="es-ES"/>
              </w:rPr>
              <w:t>, es importante resaltar que la Sala de Consulta y Servicio Civil del Consejo de Estado se ha pronunciado</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E2397D">
              <w:rPr>
                <w:rFonts w:ascii="Verdana" w:eastAsia="Arial" w:hAnsi="Verdana" w:cs="Arial"/>
                <w:vertAlign w:val="superscript"/>
                <w:lang w:val="es-ES" w:eastAsia="es-ES" w:bidi="es-ES"/>
              </w:rPr>
              <w:footnoteReference w:id="2"/>
            </w:r>
            <w:r w:rsidRPr="00E2397D">
              <w:rPr>
                <w:rFonts w:ascii="Verdana" w:eastAsia="Arial" w:hAnsi="Verdana" w:cs="Arial"/>
                <w:lang w:val="es-ES" w:eastAsia="es-ES" w:bidi="es-ES"/>
              </w:rPr>
              <w:t>.</w:t>
            </w:r>
          </w:p>
        </w:tc>
      </w:tr>
    </w:tbl>
    <w:p w14:paraId="5893492C" w14:textId="77777777" w:rsidR="00A279FC" w:rsidRPr="00A12CB6" w:rsidRDefault="00A279FC" w:rsidP="00A279FC">
      <w:pPr>
        <w:spacing w:after="0" w:line="276" w:lineRule="auto"/>
        <w:jc w:val="both"/>
        <w:rPr>
          <w:rFonts w:ascii="Verdana" w:eastAsia="Calibri" w:hAnsi="Verdana" w:cs="Arial"/>
          <w:bCs/>
          <w:color w:val="000000" w:themeColor="text1"/>
        </w:rPr>
      </w:pPr>
    </w:p>
    <w:p w14:paraId="256B0390" w14:textId="77777777" w:rsidR="00A279FC" w:rsidRPr="0093558D" w:rsidRDefault="00A279FC" w:rsidP="00A279FC">
      <w:pPr>
        <w:numPr>
          <w:ilvl w:val="0"/>
          <w:numId w:val="19"/>
        </w:numPr>
        <w:tabs>
          <w:tab w:val="left" w:pos="2268"/>
        </w:tabs>
        <w:spacing w:after="0" w:line="25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15747857" w14:textId="77777777" w:rsidR="00A279FC" w:rsidRPr="00A12CB6" w:rsidRDefault="00A279FC" w:rsidP="00A279FC">
      <w:pPr>
        <w:spacing w:after="0" w:line="256" w:lineRule="auto"/>
        <w:rPr>
          <w:rFonts w:ascii="Verdana" w:eastAsia="Calibri" w:hAnsi="Verdana" w:cs="Times New Roman"/>
          <w:b/>
          <w:bCs/>
          <w:lang w:val="es-ES"/>
        </w:rPr>
      </w:pPr>
    </w:p>
    <w:p w14:paraId="303970F5" w14:textId="77777777" w:rsidR="00A279FC" w:rsidRPr="00A12CB6" w:rsidRDefault="00A279FC" w:rsidP="00A279FC">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26AF2832" w14:textId="77777777" w:rsidR="00A279FC" w:rsidRPr="00E2397D" w:rsidRDefault="00A279FC" w:rsidP="00A279FC">
      <w:pPr>
        <w:spacing w:after="0" w:line="276" w:lineRule="auto"/>
        <w:jc w:val="both"/>
        <w:rPr>
          <w:rFonts w:ascii="Verdana" w:eastAsia="Calibri" w:hAnsi="Verdana" w:cs="Arial"/>
          <w:color w:val="000000" w:themeColor="text1"/>
        </w:rPr>
      </w:pPr>
    </w:p>
    <w:p w14:paraId="28A5BAB1" w14:textId="77777777" w:rsidR="00A279FC" w:rsidRPr="00E2397D" w:rsidRDefault="00A279FC" w:rsidP="00A279FC">
      <w:pPr>
        <w:tabs>
          <w:tab w:val="left" w:pos="426"/>
        </w:tabs>
        <w:spacing w:after="120" w:line="276" w:lineRule="auto"/>
        <w:jc w:val="both"/>
        <w:rPr>
          <w:rFonts w:ascii="Verdana" w:eastAsia="Times New Roman" w:hAnsi="Verdana" w:cs="Arial"/>
          <w:lang w:eastAsia="es-CO"/>
        </w:rPr>
      </w:pPr>
      <w:r w:rsidRPr="00E2397D">
        <w:rPr>
          <w:rFonts w:ascii="Verdana" w:eastAsia="Calibri" w:hAnsi="Verdana" w:cs="Arial"/>
        </w:rPr>
        <w:t>i. El ordenamiento jurídico colombiano contempla previsiones claras para evitar la obtención de beneficios personales en asuntos propios de la administración pública</w:t>
      </w:r>
      <w:r w:rsidRPr="00E2397D">
        <w:rPr>
          <w:rFonts w:ascii="Verdana" w:eastAsia="Calibri" w:hAnsi="Verdana" w:cs="Arial"/>
          <w:i/>
        </w:rPr>
        <w:t xml:space="preserve">. </w:t>
      </w:r>
      <w:r w:rsidRPr="00E2397D">
        <w:rPr>
          <w:rFonts w:ascii="Verdana" w:eastAsia="Calibri" w:hAnsi="Verdana" w:cs="Arial"/>
        </w:rPr>
        <w:t xml:space="preserve">Por ejemplo, el artículo 127 de la Constitución Política establece una prohibición contractual a los servidores públicos y, en cuanto a aspectos </w:t>
      </w:r>
      <w:r>
        <w:rPr>
          <w:rFonts w:ascii="Verdana" w:eastAsia="Calibri" w:hAnsi="Verdana" w:cs="Arial"/>
        </w:rPr>
        <w:lastRenderedPageBreak/>
        <w:t>políticos, establece</w:t>
      </w:r>
      <w:r w:rsidRPr="00E2397D">
        <w:rPr>
          <w:rFonts w:ascii="Verdana" w:eastAsia="Calibri" w:hAnsi="Verdana" w:cs="Arial"/>
        </w:rPr>
        <w:t xml:space="preserve"> restricciones a ciertos empleados del Estado, incluso en época no electoral</w:t>
      </w:r>
      <w:r w:rsidRPr="00E2397D">
        <w:rPr>
          <w:vertAlign w:val="superscript"/>
        </w:rPr>
        <w:footnoteReference w:id="3"/>
      </w:r>
      <w:r w:rsidRPr="00E2397D">
        <w:rPr>
          <w:rFonts w:ascii="Verdana" w:eastAsia="Calibri" w:hAnsi="Verdana" w:cs="Arial"/>
        </w:rPr>
        <w:t xml:space="preserve">. </w:t>
      </w:r>
    </w:p>
    <w:p w14:paraId="78F7D870" w14:textId="77777777" w:rsidR="00A279FC" w:rsidRPr="006B14B5" w:rsidRDefault="00A279FC" w:rsidP="00A279FC">
      <w:pPr>
        <w:tabs>
          <w:tab w:val="left" w:pos="426"/>
        </w:tabs>
        <w:spacing w:after="12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4"/>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57372D1C" w14:textId="77777777" w:rsidR="00A279FC" w:rsidRPr="00E2397D" w:rsidRDefault="00A279FC" w:rsidP="00A279FC">
      <w:pPr>
        <w:spacing w:after="0" w:line="276" w:lineRule="auto"/>
        <w:ind w:right="709"/>
        <w:contextualSpacing/>
        <w:jc w:val="both"/>
        <w:rPr>
          <w:rFonts w:ascii="Verdana" w:eastAsia="Times New Roman" w:hAnsi="Verdana" w:cs="Arial"/>
          <w:lang w:val="es-ES" w:eastAsia="es-CO"/>
        </w:rPr>
      </w:pPr>
    </w:p>
    <w:p w14:paraId="7ACA5EB7" w14:textId="77777777" w:rsidR="00A279FC" w:rsidRPr="00E2397D" w:rsidRDefault="00A279FC" w:rsidP="00A279FC">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0A080A0" w14:textId="77777777" w:rsidR="00A279FC" w:rsidRPr="00E2397D" w:rsidRDefault="00A279FC" w:rsidP="00A279FC">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8735490" w14:textId="77777777" w:rsidR="00A279FC" w:rsidRPr="00E2397D" w:rsidRDefault="00A279FC" w:rsidP="00A279FC">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5"/>
      </w:r>
    </w:p>
    <w:p w14:paraId="2B7FFB5F" w14:textId="77777777" w:rsidR="00A279FC" w:rsidRPr="00E2397D" w:rsidRDefault="00A279FC" w:rsidP="00A279FC">
      <w:pPr>
        <w:spacing w:after="0" w:line="276" w:lineRule="auto"/>
        <w:ind w:firstLine="709"/>
        <w:jc w:val="both"/>
        <w:rPr>
          <w:rFonts w:ascii="Verdana" w:eastAsia="Times New Roman" w:hAnsi="Verdana" w:cs="Arial"/>
          <w:lang w:val="es-MX" w:eastAsia="es-CO"/>
        </w:rPr>
      </w:pPr>
    </w:p>
    <w:p w14:paraId="67DB23EE" w14:textId="77777777" w:rsidR="00A279FC" w:rsidRPr="00E2397D" w:rsidRDefault="00A279FC" w:rsidP="00A279FC">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w:t>
      </w:r>
      <w:r>
        <w:rPr>
          <w:rFonts w:ascii="Verdana" w:eastAsia="Times New Roman" w:hAnsi="Verdana" w:cs="Arial"/>
          <w:lang w:val="es-MX" w:eastAsia="es-CO"/>
        </w:rPr>
        <w:lastRenderedPageBreak/>
        <w:t>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5CFE590C" w14:textId="77777777" w:rsidR="00A279FC" w:rsidRPr="00886C02" w:rsidRDefault="00A279FC" w:rsidP="00A279FC">
      <w:pPr>
        <w:spacing w:after="0" w:line="276" w:lineRule="auto"/>
        <w:ind w:firstLine="709"/>
        <w:jc w:val="both"/>
        <w:rPr>
          <w:rFonts w:ascii="Verdana" w:eastAsia="Times New Roman" w:hAnsi="Verdana" w:cs="Arial"/>
          <w:lang w:val="es-MX" w:eastAsia="es-CO"/>
        </w:rPr>
      </w:pPr>
    </w:p>
    <w:p w14:paraId="24AAF74E" w14:textId="77777777" w:rsidR="00A279FC" w:rsidRPr="00E2397D" w:rsidRDefault="00A279FC" w:rsidP="00A279FC">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DDE2BEC" w14:textId="77777777" w:rsidR="00A279FC" w:rsidRPr="00E2397D" w:rsidRDefault="00A279FC" w:rsidP="00A279FC">
      <w:pPr>
        <w:spacing w:after="0" w:line="240" w:lineRule="auto"/>
        <w:ind w:right="709"/>
        <w:contextualSpacing/>
        <w:jc w:val="both"/>
        <w:rPr>
          <w:rFonts w:ascii="Verdana" w:eastAsia="Times New Roman" w:hAnsi="Verdana" w:cs="Arial"/>
          <w:lang w:val="es-MX" w:eastAsia="es-CO"/>
        </w:rPr>
      </w:pPr>
    </w:p>
    <w:p w14:paraId="5F47EC9A" w14:textId="77777777" w:rsidR="00A279FC" w:rsidRPr="00E2397D" w:rsidRDefault="00A279FC" w:rsidP="00A279FC">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8"/>
      </w:r>
      <w:r w:rsidRPr="00E2397D">
        <w:rPr>
          <w:rFonts w:ascii="Verdana" w:eastAsia="Times New Roman" w:hAnsi="Verdana" w:cs="Arial"/>
          <w:sz w:val="20"/>
          <w:szCs w:val="20"/>
          <w:lang w:val="es-MX" w:eastAsia="es-CO"/>
        </w:rPr>
        <w:t>.</w:t>
      </w:r>
    </w:p>
    <w:p w14:paraId="654CB10D" w14:textId="77777777" w:rsidR="00A279FC" w:rsidRPr="00E2397D" w:rsidRDefault="00A279FC" w:rsidP="00A279FC">
      <w:pPr>
        <w:spacing w:after="0" w:line="276" w:lineRule="auto"/>
        <w:jc w:val="both"/>
        <w:rPr>
          <w:rFonts w:ascii="Verdana" w:eastAsia="Calibri" w:hAnsi="Verdana" w:cs="Arial"/>
          <w:bCs/>
          <w:lang w:val="es-ES_tradnl"/>
        </w:rPr>
      </w:pPr>
    </w:p>
    <w:p w14:paraId="4A312925" w14:textId="77777777" w:rsidR="00A279FC" w:rsidRDefault="00A279FC" w:rsidP="00A279FC">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5B046015" w14:textId="77777777" w:rsidR="00A279FC" w:rsidRPr="00E2397D" w:rsidRDefault="00A279FC" w:rsidP="00A279FC">
      <w:pPr>
        <w:spacing w:after="0" w:line="276" w:lineRule="auto"/>
        <w:ind w:firstLine="709"/>
        <w:jc w:val="both"/>
        <w:rPr>
          <w:rFonts w:ascii="Verdana" w:eastAsia="Arial" w:hAnsi="Verdana" w:cs="Arial"/>
          <w:lang w:val="es-ES" w:eastAsia="es-ES" w:bidi="es-ES"/>
        </w:rPr>
      </w:pPr>
    </w:p>
    <w:p w14:paraId="51E6F832" w14:textId="77777777" w:rsidR="00A279FC" w:rsidRPr="00E2397D" w:rsidRDefault="00A279FC" w:rsidP="00A279FC">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24CC6597" w14:textId="77777777" w:rsidR="00A279FC" w:rsidRPr="00E2397D" w:rsidRDefault="00A279FC" w:rsidP="00A279FC">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9"/>
      </w:r>
      <w:r w:rsidRPr="00E2397D">
        <w:rPr>
          <w:rFonts w:ascii="Verdana" w:eastAsia="Calibri" w:hAnsi="Verdana" w:cs="Arial"/>
        </w:rPr>
        <w:t>.</w:t>
      </w:r>
    </w:p>
    <w:p w14:paraId="50621A03" w14:textId="77777777" w:rsidR="00A279FC" w:rsidRDefault="00A279FC" w:rsidP="00A279FC">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r w:rsidRPr="00E2397D">
        <w:rPr>
          <w:rFonts w:ascii="Verdana" w:eastAsia="Calibri" w:hAnsi="Verdana" w:cs="Arial"/>
          <w:vertAlign w:val="superscript"/>
        </w:rPr>
        <w:footnoteReference w:id="10"/>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5E8CBBDB" w14:textId="77777777" w:rsidR="00A279FC" w:rsidRPr="00C056DC" w:rsidRDefault="00A279FC" w:rsidP="00A279FC">
      <w:pPr>
        <w:spacing w:before="120"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 xml:space="preserve">Para entender el momento de aplicación de estas restricciones, es preciso señalar que el vocablo “celebrar” es definido por el Diccionario Panhispánico del </w:t>
      </w:r>
      <w:r>
        <w:rPr>
          <w:rFonts w:ascii="Verdana" w:eastAsia="Times New Roman" w:hAnsi="Verdana" w:cs="Arial"/>
          <w:bCs/>
          <w:lang w:val="es-MX" w:eastAsia="es-CO"/>
        </w:rPr>
        <w:lastRenderedPageBreak/>
        <w:t>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447D82">
        <w:rPr>
          <w:rFonts w:ascii="Verdana" w:eastAsia="Times New Roman" w:hAnsi="Verdana" w:cs="Arial"/>
          <w:bCs/>
          <w:i/>
          <w:lang w:val="es-ES" w:eastAsia="es-CO"/>
        </w:rPr>
        <w:t>ibídem</w:t>
      </w:r>
      <w:proofErr w:type="spellEnd"/>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580FA76F" w14:textId="77777777" w:rsidR="00A279FC" w:rsidRPr="00894384" w:rsidRDefault="00A279FC" w:rsidP="00A279FC">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1"/>
      </w:r>
      <w:r w:rsidRPr="00894384">
        <w:rPr>
          <w:rFonts w:ascii="Verdana" w:eastAsia="Times New Roman" w:hAnsi="Verdana" w:cs="Arial"/>
          <w:bCs/>
          <w:lang w:val="es-MX" w:eastAsia="es-CO"/>
        </w:rPr>
        <w:t xml:space="preserve">. </w:t>
      </w:r>
    </w:p>
    <w:p w14:paraId="6B973639" w14:textId="77777777" w:rsidR="00A279FC" w:rsidRPr="00E2397D" w:rsidRDefault="00A279FC" w:rsidP="00A279FC">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23080DF0" w14:textId="77777777" w:rsidR="00A279FC" w:rsidRPr="00E2397D" w:rsidRDefault="00A279FC" w:rsidP="00A279FC">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070B72F4" w14:textId="77777777" w:rsidR="00A279FC" w:rsidRPr="00E2397D" w:rsidRDefault="00A279FC" w:rsidP="00A279FC">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w:t>
      </w:r>
      <w:r w:rsidRPr="00E2397D">
        <w:rPr>
          <w:rFonts w:ascii="Verdana" w:eastAsia="Arial" w:hAnsi="Verdana" w:cs="Arial"/>
          <w:sz w:val="20"/>
          <w:szCs w:val="20"/>
          <w:lang w:eastAsia="es-ES" w:bidi="es-ES"/>
        </w:rPr>
        <w:lastRenderedPageBreak/>
        <w:t xml:space="preserve">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2"/>
      </w:r>
    </w:p>
    <w:p w14:paraId="5D45A80C" w14:textId="77777777" w:rsidR="00A279FC" w:rsidRPr="00E2397D" w:rsidRDefault="00A279FC" w:rsidP="00A279FC">
      <w:pPr>
        <w:widowControl w:val="0"/>
        <w:autoSpaceDE w:val="0"/>
        <w:autoSpaceDN w:val="0"/>
        <w:spacing w:after="0" w:line="276" w:lineRule="auto"/>
        <w:contextualSpacing/>
        <w:rPr>
          <w:rFonts w:ascii="Verdana" w:eastAsia="Arial" w:hAnsi="Verdana" w:cs="Arial"/>
          <w:lang w:val="es-ES" w:eastAsia="es-ES" w:bidi="es-ES"/>
        </w:rPr>
      </w:pPr>
    </w:p>
    <w:p w14:paraId="544CB10B" w14:textId="77777777" w:rsidR="00A279FC" w:rsidRPr="00E2397D" w:rsidRDefault="00A279FC" w:rsidP="00A279FC">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D30E74A" w14:textId="77777777" w:rsidR="00A279FC" w:rsidRPr="00E2397D" w:rsidRDefault="00A279FC" w:rsidP="00A279FC">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7825B1C2" w14:textId="77777777" w:rsidR="00A279FC" w:rsidRDefault="00A279FC" w:rsidP="00A279FC">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w:t>
      </w:r>
      <w:r w:rsidRPr="00E2397D">
        <w:rPr>
          <w:rFonts w:ascii="Verdana" w:eastAsia="Arial" w:hAnsi="Verdana" w:cs="Arial"/>
          <w:lang w:val="es-ES" w:eastAsia="es-ES" w:bidi="es-ES"/>
        </w:rPr>
        <w:lastRenderedPageBreak/>
        <w:t xml:space="preserve">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5921624D" w14:textId="77777777" w:rsidR="00A279FC" w:rsidRPr="00E2397D" w:rsidRDefault="00A279FC" w:rsidP="00A279FC">
      <w:pPr>
        <w:spacing w:after="12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p>
    <w:p w14:paraId="70C50381" w14:textId="77777777" w:rsidR="00A279FC" w:rsidRPr="00E2397D" w:rsidRDefault="00A279FC" w:rsidP="00A279FC">
      <w:pPr>
        <w:spacing w:after="120" w:line="276" w:lineRule="auto"/>
        <w:jc w:val="both"/>
        <w:rPr>
          <w:rFonts w:ascii="Verdana" w:eastAsia="Times New Roman" w:hAnsi="Verdana" w:cs="Arial"/>
          <w:lang w:val="es-MX" w:eastAsia="x-none"/>
        </w:rPr>
      </w:pPr>
      <w:proofErr w:type="spellStart"/>
      <w:r w:rsidRPr="00E2397D">
        <w:rPr>
          <w:rFonts w:ascii="Verdana" w:eastAsia="Arial" w:hAnsi="Verdana" w:cs="Arial"/>
          <w:lang w:val="es-ES" w:eastAsia="es-ES" w:bidi="es-ES"/>
        </w:rPr>
        <w:t>iii</w:t>
      </w:r>
      <w:proofErr w:type="spellEnd"/>
      <w:r w:rsidRPr="00E2397D">
        <w:rPr>
          <w:rFonts w:ascii="Verdana" w:eastAsia="Arial" w:hAnsi="Verdana" w:cs="Arial"/>
          <w:lang w:val="es-ES" w:eastAsia="es-ES" w:bidi="es-ES"/>
        </w:rPr>
        <w:t xml:space="preserve">. Ahora bien, </w:t>
      </w:r>
      <w:r w:rsidRPr="00E2397D">
        <w:rPr>
          <w:rFonts w:ascii="Verdana" w:eastAsia="Calibri" w:hAnsi="Verdana" w:cs="Arial"/>
          <w:lang w:eastAsia="es-ES" w:bidi="es-ES"/>
        </w:rPr>
        <w:t xml:space="preserve">para </w:t>
      </w:r>
      <w:r>
        <w:rPr>
          <w:rFonts w:ascii="Verdana" w:eastAsia="Calibri" w:hAnsi="Verdana" w:cs="Arial"/>
          <w:lang w:eastAsia="es-ES" w:bidi="es-ES"/>
        </w:rPr>
        <w:t xml:space="preserve">responder al problema jurídico </w:t>
      </w:r>
      <w:r w:rsidRPr="00E2397D">
        <w:rPr>
          <w:rFonts w:ascii="Verdana" w:eastAsia="Calibri" w:hAnsi="Verdana" w:cs="Arial"/>
          <w:lang w:eastAsia="es-ES" w:bidi="es-ES"/>
        </w:rPr>
        <w:t xml:space="preserve">planteado resulta necesario precisar el alcance de la prohibición </w:t>
      </w:r>
      <w:r w:rsidRPr="00E2397D">
        <w:rPr>
          <w:rFonts w:ascii="Verdana" w:eastAsia="Arial" w:hAnsi="Verdana" w:cs="Arial"/>
          <w:lang w:val="es-ES" w:eastAsia="es-ES" w:bidi="es-ES"/>
        </w:rPr>
        <w:t>establecida en e</w:t>
      </w:r>
      <w:r w:rsidRPr="00E2397D">
        <w:rPr>
          <w:rFonts w:ascii="Verdana" w:eastAsia="Calibri" w:hAnsi="Verdana" w:cs="Arial"/>
        </w:rPr>
        <w:t>l parágrafo del artículo 38 de la Ley 996 de 2005. La citada norm</w:t>
      </w:r>
      <w:r>
        <w:rPr>
          <w:rFonts w:ascii="Verdana" w:eastAsia="Calibri" w:hAnsi="Verdana" w:cs="Arial"/>
        </w:rPr>
        <w:t xml:space="preserve">a dispone: </w:t>
      </w:r>
      <w:r w:rsidRPr="00E2397D">
        <w:rPr>
          <w:rFonts w:ascii="Verdana" w:eastAsia="Calibri" w:hAnsi="Verdana" w:cs="Arial"/>
        </w:rPr>
        <w:t xml:space="preserve">“[l]os Gobernadores, </w:t>
      </w:r>
      <w:proofErr w:type="gramStart"/>
      <w:r w:rsidRPr="00E2397D">
        <w:rPr>
          <w:rFonts w:ascii="Verdana" w:eastAsia="Calibri" w:hAnsi="Verdana" w:cs="Arial"/>
        </w:rPr>
        <w:t>Alcaldes</w:t>
      </w:r>
      <w:proofErr w:type="gramEnd"/>
      <w:r w:rsidRPr="00E2397D">
        <w:rPr>
          <w:rFonts w:ascii="Verdana" w:eastAsia="Calibri" w:hAnsi="Verdana" w:cs="Arial"/>
        </w:rPr>
        <w:t xml:space="preserve"> Municipales y/o Distritales, </w:t>
      </w:r>
      <w:proofErr w:type="gramStart"/>
      <w:r w:rsidRPr="00E2397D">
        <w:rPr>
          <w:rFonts w:ascii="Verdana" w:eastAsia="Calibri" w:hAnsi="Verdana" w:cs="Arial"/>
        </w:rPr>
        <w:t>Secretarios</w:t>
      </w:r>
      <w:proofErr w:type="gramEnd"/>
      <w:r w:rsidRPr="00E2397D">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Pr="00E2397D">
        <w:rPr>
          <w:rFonts w:ascii="Verdana" w:eastAsia="Calibri" w:hAnsi="Verdana" w:cs="Arial"/>
          <w:i/>
          <w:iCs/>
        </w:rPr>
        <w:t>convenios interadministrativos</w:t>
      </w:r>
      <w:r w:rsidRPr="00E2397D">
        <w:rPr>
          <w:rFonts w:ascii="Verdana" w:eastAsia="Calibri" w:hAnsi="Verdana" w:cs="Arial"/>
        </w:rPr>
        <w:t xml:space="preserve"> para la ejecución de recursos públicos”.</w:t>
      </w:r>
      <w:r w:rsidRPr="00E2397D">
        <w:rPr>
          <w:rFonts w:ascii="Verdana" w:eastAsia="Times New Roman" w:hAnsi="Verdana" w:cs="Arial"/>
          <w:lang w:val="es-MX" w:eastAsia="x-none"/>
        </w:rPr>
        <w:t xml:space="preserve"> [Énfasis fuera del texto original]</w:t>
      </w:r>
    </w:p>
    <w:p w14:paraId="51245C68" w14:textId="77777777" w:rsidR="00A279FC" w:rsidRPr="00E2397D" w:rsidRDefault="00A279FC" w:rsidP="00A279FC">
      <w:pPr>
        <w:spacing w:after="120" w:line="276" w:lineRule="auto"/>
        <w:ind w:firstLine="709"/>
        <w:jc w:val="both"/>
        <w:rPr>
          <w:rFonts w:ascii="Verdana" w:eastAsia="Calibri" w:hAnsi="Verdana" w:cs="Arial"/>
          <w:lang w:bidi="es-ES"/>
        </w:rPr>
      </w:pPr>
      <w:r w:rsidRPr="00E2397D">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7AF9D506" w14:textId="77777777" w:rsidR="00A279FC" w:rsidRPr="00E2397D" w:rsidRDefault="00A279FC" w:rsidP="00A279FC">
      <w:pPr>
        <w:spacing w:after="120" w:line="276" w:lineRule="auto"/>
        <w:ind w:firstLine="709"/>
        <w:jc w:val="both"/>
        <w:rPr>
          <w:rFonts w:ascii="Verdana" w:eastAsia="Calibri" w:hAnsi="Verdana" w:cs="Arial"/>
          <w:lang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E2397D">
        <w:rPr>
          <w:rFonts w:ascii="Verdana" w:eastAsia="Arial" w:hAnsi="Verdana" w:cs="Arial"/>
          <w:lang w:val="es-ES" w:eastAsia="es-ES" w:bidi="es-ES"/>
        </w:rPr>
        <w:t xml:space="preserve">el legislador y el ordenamiento jurídico, en general, en distintas ocasiones utiliza de forma indistinta los conceptos de contrato o </w:t>
      </w:r>
      <w:r w:rsidRPr="00E2397D">
        <w:rPr>
          <w:rFonts w:ascii="Verdana" w:eastAsia="Arial" w:hAnsi="Verdana" w:cs="Arial"/>
          <w:lang w:val="es-ES" w:eastAsia="es-ES" w:bidi="es-ES"/>
        </w:rPr>
        <w:lastRenderedPageBreak/>
        <w:t>convenio para referirse a la misma institución jurídica</w:t>
      </w:r>
      <w:r w:rsidRPr="00E2397D">
        <w:rPr>
          <w:rFonts w:ascii="Verdana" w:eastAsia="Arial" w:hAnsi="Verdana" w:cs="Arial"/>
          <w:vertAlign w:val="superscript"/>
          <w:lang w:val="es-ES" w:eastAsia="es-ES" w:bidi="es-ES"/>
        </w:rPr>
        <w:footnoteReference w:id="13"/>
      </w:r>
      <w:r w:rsidRPr="00E2397D">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14"/>
      </w:r>
      <w:r w:rsidRPr="00E2397D">
        <w:rPr>
          <w:rFonts w:ascii="Verdana" w:eastAsia="Arial" w:hAnsi="Verdana" w:cs="Arial"/>
          <w:lang w:val="es-ES" w:eastAsia="es-ES" w:bidi="es-ES"/>
        </w:rPr>
        <w:t>.</w:t>
      </w:r>
    </w:p>
    <w:p w14:paraId="5D6E3FD0" w14:textId="77777777" w:rsidR="00A279FC" w:rsidRPr="00E2397D" w:rsidRDefault="00A279FC" w:rsidP="00A279FC">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6992F97C" w14:textId="77777777" w:rsidR="00A279FC" w:rsidRPr="00E2397D" w:rsidRDefault="00A279FC" w:rsidP="00A279FC">
      <w:pPr>
        <w:widowControl w:val="0"/>
        <w:autoSpaceDE w:val="0"/>
        <w:autoSpaceDN w:val="0"/>
        <w:spacing w:after="0" w:line="276" w:lineRule="auto"/>
        <w:contextualSpacing/>
        <w:jc w:val="both"/>
        <w:rPr>
          <w:rFonts w:ascii="Verdana" w:eastAsia="Arial" w:hAnsi="Verdana" w:cs="Arial"/>
          <w:lang w:val="es-ES" w:eastAsia="es-ES" w:bidi="es-ES"/>
        </w:rPr>
      </w:pPr>
    </w:p>
    <w:p w14:paraId="4679EB9A" w14:textId="77777777" w:rsidR="00A279FC" w:rsidRPr="00E2397D" w:rsidRDefault="00A279FC" w:rsidP="00A279FC">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2397D">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4E505FD1" w14:textId="77777777" w:rsidR="00A279FC" w:rsidRPr="00E2397D" w:rsidRDefault="00A279FC" w:rsidP="00A279FC">
      <w:pPr>
        <w:spacing w:after="0" w:line="240" w:lineRule="auto"/>
        <w:ind w:left="709" w:right="709"/>
        <w:jc w:val="both"/>
        <w:rPr>
          <w:rFonts w:ascii="Verdana" w:eastAsia="Calibri" w:hAnsi="Verdana" w:cs="Arial"/>
          <w:sz w:val="20"/>
          <w:szCs w:val="20"/>
          <w:lang w:val="es-MX"/>
        </w:rPr>
      </w:pPr>
    </w:p>
    <w:p w14:paraId="7C78ABD7" w14:textId="77777777" w:rsidR="00A279FC" w:rsidRPr="00E2397D" w:rsidRDefault="00A279FC" w:rsidP="00A279FC">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3C654BEB" w14:textId="77777777" w:rsidR="00A279FC" w:rsidRPr="00E2397D" w:rsidRDefault="00A279FC" w:rsidP="00A279FC">
      <w:pPr>
        <w:spacing w:after="0" w:line="240" w:lineRule="auto"/>
        <w:ind w:left="709" w:right="709"/>
        <w:jc w:val="both"/>
        <w:rPr>
          <w:rFonts w:ascii="Verdana" w:eastAsia="Calibri" w:hAnsi="Verdana" w:cs="Arial"/>
          <w:sz w:val="20"/>
          <w:szCs w:val="20"/>
          <w:lang w:val="es-MX"/>
        </w:rPr>
      </w:pPr>
    </w:p>
    <w:p w14:paraId="151E571B" w14:textId="77777777" w:rsidR="00A279FC" w:rsidRPr="00E2397D" w:rsidRDefault="00A279FC" w:rsidP="00A279FC">
      <w:pPr>
        <w:spacing w:after="0" w:line="240" w:lineRule="auto"/>
        <w:ind w:left="709" w:right="709"/>
        <w:jc w:val="both"/>
        <w:rPr>
          <w:rFonts w:ascii="Verdana" w:eastAsia="Calibri" w:hAnsi="Verdana" w:cs="Arial"/>
          <w:sz w:val="20"/>
          <w:szCs w:val="20"/>
          <w:lang w:val="es-MX"/>
        </w:rPr>
      </w:pPr>
      <w:r w:rsidRPr="00E2397D">
        <w:rPr>
          <w:rFonts w:ascii="Verdana" w:eastAsia="Calibri" w:hAnsi="Verdana" w:cs="Arial"/>
          <w:sz w:val="20"/>
          <w:szCs w:val="20"/>
          <w:lang w:val="es-MX"/>
        </w:rPr>
        <w:lastRenderedPageBreak/>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8006D64" w14:textId="77777777" w:rsidR="00A279FC" w:rsidRPr="00E2397D" w:rsidRDefault="00A279FC" w:rsidP="00A279FC">
      <w:pPr>
        <w:widowControl w:val="0"/>
        <w:autoSpaceDE w:val="0"/>
        <w:autoSpaceDN w:val="0"/>
        <w:spacing w:after="0" w:line="276" w:lineRule="auto"/>
        <w:contextualSpacing/>
        <w:jc w:val="both"/>
        <w:rPr>
          <w:rFonts w:ascii="Verdana" w:eastAsia="Arial" w:hAnsi="Verdana" w:cs="Arial"/>
          <w:lang w:val="es-ES" w:eastAsia="es-ES" w:bidi="es-ES"/>
        </w:rPr>
      </w:pPr>
    </w:p>
    <w:p w14:paraId="53717336" w14:textId="77777777" w:rsidR="00A279FC" w:rsidRPr="00E2397D" w:rsidRDefault="00A279FC" w:rsidP="00A279FC">
      <w:pPr>
        <w:spacing w:after="120" w:line="276" w:lineRule="auto"/>
        <w:ind w:firstLine="709"/>
        <w:jc w:val="both"/>
        <w:rPr>
          <w:rFonts w:ascii="Verdana" w:eastAsia="Arial" w:hAnsi="Verdana" w:cs="Arial"/>
          <w:lang w:val="es-MX" w:eastAsia="es-ES" w:bidi="es-ES"/>
        </w:rPr>
      </w:pPr>
      <w:r w:rsidRPr="00E2397D">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E2397D">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425DCF4F" w14:textId="77777777" w:rsidR="00A279FC" w:rsidRPr="00E2397D" w:rsidRDefault="00A279FC" w:rsidP="00A279FC">
      <w:pPr>
        <w:spacing w:after="0" w:line="276" w:lineRule="auto"/>
        <w:ind w:firstLine="709"/>
        <w:jc w:val="both"/>
      </w:pPr>
      <w:r w:rsidRPr="00E2397D">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E2397D">
        <w:rPr>
          <w:rFonts w:ascii="Verdana" w:hAnsi="Verdana"/>
        </w:rPr>
        <w:t>numeral 16.2 de la Circular Externa Única de 2022 expedida por la Agencia Nacional de Contratación Pública -Colombia Compra Eficiente-, concretamente, respecto de los siguientes apartes normativos</w:t>
      </w:r>
      <w:r w:rsidRPr="00E2397D">
        <w:rPr>
          <w:rFonts w:ascii="Verdana" w:hAnsi="Verdana"/>
          <w:vertAlign w:val="superscript"/>
        </w:rPr>
        <w:footnoteReference w:id="15"/>
      </w:r>
      <w:r w:rsidRPr="00E2397D">
        <w:rPr>
          <w:rFonts w:ascii="Verdana" w:hAnsi="Verdana"/>
        </w:rPr>
        <w:t>:</w:t>
      </w:r>
      <w:r w:rsidRPr="00E2397D">
        <w:t xml:space="preserve"> </w:t>
      </w:r>
    </w:p>
    <w:p w14:paraId="23E6EABC" w14:textId="77777777" w:rsidR="00A279FC" w:rsidRPr="00E2397D" w:rsidRDefault="00A279FC" w:rsidP="00A279FC">
      <w:pPr>
        <w:spacing w:after="0" w:line="276" w:lineRule="auto"/>
        <w:ind w:firstLine="709"/>
        <w:jc w:val="both"/>
      </w:pPr>
    </w:p>
    <w:p w14:paraId="6CC7EA63" w14:textId="77777777" w:rsidR="00A279FC" w:rsidRPr="00E2397D" w:rsidRDefault="00A279FC" w:rsidP="00A279FC">
      <w:pPr>
        <w:spacing w:after="0" w:line="240" w:lineRule="auto"/>
        <w:ind w:left="709" w:right="709"/>
        <w:jc w:val="both"/>
        <w:rPr>
          <w:rFonts w:ascii="Verdana" w:eastAsia="Calibri" w:hAnsi="Verdana" w:cs="Arial"/>
          <w:sz w:val="20"/>
          <w:szCs w:val="20"/>
        </w:rPr>
      </w:pPr>
      <w:r w:rsidRPr="00E2397D">
        <w:rPr>
          <w:rFonts w:ascii="Verdana" w:eastAsia="Calibri" w:hAnsi="Verdana" w:cs="Arial"/>
          <w:sz w:val="20"/>
          <w:szCs w:val="20"/>
          <w:lang w:val="es-MX"/>
        </w:rPr>
        <w:t>i)</w:t>
      </w:r>
      <w:r w:rsidRPr="00E2397D">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C77CBBB" w14:textId="77777777" w:rsidR="00A279FC" w:rsidRPr="00E2397D" w:rsidRDefault="00A279FC" w:rsidP="00A279FC">
      <w:pPr>
        <w:spacing w:after="0" w:line="240" w:lineRule="auto"/>
        <w:ind w:left="709" w:right="709"/>
        <w:jc w:val="both"/>
        <w:rPr>
          <w:rFonts w:ascii="Verdana" w:eastAsia="Calibri" w:hAnsi="Verdana" w:cs="Arial"/>
          <w:sz w:val="20"/>
          <w:szCs w:val="20"/>
        </w:rPr>
      </w:pPr>
    </w:p>
    <w:p w14:paraId="2ACF90D6" w14:textId="77777777" w:rsidR="00A279FC" w:rsidRPr="00E2397D" w:rsidRDefault="00A279FC" w:rsidP="00A279FC">
      <w:pPr>
        <w:spacing w:after="0" w:line="240" w:lineRule="auto"/>
        <w:ind w:left="709" w:right="709"/>
        <w:jc w:val="both"/>
        <w:rPr>
          <w:rFonts w:ascii="Verdana" w:hAnsi="Verdana"/>
          <w:sz w:val="20"/>
          <w:szCs w:val="20"/>
        </w:rPr>
      </w:pPr>
      <w:proofErr w:type="spellStart"/>
      <w:r w:rsidRPr="00E2397D">
        <w:rPr>
          <w:rFonts w:ascii="Verdana" w:hAnsi="Verdana"/>
          <w:sz w:val="20"/>
          <w:szCs w:val="20"/>
        </w:rPr>
        <w:t>ii</w:t>
      </w:r>
      <w:proofErr w:type="spellEnd"/>
      <w:r w:rsidRPr="00E2397D">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77F43BA7" w14:textId="77777777" w:rsidR="00A279FC" w:rsidRPr="00E2397D" w:rsidRDefault="00A279FC" w:rsidP="00A279FC">
      <w:pPr>
        <w:spacing w:after="0" w:line="276" w:lineRule="auto"/>
        <w:ind w:left="709" w:right="709"/>
        <w:jc w:val="both"/>
        <w:rPr>
          <w:rFonts w:ascii="Verdana" w:hAnsi="Verdana"/>
        </w:rPr>
      </w:pPr>
    </w:p>
    <w:p w14:paraId="6FA174AB" w14:textId="77777777" w:rsidR="00A279FC" w:rsidRPr="00E2397D" w:rsidRDefault="00A279FC" w:rsidP="00A279FC">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lastRenderedPageBreak/>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2005BFD4" w14:textId="77777777" w:rsidR="00A279FC" w:rsidRPr="00E2397D" w:rsidRDefault="00A279FC" w:rsidP="00A279FC">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179CFDA9" w14:textId="77777777" w:rsidR="00A279FC" w:rsidRPr="00E2397D" w:rsidRDefault="00A279FC" w:rsidP="00A279FC">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7CBC0778" w14:textId="77777777" w:rsidR="00A279FC" w:rsidRDefault="00A279FC" w:rsidP="00A279FC">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lastRenderedPageBreak/>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 xml:space="preserve">, 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w:t>
      </w:r>
      <w:r>
        <w:rPr>
          <w:rFonts w:ascii="Verdana" w:eastAsia="Times New Roman" w:hAnsi="Verdana" w:cs="Arial"/>
          <w:lang w:val="es-MX" w:eastAsia="es-CO"/>
        </w:rPr>
        <w:t xml:space="preserve">istrativos. </w:t>
      </w:r>
    </w:p>
    <w:p w14:paraId="547786F2" w14:textId="77777777" w:rsidR="00A279FC" w:rsidRPr="00E2397D" w:rsidRDefault="00A279FC" w:rsidP="00A279FC">
      <w:pPr>
        <w:spacing w:after="120" w:line="276" w:lineRule="auto"/>
        <w:ind w:firstLine="709"/>
        <w:jc w:val="both"/>
        <w:rPr>
          <w:rFonts w:ascii="Verdana" w:eastAsia="Times New Roman" w:hAnsi="Verdana" w:cs="Arial"/>
          <w:lang w:val="es-MX" w:eastAsia="es-CO"/>
        </w:rPr>
      </w:pPr>
      <w:r>
        <w:rPr>
          <w:rFonts w:ascii="Verdana" w:eastAsia="Times New Roman" w:hAnsi="Verdana" w:cs="Arial"/>
          <w:lang w:val="es-MX" w:eastAsia="es-CO"/>
        </w:rPr>
        <w:t xml:space="preserve">En esta perspectiva, se encuentra que la </w:t>
      </w:r>
      <w:proofErr w:type="spellStart"/>
      <w:r>
        <w:rPr>
          <w:rFonts w:ascii="Verdana" w:eastAsia="Times New Roman" w:hAnsi="Verdana" w:cs="Arial"/>
          <w:lang w:val="es-MX" w:eastAsia="es-CO"/>
        </w:rPr>
        <w:t>Beneficiencia</w:t>
      </w:r>
      <w:proofErr w:type="spellEnd"/>
      <w:r>
        <w:rPr>
          <w:rFonts w:ascii="Verdana" w:eastAsia="Times New Roman" w:hAnsi="Verdana" w:cs="Arial"/>
          <w:lang w:val="es-MX" w:eastAsia="es-CO"/>
        </w:rPr>
        <w:t xml:space="preserve"> de Cundinamarca que es un establecimiento público del orden departamental, según lo contemplado en el Decreto </w:t>
      </w:r>
      <w:proofErr w:type="spellStart"/>
      <w:r>
        <w:rPr>
          <w:rFonts w:ascii="Verdana" w:eastAsia="Times New Roman" w:hAnsi="Verdana" w:cs="Arial"/>
          <w:lang w:val="es-MX" w:eastAsia="es-CO"/>
        </w:rPr>
        <w:t>Ordenanzal</w:t>
      </w:r>
      <w:proofErr w:type="spellEnd"/>
      <w:r>
        <w:rPr>
          <w:rFonts w:ascii="Verdana" w:eastAsia="Times New Roman" w:hAnsi="Verdana" w:cs="Arial"/>
          <w:lang w:val="es-MX" w:eastAsia="es-CO"/>
        </w:rPr>
        <w:t xml:space="preserve"> 265 de 2016. Al ser un establecimiento tiene la calidad de ser una entidad pública, que está sujeta a las restricciones y condiciones desarrolladas para estas en el sistema de contratación y compras públicas, así como las demás normas que componen el ordenamiento jurídico. De este modo, al ser una entidad pública del orden departamental está sujeta a la restricción definida en el artículo 38 de la Ley 996 de 2005. </w:t>
      </w:r>
    </w:p>
    <w:p w14:paraId="0880D19A" w14:textId="77777777" w:rsidR="00A279FC" w:rsidRDefault="00A279FC" w:rsidP="00A279FC">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ES" w:eastAsia="es-CO" w:bidi="es-ES"/>
        </w:rPr>
        <w:t>En todo caso</w:t>
      </w:r>
      <w:r w:rsidRPr="00E2397D">
        <w:rPr>
          <w:rFonts w:ascii="Verdana" w:eastAsia="Arial" w:hAnsi="Verdana" w:cs="Arial"/>
          <w:lang w:val="es-ES" w:eastAsia="es-ES" w:bidi="es-ES"/>
        </w:rPr>
        <w:t>,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E2397D">
        <w:rPr>
          <w:rFonts w:ascii="Verdana" w:eastAsia="Arial" w:hAnsi="Verdana" w:cs="Arial"/>
          <w:vertAlign w:val="superscript"/>
          <w:lang w:val="es-ES" w:eastAsia="es-ES" w:bidi="es-ES"/>
        </w:rPr>
        <w:footnoteReference w:id="16"/>
      </w:r>
      <w:r w:rsidRPr="00E2397D">
        <w:rPr>
          <w:rFonts w:ascii="Verdana" w:eastAsia="Arial" w:hAnsi="Verdana" w:cs="Arial"/>
          <w:lang w:val="es-ES" w:eastAsia="es-ES" w:bidi="es-ES"/>
        </w:rPr>
        <w:t>.</w:t>
      </w:r>
    </w:p>
    <w:p w14:paraId="50F5B2B2" w14:textId="77777777" w:rsidR="00A279FC" w:rsidRDefault="00A279FC" w:rsidP="00A279FC">
      <w:pPr>
        <w:spacing w:after="0" w:line="276" w:lineRule="auto"/>
        <w:jc w:val="both"/>
        <w:rPr>
          <w:rFonts w:ascii="Verdana" w:eastAsia="Calibri" w:hAnsi="Verdana" w:cs="Arial"/>
          <w:lang w:val="es-ES" w:eastAsia="es-MX"/>
        </w:rPr>
      </w:pPr>
    </w:p>
    <w:p w14:paraId="7CD547E1" w14:textId="77777777" w:rsidR="00A279FC" w:rsidRPr="0057193B" w:rsidRDefault="00A279FC" w:rsidP="00A279FC">
      <w:pPr>
        <w:spacing w:line="276" w:lineRule="auto"/>
        <w:jc w:val="both"/>
        <w:rPr>
          <w:rFonts w:ascii="Verdana" w:eastAsia="Times New Roman" w:hAnsi="Verdana" w:cs="Arial"/>
          <w:bCs/>
          <w:lang w:val="es-MX" w:eastAsia="es-CO"/>
        </w:rPr>
      </w:pPr>
      <w:proofErr w:type="spellStart"/>
      <w:r w:rsidRPr="0057193B">
        <w:rPr>
          <w:rFonts w:ascii="Verdana" w:eastAsia="Arial" w:hAnsi="Verdana" w:cs="Arial"/>
          <w:lang w:val="es-ES" w:eastAsia="es-ES" w:bidi="es-ES"/>
        </w:rPr>
        <w:t>iv</w:t>
      </w:r>
      <w:proofErr w:type="spellEnd"/>
      <w:r w:rsidRPr="0057193B">
        <w:rPr>
          <w:rFonts w:ascii="Verdana" w:eastAsia="Arial" w:hAnsi="Verdana" w:cs="Arial"/>
          <w:lang w:val="es-ES" w:eastAsia="es-ES" w:bidi="es-ES"/>
        </w:rPr>
        <w:t xml:space="preserve">) </w:t>
      </w:r>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1D336E30" w14:textId="77777777" w:rsidR="00A279FC" w:rsidRPr="0057193B" w:rsidRDefault="00A279FC" w:rsidP="00A279FC">
      <w:pPr>
        <w:spacing w:after="0" w:line="240" w:lineRule="auto"/>
        <w:ind w:left="708" w:right="709"/>
        <w:jc w:val="both"/>
        <w:rPr>
          <w:rFonts w:ascii="Verdana" w:eastAsia="Calibri" w:hAnsi="Verdana" w:cs="Arial"/>
          <w:sz w:val="21"/>
          <w:szCs w:val="21"/>
          <w:lang w:val="es-MX"/>
        </w:rPr>
      </w:pPr>
    </w:p>
    <w:p w14:paraId="5916ED32" w14:textId="77777777" w:rsidR="00A279FC" w:rsidRDefault="00A279FC" w:rsidP="00A279FC">
      <w:pPr>
        <w:spacing w:after="0" w:line="240" w:lineRule="auto"/>
        <w:ind w:left="709" w:right="709"/>
        <w:jc w:val="both"/>
        <w:rPr>
          <w:rFonts w:ascii="Verdana" w:eastAsia="Calibri" w:hAnsi="Verdana" w:cs="Arial"/>
          <w:sz w:val="21"/>
          <w:szCs w:val="21"/>
          <w:lang w:val="es-MX"/>
        </w:rPr>
      </w:pPr>
      <w:r w:rsidRPr="0057193B">
        <w:rPr>
          <w:rFonts w:ascii="Verdana" w:eastAsia="Calibri" w:hAnsi="Verdana" w:cs="Arial"/>
          <w:sz w:val="21"/>
          <w:szCs w:val="21"/>
          <w:lang w:val="es-MX"/>
        </w:rPr>
        <w:lastRenderedPageBreak/>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7193B">
        <w:rPr>
          <w:rFonts w:ascii="Verdana" w:eastAsia="Times New Roman" w:hAnsi="Verdana" w:cs="Arial"/>
          <w:vertAlign w:val="superscript"/>
          <w:lang w:eastAsia="es-CO"/>
        </w:rPr>
        <w:footnoteReference w:id="17"/>
      </w:r>
      <w:r w:rsidRPr="0057193B">
        <w:rPr>
          <w:rFonts w:ascii="Verdana" w:eastAsia="Calibri" w:hAnsi="Verdana" w:cs="Arial"/>
          <w:sz w:val="21"/>
          <w:szCs w:val="21"/>
          <w:lang w:val="es-MX"/>
        </w:rPr>
        <w:t>.</w:t>
      </w:r>
    </w:p>
    <w:p w14:paraId="5F96751F" w14:textId="77777777" w:rsidR="00A279FC" w:rsidRPr="0057193B" w:rsidRDefault="00A279FC" w:rsidP="00A279FC">
      <w:pPr>
        <w:spacing w:after="0" w:line="240" w:lineRule="auto"/>
        <w:ind w:left="709" w:right="709"/>
        <w:jc w:val="both"/>
        <w:rPr>
          <w:rFonts w:ascii="Verdana" w:eastAsia="Calibri" w:hAnsi="Verdana" w:cs="Arial"/>
          <w:sz w:val="21"/>
          <w:szCs w:val="21"/>
          <w:lang w:val="es-MX"/>
        </w:rPr>
      </w:pPr>
    </w:p>
    <w:p w14:paraId="2A181DED" w14:textId="77777777" w:rsidR="00A279FC" w:rsidRPr="0057193B" w:rsidRDefault="00A279FC" w:rsidP="00A279FC">
      <w:pPr>
        <w:spacing w:after="0" w:line="240" w:lineRule="auto"/>
        <w:ind w:left="708" w:right="709"/>
        <w:jc w:val="both"/>
        <w:rPr>
          <w:rFonts w:ascii="Verdana" w:eastAsia="Calibri" w:hAnsi="Verdana" w:cs="Arial"/>
          <w:sz w:val="21"/>
          <w:szCs w:val="21"/>
          <w:lang w:val="es-MX"/>
        </w:rPr>
      </w:pPr>
      <w:r w:rsidRPr="0057193B">
        <w:rPr>
          <w:rFonts w:ascii="Verdana" w:eastAsia="Calibri" w:hAnsi="Verdana" w:cs="Arial"/>
          <w:sz w:val="21"/>
          <w:szCs w:val="21"/>
          <w:lang w:val="es-MX"/>
        </w:rPr>
        <w:t xml:space="preserve">Esta Sala ha entendido </w:t>
      </w:r>
      <w:proofErr w:type="gramStart"/>
      <w:r w:rsidRPr="0057193B">
        <w:rPr>
          <w:rFonts w:ascii="Verdana" w:eastAsia="Calibri" w:hAnsi="Verdana" w:cs="Arial"/>
          <w:sz w:val="21"/>
          <w:szCs w:val="21"/>
          <w:lang w:val="es-MX"/>
        </w:rPr>
        <w:t>que</w:t>
      </w:r>
      <w:proofErr w:type="gramEnd"/>
      <w:r w:rsidRPr="0057193B">
        <w:rPr>
          <w:rFonts w:ascii="Verdana" w:eastAsia="Calibri" w:hAnsi="Verdana" w:cs="Arial"/>
          <w:sz w:val="21"/>
          <w:szCs w:val="21"/>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57193B">
        <w:rPr>
          <w:rFonts w:ascii="Verdana" w:eastAsia="Times New Roman" w:hAnsi="Verdana" w:cs="Arial"/>
          <w:sz w:val="21"/>
          <w:szCs w:val="21"/>
          <w:vertAlign w:val="superscript"/>
          <w:lang w:val="es-MX"/>
        </w:rPr>
        <w:footnoteReference w:id="18"/>
      </w:r>
      <w:r w:rsidRPr="0057193B">
        <w:rPr>
          <w:rFonts w:ascii="Verdana" w:eastAsia="Times New Roman" w:hAnsi="Verdana" w:cs="Arial"/>
          <w:sz w:val="21"/>
          <w:szCs w:val="21"/>
          <w:vertAlign w:val="superscript"/>
          <w:lang w:val="es-MX"/>
        </w:rPr>
        <w:t>.</w:t>
      </w:r>
      <w:r w:rsidRPr="0057193B">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7193B">
        <w:rPr>
          <w:rFonts w:ascii="Verdana" w:eastAsia="Times New Roman" w:hAnsi="Verdana" w:cs="Arial"/>
          <w:vertAlign w:val="superscript"/>
          <w:lang w:eastAsia="es-CO"/>
        </w:rPr>
        <w:footnoteReference w:id="19"/>
      </w:r>
      <w:r w:rsidRPr="0057193B">
        <w:rPr>
          <w:rFonts w:ascii="Verdana" w:eastAsia="Calibri" w:hAnsi="Verdana" w:cs="Arial"/>
          <w:sz w:val="21"/>
          <w:szCs w:val="21"/>
          <w:lang w:val="es-MX"/>
        </w:rPr>
        <w:t xml:space="preserve"> .</w:t>
      </w:r>
    </w:p>
    <w:p w14:paraId="7A40C3A4" w14:textId="77777777" w:rsidR="00A279FC" w:rsidRPr="0057193B" w:rsidRDefault="00A279FC" w:rsidP="00A279FC">
      <w:pPr>
        <w:shd w:val="clear" w:color="auto" w:fill="FFFFFF"/>
        <w:spacing w:after="0" w:line="276" w:lineRule="auto"/>
        <w:ind w:firstLine="709"/>
        <w:jc w:val="both"/>
        <w:rPr>
          <w:rFonts w:ascii="Verdana" w:eastAsia="Times New Roman" w:hAnsi="Verdana" w:cs="Arial"/>
          <w:lang w:eastAsia="x-none"/>
        </w:rPr>
      </w:pPr>
    </w:p>
    <w:p w14:paraId="219E73C6" w14:textId="77777777" w:rsidR="00A279FC" w:rsidRPr="0057193B" w:rsidRDefault="00A279FC" w:rsidP="00A279FC">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20"/>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21"/>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56CC3CE2" w14:textId="77777777" w:rsidR="00A279FC" w:rsidRPr="0057193B" w:rsidRDefault="00A279FC" w:rsidP="00A279FC">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lastRenderedPageBreak/>
        <w:t xml:space="preserve">De esta forma, con fundamento en la evolución de la normativa sobre la contratación pública, se ha depurado la noción de </w:t>
      </w:r>
      <w:r w:rsidRPr="0057193B">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sidRPr="0057193B">
        <w:rPr>
          <w:rFonts w:ascii="Verdana" w:eastAsia="Times New Roman" w:hAnsi="Verdana" w:cs="Arial"/>
          <w:lang w:eastAsia="en-GB"/>
        </w:rPr>
        <w:t>»</w:t>
      </w:r>
      <w:r w:rsidRPr="0057193B">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22"/>
      </w:r>
      <w:r w:rsidRPr="0057193B">
        <w:rPr>
          <w:rFonts w:ascii="Verdana" w:eastAsia="Times New Roman" w:hAnsi="Verdana" w:cs="Arial"/>
          <w:lang w:eastAsia="x-none"/>
        </w:rPr>
        <w:t>, han establecido sistemas de contratación que implican convocatoria pública y participación de varios oferentes</w:t>
      </w:r>
      <w:r w:rsidRPr="0057193B">
        <w:rPr>
          <w:rFonts w:ascii="Verdana" w:eastAsia="Times New Roman" w:hAnsi="Verdana" w:cs="Arial"/>
          <w:lang w:eastAsia="en-GB"/>
        </w:rPr>
        <w:t>»</w:t>
      </w:r>
      <w:r w:rsidRPr="0057193B">
        <w:rPr>
          <w:rFonts w:ascii="Verdana" w:eastAsia="Times New Roman" w:hAnsi="Verdana" w:cs="Arial"/>
          <w:lang w:eastAsia="x-none"/>
        </w:rPr>
        <w:t xml:space="preserve">. </w:t>
      </w:r>
    </w:p>
    <w:p w14:paraId="74488EA7" w14:textId="77777777" w:rsidR="00A279FC" w:rsidRPr="0057193B" w:rsidRDefault="00A279FC" w:rsidP="00A279FC">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23"/>
      </w:r>
      <w:r w:rsidRPr="0057193B">
        <w:rPr>
          <w:rFonts w:ascii="Verdana" w:eastAsia="Times New Roman" w:hAnsi="Verdana" w:cs="Arial"/>
          <w:lang w:eastAsia="x-none"/>
        </w:rPr>
        <w:t xml:space="preserve">. </w:t>
      </w:r>
    </w:p>
    <w:p w14:paraId="1E9593BB" w14:textId="77777777" w:rsidR="00A279FC" w:rsidRPr="0057193B" w:rsidRDefault="00A279FC" w:rsidP="00A279FC">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w:t>
      </w:r>
      <w:r>
        <w:rPr>
          <w:rFonts w:ascii="Verdana" w:eastAsia="Times New Roman" w:hAnsi="Verdana" w:cs="Arial"/>
          <w:bCs/>
          <w:lang w:val="es-MX" w:eastAsia="es-CO"/>
        </w:rPr>
        <w:t xml:space="preserve"> mayor precisión el término de “contratación directa”</w:t>
      </w:r>
      <w:r w:rsidRPr="0057193B">
        <w:rPr>
          <w:rFonts w:ascii="Verdana" w:eastAsia="Times New Roman" w:hAnsi="Verdana" w:cs="Arial"/>
          <w:bCs/>
          <w:lang w:val="es-MX" w:eastAsia="es-CO"/>
        </w:rPr>
        <w:t>.</w:t>
      </w:r>
    </w:p>
    <w:p w14:paraId="6B513889" w14:textId="77777777" w:rsidR="00A279FC" w:rsidRPr="0057193B" w:rsidRDefault="00A279FC" w:rsidP="00A279FC">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w:t>
      </w:r>
      <w:r w:rsidRPr="0057193B">
        <w:rPr>
          <w:rFonts w:ascii="Verdana" w:eastAsia="Times New Roman" w:hAnsi="Verdana" w:cs="Arial"/>
          <w:bCs/>
          <w:lang w:val="es-MX" w:eastAsia="x-none"/>
        </w:rPr>
        <w:lastRenderedPageBreak/>
        <w:t>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24"/>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25F2C42D" w14:textId="77777777" w:rsidR="00A279FC" w:rsidRPr="0057193B" w:rsidRDefault="00A279FC" w:rsidP="00A279FC">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D5CB51B" w14:textId="77777777" w:rsidR="00A279FC" w:rsidRPr="00447D82" w:rsidRDefault="00A279FC" w:rsidP="00A279FC">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5"/>
      </w:r>
      <w:r w:rsidRPr="0057193B">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w:t>
      </w:r>
    </w:p>
    <w:p w14:paraId="189CC6F2" w14:textId="77777777" w:rsidR="00A279FC" w:rsidRPr="0057193B" w:rsidRDefault="00A279FC" w:rsidP="00A279FC">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w:t>
      </w:r>
      <w:r w:rsidRPr="0057193B">
        <w:rPr>
          <w:rFonts w:ascii="Verdana" w:eastAsia="Times New Roman" w:hAnsi="Verdana" w:cs="Arial"/>
          <w:bCs/>
          <w:lang w:val="es-MX" w:eastAsia="es-CO"/>
        </w:rPr>
        <w:lastRenderedPageBreak/>
        <w:t>excepciones, de manera que se le permita realizar la contratación que necesite en forma directa.</w:t>
      </w:r>
    </w:p>
    <w:p w14:paraId="5188E863" w14:textId="77777777" w:rsidR="00A279FC" w:rsidRPr="0057193B" w:rsidRDefault="00A279FC" w:rsidP="00A279FC">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6"/>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C47F9D5" w14:textId="77777777" w:rsidR="00A279FC" w:rsidRPr="0057193B" w:rsidRDefault="00A279FC" w:rsidP="00A279FC">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40480804" w14:textId="77777777" w:rsidR="00A279FC" w:rsidRPr="0057193B" w:rsidRDefault="00A279FC" w:rsidP="00A279FC">
      <w:pPr>
        <w:spacing w:after="0" w:line="276" w:lineRule="auto"/>
        <w:jc w:val="both"/>
        <w:rPr>
          <w:rFonts w:ascii="Verdana" w:eastAsia="Times New Roman" w:hAnsi="Verdana" w:cs="Arial"/>
          <w:bCs/>
          <w:lang w:val="es-MX" w:eastAsia="x-none"/>
        </w:rPr>
      </w:pPr>
    </w:p>
    <w:p w14:paraId="26685EAA" w14:textId="77777777" w:rsidR="00A279FC" w:rsidRPr="0057193B" w:rsidRDefault="00A279FC" w:rsidP="00A279FC">
      <w:pPr>
        <w:spacing w:after="0" w:line="240" w:lineRule="auto"/>
        <w:ind w:left="708" w:right="709"/>
        <w:jc w:val="both"/>
        <w:rPr>
          <w:rFonts w:ascii="Verdana" w:eastAsia="Times New Roman" w:hAnsi="Verdana" w:cs="Arial"/>
          <w:bCs/>
          <w:sz w:val="21"/>
          <w:szCs w:val="21"/>
          <w:lang w:val="es-MX" w:eastAsia="es-CO"/>
        </w:rPr>
      </w:pPr>
      <w:r>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w:t>
      </w:r>
      <w:r w:rsidRPr="0057193B">
        <w:rPr>
          <w:rFonts w:ascii="Verdana" w:eastAsia="Times New Roman" w:hAnsi="Verdana" w:cs="Arial"/>
          <w:bCs/>
          <w:sz w:val="21"/>
          <w:szCs w:val="21"/>
          <w:lang w:val="es-MX" w:eastAsia="x-none"/>
        </w:rPr>
        <w:lastRenderedPageBreak/>
        <w:t>a los municipios prestadores directos, incluyendo las excepciones contenidas en el segundo inciso de esta norma</w:t>
      </w:r>
      <w:r>
        <w:rPr>
          <w:rFonts w:ascii="Verdana" w:eastAsia="Times New Roman" w:hAnsi="Verdana" w:cs="Arial"/>
          <w:bCs/>
          <w:sz w:val="21"/>
          <w:szCs w:val="21"/>
          <w:lang w:val="es-MX" w:eastAsia="x-none"/>
        </w:rPr>
        <w:t>”</w:t>
      </w:r>
      <w:r w:rsidRPr="0057193B">
        <w:rPr>
          <w:rFonts w:ascii="Verdana" w:eastAsia="Times New Roman" w:hAnsi="Verdana" w:cs="Arial"/>
          <w:bCs/>
          <w:sz w:val="21"/>
          <w:szCs w:val="21"/>
          <w:vertAlign w:val="superscript"/>
          <w:lang w:val="es-MX" w:eastAsia="x-none"/>
        </w:rPr>
        <w:footnoteReference w:id="27"/>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0D04781A" w14:textId="77777777" w:rsidR="00A279FC" w:rsidRPr="0057193B" w:rsidRDefault="00A279FC" w:rsidP="00A279FC">
      <w:pPr>
        <w:spacing w:after="0" w:line="276" w:lineRule="auto"/>
        <w:ind w:firstLine="708"/>
        <w:jc w:val="both"/>
        <w:rPr>
          <w:rFonts w:ascii="Verdana" w:eastAsia="Times New Roman" w:hAnsi="Verdana" w:cs="Arial"/>
          <w:bCs/>
          <w:lang w:val="es-MX" w:eastAsia="es-CO"/>
        </w:rPr>
      </w:pPr>
    </w:p>
    <w:p w14:paraId="7F8036D6" w14:textId="77777777" w:rsidR="00A279FC" w:rsidRPr="0057193B" w:rsidRDefault="00A279FC" w:rsidP="00A279FC">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8"/>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74C4B530" w14:textId="77777777" w:rsidR="00A279FC" w:rsidRPr="0057193B" w:rsidRDefault="00A279FC" w:rsidP="00A279FC">
      <w:pPr>
        <w:spacing w:after="0" w:line="276" w:lineRule="auto"/>
        <w:jc w:val="both"/>
        <w:rPr>
          <w:rFonts w:ascii="Verdana" w:eastAsia="Calibri" w:hAnsi="Verdana" w:cs="Arial"/>
          <w:lang w:val="es-MX"/>
        </w:rPr>
      </w:pPr>
    </w:p>
    <w:p w14:paraId="3967DF9C" w14:textId="77777777" w:rsidR="00A279FC" w:rsidRPr="001924B7" w:rsidRDefault="00A279FC" w:rsidP="00A279FC">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w:t>
      </w: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60FA302C" w14:textId="77777777" w:rsidR="00A279FC" w:rsidRPr="001924B7" w:rsidRDefault="00A279FC" w:rsidP="00A279FC">
      <w:pPr>
        <w:spacing w:after="0" w:line="240" w:lineRule="auto"/>
        <w:ind w:left="708" w:right="709"/>
        <w:jc w:val="both"/>
        <w:rPr>
          <w:rFonts w:ascii="Verdana" w:eastAsia="Calibri" w:hAnsi="Verdana" w:cs="Arial"/>
          <w:sz w:val="20"/>
          <w:szCs w:val="20"/>
          <w:lang w:val="es-MX"/>
        </w:rPr>
      </w:pPr>
    </w:p>
    <w:p w14:paraId="7916F347" w14:textId="77777777" w:rsidR="00A279FC" w:rsidRPr="001924B7" w:rsidRDefault="00A279FC" w:rsidP="00A279FC">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 xml:space="preserve">Aplicando este razonamiento a los establecimientos de crédito, a las sociedades de servicios financieros y a las entidades aseguradoras, encontramos que no pueden adquirir los suministros de bienes y servicios </w:t>
      </w:r>
      <w:r w:rsidRPr="001924B7">
        <w:rPr>
          <w:rFonts w:ascii="Verdana" w:eastAsia="Times New Roman" w:hAnsi="Verdana" w:cs="Arial"/>
          <w:bCs/>
          <w:sz w:val="20"/>
          <w:szCs w:val="20"/>
          <w:lang w:val="es-MX" w:eastAsia="x-none"/>
        </w:rPr>
        <w:lastRenderedPageBreak/>
        <w:t>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eastAsia="Times New Roman" w:hAnsi="Verdana" w:cs="Arial"/>
          <w:bCs/>
          <w:sz w:val="20"/>
          <w:szCs w:val="20"/>
          <w:lang w:val="es-MX" w:eastAsia="x-none"/>
        </w:rPr>
        <w:t>”</w:t>
      </w:r>
      <w:r w:rsidRPr="001924B7">
        <w:rPr>
          <w:rFonts w:ascii="Verdana" w:eastAsia="Calibri" w:hAnsi="Verdana" w:cs="Arial"/>
          <w:sz w:val="20"/>
          <w:szCs w:val="20"/>
          <w:vertAlign w:val="superscript"/>
          <w:lang w:val="es-MX"/>
        </w:rPr>
        <w:footnoteReference w:id="29"/>
      </w:r>
      <w:r w:rsidRPr="001924B7">
        <w:rPr>
          <w:rFonts w:ascii="Verdana" w:eastAsia="Times New Roman" w:hAnsi="Verdana" w:cs="Arial"/>
          <w:bCs/>
          <w:sz w:val="20"/>
          <w:szCs w:val="20"/>
          <w:lang w:val="es-MX" w:eastAsia="x-none"/>
        </w:rPr>
        <w:t>.</w:t>
      </w:r>
    </w:p>
    <w:p w14:paraId="007FEF32" w14:textId="77777777" w:rsidR="00A279FC" w:rsidRPr="0057193B" w:rsidRDefault="00A279FC" w:rsidP="00A279FC">
      <w:pPr>
        <w:spacing w:after="0" w:line="276" w:lineRule="auto"/>
        <w:jc w:val="both"/>
        <w:rPr>
          <w:rFonts w:ascii="Verdana" w:eastAsia="Calibri" w:hAnsi="Verdana" w:cs="Arial"/>
          <w:lang w:val="es-MX"/>
        </w:rPr>
      </w:pPr>
    </w:p>
    <w:p w14:paraId="47080324" w14:textId="77777777" w:rsidR="00A279FC" w:rsidRPr="0057193B" w:rsidRDefault="00A279FC" w:rsidP="00A279FC">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30"/>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196D5BD7" w14:textId="77777777" w:rsidR="00A279FC" w:rsidRPr="0057193B" w:rsidRDefault="00A279FC" w:rsidP="00A279FC">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w:t>
      </w:r>
      <w:r>
        <w:rPr>
          <w:rFonts w:ascii="Verdana" w:eastAsia="Times New Roman" w:hAnsi="Verdana" w:cs="Arial"/>
          <w:bCs/>
          <w:lang w:val="es-MX" w:eastAsia="x-none"/>
        </w:rPr>
        <w:t xml:space="preserve"> como es el caso de la </w:t>
      </w:r>
      <w:proofErr w:type="spellStart"/>
      <w:r>
        <w:rPr>
          <w:rFonts w:ascii="Verdana" w:eastAsia="Times New Roman" w:hAnsi="Verdana" w:cs="Arial"/>
          <w:bCs/>
          <w:lang w:val="es-MX" w:eastAsia="x-none"/>
        </w:rPr>
        <w:t>Beneficiencia</w:t>
      </w:r>
      <w:proofErr w:type="spellEnd"/>
      <w:r>
        <w:rPr>
          <w:rFonts w:ascii="Verdana" w:eastAsia="Times New Roman" w:hAnsi="Verdana" w:cs="Arial"/>
          <w:bCs/>
          <w:lang w:val="es-MX" w:eastAsia="x-none"/>
        </w:rPr>
        <w:t xml:space="preserve"> de Cundinamarca que tiene la naturaleza de ser un establecimiento público,</w:t>
      </w:r>
      <w:r w:rsidRPr="0057193B">
        <w:rPr>
          <w:rFonts w:ascii="Verdana" w:eastAsia="Times New Roman" w:hAnsi="Verdana" w:cs="Arial"/>
          <w:bCs/>
          <w:lang w:val="es-MX" w:eastAsia="x-none"/>
        </w:rPr>
        <w:t xml:space="preserve"> que pueda mediante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13690B4B" w14:textId="77777777" w:rsidR="00A279FC" w:rsidRDefault="00A279FC" w:rsidP="00A279FC">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En tal sentido, atendiendo al desarrollo realizado de la prohibición establecida en el artículo 33 de la Ley de Garantías Electorales y señalados </w:t>
      </w:r>
      <w:r w:rsidRPr="0057193B">
        <w:rPr>
          <w:rFonts w:ascii="Verdana" w:eastAsia="Times New Roman" w:hAnsi="Verdana" w:cs="Arial"/>
          <w:bCs/>
          <w:lang w:val="es-MX" w:eastAsia="x-none"/>
        </w:rPr>
        <w:lastRenderedPageBreak/>
        <w:t xml:space="preserve">algunos pronunciamientos relevantes en la materia, le compete a cada entidad estatal que considera celebrar un contrato específico, definir si este se enmarca en la prohibición establecida en el artículo 33 que restringe la contratación directa en el periodo preelectoral a las elecciones presidenciales. Lo anterior, adicionalmente, teniendo en cuenta las excepciones a la prohibición establecidas en el inciso segundo del mismo artículo 33. Además,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3FE2FAF6" w14:textId="77777777" w:rsidR="00A279FC" w:rsidRPr="004C2E9A" w:rsidRDefault="00A279FC" w:rsidP="00A279FC">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 xml:space="preserve">omo en otras oportunidades lo ha manifestado esta Agencia, que 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31"/>
      </w:r>
      <w:r w:rsidRPr="0057193B">
        <w:rPr>
          <w:rFonts w:ascii="Verdana" w:eastAsia="Times New Roman" w:hAnsi="Verdana" w:cs="Arial"/>
          <w:bCs/>
          <w:lang w:val="es-MX" w:eastAsia="es-CO"/>
        </w:rPr>
        <w:t>. Además, también es posible que contratos celebrados previamente se continúen ejecutando con normalidad.</w:t>
      </w:r>
    </w:p>
    <w:p w14:paraId="01C28A7C" w14:textId="77777777" w:rsidR="00A279FC" w:rsidRPr="006B14B5" w:rsidRDefault="00A279FC" w:rsidP="00A279FC">
      <w:pPr>
        <w:spacing w:after="120" w:line="276" w:lineRule="auto"/>
        <w:ind w:firstLine="708"/>
        <w:jc w:val="both"/>
        <w:rPr>
          <w:rFonts w:ascii="Verdana" w:eastAsia="Calibri" w:hAnsi="Verdana" w:cs="Arial"/>
          <w:lang w:val="es-ES"/>
        </w:rPr>
      </w:pPr>
      <w:r w:rsidRPr="006B14B5">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Times New Roman" w:hAnsi="Verdana" w:cs="Arial"/>
          <w:color w:val="000000"/>
          <w:lang w:val="es-ES" w:eastAsia="es-ES"/>
        </w:rPr>
        <w:t>establecerá</w:t>
      </w:r>
      <w:r w:rsidRPr="006B14B5">
        <w:rPr>
          <w:rFonts w:ascii="Verdana" w:eastAsia="Times New Roman" w:hAnsi="Verdana" w:cs="Arial"/>
          <w:color w:val="000000"/>
          <w:lang w:val="es-ES" w:eastAsia="es-ES"/>
        </w:rPr>
        <w:t xml:space="preserve"> la forma de adelantar su gestión contractual, sin que sea atribución de la Agencia Nacional de Contratación Pública - Colombia Compra Eficiente</w:t>
      </w:r>
      <w:r>
        <w:rPr>
          <w:rFonts w:ascii="Verdana" w:eastAsia="Times New Roman" w:hAnsi="Verdana" w:cs="Arial"/>
          <w:color w:val="000000"/>
          <w:lang w:val="es-ES" w:eastAsia="es-ES"/>
        </w:rPr>
        <w:t xml:space="preserve"> validarla</w:t>
      </w:r>
      <w:r w:rsidRPr="006B14B5">
        <w:rPr>
          <w:rFonts w:ascii="Verdana" w:eastAsia="Times New Roman" w:hAnsi="Verdana" w:cs="Arial"/>
          <w:color w:val="000000"/>
          <w:lang w:val="es-ES" w:eastAsia="es-ES"/>
        </w:rPr>
        <w:t xml:space="preserve">. </w:t>
      </w:r>
    </w:p>
    <w:p w14:paraId="1F4765BB" w14:textId="4AC926CF" w:rsidR="00A279FC" w:rsidRDefault="00A279FC" w:rsidP="00A279FC">
      <w:pPr>
        <w:spacing w:after="0" w:line="276" w:lineRule="auto"/>
        <w:jc w:val="both"/>
        <w:rPr>
          <w:rFonts w:ascii="Verdana" w:eastAsia="Calibri" w:hAnsi="Verdana" w:cs="Arial"/>
          <w:lang w:val="es-ES" w:eastAsia="es-MX"/>
        </w:rPr>
      </w:pPr>
    </w:p>
    <w:p w14:paraId="21E2AF4A" w14:textId="77777777" w:rsidR="005E1E7C" w:rsidRPr="000974AC" w:rsidRDefault="005E1E7C" w:rsidP="00A279FC">
      <w:pPr>
        <w:spacing w:after="0" w:line="276" w:lineRule="auto"/>
        <w:jc w:val="both"/>
        <w:rPr>
          <w:rFonts w:ascii="Verdana" w:eastAsia="Calibri" w:hAnsi="Verdana" w:cs="Arial"/>
          <w:lang w:val="es-ES" w:eastAsia="es-MX"/>
        </w:rPr>
      </w:pPr>
    </w:p>
    <w:p w14:paraId="111670A2" w14:textId="77777777" w:rsidR="00A279FC" w:rsidRPr="008853C1" w:rsidRDefault="00A279FC" w:rsidP="00A279FC">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doctrinales</w:t>
      </w:r>
      <w:r w:rsidRPr="008853C1">
        <w:rPr>
          <w:rFonts w:ascii="Verdana" w:eastAsia="Century Gothic" w:hAnsi="Verdana" w:cs="Century Gothic"/>
          <w:b/>
          <w:bCs/>
        </w:rPr>
        <w:t xml:space="preserve"> </w:t>
      </w:r>
    </w:p>
    <w:p w14:paraId="24EBBC16" w14:textId="77777777" w:rsidR="00A279FC" w:rsidRPr="00E2397D" w:rsidRDefault="00A279FC" w:rsidP="00A279F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279FC" w:rsidRPr="008561C4" w14:paraId="72698A65" w14:textId="77777777" w:rsidTr="005C301F">
        <w:trPr>
          <w:trHeight w:val="856"/>
          <w:jc w:val="center"/>
        </w:trPr>
        <w:tc>
          <w:tcPr>
            <w:tcW w:w="8647" w:type="dxa"/>
          </w:tcPr>
          <w:p w14:paraId="029B6B8B"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lastRenderedPageBreak/>
              <w:t>Constitución</w:t>
            </w:r>
            <w:proofErr w:type="spellEnd"/>
            <w:r w:rsidRPr="00C87A6D">
              <w:rPr>
                <w:rFonts w:ascii="Verdana" w:eastAsia="Calibri" w:hAnsi="Verdana" w:cs="Arial"/>
                <w:lang w:val="pt-BR"/>
              </w:rPr>
              <w:t xml:space="preserve"> Política: Artículo 127.</w:t>
            </w:r>
          </w:p>
          <w:p w14:paraId="1F7954EB"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Ley</w:t>
            </w:r>
            <w:proofErr w:type="spellEnd"/>
            <w:r w:rsidRPr="00C87A6D">
              <w:rPr>
                <w:rFonts w:ascii="Verdana" w:eastAsia="Calibri" w:hAnsi="Verdana" w:cs="Arial"/>
                <w:lang w:val="pt-BR"/>
              </w:rPr>
              <w:t xml:space="preserve"> 80 de 1993, artículos 39, 41, 44, 46, 49 y 60. </w:t>
            </w:r>
          </w:p>
          <w:p w14:paraId="0CBB6F4D"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Ley</w:t>
            </w:r>
            <w:proofErr w:type="spellEnd"/>
            <w:r w:rsidRPr="00C87A6D">
              <w:rPr>
                <w:rFonts w:ascii="Verdana" w:eastAsia="Calibri" w:hAnsi="Verdana" w:cs="Arial"/>
                <w:lang w:val="pt-BR"/>
              </w:rPr>
              <w:t xml:space="preserve"> 1150 de 2007, artículo 11. </w:t>
            </w:r>
          </w:p>
          <w:p w14:paraId="0DA9A2BC"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Ley</w:t>
            </w:r>
            <w:proofErr w:type="spellEnd"/>
            <w:r w:rsidRPr="00C87A6D">
              <w:rPr>
                <w:rFonts w:ascii="Verdana" w:eastAsia="Calibri" w:hAnsi="Verdana" w:cs="Arial"/>
                <w:lang w:val="pt-BR"/>
              </w:rPr>
              <w:t xml:space="preserve"> 1437 de 2011, artículos 10, 141 y 164.</w:t>
            </w:r>
          </w:p>
          <w:p w14:paraId="3FD4BDE5"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r w:rsidRPr="00C87A6D">
              <w:rPr>
                <w:rFonts w:ascii="Verdana" w:eastAsia="Calibri" w:hAnsi="Verdana" w:cs="Arial"/>
                <w:lang w:val="pt-BR"/>
              </w:rPr>
              <w:t>Código Civil. Artículo 1740, 1741.</w:t>
            </w:r>
          </w:p>
          <w:p w14:paraId="5F85CB7D"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r w:rsidRPr="00C87A6D">
              <w:rPr>
                <w:rFonts w:ascii="Verdana" w:eastAsia="Calibri" w:hAnsi="Verdana" w:cs="Arial"/>
                <w:lang w:val="pt-BR"/>
              </w:rPr>
              <w:t xml:space="preserve">Código de Comercio. Artículo 899. </w:t>
            </w:r>
          </w:p>
          <w:p w14:paraId="2ADC5753"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Ley</w:t>
            </w:r>
            <w:proofErr w:type="spellEnd"/>
            <w:r w:rsidRPr="00C87A6D">
              <w:rPr>
                <w:rFonts w:ascii="Verdana" w:eastAsia="Calibri" w:hAnsi="Verdana" w:cs="Arial"/>
                <w:lang w:val="pt-BR"/>
              </w:rPr>
              <w:t xml:space="preserve"> 996 de 2005: artículos 33 y parágrafo</w:t>
            </w:r>
            <w:r>
              <w:rPr>
                <w:rFonts w:ascii="Verdana" w:eastAsia="Calibri" w:hAnsi="Verdana" w:cs="Arial"/>
                <w:lang w:val="pt-BR"/>
              </w:rPr>
              <w:t xml:space="preserve"> </w:t>
            </w:r>
            <w:proofErr w:type="spellStart"/>
            <w:r>
              <w:rPr>
                <w:rFonts w:ascii="Verdana" w:eastAsia="Calibri" w:hAnsi="Verdana" w:cs="Arial"/>
                <w:lang w:val="pt-BR"/>
              </w:rPr>
              <w:t>del</w:t>
            </w:r>
            <w:proofErr w:type="spellEnd"/>
            <w:r>
              <w:rPr>
                <w:rFonts w:ascii="Verdana" w:eastAsia="Calibri" w:hAnsi="Verdana" w:cs="Arial"/>
                <w:lang w:val="pt-BR"/>
              </w:rPr>
              <w:t xml:space="preserve"> 38</w:t>
            </w:r>
            <w:r w:rsidRPr="00C87A6D">
              <w:rPr>
                <w:rFonts w:ascii="Verdana" w:eastAsia="Calibri" w:hAnsi="Verdana" w:cs="Arial"/>
                <w:lang w:val="pt-BR"/>
              </w:rPr>
              <w:t>.</w:t>
            </w:r>
          </w:p>
          <w:p w14:paraId="620EC79E"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Ley</w:t>
            </w:r>
            <w:proofErr w:type="spellEnd"/>
            <w:r w:rsidRPr="00C87A6D">
              <w:rPr>
                <w:rFonts w:ascii="Verdana" w:eastAsia="Calibri" w:hAnsi="Verdana" w:cs="Arial"/>
                <w:lang w:val="pt-BR"/>
              </w:rPr>
              <w:t xml:space="preserve"> 136 de 1994: Artículo 98.</w:t>
            </w:r>
          </w:p>
          <w:p w14:paraId="6C0CE8A3"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Colombia</w:t>
            </w:r>
            <w:proofErr w:type="spellEnd"/>
            <w:r w:rsidRPr="00C87A6D">
              <w:rPr>
                <w:rFonts w:ascii="Verdana" w:eastAsia="Calibri" w:hAnsi="Verdana" w:cs="Arial"/>
                <w:lang w:val="pt-BR"/>
              </w:rPr>
              <w:t xml:space="preserve"> Compra Eficiente. Circ</w:t>
            </w:r>
            <w:r>
              <w:rPr>
                <w:rFonts w:ascii="Verdana" w:eastAsia="Calibri" w:hAnsi="Verdana" w:cs="Arial"/>
                <w:lang w:val="pt-BR"/>
              </w:rPr>
              <w:t>ular Externa Única</w:t>
            </w:r>
            <w:r w:rsidRPr="00C87A6D">
              <w:rPr>
                <w:rFonts w:ascii="Verdana" w:eastAsia="Calibri" w:hAnsi="Verdana" w:cs="Arial"/>
                <w:lang w:val="pt-BR"/>
              </w:rPr>
              <w:t xml:space="preserve">. </w:t>
            </w:r>
            <w:proofErr w:type="spellStart"/>
            <w:r w:rsidRPr="00C87A6D">
              <w:rPr>
                <w:rFonts w:ascii="Verdana" w:eastAsia="Calibri" w:hAnsi="Verdana" w:cs="Arial"/>
                <w:lang w:val="pt-BR"/>
              </w:rPr>
              <w:t>Disponible</w:t>
            </w:r>
            <w:proofErr w:type="spellEnd"/>
            <w:r w:rsidRPr="00C87A6D">
              <w:rPr>
                <w:rFonts w:ascii="Verdana" w:eastAsia="Calibri" w:hAnsi="Verdana" w:cs="Arial"/>
                <w:lang w:val="pt-BR"/>
              </w:rPr>
              <w:t xml:space="preserve"> </w:t>
            </w:r>
            <w:proofErr w:type="spellStart"/>
            <w:r w:rsidRPr="00C87A6D">
              <w:rPr>
                <w:rFonts w:ascii="Verdana" w:eastAsia="Calibri" w:hAnsi="Verdana" w:cs="Arial"/>
                <w:lang w:val="pt-BR"/>
              </w:rPr>
              <w:t>en</w:t>
            </w:r>
            <w:proofErr w:type="spellEnd"/>
            <w:r w:rsidRPr="00C87A6D">
              <w:rPr>
                <w:rFonts w:ascii="Verdana" w:eastAsia="Calibri" w:hAnsi="Verdana" w:cs="Arial"/>
                <w:lang w:val="pt-BR"/>
              </w:rPr>
              <w:t xml:space="preserve"> línea: https://www.colombiacompra.gov.co/normativa-y-relatoria/circular-unica-externa </w:t>
            </w:r>
          </w:p>
          <w:p w14:paraId="4645B92A"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Consejo</w:t>
            </w:r>
            <w:proofErr w:type="spellEnd"/>
            <w:r w:rsidRPr="00C87A6D">
              <w:rPr>
                <w:rFonts w:ascii="Verdana" w:eastAsia="Calibri" w:hAnsi="Verdana" w:cs="Arial"/>
                <w:lang w:val="pt-BR"/>
              </w:rPr>
              <w:t xml:space="preserve"> de Estado. Sala de Consulta y </w:t>
            </w:r>
            <w:proofErr w:type="spellStart"/>
            <w:r w:rsidRPr="00C87A6D">
              <w:rPr>
                <w:rFonts w:ascii="Verdana" w:eastAsia="Calibri" w:hAnsi="Verdana" w:cs="Arial"/>
                <w:lang w:val="pt-BR"/>
              </w:rPr>
              <w:t>Servicio</w:t>
            </w:r>
            <w:proofErr w:type="spellEnd"/>
            <w:r w:rsidRPr="00C87A6D">
              <w:rPr>
                <w:rFonts w:ascii="Verdana" w:eastAsia="Calibri" w:hAnsi="Verdana" w:cs="Arial"/>
                <w:lang w:val="pt-BR"/>
              </w:rPr>
              <w:t xml:space="preserve"> Civil. Concepto de 20 de </w:t>
            </w:r>
            <w:proofErr w:type="spellStart"/>
            <w:r w:rsidRPr="00C87A6D">
              <w:rPr>
                <w:rFonts w:ascii="Verdana" w:eastAsia="Calibri" w:hAnsi="Verdana" w:cs="Arial"/>
                <w:lang w:val="pt-BR"/>
              </w:rPr>
              <w:t>febrero</w:t>
            </w:r>
            <w:proofErr w:type="spellEnd"/>
            <w:r w:rsidRPr="00C87A6D">
              <w:rPr>
                <w:rFonts w:ascii="Verdana" w:eastAsia="Calibri" w:hAnsi="Verdana" w:cs="Arial"/>
                <w:lang w:val="pt-BR"/>
              </w:rPr>
              <w:t xml:space="preserve"> de 2006. Radicado. 1727. C.P. Enrique José Arboleda </w:t>
            </w:r>
            <w:proofErr w:type="spellStart"/>
            <w:r w:rsidRPr="00C87A6D">
              <w:rPr>
                <w:rFonts w:ascii="Verdana" w:eastAsia="Calibri" w:hAnsi="Verdana" w:cs="Arial"/>
                <w:lang w:val="pt-BR"/>
              </w:rPr>
              <w:t>Perdomo</w:t>
            </w:r>
            <w:proofErr w:type="spellEnd"/>
            <w:r w:rsidRPr="00C87A6D">
              <w:rPr>
                <w:rFonts w:ascii="Verdana" w:eastAsia="Calibri" w:hAnsi="Verdana" w:cs="Arial"/>
                <w:lang w:val="pt-BR"/>
              </w:rPr>
              <w:t xml:space="preserve">. </w:t>
            </w:r>
          </w:p>
          <w:p w14:paraId="7BDD5526"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Consejo</w:t>
            </w:r>
            <w:proofErr w:type="spellEnd"/>
            <w:r w:rsidRPr="00C87A6D">
              <w:rPr>
                <w:rFonts w:ascii="Verdana" w:eastAsia="Calibri" w:hAnsi="Verdana" w:cs="Arial"/>
                <w:lang w:val="pt-BR"/>
              </w:rPr>
              <w:t xml:space="preserve"> de Estado. Sala de Consulta y </w:t>
            </w:r>
            <w:proofErr w:type="spellStart"/>
            <w:r w:rsidRPr="00C87A6D">
              <w:rPr>
                <w:rFonts w:ascii="Verdana" w:eastAsia="Calibri" w:hAnsi="Verdana" w:cs="Arial"/>
                <w:lang w:val="pt-BR"/>
              </w:rPr>
              <w:t>Servicio</w:t>
            </w:r>
            <w:proofErr w:type="spellEnd"/>
            <w:r w:rsidRPr="00C87A6D">
              <w:rPr>
                <w:rFonts w:ascii="Verdana" w:eastAsia="Calibri" w:hAnsi="Verdana" w:cs="Arial"/>
                <w:lang w:val="pt-BR"/>
              </w:rPr>
              <w:t xml:space="preserve"> Civil. Concepto de 6 de abril de 2006. Radicado. 1738. C.P. Enrique José Arboleda </w:t>
            </w:r>
            <w:proofErr w:type="spellStart"/>
            <w:r w:rsidRPr="00C87A6D">
              <w:rPr>
                <w:rFonts w:ascii="Verdana" w:eastAsia="Calibri" w:hAnsi="Verdana" w:cs="Arial"/>
                <w:lang w:val="pt-BR"/>
              </w:rPr>
              <w:t>Perdomo</w:t>
            </w:r>
            <w:proofErr w:type="spellEnd"/>
            <w:r w:rsidRPr="00C87A6D">
              <w:rPr>
                <w:rFonts w:ascii="Verdana" w:eastAsia="Calibri" w:hAnsi="Verdana" w:cs="Arial"/>
                <w:lang w:val="pt-BR"/>
              </w:rPr>
              <w:t xml:space="preserve">. </w:t>
            </w:r>
          </w:p>
          <w:p w14:paraId="75188B49"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Consejo</w:t>
            </w:r>
            <w:proofErr w:type="spellEnd"/>
            <w:r w:rsidRPr="00C87A6D">
              <w:rPr>
                <w:rFonts w:ascii="Verdana" w:eastAsia="Calibri" w:hAnsi="Verdana" w:cs="Arial"/>
                <w:lang w:val="pt-BR"/>
              </w:rPr>
              <w:t xml:space="preserve"> de Estado. Sala de Consulta y </w:t>
            </w:r>
            <w:proofErr w:type="spellStart"/>
            <w:r w:rsidRPr="00C87A6D">
              <w:rPr>
                <w:rFonts w:ascii="Verdana" w:eastAsia="Calibri" w:hAnsi="Verdana" w:cs="Arial"/>
                <w:lang w:val="pt-BR"/>
              </w:rPr>
              <w:t>Servicio</w:t>
            </w:r>
            <w:proofErr w:type="spellEnd"/>
            <w:r w:rsidRPr="00C87A6D">
              <w:rPr>
                <w:rFonts w:ascii="Verdana" w:eastAsia="Calibri" w:hAnsi="Verdana" w:cs="Arial"/>
                <w:lang w:val="pt-BR"/>
              </w:rPr>
              <w:t xml:space="preserve"> Civil. Concepto de 6 de abril de 2006. Radicado 1738. </w:t>
            </w:r>
            <w:proofErr w:type="spellStart"/>
            <w:r w:rsidRPr="00C87A6D">
              <w:rPr>
                <w:rFonts w:ascii="Verdana" w:eastAsia="Calibri" w:hAnsi="Verdana" w:cs="Arial"/>
                <w:lang w:val="pt-BR"/>
              </w:rPr>
              <w:t>Consejero</w:t>
            </w:r>
            <w:proofErr w:type="spellEnd"/>
            <w:r w:rsidRPr="00C87A6D">
              <w:rPr>
                <w:rFonts w:ascii="Verdana" w:eastAsia="Calibri" w:hAnsi="Verdana" w:cs="Arial"/>
                <w:lang w:val="pt-BR"/>
              </w:rPr>
              <w:t xml:space="preserve"> </w:t>
            </w:r>
            <w:proofErr w:type="spellStart"/>
            <w:r w:rsidRPr="00C87A6D">
              <w:rPr>
                <w:rFonts w:ascii="Verdana" w:eastAsia="Calibri" w:hAnsi="Verdana" w:cs="Arial"/>
                <w:lang w:val="pt-BR"/>
              </w:rPr>
              <w:t>Ponente</w:t>
            </w:r>
            <w:proofErr w:type="spellEnd"/>
            <w:r w:rsidRPr="00C87A6D">
              <w:rPr>
                <w:rFonts w:ascii="Verdana" w:eastAsia="Calibri" w:hAnsi="Verdana" w:cs="Arial"/>
                <w:lang w:val="pt-BR"/>
              </w:rPr>
              <w:t xml:space="preserve">: Enrique José Arboleda </w:t>
            </w:r>
            <w:proofErr w:type="spellStart"/>
            <w:r w:rsidRPr="00C87A6D">
              <w:rPr>
                <w:rFonts w:ascii="Verdana" w:eastAsia="Calibri" w:hAnsi="Verdana" w:cs="Arial"/>
                <w:lang w:val="pt-BR"/>
              </w:rPr>
              <w:t>Perdomo</w:t>
            </w:r>
            <w:proofErr w:type="spellEnd"/>
            <w:r w:rsidRPr="00C87A6D">
              <w:rPr>
                <w:rFonts w:ascii="Verdana" w:eastAsia="Calibri" w:hAnsi="Verdana" w:cs="Arial"/>
                <w:lang w:val="pt-BR"/>
              </w:rPr>
              <w:t>.</w:t>
            </w:r>
          </w:p>
          <w:p w14:paraId="49A472B8"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Consejo</w:t>
            </w:r>
            <w:proofErr w:type="spellEnd"/>
            <w:r w:rsidRPr="00C87A6D">
              <w:rPr>
                <w:rFonts w:ascii="Verdana" w:eastAsia="Calibri" w:hAnsi="Verdana" w:cs="Arial"/>
                <w:lang w:val="pt-BR"/>
              </w:rPr>
              <w:t xml:space="preserve"> de Estado, Sala</w:t>
            </w:r>
            <w:r>
              <w:rPr>
                <w:rFonts w:ascii="Verdana" w:eastAsia="Calibri" w:hAnsi="Verdana" w:cs="Arial"/>
                <w:lang w:val="pt-BR"/>
              </w:rPr>
              <w:t xml:space="preserve"> de Consulta y </w:t>
            </w:r>
            <w:proofErr w:type="spellStart"/>
            <w:r>
              <w:rPr>
                <w:rFonts w:ascii="Verdana" w:eastAsia="Calibri" w:hAnsi="Verdana" w:cs="Arial"/>
                <w:lang w:val="pt-BR"/>
              </w:rPr>
              <w:t>Servicio</w:t>
            </w:r>
            <w:proofErr w:type="spellEnd"/>
            <w:r>
              <w:rPr>
                <w:rFonts w:ascii="Verdana" w:eastAsia="Calibri" w:hAnsi="Verdana" w:cs="Arial"/>
                <w:lang w:val="pt-BR"/>
              </w:rPr>
              <w:t xml:space="preserve"> Civil. Concepto </w:t>
            </w:r>
            <w:proofErr w:type="spellStart"/>
            <w:r>
              <w:rPr>
                <w:rFonts w:ascii="Verdana" w:eastAsia="Calibri" w:hAnsi="Verdana" w:cs="Arial"/>
                <w:lang w:val="pt-BR"/>
              </w:rPr>
              <w:t>del</w:t>
            </w:r>
            <w:proofErr w:type="spellEnd"/>
            <w:r>
              <w:rPr>
                <w:rFonts w:ascii="Verdana" w:eastAsia="Calibri" w:hAnsi="Verdana" w:cs="Arial"/>
                <w:lang w:val="pt-BR"/>
              </w:rPr>
              <w:t xml:space="preserve"> 24 de </w:t>
            </w:r>
            <w:proofErr w:type="spellStart"/>
            <w:r>
              <w:rPr>
                <w:rFonts w:ascii="Verdana" w:eastAsia="Calibri" w:hAnsi="Verdana" w:cs="Arial"/>
                <w:lang w:val="pt-BR"/>
              </w:rPr>
              <w:t>julio</w:t>
            </w:r>
            <w:proofErr w:type="spellEnd"/>
            <w:r>
              <w:rPr>
                <w:rFonts w:ascii="Verdana" w:eastAsia="Calibri" w:hAnsi="Verdana" w:cs="Arial"/>
                <w:lang w:val="pt-BR"/>
              </w:rPr>
              <w:t xml:space="preserve"> de 2013.</w:t>
            </w:r>
            <w:r w:rsidRPr="00C87A6D">
              <w:rPr>
                <w:rFonts w:ascii="Verdana" w:eastAsia="Calibri" w:hAnsi="Verdana" w:cs="Arial"/>
                <w:lang w:val="pt-BR"/>
              </w:rPr>
              <w:t xml:space="preserve"> Radicado</w:t>
            </w:r>
            <w:r>
              <w:rPr>
                <w:rFonts w:ascii="Verdana" w:eastAsia="Calibri" w:hAnsi="Verdana" w:cs="Arial"/>
                <w:lang w:val="pt-BR"/>
              </w:rPr>
              <w:t>:</w:t>
            </w:r>
            <w:r w:rsidRPr="00C87A6D">
              <w:rPr>
                <w:rFonts w:ascii="Verdana" w:eastAsia="Calibri" w:hAnsi="Verdana" w:cs="Arial"/>
                <w:lang w:val="pt-BR"/>
              </w:rPr>
              <w:t xml:space="preserve"> 2166, C. P. Álvaro </w:t>
            </w:r>
            <w:proofErr w:type="spellStart"/>
            <w:r w:rsidRPr="00C87A6D">
              <w:rPr>
                <w:rFonts w:ascii="Verdana" w:eastAsia="Calibri" w:hAnsi="Verdana" w:cs="Arial"/>
                <w:lang w:val="pt-BR"/>
              </w:rPr>
              <w:t>Namén</w:t>
            </w:r>
            <w:proofErr w:type="spellEnd"/>
            <w:r w:rsidRPr="00C87A6D">
              <w:rPr>
                <w:rFonts w:ascii="Verdana" w:eastAsia="Calibri" w:hAnsi="Verdana" w:cs="Arial"/>
                <w:lang w:val="pt-BR"/>
              </w:rPr>
              <w:t xml:space="preserve"> Vargas.  </w:t>
            </w:r>
          </w:p>
          <w:p w14:paraId="44D1D8C8"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Consejo</w:t>
            </w:r>
            <w:proofErr w:type="spellEnd"/>
            <w:r w:rsidRPr="00C87A6D">
              <w:rPr>
                <w:rFonts w:ascii="Verdana" w:eastAsia="Calibri" w:hAnsi="Verdana" w:cs="Arial"/>
                <w:lang w:val="pt-BR"/>
              </w:rPr>
              <w:t xml:space="preserve"> de Estado. Sala de Consulta y </w:t>
            </w:r>
            <w:proofErr w:type="spellStart"/>
            <w:r w:rsidRPr="00C87A6D">
              <w:rPr>
                <w:rFonts w:ascii="Verdana" w:eastAsia="Calibri" w:hAnsi="Verdana" w:cs="Arial"/>
                <w:lang w:val="pt-BR"/>
              </w:rPr>
              <w:t>Servicio</w:t>
            </w:r>
            <w:proofErr w:type="spellEnd"/>
            <w:r w:rsidRPr="00C87A6D">
              <w:rPr>
                <w:rFonts w:ascii="Verdana" w:eastAsia="Calibri" w:hAnsi="Verdana" w:cs="Arial"/>
                <w:lang w:val="pt-BR"/>
              </w:rPr>
              <w:t xml:space="preserve"> Civil. Concepto </w:t>
            </w:r>
            <w:proofErr w:type="spellStart"/>
            <w:r w:rsidRPr="00C87A6D">
              <w:rPr>
                <w:rFonts w:ascii="Verdana" w:eastAsia="Calibri" w:hAnsi="Verdana" w:cs="Arial"/>
                <w:lang w:val="pt-BR"/>
              </w:rPr>
              <w:t>del</w:t>
            </w:r>
            <w:proofErr w:type="spellEnd"/>
            <w:r w:rsidRPr="00C87A6D">
              <w:rPr>
                <w:rFonts w:ascii="Verdana" w:eastAsia="Calibri" w:hAnsi="Verdana" w:cs="Arial"/>
                <w:lang w:val="pt-BR"/>
              </w:rPr>
              <w:t xml:space="preserve"> 2 de </w:t>
            </w:r>
            <w:proofErr w:type="spellStart"/>
            <w:r w:rsidRPr="00C87A6D">
              <w:rPr>
                <w:rFonts w:ascii="Verdana" w:eastAsia="Calibri" w:hAnsi="Verdana" w:cs="Arial"/>
                <w:lang w:val="pt-BR"/>
              </w:rPr>
              <w:t>septiembre</w:t>
            </w:r>
            <w:proofErr w:type="spellEnd"/>
            <w:r w:rsidRPr="00C87A6D">
              <w:rPr>
                <w:rFonts w:ascii="Verdana" w:eastAsia="Calibri" w:hAnsi="Verdana" w:cs="Arial"/>
                <w:lang w:val="pt-BR"/>
              </w:rPr>
              <w:t xml:space="preserve"> de 2013. Radicado: 2168. </w:t>
            </w:r>
            <w:proofErr w:type="spellStart"/>
            <w:r w:rsidRPr="00C87A6D">
              <w:rPr>
                <w:rFonts w:ascii="Verdana" w:eastAsia="Calibri" w:hAnsi="Verdana" w:cs="Arial"/>
                <w:lang w:val="pt-BR"/>
              </w:rPr>
              <w:t>Consejero</w:t>
            </w:r>
            <w:proofErr w:type="spellEnd"/>
            <w:r w:rsidRPr="00C87A6D">
              <w:rPr>
                <w:rFonts w:ascii="Verdana" w:eastAsia="Calibri" w:hAnsi="Verdana" w:cs="Arial"/>
                <w:lang w:val="pt-BR"/>
              </w:rPr>
              <w:t xml:space="preserve"> </w:t>
            </w:r>
            <w:proofErr w:type="spellStart"/>
            <w:r w:rsidRPr="00C87A6D">
              <w:rPr>
                <w:rFonts w:ascii="Verdana" w:eastAsia="Calibri" w:hAnsi="Verdana" w:cs="Arial"/>
                <w:lang w:val="pt-BR"/>
              </w:rPr>
              <w:t>Ponente</w:t>
            </w:r>
            <w:proofErr w:type="spellEnd"/>
            <w:r w:rsidRPr="00C87A6D">
              <w:rPr>
                <w:rFonts w:ascii="Verdana" w:eastAsia="Calibri" w:hAnsi="Verdana" w:cs="Arial"/>
                <w:lang w:val="pt-BR"/>
              </w:rPr>
              <w:t xml:space="preserve">: Álvaro </w:t>
            </w:r>
            <w:proofErr w:type="spellStart"/>
            <w:r w:rsidRPr="00C87A6D">
              <w:rPr>
                <w:rFonts w:ascii="Verdana" w:eastAsia="Calibri" w:hAnsi="Verdana" w:cs="Arial"/>
                <w:lang w:val="pt-BR"/>
              </w:rPr>
              <w:t>Namén</w:t>
            </w:r>
            <w:proofErr w:type="spellEnd"/>
            <w:r w:rsidRPr="00C87A6D">
              <w:rPr>
                <w:rFonts w:ascii="Verdana" w:eastAsia="Calibri" w:hAnsi="Verdana" w:cs="Arial"/>
                <w:lang w:val="pt-BR"/>
              </w:rPr>
              <w:t xml:space="preserve"> Vargas. </w:t>
            </w:r>
          </w:p>
          <w:p w14:paraId="417645A0"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Consejo</w:t>
            </w:r>
            <w:proofErr w:type="spellEnd"/>
            <w:r w:rsidRPr="00C87A6D">
              <w:rPr>
                <w:rFonts w:ascii="Verdana" w:eastAsia="Calibri" w:hAnsi="Verdana" w:cs="Arial"/>
                <w:lang w:val="pt-BR"/>
              </w:rPr>
              <w:t xml:space="preserve"> de Estado. Sala de Consulta y </w:t>
            </w:r>
            <w:proofErr w:type="spellStart"/>
            <w:r w:rsidRPr="00C87A6D">
              <w:rPr>
                <w:rFonts w:ascii="Verdana" w:eastAsia="Calibri" w:hAnsi="Verdana" w:cs="Arial"/>
                <w:lang w:val="pt-BR"/>
              </w:rPr>
              <w:t>Servicio</w:t>
            </w:r>
            <w:proofErr w:type="spellEnd"/>
            <w:r w:rsidRPr="00C87A6D">
              <w:rPr>
                <w:rFonts w:ascii="Verdana" w:eastAsia="Calibri" w:hAnsi="Verdana" w:cs="Arial"/>
                <w:lang w:val="pt-BR"/>
              </w:rPr>
              <w:t xml:space="preserve"> Civil. Concepto </w:t>
            </w:r>
            <w:proofErr w:type="spellStart"/>
            <w:r w:rsidRPr="00C87A6D">
              <w:rPr>
                <w:rFonts w:ascii="Verdana" w:eastAsia="Calibri" w:hAnsi="Verdana" w:cs="Arial"/>
                <w:lang w:val="pt-BR"/>
              </w:rPr>
              <w:t>del</w:t>
            </w:r>
            <w:proofErr w:type="spellEnd"/>
            <w:r w:rsidRPr="00C87A6D">
              <w:rPr>
                <w:rFonts w:ascii="Verdana" w:eastAsia="Calibri" w:hAnsi="Verdana" w:cs="Arial"/>
                <w:lang w:val="pt-BR"/>
              </w:rPr>
              <w:t xml:space="preserve"> 08 de </w:t>
            </w:r>
            <w:proofErr w:type="spellStart"/>
            <w:r w:rsidRPr="00C87A6D">
              <w:rPr>
                <w:rFonts w:ascii="Verdana" w:eastAsia="Calibri" w:hAnsi="Verdana" w:cs="Arial"/>
                <w:lang w:val="pt-BR"/>
              </w:rPr>
              <w:t>mayo</w:t>
            </w:r>
            <w:proofErr w:type="spellEnd"/>
            <w:r w:rsidRPr="00C87A6D">
              <w:rPr>
                <w:rFonts w:ascii="Verdana" w:eastAsia="Calibri" w:hAnsi="Verdana" w:cs="Arial"/>
                <w:lang w:val="pt-BR"/>
              </w:rPr>
              <w:t xml:space="preserve"> de 2018. Radicado. 2.382. C.P. Álvaro </w:t>
            </w:r>
            <w:proofErr w:type="spellStart"/>
            <w:r w:rsidRPr="00C87A6D">
              <w:rPr>
                <w:rFonts w:ascii="Verdana" w:eastAsia="Calibri" w:hAnsi="Verdana" w:cs="Arial"/>
                <w:lang w:val="pt-BR"/>
              </w:rPr>
              <w:t>Namén</w:t>
            </w:r>
            <w:proofErr w:type="spellEnd"/>
            <w:r w:rsidRPr="00C87A6D">
              <w:rPr>
                <w:rFonts w:ascii="Verdana" w:eastAsia="Calibri" w:hAnsi="Verdana" w:cs="Arial"/>
                <w:lang w:val="pt-BR"/>
              </w:rPr>
              <w:t xml:space="preserve"> Vargas.</w:t>
            </w:r>
          </w:p>
          <w:p w14:paraId="7159E436"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proofErr w:type="spellStart"/>
            <w:r w:rsidRPr="00C87A6D">
              <w:rPr>
                <w:rFonts w:ascii="Verdana" w:eastAsia="Calibri" w:hAnsi="Verdana" w:cs="Arial"/>
                <w:lang w:val="pt-BR"/>
              </w:rPr>
              <w:t>Consejo</w:t>
            </w:r>
            <w:proofErr w:type="spellEnd"/>
            <w:r w:rsidRPr="00C87A6D">
              <w:rPr>
                <w:rFonts w:ascii="Verdana" w:eastAsia="Calibri" w:hAnsi="Verdana" w:cs="Arial"/>
                <w:lang w:val="pt-BR"/>
              </w:rPr>
              <w:t xml:space="preserve"> de Estado, Sala de </w:t>
            </w:r>
            <w:proofErr w:type="spellStart"/>
            <w:r w:rsidRPr="00C87A6D">
              <w:rPr>
                <w:rFonts w:ascii="Verdana" w:eastAsia="Calibri" w:hAnsi="Verdana" w:cs="Arial"/>
                <w:lang w:val="pt-BR"/>
              </w:rPr>
              <w:t>lo</w:t>
            </w:r>
            <w:proofErr w:type="spellEnd"/>
            <w:r w:rsidRPr="00C87A6D">
              <w:rPr>
                <w:rFonts w:ascii="Verdana" w:eastAsia="Calibri" w:hAnsi="Verdana" w:cs="Arial"/>
                <w:lang w:val="pt-BR"/>
              </w:rPr>
              <w:t xml:space="preserve"> Contencioso Administrativo, </w:t>
            </w:r>
            <w:proofErr w:type="spellStart"/>
            <w:r w:rsidRPr="00C87A6D">
              <w:rPr>
                <w:rFonts w:ascii="Verdana" w:eastAsia="Calibri" w:hAnsi="Verdana" w:cs="Arial"/>
                <w:lang w:val="pt-BR"/>
              </w:rPr>
              <w:t>Sección</w:t>
            </w:r>
            <w:proofErr w:type="spellEnd"/>
            <w:r w:rsidRPr="00C87A6D">
              <w:rPr>
                <w:rFonts w:ascii="Verdana" w:eastAsia="Calibri" w:hAnsi="Verdana" w:cs="Arial"/>
                <w:lang w:val="pt-BR"/>
              </w:rPr>
              <w:t xml:space="preserve"> Tercera. Auto </w:t>
            </w:r>
            <w:proofErr w:type="spellStart"/>
            <w:r w:rsidRPr="00C87A6D">
              <w:rPr>
                <w:rFonts w:ascii="Verdana" w:eastAsia="Calibri" w:hAnsi="Verdana" w:cs="Arial"/>
                <w:lang w:val="pt-BR"/>
              </w:rPr>
              <w:t>del</w:t>
            </w:r>
            <w:proofErr w:type="spellEnd"/>
            <w:r>
              <w:rPr>
                <w:rFonts w:ascii="Verdana" w:eastAsia="Calibri" w:hAnsi="Verdana" w:cs="Arial"/>
                <w:lang w:val="pt-BR"/>
              </w:rPr>
              <w:t xml:space="preserve"> 4 de </w:t>
            </w:r>
            <w:proofErr w:type="spellStart"/>
            <w:r>
              <w:rPr>
                <w:rFonts w:ascii="Verdana" w:eastAsia="Calibri" w:hAnsi="Verdana" w:cs="Arial"/>
                <w:lang w:val="pt-BR"/>
              </w:rPr>
              <w:t>octubre</w:t>
            </w:r>
            <w:proofErr w:type="spellEnd"/>
            <w:r>
              <w:rPr>
                <w:rFonts w:ascii="Verdana" w:eastAsia="Calibri" w:hAnsi="Verdana" w:cs="Arial"/>
                <w:lang w:val="pt-BR"/>
              </w:rPr>
              <w:t xml:space="preserve"> de 2024. Radicado:</w:t>
            </w:r>
            <w:r w:rsidRPr="00C87A6D">
              <w:rPr>
                <w:rFonts w:ascii="Verdana" w:eastAsia="Calibri" w:hAnsi="Verdana" w:cs="Arial"/>
                <w:lang w:val="pt-BR"/>
              </w:rPr>
              <w:t xml:space="preserve"> 70.313. MP: Fredy Ibarra Martínez.</w:t>
            </w:r>
          </w:p>
          <w:p w14:paraId="2094EAB3" w14:textId="77777777" w:rsidR="00A279FC" w:rsidRPr="00C87A6D"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r w:rsidRPr="00C87A6D">
              <w:rPr>
                <w:rFonts w:ascii="Verdana" w:eastAsia="Calibri" w:hAnsi="Verdana" w:cs="Arial"/>
                <w:lang w:val="pt-BR"/>
              </w:rPr>
              <w:t xml:space="preserve">Corte Constitucional. Sentencia C -1153 de 2005. M.P. Marco Gerardo </w:t>
            </w:r>
            <w:proofErr w:type="spellStart"/>
            <w:r w:rsidRPr="00C87A6D">
              <w:rPr>
                <w:rFonts w:ascii="Verdana" w:eastAsia="Calibri" w:hAnsi="Verdana" w:cs="Arial"/>
                <w:lang w:val="pt-BR"/>
              </w:rPr>
              <w:lastRenderedPageBreak/>
              <w:t>Monroy</w:t>
            </w:r>
            <w:proofErr w:type="spellEnd"/>
            <w:r w:rsidRPr="00C87A6D">
              <w:rPr>
                <w:rFonts w:ascii="Verdana" w:eastAsia="Calibri" w:hAnsi="Verdana" w:cs="Arial"/>
                <w:lang w:val="pt-BR"/>
              </w:rPr>
              <w:t xml:space="preserve"> Cabra. </w:t>
            </w:r>
          </w:p>
          <w:p w14:paraId="0BFC8AE7" w14:textId="77777777" w:rsidR="00A279FC" w:rsidRPr="0061794C" w:rsidRDefault="00A279FC" w:rsidP="00A279FC">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r w:rsidRPr="00C87A6D">
              <w:rPr>
                <w:rFonts w:ascii="Verdana" w:eastAsia="Calibri" w:hAnsi="Verdana" w:cs="Arial"/>
                <w:lang w:val="pt-BR"/>
              </w:rPr>
              <w:t>Corte Constitucional. Sentencia C-671 de 2015. M.P. Alberto Rojas Ríos</w:t>
            </w:r>
          </w:p>
        </w:tc>
      </w:tr>
    </w:tbl>
    <w:p w14:paraId="55EF33A9" w14:textId="77777777" w:rsidR="00A279FC" w:rsidRPr="0061794C" w:rsidRDefault="00A279FC" w:rsidP="00A279FC">
      <w:pPr>
        <w:widowControl w:val="0"/>
        <w:autoSpaceDE w:val="0"/>
        <w:autoSpaceDN w:val="0"/>
        <w:spacing w:after="0" w:line="276" w:lineRule="auto"/>
        <w:jc w:val="both"/>
        <w:rPr>
          <w:rFonts w:ascii="Verdana" w:hAnsi="Verdana" w:cs="Arial"/>
          <w:lang w:val="pt-BR"/>
        </w:rPr>
      </w:pPr>
    </w:p>
    <w:p w14:paraId="549DB4AF" w14:textId="77777777" w:rsidR="00A279FC" w:rsidRPr="00AF0CA5" w:rsidRDefault="00A279FC" w:rsidP="00A279FC">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AF0CA5">
        <w:rPr>
          <w:rFonts w:ascii="Verdana" w:eastAsia="Century Gothic" w:hAnsi="Verdana" w:cs="Century Gothic"/>
          <w:b/>
          <w:bCs/>
        </w:rPr>
        <w:t>Doctrina de la Agencia Nacional de Contratación Pública:</w:t>
      </w:r>
    </w:p>
    <w:p w14:paraId="412972B1" w14:textId="77777777" w:rsidR="00A279FC" w:rsidRPr="00E2397D" w:rsidRDefault="00A279FC" w:rsidP="00A279FC">
      <w:pPr>
        <w:widowControl w:val="0"/>
        <w:autoSpaceDE w:val="0"/>
        <w:autoSpaceDN w:val="0"/>
        <w:spacing w:after="0" w:line="276" w:lineRule="auto"/>
        <w:jc w:val="both"/>
        <w:rPr>
          <w:rFonts w:ascii="Verdana" w:hAnsi="Verdana" w:cs="Arial"/>
        </w:rPr>
      </w:pPr>
    </w:p>
    <w:p w14:paraId="6E21D753" w14:textId="77777777" w:rsidR="00A279FC" w:rsidRPr="00C056DC" w:rsidRDefault="00A279FC" w:rsidP="00A279FC">
      <w:pPr>
        <w:widowControl w:val="0"/>
        <w:autoSpaceDE w:val="0"/>
        <w:autoSpaceDN w:val="0"/>
        <w:spacing w:after="0" w:line="276" w:lineRule="auto"/>
        <w:jc w:val="both"/>
        <w:rPr>
          <w:rFonts w:ascii="Verdana" w:hAnsi="Verdana" w:cs="Arial"/>
          <w:shd w:val="clear" w:color="auto" w:fill="FFFFFF"/>
          <w:lang w:val="es-ES"/>
        </w:rPr>
      </w:pPr>
      <w:r w:rsidRPr="00E2397D">
        <w:rPr>
          <w:rFonts w:ascii="Verdana" w:hAnsi="Verdana" w:cs="Arial"/>
          <w:shd w:val="clear" w:color="auto" w:fill="FFFFFF"/>
          <w:lang w:val="es-ES"/>
        </w:rPr>
        <w:t>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w:t>
      </w:r>
      <w:r>
        <w:rPr>
          <w:rFonts w:ascii="Verdana" w:hAnsi="Verdana" w:cs="Arial"/>
          <w:shd w:val="clear" w:color="auto" w:fill="FFFFFF"/>
          <w:lang w:val="es-ES"/>
        </w:rPr>
        <w:t xml:space="preserve"> C-180 del 21 de marzo de 2025, C-317 del 25 de abril de 2025, C-510 del 4 de junio de 2025, C-646 del 26 de junio de 2025, C-635 del 27 de junio de 2025, entre otros</w:t>
      </w:r>
      <w:r w:rsidRPr="00E2397D">
        <w:rPr>
          <w:rFonts w:ascii="Verdana" w:hAnsi="Verdana" w:cs="Arial"/>
          <w:shd w:val="clear" w:color="auto" w:fill="FFFFFF"/>
          <w:lang w:val="es-ES"/>
        </w:rPr>
        <w:t xml:space="preserve">. </w:t>
      </w:r>
      <w:r>
        <w:rPr>
          <w:rFonts w:ascii="Verdana" w:hAnsi="Verdana" w:cs="Arial"/>
          <w:shd w:val="clear" w:color="auto" w:fill="FFFFFF"/>
        </w:rPr>
        <w:t>E</w:t>
      </w:r>
      <w:proofErr w:type="spellStart"/>
      <w:r w:rsidRPr="00E2397D">
        <w:rPr>
          <w:rFonts w:ascii="Verdana" w:hAnsi="Verdana" w:cs="Arial"/>
          <w:shd w:val="clear" w:color="auto" w:fill="FFFFFF"/>
          <w:lang w:val="es-ES"/>
        </w:rPr>
        <w:t>stos</w:t>
      </w:r>
      <w:proofErr w:type="spellEnd"/>
      <w:r w:rsidRPr="00E2397D">
        <w:rPr>
          <w:rFonts w:ascii="Verdana" w:hAnsi="Verdana" w:cs="Arial"/>
          <w:shd w:val="clear" w:color="auto" w:fill="FFFFFF"/>
          <w:lang w:val="es-ES"/>
        </w:rPr>
        <w:t xml:space="preserve"> y otros </w:t>
      </w:r>
      <w:r w:rsidRPr="00E2397D">
        <w:rPr>
          <w:rFonts w:ascii="Verdana" w:hAnsi="Verdana"/>
        </w:rPr>
        <w:t>conceptos se encuentran disponibles para consulta en el Sistema de relatoría de la Agencia, al cual se puede acceder a través del siguiente enlace:</w:t>
      </w:r>
      <w:r w:rsidRPr="00E2397D">
        <w:rPr>
          <w:rFonts w:ascii="Verdana" w:hAnsi="Verdana" w:cs="Arial"/>
          <w:shd w:val="clear" w:color="auto" w:fill="FFFFFF"/>
        </w:rPr>
        <w:t xml:space="preserve"> </w:t>
      </w:r>
      <w:hyperlink r:id="rId12" w:history="1">
        <w:r w:rsidRPr="00E2397D">
          <w:rPr>
            <w:rFonts w:ascii="Verdana" w:hAnsi="Verdana" w:cs="Arial"/>
            <w:color w:val="0563C1" w:themeColor="hyperlink"/>
            <w:u w:val="single"/>
            <w:shd w:val="clear" w:color="auto" w:fill="FFFFFF"/>
          </w:rPr>
          <w:t>https://relatoria.colombiacompra.gov.co/busqueda/conceptos</w:t>
        </w:r>
      </w:hyperlink>
      <w:r w:rsidRPr="00E2397D">
        <w:rPr>
          <w:rFonts w:ascii="Verdana" w:hAnsi="Verdana" w:cs="Arial"/>
          <w:shd w:val="clear" w:color="auto" w:fill="FFFFFF"/>
        </w:rPr>
        <w:t>.</w:t>
      </w:r>
      <w:r w:rsidRPr="00E2397D">
        <w:rPr>
          <w:rFonts w:ascii="Verdana" w:hAnsi="Verdana" w:cs="Arial"/>
          <w:color w:val="FF0000"/>
          <w:shd w:val="clear" w:color="auto" w:fill="FFFFFF"/>
        </w:rPr>
        <w:t xml:space="preserve"> </w:t>
      </w:r>
      <w:r w:rsidRPr="00E2397D">
        <w:rPr>
          <w:rFonts w:ascii="Verdana" w:hAnsi="Verdana" w:cs="Arial"/>
          <w:color w:val="000000" w:themeColor="text1"/>
          <w:shd w:val="clear" w:color="auto" w:fill="FFFFFF"/>
        </w:rPr>
        <w:t>  </w:t>
      </w:r>
    </w:p>
    <w:p w14:paraId="234E81FE" w14:textId="77777777" w:rsidR="00A279FC" w:rsidRDefault="00A279FC" w:rsidP="00A279FC">
      <w:pPr>
        <w:spacing w:after="0"/>
        <w:jc w:val="both"/>
        <w:rPr>
          <w:rFonts w:ascii="Verdana" w:hAnsi="Verdana"/>
        </w:rPr>
      </w:pPr>
    </w:p>
    <w:p w14:paraId="15DDA40D" w14:textId="77777777" w:rsidR="00A279FC" w:rsidRPr="0044528D" w:rsidRDefault="00A279FC" w:rsidP="00A279FC">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2EB31BB" w14:textId="77777777" w:rsidR="00A279FC" w:rsidRPr="0044528D" w:rsidRDefault="00A279FC" w:rsidP="00A279FC">
      <w:pPr>
        <w:spacing w:after="0" w:line="240" w:lineRule="auto"/>
        <w:jc w:val="both"/>
        <w:rPr>
          <w:rFonts w:ascii="Verdana" w:hAnsi="Verdana"/>
        </w:rPr>
      </w:pPr>
    </w:p>
    <w:p w14:paraId="43DFB6D0" w14:textId="77777777" w:rsidR="00A279FC" w:rsidRPr="0044528D" w:rsidRDefault="00A279FC" w:rsidP="00A279FC">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78752858" w14:textId="77777777" w:rsidR="00A279FC" w:rsidRPr="0044528D" w:rsidRDefault="00A279FC" w:rsidP="00A279FC">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4199AF8E" w14:textId="77777777" w:rsidR="00A279FC" w:rsidRPr="0044528D" w:rsidRDefault="00A279FC" w:rsidP="00A279FC">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3FF0B087" w14:textId="77777777" w:rsidR="00A279FC" w:rsidRPr="0044528D" w:rsidRDefault="00A279FC" w:rsidP="00A279FC">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3" w:history="1">
        <w:r w:rsidRPr="0044528D">
          <w:rPr>
            <w:rStyle w:val="Hipervnculo"/>
            <w:rFonts w:ascii="Verdana" w:hAnsi="Verdana"/>
          </w:rPr>
          <w:t>www.colombiacompra.gov.co</w:t>
        </w:r>
      </w:hyperlink>
    </w:p>
    <w:p w14:paraId="0FB111FF" w14:textId="77777777" w:rsidR="00A279FC" w:rsidRPr="0044528D" w:rsidRDefault="00A279FC" w:rsidP="00A279FC">
      <w:pPr>
        <w:pStyle w:val="Prrafodelista"/>
        <w:spacing w:after="0" w:line="240" w:lineRule="auto"/>
        <w:ind w:left="785"/>
        <w:jc w:val="both"/>
        <w:rPr>
          <w:rFonts w:ascii="Verdana" w:hAnsi="Verdana"/>
        </w:rPr>
      </w:pPr>
    </w:p>
    <w:p w14:paraId="170C2D25" w14:textId="77777777" w:rsidR="00A279FC" w:rsidRPr="0044528D" w:rsidRDefault="00A279FC" w:rsidP="00A279FC">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492C9F2F" w14:textId="77777777" w:rsidR="00A279FC" w:rsidRPr="0044528D" w:rsidRDefault="00A279FC" w:rsidP="00A279FC">
      <w:pPr>
        <w:spacing w:after="0" w:line="240" w:lineRule="auto"/>
        <w:jc w:val="both"/>
        <w:rPr>
          <w:rFonts w:ascii="Verdana" w:hAnsi="Verdana"/>
        </w:rPr>
      </w:pPr>
    </w:p>
    <w:p w14:paraId="4FE3B77F" w14:textId="77777777" w:rsidR="00A279FC" w:rsidRPr="0044528D" w:rsidRDefault="00A279FC" w:rsidP="00A279FC">
      <w:pPr>
        <w:spacing w:after="0" w:line="240" w:lineRule="auto"/>
        <w:jc w:val="both"/>
        <w:rPr>
          <w:rFonts w:ascii="Verdana" w:hAnsi="Verdana"/>
        </w:rPr>
      </w:pPr>
      <w:r w:rsidRPr="0044528D">
        <w:rPr>
          <w:rFonts w:ascii="Verdana" w:hAnsi="Verdana"/>
        </w:rPr>
        <w:lastRenderedPageBreak/>
        <w:t xml:space="preserve">Twitter: </w:t>
      </w:r>
      <w:r w:rsidRPr="0044528D">
        <w:rPr>
          <w:rStyle w:val="Hipervnculo"/>
          <w:rFonts w:ascii="Verdana" w:hAnsi="Verdana"/>
        </w:rPr>
        <w:t>@colombiacompra</w:t>
      </w:r>
      <w:r w:rsidRPr="0044528D">
        <w:rPr>
          <w:rFonts w:ascii="Verdana" w:hAnsi="Verdana"/>
        </w:rPr>
        <w:t xml:space="preserve"> </w:t>
      </w:r>
    </w:p>
    <w:p w14:paraId="6E0372C7" w14:textId="77777777" w:rsidR="00A279FC" w:rsidRPr="0044528D" w:rsidRDefault="00A279FC" w:rsidP="00A279FC">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15572EDC" w14:textId="77777777" w:rsidR="00A279FC" w:rsidRPr="0044528D" w:rsidRDefault="00A279FC" w:rsidP="00A279FC">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4CAD7D6C" w14:textId="77777777" w:rsidR="00A279FC" w:rsidRPr="0044528D" w:rsidRDefault="00A279FC" w:rsidP="00A279FC">
      <w:pPr>
        <w:spacing w:after="0" w:line="240" w:lineRule="auto"/>
        <w:jc w:val="both"/>
        <w:rPr>
          <w:rFonts w:ascii="Verdana" w:hAnsi="Verdana"/>
        </w:rPr>
      </w:pPr>
    </w:p>
    <w:p w14:paraId="36B1675C" w14:textId="77777777" w:rsidR="00A279FC" w:rsidRPr="00185EE9" w:rsidRDefault="00A279FC" w:rsidP="00A279FC">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ED70711" w14:textId="77777777" w:rsidR="00A279FC" w:rsidRPr="00185EE9" w:rsidRDefault="00A279FC" w:rsidP="00A279FC">
      <w:pPr>
        <w:spacing w:after="0" w:line="256" w:lineRule="auto"/>
        <w:jc w:val="both"/>
        <w:rPr>
          <w:rFonts w:ascii="Verdana" w:eastAsia="Calibri" w:hAnsi="Verdana" w:cs="Times New Roman"/>
        </w:rPr>
      </w:pPr>
    </w:p>
    <w:p w14:paraId="2A36FE6E" w14:textId="77777777" w:rsidR="00A279FC" w:rsidRPr="000C5EC2" w:rsidRDefault="00A279FC" w:rsidP="00A279FC">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1ACB80FA" w14:textId="3CAB36FF" w:rsidR="00A279FC" w:rsidRDefault="00A279FC" w:rsidP="00A279FC">
      <w:pPr>
        <w:spacing w:after="0" w:line="256" w:lineRule="auto"/>
        <w:jc w:val="center"/>
        <w:rPr>
          <w:rFonts w:ascii="Verdana" w:eastAsia="Times New Roman" w:hAnsi="Verdana" w:cs="Arial"/>
          <w:noProof/>
          <w:sz w:val="24"/>
          <w:szCs w:val="24"/>
          <w:lang w:val="en-US"/>
        </w:rPr>
      </w:pPr>
    </w:p>
    <w:p w14:paraId="0F69A82F" w14:textId="724D04AC" w:rsidR="005E1E7C" w:rsidRPr="007D7CFD" w:rsidRDefault="005E1E7C" w:rsidP="00A279FC">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0FB93598" wp14:editId="4F49CC7A">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12722" cy="1229722"/>
                    </a:xfrm>
                    <a:prstGeom prst="rect">
                      <a:avLst/>
                    </a:prstGeom>
                  </pic:spPr>
                </pic:pic>
              </a:graphicData>
            </a:graphic>
          </wp:inline>
        </w:drawing>
      </w:r>
    </w:p>
    <w:p w14:paraId="0C1FC772" w14:textId="77777777" w:rsidR="00A279FC" w:rsidRPr="00B93E58" w:rsidRDefault="00A279FC" w:rsidP="00A279FC">
      <w:pPr>
        <w:spacing w:after="0" w:line="276" w:lineRule="auto"/>
        <w:rPr>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279FC" w:rsidRPr="00D27231" w14:paraId="659A2D48" w14:textId="77777777" w:rsidTr="005C301F">
        <w:trPr>
          <w:trHeight w:val="409"/>
        </w:trPr>
        <w:tc>
          <w:tcPr>
            <w:tcW w:w="817" w:type="dxa"/>
            <w:tcBorders>
              <w:top w:val="nil"/>
              <w:left w:val="nil"/>
              <w:bottom w:val="nil"/>
              <w:right w:val="nil"/>
            </w:tcBorders>
            <w:vAlign w:val="center"/>
            <w:hideMark/>
          </w:tcPr>
          <w:p w14:paraId="3A3324F9"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71E4603"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José Luis Sánchez Cardona</w:t>
            </w:r>
          </w:p>
          <w:p w14:paraId="3F70CDF6"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Contratista de la Subdirección de Gestión Contractual</w:t>
            </w:r>
          </w:p>
        </w:tc>
      </w:tr>
      <w:tr w:rsidR="00A279FC" w:rsidRPr="00D27231" w14:paraId="333A2D94" w14:textId="77777777" w:rsidTr="005C301F">
        <w:trPr>
          <w:trHeight w:val="409"/>
        </w:trPr>
        <w:tc>
          <w:tcPr>
            <w:tcW w:w="817" w:type="dxa"/>
            <w:tcBorders>
              <w:top w:val="nil"/>
              <w:left w:val="nil"/>
              <w:bottom w:val="nil"/>
              <w:right w:val="nil"/>
            </w:tcBorders>
            <w:vAlign w:val="center"/>
            <w:hideMark/>
          </w:tcPr>
          <w:p w14:paraId="66C817F8"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54C65C1"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Alejandro Sarmiento Cantillo</w:t>
            </w:r>
          </w:p>
          <w:p w14:paraId="7EE85CB9"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Gestor T1-15 de la Subdirección de Gestión Contractual </w:t>
            </w:r>
          </w:p>
        </w:tc>
      </w:tr>
      <w:tr w:rsidR="00A279FC" w:rsidRPr="00D27231" w14:paraId="63F5CBA4" w14:textId="77777777" w:rsidTr="005C301F">
        <w:trPr>
          <w:trHeight w:val="389"/>
        </w:trPr>
        <w:tc>
          <w:tcPr>
            <w:tcW w:w="817" w:type="dxa"/>
            <w:tcBorders>
              <w:top w:val="nil"/>
              <w:left w:val="nil"/>
              <w:bottom w:val="nil"/>
              <w:right w:val="nil"/>
            </w:tcBorders>
            <w:vAlign w:val="center"/>
            <w:hideMark/>
          </w:tcPr>
          <w:p w14:paraId="59F350B8"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66C8765"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 xml:space="preserve">Carolina Quintero </w:t>
            </w:r>
            <w:proofErr w:type="spellStart"/>
            <w:r w:rsidRPr="00D27231">
              <w:rPr>
                <w:rFonts w:ascii="Verdana" w:eastAsia="Calibri" w:hAnsi="Verdana" w:cs="Times New Roman"/>
                <w:sz w:val="16"/>
                <w:szCs w:val="16"/>
              </w:rPr>
              <w:t>Gacharná</w:t>
            </w:r>
            <w:proofErr w:type="spellEnd"/>
          </w:p>
          <w:p w14:paraId="6C9324C0" w14:textId="77777777" w:rsidR="00A279FC" w:rsidRPr="00D27231" w:rsidRDefault="00A279FC" w:rsidP="005C301F">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Subdirectora de Gestión Contractual ANCP – CCE</w:t>
            </w:r>
          </w:p>
        </w:tc>
      </w:tr>
      <w:bookmarkEnd w:id="0"/>
    </w:tbl>
    <w:p w14:paraId="67923003" w14:textId="77777777" w:rsidR="00A279FC" w:rsidRPr="0044528D" w:rsidRDefault="00A279FC" w:rsidP="00A279FC">
      <w:pPr>
        <w:spacing w:after="0" w:line="240" w:lineRule="auto"/>
        <w:textAlignment w:val="baseline"/>
        <w:rPr>
          <w:rFonts w:ascii="Verdana" w:eastAsia="Times New Roman" w:hAnsi="Verdana" w:cs="Segoe UI"/>
          <w:b/>
          <w:bCs/>
          <w:color w:val="46589C"/>
          <w:lang w:val="es-ES" w:eastAsia="es-CO"/>
        </w:rPr>
      </w:pPr>
    </w:p>
    <w:p w14:paraId="531E177E" w14:textId="41A87BC1" w:rsidR="007D7CFD" w:rsidRPr="00A279FC" w:rsidRDefault="007D7CFD" w:rsidP="00A279FC">
      <w:pPr>
        <w:rPr>
          <w:lang w:val="es-ES"/>
        </w:rPr>
      </w:pPr>
    </w:p>
    <w:sectPr w:rsidR="007D7CFD" w:rsidRPr="00A279F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E4512" w14:textId="77777777" w:rsidR="00E11866" w:rsidRDefault="00E11866" w:rsidP="004A1847">
      <w:pPr>
        <w:spacing w:after="0" w:line="240" w:lineRule="auto"/>
      </w:pPr>
      <w:r>
        <w:separator/>
      </w:r>
    </w:p>
  </w:endnote>
  <w:endnote w:type="continuationSeparator" w:id="0">
    <w:p w14:paraId="65EAD1BF" w14:textId="77777777" w:rsidR="00E11866" w:rsidRDefault="00E11866" w:rsidP="004A1847">
      <w:pPr>
        <w:spacing w:after="0" w:line="240" w:lineRule="auto"/>
      </w:pPr>
      <w:r>
        <w:continuationSeparator/>
      </w:r>
    </w:p>
  </w:endnote>
  <w:endnote w:type="continuationNotice" w:id="1">
    <w:p w14:paraId="748D90CC" w14:textId="77777777" w:rsidR="00E11866" w:rsidRDefault="00E118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05795" w:rsidRDefault="00505795">
    <w:pPr>
      <w:pStyle w:val="Piedepgina"/>
    </w:pPr>
  </w:p>
  <w:p w14:paraId="594D6D9F" w14:textId="64FDABCA"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E1E7C" w:rsidRPr="005E1E7C">
      <w:rPr>
        <w:rFonts w:ascii="Verdana" w:eastAsiaTheme="minorEastAsia" w:hAnsi="Verdana"/>
        <w:b/>
        <w:bCs/>
        <w:noProof/>
        <w:sz w:val="16"/>
        <w:szCs w:val="16"/>
      </w:rPr>
      <w:t>29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05795" w:rsidRDefault="0050579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CE56F" w14:textId="77777777" w:rsidR="00E11866" w:rsidRDefault="00E11866" w:rsidP="004A1847">
      <w:pPr>
        <w:spacing w:after="0" w:line="240" w:lineRule="auto"/>
      </w:pPr>
      <w:r>
        <w:separator/>
      </w:r>
    </w:p>
  </w:footnote>
  <w:footnote w:type="continuationSeparator" w:id="0">
    <w:p w14:paraId="4FD297AB" w14:textId="77777777" w:rsidR="00E11866" w:rsidRDefault="00E11866" w:rsidP="004A1847">
      <w:pPr>
        <w:spacing w:after="0" w:line="240" w:lineRule="auto"/>
      </w:pPr>
      <w:r>
        <w:continuationSeparator/>
      </w:r>
    </w:p>
  </w:footnote>
  <w:footnote w:type="continuationNotice" w:id="1">
    <w:p w14:paraId="7C1ABCDD" w14:textId="77777777" w:rsidR="00E11866" w:rsidRDefault="00E11866">
      <w:pPr>
        <w:spacing w:after="0" w:line="240" w:lineRule="auto"/>
      </w:pPr>
    </w:p>
  </w:footnote>
  <w:footnote w:id="2">
    <w:p w14:paraId="4D3BBB7F" w14:textId="77777777" w:rsidR="00A279FC" w:rsidRPr="005E1E7C" w:rsidRDefault="00A279FC" w:rsidP="00A279FC">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Concepto del 15 de noviembre de 2007. Expediente número 1863. Consejero Ponente: Luis Fernando Álvarez Jaramillo.</w:t>
      </w:r>
    </w:p>
  </w:footnote>
  <w:footnote w:id="3">
    <w:p w14:paraId="0794E0B7" w14:textId="77777777" w:rsidR="00A279FC" w:rsidRPr="005E1E7C" w:rsidRDefault="00A279FC" w:rsidP="00A279FC">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57D7D55" w14:textId="77777777" w:rsidR="00A279FC" w:rsidRPr="005E1E7C" w:rsidRDefault="00A279FC" w:rsidP="00A279FC">
      <w:pPr>
        <w:pStyle w:val="Textonotapie"/>
        <w:ind w:firstLine="709"/>
        <w:jc w:val="both"/>
        <w:rPr>
          <w:rFonts w:ascii="Verdana" w:hAnsi="Verdana" w:cs="Arial"/>
          <w:sz w:val="16"/>
          <w:szCs w:val="16"/>
        </w:rPr>
      </w:pPr>
      <w:r w:rsidRPr="005E1E7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6A3E1033" w14:textId="77777777" w:rsidR="00A279FC" w:rsidRPr="005E1E7C" w:rsidRDefault="00A279FC" w:rsidP="00A279FC">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Gaceta del Congreso de la República No. 71 del 2005.</w:t>
      </w:r>
    </w:p>
    <w:p w14:paraId="6A006B23" w14:textId="77777777" w:rsidR="00A279FC" w:rsidRPr="005E1E7C" w:rsidRDefault="00A279FC" w:rsidP="00A279FC">
      <w:pPr>
        <w:pStyle w:val="Textonotapie"/>
        <w:ind w:firstLine="709"/>
        <w:jc w:val="both"/>
        <w:rPr>
          <w:rFonts w:ascii="Verdana" w:hAnsi="Verdana" w:cs="Arial"/>
          <w:sz w:val="16"/>
          <w:szCs w:val="16"/>
        </w:rPr>
      </w:pPr>
    </w:p>
  </w:footnote>
  <w:footnote w:id="5">
    <w:p w14:paraId="2D1B0C29" w14:textId="77777777" w:rsidR="00A279FC" w:rsidRPr="005E1E7C" w:rsidRDefault="00A279FC" w:rsidP="00A279FC">
      <w:pPr>
        <w:pStyle w:val="Textonotapie"/>
        <w:ind w:firstLine="709"/>
        <w:jc w:val="both"/>
        <w:rPr>
          <w:rFonts w:ascii="Verdana" w:hAnsi="Verdana" w:cs="Arial"/>
          <w:sz w:val="16"/>
          <w:szCs w:val="16"/>
          <w:lang w:val="pt-BR"/>
        </w:rPr>
      </w:pPr>
      <w:r w:rsidRPr="005E1E7C">
        <w:rPr>
          <w:rStyle w:val="Refdenotaalpie"/>
          <w:rFonts w:ascii="Verdana" w:hAnsi="Verdana" w:cs="Arial"/>
          <w:sz w:val="16"/>
          <w:szCs w:val="16"/>
        </w:rPr>
        <w:footnoteRef/>
      </w:r>
      <w:r w:rsidRPr="005E1E7C">
        <w:rPr>
          <w:rFonts w:ascii="Verdana" w:hAnsi="Verdana" w:cs="Arial"/>
          <w:sz w:val="16"/>
          <w:szCs w:val="16"/>
          <w:lang w:val="pt-BR"/>
        </w:rPr>
        <w:t xml:space="preserve"> Corte Constitucional, Sentencia C- 1153 de 2005, M.P. Marco Gerardo </w:t>
      </w:r>
      <w:proofErr w:type="spellStart"/>
      <w:r w:rsidRPr="005E1E7C">
        <w:rPr>
          <w:rFonts w:ascii="Verdana" w:hAnsi="Verdana" w:cs="Arial"/>
          <w:sz w:val="16"/>
          <w:szCs w:val="16"/>
          <w:lang w:val="pt-BR"/>
        </w:rPr>
        <w:t>Monroy</w:t>
      </w:r>
      <w:proofErr w:type="spellEnd"/>
      <w:r w:rsidRPr="005E1E7C">
        <w:rPr>
          <w:rFonts w:ascii="Verdana" w:hAnsi="Verdana" w:cs="Arial"/>
          <w:sz w:val="16"/>
          <w:szCs w:val="16"/>
          <w:lang w:val="pt-BR"/>
        </w:rPr>
        <w:t xml:space="preserve"> Cabra.</w:t>
      </w:r>
    </w:p>
  </w:footnote>
  <w:footnote w:id="6">
    <w:p w14:paraId="01AE50B3" w14:textId="77777777" w:rsidR="00A279FC" w:rsidRPr="005E1E7C" w:rsidRDefault="00A279FC" w:rsidP="00A279FC">
      <w:pPr>
        <w:pStyle w:val="Textonotapie"/>
        <w:ind w:firstLine="709"/>
        <w:jc w:val="both"/>
        <w:rPr>
          <w:rFonts w:ascii="Verdana" w:hAnsi="Verdana" w:cs="Arial"/>
          <w:sz w:val="16"/>
          <w:szCs w:val="16"/>
          <w:lang w:val="pt-BR"/>
        </w:rPr>
      </w:pPr>
      <w:r w:rsidRPr="005E1E7C">
        <w:rPr>
          <w:rStyle w:val="Refdenotaalpie"/>
          <w:rFonts w:ascii="Verdana" w:hAnsi="Verdana" w:cs="Arial"/>
          <w:sz w:val="16"/>
          <w:szCs w:val="16"/>
        </w:rPr>
        <w:footnoteRef/>
      </w:r>
      <w:r w:rsidRPr="005E1E7C">
        <w:rPr>
          <w:rFonts w:ascii="Verdana" w:hAnsi="Verdana" w:cs="Arial"/>
          <w:sz w:val="16"/>
          <w:szCs w:val="16"/>
          <w:lang w:val="pt-BR"/>
        </w:rPr>
        <w:t xml:space="preserve"> Corte Constitucional. Sentencias: C-233 de 4 de abril de 2002, expediente: D-3704; C-551 de 9 de </w:t>
      </w:r>
      <w:proofErr w:type="spellStart"/>
      <w:r w:rsidRPr="005E1E7C">
        <w:rPr>
          <w:rFonts w:ascii="Verdana" w:hAnsi="Verdana" w:cs="Arial"/>
          <w:sz w:val="16"/>
          <w:szCs w:val="16"/>
          <w:lang w:val="pt-BR"/>
        </w:rPr>
        <w:t>julio</w:t>
      </w:r>
      <w:proofErr w:type="spellEnd"/>
      <w:r w:rsidRPr="005E1E7C">
        <w:rPr>
          <w:rFonts w:ascii="Verdana" w:hAnsi="Verdana" w:cs="Arial"/>
          <w:sz w:val="16"/>
          <w:szCs w:val="16"/>
          <w:lang w:val="pt-BR"/>
        </w:rPr>
        <w:t xml:space="preserve"> de 2003, expediente: CRF-001 de 9 de </w:t>
      </w:r>
      <w:proofErr w:type="spellStart"/>
      <w:r w:rsidRPr="005E1E7C">
        <w:rPr>
          <w:rFonts w:ascii="Verdana" w:hAnsi="Verdana" w:cs="Arial"/>
          <w:sz w:val="16"/>
          <w:szCs w:val="16"/>
          <w:lang w:val="pt-BR"/>
        </w:rPr>
        <w:t>julio</w:t>
      </w:r>
      <w:proofErr w:type="spellEnd"/>
      <w:r w:rsidRPr="005E1E7C">
        <w:rPr>
          <w:rFonts w:ascii="Verdana" w:hAnsi="Verdana" w:cs="Arial"/>
          <w:sz w:val="16"/>
          <w:szCs w:val="16"/>
          <w:lang w:val="pt-BR"/>
        </w:rPr>
        <w:t xml:space="preserve"> de 2003; C-652 de 5 de agosto de 2003, expediente: D-4330; C-353 de 20 de </w:t>
      </w:r>
      <w:proofErr w:type="spellStart"/>
      <w:r w:rsidRPr="005E1E7C">
        <w:rPr>
          <w:rFonts w:ascii="Verdana" w:hAnsi="Verdana" w:cs="Arial"/>
          <w:sz w:val="16"/>
          <w:szCs w:val="16"/>
          <w:lang w:val="pt-BR"/>
        </w:rPr>
        <w:t>mayo</w:t>
      </w:r>
      <w:proofErr w:type="spellEnd"/>
      <w:r w:rsidRPr="005E1E7C">
        <w:rPr>
          <w:rFonts w:ascii="Verdana" w:hAnsi="Verdana" w:cs="Arial"/>
          <w:sz w:val="16"/>
          <w:szCs w:val="16"/>
          <w:lang w:val="pt-BR"/>
        </w:rPr>
        <w:t xml:space="preserve"> de 2009, expediente: D-7518, C-541 de 30 de </w:t>
      </w:r>
      <w:proofErr w:type="spellStart"/>
      <w:r w:rsidRPr="005E1E7C">
        <w:rPr>
          <w:rFonts w:ascii="Verdana" w:hAnsi="Verdana" w:cs="Arial"/>
          <w:sz w:val="16"/>
          <w:szCs w:val="16"/>
          <w:lang w:val="pt-BR"/>
        </w:rPr>
        <w:t>junio</w:t>
      </w:r>
      <w:proofErr w:type="spellEnd"/>
      <w:r w:rsidRPr="005E1E7C">
        <w:rPr>
          <w:rFonts w:ascii="Verdana" w:hAnsi="Verdana" w:cs="Arial"/>
          <w:sz w:val="16"/>
          <w:szCs w:val="16"/>
          <w:lang w:val="pt-BR"/>
        </w:rPr>
        <w:t xml:space="preserve"> de 2010, expediente: DD7966; entre </w:t>
      </w:r>
      <w:proofErr w:type="spellStart"/>
      <w:r w:rsidRPr="005E1E7C">
        <w:rPr>
          <w:rFonts w:ascii="Verdana" w:hAnsi="Verdana" w:cs="Arial"/>
          <w:sz w:val="16"/>
          <w:szCs w:val="16"/>
          <w:lang w:val="pt-BR"/>
        </w:rPr>
        <w:t>otras</w:t>
      </w:r>
      <w:proofErr w:type="spellEnd"/>
      <w:r w:rsidRPr="005E1E7C">
        <w:rPr>
          <w:rFonts w:ascii="Verdana" w:hAnsi="Verdana" w:cs="Arial"/>
          <w:sz w:val="16"/>
          <w:szCs w:val="16"/>
          <w:lang w:val="pt-BR"/>
        </w:rPr>
        <w:t>.</w:t>
      </w:r>
    </w:p>
  </w:footnote>
  <w:footnote w:id="7">
    <w:p w14:paraId="175A814D" w14:textId="77777777" w:rsidR="00A279FC" w:rsidRPr="005E1E7C" w:rsidRDefault="00A279FC" w:rsidP="00A279FC">
      <w:pPr>
        <w:pStyle w:val="Textonotapie"/>
        <w:ind w:firstLine="709"/>
        <w:jc w:val="both"/>
        <w:rPr>
          <w:rFonts w:ascii="Verdana" w:hAnsi="Verdana" w:cs="Arial"/>
          <w:sz w:val="16"/>
          <w:szCs w:val="16"/>
          <w:lang w:val="es-CO"/>
        </w:rPr>
      </w:pPr>
      <w:r w:rsidRPr="005E1E7C">
        <w:rPr>
          <w:rStyle w:val="Refdenotaalpie"/>
          <w:rFonts w:ascii="Verdana" w:hAnsi="Verdana" w:cs="Arial"/>
          <w:sz w:val="16"/>
          <w:szCs w:val="16"/>
        </w:rPr>
        <w:footnoteRef/>
      </w:r>
      <w:r w:rsidRPr="005E1E7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061F2924" w14:textId="77777777" w:rsidR="00A279FC" w:rsidRPr="005E1E7C" w:rsidRDefault="00A279FC" w:rsidP="00A279FC">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de fecha 24 de julio de 2013, Rad. 2166, C. P. Álvaro </w:t>
      </w:r>
      <w:proofErr w:type="spellStart"/>
      <w:r w:rsidRPr="005E1E7C">
        <w:rPr>
          <w:rFonts w:ascii="Verdana" w:hAnsi="Verdana" w:cs="Arial"/>
          <w:sz w:val="16"/>
          <w:szCs w:val="16"/>
        </w:rPr>
        <w:t>Namén</w:t>
      </w:r>
      <w:proofErr w:type="spellEnd"/>
      <w:r w:rsidRPr="005E1E7C">
        <w:rPr>
          <w:rFonts w:ascii="Verdana" w:hAnsi="Verdana" w:cs="Arial"/>
          <w:sz w:val="16"/>
          <w:szCs w:val="16"/>
        </w:rPr>
        <w:t xml:space="preserve"> Vargas.  </w:t>
      </w:r>
    </w:p>
  </w:footnote>
  <w:footnote w:id="9">
    <w:p w14:paraId="7479FD1A" w14:textId="77777777" w:rsidR="00A279FC" w:rsidRPr="005E1E7C" w:rsidRDefault="00A279FC" w:rsidP="00A279FC">
      <w:pPr>
        <w:spacing w:after="0" w:line="240" w:lineRule="auto"/>
        <w:ind w:firstLine="709"/>
        <w:jc w:val="both"/>
        <w:rPr>
          <w:rFonts w:ascii="Verdana" w:eastAsia="Times New Roman"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w:t>
      </w:r>
      <w:r w:rsidRPr="005E1E7C">
        <w:rPr>
          <w:rFonts w:ascii="Verdana" w:eastAsia="Calibri" w:hAnsi="Verdana" w:cs="Arial"/>
          <w:color w:val="000000"/>
          <w:sz w:val="16"/>
          <w:szCs w:val="16"/>
        </w:rPr>
        <w:t>“</w:t>
      </w:r>
      <w:r w:rsidRPr="005E1E7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6EFC30A" w14:textId="77777777" w:rsidR="00A279FC" w:rsidRPr="005E1E7C" w:rsidRDefault="00A279FC" w:rsidP="00A279FC">
      <w:pPr>
        <w:spacing w:after="0" w:line="240" w:lineRule="auto"/>
        <w:ind w:firstLine="709"/>
        <w:jc w:val="both"/>
        <w:rPr>
          <w:rFonts w:ascii="Verdana" w:eastAsia="Times New Roman" w:hAnsi="Verdana" w:cs="Arial"/>
          <w:sz w:val="16"/>
          <w:szCs w:val="16"/>
        </w:rPr>
      </w:pPr>
      <w:r w:rsidRPr="005E1E7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E1E7C">
        <w:rPr>
          <w:rFonts w:ascii="Verdana" w:eastAsia="Calibri" w:hAnsi="Verdana" w:cs="Arial"/>
          <w:color w:val="000000"/>
          <w:sz w:val="16"/>
          <w:szCs w:val="16"/>
        </w:rPr>
        <w:t>”</w:t>
      </w:r>
      <w:r w:rsidRPr="005E1E7C">
        <w:rPr>
          <w:rFonts w:ascii="Verdana" w:eastAsia="Times New Roman" w:hAnsi="Verdana" w:cs="Arial"/>
          <w:sz w:val="16"/>
          <w:szCs w:val="16"/>
        </w:rPr>
        <w:t>.</w:t>
      </w:r>
    </w:p>
    <w:p w14:paraId="3719FC06" w14:textId="77777777" w:rsidR="00A279FC" w:rsidRPr="005E1E7C" w:rsidRDefault="00A279FC" w:rsidP="00A279FC">
      <w:pPr>
        <w:spacing w:after="0" w:line="240" w:lineRule="auto"/>
        <w:ind w:firstLine="709"/>
        <w:jc w:val="both"/>
        <w:rPr>
          <w:rFonts w:ascii="Verdana" w:eastAsia="Times New Roman" w:hAnsi="Verdana" w:cs="Arial"/>
          <w:sz w:val="16"/>
          <w:szCs w:val="16"/>
        </w:rPr>
      </w:pPr>
    </w:p>
  </w:footnote>
  <w:footnote w:id="10">
    <w:p w14:paraId="7AE63E27" w14:textId="77777777" w:rsidR="00A279FC" w:rsidRPr="005E1E7C" w:rsidRDefault="00A279FC" w:rsidP="00A279FC">
      <w:pPr>
        <w:pStyle w:val="NormalWeb"/>
        <w:spacing w:before="0" w:beforeAutospacing="0" w:after="0" w:afterAutospacing="0"/>
        <w:ind w:firstLine="709"/>
        <w:jc w:val="both"/>
        <w:rPr>
          <w:rFonts w:ascii="Verdana" w:hAnsi="Verdana" w:cs="Arial"/>
          <w:sz w:val="16"/>
          <w:szCs w:val="16"/>
          <w:lang w:val="es-MX"/>
        </w:rPr>
      </w:pPr>
      <w:r w:rsidRPr="005E1E7C">
        <w:rPr>
          <w:rStyle w:val="Refdenotaalpie"/>
          <w:rFonts w:ascii="Verdana" w:hAnsi="Verdana" w:cs="Arial"/>
          <w:sz w:val="16"/>
          <w:szCs w:val="16"/>
        </w:rPr>
        <w:footnoteRef/>
      </w:r>
      <w:r w:rsidRPr="005E1E7C">
        <w:rPr>
          <w:rFonts w:ascii="Verdana" w:hAnsi="Verdana" w:cs="Arial"/>
          <w:sz w:val="16"/>
          <w:szCs w:val="16"/>
        </w:rPr>
        <w:t xml:space="preserve"> </w:t>
      </w:r>
      <w:r w:rsidRPr="005E1E7C">
        <w:rPr>
          <w:rFonts w:ascii="Verdana" w:eastAsia="Calibri" w:hAnsi="Verdana" w:cs="Arial"/>
          <w:color w:val="000000"/>
          <w:sz w:val="16"/>
          <w:szCs w:val="16"/>
        </w:rPr>
        <w:t>“</w:t>
      </w:r>
      <w:r w:rsidRPr="005E1E7C">
        <w:rPr>
          <w:rFonts w:ascii="Verdana" w:hAnsi="Verdana" w:cs="Arial"/>
          <w:sz w:val="16"/>
          <w:szCs w:val="16"/>
          <w:lang w:val="es-MX"/>
        </w:rPr>
        <w:t>Artículo 38. Prohibiciones para los servidores públicos. A los empleados del Estado les está prohibido: […]</w:t>
      </w:r>
    </w:p>
    <w:p w14:paraId="6DEB6569" w14:textId="77777777" w:rsidR="00A279FC" w:rsidRPr="005E1E7C" w:rsidRDefault="00A279FC" w:rsidP="00A279FC">
      <w:pPr>
        <w:pStyle w:val="NormalWeb"/>
        <w:spacing w:before="0" w:beforeAutospacing="0" w:after="0" w:afterAutospacing="0"/>
        <w:ind w:firstLine="709"/>
        <w:jc w:val="both"/>
        <w:rPr>
          <w:rFonts w:ascii="Verdana" w:hAnsi="Verdana" w:cs="Arial"/>
          <w:sz w:val="16"/>
          <w:szCs w:val="16"/>
          <w:lang w:val="es-MX"/>
        </w:rPr>
      </w:pPr>
      <w:r w:rsidRPr="005E1E7C">
        <w:rPr>
          <w:rStyle w:val="baj"/>
          <w:rFonts w:ascii="Verdana" w:hAnsi="Verdana" w:cs="Arial"/>
          <w:sz w:val="16"/>
          <w:szCs w:val="16"/>
          <w:lang w:val="es-MX"/>
        </w:rPr>
        <w:t>Parágrafo.</w:t>
      </w:r>
      <w:r w:rsidRPr="005E1E7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E1E7C">
        <w:rPr>
          <w:rFonts w:ascii="Verdana" w:eastAsia="Calibri" w:hAnsi="Verdana" w:cs="Arial"/>
          <w:color w:val="000000"/>
          <w:sz w:val="16"/>
          <w:szCs w:val="16"/>
        </w:rPr>
        <w:t>”</w:t>
      </w:r>
      <w:r w:rsidRPr="005E1E7C">
        <w:rPr>
          <w:rFonts w:ascii="Verdana" w:hAnsi="Verdana" w:cs="Arial"/>
          <w:sz w:val="16"/>
          <w:szCs w:val="16"/>
          <w:lang w:val="es-MX"/>
        </w:rPr>
        <w:t>.</w:t>
      </w:r>
    </w:p>
  </w:footnote>
  <w:footnote w:id="11">
    <w:p w14:paraId="7A9E6819" w14:textId="77777777" w:rsidR="00A279FC" w:rsidRPr="005E1E7C" w:rsidRDefault="00A279FC" w:rsidP="00A279FC">
      <w:pPr>
        <w:pStyle w:val="Textonotapie"/>
        <w:ind w:firstLine="708"/>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Colombia Compra Eficiente. Circular Externa Única. Numeral 16.5. </w:t>
      </w:r>
    </w:p>
  </w:footnote>
  <w:footnote w:id="12">
    <w:p w14:paraId="2A0C8A22" w14:textId="77777777" w:rsidR="00A279FC" w:rsidRPr="005E1E7C" w:rsidRDefault="00A279FC" w:rsidP="00A279FC">
      <w:pPr>
        <w:spacing w:after="0" w:line="240" w:lineRule="auto"/>
        <w:ind w:left="100" w:right="244" w:firstLine="709"/>
        <w:jc w:val="both"/>
        <w:rPr>
          <w:rFonts w:ascii="Verdana" w:hAnsi="Verdana" w:cs="Arial"/>
          <w:sz w:val="16"/>
          <w:szCs w:val="16"/>
          <w:lang w:val="es-ES"/>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3">
    <w:p w14:paraId="3E1C085A" w14:textId="77777777" w:rsidR="00A279FC" w:rsidRPr="005E1E7C" w:rsidRDefault="00A279FC" w:rsidP="00A279FC">
      <w:pPr>
        <w:pStyle w:val="Textonotapie"/>
        <w:ind w:firstLine="708"/>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Es lo que sucede, por ejemplo, con el Decreto 092 de 2017, que en su desarrollo hace referencia tanto a los “contratos” como a los “convenios”. </w:t>
      </w:r>
    </w:p>
  </w:footnote>
  <w:footnote w:id="14">
    <w:p w14:paraId="547941E8" w14:textId="77777777" w:rsidR="00A279FC" w:rsidRPr="005E1E7C" w:rsidRDefault="00A279FC" w:rsidP="00A279FC">
      <w:pPr>
        <w:pStyle w:val="Textonotapie"/>
        <w:ind w:firstLine="708"/>
        <w:jc w:val="both"/>
        <w:rPr>
          <w:rFonts w:ascii="Verdana" w:hAnsi="Verdana" w:cs="Arial"/>
          <w:sz w:val="16"/>
          <w:szCs w:val="16"/>
          <w:lang w:val="pt-BR"/>
        </w:rPr>
      </w:pPr>
      <w:r w:rsidRPr="005E1E7C">
        <w:rPr>
          <w:rStyle w:val="Refdenotaalpie"/>
          <w:rFonts w:ascii="Verdana" w:hAnsi="Verdana" w:cs="Arial"/>
          <w:sz w:val="16"/>
          <w:szCs w:val="16"/>
        </w:rPr>
        <w:footnoteRef/>
      </w:r>
      <w:r w:rsidRPr="005E1E7C">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5E1E7C">
        <w:rPr>
          <w:rFonts w:ascii="Verdana" w:hAnsi="Verdana" w:cs="Arial"/>
          <w:sz w:val="16"/>
          <w:szCs w:val="16"/>
          <w:lang w:val="pt-BR"/>
        </w:rPr>
        <w:t>(Corte Constitucional. Sentencia C-671 de 2015. M.P. Alberto Rojas Ríos).</w:t>
      </w:r>
    </w:p>
  </w:footnote>
  <w:footnote w:id="15">
    <w:p w14:paraId="4AE2399F" w14:textId="77777777" w:rsidR="00A279FC" w:rsidRPr="005E1E7C" w:rsidRDefault="00A279FC" w:rsidP="00A279FC">
      <w:pPr>
        <w:pStyle w:val="Textonotapie"/>
        <w:ind w:firstLine="709"/>
        <w:rPr>
          <w:rFonts w:ascii="Verdana" w:hAnsi="Verdana"/>
          <w:sz w:val="16"/>
          <w:szCs w:val="16"/>
          <w:lang w:val="es-CO"/>
        </w:rPr>
      </w:pPr>
      <w:r w:rsidRPr="005E1E7C">
        <w:rPr>
          <w:rStyle w:val="Refdenotaalpie"/>
          <w:rFonts w:ascii="Verdana" w:hAnsi="Verdana"/>
          <w:sz w:val="16"/>
          <w:szCs w:val="16"/>
        </w:rPr>
        <w:footnoteRef/>
      </w:r>
      <w:r w:rsidRPr="005E1E7C">
        <w:rPr>
          <w:rFonts w:ascii="Verdana" w:hAnsi="Verdana"/>
          <w:sz w:val="16"/>
          <w:szCs w:val="16"/>
          <w:lang w:val="es-CO"/>
        </w:rPr>
        <w:t xml:space="preserve"> </w:t>
      </w:r>
      <w:r w:rsidRPr="005E1E7C">
        <w:rPr>
          <w:rFonts w:ascii="Verdana" w:hAnsi="Verdana" w:cs="Arial"/>
          <w:sz w:val="16"/>
          <w:szCs w:val="16"/>
          <w:lang w:val="es-CO"/>
        </w:rPr>
        <w:t xml:space="preserve">Consejo de Estado, Sección Tercera. Auto del 4 de octubre de 2024. </w:t>
      </w:r>
      <w:proofErr w:type="spellStart"/>
      <w:r w:rsidRPr="005E1E7C">
        <w:rPr>
          <w:rFonts w:ascii="Verdana" w:hAnsi="Verdana" w:cs="Arial"/>
          <w:sz w:val="16"/>
          <w:szCs w:val="16"/>
          <w:lang w:val="es-CO"/>
        </w:rPr>
        <w:t>Exp</w:t>
      </w:r>
      <w:proofErr w:type="spellEnd"/>
      <w:r w:rsidRPr="005E1E7C">
        <w:rPr>
          <w:rFonts w:ascii="Verdana" w:hAnsi="Verdana" w:cs="Arial"/>
          <w:sz w:val="16"/>
          <w:szCs w:val="16"/>
          <w:lang w:val="es-CO"/>
        </w:rPr>
        <w:t>. 70.313. C.P: Fredy Ibarra Martínez</w:t>
      </w:r>
    </w:p>
  </w:footnote>
  <w:footnote w:id="16">
    <w:p w14:paraId="63C96885" w14:textId="77777777" w:rsidR="00A279FC" w:rsidRPr="005E1E7C" w:rsidRDefault="00A279FC" w:rsidP="00A279FC">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Concepto del 15 de noviembre de 2007. Expediente número 1863. Consejero Ponente: Luis Fernando Álvarez Jaramillo.</w:t>
      </w:r>
    </w:p>
  </w:footnote>
  <w:footnote w:id="17">
    <w:p w14:paraId="40BB9567" w14:textId="77777777" w:rsidR="00A279FC" w:rsidRPr="005E1E7C" w:rsidRDefault="00A279FC" w:rsidP="00A279FC">
      <w:pPr>
        <w:pStyle w:val="Textonotapie"/>
        <w:ind w:right="51"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w:t>
      </w:r>
      <w:r w:rsidRPr="005E1E7C">
        <w:rPr>
          <w:rFonts w:ascii="Verdana" w:hAnsi="Verdana" w:cs="Arial"/>
          <w:sz w:val="16"/>
          <w:szCs w:val="16"/>
          <w:lang w:val="es-ES"/>
        </w:rPr>
        <w:t xml:space="preserve">[25] </w:t>
      </w:r>
      <w:r w:rsidRPr="005E1E7C">
        <w:rPr>
          <w:rFonts w:ascii="Verdana" w:hAnsi="Verdana" w:cs="Arial"/>
          <w:sz w:val="16"/>
          <w:szCs w:val="16"/>
        </w:rPr>
        <w:t>Cfr. Consejo de Estado. Sección Tercera. Sentencia de 3 de diciembre de 2007. Radicados: 24.715, 25.206, 25.409, 24.524, 27.834, 25.410, 26.105, 28.244, 31.447 -acumulados</w:t>
      </w:r>
      <w:proofErr w:type="gramStart"/>
      <w:r w:rsidRPr="005E1E7C">
        <w:rPr>
          <w:rFonts w:ascii="Verdana" w:hAnsi="Verdana" w:cs="Arial"/>
          <w:sz w:val="16"/>
          <w:szCs w:val="16"/>
        </w:rPr>
        <w:t>-“</w:t>
      </w:r>
      <w:proofErr w:type="gramEnd"/>
      <w:r w:rsidRPr="005E1E7C">
        <w:rPr>
          <w:rFonts w:ascii="Verdana" w:hAnsi="Verdana" w:cs="Arial"/>
          <w:sz w:val="16"/>
          <w:szCs w:val="16"/>
        </w:rPr>
        <w:t>.</w:t>
      </w:r>
    </w:p>
  </w:footnote>
  <w:footnote w:id="18">
    <w:p w14:paraId="775F5726" w14:textId="77777777" w:rsidR="00A279FC" w:rsidRPr="005E1E7C" w:rsidRDefault="00A279FC" w:rsidP="00A279FC">
      <w:pPr>
        <w:pStyle w:val="Textonotapie"/>
        <w:ind w:right="51"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w:t>
      </w:r>
      <w:r w:rsidRPr="005E1E7C">
        <w:rPr>
          <w:rFonts w:ascii="Verdana" w:hAnsi="Verdana" w:cs="Arial"/>
          <w:sz w:val="16"/>
          <w:szCs w:val="16"/>
          <w:lang w:val="es-ES"/>
        </w:rPr>
        <w:t xml:space="preserve">[26] </w:t>
      </w:r>
      <w:r w:rsidRPr="005E1E7C">
        <w:rPr>
          <w:rFonts w:ascii="Verdana" w:hAnsi="Verdana" w:cs="Arial"/>
          <w:sz w:val="16"/>
          <w:szCs w:val="16"/>
        </w:rPr>
        <w:t>Al respecto ver el concepto 1712 de 2 de febrero de 2006. Consejo de Estado Sala de Consulta y Servicio Civil”.</w:t>
      </w:r>
    </w:p>
    <w:p w14:paraId="1F9F38A1" w14:textId="77777777" w:rsidR="00A279FC" w:rsidRPr="005E1E7C" w:rsidRDefault="00A279FC" w:rsidP="00A279FC">
      <w:pPr>
        <w:pStyle w:val="Textonotapie"/>
        <w:ind w:right="51" w:firstLine="709"/>
        <w:jc w:val="both"/>
        <w:rPr>
          <w:rFonts w:ascii="Verdana" w:hAnsi="Verdana" w:cs="Arial"/>
          <w:sz w:val="16"/>
          <w:szCs w:val="16"/>
        </w:rPr>
      </w:pPr>
    </w:p>
  </w:footnote>
  <w:footnote w:id="19">
    <w:p w14:paraId="3A4C3AA7" w14:textId="77777777" w:rsidR="00A279FC" w:rsidRPr="005E1E7C" w:rsidRDefault="00A279FC" w:rsidP="00A279FC">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Concepto del 2 de septiembre de 2013. Radicación número: 11001-03-06-000-2013-00412-00 (2168). Consejero Ponente: Álvaro </w:t>
      </w:r>
      <w:proofErr w:type="spellStart"/>
      <w:r w:rsidRPr="005E1E7C">
        <w:rPr>
          <w:rFonts w:ascii="Verdana" w:hAnsi="Verdana" w:cs="Arial"/>
          <w:sz w:val="16"/>
          <w:szCs w:val="16"/>
        </w:rPr>
        <w:t>Namén</w:t>
      </w:r>
      <w:proofErr w:type="spellEnd"/>
      <w:r w:rsidRPr="005E1E7C">
        <w:rPr>
          <w:rFonts w:ascii="Verdana" w:hAnsi="Verdana" w:cs="Arial"/>
          <w:sz w:val="16"/>
          <w:szCs w:val="16"/>
        </w:rPr>
        <w:t xml:space="preserve"> Vargas.</w:t>
      </w:r>
    </w:p>
    <w:p w14:paraId="1972DB0F" w14:textId="77777777" w:rsidR="00A279FC" w:rsidRPr="005E1E7C" w:rsidRDefault="00A279FC" w:rsidP="00A279FC">
      <w:pPr>
        <w:pStyle w:val="Textonotapie"/>
        <w:ind w:firstLine="709"/>
        <w:jc w:val="both"/>
        <w:rPr>
          <w:rFonts w:ascii="Verdana" w:hAnsi="Verdana" w:cs="Arial"/>
          <w:sz w:val="16"/>
          <w:szCs w:val="16"/>
        </w:rPr>
      </w:pPr>
    </w:p>
  </w:footnote>
  <w:footnote w:id="20">
    <w:p w14:paraId="664A7F60" w14:textId="77777777" w:rsidR="00A279FC" w:rsidRPr="005E1E7C" w:rsidRDefault="00A279FC" w:rsidP="00A279FC">
      <w:pPr>
        <w:pStyle w:val="Textonotapie"/>
        <w:ind w:firstLine="709"/>
        <w:jc w:val="both"/>
        <w:rPr>
          <w:rFonts w:ascii="Verdana" w:hAnsi="Verdana" w:cs="Arial"/>
          <w:sz w:val="16"/>
          <w:szCs w:val="16"/>
          <w:lang w:val="es-ES"/>
        </w:rPr>
      </w:pPr>
      <w:r w:rsidRPr="005E1E7C">
        <w:rPr>
          <w:rStyle w:val="Refdenotaalpie"/>
          <w:rFonts w:ascii="Verdana" w:hAnsi="Verdana" w:cs="Arial"/>
          <w:sz w:val="16"/>
          <w:szCs w:val="16"/>
        </w:rPr>
        <w:footnoteRef/>
      </w:r>
      <w:r w:rsidRPr="005E1E7C">
        <w:rPr>
          <w:rFonts w:ascii="Verdana" w:hAnsi="Verdana" w:cs="Arial"/>
          <w:sz w:val="16"/>
          <w:szCs w:val="16"/>
        </w:rPr>
        <w:t xml:space="preserve"> </w:t>
      </w:r>
      <w:r w:rsidRPr="005E1E7C">
        <w:rPr>
          <w:rFonts w:ascii="Verdana" w:hAnsi="Verdana" w:cs="Arial"/>
          <w:sz w:val="16"/>
          <w:szCs w:val="16"/>
          <w:lang w:val="es-ES"/>
        </w:rPr>
        <w:t xml:space="preserve">Artículo 2. </w:t>
      </w:r>
    </w:p>
    <w:p w14:paraId="5305772A" w14:textId="77777777" w:rsidR="00A279FC" w:rsidRPr="005E1E7C" w:rsidRDefault="00A279FC" w:rsidP="00A279FC">
      <w:pPr>
        <w:pStyle w:val="Textonotapie"/>
        <w:ind w:firstLine="709"/>
        <w:jc w:val="both"/>
        <w:rPr>
          <w:rFonts w:ascii="Verdana" w:hAnsi="Verdana" w:cs="Arial"/>
          <w:sz w:val="16"/>
          <w:szCs w:val="16"/>
          <w:lang w:val="es-ES"/>
        </w:rPr>
      </w:pPr>
    </w:p>
  </w:footnote>
  <w:footnote w:id="21">
    <w:p w14:paraId="13B978AD" w14:textId="77777777" w:rsidR="00A279FC" w:rsidRPr="005E1E7C" w:rsidRDefault="00A279FC" w:rsidP="00A279FC">
      <w:pPr>
        <w:pStyle w:val="Textonotapie"/>
        <w:ind w:firstLine="709"/>
        <w:jc w:val="both"/>
        <w:rPr>
          <w:rFonts w:ascii="Verdana" w:hAnsi="Verdana" w:cs="Arial"/>
          <w:sz w:val="16"/>
          <w:szCs w:val="16"/>
          <w:lang w:val="es-ES"/>
        </w:rPr>
      </w:pPr>
      <w:r w:rsidRPr="005E1E7C">
        <w:rPr>
          <w:rStyle w:val="Refdenotaalpie"/>
          <w:rFonts w:ascii="Verdana" w:hAnsi="Verdana" w:cs="Arial"/>
          <w:sz w:val="16"/>
          <w:szCs w:val="16"/>
        </w:rPr>
        <w:footnoteRef/>
      </w:r>
      <w:r w:rsidRPr="005E1E7C">
        <w:rPr>
          <w:rFonts w:ascii="Verdana" w:hAnsi="Verdana" w:cs="Arial"/>
          <w:sz w:val="16"/>
          <w:szCs w:val="16"/>
        </w:rPr>
        <w:t xml:space="preserve"> </w:t>
      </w:r>
      <w:r w:rsidRPr="005E1E7C">
        <w:rPr>
          <w:rFonts w:ascii="Verdana" w:hAnsi="Verdana" w:cs="Arial"/>
          <w:i/>
          <w:sz w:val="16"/>
          <w:szCs w:val="16"/>
          <w:lang w:val="es-ES"/>
        </w:rPr>
        <w:t>Ídem</w:t>
      </w:r>
      <w:r w:rsidRPr="005E1E7C">
        <w:rPr>
          <w:rFonts w:ascii="Verdana" w:hAnsi="Verdana" w:cs="Arial"/>
          <w:sz w:val="16"/>
          <w:szCs w:val="16"/>
          <w:lang w:val="es-ES"/>
        </w:rPr>
        <w:t>.</w:t>
      </w:r>
    </w:p>
  </w:footnote>
  <w:footnote w:id="22">
    <w:p w14:paraId="4D574656" w14:textId="77777777" w:rsidR="00A279FC" w:rsidRPr="005E1E7C" w:rsidRDefault="00A279FC" w:rsidP="00A279FC">
      <w:pPr>
        <w:pStyle w:val="Textonotapie"/>
        <w:ind w:firstLine="709"/>
        <w:jc w:val="both"/>
        <w:rPr>
          <w:rFonts w:ascii="Verdana" w:hAnsi="Verdana" w:cs="Arial"/>
          <w:sz w:val="16"/>
          <w:szCs w:val="16"/>
          <w:lang w:val="es-ES"/>
        </w:rPr>
      </w:pPr>
      <w:r w:rsidRPr="005E1E7C">
        <w:rPr>
          <w:rStyle w:val="Refdenotaalpie"/>
          <w:rFonts w:ascii="Verdana" w:hAnsi="Verdana" w:cs="Arial"/>
          <w:sz w:val="16"/>
          <w:szCs w:val="16"/>
        </w:rPr>
        <w:footnoteRef/>
      </w:r>
      <w:r w:rsidRPr="005E1E7C">
        <w:rPr>
          <w:rStyle w:val="Refdenotaalpie"/>
          <w:rFonts w:ascii="Verdana" w:hAnsi="Verdana" w:cs="Arial"/>
          <w:sz w:val="16"/>
          <w:szCs w:val="16"/>
        </w:rPr>
        <w:t xml:space="preserve"> </w:t>
      </w:r>
      <w:r w:rsidRPr="005E1E7C">
        <w:rPr>
          <w:rFonts w:ascii="Verdana" w:hAnsi="Verdana" w:cs="Arial"/>
          <w:sz w:val="16"/>
          <w:szCs w:val="16"/>
          <w:lang w:val="es-ES"/>
        </w:rPr>
        <w:t xml:space="preserve">“[…] A este respecto, cabe recordar que el artículo 860 del Código de Comercio regula la licitación en el derecho privado”. </w:t>
      </w:r>
    </w:p>
    <w:p w14:paraId="283221A4" w14:textId="77777777" w:rsidR="00A279FC" w:rsidRPr="005E1E7C" w:rsidRDefault="00A279FC" w:rsidP="00A279FC">
      <w:pPr>
        <w:pStyle w:val="Textonotapie"/>
        <w:ind w:firstLine="709"/>
        <w:jc w:val="both"/>
        <w:rPr>
          <w:rFonts w:ascii="Verdana" w:hAnsi="Verdana" w:cs="Arial"/>
          <w:sz w:val="16"/>
          <w:szCs w:val="16"/>
          <w:lang w:val="es-ES"/>
        </w:rPr>
      </w:pPr>
    </w:p>
  </w:footnote>
  <w:footnote w:id="23">
    <w:p w14:paraId="26416699" w14:textId="77777777" w:rsidR="00A279FC" w:rsidRPr="005E1E7C" w:rsidRDefault="00A279FC" w:rsidP="00A279FC">
      <w:pPr>
        <w:shd w:val="clear" w:color="auto" w:fill="FFFFFF"/>
        <w:spacing w:after="0"/>
        <w:ind w:firstLine="709"/>
        <w:jc w:val="both"/>
        <w:rPr>
          <w:rFonts w:ascii="Verdana" w:hAnsi="Verdana" w:cs="Arial"/>
          <w:sz w:val="16"/>
          <w:szCs w:val="16"/>
          <w:lang w:val="es-ES"/>
        </w:rPr>
      </w:pPr>
      <w:r w:rsidRPr="005E1E7C">
        <w:rPr>
          <w:rStyle w:val="Refdenotaalpie"/>
          <w:rFonts w:ascii="Verdana" w:hAnsi="Verdana" w:cs="Arial"/>
          <w:sz w:val="16"/>
          <w:szCs w:val="16"/>
        </w:rPr>
        <w:footnoteRef/>
      </w:r>
      <w:r w:rsidRPr="005E1E7C">
        <w:rPr>
          <w:rStyle w:val="Refdenotaalpie"/>
          <w:rFonts w:ascii="Verdana" w:hAnsi="Verdana" w:cs="Arial"/>
          <w:sz w:val="16"/>
          <w:szCs w:val="16"/>
        </w:rPr>
        <w:t xml:space="preserve"> </w:t>
      </w:r>
      <w:r w:rsidRPr="005E1E7C">
        <w:rPr>
          <w:rFonts w:ascii="Verdana" w:hAnsi="Verdana" w:cs="Arial"/>
          <w:sz w:val="16"/>
          <w:szCs w:val="16"/>
          <w:lang w:val="es-ES"/>
        </w:rPr>
        <w:t xml:space="preserve">Consejo de Estado. Sala de Consulta y Servicio Civil, Concepto de 8 de mayo de 2018. Radicación Número: 11001-03-06-000-2018-00095-00(2382). Consejero Ponente: Álvaro </w:t>
      </w:r>
      <w:proofErr w:type="spellStart"/>
      <w:r w:rsidRPr="005E1E7C">
        <w:rPr>
          <w:rFonts w:ascii="Verdana" w:hAnsi="Verdana" w:cs="Arial"/>
          <w:sz w:val="16"/>
          <w:szCs w:val="16"/>
          <w:lang w:val="es-ES"/>
        </w:rPr>
        <w:t>Namén</w:t>
      </w:r>
      <w:proofErr w:type="spellEnd"/>
      <w:r w:rsidRPr="005E1E7C">
        <w:rPr>
          <w:rFonts w:ascii="Verdana" w:hAnsi="Verdana" w:cs="Arial"/>
          <w:sz w:val="16"/>
          <w:szCs w:val="16"/>
          <w:lang w:val="es-ES"/>
        </w:rPr>
        <w:t xml:space="preserve"> Vargas.</w:t>
      </w:r>
    </w:p>
  </w:footnote>
  <w:footnote w:id="24">
    <w:p w14:paraId="3609C324" w14:textId="77777777" w:rsidR="00A279FC" w:rsidRPr="005E1E7C" w:rsidRDefault="00A279FC" w:rsidP="00A279FC">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Concepto del 08 de mayo de 2018. </w:t>
      </w:r>
      <w:proofErr w:type="spellStart"/>
      <w:r w:rsidRPr="005E1E7C">
        <w:rPr>
          <w:rFonts w:ascii="Verdana" w:hAnsi="Verdana" w:cs="Arial"/>
          <w:sz w:val="16"/>
          <w:szCs w:val="16"/>
        </w:rPr>
        <w:t>Exp</w:t>
      </w:r>
      <w:proofErr w:type="spellEnd"/>
      <w:r w:rsidRPr="005E1E7C">
        <w:rPr>
          <w:rFonts w:ascii="Verdana" w:hAnsi="Verdana" w:cs="Arial"/>
          <w:sz w:val="16"/>
          <w:szCs w:val="16"/>
        </w:rPr>
        <w:t xml:space="preserve">. 2.382. C.P. Álvaro </w:t>
      </w:r>
      <w:proofErr w:type="spellStart"/>
      <w:r w:rsidRPr="005E1E7C">
        <w:rPr>
          <w:rFonts w:ascii="Verdana" w:hAnsi="Verdana" w:cs="Arial"/>
          <w:sz w:val="16"/>
          <w:szCs w:val="16"/>
        </w:rPr>
        <w:t>Namén</w:t>
      </w:r>
      <w:proofErr w:type="spellEnd"/>
      <w:r w:rsidRPr="005E1E7C">
        <w:rPr>
          <w:rFonts w:ascii="Verdana" w:hAnsi="Verdana" w:cs="Arial"/>
          <w:sz w:val="16"/>
          <w:szCs w:val="16"/>
        </w:rPr>
        <w:t xml:space="preserve"> Vargas.</w:t>
      </w:r>
    </w:p>
  </w:footnote>
  <w:footnote w:id="25">
    <w:p w14:paraId="2F900177" w14:textId="77777777" w:rsidR="00A279FC" w:rsidRPr="005E1E7C" w:rsidRDefault="00A279FC" w:rsidP="00A279FC">
      <w:pPr>
        <w:pStyle w:val="Textonotapie"/>
        <w:ind w:firstLine="708"/>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4294ED59" w14:textId="77777777" w:rsidR="00A279FC" w:rsidRPr="005E1E7C" w:rsidRDefault="00A279FC" w:rsidP="00A279FC">
      <w:pPr>
        <w:pStyle w:val="Textonotapie"/>
        <w:ind w:firstLine="708"/>
        <w:jc w:val="both"/>
        <w:rPr>
          <w:rFonts w:ascii="Verdana" w:hAnsi="Verdana" w:cs="Arial"/>
          <w:sz w:val="16"/>
          <w:szCs w:val="16"/>
        </w:rPr>
      </w:pPr>
    </w:p>
  </w:footnote>
  <w:footnote w:id="26">
    <w:p w14:paraId="6662553C" w14:textId="77777777" w:rsidR="00A279FC" w:rsidRPr="005E1E7C" w:rsidRDefault="00A279FC" w:rsidP="00A279FC">
      <w:pPr>
        <w:pStyle w:val="Textonotapie"/>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5E1E7C">
        <w:rPr>
          <w:rFonts w:ascii="Verdana" w:hAnsi="Verdana" w:cs="Arial"/>
          <w:sz w:val="16"/>
          <w:szCs w:val="16"/>
        </w:rPr>
        <w:t>N°</w:t>
      </w:r>
      <w:proofErr w:type="spellEnd"/>
      <w:r w:rsidRPr="005E1E7C">
        <w:rPr>
          <w:rFonts w:ascii="Verdana" w:hAnsi="Verdana" w:cs="Arial"/>
          <w:sz w:val="16"/>
          <w:szCs w:val="16"/>
        </w:rPr>
        <w:t xml:space="preserve"> 216/05 Senado, </w:t>
      </w:r>
      <w:proofErr w:type="spellStart"/>
      <w:r w:rsidRPr="005E1E7C">
        <w:rPr>
          <w:rFonts w:ascii="Verdana" w:hAnsi="Verdana" w:cs="Arial"/>
          <w:sz w:val="16"/>
          <w:szCs w:val="16"/>
        </w:rPr>
        <w:t>N°</w:t>
      </w:r>
      <w:proofErr w:type="spellEnd"/>
      <w:r w:rsidRPr="005E1E7C">
        <w:rPr>
          <w:rFonts w:ascii="Verdana" w:hAnsi="Verdana" w:cs="Arial"/>
          <w:sz w:val="16"/>
          <w:szCs w:val="16"/>
        </w:rPr>
        <w:t xml:space="preserve"> 235-Cámara que dio lugar a la Ley de Garantías Electorales.</w:t>
      </w:r>
    </w:p>
    <w:p w14:paraId="656CB9D5" w14:textId="77777777" w:rsidR="00A279FC" w:rsidRPr="005E1E7C" w:rsidRDefault="00A279FC" w:rsidP="00A279FC">
      <w:pPr>
        <w:pStyle w:val="Textonotapie"/>
        <w:ind w:firstLine="709"/>
        <w:jc w:val="both"/>
        <w:rPr>
          <w:rFonts w:ascii="Verdana" w:hAnsi="Verdana" w:cs="Arial"/>
          <w:sz w:val="16"/>
          <w:szCs w:val="16"/>
        </w:rPr>
      </w:pPr>
    </w:p>
  </w:footnote>
  <w:footnote w:id="27">
    <w:p w14:paraId="172214D2" w14:textId="77777777" w:rsidR="00A279FC" w:rsidRPr="005E1E7C" w:rsidRDefault="00A279FC" w:rsidP="00A279FC">
      <w:pPr>
        <w:spacing w:after="0"/>
        <w:ind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8">
    <w:p w14:paraId="11857A1C" w14:textId="77777777" w:rsidR="00A279FC" w:rsidRPr="005E1E7C" w:rsidRDefault="00A279FC" w:rsidP="00A279FC">
      <w:pPr>
        <w:pStyle w:val="Textonotapie"/>
        <w:ind w:right="51" w:firstLine="709"/>
        <w:jc w:val="both"/>
        <w:rPr>
          <w:rFonts w:ascii="Verdana" w:eastAsia="Times New Roman" w:hAnsi="Verdana" w:cs="Arial"/>
          <w:bCs/>
          <w:sz w:val="16"/>
          <w:szCs w:val="16"/>
          <w:lang w:eastAsia="x-none"/>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Concepto de 6 de abril de 2006. Radicación Número: 11001-03-06-000-2006-00038-00 (1738). Consejero Ponente: Enrique José Arboleda Perdomo:</w:t>
      </w:r>
      <w:r w:rsidRPr="005E1E7C">
        <w:rPr>
          <w:rFonts w:ascii="Verdana" w:eastAsia="Times New Roman" w:hAnsi="Verdana" w:cs="Arial"/>
          <w:bCs/>
          <w:sz w:val="16"/>
          <w:szCs w:val="16"/>
          <w:lang w:eastAsia="x-none"/>
        </w:rPr>
        <w:t xml:space="preserve"> “</w:t>
      </w:r>
      <w:r w:rsidRPr="005E1E7C">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5E1E7C">
        <w:rPr>
          <w:rFonts w:ascii="Verdana" w:eastAsia="Times New Roman" w:hAnsi="Verdana" w:cs="Arial"/>
          <w:bCs/>
          <w:sz w:val="16"/>
          <w:szCs w:val="16"/>
          <w:lang w:eastAsia="x-none"/>
        </w:rPr>
        <w:t>”.</w:t>
      </w:r>
    </w:p>
    <w:p w14:paraId="48AA3207" w14:textId="77777777" w:rsidR="00A279FC" w:rsidRPr="005E1E7C" w:rsidRDefault="00A279FC" w:rsidP="00A279FC">
      <w:pPr>
        <w:pStyle w:val="Textonotapie"/>
        <w:ind w:right="51" w:firstLine="709"/>
        <w:jc w:val="both"/>
        <w:rPr>
          <w:rFonts w:ascii="Verdana" w:hAnsi="Verdana" w:cs="Arial"/>
          <w:sz w:val="16"/>
          <w:szCs w:val="16"/>
        </w:rPr>
      </w:pPr>
    </w:p>
  </w:footnote>
  <w:footnote w:id="29">
    <w:p w14:paraId="444E16AD" w14:textId="77777777" w:rsidR="00A279FC" w:rsidRPr="005E1E7C" w:rsidRDefault="00A279FC" w:rsidP="00A279FC">
      <w:pPr>
        <w:spacing w:after="0"/>
        <w:ind w:firstLine="708"/>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30">
    <w:p w14:paraId="02C8C66A" w14:textId="77777777" w:rsidR="00A279FC" w:rsidRPr="005E1E7C" w:rsidRDefault="00A279FC" w:rsidP="00A279FC">
      <w:pPr>
        <w:pStyle w:val="Textonotapie"/>
        <w:ind w:right="51" w:firstLine="709"/>
        <w:jc w:val="both"/>
        <w:rPr>
          <w:rFonts w:ascii="Verdana" w:hAnsi="Verdana"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Consejo de Estado. Sala de Consulta y Servicio Civil, ídem.</w:t>
      </w:r>
    </w:p>
  </w:footnote>
  <w:footnote w:id="31">
    <w:p w14:paraId="6B7082A2" w14:textId="77777777" w:rsidR="00A279FC" w:rsidRPr="003F2A9C" w:rsidRDefault="00A279FC" w:rsidP="00A279FC">
      <w:pPr>
        <w:pStyle w:val="Textonotapie"/>
        <w:ind w:firstLine="708"/>
        <w:jc w:val="both"/>
        <w:rPr>
          <w:rFonts w:ascii="Arial" w:hAnsi="Arial" w:cs="Arial"/>
          <w:sz w:val="16"/>
          <w:szCs w:val="16"/>
        </w:rPr>
      </w:pPr>
      <w:r w:rsidRPr="005E1E7C">
        <w:rPr>
          <w:rStyle w:val="Refdenotaalpie"/>
          <w:rFonts w:ascii="Verdana" w:hAnsi="Verdana" w:cs="Arial"/>
          <w:sz w:val="16"/>
          <w:szCs w:val="16"/>
        </w:rPr>
        <w:footnoteRef/>
      </w:r>
      <w:r w:rsidRPr="005E1E7C">
        <w:rPr>
          <w:rFonts w:ascii="Verdana" w:hAnsi="Verdana" w:cs="Arial"/>
          <w:sz w:val="16"/>
          <w:szCs w:val="16"/>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964123776">
    <w:abstractNumId w:val="13"/>
  </w:num>
  <w:num w:numId="2" w16cid:durableId="1009409273">
    <w:abstractNumId w:val="3"/>
  </w:num>
  <w:num w:numId="3" w16cid:durableId="1614092976">
    <w:abstractNumId w:val="11"/>
  </w:num>
  <w:num w:numId="4" w16cid:durableId="4238393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6514437">
    <w:abstractNumId w:val="3"/>
  </w:num>
  <w:num w:numId="6" w16cid:durableId="912424183">
    <w:abstractNumId w:val="26"/>
  </w:num>
  <w:num w:numId="7" w16cid:durableId="1371999958">
    <w:abstractNumId w:val="12"/>
  </w:num>
  <w:num w:numId="8" w16cid:durableId="1183855239">
    <w:abstractNumId w:val="25"/>
  </w:num>
  <w:num w:numId="9" w16cid:durableId="915357685">
    <w:abstractNumId w:val="14"/>
  </w:num>
  <w:num w:numId="10" w16cid:durableId="674456729">
    <w:abstractNumId w:val="24"/>
  </w:num>
  <w:num w:numId="11" w16cid:durableId="2114670356">
    <w:abstractNumId w:val="15"/>
  </w:num>
  <w:num w:numId="12" w16cid:durableId="168328649">
    <w:abstractNumId w:val="1"/>
  </w:num>
  <w:num w:numId="13" w16cid:durableId="1905094047">
    <w:abstractNumId w:val="8"/>
  </w:num>
  <w:num w:numId="14" w16cid:durableId="231620479">
    <w:abstractNumId w:val="27"/>
  </w:num>
  <w:num w:numId="15" w16cid:durableId="1468399948">
    <w:abstractNumId w:val="23"/>
  </w:num>
  <w:num w:numId="16" w16cid:durableId="14020938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2229644">
    <w:abstractNumId w:val="4"/>
  </w:num>
  <w:num w:numId="18" w16cid:durableId="1535582110">
    <w:abstractNumId w:val="22"/>
  </w:num>
  <w:num w:numId="19" w16cid:durableId="497422330">
    <w:abstractNumId w:val="10"/>
  </w:num>
  <w:num w:numId="20" w16cid:durableId="1029798757">
    <w:abstractNumId w:val="16"/>
  </w:num>
  <w:num w:numId="21" w16cid:durableId="1451046158">
    <w:abstractNumId w:val="28"/>
  </w:num>
  <w:num w:numId="22" w16cid:durableId="1801923842">
    <w:abstractNumId w:val="19"/>
  </w:num>
  <w:num w:numId="23" w16cid:durableId="1722945577">
    <w:abstractNumId w:val="7"/>
  </w:num>
  <w:num w:numId="24" w16cid:durableId="940724929">
    <w:abstractNumId w:val="17"/>
  </w:num>
  <w:num w:numId="25" w16cid:durableId="174468146">
    <w:abstractNumId w:val="2"/>
  </w:num>
  <w:num w:numId="26" w16cid:durableId="1341010790">
    <w:abstractNumId w:val="5"/>
  </w:num>
  <w:num w:numId="27" w16cid:durableId="264921107">
    <w:abstractNumId w:val="20"/>
  </w:num>
  <w:num w:numId="28" w16cid:durableId="343943424">
    <w:abstractNumId w:val="6"/>
  </w:num>
  <w:num w:numId="29" w16cid:durableId="677196378">
    <w:abstractNumId w:val="9"/>
  </w:num>
  <w:num w:numId="30" w16cid:durableId="792017128">
    <w:abstractNumId w:val="0"/>
  </w:num>
  <w:num w:numId="31" w16cid:durableId="224875120">
    <w:abstractNumId w:val="18"/>
  </w:num>
  <w:num w:numId="32" w16cid:durableId="17668751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16FFB"/>
    <w:rsid w:val="000224F2"/>
    <w:rsid w:val="00023C3E"/>
    <w:rsid w:val="0002653B"/>
    <w:rsid w:val="00034682"/>
    <w:rsid w:val="00035E21"/>
    <w:rsid w:val="00040B74"/>
    <w:rsid w:val="00042856"/>
    <w:rsid w:val="0004434A"/>
    <w:rsid w:val="00051410"/>
    <w:rsid w:val="0005281E"/>
    <w:rsid w:val="00055421"/>
    <w:rsid w:val="0005682C"/>
    <w:rsid w:val="00056D71"/>
    <w:rsid w:val="00057D91"/>
    <w:rsid w:val="00061B2A"/>
    <w:rsid w:val="00062BAF"/>
    <w:rsid w:val="000630B9"/>
    <w:rsid w:val="000643B2"/>
    <w:rsid w:val="00065E80"/>
    <w:rsid w:val="00066BB4"/>
    <w:rsid w:val="0007022C"/>
    <w:rsid w:val="00071DE6"/>
    <w:rsid w:val="000754B0"/>
    <w:rsid w:val="00077439"/>
    <w:rsid w:val="000774B8"/>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3001"/>
    <w:rsid w:val="000C2889"/>
    <w:rsid w:val="000C3673"/>
    <w:rsid w:val="000C538B"/>
    <w:rsid w:val="000D0152"/>
    <w:rsid w:val="000D0334"/>
    <w:rsid w:val="000D0B4D"/>
    <w:rsid w:val="000D3B29"/>
    <w:rsid w:val="000E06F4"/>
    <w:rsid w:val="000E1AC7"/>
    <w:rsid w:val="000E4CE4"/>
    <w:rsid w:val="000F46C6"/>
    <w:rsid w:val="000F6486"/>
    <w:rsid w:val="000F669F"/>
    <w:rsid w:val="001063B3"/>
    <w:rsid w:val="00107ACA"/>
    <w:rsid w:val="001114A9"/>
    <w:rsid w:val="00111979"/>
    <w:rsid w:val="0011546E"/>
    <w:rsid w:val="00116537"/>
    <w:rsid w:val="00116894"/>
    <w:rsid w:val="00120766"/>
    <w:rsid w:val="00122FA6"/>
    <w:rsid w:val="001240BD"/>
    <w:rsid w:val="00125105"/>
    <w:rsid w:val="001268F7"/>
    <w:rsid w:val="00127233"/>
    <w:rsid w:val="001276D9"/>
    <w:rsid w:val="001372FC"/>
    <w:rsid w:val="00143E81"/>
    <w:rsid w:val="00143FD9"/>
    <w:rsid w:val="00145047"/>
    <w:rsid w:val="00145441"/>
    <w:rsid w:val="00146C57"/>
    <w:rsid w:val="00150ADA"/>
    <w:rsid w:val="001569A8"/>
    <w:rsid w:val="00162D09"/>
    <w:rsid w:val="0016332F"/>
    <w:rsid w:val="0016642E"/>
    <w:rsid w:val="001717E9"/>
    <w:rsid w:val="0017238A"/>
    <w:rsid w:val="001800BA"/>
    <w:rsid w:val="00180A30"/>
    <w:rsid w:val="00185EE9"/>
    <w:rsid w:val="00187F79"/>
    <w:rsid w:val="00196F32"/>
    <w:rsid w:val="00197274"/>
    <w:rsid w:val="001A0B04"/>
    <w:rsid w:val="001A237A"/>
    <w:rsid w:val="001A26CF"/>
    <w:rsid w:val="001A2919"/>
    <w:rsid w:val="001B2CFE"/>
    <w:rsid w:val="001C222E"/>
    <w:rsid w:val="001C22F9"/>
    <w:rsid w:val="001D1C29"/>
    <w:rsid w:val="001D2CCC"/>
    <w:rsid w:val="001E3C06"/>
    <w:rsid w:val="001E4177"/>
    <w:rsid w:val="001F0A0F"/>
    <w:rsid w:val="001F218E"/>
    <w:rsid w:val="001F4EFD"/>
    <w:rsid w:val="001F5E13"/>
    <w:rsid w:val="001F6D11"/>
    <w:rsid w:val="001F7DC6"/>
    <w:rsid w:val="00200E48"/>
    <w:rsid w:val="00202886"/>
    <w:rsid w:val="00205784"/>
    <w:rsid w:val="00206CC8"/>
    <w:rsid w:val="00210946"/>
    <w:rsid w:val="00213510"/>
    <w:rsid w:val="0021372A"/>
    <w:rsid w:val="00214BF8"/>
    <w:rsid w:val="00215CEF"/>
    <w:rsid w:val="00217A08"/>
    <w:rsid w:val="00220B77"/>
    <w:rsid w:val="00221D27"/>
    <w:rsid w:val="00230EF3"/>
    <w:rsid w:val="00237233"/>
    <w:rsid w:val="002421BB"/>
    <w:rsid w:val="00245707"/>
    <w:rsid w:val="00246A81"/>
    <w:rsid w:val="00251A5F"/>
    <w:rsid w:val="00252B30"/>
    <w:rsid w:val="0025796E"/>
    <w:rsid w:val="002603E5"/>
    <w:rsid w:val="002638B2"/>
    <w:rsid w:val="002660F2"/>
    <w:rsid w:val="002664BB"/>
    <w:rsid w:val="002707A2"/>
    <w:rsid w:val="00273620"/>
    <w:rsid w:val="00277150"/>
    <w:rsid w:val="002826F0"/>
    <w:rsid w:val="002835A6"/>
    <w:rsid w:val="002844ED"/>
    <w:rsid w:val="00286FAD"/>
    <w:rsid w:val="002951A0"/>
    <w:rsid w:val="002962BC"/>
    <w:rsid w:val="00296D37"/>
    <w:rsid w:val="002A093D"/>
    <w:rsid w:val="002A0DD0"/>
    <w:rsid w:val="002A1D2F"/>
    <w:rsid w:val="002A49AC"/>
    <w:rsid w:val="002A64FD"/>
    <w:rsid w:val="002A6BBF"/>
    <w:rsid w:val="002B1E57"/>
    <w:rsid w:val="002B1F7F"/>
    <w:rsid w:val="002B290B"/>
    <w:rsid w:val="002B61F2"/>
    <w:rsid w:val="002B7AD9"/>
    <w:rsid w:val="002C110E"/>
    <w:rsid w:val="002C379A"/>
    <w:rsid w:val="002C765E"/>
    <w:rsid w:val="002C7A84"/>
    <w:rsid w:val="002D13A1"/>
    <w:rsid w:val="002D3F0D"/>
    <w:rsid w:val="002D7908"/>
    <w:rsid w:val="002E1D98"/>
    <w:rsid w:val="002E2C3F"/>
    <w:rsid w:val="002E4FD9"/>
    <w:rsid w:val="002E6F15"/>
    <w:rsid w:val="002F13FD"/>
    <w:rsid w:val="002F53FB"/>
    <w:rsid w:val="0030056F"/>
    <w:rsid w:val="00303544"/>
    <w:rsid w:val="00303985"/>
    <w:rsid w:val="003039C1"/>
    <w:rsid w:val="00310DBE"/>
    <w:rsid w:val="00310E5C"/>
    <w:rsid w:val="003119D8"/>
    <w:rsid w:val="0031430F"/>
    <w:rsid w:val="00320BBD"/>
    <w:rsid w:val="003226F7"/>
    <w:rsid w:val="00322A85"/>
    <w:rsid w:val="00324168"/>
    <w:rsid w:val="00325755"/>
    <w:rsid w:val="0033032A"/>
    <w:rsid w:val="00330C97"/>
    <w:rsid w:val="00334C6A"/>
    <w:rsid w:val="00336C05"/>
    <w:rsid w:val="003409C8"/>
    <w:rsid w:val="00342675"/>
    <w:rsid w:val="00343512"/>
    <w:rsid w:val="003448F4"/>
    <w:rsid w:val="00345330"/>
    <w:rsid w:val="00350480"/>
    <w:rsid w:val="003522B9"/>
    <w:rsid w:val="003528DF"/>
    <w:rsid w:val="00352C12"/>
    <w:rsid w:val="00354BCA"/>
    <w:rsid w:val="00354FEA"/>
    <w:rsid w:val="00362DEE"/>
    <w:rsid w:val="0036594E"/>
    <w:rsid w:val="003665EE"/>
    <w:rsid w:val="0037010E"/>
    <w:rsid w:val="003734F4"/>
    <w:rsid w:val="00374F5E"/>
    <w:rsid w:val="0037527B"/>
    <w:rsid w:val="00377E3E"/>
    <w:rsid w:val="003815B3"/>
    <w:rsid w:val="003815E8"/>
    <w:rsid w:val="00386D13"/>
    <w:rsid w:val="00391392"/>
    <w:rsid w:val="00392A49"/>
    <w:rsid w:val="00393812"/>
    <w:rsid w:val="00397FD5"/>
    <w:rsid w:val="003A26D1"/>
    <w:rsid w:val="003A3B30"/>
    <w:rsid w:val="003A40E2"/>
    <w:rsid w:val="003A477B"/>
    <w:rsid w:val="003A779E"/>
    <w:rsid w:val="003B005A"/>
    <w:rsid w:val="003B0636"/>
    <w:rsid w:val="003B6385"/>
    <w:rsid w:val="003B78C4"/>
    <w:rsid w:val="003C16F7"/>
    <w:rsid w:val="003C3FA5"/>
    <w:rsid w:val="003D0F4D"/>
    <w:rsid w:val="003D1B5E"/>
    <w:rsid w:val="003D36F8"/>
    <w:rsid w:val="003D5B0D"/>
    <w:rsid w:val="003E0499"/>
    <w:rsid w:val="003E40F2"/>
    <w:rsid w:val="003E7EAA"/>
    <w:rsid w:val="003F3941"/>
    <w:rsid w:val="00400676"/>
    <w:rsid w:val="004008A9"/>
    <w:rsid w:val="0040480E"/>
    <w:rsid w:val="00404C4F"/>
    <w:rsid w:val="00406575"/>
    <w:rsid w:val="004069AB"/>
    <w:rsid w:val="00410906"/>
    <w:rsid w:val="0041655A"/>
    <w:rsid w:val="004252BF"/>
    <w:rsid w:val="00426FD7"/>
    <w:rsid w:val="0042722E"/>
    <w:rsid w:val="00427DA0"/>
    <w:rsid w:val="00433FEF"/>
    <w:rsid w:val="00440391"/>
    <w:rsid w:val="004405A4"/>
    <w:rsid w:val="004426AD"/>
    <w:rsid w:val="00442C7F"/>
    <w:rsid w:val="0044528D"/>
    <w:rsid w:val="0044798F"/>
    <w:rsid w:val="00447D82"/>
    <w:rsid w:val="00450920"/>
    <w:rsid w:val="004530EA"/>
    <w:rsid w:val="00454D48"/>
    <w:rsid w:val="00454F08"/>
    <w:rsid w:val="004554F9"/>
    <w:rsid w:val="0046004D"/>
    <w:rsid w:val="00461A6A"/>
    <w:rsid w:val="004633DE"/>
    <w:rsid w:val="00465E71"/>
    <w:rsid w:val="00466040"/>
    <w:rsid w:val="00471654"/>
    <w:rsid w:val="004734BD"/>
    <w:rsid w:val="0047421A"/>
    <w:rsid w:val="00475854"/>
    <w:rsid w:val="00480BAF"/>
    <w:rsid w:val="00482608"/>
    <w:rsid w:val="00483749"/>
    <w:rsid w:val="00484809"/>
    <w:rsid w:val="00484BB1"/>
    <w:rsid w:val="00484FA3"/>
    <w:rsid w:val="004922F4"/>
    <w:rsid w:val="00493A76"/>
    <w:rsid w:val="004A0980"/>
    <w:rsid w:val="004A0B8B"/>
    <w:rsid w:val="004A1847"/>
    <w:rsid w:val="004A23CB"/>
    <w:rsid w:val="004A305D"/>
    <w:rsid w:val="004A3312"/>
    <w:rsid w:val="004A66E3"/>
    <w:rsid w:val="004B01B2"/>
    <w:rsid w:val="004B1CF0"/>
    <w:rsid w:val="004B740F"/>
    <w:rsid w:val="004C28C6"/>
    <w:rsid w:val="004C2E9A"/>
    <w:rsid w:val="004C4B37"/>
    <w:rsid w:val="004D026D"/>
    <w:rsid w:val="004D23A7"/>
    <w:rsid w:val="004E221E"/>
    <w:rsid w:val="004E2892"/>
    <w:rsid w:val="004E3963"/>
    <w:rsid w:val="004E4C0B"/>
    <w:rsid w:val="004E505B"/>
    <w:rsid w:val="004E7CE7"/>
    <w:rsid w:val="004F21C4"/>
    <w:rsid w:val="004F3012"/>
    <w:rsid w:val="004F3B9E"/>
    <w:rsid w:val="004F3EDE"/>
    <w:rsid w:val="004F5559"/>
    <w:rsid w:val="004F685F"/>
    <w:rsid w:val="004F7EC9"/>
    <w:rsid w:val="00504CBE"/>
    <w:rsid w:val="00505795"/>
    <w:rsid w:val="00514598"/>
    <w:rsid w:val="005163B5"/>
    <w:rsid w:val="0052543A"/>
    <w:rsid w:val="00525FDB"/>
    <w:rsid w:val="0052785C"/>
    <w:rsid w:val="00533E1B"/>
    <w:rsid w:val="00540C2D"/>
    <w:rsid w:val="0054335F"/>
    <w:rsid w:val="00552502"/>
    <w:rsid w:val="00554BD4"/>
    <w:rsid w:val="00556143"/>
    <w:rsid w:val="005566E8"/>
    <w:rsid w:val="00560CB5"/>
    <w:rsid w:val="00564F8B"/>
    <w:rsid w:val="0057193B"/>
    <w:rsid w:val="00574122"/>
    <w:rsid w:val="00574867"/>
    <w:rsid w:val="00577D09"/>
    <w:rsid w:val="0058087F"/>
    <w:rsid w:val="0058131F"/>
    <w:rsid w:val="00591460"/>
    <w:rsid w:val="00592628"/>
    <w:rsid w:val="00597C75"/>
    <w:rsid w:val="005A0868"/>
    <w:rsid w:val="005A0CFB"/>
    <w:rsid w:val="005A282F"/>
    <w:rsid w:val="005A2AC9"/>
    <w:rsid w:val="005A6C21"/>
    <w:rsid w:val="005B2CCE"/>
    <w:rsid w:val="005B58C1"/>
    <w:rsid w:val="005B6033"/>
    <w:rsid w:val="005C14F1"/>
    <w:rsid w:val="005C3777"/>
    <w:rsid w:val="005C5CDC"/>
    <w:rsid w:val="005D17C8"/>
    <w:rsid w:val="005D2B2B"/>
    <w:rsid w:val="005D476C"/>
    <w:rsid w:val="005D5F91"/>
    <w:rsid w:val="005D7B25"/>
    <w:rsid w:val="005E1E7C"/>
    <w:rsid w:val="005E6B74"/>
    <w:rsid w:val="005F3CE0"/>
    <w:rsid w:val="005F5A83"/>
    <w:rsid w:val="005F71CE"/>
    <w:rsid w:val="005F7C43"/>
    <w:rsid w:val="00601DFC"/>
    <w:rsid w:val="00605A00"/>
    <w:rsid w:val="006078CC"/>
    <w:rsid w:val="00610812"/>
    <w:rsid w:val="00612CE7"/>
    <w:rsid w:val="00613B77"/>
    <w:rsid w:val="00615F46"/>
    <w:rsid w:val="0062005D"/>
    <w:rsid w:val="006219F8"/>
    <w:rsid w:val="0063165E"/>
    <w:rsid w:val="00632C08"/>
    <w:rsid w:val="00650FF7"/>
    <w:rsid w:val="00656421"/>
    <w:rsid w:val="00660F6A"/>
    <w:rsid w:val="00663B19"/>
    <w:rsid w:val="00665032"/>
    <w:rsid w:val="00665D70"/>
    <w:rsid w:val="00667627"/>
    <w:rsid w:val="00671DAC"/>
    <w:rsid w:val="006747C7"/>
    <w:rsid w:val="006827AC"/>
    <w:rsid w:val="006859A3"/>
    <w:rsid w:val="006900D9"/>
    <w:rsid w:val="006920AE"/>
    <w:rsid w:val="00697B17"/>
    <w:rsid w:val="006A0008"/>
    <w:rsid w:val="006A10DF"/>
    <w:rsid w:val="006A3147"/>
    <w:rsid w:val="006B07AE"/>
    <w:rsid w:val="006B14B5"/>
    <w:rsid w:val="006B25DE"/>
    <w:rsid w:val="006B4CA3"/>
    <w:rsid w:val="006C0240"/>
    <w:rsid w:val="006C238E"/>
    <w:rsid w:val="006C5595"/>
    <w:rsid w:val="006D12F8"/>
    <w:rsid w:val="006D3E4C"/>
    <w:rsid w:val="006D4E33"/>
    <w:rsid w:val="006E41C6"/>
    <w:rsid w:val="006F0D40"/>
    <w:rsid w:val="006F2501"/>
    <w:rsid w:val="006F5D6B"/>
    <w:rsid w:val="00700975"/>
    <w:rsid w:val="007040CD"/>
    <w:rsid w:val="00704D9B"/>
    <w:rsid w:val="00705E5F"/>
    <w:rsid w:val="00706C16"/>
    <w:rsid w:val="00706F03"/>
    <w:rsid w:val="00711C85"/>
    <w:rsid w:val="00713695"/>
    <w:rsid w:val="0071458F"/>
    <w:rsid w:val="0071627C"/>
    <w:rsid w:val="007215D5"/>
    <w:rsid w:val="00723A7F"/>
    <w:rsid w:val="00723F2B"/>
    <w:rsid w:val="007312C3"/>
    <w:rsid w:val="00737C53"/>
    <w:rsid w:val="00737DFA"/>
    <w:rsid w:val="007534CA"/>
    <w:rsid w:val="00756841"/>
    <w:rsid w:val="0076066F"/>
    <w:rsid w:val="00762AA9"/>
    <w:rsid w:val="007649AB"/>
    <w:rsid w:val="007670E3"/>
    <w:rsid w:val="00771D0C"/>
    <w:rsid w:val="00771FD2"/>
    <w:rsid w:val="0078274D"/>
    <w:rsid w:val="00783102"/>
    <w:rsid w:val="007833AC"/>
    <w:rsid w:val="00783657"/>
    <w:rsid w:val="00784D58"/>
    <w:rsid w:val="00786FBF"/>
    <w:rsid w:val="00790AB7"/>
    <w:rsid w:val="007913EA"/>
    <w:rsid w:val="00791769"/>
    <w:rsid w:val="00796340"/>
    <w:rsid w:val="007A23EA"/>
    <w:rsid w:val="007A5189"/>
    <w:rsid w:val="007B0D88"/>
    <w:rsid w:val="007B268C"/>
    <w:rsid w:val="007B7171"/>
    <w:rsid w:val="007B7D02"/>
    <w:rsid w:val="007C0C0F"/>
    <w:rsid w:val="007C2E67"/>
    <w:rsid w:val="007C3DC2"/>
    <w:rsid w:val="007C4E2B"/>
    <w:rsid w:val="007D0457"/>
    <w:rsid w:val="007D124A"/>
    <w:rsid w:val="007D43C9"/>
    <w:rsid w:val="007D7CFD"/>
    <w:rsid w:val="007E5497"/>
    <w:rsid w:val="007F28CA"/>
    <w:rsid w:val="007F52A4"/>
    <w:rsid w:val="007F60FB"/>
    <w:rsid w:val="007F7B94"/>
    <w:rsid w:val="00800789"/>
    <w:rsid w:val="0080135E"/>
    <w:rsid w:val="00804981"/>
    <w:rsid w:val="00806F5F"/>
    <w:rsid w:val="00811270"/>
    <w:rsid w:val="00811E4F"/>
    <w:rsid w:val="008163D7"/>
    <w:rsid w:val="00820278"/>
    <w:rsid w:val="00834554"/>
    <w:rsid w:val="00834B31"/>
    <w:rsid w:val="00840ADC"/>
    <w:rsid w:val="00841A23"/>
    <w:rsid w:val="00843902"/>
    <w:rsid w:val="00843928"/>
    <w:rsid w:val="00843BF7"/>
    <w:rsid w:val="008449B3"/>
    <w:rsid w:val="00846276"/>
    <w:rsid w:val="00850E23"/>
    <w:rsid w:val="00851137"/>
    <w:rsid w:val="00853978"/>
    <w:rsid w:val="0085432F"/>
    <w:rsid w:val="00856C43"/>
    <w:rsid w:val="00864209"/>
    <w:rsid w:val="0087325B"/>
    <w:rsid w:val="0087455D"/>
    <w:rsid w:val="00877EBA"/>
    <w:rsid w:val="0088002A"/>
    <w:rsid w:val="00881ABA"/>
    <w:rsid w:val="008841E9"/>
    <w:rsid w:val="008843B6"/>
    <w:rsid w:val="008853C1"/>
    <w:rsid w:val="00886C02"/>
    <w:rsid w:val="00886C89"/>
    <w:rsid w:val="00887569"/>
    <w:rsid w:val="00891928"/>
    <w:rsid w:val="00894384"/>
    <w:rsid w:val="00894B8B"/>
    <w:rsid w:val="00895451"/>
    <w:rsid w:val="008961BA"/>
    <w:rsid w:val="00897C82"/>
    <w:rsid w:val="008A00A4"/>
    <w:rsid w:val="008A446D"/>
    <w:rsid w:val="008A7A64"/>
    <w:rsid w:val="008A7F08"/>
    <w:rsid w:val="008B2F0E"/>
    <w:rsid w:val="008B5A2E"/>
    <w:rsid w:val="008D180B"/>
    <w:rsid w:val="008D1BDB"/>
    <w:rsid w:val="008D6CDA"/>
    <w:rsid w:val="008D7227"/>
    <w:rsid w:val="008E1F92"/>
    <w:rsid w:val="008E7333"/>
    <w:rsid w:val="008E7B09"/>
    <w:rsid w:val="008F0EA7"/>
    <w:rsid w:val="008F1CA9"/>
    <w:rsid w:val="008F7BB9"/>
    <w:rsid w:val="00904692"/>
    <w:rsid w:val="00910097"/>
    <w:rsid w:val="00910AE7"/>
    <w:rsid w:val="00911C7C"/>
    <w:rsid w:val="0091561E"/>
    <w:rsid w:val="00920849"/>
    <w:rsid w:val="00922F57"/>
    <w:rsid w:val="00923EEF"/>
    <w:rsid w:val="009325CC"/>
    <w:rsid w:val="0093558D"/>
    <w:rsid w:val="009411F5"/>
    <w:rsid w:val="009419F9"/>
    <w:rsid w:val="00945B9F"/>
    <w:rsid w:val="00950BE2"/>
    <w:rsid w:val="00953AA4"/>
    <w:rsid w:val="00955305"/>
    <w:rsid w:val="0095685E"/>
    <w:rsid w:val="009572D9"/>
    <w:rsid w:val="009600D2"/>
    <w:rsid w:val="00961409"/>
    <w:rsid w:val="00961B09"/>
    <w:rsid w:val="00962300"/>
    <w:rsid w:val="00965334"/>
    <w:rsid w:val="0097093E"/>
    <w:rsid w:val="009725F1"/>
    <w:rsid w:val="00976025"/>
    <w:rsid w:val="00976F04"/>
    <w:rsid w:val="009800BE"/>
    <w:rsid w:val="00982E41"/>
    <w:rsid w:val="00983B79"/>
    <w:rsid w:val="00983EEA"/>
    <w:rsid w:val="00984649"/>
    <w:rsid w:val="009858BE"/>
    <w:rsid w:val="00997F1B"/>
    <w:rsid w:val="009A0DFA"/>
    <w:rsid w:val="009A3C2C"/>
    <w:rsid w:val="009A4A40"/>
    <w:rsid w:val="009B2D26"/>
    <w:rsid w:val="009B3595"/>
    <w:rsid w:val="009B5228"/>
    <w:rsid w:val="009B6C8C"/>
    <w:rsid w:val="009B77A5"/>
    <w:rsid w:val="009B780F"/>
    <w:rsid w:val="009C2DD0"/>
    <w:rsid w:val="009C3AC7"/>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19A9"/>
    <w:rsid w:val="00A02465"/>
    <w:rsid w:val="00A03415"/>
    <w:rsid w:val="00A04A81"/>
    <w:rsid w:val="00A122D3"/>
    <w:rsid w:val="00A1362A"/>
    <w:rsid w:val="00A14D3D"/>
    <w:rsid w:val="00A17F13"/>
    <w:rsid w:val="00A20739"/>
    <w:rsid w:val="00A211D0"/>
    <w:rsid w:val="00A23361"/>
    <w:rsid w:val="00A24433"/>
    <w:rsid w:val="00A2443A"/>
    <w:rsid w:val="00A25580"/>
    <w:rsid w:val="00A279FC"/>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7F7D"/>
    <w:rsid w:val="00A9244C"/>
    <w:rsid w:val="00A94D14"/>
    <w:rsid w:val="00A95106"/>
    <w:rsid w:val="00A95A1A"/>
    <w:rsid w:val="00AA1328"/>
    <w:rsid w:val="00AA23BB"/>
    <w:rsid w:val="00AB0ADB"/>
    <w:rsid w:val="00AB3FD1"/>
    <w:rsid w:val="00AC0DF9"/>
    <w:rsid w:val="00AC0EAB"/>
    <w:rsid w:val="00AC4701"/>
    <w:rsid w:val="00AC49A2"/>
    <w:rsid w:val="00AD73E2"/>
    <w:rsid w:val="00AE2631"/>
    <w:rsid w:val="00AE3D6C"/>
    <w:rsid w:val="00AF0CA5"/>
    <w:rsid w:val="00AF1BEC"/>
    <w:rsid w:val="00AF54CA"/>
    <w:rsid w:val="00B009B8"/>
    <w:rsid w:val="00B01B1A"/>
    <w:rsid w:val="00B0268A"/>
    <w:rsid w:val="00B0410F"/>
    <w:rsid w:val="00B07DDD"/>
    <w:rsid w:val="00B14E03"/>
    <w:rsid w:val="00B26B98"/>
    <w:rsid w:val="00B35201"/>
    <w:rsid w:val="00B35ADC"/>
    <w:rsid w:val="00B37C24"/>
    <w:rsid w:val="00B40FBC"/>
    <w:rsid w:val="00B427E2"/>
    <w:rsid w:val="00B46F27"/>
    <w:rsid w:val="00B47FD7"/>
    <w:rsid w:val="00B51F75"/>
    <w:rsid w:val="00B52169"/>
    <w:rsid w:val="00B53166"/>
    <w:rsid w:val="00B53E27"/>
    <w:rsid w:val="00B558AF"/>
    <w:rsid w:val="00B60AC4"/>
    <w:rsid w:val="00B615BA"/>
    <w:rsid w:val="00B62D8B"/>
    <w:rsid w:val="00B72CD3"/>
    <w:rsid w:val="00B72FFF"/>
    <w:rsid w:val="00B76CEB"/>
    <w:rsid w:val="00B80CC6"/>
    <w:rsid w:val="00B8257D"/>
    <w:rsid w:val="00B82B8B"/>
    <w:rsid w:val="00B86FE2"/>
    <w:rsid w:val="00B91186"/>
    <w:rsid w:val="00B93423"/>
    <w:rsid w:val="00B93E58"/>
    <w:rsid w:val="00B948E8"/>
    <w:rsid w:val="00BA0A22"/>
    <w:rsid w:val="00BA2EF4"/>
    <w:rsid w:val="00BA6BE0"/>
    <w:rsid w:val="00BB22DA"/>
    <w:rsid w:val="00BB2C9D"/>
    <w:rsid w:val="00BB76A0"/>
    <w:rsid w:val="00BC0036"/>
    <w:rsid w:val="00BC05A6"/>
    <w:rsid w:val="00BC3D36"/>
    <w:rsid w:val="00BC4B34"/>
    <w:rsid w:val="00BC7498"/>
    <w:rsid w:val="00BD424C"/>
    <w:rsid w:val="00BD4BCA"/>
    <w:rsid w:val="00BD7F72"/>
    <w:rsid w:val="00BE03BC"/>
    <w:rsid w:val="00BE0A18"/>
    <w:rsid w:val="00BE27D3"/>
    <w:rsid w:val="00BF0D99"/>
    <w:rsid w:val="00BF1201"/>
    <w:rsid w:val="00BF1D4A"/>
    <w:rsid w:val="00BF230F"/>
    <w:rsid w:val="00C002E3"/>
    <w:rsid w:val="00C012CC"/>
    <w:rsid w:val="00C04FB3"/>
    <w:rsid w:val="00C056DC"/>
    <w:rsid w:val="00C06C4F"/>
    <w:rsid w:val="00C147D0"/>
    <w:rsid w:val="00C159C1"/>
    <w:rsid w:val="00C16346"/>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7281"/>
    <w:rsid w:val="00C57E63"/>
    <w:rsid w:val="00C61B91"/>
    <w:rsid w:val="00C65D65"/>
    <w:rsid w:val="00C66D80"/>
    <w:rsid w:val="00C67703"/>
    <w:rsid w:val="00C7173F"/>
    <w:rsid w:val="00C730B6"/>
    <w:rsid w:val="00C7352F"/>
    <w:rsid w:val="00C7482D"/>
    <w:rsid w:val="00C754BE"/>
    <w:rsid w:val="00C76466"/>
    <w:rsid w:val="00C76B1C"/>
    <w:rsid w:val="00C82239"/>
    <w:rsid w:val="00C90209"/>
    <w:rsid w:val="00C915DD"/>
    <w:rsid w:val="00C91B94"/>
    <w:rsid w:val="00C92665"/>
    <w:rsid w:val="00CA4272"/>
    <w:rsid w:val="00CA6A9D"/>
    <w:rsid w:val="00CA7F6B"/>
    <w:rsid w:val="00CB6357"/>
    <w:rsid w:val="00CC0106"/>
    <w:rsid w:val="00CC0FA3"/>
    <w:rsid w:val="00CC1B26"/>
    <w:rsid w:val="00CC49F7"/>
    <w:rsid w:val="00CC54DB"/>
    <w:rsid w:val="00CC7787"/>
    <w:rsid w:val="00CD087D"/>
    <w:rsid w:val="00CD41CB"/>
    <w:rsid w:val="00CD5EE0"/>
    <w:rsid w:val="00CD75D6"/>
    <w:rsid w:val="00CE02A2"/>
    <w:rsid w:val="00CE3273"/>
    <w:rsid w:val="00CE4125"/>
    <w:rsid w:val="00CE509A"/>
    <w:rsid w:val="00CE5414"/>
    <w:rsid w:val="00CF241F"/>
    <w:rsid w:val="00CF7826"/>
    <w:rsid w:val="00D0157A"/>
    <w:rsid w:val="00D02088"/>
    <w:rsid w:val="00D036D8"/>
    <w:rsid w:val="00D038ED"/>
    <w:rsid w:val="00D05617"/>
    <w:rsid w:val="00D06D26"/>
    <w:rsid w:val="00D10B75"/>
    <w:rsid w:val="00D13351"/>
    <w:rsid w:val="00D15E25"/>
    <w:rsid w:val="00D20368"/>
    <w:rsid w:val="00D22361"/>
    <w:rsid w:val="00D22598"/>
    <w:rsid w:val="00D26924"/>
    <w:rsid w:val="00D35468"/>
    <w:rsid w:val="00D413F6"/>
    <w:rsid w:val="00D4231B"/>
    <w:rsid w:val="00D423A2"/>
    <w:rsid w:val="00D4461E"/>
    <w:rsid w:val="00D45E4A"/>
    <w:rsid w:val="00D520D8"/>
    <w:rsid w:val="00D52961"/>
    <w:rsid w:val="00D55048"/>
    <w:rsid w:val="00D56C6D"/>
    <w:rsid w:val="00D57FA4"/>
    <w:rsid w:val="00D62DE7"/>
    <w:rsid w:val="00D63AC2"/>
    <w:rsid w:val="00D63E03"/>
    <w:rsid w:val="00D665B4"/>
    <w:rsid w:val="00D7080D"/>
    <w:rsid w:val="00D7383B"/>
    <w:rsid w:val="00D7609E"/>
    <w:rsid w:val="00D81A63"/>
    <w:rsid w:val="00D81D25"/>
    <w:rsid w:val="00D85C60"/>
    <w:rsid w:val="00D86C54"/>
    <w:rsid w:val="00D91F8B"/>
    <w:rsid w:val="00D94C40"/>
    <w:rsid w:val="00DA231B"/>
    <w:rsid w:val="00DA23A0"/>
    <w:rsid w:val="00DA7D04"/>
    <w:rsid w:val="00DA7F66"/>
    <w:rsid w:val="00DB186F"/>
    <w:rsid w:val="00DB77B8"/>
    <w:rsid w:val="00DC39FC"/>
    <w:rsid w:val="00DC4385"/>
    <w:rsid w:val="00DC484F"/>
    <w:rsid w:val="00DC4C27"/>
    <w:rsid w:val="00DC51BC"/>
    <w:rsid w:val="00DC78A7"/>
    <w:rsid w:val="00DC793F"/>
    <w:rsid w:val="00DE3BDD"/>
    <w:rsid w:val="00DE4629"/>
    <w:rsid w:val="00DE58C9"/>
    <w:rsid w:val="00DE6EAA"/>
    <w:rsid w:val="00DF11FD"/>
    <w:rsid w:val="00DF5254"/>
    <w:rsid w:val="00E04BFF"/>
    <w:rsid w:val="00E052F2"/>
    <w:rsid w:val="00E11866"/>
    <w:rsid w:val="00E12426"/>
    <w:rsid w:val="00E14EB2"/>
    <w:rsid w:val="00E16408"/>
    <w:rsid w:val="00E20894"/>
    <w:rsid w:val="00E2397D"/>
    <w:rsid w:val="00E23B70"/>
    <w:rsid w:val="00E245AB"/>
    <w:rsid w:val="00E2531F"/>
    <w:rsid w:val="00E26239"/>
    <w:rsid w:val="00E2764C"/>
    <w:rsid w:val="00E27F2E"/>
    <w:rsid w:val="00E35539"/>
    <w:rsid w:val="00E413EA"/>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5D9B"/>
    <w:rsid w:val="00EB7E00"/>
    <w:rsid w:val="00EC1A2C"/>
    <w:rsid w:val="00EC1FE1"/>
    <w:rsid w:val="00EC38A7"/>
    <w:rsid w:val="00ED042A"/>
    <w:rsid w:val="00ED0D4A"/>
    <w:rsid w:val="00EE1AA8"/>
    <w:rsid w:val="00EE6DCD"/>
    <w:rsid w:val="00EF26C3"/>
    <w:rsid w:val="00EF419E"/>
    <w:rsid w:val="00EF489F"/>
    <w:rsid w:val="00F00796"/>
    <w:rsid w:val="00F11213"/>
    <w:rsid w:val="00F11753"/>
    <w:rsid w:val="00F11BAA"/>
    <w:rsid w:val="00F177C1"/>
    <w:rsid w:val="00F17EB6"/>
    <w:rsid w:val="00F238F2"/>
    <w:rsid w:val="00F248A2"/>
    <w:rsid w:val="00F260AA"/>
    <w:rsid w:val="00F27B26"/>
    <w:rsid w:val="00F30B1C"/>
    <w:rsid w:val="00F31EDC"/>
    <w:rsid w:val="00F34D02"/>
    <w:rsid w:val="00F34E84"/>
    <w:rsid w:val="00F40890"/>
    <w:rsid w:val="00F40BAD"/>
    <w:rsid w:val="00F462B3"/>
    <w:rsid w:val="00F50DC9"/>
    <w:rsid w:val="00F5184B"/>
    <w:rsid w:val="00F5491E"/>
    <w:rsid w:val="00F55081"/>
    <w:rsid w:val="00F55168"/>
    <w:rsid w:val="00F5664F"/>
    <w:rsid w:val="00F61ABB"/>
    <w:rsid w:val="00F626C4"/>
    <w:rsid w:val="00F64D9E"/>
    <w:rsid w:val="00F664EC"/>
    <w:rsid w:val="00F666C4"/>
    <w:rsid w:val="00F7684C"/>
    <w:rsid w:val="00F76AFC"/>
    <w:rsid w:val="00F80CBE"/>
    <w:rsid w:val="00F85198"/>
    <w:rsid w:val="00F85237"/>
    <w:rsid w:val="00F939CB"/>
    <w:rsid w:val="00F9479C"/>
    <w:rsid w:val="00F965EE"/>
    <w:rsid w:val="00F97949"/>
    <w:rsid w:val="00FA1110"/>
    <w:rsid w:val="00FA1361"/>
    <w:rsid w:val="00FA34EC"/>
    <w:rsid w:val="00FA358D"/>
    <w:rsid w:val="00FA47C0"/>
    <w:rsid w:val="00FA5F1F"/>
    <w:rsid w:val="00FB4425"/>
    <w:rsid w:val="00FB5615"/>
    <w:rsid w:val="00FB5DD1"/>
    <w:rsid w:val="00FB5F87"/>
    <w:rsid w:val="00FC07B5"/>
    <w:rsid w:val="00FC2B5D"/>
    <w:rsid w:val="00FD00BB"/>
    <w:rsid w:val="00FD00E9"/>
    <w:rsid w:val="00FD03E3"/>
    <w:rsid w:val="00FD108E"/>
    <w:rsid w:val="00FD5276"/>
    <w:rsid w:val="00FD653F"/>
    <w:rsid w:val="00FE122A"/>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9F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6F5D6B"/>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7999954-6B12-4FD9-9ECA-CBA17950E281}">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29</Pages>
  <Words>10506</Words>
  <Characters>57786</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2025-02-25T15:45:00Z</cp:lastPrinted>
  <dcterms:created xsi:type="dcterms:W3CDTF">2025-07-14T23:48:00Z</dcterms:created>
  <dcterms:modified xsi:type="dcterms:W3CDTF">2025-07-14T23:48:00Z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