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15CA50" w14:textId="77777777" w:rsidR="00904CD9" w:rsidRPr="00BB0056" w:rsidRDefault="00904CD9" w:rsidP="00904CD9">
      <w:pPr>
        <w:spacing w:line="276" w:lineRule="auto"/>
        <w:jc w:val="right"/>
        <w:rPr>
          <w:rFonts w:ascii="Arial" w:eastAsia="Calibri" w:hAnsi="Arial" w:cs="Arial"/>
          <w:b/>
          <w:bCs/>
          <w:sz w:val="22"/>
          <w:lang w:val="es-CO"/>
        </w:rPr>
      </w:pPr>
      <w:bookmarkStart w:id="0" w:name="_Hlk29890381"/>
      <w:bookmarkEnd w:id="0"/>
      <w:r w:rsidRPr="00BB0056">
        <w:rPr>
          <w:rFonts w:ascii="Arial" w:eastAsia="Times New Roman" w:hAnsi="Arial" w:cs="Arial"/>
          <w:b/>
          <w:bCs/>
          <w:sz w:val="16"/>
          <w:szCs w:val="16"/>
          <w:lang w:val="es-CO" w:eastAsia="es-ES"/>
        </w:rPr>
        <w:t>CCE-DES-FM-17</w:t>
      </w:r>
    </w:p>
    <w:p w14:paraId="73A0D0F5" w14:textId="77777777" w:rsidR="00D9457C" w:rsidRDefault="00D9457C" w:rsidP="00D9457C">
      <w:pPr>
        <w:jc w:val="both"/>
        <w:rPr>
          <w:rFonts w:ascii="Arial" w:eastAsia="Calibri" w:hAnsi="Arial" w:cs="Arial"/>
          <w:b/>
          <w:sz w:val="22"/>
        </w:rPr>
      </w:pPr>
    </w:p>
    <w:p w14:paraId="7B7D46FA" w14:textId="77777777" w:rsidR="00D9457C" w:rsidRDefault="00D9457C" w:rsidP="00D9457C">
      <w:pPr>
        <w:jc w:val="both"/>
        <w:rPr>
          <w:rFonts w:ascii="Arial" w:eastAsia="Calibri" w:hAnsi="Arial" w:cs="Arial"/>
          <w:b/>
          <w:sz w:val="22"/>
        </w:rPr>
      </w:pPr>
      <w:r>
        <w:rPr>
          <w:rFonts w:ascii="Arial" w:eastAsia="Calibri" w:hAnsi="Arial" w:cs="Arial"/>
          <w:b/>
          <w:sz w:val="22"/>
        </w:rPr>
        <w:t>PLAZO DEL CONTRATO ‒ Exigibilidad de las obligaciones – Extinción de los derechos – Diferencias</w:t>
      </w:r>
    </w:p>
    <w:p w14:paraId="1018EE51" w14:textId="77777777" w:rsidR="00D9457C" w:rsidRPr="00C43C0D" w:rsidRDefault="00D9457C" w:rsidP="00D9457C">
      <w:pPr>
        <w:jc w:val="both"/>
        <w:rPr>
          <w:rFonts w:ascii="Arial" w:eastAsia="Calibri" w:hAnsi="Arial" w:cs="Arial"/>
          <w:bCs/>
          <w:sz w:val="22"/>
        </w:rPr>
      </w:pPr>
    </w:p>
    <w:p w14:paraId="277B58E4" w14:textId="77777777" w:rsidR="00D9457C" w:rsidRDefault="00D9457C" w:rsidP="00D9457C">
      <w:pPr>
        <w:spacing w:after="120"/>
        <w:jc w:val="both"/>
        <w:rPr>
          <w:rFonts w:ascii="Arial" w:eastAsia="Calibri" w:hAnsi="Arial" w:cs="Arial"/>
          <w:bCs/>
          <w:sz w:val="20"/>
          <w:szCs w:val="20"/>
        </w:rPr>
      </w:pPr>
      <w:r>
        <w:rPr>
          <w:rFonts w:ascii="Arial" w:eastAsia="Calibri" w:hAnsi="Arial" w:cs="Arial"/>
          <w:bCs/>
          <w:sz w:val="20"/>
          <w:szCs w:val="20"/>
        </w:rPr>
        <w:t xml:space="preserve">[…] </w:t>
      </w:r>
      <w:r w:rsidRPr="00D33246">
        <w:rPr>
          <w:rFonts w:ascii="Arial" w:eastAsia="Calibri" w:hAnsi="Arial" w:cs="Arial"/>
          <w:bCs/>
          <w:sz w:val="20"/>
          <w:szCs w:val="20"/>
        </w:rPr>
        <w:t xml:space="preserve">el plazo es una de las modalidades por la cual las obligaciones dejan de ser puras y simples. De hecho, la regla general es que el nacimiento del derecho sea concomitante con su exigibilidad, lo que repercute en el cumplimiento inmediato de la prestación debida. Sin embargo, con las cláusulas relativas al plazo, las partes </w:t>
      </w:r>
      <w:r>
        <w:rPr>
          <w:rFonts w:ascii="Arial" w:eastAsia="Calibri" w:hAnsi="Arial" w:cs="Arial"/>
          <w:bCs/>
          <w:sz w:val="20"/>
          <w:szCs w:val="20"/>
        </w:rPr>
        <w:t>modulan</w:t>
      </w:r>
      <w:r w:rsidRPr="00D33246">
        <w:rPr>
          <w:rFonts w:ascii="Arial" w:eastAsia="Calibri" w:hAnsi="Arial" w:cs="Arial"/>
          <w:bCs/>
          <w:sz w:val="20"/>
          <w:szCs w:val="20"/>
        </w:rPr>
        <w:t xml:space="preserve"> cualquiera de estos dos (2) elementos, haciendo que las obligaciones sean exigibles o que lo derechos se extingan con el vencimiento de un periodo determinado en el contrato.    </w:t>
      </w:r>
    </w:p>
    <w:p w14:paraId="420DF6E6" w14:textId="77777777" w:rsidR="00D9457C" w:rsidRDefault="00D9457C" w:rsidP="00D9457C">
      <w:pPr>
        <w:jc w:val="both"/>
        <w:rPr>
          <w:rFonts w:ascii="Arial" w:eastAsia="Calibri" w:hAnsi="Arial" w:cs="Arial"/>
          <w:bCs/>
          <w:sz w:val="20"/>
          <w:szCs w:val="20"/>
        </w:rPr>
      </w:pPr>
      <w:r w:rsidRPr="00D33246">
        <w:rPr>
          <w:rFonts w:ascii="Arial" w:eastAsia="Calibri" w:hAnsi="Arial" w:cs="Arial"/>
          <w:bCs/>
          <w:sz w:val="20"/>
          <w:szCs w:val="20"/>
        </w:rPr>
        <w:t>Esta precisión es relevante para el tema objeto de consulta, pues es necesario tener en cuenta la diferencia entre los efectos de los plazos suspensivos y resolutorios. Los primeros tienen por objeto suspender la exigibilidad de las obligaciones, por lo que una vez vencido pasan a ser puras y simples de forma tal que el acreedor puede reclamar el cumplimiento inmediato de las prestaciones. En esta medida, «Cuando hay plazo suspensivo pendiente, el derecho respectivo ya ha nacido, tiene existencia real y útil. Lo que falta es solo la llegada del instante en que ese derecho puede ejercitarse, y consecuentemente, obligar al deudor». En contraste, los segundos tiene por efecto extinguir los derechos y las obligaciones nacidas del contrato, por lo que estando pendiente el vencimiento, la exigibilidad de las prestaciones es inmediata y el acreedor puede solicitar su cumplimiento; pero una vez se agota el plazo, el contrato pierde sus efectos.</w:t>
      </w:r>
      <w:r w:rsidRPr="0058120E">
        <w:rPr>
          <w:rFonts w:ascii="Arial" w:eastAsia="Calibri" w:hAnsi="Arial" w:cs="Arial"/>
          <w:bCs/>
          <w:sz w:val="20"/>
          <w:szCs w:val="20"/>
        </w:rPr>
        <w:t xml:space="preserve"> </w:t>
      </w:r>
    </w:p>
    <w:p w14:paraId="2CC5A7C1" w14:textId="77777777" w:rsidR="00D9457C" w:rsidRDefault="00D9457C" w:rsidP="00D9457C">
      <w:pPr>
        <w:jc w:val="both"/>
        <w:rPr>
          <w:rFonts w:ascii="Arial" w:eastAsia="Calibri" w:hAnsi="Arial" w:cs="Arial"/>
          <w:b/>
          <w:sz w:val="22"/>
        </w:rPr>
      </w:pPr>
    </w:p>
    <w:p w14:paraId="35C1548E" w14:textId="489E6443" w:rsidR="00D9457C" w:rsidRDefault="00D9457C" w:rsidP="00D9457C">
      <w:pPr>
        <w:jc w:val="both"/>
        <w:rPr>
          <w:rFonts w:ascii="Arial" w:eastAsia="Calibri" w:hAnsi="Arial" w:cs="Arial"/>
          <w:b/>
          <w:sz w:val="22"/>
        </w:rPr>
      </w:pPr>
      <w:r>
        <w:rPr>
          <w:rFonts w:ascii="Arial" w:eastAsia="Calibri" w:hAnsi="Arial" w:cs="Arial"/>
          <w:b/>
          <w:sz w:val="22"/>
        </w:rPr>
        <w:t xml:space="preserve">ELABORACIÒN DE ESTUDIOS Y DISEÑOS ‒ Plazo suspensivo </w:t>
      </w:r>
    </w:p>
    <w:p w14:paraId="54D5A353" w14:textId="77777777" w:rsidR="00D9457C" w:rsidRPr="00C43C0D" w:rsidRDefault="00D9457C" w:rsidP="00D9457C">
      <w:pPr>
        <w:jc w:val="both"/>
        <w:rPr>
          <w:rFonts w:ascii="Arial" w:eastAsia="Calibri" w:hAnsi="Arial" w:cs="Arial"/>
          <w:bCs/>
          <w:sz w:val="22"/>
        </w:rPr>
      </w:pPr>
    </w:p>
    <w:p w14:paraId="22E79BE5" w14:textId="310C082A" w:rsidR="00D9457C" w:rsidRDefault="00D9457C" w:rsidP="00D9457C">
      <w:pPr>
        <w:spacing w:after="120"/>
        <w:jc w:val="both"/>
        <w:rPr>
          <w:rFonts w:ascii="Arial" w:eastAsia="Calibri" w:hAnsi="Arial" w:cs="Arial"/>
          <w:bCs/>
          <w:sz w:val="20"/>
          <w:szCs w:val="20"/>
        </w:rPr>
      </w:pPr>
      <w:r>
        <w:rPr>
          <w:rFonts w:ascii="Arial" w:eastAsia="Calibri" w:hAnsi="Arial" w:cs="Arial"/>
          <w:bCs/>
          <w:sz w:val="20"/>
          <w:szCs w:val="20"/>
        </w:rPr>
        <w:t xml:space="preserve">[…] </w:t>
      </w:r>
      <w:r w:rsidRPr="00D9457C">
        <w:rPr>
          <w:rFonts w:ascii="Arial" w:eastAsia="Calibri" w:hAnsi="Arial" w:cs="Arial"/>
          <w:bCs/>
          <w:sz w:val="20"/>
          <w:szCs w:val="20"/>
        </w:rPr>
        <w:t xml:space="preserve">los plazos tienen naturaleza suspensiva tratándose de los contratos de elaboración de estudios y diseños, porque la exigibilidad de las obligaciones está suspendida mientras el término esté pendiente: la Administración solo podrá exigir el cumplimiento cuando venza el plazo entrega, pues solo a partir de ese momento las obligaciones son puras y simples. De hecho, el plazo no extingue el contrato, ya que requiere la ejecución del objeto contractual. Lo contrario equivale a afirmar </w:t>
      </w:r>
      <w:proofErr w:type="gramStart"/>
      <w:r w:rsidRPr="00D9457C">
        <w:rPr>
          <w:rFonts w:ascii="Arial" w:eastAsia="Calibri" w:hAnsi="Arial" w:cs="Arial"/>
          <w:bCs/>
          <w:sz w:val="20"/>
          <w:szCs w:val="20"/>
        </w:rPr>
        <w:t>que</w:t>
      </w:r>
      <w:proofErr w:type="gramEnd"/>
      <w:r w:rsidRPr="00D9457C">
        <w:rPr>
          <w:rFonts w:ascii="Arial" w:eastAsia="Calibri" w:hAnsi="Arial" w:cs="Arial"/>
          <w:bCs/>
          <w:sz w:val="20"/>
          <w:szCs w:val="20"/>
        </w:rPr>
        <w:t xml:space="preserve"> si las obligaciones no se cumplen oportunamente, la entidad pierde el derecho a obtener el pago de la prestación debida. Esta conclusión no sólo sería contraria al interés público como fin de la contratación estatal, sino que desconoce la normas sobre el pago de los artículos 1626 y siguientes del Código Civil, razón por la cual, sin perjuicio de la responsabilidad del contratista por cumplimiento extemporáneo, la entidad puede recibir lo que ejecute el contratista después de vencido el plazo del contrato, lo que se extiende a la exigibilidad de lo que está pendiente por cumplir</w:t>
      </w:r>
      <w:r w:rsidRPr="00D33246">
        <w:rPr>
          <w:rFonts w:ascii="Arial" w:eastAsia="Calibri" w:hAnsi="Arial" w:cs="Arial"/>
          <w:bCs/>
          <w:sz w:val="20"/>
          <w:szCs w:val="20"/>
        </w:rPr>
        <w:t>.</w:t>
      </w:r>
      <w:r w:rsidRPr="0058120E">
        <w:rPr>
          <w:rFonts w:ascii="Arial" w:eastAsia="Calibri" w:hAnsi="Arial" w:cs="Arial"/>
          <w:bCs/>
          <w:sz w:val="20"/>
          <w:szCs w:val="20"/>
        </w:rPr>
        <w:t xml:space="preserve"> </w:t>
      </w:r>
    </w:p>
    <w:p w14:paraId="2A545385" w14:textId="77777777" w:rsidR="00D9457C" w:rsidRDefault="00D9457C" w:rsidP="00D9457C">
      <w:pPr>
        <w:jc w:val="both"/>
        <w:rPr>
          <w:rFonts w:ascii="Arial" w:eastAsia="Calibri" w:hAnsi="Arial" w:cs="Arial"/>
          <w:b/>
          <w:sz w:val="22"/>
        </w:rPr>
      </w:pPr>
    </w:p>
    <w:p w14:paraId="0014D90E" w14:textId="77777777" w:rsidR="00D9457C" w:rsidRDefault="00D9457C" w:rsidP="00D9457C">
      <w:pPr>
        <w:jc w:val="both"/>
        <w:rPr>
          <w:rFonts w:ascii="Arial" w:eastAsia="Calibri" w:hAnsi="Arial" w:cs="Arial"/>
          <w:b/>
          <w:sz w:val="22"/>
        </w:rPr>
      </w:pPr>
      <w:r>
        <w:rPr>
          <w:rFonts w:ascii="Arial" w:eastAsia="Calibri" w:hAnsi="Arial" w:cs="Arial"/>
          <w:b/>
          <w:sz w:val="22"/>
        </w:rPr>
        <w:t xml:space="preserve">VENCIMIENTO DEL PLAZO ‒ Sanciones Pecuniarias – Procedencia </w:t>
      </w:r>
    </w:p>
    <w:p w14:paraId="3AD7A95B" w14:textId="77777777" w:rsidR="00D9457C" w:rsidRDefault="00D9457C" w:rsidP="00D9457C">
      <w:pPr>
        <w:jc w:val="both"/>
        <w:rPr>
          <w:rFonts w:ascii="Arial" w:eastAsia="Calibri" w:hAnsi="Arial" w:cs="Arial"/>
          <w:b/>
          <w:sz w:val="22"/>
        </w:rPr>
      </w:pPr>
    </w:p>
    <w:p w14:paraId="7E88D588" w14:textId="115EFB47" w:rsidR="00D9457C" w:rsidRDefault="00D9457C" w:rsidP="00D9457C">
      <w:pPr>
        <w:spacing w:before="120"/>
        <w:jc w:val="both"/>
        <w:rPr>
          <w:rFonts w:ascii="Arial" w:eastAsia="Calibri" w:hAnsi="Arial" w:cs="Arial"/>
          <w:bCs/>
          <w:sz w:val="20"/>
          <w:szCs w:val="20"/>
        </w:rPr>
      </w:pPr>
      <w:r>
        <w:rPr>
          <w:rFonts w:ascii="Arial" w:eastAsia="Calibri" w:hAnsi="Arial" w:cs="Arial"/>
          <w:bCs/>
          <w:sz w:val="20"/>
          <w:szCs w:val="20"/>
        </w:rPr>
        <w:t>[…]</w:t>
      </w:r>
      <w:r w:rsidRPr="007F6754">
        <w:rPr>
          <w:rFonts w:ascii="Arial" w:eastAsia="Calibri" w:hAnsi="Arial" w:cs="Arial"/>
          <w:bCs/>
          <w:sz w:val="20"/>
          <w:szCs w:val="20"/>
        </w:rPr>
        <w:t xml:space="preserve"> </w:t>
      </w:r>
      <w:r w:rsidR="0005275D" w:rsidRPr="0005275D">
        <w:rPr>
          <w:rFonts w:ascii="Arial" w:eastAsia="Calibri" w:hAnsi="Arial" w:cs="Arial"/>
          <w:bCs/>
          <w:sz w:val="20"/>
          <w:szCs w:val="20"/>
        </w:rPr>
        <w:t xml:space="preserve">el vencimiento del plazo para el cumplimiento de las obligaciones de tracto sucesivo, por naturaleza suspensivo, bajo ninguna circunstancia conlleva su extinción. Pues tal como se desprende de las consideraciones de orden normativo, jurisprudencial y doctrinario, el vencimiento del plazo suspensivo, en realidad, implica que la obligación se hace exigible en su totalidad a partir de ese mismo instante. Por tanto, vencido el </w:t>
      </w:r>
      <w:r w:rsidR="0005275D" w:rsidRPr="0005275D">
        <w:rPr>
          <w:rFonts w:ascii="Arial" w:eastAsia="Calibri" w:hAnsi="Arial" w:cs="Arial"/>
          <w:bCs/>
          <w:i/>
          <w:iCs/>
          <w:sz w:val="20"/>
          <w:szCs w:val="20"/>
        </w:rPr>
        <w:t>plazo de ejecución</w:t>
      </w:r>
      <w:r w:rsidR="0005275D" w:rsidRPr="0005275D">
        <w:rPr>
          <w:rFonts w:ascii="Arial" w:eastAsia="Calibri" w:hAnsi="Arial" w:cs="Arial"/>
          <w:bCs/>
          <w:sz w:val="20"/>
          <w:szCs w:val="20"/>
        </w:rPr>
        <w:t xml:space="preserve"> de un contrato para la elaboración de estudios y diseños, es posible que la entidad reciba las prestaciones realizadas fuera del mismo mientras no se haya liquidado. Lo anterior, sin perjuicio de que la entidad también pueda exigir su cumplimiento mediante la imposición unilateral de las multas y la cláusula penal pecuniaria</w:t>
      </w:r>
      <w:r w:rsidRPr="00FC2616">
        <w:rPr>
          <w:rFonts w:ascii="Arial" w:eastAsia="Calibri" w:hAnsi="Arial" w:cs="Arial"/>
          <w:bCs/>
          <w:sz w:val="20"/>
          <w:szCs w:val="20"/>
        </w:rPr>
        <w:t>.</w:t>
      </w:r>
    </w:p>
    <w:p w14:paraId="6274C933" w14:textId="77777777" w:rsidR="00D9457C" w:rsidRPr="00C43C0D" w:rsidRDefault="00D9457C" w:rsidP="00D9457C">
      <w:pPr>
        <w:jc w:val="both"/>
        <w:rPr>
          <w:rFonts w:ascii="Arial" w:eastAsia="Calibri" w:hAnsi="Arial" w:cs="Arial"/>
          <w:bCs/>
          <w:sz w:val="22"/>
        </w:rPr>
      </w:pPr>
    </w:p>
    <w:p w14:paraId="3557A10A" w14:textId="77777777" w:rsidR="00D9457C" w:rsidRDefault="00D9457C" w:rsidP="00D9457C">
      <w:pPr>
        <w:jc w:val="both"/>
        <w:rPr>
          <w:rFonts w:ascii="Arial" w:eastAsia="Calibri" w:hAnsi="Arial" w:cs="Arial"/>
          <w:b/>
          <w:sz w:val="22"/>
        </w:rPr>
      </w:pPr>
      <w:r>
        <w:rPr>
          <w:rFonts w:ascii="Arial" w:eastAsia="Calibri" w:hAnsi="Arial" w:cs="Arial"/>
          <w:b/>
          <w:sz w:val="22"/>
        </w:rPr>
        <w:lastRenderedPageBreak/>
        <w:t xml:space="preserve">MULTA Y CLÁUSULA PENAL ‒ Competencia temporal </w:t>
      </w:r>
    </w:p>
    <w:p w14:paraId="7DC9CB9B" w14:textId="77777777" w:rsidR="00D9457C" w:rsidRPr="0060468D" w:rsidRDefault="00D9457C" w:rsidP="00D9457C">
      <w:pPr>
        <w:jc w:val="both"/>
        <w:rPr>
          <w:rFonts w:ascii="Arial" w:eastAsia="Calibri" w:hAnsi="Arial" w:cs="Arial"/>
          <w:b/>
          <w:sz w:val="20"/>
          <w:szCs w:val="20"/>
        </w:rPr>
      </w:pPr>
    </w:p>
    <w:p w14:paraId="4194E462" w14:textId="77777777" w:rsidR="00D9457C" w:rsidRPr="0060468D" w:rsidRDefault="00D9457C" w:rsidP="00D9457C">
      <w:pPr>
        <w:jc w:val="both"/>
        <w:rPr>
          <w:rFonts w:ascii="Arial" w:eastAsia="Calibri" w:hAnsi="Arial" w:cs="Arial"/>
          <w:bCs/>
          <w:sz w:val="20"/>
          <w:szCs w:val="20"/>
        </w:rPr>
      </w:pPr>
      <w:r>
        <w:rPr>
          <w:rFonts w:ascii="Arial" w:eastAsia="Calibri" w:hAnsi="Arial" w:cs="Arial"/>
          <w:bCs/>
          <w:sz w:val="20"/>
          <w:szCs w:val="20"/>
        </w:rPr>
        <w:t xml:space="preserve">[…] </w:t>
      </w:r>
      <w:r w:rsidRPr="007F6754">
        <w:rPr>
          <w:rFonts w:ascii="Arial" w:eastAsia="Calibri" w:hAnsi="Arial" w:cs="Arial"/>
          <w:bCs/>
          <w:sz w:val="20"/>
          <w:szCs w:val="20"/>
        </w:rPr>
        <w:t xml:space="preserve">teniendo en cuenta que el artículo 17 de la Ley 1150 de 2007 no condicionó la imposición de las multas y la cláusula penal al plazo del contrato, </w:t>
      </w:r>
      <w:proofErr w:type="gramStart"/>
      <w:r w:rsidRPr="007F6754">
        <w:rPr>
          <w:rFonts w:ascii="Arial" w:eastAsia="Calibri" w:hAnsi="Arial" w:cs="Arial"/>
          <w:bCs/>
          <w:sz w:val="20"/>
          <w:szCs w:val="20"/>
        </w:rPr>
        <w:t>y</w:t>
      </w:r>
      <w:proofErr w:type="gramEnd"/>
      <w:r w:rsidRPr="007F6754">
        <w:rPr>
          <w:rFonts w:ascii="Arial" w:eastAsia="Calibri" w:hAnsi="Arial" w:cs="Arial"/>
          <w:bCs/>
          <w:sz w:val="20"/>
          <w:szCs w:val="20"/>
        </w:rPr>
        <w:t xml:space="preserve"> por el contrario, de manera expresa indicó que estas proceden «[…] mientras se halle pendiente la ejecución de las obligaciones a cargo del contratista […]», la Administración podrá imponer las multas y hacer efectiva la cláusula penal inclusive después de su plazo de ejecución, siempre que la obligación esté pendiente de cumplir. De esta manera, la entidad podrá hacer uso de estas facultades para procurar el cumplimiento de las obligaciones a cargo del contratista</w:t>
      </w:r>
      <w:r w:rsidRPr="0060468D">
        <w:rPr>
          <w:rFonts w:ascii="Arial" w:eastAsia="Calibri" w:hAnsi="Arial" w:cs="Arial"/>
          <w:bCs/>
          <w:sz w:val="20"/>
          <w:szCs w:val="20"/>
        </w:rPr>
        <w:t>.</w:t>
      </w:r>
    </w:p>
    <w:p w14:paraId="1E97567C" w14:textId="508E069F" w:rsidR="00503872" w:rsidRDefault="00503872" w:rsidP="00503C1E">
      <w:pPr>
        <w:jc w:val="both"/>
        <w:rPr>
          <w:rFonts w:ascii="Arial" w:eastAsia="Calibri" w:hAnsi="Arial" w:cs="Arial"/>
          <w:sz w:val="20"/>
          <w:szCs w:val="20"/>
          <w:lang w:val="es-CO"/>
        </w:rPr>
      </w:pPr>
    </w:p>
    <w:p w14:paraId="077E7BD9" w14:textId="77777777" w:rsidR="00503872" w:rsidRDefault="00503872" w:rsidP="00503872">
      <w:pPr>
        <w:jc w:val="both"/>
        <w:rPr>
          <w:rFonts w:ascii="Arial" w:eastAsia="Calibri" w:hAnsi="Arial" w:cs="Arial"/>
          <w:sz w:val="20"/>
          <w:szCs w:val="20"/>
          <w:lang w:val="es-CO"/>
        </w:rPr>
      </w:pPr>
    </w:p>
    <w:p w14:paraId="43FCD381" w14:textId="77777777" w:rsidR="00503872" w:rsidRPr="00BB0056" w:rsidRDefault="00503872" w:rsidP="00503872">
      <w:pPr>
        <w:jc w:val="both"/>
        <w:rPr>
          <w:rFonts w:ascii="Arial" w:eastAsia="Calibri" w:hAnsi="Arial" w:cs="Arial"/>
          <w:sz w:val="20"/>
          <w:szCs w:val="20"/>
          <w:lang w:val="es-CO"/>
        </w:rPr>
      </w:pPr>
    </w:p>
    <w:p w14:paraId="78A661D1" w14:textId="77777777" w:rsidR="00904CD9" w:rsidRPr="00BB0056" w:rsidRDefault="00904CD9" w:rsidP="00904CD9">
      <w:pPr>
        <w:jc w:val="both"/>
        <w:rPr>
          <w:rFonts w:ascii="Arial" w:eastAsia="Calibri" w:hAnsi="Arial" w:cs="Arial"/>
          <w:bCs/>
          <w:sz w:val="20"/>
          <w:szCs w:val="20"/>
          <w:lang w:val="es-CO"/>
        </w:rPr>
      </w:pPr>
    </w:p>
    <w:p w14:paraId="38F2FD56" w14:textId="77777777" w:rsidR="007252B4" w:rsidRDefault="007252B4">
      <w:pPr>
        <w:spacing w:after="200" w:line="276" w:lineRule="auto"/>
        <w:rPr>
          <w:rFonts w:ascii="Arial" w:eastAsia="Calibri" w:hAnsi="Arial" w:cs="Arial"/>
          <w:sz w:val="20"/>
          <w:szCs w:val="20"/>
          <w:lang w:val="es-CO"/>
        </w:rPr>
      </w:pPr>
      <w:r>
        <w:rPr>
          <w:rFonts w:ascii="Arial" w:eastAsia="Calibri" w:hAnsi="Arial" w:cs="Arial"/>
          <w:sz w:val="20"/>
          <w:szCs w:val="20"/>
          <w:lang w:val="es-CO"/>
        </w:rPr>
        <w:br w:type="page"/>
      </w:r>
    </w:p>
    <w:p w14:paraId="685552F6" w14:textId="77777777" w:rsidR="00904CD9" w:rsidRPr="00BB0056" w:rsidRDefault="00904CD9" w:rsidP="00904CD9">
      <w:pPr>
        <w:jc w:val="both"/>
        <w:rPr>
          <w:rFonts w:ascii="Arial" w:hAnsi="Arial" w:cs="Arial"/>
          <w:sz w:val="22"/>
          <w:lang w:val="es-CO"/>
        </w:rPr>
      </w:pPr>
    </w:p>
    <w:p w14:paraId="2C5C97FC" w14:textId="77777777" w:rsidR="00904CD9" w:rsidRPr="00BB0056" w:rsidRDefault="00904CD9" w:rsidP="00904CD9">
      <w:pPr>
        <w:jc w:val="both"/>
        <w:rPr>
          <w:rFonts w:ascii="Arial" w:hAnsi="Arial" w:cs="Arial"/>
          <w:sz w:val="22"/>
          <w:lang w:val="es-CO"/>
        </w:rPr>
      </w:pPr>
    </w:p>
    <w:p w14:paraId="773F789C" w14:textId="6C53186D" w:rsidR="00904CD9" w:rsidRPr="00BB0056" w:rsidRDefault="00904CD9" w:rsidP="00904CD9">
      <w:pPr>
        <w:rPr>
          <w:rFonts w:ascii="Arial" w:hAnsi="Arial" w:cs="Arial"/>
          <w:b/>
          <w:color w:val="000000" w:themeColor="text1"/>
          <w:sz w:val="22"/>
          <w:lang w:val="es-CO"/>
        </w:rPr>
      </w:pPr>
      <w:bookmarkStart w:id="1" w:name="_Hlk57621034"/>
      <w:r w:rsidRPr="00BB0056">
        <w:rPr>
          <w:rFonts w:ascii="Arial" w:hAnsi="Arial" w:cs="Arial"/>
          <w:color w:val="000000" w:themeColor="text1"/>
          <w:sz w:val="22"/>
          <w:lang w:val="es-CO"/>
        </w:rPr>
        <w:t>Bogotá D.C.</w:t>
      </w:r>
      <w:bookmarkEnd w:id="1"/>
      <w:r w:rsidRPr="00BB0056">
        <w:rPr>
          <w:rFonts w:ascii="Arial" w:hAnsi="Arial" w:cs="Arial"/>
          <w:color w:val="000000" w:themeColor="text1"/>
          <w:sz w:val="22"/>
          <w:lang w:val="es-CO"/>
        </w:rPr>
        <w:t xml:space="preserve">, </w:t>
      </w:r>
      <w:r w:rsidR="005D7F00" w:rsidRPr="005D7F00">
        <w:rPr>
          <w:rFonts w:ascii="Arial" w:hAnsi="Arial" w:cs="Arial"/>
          <w:b/>
          <w:color w:val="000000" w:themeColor="text1"/>
          <w:sz w:val="22"/>
          <w:lang w:val="es-CO"/>
        </w:rPr>
        <w:t>21/12/2020 Hora 8:16:50s</w:t>
      </w:r>
    </w:p>
    <w:p w14:paraId="5902DF3F" w14:textId="77777777" w:rsidR="00904CD9" w:rsidRPr="00BB0056" w:rsidRDefault="00904CD9" w:rsidP="00904CD9">
      <w:pPr>
        <w:jc w:val="right"/>
        <w:rPr>
          <w:rFonts w:ascii="Arial" w:hAnsi="Arial" w:cs="Arial"/>
          <w:bCs/>
          <w:color w:val="000000" w:themeColor="text1"/>
          <w:sz w:val="22"/>
          <w:lang w:val="es-CO"/>
        </w:rPr>
      </w:pPr>
    </w:p>
    <w:p w14:paraId="5E3B675A" w14:textId="647AB5DE" w:rsidR="00904CD9" w:rsidRPr="00BB0056" w:rsidRDefault="00904CD9" w:rsidP="00904CD9">
      <w:pPr>
        <w:jc w:val="right"/>
        <w:rPr>
          <w:rFonts w:ascii="Arial" w:hAnsi="Arial" w:cs="Arial"/>
          <w:b/>
          <w:color w:val="000000" w:themeColor="text1"/>
          <w:sz w:val="22"/>
          <w:lang w:val="es-CO"/>
        </w:rPr>
      </w:pPr>
      <w:proofErr w:type="spellStart"/>
      <w:r w:rsidRPr="00BB0056">
        <w:rPr>
          <w:rFonts w:ascii="Arial" w:hAnsi="Arial" w:cs="Arial"/>
          <w:b/>
          <w:color w:val="000000" w:themeColor="text1"/>
          <w:sz w:val="22"/>
          <w:lang w:val="es-CO"/>
        </w:rPr>
        <w:t>N°</w:t>
      </w:r>
      <w:proofErr w:type="spellEnd"/>
      <w:r w:rsidRPr="00BB0056">
        <w:rPr>
          <w:rFonts w:ascii="Arial" w:hAnsi="Arial" w:cs="Arial"/>
          <w:b/>
          <w:color w:val="000000" w:themeColor="text1"/>
          <w:sz w:val="22"/>
          <w:lang w:val="es-CO"/>
        </w:rPr>
        <w:t xml:space="preserve"> Radicado: </w:t>
      </w:r>
      <w:r w:rsidR="005D7F00" w:rsidRPr="005D7F00">
        <w:rPr>
          <w:rFonts w:ascii="Arial" w:hAnsi="Arial" w:cs="Arial"/>
          <w:b/>
          <w:color w:val="000000" w:themeColor="text1"/>
          <w:sz w:val="22"/>
          <w:lang w:val="es-CO"/>
        </w:rPr>
        <w:t>2202013000012047</w:t>
      </w:r>
    </w:p>
    <w:p w14:paraId="27F8BE04" w14:textId="77777777" w:rsidR="00904CD9" w:rsidRPr="00BB0056" w:rsidRDefault="00904CD9" w:rsidP="00904CD9">
      <w:pPr>
        <w:rPr>
          <w:rFonts w:ascii="Arial" w:eastAsia="Calibri" w:hAnsi="Arial" w:cs="Arial"/>
          <w:sz w:val="22"/>
          <w:lang w:val="es-CO"/>
        </w:rPr>
      </w:pPr>
    </w:p>
    <w:p w14:paraId="0C9E5C86" w14:textId="77777777" w:rsidR="00904CD9" w:rsidRPr="00BB0056" w:rsidRDefault="00904CD9" w:rsidP="00904CD9">
      <w:pPr>
        <w:rPr>
          <w:rFonts w:ascii="Arial" w:eastAsia="Calibri" w:hAnsi="Arial" w:cs="Arial"/>
          <w:sz w:val="22"/>
          <w:lang w:val="es-CO"/>
        </w:rPr>
      </w:pPr>
    </w:p>
    <w:p w14:paraId="32503595" w14:textId="77777777" w:rsidR="00904CD9" w:rsidRPr="00BB0056" w:rsidRDefault="00904CD9" w:rsidP="00904CD9">
      <w:pPr>
        <w:rPr>
          <w:rFonts w:ascii="Arial" w:eastAsia="Calibri" w:hAnsi="Arial" w:cs="Arial"/>
          <w:sz w:val="22"/>
          <w:lang w:val="es-CO"/>
        </w:rPr>
      </w:pPr>
      <w:r w:rsidRPr="00BB0056">
        <w:rPr>
          <w:rFonts w:ascii="Arial" w:eastAsia="Calibri" w:hAnsi="Arial" w:cs="Arial"/>
          <w:sz w:val="22"/>
          <w:lang w:val="es-CO"/>
        </w:rPr>
        <w:t>Señor</w:t>
      </w:r>
    </w:p>
    <w:p w14:paraId="7EC52231" w14:textId="658EE7A0" w:rsidR="00B5146F" w:rsidRDefault="00D52852" w:rsidP="00904CD9">
      <w:pPr>
        <w:rPr>
          <w:rFonts w:ascii="Arial" w:eastAsia="Calibri" w:hAnsi="Arial" w:cs="Arial"/>
          <w:b/>
          <w:sz w:val="22"/>
          <w:lang w:val="es-CO"/>
        </w:rPr>
      </w:pPr>
      <w:r w:rsidRPr="00D52852">
        <w:rPr>
          <w:rFonts w:ascii="Arial" w:eastAsia="Calibri" w:hAnsi="Arial" w:cs="Arial"/>
          <w:b/>
          <w:sz w:val="22"/>
          <w:lang w:val="es-CO"/>
        </w:rPr>
        <w:t>Guillermo Enrique Ávila Barragán</w:t>
      </w:r>
    </w:p>
    <w:p w14:paraId="6E60E433" w14:textId="7D7E9BCA" w:rsidR="00904CD9" w:rsidRPr="00BB0056" w:rsidRDefault="00D52852" w:rsidP="00904CD9">
      <w:pPr>
        <w:rPr>
          <w:rFonts w:ascii="Arial" w:eastAsia="Calibri" w:hAnsi="Arial" w:cs="Arial"/>
          <w:sz w:val="22"/>
          <w:lang w:val="es-CO"/>
        </w:rPr>
      </w:pPr>
      <w:r>
        <w:rPr>
          <w:rFonts w:ascii="Arial" w:eastAsia="Calibri" w:hAnsi="Arial" w:cs="Arial"/>
          <w:sz w:val="22"/>
          <w:lang w:val="es-CO"/>
        </w:rPr>
        <w:t xml:space="preserve">Cartagena, Bolívar </w:t>
      </w:r>
      <w:r w:rsidR="00904CD9">
        <w:rPr>
          <w:rFonts w:ascii="Arial" w:eastAsia="Calibri" w:hAnsi="Arial" w:cs="Arial"/>
          <w:sz w:val="22"/>
          <w:lang w:val="es-CO"/>
        </w:rPr>
        <w:t xml:space="preserve"> </w:t>
      </w:r>
    </w:p>
    <w:p w14:paraId="161F743D" w14:textId="77777777" w:rsidR="00904CD9" w:rsidRPr="00BB0056" w:rsidRDefault="00904CD9" w:rsidP="00904CD9">
      <w:pPr>
        <w:rPr>
          <w:rFonts w:ascii="Arial" w:eastAsia="Calibri" w:hAnsi="Arial" w:cs="Arial"/>
          <w:sz w:val="22"/>
          <w:lang w:val="es-CO"/>
        </w:rPr>
      </w:pPr>
    </w:p>
    <w:p w14:paraId="4FBAF770" w14:textId="77777777" w:rsidR="00904CD9" w:rsidRPr="00BB0056" w:rsidRDefault="00904CD9" w:rsidP="00904CD9">
      <w:pPr>
        <w:rPr>
          <w:rFonts w:ascii="Arial" w:eastAsia="Calibri" w:hAnsi="Arial" w:cs="Arial"/>
          <w:sz w:val="22"/>
          <w:lang w:val="es-CO"/>
        </w:rPr>
      </w:pPr>
    </w:p>
    <w:p w14:paraId="52B37521" w14:textId="5DAE79BA" w:rsidR="00904CD9" w:rsidRPr="00BB0056" w:rsidRDefault="00904CD9" w:rsidP="00904CD9">
      <w:pPr>
        <w:rPr>
          <w:rFonts w:ascii="Arial" w:eastAsia="Calibri" w:hAnsi="Arial" w:cs="Arial"/>
          <w:b/>
          <w:sz w:val="22"/>
          <w:lang w:val="es-CO"/>
        </w:rPr>
      </w:pPr>
      <w:r w:rsidRPr="00BB0056">
        <w:rPr>
          <w:rFonts w:ascii="Arial" w:eastAsia="Calibri" w:hAnsi="Arial" w:cs="Arial"/>
          <w:sz w:val="22"/>
          <w:lang w:val="es-CO"/>
        </w:rPr>
        <w:t xml:space="preserve">                                            </w:t>
      </w:r>
      <w:r w:rsidRPr="00BB0056">
        <w:rPr>
          <w:rFonts w:ascii="Arial" w:eastAsia="Calibri" w:hAnsi="Arial" w:cs="Arial"/>
          <w:b/>
          <w:sz w:val="22"/>
          <w:lang w:val="es-CO"/>
        </w:rPr>
        <w:t xml:space="preserve">Concepto C – </w:t>
      </w:r>
      <w:r w:rsidR="00D52852">
        <w:rPr>
          <w:rFonts w:ascii="Arial" w:eastAsia="Calibri" w:hAnsi="Arial" w:cs="Arial"/>
          <w:b/>
          <w:sz w:val="22"/>
          <w:lang w:val="es-CO"/>
        </w:rPr>
        <w:t>751</w:t>
      </w:r>
      <w:r w:rsidRPr="00BB0056">
        <w:rPr>
          <w:rFonts w:ascii="Arial" w:eastAsia="Calibri" w:hAnsi="Arial" w:cs="Arial"/>
          <w:b/>
          <w:sz w:val="22"/>
          <w:lang w:val="es-CO"/>
        </w:rPr>
        <w:t xml:space="preserve"> de 2020</w:t>
      </w:r>
    </w:p>
    <w:p w14:paraId="49A14CFA" w14:textId="77777777" w:rsidR="00904CD9" w:rsidRPr="00BB0056" w:rsidRDefault="00904CD9" w:rsidP="00904CD9">
      <w:pPr>
        <w:rPr>
          <w:rFonts w:ascii="Arial" w:eastAsia="Calibri" w:hAnsi="Arial" w:cs="Arial"/>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04CD9" w:rsidRPr="00BB0056" w14:paraId="14AF0284" w14:textId="77777777" w:rsidTr="00C67675">
        <w:tc>
          <w:tcPr>
            <w:tcW w:w="2689" w:type="dxa"/>
            <w:hideMark/>
          </w:tcPr>
          <w:p w14:paraId="4C12F26E" w14:textId="77777777" w:rsidR="00904CD9" w:rsidRPr="00BB0056" w:rsidRDefault="00904CD9" w:rsidP="00C67675">
            <w:pPr>
              <w:rPr>
                <w:rFonts w:ascii="Arial" w:eastAsia="Calibri" w:hAnsi="Arial" w:cs="Arial"/>
                <w:sz w:val="22"/>
                <w:lang w:val="es-CO"/>
              </w:rPr>
            </w:pPr>
            <w:r w:rsidRPr="00BB0056">
              <w:rPr>
                <w:rFonts w:ascii="Arial" w:eastAsia="Calibri" w:hAnsi="Arial" w:cs="Arial"/>
                <w:b/>
                <w:sz w:val="22"/>
                <w:lang w:val="es-CO"/>
              </w:rPr>
              <w:t>Temas:</w:t>
            </w:r>
            <w:r w:rsidRPr="00BB0056">
              <w:rPr>
                <w:rFonts w:ascii="Arial" w:eastAsia="Calibri" w:hAnsi="Arial" w:cs="Arial"/>
                <w:sz w:val="22"/>
                <w:lang w:val="es-CO"/>
              </w:rPr>
              <w:t xml:space="preserve">           </w:t>
            </w:r>
          </w:p>
          <w:p w14:paraId="0DEB371D" w14:textId="77777777" w:rsidR="00904CD9" w:rsidRPr="00BB0056" w:rsidRDefault="00904CD9" w:rsidP="00C67675">
            <w:pPr>
              <w:rPr>
                <w:rFonts w:ascii="Arial" w:eastAsia="Calibri" w:hAnsi="Arial" w:cs="Arial"/>
                <w:sz w:val="22"/>
                <w:lang w:val="es-CO"/>
              </w:rPr>
            </w:pPr>
            <w:r w:rsidRPr="00BB0056">
              <w:rPr>
                <w:rFonts w:ascii="Arial" w:eastAsia="Calibri" w:hAnsi="Arial" w:cs="Arial"/>
                <w:sz w:val="22"/>
                <w:lang w:val="es-CO"/>
              </w:rPr>
              <w:t xml:space="preserve">                           </w:t>
            </w:r>
          </w:p>
        </w:tc>
        <w:tc>
          <w:tcPr>
            <w:tcW w:w="6237" w:type="dxa"/>
            <w:hideMark/>
          </w:tcPr>
          <w:p w14:paraId="13ADFC26" w14:textId="73EA547C" w:rsidR="00904CD9" w:rsidRPr="00BB0056" w:rsidRDefault="0008592F" w:rsidP="00C67675">
            <w:pPr>
              <w:spacing w:after="120"/>
              <w:jc w:val="both"/>
              <w:rPr>
                <w:rFonts w:ascii="Arial" w:hAnsi="Arial" w:cs="Arial"/>
                <w:sz w:val="22"/>
                <w:lang w:val="es-CO"/>
              </w:rPr>
            </w:pPr>
            <w:r w:rsidRPr="0008592F">
              <w:rPr>
                <w:rFonts w:ascii="Arial" w:hAnsi="Arial" w:cs="Arial"/>
                <w:sz w:val="22"/>
                <w:lang w:val="es-CO"/>
              </w:rPr>
              <w:t>PLAZO DEL CONTRATO ‒ Exigibilidad de las obligaciones – Extinción de los derechos – Diferencias</w:t>
            </w:r>
            <w:r w:rsidR="00904CD9" w:rsidRPr="00BB0056">
              <w:rPr>
                <w:rFonts w:ascii="Arial" w:hAnsi="Arial" w:cs="Arial"/>
                <w:sz w:val="22"/>
                <w:lang w:val="es-CO"/>
              </w:rPr>
              <w:t xml:space="preserve"> / </w:t>
            </w:r>
            <w:r w:rsidRPr="0008592F">
              <w:rPr>
                <w:rFonts w:ascii="Arial" w:hAnsi="Arial" w:cs="Arial"/>
                <w:sz w:val="22"/>
                <w:lang w:val="es-CO"/>
              </w:rPr>
              <w:t>ELABORACIÒN DE ESTUDIOS Y DISEÑOS ‒ Plazo suspensivo</w:t>
            </w:r>
            <w:r w:rsidR="00904CD9" w:rsidRPr="00BB0056">
              <w:rPr>
                <w:rFonts w:ascii="Arial" w:hAnsi="Arial" w:cs="Arial"/>
                <w:sz w:val="22"/>
                <w:lang w:val="es-CO"/>
              </w:rPr>
              <w:t xml:space="preserve"> /</w:t>
            </w:r>
            <w:r w:rsidR="008F1D84">
              <w:rPr>
                <w:rFonts w:ascii="Arial" w:hAnsi="Arial" w:cs="Arial"/>
                <w:sz w:val="22"/>
                <w:lang w:val="es-CO"/>
              </w:rPr>
              <w:t xml:space="preserve"> </w:t>
            </w:r>
            <w:r w:rsidRPr="0008592F">
              <w:rPr>
                <w:rFonts w:ascii="Arial" w:hAnsi="Arial" w:cs="Arial"/>
                <w:sz w:val="22"/>
                <w:lang w:val="es-CO"/>
              </w:rPr>
              <w:t xml:space="preserve">VENCIMIENTO DEL PLAZO ‒ Sanciones Pecuniarias – Procedencia </w:t>
            </w:r>
            <w:r>
              <w:rPr>
                <w:rFonts w:ascii="Arial" w:hAnsi="Arial" w:cs="Arial"/>
                <w:sz w:val="22"/>
                <w:lang w:val="es-CO"/>
              </w:rPr>
              <w:t xml:space="preserve">/ </w:t>
            </w:r>
            <w:r w:rsidRPr="0008592F">
              <w:rPr>
                <w:rFonts w:ascii="Arial" w:hAnsi="Arial" w:cs="Arial"/>
                <w:sz w:val="22"/>
                <w:lang w:val="es-CO"/>
              </w:rPr>
              <w:t>MULTA Y CLÁUSULA PENAL ‒ Competencia temporal</w:t>
            </w:r>
            <w:r w:rsidR="008F1D84" w:rsidRPr="008F1D84">
              <w:rPr>
                <w:rFonts w:ascii="Arial" w:hAnsi="Arial" w:cs="Arial"/>
                <w:sz w:val="22"/>
                <w:lang w:val="es-CO"/>
              </w:rPr>
              <w:t xml:space="preserve"> </w:t>
            </w:r>
            <w:r w:rsidR="00904CD9" w:rsidRPr="00BB0056">
              <w:rPr>
                <w:rFonts w:ascii="Arial" w:hAnsi="Arial" w:cs="Arial"/>
                <w:sz w:val="22"/>
                <w:lang w:val="es-CO"/>
              </w:rPr>
              <w:t xml:space="preserve"> </w:t>
            </w:r>
          </w:p>
        </w:tc>
      </w:tr>
      <w:tr w:rsidR="00904CD9" w:rsidRPr="00BB0056" w14:paraId="1F0040A5" w14:textId="77777777" w:rsidTr="00C67675">
        <w:tc>
          <w:tcPr>
            <w:tcW w:w="2689" w:type="dxa"/>
          </w:tcPr>
          <w:p w14:paraId="19004B16" w14:textId="77777777" w:rsidR="00904CD9" w:rsidRPr="00BB0056" w:rsidRDefault="00904CD9" w:rsidP="00C67675">
            <w:pPr>
              <w:spacing w:before="60"/>
              <w:rPr>
                <w:rFonts w:ascii="Arial" w:eastAsia="Calibri" w:hAnsi="Arial" w:cs="Arial"/>
                <w:b/>
                <w:sz w:val="22"/>
                <w:lang w:val="es-CO"/>
              </w:rPr>
            </w:pPr>
            <w:r w:rsidRPr="00BB0056">
              <w:rPr>
                <w:rFonts w:ascii="Arial" w:eastAsia="Calibri" w:hAnsi="Arial" w:cs="Arial"/>
                <w:b/>
                <w:sz w:val="22"/>
                <w:lang w:val="es-CO"/>
              </w:rPr>
              <w:t>Radicación:</w:t>
            </w:r>
            <w:r w:rsidRPr="00BB0056">
              <w:rPr>
                <w:rFonts w:ascii="Arial" w:eastAsia="Calibri" w:hAnsi="Arial" w:cs="Arial"/>
                <w:sz w:val="22"/>
                <w:lang w:val="es-CO"/>
              </w:rPr>
              <w:t xml:space="preserve">                              </w:t>
            </w:r>
          </w:p>
        </w:tc>
        <w:tc>
          <w:tcPr>
            <w:tcW w:w="6237" w:type="dxa"/>
          </w:tcPr>
          <w:p w14:paraId="3B4D4942" w14:textId="236DFFF7" w:rsidR="00904CD9" w:rsidRPr="00BB0056" w:rsidRDefault="00904CD9" w:rsidP="00C67675">
            <w:pPr>
              <w:spacing w:before="60"/>
              <w:jc w:val="both"/>
              <w:rPr>
                <w:rFonts w:ascii="Arial" w:eastAsia="Calibri" w:hAnsi="Arial" w:cs="Arial"/>
                <w:sz w:val="22"/>
                <w:lang w:val="es-CO"/>
              </w:rPr>
            </w:pPr>
            <w:r w:rsidRPr="00BB0056">
              <w:rPr>
                <w:rFonts w:ascii="Arial" w:eastAsia="Calibri" w:hAnsi="Arial" w:cs="Arial"/>
                <w:sz w:val="22"/>
                <w:lang w:val="es-CO"/>
              </w:rPr>
              <w:t xml:space="preserve">Respuesta a la consulta </w:t>
            </w:r>
            <w:r w:rsidR="00D52852" w:rsidRPr="00D52852">
              <w:rPr>
                <w:rFonts w:ascii="Arial" w:eastAsia="Calibri" w:hAnsi="Arial" w:cs="Arial"/>
                <w:sz w:val="22"/>
                <w:lang w:val="es-CO"/>
              </w:rPr>
              <w:t>4202013000010165</w:t>
            </w:r>
          </w:p>
        </w:tc>
      </w:tr>
    </w:tbl>
    <w:p w14:paraId="67BCC159" w14:textId="77777777" w:rsidR="00904CD9" w:rsidRPr="00BB0056" w:rsidRDefault="00904CD9" w:rsidP="00904CD9">
      <w:pPr>
        <w:spacing w:before="60"/>
        <w:jc w:val="both"/>
        <w:rPr>
          <w:rFonts w:ascii="Arial" w:eastAsia="Calibri" w:hAnsi="Arial" w:cs="Arial"/>
          <w:sz w:val="22"/>
          <w:lang w:val="es-CO"/>
        </w:rPr>
      </w:pPr>
    </w:p>
    <w:p w14:paraId="4F525124" w14:textId="77777777" w:rsidR="00904CD9" w:rsidRPr="00BB0056" w:rsidRDefault="00904CD9" w:rsidP="00904CD9">
      <w:pPr>
        <w:rPr>
          <w:rFonts w:ascii="Arial" w:eastAsia="Calibri" w:hAnsi="Arial" w:cs="Arial"/>
          <w:sz w:val="22"/>
          <w:lang w:val="es-CO"/>
        </w:rPr>
      </w:pPr>
    </w:p>
    <w:p w14:paraId="0ADE9D41" w14:textId="77777777" w:rsidR="00990612" w:rsidRPr="00BB0056" w:rsidRDefault="00990612" w:rsidP="00990612">
      <w:pPr>
        <w:rPr>
          <w:rFonts w:ascii="Arial" w:eastAsia="Calibri" w:hAnsi="Arial" w:cs="Arial"/>
          <w:sz w:val="22"/>
          <w:lang w:val="es-CO"/>
        </w:rPr>
      </w:pPr>
      <w:r w:rsidRPr="00BB0056">
        <w:rPr>
          <w:rFonts w:ascii="Arial" w:eastAsia="Calibri" w:hAnsi="Arial" w:cs="Arial"/>
          <w:sz w:val="22"/>
          <w:lang w:val="es-CO"/>
        </w:rPr>
        <w:t>Estimad</w:t>
      </w:r>
      <w:r>
        <w:rPr>
          <w:rFonts w:ascii="Arial" w:eastAsia="Calibri" w:hAnsi="Arial" w:cs="Arial"/>
          <w:sz w:val="22"/>
          <w:lang w:val="es-CO"/>
        </w:rPr>
        <w:t>o</w:t>
      </w:r>
      <w:r w:rsidRPr="00BB0056">
        <w:rPr>
          <w:rFonts w:ascii="Arial" w:eastAsia="Calibri" w:hAnsi="Arial" w:cs="Arial"/>
          <w:sz w:val="22"/>
          <w:lang w:val="es-CO"/>
        </w:rPr>
        <w:t xml:space="preserve"> señor</w:t>
      </w:r>
      <w:r>
        <w:rPr>
          <w:rFonts w:ascii="Arial" w:eastAsia="Calibri" w:hAnsi="Arial" w:cs="Arial"/>
          <w:sz w:val="22"/>
          <w:lang w:val="es-CO"/>
        </w:rPr>
        <w:t xml:space="preserve"> </w:t>
      </w:r>
      <w:r w:rsidRPr="00D52852">
        <w:rPr>
          <w:rFonts w:ascii="Arial" w:eastAsia="Calibri" w:hAnsi="Arial" w:cs="Arial"/>
          <w:sz w:val="22"/>
          <w:lang w:val="es-CO"/>
        </w:rPr>
        <w:t>Ávila Barragán</w:t>
      </w:r>
      <w:r w:rsidRPr="00BB0056">
        <w:rPr>
          <w:rFonts w:ascii="Arial" w:eastAsia="Calibri" w:hAnsi="Arial" w:cs="Arial"/>
          <w:sz w:val="22"/>
          <w:lang w:val="es-CO"/>
        </w:rPr>
        <w:t>:</w:t>
      </w:r>
    </w:p>
    <w:p w14:paraId="19436ABB" w14:textId="77777777" w:rsidR="00990612" w:rsidRPr="00BB0056" w:rsidRDefault="00990612" w:rsidP="00990612">
      <w:pPr>
        <w:rPr>
          <w:rFonts w:ascii="Arial" w:eastAsia="Calibri" w:hAnsi="Arial" w:cs="Arial"/>
          <w:sz w:val="22"/>
          <w:lang w:val="es-CO"/>
        </w:rPr>
      </w:pPr>
    </w:p>
    <w:p w14:paraId="4A62508A" w14:textId="77777777" w:rsidR="00990612" w:rsidRPr="00BB0056" w:rsidRDefault="00990612" w:rsidP="00990612">
      <w:pPr>
        <w:spacing w:line="276" w:lineRule="auto"/>
        <w:ind w:right="49"/>
        <w:jc w:val="both"/>
        <w:rPr>
          <w:rFonts w:ascii="Arial" w:eastAsia="Calibri" w:hAnsi="Arial" w:cs="Arial"/>
          <w:sz w:val="22"/>
          <w:lang w:val="es-CO"/>
        </w:rPr>
      </w:pPr>
      <w:r w:rsidRPr="00BB0056">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realizada el </w:t>
      </w:r>
      <w:r>
        <w:rPr>
          <w:rFonts w:ascii="Arial" w:eastAsia="Calibri" w:hAnsi="Arial" w:cs="Arial"/>
          <w:sz w:val="22"/>
          <w:lang w:val="es-CO"/>
        </w:rPr>
        <w:t>7 de noviembre</w:t>
      </w:r>
      <w:r w:rsidRPr="00BB0056">
        <w:rPr>
          <w:rFonts w:ascii="Arial" w:eastAsia="Calibri" w:hAnsi="Arial" w:cs="Arial"/>
          <w:sz w:val="22"/>
          <w:lang w:val="es-CO"/>
        </w:rPr>
        <w:t xml:space="preserve"> de 2020. </w:t>
      </w:r>
    </w:p>
    <w:p w14:paraId="38B89859" w14:textId="77777777" w:rsidR="00990612" w:rsidRPr="00BB0056" w:rsidRDefault="00990612" w:rsidP="00990612">
      <w:pPr>
        <w:spacing w:line="276" w:lineRule="auto"/>
        <w:jc w:val="both"/>
        <w:rPr>
          <w:rFonts w:ascii="Arial" w:eastAsia="Calibri" w:hAnsi="Arial" w:cs="Arial"/>
          <w:sz w:val="22"/>
          <w:lang w:val="es-CO"/>
        </w:rPr>
      </w:pPr>
    </w:p>
    <w:p w14:paraId="1CB95C7C" w14:textId="77777777" w:rsidR="00990612" w:rsidRPr="00BB0056" w:rsidRDefault="00990612" w:rsidP="00990612">
      <w:pPr>
        <w:pStyle w:val="Prrafodelista"/>
        <w:numPr>
          <w:ilvl w:val="0"/>
          <w:numId w:val="6"/>
        </w:numPr>
        <w:tabs>
          <w:tab w:val="left" w:pos="284"/>
        </w:tabs>
        <w:spacing w:line="276" w:lineRule="auto"/>
        <w:ind w:left="0" w:firstLine="0"/>
        <w:jc w:val="both"/>
        <w:rPr>
          <w:rFonts w:ascii="Arial" w:eastAsia="Calibri" w:hAnsi="Arial" w:cs="Arial"/>
          <w:b/>
          <w:sz w:val="22"/>
          <w:lang w:val="es-CO"/>
        </w:rPr>
      </w:pPr>
      <w:r w:rsidRPr="00BB0056">
        <w:rPr>
          <w:rFonts w:ascii="Arial" w:eastAsia="Calibri" w:hAnsi="Arial" w:cs="Arial"/>
          <w:b/>
          <w:sz w:val="22"/>
          <w:lang w:val="es-CO"/>
        </w:rPr>
        <w:t>Problema</w:t>
      </w:r>
      <w:r>
        <w:rPr>
          <w:rFonts w:ascii="Arial" w:eastAsia="Calibri" w:hAnsi="Arial" w:cs="Arial"/>
          <w:b/>
          <w:sz w:val="22"/>
          <w:lang w:val="es-CO"/>
        </w:rPr>
        <w:t>s</w:t>
      </w:r>
      <w:r w:rsidRPr="00BB0056">
        <w:rPr>
          <w:rFonts w:ascii="Arial" w:eastAsia="Calibri" w:hAnsi="Arial" w:cs="Arial"/>
          <w:b/>
          <w:sz w:val="22"/>
          <w:lang w:val="es-CO"/>
        </w:rPr>
        <w:t xml:space="preserve"> planteado</w:t>
      </w:r>
      <w:r>
        <w:rPr>
          <w:rFonts w:ascii="Arial" w:eastAsia="Calibri" w:hAnsi="Arial" w:cs="Arial"/>
          <w:b/>
          <w:sz w:val="22"/>
          <w:lang w:val="es-CO"/>
        </w:rPr>
        <w:t>s</w:t>
      </w:r>
      <w:r w:rsidRPr="00BB0056">
        <w:rPr>
          <w:rFonts w:ascii="Arial" w:eastAsia="Calibri" w:hAnsi="Arial" w:cs="Arial"/>
          <w:b/>
          <w:sz w:val="22"/>
          <w:lang w:val="es-CO"/>
        </w:rPr>
        <w:t xml:space="preserve"> </w:t>
      </w:r>
    </w:p>
    <w:p w14:paraId="0E1DC5D6" w14:textId="77777777" w:rsidR="00990612" w:rsidRPr="00BB0056" w:rsidRDefault="00990612" w:rsidP="00990612">
      <w:pPr>
        <w:tabs>
          <w:tab w:val="left" w:pos="426"/>
        </w:tabs>
        <w:spacing w:line="276" w:lineRule="auto"/>
        <w:jc w:val="both"/>
        <w:rPr>
          <w:rFonts w:ascii="Arial" w:eastAsia="Calibri" w:hAnsi="Arial" w:cs="Arial"/>
          <w:b/>
          <w:sz w:val="22"/>
          <w:lang w:val="es-CO"/>
        </w:rPr>
      </w:pPr>
    </w:p>
    <w:p w14:paraId="273B4C7B" w14:textId="77777777" w:rsidR="00990612" w:rsidRPr="005268C9" w:rsidRDefault="00990612" w:rsidP="00990612">
      <w:pPr>
        <w:tabs>
          <w:tab w:val="left" w:pos="426"/>
        </w:tabs>
        <w:spacing w:line="276" w:lineRule="auto"/>
        <w:jc w:val="both"/>
        <w:rPr>
          <w:rFonts w:ascii="Arial" w:eastAsia="Calibri" w:hAnsi="Arial" w:cs="Arial"/>
          <w:sz w:val="22"/>
        </w:rPr>
      </w:pPr>
      <w:r>
        <w:rPr>
          <w:rFonts w:ascii="Arial" w:eastAsia="Calibri" w:hAnsi="Arial" w:cs="Arial"/>
          <w:sz w:val="22"/>
          <w:lang w:val="es-CO"/>
        </w:rPr>
        <w:t>U</w:t>
      </w:r>
      <w:r w:rsidRPr="002F6148">
        <w:rPr>
          <w:rFonts w:ascii="Arial" w:eastAsia="Calibri" w:hAnsi="Arial" w:cs="Arial"/>
          <w:sz w:val="22"/>
          <w:lang w:val="es-CO"/>
        </w:rPr>
        <w:t>sted realiza la</w:t>
      </w:r>
      <w:r>
        <w:rPr>
          <w:rFonts w:ascii="Arial" w:eastAsia="Calibri" w:hAnsi="Arial" w:cs="Arial"/>
          <w:sz w:val="22"/>
          <w:lang w:val="es-CO"/>
        </w:rPr>
        <w:t>s</w:t>
      </w:r>
      <w:r w:rsidRPr="002F6148">
        <w:rPr>
          <w:rFonts w:ascii="Arial" w:eastAsia="Calibri" w:hAnsi="Arial" w:cs="Arial"/>
          <w:sz w:val="22"/>
          <w:lang w:val="es-CO"/>
        </w:rPr>
        <w:t xml:space="preserve"> siguient</w:t>
      </w:r>
      <w:r>
        <w:rPr>
          <w:rFonts w:ascii="Arial" w:eastAsia="Calibri" w:hAnsi="Arial" w:cs="Arial"/>
          <w:sz w:val="22"/>
          <w:lang w:val="es-CO"/>
        </w:rPr>
        <w:t>es</w:t>
      </w:r>
      <w:r w:rsidRPr="002F6148">
        <w:rPr>
          <w:rFonts w:ascii="Arial" w:eastAsia="Calibri" w:hAnsi="Arial" w:cs="Arial"/>
          <w:sz w:val="22"/>
          <w:lang w:val="es-CO"/>
        </w:rPr>
        <w:t xml:space="preserve"> pregunta</w:t>
      </w:r>
      <w:r>
        <w:rPr>
          <w:rFonts w:ascii="Arial" w:eastAsia="Calibri" w:hAnsi="Arial" w:cs="Arial"/>
          <w:sz w:val="22"/>
          <w:lang w:val="es-CO"/>
        </w:rPr>
        <w:t>s</w:t>
      </w:r>
      <w:r w:rsidRPr="002F6148">
        <w:rPr>
          <w:rFonts w:ascii="Arial" w:eastAsia="Calibri" w:hAnsi="Arial" w:cs="Arial"/>
          <w:sz w:val="22"/>
          <w:lang w:val="es-CO"/>
        </w:rPr>
        <w:t xml:space="preserve">: </w:t>
      </w:r>
      <w:bookmarkStart w:id="2" w:name="_Hlk58917991"/>
      <w:bookmarkStart w:id="3" w:name="_Hlk56103000"/>
      <w:r>
        <w:rPr>
          <w:rFonts w:ascii="Arial" w:eastAsia="Calibri" w:hAnsi="Arial" w:cs="Arial"/>
          <w:sz w:val="22"/>
          <w:lang w:val="es-CO"/>
        </w:rPr>
        <w:t>i) «</w:t>
      </w:r>
      <w:r w:rsidRPr="005268C9">
        <w:rPr>
          <w:rFonts w:ascii="Arial" w:eastAsia="Calibri" w:hAnsi="Arial" w:cs="Arial"/>
          <w:sz w:val="22"/>
        </w:rPr>
        <w:t>¿Pueden las administraciones distritales recibir productos de forma tardía (estudios, diseños, etc.), habiendo expirado el plazo pactado en el contrato? Teniendo en cuenta que el cumplimiento del plazo no significa la extinción de las obligaciones previamente pactadas, de modo que a nuestro juicio sí se podría recibir productos de forma tardía, sin perjuicio de las constancias en el acta de liquidación y reclamos posteriores por los perjuicios causados debido al incumplimiento o cumplimiento tardío</w:t>
      </w:r>
      <w:r>
        <w:rPr>
          <w:rFonts w:ascii="Arial" w:eastAsia="Calibri" w:hAnsi="Arial" w:cs="Arial"/>
          <w:sz w:val="22"/>
        </w:rPr>
        <w:t>»</w:t>
      </w:r>
      <w:bookmarkEnd w:id="2"/>
      <w:r>
        <w:rPr>
          <w:rFonts w:ascii="Arial" w:eastAsia="Calibri" w:hAnsi="Arial" w:cs="Arial"/>
          <w:sz w:val="22"/>
        </w:rPr>
        <w:t xml:space="preserve">, </w:t>
      </w:r>
      <w:bookmarkStart w:id="4" w:name="_Hlk58922035"/>
      <w:proofErr w:type="spellStart"/>
      <w:r>
        <w:rPr>
          <w:rFonts w:ascii="Arial" w:eastAsia="Calibri" w:hAnsi="Arial" w:cs="Arial"/>
          <w:sz w:val="22"/>
        </w:rPr>
        <w:t>ii</w:t>
      </w:r>
      <w:proofErr w:type="spellEnd"/>
      <w:r>
        <w:rPr>
          <w:rFonts w:ascii="Arial" w:eastAsia="Calibri" w:hAnsi="Arial" w:cs="Arial"/>
          <w:sz w:val="22"/>
        </w:rPr>
        <w:t>) «</w:t>
      </w:r>
      <w:r w:rsidRPr="005268C9">
        <w:rPr>
          <w:rFonts w:ascii="Arial" w:eastAsia="Calibri" w:hAnsi="Arial" w:cs="Arial"/>
          <w:sz w:val="22"/>
        </w:rPr>
        <w:t>¿Puede el contratista cumplir tardíamente alguna obligación contraída en el negocio jurídico, y cuáles serías las medidas a tomar por parte del contratante?</w:t>
      </w:r>
      <w:r>
        <w:rPr>
          <w:rFonts w:ascii="Arial" w:eastAsia="Calibri" w:hAnsi="Arial" w:cs="Arial"/>
          <w:sz w:val="22"/>
        </w:rPr>
        <w:t>»</w:t>
      </w:r>
      <w:bookmarkEnd w:id="4"/>
      <w:r>
        <w:rPr>
          <w:rFonts w:ascii="Arial" w:eastAsia="Calibri" w:hAnsi="Arial" w:cs="Arial"/>
          <w:sz w:val="22"/>
        </w:rPr>
        <w:t xml:space="preserve">, </w:t>
      </w:r>
      <w:proofErr w:type="spellStart"/>
      <w:r>
        <w:rPr>
          <w:rFonts w:ascii="Arial" w:eastAsia="Calibri" w:hAnsi="Arial" w:cs="Arial"/>
          <w:sz w:val="22"/>
        </w:rPr>
        <w:t>iii</w:t>
      </w:r>
      <w:proofErr w:type="spellEnd"/>
      <w:r>
        <w:rPr>
          <w:rFonts w:ascii="Arial" w:eastAsia="Calibri" w:hAnsi="Arial" w:cs="Arial"/>
          <w:sz w:val="22"/>
        </w:rPr>
        <w:t>) «</w:t>
      </w:r>
      <w:r w:rsidRPr="005268C9">
        <w:rPr>
          <w:rFonts w:ascii="Arial" w:eastAsia="Calibri" w:hAnsi="Arial" w:cs="Arial"/>
          <w:sz w:val="22"/>
        </w:rPr>
        <w:t>¿Podría el contratante recibir los productos tardíamente sin que el recibo de los productos</w:t>
      </w:r>
    </w:p>
    <w:p w14:paraId="28F1C4D4" w14:textId="77777777" w:rsidR="00990612" w:rsidRPr="005268C9" w:rsidRDefault="00990612" w:rsidP="00990612">
      <w:pPr>
        <w:tabs>
          <w:tab w:val="left" w:pos="426"/>
        </w:tabs>
        <w:spacing w:line="276" w:lineRule="auto"/>
        <w:jc w:val="both"/>
        <w:rPr>
          <w:rFonts w:ascii="Arial" w:eastAsia="Calibri" w:hAnsi="Arial" w:cs="Arial"/>
          <w:sz w:val="22"/>
        </w:rPr>
      </w:pPr>
      <w:r w:rsidRPr="005268C9">
        <w:rPr>
          <w:rFonts w:ascii="Arial" w:eastAsia="Calibri" w:hAnsi="Arial" w:cs="Arial"/>
          <w:sz w:val="22"/>
        </w:rPr>
        <w:t>implique un “recibo a satisfacción”? Debido a que en la etapa de liquidación se realizarían</w:t>
      </w:r>
    </w:p>
    <w:p w14:paraId="5E18D10E" w14:textId="77777777" w:rsidR="00990612" w:rsidRDefault="00990612" w:rsidP="00990612">
      <w:pPr>
        <w:tabs>
          <w:tab w:val="left" w:pos="426"/>
        </w:tabs>
        <w:spacing w:line="276" w:lineRule="auto"/>
        <w:jc w:val="both"/>
        <w:rPr>
          <w:rFonts w:ascii="Arial" w:eastAsia="Calibri" w:hAnsi="Arial" w:cs="Arial"/>
          <w:sz w:val="22"/>
          <w:lang w:val="es-CO"/>
        </w:rPr>
      </w:pPr>
      <w:r w:rsidRPr="005268C9">
        <w:rPr>
          <w:rFonts w:ascii="Arial" w:eastAsia="Calibri" w:hAnsi="Arial" w:cs="Arial"/>
          <w:sz w:val="22"/>
        </w:rPr>
        <w:t>las respectivas constancias</w:t>
      </w:r>
      <w:r>
        <w:rPr>
          <w:rFonts w:ascii="Arial" w:eastAsia="Calibri" w:hAnsi="Arial" w:cs="Arial"/>
          <w:sz w:val="22"/>
        </w:rPr>
        <w:t>»</w:t>
      </w:r>
      <w:r w:rsidRPr="005268C9">
        <w:rPr>
          <w:rFonts w:ascii="Arial" w:eastAsia="Calibri" w:hAnsi="Arial" w:cs="Arial"/>
          <w:sz w:val="22"/>
        </w:rPr>
        <w:t>.</w:t>
      </w:r>
    </w:p>
    <w:p w14:paraId="7918F055" w14:textId="77777777" w:rsidR="00990612" w:rsidRDefault="00990612" w:rsidP="00990612">
      <w:pPr>
        <w:tabs>
          <w:tab w:val="left" w:pos="426"/>
        </w:tabs>
        <w:spacing w:line="276" w:lineRule="auto"/>
        <w:jc w:val="both"/>
        <w:rPr>
          <w:rFonts w:ascii="Arial" w:eastAsia="Calibri" w:hAnsi="Arial" w:cs="Arial"/>
          <w:sz w:val="22"/>
          <w:lang w:val="es-CO"/>
        </w:rPr>
      </w:pPr>
    </w:p>
    <w:bookmarkEnd w:id="3"/>
    <w:p w14:paraId="4CC8DC72" w14:textId="77777777" w:rsidR="00990612" w:rsidRPr="00BB0056" w:rsidRDefault="00990612" w:rsidP="00990612">
      <w:pPr>
        <w:pStyle w:val="Prrafodelista"/>
        <w:numPr>
          <w:ilvl w:val="0"/>
          <w:numId w:val="6"/>
        </w:numPr>
        <w:tabs>
          <w:tab w:val="left" w:pos="426"/>
        </w:tabs>
        <w:spacing w:line="276" w:lineRule="auto"/>
        <w:ind w:left="284" w:hanging="284"/>
        <w:jc w:val="both"/>
        <w:rPr>
          <w:rFonts w:ascii="Arial" w:eastAsia="Calibri" w:hAnsi="Arial" w:cs="Arial"/>
          <w:b/>
          <w:sz w:val="22"/>
          <w:lang w:val="es-CO"/>
        </w:rPr>
      </w:pPr>
      <w:r w:rsidRPr="00BB0056">
        <w:rPr>
          <w:rFonts w:ascii="Arial" w:eastAsia="Calibri" w:hAnsi="Arial" w:cs="Arial"/>
          <w:b/>
          <w:sz w:val="22"/>
          <w:lang w:val="es-CO"/>
        </w:rPr>
        <w:lastRenderedPageBreak/>
        <w:t>Consideraciones</w:t>
      </w:r>
    </w:p>
    <w:p w14:paraId="50BDED16" w14:textId="77777777" w:rsidR="00990612" w:rsidRDefault="00990612" w:rsidP="00990612">
      <w:pPr>
        <w:tabs>
          <w:tab w:val="left" w:pos="426"/>
        </w:tabs>
        <w:spacing w:line="276" w:lineRule="auto"/>
        <w:jc w:val="both"/>
        <w:rPr>
          <w:rFonts w:ascii="Arial" w:eastAsia="Calibri" w:hAnsi="Arial" w:cs="Arial"/>
          <w:b/>
          <w:sz w:val="22"/>
          <w:lang w:val="es-CO"/>
        </w:rPr>
      </w:pPr>
    </w:p>
    <w:p w14:paraId="213D3F82" w14:textId="77777777" w:rsidR="00990612" w:rsidRDefault="00990612" w:rsidP="00990612">
      <w:pPr>
        <w:tabs>
          <w:tab w:val="left" w:pos="426"/>
        </w:tabs>
        <w:spacing w:line="276" w:lineRule="auto"/>
        <w:jc w:val="both"/>
        <w:rPr>
          <w:rFonts w:ascii="Arial" w:eastAsia="Calibri" w:hAnsi="Arial" w:cs="Arial"/>
          <w:bCs/>
          <w:sz w:val="22"/>
          <w:lang w:val="es-CO"/>
        </w:rPr>
      </w:pPr>
      <w:r>
        <w:rPr>
          <w:rFonts w:ascii="Arial" w:eastAsia="Calibri" w:hAnsi="Arial" w:cs="Arial"/>
          <w:bCs/>
          <w:sz w:val="22"/>
          <w:lang w:val="es-CO"/>
        </w:rPr>
        <w:t xml:space="preserve">Para efectos de resolver la consulta se analizará: i) características del plazo en el contrato estatal y </w:t>
      </w:r>
      <w:proofErr w:type="spellStart"/>
      <w:r>
        <w:rPr>
          <w:rFonts w:ascii="Arial" w:eastAsia="Calibri" w:hAnsi="Arial" w:cs="Arial"/>
          <w:bCs/>
          <w:sz w:val="22"/>
          <w:lang w:val="es-CO"/>
        </w:rPr>
        <w:t>ii</w:t>
      </w:r>
      <w:proofErr w:type="spellEnd"/>
      <w:r>
        <w:rPr>
          <w:rFonts w:ascii="Arial" w:eastAsia="Calibri" w:hAnsi="Arial" w:cs="Arial"/>
          <w:bCs/>
          <w:sz w:val="22"/>
          <w:lang w:val="es-CO"/>
        </w:rPr>
        <w:t>) competencia de las entidades públicas para imponer sanciones pecuniarias. D</w:t>
      </w:r>
      <w:r w:rsidRPr="00FF4A64">
        <w:rPr>
          <w:rFonts w:ascii="Arial" w:eastAsia="Calibri" w:hAnsi="Arial" w:cs="Arial"/>
          <w:bCs/>
          <w:sz w:val="22"/>
          <w:lang w:val="es-CO"/>
        </w:rPr>
        <w:t>e acuerdo con las normas, jurisprudencia y doctrina aplicable</w:t>
      </w:r>
      <w:r>
        <w:rPr>
          <w:rFonts w:ascii="Arial" w:eastAsia="Calibri" w:hAnsi="Arial" w:cs="Arial"/>
          <w:bCs/>
          <w:sz w:val="22"/>
          <w:lang w:val="es-CO"/>
        </w:rPr>
        <w:t>, l</w:t>
      </w:r>
      <w:r w:rsidRPr="00FF4A64">
        <w:rPr>
          <w:rFonts w:ascii="Arial" w:eastAsia="Calibri" w:hAnsi="Arial" w:cs="Arial"/>
          <w:bCs/>
          <w:sz w:val="22"/>
          <w:lang w:val="es-CO"/>
        </w:rPr>
        <w:t xml:space="preserve">a Agencia Nacional de Contratación Pública – Colombia Compra Eficiente se refirió </w:t>
      </w:r>
      <w:r>
        <w:rPr>
          <w:rFonts w:ascii="Arial" w:eastAsia="Calibri" w:hAnsi="Arial" w:cs="Arial"/>
          <w:bCs/>
          <w:sz w:val="22"/>
          <w:lang w:val="es-CO"/>
        </w:rPr>
        <w:t>a ambos temas</w:t>
      </w:r>
      <w:r w:rsidRPr="00FF4A64">
        <w:rPr>
          <w:rFonts w:ascii="Arial" w:eastAsia="Calibri" w:hAnsi="Arial" w:cs="Arial"/>
          <w:bCs/>
          <w:sz w:val="22"/>
          <w:lang w:val="es-CO"/>
        </w:rPr>
        <w:t xml:space="preserve"> en l</w:t>
      </w:r>
      <w:r>
        <w:rPr>
          <w:rFonts w:ascii="Arial" w:eastAsia="Calibri" w:hAnsi="Arial" w:cs="Arial"/>
          <w:bCs/>
          <w:sz w:val="22"/>
          <w:lang w:val="es-CO"/>
        </w:rPr>
        <w:t>os</w:t>
      </w:r>
      <w:r w:rsidRPr="00FF4A64">
        <w:rPr>
          <w:rFonts w:ascii="Arial" w:eastAsia="Calibri" w:hAnsi="Arial" w:cs="Arial"/>
          <w:bCs/>
          <w:sz w:val="22"/>
          <w:lang w:val="es-CO"/>
        </w:rPr>
        <w:t xml:space="preserve"> Concepto</w:t>
      </w:r>
      <w:r>
        <w:rPr>
          <w:rFonts w:ascii="Arial" w:eastAsia="Calibri" w:hAnsi="Arial" w:cs="Arial"/>
          <w:bCs/>
          <w:sz w:val="22"/>
          <w:lang w:val="es-CO"/>
        </w:rPr>
        <w:t>s</w:t>
      </w:r>
      <w:r w:rsidRPr="00FF4A64">
        <w:rPr>
          <w:rFonts w:ascii="Arial" w:eastAsia="Calibri" w:hAnsi="Arial" w:cs="Arial"/>
          <w:bCs/>
          <w:sz w:val="22"/>
          <w:lang w:val="es-CO"/>
        </w:rPr>
        <w:t xml:space="preserve"> C-432 del 27 de julio de 2020</w:t>
      </w:r>
      <w:r>
        <w:rPr>
          <w:rFonts w:ascii="Arial" w:eastAsia="Calibri" w:hAnsi="Arial" w:cs="Arial"/>
          <w:bCs/>
          <w:sz w:val="22"/>
          <w:lang w:val="es-CO"/>
        </w:rPr>
        <w:t xml:space="preserve"> y C-646 del 9 de noviembre de 2020</w:t>
      </w:r>
      <w:r w:rsidRPr="00FF4A64">
        <w:rPr>
          <w:rFonts w:ascii="Arial" w:eastAsia="Calibri" w:hAnsi="Arial" w:cs="Arial"/>
          <w:bCs/>
          <w:sz w:val="22"/>
          <w:lang w:val="es-CO"/>
        </w:rPr>
        <w:t>. La tesis desarrollada en estos conceptos se reitera a continuación</w:t>
      </w:r>
      <w:r>
        <w:rPr>
          <w:rFonts w:ascii="Arial" w:eastAsia="Calibri" w:hAnsi="Arial" w:cs="Arial"/>
          <w:bCs/>
          <w:sz w:val="22"/>
          <w:lang w:val="es-CO"/>
        </w:rPr>
        <w:t>:</w:t>
      </w:r>
    </w:p>
    <w:p w14:paraId="45BA21E3" w14:textId="77777777" w:rsidR="00990612" w:rsidRDefault="00990612" w:rsidP="00990612">
      <w:pPr>
        <w:tabs>
          <w:tab w:val="left" w:pos="426"/>
        </w:tabs>
        <w:spacing w:line="276" w:lineRule="auto"/>
        <w:jc w:val="both"/>
        <w:rPr>
          <w:rFonts w:ascii="Arial" w:eastAsia="Calibri" w:hAnsi="Arial" w:cs="Arial"/>
          <w:bCs/>
          <w:sz w:val="22"/>
          <w:lang w:val="es-CO"/>
        </w:rPr>
      </w:pPr>
    </w:p>
    <w:p w14:paraId="10B2DC22" w14:textId="77777777" w:rsidR="00990612" w:rsidRDefault="00990612" w:rsidP="00990612">
      <w:pPr>
        <w:tabs>
          <w:tab w:val="left" w:pos="426"/>
        </w:tabs>
        <w:spacing w:line="276" w:lineRule="auto"/>
        <w:jc w:val="both"/>
        <w:rPr>
          <w:rFonts w:ascii="Arial" w:eastAsia="Calibri" w:hAnsi="Arial" w:cs="Arial"/>
          <w:b/>
          <w:sz w:val="22"/>
          <w:lang w:val="es-CO"/>
        </w:rPr>
      </w:pPr>
      <w:r w:rsidRPr="00971A67">
        <w:rPr>
          <w:rFonts w:ascii="Arial" w:eastAsia="Calibri" w:hAnsi="Arial" w:cs="Arial"/>
          <w:b/>
          <w:sz w:val="22"/>
          <w:lang w:val="es-CO"/>
        </w:rPr>
        <w:t xml:space="preserve">2.1. </w:t>
      </w:r>
      <w:r>
        <w:rPr>
          <w:rFonts w:ascii="Arial" w:eastAsia="Calibri" w:hAnsi="Arial" w:cs="Arial"/>
          <w:b/>
          <w:sz w:val="22"/>
          <w:lang w:val="es-CO"/>
        </w:rPr>
        <w:t>Características del plazo en el contrato estatal</w:t>
      </w:r>
    </w:p>
    <w:p w14:paraId="38B3AF96" w14:textId="77777777" w:rsidR="00990612" w:rsidRPr="00971A67" w:rsidRDefault="00990612" w:rsidP="00990612">
      <w:pPr>
        <w:tabs>
          <w:tab w:val="left" w:pos="426"/>
        </w:tabs>
        <w:spacing w:line="276" w:lineRule="auto"/>
        <w:jc w:val="both"/>
        <w:rPr>
          <w:rFonts w:ascii="Arial" w:eastAsia="Calibri" w:hAnsi="Arial" w:cs="Arial"/>
          <w:b/>
          <w:sz w:val="22"/>
          <w:lang w:val="es-CO"/>
        </w:rPr>
      </w:pPr>
    </w:p>
    <w:p w14:paraId="6063DFE9" w14:textId="77777777" w:rsidR="00990612" w:rsidRPr="009C55A7" w:rsidRDefault="00990612" w:rsidP="00990612">
      <w:pPr>
        <w:tabs>
          <w:tab w:val="left" w:pos="426"/>
        </w:tabs>
        <w:spacing w:after="120" w:line="276" w:lineRule="auto"/>
        <w:jc w:val="both"/>
        <w:rPr>
          <w:rFonts w:ascii="Arial" w:eastAsia="Calibri" w:hAnsi="Arial" w:cs="Arial"/>
          <w:bCs/>
          <w:sz w:val="22"/>
          <w:lang w:val="es-CO"/>
        </w:rPr>
      </w:pPr>
      <w:r>
        <w:rPr>
          <w:rFonts w:ascii="Arial" w:eastAsia="Calibri" w:hAnsi="Arial" w:cs="Arial"/>
          <w:sz w:val="22"/>
        </w:rPr>
        <w:t>E</w:t>
      </w:r>
      <w:r w:rsidRPr="00000B04">
        <w:rPr>
          <w:rFonts w:ascii="Arial" w:eastAsia="Calibri" w:hAnsi="Arial" w:cs="Arial"/>
          <w:sz w:val="22"/>
        </w:rPr>
        <w:t>l artículo 1551</w:t>
      </w:r>
      <w:r>
        <w:rPr>
          <w:rFonts w:ascii="Arial" w:eastAsia="Calibri" w:hAnsi="Arial" w:cs="Arial"/>
          <w:sz w:val="22"/>
        </w:rPr>
        <w:t xml:space="preserve"> d</w:t>
      </w:r>
      <w:r w:rsidRPr="00000B04">
        <w:rPr>
          <w:rFonts w:ascii="Arial" w:eastAsia="Calibri" w:hAnsi="Arial" w:cs="Arial"/>
          <w:sz w:val="22"/>
        </w:rPr>
        <w:t>el Código Civil</w:t>
      </w:r>
      <w:r>
        <w:rPr>
          <w:rFonts w:ascii="Arial" w:eastAsia="Calibri" w:hAnsi="Arial" w:cs="Arial"/>
          <w:sz w:val="22"/>
        </w:rPr>
        <w:t xml:space="preserve"> </w:t>
      </w:r>
      <w:r w:rsidRPr="00000B04">
        <w:rPr>
          <w:rFonts w:ascii="Arial" w:eastAsia="Calibri" w:hAnsi="Arial" w:cs="Arial"/>
          <w:sz w:val="22"/>
        </w:rPr>
        <w:t xml:space="preserve">define el «plazo» como la época para cumplir una obligación. El plazo puede ser i) expreso o </w:t>
      </w:r>
      <w:proofErr w:type="spellStart"/>
      <w:r w:rsidRPr="00000B04">
        <w:rPr>
          <w:rFonts w:ascii="Arial" w:eastAsia="Calibri" w:hAnsi="Arial" w:cs="Arial"/>
          <w:sz w:val="22"/>
        </w:rPr>
        <w:t>ii</w:t>
      </w:r>
      <w:proofErr w:type="spellEnd"/>
      <w:r w:rsidRPr="00000B04">
        <w:rPr>
          <w:rFonts w:ascii="Arial" w:eastAsia="Calibri" w:hAnsi="Arial" w:cs="Arial"/>
          <w:sz w:val="22"/>
        </w:rPr>
        <w:t>) tácito</w:t>
      </w:r>
      <w:r w:rsidRPr="00000B04">
        <w:rPr>
          <w:rStyle w:val="Refdenotaalpie"/>
          <w:rFonts w:ascii="Arial" w:eastAsia="Calibri" w:hAnsi="Arial" w:cs="Arial"/>
          <w:sz w:val="22"/>
        </w:rPr>
        <w:footnoteReference w:id="1"/>
      </w:r>
      <w:r w:rsidRPr="00000B04">
        <w:rPr>
          <w:rFonts w:ascii="Arial" w:eastAsia="Calibri" w:hAnsi="Arial" w:cs="Arial"/>
          <w:sz w:val="22"/>
        </w:rPr>
        <w:t xml:space="preserve">. La doctrina define el «plazo» como un hecho futuro y cierto para </w:t>
      </w:r>
      <w:r>
        <w:rPr>
          <w:rFonts w:ascii="Arial" w:eastAsia="Calibri" w:hAnsi="Arial" w:cs="Arial"/>
          <w:sz w:val="22"/>
        </w:rPr>
        <w:t>el nacimiento o la extinción de</w:t>
      </w:r>
      <w:r w:rsidRPr="00000B04">
        <w:rPr>
          <w:rFonts w:ascii="Arial" w:eastAsia="Calibri" w:hAnsi="Arial" w:cs="Arial"/>
          <w:sz w:val="22"/>
        </w:rPr>
        <w:t xml:space="preserve"> un derecho, y elabora una clasificación de los plazos de la cual se destacan el plazo expreso y tácito, que complementa lo señalado en el Código Civil. Respecto del plazo expreso indica que es el señalado en términos explícitos, y el plazo tácito «[…] tiene lugar cuando no existe plazo expreso y la obligación no es susceptible de cumplirse inmediatamente […]»</w:t>
      </w:r>
      <w:r w:rsidRPr="00000B04">
        <w:rPr>
          <w:rStyle w:val="Refdenotaalpie"/>
          <w:rFonts w:ascii="Arial" w:eastAsia="Calibri" w:hAnsi="Arial" w:cs="Arial"/>
          <w:sz w:val="22"/>
        </w:rPr>
        <w:footnoteReference w:id="2"/>
      </w:r>
      <w:r w:rsidRPr="00000B04">
        <w:rPr>
          <w:rFonts w:ascii="Arial" w:eastAsia="Calibri" w:hAnsi="Arial" w:cs="Arial"/>
          <w:sz w:val="22"/>
        </w:rPr>
        <w:t>.</w:t>
      </w:r>
    </w:p>
    <w:p w14:paraId="7291E65A" w14:textId="77777777" w:rsidR="00990612" w:rsidRDefault="00990612" w:rsidP="00990612">
      <w:pPr>
        <w:spacing w:after="120" w:line="276" w:lineRule="auto"/>
        <w:jc w:val="both"/>
        <w:rPr>
          <w:rFonts w:ascii="Arial" w:eastAsia="Calibri" w:hAnsi="Arial" w:cs="Arial"/>
          <w:sz w:val="22"/>
        </w:rPr>
      </w:pPr>
      <w:r>
        <w:rPr>
          <w:rFonts w:ascii="Arial" w:eastAsia="Calibri" w:hAnsi="Arial" w:cs="Arial"/>
          <w:sz w:val="22"/>
        </w:rPr>
        <w:tab/>
        <w:t xml:space="preserve">Particularmente, el plazo es una de las modalidades por la cual las obligaciones dejan de ser puras y simples. De hecho, la regla general es que el nacimiento del derecho sea concomitante con su exigibilidad, lo que repercute en el cumplimiento inmediato de la prestación debida. Sin embargo, con las cláusulas relativas al plazo, las partes modulan cualquiera de estos dos (2) elementos haciendo que las obligaciones sean exigibles o que los derechos se extingan con el vencimiento de un periodo determinado en el contrato.    </w:t>
      </w:r>
    </w:p>
    <w:p w14:paraId="623EFC6F" w14:textId="77777777" w:rsidR="00990612" w:rsidRPr="00000B04" w:rsidRDefault="00990612" w:rsidP="00990612">
      <w:pPr>
        <w:spacing w:line="276" w:lineRule="auto"/>
        <w:jc w:val="both"/>
        <w:rPr>
          <w:rFonts w:ascii="Arial" w:eastAsia="Calibri" w:hAnsi="Arial" w:cs="Arial"/>
          <w:sz w:val="22"/>
        </w:rPr>
      </w:pPr>
      <w:r>
        <w:rPr>
          <w:rFonts w:ascii="Arial" w:eastAsia="Calibri" w:hAnsi="Arial" w:cs="Arial"/>
          <w:sz w:val="22"/>
        </w:rPr>
        <w:tab/>
        <w:t xml:space="preserve">Esta precisión es relevante para el tema objeto de consulta, pues es necesario tener en cuenta la diferencia entre los efectos de los plazos suspensivos y resolutorios. Los primeros tienen por objeto suspender la exigibilidad de las obligaciones, por lo que una vez vencido pasan a ser puras y simples de forma tal que el acreedor puede reclamar el cumplimiento inmediato de las prestaciones. En esta medida, «Cuando hay plazo suspensivo pendiente, el derecho respectivo ya ha nacido, tiene existencia real y útil. Lo que falta es solo la llegada del instante en que ese derecho puede ejercitarse, y </w:t>
      </w:r>
      <w:r>
        <w:rPr>
          <w:rFonts w:ascii="Arial" w:eastAsia="Calibri" w:hAnsi="Arial" w:cs="Arial"/>
          <w:sz w:val="22"/>
        </w:rPr>
        <w:lastRenderedPageBreak/>
        <w:t>consecuentemente, obligar al deudor»</w:t>
      </w:r>
      <w:r>
        <w:rPr>
          <w:rStyle w:val="Refdenotaalpie"/>
          <w:rFonts w:ascii="Arial" w:eastAsia="Calibri" w:hAnsi="Arial" w:cs="Arial"/>
          <w:sz w:val="22"/>
        </w:rPr>
        <w:footnoteReference w:id="3"/>
      </w:r>
      <w:r>
        <w:rPr>
          <w:rFonts w:ascii="Arial" w:eastAsia="Calibri" w:hAnsi="Arial" w:cs="Arial"/>
          <w:sz w:val="22"/>
        </w:rPr>
        <w:t>. En contraste, los segundos tiene por efecto extinguir los derechos y las obligaciones nacidas del contrato, por lo que estando pendiente el vencimiento, la exigibilidad de las prestaciones es inmediata y el acreedor puede solicitar su cumplimiento, pero una vez se agota el plazo, el contrato pierde sus efectos</w:t>
      </w:r>
      <w:r>
        <w:rPr>
          <w:rStyle w:val="Refdenotaalpie"/>
          <w:rFonts w:ascii="Arial" w:eastAsia="Calibri" w:hAnsi="Arial" w:cs="Arial"/>
          <w:sz w:val="22"/>
        </w:rPr>
        <w:footnoteReference w:id="4"/>
      </w:r>
      <w:r w:rsidRPr="00000B04">
        <w:rPr>
          <w:rFonts w:ascii="Arial" w:eastAsia="Calibri" w:hAnsi="Arial" w:cs="Arial"/>
          <w:sz w:val="22"/>
        </w:rPr>
        <w:t xml:space="preserve">. Sobre el particular, el Consejo de Estado </w:t>
      </w:r>
      <w:r>
        <w:rPr>
          <w:rFonts w:ascii="Arial" w:eastAsia="Calibri" w:hAnsi="Arial" w:cs="Arial"/>
          <w:sz w:val="22"/>
        </w:rPr>
        <w:t>explica que</w:t>
      </w:r>
      <w:r w:rsidRPr="00000B04">
        <w:rPr>
          <w:rFonts w:ascii="Arial" w:eastAsia="Calibri" w:hAnsi="Arial" w:cs="Arial"/>
          <w:sz w:val="22"/>
        </w:rPr>
        <w:t>:</w:t>
      </w:r>
    </w:p>
    <w:p w14:paraId="25672457" w14:textId="77777777" w:rsidR="00990612" w:rsidRPr="00000B04" w:rsidRDefault="00990612" w:rsidP="00990612">
      <w:pPr>
        <w:spacing w:line="276" w:lineRule="auto"/>
        <w:ind w:firstLine="709"/>
        <w:jc w:val="both"/>
        <w:rPr>
          <w:rFonts w:ascii="Arial" w:eastAsia="Calibri" w:hAnsi="Arial" w:cs="Arial"/>
          <w:sz w:val="22"/>
        </w:rPr>
      </w:pPr>
    </w:p>
    <w:p w14:paraId="00E9D44F" w14:textId="77777777" w:rsidR="00990612" w:rsidRPr="00000B04" w:rsidRDefault="00990612" w:rsidP="00990612">
      <w:pPr>
        <w:ind w:left="709" w:right="709"/>
        <w:jc w:val="both"/>
        <w:rPr>
          <w:rFonts w:ascii="Arial" w:eastAsia="Calibri" w:hAnsi="Arial" w:cs="Arial"/>
          <w:sz w:val="21"/>
          <w:szCs w:val="21"/>
        </w:rPr>
      </w:pPr>
      <w:r>
        <w:rPr>
          <w:rFonts w:ascii="Arial" w:eastAsia="Calibri" w:hAnsi="Arial" w:cs="Arial"/>
          <w:sz w:val="21"/>
          <w:szCs w:val="21"/>
        </w:rPr>
        <w:t>A</w:t>
      </w:r>
      <w:r w:rsidRPr="00000B04">
        <w:rPr>
          <w:rFonts w:ascii="Arial" w:eastAsia="Calibri" w:hAnsi="Arial" w:cs="Arial"/>
          <w:sz w:val="21"/>
          <w:szCs w:val="21"/>
        </w:rPr>
        <w:t xml:space="preserve">lgunas obligaciones se contraen para ser cumplidas durante un plazo o en un día cierto, son las denominadas por la doctrina como </w:t>
      </w:r>
      <w:r w:rsidRPr="00283458">
        <w:rPr>
          <w:rFonts w:ascii="Arial" w:eastAsia="Calibri" w:hAnsi="Arial" w:cs="Arial"/>
          <w:i/>
          <w:iCs/>
          <w:sz w:val="21"/>
          <w:szCs w:val="21"/>
        </w:rPr>
        <w:t>ex die</w:t>
      </w:r>
      <w:r w:rsidRPr="00000B04">
        <w:rPr>
          <w:rFonts w:ascii="Arial" w:eastAsia="Calibri" w:hAnsi="Arial" w:cs="Arial"/>
          <w:sz w:val="21"/>
          <w:szCs w:val="21"/>
        </w:rPr>
        <w:t xml:space="preserve"> o </w:t>
      </w:r>
      <w:r w:rsidRPr="00283458">
        <w:rPr>
          <w:rFonts w:ascii="Arial" w:eastAsia="Calibri" w:hAnsi="Arial" w:cs="Arial"/>
          <w:i/>
          <w:iCs/>
          <w:sz w:val="21"/>
          <w:szCs w:val="21"/>
        </w:rPr>
        <w:t>sub die</w:t>
      </w:r>
      <w:r w:rsidRPr="00000B04">
        <w:rPr>
          <w:rFonts w:ascii="Arial" w:eastAsia="Calibri" w:hAnsi="Arial" w:cs="Arial"/>
          <w:sz w:val="21"/>
          <w:szCs w:val="21"/>
        </w:rPr>
        <w:t xml:space="preserve"> y otras se contraen para producir efectos hasta una época o día que se fija, las cuales se denominan </w:t>
      </w:r>
      <w:r w:rsidRPr="00283458">
        <w:rPr>
          <w:rFonts w:ascii="Arial" w:eastAsia="Calibri" w:hAnsi="Arial" w:cs="Arial"/>
          <w:i/>
          <w:iCs/>
          <w:sz w:val="21"/>
          <w:szCs w:val="21"/>
        </w:rPr>
        <w:t>ad diem</w:t>
      </w:r>
      <w:r w:rsidRPr="00000B04">
        <w:rPr>
          <w:rFonts w:ascii="Arial" w:eastAsia="Calibri" w:hAnsi="Arial" w:cs="Arial"/>
          <w:sz w:val="21"/>
          <w:szCs w:val="21"/>
        </w:rPr>
        <w:t>, por tal razón, el plazo puede concebirse en función de la exigibilidad del pago o cumplimiento, o de la extinción del vínculo jurídico, diferenciándose así de las obligaciones puras y simples, las cuales no están sujetas a ninguna modalidad para su exigibilidad, es decir, nacen y se hacen exigibles en el mismo instante.</w:t>
      </w:r>
    </w:p>
    <w:p w14:paraId="25827EBE" w14:textId="77777777" w:rsidR="00990612" w:rsidRPr="00000B04" w:rsidRDefault="00990612" w:rsidP="00990612">
      <w:pPr>
        <w:spacing w:after="120"/>
        <w:ind w:left="709" w:right="709"/>
        <w:jc w:val="both"/>
        <w:rPr>
          <w:rFonts w:ascii="Arial" w:eastAsia="Calibri" w:hAnsi="Arial" w:cs="Arial"/>
          <w:sz w:val="21"/>
          <w:szCs w:val="21"/>
        </w:rPr>
      </w:pPr>
      <w:r w:rsidRPr="00000B04">
        <w:rPr>
          <w:rFonts w:ascii="Arial" w:eastAsia="Calibri" w:hAnsi="Arial" w:cs="Arial"/>
          <w:sz w:val="21"/>
          <w:szCs w:val="21"/>
        </w:rPr>
        <w:t>[…]</w:t>
      </w:r>
    </w:p>
    <w:p w14:paraId="1A4500AA" w14:textId="77777777" w:rsidR="00990612" w:rsidRDefault="00990612" w:rsidP="00990612">
      <w:pPr>
        <w:ind w:left="709" w:right="709"/>
        <w:jc w:val="both"/>
        <w:rPr>
          <w:rFonts w:ascii="Arial" w:eastAsia="Calibri" w:hAnsi="Arial" w:cs="Arial"/>
          <w:sz w:val="22"/>
        </w:rPr>
      </w:pPr>
      <w:r>
        <w:rPr>
          <w:rFonts w:ascii="Arial" w:eastAsia="Calibri" w:hAnsi="Arial" w:cs="Arial"/>
          <w:sz w:val="21"/>
          <w:szCs w:val="21"/>
        </w:rPr>
        <w:t>E</w:t>
      </w:r>
      <w:r w:rsidRPr="00000B04">
        <w:rPr>
          <w:rFonts w:ascii="Arial" w:eastAsia="Calibri" w:hAnsi="Arial" w:cs="Arial"/>
          <w:sz w:val="21"/>
          <w:szCs w:val="21"/>
        </w:rPr>
        <w:t xml:space="preserve">l plazo </w:t>
      </w:r>
      <w:r w:rsidRPr="00283458">
        <w:rPr>
          <w:rFonts w:ascii="Arial" w:eastAsia="Calibri" w:hAnsi="Arial" w:cs="Arial"/>
          <w:i/>
          <w:iCs/>
          <w:sz w:val="21"/>
          <w:szCs w:val="21"/>
        </w:rPr>
        <w:t>ex die</w:t>
      </w:r>
      <w:r w:rsidRPr="00000B04">
        <w:rPr>
          <w:rFonts w:ascii="Arial" w:eastAsia="Calibri" w:hAnsi="Arial" w:cs="Arial"/>
          <w:sz w:val="21"/>
          <w:szCs w:val="21"/>
        </w:rPr>
        <w:t xml:space="preserve"> o </w:t>
      </w:r>
      <w:r w:rsidRPr="00283458">
        <w:rPr>
          <w:rFonts w:ascii="Arial" w:eastAsia="Calibri" w:hAnsi="Arial" w:cs="Arial"/>
          <w:i/>
          <w:iCs/>
          <w:sz w:val="21"/>
          <w:szCs w:val="21"/>
        </w:rPr>
        <w:t>sub die</w:t>
      </w:r>
      <w:r w:rsidRPr="00000B04">
        <w:rPr>
          <w:rFonts w:ascii="Arial" w:eastAsia="Calibri" w:hAnsi="Arial" w:cs="Arial"/>
          <w:sz w:val="21"/>
          <w:szCs w:val="21"/>
        </w:rPr>
        <w:t xml:space="preserve">, que la doctrina ha denominado término suspensivo, primordial o inicial, tiene como finalidad suspender la exigibilidad de las obligaciones en el tiempo hasta el acaecimiento del momento dispuesto, por </w:t>
      </w:r>
      <w:proofErr w:type="gramStart"/>
      <w:r w:rsidRPr="00000B04">
        <w:rPr>
          <w:rFonts w:ascii="Arial" w:eastAsia="Calibri" w:hAnsi="Arial" w:cs="Arial"/>
          <w:sz w:val="21"/>
          <w:szCs w:val="21"/>
        </w:rPr>
        <w:t>ende</w:t>
      </w:r>
      <w:proofErr w:type="gramEnd"/>
      <w:r>
        <w:rPr>
          <w:rFonts w:ascii="Arial" w:eastAsia="Calibri" w:hAnsi="Arial" w:cs="Arial"/>
          <w:sz w:val="21"/>
          <w:szCs w:val="21"/>
        </w:rPr>
        <w:t xml:space="preserve"> </w:t>
      </w:r>
      <w:r w:rsidRPr="00000B04">
        <w:rPr>
          <w:rFonts w:ascii="Arial" w:eastAsia="Calibri" w:hAnsi="Arial" w:cs="Arial"/>
          <w:sz w:val="21"/>
          <w:szCs w:val="21"/>
        </w:rPr>
        <w:t>su incumplimiento durante el interregno comprendido entre el surgimiento del vínculo jurídico y hasta antes del vencimiento del plazo, no conlleva consecuencias jurídicas, es decir, hasta antes de la llegada del plazo el derecho no puede exigirse</w:t>
      </w:r>
      <w:r w:rsidRPr="00000B04">
        <w:rPr>
          <w:rStyle w:val="Refdenotaalpie"/>
          <w:rFonts w:ascii="Arial" w:eastAsia="Calibri" w:hAnsi="Arial" w:cs="Arial"/>
          <w:sz w:val="21"/>
          <w:szCs w:val="21"/>
        </w:rPr>
        <w:footnoteReference w:id="5"/>
      </w:r>
      <w:r>
        <w:rPr>
          <w:rFonts w:ascii="Arial" w:eastAsia="Calibri" w:hAnsi="Arial" w:cs="Arial"/>
          <w:sz w:val="21"/>
          <w:szCs w:val="21"/>
        </w:rPr>
        <w:t>.</w:t>
      </w:r>
    </w:p>
    <w:p w14:paraId="64373D3B" w14:textId="77777777" w:rsidR="00990612" w:rsidRDefault="00990612" w:rsidP="00990612">
      <w:pPr>
        <w:spacing w:line="276" w:lineRule="auto"/>
        <w:jc w:val="both"/>
        <w:rPr>
          <w:rFonts w:ascii="Arial" w:eastAsia="Calibri" w:hAnsi="Arial" w:cs="Arial"/>
          <w:sz w:val="22"/>
        </w:rPr>
      </w:pPr>
    </w:p>
    <w:p w14:paraId="3634DCDC" w14:textId="77777777" w:rsidR="00990612" w:rsidRPr="00000B04" w:rsidRDefault="00990612" w:rsidP="00990612">
      <w:pPr>
        <w:spacing w:after="120" w:line="276" w:lineRule="auto"/>
        <w:ind w:firstLine="708"/>
        <w:jc w:val="both"/>
        <w:rPr>
          <w:rFonts w:ascii="Arial" w:eastAsia="Calibri" w:hAnsi="Arial" w:cs="Arial"/>
          <w:sz w:val="22"/>
        </w:rPr>
      </w:pPr>
      <w:r>
        <w:rPr>
          <w:rFonts w:ascii="Arial" w:eastAsia="Calibri" w:hAnsi="Arial" w:cs="Arial"/>
          <w:sz w:val="22"/>
        </w:rPr>
        <w:t xml:space="preserve">Ahora bien, </w:t>
      </w:r>
      <w:bookmarkStart w:id="5" w:name="_Hlk58923654"/>
      <w:bookmarkStart w:id="6" w:name="_Hlk55584494"/>
      <w:r>
        <w:rPr>
          <w:rFonts w:ascii="Arial" w:eastAsia="Calibri" w:hAnsi="Arial" w:cs="Arial"/>
          <w:sz w:val="22"/>
        </w:rPr>
        <w:t xml:space="preserve">los plazos tienen naturaleza suspensiva tratándose de los contratos de elaboración de estudios y diseños, porque la exigibilidad de las obligaciones está suspendida mientras el término esté pendiente: la Administración solo podrá exigir el cumplimiento cuando venza el plazo de entrega, pues solo a partir de ese momento las </w:t>
      </w:r>
      <w:r>
        <w:rPr>
          <w:rFonts w:ascii="Arial" w:eastAsia="Calibri" w:hAnsi="Arial" w:cs="Arial"/>
          <w:sz w:val="22"/>
        </w:rPr>
        <w:lastRenderedPageBreak/>
        <w:t xml:space="preserve">obligaciones son puras y simples. De hecho, el plazo no extingue el contrato, ya que requiere la ejecución del objeto contractual. Lo contrario equivale a afirmar </w:t>
      </w:r>
      <w:proofErr w:type="gramStart"/>
      <w:r>
        <w:rPr>
          <w:rFonts w:ascii="Arial" w:eastAsia="Calibri" w:hAnsi="Arial" w:cs="Arial"/>
          <w:sz w:val="22"/>
        </w:rPr>
        <w:t>que</w:t>
      </w:r>
      <w:proofErr w:type="gramEnd"/>
      <w:r>
        <w:rPr>
          <w:rFonts w:ascii="Arial" w:eastAsia="Calibri" w:hAnsi="Arial" w:cs="Arial"/>
          <w:sz w:val="22"/>
        </w:rPr>
        <w:t xml:space="preserve"> si las obligaciones no se cumplen oportunamente, la entidad pierde el derecho a obtener el pago de la prestación debida. Esta conclusión no sólo sería contraria al interés público como fin de la contratación estatal, sino que desconoce la normas sobre el pago de los artículos 1626 y siguientes del Código Civil, razón por la cual, sin perjuicio de la responsabilidad del contratista por cumplimiento extemporáneo, la entidad puede recibir lo que ejecute el contratista después de vencido el plazo del contrato, lo que se extiende a la exigibilidad de lo que está pendiente por cumplir</w:t>
      </w:r>
      <w:bookmarkEnd w:id="5"/>
      <w:r>
        <w:rPr>
          <w:rFonts w:ascii="Arial" w:eastAsia="Calibri" w:hAnsi="Arial" w:cs="Arial"/>
          <w:sz w:val="22"/>
        </w:rPr>
        <w:t xml:space="preserve">.   </w:t>
      </w:r>
      <w:bookmarkEnd w:id="6"/>
      <w:r>
        <w:rPr>
          <w:rFonts w:ascii="Arial" w:eastAsia="Calibri" w:hAnsi="Arial" w:cs="Arial"/>
          <w:sz w:val="22"/>
        </w:rPr>
        <w:t xml:space="preserve">           </w:t>
      </w:r>
      <w:r>
        <w:rPr>
          <w:rFonts w:ascii="Arial" w:eastAsia="Calibri" w:hAnsi="Arial" w:cs="Arial"/>
          <w:sz w:val="22"/>
        </w:rPr>
        <w:tab/>
        <w:t xml:space="preserve">       </w:t>
      </w:r>
    </w:p>
    <w:p w14:paraId="2509AC9B" w14:textId="77777777" w:rsidR="00990612" w:rsidRPr="00000B04" w:rsidRDefault="00990612" w:rsidP="00990612">
      <w:pPr>
        <w:spacing w:line="276" w:lineRule="auto"/>
        <w:jc w:val="both"/>
        <w:rPr>
          <w:rFonts w:ascii="Arial" w:eastAsia="Calibri" w:hAnsi="Arial" w:cs="Arial"/>
          <w:sz w:val="22"/>
        </w:rPr>
      </w:pPr>
      <w:r w:rsidRPr="00000B04">
        <w:rPr>
          <w:rFonts w:ascii="Arial" w:eastAsia="Calibri" w:hAnsi="Arial" w:cs="Arial"/>
          <w:sz w:val="22"/>
        </w:rPr>
        <w:tab/>
      </w:r>
      <w:r>
        <w:rPr>
          <w:rFonts w:ascii="Arial" w:eastAsia="Calibri" w:hAnsi="Arial" w:cs="Arial"/>
          <w:sz w:val="22"/>
        </w:rPr>
        <w:t>De esta manera</w:t>
      </w:r>
      <w:r w:rsidRPr="00000B04">
        <w:rPr>
          <w:rFonts w:ascii="Arial" w:eastAsia="Calibri" w:hAnsi="Arial" w:cs="Arial"/>
          <w:sz w:val="22"/>
        </w:rPr>
        <w:t xml:space="preserve"> se concluye que</w:t>
      </w:r>
      <w:r>
        <w:rPr>
          <w:rFonts w:ascii="Arial" w:eastAsia="Calibri" w:hAnsi="Arial" w:cs="Arial"/>
          <w:sz w:val="22"/>
        </w:rPr>
        <w:t xml:space="preserve"> el plazo no siempre tiene efectos extintivos en todas las tipologías contractuales. En efecto, en la medida que suspenda la exigibilidad de las obligaciones,</w:t>
      </w:r>
      <w:r w:rsidRPr="00000B04">
        <w:rPr>
          <w:rFonts w:ascii="Arial" w:eastAsia="Calibri" w:hAnsi="Arial" w:cs="Arial"/>
          <w:sz w:val="22"/>
        </w:rPr>
        <w:t xml:space="preserve"> el «plazo» expreso es aquel estipula</w:t>
      </w:r>
      <w:r>
        <w:rPr>
          <w:rFonts w:ascii="Arial" w:eastAsia="Calibri" w:hAnsi="Arial" w:cs="Arial"/>
          <w:sz w:val="22"/>
        </w:rPr>
        <w:t>do</w:t>
      </w:r>
      <w:r w:rsidRPr="00000B04">
        <w:rPr>
          <w:rFonts w:ascii="Arial" w:eastAsia="Calibri" w:hAnsi="Arial" w:cs="Arial"/>
          <w:sz w:val="22"/>
        </w:rPr>
        <w:t xml:space="preserve"> en el contrato</w:t>
      </w:r>
      <w:r>
        <w:rPr>
          <w:rFonts w:ascii="Arial" w:eastAsia="Calibri" w:hAnsi="Arial" w:cs="Arial"/>
          <w:sz w:val="22"/>
        </w:rPr>
        <w:t>, en el cual las partes disponen un término específico</w:t>
      </w:r>
      <w:r w:rsidRPr="00000B04">
        <w:rPr>
          <w:rFonts w:ascii="Arial" w:eastAsia="Calibri" w:hAnsi="Arial" w:cs="Arial"/>
          <w:sz w:val="22"/>
        </w:rPr>
        <w:t xml:space="preserve"> para </w:t>
      </w:r>
      <w:r>
        <w:rPr>
          <w:rFonts w:ascii="Arial" w:eastAsia="Calibri" w:hAnsi="Arial" w:cs="Arial"/>
          <w:sz w:val="22"/>
        </w:rPr>
        <w:t>su cumplimiento</w:t>
      </w:r>
      <w:r w:rsidRPr="00000B04">
        <w:rPr>
          <w:rFonts w:ascii="Arial" w:eastAsia="Calibri" w:hAnsi="Arial" w:cs="Arial"/>
          <w:sz w:val="22"/>
        </w:rPr>
        <w:t xml:space="preserve">. Esto significa que </w:t>
      </w:r>
      <w:r>
        <w:rPr>
          <w:rFonts w:ascii="Arial" w:eastAsia="Calibri" w:hAnsi="Arial" w:cs="Arial"/>
          <w:sz w:val="22"/>
        </w:rPr>
        <w:t>–antes del vencimiento–</w:t>
      </w:r>
      <w:r w:rsidRPr="00000B04">
        <w:rPr>
          <w:rFonts w:ascii="Arial" w:eastAsia="Calibri" w:hAnsi="Arial" w:cs="Arial"/>
          <w:sz w:val="22"/>
        </w:rPr>
        <w:t xml:space="preserve"> el contrato se encuentra en ejecución, y el contratista tiene ese tiempo para ejecutar las prestaciones a las cuales se comprometió en virtud de la suscripción del negocio jurídico. En es</w:t>
      </w:r>
      <w:r>
        <w:rPr>
          <w:rFonts w:ascii="Arial" w:eastAsia="Calibri" w:hAnsi="Arial" w:cs="Arial"/>
          <w:sz w:val="22"/>
        </w:rPr>
        <w:t>t</w:t>
      </w:r>
      <w:r w:rsidRPr="00000B04">
        <w:rPr>
          <w:rFonts w:ascii="Arial" w:eastAsia="Calibri" w:hAnsi="Arial" w:cs="Arial"/>
          <w:sz w:val="22"/>
        </w:rPr>
        <w:t>e «plazo» el contratista puede cumplir</w:t>
      </w:r>
      <w:r>
        <w:rPr>
          <w:rFonts w:ascii="Arial" w:eastAsia="Calibri" w:hAnsi="Arial" w:cs="Arial"/>
          <w:sz w:val="22"/>
        </w:rPr>
        <w:t xml:space="preserve"> sus obligaciones</w:t>
      </w:r>
      <w:r w:rsidRPr="00000B04">
        <w:rPr>
          <w:rFonts w:ascii="Arial" w:eastAsia="Calibri" w:hAnsi="Arial" w:cs="Arial"/>
          <w:sz w:val="22"/>
        </w:rPr>
        <w:t xml:space="preserve"> anticipadamente</w:t>
      </w:r>
      <w:r w:rsidRPr="00000B04">
        <w:rPr>
          <w:rStyle w:val="Refdenotaalpie"/>
          <w:rFonts w:ascii="Arial" w:eastAsia="Calibri" w:hAnsi="Arial" w:cs="Arial"/>
          <w:sz w:val="22"/>
        </w:rPr>
        <w:footnoteReference w:id="6"/>
      </w:r>
      <w:r w:rsidRPr="00000B04">
        <w:rPr>
          <w:rFonts w:ascii="Arial" w:eastAsia="Calibri" w:hAnsi="Arial" w:cs="Arial"/>
          <w:sz w:val="22"/>
        </w:rPr>
        <w:t xml:space="preserve">, pero el bien, obra o servicio solo le será exigible cuando </w:t>
      </w:r>
      <w:r>
        <w:rPr>
          <w:rFonts w:ascii="Arial" w:eastAsia="Calibri" w:hAnsi="Arial" w:cs="Arial"/>
          <w:sz w:val="22"/>
        </w:rPr>
        <w:t>venza el plazo</w:t>
      </w:r>
      <w:r w:rsidRPr="00000B04">
        <w:rPr>
          <w:rFonts w:ascii="Arial" w:eastAsia="Calibri" w:hAnsi="Arial" w:cs="Arial"/>
          <w:sz w:val="22"/>
        </w:rPr>
        <w:t xml:space="preserve">. De acuerdo con </w:t>
      </w:r>
      <w:r>
        <w:rPr>
          <w:rFonts w:ascii="Arial" w:eastAsia="Calibri" w:hAnsi="Arial" w:cs="Arial"/>
          <w:sz w:val="22"/>
        </w:rPr>
        <w:t>la doctrina</w:t>
      </w:r>
      <w:r w:rsidRPr="00000B04">
        <w:rPr>
          <w:rFonts w:ascii="Arial" w:eastAsia="Calibri" w:hAnsi="Arial" w:cs="Arial"/>
          <w:sz w:val="22"/>
        </w:rPr>
        <w:t>:</w:t>
      </w:r>
    </w:p>
    <w:p w14:paraId="7F2F7120" w14:textId="77777777" w:rsidR="00990612" w:rsidRPr="00000B04" w:rsidRDefault="00990612" w:rsidP="00990612">
      <w:pPr>
        <w:jc w:val="both"/>
        <w:rPr>
          <w:rFonts w:ascii="Arial" w:eastAsia="Calibri" w:hAnsi="Arial" w:cs="Arial"/>
          <w:sz w:val="22"/>
        </w:rPr>
      </w:pPr>
    </w:p>
    <w:p w14:paraId="5A13C904" w14:textId="77777777" w:rsidR="00990612" w:rsidRPr="00000B04" w:rsidRDefault="00990612" w:rsidP="00990612">
      <w:pPr>
        <w:ind w:left="708" w:right="709"/>
        <w:jc w:val="both"/>
        <w:rPr>
          <w:rFonts w:ascii="Arial" w:eastAsia="Calibri" w:hAnsi="Arial" w:cs="Arial"/>
          <w:sz w:val="21"/>
          <w:szCs w:val="21"/>
        </w:rPr>
      </w:pPr>
      <w:r w:rsidRPr="00000B04">
        <w:rPr>
          <w:rFonts w:ascii="Arial" w:eastAsia="Calibri" w:hAnsi="Arial" w:cs="Arial"/>
          <w:sz w:val="21"/>
          <w:szCs w:val="21"/>
        </w:rPr>
        <w:t xml:space="preserve">[…] Vencido el plazo, la obligación se hace exigible, es decir, se transforma en obligación pura y simple, de donde se colige: 1) el acreedor puede ejercer todas las acciones que le competen; 2) el término de la prescripción del crédito comienza a contarse (art. 2535); 3) la obligación puede entrar en compensación (art.1715, </w:t>
      </w:r>
      <w:proofErr w:type="spellStart"/>
      <w:r w:rsidRPr="00000B04">
        <w:rPr>
          <w:rFonts w:ascii="Arial" w:eastAsia="Calibri" w:hAnsi="Arial" w:cs="Arial"/>
          <w:sz w:val="21"/>
          <w:szCs w:val="21"/>
        </w:rPr>
        <w:t>ord</w:t>
      </w:r>
      <w:proofErr w:type="spellEnd"/>
      <w:r w:rsidRPr="00000B04">
        <w:rPr>
          <w:rFonts w:ascii="Arial" w:eastAsia="Calibri" w:hAnsi="Arial" w:cs="Arial"/>
          <w:sz w:val="21"/>
          <w:szCs w:val="21"/>
        </w:rPr>
        <w:t xml:space="preserve">. 3); 4) y, por regla general, el deudor queda constituido en mora (art. 1608, </w:t>
      </w:r>
      <w:proofErr w:type="spellStart"/>
      <w:r w:rsidRPr="00000B04">
        <w:rPr>
          <w:rFonts w:ascii="Arial" w:eastAsia="Calibri" w:hAnsi="Arial" w:cs="Arial"/>
          <w:sz w:val="21"/>
          <w:szCs w:val="21"/>
        </w:rPr>
        <w:t>ord</w:t>
      </w:r>
      <w:proofErr w:type="spellEnd"/>
      <w:r w:rsidRPr="00000B04">
        <w:rPr>
          <w:rFonts w:ascii="Arial" w:eastAsia="Calibri" w:hAnsi="Arial" w:cs="Arial"/>
          <w:sz w:val="21"/>
          <w:szCs w:val="21"/>
        </w:rPr>
        <w:t xml:space="preserve"> 1)</w:t>
      </w:r>
      <w:r w:rsidRPr="00000B04">
        <w:rPr>
          <w:rStyle w:val="Refdenotaalpie"/>
          <w:rFonts w:ascii="Arial" w:eastAsia="Calibri" w:hAnsi="Arial" w:cs="Arial"/>
          <w:sz w:val="21"/>
          <w:szCs w:val="21"/>
        </w:rPr>
        <w:footnoteReference w:id="7"/>
      </w:r>
      <w:r w:rsidRPr="00000B04">
        <w:rPr>
          <w:rFonts w:ascii="Arial" w:eastAsia="Calibri" w:hAnsi="Arial" w:cs="Arial"/>
          <w:sz w:val="21"/>
          <w:szCs w:val="21"/>
        </w:rPr>
        <w:t>.</w:t>
      </w:r>
    </w:p>
    <w:p w14:paraId="441389FA" w14:textId="77777777" w:rsidR="00990612" w:rsidRPr="00000B04" w:rsidRDefault="00990612" w:rsidP="00990612">
      <w:pPr>
        <w:jc w:val="both"/>
        <w:rPr>
          <w:rFonts w:ascii="Arial" w:eastAsia="Calibri" w:hAnsi="Arial" w:cs="Arial"/>
          <w:sz w:val="22"/>
        </w:rPr>
      </w:pPr>
    </w:p>
    <w:p w14:paraId="3CA10866" w14:textId="77777777" w:rsidR="00990612" w:rsidRPr="00000B04" w:rsidRDefault="00990612" w:rsidP="00990612">
      <w:pPr>
        <w:spacing w:after="120" w:line="276" w:lineRule="auto"/>
        <w:ind w:firstLine="709"/>
        <w:jc w:val="both"/>
        <w:rPr>
          <w:rFonts w:ascii="Arial" w:eastAsia="Calibri" w:hAnsi="Arial" w:cs="Arial"/>
          <w:sz w:val="22"/>
        </w:rPr>
      </w:pPr>
      <w:r w:rsidRPr="00000B04">
        <w:rPr>
          <w:rFonts w:ascii="Arial" w:eastAsia="Calibri" w:hAnsi="Arial" w:cs="Arial"/>
          <w:sz w:val="22"/>
        </w:rPr>
        <w:t xml:space="preserve">Es necesario aclarar que el plazo del contrato es el período </w:t>
      </w:r>
      <w:r>
        <w:rPr>
          <w:rFonts w:ascii="Arial" w:eastAsia="Calibri" w:hAnsi="Arial" w:cs="Arial"/>
          <w:sz w:val="22"/>
        </w:rPr>
        <w:t>requerido</w:t>
      </w:r>
      <w:r w:rsidRPr="00000B04">
        <w:rPr>
          <w:rFonts w:ascii="Arial" w:eastAsia="Calibri" w:hAnsi="Arial" w:cs="Arial"/>
          <w:sz w:val="22"/>
        </w:rPr>
        <w:t xml:space="preserve"> en este para que se cumpla su objeto, a cargo del contratista como deudor del bien, obra o servicio para satisfacer la necesidad de la entidad, y que esta última recibe como acreedora. Esta definición no cambia respecto del marco normativo citado, ya que el Estatuto General de Contratación de la Administración Pública no contiene normas especiales sobre el «plazo», por lo que, en virtud del artículo 13</w:t>
      </w:r>
      <w:r>
        <w:rPr>
          <w:rFonts w:ascii="Arial" w:eastAsia="Calibri" w:hAnsi="Arial" w:cs="Arial"/>
          <w:sz w:val="22"/>
        </w:rPr>
        <w:t>, 32 y 40</w:t>
      </w:r>
      <w:r w:rsidRPr="00000B04">
        <w:rPr>
          <w:rFonts w:ascii="Arial" w:eastAsia="Calibri" w:hAnsi="Arial" w:cs="Arial"/>
          <w:sz w:val="22"/>
        </w:rPr>
        <w:t xml:space="preserve"> de la Ley 80 de 1993, es posible remitirse a las normas civiles y comerciales aplicables.</w:t>
      </w:r>
    </w:p>
    <w:p w14:paraId="08CBFCF6" w14:textId="77777777" w:rsidR="00990612" w:rsidRDefault="00990612" w:rsidP="00990612">
      <w:pPr>
        <w:spacing w:line="276" w:lineRule="auto"/>
        <w:ind w:firstLine="709"/>
        <w:jc w:val="both"/>
        <w:rPr>
          <w:rFonts w:ascii="Arial" w:eastAsia="Calibri" w:hAnsi="Arial" w:cs="Arial"/>
          <w:sz w:val="22"/>
        </w:rPr>
      </w:pPr>
      <w:r>
        <w:rPr>
          <w:rFonts w:ascii="Arial" w:eastAsia="Calibri" w:hAnsi="Arial" w:cs="Arial"/>
          <w:sz w:val="22"/>
        </w:rPr>
        <w:t>Esta explicación sobre el</w:t>
      </w:r>
      <w:r w:rsidRPr="00000B04">
        <w:rPr>
          <w:rFonts w:ascii="Arial" w:eastAsia="Calibri" w:hAnsi="Arial" w:cs="Arial"/>
          <w:sz w:val="22"/>
        </w:rPr>
        <w:t xml:space="preserve"> </w:t>
      </w:r>
      <w:r w:rsidRPr="00951071">
        <w:rPr>
          <w:rFonts w:ascii="Arial" w:eastAsia="Calibri" w:hAnsi="Arial" w:cs="Arial"/>
          <w:i/>
          <w:iCs/>
          <w:sz w:val="22"/>
        </w:rPr>
        <w:t>plazo del contrato</w:t>
      </w:r>
      <w:r w:rsidRPr="00000B04">
        <w:rPr>
          <w:rFonts w:ascii="Arial" w:eastAsia="Calibri" w:hAnsi="Arial" w:cs="Arial"/>
          <w:sz w:val="22"/>
        </w:rPr>
        <w:t>, es posible compara</w:t>
      </w:r>
      <w:r>
        <w:rPr>
          <w:rFonts w:ascii="Arial" w:eastAsia="Calibri" w:hAnsi="Arial" w:cs="Arial"/>
          <w:sz w:val="22"/>
        </w:rPr>
        <w:t xml:space="preserve">rla </w:t>
      </w:r>
      <w:r w:rsidRPr="00000B04">
        <w:rPr>
          <w:rFonts w:ascii="Arial" w:eastAsia="Calibri" w:hAnsi="Arial" w:cs="Arial"/>
          <w:sz w:val="22"/>
        </w:rPr>
        <w:t>con la</w:t>
      </w:r>
      <w:r>
        <w:rPr>
          <w:rFonts w:ascii="Arial" w:eastAsia="Calibri" w:hAnsi="Arial" w:cs="Arial"/>
          <w:sz w:val="22"/>
        </w:rPr>
        <w:t xml:space="preserve"> distinción entre el</w:t>
      </w:r>
      <w:r w:rsidRPr="00000B04">
        <w:rPr>
          <w:rFonts w:ascii="Arial" w:eastAsia="Calibri" w:hAnsi="Arial" w:cs="Arial"/>
          <w:sz w:val="22"/>
        </w:rPr>
        <w:t xml:space="preserve"> </w:t>
      </w:r>
      <w:r w:rsidRPr="00951071">
        <w:rPr>
          <w:rFonts w:ascii="Arial" w:eastAsia="Calibri" w:hAnsi="Arial" w:cs="Arial"/>
          <w:i/>
          <w:iCs/>
          <w:sz w:val="22"/>
        </w:rPr>
        <w:t>plazo de ejecución</w:t>
      </w:r>
      <w:r>
        <w:rPr>
          <w:rFonts w:ascii="Arial" w:eastAsia="Calibri" w:hAnsi="Arial" w:cs="Arial"/>
          <w:sz w:val="22"/>
        </w:rPr>
        <w:t xml:space="preserve"> y el </w:t>
      </w:r>
      <w:r w:rsidRPr="006B016C">
        <w:rPr>
          <w:rFonts w:ascii="Arial" w:eastAsia="Calibri" w:hAnsi="Arial" w:cs="Arial"/>
          <w:i/>
          <w:iCs/>
          <w:sz w:val="22"/>
        </w:rPr>
        <w:t>plazo de vigencia</w:t>
      </w:r>
      <w:r>
        <w:rPr>
          <w:rFonts w:ascii="Arial" w:eastAsia="Calibri" w:hAnsi="Arial" w:cs="Arial"/>
          <w:sz w:val="22"/>
        </w:rPr>
        <w:t xml:space="preserve"> del contrato. Al respecto, la jurisprudencia define el </w:t>
      </w:r>
      <w:r w:rsidRPr="005A680D">
        <w:rPr>
          <w:rFonts w:ascii="Arial" w:eastAsia="Calibri" w:hAnsi="Arial" w:cs="Arial"/>
          <w:i/>
          <w:iCs/>
          <w:sz w:val="22"/>
        </w:rPr>
        <w:t>plazo de ejecución</w:t>
      </w:r>
      <w:r>
        <w:rPr>
          <w:rFonts w:ascii="Arial" w:eastAsia="Calibri" w:hAnsi="Arial" w:cs="Arial"/>
          <w:sz w:val="22"/>
        </w:rPr>
        <w:t xml:space="preserve"> como el establecido para la realización de las prestaciones </w:t>
      </w:r>
      <w:r>
        <w:rPr>
          <w:rFonts w:ascii="Arial" w:eastAsia="Calibri" w:hAnsi="Arial" w:cs="Arial"/>
          <w:sz w:val="22"/>
        </w:rPr>
        <w:lastRenderedPageBreak/>
        <w:t xml:space="preserve">contractuales, y de igual forma, considera que </w:t>
      </w:r>
      <w:r w:rsidRPr="00000B04">
        <w:rPr>
          <w:rFonts w:ascii="Arial" w:eastAsia="Calibri" w:hAnsi="Arial" w:cs="Arial"/>
          <w:sz w:val="22"/>
        </w:rPr>
        <w:t>mient</w:t>
      </w:r>
      <w:r>
        <w:rPr>
          <w:rFonts w:ascii="Arial" w:eastAsia="Calibri" w:hAnsi="Arial" w:cs="Arial"/>
          <w:sz w:val="22"/>
        </w:rPr>
        <w:t>r</w:t>
      </w:r>
      <w:r w:rsidRPr="00000B04">
        <w:rPr>
          <w:rFonts w:ascii="Arial" w:eastAsia="Calibri" w:hAnsi="Arial" w:cs="Arial"/>
          <w:sz w:val="22"/>
        </w:rPr>
        <w:t xml:space="preserve">as subsista la obligación para las partes de liquidar el contrato, el </w:t>
      </w:r>
      <w:r w:rsidRPr="005A680D">
        <w:rPr>
          <w:rFonts w:ascii="Arial" w:eastAsia="Calibri" w:hAnsi="Arial" w:cs="Arial"/>
          <w:i/>
          <w:iCs/>
          <w:sz w:val="22"/>
        </w:rPr>
        <w:t>plazo de vigencia</w:t>
      </w:r>
      <w:r w:rsidRPr="00000B04">
        <w:rPr>
          <w:rFonts w:ascii="Arial" w:eastAsia="Calibri" w:hAnsi="Arial" w:cs="Arial"/>
          <w:sz w:val="22"/>
        </w:rPr>
        <w:t xml:space="preserve"> de este no ha finalizado</w:t>
      </w:r>
      <w:r w:rsidRPr="00000B04">
        <w:rPr>
          <w:rStyle w:val="Refdenotaalpie"/>
          <w:rFonts w:ascii="Arial" w:eastAsia="Calibri" w:hAnsi="Arial" w:cs="Arial"/>
          <w:sz w:val="22"/>
        </w:rPr>
        <w:footnoteReference w:id="8"/>
      </w:r>
      <w:r>
        <w:rPr>
          <w:rFonts w:ascii="Arial" w:eastAsia="Calibri" w:hAnsi="Arial" w:cs="Arial"/>
          <w:sz w:val="22"/>
        </w:rPr>
        <w:t xml:space="preserve">. De esta idea se infiere que la noción de </w:t>
      </w:r>
      <w:r w:rsidRPr="00F34ED8">
        <w:rPr>
          <w:rFonts w:ascii="Arial" w:eastAsia="Calibri" w:hAnsi="Arial" w:cs="Arial"/>
          <w:i/>
          <w:iCs/>
          <w:sz w:val="22"/>
        </w:rPr>
        <w:t>plazo del contrato</w:t>
      </w:r>
      <w:r>
        <w:rPr>
          <w:rFonts w:ascii="Arial" w:eastAsia="Calibri" w:hAnsi="Arial" w:cs="Arial"/>
          <w:sz w:val="22"/>
        </w:rPr>
        <w:t xml:space="preserve"> analizada en los párrafos precedentes equivale al concepto jurisprudencial de </w:t>
      </w:r>
      <w:r w:rsidRPr="00F34ED8">
        <w:rPr>
          <w:rFonts w:ascii="Arial" w:eastAsia="Calibri" w:hAnsi="Arial" w:cs="Arial"/>
          <w:i/>
          <w:iCs/>
          <w:sz w:val="22"/>
        </w:rPr>
        <w:t>plazo de ejecución</w:t>
      </w:r>
      <w:r>
        <w:rPr>
          <w:rFonts w:ascii="Arial" w:eastAsia="Calibri" w:hAnsi="Arial" w:cs="Arial"/>
          <w:sz w:val="22"/>
        </w:rPr>
        <w:t xml:space="preserve">, pues ambos aluden </w:t>
      </w:r>
      <w:r w:rsidRPr="00000B04">
        <w:rPr>
          <w:rFonts w:ascii="Arial" w:eastAsia="Calibri" w:hAnsi="Arial" w:cs="Arial"/>
          <w:sz w:val="22"/>
        </w:rPr>
        <w:t xml:space="preserve">al tiempo </w:t>
      </w:r>
      <w:r>
        <w:rPr>
          <w:rFonts w:ascii="Arial" w:eastAsia="Calibri" w:hAnsi="Arial" w:cs="Arial"/>
          <w:sz w:val="22"/>
        </w:rPr>
        <w:t>dispuesto</w:t>
      </w:r>
      <w:r w:rsidRPr="00000B04">
        <w:rPr>
          <w:rFonts w:ascii="Arial" w:eastAsia="Calibri" w:hAnsi="Arial" w:cs="Arial"/>
          <w:sz w:val="22"/>
        </w:rPr>
        <w:t xml:space="preserve"> para que el contratista cumpla sus obligaciones</w:t>
      </w:r>
      <w:r>
        <w:rPr>
          <w:rFonts w:ascii="Arial" w:eastAsia="Calibri" w:hAnsi="Arial" w:cs="Arial"/>
          <w:sz w:val="22"/>
        </w:rPr>
        <w:t xml:space="preserve">. No obstante, del vencimiento del </w:t>
      </w:r>
      <w:r w:rsidRPr="00F34ED8">
        <w:rPr>
          <w:rFonts w:ascii="Arial" w:eastAsia="Calibri" w:hAnsi="Arial" w:cs="Arial"/>
          <w:i/>
          <w:iCs/>
          <w:sz w:val="22"/>
        </w:rPr>
        <w:t>plazo del contrato</w:t>
      </w:r>
      <w:r>
        <w:rPr>
          <w:rFonts w:ascii="Arial" w:eastAsia="Calibri" w:hAnsi="Arial" w:cs="Arial"/>
          <w:sz w:val="22"/>
        </w:rPr>
        <w:t xml:space="preserve"> o del </w:t>
      </w:r>
      <w:r w:rsidRPr="00146F17">
        <w:rPr>
          <w:rFonts w:ascii="Arial" w:eastAsia="Calibri" w:hAnsi="Arial" w:cs="Arial"/>
          <w:i/>
          <w:iCs/>
          <w:sz w:val="22"/>
        </w:rPr>
        <w:t>plazo de ejecución</w:t>
      </w:r>
      <w:r>
        <w:rPr>
          <w:rFonts w:ascii="Arial" w:eastAsia="Calibri" w:hAnsi="Arial" w:cs="Arial"/>
          <w:sz w:val="22"/>
        </w:rPr>
        <w:t xml:space="preserve"> no se infiere la extinción de las obligaciones, pues –siempre que sea suspensivo– es posible la recepción de pagos extemporáneos porque la vigencia del contrato solo cesa con la liquidación. A este punto se refiere el Consejo de Estado cuando explica que: </w:t>
      </w:r>
    </w:p>
    <w:p w14:paraId="14B41CEC" w14:textId="77777777" w:rsidR="00990612" w:rsidRDefault="00990612" w:rsidP="00990612">
      <w:pPr>
        <w:spacing w:line="276" w:lineRule="auto"/>
        <w:ind w:firstLine="709"/>
        <w:jc w:val="both"/>
        <w:rPr>
          <w:rFonts w:ascii="Arial" w:eastAsia="Calibri" w:hAnsi="Arial" w:cs="Arial"/>
          <w:sz w:val="22"/>
        </w:rPr>
      </w:pPr>
    </w:p>
    <w:p w14:paraId="5CC63C03" w14:textId="77777777" w:rsidR="00990612" w:rsidRPr="00E814EC" w:rsidRDefault="00990612" w:rsidP="00990612">
      <w:pPr>
        <w:ind w:left="709" w:right="709"/>
        <w:jc w:val="both"/>
        <w:rPr>
          <w:rFonts w:ascii="Arial" w:eastAsia="Calibri" w:hAnsi="Arial" w:cs="Arial"/>
          <w:sz w:val="21"/>
          <w:szCs w:val="21"/>
        </w:rPr>
      </w:pPr>
      <w:r w:rsidRPr="00E814EC">
        <w:rPr>
          <w:rFonts w:ascii="Arial" w:eastAsia="Calibri" w:hAnsi="Arial" w:cs="Arial"/>
          <w:sz w:val="21"/>
          <w:szCs w:val="21"/>
        </w:rPr>
        <w:t>[…] si bien es cierto  en la mayoría de los casos el plazo del contrato coincide con el de ejecución de la obra, con la entrega del suministro, con la prestación del servicio, también lo es, que este plazo no constituye propiamente hablando el periodo de ejecución del contrato porque al finalizar el plazo que se ha destinado para el cumplimiento de la obligación principal por parte del contratista las partes no quedan liberadas de pleno derecho mientras no se extingan todas las obligaciones adquiridas, lo cual se cumple necesariamente en la etapa de liquidación del contrato en la cual es donde la administración puede valorar el cumplimiento total de las obligaciones a cargo del contratista y es la que le pone término a la vinculación de las partes.</w:t>
      </w:r>
    </w:p>
    <w:p w14:paraId="3BF9145C" w14:textId="77777777" w:rsidR="00990612" w:rsidRPr="00E814EC" w:rsidRDefault="00990612" w:rsidP="00990612">
      <w:pPr>
        <w:spacing w:after="120"/>
        <w:ind w:left="709" w:right="709"/>
        <w:jc w:val="both"/>
        <w:rPr>
          <w:rFonts w:ascii="Arial" w:eastAsia="Calibri" w:hAnsi="Arial" w:cs="Arial"/>
          <w:sz w:val="21"/>
          <w:szCs w:val="21"/>
        </w:rPr>
      </w:pPr>
      <w:r w:rsidRPr="00E814EC">
        <w:rPr>
          <w:rFonts w:ascii="Arial" w:eastAsia="Calibri" w:hAnsi="Arial" w:cs="Arial"/>
          <w:sz w:val="21"/>
          <w:szCs w:val="21"/>
        </w:rPr>
        <w:t>[…]</w:t>
      </w:r>
    </w:p>
    <w:p w14:paraId="5D8EDC05" w14:textId="77777777" w:rsidR="00990612" w:rsidRDefault="00990612" w:rsidP="00990612">
      <w:pPr>
        <w:ind w:left="709" w:right="709"/>
        <w:jc w:val="both"/>
        <w:rPr>
          <w:rFonts w:ascii="Arial" w:eastAsia="Calibri" w:hAnsi="Arial" w:cs="Arial"/>
          <w:sz w:val="22"/>
        </w:rPr>
      </w:pPr>
      <w:r w:rsidRPr="00E814EC">
        <w:rPr>
          <w:rFonts w:ascii="Arial" w:eastAsia="Calibri" w:hAnsi="Arial" w:cs="Arial"/>
          <w:sz w:val="21"/>
          <w:szCs w:val="21"/>
        </w:rPr>
        <w:t>En este orden de ideas, debe precisarse que dentro de los plazos para la ejecución del contrato existe uno y con seguridad el de mayor importancia y es aquél que corresponde a la terminación definitiva de la obra, o a la entrega del último suministro o del estudio o diseño que se ha confiado, momento en el cual la administración podrá igualmente, como lo venía haciendo durante la ejecución del contrato, evaluar el cumplimiento del contratista para poderle recibir a satisfacción,  puesto que es una exigencia del interés público que el colaborador privado cumpla sus prestaciones conforme al ritmo previsto en el programa y con sujeción a las especificaciones técnicas establecidas en el contrato.  En el evento de que el contratista no haya cumplido cabalmente, vale decir, porque entrega la obra inconclusa o se presentan faltantes o se requiere de reparaciones, la administración podrá hacer valer sus poderes sancionatorios de acuerdo con la magnitud del incumplimiento</w:t>
      </w:r>
      <w:r w:rsidRPr="00E814EC">
        <w:rPr>
          <w:rStyle w:val="Refdenotaalpie"/>
          <w:rFonts w:ascii="Arial" w:eastAsia="Calibri" w:hAnsi="Arial" w:cs="Arial"/>
          <w:sz w:val="21"/>
          <w:szCs w:val="21"/>
        </w:rPr>
        <w:footnoteReference w:id="9"/>
      </w:r>
      <w:r w:rsidRPr="00E814EC">
        <w:rPr>
          <w:rFonts w:ascii="Arial" w:eastAsia="Calibri" w:hAnsi="Arial" w:cs="Arial"/>
          <w:sz w:val="21"/>
          <w:szCs w:val="21"/>
        </w:rPr>
        <w:t>.</w:t>
      </w:r>
      <w:r>
        <w:rPr>
          <w:rFonts w:ascii="Arial" w:eastAsia="Calibri" w:hAnsi="Arial" w:cs="Arial"/>
          <w:sz w:val="22"/>
        </w:rPr>
        <w:t xml:space="preserve"> </w:t>
      </w:r>
    </w:p>
    <w:p w14:paraId="4C9B9A69" w14:textId="77777777" w:rsidR="00990612" w:rsidRDefault="00990612" w:rsidP="00990612">
      <w:pPr>
        <w:spacing w:line="276" w:lineRule="auto"/>
        <w:jc w:val="both"/>
        <w:rPr>
          <w:rFonts w:ascii="Arial" w:eastAsia="Calibri" w:hAnsi="Arial" w:cs="Arial"/>
          <w:sz w:val="22"/>
        </w:rPr>
      </w:pPr>
    </w:p>
    <w:p w14:paraId="087F8BE2" w14:textId="77777777" w:rsidR="00990612" w:rsidRDefault="00990612" w:rsidP="00990612">
      <w:pPr>
        <w:spacing w:after="120" w:line="276" w:lineRule="auto"/>
        <w:jc w:val="both"/>
        <w:rPr>
          <w:rFonts w:ascii="Arial" w:eastAsia="Calibri" w:hAnsi="Arial" w:cs="Arial"/>
          <w:sz w:val="22"/>
        </w:rPr>
      </w:pPr>
      <w:r>
        <w:rPr>
          <w:rFonts w:ascii="Arial" w:eastAsia="Calibri" w:hAnsi="Arial" w:cs="Arial"/>
          <w:sz w:val="22"/>
        </w:rPr>
        <w:tab/>
        <w:t xml:space="preserve">Lo anterior demuestra que, sin perjuicio de la responsabilidad contractual, el vencimiento del </w:t>
      </w:r>
      <w:r w:rsidRPr="00E814EC">
        <w:rPr>
          <w:rFonts w:ascii="Arial" w:eastAsia="Calibri" w:hAnsi="Arial" w:cs="Arial"/>
          <w:i/>
          <w:iCs/>
          <w:sz w:val="22"/>
        </w:rPr>
        <w:t>plazo de ejecución</w:t>
      </w:r>
      <w:r>
        <w:rPr>
          <w:rFonts w:ascii="Arial" w:eastAsia="Calibri" w:hAnsi="Arial" w:cs="Arial"/>
          <w:sz w:val="22"/>
        </w:rPr>
        <w:t xml:space="preserve"> en los contratos de obra no impide que la entidad reciba </w:t>
      </w:r>
      <w:r>
        <w:rPr>
          <w:rFonts w:ascii="Arial" w:eastAsia="Calibri" w:hAnsi="Arial" w:cs="Arial"/>
          <w:sz w:val="22"/>
        </w:rPr>
        <w:lastRenderedPageBreak/>
        <w:t>las tareas realizadas fuera de este término ni equivale a la imposibilidad de que el contratista realice prestaciones extemporáneas. Esta tesis se sustenta en dos (2) argumentos: por un lado, el artículo 1625 del Código Civil no dispone que el vencimiento del plazo sea una forma de extinción de las obligaciones</w:t>
      </w:r>
      <w:r>
        <w:rPr>
          <w:rStyle w:val="Refdenotaalpie"/>
          <w:rFonts w:ascii="Arial" w:eastAsia="Calibri" w:hAnsi="Arial" w:cs="Arial"/>
          <w:sz w:val="22"/>
          <w:lang w:val="es-ES_tradnl"/>
        </w:rPr>
        <w:footnoteReference w:id="10"/>
      </w:r>
      <w:r>
        <w:rPr>
          <w:rFonts w:ascii="Arial" w:eastAsia="Calibri" w:hAnsi="Arial" w:cs="Arial"/>
          <w:sz w:val="22"/>
        </w:rPr>
        <w:t xml:space="preserve"> y, por otro, en las obligaciones de dar o hacer es posible conceder </w:t>
      </w:r>
      <w:r w:rsidRPr="00B66C90">
        <w:rPr>
          <w:rFonts w:ascii="Arial" w:eastAsia="Calibri" w:hAnsi="Arial" w:cs="Arial"/>
          <w:i/>
          <w:iCs/>
          <w:sz w:val="22"/>
        </w:rPr>
        <w:t>plazos de gracia</w:t>
      </w:r>
      <w:r>
        <w:rPr>
          <w:rFonts w:ascii="Arial" w:eastAsia="Calibri" w:hAnsi="Arial" w:cs="Arial"/>
          <w:sz w:val="22"/>
        </w:rPr>
        <w:t>.</w:t>
      </w:r>
    </w:p>
    <w:p w14:paraId="2026197F" w14:textId="77777777" w:rsidR="00990612" w:rsidRDefault="00990612" w:rsidP="00990612">
      <w:pPr>
        <w:spacing w:after="120" w:line="276" w:lineRule="auto"/>
        <w:jc w:val="both"/>
        <w:rPr>
          <w:rFonts w:ascii="Arial" w:eastAsia="Calibri" w:hAnsi="Arial" w:cs="Arial"/>
          <w:sz w:val="22"/>
        </w:rPr>
      </w:pPr>
      <w:r>
        <w:rPr>
          <w:rFonts w:ascii="Arial" w:eastAsia="Calibri" w:hAnsi="Arial" w:cs="Arial"/>
          <w:sz w:val="22"/>
        </w:rPr>
        <w:tab/>
        <w:t xml:space="preserve">En primer lugar, el principal modo de extinción de las obligaciones es el pago efectivo, el cual define el artículo 1626 del Código Civil como «la prestación de lo que se debe». Este pago puede ser oportuno o extemporáneo. En este último caso, ni el contrato se extingue ni la entidad pierde la oportunidad para recibir el objeto contratado, pues al cumplimiento </w:t>
      </w:r>
      <w:r w:rsidRPr="00821DD4">
        <w:rPr>
          <w:rFonts w:ascii="Arial" w:eastAsia="Calibri" w:hAnsi="Arial" w:cs="Arial"/>
          <w:i/>
          <w:iCs/>
          <w:sz w:val="22"/>
        </w:rPr>
        <w:t>in natura</w:t>
      </w:r>
      <w:r>
        <w:rPr>
          <w:rFonts w:ascii="Arial" w:eastAsia="Calibri" w:hAnsi="Arial" w:cs="Arial"/>
          <w:sz w:val="22"/>
        </w:rPr>
        <w:t xml:space="preserve"> se suma la responsabilidad contractual por «</w:t>
      </w:r>
      <w:r w:rsidRPr="00821DD4">
        <w:rPr>
          <w:rFonts w:ascii="Arial" w:eastAsia="Calibri" w:hAnsi="Arial" w:cs="Arial"/>
          <w:sz w:val="22"/>
        </w:rPr>
        <w:t>no haberse cumplido la obligación, o de haberse cumplido imperfectamente, o de haberse retardado el cumplimiento</w:t>
      </w:r>
      <w:r>
        <w:rPr>
          <w:rFonts w:ascii="Arial" w:eastAsia="Calibri" w:hAnsi="Arial" w:cs="Arial"/>
          <w:sz w:val="22"/>
        </w:rPr>
        <w:t xml:space="preserve">» –art. 1613 </w:t>
      </w:r>
      <w:r w:rsidRPr="00821DD4">
        <w:rPr>
          <w:rFonts w:ascii="Arial" w:eastAsia="Calibri" w:hAnsi="Arial" w:cs="Arial"/>
          <w:i/>
          <w:iCs/>
          <w:sz w:val="22"/>
        </w:rPr>
        <w:t>ibidem</w:t>
      </w:r>
      <w:r>
        <w:rPr>
          <w:rFonts w:ascii="Arial" w:eastAsia="Calibri" w:hAnsi="Arial" w:cs="Arial"/>
          <w:sz w:val="22"/>
        </w:rPr>
        <w:t xml:space="preserve">–. Para estos efectos el vencimiento del término produce la mora </w:t>
      </w:r>
      <w:r w:rsidRPr="00543E04">
        <w:rPr>
          <w:rFonts w:ascii="Arial" w:eastAsia="Calibri" w:hAnsi="Arial" w:cs="Arial"/>
          <w:i/>
          <w:iCs/>
          <w:sz w:val="22"/>
        </w:rPr>
        <w:t>ex re</w:t>
      </w:r>
      <w:r>
        <w:rPr>
          <w:rFonts w:ascii="Arial" w:eastAsia="Calibri" w:hAnsi="Arial" w:cs="Arial"/>
          <w:sz w:val="22"/>
        </w:rPr>
        <w:t xml:space="preserve">, caso en el cual se exceptúa la obligación de reconvenir en la medida que el plazo interpela por sí mismo –art- 1608.1 </w:t>
      </w:r>
      <w:r w:rsidRPr="00543E04">
        <w:rPr>
          <w:rFonts w:ascii="Arial" w:eastAsia="Calibri" w:hAnsi="Arial" w:cs="Arial"/>
          <w:i/>
          <w:iCs/>
          <w:sz w:val="22"/>
        </w:rPr>
        <w:t>ibidem</w:t>
      </w:r>
      <w:r>
        <w:rPr>
          <w:rFonts w:ascii="Arial" w:eastAsia="Calibri" w:hAnsi="Arial" w:cs="Arial"/>
          <w:sz w:val="22"/>
        </w:rPr>
        <w:t xml:space="preserve">–. Además, aunque la doctrina considera que la enumeración del artículo 1625 </w:t>
      </w:r>
      <w:r w:rsidRPr="00821DD4">
        <w:rPr>
          <w:rFonts w:ascii="Arial" w:eastAsia="Calibri" w:hAnsi="Arial" w:cs="Arial"/>
          <w:i/>
          <w:iCs/>
          <w:sz w:val="22"/>
        </w:rPr>
        <w:t>ibidem</w:t>
      </w:r>
      <w:r>
        <w:rPr>
          <w:rFonts w:ascii="Arial" w:eastAsia="Calibri" w:hAnsi="Arial" w:cs="Arial"/>
          <w:sz w:val="22"/>
        </w:rPr>
        <w:t xml:space="preserve"> no es completa, el único plazo que elimina la fuerza obligatoria del contrato es el extintivo</w:t>
      </w:r>
      <w:r>
        <w:rPr>
          <w:rStyle w:val="Refdenotaalpie"/>
          <w:rFonts w:ascii="Arial" w:eastAsia="Calibri" w:hAnsi="Arial" w:cs="Arial"/>
          <w:sz w:val="22"/>
        </w:rPr>
        <w:footnoteReference w:id="11"/>
      </w:r>
      <w:r>
        <w:rPr>
          <w:rFonts w:ascii="Arial" w:eastAsia="Calibri" w:hAnsi="Arial" w:cs="Arial"/>
          <w:sz w:val="22"/>
        </w:rPr>
        <w:t xml:space="preserve">. Esto significa que ante el vencimiento de un plazo suspensivo –como se pacta usualmente en los contratos para la elaboración de estudios y diseños– las obligaciones del contratista subsisten mientras no se extingan por el cumplimiento de la prestación adeudada. </w:t>
      </w:r>
    </w:p>
    <w:p w14:paraId="70ACE00C" w14:textId="77777777" w:rsidR="00990612" w:rsidRDefault="00990612" w:rsidP="00990612">
      <w:pPr>
        <w:spacing w:after="120" w:line="276" w:lineRule="auto"/>
        <w:jc w:val="both"/>
        <w:rPr>
          <w:rFonts w:ascii="Arial" w:eastAsia="Calibri" w:hAnsi="Arial" w:cs="Arial"/>
          <w:sz w:val="22"/>
        </w:rPr>
      </w:pPr>
      <w:r>
        <w:rPr>
          <w:rFonts w:ascii="Arial" w:eastAsia="Calibri" w:hAnsi="Arial" w:cs="Arial"/>
          <w:sz w:val="22"/>
        </w:rPr>
        <w:tab/>
        <w:t xml:space="preserve">En segundo lugar, el ordenamiento jurídico contempla la posibilidad de conceder </w:t>
      </w:r>
      <w:r w:rsidRPr="007D6F81">
        <w:rPr>
          <w:rFonts w:ascii="Arial" w:eastAsia="Calibri" w:hAnsi="Arial" w:cs="Arial"/>
          <w:i/>
          <w:iCs/>
          <w:sz w:val="22"/>
        </w:rPr>
        <w:t>plazos de gracia</w:t>
      </w:r>
      <w:r>
        <w:rPr>
          <w:rFonts w:ascii="Arial" w:eastAsia="Calibri" w:hAnsi="Arial" w:cs="Arial"/>
          <w:sz w:val="22"/>
        </w:rPr>
        <w:t>. A esto se refiere el artículo 1715, inciso final, del Código Civil cuando dispone que «</w:t>
      </w:r>
      <w:r w:rsidRPr="007D6F81">
        <w:rPr>
          <w:rFonts w:ascii="Arial" w:eastAsia="Calibri" w:hAnsi="Arial" w:cs="Arial"/>
          <w:sz w:val="22"/>
        </w:rPr>
        <w:t>Las esperas concedidas al deudor impiden la compensación; pero esta disposición no se aplica al plazo de gracia concedido por un acreedor a su deudor</w:t>
      </w:r>
      <w:r>
        <w:rPr>
          <w:rFonts w:ascii="Arial" w:eastAsia="Calibri" w:hAnsi="Arial" w:cs="Arial"/>
          <w:sz w:val="22"/>
        </w:rPr>
        <w:t>»</w:t>
      </w:r>
      <w:r w:rsidRPr="007D6F81">
        <w:rPr>
          <w:rFonts w:ascii="Arial" w:eastAsia="Calibri" w:hAnsi="Arial" w:cs="Arial"/>
          <w:sz w:val="22"/>
        </w:rPr>
        <w:t>.</w:t>
      </w:r>
      <w:r>
        <w:rPr>
          <w:rFonts w:ascii="Arial" w:eastAsia="Calibri" w:hAnsi="Arial" w:cs="Arial"/>
          <w:sz w:val="22"/>
        </w:rPr>
        <w:t xml:space="preserve"> En </w:t>
      </w:r>
      <w:r>
        <w:rPr>
          <w:rFonts w:ascii="Arial" w:eastAsia="Calibri" w:hAnsi="Arial" w:cs="Arial"/>
          <w:sz w:val="22"/>
        </w:rPr>
        <w:lastRenderedPageBreak/>
        <w:t>efecto, «las esperas» impiden la compensación porque son convenios entre las partes para prorrogar un plazo. Esta naturaleza convencional se desprende del verbo «conceder», el cual define la RAE como «</w:t>
      </w:r>
      <w:r w:rsidRPr="00953820">
        <w:rPr>
          <w:rFonts w:ascii="Arial" w:eastAsia="Calibri" w:hAnsi="Arial" w:cs="Arial"/>
          <w:sz w:val="22"/>
        </w:rPr>
        <w:t>Dar, otorgar, hacer merced y gracia de algo</w:t>
      </w:r>
      <w:r>
        <w:rPr>
          <w:rFonts w:ascii="Arial" w:eastAsia="Calibri" w:hAnsi="Arial" w:cs="Arial"/>
          <w:sz w:val="22"/>
        </w:rPr>
        <w:t>»</w:t>
      </w:r>
      <w:r w:rsidRPr="00953820">
        <w:rPr>
          <w:rFonts w:ascii="Arial" w:eastAsia="Calibri" w:hAnsi="Arial" w:cs="Arial"/>
          <w:sz w:val="22"/>
        </w:rPr>
        <w:t>.</w:t>
      </w:r>
      <w:r>
        <w:rPr>
          <w:rFonts w:ascii="Arial" w:eastAsia="Calibri" w:hAnsi="Arial" w:cs="Arial"/>
          <w:sz w:val="22"/>
        </w:rPr>
        <w:t xml:space="preserve"> </w:t>
      </w:r>
    </w:p>
    <w:p w14:paraId="331C0E11" w14:textId="77777777" w:rsidR="00990612" w:rsidRDefault="00990612" w:rsidP="00990612">
      <w:pPr>
        <w:spacing w:after="120" w:line="276" w:lineRule="auto"/>
        <w:ind w:firstLine="708"/>
        <w:jc w:val="both"/>
        <w:rPr>
          <w:rFonts w:ascii="Arial" w:eastAsia="Calibri" w:hAnsi="Arial" w:cs="Arial"/>
          <w:sz w:val="22"/>
        </w:rPr>
      </w:pPr>
      <w:r>
        <w:rPr>
          <w:rFonts w:ascii="Arial" w:eastAsia="Calibri" w:hAnsi="Arial" w:cs="Arial"/>
          <w:sz w:val="22"/>
        </w:rPr>
        <w:t>En contraste, «El plazo de gracia es aquel que, fuera del contrato y sin formar parte de él, obtiene buenamente el deudor de su acreedor que no le exige el cumplimiento inmediato de la obligación teniendo derecho a ello […]»</w:t>
      </w:r>
      <w:r>
        <w:rPr>
          <w:rStyle w:val="Refdenotaalpie"/>
          <w:rFonts w:ascii="Arial" w:eastAsia="Calibri" w:hAnsi="Arial" w:cs="Arial"/>
          <w:sz w:val="22"/>
        </w:rPr>
        <w:footnoteReference w:id="12"/>
      </w:r>
      <w:r>
        <w:rPr>
          <w:rFonts w:ascii="Arial" w:eastAsia="Calibri" w:hAnsi="Arial" w:cs="Arial"/>
          <w:sz w:val="22"/>
        </w:rPr>
        <w:t xml:space="preserve">, por lo que nace en una conducta omisiva y unilateral del acreedor, especialmente, cuando no interviene la voluntad del deudor. Esta explicación es relevante en la medida </w:t>
      </w:r>
      <w:proofErr w:type="gramStart"/>
      <w:r>
        <w:rPr>
          <w:rFonts w:ascii="Arial" w:eastAsia="Calibri" w:hAnsi="Arial" w:cs="Arial"/>
          <w:sz w:val="22"/>
        </w:rPr>
        <w:t>que</w:t>
      </w:r>
      <w:proofErr w:type="gramEnd"/>
      <w:r>
        <w:rPr>
          <w:rFonts w:ascii="Arial" w:eastAsia="Calibri" w:hAnsi="Arial" w:cs="Arial"/>
          <w:sz w:val="22"/>
        </w:rPr>
        <w:t xml:space="preserve"> si el plazo suspensivo impidiera el cumplimiento posterior de las obligaciones, el </w:t>
      </w:r>
      <w:r w:rsidRPr="00524BE9">
        <w:rPr>
          <w:rFonts w:ascii="Arial" w:eastAsia="Calibri" w:hAnsi="Arial" w:cs="Arial"/>
          <w:i/>
          <w:iCs/>
          <w:sz w:val="22"/>
        </w:rPr>
        <w:t>plazo de gracia</w:t>
      </w:r>
      <w:r>
        <w:rPr>
          <w:rFonts w:ascii="Arial" w:eastAsia="Calibri" w:hAnsi="Arial" w:cs="Arial"/>
          <w:sz w:val="22"/>
        </w:rPr>
        <w:t xml:space="preserve"> estaría prohibido en el derecho colombiano por estar fuera del término de ejecución inicialmente pactado. No obstante, de la definición del término contenido en el artículo 1715 del Código Civil se infiere todo lo contrario, es decir, que con la inactividad del acreedor respecto a la exigibilidad de las obligaciones se habilita un tiempo adicional para el cumplimiento, aunque sea extemporáneo. </w:t>
      </w:r>
    </w:p>
    <w:p w14:paraId="5654769E" w14:textId="77777777" w:rsidR="00990612" w:rsidRDefault="00990612" w:rsidP="00990612">
      <w:pPr>
        <w:spacing w:after="120" w:line="276" w:lineRule="auto"/>
        <w:ind w:firstLine="708"/>
        <w:jc w:val="both"/>
        <w:rPr>
          <w:rFonts w:ascii="Arial" w:eastAsia="Calibri" w:hAnsi="Arial" w:cs="Arial"/>
          <w:sz w:val="22"/>
        </w:rPr>
      </w:pPr>
      <w:r>
        <w:rPr>
          <w:rFonts w:ascii="Arial" w:eastAsia="Calibri" w:hAnsi="Arial" w:cs="Arial"/>
          <w:sz w:val="22"/>
        </w:rPr>
        <w:t xml:space="preserve">De esta manera, el vencimiento del </w:t>
      </w:r>
      <w:r w:rsidRPr="00E814EC">
        <w:rPr>
          <w:rFonts w:ascii="Arial" w:eastAsia="Calibri" w:hAnsi="Arial" w:cs="Arial"/>
          <w:i/>
          <w:iCs/>
          <w:sz w:val="22"/>
        </w:rPr>
        <w:t>plazo de ejecución</w:t>
      </w:r>
      <w:r>
        <w:rPr>
          <w:rFonts w:ascii="Arial" w:eastAsia="Calibri" w:hAnsi="Arial" w:cs="Arial"/>
          <w:sz w:val="22"/>
        </w:rPr>
        <w:t xml:space="preserve"> en los contratos para la elaboración de estudios y diseños no impide que la entidad reciba las tareas realizadas fuera de este término ni equivale a la imposibilidad de que el contratista realice prestaciones extemporáneas. De hecho, mientras el contrato esté vigente la entidad puede emplear los medios necesarios para exigir su cumplimiento. </w:t>
      </w:r>
      <w:r w:rsidRPr="008F71C6">
        <w:rPr>
          <w:rFonts w:ascii="Arial" w:eastAsia="Calibri" w:hAnsi="Arial" w:cs="Arial"/>
          <w:sz w:val="22"/>
        </w:rPr>
        <w:t xml:space="preserve">Para explicar </w:t>
      </w:r>
      <w:r>
        <w:rPr>
          <w:rFonts w:ascii="Arial" w:eastAsia="Calibri" w:hAnsi="Arial" w:cs="Arial"/>
          <w:sz w:val="22"/>
        </w:rPr>
        <w:t>lo anterior</w:t>
      </w:r>
      <w:r w:rsidRPr="008F71C6">
        <w:rPr>
          <w:rFonts w:ascii="Arial" w:eastAsia="Calibri" w:hAnsi="Arial" w:cs="Arial"/>
          <w:sz w:val="22"/>
        </w:rPr>
        <w:t xml:space="preserve">, Fernando </w:t>
      </w:r>
      <w:proofErr w:type="spellStart"/>
      <w:r w:rsidRPr="008F71C6">
        <w:rPr>
          <w:rFonts w:ascii="Arial" w:eastAsia="Calibri" w:hAnsi="Arial" w:cs="Arial"/>
          <w:sz w:val="22"/>
        </w:rPr>
        <w:t>Hinestrosa</w:t>
      </w:r>
      <w:proofErr w:type="spellEnd"/>
      <w:r w:rsidRPr="008F71C6">
        <w:rPr>
          <w:rFonts w:ascii="Arial" w:eastAsia="Calibri" w:hAnsi="Arial" w:cs="Arial"/>
          <w:sz w:val="22"/>
        </w:rPr>
        <w:t xml:space="preserve"> ofrece un apoyo conceptual relevante relacionado con la obligación, que tiene como elemento a la prestación –dar, hacer o no hacer– cuya ejecución se denomina pago; y sobre la oportunidad para este, el autor se refiere al tiempo y al espacio para que el deudor ejecute la prestación, de lo cual se enfatiza en el tiempo porque toda obligación está sometida a este</w:t>
      </w:r>
      <w:r w:rsidRPr="008F71C6">
        <w:rPr>
          <w:rStyle w:val="Refdenotaalpie"/>
          <w:rFonts w:ascii="Arial" w:eastAsia="Calibri" w:hAnsi="Arial" w:cs="Arial"/>
          <w:sz w:val="22"/>
        </w:rPr>
        <w:footnoteReference w:id="13"/>
      </w:r>
      <w:r w:rsidRPr="008F71C6">
        <w:rPr>
          <w:rFonts w:ascii="Arial" w:eastAsia="Calibri" w:hAnsi="Arial" w:cs="Arial"/>
          <w:sz w:val="22"/>
        </w:rPr>
        <w:t>.</w:t>
      </w:r>
    </w:p>
    <w:p w14:paraId="01578071" w14:textId="77777777" w:rsidR="00990612" w:rsidRDefault="00990612" w:rsidP="00990612">
      <w:pPr>
        <w:spacing w:line="276" w:lineRule="auto"/>
        <w:ind w:firstLine="708"/>
        <w:jc w:val="both"/>
        <w:rPr>
          <w:rFonts w:ascii="Arial" w:eastAsia="Calibri" w:hAnsi="Arial" w:cs="Arial"/>
          <w:sz w:val="22"/>
        </w:rPr>
      </w:pPr>
      <w:r w:rsidRPr="00000B04">
        <w:rPr>
          <w:rFonts w:ascii="Arial" w:eastAsia="Calibri" w:hAnsi="Arial" w:cs="Arial"/>
          <w:sz w:val="22"/>
        </w:rPr>
        <w:t>Es</w:t>
      </w:r>
      <w:r>
        <w:rPr>
          <w:rFonts w:ascii="Arial" w:eastAsia="Calibri" w:hAnsi="Arial" w:cs="Arial"/>
          <w:sz w:val="22"/>
        </w:rPr>
        <w:t>t</w:t>
      </w:r>
      <w:r w:rsidRPr="00000B04">
        <w:rPr>
          <w:rFonts w:ascii="Arial" w:eastAsia="Calibri" w:hAnsi="Arial" w:cs="Arial"/>
          <w:sz w:val="22"/>
        </w:rPr>
        <w:t xml:space="preserve">e </w:t>
      </w:r>
      <w:r>
        <w:rPr>
          <w:rFonts w:ascii="Arial" w:eastAsia="Calibri" w:hAnsi="Arial" w:cs="Arial"/>
          <w:sz w:val="22"/>
        </w:rPr>
        <w:t>término</w:t>
      </w:r>
      <w:r w:rsidRPr="00000B04">
        <w:rPr>
          <w:rFonts w:ascii="Arial" w:eastAsia="Calibri" w:hAnsi="Arial" w:cs="Arial"/>
          <w:sz w:val="22"/>
        </w:rPr>
        <w:t xml:space="preserve">, cuando la prestación es positiva, se refiere al plazo para terminar y entregar </w:t>
      </w:r>
      <w:r>
        <w:rPr>
          <w:rFonts w:ascii="Arial" w:eastAsia="Calibri" w:hAnsi="Arial" w:cs="Arial"/>
          <w:sz w:val="22"/>
        </w:rPr>
        <w:t>el objeto contractual</w:t>
      </w:r>
      <w:r w:rsidRPr="00000B04">
        <w:rPr>
          <w:rFonts w:ascii="Arial" w:eastAsia="Calibri" w:hAnsi="Arial" w:cs="Arial"/>
          <w:sz w:val="22"/>
        </w:rPr>
        <w:t>, esto es, la fecha fijada</w:t>
      </w:r>
      <w:r>
        <w:rPr>
          <w:rFonts w:ascii="Arial" w:eastAsia="Calibri" w:hAnsi="Arial" w:cs="Arial"/>
          <w:sz w:val="22"/>
        </w:rPr>
        <w:t xml:space="preserve"> que tiene el contratista</w:t>
      </w:r>
      <w:r w:rsidRPr="00000B04">
        <w:rPr>
          <w:rFonts w:ascii="Arial" w:eastAsia="Calibri" w:hAnsi="Arial" w:cs="Arial"/>
          <w:sz w:val="22"/>
        </w:rPr>
        <w:t xml:space="preserve"> para cumplir con sus obligaciones, o el día en que termina la prestación</w:t>
      </w:r>
      <w:r>
        <w:rPr>
          <w:rFonts w:ascii="Arial" w:eastAsia="Calibri" w:hAnsi="Arial" w:cs="Arial"/>
          <w:sz w:val="22"/>
        </w:rPr>
        <w:t>. Esto</w:t>
      </w:r>
      <w:r w:rsidRPr="00000B04">
        <w:rPr>
          <w:rFonts w:ascii="Arial" w:eastAsia="Calibri" w:hAnsi="Arial" w:cs="Arial"/>
          <w:sz w:val="22"/>
        </w:rPr>
        <w:t xml:space="preserve"> en contraposición a la prestación negativa que es la fecha desde la cual el deudor debe abstenerse de hacer algo. </w:t>
      </w:r>
      <w:r>
        <w:rPr>
          <w:rFonts w:ascii="Arial" w:eastAsia="Calibri" w:hAnsi="Arial" w:cs="Arial"/>
          <w:sz w:val="22"/>
        </w:rPr>
        <w:t>Por ello,</w:t>
      </w:r>
      <w:r w:rsidRPr="00000B04">
        <w:rPr>
          <w:rFonts w:ascii="Arial" w:eastAsia="Calibri" w:hAnsi="Arial" w:cs="Arial"/>
          <w:sz w:val="22"/>
        </w:rPr>
        <w:t xml:space="preserve"> la oportunidad para el pago se refiere al período preciso o tiempo necesario para ejecutar la prestación o el que toma la ejecución de </w:t>
      </w:r>
      <w:r>
        <w:rPr>
          <w:rFonts w:ascii="Arial" w:eastAsia="Calibri" w:hAnsi="Arial" w:cs="Arial"/>
          <w:sz w:val="22"/>
        </w:rPr>
        <w:t>los estudios y diseños</w:t>
      </w:r>
      <w:r w:rsidRPr="00000B04">
        <w:rPr>
          <w:rStyle w:val="Refdenotaalpie"/>
          <w:rFonts w:ascii="Arial" w:eastAsia="Calibri" w:hAnsi="Arial" w:cs="Arial"/>
          <w:sz w:val="22"/>
        </w:rPr>
        <w:footnoteReference w:id="14"/>
      </w:r>
      <w:r w:rsidRPr="00000B04">
        <w:rPr>
          <w:rFonts w:ascii="Arial" w:eastAsia="Calibri" w:hAnsi="Arial" w:cs="Arial"/>
          <w:sz w:val="22"/>
        </w:rPr>
        <w:t xml:space="preserve">. </w:t>
      </w:r>
      <w:r w:rsidRPr="009E0A04">
        <w:rPr>
          <w:rFonts w:ascii="Arial" w:eastAsia="Calibri" w:hAnsi="Arial" w:cs="Arial"/>
          <w:sz w:val="22"/>
        </w:rPr>
        <w:t>Sin embargo,</w:t>
      </w:r>
      <w:r>
        <w:rPr>
          <w:rFonts w:ascii="Arial" w:eastAsia="Calibri" w:hAnsi="Arial" w:cs="Arial"/>
          <w:sz w:val="22"/>
        </w:rPr>
        <w:t xml:space="preserve"> conforme a lo explicado </w:t>
      </w:r>
      <w:r w:rsidRPr="009E0A04">
        <w:rPr>
          <w:rFonts w:ascii="Arial" w:eastAsia="Calibri" w:hAnsi="Arial" w:cs="Arial"/>
          <w:i/>
          <w:iCs/>
          <w:sz w:val="22"/>
        </w:rPr>
        <w:t>ut supra</w:t>
      </w:r>
      <w:r>
        <w:rPr>
          <w:rFonts w:ascii="Arial" w:eastAsia="Calibri" w:hAnsi="Arial" w:cs="Arial"/>
          <w:sz w:val="22"/>
        </w:rPr>
        <w:t>,</w:t>
      </w:r>
      <w:r w:rsidRPr="009E0A04">
        <w:rPr>
          <w:rFonts w:ascii="Arial" w:eastAsia="Calibri" w:hAnsi="Arial" w:cs="Arial"/>
          <w:sz w:val="22"/>
        </w:rPr>
        <w:t xml:space="preserve"> mientras existan obligaciones pendientes no </w:t>
      </w:r>
      <w:r>
        <w:rPr>
          <w:rFonts w:ascii="Arial" w:eastAsia="Calibri" w:hAnsi="Arial" w:cs="Arial"/>
          <w:sz w:val="22"/>
        </w:rPr>
        <w:t xml:space="preserve">puede </w:t>
      </w:r>
      <w:r w:rsidRPr="009E0A04">
        <w:rPr>
          <w:rFonts w:ascii="Arial" w:eastAsia="Calibri" w:hAnsi="Arial" w:cs="Arial"/>
          <w:sz w:val="22"/>
        </w:rPr>
        <w:t>entender</w:t>
      </w:r>
      <w:r>
        <w:rPr>
          <w:rFonts w:ascii="Arial" w:eastAsia="Calibri" w:hAnsi="Arial" w:cs="Arial"/>
          <w:sz w:val="22"/>
        </w:rPr>
        <w:t>se que</w:t>
      </w:r>
      <w:r w:rsidRPr="009E0A04">
        <w:rPr>
          <w:rFonts w:ascii="Arial" w:eastAsia="Calibri" w:hAnsi="Arial" w:cs="Arial"/>
          <w:sz w:val="22"/>
        </w:rPr>
        <w:t xml:space="preserve"> estas dejan de producir efectos, ya que el contrato continúa vigente</w:t>
      </w:r>
      <w:r>
        <w:rPr>
          <w:rFonts w:ascii="Arial" w:eastAsia="Calibri" w:hAnsi="Arial" w:cs="Arial"/>
          <w:sz w:val="22"/>
        </w:rPr>
        <w:t xml:space="preserve"> para </w:t>
      </w:r>
      <w:r>
        <w:rPr>
          <w:rFonts w:ascii="Arial" w:eastAsia="Calibri" w:hAnsi="Arial" w:cs="Arial"/>
          <w:sz w:val="22"/>
        </w:rPr>
        <w:lastRenderedPageBreak/>
        <w:t>efectos de su exigibilidad</w:t>
      </w:r>
      <w:r w:rsidRPr="009E0A04">
        <w:rPr>
          <w:rFonts w:ascii="Arial" w:eastAsia="Calibri" w:hAnsi="Arial" w:cs="Arial"/>
          <w:sz w:val="22"/>
        </w:rPr>
        <w:t>, de acuerdo con lo citado anteriormente sobre el plazo de vigencia definido por el Consejo de Estado, y teniendo en cuenta que el artículo 1625 del Código Civil no enlista el vencimiento del plazo como uno de los modos de extinción de las obligaciones.</w:t>
      </w:r>
    </w:p>
    <w:p w14:paraId="14E717E4" w14:textId="77777777" w:rsidR="00990612" w:rsidRDefault="00990612" w:rsidP="00990612">
      <w:pPr>
        <w:spacing w:line="276" w:lineRule="auto"/>
        <w:ind w:firstLine="708"/>
        <w:jc w:val="both"/>
        <w:rPr>
          <w:rFonts w:ascii="Arial" w:eastAsia="Calibri" w:hAnsi="Arial" w:cs="Arial"/>
          <w:sz w:val="22"/>
        </w:rPr>
      </w:pPr>
    </w:p>
    <w:p w14:paraId="008C3916" w14:textId="77777777" w:rsidR="00990612" w:rsidRDefault="00990612" w:rsidP="00990612">
      <w:pPr>
        <w:spacing w:line="276" w:lineRule="auto"/>
        <w:jc w:val="both"/>
        <w:rPr>
          <w:rFonts w:ascii="Arial" w:eastAsia="Calibri" w:hAnsi="Arial" w:cs="Arial"/>
          <w:b/>
          <w:sz w:val="22"/>
          <w:lang w:val="es-CO"/>
        </w:rPr>
      </w:pPr>
      <w:r w:rsidRPr="00971A67">
        <w:rPr>
          <w:rFonts w:ascii="Arial" w:eastAsia="Calibri" w:hAnsi="Arial" w:cs="Arial"/>
          <w:b/>
          <w:sz w:val="22"/>
          <w:lang w:val="es-CO"/>
        </w:rPr>
        <w:t xml:space="preserve">2.2. </w:t>
      </w:r>
      <w:r>
        <w:rPr>
          <w:rFonts w:ascii="Arial" w:eastAsia="Calibri" w:hAnsi="Arial" w:cs="Arial"/>
          <w:b/>
          <w:sz w:val="22"/>
          <w:lang w:val="es-CO"/>
        </w:rPr>
        <w:t>C</w:t>
      </w:r>
      <w:r w:rsidRPr="00971A67">
        <w:rPr>
          <w:rFonts w:ascii="Arial" w:eastAsia="Calibri" w:hAnsi="Arial" w:cs="Arial"/>
          <w:b/>
          <w:sz w:val="22"/>
          <w:lang w:val="es-CO"/>
        </w:rPr>
        <w:t xml:space="preserve">ompetencia de las entidades públicas para </w:t>
      </w:r>
      <w:r>
        <w:rPr>
          <w:rFonts w:ascii="Arial" w:eastAsia="Calibri" w:hAnsi="Arial" w:cs="Arial"/>
          <w:b/>
          <w:sz w:val="22"/>
          <w:lang w:val="es-CO"/>
        </w:rPr>
        <w:t>imponer</w:t>
      </w:r>
      <w:r w:rsidRPr="00971A67">
        <w:rPr>
          <w:rFonts w:ascii="Arial" w:eastAsia="Calibri" w:hAnsi="Arial" w:cs="Arial"/>
          <w:b/>
          <w:sz w:val="22"/>
          <w:lang w:val="es-CO"/>
        </w:rPr>
        <w:t xml:space="preserve"> sanciones pecuniarias</w:t>
      </w:r>
    </w:p>
    <w:p w14:paraId="1E76A2E6" w14:textId="77777777" w:rsidR="00990612" w:rsidRPr="00971A67" w:rsidRDefault="00990612" w:rsidP="00990612">
      <w:pPr>
        <w:spacing w:line="276" w:lineRule="auto"/>
        <w:jc w:val="both"/>
        <w:rPr>
          <w:rFonts w:ascii="Arial" w:eastAsia="Calibri" w:hAnsi="Arial" w:cs="Arial"/>
          <w:b/>
          <w:sz w:val="22"/>
        </w:rPr>
      </w:pPr>
    </w:p>
    <w:p w14:paraId="48541F98" w14:textId="77777777" w:rsidR="00990612" w:rsidRDefault="00990612" w:rsidP="00990612">
      <w:pPr>
        <w:spacing w:after="120" w:line="276" w:lineRule="auto"/>
        <w:jc w:val="both"/>
        <w:rPr>
          <w:rFonts w:ascii="Arial" w:eastAsia="Calibri" w:hAnsi="Arial" w:cs="Arial"/>
          <w:sz w:val="22"/>
        </w:rPr>
      </w:pPr>
      <w:bookmarkStart w:id="7" w:name="_Hlk55584840"/>
      <w:r>
        <w:rPr>
          <w:rFonts w:ascii="Arial" w:eastAsia="Calibri" w:hAnsi="Arial" w:cs="Arial"/>
          <w:sz w:val="22"/>
        </w:rPr>
        <w:t>Conforme a lo explicado en el apartado anterior</w:t>
      </w:r>
      <w:r w:rsidRPr="00000B04">
        <w:rPr>
          <w:rFonts w:ascii="Arial" w:eastAsia="Calibri" w:hAnsi="Arial" w:cs="Arial"/>
          <w:sz w:val="22"/>
        </w:rPr>
        <w:t xml:space="preserve">, </w:t>
      </w:r>
      <w:bookmarkStart w:id="8" w:name="_Hlk58923776"/>
      <w:r w:rsidRPr="00000B04">
        <w:rPr>
          <w:rFonts w:ascii="Arial" w:eastAsia="Calibri" w:hAnsi="Arial" w:cs="Arial"/>
          <w:sz w:val="22"/>
        </w:rPr>
        <w:t xml:space="preserve">el vencimiento del plazo para el cumplimiento de las obligaciones de tracto sucesivo, por naturaleza suspensivo, </w:t>
      </w:r>
      <w:proofErr w:type="gramStart"/>
      <w:r w:rsidRPr="00000B04">
        <w:rPr>
          <w:rFonts w:ascii="Arial" w:eastAsia="Calibri" w:hAnsi="Arial" w:cs="Arial"/>
          <w:sz w:val="22"/>
        </w:rPr>
        <w:t>bajo ninguna circunstancia</w:t>
      </w:r>
      <w:proofErr w:type="gramEnd"/>
      <w:r w:rsidRPr="00000B04">
        <w:rPr>
          <w:rFonts w:ascii="Arial" w:eastAsia="Calibri" w:hAnsi="Arial" w:cs="Arial"/>
          <w:sz w:val="22"/>
        </w:rPr>
        <w:t xml:space="preserve"> conlleva su extinción. Pues tal como se desprende</w:t>
      </w:r>
      <w:r>
        <w:rPr>
          <w:rFonts w:ascii="Arial" w:eastAsia="Calibri" w:hAnsi="Arial" w:cs="Arial"/>
          <w:sz w:val="22"/>
        </w:rPr>
        <w:t xml:space="preserve"> de</w:t>
      </w:r>
      <w:r w:rsidRPr="00000B04">
        <w:rPr>
          <w:rFonts w:ascii="Arial" w:eastAsia="Calibri" w:hAnsi="Arial" w:cs="Arial"/>
          <w:sz w:val="22"/>
        </w:rPr>
        <w:t xml:space="preserve"> las consideraciones de orden normativo, jurisprudencial y doctrinario, el </w:t>
      </w:r>
      <w:r>
        <w:rPr>
          <w:rFonts w:ascii="Arial" w:eastAsia="Calibri" w:hAnsi="Arial" w:cs="Arial"/>
          <w:sz w:val="22"/>
        </w:rPr>
        <w:t>vencimiento</w:t>
      </w:r>
      <w:r w:rsidRPr="00000B04">
        <w:rPr>
          <w:rFonts w:ascii="Arial" w:eastAsia="Calibri" w:hAnsi="Arial" w:cs="Arial"/>
          <w:sz w:val="22"/>
        </w:rPr>
        <w:t xml:space="preserve"> del plazo</w:t>
      </w:r>
      <w:r>
        <w:rPr>
          <w:rFonts w:ascii="Arial" w:eastAsia="Calibri" w:hAnsi="Arial" w:cs="Arial"/>
          <w:sz w:val="22"/>
        </w:rPr>
        <w:t xml:space="preserve"> suspensivo</w:t>
      </w:r>
      <w:r w:rsidRPr="00000B04">
        <w:rPr>
          <w:rFonts w:ascii="Arial" w:eastAsia="Calibri" w:hAnsi="Arial" w:cs="Arial"/>
          <w:sz w:val="22"/>
        </w:rPr>
        <w:t>, en realidad, implica que la obligación se hace exigible en su totalidad a partir de ese mismo instante.</w:t>
      </w:r>
      <w:r>
        <w:rPr>
          <w:rFonts w:ascii="Arial" w:eastAsia="Calibri" w:hAnsi="Arial" w:cs="Arial"/>
          <w:sz w:val="22"/>
        </w:rPr>
        <w:t xml:space="preserve"> Por tanto, vencido el </w:t>
      </w:r>
      <w:r w:rsidRPr="009E0A04">
        <w:rPr>
          <w:rFonts w:ascii="Arial" w:eastAsia="Calibri" w:hAnsi="Arial" w:cs="Arial"/>
          <w:i/>
          <w:iCs/>
          <w:sz w:val="22"/>
        </w:rPr>
        <w:t>plazo de ejecución</w:t>
      </w:r>
      <w:r>
        <w:rPr>
          <w:rFonts w:ascii="Arial" w:eastAsia="Calibri" w:hAnsi="Arial" w:cs="Arial"/>
          <w:sz w:val="22"/>
        </w:rPr>
        <w:t xml:space="preserve"> de un contrato para la elaboración de estudios y diseños, es posible que la entidad reciba las prestaciones realizadas fuera del mismo mientras no se haya liquidado. Lo anterior, sin perjuicio de que la entidad también pueda exigir su cumplimiento mediante la imposición unilateral de las multas y la cláusula penal pecuniaria</w:t>
      </w:r>
      <w:bookmarkEnd w:id="8"/>
      <w:r>
        <w:rPr>
          <w:rFonts w:ascii="Arial" w:eastAsia="Calibri" w:hAnsi="Arial" w:cs="Arial"/>
          <w:sz w:val="22"/>
        </w:rPr>
        <w:t xml:space="preserve">.  </w:t>
      </w:r>
    </w:p>
    <w:bookmarkEnd w:id="7"/>
    <w:p w14:paraId="5E4CE33B" w14:textId="77777777" w:rsidR="00990612" w:rsidRDefault="00990612" w:rsidP="00990612">
      <w:pPr>
        <w:spacing w:before="120" w:line="276" w:lineRule="auto"/>
        <w:ind w:firstLine="708"/>
        <w:jc w:val="both"/>
        <w:rPr>
          <w:rFonts w:ascii="Arial" w:eastAsia="Calibri" w:hAnsi="Arial" w:cs="Arial"/>
          <w:sz w:val="22"/>
          <w:lang w:val="es-ES_tradnl"/>
        </w:rPr>
      </w:pPr>
      <w:r>
        <w:rPr>
          <w:rFonts w:ascii="Arial" w:eastAsia="Calibri" w:hAnsi="Arial" w:cs="Arial"/>
          <w:sz w:val="22"/>
        </w:rPr>
        <w:t xml:space="preserve">En efecto, </w:t>
      </w:r>
      <w:r>
        <w:rPr>
          <w:rFonts w:ascii="Arial" w:eastAsia="Calibri" w:hAnsi="Arial" w:cs="Arial"/>
          <w:sz w:val="22"/>
          <w:lang w:val="es-ES_tradnl"/>
        </w:rPr>
        <w:t xml:space="preserve">la Ley 1150 de 2007 </w:t>
      </w:r>
      <w:r w:rsidRPr="00F77067">
        <w:rPr>
          <w:rFonts w:ascii="Arial" w:eastAsia="Calibri" w:hAnsi="Arial" w:cs="Arial"/>
          <w:sz w:val="22"/>
          <w:lang w:val="es-ES_tradnl"/>
        </w:rPr>
        <w:t>determinó de manera expresa que las</w:t>
      </w:r>
      <w:r>
        <w:rPr>
          <w:rFonts w:ascii="Arial" w:eastAsia="Calibri" w:hAnsi="Arial" w:cs="Arial"/>
          <w:sz w:val="22"/>
          <w:lang w:val="es-ES_tradnl"/>
        </w:rPr>
        <w:t xml:space="preserve"> </w:t>
      </w:r>
      <w:r w:rsidRPr="00F77067">
        <w:rPr>
          <w:rFonts w:ascii="Arial" w:eastAsia="Calibri" w:hAnsi="Arial" w:cs="Arial"/>
          <w:sz w:val="22"/>
          <w:lang w:val="es-ES_tradnl"/>
        </w:rPr>
        <w:t>entidades sometidas al Estatuto General de Contratación de la Administración Pública</w:t>
      </w:r>
      <w:r>
        <w:rPr>
          <w:rFonts w:ascii="Arial" w:eastAsia="Calibri" w:hAnsi="Arial" w:cs="Arial"/>
          <w:sz w:val="22"/>
          <w:lang w:val="es-ES_tradnl"/>
        </w:rPr>
        <w:t xml:space="preserve"> </w:t>
      </w:r>
      <w:r w:rsidRPr="00F77067">
        <w:rPr>
          <w:rFonts w:ascii="Arial" w:eastAsia="Calibri" w:hAnsi="Arial" w:cs="Arial"/>
          <w:sz w:val="22"/>
          <w:lang w:val="es-ES_tradnl"/>
        </w:rPr>
        <w:t>pueden imponer las multas pactadas en el contrato, así como declarar su incumplimiento</w:t>
      </w:r>
      <w:r>
        <w:rPr>
          <w:rFonts w:ascii="Arial" w:eastAsia="Calibri" w:hAnsi="Arial" w:cs="Arial"/>
          <w:sz w:val="22"/>
          <w:lang w:val="es-ES_tradnl"/>
        </w:rPr>
        <w:t xml:space="preserve"> </w:t>
      </w:r>
      <w:r w:rsidRPr="00F77067">
        <w:rPr>
          <w:rFonts w:ascii="Arial" w:eastAsia="Calibri" w:hAnsi="Arial" w:cs="Arial"/>
          <w:sz w:val="22"/>
          <w:lang w:val="es-ES_tradnl"/>
        </w:rPr>
        <w:t>con la finalidad de hacer efectiva la cláusula penal, siempre que se halle pendiente la</w:t>
      </w:r>
      <w:r>
        <w:rPr>
          <w:rFonts w:ascii="Arial" w:eastAsia="Calibri" w:hAnsi="Arial" w:cs="Arial"/>
          <w:sz w:val="22"/>
          <w:lang w:val="es-ES_tradnl"/>
        </w:rPr>
        <w:t xml:space="preserve"> </w:t>
      </w:r>
      <w:r w:rsidRPr="00F77067">
        <w:rPr>
          <w:rFonts w:ascii="Arial" w:eastAsia="Calibri" w:hAnsi="Arial" w:cs="Arial"/>
          <w:sz w:val="22"/>
          <w:lang w:val="es-ES_tradnl"/>
        </w:rPr>
        <w:t>ejecución de las obligaciones a cargo del contratista. E</w:t>
      </w:r>
      <w:r>
        <w:rPr>
          <w:rFonts w:ascii="Arial" w:eastAsia="Calibri" w:hAnsi="Arial" w:cs="Arial"/>
          <w:sz w:val="22"/>
          <w:lang w:val="es-ES_tradnl"/>
        </w:rPr>
        <w:t>n lo pertinente, e</w:t>
      </w:r>
      <w:r w:rsidRPr="00F77067">
        <w:rPr>
          <w:rFonts w:ascii="Arial" w:eastAsia="Calibri" w:hAnsi="Arial" w:cs="Arial"/>
          <w:sz w:val="22"/>
          <w:lang w:val="es-ES_tradnl"/>
        </w:rPr>
        <w:t>l artículo 17 prescribe lo siguiente:</w:t>
      </w:r>
    </w:p>
    <w:p w14:paraId="46B6468B" w14:textId="77777777" w:rsidR="00990612" w:rsidRDefault="00990612" w:rsidP="00990612">
      <w:pPr>
        <w:spacing w:line="276" w:lineRule="auto"/>
        <w:jc w:val="both"/>
        <w:rPr>
          <w:rFonts w:ascii="Arial" w:eastAsia="Calibri" w:hAnsi="Arial" w:cs="Arial"/>
          <w:sz w:val="22"/>
          <w:lang w:val="es-ES_tradnl"/>
        </w:rPr>
      </w:pPr>
    </w:p>
    <w:p w14:paraId="59BD22DA" w14:textId="77777777" w:rsidR="00990612" w:rsidRPr="00F77067" w:rsidRDefault="00990612" w:rsidP="00990612">
      <w:pPr>
        <w:ind w:left="709" w:right="709"/>
        <w:jc w:val="both"/>
        <w:rPr>
          <w:rFonts w:ascii="Arial" w:eastAsia="Calibri" w:hAnsi="Arial" w:cs="Arial"/>
          <w:sz w:val="21"/>
          <w:szCs w:val="21"/>
          <w:lang w:val="es-ES_tradnl"/>
        </w:rPr>
      </w:pPr>
      <w:r w:rsidRPr="00F77067">
        <w:rPr>
          <w:rFonts w:ascii="Arial" w:eastAsia="Calibri" w:hAnsi="Arial" w:cs="Arial"/>
          <w:sz w:val="21"/>
          <w:szCs w:val="21"/>
          <w:lang w:val="es-ES_tradnl"/>
        </w:rPr>
        <w:t>El debido proceso será un principio rector en materia sancionatoria de las actuaciones contractuales.</w:t>
      </w:r>
    </w:p>
    <w:p w14:paraId="47EEF5AA" w14:textId="77777777" w:rsidR="00990612" w:rsidRPr="00F77067" w:rsidRDefault="00990612" w:rsidP="00990612">
      <w:pPr>
        <w:spacing w:before="120"/>
        <w:ind w:left="709" w:right="709"/>
        <w:jc w:val="both"/>
        <w:rPr>
          <w:rFonts w:ascii="Arial" w:eastAsia="Calibri" w:hAnsi="Arial" w:cs="Arial"/>
          <w:sz w:val="21"/>
          <w:szCs w:val="21"/>
          <w:lang w:val="es-ES_tradnl"/>
        </w:rPr>
      </w:pPr>
      <w:r w:rsidRPr="00F77067">
        <w:rPr>
          <w:rFonts w:ascii="Arial" w:eastAsia="Calibri" w:hAnsi="Arial" w:cs="Arial"/>
          <w:sz w:val="21"/>
          <w:szCs w:val="21"/>
          <w:lang w:val="es-ES_tradnl"/>
        </w:rPr>
        <w:t xml:space="preserve">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w:t>
      </w:r>
      <w:r w:rsidRPr="00F77067">
        <w:rPr>
          <w:rFonts w:ascii="Arial" w:eastAsia="Calibri" w:hAnsi="Arial" w:cs="Arial"/>
          <w:i/>
          <w:iCs/>
          <w:sz w:val="21"/>
          <w:szCs w:val="21"/>
          <w:lang w:val="es-ES_tradnl"/>
        </w:rPr>
        <w:t>procede sólo mientras se halle pendiente la ejecución de las obligaciones a cargo del contratista</w:t>
      </w:r>
      <w:r w:rsidRPr="00F77067">
        <w:rPr>
          <w:rFonts w:ascii="Arial" w:eastAsia="Calibri" w:hAnsi="Arial" w:cs="Arial"/>
          <w:sz w:val="21"/>
          <w:szCs w:val="21"/>
          <w:lang w:val="es-ES_tradnl"/>
        </w:rPr>
        <w:t>. Así mismo podrán declarar el incumplimiento con el propósito de hacer efectiva la cláusula penal pecuniaria incluida en el contrato. (Énfasis fuera de texto).</w:t>
      </w:r>
    </w:p>
    <w:p w14:paraId="355346E3" w14:textId="77777777" w:rsidR="00990612" w:rsidRDefault="00990612" w:rsidP="00990612">
      <w:pPr>
        <w:spacing w:line="276" w:lineRule="auto"/>
        <w:jc w:val="both"/>
        <w:rPr>
          <w:rFonts w:ascii="Arial" w:eastAsia="Calibri" w:hAnsi="Arial" w:cs="Arial"/>
          <w:sz w:val="22"/>
          <w:lang w:val="es-ES_tradnl"/>
        </w:rPr>
      </w:pPr>
    </w:p>
    <w:p w14:paraId="56D33AEB" w14:textId="77777777" w:rsidR="00990612" w:rsidRDefault="00990612" w:rsidP="00990612">
      <w:pPr>
        <w:spacing w:line="276" w:lineRule="auto"/>
        <w:ind w:firstLine="708"/>
        <w:jc w:val="both"/>
        <w:rPr>
          <w:rFonts w:ascii="Arial" w:eastAsia="Calibri" w:hAnsi="Arial" w:cs="Arial"/>
          <w:sz w:val="22"/>
          <w:lang w:val="es-ES_tradnl"/>
        </w:rPr>
      </w:pPr>
      <w:r w:rsidRPr="00F77067">
        <w:rPr>
          <w:rFonts w:ascii="Arial" w:eastAsia="Calibri" w:hAnsi="Arial" w:cs="Arial"/>
          <w:sz w:val="22"/>
          <w:lang w:val="es-ES_tradnl"/>
        </w:rPr>
        <w:t>Lo anterior quiere decir que la entidad puede imponer la multa o hacer efectiva la cláusula</w:t>
      </w:r>
      <w:r>
        <w:rPr>
          <w:rFonts w:ascii="Arial" w:eastAsia="Calibri" w:hAnsi="Arial" w:cs="Arial"/>
          <w:sz w:val="22"/>
          <w:lang w:val="es-ES_tradnl"/>
        </w:rPr>
        <w:t xml:space="preserve"> </w:t>
      </w:r>
      <w:r w:rsidRPr="00F77067">
        <w:rPr>
          <w:rFonts w:ascii="Arial" w:eastAsia="Calibri" w:hAnsi="Arial" w:cs="Arial"/>
          <w:sz w:val="22"/>
          <w:lang w:val="es-ES_tradnl"/>
        </w:rPr>
        <w:t>penal en cualquier momento</w:t>
      </w:r>
      <w:r>
        <w:rPr>
          <w:rFonts w:ascii="Arial" w:eastAsia="Calibri" w:hAnsi="Arial" w:cs="Arial"/>
          <w:sz w:val="22"/>
          <w:lang w:val="es-ES_tradnl"/>
        </w:rPr>
        <w:t>,</w:t>
      </w:r>
      <w:r w:rsidRPr="00F77067">
        <w:rPr>
          <w:rFonts w:ascii="Arial" w:eastAsia="Calibri" w:hAnsi="Arial" w:cs="Arial"/>
          <w:sz w:val="22"/>
          <w:lang w:val="es-ES_tradnl"/>
        </w:rPr>
        <w:t xml:space="preserve"> mientras esté pendiente la ejecución de las obligaciones del</w:t>
      </w:r>
      <w:r>
        <w:rPr>
          <w:rFonts w:ascii="Arial" w:eastAsia="Calibri" w:hAnsi="Arial" w:cs="Arial"/>
          <w:sz w:val="22"/>
          <w:lang w:val="es-ES_tradnl"/>
        </w:rPr>
        <w:t xml:space="preserve"> </w:t>
      </w:r>
      <w:r w:rsidRPr="00F77067">
        <w:rPr>
          <w:rFonts w:ascii="Arial" w:eastAsia="Calibri" w:hAnsi="Arial" w:cs="Arial"/>
          <w:sz w:val="22"/>
          <w:lang w:val="es-ES_tradnl"/>
        </w:rPr>
        <w:t xml:space="preserve">contratista, lo que </w:t>
      </w:r>
      <w:r>
        <w:rPr>
          <w:rFonts w:ascii="Arial" w:eastAsia="Calibri" w:hAnsi="Arial" w:cs="Arial"/>
          <w:sz w:val="22"/>
          <w:lang w:val="es-ES_tradnl"/>
        </w:rPr>
        <w:t>define el</w:t>
      </w:r>
      <w:r w:rsidRPr="00F77067">
        <w:rPr>
          <w:rFonts w:ascii="Arial" w:eastAsia="Calibri" w:hAnsi="Arial" w:cs="Arial"/>
          <w:sz w:val="22"/>
          <w:lang w:val="es-ES_tradnl"/>
        </w:rPr>
        <w:t xml:space="preserve"> límite</w:t>
      </w:r>
      <w:r>
        <w:rPr>
          <w:rFonts w:ascii="Arial" w:eastAsia="Calibri" w:hAnsi="Arial" w:cs="Arial"/>
          <w:sz w:val="22"/>
          <w:lang w:val="es-ES_tradnl"/>
        </w:rPr>
        <w:t xml:space="preserve"> </w:t>
      </w:r>
      <w:r w:rsidRPr="00F77067">
        <w:rPr>
          <w:rFonts w:ascii="Arial" w:eastAsia="Calibri" w:hAnsi="Arial" w:cs="Arial"/>
          <w:sz w:val="22"/>
          <w:lang w:val="es-ES_tradnl"/>
        </w:rPr>
        <w:t xml:space="preserve">temporal para </w:t>
      </w:r>
      <w:r>
        <w:rPr>
          <w:rFonts w:ascii="Arial" w:eastAsia="Calibri" w:hAnsi="Arial" w:cs="Arial"/>
          <w:sz w:val="22"/>
          <w:lang w:val="es-ES_tradnl"/>
        </w:rPr>
        <w:t>hacerlo</w:t>
      </w:r>
      <w:r w:rsidRPr="00F77067">
        <w:rPr>
          <w:rFonts w:ascii="Arial" w:eastAsia="Calibri" w:hAnsi="Arial" w:cs="Arial"/>
          <w:sz w:val="22"/>
          <w:lang w:val="es-ES_tradnl"/>
        </w:rPr>
        <w:t>.</w:t>
      </w:r>
      <w:r>
        <w:rPr>
          <w:rFonts w:ascii="Arial" w:eastAsia="Calibri" w:hAnsi="Arial" w:cs="Arial"/>
          <w:sz w:val="22"/>
          <w:lang w:val="es-ES_tradnl"/>
        </w:rPr>
        <w:t xml:space="preserve"> De hecho,</w:t>
      </w:r>
      <w:r w:rsidRPr="00F77067">
        <w:rPr>
          <w:rFonts w:ascii="Arial" w:eastAsia="Calibri" w:hAnsi="Arial" w:cs="Arial"/>
          <w:sz w:val="22"/>
          <w:lang w:val="es-ES_tradnl"/>
        </w:rPr>
        <w:t xml:space="preserve"> no condicionó la aplicación de </w:t>
      </w:r>
      <w:r>
        <w:rPr>
          <w:rFonts w:ascii="Arial" w:eastAsia="Calibri" w:hAnsi="Arial" w:cs="Arial"/>
          <w:sz w:val="22"/>
          <w:lang w:val="es-ES_tradnl"/>
        </w:rPr>
        <w:t>estas</w:t>
      </w:r>
      <w:r w:rsidRPr="00F77067">
        <w:rPr>
          <w:rFonts w:ascii="Arial" w:eastAsia="Calibri" w:hAnsi="Arial" w:cs="Arial"/>
          <w:sz w:val="22"/>
          <w:lang w:val="es-ES_tradnl"/>
        </w:rPr>
        <w:t xml:space="preserve"> sanciones</w:t>
      </w:r>
      <w:r>
        <w:rPr>
          <w:rFonts w:ascii="Arial" w:eastAsia="Calibri" w:hAnsi="Arial" w:cs="Arial"/>
          <w:sz w:val="22"/>
          <w:lang w:val="es-ES_tradnl"/>
        </w:rPr>
        <w:t xml:space="preserve"> </w:t>
      </w:r>
      <w:r w:rsidRPr="00F77067">
        <w:rPr>
          <w:rFonts w:ascii="Arial" w:eastAsia="Calibri" w:hAnsi="Arial" w:cs="Arial"/>
          <w:sz w:val="22"/>
          <w:lang w:val="es-ES_tradnl"/>
        </w:rPr>
        <w:t xml:space="preserve">al plazo de ejecución del contrato, y esto tiene </w:t>
      </w:r>
      <w:r w:rsidRPr="00F77067">
        <w:rPr>
          <w:rFonts w:ascii="Arial" w:eastAsia="Calibri" w:hAnsi="Arial" w:cs="Arial"/>
          <w:sz w:val="22"/>
          <w:lang w:val="es-ES_tradnl"/>
        </w:rPr>
        <w:lastRenderedPageBreak/>
        <w:t>sentido si se armoniza con la finalidad de la</w:t>
      </w:r>
      <w:r>
        <w:rPr>
          <w:rFonts w:ascii="Arial" w:eastAsia="Calibri" w:hAnsi="Arial" w:cs="Arial"/>
          <w:sz w:val="22"/>
          <w:lang w:val="es-ES_tradnl"/>
        </w:rPr>
        <w:t xml:space="preserve"> </w:t>
      </w:r>
      <w:r w:rsidRPr="00F77067">
        <w:rPr>
          <w:rFonts w:ascii="Arial" w:eastAsia="Calibri" w:hAnsi="Arial" w:cs="Arial"/>
          <w:sz w:val="22"/>
          <w:lang w:val="es-ES_tradnl"/>
        </w:rPr>
        <w:t>multa o de la cláusula penal y los fines de la contratación estatal. En primer lugar, existen</w:t>
      </w:r>
      <w:r>
        <w:rPr>
          <w:rFonts w:ascii="Arial" w:eastAsia="Calibri" w:hAnsi="Arial" w:cs="Arial"/>
          <w:sz w:val="22"/>
          <w:lang w:val="es-ES_tradnl"/>
        </w:rPr>
        <w:t xml:space="preserve"> </w:t>
      </w:r>
      <w:r w:rsidRPr="00F77067">
        <w:rPr>
          <w:rFonts w:ascii="Arial" w:eastAsia="Calibri" w:hAnsi="Arial" w:cs="Arial"/>
          <w:sz w:val="22"/>
          <w:lang w:val="es-ES_tradnl"/>
        </w:rPr>
        <w:t>obligaciones cuyo cumplimiento solo puede verifica</w:t>
      </w:r>
      <w:r>
        <w:rPr>
          <w:rFonts w:ascii="Arial" w:eastAsia="Calibri" w:hAnsi="Arial" w:cs="Arial"/>
          <w:sz w:val="22"/>
          <w:lang w:val="es-ES_tradnl"/>
        </w:rPr>
        <w:t>rse</w:t>
      </w:r>
      <w:r w:rsidRPr="00F77067">
        <w:rPr>
          <w:rFonts w:ascii="Arial" w:eastAsia="Calibri" w:hAnsi="Arial" w:cs="Arial"/>
          <w:sz w:val="22"/>
          <w:lang w:val="es-ES_tradnl"/>
        </w:rPr>
        <w:t xml:space="preserve"> después del plazo de ejecución y</w:t>
      </w:r>
      <w:r>
        <w:rPr>
          <w:rFonts w:ascii="Arial" w:eastAsia="Calibri" w:hAnsi="Arial" w:cs="Arial"/>
          <w:sz w:val="22"/>
          <w:lang w:val="es-ES_tradnl"/>
        </w:rPr>
        <w:t xml:space="preserve"> </w:t>
      </w:r>
      <w:r w:rsidRPr="00F77067">
        <w:rPr>
          <w:rFonts w:ascii="Arial" w:eastAsia="Calibri" w:hAnsi="Arial" w:cs="Arial"/>
          <w:sz w:val="22"/>
          <w:lang w:val="es-ES_tradnl"/>
        </w:rPr>
        <w:t>en caso de no cumplir en las condiciones acordadas la entidad tiene la facultad para</w:t>
      </w:r>
      <w:r>
        <w:rPr>
          <w:rFonts w:ascii="Arial" w:eastAsia="Calibri" w:hAnsi="Arial" w:cs="Arial"/>
          <w:sz w:val="22"/>
          <w:lang w:val="es-ES_tradnl"/>
        </w:rPr>
        <w:t xml:space="preserve"> </w:t>
      </w:r>
      <w:r w:rsidRPr="00F77067">
        <w:rPr>
          <w:rFonts w:ascii="Arial" w:eastAsia="Calibri" w:hAnsi="Arial" w:cs="Arial"/>
          <w:sz w:val="22"/>
          <w:lang w:val="es-ES_tradnl"/>
        </w:rPr>
        <w:t>conminar al contratista incumplido. En segundo lugar, si vencido el plazo de</w:t>
      </w:r>
      <w:r>
        <w:rPr>
          <w:rFonts w:ascii="Arial" w:eastAsia="Calibri" w:hAnsi="Arial" w:cs="Arial"/>
          <w:sz w:val="22"/>
          <w:lang w:val="es-ES_tradnl"/>
        </w:rPr>
        <w:t xml:space="preserve"> </w:t>
      </w:r>
      <w:r w:rsidRPr="00F77067">
        <w:rPr>
          <w:rFonts w:ascii="Arial" w:eastAsia="Calibri" w:hAnsi="Arial" w:cs="Arial"/>
          <w:sz w:val="22"/>
          <w:lang w:val="es-ES_tradnl"/>
        </w:rPr>
        <w:t>ejecución el contratista no cumple, la obligación no se extingue, pues de acuerdo con el</w:t>
      </w:r>
      <w:r>
        <w:rPr>
          <w:rFonts w:ascii="Arial" w:eastAsia="Calibri" w:hAnsi="Arial" w:cs="Arial"/>
          <w:sz w:val="22"/>
          <w:lang w:val="es-ES_tradnl"/>
        </w:rPr>
        <w:t xml:space="preserve"> artículo 1625 del </w:t>
      </w:r>
      <w:r w:rsidRPr="00F77067">
        <w:rPr>
          <w:rFonts w:ascii="Arial" w:eastAsia="Calibri" w:hAnsi="Arial" w:cs="Arial"/>
          <w:sz w:val="22"/>
          <w:lang w:val="es-ES_tradnl"/>
        </w:rPr>
        <w:t>Código Civil el vencimiento del plazo contractual no es un modo de extinguir las</w:t>
      </w:r>
      <w:r>
        <w:rPr>
          <w:rFonts w:ascii="Arial" w:eastAsia="Calibri" w:hAnsi="Arial" w:cs="Arial"/>
          <w:sz w:val="22"/>
          <w:lang w:val="es-ES_tradnl"/>
        </w:rPr>
        <w:t xml:space="preserve"> </w:t>
      </w:r>
      <w:r w:rsidRPr="00F77067">
        <w:rPr>
          <w:rFonts w:ascii="Arial" w:eastAsia="Calibri" w:hAnsi="Arial" w:cs="Arial"/>
          <w:sz w:val="22"/>
          <w:lang w:val="es-ES_tradnl"/>
        </w:rPr>
        <w:t>obligaciones, salvo pacto en ese sentido, por lo que la obligación continuará pendiente y el</w:t>
      </w:r>
      <w:r>
        <w:rPr>
          <w:rFonts w:ascii="Arial" w:eastAsia="Calibri" w:hAnsi="Arial" w:cs="Arial"/>
          <w:sz w:val="22"/>
          <w:lang w:val="es-ES_tradnl"/>
        </w:rPr>
        <w:t xml:space="preserve"> </w:t>
      </w:r>
      <w:r w:rsidRPr="00F77067">
        <w:rPr>
          <w:rFonts w:ascii="Arial" w:eastAsia="Calibri" w:hAnsi="Arial" w:cs="Arial"/>
          <w:sz w:val="22"/>
          <w:lang w:val="es-ES_tradnl"/>
        </w:rPr>
        <w:t>contratista estará en mora de cumplir por no haberlo hecho en el plazo acordado. Esto</w:t>
      </w:r>
      <w:r>
        <w:rPr>
          <w:rFonts w:ascii="Arial" w:eastAsia="Calibri" w:hAnsi="Arial" w:cs="Arial"/>
          <w:sz w:val="22"/>
          <w:lang w:val="es-ES_tradnl"/>
        </w:rPr>
        <w:t xml:space="preserve"> </w:t>
      </w:r>
      <w:r w:rsidRPr="00F77067">
        <w:rPr>
          <w:rFonts w:ascii="Arial" w:eastAsia="Calibri" w:hAnsi="Arial" w:cs="Arial"/>
          <w:sz w:val="22"/>
          <w:lang w:val="es-ES_tradnl"/>
        </w:rPr>
        <w:t>indica que lo que terminó fue el plazo de ejecución, pero la obligación todavía está pendiente</w:t>
      </w:r>
      <w:r>
        <w:rPr>
          <w:rFonts w:ascii="Arial" w:eastAsia="Calibri" w:hAnsi="Arial" w:cs="Arial"/>
          <w:sz w:val="22"/>
          <w:lang w:val="es-ES_tradnl"/>
        </w:rPr>
        <w:t xml:space="preserve"> </w:t>
      </w:r>
      <w:r w:rsidRPr="00F77067">
        <w:rPr>
          <w:rFonts w:ascii="Arial" w:eastAsia="Calibri" w:hAnsi="Arial" w:cs="Arial"/>
          <w:sz w:val="22"/>
          <w:lang w:val="es-ES_tradnl"/>
        </w:rPr>
        <w:t xml:space="preserve">de cumplimiento y el contratista </w:t>
      </w:r>
      <w:r>
        <w:rPr>
          <w:rFonts w:ascii="Arial" w:eastAsia="Calibri" w:hAnsi="Arial" w:cs="Arial"/>
          <w:sz w:val="22"/>
          <w:lang w:val="es-ES_tradnl"/>
        </w:rPr>
        <w:t>podría</w:t>
      </w:r>
      <w:r w:rsidRPr="00F77067">
        <w:rPr>
          <w:rFonts w:ascii="Arial" w:eastAsia="Calibri" w:hAnsi="Arial" w:cs="Arial"/>
          <w:sz w:val="22"/>
          <w:lang w:val="es-ES_tradnl"/>
        </w:rPr>
        <w:t xml:space="preserve"> hacerlo tardíamente con las consecuencias</w:t>
      </w:r>
      <w:r>
        <w:rPr>
          <w:rFonts w:ascii="Arial" w:eastAsia="Calibri" w:hAnsi="Arial" w:cs="Arial"/>
          <w:sz w:val="22"/>
          <w:lang w:val="es-ES_tradnl"/>
        </w:rPr>
        <w:t xml:space="preserve"> gravosas</w:t>
      </w:r>
      <w:r w:rsidRPr="00F77067">
        <w:rPr>
          <w:rFonts w:ascii="Arial" w:eastAsia="Calibri" w:hAnsi="Arial" w:cs="Arial"/>
          <w:sz w:val="22"/>
          <w:lang w:val="es-ES_tradnl"/>
        </w:rPr>
        <w:t xml:space="preserve"> que esto</w:t>
      </w:r>
      <w:r>
        <w:rPr>
          <w:rFonts w:ascii="Arial" w:eastAsia="Calibri" w:hAnsi="Arial" w:cs="Arial"/>
          <w:sz w:val="22"/>
          <w:lang w:val="es-ES_tradnl"/>
        </w:rPr>
        <w:t xml:space="preserve"> </w:t>
      </w:r>
      <w:r w:rsidRPr="00F77067">
        <w:rPr>
          <w:rFonts w:ascii="Arial" w:eastAsia="Calibri" w:hAnsi="Arial" w:cs="Arial"/>
          <w:sz w:val="22"/>
          <w:lang w:val="es-ES_tradnl"/>
        </w:rPr>
        <w:t>conlleva</w:t>
      </w:r>
      <w:r>
        <w:rPr>
          <w:rStyle w:val="Refdenotaalpie"/>
          <w:rFonts w:ascii="Arial" w:eastAsia="Calibri" w:hAnsi="Arial" w:cs="Arial"/>
          <w:sz w:val="22"/>
          <w:lang w:val="es-ES_tradnl"/>
        </w:rPr>
        <w:footnoteReference w:id="15"/>
      </w:r>
      <w:r w:rsidRPr="00F77067">
        <w:rPr>
          <w:rFonts w:ascii="Arial" w:eastAsia="Calibri" w:hAnsi="Arial" w:cs="Arial"/>
          <w:sz w:val="22"/>
          <w:lang w:val="es-ES_tradnl"/>
        </w:rPr>
        <w:t>. No obstante, la entidad determina</w:t>
      </w:r>
      <w:r>
        <w:rPr>
          <w:rFonts w:ascii="Arial" w:eastAsia="Calibri" w:hAnsi="Arial" w:cs="Arial"/>
          <w:sz w:val="22"/>
          <w:lang w:val="es-ES_tradnl"/>
        </w:rPr>
        <w:t xml:space="preserve"> </w:t>
      </w:r>
      <w:r w:rsidRPr="00F77067">
        <w:rPr>
          <w:rFonts w:ascii="Arial" w:eastAsia="Calibri" w:hAnsi="Arial" w:cs="Arial"/>
          <w:sz w:val="22"/>
          <w:lang w:val="es-ES_tradnl"/>
        </w:rPr>
        <w:t>si</w:t>
      </w:r>
      <w:r>
        <w:rPr>
          <w:rFonts w:ascii="Arial" w:eastAsia="Calibri" w:hAnsi="Arial" w:cs="Arial"/>
          <w:sz w:val="22"/>
          <w:lang w:val="es-ES_tradnl"/>
        </w:rPr>
        <w:t>,</w:t>
      </w:r>
      <w:r w:rsidRPr="00F77067">
        <w:rPr>
          <w:rFonts w:ascii="Arial" w:eastAsia="Calibri" w:hAnsi="Arial" w:cs="Arial"/>
          <w:sz w:val="22"/>
          <w:lang w:val="es-ES_tradnl"/>
        </w:rPr>
        <w:t xml:space="preserve"> inclusive</w:t>
      </w:r>
      <w:r>
        <w:rPr>
          <w:rFonts w:ascii="Arial" w:eastAsia="Calibri" w:hAnsi="Arial" w:cs="Arial"/>
          <w:sz w:val="22"/>
          <w:lang w:val="es-ES_tradnl"/>
        </w:rPr>
        <w:t>,</w:t>
      </w:r>
      <w:r w:rsidRPr="00F77067">
        <w:rPr>
          <w:rFonts w:ascii="Arial" w:eastAsia="Calibri" w:hAnsi="Arial" w:cs="Arial"/>
          <w:sz w:val="22"/>
          <w:lang w:val="es-ES_tradnl"/>
        </w:rPr>
        <w:t xml:space="preserve"> con el cumplimiento tardío aún se satisface el interés público.</w:t>
      </w:r>
    </w:p>
    <w:p w14:paraId="00883C04" w14:textId="77777777" w:rsidR="00990612" w:rsidRDefault="00990612" w:rsidP="00990612">
      <w:pPr>
        <w:spacing w:before="120" w:line="276" w:lineRule="auto"/>
        <w:ind w:firstLine="708"/>
        <w:jc w:val="both"/>
        <w:rPr>
          <w:rFonts w:ascii="Arial" w:eastAsia="Calibri" w:hAnsi="Arial" w:cs="Arial"/>
          <w:sz w:val="22"/>
          <w:lang w:val="es-ES_tradnl"/>
        </w:rPr>
      </w:pPr>
      <w:r w:rsidRPr="009F6466">
        <w:rPr>
          <w:rFonts w:ascii="Arial" w:eastAsia="Calibri" w:hAnsi="Arial" w:cs="Arial"/>
          <w:sz w:val="22"/>
          <w:lang w:val="es-ES_tradnl"/>
        </w:rPr>
        <w:t xml:space="preserve">Así las cosas, </w:t>
      </w:r>
      <w:bookmarkStart w:id="9" w:name="_Hlk37703639"/>
      <w:bookmarkStart w:id="10" w:name="_Hlk55584998"/>
      <w:r w:rsidRPr="009F6466">
        <w:rPr>
          <w:rFonts w:ascii="Arial" w:eastAsia="Calibri" w:hAnsi="Arial" w:cs="Arial"/>
          <w:sz w:val="22"/>
          <w:lang w:val="es-ES_tradnl"/>
        </w:rPr>
        <w:t xml:space="preserve">teniendo en cuenta que </w:t>
      </w:r>
      <w:bookmarkStart w:id="11" w:name="_Hlk38558502"/>
      <w:r w:rsidRPr="009F6466">
        <w:rPr>
          <w:rFonts w:ascii="Arial" w:eastAsia="Calibri" w:hAnsi="Arial" w:cs="Arial"/>
          <w:sz w:val="22"/>
          <w:lang w:val="es-ES_tradnl"/>
        </w:rPr>
        <w:t>el artículo 17 de la Ley 1150 de 2007 no condicionó</w:t>
      </w:r>
      <w:r>
        <w:rPr>
          <w:rFonts w:ascii="Arial" w:eastAsia="Calibri" w:hAnsi="Arial" w:cs="Arial"/>
          <w:sz w:val="22"/>
          <w:lang w:val="es-ES_tradnl"/>
        </w:rPr>
        <w:t xml:space="preserve"> </w:t>
      </w:r>
      <w:r w:rsidRPr="009F6466">
        <w:rPr>
          <w:rFonts w:ascii="Arial" w:eastAsia="Calibri" w:hAnsi="Arial" w:cs="Arial"/>
          <w:sz w:val="22"/>
          <w:lang w:val="es-ES_tradnl"/>
        </w:rPr>
        <w:t xml:space="preserve">la imposición de las multas y la cláusula penal al plazo del contrato, </w:t>
      </w:r>
      <w:proofErr w:type="gramStart"/>
      <w:r w:rsidRPr="009F6466">
        <w:rPr>
          <w:rFonts w:ascii="Arial" w:eastAsia="Calibri" w:hAnsi="Arial" w:cs="Arial"/>
          <w:sz w:val="22"/>
          <w:lang w:val="es-ES_tradnl"/>
        </w:rPr>
        <w:t>y</w:t>
      </w:r>
      <w:proofErr w:type="gramEnd"/>
      <w:r w:rsidRPr="009F6466">
        <w:rPr>
          <w:rFonts w:ascii="Arial" w:eastAsia="Calibri" w:hAnsi="Arial" w:cs="Arial"/>
          <w:sz w:val="22"/>
          <w:lang w:val="es-ES_tradnl"/>
        </w:rPr>
        <w:t xml:space="preserve"> por el contrario, de</w:t>
      </w:r>
      <w:r>
        <w:rPr>
          <w:rFonts w:ascii="Arial" w:eastAsia="Calibri" w:hAnsi="Arial" w:cs="Arial"/>
          <w:sz w:val="22"/>
          <w:lang w:val="es-ES_tradnl"/>
        </w:rPr>
        <w:t xml:space="preserve"> </w:t>
      </w:r>
      <w:r w:rsidRPr="009F6466">
        <w:rPr>
          <w:rFonts w:ascii="Arial" w:eastAsia="Calibri" w:hAnsi="Arial" w:cs="Arial"/>
          <w:sz w:val="22"/>
          <w:lang w:val="es-ES_tradnl"/>
        </w:rPr>
        <w:t xml:space="preserve">manera expresa indicó que estas proceden </w:t>
      </w:r>
      <w:r>
        <w:rPr>
          <w:rFonts w:ascii="Arial" w:eastAsia="Calibri" w:hAnsi="Arial" w:cs="Arial"/>
          <w:sz w:val="22"/>
          <w:lang w:val="es-ES_tradnl"/>
        </w:rPr>
        <w:t xml:space="preserve">«[…] </w:t>
      </w:r>
      <w:r w:rsidRPr="009F6466">
        <w:rPr>
          <w:rFonts w:ascii="Arial" w:eastAsia="Calibri" w:hAnsi="Arial" w:cs="Arial"/>
          <w:sz w:val="22"/>
          <w:lang w:val="es-ES_tradnl"/>
        </w:rPr>
        <w:t>mientras se halle pendiente la ejecución de las</w:t>
      </w:r>
      <w:r>
        <w:rPr>
          <w:rFonts w:ascii="Arial" w:eastAsia="Calibri" w:hAnsi="Arial" w:cs="Arial"/>
          <w:sz w:val="22"/>
          <w:lang w:val="es-ES_tradnl"/>
        </w:rPr>
        <w:t xml:space="preserve"> </w:t>
      </w:r>
      <w:r w:rsidRPr="009F6466">
        <w:rPr>
          <w:rFonts w:ascii="Arial" w:eastAsia="Calibri" w:hAnsi="Arial" w:cs="Arial"/>
          <w:sz w:val="22"/>
          <w:lang w:val="es-ES_tradnl"/>
        </w:rPr>
        <w:t>obligaciones a cargo del contratista</w:t>
      </w:r>
      <w:r>
        <w:rPr>
          <w:rFonts w:ascii="Arial" w:eastAsia="Calibri" w:hAnsi="Arial" w:cs="Arial"/>
          <w:sz w:val="22"/>
          <w:lang w:val="es-ES_tradnl"/>
        </w:rPr>
        <w:t xml:space="preserve"> […]»</w:t>
      </w:r>
      <w:r w:rsidRPr="009F6466">
        <w:rPr>
          <w:rFonts w:ascii="Arial" w:eastAsia="Calibri" w:hAnsi="Arial" w:cs="Arial"/>
          <w:sz w:val="22"/>
          <w:lang w:val="es-ES_tradnl"/>
        </w:rPr>
        <w:t xml:space="preserve">, </w:t>
      </w:r>
      <w:r>
        <w:rPr>
          <w:rFonts w:ascii="Arial" w:eastAsia="Calibri" w:hAnsi="Arial" w:cs="Arial"/>
          <w:sz w:val="22"/>
          <w:lang w:val="es-ES_tradnl"/>
        </w:rPr>
        <w:t>la Administración</w:t>
      </w:r>
      <w:r w:rsidRPr="009F6466">
        <w:rPr>
          <w:rFonts w:ascii="Arial" w:eastAsia="Calibri" w:hAnsi="Arial" w:cs="Arial"/>
          <w:sz w:val="22"/>
          <w:lang w:val="es-ES_tradnl"/>
        </w:rPr>
        <w:t xml:space="preserve"> podrá imponer las multas y hacer efectiva la cláusula penal</w:t>
      </w:r>
      <w:r>
        <w:rPr>
          <w:rFonts w:ascii="Arial" w:eastAsia="Calibri" w:hAnsi="Arial" w:cs="Arial"/>
          <w:sz w:val="22"/>
          <w:lang w:val="es-ES_tradnl"/>
        </w:rPr>
        <w:t xml:space="preserve"> </w:t>
      </w:r>
      <w:r w:rsidRPr="009F6466">
        <w:rPr>
          <w:rFonts w:ascii="Arial" w:eastAsia="Calibri" w:hAnsi="Arial" w:cs="Arial"/>
          <w:sz w:val="22"/>
          <w:lang w:val="es-ES_tradnl"/>
        </w:rPr>
        <w:t>inclusive después de su plazo de ejecución, siempre que la obligación esté pendiente de</w:t>
      </w:r>
      <w:r>
        <w:rPr>
          <w:rFonts w:ascii="Arial" w:eastAsia="Calibri" w:hAnsi="Arial" w:cs="Arial"/>
          <w:sz w:val="22"/>
          <w:lang w:val="es-ES_tradnl"/>
        </w:rPr>
        <w:t xml:space="preserve"> </w:t>
      </w:r>
      <w:bookmarkEnd w:id="9"/>
      <w:r w:rsidRPr="009F6466">
        <w:rPr>
          <w:rFonts w:ascii="Arial" w:eastAsia="Calibri" w:hAnsi="Arial" w:cs="Arial"/>
          <w:sz w:val="22"/>
          <w:lang w:val="es-ES_tradnl"/>
        </w:rPr>
        <w:t>cumpli</w:t>
      </w:r>
      <w:r>
        <w:rPr>
          <w:rFonts w:ascii="Arial" w:eastAsia="Calibri" w:hAnsi="Arial" w:cs="Arial"/>
          <w:sz w:val="22"/>
          <w:lang w:val="es-ES_tradnl"/>
        </w:rPr>
        <w:t>r</w:t>
      </w:r>
      <w:r w:rsidRPr="009F6466">
        <w:rPr>
          <w:rFonts w:ascii="Arial" w:eastAsia="Calibri" w:hAnsi="Arial" w:cs="Arial"/>
          <w:sz w:val="22"/>
          <w:lang w:val="es-ES_tradnl"/>
        </w:rPr>
        <w:t xml:space="preserve">. De esta manera, la entidad podrá hacer uso de </w:t>
      </w:r>
      <w:r>
        <w:rPr>
          <w:rFonts w:ascii="Arial" w:eastAsia="Calibri" w:hAnsi="Arial" w:cs="Arial"/>
          <w:sz w:val="22"/>
          <w:lang w:val="es-ES_tradnl"/>
        </w:rPr>
        <w:t>estas facultades para procurar</w:t>
      </w:r>
      <w:r w:rsidRPr="009F6466">
        <w:rPr>
          <w:rFonts w:ascii="Arial" w:eastAsia="Calibri" w:hAnsi="Arial" w:cs="Arial"/>
          <w:sz w:val="22"/>
          <w:lang w:val="es-ES_tradnl"/>
        </w:rPr>
        <w:t xml:space="preserve"> el cumplimiento de las obligaciones a cargo del contratista</w:t>
      </w:r>
      <w:bookmarkEnd w:id="10"/>
      <w:bookmarkEnd w:id="11"/>
      <w:r w:rsidRPr="009F6466">
        <w:rPr>
          <w:rFonts w:ascii="Arial" w:eastAsia="Calibri" w:hAnsi="Arial" w:cs="Arial"/>
          <w:sz w:val="22"/>
          <w:lang w:val="es-ES_tradnl"/>
        </w:rPr>
        <w:t>.</w:t>
      </w:r>
    </w:p>
    <w:p w14:paraId="0573157C" w14:textId="77777777" w:rsidR="00990612" w:rsidRDefault="00990612" w:rsidP="00990612">
      <w:pPr>
        <w:spacing w:before="120" w:line="276" w:lineRule="auto"/>
        <w:ind w:firstLine="708"/>
        <w:jc w:val="both"/>
        <w:rPr>
          <w:rFonts w:ascii="Arial" w:eastAsia="Calibri" w:hAnsi="Arial" w:cs="Arial"/>
          <w:sz w:val="22"/>
          <w:lang w:val="es-ES_tradnl"/>
        </w:rPr>
      </w:pPr>
      <w:r w:rsidRPr="00D975EF">
        <w:rPr>
          <w:rFonts w:ascii="Arial" w:eastAsia="Calibri" w:hAnsi="Arial" w:cs="Arial"/>
          <w:sz w:val="22"/>
          <w:lang w:val="es-ES_tradnl"/>
        </w:rPr>
        <w:t>Adicionalmente, el Consejo de Estado, al estudiar casos bajo la vigencia del Decreto</w:t>
      </w:r>
      <w:r>
        <w:rPr>
          <w:rFonts w:ascii="Arial" w:eastAsia="Calibri" w:hAnsi="Arial" w:cs="Arial"/>
          <w:sz w:val="22"/>
          <w:lang w:val="es-ES_tradnl"/>
        </w:rPr>
        <w:t xml:space="preserve">-Ley </w:t>
      </w:r>
      <w:r w:rsidRPr="00D975EF">
        <w:rPr>
          <w:rFonts w:ascii="Arial" w:eastAsia="Calibri" w:hAnsi="Arial" w:cs="Arial"/>
          <w:sz w:val="22"/>
          <w:lang w:val="es-ES_tradnl"/>
        </w:rPr>
        <w:t>222 de 1983</w:t>
      </w:r>
      <w:r>
        <w:rPr>
          <w:rFonts w:ascii="Arial" w:eastAsia="Calibri" w:hAnsi="Arial" w:cs="Arial"/>
          <w:sz w:val="22"/>
          <w:lang w:val="es-ES_tradnl"/>
        </w:rPr>
        <w:t>,</w:t>
      </w:r>
      <w:r w:rsidRPr="00D975EF">
        <w:rPr>
          <w:rFonts w:ascii="Arial" w:eastAsia="Calibri" w:hAnsi="Arial" w:cs="Arial"/>
          <w:sz w:val="22"/>
          <w:lang w:val="es-ES_tradnl"/>
        </w:rPr>
        <w:t xml:space="preserve"> e inclusive de la Ley 80 de 1993, indicó </w:t>
      </w:r>
      <w:r>
        <w:rPr>
          <w:rFonts w:ascii="Arial" w:eastAsia="Calibri" w:hAnsi="Arial" w:cs="Arial"/>
          <w:sz w:val="22"/>
          <w:lang w:val="es-ES_tradnl"/>
        </w:rPr>
        <w:t>–</w:t>
      </w:r>
      <w:r w:rsidRPr="00D975EF">
        <w:rPr>
          <w:rFonts w:ascii="Arial" w:eastAsia="Calibri" w:hAnsi="Arial" w:cs="Arial"/>
          <w:sz w:val="22"/>
          <w:lang w:val="es-ES_tradnl"/>
        </w:rPr>
        <w:t xml:space="preserve">a manera de </w:t>
      </w:r>
      <w:proofErr w:type="spellStart"/>
      <w:r w:rsidRPr="008B263E">
        <w:rPr>
          <w:rFonts w:ascii="Arial" w:eastAsia="Calibri" w:hAnsi="Arial" w:cs="Arial"/>
          <w:i/>
          <w:iCs/>
          <w:sz w:val="22"/>
          <w:lang w:val="es-ES_tradnl"/>
        </w:rPr>
        <w:t>obiter</w:t>
      </w:r>
      <w:proofErr w:type="spellEnd"/>
      <w:r w:rsidRPr="008B263E">
        <w:rPr>
          <w:rFonts w:ascii="Arial" w:eastAsia="Calibri" w:hAnsi="Arial" w:cs="Arial"/>
          <w:i/>
          <w:iCs/>
          <w:sz w:val="22"/>
          <w:lang w:val="es-ES_tradnl"/>
        </w:rPr>
        <w:t xml:space="preserve"> </w:t>
      </w:r>
      <w:proofErr w:type="spellStart"/>
      <w:r w:rsidRPr="008B263E">
        <w:rPr>
          <w:rFonts w:ascii="Arial" w:eastAsia="Calibri" w:hAnsi="Arial" w:cs="Arial"/>
          <w:i/>
          <w:iCs/>
          <w:sz w:val="22"/>
          <w:lang w:val="es-ES_tradnl"/>
        </w:rPr>
        <w:t>dictum</w:t>
      </w:r>
      <w:proofErr w:type="spellEnd"/>
      <w:r>
        <w:rPr>
          <w:rFonts w:ascii="Arial" w:eastAsia="Calibri" w:hAnsi="Arial" w:cs="Arial"/>
          <w:sz w:val="22"/>
          <w:lang w:val="es-ES_tradnl"/>
        </w:rPr>
        <w:t>–</w:t>
      </w:r>
      <w:r w:rsidRPr="00D975EF">
        <w:rPr>
          <w:rFonts w:ascii="Arial" w:eastAsia="Calibri" w:hAnsi="Arial" w:cs="Arial"/>
          <w:sz w:val="22"/>
          <w:lang w:val="es-ES_tradnl"/>
        </w:rPr>
        <w:t xml:space="preserve"> que la</w:t>
      </w:r>
      <w:r>
        <w:rPr>
          <w:rFonts w:ascii="Arial" w:eastAsia="Calibri" w:hAnsi="Arial" w:cs="Arial"/>
          <w:sz w:val="22"/>
          <w:lang w:val="es-ES_tradnl"/>
        </w:rPr>
        <w:t xml:space="preserve"> </w:t>
      </w:r>
      <w:r w:rsidRPr="00D975EF">
        <w:rPr>
          <w:rFonts w:ascii="Arial" w:eastAsia="Calibri" w:hAnsi="Arial" w:cs="Arial"/>
          <w:sz w:val="22"/>
          <w:lang w:val="es-ES_tradnl"/>
        </w:rPr>
        <w:t>posición adoptada frente a la competencia temporal para imponer sanciones cambió, no por</w:t>
      </w:r>
      <w:r>
        <w:rPr>
          <w:rFonts w:ascii="Arial" w:eastAsia="Calibri" w:hAnsi="Arial" w:cs="Arial"/>
          <w:sz w:val="22"/>
          <w:lang w:val="es-ES_tradnl"/>
        </w:rPr>
        <w:t xml:space="preserve"> </w:t>
      </w:r>
      <w:r w:rsidRPr="00D975EF">
        <w:rPr>
          <w:rFonts w:ascii="Arial" w:eastAsia="Calibri" w:hAnsi="Arial" w:cs="Arial"/>
          <w:sz w:val="22"/>
          <w:lang w:val="es-ES_tradnl"/>
        </w:rPr>
        <w:t>una decisión judicial nueva sino por la entrada en vigencia de la Ley 1150 de 2007, puesto</w:t>
      </w:r>
      <w:r>
        <w:rPr>
          <w:rFonts w:ascii="Arial" w:eastAsia="Calibri" w:hAnsi="Arial" w:cs="Arial"/>
          <w:sz w:val="22"/>
          <w:lang w:val="es-ES_tradnl"/>
        </w:rPr>
        <w:t xml:space="preserve"> </w:t>
      </w:r>
      <w:r w:rsidRPr="00D975EF">
        <w:rPr>
          <w:rFonts w:ascii="Arial" w:eastAsia="Calibri" w:hAnsi="Arial" w:cs="Arial"/>
          <w:sz w:val="22"/>
          <w:lang w:val="es-ES_tradnl"/>
        </w:rPr>
        <w:t>que su artículo 17 prescribe, de manera expresa, que la competencia para imponer</w:t>
      </w:r>
      <w:r>
        <w:rPr>
          <w:rFonts w:ascii="Arial" w:eastAsia="Calibri" w:hAnsi="Arial" w:cs="Arial"/>
          <w:sz w:val="22"/>
          <w:lang w:val="es-ES_tradnl"/>
        </w:rPr>
        <w:t xml:space="preserve"> </w:t>
      </w:r>
      <w:r w:rsidRPr="00D975EF">
        <w:rPr>
          <w:rFonts w:ascii="Arial" w:eastAsia="Calibri" w:hAnsi="Arial" w:cs="Arial"/>
          <w:sz w:val="22"/>
          <w:lang w:val="es-ES_tradnl"/>
        </w:rPr>
        <w:t xml:space="preserve">sanciones </w:t>
      </w:r>
      <w:r>
        <w:rPr>
          <w:rFonts w:ascii="Arial" w:eastAsia="Calibri" w:hAnsi="Arial" w:cs="Arial"/>
          <w:sz w:val="22"/>
          <w:lang w:val="es-ES_tradnl"/>
        </w:rPr>
        <w:t>–</w:t>
      </w:r>
      <w:r w:rsidRPr="00D975EF">
        <w:rPr>
          <w:rFonts w:ascii="Arial" w:eastAsia="Calibri" w:hAnsi="Arial" w:cs="Arial"/>
          <w:sz w:val="22"/>
          <w:lang w:val="es-ES_tradnl"/>
        </w:rPr>
        <w:t>multas y cláusula penal</w:t>
      </w:r>
      <w:r>
        <w:rPr>
          <w:rFonts w:ascii="Arial" w:eastAsia="Calibri" w:hAnsi="Arial" w:cs="Arial"/>
          <w:sz w:val="22"/>
          <w:lang w:val="es-ES_tradnl"/>
        </w:rPr>
        <w:t>, especialmente–</w:t>
      </w:r>
      <w:r w:rsidRPr="00D975EF">
        <w:rPr>
          <w:rFonts w:ascii="Arial" w:eastAsia="Calibri" w:hAnsi="Arial" w:cs="Arial"/>
          <w:sz w:val="22"/>
          <w:lang w:val="es-ES_tradnl"/>
        </w:rPr>
        <w:t xml:space="preserve"> procede mientras esté pendiente la ejecución de las</w:t>
      </w:r>
      <w:r>
        <w:rPr>
          <w:rFonts w:ascii="Arial" w:eastAsia="Calibri" w:hAnsi="Arial" w:cs="Arial"/>
          <w:sz w:val="22"/>
          <w:lang w:val="es-ES_tradnl"/>
        </w:rPr>
        <w:t xml:space="preserve"> </w:t>
      </w:r>
      <w:r w:rsidRPr="00D975EF">
        <w:rPr>
          <w:rFonts w:ascii="Arial" w:eastAsia="Calibri" w:hAnsi="Arial" w:cs="Arial"/>
          <w:sz w:val="22"/>
          <w:lang w:val="es-ES_tradnl"/>
        </w:rPr>
        <w:t>obligaciones del contratista:</w:t>
      </w:r>
    </w:p>
    <w:p w14:paraId="2B0BFA16" w14:textId="77777777" w:rsidR="00990612" w:rsidRDefault="00990612" w:rsidP="00990612">
      <w:pPr>
        <w:spacing w:line="276" w:lineRule="auto"/>
        <w:jc w:val="both"/>
        <w:rPr>
          <w:rFonts w:ascii="Arial" w:eastAsia="Calibri" w:hAnsi="Arial" w:cs="Arial"/>
          <w:sz w:val="22"/>
          <w:lang w:val="es-ES_tradnl"/>
        </w:rPr>
      </w:pPr>
    </w:p>
    <w:p w14:paraId="0585DA45" w14:textId="77777777" w:rsidR="00990612" w:rsidRDefault="00990612" w:rsidP="00990612">
      <w:pPr>
        <w:ind w:left="709" w:right="709"/>
        <w:jc w:val="both"/>
        <w:rPr>
          <w:rFonts w:ascii="Arial" w:eastAsia="Calibri" w:hAnsi="Arial" w:cs="Arial"/>
          <w:sz w:val="21"/>
          <w:szCs w:val="21"/>
          <w:lang w:val="es-ES_tradnl"/>
        </w:rPr>
      </w:pPr>
      <w:r w:rsidRPr="009F1972">
        <w:rPr>
          <w:rFonts w:ascii="Arial" w:eastAsia="Calibri" w:hAnsi="Arial" w:cs="Arial"/>
          <w:sz w:val="21"/>
          <w:szCs w:val="21"/>
          <w:lang w:val="es-ES_tradnl"/>
        </w:rPr>
        <w:t xml:space="preserve">No obstante, en vigencia de la Ley 1150 de 2007 este mismo problema –competencia temporal para imponer sanciones–, en relación con las multas y la cláusula penal pecuniaria, cambió de sentido, esta vez no por una variación introducida por la jurisprudencia a sus propias tesis, sino porque la ley 1150 reguló expresamente el tema, señalando que la competencia sancionatoria se conserva “mientras esté pendiente la ejecución” del contrato, así es que de </w:t>
      </w:r>
      <w:r w:rsidRPr="009F1972">
        <w:rPr>
          <w:rFonts w:ascii="Arial" w:eastAsia="Calibri" w:hAnsi="Arial" w:cs="Arial"/>
          <w:sz w:val="21"/>
          <w:szCs w:val="21"/>
          <w:lang w:val="es-ES_tradnl"/>
        </w:rPr>
        <w:lastRenderedPageBreak/>
        <w:t>ninguna manera quedó limitado a que se haga sólo “durante el plazo” del contrato. En este sentido, el inciso primero del art. 17 de esta ley expresa categóricamente: “… Esta decisión … procede sólo mientras se halle pendiente la ejecución de las obligaciones a cargo del contratista.</w:t>
      </w:r>
    </w:p>
    <w:p w14:paraId="7B134D10" w14:textId="77777777" w:rsidR="00990612" w:rsidRPr="009F1972" w:rsidRDefault="00990612" w:rsidP="00990612">
      <w:pPr>
        <w:ind w:left="709" w:right="709"/>
        <w:jc w:val="both"/>
        <w:rPr>
          <w:rFonts w:ascii="Arial" w:eastAsia="Calibri" w:hAnsi="Arial" w:cs="Arial"/>
          <w:sz w:val="21"/>
          <w:szCs w:val="21"/>
          <w:lang w:val="es-ES_tradnl"/>
        </w:rPr>
      </w:pPr>
      <w:r>
        <w:rPr>
          <w:rFonts w:ascii="Arial" w:eastAsia="Calibri" w:hAnsi="Arial" w:cs="Arial"/>
          <w:sz w:val="21"/>
          <w:szCs w:val="21"/>
          <w:lang w:val="es-ES_tradnl"/>
        </w:rPr>
        <w:t>[…]</w:t>
      </w:r>
    </w:p>
    <w:p w14:paraId="2E8045A7" w14:textId="77777777" w:rsidR="00990612" w:rsidRPr="009F1972" w:rsidRDefault="00990612" w:rsidP="00990612">
      <w:pPr>
        <w:spacing w:before="120"/>
        <w:ind w:left="709" w:right="709"/>
        <w:jc w:val="both"/>
        <w:rPr>
          <w:rFonts w:ascii="Arial" w:eastAsia="Calibri" w:hAnsi="Arial" w:cs="Arial"/>
          <w:sz w:val="21"/>
          <w:szCs w:val="21"/>
          <w:lang w:val="es-ES_tradnl"/>
        </w:rPr>
      </w:pPr>
      <w:r w:rsidRPr="009F1972">
        <w:rPr>
          <w:rFonts w:ascii="Arial" w:eastAsia="Calibri" w:hAnsi="Arial" w:cs="Arial"/>
          <w:sz w:val="21"/>
          <w:szCs w:val="21"/>
          <w:lang w:val="es-ES_tradnl"/>
        </w:rPr>
        <w:t>Esta postura, inclusive, la conserva esta Corporación en la actualidad. Es decir, que hoy admite la posibilidad de declarar el incumplimiento del contrato, para hacer efectiva la cláusula penal pecuniaria, una vez vencido el contrato. Esto no se discute ni siquiera en vigencia de la ley 1150 de 2007; menos tratándose de un contrato regido por el Decreto 222 de 1983 y algunas normas especiales que regulan el juego del chance –como en el caso concreto</w:t>
      </w:r>
      <w:r w:rsidRPr="009F1972">
        <w:rPr>
          <w:rStyle w:val="Refdenotaalpie"/>
          <w:rFonts w:ascii="Arial" w:eastAsia="Calibri" w:hAnsi="Arial" w:cs="Arial"/>
          <w:sz w:val="21"/>
          <w:szCs w:val="21"/>
          <w:lang w:val="es-ES_tradnl"/>
        </w:rPr>
        <w:footnoteReference w:id="16"/>
      </w:r>
      <w:r w:rsidRPr="009F1972">
        <w:rPr>
          <w:rFonts w:ascii="Arial" w:eastAsia="Calibri" w:hAnsi="Arial" w:cs="Arial"/>
          <w:sz w:val="21"/>
          <w:szCs w:val="21"/>
          <w:lang w:val="es-ES_tradnl"/>
        </w:rPr>
        <w:t>.</w:t>
      </w:r>
    </w:p>
    <w:p w14:paraId="09FCEA05" w14:textId="77777777" w:rsidR="00990612" w:rsidRDefault="00990612" w:rsidP="00990612">
      <w:pPr>
        <w:spacing w:line="276" w:lineRule="auto"/>
        <w:ind w:firstLine="708"/>
        <w:jc w:val="both"/>
        <w:rPr>
          <w:rFonts w:ascii="Arial" w:eastAsia="Calibri" w:hAnsi="Arial" w:cs="Arial"/>
          <w:sz w:val="22"/>
        </w:rPr>
      </w:pPr>
    </w:p>
    <w:p w14:paraId="46AA66D5" w14:textId="77777777" w:rsidR="00990612" w:rsidRDefault="00990612" w:rsidP="00990612">
      <w:pPr>
        <w:spacing w:after="120" w:line="276" w:lineRule="auto"/>
        <w:ind w:firstLine="709"/>
        <w:jc w:val="both"/>
        <w:rPr>
          <w:rFonts w:ascii="Arial" w:eastAsia="Calibri" w:hAnsi="Arial" w:cs="Arial"/>
          <w:sz w:val="22"/>
          <w:lang w:val="es-ES_tradnl"/>
        </w:rPr>
      </w:pPr>
      <w:r>
        <w:rPr>
          <w:rFonts w:ascii="Arial" w:eastAsia="Calibri" w:hAnsi="Arial" w:cs="Arial"/>
          <w:sz w:val="22"/>
        </w:rPr>
        <w:t xml:space="preserve">Es importante precisar que, con el vencimiento del plazo de ejecución, solo es posible imponer las multas y la cláusula penal mientras esté pendiente el cumplimiento de las obligaciones. Esto supone que la competencia temporal del artículo 17 de la Ley 1150 de 2007 no se extiende a la declaratoria de caducidad, pues –además que la norma citada no contempla expresamente este último supuesto y que esta disposición es de interpretación restrictiva– </w:t>
      </w:r>
      <w:r w:rsidRPr="008751BA">
        <w:rPr>
          <w:rFonts w:ascii="Arial" w:eastAsia="Calibri" w:hAnsi="Arial" w:cs="Arial"/>
          <w:sz w:val="22"/>
          <w:lang w:val="es-ES_tradnl"/>
        </w:rPr>
        <w:t xml:space="preserve">el Consejo de Estado, </w:t>
      </w:r>
      <w:bookmarkStart w:id="12" w:name="_Hlk38558450"/>
      <w:r w:rsidRPr="008751BA">
        <w:rPr>
          <w:rFonts w:ascii="Arial" w:eastAsia="Calibri" w:hAnsi="Arial" w:cs="Arial"/>
          <w:sz w:val="22"/>
          <w:lang w:val="es-ES_tradnl"/>
        </w:rPr>
        <w:t xml:space="preserve">en sentencia de unificación jurisprudencial, indicó que </w:t>
      </w:r>
      <w:r>
        <w:rPr>
          <w:rFonts w:ascii="Arial" w:eastAsia="Calibri" w:hAnsi="Arial" w:cs="Arial"/>
          <w:sz w:val="22"/>
          <w:lang w:val="es-ES_tradnl"/>
        </w:rPr>
        <w:t>dicha sanción solo puede declararse</w:t>
      </w:r>
      <w:r w:rsidRPr="008751BA">
        <w:rPr>
          <w:rFonts w:ascii="Arial" w:eastAsia="Calibri" w:hAnsi="Arial" w:cs="Arial"/>
          <w:sz w:val="22"/>
          <w:lang w:val="es-ES_tradnl"/>
        </w:rPr>
        <w:t xml:space="preserve"> durante el plazo de ejecución, porque de acuerdo con la naturaleza de</w:t>
      </w:r>
      <w:r>
        <w:rPr>
          <w:rFonts w:ascii="Arial" w:eastAsia="Calibri" w:hAnsi="Arial" w:cs="Arial"/>
          <w:sz w:val="22"/>
          <w:lang w:val="es-ES_tradnl"/>
        </w:rPr>
        <w:t xml:space="preserve"> esta potestad exorbitante</w:t>
      </w:r>
      <w:r w:rsidRPr="008751BA">
        <w:rPr>
          <w:rFonts w:ascii="Arial" w:eastAsia="Calibri" w:hAnsi="Arial" w:cs="Arial"/>
          <w:sz w:val="22"/>
          <w:lang w:val="es-ES_tradnl"/>
        </w:rPr>
        <w:t>,</w:t>
      </w:r>
      <w:r>
        <w:rPr>
          <w:rFonts w:ascii="Arial" w:eastAsia="Calibri" w:hAnsi="Arial" w:cs="Arial"/>
          <w:sz w:val="22"/>
          <w:lang w:val="es-ES_tradnl"/>
        </w:rPr>
        <w:t xml:space="preserve"> </w:t>
      </w:r>
      <w:r w:rsidRPr="008751BA">
        <w:rPr>
          <w:rFonts w:ascii="Arial" w:eastAsia="Calibri" w:hAnsi="Arial" w:cs="Arial"/>
          <w:sz w:val="22"/>
          <w:lang w:val="es-ES_tradnl"/>
        </w:rPr>
        <w:t xml:space="preserve">el incumplimiento </w:t>
      </w:r>
      <w:r>
        <w:rPr>
          <w:rFonts w:ascii="Arial" w:eastAsia="Calibri" w:hAnsi="Arial" w:cs="Arial"/>
          <w:sz w:val="22"/>
          <w:lang w:val="es-ES_tradnl"/>
        </w:rPr>
        <w:t>al que</w:t>
      </w:r>
      <w:r w:rsidRPr="008751BA">
        <w:rPr>
          <w:rFonts w:ascii="Arial" w:eastAsia="Calibri" w:hAnsi="Arial" w:cs="Arial"/>
          <w:sz w:val="22"/>
          <w:lang w:val="es-ES_tradnl"/>
        </w:rPr>
        <w:t xml:space="preserve"> </w:t>
      </w:r>
      <w:r>
        <w:rPr>
          <w:rFonts w:ascii="Arial" w:eastAsia="Calibri" w:hAnsi="Arial" w:cs="Arial"/>
          <w:sz w:val="22"/>
          <w:lang w:val="es-ES_tradnl"/>
        </w:rPr>
        <w:t xml:space="preserve">se </w:t>
      </w:r>
      <w:r w:rsidRPr="008751BA">
        <w:rPr>
          <w:rFonts w:ascii="Arial" w:eastAsia="Calibri" w:hAnsi="Arial" w:cs="Arial"/>
          <w:sz w:val="22"/>
          <w:lang w:val="es-ES_tradnl"/>
        </w:rPr>
        <w:t>refiere debe valorar</w:t>
      </w:r>
      <w:r>
        <w:rPr>
          <w:rFonts w:ascii="Arial" w:eastAsia="Calibri" w:hAnsi="Arial" w:cs="Arial"/>
          <w:sz w:val="22"/>
          <w:lang w:val="es-ES_tradnl"/>
        </w:rPr>
        <w:t>se</w:t>
      </w:r>
      <w:r w:rsidRPr="008751BA">
        <w:rPr>
          <w:rFonts w:ascii="Arial" w:eastAsia="Calibri" w:hAnsi="Arial" w:cs="Arial"/>
          <w:sz w:val="22"/>
          <w:lang w:val="es-ES_tradnl"/>
        </w:rPr>
        <w:t xml:space="preserve"> </w:t>
      </w:r>
      <w:r>
        <w:rPr>
          <w:rFonts w:ascii="Arial" w:eastAsia="Calibri" w:hAnsi="Arial" w:cs="Arial"/>
          <w:sz w:val="22"/>
          <w:lang w:val="es-ES_tradnl"/>
        </w:rPr>
        <w:t>durante este término</w:t>
      </w:r>
      <w:bookmarkEnd w:id="12"/>
      <w:r>
        <w:rPr>
          <w:rStyle w:val="Refdenotaalpie"/>
          <w:rFonts w:ascii="Arial" w:eastAsia="Calibri" w:hAnsi="Arial" w:cs="Arial"/>
          <w:sz w:val="22"/>
          <w:lang w:val="es-ES_tradnl"/>
        </w:rPr>
        <w:footnoteReference w:id="17"/>
      </w:r>
      <w:r>
        <w:rPr>
          <w:rFonts w:ascii="Arial" w:eastAsia="Calibri" w:hAnsi="Arial" w:cs="Arial"/>
          <w:sz w:val="22"/>
          <w:lang w:val="es-ES_tradnl"/>
        </w:rPr>
        <w:t xml:space="preserve">. Adicionalmente, </w:t>
      </w:r>
      <w:r w:rsidRPr="00A3399B">
        <w:rPr>
          <w:rFonts w:ascii="Arial" w:eastAsia="Calibri" w:hAnsi="Arial" w:cs="Arial"/>
          <w:sz w:val="22"/>
          <w:lang w:val="es-ES_tradnl"/>
        </w:rPr>
        <w:t xml:space="preserve">se precisa </w:t>
      </w:r>
      <w:proofErr w:type="gramStart"/>
      <w:r w:rsidRPr="00A3399B">
        <w:rPr>
          <w:rFonts w:ascii="Arial" w:eastAsia="Calibri" w:hAnsi="Arial" w:cs="Arial"/>
          <w:sz w:val="22"/>
          <w:lang w:val="es-ES_tradnl"/>
        </w:rPr>
        <w:t>que</w:t>
      </w:r>
      <w:proofErr w:type="gramEnd"/>
      <w:r w:rsidRPr="00A3399B">
        <w:rPr>
          <w:rFonts w:ascii="Arial" w:eastAsia="Calibri" w:hAnsi="Arial" w:cs="Arial"/>
          <w:sz w:val="22"/>
          <w:lang w:val="es-ES_tradnl"/>
        </w:rPr>
        <w:t xml:space="preserve"> si el contrato fue liquidado, la Administración ya no podrá imponer sanciones pecuniarias al contratista incumplido, toda vez que –encontrándose las partes a paz y salvo– finaliza la relación </w:t>
      </w:r>
      <w:r>
        <w:rPr>
          <w:rFonts w:ascii="Arial" w:eastAsia="Calibri" w:hAnsi="Arial" w:cs="Arial"/>
          <w:sz w:val="22"/>
          <w:lang w:val="es-ES_tradnl"/>
        </w:rPr>
        <w:t>contractual</w:t>
      </w:r>
      <w:r w:rsidRPr="00A3399B">
        <w:rPr>
          <w:rFonts w:ascii="Arial" w:eastAsia="Calibri" w:hAnsi="Arial" w:cs="Arial"/>
          <w:sz w:val="22"/>
          <w:lang w:val="es-ES_tradnl"/>
        </w:rPr>
        <w:t xml:space="preserve"> y, por tanto, las entidades pierden competencia para ejercer sus prerrogativas</w:t>
      </w:r>
      <w:r>
        <w:rPr>
          <w:rFonts w:ascii="Arial" w:eastAsia="Calibri" w:hAnsi="Arial" w:cs="Arial"/>
          <w:sz w:val="22"/>
          <w:lang w:val="es-ES_tradnl"/>
        </w:rPr>
        <w:t>.</w:t>
      </w:r>
    </w:p>
    <w:p w14:paraId="1237C8E2" w14:textId="77777777" w:rsidR="00990612" w:rsidRDefault="00990612" w:rsidP="00990612">
      <w:pPr>
        <w:spacing w:line="276" w:lineRule="auto"/>
        <w:ind w:firstLine="708"/>
        <w:jc w:val="both"/>
        <w:rPr>
          <w:rFonts w:ascii="Arial" w:eastAsia="Calibri" w:hAnsi="Arial" w:cs="Arial"/>
          <w:sz w:val="22"/>
        </w:rPr>
      </w:pPr>
      <w:r>
        <w:rPr>
          <w:rFonts w:ascii="Arial" w:eastAsia="Calibri" w:hAnsi="Arial" w:cs="Arial"/>
          <w:sz w:val="22"/>
        </w:rPr>
        <w:t>Por tanto, es posible que la entidad pública reciba las prestaciones adeudadas pese a la mora del contratista en el cumplimiento de las obligaciones. Esto sin perjuicio de la competencia que –</w:t>
      </w:r>
      <w:proofErr w:type="gramStart"/>
      <w:r>
        <w:rPr>
          <w:rFonts w:ascii="Arial" w:eastAsia="Calibri" w:hAnsi="Arial" w:cs="Arial"/>
          <w:sz w:val="22"/>
        </w:rPr>
        <w:t>en razón de</w:t>
      </w:r>
      <w:proofErr w:type="gramEnd"/>
      <w:r>
        <w:rPr>
          <w:rFonts w:ascii="Arial" w:eastAsia="Calibri" w:hAnsi="Arial" w:cs="Arial"/>
          <w:sz w:val="22"/>
        </w:rPr>
        <w:t xml:space="preserve"> la exigibilidad de las obligaciones derivada del vencimiento </w:t>
      </w:r>
      <w:r>
        <w:rPr>
          <w:rFonts w:ascii="Arial" w:eastAsia="Calibri" w:hAnsi="Arial" w:cs="Arial"/>
          <w:sz w:val="22"/>
        </w:rPr>
        <w:lastRenderedPageBreak/>
        <w:t>del plazo de ejecución– tienen las entidades públicas para sancionar pecuniariamente la falta de cumplimiento oportuno del deudor.</w:t>
      </w:r>
    </w:p>
    <w:p w14:paraId="01222EDE" w14:textId="77777777" w:rsidR="00990612" w:rsidRPr="009735A5" w:rsidRDefault="00990612" w:rsidP="00990612">
      <w:pPr>
        <w:spacing w:line="276" w:lineRule="auto"/>
        <w:jc w:val="both"/>
        <w:rPr>
          <w:rFonts w:ascii="Arial" w:hAnsi="Arial" w:cs="Arial"/>
          <w:sz w:val="22"/>
          <w:lang w:val="es-CO"/>
        </w:rPr>
      </w:pPr>
    </w:p>
    <w:p w14:paraId="176CA6EF" w14:textId="77777777" w:rsidR="00990612" w:rsidRPr="00BB0056" w:rsidRDefault="00990612" w:rsidP="00990612">
      <w:pPr>
        <w:pStyle w:val="Prrafodelista"/>
        <w:numPr>
          <w:ilvl w:val="0"/>
          <w:numId w:val="6"/>
        </w:numPr>
        <w:tabs>
          <w:tab w:val="left" w:pos="284"/>
        </w:tabs>
        <w:spacing w:line="276" w:lineRule="auto"/>
        <w:ind w:left="0" w:firstLine="0"/>
        <w:jc w:val="both"/>
        <w:rPr>
          <w:rFonts w:ascii="Arial" w:eastAsia="Calibri" w:hAnsi="Arial" w:cs="Arial"/>
          <w:sz w:val="22"/>
          <w:lang w:val="es-CO"/>
        </w:rPr>
      </w:pPr>
      <w:r w:rsidRPr="00BB0056">
        <w:rPr>
          <w:rFonts w:ascii="Arial" w:eastAsia="Calibri" w:hAnsi="Arial" w:cs="Arial"/>
          <w:b/>
          <w:sz w:val="22"/>
          <w:lang w:val="es-CO"/>
        </w:rPr>
        <w:t>Respuestas</w:t>
      </w:r>
    </w:p>
    <w:p w14:paraId="3E4CDFB7" w14:textId="77777777" w:rsidR="00990612" w:rsidRPr="00BB0056" w:rsidRDefault="00990612" w:rsidP="00990612">
      <w:pPr>
        <w:spacing w:line="276" w:lineRule="auto"/>
        <w:ind w:right="709"/>
        <w:jc w:val="both"/>
        <w:rPr>
          <w:rFonts w:ascii="Arial" w:eastAsia="Calibri" w:hAnsi="Arial" w:cs="Arial"/>
          <w:iCs/>
          <w:sz w:val="22"/>
          <w:lang w:val="es-CO"/>
        </w:rPr>
      </w:pPr>
    </w:p>
    <w:p w14:paraId="262F3A00" w14:textId="77777777" w:rsidR="00990612" w:rsidRDefault="00990612" w:rsidP="00990612">
      <w:pPr>
        <w:tabs>
          <w:tab w:val="left" w:pos="426"/>
        </w:tabs>
        <w:ind w:left="709" w:right="709"/>
        <w:jc w:val="both"/>
        <w:rPr>
          <w:rFonts w:ascii="Arial" w:eastAsia="Calibri" w:hAnsi="Arial" w:cs="Arial"/>
          <w:sz w:val="21"/>
          <w:szCs w:val="21"/>
          <w:lang w:val="es-CO"/>
        </w:rPr>
      </w:pPr>
      <w:r w:rsidRPr="009C55A7">
        <w:rPr>
          <w:rFonts w:ascii="Arial" w:hAnsi="Arial" w:cs="Arial"/>
          <w:sz w:val="21"/>
          <w:szCs w:val="21"/>
        </w:rPr>
        <w:t>i) «¿Pueden las administraciones distritales recibir productos de forma tardía (estudios, diseños, etc.), habiendo expirado el plazo pactado en el contrato? Teniendo en cuenta que el cumplimiento del plazo no significa la extinción de las obligaciones previamente pactadas, de modo que a nuestro juicio sí se podría recibir productos de forma tardía, sin perjuicio de las constancias en el acta de liquidación y reclamos posteriores por los perjuicios causados debido al incumplimiento o cumplimiento tardío»</w:t>
      </w:r>
      <w:r w:rsidRPr="00BB0056">
        <w:rPr>
          <w:rFonts w:ascii="Arial" w:eastAsia="Calibri" w:hAnsi="Arial" w:cs="Arial"/>
          <w:sz w:val="21"/>
          <w:szCs w:val="21"/>
          <w:lang w:val="es-CO"/>
        </w:rPr>
        <w:t>.</w:t>
      </w:r>
      <w:r>
        <w:rPr>
          <w:rFonts w:ascii="Arial" w:eastAsia="Calibri" w:hAnsi="Arial" w:cs="Arial"/>
          <w:sz w:val="21"/>
          <w:szCs w:val="21"/>
          <w:lang w:val="es-CO"/>
        </w:rPr>
        <w:t xml:space="preserve"> </w:t>
      </w:r>
    </w:p>
    <w:p w14:paraId="7CD0CAF1" w14:textId="77777777" w:rsidR="00990612" w:rsidRDefault="00990612" w:rsidP="00990612">
      <w:pPr>
        <w:tabs>
          <w:tab w:val="left" w:pos="426"/>
        </w:tabs>
        <w:ind w:left="709" w:right="709"/>
        <w:jc w:val="both"/>
        <w:rPr>
          <w:rFonts w:ascii="Arial" w:eastAsia="Calibri" w:hAnsi="Arial" w:cs="Arial"/>
          <w:sz w:val="21"/>
          <w:szCs w:val="21"/>
          <w:lang w:val="es-CO"/>
        </w:rPr>
      </w:pPr>
    </w:p>
    <w:p w14:paraId="7106818C" w14:textId="77777777" w:rsidR="00990612" w:rsidRDefault="00990612" w:rsidP="00990612">
      <w:pPr>
        <w:tabs>
          <w:tab w:val="left" w:pos="426"/>
        </w:tabs>
        <w:ind w:left="709" w:right="709"/>
        <w:jc w:val="both"/>
        <w:rPr>
          <w:rFonts w:ascii="Arial" w:eastAsia="Calibri" w:hAnsi="Arial" w:cs="Arial"/>
          <w:sz w:val="21"/>
          <w:szCs w:val="21"/>
          <w:lang w:val="es-CO"/>
        </w:rPr>
      </w:pPr>
      <w:proofErr w:type="spellStart"/>
      <w:r>
        <w:rPr>
          <w:rFonts w:ascii="Arial" w:eastAsia="Calibri" w:hAnsi="Arial" w:cs="Arial"/>
          <w:sz w:val="21"/>
          <w:szCs w:val="21"/>
          <w:lang w:val="es-CO"/>
        </w:rPr>
        <w:t>iii</w:t>
      </w:r>
      <w:proofErr w:type="spellEnd"/>
      <w:r>
        <w:rPr>
          <w:rFonts w:ascii="Arial" w:eastAsia="Calibri" w:hAnsi="Arial" w:cs="Arial"/>
          <w:sz w:val="21"/>
          <w:szCs w:val="21"/>
          <w:lang w:val="es-CO"/>
        </w:rPr>
        <w:t xml:space="preserve">) </w:t>
      </w:r>
      <w:r w:rsidRPr="007D40E2">
        <w:rPr>
          <w:rFonts w:ascii="Arial" w:eastAsia="Calibri" w:hAnsi="Arial" w:cs="Arial"/>
          <w:sz w:val="21"/>
          <w:szCs w:val="21"/>
          <w:lang w:val="es-CO"/>
        </w:rPr>
        <w:t>«¿Podría el contratante recibir los productos tardíamente sin que el recibo de los productos</w:t>
      </w:r>
      <w:r>
        <w:rPr>
          <w:rFonts w:ascii="Arial" w:eastAsia="Calibri" w:hAnsi="Arial" w:cs="Arial"/>
          <w:sz w:val="21"/>
          <w:szCs w:val="21"/>
          <w:lang w:val="es-CO"/>
        </w:rPr>
        <w:t xml:space="preserve"> </w:t>
      </w:r>
      <w:r w:rsidRPr="007D40E2">
        <w:rPr>
          <w:rFonts w:ascii="Arial" w:eastAsia="Calibri" w:hAnsi="Arial" w:cs="Arial"/>
          <w:sz w:val="21"/>
          <w:szCs w:val="21"/>
          <w:lang w:val="es-CO"/>
        </w:rPr>
        <w:t>implique un “recibo a satisfacción”? Debido a que en la etapa de liquidación se realizarían</w:t>
      </w:r>
      <w:r>
        <w:rPr>
          <w:rFonts w:ascii="Arial" w:eastAsia="Calibri" w:hAnsi="Arial" w:cs="Arial"/>
          <w:sz w:val="21"/>
          <w:szCs w:val="21"/>
          <w:lang w:val="es-CO"/>
        </w:rPr>
        <w:t xml:space="preserve"> </w:t>
      </w:r>
      <w:r w:rsidRPr="007D40E2">
        <w:rPr>
          <w:rFonts w:ascii="Arial" w:eastAsia="Calibri" w:hAnsi="Arial" w:cs="Arial"/>
          <w:sz w:val="21"/>
          <w:szCs w:val="21"/>
          <w:lang w:val="es-CO"/>
        </w:rPr>
        <w:t>las respectivas constancias»</w:t>
      </w:r>
    </w:p>
    <w:p w14:paraId="21A4DDC2" w14:textId="77777777" w:rsidR="00990612" w:rsidRPr="00E768B7" w:rsidRDefault="00990612" w:rsidP="00990612">
      <w:pPr>
        <w:spacing w:line="276" w:lineRule="auto"/>
        <w:ind w:right="709"/>
        <w:jc w:val="both"/>
        <w:rPr>
          <w:rFonts w:ascii="Arial" w:eastAsia="Calibri" w:hAnsi="Arial" w:cs="Arial"/>
          <w:sz w:val="22"/>
          <w:lang w:val="es-CO"/>
        </w:rPr>
      </w:pPr>
    </w:p>
    <w:p w14:paraId="4CDC25BB" w14:textId="77777777" w:rsidR="00990612" w:rsidRDefault="00990612" w:rsidP="00990612">
      <w:pPr>
        <w:spacing w:after="120" w:line="276" w:lineRule="auto"/>
        <w:jc w:val="both"/>
        <w:rPr>
          <w:rFonts w:ascii="Arial" w:eastAsia="Calibri" w:hAnsi="Arial" w:cs="Arial"/>
          <w:sz w:val="22"/>
          <w:lang w:val="es-CO"/>
        </w:rPr>
      </w:pPr>
      <w:bookmarkStart w:id="13" w:name="_Hlk57650395"/>
      <w:r w:rsidRPr="001A26FC">
        <w:rPr>
          <w:rFonts w:ascii="Arial" w:eastAsia="Calibri" w:hAnsi="Arial" w:cs="Arial"/>
          <w:sz w:val="22"/>
          <w:lang w:val="es-CO"/>
        </w:rPr>
        <w:t xml:space="preserve">De acuerdo con las consideraciones del presente concepto, vencido el plazo de ejecución de un contrato </w:t>
      </w:r>
      <w:r>
        <w:rPr>
          <w:rFonts w:ascii="Arial" w:eastAsia="Calibri" w:hAnsi="Arial" w:cs="Arial"/>
          <w:sz w:val="22"/>
          <w:lang w:val="es-CO"/>
        </w:rPr>
        <w:t>para la elaboración de estudios y diseños</w:t>
      </w:r>
      <w:r w:rsidRPr="001A26FC">
        <w:rPr>
          <w:rFonts w:ascii="Arial" w:eastAsia="Calibri" w:hAnsi="Arial" w:cs="Arial"/>
          <w:sz w:val="22"/>
          <w:lang w:val="es-CO"/>
        </w:rPr>
        <w:t xml:space="preserve">, es posible que la entidad reciba las prestaciones pactadas en el contrato estatal, especialmente, cuando el vencimiento de un plazo suspensivo no conduce a la extinción del contrato. </w:t>
      </w:r>
      <w:r>
        <w:rPr>
          <w:rFonts w:ascii="Arial" w:eastAsia="Calibri" w:hAnsi="Arial" w:cs="Arial"/>
          <w:sz w:val="22"/>
          <w:lang w:val="es-CO"/>
        </w:rPr>
        <w:t xml:space="preserve">En consecuencia, </w:t>
      </w:r>
      <w:r w:rsidRPr="001A26FC">
        <w:rPr>
          <w:rFonts w:ascii="Arial" w:eastAsia="Calibri" w:hAnsi="Arial" w:cs="Arial"/>
          <w:sz w:val="22"/>
          <w:lang w:val="es-CO"/>
        </w:rPr>
        <w:t>es viable que la entidad pública reciba el objeto contractual pese a la mora del deudor, pues no se trata de un plazo resolutorio que extinga las obligaciones pactadas</w:t>
      </w:r>
      <w:r>
        <w:rPr>
          <w:rFonts w:ascii="Arial" w:eastAsia="Calibri" w:hAnsi="Arial" w:cs="Arial"/>
          <w:sz w:val="22"/>
          <w:lang w:val="es-CO"/>
        </w:rPr>
        <w:t>.</w:t>
      </w:r>
    </w:p>
    <w:p w14:paraId="34A05100" w14:textId="77777777" w:rsidR="00990612" w:rsidRDefault="00990612" w:rsidP="00990612">
      <w:pPr>
        <w:spacing w:line="276" w:lineRule="auto"/>
        <w:ind w:firstLine="708"/>
        <w:jc w:val="both"/>
        <w:rPr>
          <w:rFonts w:ascii="Arial" w:eastAsia="Calibri" w:hAnsi="Arial" w:cs="Arial"/>
          <w:color w:val="000000" w:themeColor="text1"/>
          <w:sz w:val="22"/>
          <w:lang w:val="es-CO"/>
        </w:rPr>
      </w:pPr>
      <w:r>
        <w:rPr>
          <w:rFonts w:ascii="Arial" w:hAnsi="Arial" w:cs="Arial"/>
          <w:sz w:val="22"/>
          <w:lang w:val="es-ES"/>
        </w:rPr>
        <w:t>En congruencia con lo anterior, también es posible liquidar de manera «bilateral» o «unilateral» un negocio jurídico cuyas prestaciones se cumplieron de manera tardía, esto es, después de finalizado el plazo pactado por las partes del contrato estatal para el cumplimiento de las obligaciones. En este evento, es posible que la entidad reciba obras, bienes o servicios ejecutados extemporáneamente</w:t>
      </w:r>
      <w:r>
        <w:rPr>
          <w:rFonts w:ascii="Arial" w:eastAsia="Calibri" w:hAnsi="Arial" w:cs="Arial"/>
          <w:sz w:val="22"/>
          <w:lang w:val="es-CO"/>
        </w:rPr>
        <w:t xml:space="preserve"> sin perjuicio de que la Administración valide el cumplimiento satisfactorio al momento de la liquidación</w:t>
      </w:r>
      <w:r>
        <w:rPr>
          <w:rFonts w:ascii="Arial" w:eastAsia="Calibri" w:hAnsi="Arial" w:cs="Arial"/>
          <w:color w:val="000000" w:themeColor="text1"/>
          <w:sz w:val="22"/>
          <w:lang w:val="es-CO"/>
        </w:rPr>
        <w:t xml:space="preserve">.  </w:t>
      </w:r>
    </w:p>
    <w:p w14:paraId="05502D38" w14:textId="77777777" w:rsidR="00990612" w:rsidRPr="00BB0056" w:rsidRDefault="00990612" w:rsidP="00990612">
      <w:pPr>
        <w:spacing w:line="276" w:lineRule="auto"/>
        <w:ind w:right="709"/>
        <w:jc w:val="both"/>
        <w:rPr>
          <w:rFonts w:ascii="Arial" w:eastAsia="Calibri" w:hAnsi="Arial" w:cs="Arial"/>
          <w:iCs/>
          <w:sz w:val="22"/>
          <w:lang w:val="es-CO"/>
        </w:rPr>
      </w:pPr>
    </w:p>
    <w:p w14:paraId="6FE36401" w14:textId="77777777" w:rsidR="00990612" w:rsidRPr="00860B10" w:rsidRDefault="00990612" w:rsidP="00990612">
      <w:pPr>
        <w:tabs>
          <w:tab w:val="left" w:pos="426"/>
        </w:tabs>
        <w:ind w:left="709" w:right="709"/>
        <w:jc w:val="both"/>
        <w:rPr>
          <w:rFonts w:ascii="Arial" w:eastAsia="Calibri" w:hAnsi="Arial" w:cs="Arial"/>
          <w:sz w:val="22"/>
          <w:lang w:val="es-CO"/>
        </w:rPr>
      </w:pPr>
      <w:proofErr w:type="spellStart"/>
      <w:r w:rsidRPr="00277428">
        <w:rPr>
          <w:rFonts w:ascii="Arial" w:hAnsi="Arial" w:cs="Arial"/>
          <w:sz w:val="21"/>
          <w:szCs w:val="21"/>
        </w:rPr>
        <w:t>ii</w:t>
      </w:r>
      <w:proofErr w:type="spellEnd"/>
      <w:r w:rsidRPr="00277428">
        <w:rPr>
          <w:rFonts w:ascii="Arial" w:hAnsi="Arial" w:cs="Arial"/>
          <w:sz w:val="21"/>
          <w:szCs w:val="21"/>
        </w:rPr>
        <w:t>) «¿Puede el contratista cumplir tardíamente alguna obligación contraída en el negocio jurídico, y cuáles serías las medidas a tomar por parte del contratante?»</w:t>
      </w:r>
      <w:r w:rsidRPr="00BB0056">
        <w:rPr>
          <w:rFonts w:ascii="Arial" w:eastAsia="Calibri" w:hAnsi="Arial" w:cs="Arial"/>
          <w:sz w:val="21"/>
          <w:szCs w:val="21"/>
          <w:lang w:val="es-CO"/>
        </w:rPr>
        <w:t>.</w:t>
      </w:r>
    </w:p>
    <w:p w14:paraId="01807014" w14:textId="77777777" w:rsidR="00990612" w:rsidRPr="00E768B7" w:rsidRDefault="00990612" w:rsidP="00990612">
      <w:pPr>
        <w:spacing w:line="276" w:lineRule="auto"/>
        <w:ind w:right="709"/>
        <w:jc w:val="both"/>
        <w:rPr>
          <w:rFonts w:ascii="Arial" w:eastAsia="Calibri" w:hAnsi="Arial" w:cs="Arial"/>
          <w:sz w:val="22"/>
          <w:lang w:val="es-CO"/>
        </w:rPr>
      </w:pPr>
    </w:p>
    <w:p w14:paraId="37587087" w14:textId="77777777" w:rsidR="00990612" w:rsidRDefault="00990612" w:rsidP="00990612">
      <w:pPr>
        <w:spacing w:after="120" w:line="276" w:lineRule="auto"/>
        <w:jc w:val="both"/>
        <w:rPr>
          <w:rFonts w:ascii="Arial" w:eastAsia="Calibri" w:hAnsi="Arial" w:cs="Arial"/>
          <w:color w:val="000000" w:themeColor="text1"/>
          <w:sz w:val="22"/>
          <w:lang w:val="es-CO"/>
        </w:rPr>
      </w:pPr>
      <w:r>
        <w:rPr>
          <w:rFonts w:ascii="Arial" w:eastAsia="Calibri" w:hAnsi="Arial" w:cs="Arial"/>
          <w:sz w:val="22"/>
          <w:lang w:val="es-CO"/>
        </w:rPr>
        <w:t xml:space="preserve">Dado que el artículo 1602 del Código Civil dispone que el contrato es ley para las partes, el contratista está obligado a ejecutar oportunamente las obligaciones pactadas so pena de las sanciones pecuniarias procedentes. Por ello, </w:t>
      </w:r>
      <w:r w:rsidRPr="00277428">
        <w:rPr>
          <w:rFonts w:ascii="Arial" w:eastAsia="Calibri" w:hAnsi="Arial" w:cs="Arial"/>
          <w:sz w:val="22"/>
          <w:lang w:val="es-CO"/>
        </w:rPr>
        <w:t>la Administración –</w:t>
      </w:r>
      <w:proofErr w:type="gramStart"/>
      <w:r w:rsidRPr="00277428">
        <w:rPr>
          <w:rFonts w:ascii="Arial" w:eastAsia="Calibri" w:hAnsi="Arial" w:cs="Arial"/>
          <w:sz w:val="22"/>
          <w:lang w:val="es-CO"/>
        </w:rPr>
        <w:t>en razón de</w:t>
      </w:r>
      <w:proofErr w:type="gramEnd"/>
      <w:r w:rsidRPr="00277428">
        <w:rPr>
          <w:rFonts w:ascii="Arial" w:eastAsia="Calibri" w:hAnsi="Arial" w:cs="Arial"/>
          <w:sz w:val="22"/>
          <w:lang w:val="es-CO"/>
        </w:rPr>
        <w:t xml:space="preserve"> la exigibilidad de las obligaciones derivada del vencimiento del plazo de ejecución– puede sancionar pecuniariamente la falta de cumplimiento oportuno del contratista.</w:t>
      </w:r>
      <w:r>
        <w:rPr>
          <w:rFonts w:ascii="Arial" w:eastAsia="Calibri" w:hAnsi="Arial" w:cs="Arial"/>
          <w:sz w:val="22"/>
          <w:lang w:val="es-CO"/>
        </w:rPr>
        <w:t xml:space="preserve"> </w:t>
      </w:r>
      <w:r w:rsidRPr="00277428">
        <w:rPr>
          <w:rFonts w:ascii="Arial" w:eastAsia="Calibri" w:hAnsi="Arial" w:cs="Arial"/>
          <w:sz w:val="22"/>
          <w:lang w:val="es-CO"/>
        </w:rPr>
        <w:t xml:space="preserve">Para estos efectos, teniendo en cuenta que el artículo 17 de la Ley 1150 de 2007 no condicionó la imposición de las multas y la cláusula penal al plazo del contrato, y por el contrario, de </w:t>
      </w:r>
      <w:r w:rsidRPr="00277428">
        <w:rPr>
          <w:rFonts w:ascii="Arial" w:eastAsia="Calibri" w:hAnsi="Arial" w:cs="Arial"/>
          <w:sz w:val="22"/>
          <w:lang w:val="es-CO"/>
        </w:rPr>
        <w:lastRenderedPageBreak/>
        <w:t>manera expresa indicó que estas proceden «[…] mientras se halle pendiente la ejecución de las obligaciones a cargo del contratista […]», las entidades sometidas al Estatuto General de Contratación de la Administración Pública podrán imponer las multas y hacer efectiva la cláusula penal inclusive después de su plazo de ejecución, siempre que la obligación esté pendiente de cumplir. De esta manera, la entidad podrá hacer uso de estas facultades para procurar el cumplimiento de las obligaciones a cargo del contratista.</w:t>
      </w:r>
      <w:r>
        <w:rPr>
          <w:rFonts w:ascii="Arial" w:eastAsia="Calibri" w:hAnsi="Arial" w:cs="Arial"/>
          <w:sz w:val="22"/>
          <w:lang w:val="es-CO"/>
        </w:rPr>
        <w:t xml:space="preserve"> </w:t>
      </w:r>
      <w:r>
        <w:rPr>
          <w:rFonts w:ascii="Arial" w:eastAsia="Calibri" w:hAnsi="Arial" w:cs="Arial"/>
          <w:color w:val="000000" w:themeColor="text1"/>
          <w:sz w:val="22"/>
          <w:lang w:val="es-CO"/>
        </w:rPr>
        <w:t xml:space="preserve">   </w:t>
      </w:r>
    </w:p>
    <w:p w14:paraId="56E1CCE6" w14:textId="77777777" w:rsidR="00990612" w:rsidRDefault="00990612" w:rsidP="00990612">
      <w:pPr>
        <w:spacing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 xml:space="preserve">  </w:t>
      </w:r>
    </w:p>
    <w:bookmarkEnd w:id="13"/>
    <w:p w14:paraId="00CE8453" w14:textId="18F35A0D" w:rsidR="00904CD9" w:rsidRPr="00BB0056" w:rsidRDefault="00990612" w:rsidP="00904CD9">
      <w:pPr>
        <w:spacing w:after="120" w:line="276" w:lineRule="auto"/>
        <w:jc w:val="both"/>
        <w:rPr>
          <w:rFonts w:ascii="Arial" w:eastAsia="Calibri" w:hAnsi="Arial" w:cs="Arial"/>
          <w:sz w:val="22"/>
          <w:lang w:val="es-CO"/>
        </w:rPr>
      </w:pPr>
      <w:r w:rsidRPr="00BB0056">
        <w:rPr>
          <w:rFonts w:ascii="Arial" w:eastAsia="Calibri" w:hAnsi="Arial" w:cs="Arial"/>
          <w:sz w:val="22"/>
          <w:lang w:val="es-CO"/>
        </w:rPr>
        <w:t>Este concepto tiene el alcance previsto en el artículo 28 del Código de Procedimiento Administrativo y de lo Contencioso Administrativo.</w:t>
      </w:r>
    </w:p>
    <w:p w14:paraId="0DB72472" w14:textId="77777777" w:rsidR="00904CD9" w:rsidRPr="00BB0056" w:rsidRDefault="00904CD9" w:rsidP="00904CD9">
      <w:pPr>
        <w:jc w:val="both"/>
        <w:rPr>
          <w:rFonts w:ascii="Arial" w:eastAsia="Calibri" w:hAnsi="Arial" w:cs="Arial"/>
          <w:sz w:val="22"/>
          <w:lang w:val="es-CO"/>
        </w:rPr>
      </w:pPr>
      <w:r w:rsidRPr="00BB0056">
        <w:rPr>
          <w:noProof/>
          <w:lang w:val="es-CO"/>
        </w:rPr>
        <mc:AlternateContent>
          <mc:Choice Requires="wps">
            <w:drawing>
              <wp:anchor distT="0" distB="0" distL="114300" distR="114300" simplePos="0" relativeHeight="251659264" behindDoc="0" locked="0" layoutInCell="1" allowOverlap="1" wp14:anchorId="188B94D4" wp14:editId="3DD9561E">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E72EB9A"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45FDD70C" w14:textId="77777777" w:rsidR="00904CD9" w:rsidRPr="00BB0056" w:rsidRDefault="00904CD9" w:rsidP="00904CD9">
      <w:pPr>
        <w:rPr>
          <w:rFonts w:ascii="Arial" w:eastAsia="Times New Roman" w:hAnsi="Arial" w:cs="Arial"/>
          <w:sz w:val="22"/>
          <w:lang w:val="es-CO" w:eastAsia="es-CO"/>
        </w:rPr>
      </w:pPr>
      <w:r w:rsidRPr="00BB0056">
        <w:rPr>
          <w:rFonts w:ascii="Arial" w:eastAsia="Times New Roman" w:hAnsi="Arial" w:cs="Arial"/>
          <w:sz w:val="22"/>
          <w:lang w:val="es-CO" w:eastAsia="es-CO"/>
        </w:rPr>
        <w:t>Atentamente,</w:t>
      </w:r>
    </w:p>
    <w:p w14:paraId="362FBE17" w14:textId="77777777" w:rsidR="00904CD9" w:rsidRPr="00BB0056" w:rsidRDefault="00904CD9" w:rsidP="00904CD9">
      <w:pPr>
        <w:rPr>
          <w:rFonts w:ascii="Arial" w:eastAsia="Times New Roman" w:hAnsi="Arial" w:cs="Arial"/>
          <w:sz w:val="22"/>
          <w:lang w:val="es-CO" w:eastAsia="es-CO"/>
        </w:rPr>
      </w:pPr>
    </w:p>
    <w:p w14:paraId="609C4887" w14:textId="5E206A88" w:rsidR="00904CD9" w:rsidRPr="00BB0056" w:rsidRDefault="00083BE4" w:rsidP="00904CD9">
      <w:pPr>
        <w:jc w:val="center"/>
        <w:rPr>
          <w:rFonts w:ascii="Arial" w:eastAsia="Times New Roman" w:hAnsi="Arial" w:cs="Arial"/>
          <w:sz w:val="22"/>
          <w:lang w:val="es-CO" w:eastAsia="es-CO"/>
        </w:rPr>
      </w:pPr>
      <w:r>
        <w:rPr>
          <w:noProof/>
        </w:rPr>
        <w:drawing>
          <wp:inline distT="0" distB="0" distL="0" distR="0" wp14:anchorId="1CA3D2D4" wp14:editId="53DBC650">
            <wp:extent cx="2514600" cy="1114425"/>
            <wp:effectExtent l="0" t="0" r="0" b="9525"/>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stretch>
                      <a:fillRect/>
                    </a:stretch>
                  </pic:blipFill>
                  <pic:spPr>
                    <a:xfrm>
                      <a:off x="0" y="0"/>
                      <a:ext cx="2514600" cy="1114425"/>
                    </a:xfrm>
                    <a:prstGeom prst="rect">
                      <a:avLst/>
                    </a:prstGeom>
                  </pic:spPr>
                </pic:pic>
              </a:graphicData>
            </a:graphic>
          </wp:inline>
        </w:drawing>
      </w:r>
      <w:r w:rsidR="00904CD9" w:rsidRPr="00BB0056">
        <w:rPr>
          <w:noProof/>
          <w:lang w:val="es-CO"/>
        </w:rPr>
        <w:t xml:space="preserve"> </w:t>
      </w:r>
    </w:p>
    <w:p w14:paraId="66974A84" w14:textId="77777777" w:rsidR="00904CD9" w:rsidRPr="00BB0056" w:rsidRDefault="00904CD9" w:rsidP="00904CD9">
      <w:pPr>
        <w:rPr>
          <w:rFonts w:ascii="Arial" w:eastAsia="Times New Roman" w:hAnsi="Arial" w:cs="Arial"/>
          <w:sz w:val="22"/>
          <w:lang w:val="es-CO" w:eastAsia="es-CO"/>
        </w:rPr>
      </w:pPr>
    </w:p>
    <w:p w14:paraId="5512A43C" w14:textId="77777777" w:rsidR="00904CD9" w:rsidRPr="00BB0056" w:rsidRDefault="00904CD9" w:rsidP="00904CD9">
      <w:pPr>
        <w:jc w:val="center"/>
        <w:rPr>
          <w:rFonts w:ascii="Arial" w:eastAsia="Times New Roman" w:hAnsi="Arial" w:cs="Arial"/>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04CD9" w:rsidRPr="00BB0056" w14:paraId="2464DB35" w14:textId="77777777" w:rsidTr="00C67675">
        <w:trPr>
          <w:trHeight w:val="315"/>
        </w:trPr>
        <w:tc>
          <w:tcPr>
            <w:tcW w:w="488" w:type="dxa"/>
            <w:vAlign w:val="center"/>
            <w:hideMark/>
          </w:tcPr>
          <w:p w14:paraId="47337C6B"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1D3900EC"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 xml:space="preserve">Juan David Montoya Penagos </w:t>
            </w:r>
          </w:p>
          <w:p w14:paraId="2EE50E5D"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Gestor T1-15 de la Subdirección de Gestión Contractual</w:t>
            </w:r>
          </w:p>
        </w:tc>
      </w:tr>
      <w:tr w:rsidR="00904CD9" w:rsidRPr="00BB0056" w14:paraId="29969DA1" w14:textId="77777777" w:rsidTr="00C67675">
        <w:trPr>
          <w:trHeight w:val="330"/>
        </w:trPr>
        <w:tc>
          <w:tcPr>
            <w:tcW w:w="488" w:type="dxa"/>
            <w:vAlign w:val="center"/>
            <w:hideMark/>
          </w:tcPr>
          <w:p w14:paraId="4C3A366D"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AE62EDF" w14:textId="77777777" w:rsidR="000F6869" w:rsidRPr="00BB0056" w:rsidRDefault="000F6869" w:rsidP="000F6869">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Jorge Augusto Tirado Navarro</w:t>
            </w:r>
          </w:p>
          <w:p w14:paraId="69241DC2" w14:textId="5994962C" w:rsidR="00B243F7" w:rsidRPr="00FF4A64" w:rsidRDefault="000F6869" w:rsidP="000F6869">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Subdirector de Gestión Contractual</w:t>
            </w:r>
            <w:r>
              <w:rPr>
                <w:rFonts w:ascii="Arial" w:eastAsia="Times New Roman" w:hAnsi="Arial" w:cs="Arial"/>
                <w:sz w:val="16"/>
                <w:szCs w:val="16"/>
                <w:lang w:val="es-CO" w:eastAsia="es-ES"/>
              </w:rPr>
              <w:t xml:space="preserve"> ANCP – CCE</w:t>
            </w:r>
            <w:r w:rsidR="00B243F7" w:rsidRPr="002429B4">
              <w:rPr>
                <w:rFonts w:ascii="Arial" w:eastAsia="Times New Roman" w:hAnsi="Arial" w:cs="Arial"/>
                <w:sz w:val="14"/>
                <w:szCs w:val="14"/>
                <w:lang w:eastAsia="es-ES"/>
              </w:rPr>
              <w:t xml:space="preserve"> </w:t>
            </w:r>
          </w:p>
        </w:tc>
      </w:tr>
      <w:tr w:rsidR="00904CD9" w:rsidRPr="00BB0056" w14:paraId="7602497E" w14:textId="77777777" w:rsidTr="00C67675">
        <w:trPr>
          <w:trHeight w:val="300"/>
        </w:trPr>
        <w:tc>
          <w:tcPr>
            <w:tcW w:w="488" w:type="dxa"/>
            <w:vAlign w:val="center"/>
            <w:hideMark/>
          </w:tcPr>
          <w:p w14:paraId="1229F086"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FCFFA5"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Jorge Augusto Tirado Navarro</w:t>
            </w:r>
          </w:p>
          <w:p w14:paraId="1DE85B46" w14:textId="7E9D2E4D"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Subdirector de Gestión Contractual</w:t>
            </w:r>
            <w:r w:rsidR="00720966">
              <w:rPr>
                <w:rFonts w:ascii="Arial" w:eastAsia="Times New Roman" w:hAnsi="Arial" w:cs="Arial"/>
                <w:sz w:val="16"/>
                <w:szCs w:val="16"/>
                <w:lang w:val="es-CO" w:eastAsia="es-ES"/>
              </w:rPr>
              <w:t xml:space="preserve"> ANCP – CCE</w:t>
            </w:r>
          </w:p>
        </w:tc>
      </w:tr>
    </w:tbl>
    <w:p w14:paraId="50CA6866" w14:textId="77777777" w:rsidR="00904CD9" w:rsidRPr="00BB0056" w:rsidRDefault="00904CD9" w:rsidP="00904CD9">
      <w:pPr>
        <w:jc w:val="both"/>
        <w:rPr>
          <w:rFonts w:ascii="Arial" w:eastAsia="Calibri" w:hAnsi="Arial" w:cs="Arial"/>
          <w:sz w:val="22"/>
          <w:lang w:val="es-CO"/>
        </w:rPr>
      </w:pPr>
    </w:p>
    <w:p w14:paraId="0013F430" w14:textId="77777777" w:rsidR="00904CD9" w:rsidRPr="00BB0056" w:rsidRDefault="00904CD9" w:rsidP="00904CD9">
      <w:pPr>
        <w:rPr>
          <w:lang w:val="es-CO"/>
        </w:rPr>
      </w:pPr>
    </w:p>
    <w:p w14:paraId="7EBF297E" w14:textId="77777777" w:rsidR="007B0854" w:rsidRPr="00904CD9" w:rsidRDefault="007B0854" w:rsidP="00904CD9"/>
    <w:sectPr w:rsidR="007B0854" w:rsidRPr="00904CD9"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DECD31" w14:textId="77777777" w:rsidR="00782DC1" w:rsidRDefault="00782DC1">
      <w:r>
        <w:separator/>
      </w:r>
    </w:p>
  </w:endnote>
  <w:endnote w:type="continuationSeparator" w:id="0">
    <w:p w14:paraId="5288D222" w14:textId="77777777" w:rsidR="00782DC1" w:rsidRDefault="00782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A8D1CB" w14:textId="1AB2AE8F" w:rsidR="00C67675" w:rsidRDefault="00C67675" w:rsidP="00B6444C">
    <w:pPr>
      <w:pStyle w:val="Sinespaciado"/>
      <w:rPr>
        <w:rFonts w:ascii="Arial" w:hAnsi="Arial" w:cs="Arial"/>
        <w:sz w:val="18"/>
        <w:szCs w:val="18"/>
      </w:rPr>
    </w:pPr>
  </w:p>
  <w:p w14:paraId="53DF6B5B" w14:textId="77777777" w:rsidR="00C67675" w:rsidRDefault="00C67675" w:rsidP="00B6444C">
    <w:pPr>
      <w:pStyle w:val="Sinespaciado"/>
      <w:rPr>
        <w:rFonts w:ascii="Arial" w:hAnsi="Arial" w:cs="Arial"/>
        <w:sz w:val="18"/>
        <w:szCs w:val="18"/>
      </w:rPr>
    </w:pPr>
  </w:p>
  <w:p w14:paraId="312C4A14" w14:textId="6A24D930" w:rsidR="00C67675" w:rsidRPr="005A79FE" w:rsidRDefault="00C67675"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4A5E79D2" w:rsidR="00C67675" w:rsidRDefault="00C67675" w:rsidP="007B0854">
    <w:pPr>
      <w:pStyle w:val="Piedepgina"/>
      <w:jc w:val="center"/>
      <w:rPr>
        <w:lang w:val="es-ES"/>
      </w:rPr>
    </w:pPr>
    <w:r>
      <w:rPr>
        <w:noProof/>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C67675" w:rsidRDefault="00C67675" w:rsidP="007B0854">
    <w:pPr>
      <w:pStyle w:val="Piedepgina"/>
      <w:jc w:val="center"/>
      <w:rPr>
        <w:lang w:val="es-ES"/>
      </w:rPr>
    </w:pPr>
  </w:p>
  <w:p w14:paraId="645768A8" w14:textId="77777777" w:rsidR="00C67675" w:rsidRPr="007B0854" w:rsidRDefault="00C67675"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3A86A2" w14:textId="77777777" w:rsidR="00782DC1" w:rsidRDefault="00782DC1">
      <w:r>
        <w:separator/>
      </w:r>
    </w:p>
  </w:footnote>
  <w:footnote w:type="continuationSeparator" w:id="0">
    <w:p w14:paraId="5E7AC674" w14:textId="77777777" w:rsidR="00782DC1" w:rsidRDefault="00782DC1">
      <w:r>
        <w:continuationSeparator/>
      </w:r>
    </w:p>
  </w:footnote>
  <w:footnote w:id="1">
    <w:p w14:paraId="23370AD6" w14:textId="77777777" w:rsidR="00990612" w:rsidRPr="00E467AF" w:rsidRDefault="00990612" w:rsidP="00990612">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Código Civil: «Articulo 1551. Definición de plazo. El plazo es la época que se fija para el cumplimiento de la obligación; puede ser expreso o tácito. Es tácito, el indispensable para cumplirlo.</w:t>
      </w:r>
    </w:p>
    <w:p w14:paraId="11A772FC" w14:textId="77777777" w:rsidR="00990612" w:rsidRDefault="00990612" w:rsidP="00990612">
      <w:pPr>
        <w:pStyle w:val="Textonotapie"/>
        <w:ind w:firstLine="709"/>
        <w:jc w:val="both"/>
        <w:rPr>
          <w:rFonts w:ascii="Arial" w:hAnsi="Arial" w:cs="Arial"/>
          <w:sz w:val="19"/>
          <w:szCs w:val="19"/>
        </w:rPr>
      </w:pPr>
      <w:proofErr w:type="gramStart"/>
      <w:r w:rsidRPr="00E467AF">
        <w:rPr>
          <w:rFonts w:ascii="Arial" w:hAnsi="Arial" w:cs="Arial"/>
          <w:sz w:val="19"/>
          <w:szCs w:val="19"/>
        </w:rPr>
        <w:t>»No</w:t>
      </w:r>
      <w:proofErr w:type="gramEnd"/>
      <w:r w:rsidRPr="00E467AF">
        <w:rPr>
          <w:rFonts w:ascii="Arial" w:hAnsi="Arial" w:cs="Arial"/>
          <w:sz w:val="19"/>
          <w:szCs w:val="19"/>
        </w:rPr>
        <w:t xml:space="preserve"> podrá el juez, sino en casos especiales que las leyes designe, señalar plazo para el cumplimiento de una obligación; solo podrá interpretar el concebido en términos vagos u oscuros, sobre cuya inteligencia y aplicación discuerden las partes».</w:t>
      </w:r>
    </w:p>
    <w:p w14:paraId="5FF2ECB6" w14:textId="77777777" w:rsidR="00990612" w:rsidRPr="004F025C" w:rsidRDefault="00990612" w:rsidP="00990612">
      <w:pPr>
        <w:pStyle w:val="Textonotapie"/>
        <w:ind w:firstLine="709"/>
        <w:jc w:val="both"/>
        <w:rPr>
          <w:rFonts w:ascii="Arial" w:hAnsi="Arial" w:cs="Arial"/>
          <w:sz w:val="19"/>
          <w:szCs w:val="19"/>
        </w:rPr>
      </w:pPr>
    </w:p>
  </w:footnote>
  <w:footnote w:id="2">
    <w:p w14:paraId="056FE0AE" w14:textId="77777777" w:rsidR="00990612" w:rsidRDefault="00990612" w:rsidP="00990612">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OSPINA FERNÁNDEZ, Guillermo. Régimen General de las Obligaciones. Editorial Temis S.A., reimpresión de la octava edición, Bogotá, 2008. p. 218 y 219.</w:t>
      </w:r>
    </w:p>
    <w:p w14:paraId="300B2F88" w14:textId="77777777" w:rsidR="00990612" w:rsidRPr="00E467AF" w:rsidRDefault="00990612" w:rsidP="00990612">
      <w:pPr>
        <w:pStyle w:val="Textonotapie"/>
        <w:ind w:firstLine="709"/>
        <w:jc w:val="both"/>
        <w:rPr>
          <w:rFonts w:ascii="Arial" w:hAnsi="Arial" w:cs="Arial"/>
          <w:sz w:val="19"/>
          <w:szCs w:val="19"/>
          <w:lang w:val="es-CO"/>
        </w:rPr>
      </w:pPr>
    </w:p>
  </w:footnote>
  <w:footnote w:id="3">
    <w:p w14:paraId="382B305A" w14:textId="77777777" w:rsidR="00990612" w:rsidRDefault="00990612" w:rsidP="00990612">
      <w:pPr>
        <w:pStyle w:val="Textonotapie"/>
        <w:ind w:firstLine="708"/>
        <w:jc w:val="both"/>
        <w:rPr>
          <w:rFonts w:ascii="Arial" w:hAnsi="Arial" w:cs="Arial"/>
          <w:sz w:val="19"/>
          <w:szCs w:val="19"/>
        </w:rPr>
      </w:pPr>
      <w:r w:rsidRPr="00EF7A17">
        <w:rPr>
          <w:rStyle w:val="Refdenotaalpie"/>
          <w:rFonts w:ascii="Arial" w:hAnsi="Arial" w:cs="Arial"/>
          <w:sz w:val="19"/>
          <w:szCs w:val="19"/>
        </w:rPr>
        <w:footnoteRef/>
      </w:r>
      <w:r w:rsidRPr="00EF7A17">
        <w:rPr>
          <w:rFonts w:ascii="Arial" w:hAnsi="Arial" w:cs="Arial"/>
          <w:sz w:val="19"/>
          <w:szCs w:val="19"/>
        </w:rPr>
        <w:t xml:space="preserve"> </w:t>
      </w:r>
      <w:r>
        <w:rPr>
          <w:rFonts w:ascii="Arial" w:hAnsi="Arial" w:cs="Arial"/>
          <w:sz w:val="19"/>
          <w:szCs w:val="19"/>
        </w:rPr>
        <w:t xml:space="preserve">FUEYO LANERI, Fernando. Derecho civil: de las obligaciones. Tomo IV. Volumen I. Santiago de Chile: </w:t>
      </w:r>
      <w:r w:rsidRPr="00EF7A17">
        <w:rPr>
          <w:rFonts w:ascii="Arial" w:hAnsi="Arial" w:cs="Arial"/>
          <w:sz w:val="19"/>
          <w:szCs w:val="19"/>
        </w:rPr>
        <w:t>Roberts y Cía. Ltda</w:t>
      </w:r>
      <w:r>
        <w:rPr>
          <w:rFonts w:ascii="Arial" w:hAnsi="Arial" w:cs="Arial"/>
          <w:sz w:val="19"/>
          <w:szCs w:val="19"/>
        </w:rPr>
        <w:t>., 1958. p. 152.</w:t>
      </w:r>
    </w:p>
    <w:p w14:paraId="6BEAAC28" w14:textId="77777777" w:rsidR="00990612" w:rsidRPr="004F025C" w:rsidRDefault="00990612" w:rsidP="00990612">
      <w:pPr>
        <w:pStyle w:val="Textonotapie"/>
        <w:ind w:firstLine="708"/>
        <w:jc w:val="both"/>
        <w:rPr>
          <w:rFonts w:ascii="Arial" w:hAnsi="Arial" w:cs="Arial"/>
          <w:sz w:val="19"/>
          <w:szCs w:val="19"/>
        </w:rPr>
      </w:pPr>
    </w:p>
  </w:footnote>
  <w:footnote w:id="4">
    <w:p w14:paraId="24DB74F7" w14:textId="77777777" w:rsidR="00990612" w:rsidRDefault="00990612" w:rsidP="00990612">
      <w:pPr>
        <w:pStyle w:val="Textonotapie"/>
        <w:ind w:firstLine="708"/>
        <w:jc w:val="both"/>
        <w:rPr>
          <w:rFonts w:ascii="Arial" w:hAnsi="Arial" w:cs="Arial"/>
          <w:sz w:val="19"/>
          <w:szCs w:val="19"/>
        </w:rPr>
      </w:pPr>
      <w:r w:rsidRPr="009D07C2">
        <w:rPr>
          <w:rStyle w:val="Refdenotaalpie"/>
          <w:rFonts w:ascii="Arial" w:hAnsi="Arial" w:cs="Arial"/>
          <w:sz w:val="19"/>
          <w:szCs w:val="19"/>
        </w:rPr>
        <w:footnoteRef/>
      </w:r>
      <w:r w:rsidRPr="009D07C2">
        <w:rPr>
          <w:rFonts w:ascii="Arial" w:hAnsi="Arial" w:cs="Arial"/>
          <w:sz w:val="19"/>
          <w:szCs w:val="19"/>
        </w:rPr>
        <w:t xml:space="preserve"> </w:t>
      </w:r>
      <w:r>
        <w:rPr>
          <w:rFonts w:ascii="Arial" w:hAnsi="Arial" w:cs="Arial"/>
          <w:sz w:val="19"/>
          <w:szCs w:val="19"/>
        </w:rPr>
        <w:t xml:space="preserve">La doctrina explica lo siguiente: «Cuando se da un plazo para que se extinga un derecho, es claro que la obligación nace pura y simple frente al acreedor, pero al llegar el plazo se le extingue su derecho, que es el que en verdad está </w:t>
      </w:r>
      <w:proofErr w:type="spellStart"/>
      <w:r>
        <w:rPr>
          <w:rFonts w:ascii="Arial" w:hAnsi="Arial" w:cs="Arial"/>
          <w:sz w:val="19"/>
          <w:szCs w:val="19"/>
        </w:rPr>
        <w:t>modalizado</w:t>
      </w:r>
      <w:proofErr w:type="spellEnd"/>
      <w:r>
        <w:rPr>
          <w:rFonts w:ascii="Arial" w:hAnsi="Arial" w:cs="Arial"/>
          <w:sz w:val="19"/>
          <w:szCs w:val="19"/>
        </w:rPr>
        <w:t xml:space="preserve">. Así, si alguien se obliga a entregar en arrendamiento un animal hasta el día treinta de cierto mes, su obligación es pura y simple. La fecha estará determinando la extinción del derecho del arrendatario. Pero, igualmente, el plazo extintivo, correlativamente, extingue la obligación, que para el caso es la que contrajo el arrendador de entregar la cosa y permitir el goce por parte del arrendatario. Y así como se extingue el derecho el derecho al goce del arrendatario y la obligación del arrendador de concederlo, también se extingue la obligación de pagar y derecho del arrendador a cobrar. Tomo ello como consecuencia de la extinción del contrato (art. 2008-2), lo que indica que el plazo extintivo es también una causal de extinción de los contratos […]» (VELÁSQUEZ GOMÉZ, Hernán Darío. Estudio sobre las obligaciones. Bogotá: Temis, 2010. p. 137).    </w:t>
      </w:r>
    </w:p>
    <w:p w14:paraId="1222FA14" w14:textId="77777777" w:rsidR="00990612" w:rsidRPr="009D07C2" w:rsidRDefault="00990612" w:rsidP="00990612">
      <w:pPr>
        <w:pStyle w:val="Textonotapie"/>
        <w:ind w:firstLine="708"/>
        <w:jc w:val="both"/>
        <w:rPr>
          <w:rFonts w:ascii="Arial" w:hAnsi="Arial" w:cs="Arial"/>
          <w:sz w:val="19"/>
          <w:szCs w:val="19"/>
          <w:lang w:val="es-ES"/>
        </w:rPr>
      </w:pPr>
      <w:r>
        <w:rPr>
          <w:rFonts w:ascii="Arial" w:hAnsi="Arial" w:cs="Arial"/>
          <w:sz w:val="19"/>
          <w:szCs w:val="19"/>
        </w:rPr>
        <w:t xml:space="preserve">    </w:t>
      </w:r>
    </w:p>
  </w:footnote>
  <w:footnote w:id="5">
    <w:p w14:paraId="62E09CA4" w14:textId="77777777" w:rsidR="00990612" w:rsidRDefault="00990612" w:rsidP="00990612">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CONSEJO DE ESTADO. Sección Tercera. Subsección C. Sentencia del 13 de febrero de 2015. </w:t>
      </w:r>
      <w:proofErr w:type="spellStart"/>
      <w:r w:rsidRPr="00E467AF">
        <w:rPr>
          <w:rFonts w:ascii="Arial" w:hAnsi="Arial" w:cs="Arial"/>
          <w:sz w:val="19"/>
          <w:szCs w:val="19"/>
        </w:rPr>
        <w:t>Exp</w:t>
      </w:r>
      <w:proofErr w:type="spellEnd"/>
      <w:r w:rsidRPr="00E467AF">
        <w:rPr>
          <w:rFonts w:ascii="Arial" w:hAnsi="Arial" w:cs="Arial"/>
          <w:sz w:val="19"/>
          <w:szCs w:val="19"/>
        </w:rPr>
        <w:t xml:space="preserve">. 26.938 C.P. Olga Mélida Valle De </w:t>
      </w:r>
      <w:proofErr w:type="spellStart"/>
      <w:r w:rsidRPr="00E467AF">
        <w:rPr>
          <w:rFonts w:ascii="Arial" w:hAnsi="Arial" w:cs="Arial"/>
          <w:sz w:val="19"/>
          <w:szCs w:val="19"/>
        </w:rPr>
        <w:t>De</w:t>
      </w:r>
      <w:proofErr w:type="spellEnd"/>
      <w:r w:rsidRPr="00E467AF">
        <w:rPr>
          <w:rFonts w:ascii="Arial" w:hAnsi="Arial" w:cs="Arial"/>
          <w:sz w:val="19"/>
          <w:szCs w:val="19"/>
        </w:rPr>
        <w:t xml:space="preserve"> la Hoz (E).</w:t>
      </w:r>
    </w:p>
    <w:p w14:paraId="5DE63570" w14:textId="77777777" w:rsidR="00990612" w:rsidRPr="00E467AF" w:rsidRDefault="00990612" w:rsidP="00990612">
      <w:pPr>
        <w:pStyle w:val="Textonotapie"/>
        <w:ind w:firstLine="709"/>
        <w:jc w:val="both"/>
        <w:rPr>
          <w:rFonts w:ascii="Arial" w:hAnsi="Arial" w:cs="Arial"/>
          <w:sz w:val="19"/>
          <w:szCs w:val="19"/>
          <w:lang w:val="es-CO"/>
        </w:rPr>
      </w:pPr>
    </w:p>
  </w:footnote>
  <w:footnote w:id="6">
    <w:p w14:paraId="639CFF2C" w14:textId="77777777" w:rsidR="00990612" w:rsidRPr="00E467AF" w:rsidRDefault="00990612" w:rsidP="00990612">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Código Civil: Articulo 1552.</w:t>
      </w:r>
    </w:p>
    <w:p w14:paraId="18F633FF" w14:textId="77777777" w:rsidR="00990612" w:rsidRPr="00E467AF" w:rsidRDefault="00990612" w:rsidP="00990612">
      <w:pPr>
        <w:pStyle w:val="Textonotapie"/>
        <w:ind w:firstLine="709"/>
        <w:jc w:val="both"/>
        <w:rPr>
          <w:rFonts w:ascii="Arial" w:hAnsi="Arial" w:cs="Arial"/>
          <w:sz w:val="19"/>
          <w:szCs w:val="19"/>
        </w:rPr>
      </w:pPr>
    </w:p>
  </w:footnote>
  <w:footnote w:id="7">
    <w:p w14:paraId="38357E87" w14:textId="77777777" w:rsidR="00990612" w:rsidRDefault="00990612" w:rsidP="00990612">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OSPINA FERNÁNDEZ, </w:t>
      </w:r>
      <w:proofErr w:type="spellStart"/>
      <w:r w:rsidRPr="00E467AF">
        <w:rPr>
          <w:rFonts w:ascii="Arial" w:hAnsi="Arial" w:cs="Arial"/>
          <w:sz w:val="19"/>
          <w:szCs w:val="19"/>
        </w:rPr>
        <w:t>Op</w:t>
      </w:r>
      <w:proofErr w:type="spellEnd"/>
      <w:r w:rsidRPr="00E467AF">
        <w:rPr>
          <w:rFonts w:ascii="Arial" w:hAnsi="Arial" w:cs="Arial"/>
          <w:sz w:val="19"/>
          <w:szCs w:val="19"/>
        </w:rPr>
        <w:t>.</w:t>
      </w:r>
      <w:r>
        <w:rPr>
          <w:rFonts w:ascii="Arial" w:hAnsi="Arial" w:cs="Arial"/>
          <w:sz w:val="19"/>
          <w:szCs w:val="19"/>
        </w:rPr>
        <w:t xml:space="preserve"> C</w:t>
      </w:r>
      <w:r w:rsidRPr="00E467AF">
        <w:rPr>
          <w:rFonts w:ascii="Arial" w:hAnsi="Arial" w:cs="Arial"/>
          <w:sz w:val="19"/>
          <w:szCs w:val="19"/>
        </w:rPr>
        <w:t>it., p. 220 y 221.</w:t>
      </w:r>
    </w:p>
    <w:p w14:paraId="7743C00E" w14:textId="77777777" w:rsidR="00990612" w:rsidRPr="004F025C" w:rsidRDefault="00990612" w:rsidP="00990612">
      <w:pPr>
        <w:pStyle w:val="Textonotapie"/>
        <w:ind w:firstLine="709"/>
        <w:jc w:val="both"/>
        <w:rPr>
          <w:rFonts w:ascii="Arial" w:hAnsi="Arial" w:cs="Arial"/>
          <w:sz w:val="19"/>
          <w:szCs w:val="19"/>
        </w:rPr>
      </w:pPr>
    </w:p>
  </w:footnote>
  <w:footnote w:id="8">
    <w:p w14:paraId="7D2BD012" w14:textId="77777777" w:rsidR="00990612" w:rsidRPr="00E467AF" w:rsidRDefault="00990612" w:rsidP="00990612">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CONSEJO DE ESTADO. Sección </w:t>
      </w:r>
      <w:r>
        <w:rPr>
          <w:rFonts w:ascii="Arial" w:hAnsi="Arial" w:cs="Arial"/>
          <w:sz w:val="19"/>
          <w:szCs w:val="19"/>
        </w:rPr>
        <w:t>T</w:t>
      </w:r>
      <w:r w:rsidRPr="00E467AF">
        <w:rPr>
          <w:rFonts w:ascii="Arial" w:hAnsi="Arial" w:cs="Arial"/>
          <w:sz w:val="19"/>
          <w:szCs w:val="19"/>
        </w:rPr>
        <w:t xml:space="preserve">ercera. Sentencia del 29 de julio de 2015. </w:t>
      </w:r>
      <w:proofErr w:type="spellStart"/>
      <w:r w:rsidRPr="00E467AF">
        <w:rPr>
          <w:rFonts w:ascii="Arial" w:hAnsi="Arial" w:cs="Arial"/>
          <w:sz w:val="19"/>
          <w:szCs w:val="19"/>
        </w:rPr>
        <w:t>Exp</w:t>
      </w:r>
      <w:proofErr w:type="spellEnd"/>
      <w:r w:rsidRPr="00E467AF">
        <w:rPr>
          <w:rFonts w:ascii="Arial" w:hAnsi="Arial" w:cs="Arial"/>
          <w:sz w:val="19"/>
          <w:szCs w:val="19"/>
        </w:rPr>
        <w:t>. 42.494. C.P. Jaime Orlando Santofimio Gamboa.</w:t>
      </w:r>
    </w:p>
    <w:p w14:paraId="14DA2D77" w14:textId="77777777" w:rsidR="00990612" w:rsidRPr="00E467AF" w:rsidRDefault="00990612" w:rsidP="00990612">
      <w:pPr>
        <w:pStyle w:val="Textonotapie"/>
        <w:ind w:firstLine="709"/>
        <w:jc w:val="both"/>
        <w:rPr>
          <w:rFonts w:ascii="Arial" w:hAnsi="Arial" w:cs="Arial"/>
          <w:sz w:val="19"/>
          <w:szCs w:val="19"/>
          <w:lang w:val="es-CO"/>
        </w:rPr>
      </w:pPr>
    </w:p>
  </w:footnote>
  <w:footnote w:id="9">
    <w:p w14:paraId="110EE980" w14:textId="77777777" w:rsidR="00990612" w:rsidRDefault="00990612" w:rsidP="00990612">
      <w:pPr>
        <w:pStyle w:val="Textonotapie"/>
        <w:ind w:firstLine="709"/>
        <w:jc w:val="both"/>
        <w:rPr>
          <w:rFonts w:ascii="Arial" w:hAnsi="Arial" w:cs="Arial"/>
          <w:sz w:val="19"/>
          <w:szCs w:val="19"/>
        </w:rPr>
      </w:pPr>
      <w:r w:rsidRPr="00E814EC">
        <w:rPr>
          <w:rStyle w:val="Refdenotaalpie"/>
          <w:rFonts w:ascii="Arial" w:hAnsi="Arial" w:cs="Arial"/>
          <w:sz w:val="19"/>
          <w:szCs w:val="19"/>
        </w:rPr>
        <w:footnoteRef/>
      </w:r>
      <w:r w:rsidRPr="00E814EC">
        <w:rPr>
          <w:rFonts w:ascii="Arial" w:hAnsi="Arial" w:cs="Arial"/>
          <w:sz w:val="19"/>
          <w:szCs w:val="19"/>
        </w:rPr>
        <w:t xml:space="preserve"> </w:t>
      </w:r>
      <w:r w:rsidRPr="00E467AF">
        <w:rPr>
          <w:rFonts w:ascii="Arial" w:hAnsi="Arial" w:cs="Arial"/>
          <w:sz w:val="19"/>
          <w:szCs w:val="19"/>
        </w:rPr>
        <w:t xml:space="preserve">CONSEJO DE ESTADO. Sección </w:t>
      </w:r>
      <w:r>
        <w:rPr>
          <w:rFonts w:ascii="Arial" w:hAnsi="Arial" w:cs="Arial"/>
          <w:sz w:val="19"/>
          <w:szCs w:val="19"/>
        </w:rPr>
        <w:t>T</w:t>
      </w:r>
      <w:r w:rsidRPr="00E467AF">
        <w:rPr>
          <w:rFonts w:ascii="Arial" w:hAnsi="Arial" w:cs="Arial"/>
          <w:sz w:val="19"/>
          <w:szCs w:val="19"/>
        </w:rPr>
        <w:t xml:space="preserve">ercera. Sentencia del </w:t>
      </w:r>
      <w:r>
        <w:rPr>
          <w:rFonts w:ascii="Arial" w:hAnsi="Arial" w:cs="Arial"/>
          <w:sz w:val="19"/>
          <w:szCs w:val="19"/>
        </w:rPr>
        <w:t>13 de septiembre de 1999</w:t>
      </w:r>
      <w:r w:rsidRPr="00E467AF">
        <w:rPr>
          <w:rFonts w:ascii="Arial" w:hAnsi="Arial" w:cs="Arial"/>
          <w:sz w:val="19"/>
          <w:szCs w:val="19"/>
        </w:rPr>
        <w:t xml:space="preserve">. </w:t>
      </w:r>
      <w:proofErr w:type="spellStart"/>
      <w:r w:rsidRPr="00E467AF">
        <w:rPr>
          <w:rFonts w:ascii="Arial" w:hAnsi="Arial" w:cs="Arial"/>
          <w:sz w:val="19"/>
          <w:szCs w:val="19"/>
        </w:rPr>
        <w:t>Exp</w:t>
      </w:r>
      <w:proofErr w:type="spellEnd"/>
      <w:r w:rsidRPr="00E467AF">
        <w:rPr>
          <w:rFonts w:ascii="Arial" w:hAnsi="Arial" w:cs="Arial"/>
          <w:sz w:val="19"/>
          <w:szCs w:val="19"/>
        </w:rPr>
        <w:t xml:space="preserve">. </w:t>
      </w:r>
      <w:r>
        <w:rPr>
          <w:rFonts w:ascii="Arial" w:hAnsi="Arial" w:cs="Arial"/>
          <w:sz w:val="19"/>
          <w:szCs w:val="19"/>
        </w:rPr>
        <w:t>10.264</w:t>
      </w:r>
      <w:r w:rsidRPr="00E467AF">
        <w:rPr>
          <w:rFonts w:ascii="Arial" w:hAnsi="Arial" w:cs="Arial"/>
          <w:sz w:val="19"/>
          <w:szCs w:val="19"/>
        </w:rPr>
        <w:t xml:space="preserve">. C.P. </w:t>
      </w:r>
      <w:r w:rsidRPr="00E814EC">
        <w:rPr>
          <w:rFonts w:ascii="Arial" w:hAnsi="Arial" w:cs="Arial"/>
          <w:sz w:val="19"/>
          <w:szCs w:val="19"/>
        </w:rPr>
        <w:t>Ricardo Hoyos Duque</w:t>
      </w:r>
      <w:r w:rsidRPr="00E467AF">
        <w:rPr>
          <w:rFonts w:ascii="Arial" w:hAnsi="Arial" w:cs="Arial"/>
          <w:sz w:val="19"/>
          <w:szCs w:val="19"/>
        </w:rPr>
        <w:t>.</w:t>
      </w:r>
    </w:p>
    <w:p w14:paraId="0420A0FB" w14:textId="77777777" w:rsidR="00990612" w:rsidRPr="004F025C" w:rsidRDefault="00990612" w:rsidP="00990612">
      <w:pPr>
        <w:pStyle w:val="Textonotapie"/>
        <w:ind w:firstLine="709"/>
        <w:jc w:val="both"/>
        <w:rPr>
          <w:rFonts w:ascii="Arial" w:hAnsi="Arial" w:cs="Arial"/>
          <w:sz w:val="19"/>
          <w:szCs w:val="19"/>
        </w:rPr>
      </w:pPr>
    </w:p>
  </w:footnote>
  <w:footnote w:id="10">
    <w:p w14:paraId="72CC699D" w14:textId="77777777" w:rsidR="00990612" w:rsidRPr="007E46FC" w:rsidRDefault="00990612" w:rsidP="00990612">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7E46FC">
        <w:rPr>
          <w:rFonts w:ascii="Arial" w:eastAsia="Calibri" w:hAnsi="Arial" w:cs="Arial"/>
          <w:sz w:val="19"/>
          <w:szCs w:val="19"/>
          <w:lang w:val="es-ES_tradnl"/>
        </w:rPr>
        <w:t>El artículo 1625 del Código Civil dispone las formas de extinción de las obligaciones en los siguientes términos: «Toda obligación puede extinguirse por una convención en que las partes interesadas, siendo capaces de disponer libremente de lo suyo, consientan en darla por nula.</w:t>
      </w:r>
    </w:p>
    <w:p w14:paraId="26FCA13A" w14:textId="77777777" w:rsidR="00990612" w:rsidRPr="007E46FC" w:rsidRDefault="00990612" w:rsidP="00990612">
      <w:pPr>
        <w:pStyle w:val="Textonotapie"/>
        <w:ind w:firstLine="708"/>
        <w:jc w:val="both"/>
        <w:rPr>
          <w:rFonts w:ascii="Arial" w:eastAsia="Calibri" w:hAnsi="Arial" w:cs="Arial"/>
          <w:sz w:val="19"/>
          <w:szCs w:val="19"/>
          <w:lang w:val="es-ES_tradnl"/>
        </w:rPr>
      </w:pPr>
      <w:proofErr w:type="gramStart"/>
      <w:r w:rsidRPr="007E46FC">
        <w:rPr>
          <w:rFonts w:ascii="Arial" w:eastAsia="Calibri" w:hAnsi="Arial" w:cs="Arial"/>
          <w:sz w:val="19"/>
          <w:szCs w:val="19"/>
          <w:lang w:val="es-ES_tradnl"/>
        </w:rPr>
        <w:t>»Las</w:t>
      </w:r>
      <w:proofErr w:type="gramEnd"/>
      <w:r w:rsidRPr="007E46FC">
        <w:rPr>
          <w:rFonts w:ascii="Arial" w:eastAsia="Calibri" w:hAnsi="Arial" w:cs="Arial"/>
          <w:sz w:val="19"/>
          <w:szCs w:val="19"/>
          <w:lang w:val="es-ES_tradnl"/>
        </w:rPr>
        <w:t xml:space="preserve"> obligaciones se extinguen además en todo o en parte:</w:t>
      </w:r>
    </w:p>
    <w:p w14:paraId="44C1E4D8" w14:textId="77777777" w:rsidR="00990612" w:rsidRPr="007E46FC" w:rsidRDefault="00990612" w:rsidP="00990612">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»1o.) Por la solución o pago efectivo.</w:t>
      </w:r>
    </w:p>
    <w:p w14:paraId="5D7503D7" w14:textId="77777777" w:rsidR="00990612" w:rsidRPr="007E46FC" w:rsidRDefault="00990612" w:rsidP="00990612">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»2o.) Por la novación.</w:t>
      </w:r>
    </w:p>
    <w:p w14:paraId="6D2132FC" w14:textId="77777777" w:rsidR="00990612" w:rsidRPr="007E46FC" w:rsidRDefault="00990612" w:rsidP="00990612">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»3o.)  Por la transacción.</w:t>
      </w:r>
    </w:p>
    <w:p w14:paraId="2DADCC42" w14:textId="77777777" w:rsidR="00990612" w:rsidRPr="007E46FC" w:rsidRDefault="00990612" w:rsidP="00990612">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»4o.) Por la remisión.</w:t>
      </w:r>
    </w:p>
    <w:p w14:paraId="7F81CA3A" w14:textId="77777777" w:rsidR="00990612" w:rsidRPr="007E46FC" w:rsidRDefault="00990612" w:rsidP="00990612">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»5o.) Por la compensación.</w:t>
      </w:r>
    </w:p>
    <w:p w14:paraId="31381380" w14:textId="77777777" w:rsidR="00990612" w:rsidRPr="007E46FC" w:rsidRDefault="00990612" w:rsidP="00990612">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»6o.) Por la confusión.</w:t>
      </w:r>
    </w:p>
    <w:p w14:paraId="4F50D5DD" w14:textId="77777777" w:rsidR="00990612" w:rsidRPr="007E46FC" w:rsidRDefault="00990612" w:rsidP="00990612">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»7o.) Por la pérdida de la cosa que se debe.</w:t>
      </w:r>
    </w:p>
    <w:p w14:paraId="6B295A3F" w14:textId="77777777" w:rsidR="00990612" w:rsidRPr="007E46FC" w:rsidRDefault="00990612" w:rsidP="00990612">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»8o.) Por la declaración de nulidad o por la rescisión.</w:t>
      </w:r>
    </w:p>
    <w:p w14:paraId="2C78105C" w14:textId="77777777" w:rsidR="00990612" w:rsidRPr="007E46FC" w:rsidRDefault="00990612" w:rsidP="00990612">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»9o.) Por el evento de la condición resolutoria.</w:t>
      </w:r>
    </w:p>
    <w:p w14:paraId="15185B70" w14:textId="77777777" w:rsidR="00990612" w:rsidRPr="007E46FC" w:rsidRDefault="00990612" w:rsidP="00990612">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»10.) Por la prescripción</w:t>
      </w:r>
    </w:p>
    <w:p w14:paraId="62788C23" w14:textId="77777777" w:rsidR="00990612" w:rsidRDefault="00990612" w:rsidP="00990612">
      <w:pPr>
        <w:pStyle w:val="Textonotapie"/>
        <w:ind w:firstLine="708"/>
        <w:jc w:val="both"/>
        <w:rPr>
          <w:rFonts w:ascii="Arial" w:eastAsia="Calibri" w:hAnsi="Arial" w:cs="Arial"/>
          <w:sz w:val="19"/>
          <w:szCs w:val="19"/>
          <w:lang w:val="es-ES_tradnl"/>
        </w:rPr>
      </w:pPr>
      <w:proofErr w:type="gramStart"/>
      <w:r w:rsidRPr="007E46FC">
        <w:rPr>
          <w:rFonts w:ascii="Arial" w:eastAsia="Calibri" w:hAnsi="Arial" w:cs="Arial"/>
          <w:sz w:val="19"/>
          <w:szCs w:val="19"/>
          <w:lang w:val="es-ES_tradnl"/>
        </w:rPr>
        <w:t>»De</w:t>
      </w:r>
      <w:proofErr w:type="gramEnd"/>
      <w:r w:rsidRPr="007E46FC">
        <w:rPr>
          <w:rFonts w:ascii="Arial" w:eastAsia="Calibri" w:hAnsi="Arial" w:cs="Arial"/>
          <w:sz w:val="19"/>
          <w:szCs w:val="19"/>
          <w:lang w:val="es-ES_tradnl"/>
        </w:rPr>
        <w:t xml:space="preserve"> la transacción y la prescripción se tratará al fin de este libro; de la condición resolutoria se ha tratado en el título De las obligaciones condicionales».</w:t>
      </w:r>
    </w:p>
    <w:p w14:paraId="45A4FA40" w14:textId="77777777" w:rsidR="00990612" w:rsidRPr="007E46FC" w:rsidRDefault="00990612" w:rsidP="00990612">
      <w:pPr>
        <w:pStyle w:val="Textonotapie"/>
        <w:ind w:firstLine="708"/>
        <w:jc w:val="both"/>
        <w:rPr>
          <w:rFonts w:ascii="Arial" w:eastAsia="Calibri" w:hAnsi="Arial" w:cs="Arial"/>
          <w:sz w:val="19"/>
          <w:szCs w:val="19"/>
          <w:lang w:val="es-ES_tradnl"/>
        </w:rPr>
      </w:pPr>
    </w:p>
  </w:footnote>
  <w:footnote w:id="11">
    <w:p w14:paraId="6521336D" w14:textId="77777777" w:rsidR="00990612" w:rsidRDefault="00990612" w:rsidP="00990612">
      <w:pPr>
        <w:pStyle w:val="Textonotapie"/>
        <w:ind w:firstLine="708"/>
        <w:jc w:val="both"/>
        <w:rPr>
          <w:rFonts w:ascii="Arial" w:hAnsi="Arial" w:cs="Arial"/>
          <w:sz w:val="19"/>
          <w:szCs w:val="19"/>
        </w:rPr>
      </w:pPr>
      <w:r w:rsidRPr="002D7755">
        <w:rPr>
          <w:rStyle w:val="Refdenotaalpie"/>
          <w:rFonts w:ascii="Arial" w:hAnsi="Arial" w:cs="Arial"/>
          <w:sz w:val="19"/>
          <w:szCs w:val="19"/>
        </w:rPr>
        <w:footnoteRef/>
      </w:r>
      <w:r w:rsidRPr="002D7755">
        <w:rPr>
          <w:rFonts w:ascii="Arial" w:hAnsi="Arial" w:cs="Arial"/>
          <w:sz w:val="19"/>
          <w:szCs w:val="19"/>
        </w:rPr>
        <w:t xml:space="preserve"> </w:t>
      </w:r>
      <w:r w:rsidRPr="00E467AF">
        <w:rPr>
          <w:rFonts w:ascii="Arial" w:hAnsi="Arial" w:cs="Arial"/>
          <w:sz w:val="19"/>
          <w:szCs w:val="19"/>
        </w:rPr>
        <w:t xml:space="preserve">OSPINA FERNÁNDEZ, </w:t>
      </w:r>
      <w:proofErr w:type="spellStart"/>
      <w:r w:rsidRPr="00E467AF">
        <w:rPr>
          <w:rFonts w:ascii="Arial" w:hAnsi="Arial" w:cs="Arial"/>
          <w:sz w:val="19"/>
          <w:szCs w:val="19"/>
        </w:rPr>
        <w:t>Op</w:t>
      </w:r>
      <w:proofErr w:type="spellEnd"/>
      <w:r w:rsidRPr="00E467AF">
        <w:rPr>
          <w:rFonts w:ascii="Arial" w:hAnsi="Arial" w:cs="Arial"/>
          <w:sz w:val="19"/>
          <w:szCs w:val="19"/>
        </w:rPr>
        <w:t>.</w:t>
      </w:r>
      <w:r>
        <w:rPr>
          <w:rFonts w:ascii="Arial" w:hAnsi="Arial" w:cs="Arial"/>
          <w:sz w:val="19"/>
          <w:szCs w:val="19"/>
        </w:rPr>
        <w:t xml:space="preserve"> C</w:t>
      </w:r>
      <w:r w:rsidRPr="00E467AF">
        <w:rPr>
          <w:rFonts w:ascii="Arial" w:hAnsi="Arial" w:cs="Arial"/>
          <w:sz w:val="19"/>
          <w:szCs w:val="19"/>
        </w:rPr>
        <w:t>it., p.</w:t>
      </w:r>
      <w:r>
        <w:rPr>
          <w:rFonts w:ascii="Arial" w:hAnsi="Arial" w:cs="Arial"/>
          <w:sz w:val="19"/>
          <w:szCs w:val="19"/>
        </w:rPr>
        <w:t xml:space="preserve"> 312.</w:t>
      </w:r>
    </w:p>
    <w:p w14:paraId="45BED60E" w14:textId="77777777" w:rsidR="00990612" w:rsidRPr="004F025C" w:rsidRDefault="00990612" w:rsidP="00990612">
      <w:pPr>
        <w:pStyle w:val="Textonotapie"/>
        <w:ind w:firstLine="708"/>
        <w:jc w:val="both"/>
        <w:rPr>
          <w:rFonts w:ascii="Arial" w:hAnsi="Arial" w:cs="Arial"/>
          <w:sz w:val="19"/>
          <w:szCs w:val="19"/>
        </w:rPr>
      </w:pPr>
    </w:p>
  </w:footnote>
  <w:footnote w:id="12">
    <w:p w14:paraId="4526C1C9" w14:textId="77777777" w:rsidR="00990612" w:rsidRDefault="00990612" w:rsidP="00990612">
      <w:pPr>
        <w:pStyle w:val="Textonotapie"/>
        <w:ind w:firstLine="708"/>
        <w:jc w:val="both"/>
        <w:rPr>
          <w:rFonts w:ascii="Arial" w:hAnsi="Arial" w:cs="Arial"/>
          <w:sz w:val="19"/>
          <w:szCs w:val="19"/>
        </w:rPr>
      </w:pPr>
      <w:r w:rsidRPr="00D012E6">
        <w:rPr>
          <w:rStyle w:val="Refdenotaalpie"/>
          <w:rFonts w:ascii="Arial" w:hAnsi="Arial" w:cs="Arial"/>
          <w:sz w:val="19"/>
          <w:szCs w:val="19"/>
        </w:rPr>
        <w:footnoteRef/>
      </w:r>
      <w:r w:rsidRPr="00D012E6">
        <w:rPr>
          <w:rFonts w:ascii="Arial" w:hAnsi="Arial" w:cs="Arial"/>
          <w:sz w:val="19"/>
          <w:szCs w:val="19"/>
        </w:rPr>
        <w:t xml:space="preserve"> </w:t>
      </w:r>
      <w:r>
        <w:rPr>
          <w:rFonts w:ascii="Arial" w:hAnsi="Arial" w:cs="Arial"/>
          <w:sz w:val="19"/>
          <w:szCs w:val="19"/>
        </w:rPr>
        <w:t>CLARO SOLAR, Luis. Explicaciones de derecho civil chileno y comparado. Tomo X. Volumen I. Santiago de Chile: Imprenta Nascimento, 1936. p. 265.</w:t>
      </w:r>
    </w:p>
    <w:p w14:paraId="7AE508AB" w14:textId="77777777" w:rsidR="00990612" w:rsidRPr="00D012E6" w:rsidRDefault="00990612" w:rsidP="00990612">
      <w:pPr>
        <w:pStyle w:val="Textonotapie"/>
        <w:ind w:firstLine="708"/>
        <w:jc w:val="both"/>
        <w:rPr>
          <w:rFonts w:ascii="Arial" w:hAnsi="Arial" w:cs="Arial"/>
          <w:sz w:val="19"/>
          <w:szCs w:val="19"/>
          <w:lang w:val="es-ES"/>
        </w:rPr>
      </w:pPr>
    </w:p>
  </w:footnote>
  <w:footnote w:id="13">
    <w:p w14:paraId="3F8A815B" w14:textId="77777777" w:rsidR="00990612" w:rsidRDefault="00990612" w:rsidP="00990612">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HINESTROSA, Fernando. Tratado de las obligaciones. Tomo l: Concepto, estructura, vicisitudes. Editorial Universidad Externado de Colombia, tercera edición, Bogotá, 2007. p. 596 a 602.</w:t>
      </w:r>
    </w:p>
    <w:p w14:paraId="3F915600" w14:textId="77777777" w:rsidR="00990612" w:rsidRPr="00E467AF" w:rsidRDefault="00990612" w:rsidP="00990612">
      <w:pPr>
        <w:pStyle w:val="Textonotapie"/>
        <w:ind w:firstLine="709"/>
        <w:jc w:val="both"/>
        <w:rPr>
          <w:rFonts w:ascii="Arial" w:hAnsi="Arial" w:cs="Arial"/>
          <w:sz w:val="19"/>
          <w:szCs w:val="19"/>
          <w:lang w:val="es-CO"/>
        </w:rPr>
      </w:pPr>
    </w:p>
  </w:footnote>
  <w:footnote w:id="14">
    <w:p w14:paraId="459D24F4" w14:textId="77777777" w:rsidR="00990612" w:rsidRPr="004F025C" w:rsidRDefault="00990612" w:rsidP="00990612">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w:t>
      </w:r>
      <w:r w:rsidRPr="00951071">
        <w:rPr>
          <w:rFonts w:ascii="Arial" w:hAnsi="Arial" w:cs="Arial"/>
          <w:i/>
          <w:iCs/>
          <w:sz w:val="19"/>
          <w:szCs w:val="19"/>
        </w:rPr>
        <w:t>Ibidem</w:t>
      </w:r>
      <w:r w:rsidRPr="00E467AF">
        <w:rPr>
          <w:rFonts w:ascii="Arial" w:hAnsi="Arial" w:cs="Arial"/>
          <w:sz w:val="19"/>
          <w:szCs w:val="19"/>
        </w:rPr>
        <w:t>.</w:t>
      </w:r>
    </w:p>
  </w:footnote>
  <w:footnote w:id="15">
    <w:p w14:paraId="389F6E25" w14:textId="77777777" w:rsidR="00990612" w:rsidRPr="00B70F77" w:rsidRDefault="00990612" w:rsidP="00990612">
      <w:pPr>
        <w:pStyle w:val="Textonotapie"/>
        <w:ind w:firstLine="708"/>
        <w:jc w:val="both"/>
        <w:rPr>
          <w:lang w:val="es-ES"/>
        </w:rPr>
      </w:pPr>
      <w:r>
        <w:rPr>
          <w:rStyle w:val="Refdenotaalpie"/>
        </w:rPr>
        <w:footnoteRef/>
      </w:r>
      <w:r>
        <w:t xml:space="preserve"> </w:t>
      </w:r>
      <w:r w:rsidRPr="00ED44AB">
        <w:rPr>
          <w:rFonts w:ascii="Arial" w:eastAsia="Calibri" w:hAnsi="Arial" w:cs="Arial"/>
          <w:sz w:val="19"/>
          <w:szCs w:val="19"/>
          <w:lang w:val="es-ES_tradnl"/>
        </w:rPr>
        <w:t xml:space="preserve">CONSEJO DE ESTADO. Sección Tercera. </w:t>
      </w:r>
      <w:r>
        <w:rPr>
          <w:rFonts w:ascii="Arial" w:eastAsia="Calibri" w:hAnsi="Arial" w:cs="Arial"/>
          <w:sz w:val="19"/>
          <w:szCs w:val="19"/>
          <w:lang w:val="es-ES_tradnl"/>
        </w:rPr>
        <w:t xml:space="preserve">Auto del 13 de septiembre de 1999. Rad. </w:t>
      </w:r>
      <w:r w:rsidRPr="009E7351">
        <w:rPr>
          <w:rFonts w:ascii="Arial" w:eastAsia="Calibri" w:hAnsi="Arial" w:cs="Arial"/>
          <w:sz w:val="19"/>
          <w:szCs w:val="19"/>
          <w:lang w:val="es-ES_tradnl"/>
        </w:rPr>
        <w:t>10.264</w:t>
      </w:r>
      <w:r>
        <w:rPr>
          <w:rFonts w:ascii="Arial" w:eastAsia="Calibri" w:hAnsi="Arial" w:cs="Arial"/>
          <w:sz w:val="19"/>
          <w:szCs w:val="19"/>
          <w:lang w:val="es-ES_tradnl"/>
        </w:rPr>
        <w:t xml:space="preserve">. </w:t>
      </w:r>
      <w:r w:rsidRPr="00734F1A">
        <w:rPr>
          <w:rFonts w:ascii="Arial" w:eastAsia="Calibri" w:hAnsi="Arial" w:cs="Arial"/>
          <w:sz w:val="19"/>
          <w:szCs w:val="19"/>
          <w:lang w:val="es-ES_tradnl"/>
        </w:rPr>
        <w:t>C.P. Ricardo Hoyos Duque</w:t>
      </w:r>
      <w:r>
        <w:rPr>
          <w:rFonts w:ascii="Arial" w:eastAsia="Calibri" w:hAnsi="Arial" w:cs="Arial"/>
          <w:sz w:val="19"/>
          <w:szCs w:val="19"/>
          <w:lang w:val="es-ES_tradnl"/>
        </w:rPr>
        <w:t xml:space="preserve">. No en vano, explica lo siguiente: «[…] </w:t>
      </w:r>
      <w:r w:rsidRPr="007E46FC">
        <w:rPr>
          <w:rFonts w:ascii="Arial" w:eastAsia="Calibri" w:hAnsi="Arial" w:cs="Arial"/>
          <w:sz w:val="19"/>
          <w:szCs w:val="19"/>
          <w:lang w:val="es-ES_tradnl"/>
        </w:rPr>
        <w:t xml:space="preserve">cuando el contratista de la administración no cumple dentro del plazo establecido en el contrato, es precisamente el vencimiento del plazo el que pone en evidencia su incumplimiento y es este el momento en el que la administración debe calificar la responsabilidad que le incumbe al contratista, de manera </w:t>
      </w:r>
      <w:proofErr w:type="gramStart"/>
      <w:r w:rsidRPr="007E46FC">
        <w:rPr>
          <w:rFonts w:ascii="Arial" w:eastAsia="Calibri" w:hAnsi="Arial" w:cs="Arial"/>
          <w:sz w:val="19"/>
          <w:szCs w:val="19"/>
          <w:lang w:val="es-ES_tradnl"/>
        </w:rPr>
        <w:t>que</w:t>
      </w:r>
      <w:proofErr w:type="gramEnd"/>
      <w:r w:rsidRPr="007E46FC">
        <w:rPr>
          <w:rFonts w:ascii="Arial" w:eastAsia="Calibri" w:hAnsi="Arial" w:cs="Arial"/>
          <w:sz w:val="19"/>
          <w:szCs w:val="19"/>
          <w:lang w:val="es-ES_tradnl"/>
        </w:rPr>
        <w:t xml:space="preserve"> si lo fue por motivos únicamente imputables a él que no encuentran justificación, debe sancionar su incumplimiento</w:t>
      </w:r>
      <w:r>
        <w:rPr>
          <w:rFonts w:ascii="Arial" w:eastAsia="Calibri" w:hAnsi="Arial" w:cs="Arial"/>
          <w:sz w:val="19"/>
          <w:szCs w:val="19"/>
          <w:lang w:val="es-ES_tradnl"/>
        </w:rPr>
        <w:t>».</w:t>
      </w:r>
    </w:p>
  </w:footnote>
  <w:footnote w:id="16">
    <w:p w14:paraId="5751628C" w14:textId="77777777" w:rsidR="00990612" w:rsidRDefault="00990612" w:rsidP="00990612">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ED44AB">
        <w:rPr>
          <w:rFonts w:ascii="Arial" w:eastAsia="Calibri" w:hAnsi="Arial" w:cs="Arial"/>
          <w:sz w:val="19"/>
          <w:szCs w:val="19"/>
          <w:lang w:val="es-ES_tradnl"/>
        </w:rPr>
        <w:t>CONSEJO DE ESTADO. Sección Tercera.</w:t>
      </w:r>
      <w:r>
        <w:rPr>
          <w:rFonts w:ascii="Arial" w:eastAsia="Calibri" w:hAnsi="Arial" w:cs="Arial"/>
          <w:sz w:val="19"/>
          <w:szCs w:val="19"/>
          <w:lang w:val="es-ES_tradnl"/>
        </w:rPr>
        <w:t xml:space="preserve"> </w:t>
      </w:r>
      <w:r w:rsidRPr="00F5737F">
        <w:rPr>
          <w:rFonts w:ascii="Arial" w:eastAsia="Calibri" w:hAnsi="Arial" w:cs="Arial"/>
          <w:sz w:val="19"/>
          <w:szCs w:val="19"/>
          <w:lang w:val="es-ES_tradnl"/>
        </w:rPr>
        <w:t xml:space="preserve">Subsección C. Sentencia del 24 de octubre de 2013. </w:t>
      </w:r>
      <w:r>
        <w:rPr>
          <w:rFonts w:ascii="Arial" w:eastAsia="Calibri" w:hAnsi="Arial" w:cs="Arial"/>
          <w:sz w:val="19"/>
          <w:szCs w:val="19"/>
          <w:lang w:val="es-ES_tradnl"/>
        </w:rPr>
        <w:t>Rad</w:t>
      </w:r>
      <w:r w:rsidRPr="00F5737F">
        <w:rPr>
          <w:rFonts w:ascii="Arial" w:eastAsia="Calibri" w:hAnsi="Arial" w:cs="Arial"/>
          <w:sz w:val="19"/>
          <w:szCs w:val="19"/>
          <w:lang w:val="es-ES_tradnl"/>
        </w:rPr>
        <w:t>. 24.697. C.P. Enrique Gil Botero</w:t>
      </w:r>
      <w:r>
        <w:rPr>
          <w:rFonts w:ascii="Arial" w:eastAsia="Calibri" w:hAnsi="Arial" w:cs="Arial"/>
          <w:sz w:val="19"/>
          <w:szCs w:val="19"/>
          <w:lang w:val="es-ES_tradnl"/>
        </w:rPr>
        <w:t>.</w:t>
      </w:r>
    </w:p>
    <w:p w14:paraId="683E7E48" w14:textId="77777777" w:rsidR="00990612" w:rsidRPr="0083704C" w:rsidRDefault="00990612" w:rsidP="00990612">
      <w:pPr>
        <w:pStyle w:val="Textonotapie"/>
        <w:ind w:firstLine="708"/>
        <w:jc w:val="both"/>
      </w:pPr>
    </w:p>
  </w:footnote>
  <w:footnote w:id="17">
    <w:p w14:paraId="407F7FCD" w14:textId="77777777" w:rsidR="00990612" w:rsidRDefault="00990612" w:rsidP="00990612">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ED44AB">
        <w:rPr>
          <w:rFonts w:ascii="Arial" w:eastAsia="Calibri" w:hAnsi="Arial" w:cs="Arial"/>
          <w:sz w:val="19"/>
          <w:szCs w:val="19"/>
          <w:lang w:val="es-ES_tradnl"/>
        </w:rPr>
        <w:t>CONSEJO DE ESTADO. Sección Tercera.</w:t>
      </w:r>
      <w:r>
        <w:rPr>
          <w:rFonts w:ascii="Arial" w:eastAsia="Calibri" w:hAnsi="Arial" w:cs="Arial"/>
          <w:sz w:val="19"/>
          <w:szCs w:val="19"/>
          <w:lang w:val="es-ES_tradnl"/>
        </w:rPr>
        <w:t xml:space="preserve"> Sala Plena.</w:t>
      </w:r>
      <w:r w:rsidRPr="00ED44AB">
        <w:rPr>
          <w:rFonts w:ascii="Arial" w:eastAsia="Calibri" w:hAnsi="Arial" w:cs="Arial"/>
          <w:sz w:val="19"/>
          <w:szCs w:val="19"/>
          <w:lang w:val="es-ES_tradnl"/>
        </w:rPr>
        <w:t xml:space="preserve"> Sentencia</w:t>
      </w:r>
      <w:r>
        <w:rPr>
          <w:rFonts w:ascii="Arial" w:eastAsia="Calibri" w:hAnsi="Arial" w:cs="Arial"/>
          <w:sz w:val="19"/>
          <w:szCs w:val="19"/>
          <w:lang w:val="es-ES_tradnl"/>
        </w:rPr>
        <w:t xml:space="preserve"> del 12 de julio de 2012. Rad. </w:t>
      </w:r>
      <w:r w:rsidRPr="00F77067">
        <w:rPr>
          <w:rFonts w:ascii="Arial" w:eastAsia="Calibri" w:hAnsi="Arial" w:cs="Arial"/>
          <w:sz w:val="19"/>
          <w:szCs w:val="19"/>
          <w:lang w:val="es-ES_tradnl"/>
        </w:rPr>
        <w:t>15</w:t>
      </w:r>
      <w:r>
        <w:rPr>
          <w:rFonts w:ascii="Arial" w:eastAsia="Calibri" w:hAnsi="Arial" w:cs="Arial"/>
          <w:sz w:val="19"/>
          <w:szCs w:val="19"/>
          <w:lang w:val="es-ES_tradnl"/>
        </w:rPr>
        <w:t>.</w:t>
      </w:r>
      <w:r w:rsidRPr="00F77067">
        <w:rPr>
          <w:rFonts w:ascii="Arial" w:eastAsia="Calibri" w:hAnsi="Arial" w:cs="Arial"/>
          <w:sz w:val="19"/>
          <w:szCs w:val="19"/>
          <w:lang w:val="es-ES_tradnl"/>
        </w:rPr>
        <w:t>024</w:t>
      </w:r>
      <w:r>
        <w:rPr>
          <w:rFonts w:ascii="Arial" w:eastAsia="Calibri" w:hAnsi="Arial" w:cs="Arial"/>
          <w:sz w:val="19"/>
          <w:szCs w:val="19"/>
          <w:lang w:val="es-ES_tradnl"/>
        </w:rPr>
        <w:t xml:space="preserve">. </w:t>
      </w:r>
      <w:r w:rsidRPr="00F77067">
        <w:rPr>
          <w:rFonts w:ascii="Arial" w:eastAsia="Calibri" w:hAnsi="Arial" w:cs="Arial"/>
          <w:sz w:val="19"/>
          <w:szCs w:val="19"/>
          <w:lang w:val="es-ES_tradnl"/>
        </w:rPr>
        <w:t>C.P.</w:t>
      </w:r>
      <w:r>
        <w:rPr>
          <w:rFonts w:ascii="Arial" w:eastAsia="Calibri" w:hAnsi="Arial" w:cs="Arial"/>
          <w:sz w:val="19"/>
          <w:szCs w:val="19"/>
          <w:lang w:val="es-ES_tradnl"/>
        </w:rPr>
        <w:t xml:space="preserve"> </w:t>
      </w:r>
      <w:r w:rsidRPr="00F77067">
        <w:rPr>
          <w:rFonts w:ascii="Arial" w:eastAsia="Calibri" w:hAnsi="Arial" w:cs="Arial"/>
          <w:sz w:val="19"/>
          <w:szCs w:val="19"/>
          <w:lang w:val="es-ES_tradnl"/>
        </w:rPr>
        <w:t xml:space="preserve">Danilo Rojas </w:t>
      </w:r>
      <w:proofErr w:type="spellStart"/>
      <w:r w:rsidRPr="00F77067">
        <w:rPr>
          <w:rFonts w:ascii="Arial" w:eastAsia="Calibri" w:hAnsi="Arial" w:cs="Arial"/>
          <w:sz w:val="19"/>
          <w:szCs w:val="19"/>
          <w:lang w:val="es-ES_tradnl"/>
        </w:rPr>
        <w:t>Betancourth</w:t>
      </w:r>
      <w:proofErr w:type="spellEnd"/>
      <w:r>
        <w:rPr>
          <w:rFonts w:ascii="Arial" w:eastAsia="Calibri" w:hAnsi="Arial" w:cs="Arial"/>
          <w:sz w:val="19"/>
          <w:szCs w:val="19"/>
          <w:lang w:val="es-ES_tradnl"/>
        </w:rPr>
        <w:t xml:space="preserve">. En esta medida, «[…] </w:t>
      </w:r>
      <w:r w:rsidRPr="00D975EF">
        <w:rPr>
          <w:rFonts w:ascii="Arial" w:eastAsia="Calibri" w:hAnsi="Arial" w:cs="Arial"/>
          <w:sz w:val="19"/>
          <w:szCs w:val="19"/>
          <w:lang w:val="es-ES_tradnl"/>
        </w:rPr>
        <w:t>la Sala concluye que las entidades estatales no deben esperar a que se venza el plazo de ejecución del contrato para comprobar si hubo un incumplimiento total del mismo y decretar la caducidad; todo lo contrario: las normas que consagran la facultad de declarar la caducidad exigen que el plazo no haya expirado para declararla, puesto que el incumplimiento que esas normas requieren para decretar la caducidad es el de las obligaciones que se deben ir cumpliendo continuamente para llegar al cumplimiento del contrato en su totalidad. Así, en la medida en que se acredite el incumplimiento de obligaciones que son fundamentales para la realización del objeto contratado, la entidad estatal, con un proceder diligente, advertirá que la prestación principal, el objeto del contrato, no será satisfecho dentro del plazo de ejecución y, por tal motivo, decretará la caducidad</w:t>
      </w:r>
      <w:r>
        <w:rPr>
          <w:rFonts w:ascii="Arial" w:eastAsia="Calibri" w:hAnsi="Arial" w:cs="Arial"/>
          <w:sz w:val="19"/>
          <w:szCs w:val="19"/>
          <w:lang w:val="es-ES_tradnl"/>
        </w:rPr>
        <w:t>».</w:t>
      </w:r>
    </w:p>
    <w:p w14:paraId="7656A7AC" w14:textId="77777777" w:rsidR="00990612" w:rsidRPr="00F77067" w:rsidRDefault="00990612" w:rsidP="00990612">
      <w:pPr>
        <w:pStyle w:val="Textonotapie"/>
        <w:ind w:firstLine="708"/>
        <w:jc w:val="both"/>
        <w:rPr>
          <w:rFonts w:ascii="Arial" w:eastAsia="Calibri" w:hAnsi="Arial" w:cs="Arial"/>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C67675" w:rsidRDefault="00C67675">
    <w:pPr>
      <w:pStyle w:val="Encabezado"/>
    </w:pPr>
  </w:p>
  <w:p w14:paraId="6A4C7F2C" w14:textId="7D093DBB" w:rsidR="00C67675" w:rsidRDefault="00C67675">
    <w:pPr>
      <w:pStyle w:val="Encabezado"/>
    </w:pPr>
  </w:p>
  <w:p w14:paraId="055F2E1F" w14:textId="0B935ADD" w:rsidR="00C67675" w:rsidRDefault="00C67675">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C67675" w:rsidRDefault="00C67675">
    <w:pPr>
      <w:pStyle w:val="Encabezado"/>
    </w:pPr>
  </w:p>
  <w:p w14:paraId="3D323BDB" w14:textId="04AF0DE6" w:rsidR="00C67675" w:rsidRDefault="00C67675">
    <w:pPr>
      <w:pStyle w:val="Encabezado"/>
    </w:pPr>
  </w:p>
  <w:p w14:paraId="6520770B" w14:textId="18EB07B5" w:rsidR="00C67675" w:rsidRDefault="00C6767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9"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1"/>
    <w:lvlOverride w:ilvl="0">
      <w:startOverride w:val="1"/>
    </w:lvlOverride>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68F"/>
    <w:rsid w:val="0000404B"/>
    <w:rsid w:val="0000645E"/>
    <w:rsid w:val="000105E2"/>
    <w:rsid w:val="000126BB"/>
    <w:rsid w:val="00012A1B"/>
    <w:rsid w:val="000136DC"/>
    <w:rsid w:val="00016F33"/>
    <w:rsid w:val="00016FAC"/>
    <w:rsid w:val="0001726A"/>
    <w:rsid w:val="0001794A"/>
    <w:rsid w:val="0001795B"/>
    <w:rsid w:val="00020801"/>
    <w:rsid w:val="00024BE5"/>
    <w:rsid w:val="00026AD9"/>
    <w:rsid w:val="000271AD"/>
    <w:rsid w:val="00027940"/>
    <w:rsid w:val="00027F74"/>
    <w:rsid w:val="000303EC"/>
    <w:rsid w:val="00034F55"/>
    <w:rsid w:val="000365C0"/>
    <w:rsid w:val="00037112"/>
    <w:rsid w:val="000503A1"/>
    <w:rsid w:val="0005275D"/>
    <w:rsid w:val="00056024"/>
    <w:rsid w:val="00057953"/>
    <w:rsid w:val="0006293E"/>
    <w:rsid w:val="00063E52"/>
    <w:rsid w:val="0006625D"/>
    <w:rsid w:val="00070770"/>
    <w:rsid w:val="00070A22"/>
    <w:rsid w:val="00071D6E"/>
    <w:rsid w:val="0007590A"/>
    <w:rsid w:val="00080D35"/>
    <w:rsid w:val="00081AF3"/>
    <w:rsid w:val="0008260E"/>
    <w:rsid w:val="00083BE4"/>
    <w:rsid w:val="00084DC0"/>
    <w:rsid w:val="0008592F"/>
    <w:rsid w:val="00085CC3"/>
    <w:rsid w:val="00087888"/>
    <w:rsid w:val="000939E0"/>
    <w:rsid w:val="00093D35"/>
    <w:rsid w:val="000942EB"/>
    <w:rsid w:val="0009651A"/>
    <w:rsid w:val="00096EAB"/>
    <w:rsid w:val="0009712F"/>
    <w:rsid w:val="000972BA"/>
    <w:rsid w:val="000A15CB"/>
    <w:rsid w:val="000A1B81"/>
    <w:rsid w:val="000A2C01"/>
    <w:rsid w:val="000A5189"/>
    <w:rsid w:val="000A668C"/>
    <w:rsid w:val="000A7E46"/>
    <w:rsid w:val="000B103F"/>
    <w:rsid w:val="000B1C28"/>
    <w:rsid w:val="000B3893"/>
    <w:rsid w:val="000B4FC6"/>
    <w:rsid w:val="000B53D0"/>
    <w:rsid w:val="000C0B7C"/>
    <w:rsid w:val="000C21BA"/>
    <w:rsid w:val="000C2DD2"/>
    <w:rsid w:val="000C6347"/>
    <w:rsid w:val="000D0AFA"/>
    <w:rsid w:val="000E1761"/>
    <w:rsid w:val="000E1F13"/>
    <w:rsid w:val="000E68FA"/>
    <w:rsid w:val="000E6962"/>
    <w:rsid w:val="000E6D84"/>
    <w:rsid w:val="000F14E8"/>
    <w:rsid w:val="000F3B04"/>
    <w:rsid w:val="000F6869"/>
    <w:rsid w:val="000F7AE4"/>
    <w:rsid w:val="001015E9"/>
    <w:rsid w:val="001017F1"/>
    <w:rsid w:val="00102AA1"/>
    <w:rsid w:val="00103915"/>
    <w:rsid w:val="00103D3D"/>
    <w:rsid w:val="001065D1"/>
    <w:rsid w:val="00106B75"/>
    <w:rsid w:val="001112CF"/>
    <w:rsid w:val="00111438"/>
    <w:rsid w:val="00111636"/>
    <w:rsid w:val="00112192"/>
    <w:rsid w:val="00112D2F"/>
    <w:rsid w:val="00114236"/>
    <w:rsid w:val="001152BA"/>
    <w:rsid w:val="0011561C"/>
    <w:rsid w:val="001214FF"/>
    <w:rsid w:val="001229C6"/>
    <w:rsid w:val="00122B23"/>
    <w:rsid w:val="00124E73"/>
    <w:rsid w:val="00124EC3"/>
    <w:rsid w:val="00125291"/>
    <w:rsid w:val="00125D4C"/>
    <w:rsid w:val="0012754A"/>
    <w:rsid w:val="0013045B"/>
    <w:rsid w:val="0013236F"/>
    <w:rsid w:val="001332D0"/>
    <w:rsid w:val="001344AA"/>
    <w:rsid w:val="00137BA1"/>
    <w:rsid w:val="00137FFA"/>
    <w:rsid w:val="001425C5"/>
    <w:rsid w:val="001448B5"/>
    <w:rsid w:val="00146E1D"/>
    <w:rsid w:val="00152609"/>
    <w:rsid w:val="0015382E"/>
    <w:rsid w:val="001550CF"/>
    <w:rsid w:val="001554A4"/>
    <w:rsid w:val="00156DAF"/>
    <w:rsid w:val="0016135A"/>
    <w:rsid w:val="0016149E"/>
    <w:rsid w:val="00161D78"/>
    <w:rsid w:val="00165EA8"/>
    <w:rsid w:val="0016680A"/>
    <w:rsid w:val="00167B9D"/>
    <w:rsid w:val="00167F0C"/>
    <w:rsid w:val="00170733"/>
    <w:rsid w:val="00172E0A"/>
    <w:rsid w:val="00174107"/>
    <w:rsid w:val="001755EC"/>
    <w:rsid w:val="00175795"/>
    <w:rsid w:val="00177BAA"/>
    <w:rsid w:val="00180B3B"/>
    <w:rsid w:val="00184E93"/>
    <w:rsid w:val="001900CF"/>
    <w:rsid w:val="001918D6"/>
    <w:rsid w:val="001939B7"/>
    <w:rsid w:val="001963C6"/>
    <w:rsid w:val="0019745D"/>
    <w:rsid w:val="001A08F7"/>
    <w:rsid w:val="001A0DF1"/>
    <w:rsid w:val="001A0EC0"/>
    <w:rsid w:val="001A26FC"/>
    <w:rsid w:val="001A27D7"/>
    <w:rsid w:val="001A3721"/>
    <w:rsid w:val="001A387A"/>
    <w:rsid w:val="001A3F04"/>
    <w:rsid w:val="001B2EA0"/>
    <w:rsid w:val="001B3306"/>
    <w:rsid w:val="001B464A"/>
    <w:rsid w:val="001B4A46"/>
    <w:rsid w:val="001B528A"/>
    <w:rsid w:val="001B53B4"/>
    <w:rsid w:val="001B6044"/>
    <w:rsid w:val="001B686F"/>
    <w:rsid w:val="001B7618"/>
    <w:rsid w:val="001B7DEA"/>
    <w:rsid w:val="001C219D"/>
    <w:rsid w:val="001C33CB"/>
    <w:rsid w:val="001C722C"/>
    <w:rsid w:val="001D172E"/>
    <w:rsid w:val="001D5E4D"/>
    <w:rsid w:val="001E0042"/>
    <w:rsid w:val="001E008B"/>
    <w:rsid w:val="001E0545"/>
    <w:rsid w:val="001E0849"/>
    <w:rsid w:val="001E1A13"/>
    <w:rsid w:val="001E3E0C"/>
    <w:rsid w:val="001E453C"/>
    <w:rsid w:val="001F140A"/>
    <w:rsid w:val="001F1AFA"/>
    <w:rsid w:val="001F2AD0"/>
    <w:rsid w:val="001F3D53"/>
    <w:rsid w:val="001F416A"/>
    <w:rsid w:val="001F6AAC"/>
    <w:rsid w:val="001F790E"/>
    <w:rsid w:val="002005CC"/>
    <w:rsid w:val="00203F1A"/>
    <w:rsid w:val="00204114"/>
    <w:rsid w:val="00204C65"/>
    <w:rsid w:val="002059AF"/>
    <w:rsid w:val="002135F3"/>
    <w:rsid w:val="002146C0"/>
    <w:rsid w:val="00214A72"/>
    <w:rsid w:val="00215CA0"/>
    <w:rsid w:val="00216F1A"/>
    <w:rsid w:val="0021759E"/>
    <w:rsid w:val="00220CE5"/>
    <w:rsid w:val="002215FF"/>
    <w:rsid w:val="002236DB"/>
    <w:rsid w:val="00224570"/>
    <w:rsid w:val="0022655C"/>
    <w:rsid w:val="00233A24"/>
    <w:rsid w:val="0023484E"/>
    <w:rsid w:val="00234B84"/>
    <w:rsid w:val="00237329"/>
    <w:rsid w:val="00240A06"/>
    <w:rsid w:val="002416BA"/>
    <w:rsid w:val="00244C00"/>
    <w:rsid w:val="002457FD"/>
    <w:rsid w:val="00245C7E"/>
    <w:rsid w:val="00250718"/>
    <w:rsid w:val="00251445"/>
    <w:rsid w:val="00253276"/>
    <w:rsid w:val="00253C1D"/>
    <w:rsid w:val="00254319"/>
    <w:rsid w:val="002563B9"/>
    <w:rsid w:val="0025685E"/>
    <w:rsid w:val="0025768C"/>
    <w:rsid w:val="00265C96"/>
    <w:rsid w:val="00265CEB"/>
    <w:rsid w:val="00265ED0"/>
    <w:rsid w:val="00266E0C"/>
    <w:rsid w:val="00270234"/>
    <w:rsid w:val="0027071C"/>
    <w:rsid w:val="00272C62"/>
    <w:rsid w:val="00275701"/>
    <w:rsid w:val="00276521"/>
    <w:rsid w:val="00277428"/>
    <w:rsid w:val="00283380"/>
    <w:rsid w:val="00284F66"/>
    <w:rsid w:val="00285D7E"/>
    <w:rsid w:val="00285FED"/>
    <w:rsid w:val="00286660"/>
    <w:rsid w:val="00286A53"/>
    <w:rsid w:val="00287542"/>
    <w:rsid w:val="002877E9"/>
    <w:rsid w:val="0029159E"/>
    <w:rsid w:val="00294801"/>
    <w:rsid w:val="00294EFD"/>
    <w:rsid w:val="002A1031"/>
    <w:rsid w:val="002A4F10"/>
    <w:rsid w:val="002A63F4"/>
    <w:rsid w:val="002B4907"/>
    <w:rsid w:val="002B50DA"/>
    <w:rsid w:val="002B7DD1"/>
    <w:rsid w:val="002C087E"/>
    <w:rsid w:val="002C27C5"/>
    <w:rsid w:val="002C2BF2"/>
    <w:rsid w:val="002D3456"/>
    <w:rsid w:val="002D4BB3"/>
    <w:rsid w:val="002D7E62"/>
    <w:rsid w:val="002D7F92"/>
    <w:rsid w:val="002E0A18"/>
    <w:rsid w:val="002E1964"/>
    <w:rsid w:val="002E1E7E"/>
    <w:rsid w:val="002E27E0"/>
    <w:rsid w:val="002E6B6F"/>
    <w:rsid w:val="002F0800"/>
    <w:rsid w:val="002F3606"/>
    <w:rsid w:val="002F5131"/>
    <w:rsid w:val="002F70EB"/>
    <w:rsid w:val="002F779E"/>
    <w:rsid w:val="003033BA"/>
    <w:rsid w:val="003038BC"/>
    <w:rsid w:val="00303DF8"/>
    <w:rsid w:val="00303EFC"/>
    <w:rsid w:val="003046D6"/>
    <w:rsid w:val="003112B5"/>
    <w:rsid w:val="0031293C"/>
    <w:rsid w:val="00313BBA"/>
    <w:rsid w:val="00313D9F"/>
    <w:rsid w:val="00314899"/>
    <w:rsid w:val="00315623"/>
    <w:rsid w:val="00316182"/>
    <w:rsid w:val="0032072B"/>
    <w:rsid w:val="00320DFD"/>
    <w:rsid w:val="00326F22"/>
    <w:rsid w:val="0033002D"/>
    <w:rsid w:val="00332906"/>
    <w:rsid w:val="00332C3C"/>
    <w:rsid w:val="00333BE1"/>
    <w:rsid w:val="00334B76"/>
    <w:rsid w:val="00336644"/>
    <w:rsid w:val="00337299"/>
    <w:rsid w:val="0033763C"/>
    <w:rsid w:val="0034149E"/>
    <w:rsid w:val="00341CE5"/>
    <w:rsid w:val="00342202"/>
    <w:rsid w:val="003426C6"/>
    <w:rsid w:val="003429C9"/>
    <w:rsid w:val="00344889"/>
    <w:rsid w:val="0034680A"/>
    <w:rsid w:val="00347661"/>
    <w:rsid w:val="003478E7"/>
    <w:rsid w:val="00350DCD"/>
    <w:rsid w:val="00351383"/>
    <w:rsid w:val="00352927"/>
    <w:rsid w:val="00353FDF"/>
    <w:rsid w:val="00354545"/>
    <w:rsid w:val="003555B4"/>
    <w:rsid w:val="00362486"/>
    <w:rsid w:val="0036497E"/>
    <w:rsid w:val="00364F1A"/>
    <w:rsid w:val="00366C32"/>
    <w:rsid w:val="0037099D"/>
    <w:rsid w:val="00372A55"/>
    <w:rsid w:val="00377AD6"/>
    <w:rsid w:val="00381B41"/>
    <w:rsid w:val="003839DC"/>
    <w:rsid w:val="00383C5B"/>
    <w:rsid w:val="00383DDA"/>
    <w:rsid w:val="00384B44"/>
    <w:rsid w:val="00385EC9"/>
    <w:rsid w:val="00386456"/>
    <w:rsid w:val="00387241"/>
    <w:rsid w:val="0039010E"/>
    <w:rsid w:val="003901D8"/>
    <w:rsid w:val="00391D93"/>
    <w:rsid w:val="00393184"/>
    <w:rsid w:val="0039340C"/>
    <w:rsid w:val="003934DD"/>
    <w:rsid w:val="00396D23"/>
    <w:rsid w:val="003A046A"/>
    <w:rsid w:val="003A25E4"/>
    <w:rsid w:val="003A2C66"/>
    <w:rsid w:val="003A4F71"/>
    <w:rsid w:val="003A581E"/>
    <w:rsid w:val="003A651C"/>
    <w:rsid w:val="003B0B16"/>
    <w:rsid w:val="003B79A5"/>
    <w:rsid w:val="003C40DD"/>
    <w:rsid w:val="003C4141"/>
    <w:rsid w:val="003C50C9"/>
    <w:rsid w:val="003C62BD"/>
    <w:rsid w:val="003D284B"/>
    <w:rsid w:val="003D40F4"/>
    <w:rsid w:val="003D4F72"/>
    <w:rsid w:val="003E07B4"/>
    <w:rsid w:val="003E11A8"/>
    <w:rsid w:val="003E14B0"/>
    <w:rsid w:val="003E5505"/>
    <w:rsid w:val="003E5ED1"/>
    <w:rsid w:val="003E6682"/>
    <w:rsid w:val="003E7261"/>
    <w:rsid w:val="003E7A20"/>
    <w:rsid w:val="003F0FBE"/>
    <w:rsid w:val="003F28CF"/>
    <w:rsid w:val="003F328D"/>
    <w:rsid w:val="003F47E5"/>
    <w:rsid w:val="003F5CDD"/>
    <w:rsid w:val="003F7E6A"/>
    <w:rsid w:val="00400083"/>
    <w:rsid w:val="0040059A"/>
    <w:rsid w:val="00407BD2"/>
    <w:rsid w:val="0041043C"/>
    <w:rsid w:val="00411B85"/>
    <w:rsid w:val="00414B54"/>
    <w:rsid w:val="00416511"/>
    <w:rsid w:val="004207E3"/>
    <w:rsid w:val="00420D01"/>
    <w:rsid w:val="0042321C"/>
    <w:rsid w:val="00423267"/>
    <w:rsid w:val="004252E8"/>
    <w:rsid w:val="00426EEE"/>
    <w:rsid w:val="00426F4A"/>
    <w:rsid w:val="0043155D"/>
    <w:rsid w:val="00432915"/>
    <w:rsid w:val="00433BA1"/>
    <w:rsid w:val="00435AA2"/>
    <w:rsid w:val="004363BC"/>
    <w:rsid w:val="0043754D"/>
    <w:rsid w:val="00437BF5"/>
    <w:rsid w:val="00437BF8"/>
    <w:rsid w:val="004422D6"/>
    <w:rsid w:val="00442BFD"/>
    <w:rsid w:val="00444A46"/>
    <w:rsid w:val="00445EE4"/>
    <w:rsid w:val="00447095"/>
    <w:rsid w:val="00447483"/>
    <w:rsid w:val="004507CF"/>
    <w:rsid w:val="0045342C"/>
    <w:rsid w:val="00454B0F"/>
    <w:rsid w:val="00463997"/>
    <w:rsid w:val="0046604D"/>
    <w:rsid w:val="0047250D"/>
    <w:rsid w:val="0047444E"/>
    <w:rsid w:val="00474614"/>
    <w:rsid w:val="00474880"/>
    <w:rsid w:val="004768C9"/>
    <w:rsid w:val="00476A0B"/>
    <w:rsid w:val="00477A49"/>
    <w:rsid w:val="00477BFF"/>
    <w:rsid w:val="00481FA4"/>
    <w:rsid w:val="00485197"/>
    <w:rsid w:val="004878C1"/>
    <w:rsid w:val="0049505C"/>
    <w:rsid w:val="00496626"/>
    <w:rsid w:val="0049684A"/>
    <w:rsid w:val="00497B27"/>
    <w:rsid w:val="004A34D2"/>
    <w:rsid w:val="004A411B"/>
    <w:rsid w:val="004A488B"/>
    <w:rsid w:val="004B219E"/>
    <w:rsid w:val="004B4A0E"/>
    <w:rsid w:val="004B6DE0"/>
    <w:rsid w:val="004C003F"/>
    <w:rsid w:val="004C0993"/>
    <w:rsid w:val="004C1226"/>
    <w:rsid w:val="004C1F44"/>
    <w:rsid w:val="004C1F93"/>
    <w:rsid w:val="004C5092"/>
    <w:rsid w:val="004C5273"/>
    <w:rsid w:val="004D2B08"/>
    <w:rsid w:val="004D2C64"/>
    <w:rsid w:val="004D3473"/>
    <w:rsid w:val="004D4556"/>
    <w:rsid w:val="004D725A"/>
    <w:rsid w:val="004D7A98"/>
    <w:rsid w:val="004E2973"/>
    <w:rsid w:val="004E4142"/>
    <w:rsid w:val="004E5102"/>
    <w:rsid w:val="004E5B78"/>
    <w:rsid w:val="004F0B50"/>
    <w:rsid w:val="004F1050"/>
    <w:rsid w:val="004F32CC"/>
    <w:rsid w:val="004F4EB9"/>
    <w:rsid w:val="00502929"/>
    <w:rsid w:val="00502F06"/>
    <w:rsid w:val="005037CD"/>
    <w:rsid w:val="00503872"/>
    <w:rsid w:val="00503C1E"/>
    <w:rsid w:val="005053B0"/>
    <w:rsid w:val="0051074C"/>
    <w:rsid w:val="0051089A"/>
    <w:rsid w:val="00510BB6"/>
    <w:rsid w:val="0051288D"/>
    <w:rsid w:val="00513A69"/>
    <w:rsid w:val="00513AF2"/>
    <w:rsid w:val="005152C2"/>
    <w:rsid w:val="005200B5"/>
    <w:rsid w:val="00521B54"/>
    <w:rsid w:val="0052307C"/>
    <w:rsid w:val="00524F8D"/>
    <w:rsid w:val="005268C9"/>
    <w:rsid w:val="0052715F"/>
    <w:rsid w:val="00533367"/>
    <w:rsid w:val="00535161"/>
    <w:rsid w:val="0053606E"/>
    <w:rsid w:val="005418FA"/>
    <w:rsid w:val="0054413A"/>
    <w:rsid w:val="005443C9"/>
    <w:rsid w:val="00545144"/>
    <w:rsid w:val="00545326"/>
    <w:rsid w:val="005457A0"/>
    <w:rsid w:val="00550551"/>
    <w:rsid w:val="00555967"/>
    <w:rsid w:val="005564CA"/>
    <w:rsid w:val="00561510"/>
    <w:rsid w:val="005620AD"/>
    <w:rsid w:val="005626E7"/>
    <w:rsid w:val="00571897"/>
    <w:rsid w:val="005731B5"/>
    <w:rsid w:val="0057389B"/>
    <w:rsid w:val="00574D20"/>
    <w:rsid w:val="00575B77"/>
    <w:rsid w:val="00575D08"/>
    <w:rsid w:val="005770F6"/>
    <w:rsid w:val="005811F1"/>
    <w:rsid w:val="00584E86"/>
    <w:rsid w:val="00590DD9"/>
    <w:rsid w:val="0059266D"/>
    <w:rsid w:val="005A0585"/>
    <w:rsid w:val="005A1570"/>
    <w:rsid w:val="005A34F0"/>
    <w:rsid w:val="005A456B"/>
    <w:rsid w:val="005A4A4C"/>
    <w:rsid w:val="005A5275"/>
    <w:rsid w:val="005A6DCD"/>
    <w:rsid w:val="005A79FE"/>
    <w:rsid w:val="005B2AF3"/>
    <w:rsid w:val="005B43FE"/>
    <w:rsid w:val="005B4AA6"/>
    <w:rsid w:val="005B7215"/>
    <w:rsid w:val="005B7515"/>
    <w:rsid w:val="005B7A2F"/>
    <w:rsid w:val="005C0D43"/>
    <w:rsid w:val="005C1FFD"/>
    <w:rsid w:val="005C266E"/>
    <w:rsid w:val="005C51A7"/>
    <w:rsid w:val="005C5A22"/>
    <w:rsid w:val="005C5B5C"/>
    <w:rsid w:val="005D29B5"/>
    <w:rsid w:val="005D3445"/>
    <w:rsid w:val="005D474D"/>
    <w:rsid w:val="005D552E"/>
    <w:rsid w:val="005D7F00"/>
    <w:rsid w:val="005E1CF3"/>
    <w:rsid w:val="005E2F44"/>
    <w:rsid w:val="005E3788"/>
    <w:rsid w:val="005E605B"/>
    <w:rsid w:val="005E67FC"/>
    <w:rsid w:val="005E7572"/>
    <w:rsid w:val="005E7A0B"/>
    <w:rsid w:val="005F0C78"/>
    <w:rsid w:val="005F1050"/>
    <w:rsid w:val="005F3431"/>
    <w:rsid w:val="005F4BF5"/>
    <w:rsid w:val="006007CC"/>
    <w:rsid w:val="00601496"/>
    <w:rsid w:val="0060197B"/>
    <w:rsid w:val="00601FCA"/>
    <w:rsid w:val="006030AA"/>
    <w:rsid w:val="00603BDE"/>
    <w:rsid w:val="00610C94"/>
    <w:rsid w:val="00612BDB"/>
    <w:rsid w:val="006134DB"/>
    <w:rsid w:val="00620CBF"/>
    <w:rsid w:val="00620E47"/>
    <w:rsid w:val="0062567A"/>
    <w:rsid w:val="006334A8"/>
    <w:rsid w:val="006367B1"/>
    <w:rsid w:val="0063788B"/>
    <w:rsid w:val="006404C9"/>
    <w:rsid w:val="00642D57"/>
    <w:rsid w:val="00647622"/>
    <w:rsid w:val="00651D31"/>
    <w:rsid w:val="006524BE"/>
    <w:rsid w:val="00652A5C"/>
    <w:rsid w:val="006533F8"/>
    <w:rsid w:val="00655360"/>
    <w:rsid w:val="00655371"/>
    <w:rsid w:val="006563C3"/>
    <w:rsid w:val="006645BF"/>
    <w:rsid w:val="0066584D"/>
    <w:rsid w:val="00666AF7"/>
    <w:rsid w:val="00667EBB"/>
    <w:rsid w:val="00670B1B"/>
    <w:rsid w:val="00672EEC"/>
    <w:rsid w:val="00673789"/>
    <w:rsid w:val="00673AB7"/>
    <w:rsid w:val="00683085"/>
    <w:rsid w:val="0068338B"/>
    <w:rsid w:val="0069158F"/>
    <w:rsid w:val="00691C58"/>
    <w:rsid w:val="00693CC2"/>
    <w:rsid w:val="0069678A"/>
    <w:rsid w:val="00697665"/>
    <w:rsid w:val="00697D73"/>
    <w:rsid w:val="006A12F4"/>
    <w:rsid w:val="006A1A12"/>
    <w:rsid w:val="006A2013"/>
    <w:rsid w:val="006A2F2D"/>
    <w:rsid w:val="006A3206"/>
    <w:rsid w:val="006A3CD1"/>
    <w:rsid w:val="006A454C"/>
    <w:rsid w:val="006A58B8"/>
    <w:rsid w:val="006A64A9"/>
    <w:rsid w:val="006A7FD0"/>
    <w:rsid w:val="006B161A"/>
    <w:rsid w:val="006B2195"/>
    <w:rsid w:val="006B34D7"/>
    <w:rsid w:val="006B55C5"/>
    <w:rsid w:val="006C084F"/>
    <w:rsid w:val="006C68E5"/>
    <w:rsid w:val="006D23BA"/>
    <w:rsid w:val="006D2CB8"/>
    <w:rsid w:val="006D40DC"/>
    <w:rsid w:val="006D4F07"/>
    <w:rsid w:val="006D7687"/>
    <w:rsid w:val="006E0385"/>
    <w:rsid w:val="006E0572"/>
    <w:rsid w:val="006E1324"/>
    <w:rsid w:val="006E1CCF"/>
    <w:rsid w:val="006E6D63"/>
    <w:rsid w:val="006E6E42"/>
    <w:rsid w:val="006F3DAA"/>
    <w:rsid w:val="00700377"/>
    <w:rsid w:val="007020A1"/>
    <w:rsid w:val="00702115"/>
    <w:rsid w:val="00703E2C"/>
    <w:rsid w:val="00705631"/>
    <w:rsid w:val="00705FE1"/>
    <w:rsid w:val="00706399"/>
    <w:rsid w:val="00707FF5"/>
    <w:rsid w:val="00711A50"/>
    <w:rsid w:val="00713DE5"/>
    <w:rsid w:val="00714254"/>
    <w:rsid w:val="00714718"/>
    <w:rsid w:val="00715929"/>
    <w:rsid w:val="00720966"/>
    <w:rsid w:val="007210EC"/>
    <w:rsid w:val="0072127D"/>
    <w:rsid w:val="007229B0"/>
    <w:rsid w:val="007252B4"/>
    <w:rsid w:val="00725AC2"/>
    <w:rsid w:val="00726DBE"/>
    <w:rsid w:val="00727EAE"/>
    <w:rsid w:val="00727FB6"/>
    <w:rsid w:val="007300F3"/>
    <w:rsid w:val="00734D43"/>
    <w:rsid w:val="007404BC"/>
    <w:rsid w:val="00742DD2"/>
    <w:rsid w:val="00744E7F"/>
    <w:rsid w:val="00745879"/>
    <w:rsid w:val="007464C8"/>
    <w:rsid w:val="00752568"/>
    <w:rsid w:val="00754621"/>
    <w:rsid w:val="0075647A"/>
    <w:rsid w:val="007634AD"/>
    <w:rsid w:val="00764CD2"/>
    <w:rsid w:val="0076566F"/>
    <w:rsid w:val="007656E6"/>
    <w:rsid w:val="00765BE2"/>
    <w:rsid w:val="007673F0"/>
    <w:rsid w:val="00772C6C"/>
    <w:rsid w:val="007741D9"/>
    <w:rsid w:val="007743B6"/>
    <w:rsid w:val="007748F6"/>
    <w:rsid w:val="007750BB"/>
    <w:rsid w:val="00776ED5"/>
    <w:rsid w:val="0078122E"/>
    <w:rsid w:val="00782024"/>
    <w:rsid w:val="00782DC1"/>
    <w:rsid w:val="00783506"/>
    <w:rsid w:val="0078442B"/>
    <w:rsid w:val="00785A12"/>
    <w:rsid w:val="0078614D"/>
    <w:rsid w:val="00791C0F"/>
    <w:rsid w:val="00793845"/>
    <w:rsid w:val="0079520D"/>
    <w:rsid w:val="00796EC8"/>
    <w:rsid w:val="00797DF7"/>
    <w:rsid w:val="007A0D0E"/>
    <w:rsid w:val="007A4C5A"/>
    <w:rsid w:val="007A615D"/>
    <w:rsid w:val="007B0854"/>
    <w:rsid w:val="007B0F58"/>
    <w:rsid w:val="007B24B5"/>
    <w:rsid w:val="007C0326"/>
    <w:rsid w:val="007C36EC"/>
    <w:rsid w:val="007C60A9"/>
    <w:rsid w:val="007C6410"/>
    <w:rsid w:val="007C672F"/>
    <w:rsid w:val="007C7638"/>
    <w:rsid w:val="007C7F04"/>
    <w:rsid w:val="007D0305"/>
    <w:rsid w:val="007D1AD1"/>
    <w:rsid w:val="007D40E2"/>
    <w:rsid w:val="007D5E0B"/>
    <w:rsid w:val="007E01FC"/>
    <w:rsid w:val="007E5B03"/>
    <w:rsid w:val="007E750C"/>
    <w:rsid w:val="007F0D40"/>
    <w:rsid w:val="007F168F"/>
    <w:rsid w:val="007F367B"/>
    <w:rsid w:val="007F4347"/>
    <w:rsid w:val="007F72CB"/>
    <w:rsid w:val="00802A13"/>
    <w:rsid w:val="00804C29"/>
    <w:rsid w:val="00804CE6"/>
    <w:rsid w:val="00804EB1"/>
    <w:rsid w:val="0080594C"/>
    <w:rsid w:val="008101D2"/>
    <w:rsid w:val="008111B0"/>
    <w:rsid w:val="00811ED3"/>
    <w:rsid w:val="00813504"/>
    <w:rsid w:val="008159D3"/>
    <w:rsid w:val="00816302"/>
    <w:rsid w:val="00817CA8"/>
    <w:rsid w:val="00822D58"/>
    <w:rsid w:val="008259B9"/>
    <w:rsid w:val="00826A9D"/>
    <w:rsid w:val="0083119B"/>
    <w:rsid w:val="0083133A"/>
    <w:rsid w:val="00834864"/>
    <w:rsid w:val="008366AF"/>
    <w:rsid w:val="00836EAB"/>
    <w:rsid w:val="00841280"/>
    <w:rsid w:val="0084152B"/>
    <w:rsid w:val="00841639"/>
    <w:rsid w:val="00842535"/>
    <w:rsid w:val="00842F23"/>
    <w:rsid w:val="00843BC4"/>
    <w:rsid w:val="00843E6C"/>
    <w:rsid w:val="0085092D"/>
    <w:rsid w:val="008509DD"/>
    <w:rsid w:val="00850DF5"/>
    <w:rsid w:val="0085128C"/>
    <w:rsid w:val="00852018"/>
    <w:rsid w:val="008524B4"/>
    <w:rsid w:val="0085264F"/>
    <w:rsid w:val="00852E12"/>
    <w:rsid w:val="00852F5E"/>
    <w:rsid w:val="00853776"/>
    <w:rsid w:val="008541AC"/>
    <w:rsid w:val="00854DBB"/>
    <w:rsid w:val="00857F63"/>
    <w:rsid w:val="00860B10"/>
    <w:rsid w:val="00861408"/>
    <w:rsid w:val="008617E0"/>
    <w:rsid w:val="00862B2A"/>
    <w:rsid w:val="00865967"/>
    <w:rsid w:val="008705DE"/>
    <w:rsid w:val="00873BCF"/>
    <w:rsid w:val="00877366"/>
    <w:rsid w:val="008817ED"/>
    <w:rsid w:val="0088243F"/>
    <w:rsid w:val="0088457C"/>
    <w:rsid w:val="00885AA7"/>
    <w:rsid w:val="00886201"/>
    <w:rsid w:val="008871CF"/>
    <w:rsid w:val="00887B15"/>
    <w:rsid w:val="00890882"/>
    <w:rsid w:val="008927A8"/>
    <w:rsid w:val="00893165"/>
    <w:rsid w:val="008A0A11"/>
    <w:rsid w:val="008A257A"/>
    <w:rsid w:val="008A3228"/>
    <w:rsid w:val="008A53F7"/>
    <w:rsid w:val="008A54C1"/>
    <w:rsid w:val="008A575E"/>
    <w:rsid w:val="008A69BA"/>
    <w:rsid w:val="008B1A31"/>
    <w:rsid w:val="008C0AF6"/>
    <w:rsid w:val="008C26E3"/>
    <w:rsid w:val="008C41C5"/>
    <w:rsid w:val="008D1B84"/>
    <w:rsid w:val="008D3FBB"/>
    <w:rsid w:val="008D4225"/>
    <w:rsid w:val="008D4C63"/>
    <w:rsid w:val="008D76C2"/>
    <w:rsid w:val="008D776A"/>
    <w:rsid w:val="008E1C15"/>
    <w:rsid w:val="008E3219"/>
    <w:rsid w:val="008E6F70"/>
    <w:rsid w:val="008F14CC"/>
    <w:rsid w:val="008F1D84"/>
    <w:rsid w:val="008F2734"/>
    <w:rsid w:val="008F4123"/>
    <w:rsid w:val="008F489B"/>
    <w:rsid w:val="008F5C25"/>
    <w:rsid w:val="008F646E"/>
    <w:rsid w:val="008F6E4A"/>
    <w:rsid w:val="00900239"/>
    <w:rsid w:val="00900DDB"/>
    <w:rsid w:val="0090136A"/>
    <w:rsid w:val="009030CB"/>
    <w:rsid w:val="009047C5"/>
    <w:rsid w:val="00904CD9"/>
    <w:rsid w:val="009064C4"/>
    <w:rsid w:val="009066C0"/>
    <w:rsid w:val="00907A73"/>
    <w:rsid w:val="0091085E"/>
    <w:rsid w:val="00910B86"/>
    <w:rsid w:val="00914F02"/>
    <w:rsid w:val="00916C89"/>
    <w:rsid w:val="009176F3"/>
    <w:rsid w:val="00917700"/>
    <w:rsid w:val="00921659"/>
    <w:rsid w:val="00923DC9"/>
    <w:rsid w:val="00924541"/>
    <w:rsid w:val="0092462A"/>
    <w:rsid w:val="0092465E"/>
    <w:rsid w:val="0092478E"/>
    <w:rsid w:val="009278F1"/>
    <w:rsid w:val="0093193A"/>
    <w:rsid w:val="00931B7E"/>
    <w:rsid w:val="00932FBD"/>
    <w:rsid w:val="00937BFF"/>
    <w:rsid w:val="009409CA"/>
    <w:rsid w:val="00944EA4"/>
    <w:rsid w:val="009465F7"/>
    <w:rsid w:val="00946737"/>
    <w:rsid w:val="00946CFA"/>
    <w:rsid w:val="00950258"/>
    <w:rsid w:val="0095385A"/>
    <w:rsid w:val="00955CAC"/>
    <w:rsid w:val="009568DA"/>
    <w:rsid w:val="00956C80"/>
    <w:rsid w:val="00956E82"/>
    <w:rsid w:val="00962034"/>
    <w:rsid w:val="00962A37"/>
    <w:rsid w:val="00965849"/>
    <w:rsid w:val="00971A67"/>
    <w:rsid w:val="00973F55"/>
    <w:rsid w:val="00975D1B"/>
    <w:rsid w:val="00976CC3"/>
    <w:rsid w:val="00977088"/>
    <w:rsid w:val="00981B5D"/>
    <w:rsid w:val="00982489"/>
    <w:rsid w:val="009859D0"/>
    <w:rsid w:val="009866C8"/>
    <w:rsid w:val="009874B4"/>
    <w:rsid w:val="00987F32"/>
    <w:rsid w:val="00990612"/>
    <w:rsid w:val="00990A2F"/>
    <w:rsid w:val="009A353C"/>
    <w:rsid w:val="009B0CB9"/>
    <w:rsid w:val="009B1BF2"/>
    <w:rsid w:val="009B29F8"/>
    <w:rsid w:val="009C1FFB"/>
    <w:rsid w:val="009C24BD"/>
    <w:rsid w:val="009C2A57"/>
    <w:rsid w:val="009C376A"/>
    <w:rsid w:val="009C55A7"/>
    <w:rsid w:val="009C782E"/>
    <w:rsid w:val="009D0FC4"/>
    <w:rsid w:val="009D3049"/>
    <w:rsid w:val="009D54EC"/>
    <w:rsid w:val="009E0D1B"/>
    <w:rsid w:val="009E2882"/>
    <w:rsid w:val="009E3217"/>
    <w:rsid w:val="009E48B1"/>
    <w:rsid w:val="009F48F0"/>
    <w:rsid w:val="009F6B3F"/>
    <w:rsid w:val="00A00987"/>
    <w:rsid w:val="00A028FC"/>
    <w:rsid w:val="00A03556"/>
    <w:rsid w:val="00A035A4"/>
    <w:rsid w:val="00A036C4"/>
    <w:rsid w:val="00A044A1"/>
    <w:rsid w:val="00A07446"/>
    <w:rsid w:val="00A10135"/>
    <w:rsid w:val="00A10706"/>
    <w:rsid w:val="00A11267"/>
    <w:rsid w:val="00A118A0"/>
    <w:rsid w:val="00A14F3C"/>
    <w:rsid w:val="00A24560"/>
    <w:rsid w:val="00A26D28"/>
    <w:rsid w:val="00A27EFE"/>
    <w:rsid w:val="00A305CD"/>
    <w:rsid w:val="00A308D1"/>
    <w:rsid w:val="00A316F7"/>
    <w:rsid w:val="00A32559"/>
    <w:rsid w:val="00A338FC"/>
    <w:rsid w:val="00A34538"/>
    <w:rsid w:val="00A35156"/>
    <w:rsid w:val="00A37529"/>
    <w:rsid w:val="00A41BFA"/>
    <w:rsid w:val="00A42A3B"/>
    <w:rsid w:val="00A43FD5"/>
    <w:rsid w:val="00A44DA5"/>
    <w:rsid w:val="00A46CED"/>
    <w:rsid w:val="00A470F2"/>
    <w:rsid w:val="00A47DA6"/>
    <w:rsid w:val="00A47F59"/>
    <w:rsid w:val="00A507B2"/>
    <w:rsid w:val="00A50AD2"/>
    <w:rsid w:val="00A5235A"/>
    <w:rsid w:val="00A53B56"/>
    <w:rsid w:val="00A546CA"/>
    <w:rsid w:val="00A54AB9"/>
    <w:rsid w:val="00A572E1"/>
    <w:rsid w:val="00A578E2"/>
    <w:rsid w:val="00A61FEE"/>
    <w:rsid w:val="00A6404B"/>
    <w:rsid w:val="00A72A3B"/>
    <w:rsid w:val="00A814D6"/>
    <w:rsid w:val="00A84361"/>
    <w:rsid w:val="00A84904"/>
    <w:rsid w:val="00A852F0"/>
    <w:rsid w:val="00A97342"/>
    <w:rsid w:val="00AA03C4"/>
    <w:rsid w:val="00AA18DB"/>
    <w:rsid w:val="00AA3DEF"/>
    <w:rsid w:val="00AA442B"/>
    <w:rsid w:val="00AA6CC1"/>
    <w:rsid w:val="00AB00BD"/>
    <w:rsid w:val="00AB0D4D"/>
    <w:rsid w:val="00AB14CE"/>
    <w:rsid w:val="00AB196B"/>
    <w:rsid w:val="00AB1AC8"/>
    <w:rsid w:val="00AB30DF"/>
    <w:rsid w:val="00AB3E40"/>
    <w:rsid w:val="00AB47E2"/>
    <w:rsid w:val="00AB4996"/>
    <w:rsid w:val="00AB4DF6"/>
    <w:rsid w:val="00AC0EEB"/>
    <w:rsid w:val="00AC1646"/>
    <w:rsid w:val="00AC3414"/>
    <w:rsid w:val="00AC3ACC"/>
    <w:rsid w:val="00AD0B1D"/>
    <w:rsid w:val="00AD22FC"/>
    <w:rsid w:val="00AD2F7B"/>
    <w:rsid w:val="00AD47FB"/>
    <w:rsid w:val="00AD48B1"/>
    <w:rsid w:val="00AD5E7A"/>
    <w:rsid w:val="00AD6135"/>
    <w:rsid w:val="00AD7C52"/>
    <w:rsid w:val="00AE1289"/>
    <w:rsid w:val="00AE19FC"/>
    <w:rsid w:val="00AE4119"/>
    <w:rsid w:val="00AE4E69"/>
    <w:rsid w:val="00AE5B43"/>
    <w:rsid w:val="00AE65B9"/>
    <w:rsid w:val="00AE6D68"/>
    <w:rsid w:val="00AF1383"/>
    <w:rsid w:val="00AF1ED8"/>
    <w:rsid w:val="00AF5CE1"/>
    <w:rsid w:val="00AF713D"/>
    <w:rsid w:val="00B04843"/>
    <w:rsid w:val="00B055C7"/>
    <w:rsid w:val="00B0560B"/>
    <w:rsid w:val="00B06243"/>
    <w:rsid w:val="00B07B14"/>
    <w:rsid w:val="00B07BE4"/>
    <w:rsid w:val="00B1060D"/>
    <w:rsid w:val="00B118E9"/>
    <w:rsid w:val="00B120C2"/>
    <w:rsid w:val="00B16E58"/>
    <w:rsid w:val="00B17763"/>
    <w:rsid w:val="00B21D6C"/>
    <w:rsid w:val="00B22E22"/>
    <w:rsid w:val="00B243F7"/>
    <w:rsid w:val="00B258A0"/>
    <w:rsid w:val="00B32C0B"/>
    <w:rsid w:val="00B32DE6"/>
    <w:rsid w:val="00B33D08"/>
    <w:rsid w:val="00B36E67"/>
    <w:rsid w:val="00B371E9"/>
    <w:rsid w:val="00B403DE"/>
    <w:rsid w:val="00B439B4"/>
    <w:rsid w:val="00B43C9B"/>
    <w:rsid w:val="00B50315"/>
    <w:rsid w:val="00B512C3"/>
    <w:rsid w:val="00B51451"/>
    <w:rsid w:val="00B5146F"/>
    <w:rsid w:val="00B5178D"/>
    <w:rsid w:val="00B525CB"/>
    <w:rsid w:val="00B531D7"/>
    <w:rsid w:val="00B53F68"/>
    <w:rsid w:val="00B5556E"/>
    <w:rsid w:val="00B55682"/>
    <w:rsid w:val="00B60926"/>
    <w:rsid w:val="00B613B9"/>
    <w:rsid w:val="00B6143C"/>
    <w:rsid w:val="00B6341F"/>
    <w:rsid w:val="00B637F3"/>
    <w:rsid w:val="00B63CB2"/>
    <w:rsid w:val="00B64278"/>
    <w:rsid w:val="00B6444C"/>
    <w:rsid w:val="00B71561"/>
    <w:rsid w:val="00B73B11"/>
    <w:rsid w:val="00B754CA"/>
    <w:rsid w:val="00B75BAA"/>
    <w:rsid w:val="00B75C7C"/>
    <w:rsid w:val="00B80316"/>
    <w:rsid w:val="00B80794"/>
    <w:rsid w:val="00B80D60"/>
    <w:rsid w:val="00B81F14"/>
    <w:rsid w:val="00B8385C"/>
    <w:rsid w:val="00B90205"/>
    <w:rsid w:val="00B90B34"/>
    <w:rsid w:val="00B93287"/>
    <w:rsid w:val="00BA1433"/>
    <w:rsid w:val="00BA4904"/>
    <w:rsid w:val="00BA4B5B"/>
    <w:rsid w:val="00BA549C"/>
    <w:rsid w:val="00BA54F0"/>
    <w:rsid w:val="00BB37BD"/>
    <w:rsid w:val="00BB5C7A"/>
    <w:rsid w:val="00BC0980"/>
    <w:rsid w:val="00BC1901"/>
    <w:rsid w:val="00BC3610"/>
    <w:rsid w:val="00BC46FA"/>
    <w:rsid w:val="00BC4CFC"/>
    <w:rsid w:val="00BC638A"/>
    <w:rsid w:val="00BD0942"/>
    <w:rsid w:val="00BD09C9"/>
    <w:rsid w:val="00BD16E4"/>
    <w:rsid w:val="00BD404B"/>
    <w:rsid w:val="00BD5979"/>
    <w:rsid w:val="00BD78FE"/>
    <w:rsid w:val="00BE1B2E"/>
    <w:rsid w:val="00BE43C0"/>
    <w:rsid w:val="00BE4C31"/>
    <w:rsid w:val="00BE60C5"/>
    <w:rsid w:val="00BF0945"/>
    <w:rsid w:val="00BF0F80"/>
    <w:rsid w:val="00BF239F"/>
    <w:rsid w:val="00BF2E6F"/>
    <w:rsid w:val="00BF3E3E"/>
    <w:rsid w:val="00BF46EB"/>
    <w:rsid w:val="00BF52BB"/>
    <w:rsid w:val="00BF59DD"/>
    <w:rsid w:val="00BF6F68"/>
    <w:rsid w:val="00BF7FBC"/>
    <w:rsid w:val="00C03D7A"/>
    <w:rsid w:val="00C06C24"/>
    <w:rsid w:val="00C07969"/>
    <w:rsid w:val="00C07EFC"/>
    <w:rsid w:val="00C1063D"/>
    <w:rsid w:val="00C108FF"/>
    <w:rsid w:val="00C215F9"/>
    <w:rsid w:val="00C21979"/>
    <w:rsid w:val="00C22C1C"/>
    <w:rsid w:val="00C2341D"/>
    <w:rsid w:val="00C236F1"/>
    <w:rsid w:val="00C248E6"/>
    <w:rsid w:val="00C25356"/>
    <w:rsid w:val="00C2785E"/>
    <w:rsid w:val="00C3050E"/>
    <w:rsid w:val="00C32E42"/>
    <w:rsid w:val="00C35CCA"/>
    <w:rsid w:val="00C3789F"/>
    <w:rsid w:val="00C37E77"/>
    <w:rsid w:val="00C40C20"/>
    <w:rsid w:val="00C41A44"/>
    <w:rsid w:val="00C421D2"/>
    <w:rsid w:val="00C4266A"/>
    <w:rsid w:val="00C43FAA"/>
    <w:rsid w:val="00C44120"/>
    <w:rsid w:val="00C4553B"/>
    <w:rsid w:val="00C474F7"/>
    <w:rsid w:val="00C50FFB"/>
    <w:rsid w:val="00C51383"/>
    <w:rsid w:val="00C52AA0"/>
    <w:rsid w:val="00C606C0"/>
    <w:rsid w:val="00C63537"/>
    <w:rsid w:val="00C63B97"/>
    <w:rsid w:val="00C67675"/>
    <w:rsid w:val="00C713D7"/>
    <w:rsid w:val="00C74D7F"/>
    <w:rsid w:val="00C75515"/>
    <w:rsid w:val="00C8023B"/>
    <w:rsid w:val="00C81AC2"/>
    <w:rsid w:val="00C82754"/>
    <w:rsid w:val="00C83D45"/>
    <w:rsid w:val="00C845E6"/>
    <w:rsid w:val="00C859B3"/>
    <w:rsid w:val="00C878E8"/>
    <w:rsid w:val="00C87FB1"/>
    <w:rsid w:val="00C92306"/>
    <w:rsid w:val="00C97546"/>
    <w:rsid w:val="00CA0C3E"/>
    <w:rsid w:val="00CA1540"/>
    <w:rsid w:val="00CA287E"/>
    <w:rsid w:val="00CA44C0"/>
    <w:rsid w:val="00CA44E6"/>
    <w:rsid w:val="00CA5926"/>
    <w:rsid w:val="00CA5FFD"/>
    <w:rsid w:val="00CA6B80"/>
    <w:rsid w:val="00CA73A8"/>
    <w:rsid w:val="00CB084F"/>
    <w:rsid w:val="00CB21C6"/>
    <w:rsid w:val="00CB3DAB"/>
    <w:rsid w:val="00CB4B63"/>
    <w:rsid w:val="00CB532E"/>
    <w:rsid w:val="00CB7FCB"/>
    <w:rsid w:val="00CC00CD"/>
    <w:rsid w:val="00CC2C34"/>
    <w:rsid w:val="00CC5BE0"/>
    <w:rsid w:val="00CC5E3E"/>
    <w:rsid w:val="00CC670C"/>
    <w:rsid w:val="00CC786F"/>
    <w:rsid w:val="00CD080F"/>
    <w:rsid w:val="00CD1A2C"/>
    <w:rsid w:val="00CD4CEE"/>
    <w:rsid w:val="00CD5F34"/>
    <w:rsid w:val="00CE041B"/>
    <w:rsid w:val="00CE33FA"/>
    <w:rsid w:val="00CE3652"/>
    <w:rsid w:val="00CF2CA1"/>
    <w:rsid w:val="00CF2EF6"/>
    <w:rsid w:val="00CF4690"/>
    <w:rsid w:val="00CF6B14"/>
    <w:rsid w:val="00CF7DE3"/>
    <w:rsid w:val="00D004A0"/>
    <w:rsid w:val="00D03273"/>
    <w:rsid w:val="00D04268"/>
    <w:rsid w:val="00D04F45"/>
    <w:rsid w:val="00D054BD"/>
    <w:rsid w:val="00D063D2"/>
    <w:rsid w:val="00D06D43"/>
    <w:rsid w:val="00D1185B"/>
    <w:rsid w:val="00D11E53"/>
    <w:rsid w:val="00D15D40"/>
    <w:rsid w:val="00D16345"/>
    <w:rsid w:val="00D16E36"/>
    <w:rsid w:val="00D16E39"/>
    <w:rsid w:val="00D20C61"/>
    <w:rsid w:val="00D24CC2"/>
    <w:rsid w:val="00D250D0"/>
    <w:rsid w:val="00D31F4A"/>
    <w:rsid w:val="00D32C9D"/>
    <w:rsid w:val="00D35D5C"/>
    <w:rsid w:val="00D361D0"/>
    <w:rsid w:val="00D376C1"/>
    <w:rsid w:val="00D40DDB"/>
    <w:rsid w:val="00D44846"/>
    <w:rsid w:val="00D50796"/>
    <w:rsid w:val="00D5088B"/>
    <w:rsid w:val="00D52852"/>
    <w:rsid w:val="00D53EA2"/>
    <w:rsid w:val="00D55E8F"/>
    <w:rsid w:val="00D56AB8"/>
    <w:rsid w:val="00D57255"/>
    <w:rsid w:val="00D577D1"/>
    <w:rsid w:val="00D63787"/>
    <w:rsid w:val="00D644AA"/>
    <w:rsid w:val="00D64797"/>
    <w:rsid w:val="00D65554"/>
    <w:rsid w:val="00D70679"/>
    <w:rsid w:val="00D710DF"/>
    <w:rsid w:val="00D729F6"/>
    <w:rsid w:val="00D72E9D"/>
    <w:rsid w:val="00D73D62"/>
    <w:rsid w:val="00D74389"/>
    <w:rsid w:val="00D74E75"/>
    <w:rsid w:val="00D76689"/>
    <w:rsid w:val="00D80EB6"/>
    <w:rsid w:val="00D82CE5"/>
    <w:rsid w:val="00D84D9D"/>
    <w:rsid w:val="00D856F4"/>
    <w:rsid w:val="00D9294F"/>
    <w:rsid w:val="00D9457C"/>
    <w:rsid w:val="00DA01E8"/>
    <w:rsid w:val="00DA0FD1"/>
    <w:rsid w:val="00DA17CF"/>
    <w:rsid w:val="00DA1E8F"/>
    <w:rsid w:val="00DA2FF5"/>
    <w:rsid w:val="00DA3452"/>
    <w:rsid w:val="00DA5AB1"/>
    <w:rsid w:val="00DA6EE1"/>
    <w:rsid w:val="00DA72B4"/>
    <w:rsid w:val="00DB12BD"/>
    <w:rsid w:val="00DB2EB1"/>
    <w:rsid w:val="00DB3448"/>
    <w:rsid w:val="00DB44D8"/>
    <w:rsid w:val="00DB49AA"/>
    <w:rsid w:val="00DB5ED4"/>
    <w:rsid w:val="00DB768D"/>
    <w:rsid w:val="00DC32BD"/>
    <w:rsid w:val="00DC3D67"/>
    <w:rsid w:val="00DC578F"/>
    <w:rsid w:val="00DC62E5"/>
    <w:rsid w:val="00DC6ACC"/>
    <w:rsid w:val="00DD160B"/>
    <w:rsid w:val="00DD1C18"/>
    <w:rsid w:val="00DD31A9"/>
    <w:rsid w:val="00DD3432"/>
    <w:rsid w:val="00DD735D"/>
    <w:rsid w:val="00DD7D8D"/>
    <w:rsid w:val="00DE0618"/>
    <w:rsid w:val="00DE1FEF"/>
    <w:rsid w:val="00DE3119"/>
    <w:rsid w:val="00DE6B11"/>
    <w:rsid w:val="00DE6E79"/>
    <w:rsid w:val="00DE70DC"/>
    <w:rsid w:val="00DF0AB4"/>
    <w:rsid w:val="00DF16DA"/>
    <w:rsid w:val="00DF1DAA"/>
    <w:rsid w:val="00DF236B"/>
    <w:rsid w:val="00DF5090"/>
    <w:rsid w:val="00DF6ACD"/>
    <w:rsid w:val="00E000C8"/>
    <w:rsid w:val="00E01453"/>
    <w:rsid w:val="00E017C4"/>
    <w:rsid w:val="00E04C9B"/>
    <w:rsid w:val="00E056B2"/>
    <w:rsid w:val="00E06F42"/>
    <w:rsid w:val="00E07843"/>
    <w:rsid w:val="00E10A6D"/>
    <w:rsid w:val="00E13AB8"/>
    <w:rsid w:val="00E13FD3"/>
    <w:rsid w:val="00E14299"/>
    <w:rsid w:val="00E144AB"/>
    <w:rsid w:val="00E17C49"/>
    <w:rsid w:val="00E17EE1"/>
    <w:rsid w:val="00E21494"/>
    <w:rsid w:val="00E240E7"/>
    <w:rsid w:val="00E2553E"/>
    <w:rsid w:val="00E3090F"/>
    <w:rsid w:val="00E33B62"/>
    <w:rsid w:val="00E36BAD"/>
    <w:rsid w:val="00E36E37"/>
    <w:rsid w:val="00E42CEA"/>
    <w:rsid w:val="00E43A34"/>
    <w:rsid w:val="00E449E0"/>
    <w:rsid w:val="00E45104"/>
    <w:rsid w:val="00E453B7"/>
    <w:rsid w:val="00E52D01"/>
    <w:rsid w:val="00E5557F"/>
    <w:rsid w:val="00E5588F"/>
    <w:rsid w:val="00E60196"/>
    <w:rsid w:val="00E60756"/>
    <w:rsid w:val="00E61E09"/>
    <w:rsid w:val="00E64B60"/>
    <w:rsid w:val="00E66E98"/>
    <w:rsid w:val="00E67E83"/>
    <w:rsid w:val="00E737A7"/>
    <w:rsid w:val="00E768B7"/>
    <w:rsid w:val="00E80C3F"/>
    <w:rsid w:val="00E832F8"/>
    <w:rsid w:val="00E8330E"/>
    <w:rsid w:val="00E83789"/>
    <w:rsid w:val="00E87315"/>
    <w:rsid w:val="00E91477"/>
    <w:rsid w:val="00E915AC"/>
    <w:rsid w:val="00E9178F"/>
    <w:rsid w:val="00E91DA5"/>
    <w:rsid w:val="00E9754A"/>
    <w:rsid w:val="00E9760B"/>
    <w:rsid w:val="00E97CC7"/>
    <w:rsid w:val="00EA04EF"/>
    <w:rsid w:val="00EA1131"/>
    <w:rsid w:val="00EA3483"/>
    <w:rsid w:val="00EA6BEE"/>
    <w:rsid w:val="00EA704D"/>
    <w:rsid w:val="00EA79EB"/>
    <w:rsid w:val="00EB0DF1"/>
    <w:rsid w:val="00EC5F41"/>
    <w:rsid w:val="00EC60CB"/>
    <w:rsid w:val="00EC7B4C"/>
    <w:rsid w:val="00ED0667"/>
    <w:rsid w:val="00ED0F19"/>
    <w:rsid w:val="00ED2EFF"/>
    <w:rsid w:val="00ED3BF4"/>
    <w:rsid w:val="00ED4234"/>
    <w:rsid w:val="00ED7F90"/>
    <w:rsid w:val="00EE094E"/>
    <w:rsid w:val="00EE1CCD"/>
    <w:rsid w:val="00EE4DB7"/>
    <w:rsid w:val="00EE5189"/>
    <w:rsid w:val="00EE776B"/>
    <w:rsid w:val="00EF15DA"/>
    <w:rsid w:val="00EF16DD"/>
    <w:rsid w:val="00EF66D5"/>
    <w:rsid w:val="00EF66D6"/>
    <w:rsid w:val="00F04CC2"/>
    <w:rsid w:val="00F058FE"/>
    <w:rsid w:val="00F05F75"/>
    <w:rsid w:val="00F06B15"/>
    <w:rsid w:val="00F0755F"/>
    <w:rsid w:val="00F109B1"/>
    <w:rsid w:val="00F1157D"/>
    <w:rsid w:val="00F11EDA"/>
    <w:rsid w:val="00F1301C"/>
    <w:rsid w:val="00F13DF7"/>
    <w:rsid w:val="00F155B7"/>
    <w:rsid w:val="00F24361"/>
    <w:rsid w:val="00F277D0"/>
    <w:rsid w:val="00F36E11"/>
    <w:rsid w:val="00F379A3"/>
    <w:rsid w:val="00F42730"/>
    <w:rsid w:val="00F449FE"/>
    <w:rsid w:val="00F44CA3"/>
    <w:rsid w:val="00F46903"/>
    <w:rsid w:val="00F47B8F"/>
    <w:rsid w:val="00F50F9E"/>
    <w:rsid w:val="00F55AA3"/>
    <w:rsid w:val="00F562BD"/>
    <w:rsid w:val="00F57B5D"/>
    <w:rsid w:val="00F608B9"/>
    <w:rsid w:val="00F60DB7"/>
    <w:rsid w:val="00F60E91"/>
    <w:rsid w:val="00F71570"/>
    <w:rsid w:val="00F72BAE"/>
    <w:rsid w:val="00F7558E"/>
    <w:rsid w:val="00F76205"/>
    <w:rsid w:val="00F803F1"/>
    <w:rsid w:val="00F8177B"/>
    <w:rsid w:val="00F81B47"/>
    <w:rsid w:val="00F83B75"/>
    <w:rsid w:val="00F84899"/>
    <w:rsid w:val="00F859F0"/>
    <w:rsid w:val="00F8789E"/>
    <w:rsid w:val="00F92E29"/>
    <w:rsid w:val="00FA06A3"/>
    <w:rsid w:val="00FA0AD1"/>
    <w:rsid w:val="00FA310C"/>
    <w:rsid w:val="00FA3B5A"/>
    <w:rsid w:val="00FA40C0"/>
    <w:rsid w:val="00FA4A30"/>
    <w:rsid w:val="00FA4B7C"/>
    <w:rsid w:val="00FA540E"/>
    <w:rsid w:val="00FA6587"/>
    <w:rsid w:val="00FB0D40"/>
    <w:rsid w:val="00FB301D"/>
    <w:rsid w:val="00FB42FF"/>
    <w:rsid w:val="00FB47F3"/>
    <w:rsid w:val="00FB516F"/>
    <w:rsid w:val="00FB5BF9"/>
    <w:rsid w:val="00FC711A"/>
    <w:rsid w:val="00FD2533"/>
    <w:rsid w:val="00FD3213"/>
    <w:rsid w:val="00FD3A2E"/>
    <w:rsid w:val="00FD4AFF"/>
    <w:rsid w:val="00FD674C"/>
    <w:rsid w:val="00FD7A75"/>
    <w:rsid w:val="00FD7C89"/>
    <w:rsid w:val="00FE0DC4"/>
    <w:rsid w:val="00FE125A"/>
    <w:rsid w:val="00FE141E"/>
    <w:rsid w:val="00FE24F4"/>
    <w:rsid w:val="00FE2A33"/>
    <w:rsid w:val="00FE46AA"/>
    <w:rsid w:val="00FE5ECC"/>
    <w:rsid w:val="00FE674D"/>
    <w:rsid w:val="00FF3657"/>
    <w:rsid w:val="00FF417D"/>
    <w:rsid w:val="00FF49BD"/>
    <w:rsid w:val="00FF4A64"/>
    <w:rsid w:val="00FF66DD"/>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B1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55E552CB-207F-4BCF-8E21-2E0339EF4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20697A-B701-EE4D-B519-4E7F041353B6}">
  <ds:schemaRefs>
    <ds:schemaRef ds:uri="http://schemas.openxmlformats.org/officeDocument/2006/bibliography"/>
  </ds:schemaRefs>
</ds:datastoreItem>
</file>

<file path=customXml/itemProps4.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90</TotalTime>
  <Pages>14</Pages>
  <Words>4846</Words>
  <Characters>26654</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David Montoya Penagos</cp:lastModifiedBy>
  <cp:revision>30</cp:revision>
  <dcterms:created xsi:type="dcterms:W3CDTF">2020-12-20T20:19:00Z</dcterms:created>
  <dcterms:modified xsi:type="dcterms:W3CDTF">2020-12-21T13:25:00Z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