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553D7" w14:textId="77777777" w:rsidR="005C2D6E" w:rsidRPr="00081701" w:rsidRDefault="005C2D6E" w:rsidP="005C2D6E">
      <w:pPr>
        <w:spacing w:after="0" w:line="240" w:lineRule="auto"/>
        <w:jc w:val="both"/>
        <w:rPr>
          <w:rFonts w:ascii="Verdana" w:eastAsia="Calibri" w:hAnsi="Verdana" w:cs="Arial"/>
          <w:b/>
          <w:bCs/>
          <w:color w:val="000000" w:themeColor="text1"/>
          <w:lang w:val="es-ES"/>
        </w:rPr>
      </w:pPr>
      <w:bookmarkStart w:id="0" w:name="_Hlk35420410"/>
      <w:r w:rsidRPr="00081701">
        <w:rPr>
          <w:rFonts w:ascii="Verdana" w:eastAsia="Calibri" w:hAnsi="Verdana" w:cs="Arial"/>
          <w:b/>
          <w:bCs/>
          <w:color w:val="000000" w:themeColor="text1"/>
          <w:lang w:val="es-ES"/>
        </w:rPr>
        <w:t xml:space="preserve">OBRA PÚBLICA </w:t>
      </w:r>
      <w:r w:rsidRPr="00081701">
        <w:rPr>
          <w:rFonts w:ascii="Verdana" w:eastAsia="Calibri" w:hAnsi="Verdana" w:cs="Arial"/>
          <w:b/>
          <w:bCs/>
          <w:color w:val="000000" w:themeColor="text1"/>
        </w:rPr>
        <w:t xml:space="preserve">– </w:t>
      </w:r>
      <w:r w:rsidRPr="00081701">
        <w:rPr>
          <w:rFonts w:ascii="Verdana" w:eastAsia="Calibri" w:hAnsi="Verdana" w:cs="Arial"/>
          <w:b/>
          <w:bCs/>
          <w:color w:val="000000" w:themeColor="text1"/>
          <w:lang w:val="es-ES"/>
        </w:rPr>
        <w:t xml:space="preserve">Trabajos materiales </w:t>
      </w:r>
      <w:r w:rsidRPr="00081701">
        <w:rPr>
          <w:rFonts w:ascii="Verdana" w:eastAsia="Calibri" w:hAnsi="Verdana" w:cs="Arial"/>
          <w:b/>
          <w:bCs/>
          <w:color w:val="000000" w:themeColor="text1"/>
        </w:rPr>
        <w:t>– B</w:t>
      </w:r>
      <w:proofErr w:type="spellStart"/>
      <w:r w:rsidRPr="00081701">
        <w:rPr>
          <w:rFonts w:ascii="Verdana" w:eastAsia="Calibri" w:hAnsi="Verdana" w:cs="Arial"/>
          <w:b/>
          <w:bCs/>
          <w:color w:val="000000" w:themeColor="text1"/>
          <w:lang w:val="es-ES"/>
        </w:rPr>
        <w:t>ienes</w:t>
      </w:r>
      <w:proofErr w:type="spellEnd"/>
      <w:r w:rsidRPr="00081701">
        <w:rPr>
          <w:rFonts w:ascii="Verdana" w:eastAsia="Calibri" w:hAnsi="Verdana" w:cs="Arial"/>
          <w:b/>
          <w:bCs/>
          <w:color w:val="000000" w:themeColor="text1"/>
          <w:lang w:val="es-ES"/>
        </w:rPr>
        <w:t xml:space="preserve"> inmuebles</w:t>
      </w:r>
    </w:p>
    <w:bookmarkEnd w:id="0"/>
    <w:p w14:paraId="0A2E1DE6"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_tradnl"/>
        </w:rPr>
      </w:pPr>
    </w:p>
    <w:p w14:paraId="263DBC47"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
        </w:rPr>
      </w:pPr>
      <w:r w:rsidRPr="00081701">
        <w:rPr>
          <w:rFonts w:ascii="Verdana" w:eastAsia="Calibri" w:hAnsi="Verdana" w:cs="Arial"/>
          <w:color w:val="000000" w:themeColor="text1"/>
          <w:sz w:val="20"/>
          <w:szCs w:val="20"/>
          <w:lang w:val="es-ES"/>
        </w:rPr>
        <w:t xml:space="preserve">En </w:t>
      </w:r>
      <w:r w:rsidRPr="00081701">
        <w:rPr>
          <w:rFonts w:ascii="Verdana" w:eastAsia="Calibri" w:hAnsi="Verdana" w:cs="Arial"/>
          <w:i/>
          <w:iCs/>
          <w:color w:val="000000" w:themeColor="text1"/>
          <w:sz w:val="20"/>
          <w:szCs w:val="20"/>
          <w:lang w:val="es-ES"/>
        </w:rPr>
        <w:t>sentido amplio</w:t>
      </w:r>
      <w:r w:rsidRPr="00081701">
        <w:rPr>
          <w:rFonts w:ascii="Verdana" w:eastAsia="Calibri" w:hAnsi="Verdana" w:cs="Arial"/>
          <w:color w:val="000000" w:themeColor="text1"/>
          <w:sz w:val="20"/>
          <w:szCs w:val="20"/>
          <w:lang w:val="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081701">
        <w:rPr>
          <w:rFonts w:ascii="Verdana" w:eastAsia="Calibri" w:hAnsi="Verdana" w:cs="Arial"/>
          <w:i/>
          <w:iCs/>
          <w:color w:val="000000" w:themeColor="text1"/>
          <w:sz w:val="20"/>
          <w:szCs w:val="20"/>
          <w:lang w:val="es-ES"/>
        </w:rPr>
        <w:t>sentido restringido</w:t>
      </w:r>
      <w:r w:rsidRPr="00081701">
        <w:rPr>
          <w:rFonts w:ascii="Verdana" w:eastAsia="Calibri" w:hAnsi="Verdana" w:cs="Arial"/>
          <w:color w:val="000000" w:themeColor="text1"/>
          <w:sz w:val="20"/>
          <w:szCs w:val="20"/>
          <w:lang w:val="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296CB159"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_tradnl"/>
        </w:rPr>
      </w:pPr>
    </w:p>
    <w:p w14:paraId="49DC6B73" w14:textId="77777777" w:rsidR="005C2D6E" w:rsidRPr="00081701" w:rsidRDefault="005C2D6E" w:rsidP="005C2D6E">
      <w:pPr>
        <w:spacing w:after="0" w:line="240" w:lineRule="auto"/>
        <w:jc w:val="both"/>
        <w:rPr>
          <w:rFonts w:ascii="Verdana" w:eastAsia="Calibri" w:hAnsi="Verdana" w:cs="Arial"/>
          <w:b/>
          <w:bCs/>
          <w:color w:val="000000" w:themeColor="text1"/>
          <w:lang w:val="es-ES"/>
        </w:rPr>
      </w:pPr>
      <w:r w:rsidRPr="00081701">
        <w:rPr>
          <w:rFonts w:ascii="Verdana" w:eastAsia="Calibri" w:hAnsi="Verdana" w:cs="Arial"/>
          <w:b/>
          <w:bCs/>
          <w:color w:val="000000" w:themeColor="text1"/>
          <w:lang w:val="es-ES"/>
        </w:rPr>
        <w:t xml:space="preserve">INMUEBLES POR ADHESIÓN </w:t>
      </w:r>
      <w:r w:rsidRPr="00081701">
        <w:rPr>
          <w:rFonts w:ascii="Verdana" w:eastAsia="Calibri" w:hAnsi="Verdana" w:cs="Arial"/>
          <w:b/>
          <w:bCs/>
          <w:color w:val="000000" w:themeColor="text1"/>
        </w:rPr>
        <w:t xml:space="preserve">– </w:t>
      </w:r>
      <w:r w:rsidRPr="00081701">
        <w:rPr>
          <w:rFonts w:ascii="Verdana" w:eastAsia="Calibri" w:hAnsi="Verdana" w:cs="Arial"/>
          <w:b/>
          <w:bCs/>
          <w:color w:val="000000" w:themeColor="text1"/>
          <w:lang w:val="es-ES"/>
        </w:rPr>
        <w:t xml:space="preserve">Árboles </w:t>
      </w:r>
      <w:r w:rsidRPr="00081701">
        <w:rPr>
          <w:rFonts w:ascii="Verdana" w:eastAsia="Calibri" w:hAnsi="Verdana" w:cs="Arial"/>
          <w:b/>
          <w:bCs/>
          <w:color w:val="000000" w:themeColor="text1"/>
        </w:rPr>
        <w:t>–</w:t>
      </w:r>
      <w:r w:rsidRPr="00081701">
        <w:rPr>
          <w:rFonts w:ascii="Verdana" w:eastAsia="Calibri" w:hAnsi="Verdana" w:cs="Arial"/>
          <w:b/>
          <w:bCs/>
          <w:color w:val="000000" w:themeColor="text1"/>
          <w:lang w:val="es-ES"/>
        </w:rPr>
        <w:t xml:space="preserve"> Plantas </w:t>
      </w:r>
    </w:p>
    <w:p w14:paraId="2813013E"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_tradnl"/>
        </w:rPr>
      </w:pPr>
    </w:p>
    <w:p w14:paraId="7C237D3D"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
        </w:rPr>
      </w:pPr>
      <w:r w:rsidRPr="00081701">
        <w:rPr>
          <w:rFonts w:ascii="Verdana" w:eastAsia="Calibri" w:hAnsi="Verdana" w:cs="Arial"/>
          <w:color w:val="000000" w:themeColor="text1"/>
          <w:sz w:val="20"/>
          <w:szCs w:val="20"/>
          <w:lang w:val="es-ES"/>
        </w:rPr>
        <w:t xml:space="preserve">[…] </w:t>
      </w:r>
      <w:r w:rsidRPr="00081701">
        <w:rPr>
          <w:rFonts w:ascii="Verdana" w:eastAsia="Calibri" w:hAnsi="Verdana" w:cs="Arial"/>
          <w:color w:val="000000" w:themeColor="text1"/>
          <w:sz w:val="20"/>
          <w:szCs w:val="20"/>
          <w:lang w:val="es-ES_tradnl"/>
        </w:rPr>
        <w:t xml:space="preserve">siempre que se cumplan las condiciones de los artículos 656 y 657 del Código Civil, tanto los árboles como las plantas son considerados por el ordenamiento jurídico como </w:t>
      </w:r>
      <w:r w:rsidRPr="00081701">
        <w:rPr>
          <w:rFonts w:ascii="Verdana" w:eastAsia="Calibri" w:hAnsi="Verdana" w:cs="Arial"/>
          <w:i/>
          <w:iCs/>
          <w:color w:val="000000" w:themeColor="text1"/>
          <w:sz w:val="20"/>
          <w:szCs w:val="20"/>
          <w:lang w:val="es-ES_tradnl"/>
        </w:rPr>
        <w:t>inmuebles por adhesión</w:t>
      </w:r>
      <w:r w:rsidRPr="00081701">
        <w:rPr>
          <w:rFonts w:ascii="Verdana" w:eastAsia="Calibri" w:hAnsi="Verdana" w:cs="Arial"/>
          <w:color w:val="000000" w:themeColor="text1"/>
          <w:sz w:val="20"/>
          <w:szCs w:val="20"/>
          <w:lang w:val="es-ES_tradnl"/>
        </w:rPr>
        <w:t xml:space="preserve">; razón por la cual, sobre ellas recaen las actividades previstas en el antecitado numeral 1 del artículo 32 del Estatuto General de Contratación, referente al contrato de obra pública. Este carácter de inmuebles se extiende a los productos y frutos de los árboles mientras permanezcan unidos al bien que los produce. No obstante, conforme al artículo 659 del Código, estos últimos se consideran </w:t>
      </w:r>
      <w:r w:rsidRPr="00081701">
        <w:rPr>
          <w:rFonts w:ascii="Verdana" w:eastAsia="Calibri" w:hAnsi="Verdana" w:cs="Arial"/>
          <w:i/>
          <w:iCs/>
          <w:color w:val="000000" w:themeColor="text1"/>
          <w:sz w:val="20"/>
          <w:szCs w:val="20"/>
          <w:lang w:val="es-ES_tradnl"/>
        </w:rPr>
        <w:t>muebles por anticipación</w:t>
      </w:r>
      <w:r w:rsidRPr="00081701">
        <w:rPr>
          <w:rFonts w:ascii="Verdana" w:eastAsia="Calibri" w:hAnsi="Verdana" w:cs="Arial"/>
          <w:color w:val="000000" w:themeColor="text1"/>
          <w:sz w:val="20"/>
          <w:szCs w:val="20"/>
          <w:lang w:val="es-ES_tradnl"/>
        </w:rPr>
        <w:t xml:space="preserve"> para el efecto de constituir un derecho sobre dichos productos o cosas a otra persona que el dueño. Sólo en este último evento, la madera y los frutos de los árboles se consideran muebles, incluso, cuando estén adheridos al inmueble, de manera que sólo está hipótesis es posible acudir a tipologías contractuales diferentes a la obra, como la compraventa, el suministro, la prestación de servicios, entre otras.   </w:t>
      </w:r>
    </w:p>
    <w:p w14:paraId="78888591" w14:textId="77777777" w:rsidR="005C2D6E" w:rsidRPr="00081701" w:rsidRDefault="005C2D6E" w:rsidP="005C2D6E">
      <w:pPr>
        <w:tabs>
          <w:tab w:val="left" w:pos="426"/>
        </w:tabs>
        <w:spacing w:after="0" w:line="240" w:lineRule="auto"/>
        <w:jc w:val="both"/>
        <w:rPr>
          <w:rFonts w:ascii="Verdana" w:eastAsia="Geomanist Light" w:hAnsi="Verdana" w:cs="Arial"/>
          <w:sz w:val="20"/>
          <w:szCs w:val="20"/>
          <w:lang w:val="es-MX"/>
        </w:rPr>
      </w:pPr>
    </w:p>
    <w:p w14:paraId="287907FC" w14:textId="77777777" w:rsidR="005C2D6E" w:rsidRPr="00081701" w:rsidRDefault="005C2D6E" w:rsidP="005C2D6E">
      <w:pPr>
        <w:spacing w:after="0" w:line="240" w:lineRule="auto"/>
        <w:jc w:val="both"/>
        <w:rPr>
          <w:rFonts w:ascii="Verdana" w:eastAsia="Geomanist Light" w:hAnsi="Verdana" w:cs="Arial"/>
          <w:b/>
          <w:color w:val="000000" w:themeColor="text1"/>
          <w:lang w:val="es-ES"/>
        </w:rPr>
      </w:pPr>
      <w:r w:rsidRPr="00081701">
        <w:rPr>
          <w:rFonts w:ascii="Verdana" w:eastAsia="Geomanist Light" w:hAnsi="Verdana" w:cs="Arial"/>
          <w:b/>
          <w:color w:val="000000" w:themeColor="text1"/>
          <w:lang w:val="es-ES"/>
        </w:rPr>
        <w:t xml:space="preserve">GARANTÍAS – Contratación estatal – Constitución de garantías – Finalidad – Cumplimiento – Obligaciones contractuales </w:t>
      </w:r>
    </w:p>
    <w:p w14:paraId="46340F36" w14:textId="77777777" w:rsidR="005C2D6E" w:rsidRPr="00081701" w:rsidRDefault="005C2D6E" w:rsidP="005C2D6E">
      <w:pPr>
        <w:spacing w:after="0" w:line="240" w:lineRule="auto"/>
        <w:jc w:val="both"/>
        <w:rPr>
          <w:rFonts w:ascii="Verdana" w:eastAsia="Geomanist Light" w:hAnsi="Verdana" w:cs="Arial"/>
          <w:bCs/>
          <w:color w:val="000000" w:themeColor="text1"/>
          <w:sz w:val="20"/>
          <w:szCs w:val="20"/>
          <w:lang w:val="es-ES"/>
        </w:rPr>
      </w:pPr>
    </w:p>
    <w:p w14:paraId="56385B17" w14:textId="77777777" w:rsidR="005C2D6E" w:rsidRPr="00081701" w:rsidRDefault="005C2D6E" w:rsidP="005C2D6E">
      <w:pPr>
        <w:spacing w:after="0" w:line="240" w:lineRule="auto"/>
        <w:jc w:val="both"/>
        <w:rPr>
          <w:rFonts w:ascii="Verdana" w:eastAsia="Geomanist Light" w:hAnsi="Verdana" w:cs="Arial"/>
          <w:color w:val="000000" w:themeColor="text1"/>
          <w:sz w:val="20"/>
          <w:szCs w:val="20"/>
          <w:lang w:val="es-ES_tradnl"/>
        </w:rPr>
      </w:pPr>
      <w:r w:rsidRPr="00081701">
        <w:rPr>
          <w:rFonts w:ascii="Verdana" w:eastAsia="Geomanist Light" w:hAnsi="Verdana" w:cs="Arial"/>
          <w:color w:val="000000" w:themeColor="text1"/>
          <w:sz w:val="20"/>
          <w:szCs w:val="20"/>
          <w:lang w:val="es-ES_tradnl"/>
        </w:rPr>
        <w:t xml:space="preserve">El Estatuto General de Contratación de la Administración Pública exige, por regla general, en los procesos de contratación pública </w:t>
      </w:r>
      <w:r w:rsidRPr="00081701">
        <w:rPr>
          <w:rFonts w:ascii="Verdana" w:eastAsia="Geomanist Light" w:hAnsi="Verdana" w:cs="Arial"/>
          <w:color w:val="000000" w:themeColor="text1"/>
          <w:sz w:val="20"/>
          <w:szCs w:val="20"/>
          <w:lang w:val="es-ES"/>
        </w:rPr>
        <w:t>la constitución de garantías con el fin de evitar o mitigar posibles riesgos</w:t>
      </w:r>
      <w:r w:rsidRPr="00081701">
        <w:rPr>
          <w:rFonts w:ascii="Verdana" w:eastAsia="Geomanist Light" w:hAnsi="Verdana" w:cs="Arial"/>
          <w:color w:val="000000" w:themeColor="text1"/>
          <w:sz w:val="20"/>
          <w:szCs w:val="20"/>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4B0B5E57" w14:textId="77777777" w:rsidR="005C2D6E" w:rsidRPr="00081701" w:rsidRDefault="005C2D6E" w:rsidP="005C2D6E">
      <w:pPr>
        <w:spacing w:after="0" w:line="240" w:lineRule="auto"/>
        <w:jc w:val="both"/>
        <w:rPr>
          <w:rFonts w:ascii="Verdana" w:eastAsia="Geomanist Light" w:hAnsi="Verdana" w:cs="Arial"/>
          <w:color w:val="000000" w:themeColor="text1"/>
          <w:sz w:val="20"/>
          <w:szCs w:val="20"/>
          <w:lang w:val="es-ES_tradnl"/>
        </w:rPr>
      </w:pPr>
    </w:p>
    <w:p w14:paraId="0E2F1968" w14:textId="77777777" w:rsidR="005C2D6E" w:rsidRPr="00081701" w:rsidRDefault="005C2D6E" w:rsidP="005C2D6E">
      <w:pPr>
        <w:spacing w:after="0" w:line="240" w:lineRule="auto"/>
        <w:jc w:val="both"/>
        <w:rPr>
          <w:rFonts w:ascii="Verdana" w:eastAsia="Geomanist Light" w:hAnsi="Verdana" w:cs="Arial"/>
          <w:b/>
          <w:color w:val="000000" w:themeColor="text1"/>
          <w:lang w:val="es-ES"/>
        </w:rPr>
      </w:pPr>
      <w:r w:rsidRPr="00081701">
        <w:rPr>
          <w:rFonts w:ascii="Verdana" w:eastAsia="Geomanist Light" w:hAnsi="Verdana" w:cs="Arial"/>
          <w:b/>
          <w:color w:val="000000" w:themeColor="text1"/>
          <w:lang w:val="es-ES"/>
        </w:rPr>
        <w:t>GARANTÍA DE CUMPLIMIENTO – Amparos – Finalidad</w:t>
      </w:r>
    </w:p>
    <w:p w14:paraId="3FEE708A" w14:textId="77777777" w:rsidR="005C2D6E" w:rsidRPr="00081701" w:rsidRDefault="005C2D6E" w:rsidP="005C2D6E">
      <w:pPr>
        <w:spacing w:after="0" w:line="240" w:lineRule="auto"/>
        <w:jc w:val="both"/>
        <w:rPr>
          <w:rFonts w:ascii="Verdana" w:eastAsia="Geomanist Light" w:hAnsi="Verdana" w:cs="Arial"/>
          <w:b/>
          <w:color w:val="000000" w:themeColor="text1"/>
          <w:sz w:val="20"/>
          <w:szCs w:val="20"/>
          <w:lang w:val="es-ES"/>
        </w:rPr>
      </w:pPr>
    </w:p>
    <w:p w14:paraId="39603C18" w14:textId="77777777" w:rsidR="005C2D6E" w:rsidRPr="00081701" w:rsidRDefault="005C2D6E" w:rsidP="005C2D6E">
      <w:pPr>
        <w:spacing w:after="0" w:line="240" w:lineRule="auto"/>
        <w:jc w:val="both"/>
        <w:rPr>
          <w:rFonts w:ascii="Verdana" w:hAnsi="Verdana" w:cs="Arial"/>
          <w:bCs/>
          <w:color w:val="000000"/>
          <w:sz w:val="20"/>
          <w:szCs w:val="20"/>
          <w:lang w:val="es-ES_tradnl" w:eastAsia="es-MX"/>
        </w:rPr>
      </w:pPr>
      <w:r w:rsidRPr="00081701">
        <w:rPr>
          <w:rFonts w:ascii="Verdana" w:hAnsi="Verdana" w:cs="Arial"/>
          <w:bCs/>
          <w:color w:val="000000"/>
          <w:sz w:val="20"/>
          <w:szCs w:val="20"/>
          <w:lang w:val="es-ES_tradnl" w:eastAsia="es-MX"/>
        </w:rPr>
        <w:lastRenderedPageBreak/>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3BEE3604" w14:textId="77777777" w:rsidR="005C2D6E" w:rsidRPr="00081701" w:rsidRDefault="005C2D6E" w:rsidP="005C2D6E">
      <w:pPr>
        <w:spacing w:after="0" w:line="240" w:lineRule="auto"/>
        <w:jc w:val="both"/>
        <w:rPr>
          <w:rFonts w:ascii="Verdana" w:hAnsi="Verdana" w:cs="Arial"/>
          <w:bCs/>
          <w:color w:val="000000"/>
          <w:sz w:val="20"/>
          <w:szCs w:val="20"/>
          <w:lang w:val="es-ES_tradnl" w:eastAsia="es-MX"/>
        </w:rPr>
      </w:pPr>
    </w:p>
    <w:p w14:paraId="3C9B145D" w14:textId="77777777" w:rsidR="005C2D6E" w:rsidRPr="00081701" w:rsidRDefault="005C2D6E" w:rsidP="005C2D6E">
      <w:pPr>
        <w:spacing w:after="0" w:line="240" w:lineRule="auto"/>
        <w:jc w:val="both"/>
        <w:rPr>
          <w:rFonts w:ascii="Verdana" w:hAnsi="Verdana" w:cs="Arial"/>
          <w:bCs/>
          <w:color w:val="000000"/>
          <w:sz w:val="20"/>
          <w:szCs w:val="20"/>
          <w:lang w:val="es-ES_tradnl" w:eastAsia="es-MX"/>
        </w:rPr>
      </w:pPr>
      <w:r w:rsidRPr="00081701">
        <w:rPr>
          <w:rFonts w:ascii="Verdana" w:hAnsi="Verdana" w:cs="Arial"/>
          <w:bCs/>
          <w:color w:val="000000"/>
          <w:sz w:val="20"/>
          <w:szCs w:val="20"/>
          <w:lang w:val="es-ES_tradnl" w:eastAsia="es-MX"/>
        </w:rPr>
        <w:t>En efecto, según el 2.2.1.2.3.1.7. del Decreto 1082 de 2015,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2469169E" w14:textId="77777777" w:rsidR="005C2D6E" w:rsidRPr="00081701" w:rsidRDefault="005C2D6E" w:rsidP="005C2D6E">
      <w:pPr>
        <w:tabs>
          <w:tab w:val="left" w:pos="426"/>
        </w:tabs>
        <w:spacing w:after="0" w:line="240" w:lineRule="auto"/>
        <w:jc w:val="both"/>
        <w:rPr>
          <w:rFonts w:ascii="Verdana" w:hAnsi="Verdana" w:cs="Arial"/>
          <w:b/>
          <w:sz w:val="20"/>
          <w:szCs w:val="20"/>
          <w:lang w:val="es-ES_tradnl" w:eastAsia="es-CO"/>
        </w:rPr>
      </w:pPr>
    </w:p>
    <w:p w14:paraId="6E957546" w14:textId="77777777" w:rsidR="005C2D6E" w:rsidRPr="00081701" w:rsidRDefault="005C2D6E" w:rsidP="005C2D6E">
      <w:pPr>
        <w:tabs>
          <w:tab w:val="left" w:pos="426"/>
        </w:tabs>
        <w:spacing w:after="0" w:line="240" w:lineRule="auto"/>
        <w:jc w:val="both"/>
        <w:rPr>
          <w:rFonts w:ascii="Verdana" w:hAnsi="Verdana" w:cs="Arial"/>
          <w:b/>
          <w:lang w:eastAsia="es-CO"/>
        </w:rPr>
      </w:pPr>
      <w:r w:rsidRPr="00081701">
        <w:rPr>
          <w:rFonts w:ascii="Verdana" w:hAnsi="Verdana" w:cs="Arial"/>
          <w:b/>
          <w:lang w:eastAsia="es-CO"/>
        </w:rPr>
        <w:t xml:space="preserve">GARANTÍA DE ESTABILIDAD Y CALIDAD DE LA OBRA – Riesgo cubierto </w:t>
      </w:r>
    </w:p>
    <w:p w14:paraId="76C10260" w14:textId="77777777" w:rsidR="005C2D6E" w:rsidRPr="00081701" w:rsidRDefault="005C2D6E" w:rsidP="005C2D6E">
      <w:pPr>
        <w:tabs>
          <w:tab w:val="left" w:pos="426"/>
        </w:tabs>
        <w:spacing w:after="0" w:line="240" w:lineRule="auto"/>
        <w:jc w:val="both"/>
        <w:rPr>
          <w:rFonts w:ascii="Verdana" w:hAnsi="Verdana" w:cs="Arial"/>
          <w:b/>
          <w:sz w:val="20"/>
          <w:szCs w:val="20"/>
          <w:lang w:eastAsia="es-CO"/>
        </w:rPr>
      </w:pPr>
    </w:p>
    <w:p w14:paraId="65851821"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_tradnl"/>
        </w:rPr>
      </w:pPr>
      <w:r w:rsidRPr="00081701">
        <w:rPr>
          <w:rFonts w:ascii="Verdana" w:hAnsi="Verdana" w:cs="Arial"/>
          <w:bCs/>
          <w:sz w:val="20"/>
          <w:szCs w:val="20"/>
          <w:lang w:eastAsia="es-CO"/>
        </w:rPr>
        <w:t xml:space="preserve">[…] </w:t>
      </w:r>
      <w:r w:rsidRPr="00081701">
        <w:rPr>
          <w:rFonts w:ascii="Verdana" w:eastAsia="Calibri" w:hAnsi="Verdana" w:cs="Arial"/>
          <w:color w:val="000000" w:themeColor="text1"/>
          <w:sz w:val="20"/>
          <w:szCs w:val="20"/>
        </w:rPr>
        <w:t>el amparo de estabilidad y calidad de la obra supone una de las garantías cubiertas por la garantía única de cumplimiento. Tratándose del amparo de estabilidad y calidad de la obra, sin perjuicio de la</w:t>
      </w:r>
      <w:r w:rsidRPr="00081701">
        <w:rPr>
          <w:rFonts w:ascii="Verdana" w:eastAsia="Calibri" w:hAnsi="Verdana" w:cs="Arial"/>
          <w:color w:val="000000" w:themeColor="text1"/>
          <w:sz w:val="20"/>
          <w:szCs w:val="20"/>
          <w:lang w:val="es-ES_tradnl"/>
        </w:rPr>
        <w:t xml:space="preserve"> garantía decenal de que trata el artículo 2060.3 del Código Civil, el numeral 5 del artículo 2.2.1.3.1.7 del Decreto 1082 de 2015 dispone que “</w:t>
      </w:r>
      <w:r w:rsidRPr="00081701">
        <w:rPr>
          <w:rFonts w:ascii="Verdana" w:hAnsi="Verdana"/>
          <w:color w:val="000000" w:themeColor="text1"/>
          <w:sz w:val="20"/>
          <w:szCs w:val="20"/>
          <w:lang w:val="es-MX"/>
        </w:rPr>
        <w:t xml:space="preserve">[…] </w:t>
      </w:r>
      <w:r w:rsidRPr="00081701">
        <w:rPr>
          <w:rFonts w:ascii="Verdana" w:eastAsia="Calibri" w:hAnsi="Verdana" w:cs="Arial"/>
          <w:color w:val="000000" w:themeColor="text1"/>
          <w:sz w:val="20"/>
          <w:szCs w:val="20"/>
          <w:lang w:val="es-ES_tradnl"/>
        </w:rPr>
        <w:t>cubre a la Entidad Estatal de los perjuicios ocasionados por cualquier tipo de daño o deterioro, imputable al contratista, sufrido por la obra entregada a satisfacción”.</w:t>
      </w:r>
    </w:p>
    <w:p w14:paraId="3DFBA28C" w14:textId="77777777" w:rsidR="005C2D6E" w:rsidRPr="00081701" w:rsidRDefault="005C2D6E" w:rsidP="005C2D6E">
      <w:pPr>
        <w:spacing w:after="0" w:line="240" w:lineRule="auto"/>
        <w:jc w:val="both"/>
        <w:rPr>
          <w:rFonts w:ascii="Verdana" w:eastAsia="Calibri" w:hAnsi="Verdana" w:cs="Arial"/>
          <w:color w:val="000000" w:themeColor="text1"/>
          <w:sz w:val="20"/>
          <w:szCs w:val="20"/>
          <w:lang w:val="es-ES_tradnl"/>
        </w:rPr>
      </w:pPr>
    </w:p>
    <w:p w14:paraId="7997B8A9" w14:textId="77777777" w:rsidR="005C2D6E" w:rsidRPr="00081701" w:rsidRDefault="005C2D6E" w:rsidP="005C2D6E">
      <w:pPr>
        <w:spacing w:after="0" w:line="240" w:lineRule="auto"/>
        <w:jc w:val="both"/>
        <w:rPr>
          <w:rFonts w:ascii="Verdana" w:eastAsia="Geomanist Light" w:hAnsi="Verdana" w:cs="Arial"/>
          <w:sz w:val="20"/>
          <w:szCs w:val="20"/>
        </w:rPr>
      </w:pPr>
      <w:r w:rsidRPr="00081701">
        <w:rPr>
          <w:rFonts w:ascii="Verdana" w:hAnsi="Verdana" w:cs="Arial"/>
          <w:bCs/>
          <w:sz w:val="20"/>
          <w:szCs w:val="20"/>
          <w:lang w:eastAsia="es-CO"/>
        </w:rPr>
        <w:t xml:space="preserve">[…] </w:t>
      </w:r>
      <w:r w:rsidRPr="00081701">
        <w:rPr>
          <w:rFonts w:ascii="Verdana" w:hAnsi="Verdana" w:cs="Arial"/>
          <w:sz w:val="20"/>
          <w:szCs w:val="20"/>
        </w:rPr>
        <w:t>La Jurisprudencia del Consejo de Estado ha señalado que, el amparo de la póliza de cumplimiento relativo a la estabilidad de la obra tiene como finalidad garantizar la reparación de los daños que se presenten luego de que haya sido recibida a satisfacción, y que no se evidencian en el momento de la entrega. El constructor debe reparar estos daños, y este amparo se incluye precisamente para garantizar el cumplimiento de esta obligación. El amparo se hace efectivo con la sola demostración de la ocurrencia de daños posteriores en la obra y del valor de su reparación. Por esta vía no puede obtenerse la reparación de daños imputables al incumplimiento de las obligaciones del contratista conocidos por la entidad antes de la terminación del contrato</w:t>
      </w:r>
    </w:p>
    <w:p w14:paraId="4C942980" w14:textId="77777777" w:rsidR="005C2D6E" w:rsidRPr="00081701" w:rsidRDefault="005C2D6E" w:rsidP="005C2D6E">
      <w:pPr>
        <w:spacing w:after="0" w:line="240" w:lineRule="auto"/>
        <w:jc w:val="both"/>
        <w:rPr>
          <w:rFonts w:ascii="Verdana" w:eastAsia="Geomanist Light" w:hAnsi="Verdana" w:cs="Arial"/>
          <w:bCs/>
          <w:color w:val="000000" w:themeColor="text1"/>
          <w:sz w:val="20"/>
          <w:szCs w:val="20"/>
        </w:rPr>
      </w:pPr>
    </w:p>
    <w:p w14:paraId="6B08E1F3" w14:textId="77777777" w:rsidR="005C2D6E" w:rsidRPr="00081701" w:rsidRDefault="005C2D6E" w:rsidP="005C2D6E">
      <w:pPr>
        <w:tabs>
          <w:tab w:val="left" w:pos="709"/>
        </w:tabs>
        <w:spacing w:after="0" w:line="240" w:lineRule="auto"/>
        <w:jc w:val="both"/>
        <w:rPr>
          <w:rFonts w:ascii="Verdana" w:eastAsia="Calibri" w:hAnsi="Verdana" w:cs="Arial"/>
          <w:b/>
          <w:bCs/>
          <w:color w:val="000000" w:themeColor="text1"/>
          <w:lang w:val="es-ES"/>
        </w:rPr>
      </w:pPr>
      <w:r w:rsidRPr="00081701">
        <w:rPr>
          <w:rFonts w:ascii="Verdana" w:eastAsia="Calibri" w:hAnsi="Verdana" w:cs="Arial"/>
          <w:b/>
          <w:bCs/>
          <w:color w:val="000000" w:themeColor="text1"/>
          <w:lang w:val="es-ES"/>
        </w:rPr>
        <w:t>RESPONSABILIDAD CIVIL EXTRACONTRACTUAL – Garantías – Póliza – Normativa</w:t>
      </w:r>
    </w:p>
    <w:p w14:paraId="4ED107EF" w14:textId="77777777" w:rsidR="005C2D6E" w:rsidRPr="00081701" w:rsidRDefault="005C2D6E" w:rsidP="005C2D6E">
      <w:pPr>
        <w:widowControl w:val="0"/>
        <w:autoSpaceDE w:val="0"/>
        <w:autoSpaceDN w:val="0"/>
        <w:spacing w:after="0" w:line="240" w:lineRule="auto"/>
        <w:jc w:val="both"/>
        <w:rPr>
          <w:rFonts w:ascii="Verdana" w:hAnsi="Verdana" w:cs="Arial"/>
          <w:sz w:val="20"/>
          <w:szCs w:val="20"/>
        </w:rPr>
      </w:pPr>
    </w:p>
    <w:p w14:paraId="442A41F4" w14:textId="77777777" w:rsidR="005C2D6E" w:rsidRPr="00081701" w:rsidRDefault="005C2D6E" w:rsidP="005C2D6E">
      <w:pPr>
        <w:widowControl w:val="0"/>
        <w:autoSpaceDE w:val="0"/>
        <w:autoSpaceDN w:val="0"/>
        <w:spacing w:after="0" w:line="240" w:lineRule="auto"/>
        <w:jc w:val="both"/>
        <w:rPr>
          <w:rFonts w:ascii="Verdana" w:hAnsi="Verdana" w:cs="Arial"/>
          <w:sz w:val="20"/>
          <w:szCs w:val="20"/>
        </w:rPr>
      </w:pPr>
      <w:r w:rsidRPr="00990790">
        <w:rPr>
          <w:rFonts w:ascii="Verdana" w:hAnsi="Verdana" w:cs="Arial"/>
          <w:sz w:val="20"/>
          <w:szCs w:val="20"/>
        </w:rPr>
        <w:t xml:space="preserve">El seguro de responsabilidad civil extracontractual transfiere el Riesgo a la aseguradora de reparar a la víctima (tercero) por un actuar que genere responsabilidad civil en cabeza del asegurado. De esta forma el asegurado protege su patrimonio pues no tendrá que asumir el pago de estos perjuicios que serán indemnizados por la compañía de seguros. En los </w:t>
      </w:r>
      <w:r w:rsidRPr="00081701">
        <w:rPr>
          <w:rFonts w:ascii="Verdana" w:hAnsi="Verdana" w:cs="Arial"/>
          <w:sz w:val="20"/>
          <w:szCs w:val="20"/>
        </w:rPr>
        <w:t xml:space="preserve">procesos de contratación </w:t>
      </w:r>
      <w:r w:rsidRPr="00990790">
        <w:rPr>
          <w:rFonts w:ascii="Verdana" w:hAnsi="Verdana" w:cs="Arial"/>
          <w:sz w:val="20"/>
          <w:szCs w:val="20"/>
        </w:rPr>
        <w:t>sólo son admisibles como garantía de responsabilidad civil extracontractual los contratos de seguro.</w:t>
      </w:r>
      <w:r w:rsidRPr="00081701">
        <w:rPr>
          <w:rFonts w:ascii="Verdana" w:hAnsi="Verdana" w:cs="Arial"/>
          <w:sz w:val="20"/>
          <w:szCs w:val="20"/>
        </w:rPr>
        <w:t xml:space="preserve"> </w:t>
      </w:r>
      <w:r w:rsidRPr="00990790">
        <w:rPr>
          <w:rFonts w:ascii="Verdana" w:hAnsi="Verdana" w:cs="Arial"/>
          <w:sz w:val="20"/>
          <w:szCs w:val="20"/>
        </w:rPr>
        <w:t>Este seguro es obligatorio para los contratos de obra pública. En los demás contratos la Entidad Estatal debe establecer si en su ejecución existe el Riesgo de que el contratista pueda generarle daños a terceros, en el desarrollo del objeto del contrato.</w:t>
      </w:r>
    </w:p>
    <w:p w14:paraId="413C9336" w14:textId="77777777" w:rsidR="005C2D6E" w:rsidRDefault="005C2D6E" w:rsidP="000966CC">
      <w:pPr>
        <w:spacing w:after="0" w:line="240" w:lineRule="auto"/>
        <w:rPr>
          <w:rFonts w:ascii="Verdana" w:eastAsia="Geomanist Light" w:hAnsi="Verdana" w:cs="Arial"/>
          <w:lang w:val="es-MX"/>
        </w:rPr>
      </w:pPr>
    </w:p>
    <w:p w14:paraId="2B9C11EB" w14:textId="77777777" w:rsidR="005C2D6E" w:rsidRDefault="005C2D6E" w:rsidP="000966CC">
      <w:pPr>
        <w:spacing w:after="0" w:line="240" w:lineRule="auto"/>
        <w:rPr>
          <w:rFonts w:ascii="Verdana" w:eastAsia="Geomanist Light" w:hAnsi="Verdana" w:cs="Arial"/>
          <w:lang w:val="es-MX"/>
        </w:rPr>
      </w:pPr>
    </w:p>
    <w:p w14:paraId="41D9FE4B" w14:textId="77777777" w:rsidR="005C2D6E" w:rsidRDefault="005C2D6E" w:rsidP="000966CC">
      <w:pPr>
        <w:spacing w:after="0" w:line="240" w:lineRule="auto"/>
        <w:rPr>
          <w:rFonts w:ascii="Verdana" w:eastAsia="Geomanist Light" w:hAnsi="Verdana" w:cs="Arial"/>
          <w:lang w:val="es-MX"/>
        </w:rPr>
      </w:pPr>
    </w:p>
    <w:p w14:paraId="2C9596C2" w14:textId="77777777" w:rsidR="005C2D6E" w:rsidRDefault="005C2D6E" w:rsidP="000966CC">
      <w:pPr>
        <w:spacing w:after="0" w:line="240" w:lineRule="auto"/>
        <w:rPr>
          <w:rFonts w:ascii="Verdana" w:eastAsia="Geomanist Light" w:hAnsi="Verdana" w:cs="Arial"/>
          <w:lang w:val="es-MX"/>
        </w:rPr>
      </w:pPr>
    </w:p>
    <w:p w14:paraId="3BCD3B6D" w14:textId="5233E99A" w:rsidR="000966CC" w:rsidRPr="000966CC" w:rsidRDefault="000966CC" w:rsidP="000966CC">
      <w:pPr>
        <w:spacing w:after="0" w:line="240" w:lineRule="auto"/>
        <w:rPr>
          <w:rFonts w:ascii="Verdana" w:eastAsia="Geomanist Light" w:hAnsi="Verdana" w:cs="Arial"/>
          <w:lang w:val="es-MX"/>
        </w:rPr>
      </w:pPr>
      <w:r w:rsidRPr="000966CC">
        <w:rPr>
          <w:rFonts w:ascii="Verdana" w:eastAsia="Geomanist Light" w:hAnsi="Verdana" w:cs="Arial"/>
          <w:lang w:val="es-MX"/>
        </w:rPr>
        <w:lastRenderedPageBreak/>
        <w:t>Bogotá D.C., [Día] de [</w:t>
      </w:r>
      <w:proofErr w:type="spellStart"/>
      <w:r w:rsidRPr="000966CC">
        <w:rPr>
          <w:rFonts w:ascii="Verdana" w:eastAsia="Geomanist Light" w:hAnsi="Verdana" w:cs="Arial"/>
          <w:lang w:val="es-MX"/>
        </w:rPr>
        <w:t>Mes.NombreCapitalizado</w:t>
      </w:r>
      <w:proofErr w:type="spellEnd"/>
      <w:r w:rsidRPr="000966CC">
        <w:rPr>
          <w:rFonts w:ascii="Verdana" w:eastAsia="Geomanist Light" w:hAnsi="Verdana" w:cs="Arial"/>
          <w:lang w:val="es-MX"/>
        </w:rPr>
        <w:t>] de [Año]</w:t>
      </w:r>
    </w:p>
    <w:p w14:paraId="4B6DA39B" w14:textId="1A766DEF" w:rsidR="000966CC" w:rsidRDefault="008318F1" w:rsidP="000966CC">
      <w:pPr>
        <w:spacing w:after="0" w:line="240" w:lineRule="auto"/>
        <w:jc w:val="both"/>
        <w:rPr>
          <w:rFonts w:ascii="Verdana" w:eastAsia="Calibri" w:hAnsi="Verdana" w:cs="Arial"/>
          <w:lang w:val="es-ES"/>
        </w:rPr>
      </w:pPr>
      <w:r w:rsidRPr="008318F1">
        <w:rPr>
          <w:rFonts w:ascii="Verdana" w:eastAsia="Calibri" w:hAnsi="Verdana" w:cs="Arial"/>
          <w:noProof/>
          <w:lang w:val="es-ES"/>
        </w:rPr>
        <w:drawing>
          <wp:anchor distT="0" distB="0" distL="114300" distR="114300" simplePos="0" relativeHeight="251658240" behindDoc="1" locked="0" layoutInCell="1" allowOverlap="1" wp14:anchorId="4C64174E" wp14:editId="50438796">
            <wp:simplePos x="0" y="0"/>
            <wp:positionH relativeFrom="column">
              <wp:posOffset>2790825</wp:posOffset>
            </wp:positionH>
            <wp:positionV relativeFrom="paragraph">
              <wp:posOffset>26035</wp:posOffset>
            </wp:positionV>
            <wp:extent cx="3705742" cy="1057423"/>
            <wp:effectExtent l="0" t="0" r="0" b="9525"/>
            <wp:wrapTight wrapText="bothSides">
              <wp:wrapPolygon edited="0">
                <wp:start x="0" y="0"/>
                <wp:lineTo x="0" y="21405"/>
                <wp:lineTo x="21433" y="21405"/>
                <wp:lineTo x="21433" y="0"/>
                <wp:lineTo x="0" y="0"/>
              </wp:wrapPolygon>
            </wp:wrapTight>
            <wp:docPr id="12647755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775516" name=""/>
                    <pic:cNvPicPr/>
                  </pic:nvPicPr>
                  <pic:blipFill>
                    <a:blip r:embed="rId10">
                      <a:extLst>
                        <a:ext uri="{28A0092B-C50C-407E-A947-70E740481C1C}">
                          <a14:useLocalDpi xmlns:a14="http://schemas.microsoft.com/office/drawing/2010/main" val="0"/>
                        </a:ext>
                      </a:extLst>
                    </a:blip>
                    <a:stretch>
                      <a:fillRect/>
                    </a:stretch>
                  </pic:blipFill>
                  <pic:spPr>
                    <a:xfrm>
                      <a:off x="0" y="0"/>
                      <a:ext cx="3705742" cy="1057423"/>
                    </a:xfrm>
                    <a:prstGeom prst="rect">
                      <a:avLst/>
                    </a:prstGeom>
                  </pic:spPr>
                </pic:pic>
              </a:graphicData>
            </a:graphic>
          </wp:anchor>
        </w:drawing>
      </w:r>
    </w:p>
    <w:p w14:paraId="2478FC57" w14:textId="77777777" w:rsidR="008318F1" w:rsidRDefault="008318F1" w:rsidP="000966CC">
      <w:pPr>
        <w:spacing w:after="0" w:line="240" w:lineRule="auto"/>
        <w:jc w:val="both"/>
        <w:rPr>
          <w:rFonts w:ascii="Verdana" w:eastAsia="Calibri" w:hAnsi="Verdana" w:cs="Arial"/>
          <w:lang w:val="es-ES"/>
        </w:rPr>
      </w:pPr>
    </w:p>
    <w:p w14:paraId="421F12A8" w14:textId="77777777" w:rsidR="008318F1" w:rsidRDefault="008318F1" w:rsidP="000966CC">
      <w:pPr>
        <w:spacing w:after="0" w:line="240" w:lineRule="auto"/>
        <w:jc w:val="both"/>
        <w:rPr>
          <w:rFonts w:ascii="Verdana" w:eastAsia="Calibri" w:hAnsi="Verdana" w:cs="Arial"/>
          <w:lang w:val="es-ES"/>
        </w:rPr>
      </w:pPr>
    </w:p>
    <w:p w14:paraId="67DBF24D" w14:textId="77777777" w:rsidR="008318F1" w:rsidRDefault="008318F1" w:rsidP="000966CC">
      <w:pPr>
        <w:spacing w:after="0" w:line="240" w:lineRule="auto"/>
        <w:jc w:val="both"/>
        <w:rPr>
          <w:rFonts w:ascii="Verdana" w:eastAsia="Calibri" w:hAnsi="Verdana" w:cs="Arial"/>
          <w:lang w:val="es-ES"/>
        </w:rPr>
      </w:pPr>
    </w:p>
    <w:p w14:paraId="0D823153" w14:textId="77777777" w:rsidR="008318F1" w:rsidRDefault="008318F1" w:rsidP="000966CC">
      <w:pPr>
        <w:spacing w:after="0" w:line="240" w:lineRule="auto"/>
        <w:jc w:val="both"/>
        <w:rPr>
          <w:rFonts w:ascii="Verdana" w:eastAsia="Calibri" w:hAnsi="Verdana" w:cs="Arial"/>
          <w:lang w:val="es-ES"/>
        </w:rPr>
      </w:pPr>
    </w:p>
    <w:p w14:paraId="7654285D" w14:textId="77777777" w:rsidR="008318F1" w:rsidRDefault="008318F1" w:rsidP="000966CC">
      <w:pPr>
        <w:spacing w:after="0" w:line="240" w:lineRule="auto"/>
        <w:jc w:val="both"/>
        <w:rPr>
          <w:rFonts w:ascii="Verdana" w:eastAsia="Calibri" w:hAnsi="Verdana" w:cs="Arial"/>
          <w:lang w:val="es-ES"/>
        </w:rPr>
      </w:pPr>
    </w:p>
    <w:p w14:paraId="482A5770" w14:textId="77777777" w:rsidR="000966CC" w:rsidRPr="000966CC" w:rsidRDefault="000966CC" w:rsidP="000966CC">
      <w:pPr>
        <w:spacing w:after="0" w:line="240" w:lineRule="auto"/>
        <w:jc w:val="both"/>
        <w:rPr>
          <w:rFonts w:ascii="Verdana" w:eastAsia="Calibri" w:hAnsi="Verdana" w:cs="Arial"/>
          <w:lang w:val="es-ES" w:eastAsia="es-ES"/>
        </w:rPr>
      </w:pPr>
      <w:r w:rsidRPr="000966CC">
        <w:rPr>
          <w:rFonts w:ascii="Verdana" w:eastAsia="Calibri" w:hAnsi="Verdana" w:cs="Arial"/>
          <w:lang w:val="es-ES" w:eastAsia="es-ES"/>
        </w:rPr>
        <w:t>Señor</w:t>
      </w:r>
    </w:p>
    <w:p w14:paraId="1B692D45" w14:textId="77777777" w:rsidR="000966CC" w:rsidRPr="000966CC" w:rsidRDefault="000966CC" w:rsidP="000966CC">
      <w:pPr>
        <w:spacing w:after="0" w:line="240" w:lineRule="auto"/>
        <w:rPr>
          <w:rFonts w:ascii="Verdana" w:eastAsia="Calibri" w:hAnsi="Verdana" w:cs="Arial"/>
          <w:b/>
          <w:bCs/>
          <w:lang w:eastAsia="es-ES"/>
        </w:rPr>
      </w:pPr>
      <w:r w:rsidRPr="000966CC">
        <w:rPr>
          <w:rFonts w:ascii="Verdana" w:eastAsia="Calibri" w:hAnsi="Verdana" w:cs="Arial"/>
          <w:b/>
          <w:bCs/>
          <w:lang w:eastAsia="es-ES"/>
        </w:rPr>
        <w:t>Daniel Guacas Arango</w:t>
      </w:r>
    </w:p>
    <w:p w14:paraId="2CFA71C8" w14:textId="77777777" w:rsidR="000966CC" w:rsidRPr="000966CC" w:rsidRDefault="000966CC" w:rsidP="000966CC">
      <w:pPr>
        <w:spacing w:after="0" w:line="240" w:lineRule="auto"/>
        <w:rPr>
          <w:rFonts w:ascii="Verdana" w:eastAsia="Calibri" w:hAnsi="Verdana" w:cs="Arial"/>
          <w:lang w:eastAsia="es-ES"/>
        </w:rPr>
      </w:pPr>
      <w:hyperlink r:id="rId11" w:history="1">
        <w:r w:rsidRPr="000966CC">
          <w:rPr>
            <w:rFonts w:ascii="Verdana" w:eastAsia="Calibri" w:hAnsi="Verdana" w:cs="Arial"/>
            <w:color w:val="0563C1" w:themeColor="hyperlink"/>
            <w:u w:val="single"/>
            <w:lang w:eastAsia="es-ES"/>
          </w:rPr>
          <w:t>danielguacasabogado@gmail.com</w:t>
        </w:r>
      </w:hyperlink>
    </w:p>
    <w:p w14:paraId="1EEBC499" w14:textId="77777777" w:rsidR="000966CC" w:rsidRPr="000966CC" w:rsidRDefault="000966CC" w:rsidP="000966CC">
      <w:pPr>
        <w:spacing w:after="0" w:line="240" w:lineRule="auto"/>
        <w:rPr>
          <w:rFonts w:ascii="Verdana" w:eastAsia="Calibri" w:hAnsi="Verdana" w:cs="Arial"/>
          <w:b/>
          <w:bCs/>
          <w:lang w:val="es-ES" w:eastAsia="es-ES"/>
        </w:rPr>
      </w:pPr>
      <w:r w:rsidRPr="000966CC">
        <w:rPr>
          <w:rFonts w:ascii="Verdana" w:eastAsia="Calibri" w:hAnsi="Verdana" w:cs="Arial"/>
          <w:lang w:val="es-ES" w:eastAsia="es-ES"/>
        </w:rPr>
        <w:t>Pasto, Nariño</w:t>
      </w:r>
    </w:p>
    <w:p w14:paraId="55E1EB3C" w14:textId="77777777" w:rsidR="000966CC" w:rsidRPr="000966CC" w:rsidRDefault="000966CC" w:rsidP="000966CC">
      <w:pPr>
        <w:spacing w:after="0" w:line="240" w:lineRule="auto"/>
        <w:rPr>
          <w:rFonts w:ascii="Verdana" w:eastAsia="Calibri" w:hAnsi="Verdana" w:cs="Arial"/>
          <w:b/>
          <w:bCs/>
          <w:lang w:val="es-ES_tradnl" w:eastAsia="es-ES_tradnl"/>
        </w:rPr>
      </w:pPr>
    </w:p>
    <w:p w14:paraId="570A4BD7" w14:textId="77777777" w:rsidR="000966CC" w:rsidRPr="000966CC" w:rsidRDefault="000966CC" w:rsidP="000966C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966CC" w:rsidRPr="000966CC" w14:paraId="0D549434" w14:textId="77777777" w:rsidTr="00B31142">
        <w:trPr>
          <w:trHeight w:val="243"/>
        </w:trPr>
        <w:tc>
          <w:tcPr>
            <w:tcW w:w="2689" w:type="dxa"/>
          </w:tcPr>
          <w:p w14:paraId="410C584A" w14:textId="77777777" w:rsidR="000966CC" w:rsidRPr="000966CC" w:rsidRDefault="000966CC" w:rsidP="000966CC">
            <w:pPr>
              <w:jc w:val="both"/>
              <w:rPr>
                <w:rFonts w:ascii="Verdana" w:eastAsia="Calibri" w:hAnsi="Verdana" w:cs="Arial"/>
                <w:b/>
                <w:bCs/>
                <w:lang w:val="es-ES_tradnl" w:eastAsia="es-ES_tradnl"/>
              </w:rPr>
            </w:pPr>
          </w:p>
        </w:tc>
        <w:tc>
          <w:tcPr>
            <w:tcW w:w="6100" w:type="dxa"/>
          </w:tcPr>
          <w:p w14:paraId="11A3D8EA" w14:textId="77777777" w:rsidR="000966CC" w:rsidRPr="000966CC" w:rsidRDefault="000966CC" w:rsidP="000966CC">
            <w:pPr>
              <w:jc w:val="both"/>
              <w:rPr>
                <w:rFonts w:ascii="Verdana" w:eastAsia="Calibri" w:hAnsi="Verdana" w:cs="Arial"/>
                <w:b/>
                <w:bCs/>
                <w:lang w:val="es-ES" w:eastAsia="es-ES"/>
              </w:rPr>
            </w:pPr>
            <w:r w:rsidRPr="000966CC">
              <w:rPr>
                <w:rFonts w:ascii="Verdana" w:eastAsia="Calibri" w:hAnsi="Verdana" w:cs="Arial"/>
                <w:b/>
                <w:bCs/>
                <w:lang w:val="es-ES" w:eastAsia="es-ES"/>
              </w:rPr>
              <w:t>Concepto C- 756 de 2024</w:t>
            </w:r>
          </w:p>
          <w:p w14:paraId="55C54E2A" w14:textId="77777777" w:rsidR="000966CC" w:rsidRPr="000966CC" w:rsidRDefault="000966CC" w:rsidP="000966CC">
            <w:pPr>
              <w:jc w:val="both"/>
              <w:rPr>
                <w:rFonts w:ascii="Verdana" w:eastAsia="Calibri" w:hAnsi="Verdana" w:cs="Arial"/>
                <w:b/>
                <w:bCs/>
                <w:lang w:val="es-ES" w:eastAsia="es-ES"/>
              </w:rPr>
            </w:pPr>
          </w:p>
        </w:tc>
      </w:tr>
      <w:tr w:rsidR="000966CC" w:rsidRPr="000966CC" w14:paraId="73EDBD2F" w14:textId="77777777" w:rsidTr="00B31142">
        <w:trPr>
          <w:trHeight w:val="884"/>
        </w:trPr>
        <w:tc>
          <w:tcPr>
            <w:tcW w:w="2689" w:type="dxa"/>
          </w:tcPr>
          <w:p w14:paraId="00C6346F" w14:textId="77777777" w:rsidR="000966CC" w:rsidRPr="000966CC" w:rsidRDefault="000966CC" w:rsidP="000966CC">
            <w:pPr>
              <w:jc w:val="both"/>
              <w:rPr>
                <w:rFonts w:ascii="Verdana" w:eastAsia="Calibri" w:hAnsi="Verdana" w:cs="Arial"/>
                <w:lang w:val="es-ES_tradnl" w:eastAsia="es-ES_tradnl"/>
              </w:rPr>
            </w:pPr>
            <w:r w:rsidRPr="000966CC">
              <w:rPr>
                <w:rFonts w:ascii="Verdana" w:eastAsia="Calibri" w:hAnsi="Verdana" w:cs="Arial"/>
                <w:b/>
                <w:lang w:val="es-ES_tradnl" w:eastAsia="es-ES_tradnl"/>
              </w:rPr>
              <w:t>Temas:</w:t>
            </w:r>
            <w:r w:rsidRPr="000966CC">
              <w:rPr>
                <w:rFonts w:ascii="Verdana" w:eastAsia="Calibri" w:hAnsi="Verdana" w:cs="Arial"/>
                <w:lang w:val="es-ES_tradnl" w:eastAsia="es-ES_tradnl"/>
              </w:rPr>
              <w:t xml:space="preserve">                   </w:t>
            </w:r>
          </w:p>
        </w:tc>
        <w:tc>
          <w:tcPr>
            <w:tcW w:w="6100" w:type="dxa"/>
          </w:tcPr>
          <w:p w14:paraId="4ED639E0" w14:textId="77777777" w:rsidR="000966CC" w:rsidRPr="000966CC" w:rsidRDefault="000966CC" w:rsidP="000966CC">
            <w:pPr>
              <w:jc w:val="both"/>
              <w:rPr>
                <w:rFonts w:ascii="Verdana" w:eastAsia="Calibri" w:hAnsi="Verdana" w:cs="Arial"/>
                <w:color w:val="000000" w:themeColor="text1"/>
                <w:lang w:val="es-ES"/>
              </w:rPr>
            </w:pPr>
            <w:r w:rsidRPr="000966CC">
              <w:rPr>
                <w:rFonts w:ascii="Verdana" w:eastAsia="Calibri" w:hAnsi="Verdana" w:cs="Arial"/>
                <w:color w:val="000000" w:themeColor="text1"/>
                <w:lang w:val="es-ES"/>
              </w:rPr>
              <w:t xml:space="preserve">OBRA PÚBLICA </w:t>
            </w:r>
            <w:r w:rsidRPr="000966CC">
              <w:rPr>
                <w:rFonts w:ascii="Verdana" w:eastAsia="Calibri" w:hAnsi="Verdana" w:cs="Arial"/>
                <w:color w:val="000000" w:themeColor="text1"/>
              </w:rPr>
              <w:t xml:space="preserve">– </w:t>
            </w:r>
            <w:r w:rsidRPr="000966CC">
              <w:rPr>
                <w:rFonts w:ascii="Verdana" w:eastAsia="Calibri" w:hAnsi="Verdana" w:cs="Arial"/>
                <w:color w:val="000000" w:themeColor="text1"/>
                <w:lang w:val="es-ES"/>
              </w:rPr>
              <w:t xml:space="preserve">Trabajos materiales </w:t>
            </w:r>
            <w:r w:rsidRPr="000966CC">
              <w:rPr>
                <w:rFonts w:ascii="Verdana" w:eastAsia="Calibri" w:hAnsi="Verdana" w:cs="Arial"/>
                <w:color w:val="000000" w:themeColor="text1"/>
              </w:rPr>
              <w:t>– B</w:t>
            </w:r>
            <w:proofErr w:type="spellStart"/>
            <w:r w:rsidRPr="000966CC">
              <w:rPr>
                <w:rFonts w:ascii="Verdana" w:eastAsia="Calibri" w:hAnsi="Verdana" w:cs="Arial"/>
                <w:color w:val="000000" w:themeColor="text1"/>
                <w:lang w:val="es-ES"/>
              </w:rPr>
              <w:t>ienes</w:t>
            </w:r>
            <w:proofErr w:type="spellEnd"/>
            <w:r w:rsidRPr="000966CC">
              <w:rPr>
                <w:rFonts w:ascii="Verdana" w:eastAsia="Calibri" w:hAnsi="Verdana" w:cs="Arial"/>
                <w:color w:val="000000" w:themeColor="text1"/>
                <w:lang w:val="es-ES"/>
              </w:rPr>
              <w:t xml:space="preserve"> inmuebles / INMUEBLES POR ADHESIÓN </w:t>
            </w:r>
            <w:r w:rsidRPr="000966CC">
              <w:rPr>
                <w:rFonts w:ascii="Verdana" w:eastAsia="Calibri" w:hAnsi="Verdana" w:cs="Arial"/>
                <w:color w:val="000000" w:themeColor="text1"/>
              </w:rPr>
              <w:t xml:space="preserve">– </w:t>
            </w:r>
            <w:r w:rsidRPr="000966CC">
              <w:rPr>
                <w:rFonts w:ascii="Verdana" w:eastAsia="Calibri" w:hAnsi="Verdana" w:cs="Arial"/>
                <w:color w:val="000000" w:themeColor="text1"/>
                <w:lang w:val="es-ES"/>
              </w:rPr>
              <w:t xml:space="preserve">Árboles </w:t>
            </w:r>
            <w:r w:rsidRPr="000966CC">
              <w:rPr>
                <w:rFonts w:ascii="Verdana" w:eastAsia="Calibri" w:hAnsi="Verdana" w:cs="Arial"/>
                <w:color w:val="000000" w:themeColor="text1"/>
              </w:rPr>
              <w:t>–</w:t>
            </w:r>
            <w:r w:rsidRPr="000966CC">
              <w:rPr>
                <w:rFonts w:ascii="Verdana" w:eastAsia="Calibri" w:hAnsi="Verdana" w:cs="Arial"/>
                <w:color w:val="000000" w:themeColor="text1"/>
                <w:lang w:val="es-ES"/>
              </w:rPr>
              <w:t xml:space="preserve"> Plantas / </w:t>
            </w:r>
            <w:r w:rsidRPr="000966CC">
              <w:rPr>
                <w:rFonts w:ascii="Verdana" w:eastAsia="Geomanist Light" w:hAnsi="Verdana" w:cs="Arial"/>
                <w:color w:val="000000" w:themeColor="text1"/>
                <w:lang w:val="es-ES"/>
              </w:rPr>
              <w:t xml:space="preserve">GARANTÍAS – Contratación estatal – Constitución de garantías – Finalidad – Cumplimiento – Obligaciones contractuales / GARANTÍA DE CUMPLIMIENTO – Amparos – Finalidad / </w:t>
            </w:r>
            <w:r w:rsidRPr="000966CC">
              <w:rPr>
                <w:rFonts w:ascii="Verdana" w:hAnsi="Verdana" w:cs="Arial"/>
                <w:lang w:eastAsia="es-CO"/>
              </w:rPr>
              <w:t xml:space="preserve">GARANTÍA DE ESTABILIDAD Y CALIDAD DE LA OBRA – Riesgo cubierto / </w:t>
            </w:r>
            <w:r w:rsidRPr="000966CC">
              <w:rPr>
                <w:rFonts w:ascii="Verdana" w:eastAsia="Calibri" w:hAnsi="Verdana" w:cs="Arial"/>
                <w:color w:val="000000" w:themeColor="text1"/>
                <w:lang w:val="es-ES"/>
              </w:rPr>
              <w:t>RESPONSABILIDAD CIVIL EXTRACONTRACTUAL – Garantías – Póliza – Normativa</w:t>
            </w:r>
          </w:p>
          <w:p w14:paraId="0B771F05" w14:textId="77777777" w:rsidR="000966CC" w:rsidRPr="000966CC" w:rsidRDefault="000966CC" w:rsidP="000966CC">
            <w:pPr>
              <w:jc w:val="both"/>
              <w:rPr>
                <w:rFonts w:ascii="Verdana" w:eastAsia="Calibri" w:hAnsi="Verdana" w:cs="Arial"/>
                <w:lang w:val="es-ES" w:eastAsia="es-ES"/>
              </w:rPr>
            </w:pPr>
          </w:p>
        </w:tc>
      </w:tr>
      <w:tr w:rsidR="000966CC" w:rsidRPr="000966CC" w14:paraId="437FF577" w14:textId="77777777" w:rsidTr="00B31142">
        <w:trPr>
          <w:trHeight w:val="377"/>
        </w:trPr>
        <w:tc>
          <w:tcPr>
            <w:tcW w:w="2689" w:type="dxa"/>
          </w:tcPr>
          <w:p w14:paraId="027FA106" w14:textId="77777777" w:rsidR="000966CC" w:rsidRPr="000966CC" w:rsidRDefault="000966CC" w:rsidP="000966CC">
            <w:pPr>
              <w:jc w:val="both"/>
              <w:rPr>
                <w:rFonts w:ascii="Verdana" w:eastAsia="Calibri" w:hAnsi="Verdana" w:cs="Arial"/>
                <w:b/>
                <w:lang w:val="es-ES_tradnl" w:eastAsia="es-ES_tradnl"/>
              </w:rPr>
            </w:pPr>
            <w:r w:rsidRPr="000966CC">
              <w:rPr>
                <w:rFonts w:ascii="Verdana" w:eastAsia="Calibri" w:hAnsi="Verdana" w:cs="Arial"/>
                <w:b/>
                <w:lang w:val="es-ES_tradnl" w:eastAsia="es-ES_tradnl"/>
              </w:rPr>
              <w:t>Radicación:</w:t>
            </w:r>
            <w:r w:rsidRPr="000966CC">
              <w:rPr>
                <w:rFonts w:ascii="Verdana" w:eastAsia="Calibri" w:hAnsi="Verdana" w:cs="Arial"/>
                <w:lang w:val="es-ES_tradnl" w:eastAsia="es-ES_tradnl"/>
              </w:rPr>
              <w:t xml:space="preserve">               </w:t>
            </w:r>
          </w:p>
        </w:tc>
        <w:tc>
          <w:tcPr>
            <w:tcW w:w="6100" w:type="dxa"/>
          </w:tcPr>
          <w:p w14:paraId="75511AD9" w14:textId="77777777" w:rsidR="000966CC" w:rsidRPr="000966CC" w:rsidRDefault="000966CC" w:rsidP="000966CC">
            <w:pPr>
              <w:jc w:val="both"/>
              <w:rPr>
                <w:rFonts w:ascii="Verdana" w:hAnsi="Verdana" w:cs="Calibri"/>
              </w:rPr>
            </w:pPr>
            <w:r w:rsidRPr="000966CC">
              <w:rPr>
                <w:rFonts w:ascii="Verdana" w:eastAsia="Calibri" w:hAnsi="Verdana" w:cs="Arial"/>
                <w:lang w:val="es-ES_tradnl" w:eastAsia="es-ES_tradnl"/>
              </w:rPr>
              <w:t xml:space="preserve">Respuesta a consulta con radicado No. </w:t>
            </w:r>
            <w:r w:rsidRPr="000966CC">
              <w:rPr>
                <w:rFonts w:ascii="Verdana" w:hAnsi="Verdana" w:cs="Calibri"/>
                <w:color w:val="000000"/>
              </w:rPr>
              <w:t>P20241021010659</w:t>
            </w:r>
          </w:p>
        </w:tc>
      </w:tr>
    </w:tbl>
    <w:p w14:paraId="1EF89FBD" w14:textId="77777777" w:rsidR="000966CC" w:rsidRPr="000966CC" w:rsidRDefault="000966CC" w:rsidP="000966CC">
      <w:pPr>
        <w:spacing w:after="0" w:line="240" w:lineRule="auto"/>
        <w:jc w:val="both"/>
        <w:rPr>
          <w:rFonts w:ascii="Verdana" w:eastAsia="Calibri" w:hAnsi="Verdana" w:cs="Arial"/>
          <w:lang w:val="es-ES_tradnl" w:eastAsia="es-ES_tradnl"/>
        </w:rPr>
      </w:pPr>
    </w:p>
    <w:p w14:paraId="4314D067" w14:textId="77777777" w:rsidR="000966CC" w:rsidRPr="000966CC" w:rsidRDefault="000966CC" w:rsidP="000966CC">
      <w:pPr>
        <w:spacing w:after="0" w:line="240" w:lineRule="auto"/>
        <w:jc w:val="both"/>
        <w:rPr>
          <w:rFonts w:ascii="Verdana" w:eastAsia="Calibri" w:hAnsi="Verdana" w:cs="Arial"/>
          <w:lang w:val="es-ES_tradnl" w:eastAsia="es-ES_tradnl"/>
        </w:rPr>
      </w:pPr>
    </w:p>
    <w:p w14:paraId="108BE8D8" w14:textId="77777777" w:rsidR="000966CC" w:rsidRPr="000966CC" w:rsidRDefault="000966CC" w:rsidP="000966CC">
      <w:pPr>
        <w:spacing w:after="0" w:line="276" w:lineRule="auto"/>
        <w:jc w:val="both"/>
        <w:rPr>
          <w:rFonts w:ascii="Verdana" w:eastAsia="Calibri" w:hAnsi="Verdana" w:cs="Arial"/>
          <w:lang w:val="es-ES" w:eastAsia="es-ES"/>
        </w:rPr>
      </w:pPr>
      <w:r w:rsidRPr="000966CC">
        <w:rPr>
          <w:rFonts w:ascii="Verdana" w:eastAsia="Calibri" w:hAnsi="Verdana" w:cs="Arial"/>
          <w:lang w:val="es-ES" w:eastAsia="es-ES"/>
        </w:rPr>
        <w:t xml:space="preserve">Estimado señor </w:t>
      </w:r>
      <w:r w:rsidRPr="000966CC">
        <w:rPr>
          <w:rFonts w:ascii="Verdana" w:eastAsia="Calibri" w:hAnsi="Verdana" w:cs="Arial"/>
          <w:lang w:eastAsia="es-ES"/>
        </w:rPr>
        <w:t>Guacas Arango</w:t>
      </w:r>
      <w:r w:rsidRPr="000966CC">
        <w:rPr>
          <w:rFonts w:ascii="Verdana" w:eastAsia="Calibri" w:hAnsi="Verdana" w:cs="Arial"/>
          <w:lang w:val="es-ES" w:eastAsia="es-ES"/>
        </w:rPr>
        <w:t xml:space="preserve">: </w:t>
      </w:r>
    </w:p>
    <w:p w14:paraId="62706FBF" w14:textId="77777777" w:rsidR="000966CC" w:rsidRPr="000966CC" w:rsidRDefault="000966CC" w:rsidP="000966CC">
      <w:pPr>
        <w:tabs>
          <w:tab w:val="left" w:pos="3768"/>
        </w:tabs>
        <w:spacing w:after="0" w:line="276" w:lineRule="auto"/>
        <w:jc w:val="both"/>
        <w:rPr>
          <w:rFonts w:ascii="Verdana" w:eastAsia="Calibri" w:hAnsi="Verdana" w:cs="Arial"/>
          <w:lang w:val="es-ES" w:eastAsia="es-ES"/>
        </w:rPr>
      </w:pPr>
      <w:r w:rsidRPr="000966CC">
        <w:rPr>
          <w:rFonts w:ascii="Verdana" w:eastAsia="Calibri" w:hAnsi="Verdana" w:cs="Arial"/>
          <w:lang w:val="es-ES" w:eastAsia="es-ES"/>
        </w:rPr>
        <w:tab/>
      </w:r>
    </w:p>
    <w:p w14:paraId="0E7BE4F5" w14:textId="77777777" w:rsidR="000966CC" w:rsidRPr="000966CC" w:rsidRDefault="000966CC" w:rsidP="000966CC">
      <w:pPr>
        <w:spacing w:after="0" w:line="276" w:lineRule="auto"/>
        <w:jc w:val="both"/>
        <w:rPr>
          <w:rFonts w:ascii="Verdana" w:eastAsia="Calibri" w:hAnsi="Verdana" w:cs="Arial"/>
          <w:lang w:val="es-ES" w:eastAsia="es-ES"/>
        </w:rPr>
      </w:pPr>
      <w:r w:rsidRPr="000966CC">
        <w:rPr>
          <w:rFonts w:ascii="Verdana" w:eastAsia="Calibri" w:hAnsi="Verdana" w:cs="Arial"/>
          <w:lang w:val="es-ES" w:eastAsia="es-ES"/>
        </w:rPr>
        <w:t>En ejercicio de la competencia otorgada por los artículos 3, numeral 5º, y 11, numeral 8º, del Decreto Ley 4170 de 2011,</w:t>
      </w:r>
      <w:r w:rsidRPr="000966CC">
        <w:rPr>
          <w:rFonts w:ascii="Verdana" w:eastAsia="Arial MT" w:hAnsi="Verdana" w:cs="Arial MT"/>
          <w:lang w:val="es-ES" w:eastAsia="es-ES"/>
        </w:rPr>
        <w:t xml:space="preserve"> </w:t>
      </w:r>
      <w:r w:rsidRPr="000966CC">
        <w:rPr>
          <w:rFonts w:ascii="Verdana" w:hAnsi="Verdana" w:cs="Arial"/>
        </w:rPr>
        <w:t xml:space="preserve">así como lo establecido en el artículo 4 de la Resolución 1707 de 2018 expedida por esta Entidad, </w:t>
      </w:r>
      <w:r w:rsidRPr="000966CC">
        <w:rPr>
          <w:rFonts w:ascii="Verdana" w:eastAsia="Calibri" w:hAnsi="Verdana" w:cs="Arial"/>
          <w:lang w:val="es-ES" w:eastAsia="es-ES"/>
        </w:rPr>
        <w:t xml:space="preserve">la Agencia Nacional de Contratación Pública – Colombia Compra Eficiente– responde su solicitud de consulta de fecha 21 de octubre de 2024, en la cual manifiesta lo siguiente: </w:t>
      </w:r>
    </w:p>
    <w:p w14:paraId="420B3411" w14:textId="77777777" w:rsidR="000966CC" w:rsidRPr="000966CC" w:rsidRDefault="000966CC" w:rsidP="000966CC">
      <w:pPr>
        <w:tabs>
          <w:tab w:val="left" w:pos="142"/>
          <w:tab w:val="left" w:pos="284"/>
        </w:tabs>
        <w:spacing w:after="0" w:line="276" w:lineRule="auto"/>
        <w:jc w:val="both"/>
        <w:rPr>
          <w:rFonts w:ascii="Verdana" w:eastAsia="Century Gothic" w:hAnsi="Verdana" w:cs="Century Gothic"/>
          <w:b/>
          <w:bCs/>
          <w:lang w:val="es-ES"/>
        </w:rPr>
      </w:pPr>
    </w:p>
    <w:p w14:paraId="42D93855" w14:textId="77777777" w:rsidR="000966CC" w:rsidRPr="000966CC" w:rsidRDefault="000966CC" w:rsidP="000966CC">
      <w:pPr>
        <w:spacing w:after="0" w:line="240" w:lineRule="auto"/>
        <w:ind w:left="709" w:right="709"/>
        <w:jc w:val="both"/>
        <w:rPr>
          <w:rFonts w:ascii="Verdana" w:eastAsia="Century Gothic" w:hAnsi="Verdana" w:cs="Century Gothic"/>
          <w:sz w:val="20"/>
          <w:szCs w:val="20"/>
        </w:rPr>
      </w:pPr>
      <w:bookmarkStart w:id="1" w:name="_Hlk95313578"/>
      <w:r w:rsidRPr="000966CC">
        <w:rPr>
          <w:rFonts w:ascii="Verdana" w:eastAsia="Century Gothic" w:hAnsi="Verdana" w:cs="Century Gothic"/>
          <w:sz w:val="20"/>
          <w:szCs w:val="20"/>
          <w:lang w:val="es-ES"/>
        </w:rPr>
        <w:t>“</w:t>
      </w:r>
      <w:r w:rsidRPr="000966CC">
        <w:rPr>
          <w:rFonts w:ascii="Verdana" w:eastAsia="Century Gothic" w:hAnsi="Verdana" w:cs="Century Gothic"/>
          <w:sz w:val="20"/>
          <w:szCs w:val="20"/>
        </w:rPr>
        <w:t xml:space="preserve">1. ¿Es exigible la póliza de estabilidad de la obra para los contratos cuyo objeto es </w:t>
      </w:r>
      <w:bookmarkStart w:id="2" w:name="_Hlk184014926"/>
      <w:r w:rsidRPr="000966CC">
        <w:rPr>
          <w:rFonts w:ascii="Verdana" w:eastAsia="Century Gothic" w:hAnsi="Verdana" w:cs="Century Gothic"/>
          <w:sz w:val="20"/>
          <w:szCs w:val="20"/>
        </w:rPr>
        <w:t>la reforestación, plantación de árboles y mantenimiento</w:t>
      </w:r>
      <w:bookmarkEnd w:id="2"/>
      <w:r w:rsidRPr="000966CC">
        <w:rPr>
          <w:rFonts w:ascii="Verdana" w:eastAsia="Century Gothic" w:hAnsi="Verdana" w:cs="Century Gothic"/>
          <w:sz w:val="20"/>
          <w:szCs w:val="20"/>
        </w:rPr>
        <w:t xml:space="preserve"> de plantaciones, considerando la normativa vigente y la falta de disposición del mercado asegurador para emitir esta póliza? </w:t>
      </w:r>
    </w:p>
    <w:p w14:paraId="2252EBA6" w14:textId="77777777" w:rsidR="000966CC" w:rsidRPr="000966CC" w:rsidRDefault="000966CC" w:rsidP="000966CC">
      <w:pPr>
        <w:spacing w:after="0" w:line="240" w:lineRule="auto"/>
        <w:ind w:left="709" w:right="709"/>
        <w:jc w:val="both"/>
        <w:rPr>
          <w:rFonts w:ascii="Verdana" w:eastAsia="Century Gothic" w:hAnsi="Verdana" w:cs="Century Gothic"/>
          <w:sz w:val="20"/>
          <w:szCs w:val="20"/>
        </w:rPr>
      </w:pPr>
    </w:p>
    <w:p w14:paraId="6226FFD1" w14:textId="77777777" w:rsidR="000966CC" w:rsidRPr="000966CC" w:rsidRDefault="000966CC" w:rsidP="000966CC">
      <w:pPr>
        <w:spacing w:after="0" w:line="240" w:lineRule="auto"/>
        <w:ind w:left="709" w:right="709"/>
        <w:jc w:val="both"/>
        <w:rPr>
          <w:rFonts w:ascii="Verdana" w:eastAsia="Century Gothic" w:hAnsi="Verdana" w:cs="Century Gothic"/>
          <w:sz w:val="20"/>
          <w:szCs w:val="20"/>
          <w:lang w:val="es-ES"/>
        </w:rPr>
      </w:pPr>
      <w:r w:rsidRPr="000966CC">
        <w:rPr>
          <w:rFonts w:ascii="Verdana" w:eastAsia="Century Gothic" w:hAnsi="Verdana" w:cs="Century Gothic"/>
          <w:sz w:val="20"/>
          <w:szCs w:val="20"/>
        </w:rPr>
        <w:lastRenderedPageBreak/>
        <w:t>2. ¿Las pólizas alternativas actualmente ofrecidas en el mercado, como las de responsabilidad civil extracontractual o cumplimiento del contrato, resultan suficientes para cubrir los riesgos específicos que presentan estos procesos contractuales?</w:t>
      </w:r>
      <w:r w:rsidRPr="000966CC">
        <w:rPr>
          <w:rFonts w:ascii="Verdana" w:eastAsia="Century Gothic" w:hAnsi="Verdana" w:cs="Century Gothic"/>
          <w:sz w:val="20"/>
          <w:szCs w:val="20"/>
          <w:lang w:val="es-ES"/>
        </w:rPr>
        <w:t>”</w:t>
      </w:r>
      <w:bookmarkEnd w:id="1"/>
      <w:r w:rsidRPr="000966CC">
        <w:rPr>
          <w:rFonts w:ascii="Verdana" w:eastAsia="Century Gothic" w:hAnsi="Verdana" w:cs="Century Gothic"/>
          <w:sz w:val="20"/>
          <w:szCs w:val="20"/>
          <w:lang w:val="es-ES"/>
        </w:rPr>
        <w:t>.</w:t>
      </w:r>
    </w:p>
    <w:p w14:paraId="0D30DDD4" w14:textId="77777777" w:rsidR="000966CC" w:rsidRPr="000966CC" w:rsidRDefault="000966CC" w:rsidP="000966CC">
      <w:pPr>
        <w:tabs>
          <w:tab w:val="left" w:pos="142"/>
          <w:tab w:val="left" w:pos="284"/>
        </w:tabs>
        <w:spacing w:after="0" w:line="276" w:lineRule="auto"/>
        <w:jc w:val="both"/>
        <w:rPr>
          <w:rFonts w:ascii="Verdana" w:eastAsia="Century Gothic" w:hAnsi="Verdana" w:cs="Century Gothic"/>
          <w:b/>
          <w:bCs/>
          <w:lang w:val="es-ES"/>
        </w:rPr>
      </w:pPr>
    </w:p>
    <w:p w14:paraId="26BACCE2" w14:textId="77777777" w:rsidR="000966CC" w:rsidRPr="000966CC" w:rsidRDefault="000966CC" w:rsidP="000966CC">
      <w:pPr>
        <w:spacing w:after="120" w:line="276" w:lineRule="auto"/>
        <w:jc w:val="both"/>
        <w:rPr>
          <w:rFonts w:ascii="Verdana" w:eastAsia="Calibri" w:hAnsi="Verdana" w:cs="Arial"/>
          <w:color w:val="000000"/>
          <w:lang w:val="es-ES_tradnl" w:eastAsia="es-ES_tradnl"/>
        </w:rPr>
      </w:pPr>
      <w:r w:rsidRPr="000966C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66CC">
        <w:rPr>
          <w:rFonts w:ascii="Verdana" w:eastAsia="Calibri" w:hAnsi="Verdana" w:cs="Arial"/>
          <w:color w:val="000000"/>
          <w:lang w:val="es-ES_tradnl" w:eastAsia="es-ES_tradnl"/>
        </w:rPr>
        <w:tab/>
      </w:r>
    </w:p>
    <w:p w14:paraId="6752BCC9" w14:textId="77777777" w:rsidR="000966CC" w:rsidRPr="000966CC" w:rsidRDefault="000966CC" w:rsidP="000966CC">
      <w:pPr>
        <w:spacing w:after="0" w:line="276" w:lineRule="auto"/>
        <w:ind w:firstLine="709"/>
        <w:jc w:val="both"/>
        <w:rPr>
          <w:rFonts w:ascii="Verdana" w:eastAsia="Calibri" w:hAnsi="Verdana" w:cs="Arial"/>
          <w:color w:val="000000"/>
          <w:lang w:val="es-ES" w:eastAsia="es-ES"/>
        </w:rPr>
      </w:pPr>
      <w:r w:rsidRPr="000966C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w:t>
      </w:r>
      <w:r w:rsidRPr="000966CC">
        <w:rPr>
          <w:rFonts w:ascii="Verdana" w:eastAsia="Calibri" w:hAnsi="Verdana" w:cs="Arial"/>
          <w:color w:val="7030A0"/>
          <w:lang w:val="es-ES" w:eastAsia="es-ES"/>
        </w:rPr>
        <w:t xml:space="preserve">l </w:t>
      </w:r>
      <w:r w:rsidRPr="000966CC">
        <w:rPr>
          <w:rFonts w:ascii="Verdana" w:eastAsia="Calibri" w:hAnsi="Verdana" w:cs="Arial"/>
          <w:color w:val="000000"/>
          <w:lang w:val="es-ES" w:eastAsia="es-ES"/>
        </w:rPr>
        <w:t>problema</w:t>
      </w:r>
      <w:r w:rsidRPr="000966CC">
        <w:rPr>
          <w:rFonts w:ascii="Verdana" w:eastAsia="Calibri" w:hAnsi="Verdana" w:cs="Arial"/>
          <w:color w:val="7030A0"/>
          <w:lang w:val="es-ES" w:eastAsia="es-ES"/>
        </w:rPr>
        <w:t xml:space="preserve"> </w:t>
      </w:r>
      <w:r w:rsidRPr="000966CC">
        <w:rPr>
          <w:rFonts w:ascii="Verdana" w:eastAsia="Calibri" w:hAnsi="Verdana" w:cs="Arial"/>
          <w:color w:val="000000"/>
          <w:lang w:val="es-ES" w:eastAsia="es-ES"/>
        </w:rPr>
        <w:t>jurídico</w:t>
      </w:r>
      <w:r w:rsidRPr="000966CC">
        <w:rPr>
          <w:rFonts w:ascii="Verdana" w:eastAsia="Calibri" w:hAnsi="Verdana" w:cs="Arial"/>
          <w:color w:val="7030A0"/>
          <w:lang w:val="es-ES" w:eastAsia="es-ES"/>
        </w:rPr>
        <w:t xml:space="preserve"> </w:t>
      </w:r>
      <w:r w:rsidRPr="000966CC">
        <w:rPr>
          <w:rFonts w:ascii="Verdana" w:eastAsia="Calibri" w:hAnsi="Verdana" w:cs="Arial"/>
          <w:color w:val="000000"/>
          <w:lang w:val="es-ES" w:eastAsia="es-ES"/>
        </w:rPr>
        <w:t xml:space="preserve">de su consulta. </w:t>
      </w:r>
    </w:p>
    <w:p w14:paraId="6C215E2F" w14:textId="77777777" w:rsidR="000966CC" w:rsidRPr="000966CC" w:rsidRDefault="000966CC" w:rsidP="000966CC">
      <w:pPr>
        <w:spacing w:after="0" w:line="276" w:lineRule="auto"/>
        <w:ind w:firstLine="709"/>
        <w:jc w:val="both"/>
        <w:rPr>
          <w:rFonts w:ascii="Verdana" w:eastAsia="Calibri" w:hAnsi="Verdana" w:cs="Arial"/>
          <w:color w:val="000000"/>
          <w:lang w:val="es-ES" w:eastAsia="es-ES"/>
        </w:rPr>
      </w:pPr>
    </w:p>
    <w:p w14:paraId="572711E1" w14:textId="77777777" w:rsidR="000966CC" w:rsidRPr="000966CC" w:rsidRDefault="000966CC" w:rsidP="000966C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966CC">
        <w:rPr>
          <w:rFonts w:ascii="Verdana" w:eastAsia="Century Gothic" w:hAnsi="Verdana" w:cs="Century Gothic"/>
          <w:b/>
          <w:bCs/>
          <w:lang w:val="es-ES"/>
        </w:rPr>
        <w:t>Problema planteado:</w:t>
      </w:r>
    </w:p>
    <w:p w14:paraId="10E5D8A8" w14:textId="77777777" w:rsidR="000966CC" w:rsidRPr="000966CC" w:rsidRDefault="000966CC" w:rsidP="000966CC">
      <w:pPr>
        <w:tabs>
          <w:tab w:val="left" w:pos="426"/>
        </w:tabs>
        <w:spacing w:after="0" w:line="276" w:lineRule="auto"/>
        <w:jc w:val="both"/>
        <w:rPr>
          <w:rFonts w:ascii="Verdana" w:eastAsia="Century Gothic" w:hAnsi="Verdana" w:cs="Century Gothic"/>
          <w:lang w:val="es-ES"/>
        </w:rPr>
      </w:pPr>
    </w:p>
    <w:p w14:paraId="5CB5586E" w14:textId="77777777" w:rsidR="000966CC" w:rsidRPr="000966CC" w:rsidRDefault="000966CC" w:rsidP="000966CC">
      <w:pPr>
        <w:spacing w:after="0" w:line="276" w:lineRule="auto"/>
        <w:jc w:val="both"/>
        <w:rPr>
          <w:rFonts w:ascii="Verdana" w:eastAsia="Century Gothic" w:hAnsi="Verdana" w:cs="Century Gothic"/>
        </w:rPr>
      </w:pPr>
      <w:r w:rsidRPr="000966CC">
        <w:rPr>
          <w:rFonts w:ascii="Verdana" w:eastAsia="Century Gothic" w:hAnsi="Verdana" w:cs="Century Gothic"/>
        </w:rPr>
        <w:t xml:space="preserve">De acuerdo con el contenido de su solicitud, esta Agencia resolverá el siguiente problema jurídico: </w:t>
      </w:r>
    </w:p>
    <w:p w14:paraId="340E6507" w14:textId="77777777" w:rsidR="000966CC" w:rsidRPr="000966CC" w:rsidRDefault="000966CC" w:rsidP="000966CC">
      <w:pPr>
        <w:spacing w:after="0" w:line="276" w:lineRule="auto"/>
        <w:jc w:val="both"/>
        <w:rPr>
          <w:rFonts w:ascii="Verdana" w:eastAsia="Century Gothic" w:hAnsi="Verdana" w:cs="Century Gothic"/>
        </w:rPr>
      </w:pPr>
    </w:p>
    <w:p w14:paraId="27469B0E" w14:textId="77777777" w:rsidR="000966CC" w:rsidRPr="000966CC" w:rsidRDefault="000966CC" w:rsidP="000966CC">
      <w:pPr>
        <w:numPr>
          <w:ilvl w:val="0"/>
          <w:numId w:val="18"/>
        </w:numPr>
        <w:spacing w:after="0" w:line="240" w:lineRule="auto"/>
        <w:ind w:right="709"/>
        <w:contextualSpacing/>
        <w:jc w:val="both"/>
        <w:rPr>
          <w:rFonts w:ascii="Verdana" w:eastAsia="Calibri" w:hAnsi="Verdana" w:cs="Arial"/>
          <w:color w:val="000000"/>
          <w:lang w:eastAsia="es-MX"/>
        </w:rPr>
      </w:pPr>
      <w:r w:rsidRPr="000966CC">
        <w:rPr>
          <w:rFonts w:ascii="Verdana" w:eastAsia="Calibri" w:hAnsi="Verdana" w:cs="Arial"/>
          <w:color w:val="000000"/>
          <w:lang w:eastAsia="es-MX"/>
        </w:rPr>
        <w:t>¿Es exigible la garantía de la estabilidad y calidad de la obra en contratos cuyo objeto sea la reforestación, plantación de árboles y el mantenimiento de plantaciones, u otras garantías como la de responsabilidad civil extracontractual o la de cumplimiento del contrato cubren los riesgos de este tipo de contratos?</w:t>
      </w:r>
    </w:p>
    <w:p w14:paraId="5AB735EF" w14:textId="77777777" w:rsidR="000966CC" w:rsidRPr="000966CC" w:rsidRDefault="000966CC" w:rsidP="000966CC">
      <w:pPr>
        <w:spacing w:after="0" w:line="276" w:lineRule="auto"/>
        <w:jc w:val="both"/>
        <w:rPr>
          <w:rFonts w:ascii="Verdana" w:eastAsia="Century Gothic" w:hAnsi="Verdana" w:cs="Century Gothic"/>
        </w:rPr>
      </w:pPr>
    </w:p>
    <w:p w14:paraId="419D0776" w14:textId="77777777" w:rsidR="000966CC" w:rsidRPr="000966CC" w:rsidRDefault="000966CC" w:rsidP="000966CC">
      <w:pPr>
        <w:spacing w:after="0" w:line="276" w:lineRule="auto"/>
        <w:jc w:val="both"/>
        <w:rPr>
          <w:rFonts w:ascii="Verdana" w:eastAsia="Calibri" w:hAnsi="Verdana" w:cs="Arial"/>
          <w:color w:val="7030A0"/>
        </w:rPr>
      </w:pPr>
    </w:p>
    <w:p w14:paraId="40341A73" w14:textId="77777777" w:rsidR="000966CC" w:rsidRPr="000966CC" w:rsidRDefault="000966CC" w:rsidP="000966C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966CC">
        <w:rPr>
          <w:rFonts w:ascii="Verdana" w:eastAsia="Century Gothic" w:hAnsi="Verdana" w:cs="Century Gothic"/>
          <w:b/>
          <w:bCs/>
          <w:lang w:val="es-ES"/>
        </w:rPr>
        <w:t>Respuesta:</w:t>
      </w:r>
    </w:p>
    <w:p w14:paraId="29E78CCA" w14:textId="77777777" w:rsidR="000966CC" w:rsidRPr="000966CC" w:rsidRDefault="000966CC" w:rsidP="000966C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966CC" w:rsidRPr="000966CC" w14:paraId="5A04A526" w14:textId="77777777" w:rsidTr="00B31142">
        <w:tc>
          <w:tcPr>
            <w:tcW w:w="8828" w:type="dxa"/>
            <w:shd w:val="clear" w:color="auto" w:fill="auto"/>
          </w:tcPr>
          <w:p w14:paraId="3310E126" w14:textId="77777777" w:rsidR="000966CC" w:rsidRPr="000966CC" w:rsidRDefault="000966CC" w:rsidP="000966CC">
            <w:pPr>
              <w:spacing w:after="120" w:line="276" w:lineRule="auto"/>
              <w:jc w:val="both"/>
              <w:rPr>
                <w:rFonts w:ascii="Verdana" w:eastAsia="Calibri" w:hAnsi="Verdana" w:cs="Arial"/>
                <w:color w:val="000000"/>
              </w:rPr>
            </w:pPr>
            <w:r w:rsidRPr="000966CC">
              <w:rPr>
                <w:rFonts w:ascii="Verdana" w:eastAsia="Calibri" w:hAnsi="Verdana" w:cs="Arial"/>
                <w:color w:val="000000"/>
              </w:rPr>
              <w:lastRenderedPageBreak/>
              <w:t xml:space="preserve">El amparo de estabilidad y calidad de la obra, al que hace referencia en su consulta,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Este amparo hace parte de la garantía única de cumplimiento, la cual es obligatoria en contratos de obra –dentro del cual pueden estar comprendidas las actividades de la reforestación, plantación de árboles y mantenimiento de plantaciones–. </w:t>
            </w:r>
          </w:p>
          <w:p w14:paraId="299A3863" w14:textId="77777777" w:rsidR="000966CC" w:rsidRPr="000966CC" w:rsidRDefault="000966CC" w:rsidP="000966CC">
            <w:pPr>
              <w:spacing w:after="120" w:line="276" w:lineRule="auto"/>
              <w:ind w:firstLine="708"/>
              <w:jc w:val="both"/>
              <w:rPr>
                <w:rFonts w:ascii="Verdana" w:eastAsia="Calibri" w:hAnsi="Verdana" w:cs="Arial"/>
                <w:color w:val="000000"/>
              </w:rPr>
            </w:pPr>
            <w:r w:rsidRPr="000966CC">
              <w:rPr>
                <w:rFonts w:ascii="Verdana" w:eastAsia="Calibri" w:hAnsi="Verdana" w:cs="Arial"/>
                <w:color w:val="000000"/>
              </w:rPr>
              <w:t>Por otro lado, el seguro de responsabilidad civil extracontractual transfiere el riesgo a la aseguradora de reparar a la víctima (tercero) por un actuar que genere responsabilidad civil en cabeza del asegurado. De esta forma el asegurado protege su patrimonio pues no tendrá que asumir el pago de estos perjuicios que serán indemnizados por la compañía de seguros. Se denota que los riesgos que cubre el seguro de responsabilidad civil extracontractual son diferentes a los que cubre el amparo de calidad y estabilidad de la obra. Por lo anterior, a juicio de esta Agencia, la póliza de responsabilidad civil extracontractual no remplaza la constitución del amparo de estabilidad y calidad de la obra. Lo anterior en la medida que los dos amparos cubren riesgos distintos que se pueden generar de la realización de actividades de reforestación, plantación de árboles y mantenimiento de plantaciones.</w:t>
            </w:r>
          </w:p>
          <w:p w14:paraId="1C71EFAE" w14:textId="77777777" w:rsidR="000966CC" w:rsidRPr="000966CC" w:rsidRDefault="000966CC" w:rsidP="000966CC">
            <w:pPr>
              <w:spacing w:after="120" w:line="276" w:lineRule="auto"/>
              <w:ind w:firstLine="708"/>
              <w:jc w:val="both"/>
              <w:rPr>
                <w:rFonts w:ascii="Verdana" w:eastAsia="Calibri" w:hAnsi="Verdana" w:cs="Arial"/>
                <w:color w:val="000000"/>
              </w:rPr>
            </w:pPr>
            <w:r w:rsidRPr="000966CC">
              <w:rPr>
                <w:rFonts w:ascii="Verdana" w:eastAsia="Calibri" w:hAnsi="Verdana" w:cs="Arial"/>
                <w:color w:val="000000"/>
              </w:rPr>
              <w:t>Finalmente, en relación con su afirmación acerca de “</w:t>
            </w:r>
            <w:r w:rsidRPr="000966CC">
              <w:rPr>
                <w:rFonts w:ascii="Verdana" w:hAnsi="Verdana" w:cs="Arial"/>
                <w:i/>
                <w:iCs/>
              </w:rPr>
              <w:t xml:space="preserve">falta de disposición del mercado asegurador para emitir esta póliza” </w:t>
            </w:r>
            <w:r w:rsidRPr="000966CC">
              <w:rPr>
                <w:rFonts w:ascii="Verdana" w:hAnsi="Verdana" w:cs="Arial"/>
              </w:rPr>
              <w:t>es necesario advertir que esta Agencia no tiene competencia para pronunciarse sobre el mercado asegurador en el país. Al respecto, se resalta que la Superintendencia Financiera de Colombia es la autoridad de supervisión del sector asegurador, por lo cual las inquietudes acerca de la expedición de diferentes pólizas por parte de las compañías aseguradoras podrán remitirse a la mencionada entidad</w:t>
            </w:r>
            <w:r w:rsidRPr="000966CC">
              <w:rPr>
                <w:rFonts w:ascii="Verdana" w:hAnsi="Verdana" w:cs="Arial"/>
                <w:vertAlign w:val="superscript"/>
              </w:rPr>
              <w:footnoteReference w:id="2"/>
            </w:r>
            <w:r w:rsidRPr="000966CC">
              <w:rPr>
                <w:rFonts w:ascii="Verdana" w:hAnsi="Verdana" w:cs="Arial"/>
              </w:rPr>
              <w:t>.</w:t>
            </w:r>
          </w:p>
        </w:tc>
      </w:tr>
    </w:tbl>
    <w:p w14:paraId="7F4092D2" w14:textId="77777777" w:rsidR="000966CC" w:rsidRPr="000966CC" w:rsidRDefault="000966CC" w:rsidP="000966CC">
      <w:pPr>
        <w:tabs>
          <w:tab w:val="left" w:pos="142"/>
          <w:tab w:val="left" w:pos="284"/>
        </w:tabs>
        <w:spacing w:after="0" w:line="276" w:lineRule="auto"/>
        <w:jc w:val="both"/>
        <w:rPr>
          <w:rFonts w:ascii="Verdana" w:eastAsia="Century Gothic" w:hAnsi="Verdana" w:cs="Century Gothic"/>
          <w:b/>
          <w:bCs/>
          <w:lang w:val="es-ES"/>
        </w:rPr>
      </w:pPr>
    </w:p>
    <w:p w14:paraId="6B4D7155" w14:textId="77777777" w:rsidR="000966CC" w:rsidRPr="000966CC" w:rsidRDefault="000966CC" w:rsidP="000966C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966CC">
        <w:rPr>
          <w:rFonts w:ascii="Verdana" w:eastAsia="Century Gothic" w:hAnsi="Verdana" w:cs="Century Gothic"/>
          <w:b/>
          <w:bCs/>
          <w:lang w:val="es-ES"/>
        </w:rPr>
        <w:t>Razones de la respuesta:</w:t>
      </w:r>
    </w:p>
    <w:p w14:paraId="1501AB37" w14:textId="77777777" w:rsidR="000966CC" w:rsidRPr="000966CC" w:rsidRDefault="000966CC" w:rsidP="000966CC">
      <w:pPr>
        <w:spacing w:after="0" w:line="276" w:lineRule="auto"/>
        <w:jc w:val="both"/>
        <w:rPr>
          <w:rFonts w:ascii="Verdana" w:eastAsia="Calibri" w:hAnsi="Verdana" w:cs="Arial"/>
          <w:color w:val="7030A0"/>
          <w:lang w:val="es-ES"/>
        </w:rPr>
      </w:pPr>
    </w:p>
    <w:p w14:paraId="7C120EA8" w14:textId="77777777" w:rsidR="000966CC" w:rsidRPr="000966CC" w:rsidRDefault="000966CC" w:rsidP="000966CC">
      <w:pPr>
        <w:spacing w:after="0" w:line="276" w:lineRule="auto"/>
        <w:jc w:val="both"/>
        <w:rPr>
          <w:rFonts w:ascii="Verdana" w:eastAsia="Calibri" w:hAnsi="Verdana" w:cs="Arial"/>
          <w:lang w:val="es-ES"/>
        </w:rPr>
      </w:pPr>
      <w:r w:rsidRPr="000966CC">
        <w:rPr>
          <w:rFonts w:ascii="Verdana" w:eastAsia="Calibri" w:hAnsi="Verdana" w:cs="Arial"/>
          <w:lang w:val="es-ES"/>
        </w:rPr>
        <w:t xml:space="preserve">Lo anterior se sustenta en las siguientes consideraciones: </w:t>
      </w:r>
    </w:p>
    <w:p w14:paraId="5BC92D47" w14:textId="77777777" w:rsidR="000966CC" w:rsidRPr="000966CC" w:rsidRDefault="000966CC" w:rsidP="000966CC">
      <w:pPr>
        <w:spacing w:after="0" w:line="276" w:lineRule="auto"/>
        <w:jc w:val="both"/>
        <w:rPr>
          <w:rFonts w:ascii="Verdana" w:eastAsia="Calibri" w:hAnsi="Verdana" w:cs="Arial"/>
          <w:lang w:val="es-ES" w:eastAsia="es-ES"/>
        </w:rPr>
      </w:pPr>
    </w:p>
    <w:p w14:paraId="4FDAEC83" w14:textId="77777777" w:rsidR="000966CC" w:rsidRPr="000966CC" w:rsidRDefault="000966CC" w:rsidP="000966CC">
      <w:pPr>
        <w:spacing w:after="120" w:line="276" w:lineRule="auto"/>
        <w:jc w:val="both"/>
        <w:rPr>
          <w:rFonts w:ascii="Verdana" w:eastAsia="Calibri" w:hAnsi="Verdana" w:cs="Arial"/>
          <w:color w:val="000000" w:themeColor="text1"/>
          <w:lang w:val="es-ES"/>
        </w:rPr>
      </w:pPr>
      <w:r w:rsidRPr="000966CC">
        <w:rPr>
          <w:rFonts w:ascii="Verdana" w:eastAsia="Calibri" w:hAnsi="Verdana" w:cs="Arial"/>
          <w:color w:val="000000" w:themeColor="text1"/>
          <w:lang w:val="es-ES"/>
        </w:rPr>
        <w:t xml:space="preserve">La Agencia Nacional de Contratación Pública – Colombia Compra Eficiente sostiene que la obra pública es una tipología de los contratos estatales, entendidos estos últimos como los actos jurídicos generadores de obligaciones que han sido celebrados por alguna de las Entidades Estatales enlistadas en </w:t>
      </w:r>
      <w:bookmarkStart w:id="3" w:name="_Hlk184013941"/>
      <w:r w:rsidRPr="000966CC">
        <w:rPr>
          <w:rFonts w:ascii="Verdana" w:eastAsia="Calibri" w:hAnsi="Verdana" w:cs="Arial"/>
          <w:color w:val="000000" w:themeColor="text1"/>
          <w:lang w:val="es-ES"/>
        </w:rPr>
        <w:t>el artículo 2 de la Ley 80 de 1993</w:t>
      </w:r>
      <w:bookmarkEnd w:id="3"/>
      <w:r w:rsidRPr="000966CC">
        <w:rPr>
          <w:rFonts w:ascii="Verdana" w:eastAsia="Calibri" w:hAnsi="Verdana" w:cs="Arial"/>
          <w:color w:val="000000" w:themeColor="text1"/>
          <w:lang w:val="es-ES"/>
        </w:rPr>
        <w:t xml:space="preserve">.  Lo anterior resulta de especial relevancia, en la medida que dicho tipo contractual se diferencia de la definición y regulación prevista en el derecho privado para el contrato de confección de obra material regulado en el Código Civil.   </w:t>
      </w:r>
    </w:p>
    <w:p w14:paraId="1CB030C3" w14:textId="77777777" w:rsidR="000966CC" w:rsidRPr="000966CC" w:rsidRDefault="000966CC" w:rsidP="000966CC">
      <w:pPr>
        <w:spacing w:before="120" w:after="0" w:line="276" w:lineRule="auto"/>
        <w:ind w:firstLine="709"/>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t>En efecto, el derecho privado brilla por la ausencia de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p>
    <w:p w14:paraId="2E4B7425" w14:textId="77777777" w:rsidR="000966CC" w:rsidRPr="000966CC" w:rsidRDefault="000966CC" w:rsidP="000966CC">
      <w:pPr>
        <w:spacing w:after="0" w:line="276" w:lineRule="auto"/>
        <w:ind w:firstLine="709"/>
        <w:jc w:val="both"/>
        <w:rPr>
          <w:rFonts w:ascii="Verdana" w:eastAsia="Calibri" w:hAnsi="Verdana" w:cs="Arial"/>
          <w:color w:val="000000" w:themeColor="text1"/>
          <w:lang w:val="es-ES_tradnl"/>
        </w:rPr>
      </w:pPr>
    </w:p>
    <w:p w14:paraId="1FB377F9" w14:textId="77777777" w:rsidR="000966CC" w:rsidRPr="000966CC" w:rsidRDefault="000966CC" w:rsidP="000966CC">
      <w:pPr>
        <w:spacing w:after="0"/>
        <w:ind w:left="709" w:right="709"/>
        <w:jc w:val="both"/>
        <w:rPr>
          <w:rFonts w:ascii="Verdana" w:eastAsia="Calibri" w:hAnsi="Verdana" w:cs="Arial"/>
          <w:color w:val="000000" w:themeColor="text1"/>
          <w:sz w:val="20"/>
          <w:szCs w:val="20"/>
          <w:lang w:val="es-ES_tradnl"/>
        </w:rPr>
      </w:pPr>
      <w:r w:rsidRPr="000966CC">
        <w:rPr>
          <w:rFonts w:ascii="Verdana" w:eastAsia="Calibri" w:hAnsi="Verdana" w:cs="Arial"/>
          <w:color w:val="000000" w:themeColor="text1"/>
          <w:sz w:val="20"/>
          <w:szCs w:val="20"/>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430E5EB4" w14:textId="77777777" w:rsidR="000966CC" w:rsidRPr="000966CC" w:rsidRDefault="000966CC" w:rsidP="000966CC">
      <w:pPr>
        <w:spacing w:after="0"/>
        <w:ind w:left="709" w:right="709"/>
        <w:jc w:val="both"/>
        <w:rPr>
          <w:rFonts w:ascii="Verdana" w:eastAsia="Calibri" w:hAnsi="Verdana" w:cs="Arial"/>
          <w:color w:val="000000" w:themeColor="text1"/>
          <w:sz w:val="20"/>
          <w:szCs w:val="20"/>
          <w:lang w:val="es-ES_tradnl"/>
        </w:rPr>
      </w:pPr>
    </w:p>
    <w:p w14:paraId="1953F1AA" w14:textId="77777777" w:rsidR="000966CC" w:rsidRPr="000966CC" w:rsidRDefault="000966CC" w:rsidP="000966CC">
      <w:pPr>
        <w:spacing w:after="0"/>
        <w:ind w:left="709" w:right="709"/>
        <w:jc w:val="both"/>
        <w:rPr>
          <w:rFonts w:ascii="Verdana" w:eastAsia="Calibri" w:hAnsi="Verdana" w:cs="Arial"/>
          <w:color w:val="000000" w:themeColor="text1"/>
          <w:sz w:val="20"/>
          <w:szCs w:val="20"/>
          <w:lang w:val="es-ES_tradnl"/>
        </w:rPr>
      </w:pPr>
      <w:r w:rsidRPr="000966CC">
        <w:rPr>
          <w:rFonts w:ascii="Verdana" w:eastAsia="Calibri" w:hAnsi="Verdana" w:cs="Arial"/>
          <w:color w:val="000000" w:themeColor="text1"/>
          <w:sz w:val="20"/>
          <w:szCs w:val="20"/>
          <w:lang w:val="es-ES_tradnl"/>
        </w:rPr>
        <w:t xml:space="preserve">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w:t>
      </w:r>
      <w:r w:rsidRPr="000966CC">
        <w:rPr>
          <w:rFonts w:ascii="Verdana" w:eastAsia="Calibri" w:hAnsi="Verdana" w:cs="Arial"/>
          <w:color w:val="000000" w:themeColor="text1"/>
          <w:sz w:val="20"/>
          <w:szCs w:val="20"/>
          <w:lang w:val="es-ES_tradnl"/>
        </w:rPr>
        <w:lastRenderedPageBreak/>
        <w:t>es que se haga una obra nueva con una sustancia mediante la transformación de ella por el trabajo del hombre”</w:t>
      </w:r>
      <w:r w:rsidRPr="000966CC">
        <w:rPr>
          <w:rFonts w:ascii="Verdana" w:eastAsia="Calibri" w:hAnsi="Verdana" w:cs="Arial"/>
          <w:color w:val="000000" w:themeColor="text1"/>
          <w:sz w:val="20"/>
          <w:szCs w:val="20"/>
          <w:vertAlign w:val="superscript"/>
          <w:lang w:val="es-ES_tradnl"/>
        </w:rPr>
        <w:footnoteReference w:id="3"/>
      </w:r>
      <w:r w:rsidRPr="000966CC">
        <w:rPr>
          <w:rFonts w:ascii="Verdana" w:eastAsia="Calibri" w:hAnsi="Verdana" w:cs="Arial"/>
          <w:color w:val="000000" w:themeColor="text1"/>
          <w:sz w:val="20"/>
          <w:szCs w:val="20"/>
          <w:lang w:val="es-ES_tradnl"/>
        </w:rPr>
        <w:t xml:space="preserve">.  </w:t>
      </w:r>
    </w:p>
    <w:p w14:paraId="446ACB2B" w14:textId="77777777" w:rsidR="000966CC" w:rsidRPr="000966CC" w:rsidRDefault="000966CC" w:rsidP="000966CC">
      <w:pPr>
        <w:spacing w:after="0" w:line="276" w:lineRule="auto"/>
        <w:ind w:left="709" w:right="709"/>
        <w:jc w:val="both"/>
        <w:rPr>
          <w:rFonts w:ascii="Verdana" w:eastAsia="Calibri" w:hAnsi="Verdana" w:cs="Arial"/>
          <w:color w:val="000000" w:themeColor="text1"/>
          <w:lang w:val="es-ES_tradnl"/>
        </w:rPr>
      </w:pPr>
      <w:r w:rsidRPr="000966CC">
        <w:rPr>
          <w:rFonts w:ascii="Verdana" w:eastAsia="Calibri" w:hAnsi="Verdana" w:cs="Arial"/>
          <w:color w:val="000000" w:themeColor="text1"/>
          <w:lang w:val="es-ES_tradnl"/>
        </w:rPr>
        <w:t xml:space="preserve">        </w:t>
      </w:r>
    </w:p>
    <w:p w14:paraId="5001043E" w14:textId="77777777" w:rsidR="000966CC" w:rsidRPr="000966CC" w:rsidRDefault="000966CC" w:rsidP="000966CC">
      <w:pPr>
        <w:spacing w:after="0" w:line="276" w:lineRule="auto"/>
        <w:ind w:firstLine="708"/>
        <w:jc w:val="both"/>
        <w:rPr>
          <w:rFonts w:ascii="Verdana" w:eastAsia="Calibri" w:hAnsi="Verdana" w:cs="Arial"/>
          <w:color w:val="000000" w:themeColor="text1"/>
          <w:lang w:val="es-ES"/>
        </w:rPr>
      </w:pPr>
      <w:bookmarkStart w:id="4" w:name="_Hlk35420344"/>
      <w:r w:rsidRPr="000966CC">
        <w:rPr>
          <w:rFonts w:ascii="Verdana" w:eastAsia="Calibri" w:hAnsi="Verdana" w:cs="Arial"/>
          <w:color w:val="000000" w:themeColor="text1"/>
          <w:lang w:val="es-ES"/>
        </w:rPr>
        <w:t xml:space="preserve">En </w:t>
      </w:r>
      <w:r w:rsidRPr="000966CC">
        <w:rPr>
          <w:rFonts w:ascii="Verdana" w:eastAsia="Calibri" w:hAnsi="Verdana" w:cs="Arial"/>
          <w:i/>
          <w:iCs/>
          <w:color w:val="000000" w:themeColor="text1"/>
          <w:lang w:val="es-ES"/>
        </w:rPr>
        <w:t>sentido amplio</w:t>
      </w:r>
      <w:r w:rsidRPr="000966CC">
        <w:rPr>
          <w:rFonts w:ascii="Verdana" w:eastAsia="Calibri" w:hAnsi="Verdana" w:cs="Arial"/>
          <w:color w:val="000000" w:themeColor="text1"/>
          <w:lang w:val="es-ES"/>
        </w:rPr>
        <w:t xml:space="preserve">, dado que la “obra” es un bien que crea la actividad humana, el hecho de que sea “pública” significa que es todo trabajo material en cuya creación o realización interviene el Estado. No obstante, el numeral 1 del </w:t>
      </w:r>
      <w:bookmarkStart w:id="5" w:name="_Hlk183985511"/>
      <w:r w:rsidRPr="000966CC">
        <w:rPr>
          <w:rFonts w:ascii="Verdana" w:eastAsia="Calibri" w:hAnsi="Verdana" w:cs="Arial"/>
          <w:color w:val="000000" w:themeColor="text1"/>
          <w:lang w:val="es-ES"/>
        </w:rPr>
        <w:t xml:space="preserve">artículo 32 de la Ley 80 de 1993 </w:t>
      </w:r>
      <w:bookmarkEnd w:id="5"/>
      <w:r w:rsidRPr="000966CC">
        <w:rPr>
          <w:rFonts w:ascii="Verdana" w:eastAsia="Calibri" w:hAnsi="Verdana" w:cs="Arial"/>
          <w:color w:val="000000" w:themeColor="text1"/>
          <w:lang w:val="es-ES"/>
        </w:rPr>
        <w:t xml:space="preserve">opta por un </w:t>
      </w:r>
      <w:r w:rsidRPr="000966CC">
        <w:rPr>
          <w:rFonts w:ascii="Verdana" w:eastAsia="Calibri" w:hAnsi="Verdana" w:cs="Arial"/>
          <w:i/>
          <w:iCs/>
          <w:color w:val="000000" w:themeColor="text1"/>
          <w:lang w:val="es-ES"/>
        </w:rPr>
        <w:t>sentido restringido</w:t>
      </w:r>
      <w:r w:rsidRPr="000966CC">
        <w:rPr>
          <w:rFonts w:ascii="Verdana" w:eastAsia="Calibri" w:hAnsi="Verdana" w:cs="Arial"/>
          <w:color w:val="000000" w:themeColor="text1"/>
          <w:lang w:val="es-ES"/>
        </w:rPr>
        <w:t xml:space="preserve">, al </w:t>
      </w:r>
      <w:bookmarkStart w:id="6" w:name="_Hlk184014074"/>
      <w:r w:rsidRPr="000966CC">
        <w:rPr>
          <w:rFonts w:ascii="Verdana" w:eastAsia="Calibri" w:hAnsi="Verdana" w:cs="Arial"/>
          <w:color w:val="000000" w:themeColor="text1"/>
          <w:lang w:val="es-ES"/>
        </w:rPr>
        <w:t>disponer que “Son contratos de obra los que celebren las entidades estatales para la construcción, mantenimiento, instalación y, en general, para la realización de cualquier otro trabajo material sobre bienes inmuebles</w:t>
      </w:r>
      <w:bookmarkEnd w:id="6"/>
      <w:r w:rsidRPr="000966CC">
        <w:rPr>
          <w:rFonts w:ascii="Verdana" w:eastAsia="Calibri" w:hAnsi="Verdana" w:cs="Arial"/>
          <w:color w:val="000000" w:themeColor="text1"/>
          <w:lang w:val="es-ES"/>
        </w:rPr>
        <w:t>,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4"/>
      <w:r w:rsidRPr="000966CC">
        <w:rPr>
          <w:rFonts w:ascii="Verdana" w:eastAsia="Calibri" w:hAnsi="Verdana" w:cs="Arial"/>
          <w:color w:val="000000" w:themeColor="text1"/>
          <w:vertAlign w:val="superscript"/>
          <w:lang w:val="es-ES"/>
        </w:rPr>
        <w:footnoteReference w:id="4"/>
      </w:r>
      <w:r w:rsidRPr="000966CC">
        <w:rPr>
          <w:rFonts w:ascii="Verdana" w:eastAsia="Calibri" w:hAnsi="Verdana" w:cs="Arial"/>
          <w:color w:val="000000" w:themeColor="text1"/>
          <w:lang w:val="es-ES"/>
        </w:rPr>
        <w:t>. De esta manera:</w:t>
      </w:r>
    </w:p>
    <w:p w14:paraId="520C8D46" w14:textId="77777777" w:rsidR="000966CC" w:rsidRPr="000966CC" w:rsidRDefault="000966CC" w:rsidP="000966CC">
      <w:pPr>
        <w:spacing w:after="0" w:line="276" w:lineRule="auto"/>
        <w:ind w:firstLine="709"/>
        <w:jc w:val="both"/>
        <w:rPr>
          <w:rFonts w:ascii="Verdana" w:eastAsia="Calibri" w:hAnsi="Verdana" w:cs="Arial"/>
          <w:color w:val="000000" w:themeColor="text1"/>
          <w:lang w:val="es-ES_tradnl"/>
        </w:rPr>
      </w:pPr>
    </w:p>
    <w:p w14:paraId="46948C99" w14:textId="77777777" w:rsidR="000966CC" w:rsidRPr="000966CC" w:rsidRDefault="000966CC" w:rsidP="000966CC">
      <w:pPr>
        <w:spacing w:after="0" w:line="240" w:lineRule="auto"/>
        <w:ind w:left="709" w:right="709"/>
        <w:jc w:val="both"/>
        <w:rPr>
          <w:rFonts w:ascii="Verdana" w:eastAsia="Calibri" w:hAnsi="Verdana" w:cs="Arial"/>
          <w:color w:val="000000" w:themeColor="text1"/>
          <w:sz w:val="20"/>
          <w:szCs w:val="20"/>
          <w:lang w:val="es-ES_tradnl"/>
        </w:rPr>
      </w:pPr>
      <w:r w:rsidRPr="000966CC">
        <w:rPr>
          <w:rFonts w:ascii="Verdana" w:eastAsia="Calibri" w:hAnsi="Verdana" w:cs="Arial"/>
          <w:color w:val="000000" w:themeColor="text1"/>
          <w:sz w:val="20"/>
          <w:szCs w:val="20"/>
          <w:lang w:val="es-ES_tradnl"/>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4BE29F13" w14:textId="77777777" w:rsidR="000966CC" w:rsidRPr="000966CC" w:rsidRDefault="000966CC" w:rsidP="000966CC">
      <w:pPr>
        <w:spacing w:after="0" w:line="240" w:lineRule="auto"/>
        <w:ind w:left="709" w:right="709"/>
        <w:jc w:val="both"/>
        <w:rPr>
          <w:rFonts w:ascii="Verdana" w:eastAsia="Calibri" w:hAnsi="Verdana" w:cs="Arial"/>
          <w:color w:val="000000" w:themeColor="text1"/>
          <w:sz w:val="20"/>
          <w:szCs w:val="20"/>
          <w:lang w:val="es-ES_tradnl"/>
        </w:rPr>
      </w:pPr>
    </w:p>
    <w:p w14:paraId="4FFD7F68" w14:textId="77777777" w:rsidR="000966CC" w:rsidRPr="000966CC" w:rsidRDefault="000966CC" w:rsidP="000966CC">
      <w:pPr>
        <w:spacing w:after="0" w:line="240" w:lineRule="auto"/>
        <w:ind w:left="709" w:right="709"/>
        <w:jc w:val="both"/>
        <w:rPr>
          <w:rFonts w:ascii="Verdana" w:eastAsia="Calibri" w:hAnsi="Verdana" w:cs="Arial"/>
          <w:color w:val="000000" w:themeColor="text1"/>
          <w:sz w:val="20"/>
          <w:szCs w:val="20"/>
          <w:lang w:val="es-ES_tradnl"/>
        </w:rPr>
      </w:pPr>
      <w:r w:rsidRPr="000966CC">
        <w:rPr>
          <w:rFonts w:ascii="Verdana" w:eastAsia="Calibri" w:hAnsi="Verdana" w:cs="Arial"/>
          <w:color w:val="000000" w:themeColor="text1"/>
          <w:sz w:val="20"/>
          <w:szCs w:val="20"/>
          <w:lang w:val="es-ES_tradn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0966CC">
        <w:rPr>
          <w:rFonts w:ascii="Verdana" w:eastAsia="Calibri" w:hAnsi="Verdana" w:cs="Arial"/>
          <w:color w:val="000000" w:themeColor="text1"/>
          <w:sz w:val="20"/>
          <w:szCs w:val="20"/>
          <w:vertAlign w:val="superscript"/>
          <w:lang w:val="es-ES_tradnl"/>
        </w:rPr>
        <w:footnoteReference w:id="5"/>
      </w:r>
      <w:r w:rsidRPr="000966CC">
        <w:rPr>
          <w:rFonts w:ascii="Verdana" w:eastAsia="Calibri" w:hAnsi="Verdana" w:cs="Arial"/>
          <w:color w:val="000000" w:themeColor="text1"/>
          <w:sz w:val="20"/>
          <w:szCs w:val="20"/>
          <w:lang w:val="es-ES_tradnl"/>
        </w:rPr>
        <w:t>.</w:t>
      </w:r>
    </w:p>
    <w:p w14:paraId="4B0D9B03" w14:textId="77777777" w:rsidR="000966CC" w:rsidRPr="000966CC" w:rsidRDefault="000966CC" w:rsidP="000966CC">
      <w:pPr>
        <w:spacing w:after="0" w:line="276" w:lineRule="auto"/>
        <w:ind w:left="709" w:right="709"/>
        <w:jc w:val="both"/>
        <w:rPr>
          <w:rFonts w:ascii="Verdana" w:eastAsia="Calibri" w:hAnsi="Verdana" w:cs="Arial"/>
          <w:color w:val="000000" w:themeColor="text1"/>
          <w:lang w:val="es-ES_tradnl"/>
        </w:rPr>
      </w:pPr>
    </w:p>
    <w:p w14:paraId="6400A0F2" w14:textId="77777777" w:rsidR="000966CC" w:rsidRPr="000966CC" w:rsidRDefault="000966CC" w:rsidP="000966CC">
      <w:pPr>
        <w:spacing w:after="120" w:line="276" w:lineRule="auto"/>
        <w:jc w:val="both"/>
        <w:rPr>
          <w:rFonts w:ascii="Verdana" w:eastAsia="Calibri" w:hAnsi="Verdana" w:cs="Arial"/>
          <w:color w:val="000000" w:themeColor="text1"/>
          <w:lang w:val="es-ES_tradnl"/>
        </w:rPr>
      </w:pPr>
      <w:r w:rsidRPr="000966CC">
        <w:rPr>
          <w:rFonts w:ascii="Verdana" w:eastAsia="Calibri" w:hAnsi="Verdana" w:cs="Arial"/>
          <w:color w:val="000000" w:themeColor="text1"/>
          <w:lang w:val="es-ES_tradnl"/>
        </w:rPr>
        <w:lastRenderedPageBreak/>
        <w:tab/>
        <w:t xml:space="preserve">En la disposición citada, el contrato de obra pública no se limita a la construcción de inmuebles, pues la definición se extiende a las actividades de mantenimiento e instalación, lo cual supone un bien preexistente. Igualmente, el concepto se extiende a cualquier trabajo realizado sobre bienes inmuebles, tales como la reforma o la demolición. En este marco, para que las actividades de reforestación, plantación y mantenimiento de plantaciones – a las que hace referencia en su consulta – sean consideradas contratos de obra deben implicar una actividad material sobre bienes inmuebles, razón por la cual, corresponde analizar si los árboles y las plantas cumplen con el presupuesto necesario para la aplicación de esta tipología contractual. </w:t>
      </w:r>
    </w:p>
    <w:p w14:paraId="072B6279"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t xml:space="preserve">Respecto a la referencia a los bienes inmuebles, se debe considerar la definición de los </w:t>
      </w:r>
      <w:bookmarkStart w:id="7" w:name="_Hlk183986486"/>
      <w:r w:rsidRPr="77C0AFBB">
        <w:rPr>
          <w:rFonts w:ascii="Verdana" w:eastAsia="Calibri" w:hAnsi="Verdana" w:cs="Arial"/>
          <w:color w:val="000000" w:themeColor="text1"/>
          <w:lang w:val="es-ES"/>
        </w:rPr>
        <w:t xml:space="preserve">artículos </w:t>
      </w:r>
      <w:bookmarkStart w:id="8" w:name="_Hlk184014219"/>
      <w:r w:rsidRPr="77C0AFBB">
        <w:rPr>
          <w:rFonts w:ascii="Verdana" w:eastAsia="Calibri" w:hAnsi="Verdana" w:cs="Arial"/>
          <w:color w:val="000000" w:themeColor="text1"/>
          <w:lang w:val="es-ES"/>
        </w:rPr>
        <w:t>656 y 658 del Código Civil</w:t>
      </w:r>
      <w:bookmarkEnd w:id="7"/>
      <w:bookmarkEnd w:id="8"/>
      <w:r w:rsidRPr="77C0AFBB">
        <w:rPr>
          <w:rFonts w:ascii="Verdana" w:eastAsia="Calibri" w:hAnsi="Verdana" w:cs="Arial"/>
          <w:color w:val="000000" w:themeColor="text1"/>
          <w:lang w:val="es-ES"/>
        </w:rPr>
        <w:t xml:space="preserve">, que incluye en esa categoría tanto a los inmuebles por adhesión como por destinación. De esta manera, la referencia contenida en el numeral 1 del artículo 32 la Ley 80 de 1993 a inmuebles debe entenderse que se extiende a los inmuebles anteriormente mencionados. En otras palabras, la tipicidad del contrato de obra incluye cualquier clase de trabajo sobre inmuebles por adhesión o por destinación. </w:t>
      </w:r>
    </w:p>
    <w:p w14:paraId="266D676B"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_tradnl"/>
        </w:rPr>
      </w:pPr>
      <w:bookmarkStart w:id="9" w:name="_Hlk184014393"/>
      <w:r w:rsidRPr="000966CC">
        <w:rPr>
          <w:rFonts w:ascii="Verdana" w:eastAsia="Calibri" w:hAnsi="Verdana" w:cs="Arial"/>
          <w:color w:val="000000" w:themeColor="text1"/>
          <w:lang w:val="es-ES_tradnl"/>
        </w:rPr>
        <w:t xml:space="preserve">Teniendo en cuenta la remisión de los artículos 13, 32 y 40 del Estatuto General de Contratación de la Administración Pública al Código Civil,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como </w:t>
      </w:r>
      <w:r w:rsidRPr="000966CC">
        <w:rPr>
          <w:rFonts w:ascii="Verdana" w:eastAsia="Calibri" w:hAnsi="Verdana" w:cs="Arial"/>
          <w:i/>
          <w:iCs/>
          <w:color w:val="000000" w:themeColor="text1"/>
          <w:lang w:val="es-ES_tradnl"/>
        </w:rPr>
        <w:t>inmuebles por adhesión</w:t>
      </w:r>
      <w:r w:rsidRPr="000966CC">
        <w:rPr>
          <w:rFonts w:ascii="Verdana" w:eastAsia="Calibri" w:hAnsi="Verdana" w:cs="Arial"/>
          <w:color w:val="000000" w:themeColor="text1"/>
          <w:lang w:val="es-ES_tradnl"/>
        </w:rPr>
        <w:t xml:space="preserve"> y la doctrina los caracteriza como “[…] bienes muebles por naturaleza, adheridos permanente y materialmente a inmueble, incorporados por el propietario o por una persona distinta de él, que por una ficción jurídica del legislador se transforman en bienes inmuebles</w:t>
      </w:r>
      <w:bookmarkEnd w:id="9"/>
      <w:r w:rsidRPr="000966CC">
        <w:rPr>
          <w:rFonts w:ascii="Verdana" w:eastAsia="Calibri" w:hAnsi="Verdana" w:cs="Arial"/>
          <w:color w:val="000000" w:themeColor="text1"/>
          <w:lang w:val="es-ES_tradnl"/>
        </w:rPr>
        <w:t>”</w:t>
      </w:r>
      <w:r w:rsidRPr="000966CC">
        <w:rPr>
          <w:rFonts w:ascii="Verdana" w:eastAsia="Calibri" w:hAnsi="Verdana" w:cs="Arial"/>
          <w:color w:val="000000" w:themeColor="text1"/>
          <w:vertAlign w:val="superscript"/>
          <w:lang w:val="es-ES_tradnl"/>
        </w:rPr>
        <w:footnoteReference w:id="6"/>
      </w:r>
      <w:r w:rsidRPr="000966CC">
        <w:rPr>
          <w:rFonts w:ascii="Verdana" w:eastAsia="Calibri" w:hAnsi="Verdana" w:cs="Arial"/>
          <w:color w:val="000000" w:themeColor="text1"/>
          <w:lang w:val="es-ES_tradnl"/>
        </w:rPr>
        <w:t xml:space="preserve">.   </w:t>
      </w:r>
    </w:p>
    <w:p w14:paraId="4E2534D5"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t xml:space="preserve">Por otra parte, el artículo 658 del Código Civil crea la categoría de </w:t>
      </w:r>
      <w:r w:rsidRPr="77C0AFBB">
        <w:rPr>
          <w:rFonts w:ascii="Verdana" w:eastAsia="Calibri" w:hAnsi="Verdana" w:cs="Arial"/>
          <w:i/>
          <w:color w:val="000000" w:themeColor="text1"/>
          <w:lang w:val="es-ES"/>
        </w:rPr>
        <w:t>inmuebles por destinación</w:t>
      </w:r>
      <w:r w:rsidRPr="77C0AFBB">
        <w:rPr>
          <w:rFonts w:ascii="Verdana" w:eastAsia="Calibri" w:hAnsi="Verdana" w:cs="Arial"/>
          <w:color w:val="000000" w:themeColor="text1"/>
          <w:lang w:val="es-ES"/>
        </w:rPr>
        <w:t xml:space="preserve">, disponiendo que “Se reputan inmuebles, aunque por su naturaleza no lo sean, las cosas que están permanentemente destinadas al uso, cultivo y beneficio de un inmueble, sin </w:t>
      </w:r>
      <w:proofErr w:type="gramStart"/>
      <w:r w:rsidRPr="77C0AFBB">
        <w:rPr>
          <w:rFonts w:ascii="Verdana" w:eastAsia="Calibri" w:hAnsi="Verdana" w:cs="Arial"/>
          <w:color w:val="000000" w:themeColor="text1"/>
          <w:lang w:val="es-ES"/>
        </w:rPr>
        <w:t>embargo</w:t>
      </w:r>
      <w:proofErr w:type="gramEnd"/>
      <w:r w:rsidRPr="77C0AFBB">
        <w:rPr>
          <w:rFonts w:ascii="Verdana" w:eastAsia="Calibri" w:hAnsi="Verdana" w:cs="Arial"/>
          <w:color w:val="000000" w:themeColor="text1"/>
          <w:lang w:val="es-ES"/>
        </w:rPr>
        <w:t xml:space="preserve"> de que puedan separarse </w:t>
      </w:r>
      <w:r w:rsidRPr="77C0AFBB">
        <w:rPr>
          <w:rFonts w:ascii="Verdana" w:eastAsia="Calibri" w:hAnsi="Verdana" w:cs="Arial"/>
          <w:color w:val="000000" w:themeColor="text1"/>
          <w:lang w:val="es-ES"/>
        </w:rPr>
        <w:lastRenderedPageBreak/>
        <w:t xml:space="preserve">sin detrimento”. El mismo artículo crea una lista enunciativa de estos bienes, dentro de los cuales se encuentran: i) las losas de un pavimento; </w:t>
      </w:r>
      <w:proofErr w:type="spellStart"/>
      <w:r w:rsidRPr="77C0AFBB">
        <w:rPr>
          <w:rFonts w:ascii="Verdana" w:eastAsia="Calibri" w:hAnsi="Verdana" w:cs="Arial"/>
          <w:color w:val="000000" w:themeColor="text1"/>
          <w:lang w:val="es-ES"/>
        </w:rPr>
        <w:t>ii</w:t>
      </w:r>
      <w:proofErr w:type="spellEnd"/>
      <w:r w:rsidRPr="77C0AFBB">
        <w:rPr>
          <w:rFonts w:ascii="Verdana" w:eastAsia="Calibri" w:hAnsi="Verdana" w:cs="Arial"/>
          <w:color w:val="000000" w:themeColor="text1"/>
          <w:lang w:val="es-ES"/>
        </w:rPr>
        <w:t xml:space="preserve">) los tubos de las cañerías; </w:t>
      </w:r>
      <w:proofErr w:type="spellStart"/>
      <w:r w:rsidRPr="77C0AFBB">
        <w:rPr>
          <w:rFonts w:ascii="Verdana" w:eastAsia="Calibri" w:hAnsi="Verdana" w:cs="Arial"/>
          <w:color w:val="000000" w:themeColor="text1"/>
          <w:lang w:val="es-ES"/>
        </w:rPr>
        <w:t>iii</w:t>
      </w:r>
      <w:proofErr w:type="spellEnd"/>
      <w:r w:rsidRPr="77C0AFBB">
        <w:rPr>
          <w:rFonts w:ascii="Verdana" w:eastAsia="Calibri" w:hAnsi="Verdana" w:cs="Arial"/>
          <w:color w:val="000000" w:themeColor="text1"/>
          <w:lang w:val="es-ES"/>
        </w:rPr>
        <w:t xml:space="preserve">) los utensilios de labranza o minería, y los animales actualmente destinados al cultivo o beneficio de una finca, con tal que hayan sido puestos en ella por el dueño de la finca; </w:t>
      </w:r>
      <w:proofErr w:type="spellStart"/>
      <w:r w:rsidRPr="77C0AFBB">
        <w:rPr>
          <w:rFonts w:ascii="Verdana" w:eastAsia="Calibri" w:hAnsi="Verdana" w:cs="Arial"/>
          <w:color w:val="000000" w:themeColor="text1"/>
          <w:lang w:val="es-ES"/>
        </w:rPr>
        <w:t>iv</w:t>
      </w:r>
      <w:proofErr w:type="spellEnd"/>
      <w:r w:rsidRPr="77C0AFBB">
        <w:rPr>
          <w:rFonts w:ascii="Verdana" w:eastAsia="Calibri" w:hAnsi="Verdana" w:cs="Arial"/>
          <w:color w:val="000000" w:themeColor="text1"/>
          <w:lang w:val="es-ES"/>
        </w:rPr>
        <w:t xml:space="preserve">)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p>
    <w:p w14:paraId="0468BBBB" w14:textId="16392CB4" w:rsidR="000966CC" w:rsidRPr="000966CC" w:rsidRDefault="000966CC" w:rsidP="000966CC">
      <w:pPr>
        <w:spacing w:after="120" w:line="276" w:lineRule="auto"/>
        <w:ind w:firstLine="708"/>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t xml:space="preserve">Naturalmente, para que </w:t>
      </w:r>
      <w:r w:rsidR="00DD0794">
        <w:rPr>
          <w:rFonts w:ascii="Verdana" w:eastAsia="Calibri" w:hAnsi="Verdana" w:cs="Arial"/>
          <w:color w:val="000000" w:themeColor="text1"/>
          <w:lang w:val="es-ES"/>
        </w:rPr>
        <w:t>se</w:t>
      </w:r>
      <w:r>
        <w:rPr>
          <w:rFonts w:ascii="Verdana" w:eastAsia="Calibri" w:hAnsi="Verdana" w:cs="Arial"/>
          <w:color w:val="000000" w:themeColor="text1"/>
          <w:lang w:val="es-ES"/>
        </w:rPr>
        <w:t xml:space="preserve"> </w:t>
      </w:r>
      <w:r w:rsidRPr="77C0AFBB">
        <w:rPr>
          <w:rFonts w:ascii="Verdana" w:eastAsia="Calibri" w:hAnsi="Verdana" w:cs="Arial"/>
          <w:color w:val="000000" w:themeColor="text1"/>
          <w:lang w:val="es-ES"/>
        </w:rPr>
        <w:t xml:space="preserve">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w:t>
      </w:r>
      <w:proofErr w:type="gramStart"/>
      <w:r w:rsidRPr="77C0AFBB">
        <w:rPr>
          <w:rFonts w:ascii="Verdana" w:eastAsia="Calibri" w:hAnsi="Verdana" w:cs="Arial"/>
          <w:color w:val="000000" w:themeColor="text1"/>
          <w:lang w:val="es-ES"/>
        </w:rPr>
        <w:t>en razón de</w:t>
      </w:r>
      <w:proofErr w:type="gramEnd"/>
      <w:r w:rsidRPr="77C0AFBB">
        <w:rPr>
          <w:rFonts w:ascii="Verdana" w:eastAsia="Calibri" w:hAnsi="Verdana" w:cs="Arial"/>
          <w:color w:val="000000" w:themeColor="text1"/>
          <w:lang w:val="es-ES"/>
        </w:rPr>
        <w:t xml:space="preserv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Pr="77C0AFBB">
        <w:rPr>
          <w:rFonts w:ascii="Verdana" w:eastAsia="Calibri" w:hAnsi="Verdana" w:cs="Arial"/>
          <w:color w:val="000000" w:themeColor="text1"/>
          <w:vertAlign w:val="superscript"/>
          <w:lang w:val="es-ES"/>
        </w:rPr>
        <w:footnoteReference w:id="7"/>
      </w:r>
      <w:r w:rsidRPr="77C0AFBB">
        <w:rPr>
          <w:rFonts w:ascii="Verdana" w:eastAsia="Calibri" w:hAnsi="Verdana" w:cs="Arial"/>
          <w:color w:val="000000" w:themeColor="text1"/>
          <w:lang w:val="es-ES"/>
        </w:rPr>
        <w:t xml:space="preserve">.  </w:t>
      </w:r>
    </w:p>
    <w:p w14:paraId="40F69B13"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t xml:space="preserve">Las diferencias entre ambos tipos de bienes se derivan de que: i) mientras la incorporación de los </w:t>
      </w:r>
      <w:r w:rsidRPr="77C0AFBB">
        <w:rPr>
          <w:rFonts w:ascii="Verdana" w:eastAsia="Calibri" w:hAnsi="Verdana" w:cs="Arial"/>
          <w:i/>
          <w:color w:val="000000" w:themeColor="text1"/>
          <w:lang w:val="es-ES"/>
        </w:rPr>
        <w:t>inmuebles por adhesión</w:t>
      </w:r>
      <w:r w:rsidRPr="77C0AFBB">
        <w:rPr>
          <w:rFonts w:ascii="Verdana" w:eastAsia="Calibri" w:hAnsi="Verdana" w:cs="Arial"/>
          <w:color w:val="000000" w:themeColor="text1"/>
          <w:lang w:val="es-ES"/>
        </w:rPr>
        <w:t xml:space="preserve"> es material; la de los </w:t>
      </w:r>
      <w:r w:rsidRPr="77C0AFBB">
        <w:rPr>
          <w:rFonts w:ascii="Verdana" w:eastAsia="Calibri" w:hAnsi="Verdana" w:cs="Arial"/>
          <w:i/>
          <w:color w:val="000000" w:themeColor="text1"/>
          <w:lang w:val="es-ES"/>
        </w:rPr>
        <w:t xml:space="preserve">inmuebles por destinación </w:t>
      </w:r>
      <w:r w:rsidRPr="77C0AFBB">
        <w:rPr>
          <w:rFonts w:ascii="Verdana" w:eastAsia="Calibri" w:hAnsi="Verdana" w:cs="Arial"/>
          <w:color w:val="000000" w:themeColor="text1"/>
          <w:lang w:val="es-ES"/>
        </w:rPr>
        <w:t xml:space="preserve">es intelectual; </w:t>
      </w:r>
      <w:proofErr w:type="spellStart"/>
      <w:r w:rsidRPr="77C0AFBB">
        <w:rPr>
          <w:rFonts w:ascii="Verdana" w:eastAsia="Calibri" w:hAnsi="Verdana" w:cs="Arial"/>
          <w:color w:val="000000" w:themeColor="text1"/>
          <w:lang w:val="es-ES"/>
        </w:rPr>
        <w:t>ii</w:t>
      </w:r>
      <w:proofErr w:type="spellEnd"/>
      <w:r w:rsidRPr="77C0AFBB">
        <w:rPr>
          <w:rFonts w:ascii="Verdana" w:eastAsia="Calibri" w:hAnsi="Verdana" w:cs="Arial"/>
          <w:color w:val="000000" w:themeColor="text1"/>
          <w:lang w:val="es-ES"/>
        </w:rPr>
        <w:t xml:space="preserve">) mientras los primeros son incorporados por el dueño o por terceras personas; en los segundos es necesaria la identidad del propietario; finalmente, </w:t>
      </w:r>
      <w:proofErr w:type="spellStart"/>
      <w:r w:rsidRPr="77C0AFBB">
        <w:rPr>
          <w:rFonts w:ascii="Verdana" w:eastAsia="Calibri" w:hAnsi="Verdana" w:cs="Arial"/>
          <w:color w:val="000000" w:themeColor="text1"/>
          <w:lang w:val="es-ES"/>
        </w:rPr>
        <w:t>iii</w:t>
      </w:r>
      <w:proofErr w:type="spellEnd"/>
      <w:r w:rsidRPr="77C0AFBB">
        <w:rPr>
          <w:rFonts w:ascii="Verdana" w:eastAsia="Calibri" w:hAnsi="Verdana" w:cs="Arial"/>
          <w:color w:val="000000" w:themeColor="text1"/>
          <w:lang w:val="es-ES"/>
        </w:rPr>
        <w:t xml:space="preserve">) mientras que aquellos pierden individualidad por la incorporación al inmueble, no sucede lo mismo con los segundos, los cuales conservan su autonomía pese a estar destinados al cultivo de aquel.     </w:t>
      </w:r>
    </w:p>
    <w:p w14:paraId="4FA7ECD6"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_tradnl"/>
        </w:rPr>
      </w:pPr>
      <w:r w:rsidRPr="000966CC">
        <w:rPr>
          <w:rFonts w:ascii="Verdana" w:eastAsia="Calibri" w:hAnsi="Verdana" w:cs="Arial"/>
          <w:color w:val="000000" w:themeColor="text1"/>
          <w:lang w:val="es-ES_tradnl"/>
        </w:rPr>
        <w:t xml:space="preserve">Ahora, si bien el artículo 656 del Código Civil califica como </w:t>
      </w:r>
      <w:r w:rsidRPr="000966CC">
        <w:rPr>
          <w:rFonts w:ascii="Verdana" w:eastAsia="Calibri" w:hAnsi="Verdana" w:cs="Arial"/>
          <w:i/>
          <w:color w:val="000000" w:themeColor="text1"/>
          <w:lang w:val="es-ES_tradnl"/>
        </w:rPr>
        <w:t>inmuebles por adhesión</w:t>
      </w:r>
      <w:r w:rsidRPr="000966CC">
        <w:rPr>
          <w:rFonts w:ascii="Verdana" w:eastAsia="Calibri" w:hAnsi="Verdana" w:cs="Arial"/>
          <w:color w:val="000000" w:themeColor="text1"/>
          <w:lang w:val="es-ES_tradnl"/>
        </w:rPr>
        <w:t xml:space="preserve"> los árboles y plantas unidos a la propiedad, algunas se consideran como </w:t>
      </w:r>
      <w:r w:rsidRPr="000966CC">
        <w:rPr>
          <w:rFonts w:ascii="Verdana" w:eastAsia="Calibri" w:hAnsi="Verdana" w:cs="Arial"/>
          <w:i/>
          <w:color w:val="000000" w:themeColor="text1"/>
          <w:lang w:val="es-ES_tradnl"/>
        </w:rPr>
        <w:t>muebles por anticipación</w:t>
      </w:r>
      <w:r w:rsidRPr="000966CC">
        <w:rPr>
          <w:rFonts w:ascii="Verdana" w:eastAsia="Calibri" w:hAnsi="Verdana" w:cs="Arial"/>
          <w:color w:val="000000" w:themeColor="text1"/>
          <w:lang w:val="es-ES_tradnl"/>
        </w:rPr>
        <w:t xml:space="preserve"> para efectos de constituir derechos a favor de terceros. En este sentido, el artículo 659 del Código Civil dispone que: “Los </w:t>
      </w:r>
      <w:r w:rsidRPr="000966CC">
        <w:rPr>
          <w:rFonts w:ascii="Verdana" w:eastAsia="Calibri" w:hAnsi="Verdana" w:cs="Arial"/>
          <w:color w:val="000000" w:themeColor="text1"/>
          <w:lang w:val="es-ES_tradnl"/>
        </w:rPr>
        <w:lastRenderedPageBreak/>
        <w:t xml:space="preserve">productos de los inmuebles y las cosas accesorias a ellos, como las yerbas de un campo, la madera y fruto de los árboles, los animales de un vivar, se reputan muebles, aun antes de su separación, </w:t>
      </w:r>
      <w:bookmarkStart w:id="11" w:name="_Hlk35342841"/>
      <w:r w:rsidRPr="000966CC">
        <w:rPr>
          <w:rFonts w:ascii="Verdana" w:eastAsia="Calibri" w:hAnsi="Verdana" w:cs="Arial"/>
          <w:color w:val="000000" w:themeColor="text1"/>
          <w:lang w:val="es-ES_tradnl"/>
        </w:rPr>
        <w:t>para el efecto de constituir un derecho sobre dichos productos o cosas a otra persona que el dueño</w:t>
      </w:r>
      <w:bookmarkEnd w:id="11"/>
      <w:r w:rsidRPr="000966CC">
        <w:rPr>
          <w:rFonts w:ascii="Verdana" w:eastAsia="Calibri" w:hAnsi="Verdana" w:cs="Arial"/>
          <w:color w:val="000000" w:themeColor="text1"/>
          <w:lang w:val="es-ES_tradnl"/>
        </w:rPr>
        <w:t xml:space="preserve">. Lo mismo se aplica a la tierra o arena de un suelo, a los metales de una mina y a las piedras de una cantera”. </w:t>
      </w:r>
    </w:p>
    <w:p w14:paraId="7835ABC6"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t xml:space="preserve">Esta precisión es importante, porque la norma sólo asigna la categoría de </w:t>
      </w:r>
      <w:r w:rsidRPr="77C0AFBB">
        <w:rPr>
          <w:rFonts w:ascii="Verdana" w:eastAsia="Calibri" w:hAnsi="Verdana" w:cs="Arial"/>
          <w:i/>
          <w:color w:val="000000" w:themeColor="text1"/>
          <w:lang w:val="es-ES"/>
        </w:rPr>
        <w:t>muebles por anticipación</w:t>
      </w:r>
      <w:r w:rsidRPr="77C0AFBB">
        <w:rPr>
          <w:rFonts w:ascii="Verdana" w:eastAsia="Calibri" w:hAnsi="Verdana" w:cs="Arial"/>
          <w:color w:val="000000" w:themeColor="text1"/>
          <w:lang w:val="es-ES"/>
        </w:rPr>
        <w:t xml:space="preserve"> a los productos o frutos, más no a los bienes que los producen –el campo, el árbol, el terreno o suelo, la mina, etc.–, los cuales mantienen su naturaleza como inmuebles, salvo que se separaren permanentemente del terreno donde se encuentran</w:t>
      </w:r>
      <w:r w:rsidRPr="77C0AFBB">
        <w:rPr>
          <w:rFonts w:ascii="Verdana" w:eastAsia="Calibri" w:hAnsi="Verdana" w:cs="Arial"/>
          <w:color w:val="000000" w:themeColor="text1"/>
          <w:vertAlign w:val="superscript"/>
          <w:lang w:val="es-ES"/>
        </w:rPr>
        <w:footnoteReference w:id="8"/>
      </w:r>
      <w:r w:rsidRPr="77C0AFBB">
        <w:rPr>
          <w:rFonts w:ascii="Verdana" w:eastAsia="Calibri" w:hAnsi="Verdana" w:cs="Arial"/>
          <w:color w:val="000000" w:themeColor="text1"/>
          <w:lang w:val="es-ES"/>
        </w:rPr>
        <w:t xml:space="preserve">. Al respecto, Alessandri y </w:t>
      </w:r>
      <w:proofErr w:type="spellStart"/>
      <w:r w:rsidRPr="77C0AFBB">
        <w:rPr>
          <w:rFonts w:ascii="Verdana" w:eastAsia="Calibri" w:hAnsi="Verdana" w:cs="Arial"/>
          <w:color w:val="000000" w:themeColor="text1"/>
          <w:lang w:val="es-ES"/>
        </w:rPr>
        <w:t>Somarriva</w:t>
      </w:r>
      <w:proofErr w:type="spellEnd"/>
      <w:r w:rsidRPr="77C0AFBB">
        <w:rPr>
          <w:rFonts w:ascii="Verdana" w:eastAsia="Calibri" w:hAnsi="Verdana" w:cs="Arial"/>
          <w:color w:val="000000" w:themeColor="text1"/>
          <w:lang w:val="es-ES"/>
        </w:rPr>
        <w:t xml:space="preserve"> explican lo siguiente: “El legislador implícitamente considera como inmuebles los productos de la tierra y los frutos de los árboles al declarar que éstos y las plantas son inmuebles; pero la </w:t>
      </w:r>
      <w:r w:rsidRPr="77C0AFBB">
        <w:rPr>
          <w:rFonts w:ascii="Verdana" w:eastAsia="Calibri" w:hAnsi="Verdana" w:cs="Arial"/>
          <w:i/>
          <w:color w:val="000000" w:themeColor="text1"/>
          <w:lang w:val="es-ES"/>
        </w:rPr>
        <w:t>separación</w:t>
      </w:r>
      <w:r w:rsidRPr="77C0AFBB">
        <w:rPr>
          <w:rFonts w:ascii="Verdana" w:eastAsia="Calibri" w:hAnsi="Verdana" w:cs="Arial"/>
          <w:color w:val="000000" w:themeColor="text1"/>
          <w:lang w:val="es-ES"/>
        </w:rPr>
        <w:t xml:space="preserve"> de la cosa principal los convierte en muebles […]”</w:t>
      </w:r>
      <w:r w:rsidRPr="77C0AFBB">
        <w:rPr>
          <w:rFonts w:ascii="Verdana" w:eastAsia="Calibri" w:hAnsi="Verdana" w:cs="Arial"/>
          <w:color w:val="000000" w:themeColor="text1"/>
          <w:vertAlign w:val="superscript"/>
          <w:lang w:val="es-ES"/>
        </w:rPr>
        <w:footnoteReference w:id="9"/>
      </w:r>
      <w:r w:rsidRPr="77C0AFBB">
        <w:rPr>
          <w:rFonts w:ascii="Verdana" w:eastAsia="Calibri" w:hAnsi="Verdana" w:cs="Arial"/>
          <w:color w:val="000000" w:themeColor="text1"/>
          <w:lang w:val="es-ES"/>
        </w:rPr>
        <w:t xml:space="preserve"> (Cursivas dentro del texto). Por ello, agregan que “[…] al decir el artículo […] “aun antes de su separación” da por sentado que los productos y los frutos separados de la cosa principal son muebles, y que por una ficción se consideran muebles </w:t>
      </w:r>
      <w:r w:rsidRPr="77C0AFBB">
        <w:rPr>
          <w:rFonts w:ascii="Verdana" w:eastAsia="Calibri" w:hAnsi="Verdana" w:cs="Arial"/>
          <w:i/>
          <w:color w:val="000000" w:themeColor="text1"/>
          <w:lang w:val="es-ES"/>
        </w:rPr>
        <w:t>antes</w:t>
      </w:r>
      <w:r w:rsidRPr="77C0AFBB">
        <w:rPr>
          <w:rFonts w:ascii="Verdana" w:eastAsia="Calibri" w:hAnsi="Verdana" w:cs="Arial"/>
          <w:color w:val="000000" w:themeColor="text1"/>
          <w:lang w:val="es-ES"/>
        </w:rPr>
        <w:t xml:space="preserve"> para el efecto que se indica […]</w:t>
      </w:r>
      <w:r w:rsidRPr="77C0AFBB">
        <w:rPr>
          <w:rFonts w:ascii="Verdana" w:eastAsia="Calibri" w:hAnsi="Verdana" w:cs="Arial"/>
          <w:color w:val="000000" w:themeColor="text1"/>
          <w:vertAlign w:val="superscript"/>
          <w:lang w:val="es-ES"/>
        </w:rPr>
        <w:footnoteReference w:id="10"/>
      </w:r>
      <w:r w:rsidRPr="77C0AFBB">
        <w:rPr>
          <w:rFonts w:ascii="Verdana" w:eastAsia="Calibri" w:hAnsi="Verdana" w:cs="Arial"/>
          <w:color w:val="000000" w:themeColor="text1"/>
          <w:lang w:val="es-ES"/>
        </w:rPr>
        <w:t xml:space="preserve"> (Cursivas dentro del texto). En consecuencia, el ordenamiento jurídico califica como </w:t>
      </w:r>
      <w:r w:rsidRPr="77C0AFBB">
        <w:rPr>
          <w:rFonts w:ascii="Verdana" w:eastAsia="Calibri" w:hAnsi="Verdana" w:cs="Arial"/>
          <w:i/>
          <w:color w:val="000000" w:themeColor="text1"/>
          <w:lang w:val="es-ES"/>
        </w:rPr>
        <w:t>inmuebles por adhesión</w:t>
      </w:r>
      <w:r w:rsidRPr="77C0AFBB">
        <w:rPr>
          <w:rFonts w:ascii="Verdana" w:eastAsia="Calibri" w:hAnsi="Verdana" w:cs="Arial"/>
          <w:color w:val="000000" w:themeColor="text1"/>
          <w:lang w:val="es-ES"/>
        </w:rPr>
        <w:t xml:space="preserve"> los árboles y plantas unidos al terreno donde estén sembradas. Pero, cuando se cumplen las condiciones del artículo 659 del Código Civil, le asigna la categoría de </w:t>
      </w:r>
      <w:r w:rsidRPr="77C0AFBB">
        <w:rPr>
          <w:rFonts w:ascii="Verdana" w:eastAsia="Calibri" w:hAnsi="Verdana" w:cs="Arial"/>
          <w:i/>
          <w:color w:val="000000" w:themeColor="text1"/>
          <w:lang w:val="es-ES"/>
        </w:rPr>
        <w:t>muebles por anticipación</w:t>
      </w:r>
      <w:r w:rsidRPr="77C0AFBB">
        <w:rPr>
          <w:rFonts w:ascii="Verdana" w:eastAsia="Calibri" w:hAnsi="Verdana" w:cs="Arial"/>
          <w:color w:val="000000" w:themeColor="text1"/>
          <w:lang w:val="es-ES"/>
        </w:rPr>
        <w:t xml:space="preserve"> únicamente a los productos y frutos del bien principal</w:t>
      </w:r>
      <w:r w:rsidRPr="77C0AFBB">
        <w:rPr>
          <w:rFonts w:ascii="Verdana" w:eastAsia="Calibri" w:hAnsi="Verdana" w:cs="Arial"/>
          <w:color w:val="000000" w:themeColor="text1"/>
          <w:vertAlign w:val="superscript"/>
          <w:lang w:val="es-ES"/>
        </w:rPr>
        <w:footnoteReference w:id="11"/>
      </w:r>
      <w:r w:rsidRPr="77C0AFBB">
        <w:rPr>
          <w:rFonts w:ascii="Verdana" w:eastAsia="Calibri" w:hAnsi="Verdana" w:cs="Arial"/>
          <w:color w:val="000000" w:themeColor="text1"/>
          <w:lang w:val="es-ES"/>
        </w:rPr>
        <w:t xml:space="preserve">.    </w:t>
      </w:r>
    </w:p>
    <w:p w14:paraId="3E0BC98F" w14:textId="77777777" w:rsidR="000966CC" w:rsidRPr="000966CC" w:rsidRDefault="000966CC" w:rsidP="000966CC">
      <w:pPr>
        <w:spacing w:after="120" w:line="276" w:lineRule="auto"/>
        <w:ind w:firstLine="708"/>
        <w:jc w:val="both"/>
        <w:rPr>
          <w:rFonts w:ascii="Verdana" w:eastAsia="Calibri" w:hAnsi="Verdana" w:cs="Arial"/>
          <w:color w:val="000000" w:themeColor="text1"/>
          <w:lang w:val="es-ES"/>
        </w:rPr>
      </w:pPr>
      <w:r w:rsidRPr="77C0AFBB">
        <w:rPr>
          <w:rFonts w:ascii="Verdana" w:eastAsia="Calibri" w:hAnsi="Verdana" w:cs="Arial"/>
          <w:color w:val="000000" w:themeColor="text1"/>
          <w:lang w:val="es-ES"/>
        </w:rPr>
        <w:lastRenderedPageBreak/>
        <w:t xml:space="preserve">En consecuencia, </w:t>
      </w:r>
      <w:bookmarkStart w:id="12" w:name="_Hlk35343242"/>
      <w:r w:rsidRPr="77C0AFBB">
        <w:rPr>
          <w:rFonts w:ascii="Verdana" w:eastAsia="Calibri" w:hAnsi="Verdana" w:cs="Arial"/>
          <w:color w:val="000000" w:themeColor="text1"/>
          <w:lang w:val="es-ES"/>
        </w:rPr>
        <w:t xml:space="preserve">siempre que se cumplan las condiciones de los artículos 656 y 657 del Código Civil, tanto los árboles como las plantas son considerados por el ordenamiento jurídico como </w:t>
      </w:r>
      <w:r w:rsidRPr="77C0AFBB">
        <w:rPr>
          <w:rFonts w:ascii="Verdana" w:eastAsia="Calibri" w:hAnsi="Verdana" w:cs="Arial"/>
          <w:i/>
          <w:color w:val="000000" w:themeColor="text1"/>
          <w:lang w:val="es-ES"/>
        </w:rPr>
        <w:t>inmuebles por adhesión</w:t>
      </w:r>
      <w:r w:rsidRPr="77C0AFBB">
        <w:rPr>
          <w:rFonts w:ascii="Verdana" w:eastAsia="Calibri" w:hAnsi="Verdana" w:cs="Arial"/>
          <w:color w:val="000000" w:themeColor="text1"/>
          <w:lang w:val="es-ES"/>
        </w:rPr>
        <w:t xml:space="preserve">; razón por la cual, sobre ellas recaen las actividades previstas en el antecitado numeral 1 del artículo 32 del Estatuto General de Contratación, referente al contrato de obra pública. Este carácter de inmuebles se extiende a los productos y frutos de los árboles mientras permanezcan unidos al bien que los produce. No obstante, conforme al artículo 659 del Código, estos últimos se consideran </w:t>
      </w:r>
      <w:r w:rsidRPr="77C0AFBB">
        <w:rPr>
          <w:rFonts w:ascii="Verdana" w:eastAsia="Calibri" w:hAnsi="Verdana" w:cs="Arial"/>
          <w:i/>
          <w:color w:val="000000" w:themeColor="text1"/>
          <w:lang w:val="es-ES"/>
        </w:rPr>
        <w:t>muebles por anticipación</w:t>
      </w:r>
      <w:r w:rsidRPr="77C0AFBB">
        <w:rPr>
          <w:rFonts w:ascii="Verdana" w:eastAsia="Calibri" w:hAnsi="Verdana" w:cs="Arial"/>
          <w:color w:val="000000" w:themeColor="text1"/>
          <w:lang w:val="es-ES"/>
        </w:rPr>
        <w:t xml:space="preserve"> para el efecto de constituir un derecho sobre dichos productos o cosas a otra persona que el dueño. Sólo en este último evento, la madera y los frutos de los árboles se consideran muebles, incluso, cuando estén adheridos al inmueble, de manera que sólo está hipótesis es posible acudir a tipologías contractuales diferentes a la obra, como la compraventa, el suministro, la prestación de servicios, entre otras.   </w:t>
      </w:r>
      <w:bookmarkEnd w:id="12"/>
    </w:p>
    <w:p w14:paraId="65404BE3" w14:textId="77777777" w:rsidR="000966CC" w:rsidRPr="000966CC" w:rsidRDefault="000966CC" w:rsidP="000966CC">
      <w:pPr>
        <w:spacing w:after="0" w:line="276" w:lineRule="auto"/>
        <w:ind w:firstLine="709"/>
        <w:jc w:val="both"/>
        <w:rPr>
          <w:rFonts w:ascii="Verdana" w:hAnsi="Verdana" w:cs="Arial"/>
          <w:color w:val="000000"/>
          <w:lang w:val="es-ES" w:eastAsia="es-MX"/>
        </w:rPr>
      </w:pPr>
      <w:r w:rsidRPr="000966CC">
        <w:rPr>
          <w:rFonts w:ascii="Verdana" w:hAnsi="Verdana" w:cs="Arial"/>
          <w:color w:val="000000"/>
          <w:lang w:val="es-ES" w:eastAsia="es-MX"/>
        </w:rPr>
        <w:t xml:space="preserve">Una vez analizada la naturaleza de las plantaciones, procede adentrarse al análisis de la garantía de estabilidad de la obra y su obligatoriedad cuando se trata de labores de </w:t>
      </w:r>
      <w:r w:rsidRPr="000966CC">
        <w:rPr>
          <w:rFonts w:ascii="Verdana" w:eastAsia="Century Gothic" w:hAnsi="Verdana" w:cs="Century Gothic"/>
        </w:rPr>
        <w:t>reforestación, plantación de árboles y mantenimiento</w:t>
      </w:r>
      <w:r w:rsidRPr="000966CC">
        <w:rPr>
          <w:rFonts w:ascii="Verdana" w:hAnsi="Verdana" w:cs="Arial"/>
          <w:color w:val="000000"/>
          <w:lang w:val="es-ES" w:eastAsia="es-MX"/>
        </w:rPr>
        <w:t>.</w:t>
      </w:r>
      <w:bookmarkStart w:id="13" w:name="_Hlk35876968"/>
      <w:r w:rsidRPr="000966CC">
        <w:rPr>
          <w:rFonts w:ascii="Verdana" w:hAnsi="Verdana" w:cs="Arial"/>
          <w:color w:val="000000"/>
          <w:lang w:val="es-ES" w:eastAsia="es-MX"/>
        </w:rPr>
        <w:t xml:space="preserve"> </w:t>
      </w:r>
      <w:r w:rsidRPr="000966CC">
        <w:rPr>
          <w:rFonts w:ascii="Verdana" w:eastAsia="Calibri" w:hAnsi="Verdana" w:cs="Arial"/>
          <w:color w:val="000000"/>
          <w:szCs w:val="24"/>
          <w:lang w:val="es-ES_tradnl" w:eastAsia="es-ES_tradnl"/>
        </w:rPr>
        <w:t xml:space="preserve">El Estatuto General de Contratación de la Administración Pública exige, por regla general, </w:t>
      </w:r>
      <w:r w:rsidRPr="000966CC">
        <w:rPr>
          <w:rFonts w:ascii="Verdana" w:eastAsia="Calibri" w:hAnsi="Verdana" w:cs="Arial"/>
          <w:color w:val="000000"/>
          <w:szCs w:val="24"/>
          <w:lang w:val="es-ES" w:eastAsia="es-ES_tradnl"/>
        </w:rPr>
        <w:t>para seleccionar a los contratistas y para ejecutar los contratos estatales, que se requiere la constitución de garantías</w:t>
      </w:r>
      <w:r w:rsidRPr="000966CC">
        <w:rPr>
          <w:rFonts w:ascii="Verdana" w:hAnsi="Verdana" w:cs="Arial"/>
          <w:color w:val="000000"/>
          <w:lang w:val="es-ES" w:eastAsia="es-MX"/>
        </w:rPr>
        <w:t>.</w:t>
      </w:r>
      <w:r w:rsidRPr="000966CC">
        <w:rPr>
          <w:rFonts w:ascii="Verdana" w:eastAsia="Calibri" w:hAnsi="Verdana" w:cs="Arial"/>
          <w:color w:val="000000"/>
          <w:szCs w:val="24"/>
          <w:lang w:val="es-ES_tradnl" w:eastAsia="es-ES_tradnl"/>
        </w:rPr>
        <w:t xml:space="preserve"> Por ello, </w:t>
      </w:r>
      <w:r w:rsidRPr="000966CC">
        <w:rPr>
          <w:rFonts w:ascii="Verdana" w:eastAsia="Calibri" w:hAnsi="Verdana" w:cs="Arial"/>
          <w:color w:val="000000"/>
          <w:lang w:val="es-ES_tradnl"/>
        </w:rPr>
        <w:t xml:space="preserve">el </w:t>
      </w:r>
      <w:bookmarkStart w:id="14" w:name="_Hlk184015532"/>
      <w:r w:rsidRPr="000966CC">
        <w:rPr>
          <w:rFonts w:ascii="Verdana" w:eastAsia="Calibri" w:hAnsi="Verdana" w:cs="Arial"/>
          <w:color w:val="000000"/>
          <w:lang w:val="es-ES_tradnl"/>
        </w:rPr>
        <w:t xml:space="preserve">artículo 7 de la Ley 1150 de 2007 </w:t>
      </w:r>
      <w:bookmarkEnd w:id="14"/>
      <w:r w:rsidRPr="000966CC">
        <w:rPr>
          <w:rFonts w:ascii="Verdana" w:eastAsia="Calibri" w:hAnsi="Verdana" w:cs="Arial"/>
          <w:color w:val="000000"/>
          <w:lang w:val="es-ES_tradnl"/>
        </w:rPr>
        <w:t>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señala lo siguiente:</w:t>
      </w:r>
    </w:p>
    <w:p w14:paraId="6EAC349B" w14:textId="77777777" w:rsidR="000966CC" w:rsidRPr="000966CC" w:rsidRDefault="000966CC" w:rsidP="000966CC">
      <w:pPr>
        <w:spacing w:after="0" w:line="276" w:lineRule="auto"/>
        <w:jc w:val="both"/>
        <w:rPr>
          <w:rFonts w:ascii="Verdana" w:eastAsia="Calibri" w:hAnsi="Verdana" w:cs="Arial"/>
          <w:color w:val="000000"/>
          <w:lang w:val="es-ES_tradnl"/>
        </w:rPr>
      </w:pPr>
    </w:p>
    <w:p w14:paraId="5F6B02C9"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_tradnl"/>
        </w:rPr>
      </w:pPr>
      <w:r w:rsidRPr="000966CC">
        <w:rPr>
          <w:rFonts w:ascii="Verdana" w:eastAsia="Calibri" w:hAnsi="Verdana" w:cs="Arial"/>
          <w:color w:val="000000"/>
          <w:sz w:val="20"/>
          <w:szCs w:val="20"/>
          <w:lang w:val="es-ES_tradnl"/>
        </w:rPr>
        <w:t xml:space="preserve">“Los contratistas prestarán garantía única para el cumplimiento de las obligaciones surgidas del contrato. Los proponentes prestarán garantía de seriedad de los ofrecimientos hechos. </w:t>
      </w:r>
    </w:p>
    <w:p w14:paraId="2756C930" w14:textId="77777777" w:rsidR="000966CC" w:rsidRPr="000966CC" w:rsidRDefault="000966CC" w:rsidP="000966CC">
      <w:pPr>
        <w:spacing w:after="0" w:line="240" w:lineRule="auto"/>
        <w:ind w:left="709" w:right="709"/>
        <w:jc w:val="both"/>
        <w:rPr>
          <w:rFonts w:ascii="Verdana" w:eastAsia="Calibri" w:hAnsi="Verdana" w:cs="Arial"/>
          <w:color w:val="000000" w:themeColor="text1"/>
          <w:sz w:val="20"/>
          <w:szCs w:val="20"/>
          <w:lang w:val="es-ES"/>
        </w:rPr>
      </w:pPr>
    </w:p>
    <w:p w14:paraId="47710D0E"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
        </w:rPr>
      </w:pPr>
      <w:r w:rsidRPr="000966CC">
        <w:rPr>
          <w:rFonts w:ascii="Verdana" w:eastAsia="Calibri" w:hAnsi="Verdana" w:cs="Arial"/>
          <w:color w:val="000000" w:themeColor="text1"/>
          <w:sz w:val="20"/>
          <w:szCs w:val="20"/>
          <w:lang w:val="es-ES"/>
        </w:rPr>
        <w:t xml:space="preserve">Las garantías consistirán en pólizas expedidas por compañías de seguros legalmente autorizadas para funcionar en Colombia, en garantías bancarias y en general, en los demás mecanismos de cobertura del riesgo </w:t>
      </w:r>
      <w:r w:rsidRPr="000966CC">
        <w:rPr>
          <w:rFonts w:ascii="Verdana" w:eastAsia="Calibri" w:hAnsi="Verdana" w:cs="Arial"/>
          <w:color w:val="000000" w:themeColor="text1"/>
          <w:sz w:val="20"/>
          <w:szCs w:val="20"/>
          <w:lang w:val="es-ES"/>
        </w:rPr>
        <w:lastRenderedPageBreak/>
        <w:t xml:space="preserve">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570EAB06" w14:textId="77777777" w:rsidR="000966CC" w:rsidRPr="000966CC" w:rsidRDefault="000966CC" w:rsidP="000966CC">
      <w:pPr>
        <w:spacing w:after="0" w:line="240" w:lineRule="auto"/>
        <w:ind w:left="709" w:right="709"/>
        <w:jc w:val="both"/>
        <w:rPr>
          <w:rFonts w:ascii="Verdana" w:eastAsia="Calibri" w:hAnsi="Verdana" w:cs="Arial"/>
          <w:color w:val="000000" w:themeColor="text1"/>
          <w:sz w:val="20"/>
          <w:szCs w:val="20"/>
          <w:lang w:val="es-ES"/>
        </w:rPr>
      </w:pPr>
    </w:p>
    <w:p w14:paraId="68C3F652" w14:textId="77777777" w:rsidR="000966CC" w:rsidRPr="000966CC" w:rsidRDefault="000966CC" w:rsidP="000966CC">
      <w:pPr>
        <w:spacing w:after="0" w:line="240" w:lineRule="auto"/>
        <w:ind w:left="709" w:right="709"/>
        <w:jc w:val="both"/>
        <w:rPr>
          <w:rFonts w:ascii="Verdana" w:eastAsia="Calibri" w:hAnsi="Verdana" w:cs="Arial"/>
          <w:color w:val="000000" w:themeColor="text1"/>
          <w:sz w:val="20"/>
          <w:szCs w:val="20"/>
          <w:lang w:val="es-ES"/>
        </w:rPr>
      </w:pPr>
      <w:r w:rsidRPr="000966CC">
        <w:rPr>
          <w:rFonts w:ascii="Verdana" w:eastAsia="Calibri" w:hAnsi="Verdana" w:cs="Arial"/>
          <w:color w:val="000000" w:themeColor="text1"/>
          <w:sz w:val="20"/>
          <w:szCs w:val="20"/>
          <w:lang w:val="es-ES"/>
        </w:rPr>
        <w:t xml:space="preserve">El Gobierno Nacional señalará los criterios que seguirán las entidades para la exigencia de garantías, las clases y niveles de amparo de los riesgos de los contratos, así como los casos en </w:t>
      </w:r>
      <w:proofErr w:type="gramStart"/>
      <w:r w:rsidRPr="000966CC">
        <w:rPr>
          <w:rFonts w:ascii="Verdana" w:eastAsia="Calibri" w:hAnsi="Verdana" w:cs="Arial"/>
          <w:color w:val="000000" w:themeColor="text1"/>
          <w:sz w:val="20"/>
          <w:szCs w:val="20"/>
          <w:lang w:val="es-ES"/>
        </w:rPr>
        <w:t>que</w:t>
      </w:r>
      <w:proofErr w:type="gramEnd"/>
      <w:r w:rsidRPr="000966CC">
        <w:rPr>
          <w:rFonts w:ascii="Verdana" w:eastAsia="Calibri" w:hAnsi="Verdana" w:cs="Arial"/>
          <w:color w:val="000000" w:themeColor="text1"/>
          <w:sz w:val="20"/>
          <w:szCs w:val="20"/>
          <w:lang w:val="es-ES"/>
        </w:rPr>
        <w:t xml:space="preserve"> por las características y complejidad del contrato a celebrar, la garantía pueda ser dividida teniendo en cuenta las etapas o riesgos relativos a la ejecución del respectivo contrato. </w:t>
      </w:r>
    </w:p>
    <w:p w14:paraId="40CD8C45"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
        </w:rPr>
      </w:pPr>
    </w:p>
    <w:p w14:paraId="288AFCCC"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_tradnl"/>
        </w:rPr>
      </w:pPr>
      <w:r w:rsidRPr="000966CC">
        <w:rPr>
          <w:rFonts w:ascii="Verdana" w:eastAsia="Calibri" w:hAnsi="Verdana" w:cs="Arial"/>
          <w:color w:val="000000"/>
          <w:sz w:val="20"/>
          <w:szCs w:val="20"/>
          <w:lang w:val="es-ES_tradnl"/>
        </w:rPr>
        <w:t xml:space="preserve">El acaecimiento del siniestro que amparan las garantías será comunicado por la entidad pública al respectivo asegurador mediante la notificación del acto administrativo que así lo declare. </w:t>
      </w:r>
    </w:p>
    <w:p w14:paraId="7710EDC1"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_tradnl"/>
        </w:rPr>
      </w:pPr>
    </w:p>
    <w:p w14:paraId="5F7E0889"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
        </w:rPr>
      </w:pPr>
      <w:r w:rsidRPr="000966CC">
        <w:rPr>
          <w:rFonts w:ascii="Verdana" w:eastAsia="Calibri" w:hAnsi="Verdana" w:cs="Arial"/>
          <w:color w:val="000000" w:themeColor="text1"/>
          <w:sz w:val="20"/>
          <w:szCs w:val="20"/>
          <w:lang w:val="es-ES"/>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13"/>
    </w:p>
    <w:p w14:paraId="011A60B1" w14:textId="77777777" w:rsidR="000966CC" w:rsidRPr="000966CC" w:rsidRDefault="000966CC" w:rsidP="000966CC">
      <w:pPr>
        <w:spacing w:after="0" w:line="276" w:lineRule="auto"/>
        <w:ind w:firstLine="709"/>
        <w:jc w:val="both"/>
        <w:rPr>
          <w:rFonts w:ascii="Verdana" w:eastAsia="Calibri" w:hAnsi="Verdana" w:cs="Arial"/>
          <w:color w:val="000000" w:themeColor="text1"/>
          <w:lang w:val="es-ES"/>
        </w:rPr>
      </w:pPr>
    </w:p>
    <w:p w14:paraId="6BFC0F82" w14:textId="77777777" w:rsidR="000966CC" w:rsidRPr="000966CC" w:rsidRDefault="000966CC" w:rsidP="000966CC">
      <w:pPr>
        <w:spacing w:after="120" w:line="276" w:lineRule="auto"/>
        <w:ind w:firstLine="709"/>
        <w:jc w:val="both"/>
        <w:rPr>
          <w:rFonts w:ascii="Verdana" w:eastAsia="Calibri" w:hAnsi="Verdana" w:cs="Arial"/>
          <w:color w:val="000000"/>
          <w:lang w:val="es-ES"/>
        </w:rPr>
      </w:pPr>
      <w:r w:rsidRPr="000966CC">
        <w:rPr>
          <w:rFonts w:ascii="Verdana" w:eastAsia="Calibri" w:hAnsi="Verdana" w:cs="Arial"/>
          <w:color w:val="000000" w:themeColor="text1"/>
          <w:lang w:val="es-ES"/>
        </w:rPr>
        <w:t xml:space="preserve">Las condiciones para el cumplimiento de estas obligaciones fueron reglamentadas por el Decreto 1082 de 2015, el cual se refiere en los artículos 2.2.1.2.3.1.1. a 2.2.1.2.3.1.19 a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w:t>
      </w:r>
    </w:p>
    <w:p w14:paraId="3FEBEAAF" w14:textId="77777777" w:rsidR="000966CC" w:rsidRPr="000966CC" w:rsidRDefault="000966CC" w:rsidP="000966CC">
      <w:pPr>
        <w:spacing w:after="120" w:line="276" w:lineRule="auto"/>
        <w:ind w:firstLine="709"/>
        <w:jc w:val="both"/>
        <w:rPr>
          <w:rFonts w:ascii="Verdana" w:eastAsia="Calibri" w:hAnsi="Verdana" w:cs="Arial"/>
          <w:color w:val="000000"/>
          <w:lang w:val="es-ES"/>
        </w:rPr>
      </w:pPr>
      <w:r w:rsidRPr="000966CC">
        <w:rPr>
          <w:rFonts w:ascii="Verdana" w:eastAsia="Calibri" w:hAnsi="Verdana" w:cs="Arial"/>
          <w:color w:val="000000"/>
          <w:lang w:val="es-ES"/>
        </w:rPr>
        <w:t xml:space="preserve">En virtud del artículo </w:t>
      </w:r>
      <w:bookmarkStart w:id="15" w:name="_Hlk184015544"/>
      <w:r w:rsidRPr="000966CC">
        <w:rPr>
          <w:rFonts w:ascii="Verdana" w:eastAsia="Calibri" w:hAnsi="Verdana" w:cs="Arial"/>
          <w:color w:val="000000"/>
          <w:lang w:val="es-ES"/>
        </w:rPr>
        <w:t>2.2.1.2.3.1.1. del Decreto 1082 de 2015</w:t>
      </w:r>
      <w:bookmarkEnd w:id="15"/>
      <w:r w:rsidRPr="000966CC">
        <w:rPr>
          <w:rFonts w:ascii="Verdana" w:eastAsia="Calibri" w:hAnsi="Verdana" w:cs="Arial"/>
          <w:color w:val="000000"/>
          <w:lang w:val="es-ES"/>
        </w:rPr>
        <w:t>, los riesgos que cubren las garantías tienen como finalidad garantizar el cumplimiento de las obligaciones adquiridas por los oferentes y/o contratistas en favor de la entidad estatal o de terceros, en razón a: “(i) la presentación de las ofertas; (</w:t>
      </w:r>
      <w:proofErr w:type="spellStart"/>
      <w:r w:rsidRPr="000966CC">
        <w:rPr>
          <w:rFonts w:ascii="Verdana" w:eastAsia="Calibri" w:hAnsi="Verdana" w:cs="Arial"/>
          <w:color w:val="000000"/>
          <w:lang w:val="es-ES"/>
        </w:rPr>
        <w:t>ii</w:t>
      </w:r>
      <w:proofErr w:type="spellEnd"/>
      <w:r w:rsidRPr="000966CC">
        <w:rPr>
          <w:rFonts w:ascii="Verdana" w:eastAsia="Calibri" w:hAnsi="Verdana" w:cs="Arial"/>
          <w:color w:val="000000"/>
          <w:lang w:val="es-ES"/>
        </w:rPr>
        <w:t>) los contratos y su liquidación; y (</w:t>
      </w:r>
      <w:proofErr w:type="spellStart"/>
      <w:r w:rsidRPr="000966CC">
        <w:rPr>
          <w:rFonts w:ascii="Verdana" w:eastAsia="Calibri" w:hAnsi="Verdana" w:cs="Arial"/>
          <w:color w:val="000000"/>
          <w:lang w:val="es-ES"/>
        </w:rPr>
        <w:t>iii</w:t>
      </w:r>
      <w:proofErr w:type="spellEnd"/>
      <w:r w:rsidRPr="000966CC">
        <w:rPr>
          <w:rFonts w:ascii="Verdana" w:eastAsia="Calibri" w:hAnsi="Verdana" w:cs="Arial"/>
          <w:color w:val="000000"/>
          <w:lang w:val="es-ES"/>
        </w:rPr>
        <w:t>) los riesgos a los que se encuentran expuestas las Entidades Estatales, derivados de la responsabilidad extracontractual que pueda surgir por las actuaciones, hechos u omisiones de sus contratistas y subcontratistas”.</w:t>
      </w:r>
    </w:p>
    <w:p w14:paraId="589715B6" w14:textId="77777777" w:rsidR="000966CC" w:rsidRPr="000966CC" w:rsidRDefault="000966CC" w:rsidP="000966CC">
      <w:pPr>
        <w:spacing w:after="120" w:line="276" w:lineRule="auto"/>
        <w:ind w:firstLine="709"/>
        <w:jc w:val="both"/>
        <w:rPr>
          <w:rFonts w:ascii="Verdana" w:eastAsia="Calibri" w:hAnsi="Verdana" w:cs="Arial"/>
          <w:color w:val="000000"/>
          <w:lang w:val="es-ES"/>
        </w:rPr>
      </w:pPr>
      <w:r w:rsidRPr="000966CC">
        <w:rPr>
          <w:rFonts w:ascii="Verdana" w:eastAsia="Calibri" w:hAnsi="Verdana" w:cs="Arial"/>
          <w:color w:val="000000"/>
          <w:lang w:val="es-ES"/>
        </w:rPr>
        <w:t xml:space="preserve">Para asegurar el cumplimiento de las obligaciones contractuales, los contratistas u oferentes pueden constituir las siguientes clases de garantías: i) </w:t>
      </w:r>
      <w:r w:rsidRPr="000966CC">
        <w:rPr>
          <w:rFonts w:ascii="Verdana" w:eastAsia="Calibri" w:hAnsi="Verdana" w:cs="Arial"/>
          <w:color w:val="000000"/>
          <w:lang w:val="es-ES"/>
        </w:rPr>
        <w:lastRenderedPageBreak/>
        <w:t xml:space="preserve">contratos de seguro contenido en una póliza, </w:t>
      </w:r>
      <w:proofErr w:type="spellStart"/>
      <w:r w:rsidRPr="000966CC">
        <w:rPr>
          <w:rFonts w:ascii="Verdana" w:eastAsia="Calibri" w:hAnsi="Verdana" w:cs="Arial"/>
          <w:color w:val="000000"/>
          <w:lang w:val="es-ES"/>
        </w:rPr>
        <w:t>ii</w:t>
      </w:r>
      <w:proofErr w:type="spellEnd"/>
      <w:r w:rsidRPr="000966CC">
        <w:rPr>
          <w:rFonts w:ascii="Verdana" w:eastAsia="Calibri" w:hAnsi="Verdana" w:cs="Arial"/>
          <w:color w:val="000000"/>
          <w:lang w:val="es-ES"/>
        </w:rPr>
        <w:t xml:space="preserve">) patrimonio autónomo o </w:t>
      </w:r>
      <w:proofErr w:type="spellStart"/>
      <w:r w:rsidRPr="000966CC">
        <w:rPr>
          <w:rFonts w:ascii="Verdana" w:eastAsia="Calibri" w:hAnsi="Verdana" w:cs="Arial"/>
          <w:color w:val="000000"/>
          <w:lang w:val="es-ES"/>
        </w:rPr>
        <w:t>iii</w:t>
      </w:r>
      <w:proofErr w:type="spellEnd"/>
      <w:r w:rsidRPr="000966CC">
        <w:rPr>
          <w:rFonts w:ascii="Verdana" w:eastAsia="Calibri" w:hAnsi="Verdana" w:cs="Arial"/>
          <w:color w:val="000000"/>
          <w:lang w:val="es-ES"/>
        </w:rPr>
        <w:t xml:space="preserve">) garantías bancarias o cartas de crédito stand </w:t>
      </w:r>
      <w:proofErr w:type="spellStart"/>
      <w:r w:rsidRPr="000966CC">
        <w:rPr>
          <w:rFonts w:ascii="Verdana" w:eastAsia="Calibri" w:hAnsi="Verdana" w:cs="Arial"/>
          <w:color w:val="000000"/>
          <w:lang w:val="es-ES"/>
        </w:rPr>
        <w:t>by</w:t>
      </w:r>
      <w:proofErr w:type="spellEnd"/>
      <w:r w:rsidRPr="000966CC">
        <w:rPr>
          <w:rFonts w:ascii="Verdana" w:eastAsia="Calibri" w:hAnsi="Verdana" w:cs="Arial"/>
          <w:color w:val="000000"/>
          <w:vertAlign w:val="superscript"/>
          <w:lang w:val="es-ES"/>
        </w:rPr>
        <w:footnoteReference w:id="12"/>
      </w:r>
      <w:r w:rsidRPr="000966CC">
        <w:rPr>
          <w:rFonts w:ascii="Verdana" w:eastAsia="Calibri" w:hAnsi="Verdana" w:cs="Arial"/>
          <w:color w:val="000000"/>
          <w:lang w:val="es-ES"/>
        </w:rPr>
        <w:t>. La suficiencia y la vigencia de las garantías deben ser las establecidas en los artículos 2.2.1.2.3.1.9 a 2.2.1.2.3.1.17 del Decreto 1082 de 2015.</w:t>
      </w:r>
    </w:p>
    <w:p w14:paraId="3728D4AA" w14:textId="77777777" w:rsidR="000966CC" w:rsidRPr="000966CC" w:rsidRDefault="000966CC" w:rsidP="000966CC">
      <w:pPr>
        <w:spacing w:after="120" w:line="276" w:lineRule="auto"/>
        <w:ind w:firstLine="709"/>
        <w:jc w:val="both"/>
        <w:rPr>
          <w:rFonts w:ascii="Verdana" w:eastAsia="Calibri" w:hAnsi="Verdana" w:cs="Arial"/>
          <w:color w:val="000000"/>
          <w:lang w:val="es-ES"/>
        </w:rPr>
      </w:pPr>
      <w:r w:rsidRPr="000966CC">
        <w:rPr>
          <w:rFonts w:ascii="Verdana" w:eastAsia="Calibri" w:hAnsi="Verdana" w:cs="Arial"/>
          <w:color w:val="000000"/>
          <w:lang w:val="es-ES"/>
        </w:rPr>
        <w:t>De la lectura del artículo 7 de la Ley 1150 de 2007 se precisa que el legislador amplió las garantías permitiendo no solo las pólizas y las garantías bancarias, sino también los demás mecanismos de cobertura del riesgo que el reglamento establezca, es decir, las contempladas en el artículo 2.2.1.2.3.1.2. del Decreto 1082 de 2015. Este decreto reiteró las garantías previstas en la Ley 1150 de 2007 y autorizó el patrimonio autónomo como instrumento para asegurar riesgos.</w:t>
      </w:r>
    </w:p>
    <w:p w14:paraId="347346AA" w14:textId="77777777" w:rsidR="000966CC" w:rsidRPr="000966CC" w:rsidRDefault="000966CC" w:rsidP="000966CC">
      <w:pPr>
        <w:spacing w:line="276" w:lineRule="auto"/>
        <w:ind w:firstLine="708"/>
        <w:jc w:val="both"/>
        <w:rPr>
          <w:rFonts w:ascii="Verdana" w:eastAsia="Calibri" w:hAnsi="Verdana" w:cs="Arial"/>
          <w:color w:val="000000"/>
          <w:lang w:val="es-ES_tradnl"/>
        </w:rPr>
      </w:pPr>
      <w:bookmarkStart w:id="16" w:name="_Hlk184015571"/>
      <w:bookmarkStart w:id="17" w:name="_Hlk184015418"/>
      <w:r w:rsidRPr="000966CC">
        <w:rPr>
          <w:rFonts w:ascii="Verdana" w:eastAsia="Calibri" w:hAnsi="Verdana" w:cs="Arial"/>
          <w:color w:val="000000"/>
          <w:lang w:val="es-ES"/>
        </w:rPr>
        <w:t xml:space="preserve">La Agencia Nacional de Contratación Pública – Colombia Compra Eficiente expidió la “Guía de garantías en Procesos de Contratación”, </w:t>
      </w:r>
      <w:bookmarkEnd w:id="16"/>
      <w:r w:rsidRPr="000966CC">
        <w:rPr>
          <w:rFonts w:ascii="Verdana" w:eastAsia="Calibri" w:hAnsi="Verdana" w:cs="Arial"/>
          <w:color w:val="000000"/>
          <w:lang w:val="es-ES"/>
        </w:rPr>
        <w:t xml:space="preserve">allí señaló que las garantías “son instrumentos de cobertura de algunos Riesgos comunes en Procesos de Contratación”, por lo cual las Entidades Estatales, desde la etapa de planeación del proceso, deberán identificar las garantías a solicitar, de acuerdo con el objeto, el valor, la naturaleza y las obligaciones del contrato. </w:t>
      </w:r>
      <w:bookmarkEnd w:id="17"/>
      <w:r w:rsidRPr="000966CC">
        <w:rPr>
          <w:rFonts w:ascii="Verdana" w:eastAsia="Calibri" w:hAnsi="Verdana" w:cs="Arial"/>
          <w:color w:val="000000"/>
          <w:lang w:val="es-ES_tradnl"/>
        </w:rPr>
        <w:t xml:space="preserve">Teniendo en cuenta que el objeto de su consulta, a continuación, se presentan algunas consideraciones relacionadas con la garantía de cumplimiento, dentro de la que se resalta el amparo de estabilidad de la obra, y la póliza de responsabilidad civil extracontractual. </w:t>
      </w:r>
    </w:p>
    <w:p w14:paraId="456AB77B" w14:textId="77777777" w:rsidR="000966CC" w:rsidRPr="000966CC" w:rsidRDefault="000966CC" w:rsidP="000966CC">
      <w:pPr>
        <w:spacing w:after="0" w:line="276" w:lineRule="auto"/>
        <w:ind w:firstLine="708"/>
        <w:jc w:val="both"/>
        <w:rPr>
          <w:rFonts w:ascii="Verdana" w:hAnsi="Verdana" w:cs="Arial"/>
          <w:color w:val="000000"/>
          <w:lang w:eastAsia="es-MX"/>
        </w:rPr>
      </w:pPr>
      <w:r w:rsidRPr="000966CC">
        <w:rPr>
          <w:rFonts w:ascii="Verdana" w:hAnsi="Verdana" w:cs="Arial"/>
          <w:color w:val="000000"/>
          <w:lang w:val="es-ES" w:eastAsia="es-MX"/>
        </w:rPr>
        <w:t>En relación con la garantía de cumplimiento, la Agencia Nacional de Contratación Pública – Colombia Compra Eficiente ha sostenido lo siguiente:</w:t>
      </w:r>
    </w:p>
    <w:p w14:paraId="2A0DCDB7" w14:textId="77777777" w:rsidR="000966CC" w:rsidRPr="000966CC" w:rsidRDefault="000966CC" w:rsidP="000966CC">
      <w:pPr>
        <w:spacing w:after="0"/>
        <w:ind w:left="709" w:right="758"/>
        <w:jc w:val="both"/>
        <w:rPr>
          <w:rFonts w:ascii="Verdana" w:hAnsi="Verdana" w:cs="Arial"/>
          <w:bCs/>
          <w:color w:val="000000"/>
          <w:sz w:val="21"/>
          <w:szCs w:val="21"/>
          <w:lang w:val="es-ES_tradnl" w:eastAsia="es-MX"/>
        </w:rPr>
      </w:pPr>
    </w:p>
    <w:p w14:paraId="6E99ABC3" w14:textId="77777777" w:rsidR="000966CC" w:rsidRPr="000966CC" w:rsidRDefault="000966CC" w:rsidP="000966CC">
      <w:pPr>
        <w:spacing w:after="0"/>
        <w:ind w:left="709" w:right="709"/>
        <w:jc w:val="both"/>
        <w:rPr>
          <w:rFonts w:ascii="Verdana" w:hAnsi="Verdana" w:cs="Arial"/>
          <w:color w:val="000000"/>
          <w:sz w:val="20"/>
          <w:szCs w:val="20"/>
          <w:lang w:eastAsia="es-MX"/>
        </w:rPr>
      </w:pPr>
      <w:r w:rsidRPr="000966CC">
        <w:rPr>
          <w:rFonts w:ascii="Verdana" w:hAnsi="Verdana" w:cs="Arial"/>
          <w:color w:val="000000" w:themeColor="text1"/>
          <w:sz w:val="20"/>
          <w:szCs w:val="20"/>
          <w:lang w:val="es-ES" w:eastAsia="es-MX"/>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185F4038" w14:textId="77777777" w:rsidR="000966CC" w:rsidRPr="000966CC" w:rsidRDefault="000966CC" w:rsidP="000966CC">
      <w:pPr>
        <w:spacing w:after="0"/>
        <w:ind w:left="709" w:right="709"/>
        <w:jc w:val="both"/>
        <w:rPr>
          <w:rFonts w:ascii="Verdana" w:hAnsi="Verdana" w:cs="Arial"/>
          <w:bCs/>
          <w:color w:val="000000"/>
          <w:sz w:val="20"/>
          <w:szCs w:val="20"/>
          <w:lang w:val="es-ES_tradnl" w:eastAsia="es-MX"/>
        </w:rPr>
      </w:pPr>
    </w:p>
    <w:p w14:paraId="192F58DF" w14:textId="77777777" w:rsidR="000966CC" w:rsidRPr="000966CC" w:rsidRDefault="000966CC" w:rsidP="000966CC">
      <w:pPr>
        <w:spacing w:after="0"/>
        <w:ind w:left="709" w:right="709"/>
        <w:jc w:val="both"/>
        <w:rPr>
          <w:rFonts w:ascii="Verdana" w:hAnsi="Verdana" w:cs="Arial"/>
          <w:bCs/>
          <w:color w:val="000000"/>
          <w:sz w:val="20"/>
          <w:szCs w:val="20"/>
          <w:lang w:val="es-ES_tradnl" w:eastAsia="es-MX"/>
        </w:rPr>
      </w:pPr>
      <w:r w:rsidRPr="000966CC">
        <w:rPr>
          <w:rFonts w:ascii="Verdana" w:hAnsi="Verdana" w:cs="Arial"/>
          <w:bCs/>
          <w:color w:val="000000"/>
          <w:sz w:val="20"/>
          <w:szCs w:val="20"/>
          <w:lang w:val="es-ES_tradnl" w:eastAsia="es-MX"/>
        </w:rPr>
        <w:lastRenderedPageBreak/>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0966CC">
        <w:rPr>
          <w:rFonts w:ascii="Verdana" w:hAnsi="Verdana" w:cs="Arial"/>
          <w:bCs/>
          <w:color w:val="000000"/>
          <w:sz w:val="20"/>
          <w:szCs w:val="20"/>
          <w:vertAlign w:val="superscript"/>
          <w:lang w:val="es-ES_tradnl" w:eastAsia="es-MX"/>
        </w:rPr>
        <w:footnoteReference w:id="13"/>
      </w:r>
      <w:r w:rsidRPr="000966CC">
        <w:rPr>
          <w:rFonts w:ascii="Verdana" w:eastAsia="Calibri" w:hAnsi="Verdana" w:cs="Arial"/>
          <w:color w:val="000000"/>
          <w:sz w:val="20"/>
          <w:szCs w:val="20"/>
          <w:lang w:eastAsia="es-MX"/>
        </w:rPr>
        <w:t>.</w:t>
      </w:r>
    </w:p>
    <w:p w14:paraId="48712326" w14:textId="77777777" w:rsidR="000966CC" w:rsidRPr="000966CC" w:rsidRDefault="000966CC" w:rsidP="000966CC">
      <w:pPr>
        <w:spacing w:after="0" w:line="276" w:lineRule="auto"/>
        <w:jc w:val="both"/>
        <w:rPr>
          <w:rFonts w:ascii="Verdana" w:hAnsi="Verdana" w:cs="Arial"/>
          <w:bCs/>
          <w:color w:val="000000"/>
          <w:lang w:val="es-ES_tradnl" w:eastAsia="es-MX"/>
        </w:rPr>
      </w:pPr>
    </w:p>
    <w:p w14:paraId="375E553A" w14:textId="77777777" w:rsidR="000966CC" w:rsidRPr="000966CC" w:rsidRDefault="000966CC" w:rsidP="000966CC">
      <w:pPr>
        <w:spacing w:after="120" w:line="276" w:lineRule="auto"/>
        <w:ind w:firstLine="709"/>
        <w:jc w:val="both"/>
        <w:rPr>
          <w:rFonts w:ascii="Verdana" w:hAnsi="Verdana" w:cs="Arial"/>
          <w:bCs/>
          <w:color w:val="000000"/>
          <w:lang w:val="es-ES_tradnl" w:eastAsia="es-MX"/>
        </w:rPr>
      </w:pPr>
      <w:bookmarkStart w:id="18" w:name="_Hlk184019482"/>
      <w:r w:rsidRPr="000966CC">
        <w:rPr>
          <w:rFonts w:ascii="Verdana" w:hAnsi="Verdana" w:cs="Arial"/>
          <w:bCs/>
          <w:color w:val="000000"/>
          <w:lang w:val="es-ES_tradnl" w:eastAsia="es-MX"/>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38F8658B" w14:textId="5D922314" w:rsidR="000966CC" w:rsidRPr="000966CC" w:rsidRDefault="000966CC" w:rsidP="000966CC">
      <w:pPr>
        <w:spacing w:after="120" w:line="276" w:lineRule="auto"/>
        <w:ind w:firstLine="709"/>
        <w:jc w:val="both"/>
        <w:rPr>
          <w:rFonts w:ascii="Verdana" w:hAnsi="Verdana" w:cs="Arial"/>
          <w:bCs/>
          <w:color w:val="000000"/>
          <w:lang w:val="es-ES_tradnl" w:eastAsia="es-MX"/>
        </w:rPr>
      </w:pPr>
      <w:r w:rsidRPr="000966CC">
        <w:rPr>
          <w:rFonts w:ascii="Verdana" w:hAnsi="Verdana" w:cs="Arial"/>
          <w:bCs/>
          <w:color w:val="000000"/>
          <w:lang w:val="es-ES_tradnl" w:eastAsia="es-MX"/>
        </w:rPr>
        <w:t xml:space="preserve">En efecto, según el </w:t>
      </w:r>
      <w:bookmarkStart w:id="19" w:name="_Hlk184015687"/>
      <w:r w:rsidRPr="000966CC">
        <w:rPr>
          <w:rFonts w:ascii="Verdana" w:hAnsi="Verdana" w:cs="Arial"/>
          <w:bCs/>
          <w:color w:val="000000"/>
          <w:lang w:val="es-ES_tradnl" w:eastAsia="es-MX"/>
        </w:rPr>
        <w:t>2.2.1.2.3.1.7. del Decreto 1082 de 2015</w:t>
      </w:r>
      <w:bookmarkEnd w:id="19"/>
      <w:r w:rsidRPr="000966CC">
        <w:rPr>
          <w:rFonts w:ascii="Verdana" w:hAnsi="Verdana" w:cs="Arial"/>
          <w:bCs/>
          <w:color w:val="000000"/>
          <w:vertAlign w:val="superscript"/>
          <w:lang w:val="es-ES_tradnl" w:eastAsia="es-MX"/>
        </w:rPr>
        <w:footnoteReference w:id="14"/>
      </w:r>
      <w:r w:rsidRPr="000966CC">
        <w:rPr>
          <w:rFonts w:ascii="Verdana" w:hAnsi="Verdana" w:cs="Arial"/>
          <w:bCs/>
          <w:color w:val="000000"/>
          <w:lang w:val="es-ES_tradnl" w:eastAsia="es-MX"/>
        </w:rPr>
        <w:t xml:space="preserve">, la garantía única de cumplimiento cuenta con varios amparos, que incluyen el de buen </w:t>
      </w:r>
      <w:r w:rsidRPr="000966CC">
        <w:rPr>
          <w:rFonts w:ascii="Verdana" w:hAnsi="Verdana" w:cs="Arial"/>
          <w:bCs/>
          <w:color w:val="000000"/>
          <w:lang w:val="es-ES_tradnl" w:eastAsia="es-MX"/>
        </w:rPr>
        <w:lastRenderedPageBreak/>
        <w:t>manejo y correcta inversión del anticipo; la devolución del pago anticipado; el amparo de cumplimiento del contrato; la garantía de pago de salarios, prestaciones sociales legales e indemnizaciones laborales,</w:t>
      </w:r>
      <w:r w:rsidRPr="008E0AF7">
        <w:t xml:space="preserve"> </w:t>
      </w:r>
      <w:r w:rsidR="008E0AF7">
        <w:rPr>
          <w:rFonts w:ascii="Verdana" w:hAnsi="Verdana" w:cs="Arial"/>
          <w:bCs/>
          <w:color w:val="000000"/>
          <w:lang w:eastAsia="es-MX"/>
        </w:rPr>
        <w:t>e</w:t>
      </w:r>
      <w:proofErr w:type="spellStart"/>
      <w:r w:rsidR="008E0AF7" w:rsidRPr="008E0AF7">
        <w:rPr>
          <w:rFonts w:ascii="Verdana" w:hAnsi="Verdana" w:cs="Arial"/>
          <w:bCs/>
          <w:color w:val="000000"/>
          <w:lang w:val="es-ES_tradnl" w:eastAsia="es-MX"/>
        </w:rPr>
        <w:t>stabilidad</w:t>
      </w:r>
      <w:proofErr w:type="spellEnd"/>
      <w:r w:rsidR="008E0AF7" w:rsidRPr="008E0AF7">
        <w:rPr>
          <w:rFonts w:ascii="Verdana" w:hAnsi="Verdana" w:cs="Arial"/>
          <w:bCs/>
          <w:color w:val="000000"/>
          <w:lang w:val="es-ES_tradnl" w:eastAsia="es-MX"/>
        </w:rPr>
        <w:t xml:space="preserve"> y calidad de la obr</w:t>
      </w:r>
      <w:r w:rsidR="008E0AF7">
        <w:rPr>
          <w:rFonts w:ascii="Verdana" w:hAnsi="Verdana" w:cs="Arial"/>
          <w:bCs/>
          <w:color w:val="000000"/>
          <w:lang w:val="es-ES_tradnl" w:eastAsia="es-MX"/>
        </w:rPr>
        <w:t xml:space="preserve">a, </w:t>
      </w:r>
      <w:r w:rsidRPr="000966CC">
        <w:rPr>
          <w:rFonts w:ascii="Verdana" w:hAnsi="Verdana" w:cs="Arial"/>
          <w:bCs/>
          <w:color w:val="000000"/>
          <w:lang w:val="es-ES_tradnl" w:eastAsia="es-MX"/>
        </w:rPr>
        <w:t>entre otros.</w:t>
      </w:r>
    </w:p>
    <w:bookmarkEnd w:id="18"/>
    <w:p w14:paraId="2C5C4650" w14:textId="77777777" w:rsidR="000966CC" w:rsidRPr="000966CC" w:rsidRDefault="000966CC" w:rsidP="000966CC">
      <w:pPr>
        <w:spacing w:after="120" w:line="276" w:lineRule="auto"/>
        <w:ind w:firstLine="709"/>
        <w:jc w:val="both"/>
        <w:rPr>
          <w:rFonts w:ascii="Verdana" w:hAnsi="Verdana" w:cs="Arial"/>
          <w:bCs/>
          <w:color w:val="000000"/>
          <w:lang w:val="es-ES_tradnl" w:eastAsia="es-MX"/>
        </w:rPr>
      </w:pPr>
      <w:r w:rsidRPr="000966CC">
        <w:rPr>
          <w:rFonts w:ascii="Verdana" w:hAnsi="Verdana" w:cs="Arial"/>
          <w:bCs/>
          <w:color w:val="000000"/>
          <w:lang w:val="es-ES_tradnl" w:eastAsia="es-MX"/>
        </w:rPr>
        <w:t xml:space="preserve">Al tenor de lo preceptuado en el artículo 2.2.1.2.3.1.7. </w:t>
      </w:r>
      <w:r w:rsidRPr="000966CC">
        <w:rPr>
          <w:rFonts w:ascii="Verdana" w:hAnsi="Verdana" w:cs="Arial"/>
          <w:bCs/>
          <w:i/>
          <w:iCs/>
          <w:color w:val="000000"/>
          <w:lang w:val="es-ES_tradnl" w:eastAsia="es-MX"/>
        </w:rPr>
        <w:t>ibidem</w:t>
      </w:r>
      <w:r w:rsidRPr="000966CC">
        <w:rPr>
          <w:rFonts w:ascii="Verdana" w:hAnsi="Verdana" w:cs="Arial"/>
          <w:bCs/>
          <w:color w:val="000000"/>
          <w:lang w:val="es-ES_tradnl" w:eastAsia="es-MX"/>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6B02231B" w14:textId="77777777" w:rsidR="000966CC" w:rsidRPr="000966CC" w:rsidRDefault="000966CC" w:rsidP="000966CC">
      <w:pPr>
        <w:spacing w:after="120" w:line="276" w:lineRule="auto"/>
        <w:ind w:firstLine="709"/>
        <w:jc w:val="both"/>
        <w:rPr>
          <w:rFonts w:ascii="Verdana" w:hAnsi="Verdana" w:cs="Arial"/>
          <w:bCs/>
          <w:color w:val="000000"/>
          <w:lang w:val="es-ES_tradnl" w:eastAsia="es-MX"/>
        </w:rPr>
      </w:pPr>
      <w:r w:rsidRPr="000966CC">
        <w:rPr>
          <w:rFonts w:ascii="Verdana" w:hAnsi="Verdana" w:cs="Arial"/>
          <w:bCs/>
          <w:color w:val="000000"/>
          <w:lang w:val="es-ES_tradnl" w:eastAsia="es-MX"/>
        </w:rPr>
        <w:t xml:space="preserve">De otra parte, en relación con la vigencia de las garantías, el artículo 2.2.1.2.3.1.12. del citado Decreto señala expresamente que “[l]a garantía de cumplimiento del contrato debe tener una vigencia mínima hasta la liquidación del contrato”. </w:t>
      </w:r>
    </w:p>
    <w:p w14:paraId="4C09BDEA" w14:textId="77777777" w:rsidR="000966CC" w:rsidRPr="000966CC" w:rsidRDefault="000966CC" w:rsidP="000966CC">
      <w:pPr>
        <w:spacing w:after="120" w:line="276" w:lineRule="auto"/>
        <w:ind w:firstLine="709"/>
        <w:jc w:val="both"/>
        <w:rPr>
          <w:rFonts w:ascii="Verdana" w:hAnsi="Verdana" w:cs="Arial"/>
          <w:bCs/>
          <w:color w:val="000000"/>
          <w:lang w:val="es-ES_tradnl" w:eastAsia="es-MX"/>
        </w:rPr>
      </w:pPr>
      <w:r w:rsidRPr="000966CC">
        <w:rPr>
          <w:rFonts w:ascii="Verdana" w:hAnsi="Verdana" w:cs="Arial"/>
          <w:bCs/>
          <w:color w:val="000000"/>
          <w:lang w:val="es-ES_tradnl" w:eastAsia="es-MX"/>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r w:rsidRPr="000966CC">
        <w:rPr>
          <w:rFonts w:ascii="Verdana" w:hAnsi="Verdana" w:cs="Arial"/>
          <w:bCs/>
          <w:i/>
          <w:iCs/>
          <w:color w:val="000000"/>
          <w:lang w:val="es-ES_tradnl" w:eastAsia="es-MX"/>
        </w:rPr>
        <w:t>Ibidem</w:t>
      </w:r>
      <w:r w:rsidRPr="000966CC">
        <w:rPr>
          <w:rFonts w:ascii="Verdana" w:hAnsi="Verdana" w:cs="Arial"/>
          <w:bCs/>
          <w:color w:val="000000"/>
          <w:lang w:val="es-ES_tradnl" w:eastAsia="es-MX"/>
        </w:rPr>
        <w:t xml:space="preserve"> prescribe que la garantía de pago de salarios y prestaciones sociales debe estar vigente por el plazo del contrato y tres (3) años adicionales y, a su vez, el artículo 2.2.1.2.3.1.14 establece un término no inferior a cinco (5) años para la garantía de estabilidad de la obra. </w:t>
      </w:r>
    </w:p>
    <w:p w14:paraId="2CC7A4A2" w14:textId="77777777" w:rsidR="000966CC" w:rsidRPr="000966CC" w:rsidRDefault="000966CC" w:rsidP="000966CC">
      <w:pPr>
        <w:spacing w:before="120" w:line="276" w:lineRule="auto"/>
        <w:ind w:firstLine="709"/>
        <w:jc w:val="both"/>
        <w:rPr>
          <w:rFonts w:ascii="Verdana" w:eastAsia="Calibri" w:hAnsi="Verdana" w:cs="Arial"/>
          <w:color w:val="000000" w:themeColor="text1"/>
          <w:lang w:val="es-ES_tradnl"/>
        </w:rPr>
      </w:pPr>
      <w:r w:rsidRPr="000966CC">
        <w:rPr>
          <w:rFonts w:ascii="Verdana" w:eastAsia="Calibri" w:hAnsi="Verdana" w:cs="Arial"/>
          <w:color w:val="000000" w:themeColor="text1"/>
        </w:rPr>
        <w:t xml:space="preserve">Conforme lo expuesto, </w:t>
      </w:r>
      <w:bookmarkStart w:id="20" w:name="_Hlk184017763"/>
      <w:bookmarkStart w:id="21" w:name="_Hlk184019393"/>
      <w:r w:rsidRPr="000966CC">
        <w:rPr>
          <w:rFonts w:ascii="Verdana" w:eastAsia="Calibri" w:hAnsi="Verdana" w:cs="Arial"/>
          <w:color w:val="000000" w:themeColor="text1"/>
        </w:rPr>
        <w:t xml:space="preserve">el amparo de estabilidad y calidad de la obra </w:t>
      </w:r>
      <w:bookmarkEnd w:id="20"/>
      <w:r w:rsidRPr="000966CC">
        <w:rPr>
          <w:rFonts w:ascii="Verdana" w:eastAsia="Calibri" w:hAnsi="Verdana" w:cs="Arial"/>
          <w:color w:val="000000" w:themeColor="text1"/>
        </w:rPr>
        <w:t>supone una de las garantías cubiertas por la garantía única de cumplimiento. Tratándose del amparo de estabilidad y calidad de la obra, sin perjuicio de la</w:t>
      </w:r>
      <w:r w:rsidRPr="000966CC">
        <w:rPr>
          <w:rFonts w:ascii="Verdana" w:eastAsia="Calibri" w:hAnsi="Verdana" w:cs="Arial"/>
          <w:color w:val="000000" w:themeColor="text1"/>
          <w:lang w:val="es-ES_tradnl"/>
        </w:rPr>
        <w:t xml:space="preserve"> </w:t>
      </w:r>
      <w:r w:rsidRPr="000966CC">
        <w:rPr>
          <w:rFonts w:ascii="Verdana" w:eastAsia="Calibri" w:hAnsi="Verdana" w:cs="Arial"/>
          <w:color w:val="000000" w:themeColor="text1"/>
          <w:lang w:val="es-ES_tradnl"/>
        </w:rPr>
        <w:lastRenderedPageBreak/>
        <w:t>garantía decenal de que trata el artículo 2060.3 del Código Civil</w:t>
      </w:r>
      <w:r w:rsidRPr="000966CC">
        <w:rPr>
          <w:rFonts w:ascii="Verdana" w:eastAsia="Calibri" w:hAnsi="Verdana" w:cs="Arial"/>
          <w:color w:val="000000" w:themeColor="text1"/>
          <w:vertAlign w:val="superscript"/>
          <w:lang w:val="es-ES_tradnl"/>
        </w:rPr>
        <w:footnoteReference w:id="15"/>
      </w:r>
      <w:r w:rsidRPr="000966CC">
        <w:rPr>
          <w:rFonts w:ascii="Verdana" w:eastAsia="Calibri" w:hAnsi="Verdana" w:cs="Arial"/>
          <w:color w:val="000000" w:themeColor="text1"/>
          <w:lang w:val="es-ES_tradnl"/>
        </w:rPr>
        <w:t>, el numeral 5 del artículo 2.2.1.3.1.7 del Decreto 1082 de 2015 dispone que “</w:t>
      </w:r>
      <w:r w:rsidRPr="000966CC">
        <w:rPr>
          <w:rFonts w:ascii="Verdana" w:hAnsi="Verdana"/>
          <w:color w:val="000000" w:themeColor="text1"/>
          <w:lang w:val="es-MX"/>
        </w:rPr>
        <w:t xml:space="preserve">[…] </w:t>
      </w:r>
      <w:r w:rsidRPr="000966CC">
        <w:rPr>
          <w:rFonts w:ascii="Verdana" w:eastAsia="Calibri" w:hAnsi="Verdana" w:cs="Arial"/>
          <w:color w:val="000000" w:themeColor="text1"/>
          <w:lang w:val="es-ES_tradnl"/>
        </w:rPr>
        <w:t xml:space="preserve">cubre a la Entidad Estatal de los perjuicios ocasionados por cualquier tipo de daño o deterioro, imputable al contratista, sufrido por la obra entregada a satisfacción”. </w:t>
      </w:r>
      <w:bookmarkEnd w:id="21"/>
    </w:p>
    <w:p w14:paraId="0203A08A" w14:textId="77777777" w:rsidR="000966CC" w:rsidRPr="000966CC" w:rsidRDefault="000966CC" w:rsidP="000966CC">
      <w:pPr>
        <w:spacing w:before="120" w:after="120" w:line="276" w:lineRule="auto"/>
        <w:ind w:firstLine="709"/>
        <w:jc w:val="both"/>
        <w:rPr>
          <w:rFonts w:ascii="Verdana" w:eastAsia="Calibri" w:hAnsi="Verdana" w:cs="Arial"/>
          <w:color w:val="000000" w:themeColor="text1"/>
        </w:rPr>
      </w:pPr>
      <w:r w:rsidRPr="000966CC">
        <w:rPr>
          <w:rFonts w:ascii="Verdana" w:eastAsia="Calibri" w:hAnsi="Verdana" w:cs="Arial"/>
          <w:color w:val="000000" w:themeColor="text1"/>
          <w:lang w:val="es-ES"/>
        </w:rPr>
        <w:t>Por otra parte, el artículo 2.2.1.2.3.1.14 prescribe que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agregando que “La Entidad Estatal puede aceptar que esta garantía tenga una vigencia inferior a cinco (5) años previa justificación técnica de un experto en la materia objeto del contrato”. A tales efectos, la norma establece que “Para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w:t>
      </w:r>
    </w:p>
    <w:p w14:paraId="60327EC2" w14:textId="77777777" w:rsidR="000966CC" w:rsidRPr="000966CC" w:rsidRDefault="000966CC" w:rsidP="000966CC">
      <w:pPr>
        <w:spacing w:before="120" w:after="120" w:line="276" w:lineRule="auto"/>
        <w:ind w:firstLine="709"/>
        <w:jc w:val="both"/>
        <w:rPr>
          <w:rFonts w:ascii="Verdana" w:hAnsi="Verdana" w:cs="Arial"/>
          <w:color w:val="000000"/>
          <w:lang w:val="es-ES" w:eastAsia="es-MX"/>
        </w:rPr>
      </w:pPr>
      <w:bookmarkStart w:id="22" w:name="_Hlk184016411"/>
      <w:r w:rsidRPr="77C0AFBB">
        <w:rPr>
          <w:rFonts w:ascii="Verdana" w:eastAsia="Calibri" w:hAnsi="Verdana" w:cs="Arial"/>
          <w:color w:val="000000" w:themeColor="text1"/>
          <w:lang w:val="es-ES"/>
        </w:rPr>
        <w:t>De esta manera, la garantía a la que hace referencia en su consulta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Pr="77C0AFBB">
        <w:rPr>
          <w:rFonts w:ascii="Verdana" w:hAnsi="Verdana" w:cs="Arial"/>
          <w:color w:val="000000" w:themeColor="text1"/>
          <w:lang w:val="es-ES" w:eastAsia="es-MX"/>
        </w:rPr>
        <w:t xml:space="preserve"> </w:t>
      </w:r>
    </w:p>
    <w:p w14:paraId="0C35D444" w14:textId="77777777" w:rsidR="000966CC" w:rsidRPr="000966CC" w:rsidRDefault="000966CC" w:rsidP="000966CC">
      <w:pPr>
        <w:spacing w:before="120" w:after="120" w:line="276" w:lineRule="auto"/>
        <w:ind w:firstLine="709"/>
        <w:jc w:val="both"/>
        <w:rPr>
          <w:rFonts w:ascii="Verdana" w:hAnsi="Verdana" w:cs="Arial"/>
          <w:lang w:eastAsia="es-CO"/>
        </w:rPr>
      </w:pPr>
      <w:bookmarkStart w:id="23" w:name="_Hlk184017802"/>
      <w:bookmarkStart w:id="24" w:name="_Hlk184019407"/>
      <w:r w:rsidRPr="000966CC">
        <w:rPr>
          <w:rFonts w:ascii="Verdana" w:hAnsi="Verdana" w:cs="Arial"/>
        </w:rPr>
        <w:t xml:space="preserve">La Jurisprudencia del Consejo de Estado ha señalado que, el amparo de la póliza de cumplimiento relativo a la estabilidad de la obra tiene como finalidad garantizar la reparación de los daños que se presenten luego de que haya sido recibida a satisfacción, y que no se evidencian en el momento de la entrega. </w:t>
      </w:r>
      <w:bookmarkEnd w:id="23"/>
      <w:r w:rsidRPr="000966CC">
        <w:rPr>
          <w:rFonts w:ascii="Verdana" w:hAnsi="Verdana" w:cs="Arial"/>
        </w:rPr>
        <w:t xml:space="preserve">El </w:t>
      </w:r>
      <w:r w:rsidRPr="000966CC">
        <w:rPr>
          <w:rFonts w:ascii="Verdana" w:hAnsi="Verdana" w:cs="Arial"/>
        </w:rPr>
        <w:lastRenderedPageBreak/>
        <w:t>constructor debe reparar estos daños, y este amparo se incluye precisamente para garantizar el cumplimiento de esta obligación. El amparo se hace efectivo con la sola demostración de la ocurrencia de daños posteriores en la obra y del valor de su reparación. Por esta vía no puede obtenerse la reparación de daños imputables al incumplimiento de las obligaciones del contratista conocidos por la entidad antes de la terminación del contrato</w:t>
      </w:r>
      <w:bookmarkEnd w:id="24"/>
      <w:r w:rsidRPr="000966CC">
        <w:rPr>
          <w:rFonts w:ascii="Verdana" w:hAnsi="Verdana" w:cs="Arial"/>
          <w:vertAlign w:val="superscript"/>
        </w:rPr>
        <w:footnoteReference w:id="16"/>
      </w:r>
      <w:r w:rsidRPr="000966CC">
        <w:rPr>
          <w:rFonts w:ascii="Verdana" w:hAnsi="Verdana" w:cs="Arial"/>
        </w:rPr>
        <w:t>.</w:t>
      </w:r>
    </w:p>
    <w:p w14:paraId="081CDB85" w14:textId="77777777" w:rsidR="000966CC" w:rsidRPr="000966CC" w:rsidRDefault="000966CC" w:rsidP="000966CC">
      <w:pPr>
        <w:spacing w:before="120" w:after="120" w:line="276" w:lineRule="auto"/>
        <w:ind w:firstLine="709"/>
        <w:jc w:val="both"/>
        <w:rPr>
          <w:rFonts w:ascii="Verdana" w:hAnsi="Verdana" w:cs="Arial"/>
          <w:color w:val="000000"/>
        </w:rPr>
      </w:pPr>
      <w:r w:rsidRPr="000966CC">
        <w:rPr>
          <w:rFonts w:ascii="Verdana" w:hAnsi="Verdana" w:cs="Arial"/>
          <w:bCs/>
          <w:color w:val="000000"/>
          <w:lang w:val="es-ES_tradnl" w:eastAsia="es-MX"/>
        </w:rPr>
        <w:t xml:space="preserve">La posibilidad de tener como valido un amparo de estabilidad y calidad de la obra con una vigencia inferior a un año procede, de manera excepcional, previa justificación técnica en la materia objeto del contrato. En ese sentido, esta excepción a la regla general opera en función de lo determinado por el correspondiente experto en atención a </w:t>
      </w:r>
      <w:r w:rsidRPr="000966CC">
        <w:rPr>
          <w:rFonts w:ascii="Verdana" w:hAnsi="Verdana" w:cs="Arial"/>
          <w:color w:val="000000"/>
        </w:rPr>
        <w:t>variables como el tipo de actividades que serán realizadas, la experticia técnica requerida, el alcance físico de las obras, entre otros.</w:t>
      </w:r>
    </w:p>
    <w:p w14:paraId="561E343D" w14:textId="77777777" w:rsidR="000966CC" w:rsidRPr="000966CC" w:rsidRDefault="000966CC" w:rsidP="000966CC">
      <w:pPr>
        <w:spacing w:before="120" w:after="120" w:line="276" w:lineRule="auto"/>
        <w:ind w:firstLine="709"/>
        <w:jc w:val="both"/>
        <w:rPr>
          <w:rFonts w:ascii="Verdana" w:hAnsi="Verdana" w:cs="Arial"/>
          <w:color w:val="000000"/>
        </w:rPr>
      </w:pPr>
      <w:bookmarkStart w:id="25" w:name="_Hlk184017996"/>
      <w:r w:rsidRPr="000966CC">
        <w:rPr>
          <w:rFonts w:ascii="Verdana" w:hAnsi="Verdana" w:cs="Arial"/>
          <w:color w:val="000000"/>
        </w:rPr>
        <w:t xml:space="preserve">Ahora, en relación con la definición de las actividades de </w:t>
      </w:r>
      <w:r w:rsidRPr="00476196">
        <w:rPr>
          <w:rFonts w:ascii="Verdana" w:hAnsi="Verdana" w:cs="Arial"/>
          <w:color w:val="000000"/>
        </w:rPr>
        <w:t xml:space="preserve">reforestación, plantación de árboles y mantenimiento, </w:t>
      </w:r>
      <w:r w:rsidRPr="000966CC">
        <w:rPr>
          <w:rFonts w:ascii="Verdana" w:hAnsi="Verdana" w:cs="Arial"/>
          <w:color w:val="000000"/>
        </w:rPr>
        <w:t xml:space="preserve">es preciso advertir que se tratan de nociones técnicas propias del ámbito de la ingeniería civil, las cuales no cuentan con una definición normativa. La </w:t>
      </w:r>
      <w:r w:rsidRPr="000966CC">
        <w:rPr>
          <w:rFonts w:ascii="Verdana" w:hAnsi="Verdana" w:cs="Arial"/>
          <w:i/>
          <w:iCs/>
          <w:color w:val="000000"/>
        </w:rPr>
        <w:t>reforestación</w:t>
      </w:r>
      <w:r w:rsidRPr="000966CC">
        <w:rPr>
          <w:rFonts w:ascii="Verdana" w:hAnsi="Verdana" w:cs="Arial"/>
          <w:color w:val="000000"/>
        </w:rPr>
        <w:t xml:space="preserve"> es definida como “Repoblar un terreno con plantas forestales”</w:t>
      </w:r>
      <w:r w:rsidRPr="000966CC">
        <w:rPr>
          <w:rFonts w:ascii="Verdana" w:hAnsi="Verdana" w:cs="Arial"/>
          <w:color w:val="000000"/>
          <w:vertAlign w:val="superscript"/>
        </w:rPr>
        <w:footnoteReference w:id="17"/>
      </w:r>
      <w:r w:rsidRPr="000966CC">
        <w:rPr>
          <w:rFonts w:ascii="Verdana" w:hAnsi="Verdana" w:cs="Arial"/>
          <w:color w:val="000000"/>
        </w:rPr>
        <w:t xml:space="preserve">. Por otro lado, la </w:t>
      </w:r>
      <w:r w:rsidRPr="000966CC">
        <w:rPr>
          <w:rFonts w:ascii="Verdana" w:hAnsi="Verdana" w:cs="Arial"/>
          <w:i/>
          <w:iCs/>
          <w:color w:val="000000"/>
        </w:rPr>
        <w:t>plantación</w:t>
      </w:r>
      <w:r w:rsidRPr="000966CC">
        <w:rPr>
          <w:rFonts w:ascii="Verdana" w:hAnsi="Verdana" w:cs="Arial"/>
          <w:color w:val="000000"/>
        </w:rPr>
        <w:t xml:space="preserve"> se refiere a “Acción y efecto de plantar”</w:t>
      </w:r>
      <w:r w:rsidRPr="000966CC">
        <w:rPr>
          <w:rFonts w:ascii="Verdana" w:hAnsi="Verdana" w:cs="Arial"/>
          <w:color w:val="000000"/>
          <w:vertAlign w:val="superscript"/>
        </w:rPr>
        <w:footnoteReference w:id="18"/>
      </w:r>
      <w:r w:rsidRPr="000966CC">
        <w:rPr>
          <w:rFonts w:ascii="Verdana" w:hAnsi="Verdana" w:cs="Arial"/>
          <w:color w:val="000000"/>
        </w:rPr>
        <w:t xml:space="preserve">, entendiéndose </w:t>
      </w:r>
      <w:r w:rsidRPr="000966CC">
        <w:rPr>
          <w:rFonts w:ascii="Verdana" w:hAnsi="Verdana" w:cs="Arial"/>
          <w:i/>
          <w:iCs/>
          <w:color w:val="000000"/>
        </w:rPr>
        <w:t>plantar</w:t>
      </w:r>
      <w:r w:rsidRPr="000966CC">
        <w:rPr>
          <w:rFonts w:ascii="Verdana" w:hAnsi="Verdana" w:cs="Arial"/>
          <w:color w:val="000000"/>
        </w:rPr>
        <w:t xml:space="preserve"> como “Meter en tierra una planta, un vástago, un esqueje, un tubérculo, un bulbo, etc., para que arraigue”</w:t>
      </w:r>
      <w:r w:rsidRPr="000966CC">
        <w:rPr>
          <w:rFonts w:ascii="Verdana" w:hAnsi="Verdana" w:cs="Arial"/>
          <w:color w:val="000000"/>
          <w:vertAlign w:val="superscript"/>
        </w:rPr>
        <w:footnoteReference w:id="19"/>
      </w:r>
      <w:r w:rsidRPr="000966CC">
        <w:rPr>
          <w:rFonts w:ascii="Verdana" w:hAnsi="Verdana" w:cs="Arial"/>
          <w:color w:val="000000"/>
        </w:rPr>
        <w:t xml:space="preserve">. Finalmente, el </w:t>
      </w:r>
      <w:r w:rsidRPr="000966CC">
        <w:rPr>
          <w:rFonts w:ascii="Verdana" w:hAnsi="Verdana" w:cs="Arial"/>
          <w:i/>
          <w:iCs/>
          <w:color w:val="000000"/>
        </w:rPr>
        <w:t>mantenimiento</w:t>
      </w:r>
      <w:r w:rsidRPr="000966CC">
        <w:rPr>
          <w:rFonts w:ascii="Verdana" w:hAnsi="Verdana" w:cs="Arial"/>
          <w:color w:val="000000"/>
        </w:rPr>
        <w:t xml:space="preserve"> es definido como el “Conjunto de actuaciones y operaciones que con periodicidad […] se llevan a </w:t>
      </w:r>
      <w:r w:rsidRPr="000966CC">
        <w:rPr>
          <w:rFonts w:ascii="Verdana" w:hAnsi="Verdana" w:cs="Arial"/>
          <w:color w:val="000000"/>
        </w:rPr>
        <w:lastRenderedPageBreak/>
        <w:t>cabo en una infraestructura para preservar su valor patrimonial y facilitar su uso permanente de forma funcional y segura”</w:t>
      </w:r>
      <w:r w:rsidRPr="000966CC">
        <w:rPr>
          <w:rFonts w:ascii="Verdana" w:hAnsi="Verdana" w:cs="Arial"/>
          <w:color w:val="000000"/>
          <w:vertAlign w:val="superscript"/>
        </w:rPr>
        <w:footnoteReference w:id="20"/>
      </w:r>
      <w:r w:rsidRPr="000966CC">
        <w:rPr>
          <w:rFonts w:ascii="Verdana" w:hAnsi="Verdana" w:cs="Arial"/>
          <w:color w:val="000000"/>
        </w:rPr>
        <w:t xml:space="preserve">. </w:t>
      </w:r>
    </w:p>
    <w:p w14:paraId="5FC6E778" w14:textId="77777777" w:rsidR="000966CC" w:rsidRPr="000966CC" w:rsidRDefault="000966CC" w:rsidP="000966CC">
      <w:pPr>
        <w:spacing w:before="120" w:after="120" w:line="276" w:lineRule="auto"/>
        <w:ind w:firstLine="709"/>
        <w:jc w:val="both"/>
        <w:rPr>
          <w:rFonts w:ascii="Verdana" w:hAnsi="Verdana" w:cs="Arial"/>
          <w:lang w:val="es-ES" w:eastAsia="es-CO"/>
        </w:rPr>
      </w:pPr>
      <w:r w:rsidRPr="000966CC">
        <w:rPr>
          <w:rFonts w:ascii="Verdana" w:hAnsi="Verdana" w:cs="Arial"/>
          <w:lang w:val="es-ES" w:eastAsia="es-CO"/>
        </w:rPr>
        <w:t xml:space="preserve">Conforme a las consideraciones expuestas, se concluye que las actividades de </w:t>
      </w:r>
      <w:r w:rsidRPr="000966CC">
        <w:rPr>
          <w:rFonts w:ascii="Verdana" w:eastAsia="Century Gothic" w:hAnsi="Verdana" w:cs="Century Gothic"/>
        </w:rPr>
        <w:t xml:space="preserve">la reforestación, plantación de árboles y mantenimiento de plantaciones se encuentran comprendidas dentro del concepto de contrato de obra y, en consecuencia, es obligatorio constituir la garantía única de cumplimiento que, entre otros, incluye </w:t>
      </w:r>
      <w:r w:rsidRPr="000966CC">
        <w:rPr>
          <w:rFonts w:ascii="Verdana" w:eastAsia="Calibri" w:hAnsi="Verdana" w:cs="Arial"/>
          <w:color w:val="000000" w:themeColor="text1"/>
        </w:rPr>
        <w:t xml:space="preserve">el amparo de estabilidad y calidad de la obra. Ahora bien, </w:t>
      </w:r>
      <w:r w:rsidRPr="000966CC">
        <w:rPr>
          <w:rFonts w:ascii="Verdana" w:hAnsi="Verdana" w:cs="Arial"/>
          <w:lang w:val="es-ES" w:eastAsia="es-CO"/>
        </w:rPr>
        <w:t xml:space="preserve">corresponde a cada entidad estatal realizar el análisis para determinar la vigencia y el valor asegurado que exigirá para la garantía de estabilidad y calidad de la obra, a partir de la complejidad técnica del proyecto. </w:t>
      </w:r>
    </w:p>
    <w:bookmarkEnd w:id="22"/>
    <w:bookmarkEnd w:id="25"/>
    <w:p w14:paraId="6CAAC23B" w14:textId="77777777" w:rsidR="000966CC" w:rsidRPr="000966CC" w:rsidRDefault="000966CC" w:rsidP="000966CC">
      <w:pPr>
        <w:spacing w:before="120" w:after="120" w:line="276" w:lineRule="auto"/>
        <w:ind w:firstLine="709"/>
        <w:jc w:val="both"/>
        <w:rPr>
          <w:rFonts w:ascii="Verdana" w:eastAsia="Calibri" w:hAnsi="Verdana" w:cs="Arial"/>
          <w:color w:val="000000"/>
          <w:lang w:val="es-ES"/>
        </w:rPr>
      </w:pPr>
      <w:r w:rsidRPr="000966CC">
        <w:rPr>
          <w:rFonts w:ascii="Verdana" w:hAnsi="Verdana" w:cs="Arial"/>
        </w:rPr>
        <w:t xml:space="preserve">Finalmente, en su consulta hace referencia a la posibilidad de constituir una póliza de responsabilidad civil extracontractual. </w:t>
      </w:r>
      <w:r w:rsidRPr="000966CC">
        <w:rPr>
          <w:rFonts w:ascii="Verdana" w:eastAsia="Calibri" w:hAnsi="Verdana" w:cs="Arial"/>
          <w:lang w:val="es-ES"/>
        </w:rPr>
        <w:t xml:space="preserve">Como se mencionó anteriormente, </w:t>
      </w:r>
      <w:r w:rsidRPr="000966CC">
        <w:rPr>
          <w:rFonts w:ascii="Verdana" w:eastAsia="Calibri" w:hAnsi="Verdana" w:cs="Arial"/>
          <w:color w:val="000000"/>
          <w:lang w:val="es-ES"/>
        </w:rPr>
        <w:t xml:space="preserve">los riesgos que cubren las garantías tienen como finalidad garantizar el cumplimiento de las obligaciones adquiridas por los oferentes y/o contratistas a favor de la entidad estatal o de terceros. Además, en relación con ciertos riesgos que pueden surgir durante la ejecución del contrato, se estableció un amparo relacionado con la responsabilidad extracontractual que pueda surgir por las actuaciones, hechos u omisiones de los contratistas y subcontratistas. </w:t>
      </w:r>
    </w:p>
    <w:p w14:paraId="6DEA30E4" w14:textId="77777777" w:rsidR="000966CC" w:rsidRPr="000966CC" w:rsidRDefault="000966CC" w:rsidP="000966CC">
      <w:pPr>
        <w:spacing w:after="0" w:line="276" w:lineRule="auto"/>
        <w:ind w:firstLine="709"/>
        <w:jc w:val="both"/>
        <w:rPr>
          <w:rFonts w:ascii="Verdana" w:eastAsia="Calibri" w:hAnsi="Verdana" w:cs="Arial"/>
          <w:color w:val="000000"/>
          <w:lang w:val="es-ES"/>
        </w:rPr>
      </w:pPr>
      <w:r w:rsidRPr="000966CC">
        <w:rPr>
          <w:rFonts w:ascii="Verdana" w:eastAsia="Calibri" w:hAnsi="Verdana" w:cs="Arial"/>
          <w:lang w:val="es-ES"/>
        </w:rPr>
        <w:t xml:space="preserve">En efecto, el artículo </w:t>
      </w:r>
      <w:bookmarkStart w:id="26" w:name="_Hlk184016589"/>
      <w:r w:rsidRPr="000966CC">
        <w:rPr>
          <w:rFonts w:ascii="Verdana" w:eastAsia="Calibri" w:hAnsi="Verdana" w:cs="Arial"/>
          <w:lang w:val="es-ES"/>
        </w:rPr>
        <w:t>2.2.1.2.3.1.5</w:t>
      </w:r>
      <w:r w:rsidRPr="000966CC">
        <w:rPr>
          <w:rFonts w:ascii="Verdana" w:eastAsia="Calibri" w:hAnsi="Verdana" w:cs="Arial"/>
          <w:vertAlign w:val="superscript"/>
          <w:lang w:val="es-ES"/>
        </w:rPr>
        <w:footnoteReference w:id="21"/>
      </w:r>
      <w:r w:rsidRPr="000966CC">
        <w:rPr>
          <w:rFonts w:ascii="Verdana" w:eastAsia="Calibri" w:hAnsi="Verdana" w:cs="Arial"/>
          <w:lang w:val="es-ES"/>
        </w:rPr>
        <w:t xml:space="preserve"> del Decreto 1082 de 2015 </w:t>
      </w:r>
      <w:bookmarkEnd w:id="26"/>
      <w:r w:rsidRPr="000966CC">
        <w:rPr>
          <w:rFonts w:ascii="Verdana" w:eastAsia="Calibri" w:hAnsi="Verdana" w:cs="Arial"/>
          <w:lang w:val="es-ES"/>
        </w:rPr>
        <w:t>establece, respecto de la cobertura, que la responsabilidad civil extracontractual proveniente de hechos, acciones u omisiones</w:t>
      </w:r>
      <w:r w:rsidRPr="000966CC">
        <w:rPr>
          <w:rFonts w:ascii="Verdana" w:eastAsia="Calibri" w:hAnsi="Verdana" w:cs="Arial"/>
          <w:vertAlign w:val="superscript"/>
          <w:lang w:val="es-ES"/>
        </w:rPr>
        <w:footnoteReference w:id="22"/>
      </w:r>
      <w:r w:rsidRPr="000966CC">
        <w:rPr>
          <w:rFonts w:ascii="Verdana" w:eastAsia="Calibri" w:hAnsi="Verdana" w:cs="Arial"/>
          <w:lang w:val="es-ES"/>
        </w:rPr>
        <w:t xml:space="preserve"> del contratista o subcontratista, </w:t>
      </w:r>
      <w:r w:rsidRPr="000966CC">
        <w:rPr>
          <w:rFonts w:ascii="Verdana" w:eastAsia="Calibri" w:hAnsi="Verdana" w:cs="Arial"/>
          <w:lang w:val="es-ES"/>
        </w:rPr>
        <w:lastRenderedPageBreak/>
        <w:t xml:space="preserve">únicamente puede ser amparada mediante un contrato de seguro. </w:t>
      </w:r>
      <w:r w:rsidRPr="000966CC">
        <w:rPr>
          <w:rFonts w:ascii="Verdana" w:eastAsia="Calibri" w:hAnsi="Verdana" w:cs="Arial"/>
          <w:color w:val="000000"/>
          <w:lang w:val="es-ES"/>
        </w:rPr>
        <w:t xml:space="preserve">Así mismo, el artículo </w:t>
      </w:r>
      <w:bookmarkStart w:id="29" w:name="2.2.1.2.3.1.17"/>
      <w:bookmarkEnd w:id="29"/>
      <w:r w:rsidRPr="000966CC">
        <w:rPr>
          <w:rFonts w:ascii="Verdana" w:eastAsia="Calibri" w:hAnsi="Verdana" w:cs="Arial"/>
          <w:color w:val="000000"/>
          <w:lang w:val="es-ES"/>
        </w:rPr>
        <w:t xml:space="preserve">2.2.1.2.3.1.17 determina el valor que debe ser asegurado con el contrato de seguro, teniendo en cuenta el valor en salarios mínimos mensuales legales vigentes del contrato, tal como se cita a continuación:  </w:t>
      </w:r>
    </w:p>
    <w:p w14:paraId="4C62848D" w14:textId="77777777" w:rsidR="000966CC" w:rsidRPr="000966CC" w:rsidRDefault="000966CC" w:rsidP="000966CC">
      <w:pPr>
        <w:spacing w:after="0" w:line="276" w:lineRule="auto"/>
        <w:ind w:left="709" w:right="709"/>
        <w:jc w:val="both"/>
        <w:rPr>
          <w:rFonts w:ascii="Verdana" w:eastAsia="Calibri" w:hAnsi="Verdana" w:cs="Arial"/>
          <w:color w:val="000000"/>
          <w:lang w:val="es-ES"/>
        </w:rPr>
      </w:pPr>
    </w:p>
    <w:p w14:paraId="7A83FA73"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
        </w:rPr>
      </w:pPr>
      <w:r w:rsidRPr="000966CC">
        <w:rPr>
          <w:rFonts w:ascii="Verdana" w:eastAsia="Calibri" w:hAnsi="Verdana" w:cs="Arial"/>
          <w:color w:val="000000"/>
          <w:sz w:val="20"/>
          <w:szCs w:val="20"/>
          <w:lang w:val="es-ES"/>
        </w:rPr>
        <w:t>“Artículo 2.2.1.2.3.1.17. Suficiencia del seguro de responsabilidad civil extracontractual. El valor asegurado por los contratos de seguro que amparan la responsabilidad civil extracontractual no debe ser inferior a:</w:t>
      </w:r>
    </w:p>
    <w:p w14:paraId="342BF6D4" w14:textId="77777777" w:rsidR="000966CC" w:rsidRPr="000966CC" w:rsidRDefault="000966CC" w:rsidP="000966CC">
      <w:pPr>
        <w:spacing w:after="0" w:line="240" w:lineRule="auto"/>
        <w:ind w:left="709" w:right="709"/>
        <w:jc w:val="both"/>
        <w:rPr>
          <w:rFonts w:ascii="Verdana" w:eastAsia="Calibri" w:hAnsi="Verdana" w:cs="Arial"/>
          <w:color w:val="000000"/>
          <w:sz w:val="20"/>
          <w:szCs w:val="20"/>
          <w:lang w:val="es-ES"/>
        </w:rPr>
      </w:pPr>
    </w:p>
    <w:p w14:paraId="15A8EFF8"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bookmarkStart w:id="30" w:name="2.2.1.2.3.1.17.1"/>
      <w:bookmarkEnd w:id="30"/>
      <w:r w:rsidRPr="000966CC">
        <w:rPr>
          <w:rFonts w:ascii="Verdana" w:eastAsia="Calibri" w:hAnsi="Verdana" w:cs="Arial"/>
          <w:color w:val="000000"/>
          <w:sz w:val="20"/>
          <w:szCs w:val="20"/>
          <w:lang w:val="es-ES"/>
        </w:rPr>
        <w:t>1. Doscientos (200) SMMLV para contratos cuyo valor sea inferior o igual a mil quinientos (1.500) SMMLV.</w:t>
      </w:r>
    </w:p>
    <w:p w14:paraId="0D0AC57A"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p>
    <w:p w14:paraId="71469EA0"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bookmarkStart w:id="31" w:name="2.2.1.2.3.1.17.2"/>
      <w:bookmarkEnd w:id="31"/>
      <w:r w:rsidRPr="000966CC">
        <w:rPr>
          <w:rFonts w:ascii="Verdana" w:eastAsia="Calibri" w:hAnsi="Verdana" w:cs="Arial"/>
          <w:color w:val="000000"/>
          <w:sz w:val="20"/>
          <w:szCs w:val="20"/>
          <w:lang w:val="es-ES"/>
        </w:rPr>
        <w:t>2. Trescientos (300) SMMLV para contratos cuyo valor sea superior a mil quinientos (1.500) SMMLV e inferior o igual a dos mil quinientos (2.500) SMMLV.</w:t>
      </w:r>
    </w:p>
    <w:p w14:paraId="3D406101"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p>
    <w:p w14:paraId="69D62705"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bookmarkStart w:id="32" w:name="2.2.1.2.3.1.17.3"/>
      <w:bookmarkEnd w:id="32"/>
      <w:r w:rsidRPr="000966CC">
        <w:rPr>
          <w:rFonts w:ascii="Verdana" w:eastAsia="Calibri" w:hAnsi="Verdana" w:cs="Arial"/>
          <w:color w:val="000000"/>
          <w:sz w:val="20"/>
          <w:szCs w:val="20"/>
          <w:lang w:val="es-ES"/>
        </w:rPr>
        <w:t>3. Cuatrocientos (400) SMMLV para contratos cuyo valor sea superior a dos mil quinientos (2.500) SMMLV e inferior o igual a cinco mil (5.000) SMMLV.</w:t>
      </w:r>
    </w:p>
    <w:p w14:paraId="57A3EBD8"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p>
    <w:p w14:paraId="469B8F11"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bookmarkStart w:id="33" w:name="2.2.1.2.3.1.17.4"/>
      <w:bookmarkEnd w:id="33"/>
      <w:r w:rsidRPr="000966CC">
        <w:rPr>
          <w:rFonts w:ascii="Verdana" w:eastAsia="Calibri" w:hAnsi="Verdana" w:cs="Arial"/>
          <w:color w:val="000000"/>
          <w:sz w:val="20"/>
          <w:szCs w:val="20"/>
          <w:lang w:val="es-ES"/>
        </w:rPr>
        <w:t>4. Quinientos (500) SMMLV para contratos cuyo valor sea superior a cinco mil (5.000) SMMLV e inferior o igual a diez mil (10.000) SMMLV.</w:t>
      </w:r>
      <w:bookmarkStart w:id="34" w:name="2.2.1.2.3.1.17.5"/>
      <w:bookmarkEnd w:id="34"/>
    </w:p>
    <w:p w14:paraId="58CC5199"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p>
    <w:p w14:paraId="31632CEE"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r w:rsidRPr="000966CC">
        <w:rPr>
          <w:rFonts w:ascii="Verdana" w:eastAsia="Calibri" w:hAnsi="Verdana" w:cs="Arial"/>
          <w:color w:val="000000"/>
          <w:sz w:val="20"/>
          <w:szCs w:val="20"/>
          <w:lang w:val="es-ES"/>
        </w:rPr>
        <w:t>5. El cinco por ciento (5%) del valor del contrato cuando este sea superior a diez mil (10.000) SMMLV, caso en el cual el valor asegurado debe ser máximo setenta y cinco mil (75.000) SMMLV.</w:t>
      </w:r>
    </w:p>
    <w:p w14:paraId="44BF71D7"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p>
    <w:p w14:paraId="7F7F149A" w14:textId="77777777" w:rsidR="000966CC" w:rsidRPr="000966CC" w:rsidRDefault="000966CC" w:rsidP="000966CC">
      <w:pPr>
        <w:shd w:val="clear" w:color="auto" w:fill="FFFFFF"/>
        <w:spacing w:after="0" w:line="240" w:lineRule="auto"/>
        <w:ind w:left="709" w:right="709"/>
        <w:jc w:val="both"/>
        <w:rPr>
          <w:rFonts w:ascii="Verdana" w:eastAsia="Calibri" w:hAnsi="Verdana" w:cs="Arial"/>
          <w:color w:val="000000"/>
          <w:sz w:val="20"/>
          <w:szCs w:val="20"/>
          <w:lang w:val="es-ES"/>
        </w:rPr>
      </w:pPr>
      <w:r w:rsidRPr="000966CC">
        <w:rPr>
          <w:rFonts w:ascii="Verdana" w:eastAsia="Calibri" w:hAnsi="Verdana" w:cs="Arial"/>
          <w:color w:val="000000"/>
          <w:sz w:val="20"/>
          <w:szCs w:val="20"/>
          <w:lang w:val="es-ES"/>
        </w:rPr>
        <w:t>La vigencia de esta garantía deberá ser igual al período de ejecución del contrato”.</w:t>
      </w:r>
    </w:p>
    <w:p w14:paraId="49464D6F" w14:textId="77777777" w:rsidR="000966CC" w:rsidRPr="000966CC" w:rsidRDefault="000966CC" w:rsidP="000966CC">
      <w:pPr>
        <w:shd w:val="clear" w:color="auto" w:fill="FFFFFF"/>
        <w:spacing w:after="0" w:line="276" w:lineRule="auto"/>
        <w:ind w:left="709" w:right="709"/>
        <w:jc w:val="both"/>
        <w:rPr>
          <w:rFonts w:ascii="Verdana" w:eastAsia="Calibri" w:hAnsi="Verdana" w:cs="Arial"/>
          <w:color w:val="000000"/>
          <w:sz w:val="20"/>
          <w:szCs w:val="20"/>
          <w:lang w:val="es-ES"/>
        </w:rPr>
      </w:pPr>
    </w:p>
    <w:p w14:paraId="29156DF9" w14:textId="77777777" w:rsidR="000966CC" w:rsidRPr="000966CC" w:rsidRDefault="000966CC" w:rsidP="000966CC">
      <w:pPr>
        <w:widowControl w:val="0"/>
        <w:autoSpaceDE w:val="0"/>
        <w:autoSpaceDN w:val="0"/>
        <w:spacing w:after="120" w:line="276" w:lineRule="auto"/>
        <w:ind w:firstLine="709"/>
        <w:jc w:val="both"/>
        <w:rPr>
          <w:rFonts w:ascii="Verdana" w:hAnsi="Verdana" w:cs="Arial"/>
        </w:rPr>
      </w:pPr>
      <w:bookmarkStart w:id="35" w:name="_Hlk184018014"/>
      <w:bookmarkStart w:id="36" w:name="_Hlk184019516"/>
      <w:r w:rsidRPr="000966CC">
        <w:rPr>
          <w:rFonts w:ascii="Verdana" w:hAnsi="Verdana" w:cs="Arial"/>
        </w:rPr>
        <w:t xml:space="preserve">El seguro de responsabilidad civil extracontractual transfiere el Riesgo a la aseguradora de reparar a la víctima (tercero) por un actuar que genere responsabilidad civil en cabeza del asegurado. De esta forma el asegurado protege su patrimonio pues no tendrá que asumir el pago de estos perjuicios que serán indemnizados por la compañía de seguros. En los procesos de contratación sólo son admisibles como garantía de responsabilidad civil extracontractual los contratos de seguro. Este seguro es obligatorio para los contratos de obra pública. En los demás contratos la Entidad Estatal debe establecer si en su ejecución existe el Riesgo de que el contratista pueda </w:t>
      </w:r>
      <w:r w:rsidRPr="000966CC">
        <w:rPr>
          <w:rFonts w:ascii="Verdana" w:hAnsi="Verdana" w:cs="Arial"/>
        </w:rPr>
        <w:lastRenderedPageBreak/>
        <w:t>generarle daños a terceros, en el desarrollo del objeto del contrato.</w:t>
      </w:r>
      <w:bookmarkEnd w:id="35"/>
      <w:bookmarkEnd w:id="36"/>
    </w:p>
    <w:p w14:paraId="3628AA59" w14:textId="77777777" w:rsidR="000966CC" w:rsidRPr="000966CC" w:rsidRDefault="000966CC" w:rsidP="000966CC">
      <w:pPr>
        <w:widowControl w:val="0"/>
        <w:autoSpaceDE w:val="0"/>
        <w:autoSpaceDN w:val="0"/>
        <w:spacing w:after="0" w:line="276" w:lineRule="auto"/>
        <w:ind w:firstLine="709"/>
        <w:jc w:val="both"/>
        <w:rPr>
          <w:rFonts w:ascii="Verdana" w:hAnsi="Verdana" w:cs="Arial"/>
        </w:rPr>
      </w:pPr>
      <w:r w:rsidRPr="000966CC">
        <w:rPr>
          <w:rFonts w:ascii="Verdana" w:hAnsi="Verdana" w:cs="Arial"/>
        </w:rPr>
        <w:t>Se denota que los riesgos que cubre el seguro de responsabilidad civil extracontractual son diferentes a los que cubre el amparo de calidad y estabilidad de la obra. Por lo anterior, a juicio de esta Agencia, la póliza de responsabilidad civil extracontractual no remplaza la constitución del amparo de estabilidad y calidad de la obra, por cubrir riesgos distintos.</w:t>
      </w:r>
    </w:p>
    <w:p w14:paraId="511BD759" w14:textId="77777777" w:rsidR="000966CC" w:rsidRPr="000966CC" w:rsidRDefault="000966CC" w:rsidP="000966CC">
      <w:pPr>
        <w:widowControl w:val="0"/>
        <w:autoSpaceDE w:val="0"/>
        <w:autoSpaceDN w:val="0"/>
        <w:spacing w:after="0" w:line="276" w:lineRule="auto"/>
        <w:ind w:firstLine="709"/>
        <w:jc w:val="both"/>
        <w:rPr>
          <w:rFonts w:ascii="Verdana" w:hAnsi="Verdana" w:cs="Arial"/>
        </w:rPr>
      </w:pPr>
    </w:p>
    <w:p w14:paraId="342141F5" w14:textId="77777777" w:rsidR="000966CC" w:rsidRPr="000966CC" w:rsidRDefault="000966CC" w:rsidP="000966C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966CC">
        <w:rPr>
          <w:rFonts w:ascii="Verdana" w:eastAsia="Century Gothic" w:hAnsi="Verdana" w:cs="Century Gothic"/>
          <w:b/>
          <w:bCs/>
          <w:lang w:val="es-ES"/>
        </w:rPr>
        <w:t>Referencias normativas, jurisprudenciales y otras fuentes:</w:t>
      </w:r>
    </w:p>
    <w:p w14:paraId="7AEC188F" w14:textId="77777777" w:rsidR="000966CC" w:rsidRPr="000966CC" w:rsidRDefault="000966CC" w:rsidP="000966C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966CC" w:rsidRPr="000966CC" w14:paraId="3037A4E2" w14:textId="77777777" w:rsidTr="00B31142">
        <w:trPr>
          <w:trHeight w:val="870"/>
        </w:trPr>
        <w:tc>
          <w:tcPr>
            <w:tcW w:w="8647" w:type="dxa"/>
          </w:tcPr>
          <w:p w14:paraId="4E772DDE" w14:textId="77777777" w:rsidR="000966CC" w:rsidRPr="000966CC" w:rsidRDefault="000966CC" w:rsidP="000966CC">
            <w:pPr>
              <w:numPr>
                <w:ilvl w:val="0"/>
                <w:numId w:val="17"/>
              </w:numPr>
              <w:spacing w:line="276" w:lineRule="auto"/>
              <w:ind w:left="360"/>
              <w:contextualSpacing/>
              <w:rPr>
                <w:rFonts w:ascii="Verdana" w:eastAsia="Calibri" w:hAnsi="Verdana" w:cs="Arial"/>
                <w:color w:val="000000" w:themeColor="text1"/>
                <w:lang w:val="es-ES_tradnl"/>
              </w:rPr>
            </w:pPr>
            <w:r w:rsidRPr="000966CC">
              <w:rPr>
                <w:rFonts w:ascii="Verdana" w:eastAsia="Calibri" w:hAnsi="Verdana" w:cs="Arial"/>
                <w:color w:val="000000" w:themeColor="text1"/>
                <w:lang w:val="es-ES_tradnl"/>
              </w:rPr>
              <w:t>Código Civil: Artículo 656 y 658.</w:t>
            </w:r>
          </w:p>
          <w:p w14:paraId="4D278AAB" w14:textId="77777777" w:rsidR="000966CC" w:rsidRPr="000966CC" w:rsidRDefault="000966CC" w:rsidP="000966CC">
            <w:pPr>
              <w:spacing w:line="276" w:lineRule="auto"/>
              <w:ind w:left="360"/>
              <w:contextualSpacing/>
              <w:rPr>
                <w:rFonts w:ascii="Verdana" w:eastAsia="Calibri" w:hAnsi="Verdana" w:cs="Arial"/>
                <w:color w:val="000000" w:themeColor="text1"/>
                <w:lang w:val="es-ES_tradnl"/>
              </w:rPr>
            </w:pPr>
          </w:p>
          <w:p w14:paraId="00FFA6FB" w14:textId="77777777" w:rsidR="000966CC" w:rsidRPr="000966CC" w:rsidRDefault="000966CC" w:rsidP="000966CC">
            <w:pPr>
              <w:numPr>
                <w:ilvl w:val="0"/>
                <w:numId w:val="17"/>
              </w:numPr>
              <w:spacing w:line="276" w:lineRule="auto"/>
              <w:ind w:left="360"/>
              <w:contextualSpacing/>
              <w:rPr>
                <w:rFonts w:ascii="Verdana" w:eastAsia="Calibri" w:hAnsi="Verdana" w:cs="Arial"/>
                <w:color w:val="000000" w:themeColor="text1"/>
                <w:lang w:val="es-ES"/>
              </w:rPr>
            </w:pPr>
            <w:r w:rsidRPr="000966CC">
              <w:rPr>
                <w:rFonts w:ascii="Verdana" w:eastAsia="Calibri" w:hAnsi="Verdana" w:cs="Arial"/>
                <w:color w:val="000000" w:themeColor="text1"/>
                <w:lang w:val="es-ES"/>
              </w:rPr>
              <w:t>Ley 80 de 1993: Numeral 1 del artículo 32.</w:t>
            </w:r>
          </w:p>
          <w:p w14:paraId="6AB58B07" w14:textId="77777777" w:rsidR="000966CC" w:rsidRPr="000966CC" w:rsidRDefault="000966CC" w:rsidP="000966CC">
            <w:pPr>
              <w:spacing w:line="276" w:lineRule="auto"/>
              <w:ind w:left="360"/>
              <w:contextualSpacing/>
              <w:rPr>
                <w:rFonts w:ascii="Verdana" w:eastAsia="Calibri" w:hAnsi="Verdana" w:cs="Arial"/>
                <w:color w:val="000000"/>
                <w:lang w:val="es-ES_tradnl"/>
              </w:rPr>
            </w:pPr>
          </w:p>
          <w:p w14:paraId="51A36CF3" w14:textId="77777777" w:rsidR="000966CC" w:rsidRPr="000966CC" w:rsidRDefault="000966CC" w:rsidP="000966CC">
            <w:pPr>
              <w:numPr>
                <w:ilvl w:val="0"/>
                <w:numId w:val="17"/>
              </w:numPr>
              <w:spacing w:line="276" w:lineRule="auto"/>
              <w:ind w:left="360"/>
              <w:contextualSpacing/>
              <w:rPr>
                <w:rFonts w:ascii="Verdana" w:eastAsia="Calibri" w:hAnsi="Verdana" w:cs="Arial"/>
                <w:color w:val="000000"/>
                <w:lang w:val="es-ES_tradnl"/>
              </w:rPr>
            </w:pPr>
            <w:r w:rsidRPr="000966CC">
              <w:rPr>
                <w:rFonts w:ascii="Verdana" w:eastAsia="Calibri" w:hAnsi="Verdana" w:cs="Arial"/>
                <w:color w:val="000000"/>
                <w:lang w:val="es-ES_tradnl"/>
              </w:rPr>
              <w:t>Ley 1150 de 2007: Artículo 7.</w:t>
            </w:r>
          </w:p>
          <w:p w14:paraId="059790AE" w14:textId="77777777" w:rsidR="000966CC" w:rsidRPr="000966CC" w:rsidRDefault="000966CC" w:rsidP="000966CC">
            <w:pPr>
              <w:spacing w:line="276" w:lineRule="auto"/>
              <w:ind w:left="360"/>
              <w:contextualSpacing/>
              <w:rPr>
                <w:rFonts w:ascii="Verdana" w:hAnsi="Verdana" w:cs="Arial"/>
                <w:bCs/>
                <w:color w:val="000000"/>
                <w:lang w:val="es-ES_tradnl" w:eastAsia="es-MX"/>
              </w:rPr>
            </w:pPr>
          </w:p>
          <w:p w14:paraId="229613FE" w14:textId="77777777" w:rsidR="000966CC" w:rsidRPr="000966CC" w:rsidRDefault="000966CC" w:rsidP="000966CC">
            <w:pPr>
              <w:numPr>
                <w:ilvl w:val="0"/>
                <w:numId w:val="17"/>
              </w:numPr>
              <w:spacing w:line="276" w:lineRule="auto"/>
              <w:ind w:left="360"/>
              <w:contextualSpacing/>
              <w:rPr>
                <w:rFonts w:ascii="Verdana" w:hAnsi="Verdana" w:cs="Arial"/>
                <w:bCs/>
                <w:color w:val="000000"/>
                <w:lang w:val="es-ES_tradnl" w:eastAsia="es-MX"/>
              </w:rPr>
            </w:pPr>
            <w:r w:rsidRPr="000966CC">
              <w:rPr>
                <w:rFonts w:ascii="Verdana" w:eastAsia="Calibri" w:hAnsi="Verdana" w:cs="Arial"/>
                <w:color w:val="000000"/>
                <w:lang w:val="es-ES"/>
              </w:rPr>
              <w:t xml:space="preserve">Decreto 1082 de 2015: Artículos 2.2.1.2.3.1.1., </w:t>
            </w:r>
            <w:r w:rsidRPr="000966CC">
              <w:rPr>
                <w:rFonts w:ascii="Verdana" w:eastAsia="Calibri" w:hAnsi="Verdana" w:cs="Arial"/>
                <w:lang w:val="es-ES"/>
              </w:rPr>
              <w:t xml:space="preserve">2.2.1.2.3.1.5., </w:t>
            </w:r>
            <w:r w:rsidRPr="000966CC">
              <w:rPr>
                <w:rFonts w:ascii="Verdana" w:hAnsi="Verdana" w:cs="Arial"/>
                <w:bCs/>
                <w:color w:val="000000"/>
                <w:lang w:val="es-ES_tradnl" w:eastAsia="es-MX"/>
              </w:rPr>
              <w:t xml:space="preserve">2.2.1.2.3.1.7. y </w:t>
            </w:r>
            <w:r w:rsidRPr="000966CC">
              <w:rPr>
                <w:rFonts w:ascii="Verdana" w:eastAsia="Times New Roman" w:hAnsi="Verdana" w:cs="Arial"/>
                <w:color w:val="000000" w:themeColor="text1"/>
                <w:lang w:eastAsia="es-CO"/>
              </w:rPr>
              <w:t>2.2.1.2.3.1.8.</w:t>
            </w:r>
          </w:p>
          <w:p w14:paraId="7289B443" w14:textId="77777777" w:rsidR="000966CC" w:rsidRPr="000966CC" w:rsidRDefault="000966CC" w:rsidP="000966CC">
            <w:pPr>
              <w:spacing w:line="276" w:lineRule="auto"/>
              <w:ind w:left="360"/>
              <w:contextualSpacing/>
              <w:rPr>
                <w:rFonts w:ascii="Verdana" w:eastAsia="Calibri" w:hAnsi="Verdana" w:cs="Arial"/>
                <w:color w:val="000000"/>
                <w:lang w:val="es-ES"/>
              </w:rPr>
            </w:pPr>
          </w:p>
          <w:p w14:paraId="27D56900" w14:textId="77777777" w:rsidR="000966CC" w:rsidRPr="000966CC" w:rsidRDefault="000966CC" w:rsidP="000966CC">
            <w:pPr>
              <w:numPr>
                <w:ilvl w:val="0"/>
                <w:numId w:val="17"/>
              </w:numPr>
              <w:spacing w:line="276" w:lineRule="auto"/>
              <w:ind w:left="360"/>
              <w:contextualSpacing/>
              <w:rPr>
                <w:rFonts w:ascii="Verdana" w:eastAsia="Calibri" w:hAnsi="Verdana" w:cs="Arial"/>
                <w:color w:val="000000"/>
                <w:lang w:val="es-ES"/>
              </w:rPr>
            </w:pPr>
            <w:r w:rsidRPr="000966CC">
              <w:rPr>
                <w:rFonts w:ascii="Verdana" w:eastAsia="Calibri" w:hAnsi="Verdana" w:cs="Arial"/>
                <w:color w:val="000000"/>
                <w:lang w:val="es-ES"/>
              </w:rPr>
              <w:t xml:space="preserve">Agencia Nacional de Contratación Pública – Colombia Compra Eficiente. “Guía de garantías en Procesos de Contratación”. </w:t>
            </w:r>
          </w:p>
          <w:p w14:paraId="4129E5D0" w14:textId="77777777" w:rsidR="000966CC" w:rsidRPr="000966CC" w:rsidRDefault="000966CC" w:rsidP="000966CC">
            <w:pPr>
              <w:spacing w:line="276" w:lineRule="auto"/>
              <w:ind w:left="360"/>
              <w:jc w:val="both"/>
              <w:rPr>
                <w:rFonts w:ascii="Verdana" w:hAnsi="Verdana" w:cs="Arial"/>
                <w:color w:val="000000" w:themeColor="text1"/>
                <w:lang w:val="es-MX"/>
              </w:rPr>
            </w:pPr>
          </w:p>
          <w:p w14:paraId="7F623AF8"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MX"/>
              </w:rPr>
            </w:pPr>
            <w:r w:rsidRPr="000966CC">
              <w:rPr>
                <w:rFonts w:ascii="Verdana" w:hAnsi="Verdana" w:cs="Arial"/>
                <w:color w:val="000000" w:themeColor="text1"/>
                <w:lang w:val="es-MX"/>
              </w:rPr>
              <w:t>Consejo de Estado. Sala de Consulta y Servicio Civil. Concepto del 5 de septiembre de 2018. Rad. 2.386. Consejero Ponente: Edgar González López.</w:t>
            </w:r>
          </w:p>
          <w:p w14:paraId="767D3733" w14:textId="77777777" w:rsidR="000966CC" w:rsidRPr="000966CC" w:rsidRDefault="000966CC" w:rsidP="000966CC">
            <w:pPr>
              <w:spacing w:line="276" w:lineRule="auto"/>
              <w:jc w:val="both"/>
              <w:rPr>
                <w:rFonts w:ascii="Verdana" w:hAnsi="Verdana"/>
              </w:rPr>
            </w:pPr>
          </w:p>
          <w:p w14:paraId="3CBB8A27"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MX"/>
              </w:rPr>
            </w:pPr>
            <w:r w:rsidRPr="000966CC">
              <w:rPr>
                <w:rFonts w:ascii="Verdana" w:hAnsi="Verdana"/>
              </w:rPr>
              <w:t xml:space="preserve">Consejo de Estado. Sala de lo Contencioso Administrativo. Sección Tercera. Subsección B. </w:t>
            </w:r>
            <w:proofErr w:type="gramStart"/>
            <w:r w:rsidRPr="000966CC">
              <w:rPr>
                <w:rFonts w:ascii="Verdana" w:hAnsi="Verdana"/>
              </w:rPr>
              <w:t>Consejero</w:t>
            </w:r>
            <w:proofErr w:type="gramEnd"/>
            <w:r w:rsidRPr="000966CC">
              <w:rPr>
                <w:rFonts w:ascii="Verdana" w:hAnsi="Verdana"/>
              </w:rPr>
              <w:t xml:space="preserve"> ponente: Martín Bermúdez Muñoz. Bogotá D.C.  18 de noviembre de 2021. Radicado 56085.</w:t>
            </w:r>
          </w:p>
          <w:p w14:paraId="01AFBFEE" w14:textId="77777777" w:rsidR="000966CC" w:rsidRPr="000966CC" w:rsidRDefault="000966CC" w:rsidP="000966CC">
            <w:pPr>
              <w:spacing w:line="276" w:lineRule="auto"/>
              <w:jc w:val="both"/>
              <w:rPr>
                <w:rFonts w:ascii="Verdana" w:hAnsi="Verdana" w:cs="Arial"/>
                <w:color w:val="000000" w:themeColor="text1"/>
                <w:lang w:val="es-MX"/>
              </w:rPr>
            </w:pPr>
          </w:p>
          <w:p w14:paraId="4E62C50F"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MX"/>
              </w:rPr>
            </w:pPr>
            <w:r w:rsidRPr="000966CC">
              <w:rPr>
                <w:rFonts w:ascii="Verdana" w:hAnsi="Verdana" w:cs="Arial"/>
                <w:color w:val="000000" w:themeColor="text1"/>
                <w:lang w:val="es-MX"/>
              </w:rPr>
              <w:t>ALESSANDRI RODRÍGUEZ, Arturo y SOMARRIVA UNDURRAGA, Manuel. Los bienes y los derechos reales. Tercera Edición. Santiago de Chile: Editorial Nascimento, 1974.</w:t>
            </w:r>
          </w:p>
          <w:p w14:paraId="3E2EA1C0" w14:textId="77777777" w:rsidR="000966CC" w:rsidRPr="000966CC" w:rsidRDefault="000966CC" w:rsidP="000966CC">
            <w:pPr>
              <w:spacing w:line="276" w:lineRule="auto"/>
              <w:jc w:val="both"/>
              <w:rPr>
                <w:rFonts w:ascii="Verdana" w:hAnsi="Verdana" w:cs="Arial"/>
                <w:color w:val="000000" w:themeColor="text1"/>
                <w:lang w:val="es-MX"/>
              </w:rPr>
            </w:pPr>
          </w:p>
          <w:p w14:paraId="1E00104E"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MX"/>
              </w:rPr>
            </w:pPr>
            <w:r w:rsidRPr="000966CC">
              <w:rPr>
                <w:rFonts w:ascii="Verdana" w:hAnsi="Verdana" w:cs="Arial"/>
                <w:color w:val="000000" w:themeColor="text1"/>
                <w:lang w:val="es-MX"/>
              </w:rPr>
              <w:t xml:space="preserve">MAZEUD, Henri, MAZEUD, León y MAZEUD, Jean. Lecciones de derecho civil. Parte Primera. Volumen I. Buenos Aires: EJEA, 1976. </w:t>
            </w:r>
          </w:p>
          <w:p w14:paraId="037E33BE" w14:textId="77777777" w:rsidR="000966CC" w:rsidRPr="000966CC" w:rsidRDefault="000966CC" w:rsidP="000966CC">
            <w:pPr>
              <w:spacing w:line="276" w:lineRule="auto"/>
              <w:jc w:val="both"/>
              <w:rPr>
                <w:rFonts w:ascii="Verdana" w:hAnsi="Verdana" w:cs="Arial"/>
                <w:color w:val="000000" w:themeColor="text1"/>
                <w:lang w:val="es-MX"/>
              </w:rPr>
            </w:pPr>
          </w:p>
          <w:p w14:paraId="1B93A45E"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MX"/>
              </w:rPr>
            </w:pPr>
            <w:r w:rsidRPr="000966CC">
              <w:rPr>
                <w:rFonts w:ascii="Verdana" w:hAnsi="Verdana" w:cs="Arial"/>
                <w:color w:val="000000" w:themeColor="text1"/>
                <w:lang w:val="es-MX"/>
              </w:rPr>
              <w:lastRenderedPageBreak/>
              <w:t>ALESSANDRI RODRÍGUEZ, Arturo. De los contratos. Santiago de Chile: Editorial Jurídica EDIAR-CONOCSUR LTDA, 1988.</w:t>
            </w:r>
          </w:p>
          <w:p w14:paraId="0A15614D" w14:textId="77777777" w:rsidR="000966CC" w:rsidRPr="000966CC" w:rsidRDefault="000966CC" w:rsidP="000966CC">
            <w:pPr>
              <w:spacing w:line="276" w:lineRule="auto"/>
              <w:jc w:val="both"/>
              <w:rPr>
                <w:rFonts w:ascii="Verdana" w:hAnsi="Verdana" w:cs="Arial"/>
                <w:color w:val="000000" w:themeColor="text1"/>
                <w:lang w:val="es-MX"/>
              </w:rPr>
            </w:pPr>
          </w:p>
          <w:p w14:paraId="71426E75"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ES"/>
              </w:rPr>
            </w:pPr>
            <w:r w:rsidRPr="000966CC">
              <w:rPr>
                <w:rFonts w:ascii="Verdana" w:hAnsi="Verdana" w:cs="Arial"/>
                <w:color w:val="000000" w:themeColor="text1"/>
                <w:lang w:val="es-MX"/>
              </w:rPr>
              <w:t>VELÁSQUEZ JARAMILLO, Luis Guillermo. Bienes. Duodécima edición. Bogotá: Temis, 2010.</w:t>
            </w:r>
          </w:p>
          <w:p w14:paraId="1C947425" w14:textId="77777777" w:rsidR="000966CC" w:rsidRPr="000966CC" w:rsidRDefault="000966CC" w:rsidP="000966CC">
            <w:pPr>
              <w:spacing w:line="276" w:lineRule="auto"/>
              <w:jc w:val="both"/>
              <w:rPr>
                <w:rFonts w:ascii="Verdana" w:hAnsi="Verdana" w:cs="Arial"/>
                <w:color w:val="000000" w:themeColor="text1"/>
                <w:lang w:val="es-MX"/>
              </w:rPr>
            </w:pPr>
          </w:p>
          <w:p w14:paraId="063869D0" w14:textId="77777777" w:rsidR="000966CC" w:rsidRPr="000966CC" w:rsidRDefault="000966CC" w:rsidP="000966CC">
            <w:pPr>
              <w:numPr>
                <w:ilvl w:val="0"/>
                <w:numId w:val="17"/>
              </w:numPr>
              <w:spacing w:line="276" w:lineRule="auto"/>
              <w:ind w:left="360"/>
              <w:jc w:val="both"/>
              <w:rPr>
                <w:rFonts w:ascii="Verdana" w:hAnsi="Verdana" w:cs="Arial"/>
                <w:color w:val="000000" w:themeColor="text1"/>
                <w:lang w:val="es-MX"/>
              </w:rPr>
            </w:pPr>
            <w:r w:rsidRPr="000966CC">
              <w:rPr>
                <w:rFonts w:ascii="Verdana" w:hAnsi="Verdana" w:cs="Arial"/>
                <w:color w:val="000000" w:themeColor="text1"/>
                <w:lang w:val="es-MX"/>
              </w:rPr>
              <w:t xml:space="preserve">OSPINA MENA, Jesús Marino. Régimen de la Contratación Estatal. Un salto a la contratación liquida. Bogotá: </w:t>
            </w:r>
            <w:proofErr w:type="spellStart"/>
            <w:r w:rsidRPr="000966CC">
              <w:rPr>
                <w:rFonts w:ascii="Verdana" w:hAnsi="Verdana" w:cs="Arial"/>
                <w:color w:val="000000" w:themeColor="text1"/>
                <w:lang w:val="es-MX"/>
              </w:rPr>
              <w:t>Dike</w:t>
            </w:r>
            <w:proofErr w:type="spellEnd"/>
            <w:r w:rsidRPr="000966CC">
              <w:rPr>
                <w:rFonts w:ascii="Verdana" w:hAnsi="Verdana" w:cs="Arial"/>
                <w:color w:val="000000" w:themeColor="text1"/>
                <w:lang w:val="es-MX"/>
              </w:rPr>
              <w:t>, 2020.</w:t>
            </w:r>
          </w:p>
          <w:p w14:paraId="3D401725" w14:textId="77777777" w:rsidR="000966CC" w:rsidRPr="000966CC" w:rsidRDefault="000966CC" w:rsidP="000966CC">
            <w:pPr>
              <w:spacing w:line="276" w:lineRule="auto"/>
              <w:ind w:left="-360"/>
              <w:jc w:val="both"/>
              <w:rPr>
                <w:rFonts w:ascii="Verdana" w:hAnsi="Verdana"/>
                <w:color w:val="000000" w:themeColor="text1"/>
                <w:lang w:val="es-ES"/>
              </w:rPr>
            </w:pPr>
          </w:p>
          <w:p w14:paraId="5EC4C453" w14:textId="77777777" w:rsidR="000966CC" w:rsidRPr="000966CC" w:rsidRDefault="000966CC" w:rsidP="000966CC">
            <w:pPr>
              <w:spacing w:line="276" w:lineRule="auto"/>
              <w:ind w:firstLine="708"/>
              <w:jc w:val="both"/>
              <w:rPr>
                <w:rFonts w:ascii="Verdana" w:hAnsi="Verdana" w:cs="Arial"/>
                <w:color w:val="000000" w:themeColor="text1"/>
                <w:lang w:val="es-ES"/>
              </w:rPr>
            </w:pPr>
          </w:p>
          <w:p w14:paraId="3DAC94D8" w14:textId="77777777" w:rsidR="000966CC" w:rsidRPr="000966CC" w:rsidRDefault="000966CC" w:rsidP="000966CC">
            <w:pPr>
              <w:numPr>
                <w:ilvl w:val="0"/>
                <w:numId w:val="17"/>
              </w:numPr>
              <w:spacing w:line="276" w:lineRule="auto"/>
              <w:ind w:left="360"/>
              <w:jc w:val="both"/>
              <w:rPr>
                <w:rFonts w:ascii="Verdana" w:hAnsi="Verdana"/>
              </w:rPr>
            </w:pPr>
            <w:hyperlink r:id="rId12" w:history="1">
              <w:r w:rsidRPr="000966CC">
                <w:rPr>
                  <w:rFonts w:ascii="Verdana" w:hAnsi="Verdana"/>
                </w:rPr>
                <w:t>Diccionario de la lengua española (2001)</w:t>
              </w:r>
            </w:hyperlink>
            <w:r w:rsidRPr="000966CC">
              <w:rPr>
                <w:rFonts w:ascii="Verdana" w:hAnsi="Verdana"/>
                <w:lang w:val="es-MX"/>
              </w:rPr>
              <w:t xml:space="preserve">. Reforestar. Es posible consultarlo en: </w:t>
            </w:r>
            <w:hyperlink r:id="rId13" w:history="1">
              <w:r w:rsidRPr="000966CC">
                <w:rPr>
                  <w:rFonts w:ascii="Verdana" w:hAnsi="Verdana"/>
                  <w:color w:val="0563C1" w:themeColor="hyperlink"/>
                  <w:u w:val="single"/>
                  <w:lang w:val="es-MX"/>
                </w:rPr>
                <w:t>https://www.rae.es/drae2001/reforestar</w:t>
              </w:r>
            </w:hyperlink>
            <w:r w:rsidRPr="000966CC">
              <w:rPr>
                <w:rFonts w:ascii="Verdana" w:hAnsi="Verdana"/>
                <w:lang w:val="es-MX"/>
              </w:rPr>
              <w:t xml:space="preserve"> </w:t>
            </w:r>
          </w:p>
          <w:p w14:paraId="20D70381" w14:textId="77777777" w:rsidR="000966CC" w:rsidRPr="000966CC" w:rsidRDefault="000966CC" w:rsidP="000966CC">
            <w:pPr>
              <w:spacing w:line="276" w:lineRule="auto"/>
              <w:jc w:val="both"/>
              <w:rPr>
                <w:rFonts w:ascii="Verdana" w:hAnsi="Verdana"/>
              </w:rPr>
            </w:pPr>
          </w:p>
          <w:p w14:paraId="73AE27F4" w14:textId="77777777" w:rsidR="000966CC" w:rsidRPr="000966CC" w:rsidRDefault="000966CC" w:rsidP="000966CC">
            <w:pPr>
              <w:numPr>
                <w:ilvl w:val="0"/>
                <w:numId w:val="17"/>
              </w:numPr>
              <w:spacing w:line="276" w:lineRule="auto"/>
              <w:ind w:left="360"/>
              <w:jc w:val="both"/>
              <w:rPr>
                <w:rFonts w:ascii="Verdana" w:hAnsi="Verdana"/>
                <w:lang w:val="es-MX"/>
              </w:rPr>
            </w:pPr>
            <w:hyperlink r:id="rId14" w:history="1">
              <w:r w:rsidRPr="000966CC">
                <w:rPr>
                  <w:rFonts w:ascii="Verdana" w:hAnsi="Verdana"/>
                </w:rPr>
                <w:t>Diccionario de la lengua española (2001)</w:t>
              </w:r>
            </w:hyperlink>
            <w:r w:rsidRPr="000966CC">
              <w:rPr>
                <w:rFonts w:ascii="Verdana" w:hAnsi="Verdana"/>
                <w:lang w:val="es-MX"/>
              </w:rPr>
              <w:t xml:space="preserve">. Plantación. Es posible consultarlo en: </w:t>
            </w:r>
            <w:hyperlink r:id="rId15" w:history="1">
              <w:r w:rsidRPr="000966CC">
                <w:rPr>
                  <w:rFonts w:ascii="Verdana" w:hAnsi="Verdana"/>
                  <w:color w:val="0563C1" w:themeColor="hyperlink"/>
                  <w:u w:val="single"/>
                  <w:lang w:val="es-MX"/>
                </w:rPr>
                <w:t>https://dle.rae.es/plantaci%C3%B3n</w:t>
              </w:r>
            </w:hyperlink>
            <w:r w:rsidRPr="000966CC">
              <w:rPr>
                <w:rFonts w:ascii="Verdana" w:hAnsi="Verdana"/>
                <w:lang w:val="es-MX"/>
              </w:rPr>
              <w:t xml:space="preserve"> </w:t>
            </w:r>
          </w:p>
          <w:p w14:paraId="7B3FAF67" w14:textId="77777777" w:rsidR="000966CC" w:rsidRPr="000966CC" w:rsidRDefault="000966CC" w:rsidP="000966CC">
            <w:pPr>
              <w:spacing w:line="276" w:lineRule="auto"/>
              <w:ind w:left="-360" w:firstLine="708"/>
              <w:jc w:val="both"/>
              <w:rPr>
                <w:rFonts w:ascii="Verdana" w:hAnsi="Verdana"/>
                <w:lang w:val="es-MX"/>
              </w:rPr>
            </w:pPr>
          </w:p>
          <w:p w14:paraId="5538F4AF" w14:textId="77777777" w:rsidR="000966CC" w:rsidRPr="000966CC" w:rsidRDefault="000966CC" w:rsidP="000966CC">
            <w:pPr>
              <w:numPr>
                <w:ilvl w:val="0"/>
                <w:numId w:val="17"/>
              </w:numPr>
              <w:spacing w:line="276" w:lineRule="auto"/>
              <w:ind w:left="360"/>
              <w:jc w:val="both"/>
              <w:rPr>
                <w:rFonts w:ascii="Verdana" w:hAnsi="Verdana"/>
                <w:lang w:val="es-MX"/>
              </w:rPr>
            </w:pPr>
            <w:hyperlink r:id="rId16" w:history="1">
              <w:r w:rsidRPr="000966CC">
                <w:rPr>
                  <w:rFonts w:ascii="Verdana" w:hAnsi="Verdana"/>
                </w:rPr>
                <w:t>Diccionario de la lengua española (2001)</w:t>
              </w:r>
            </w:hyperlink>
            <w:r w:rsidRPr="000966CC">
              <w:rPr>
                <w:rFonts w:ascii="Verdana" w:hAnsi="Verdana"/>
                <w:lang w:val="es-MX"/>
              </w:rPr>
              <w:t xml:space="preserve">. Plantar. Es posible consultarlo en:  </w:t>
            </w:r>
            <w:hyperlink r:id="rId17" w:history="1">
              <w:r w:rsidRPr="000966CC">
                <w:rPr>
                  <w:rFonts w:ascii="Verdana" w:hAnsi="Verdana"/>
                  <w:color w:val="0563C1" w:themeColor="hyperlink"/>
                  <w:u w:val="single"/>
                  <w:lang w:val="es-MX"/>
                </w:rPr>
                <w:t>https://dle.rae.es/plantar</w:t>
              </w:r>
            </w:hyperlink>
          </w:p>
          <w:p w14:paraId="050FB791" w14:textId="77777777" w:rsidR="000966CC" w:rsidRPr="000966CC" w:rsidRDefault="000966CC" w:rsidP="000966CC">
            <w:pPr>
              <w:spacing w:line="276" w:lineRule="auto"/>
              <w:jc w:val="both"/>
              <w:rPr>
                <w:rFonts w:ascii="Verdana" w:hAnsi="Verdana"/>
                <w:lang w:val="es-MX"/>
              </w:rPr>
            </w:pPr>
          </w:p>
          <w:p w14:paraId="4701EEEC" w14:textId="77777777" w:rsidR="000966CC" w:rsidRPr="000966CC" w:rsidRDefault="000966CC" w:rsidP="000966CC">
            <w:pPr>
              <w:numPr>
                <w:ilvl w:val="0"/>
                <w:numId w:val="17"/>
              </w:numPr>
              <w:spacing w:line="276" w:lineRule="auto"/>
              <w:ind w:left="360"/>
              <w:jc w:val="both"/>
              <w:rPr>
                <w:rFonts w:ascii="Verdana" w:hAnsi="Verdana" w:cs="Arial"/>
                <w:lang w:val="es-MX"/>
              </w:rPr>
            </w:pPr>
            <w:r w:rsidRPr="000966CC">
              <w:rPr>
                <w:rFonts w:ascii="Verdana" w:hAnsi="Verdana" w:cs="Arial"/>
                <w:lang w:val="es-MX"/>
              </w:rPr>
              <w:t xml:space="preserve">TERMCAT CENTRE DE TERMINOLOGÍA. Diccionario de ingeniería civil. Recuperado el 20 de mayo de 2022 en: </w:t>
            </w:r>
            <w:hyperlink r:id="rId18" w:history="1">
              <w:r w:rsidRPr="000966CC">
                <w:rPr>
                  <w:rFonts w:ascii="Verdana" w:hAnsi="Verdana" w:cs="Arial"/>
                  <w:color w:val="0563C1" w:themeColor="hyperlink"/>
                  <w:lang w:val="es-MX"/>
                </w:rPr>
                <w:t>https://www.termcat.cat/es/diccionaris-en-linia/240/search/mantenimiento?type=basic&amp;language=&amp;condition=match</w:t>
              </w:r>
            </w:hyperlink>
            <w:r w:rsidRPr="000966CC">
              <w:rPr>
                <w:rFonts w:ascii="Verdana" w:hAnsi="Verdana" w:cs="Arial"/>
                <w:sz w:val="20"/>
                <w:szCs w:val="20"/>
                <w:lang w:val="es-MX"/>
              </w:rPr>
              <w:t xml:space="preserve"> </w:t>
            </w:r>
          </w:p>
        </w:tc>
      </w:tr>
    </w:tbl>
    <w:p w14:paraId="61BD4113" w14:textId="77777777" w:rsidR="000966CC" w:rsidRPr="000966CC" w:rsidRDefault="000966CC" w:rsidP="000966CC">
      <w:pPr>
        <w:widowControl w:val="0"/>
        <w:autoSpaceDE w:val="0"/>
        <w:autoSpaceDN w:val="0"/>
        <w:spacing w:after="0" w:line="276" w:lineRule="auto"/>
        <w:jc w:val="both"/>
        <w:rPr>
          <w:rFonts w:ascii="Verdana" w:hAnsi="Verdana" w:cs="Arial"/>
        </w:rPr>
      </w:pPr>
    </w:p>
    <w:p w14:paraId="347660FA" w14:textId="77777777" w:rsidR="000966CC" w:rsidRPr="000966CC" w:rsidRDefault="000966CC" w:rsidP="000966C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966CC">
        <w:rPr>
          <w:rFonts w:ascii="Verdana" w:eastAsia="Century Gothic" w:hAnsi="Verdana" w:cs="Century Gothic"/>
          <w:b/>
          <w:bCs/>
          <w:lang w:val="es-ES"/>
        </w:rPr>
        <w:t>Doctrina de la Agencia Nacional de Contratación Pública:</w:t>
      </w:r>
    </w:p>
    <w:p w14:paraId="3C731FF3" w14:textId="77777777" w:rsidR="000966CC" w:rsidRPr="000966CC" w:rsidRDefault="000966CC" w:rsidP="000966CC">
      <w:pPr>
        <w:widowControl w:val="0"/>
        <w:autoSpaceDE w:val="0"/>
        <w:autoSpaceDN w:val="0"/>
        <w:spacing w:after="0" w:line="276" w:lineRule="auto"/>
        <w:jc w:val="both"/>
        <w:rPr>
          <w:rFonts w:ascii="Verdana" w:hAnsi="Verdana" w:cs="Arial"/>
        </w:rPr>
      </w:pPr>
    </w:p>
    <w:p w14:paraId="279D91E8" w14:textId="7ACC2D39" w:rsidR="000966CC" w:rsidRPr="000966CC" w:rsidRDefault="000966CC" w:rsidP="000966CC">
      <w:pPr>
        <w:widowControl w:val="0"/>
        <w:autoSpaceDE w:val="0"/>
        <w:autoSpaceDN w:val="0"/>
        <w:spacing w:after="0" w:line="276" w:lineRule="auto"/>
        <w:jc w:val="both"/>
        <w:rPr>
          <w:rFonts w:ascii="Verdana" w:eastAsia="Calibri" w:hAnsi="Verdana" w:cs="Arial"/>
          <w:color w:val="000000" w:themeColor="text1"/>
        </w:rPr>
      </w:pPr>
      <w:r w:rsidRPr="000966CC">
        <w:rPr>
          <w:rFonts w:ascii="Verdana" w:eastAsia="Calibri" w:hAnsi="Verdana" w:cs="Arial"/>
          <w:lang w:val="es-ES" w:eastAsia="es-ES"/>
        </w:rPr>
        <w:t xml:space="preserve">Sobre </w:t>
      </w:r>
      <w:r w:rsidRPr="000966CC">
        <w:rPr>
          <w:rFonts w:ascii="Verdana" w:eastAsia="Calibri" w:hAnsi="Verdana" w:cs="Arial"/>
          <w:color w:val="000000" w:themeColor="text1"/>
        </w:rPr>
        <w:t xml:space="preserve">la reforestación y el mantenimiento de plantaciones </w:t>
      </w:r>
      <w:r w:rsidR="00E62F30">
        <w:rPr>
          <w:rFonts w:ascii="Verdana" w:eastAsia="Calibri" w:hAnsi="Verdana" w:cs="Arial"/>
          <w:color w:val="000000" w:themeColor="text1"/>
        </w:rPr>
        <w:t>como</w:t>
      </w:r>
      <w:r w:rsidRPr="000966CC">
        <w:rPr>
          <w:rFonts w:ascii="Verdana" w:eastAsia="Calibri" w:hAnsi="Verdana" w:cs="Arial"/>
          <w:color w:val="000000" w:themeColor="text1"/>
        </w:rPr>
        <w:t xml:space="preserve"> obra pública</w:t>
      </w:r>
      <w:r w:rsidR="00430B85">
        <w:rPr>
          <w:rFonts w:ascii="Verdana" w:eastAsia="Calibri" w:hAnsi="Verdana" w:cs="Arial"/>
          <w:color w:val="000000" w:themeColor="text1"/>
        </w:rPr>
        <w:t xml:space="preserve"> e</w:t>
      </w:r>
      <w:r w:rsidRPr="000966CC">
        <w:rPr>
          <w:rFonts w:ascii="Verdana" w:eastAsia="Calibri" w:hAnsi="Verdana" w:cs="Arial"/>
          <w:color w:val="000000" w:themeColor="text1"/>
        </w:rPr>
        <w:t xml:space="preserve">sta Agencia se pronunció en el concepto C-225 del 14 de abril de 2020. </w:t>
      </w:r>
      <w:r w:rsidRPr="000966CC">
        <w:rPr>
          <w:rFonts w:ascii="Verdana" w:hAnsi="Verdana" w:cs="Arial"/>
        </w:rPr>
        <w:t xml:space="preserve">De otra parte, en los conceptos 4201913000008014 del 24 de diciembre de 2019, C-225 del 14 de abril de 2020, y C-332 del 26 de mayo de 2020, se estudiaron las características y objeto del contrato de obra pública. </w:t>
      </w:r>
      <w:r w:rsidRPr="000966CC">
        <w:rPr>
          <w:rFonts w:ascii="Verdana" w:hAnsi="Verdana" w:cs="Arial"/>
          <w:shd w:val="clear" w:color="auto" w:fill="FFFFFF"/>
          <w:lang w:val="es-ES"/>
        </w:rPr>
        <w:t xml:space="preserve">Esta Subdirección se ha pronunciado sobre el régimen de garantías en los </w:t>
      </w:r>
      <w:r w:rsidR="00D737D6">
        <w:rPr>
          <w:rFonts w:ascii="Verdana" w:hAnsi="Verdana" w:cs="Arial"/>
          <w:shd w:val="clear" w:color="auto" w:fill="FFFFFF"/>
          <w:lang w:val="es-ES"/>
        </w:rPr>
        <w:t>c</w:t>
      </w:r>
      <w:r w:rsidRPr="000966CC">
        <w:rPr>
          <w:rFonts w:ascii="Verdana" w:hAnsi="Verdana" w:cs="Arial"/>
          <w:shd w:val="clear" w:color="auto" w:fill="FFFFFF"/>
          <w:lang w:val="es-ES"/>
        </w:rPr>
        <w:t>onceptos</w:t>
      </w:r>
      <w:r w:rsidRPr="000966CC">
        <w:rPr>
          <w:rFonts w:ascii="Verdana" w:hAnsi="Verdana" w:cs="Calibri"/>
          <w:shd w:val="clear" w:color="auto" w:fill="FFFFFF"/>
        </w:rPr>
        <w:t xml:space="preserve"> </w:t>
      </w:r>
      <w:r w:rsidRPr="000966CC">
        <w:rPr>
          <w:rFonts w:ascii="Verdana" w:hAnsi="Verdana" w:cs="Arial"/>
          <w:shd w:val="clear" w:color="auto" w:fill="FFFFFF"/>
          <w:lang w:val="es-ES"/>
        </w:rPr>
        <w:t xml:space="preserve">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w:t>
      </w:r>
      <w:r w:rsidRPr="000966CC">
        <w:rPr>
          <w:rFonts w:ascii="Verdana" w:hAnsi="Verdana" w:cs="Arial"/>
          <w:shd w:val="clear" w:color="auto" w:fill="FFFFFF"/>
          <w:lang w:val="es-ES"/>
        </w:rPr>
        <w:lastRenderedPageBreak/>
        <w:t xml:space="preserve">del 7 de diciembre de 2022, C-036 del 31 de marzo de 2023, C-386 del 31 de enero de 2024 y C-133 del 11 de julio de 2024. </w:t>
      </w:r>
    </w:p>
    <w:p w14:paraId="62F348F2" w14:textId="77777777" w:rsidR="000966CC" w:rsidRPr="000966CC" w:rsidRDefault="000966CC" w:rsidP="000966CC">
      <w:pPr>
        <w:widowControl w:val="0"/>
        <w:autoSpaceDE w:val="0"/>
        <w:autoSpaceDN w:val="0"/>
        <w:spacing w:after="0" w:line="276" w:lineRule="auto"/>
        <w:jc w:val="both"/>
        <w:rPr>
          <w:rFonts w:ascii="Verdana" w:eastAsia="Calibri" w:hAnsi="Verdana" w:cs="Arial"/>
          <w:color w:val="000000" w:themeColor="text1"/>
        </w:rPr>
      </w:pPr>
    </w:p>
    <w:p w14:paraId="2A4259B0" w14:textId="05EFE184" w:rsidR="000966CC" w:rsidRPr="000966CC" w:rsidRDefault="000966CC" w:rsidP="000966CC">
      <w:pPr>
        <w:widowControl w:val="0"/>
        <w:autoSpaceDE w:val="0"/>
        <w:autoSpaceDN w:val="0"/>
        <w:spacing w:after="0" w:line="276" w:lineRule="auto"/>
        <w:jc w:val="both"/>
        <w:rPr>
          <w:rFonts w:ascii="Verdana" w:hAnsi="Verdana" w:cs="Arial"/>
          <w:shd w:val="clear" w:color="auto" w:fill="FFFFFF"/>
          <w:lang w:val="es-ES"/>
        </w:rPr>
      </w:pPr>
      <w:r w:rsidRPr="000966CC">
        <w:rPr>
          <w:rFonts w:ascii="Verdana" w:hAnsi="Verdana" w:cs="Arial"/>
          <w:shd w:val="clear" w:color="auto" w:fill="FFFFFF"/>
          <w:lang w:val="es-ES"/>
        </w:rPr>
        <w:t>Es</w:t>
      </w:r>
      <w:r w:rsidRPr="000966CC">
        <w:rPr>
          <w:rFonts w:ascii="Verdana" w:hAnsi="Verdana"/>
        </w:rPr>
        <w:t>tos y otros conceptos se encuentran disponibles para consulta en el Sistema de relatoría de la Agencia, al cual se puede acceder a través del siguiente enlace:</w:t>
      </w:r>
      <w:r w:rsidRPr="000966CC">
        <w:rPr>
          <w:rFonts w:ascii="Verdana" w:hAnsi="Verdana" w:cs="Arial"/>
          <w:shd w:val="clear" w:color="auto" w:fill="FFFFFF"/>
          <w:lang w:val="es-ES"/>
        </w:rPr>
        <w:t xml:space="preserve"> </w:t>
      </w:r>
      <w:hyperlink r:id="rId19" w:history="1">
        <w:r w:rsidRPr="000966CC">
          <w:rPr>
            <w:rFonts w:ascii="Verdana" w:hAnsi="Verdana" w:cs="Arial"/>
            <w:color w:val="0563C1" w:themeColor="hyperlink"/>
            <w:u w:val="single"/>
            <w:shd w:val="clear" w:color="auto" w:fill="FFFFFF"/>
            <w:lang w:val="es-ES"/>
          </w:rPr>
          <w:t>https://relatoria.colombiacompra.gov.co/busqueda/conceptos</w:t>
        </w:r>
      </w:hyperlink>
    </w:p>
    <w:p w14:paraId="0D0F06A5" w14:textId="77777777" w:rsidR="00755303" w:rsidRPr="00755303" w:rsidRDefault="00755303" w:rsidP="00755303">
      <w:pPr>
        <w:widowControl w:val="0"/>
        <w:autoSpaceDE w:val="0"/>
        <w:autoSpaceDN w:val="0"/>
        <w:spacing w:after="0" w:line="276" w:lineRule="auto"/>
        <w:jc w:val="both"/>
        <w:rPr>
          <w:rFonts w:ascii="Verdana" w:hAnsi="Verdana" w:cs="Arial"/>
          <w:shd w:val="clear" w:color="auto" w:fill="FFFFFF"/>
        </w:rPr>
      </w:pPr>
      <w:r w:rsidRPr="00755303">
        <w:rPr>
          <w:rFonts w:ascii="Verdana" w:hAnsi="Verdana" w:cs="Arial"/>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20" w:tgtFrame="_blank" w:tooltip="Dirección URL original: https://www.colombiacompra.gov.co/sites/cce_public/files/cce_documents/manual_para_el_manejo_de_acuerdos_comerciales_vf.pdf. Haga clic o pulse si confía en este vínculo." w:history="1">
        <w:r w:rsidRPr="00755303">
          <w:rPr>
            <w:rStyle w:val="Hipervnculo"/>
            <w:rFonts w:ascii="Verdana" w:hAnsi="Verdana" w:cs="Arial"/>
            <w:shd w:val="clear" w:color="auto" w:fill="FFFFFF"/>
          </w:rPr>
          <w:t>manual_para_el_manejo_de_acuerdos_comerciales_vf.pdf</w:t>
        </w:r>
      </w:hyperlink>
    </w:p>
    <w:p w14:paraId="11EFAECD" w14:textId="77777777" w:rsidR="00755303" w:rsidRDefault="00755303" w:rsidP="00755303">
      <w:pPr>
        <w:widowControl w:val="0"/>
        <w:autoSpaceDE w:val="0"/>
        <w:autoSpaceDN w:val="0"/>
        <w:spacing w:after="0" w:line="276" w:lineRule="auto"/>
        <w:jc w:val="both"/>
        <w:rPr>
          <w:rFonts w:ascii="Verdana" w:hAnsi="Verdana" w:cs="Arial"/>
          <w:shd w:val="clear" w:color="auto" w:fill="FFFFFF"/>
        </w:rPr>
      </w:pPr>
    </w:p>
    <w:p w14:paraId="147EA743" w14:textId="38AE4DE9" w:rsidR="00755303" w:rsidRPr="00755303" w:rsidRDefault="00755303" w:rsidP="00755303">
      <w:pPr>
        <w:widowControl w:val="0"/>
        <w:autoSpaceDE w:val="0"/>
        <w:autoSpaceDN w:val="0"/>
        <w:spacing w:after="0" w:line="276" w:lineRule="auto"/>
        <w:jc w:val="both"/>
        <w:rPr>
          <w:rFonts w:ascii="Verdana" w:hAnsi="Verdana" w:cs="Arial"/>
          <w:shd w:val="clear" w:color="auto" w:fill="FFFFFF"/>
        </w:rPr>
      </w:pPr>
      <w:r w:rsidRPr="00755303">
        <w:rPr>
          <w:rFonts w:ascii="Verdana" w:hAnsi="Verdana" w:cs="Arial"/>
          <w:shd w:val="clear" w:color="auto" w:fill="FFFFFF"/>
        </w:rPr>
        <w:t>De otra parte, te contamos que ya publicamos el borrador de la nueva Guía para Incentivar la Participación de Mujeres en el Sistema de Compras y Contratación Pública. Conoce el documento y realiza tus comentarios hasta el 2 de diciembre de 2024</w:t>
      </w:r>
      <w:r w:rsidRPr="00755303">
        <w:rPr>
          <w:rFonts w:ascii="Verdana" w:hAnsi="Verdana" w:cs="Arial"/>
          <w:b/>
          <w:bCs/>
          <w:shd w:val="clear" w:color="auto" w:fill="FFFFFF"/>
        </w:rPr>
        <w:t> </w:t>
      </w:r>
      <w:r w:rsidRPr="00755303">
        <w:rPr>
          <w:rFonts w:ascii="Verdana" w:hAnsi="Verdana" w:cs="Arial"/>
          <w:shd w:val="clear" w:color="auto" w:fill="FFFFFF"/>
        </w:rPr>
        <w:t>a través de estos enlaces:</w:t>
      </w:r>
    </w:p>
    <w:p w14:paraId="59E3609C" w14:textId="77777777" w:rsidR="00755303" w:rsidRPr="00755303" w:rsidRDefault="00755303" w:rsidP="00755303">
      <w:pPr>
        <w:widowControl w:val="0"/>
        <w:numPr>
          <w:ilvl w:val="0"/>
          <w:numId w:val="19"/>
        </w:numPr>
        <w:autoSpaceDE w:val="0"/>
        <w:autoSpaceDN w:val="0"/>
        <w:spacing w:after="0" w:line="276" w:lineRule="auto"/>
        <w:jc w:val="both"/>
        <w:rPr>
          <w:rFonts w:ascii="Verdana" w:hAnsi="Verdana" w:cs="Arial"/>
          <w:shd w:val="clear" w:color="auto" w:fill="FFFFFF"/>
        </w:rPr>
      </w:pPr>
      <w:r w:rsidRPr="00755303">
        <w:rPr>
          <w:rFonts w:ascii="Verdana" w:hAnsi="Verdana" w:cs="Arial"/>
          <w:shd w:val="clear" w:color="auto" w:fill="FFFFFF"/>
        </w:rPr>
        <w:t>Enlace página ANCP-CCE: </w:t>
      </w:r>
      <w:hyperlink r:id="rId21" w:tgtFrame="_blank" w:tooltip="Dirección URL original: https://www.colombiacompra.gov.co/content/convocatorias. Haga clic o pulse si confía en este vínculo." w:history="1">
        <w:r w:rsidRPr="00755303">
          <w:rPr>
            <w:rStyle w:val="Hipervnculo"/>
            <w:rFonts w:ascii="Verdana" w:hAnsi="Verdana" w:cs="Arial"/>
            <w:shd w:val="clear" w:color="auto" w:fill="FFFFFF"/>
          </w:rPr>
          <w:t>https://www.colombiacompra.gov.co/content/convocatorias</w:t>
        </w:r>
      </w:hyperlink>
    </w:p>
    <w:p w14:paraId="02FE29C3" w14:textId="77777777" w:rsidR="00755303" w:rsidRPr="00755303" w:rsidRDefault="00755303" w:rsidP="00755303">
      <w:pPr>
        <w:widowControl w:val="0"/>
        <w:numPr>
          <w:ilvl w:val="0"/>
          <w:numId w:val="19"/>
        </w:numPr>
        <w:autoSpaceDE w:val="0"/>
        <w:autoSpaceDN w:val="0"/>
        <w:spacing w:after="0" w:line="276" w:lineRule="auto"/>
        <w:jc w:val="both"/>
        <w:rPr>
          <w:rFonts w:ascii="Verdana" w:hAnsi="Verdana" w:cs="Arial"/>
          <w:shd w:val="clear" w:color="auto" w:fill="FFFFFF"/>
          <w:lang w:val="en-US"/>
        </w:rPr>
      </w:pPr>
      <w:r w:rsidRPr="00755303">
        <w:rPr>
          <w:rFonts w:ascii="Verdana" w:hAnsi="Verdana" w:cs="Arial"/>
          <w:shd w:val="clear" w:color="auto" w:fill="FFFFFF"/>
          <w:lang w:val="en-US"/>
        </w:rPr>
        <w:t>Enlace SUCOP:  </w:t>
      </w:r>
      <w:hyperlink r:id="rId22" w:tgtFrame="_blank" w:tooltip="Dirección URL original: https://www.sucop.gov.co/entidades/colombiacompra/Normativa?IDNorma=19201. Haga clic o pulse si confía en este vínculo." w:history="1">
        <w:r w:rsidRPr="00755303">
          <w:rPr>
            <w:rStyle w:val="Hipervnculo"/>
            <w:rFonts w:ascii="Verdana" w:hAnsi="Verdana" w:cs="Arial"/>
            <w:shd w:val="clear" w:color="auto" w:fill="FFFFFF"/>
            <w:lang w:val="en-US"/>
          </w:rPr>
          <w:t>https://www.sucop.gov.co/entidades/colombiacompra/Normativa?IDNorma=19201</w:t>
        </w:r>
      </w:hyperlink>
    </w:p>
    <w:p w14:paraId="6B94DAFB" w14:textId="77777777" w:rsidR="00755303" w:rsidRPr="00755303" w:rsidRDefault="00755303" w:rsidP="00755303">
      <w:pPr>
        <w:widowControl w:val="0"/>
        <w:autoSpaceDE w:val="0"/>
        <w:autoSpaceDN w:val="0"/>
        <w:spacing w:after="0" w:line="276" w:lineRule="auto"/>
        <w:jc w:val="both"/>
        <w:rPr>
          <w:rFonts w:ascii="Verdana" w:hAnsi="Verdana" w:cs="Arial"/>
          <w:shd w:val="clear" w:color="auto" w:fill="FFFFFF"/>
          <w:lang w:val="en-US"/>
        </w:rPr>
      </w:pPr>
      <w:r w:rsidRPr="00755303">
        <w:rPr>
          <w:rFonts w:ascii="Verdana" w:hAnsi="Verdana" w:cs="Arial"/>
          <w:shd w:val="clear" w:color="auto" w:fill="FFFFFF"/>
          <w:lang w:val="en-US"/>
        </w:rPr>
        <w:t> </w:t>
      </w:r>
    </w:p>
    <w:p w14:paraId="48A1B16B" w14:textId="77777777" w:rsidR="00755303" w:rsidRPr="00755303" w:rsidRDefault="00755303" w:rsidP="00755303">
      <w:pPr>
        <w:widowControl w:val="0"/>
        <w:autoSpaceDE w:val="0"/>
        <w:autoSpaceDN w:val="0"/>
        <w:spacing w:after="0" w:line="276" w:lineRule="auto"/>
        <w:jc w:val="both"/>
        <w:rPr>
          <w:rFonts w:ascii="Verdana" w:hAnsi="Verdana" w:cs="Arial"/>
          <w:shd w:val="clear" w:color="auto" w:fill="FFFFFF"/>
        </w:rPr>
      </w:pPr>
      <w:r w:rsidRPr="00755303">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23" w:tgtFrame="_blank" w:tooltip="Dirección URL original: https://www.colombiacompra.gov.co/sala-de-prensa/boletin-digital. Haga clic o pulse si confía en este vínculo." w:history="1">
        <w:r w:rsidRPr="00755303">
          <w:rPr>
            <w:rStyle w:val="Hipervnculo"/>
            <w:rFonts w:ascii="Verdana" w:hAnsi="Verdana" w:cs="Arial"/>
            <w:shd w:val="clear" w:color="auto" w:fill="FFFFFF"/>
          </w:rPr>
          <w:t>https://www.colombiacompra.gov.co/sala-de-prensa/boletin-digital</w:t>
        </w:r>
      </w:hyperlink>
    </w:p>
    <w:p w14:paraId="697E272F" w14:textId="77777777" w:rsidR="00D737D6" w:rsidRDefault="00D737D6" w:rsidP="000966CC">
      <w:pPr>
        <w:widowControl w:val="0"/>
        <w:autoSpaceDE w:val="0"/>
        <w:autoSpaceDN w:val="0"/>
        <w:spacing w:after="0" w:line="276" w:lineRule="auto"/>
        <w:jc w:val="both"/>
        <w:rPr>
          <w:rFonts w:ascii="Verdana" w:hAnsi="Verdana" w:cs="Arial"/>
          <w:shd w:val="clear" w:color="auto" w:fill="FFFFFF"/>
        </w:rPr>
      </w:pPr>
    </w:p>
    <w:p w14:paraId="7A2F854B" w14:textId="77777777" w:rsidR="00FE3B93" w:rsidRPr="00FE3B93" w:rsidRDefault="00FE3B93" w:rsidP="00FE3B93">
      <w:pPr>
        <w:widowControl w:val="0"/>
        <w:autoSpaceDE w:val="0"/>
        <w:autoSpaceDN w:val="0"/>
        <w:spacing w:after="0" w:line="276" w:lineRule="auto"/>
        <w:jc w:val="both"/>
        <w:rPr>
          <w:rFonts w:ascii="Verdana" w:hAnsi="Verdana" w:cs="Arial"/>
          <w:shd w:val="clear" w:color="auto" w:fill="FFFFFF"/>
        </w:rPr>
      </w:pPr>
      <w:r w:rsidRPr="00FE3B93">
        <w:rPr>
          <w:rFonts w:ascii="Verdana" w:hAnsi="Verdana" w:cs="Arial"/>
          <w:shd w:val="clear" w:color="auto" w:fill="FFFFFF"/>
        </w:rPr>
        <w:t xml:space="preserve">Por último, lo invitamos a seguirnos en las redes sociales en las cuales se difunde información institucional: </w:t>
      </w:r>
    </w:p>
    <w:p w14:paraId="0C19822A" w14:textId="77777777" w:rsidR="00FE3B93" w:rsidRPr="00FE3B93" w:rsidRDefault="00FE3B93" w:rsidP="00FE3B93">
      <w:pPr>
        <w:widowControl w:val="0"/>
        <w:autoSpaceDE w:val="0"/>
        <w:autoSpaceDN w:val="0"/>
        <w:spacing w:after="0" w:line="276" w:lineRule="auto"/>
        <w:jc w:val="both"/>
        <w:rPr>
          <w:rFonts w:ascii="Verdana" w:hAnsi="Verdana" w:cs="Arial"/>
          <w:shd w:val="clear" w:color="auto" w:fill="FFFFFF"/>
        </w:rPr>
      </w:pPr>
    </w:p>
    <w:p w14:paraId="49A338BC" w14:textId="77777777" w:rsidR="00FE3B93" w:rsidRPr="00FE3B93" w:rsidRDefault="00FE3B93" w:rsidP="00FE3B93">
      <w:pPr>
        <w:widowControl w:val="0"/>
        <w:autoSpaceDE w:val="0"/>
        <w:autoSpaceDN w:val="0"/>
        <w:spacing w:after="0" w:line="276" w:lineRule="auto"/>
        <w:jc w:val="both"/>
        <w:rPr>
          <w:rFonts w:ascii="Verdana" w:hAnsi="Verdana" w:cs="Arial"/>
          <w:shd w:val="clear" w:color="auto" w:fill="FFFFFF"/>
        </w:rPr>
      </w:pPr>
      <w:r w:rsidRPr="00FE3B93">
        <w:rPr>
          <w:rFonts w:ascii="Verdana" w:hAnsi="Verdana" w:cs="Arial"/>
          <w:shd w:val="clear" w:color="auto" w:fill="FFFFFF"/>
        </w:rPr>
        <w:t xml:space="preserve">Twitter: </w:t>
      </w:r>
      <w:r w:rsidRPr="00FE3B93">
        <w:rPr>
          <w:rFonts w:ascii="Verdana" w:hAnsi="Verdana" w:cs="Arial"/>
          <w:u w:val="single"/>
          <w:shd w:val="clear" w:color="auto" w:fill="FFFFFF"/>
        </w:rPr>
        <w:t>@colombiacompra</w:t>
      </w:r>
      <w:r w:rsidRPr="00FE3B93">
        <w:rPr>
          <w:rFonts w:ascii="Verdana" w:hAnsi="Verdana" w:cs="Arial"/>
          <w:shd w:val="clear" w:color="auto" w:fill="FFFFFF"/>
        </w:rPr>
        <w:t xml:space="preserve"> </w:t>
      </w:r>
    </w:p>
    <w:p w14:paraId="15C455F9" w14:textId="77777777" w:rsidR="00FE3B93" w:rsidRPr="00FE3B93" w:rsidRDefault="00FE3B93" w:rsidP="00FE3B93">
      <w:pPr>
        <w:widowControl w:val="0"/>
        <w:autoSpaceDE w:val="0"/>
        <w:autoSpaceDN w:val="0"/>
        <w:spacing w:after="0" w:line="276" w:lineRule="auto"/>
        <w:jc w:val="both"/>
        <w:rPr>
          <w:rFonts w:ascii="Verdana" w:hAnsi="Verdana" w:cs="Arial"/>
          <w:shd w:val="clear" w:color="auto" w:fill="FFFFFF"/>
        </w:rPr>
      </w:pPr>
      <w:r w:rsidRPr="00FE3B93">
        <w:rPr>
          <w:rFonts w:ascii="Verdana" w:hAnsi="Verdana" w:cs="Arial"/>
          <w:shd w:val="clear" w:color="auto" w:fill="FFFFFF"/>
        </w:rPr>
        <w:t xml:space="preserve">Facebook: </w:t>
      </w:r>
      <w:proofErr w:type="spellStart"/>
      <w:r w:rsidRPr="00FE3B93">
        <w:rPr>
          <w:rFonts w:ascii="Verdana" w:hAnsi="Verdana" w:cs="Arial"/>
          <w:u w:val="single"/>
          <w:shd w:val="clear" w:color="auto" w:fill="FFFFFF"/>
        </w:rPr>
        <w:t>ColombiaCompraEficiente</w:t>
      </w:r>
      <w:proofErr w:type="spellEnd"/>
    </w:p>
    <w:p w14:paraId="2822E47C" w14:textId="77777777" w:rsidR="00FE3B93" w:rsidRPr="00FE3B93" w:rsidRDefault="00FE3B93" w:rsidP="00FE3B93">
      <w:pPr>
        <w:widowControl w:val="0"/>
        <w:autoSpaceDE w:val="0"/>
        <w:autoSpaceDN w:val="0"/>
        <w:spacing w:after="0" w:line="276" w:lineRule="auto"/>
        <w:jc w:val="both"/>
        <w:rPr>
          <w:rFonts w:ascii="Verdana" w:hAnsi="Verdana" w:cs="Arial"/>
          <w:shd w:val="clear" w:color="auto" w:fill="FFFFFF"/>
        </w:rPr>
      </w:pPr>
      <w:r w:rsidRPr="00FE3B93">
        <w:rPr>
          <w:rFonts w:ascii="Verdana" w:hAnsi="Verdana" w:cs="Arial"/>
          <w:shd w:val="clear" w:color="auto" w:fill="FFFFFF"/>
        </w:rPr>
        <w:t xml:space="preserve">LinkedIn: </w:t>
      </w:r>
      <w:r w:rsidRPr="00FE3B93">
        <w:rPr>
          <w:rFonts w:ascii="Verdana" w:hAnsi="Verdana" w:cs="Arial"/>
          <w:u w:val="single"/>
          <w:shd w:val="clear" w:color="auto" w:fill="FFFFFF"/>
        </w:rPr>
        <w:t>Agencia Nacional de Contratación Pública - Colombia Compra Eficiente</w:t>
      </w:r>
      <w:r w:rsidRPr="00FE3B93">
        <w:rPr>
          <w:rFonts w:ascii="Verdana" w:hAnsi="Verdana" w:cs="Arial"/>
          <w:shd w:val="clear" w:color="auto" w:fill="FFFFFF"/>
        </w:rPr>
        <w:t xml:space="preserve"> Instagram: </w:t>
      </w:r>
      <w:r w:rsidRPr="00FE3B93">
        <w:rPr>
          <w:rFonts w:ascii="Verdana" w:hAnsi="Verdana" w:cs="Arial"/>
          <w:u w:val="single"/>
          <w:shd w:val="clear" w:color="auto" w:fill="FFFFFF"/>
        </w:rPr>
        <w:t>@colombiacompraeficiente_cce</w:t>
      </w:r>
    </w:p>
    <w:p w14:paraId="4E776C62" w14:textId="77777777" w:rsidR="000966CC" w:rsidRPr="000966CC" w:rsidRDefault="000966CC" w:rsidP="000966CC">
      <w:pPr>
        <w:widowControl w:val="0"/>
        <w:autoSpaceDE w:val="0"/>
        <w:autoSpaceDN w:val="0"/>
        <w:spacing w:after="0" w:line="276" w:lineRule="auto"/>
        <w:jc w:val="both"/>
        <w:rPr>
          <w:rFonts w:ascii="Verdana" w:hAnsi="Verdana" w:cs="Arial"/>
        </w:rPr>
      </w:pPr>
    </w:p>
    <w:p w14:paraId="5685D553" w14:textId="77777777" w:rsidR="000966CC" w:rsidRPr="000966CC" w:rsidRDefault="000966CC" w:rsidP="000966CC">
      <w:pPr>
        <w:widowControl w:val="0"/>
        <w:autoSpaceDE w:val="0"/>
        <w:autoSpaceDN w:val="0"/>
        <w:spacing w:after="0" w:line="276" w:lineRule="auto"/>
        <w:jc w:val="both"/>
        <w:rPr>
          <w:rFonts w:ascii="Verdana" w:hAnsi="Verdana" w:cs="Arial"/>
          <w:lang w:val="es-ES_tradnl"/>
        </w:rPr>
      </w:pPr>
      <w:r w:rsidRPr="000966CC">
        <w:rPr>
          <w:rFonts w:ascii="Verdana" w:hAnsi="Verdana" w:cs="Arial"/>
        </w:rPr>
        <w:t xml:space="preserve">Este concepto tiene el alcance previsto en el artículo 28 del Código de </w:t>
      </w:r>
      <w:r w:rsidRPr="000966CC">
        <w:rPr>
          <w:rFonts w:ascii="Verdana" w:hAnsi="Verdana" w:cs="Arial"/>
        </w:rPr>
        <w:lastRenderedPageBreak/>
        <w:t xml:space="preserve">Procedimiento Administrativo y de lo Contencioso Administrativo </w:t>
      </w:r>
      <w:r w:rsidRPr="000966CC">
        <w:rPr>
          <w:rFonts w:ascii="Verdana" w:hAnsi="Verdana" w:cs="Arial"/>
          <w:lang w:val="es-ES_tradnl"/>
        </w:rPr>
        <w:t>y las expresiones aquí utilizadas con mayúscula inicial deben ser entendidas con el significado que les otorga el artículo 2.2.1.1.1.3.1. del Decreto 1082 de 2015.</w:t>
      </w:r>
    </w:p>
    <w:p w14:paraId="6755B64E" w14:textId="77777777" w:rsidR="000966CC" w:rsidRPr="000966CC" w:rsidRDefault="000966CC" w:rsidP="000966CC">
      <w:pPr>
        <w:widowControl w:val="0"/>
        <w:autoSpaceDE w:val="0"/>
        <w:autoSpaceDN w:val="0"/>
        <w:spacing w:after="0" w:line="276" w:lineRule="auto"/>
        <w:jc w:val="both"/>
        <w:rPr>
          <w:rFonts w:ascii="Verdana" w:hAnsi="Verdana" w:cs="Arial"/>
        </w:rPr>
      </w:pPr>
    </w:p>
    <w:p w14:paraId="5E3FB06A" w14:textId="77777777" w:rsidR="000966CC" w:rsidRPr="000966CC" w:rsidRDefault="000966CC" w:rsidP="000966CC">
      <w:pPr>
        <w:spacing w:after="0" w:line="240" w:lineRule="auto"/>
        <w:rPr>
          <w:rFonts w:ascii="Verdana" w:hAnsi="Verdana" w:cs="Arial"/>
          <w:lang w:eastAsia="es-CO"/>
        </w:rPr>
      </w:pPr>
      <w:r w:rsidRPr="000966CC">
        <w:rPr>
          <w:rFonts w:ascii="Verdana" w:eastAsia="Times New Roman" w:hAnsi="Verdana" w:cs="Arial"/>
          <w:lang w:eastAsia="es-CO"/>
        </w:rPr>
        <w:t>Atentamente,</w:t>
      </w:r>
      <w:r w:rsidRPr="000966CC">
        <w:rPr>
          <w:rFonts w:ascii="Verdana" w:hAnsi="Verdana" w:cs="Arial"/>
          <w:lang w:eastAsia="es-CO"/>
        </w:rPr>
        <w:t xml:space="preserve"> </w:t>
      </w:r>
    </w:p>
    <w:p w14:paraId="4C5FC9CB" w14:textId="7710EB59" w:rsidR="000966CC" w:rsidRPr="000966CC" w:rsidRDefault="008318F1" w:rsidP="000966CC">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10F0850D" wp14:editId="762D07F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966CC" w:rsidRPr="000966CC" w14:paraId="35527260" w14:textId="77777777" w:rsidTr="00B31142">
        <w:trPr>
          <w:trHeight w:val="409"/>
        </w:trPr>
        <w:tc>
          <w:tcPr>
            <w:tcW w:w="817" w:type="dxa"/>
            <w:tcBorders>
              <w:top w:val="nil"/>
              <w:left w:val="nil"/>
              <w:bottom w:val="nil"/>
              <w:right w:val="nil"/>
            </w:tcBorders>
            <w:vAlign w:val="center"/>
            <w:hideMark/>
          </w:tcPr>
          <w:p w14:paraId="11CD512F" w14:textId="77777777" w:rsidR="000966CC" w:rsidRPr="000966CC" w:rsidRDefault="000966CC" w:rsidP="000966CC">
            <w:pPr>
              <w:spacing w:after="0" w:line="240" w:lineRule="auto"/>
              <w:jc w:val="both"/>
              <w:rPr>
                <w:rFonts w:ascii="Verdana" w:hAnsi="Verdana" w:cs="Arial"/>
                <w:sz w:val="16"/>
                <w:szCs w:val="16"/>
              </w:rPr>
            </w:pPr>
            <w:r w:rsidRPr="000966C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CB022C9" w14:textId="77777777" w:rsidR="000966CC" w:rsidRPr="000966CC" w:rsidRDefault="000966CC" w:rsidP="000966CC">
            <w:pPr>
              <w:spacing w:after="0" w:line="240" w:lineRule="auto"/>
              <w:jc w:val="both"/>
              <w:rPr>
                <w:rFonts w:ascii="Verdana" w:hAnsi="Verdana" w:cs="Arial"/>
                <w:sz w:val="16"/>
                <w:szCs w:val="16"/>
              </w:rPr>
            </w:pPr>
            <w:r w:rsidRPr="000966CC">
              <w:rPr>
                <w:rFonts w:ascii="Verdana" w:hAnsi="Verdana" w:cs="Arial"/>
                <w:sz w:val="16"/>
                <w:szCs w:val="16"/>
              </w:rPr>
              <w:t xml:space="preserve">Juan Manual Avendaño </w:t>
            </w:r>
          </w:p>
          <w:p w14:paraId="5C334106" w14:textId="77777777" w:rsidR="000966CC" w:rsidRPr="000966CC" w:rsidRDefault="000966CC" w:rsidP="000966CC">
            <w:pPr>
              <w:spacing w:after="0" w:line="240" w:lineRule="auto"/>
              <w:jc w:val="both"/>
              <w:rPr>
                <w:rFonts w:ascii="Verdana" w:hAnsi="Verdana" w:cs="Arial"/>
                <w:sz w:val="16"/>
                <w:szCs w:val="16"/>
              </w:rPr>
            </w:pPr>
            <w:r w:rsidRPr="000966CC">
              <w:rPr>
                <w:rFonts w:ascii="Verdana" w:hAnsi="Verdana" w:cs="Arial"/>
                <w:sz w:val="16"/>
                <w:szCs w:val="16"/>
              </w:rPr>
              <w:t>Contratista de la Subdirección de Gestión Contractual</w:t>
            </w:r>
          </w:p>
        </w:tc>
      </w:tr>
      <w:tr w:rsidR="000966CC" w:rsidRPr="000966CC" w14:paraId="482F06F2" w14:textId="77777777" w:rsidTr="00B31142">
        <w:trPr>
          <w:trHeight w:val="409"/>
        </w:trPr>
        <w:tc>
          <w:tcPr>
            <w:tcW w:w="817" w:type="dxa"/>
            <w:tcBorders>
              <w:top w:val="nil"/>
              <w:left w:val="nil"/>
              <w:right w:val="nil"/>
            </w:tcBorders>
            <w:vAlign w:val="center"/>
          </w:tcPr>
          <w:p w14:paraId="36FA95A2" w14:textId="77777777" w:rsidR="000966CC" w:rsidRPr="000966CC" w:rsidRDefault="000966CC" w:rsidP="000966CC">
            <w:pPr>
              <w:spacing w:after="0" w:line="240" w:lineRule="auto"/>
              <w:jc w:val="both"/>
              <w:rPr>
                <w:rFonts w:ascii="Verdana" w:hAnsi="Verdana" w:cs="Arial"/>
                <w:sz w:val="16"/>
                <w:szCs w:val="16"/>
              </w:rPr>
            </w:pPr>
            <w:r w:rsidRPr="000966C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464B29A3" w14:textId="77777777" w:rsidR="000966CC" w:rsidRPr="000966CC" w:rsidRDefault="000966CC" w:rsidP="000966CC">
            <w:pPr>
              <w:spacing w:after="0" w:line="240" w:lineRule="auto"/>
              <w:jc w:val="both"/>
              <w:rPr>
                <w:rFonts w:ascii="Verdana" w:eastAsia="Times New Roman" w:hAnsi="Verdana" w:cs="Segoe UI"/>
                <w:color w:val="000000" w:themeColor="text1"/>
                <w:sz w:val="16"/>
                <w:szCs w:val="16"/>
                <w:lang w:eastAsia="es-CO"/>
              </w:rPr>
            </w:pPr>
            <w:r w:rsidRPr="000966CC">
              <w:rPr>
                <w:rFonts w:ascii="Verdana" w:eastAsia="Times New Roman" w:hAnsi="Verdana" w:cs="Segoe UI"/>
                <w:color w:val="000000" w:themeColor="text1"/>
                <w:sz w:val="16"/>
                <w:szCs w:val="16"/>
                <w:lang w:eastAsia="es-CO"/>
              </w:rPr>
              <w:t xml:space="preserve">Ximena Ríos </w:t>
            </w:r>
            <w:proofErr w:type="spellStart"/>
            <w:r w:rsidRPr="000966CC">
              <w:rPr>
                <w:rFonts w:ascii="Verdana" w:eastAsia="Times New Roman" w:hAnsi="Verdana" w:cs="Segoe UI"/>
                <w:color w:val="000000" w:themeColor="text1"/>
                <w:sz w:val="16"/>
                <w:szCs w:val="16"/>
                <w:lang w:eastAsia="es-CO"/>
              </w:rPr>
              <w:t>Lopez</w:t>
            </w:r>
            <w:proofErr w:type="spellEnd"/>
          </w:p>
          <w:p w14:paraId="4C893E7C" w14:textId="77777777" w:rsidR="000966CC" w:rsidRPr="000966CC" w:rsidRDefault="000966CC" w:rsidP="000966CC">
            <w:pPr>
              <w:spacing w:after="0" w:line="240" w:lineRule="auto"/>
              <w:jc w:val="both"/>
              <w:rPr>
                <w:rFonts w:ascii="Verdana" w:hAnsi="Verdana" w:cs="Arial"/>
                <w:sz w:val="16"/>
                <w:szCs w:val="16"/>
              </w:rPr>
            </w:pPr>
            <w:r w:rsidRPr="000966CC">
              <w:rPr>
                <w:rFonts w:ascii="Verdana" w:eastAsia="Times New Roman" w:hAnsi="Verdana" w:cs="Segoe UI"/>
                <w:color w:val="000000" w:themeColor="text1"/>
                <w:sz w:val="16"/>
                <w:szCs w:val="16"/>
                <w:lang w:eastAsia="es-CO"/>
              </w:rPr>
              <w:t xml:space="preserve">Gestor T1 </w:t>
            </w:r>
            <w:r w:rsidRPr="000966CC">
              <w:rPr>
                <w:rFonts w:ascii="Verdana" w:eastAsia="Times New Roman" w:hAnsi="Verdana" w:cs="Arial"/>
                <w:color w:val="000000" w:themeColor="text1"/>
                <w:sz w:val="16"/>
                <w:szCs w:val="16"/>
                <w:lang w:eastAsia="es-CO"/>
              </w:rPr>
              <w:t>‒</w:t>
            </w:r>
            <w:r w:rsidRPr="000966CC">
              <w:rPr>
                <w:rFonts w:ascii="Verdana" w:eastAsia="Times New Roman" w:hAnsi="Verdana" w:cs="Segoe UI"/>
                <w:color w:val="000000" w:themeColor="text1"/>
                <w:sz w:val="16"/>
                <w:szCs w:val="16"/>
                <w:lang w:eastAsia="es-CO"/>
              </w:rPr>
              <w:t xml:space="preserve"> 11 de la Subdirección de Gestión Contractual</w:t>
            </w:r>
          </w:p>
        </w:tc>
      </w:tr>
      <w:tr w:rsidR="000966CC" w:rsidRPr="000966CC" w14:paraId="067C50F4" w14:textId="77777777" w:rsidTr="00B31142">
        <w:trPr>
          <w:trHeight w:val="389"/>
        </w:trPr>
        <w:tc>
          <w:tcPr>
            <w:tcW w:w="817" w:type="dxa"/>
            <w:tcBorders>
              <w:top w:val="nil"/>
              <w:left w:val="nil"/>
              <w:bottom w:val="nil"/>
              <w:right w:val="nil"/>
            </w:tcBorders>
            <w:vAlign w:val="center"/>
            <w:hideMark/>
          </w:tcPr>
          <w:p w14:paraId="4F2A3AF8" w14:textId="77777777" w:rsidR="000966CC" w:rsidRPr="000966CC" w:rsidRDefault="000966CC" w:rsidP="000966CC">
            <w:pPr>
              <w:spacing w:after="0" w:line="240" w:lineRule="auto"/>
              <w:jc w:val="both"/>
              <w:rPr>
                <w:rFonts w:ascii="Verdana" w:hAnsi="Verdana" w:cs="Arial"/>
                <w:sz w:val="16"/>
                <w:szCs w:val="16"/>
              </w:rPr>
            </w:pPr>
            <w:r w:rsidRPr="000966CC">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22519C2" w14:textId="77777777" w:rsidR="000966CC" w:rsidRPr="000966CC" w:rsidRDefault="000966CC" w:rsidP="000966CC">
            <w:pPr>
              <w:spacing w:after="0" w:line="240" w:lineRule="auto"/>
              <w:rPr>
                <w:rFonts w:ascii="Verdana" w:eastAsia="Calibri" w:hAnsi="Verdana" w:cs="Arial"/>
                <w:sz w:val="16"/>
                <w:szCs w:val="16"/>
                <w:lang w:val="pt-BR" w:eastAsia="es-ES"/>
              </w:rPr>
            </w:pPr>
            <w:r w:rsidRPr="000966CC">
              <w:rPr>
                <w:rFonts w:ascii="Verdana" w:eastAsia="Calibri" w:hAnsi="Verdana" w:cs="Arial"/>
                <w:sz w:val="16"/>
                <w:szCs w:val="16"/>
                <w:lang w:val="pt-BR" w:eastAsia="es-ES"/>
              </w:rPr>
              <w:t>Carolina Quintero Gacharná</w:t>
            </w:r>
          </w:p>
          <w:p w14:paraId="0459DCE8" w14:textId="77777777" w:rsidR="000966CC" w:rsidRPr="000966CC" w:rsidRDefault="000966CC" w:rsidP="000966CC">
            <w:pPr>
              <w:spacing w:after="0" w:line="240" w:lineRule="auto"/>
              <w:jc w:val="both"/>
              <w:rPr>
                <w:rFonts w:ascii="Verdana" w:hAnsi="Verdana" w:cs="Arial"/>
                <w:sz w:val="16"/>
                <w:szCs w:val="16"/>
              </w:rPr>
            </w:pPr>
            <w:r w:rsidRPr="000966CC">
              <w:rPr>
                <w:rFonts w:ascii="Verdana" w:hAnsi="Verdana" w:cs="Arial"/>
                <w:sz w:val="16"/>
                <w:szCs w:val="16"/>
              </w:rPr>
              <w:t>Subdirectora de Gestión Contractual ANCP – CCE</w:t>
            </w:r>
          </w:p>
        </w:tc>
      </w:tr>
    </w:tbl>
    <w:p w14:paraId="6A3A5B9B" w14:textId="77777777" w:rsidR="000966CC" w:rsidRPr="000966CC" w:rsidRDefault="000966CC" w:rsidP="000966CC">
      <w:pPr>
        <w:tabs>
          <w:tab w:val="left" w:pos="2864"/>
        </w:tabs>
        <w:autoSpaceDE w:val="0"/>
        <w:autoSpaceDN w:val="0"/>
        <w:adjustRightInd w:val="0"/>
        <w:spacing w:after="0" w:line="240" w:lineRule="auto"/>
        <w:jc w:val="both"/>
        <w:rPr>
          <w:rFonts w:ascii="Verdana" w:hAnsi="Verdana" w:cs="Arial"/>
          <w:color w:val="000000"/>
          <w:lang w:val="es-ES"/>
        </w:rPr>
      </w:pPr>
    </w:p>
    <w:p w14:paraId="5BD947A3" w14:textId="77777777" w:rsidR="000966CC" w:rsidRPr="000966CC" w:rsidRDefault="000966CC" w:rsidP="000966CC">
      <w:pPr>
        <w:spacing w:after="0" w:line="240" w:lineRule="auto"/>
        <w:rPr>
          <w:rFonts w:ascii="Verdana" w:eastAsia="Times New Roman" w:hAnsi="Verdana" w:cs="Arial"/>
          <w:sz w:val="24"/>
          <w:szCs w:val="24"/>
          <w:lang w:val="es-ES" w:eastAsia="es-ES"/>
        </w:rPr>
      </w:pPr>
    </w:p>
    <w:p w14:paraId="399E1B7F" w14:textId="77777777" w:rsidR="000966CC" w:rsidRPr="000966CC" w:rsidRDefault="000966CC" w:rsidP="000966CC">
      <w:pPr>
        <w:spacing w:after="0" w:line="240" w:lineRule="auto"/>
        <w:rPr>
          <w:rFonts w:ascii="Verdana" w:eastAsia="Times New Roman" w:hAnsi="Verdana" w:cs="Arial"/>
          <w:sz w:val="24"/>
          <w:szCs w:val="24"/>
          <w:lang w:val="es-ES" w:eastAsia="es-ES"/>
        </w:rPr>
      </w:pPr>
    </w:p>
    <w:p w14:paraId="3900974D" w14:textId="77777777" w:rsidR="003D5B0D" w:rsidRPr="000966CC" w:rsidRDefault="003D5B0D" w:rsidP="000966CC"/>
    <w:sectPr w:rsidR="003D5B0D" w:rsidRPr="000966CC"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A253B" w14:textId="77777777" w:rsidR="00EB0F10" w:rsidRDefault="00EB0F10" w:rsidP="004A1847">
      <w:pPr>
        <w:spacing w:after="0" w:line="240" w:lineRule="auto"/>
      </w:pPr>
      <w:r>
        <w:separator/>
      </w:r>
    </w:p>
  </w:endnote>
  <w:endnote w:type="continuationSeparator" w:id="0">
    <w:p w14:paraId="63A0E51B" w14:textId="77777777" w:rsidR="00EB0F10" w:rsidRDefault="00EB0F10" w:rsidP="004A1847">
      <w:pPr>
        <w:spacing w:after="0" w:line="240" w:lineRule="auto"/>
      </w:pPr>
      <w:r>
        <w:continuationSeparator/>
      </w:r>
    </w:p>
  </w:endnote>
  <w:endnote w:type="continuationNotice" w:id="1">
    <w:p w14:paraId="547438E2" w14:textId="77777777" w:rsidR="00EB0F10" w:rsidRDefault="00EB0F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7E3D4" w14:textId="77777777" w:rsidR="00EB0F10" w:rsidRDefault="00EB0F10" w:rsidP="004A1847">
      <w:pPr>
        <w:spacing w:after="0" w:line="240" w:lineRule="auto"/>
      </w:pPr>
      <w:r>
        <w:separator/>
      </w:r>
    </w:p>
  </w:footnote>
  <w:footnote w:type="continuationSeparator" w:id="0">
    <w:p w14:paraId="6808C5F8" w14:textId="77777777" w:rsidR="00EB0F10" w:rsidRDefault="00EB0F10" w:rsidP="004A1847">
      <w:pPr>
        <w:spacing w:after="0" w:line="240" w:lineRule="auto"/>
      </w:pPr>
      <w:r>
        <w:continuationSeparator/>
      </w:r>
    </w:p>
  </w:footnote>
  <w:footnote w:type="continuationNotice" w:id="1">
    <w:p w14:paraId="0E660C60" w14:textId="77777777" w:rsidR="00EB0F10" w:rsidRDefault="00EB0F10">
      <w:pPr>
        <w:spacing w:after="0" w:line="240" w:lineRule="auto"/>
      </w:pPr>
    </w:p>
  </w:footnote>
  <w:footnote w:id="2">
    <w:p w14:paraId="1D77FF6D" w14:textId="77777777" w:rsidR="000966CC" w:rsidRDefault="000966CC" w:rsidP="000966CC">
      <w:pPr>
        <w:pStyle w:val="Textonotapie"/>
        <w:ind w:firstLine="708"/>
        <w:jc w:val="both"/>
      </w:pPr>
      <w:r>
        <w:rPr>
          <w:rStyle w:val="Refdenotaalpie"/>
        </w:rPr>
        <w:footnoteRef/>
      </w:r>
      <w:r>
        <w:t xml:space="preserve"> </w:t>
      </w:r>
      <w:r w:rsidRPr="008D6CB5">
        <w:rPr>
          <w:lang w:val="es-CO"/>
        </w:rPr>
        <w:t>La Superintendencia Financiera de Colombia surgió de la fusión de la Superintendencia Bancaria de Colombia en la Superintendencia de Valores mediante el Decreto 4327 de 2005, modificado posteriormente por el Decreto 2555 de 2010, la Ley 1480 de 2011 y el Decreto 710 de 2012. La entidad es un organismo técnico adscrito al Ministerio de Hacienda y Crédito Público, con personería jurídica, autonomía administrativa y financiera y patrimonio propio.</w:t>
      </w:r>
      <w:r>
        <w:rPr>
          <w:lang w:val="es-CO"/>
        </w:rPr>
        <w:t xml:space="preserve"> </w:t>
      </w:r>
      <w:r w:rsidRPr="008D6CB5">
        <w:rPr>
          <w:lang w:val="es-CO"/>
        </w:rPr>
        <w:t>La Superintendencia Financiera de Colombia promueve la estabilidad, la confianza y el desarrollo del sistema financiero, así como el trato justo al consumidor financiero.</w:t>
      </w:r>
    </w:p>
  </w:footnote>
  <w:footnote w:id="3">
    <w:p w14:paraId="1F8EBA16"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ALESSANDRI RODRÍGUEZ, Arturo. De los contratos. Santiago de Chile: Editorial Jurídica EDIAR-CONOCSUR LTDA, 1988. p. 182. </w:t>
      </w:r>
    </w:p>
    <w:p w14:paraId="4185AE64"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p>
  </w:footnote>
  <w:footnote w:id="4">
    <w:p w14:paraId="40800859"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olor w:val="000000" w:themeColor="text1"/>
          <w:sz w:val="18"/>
          <w:szCs w:val="18"/>
        </w:rPr>
        <w:footnoteRef/>
      </w:r>
      <w:r w:rsidRPr="00562A1C">
        <w:rPr>
          <w:rFonts w:ascii="Verdana" w:hAnsi="Verdana"/>
          <w:color w:val="000000" w:themeColor="text1"/>
          <w:sz w:val="18"/>
          <w:szCs w:val="18"/>
        </w:rPr>
        <w:t xml:space="preserve"> </w:t>
      </w:r>
      <w:r w:rsidRPr="00562A1C">
        <w:rPr>
          <w:rFonts w:ascii="Verdana" w:hAnsi="Verdana" w:cs="Arial"/>
          <w:color w:val="000000" w:themeColor="text1"/>
          <w:sz w:val="18"/>
          <w:szCs w:val="18"/>
        </w:rPr>
        <w:t xml:space="preserve">OSPINA MENA, Jesús Marino. Régimen de la Contratación Estatal. Un salto a la contratación liquida. Bogotá: </w:t>
      </w:r>
      <w:r w:rsidRPr="00562A1C">
        <w:rPr>
          <w:rFonts w:ascii="Verdana" w:hAnsi="Verdana" w:cs="Arial"/>
          <w:color w:val="000000" w:themeColor="text1"/>
          <w:sz w:val="18"/>
          <w:szCs w:val="18"/>
        </w:rPr>
        <w:t>Dike, 2020. p. 168.</w:t>
      </w:r>
    </w:p>
    <w:p w14:paraId="0ACD05E4" w14:textId="77777777" w:rsidR="000966CC" w:rsidRPr="00562A1C" w:rsidRDefault="000966CC" w:rsidP="000966CC">
      <w:pPr>
        <w:pStyle w:val="Textonotapie"/>
        <w:jc w:val="both"/>
        <w:rPr>
          <w:rFonts w:ascii="Verdana" w:hAnsi="Verdana"/>
          <w:color w:val="000000" w:themeColor="text1"/>
          <w:sz w:val="18"/>
          <w:szCs w:val="18"/>
          <w:lang w:val="es-ES"/>
        </w:rPr>
      </w:pPr>
    </w:p>
  </w:footnote>
  <w:footnote w:id="5">
    <w:p w14:paraId="7667C135"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Consejo de Estado. Sala de Consulta y Servicio Civil. Concepto del 5 de septiembre de 2018. Rad. 2.386. Consejero Ponente: Edgar González López.</w:t>
      </w:r>
    </w:p>
  </w:footnote>
  <w:footnote w:id="6">
    <w:p w14:paraId="056C161A"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w:t>
      </w:r>
      <w:bookmarkStart w:id="10" w:name="_Hlk35341897"/>
      <w:r w:rsidRPr="00562A1C">
        <w:rPr>
          <w:rFonts w:ascii="Verdana" w:hAnsi="Verdana" w:cs="Arial"/>
          <w:color w:val="000000" w:themeColor="text1"/>
          <w:sz w:val="18"/>
          <w:szCs w:val="18"/>
        </w:rPr>
        <w:t>VELÁSQUEZ JARAMILLO, Luis Guillermo. Bienes. Duodécima edición. Bogotá: Temis, 2010. p. 22</w:t>
      </w:r>
      <w:bookmarkEnd w:id="10"/>
      <w:r w:rsidRPr="00562A1C">
        <w:rPr>
          <w:rFonts w:ascii="Verdana" w:hAnsi="Verdana" w:cs="Arial"/>
          <w:color w:val="000000" w:themeColor="text1"/>
          <w:sz w:val="18"/>
          <w:szCs w:val="18"/>
        </w:rPr>
        <w:t>.</w:t>
      </w:r>
    </w:p>
    <w:p w14:paraId="1E98A310"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p>
  </w:footnote>
  <w:footnote w:id="7">
    <w:p w14:paraId="60B45874"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MAZEUD, Henri, MAZEUD, León y MAZEUD, Jean. Lecciones de derecho civil. Parte Primera. Volumen I. Buenos Aires: EJEA, 1976. p. 305-306.</w:t>
      </w:r>
    </w:p>
    <w:p w14:paraId="01B24A76"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p>
  </w:footnote>
  <w:footnote w:id="8">
    <w:p w14:paraId="2FDF4F0F"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Para estos efectos, el artículo 661 del Código Civil dispone que “Las cosas que por ser accesorias a bienes raíces se reputan inmuebles, no dejan de serlo por su separación momentánea; por ejemplo, los bulbos o cebollas que se arrancan para volverlos a plantar, y las losas o piedras que se desencajan de su lugar para hacer alguna construcción o reparación y con ánimo de volverlas a él. Pero desde que se separan con el objeto de darles diferente destino, dejan de ser inmuebles”.</w:t>
      </w:r>
    </w:p>
    <w:p w14:paraId="24E8C327" w14:textId="77777777" w:rsidR="000966CC" w:rsidRPr="00562A1C" w:rsidRDefault="000966CC" w:rsidP="000966CC">
      <w:pPr>
        <w:pStyle w:val="Textonotapie"/>
        <w:ind w:firstLine="708"/>
        <w:jc w:val="both"/>
        <w:rPr>
          <w:rFonts w:ascii="Verdana" w:hAnsi="Verdana" w:cs="Arial"/>
          <w:color w:val="000000" w:themeColor="text1"/>
          <w:sz w:val="18"/>
          <w:szCs w:val="18"/>
        </w:rPr>
      </w:pPr>
    </w:p>
  </w:footnote>
  <w:footnote w:id="9">
    <w:p w14:paraId="10936B57"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ALESSANDRI RODRÍGUEZ, Arturo y SOMARRIVA UNDURRAGA, Manuel. Los bienes y los derechos reales. Tercera Edición. Santiago de Chile: Editorial Nascimento, 1974. p. 24.</w:t>
      </w:r>
    </w:p>
    <w:p w14:paraId="0289969E"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p>
  </w:footnote>
  <w:footnote w:id="10">
    <w:p w14:paraId="7363CCBD"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w:t>
      </w:r>
      <w:r w:rsidRPr="00562A1C">
        <w:rPr>
          <w:rFonts w:ascii="Verdana" w:hAnsi="Verdana" w:cs="Arial"/>
          <w:iCs/>
          <w:color w:val="000000" w:themeColor="text1"/>
          <w:sz w:val="18"/>
          <w:szCs w:val="18"/>
          <w:lang w:val="es-ES"/>
        </w:rPr>
        <w:t>Ibidem</w:t>
      </w:r>
      <w:r w:rsidRPr="00562A1C">
        <w:rPr>
          <w:rFonts w:ascii="Verdana" w:hAnsi="Verdana" w:cs="Arial"/>
          <w:i/>
          <w:color w:val="000000" w:themeColor="text1"/>
          <w:sz w:val="18"/>
          <w:szCs w:val="18"/>
          <w:lang w:val="es-ES"/>
        </w:rPr>
        <w:t>.</w:t>
      </w:r>
    </w:p>
    <w:p w14:paraId="56B26858"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p>
  </w:footnote>
  <w:footnote w:id="11">
    <w:p w14:paraId="1559E84A" w14:textId="77777777" w:rsidR="000966CC" w:rsidRPr="00562A1C" w:rsidRDefault="000966CC" w:rsidP="000966CC">
      <w:pPr>
        <w:pStyle w:val="Textonotapie"/>
        <w:ind w:firstLine="708"/>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En este sentido, por su valor y pertinencia, la Contraloría General de Antioquia considera que: “De los artículos 656 y 657 del Código Civil podríamos entrar a determinar que los árboles constituyen inmuebles por adhesión y que por tanto estarían incluidos dentro del concepto de obra pública a que hace referencia el artículo 32 de la Ley 80 de 1993, lo anterior teniendo en cuenta que el artículo 659 del mismo Código solo hacer referencia a la madera y los frutos de los árboles como muebles por anticipación, pero de alguna manera (sic) se menciona que los árboles hagan parte de dicha categoría de bienes muebles inicialmente” (CONTRALORÍA GENERAL DE ANTIOQUIA. Concepto del 26 de marzo de 2010. Rad. 20101500057361).</w:t>
      </w:r>
    </w:p>
    <w:p w14:paraId="35311D13" w14:textId="77777777" w:rsidR="000966CC" w:rsidRPr="00562A1C" w:rsidRDefault="000966CC" w:rsidP="000966CC">
      <w:pPr>
        <w:pStyle w:val="Textonotapie"/>
        <w:ind w:firstLine="708"/>
        <w:jc w:val="both"/>
        <w:rPr>
          <w:rFonts w:ascii="Verdana" w:hAnsi="Verdana" w:cs="Arial"/>
          <w:color w:val="000000" w:themeColor="text1"/>
          <w:sz w:val="18"/>
          <w:szCs w:val="18"/>
          <w:lang w:val="es-ES"/>
        </w:rPr>
      </w:pPr>
    </w:p>
  </w:footnote>
  <w:footnote w:id="12">
    <w:p w14:paraId="3835329A" w14:textId="77777777" w:rsidR="000966CC" w:rsidRPr="00562A1C" w:rsidRDefault="000966CC" w:rsidP="000966CC">
      <w:pPr>
        <w:spacing w:after="0" w:line="240" w:lineRule="auto"/>
        <w:ind w:firstLine="707"/>
        <w:jc w:val="both"/>
        <w:rPr>
          <w:rFonts w:ascii="Verdana" w:hAnsi="Verdana" w:cs="Arial"/>
          <w:color w:val="000000" w:themeColor="text1"/>
          <w:sz w:val="18"/>
          <w:szCs w:val="18"/>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Decreto 1082 de 2015. “Artículo 2.2.1.2.3.1.2. Clases de garantías. Las garantías que los oferentes o contratistas pueden otorgar para asegurar el cumplimiento de sus obligaciones son:</w:t>
      </w:r>
    </w:p>
    <w:p w14:paraId="6BE30978" w14:textId="77777777" w:rsidR="000966CC" w:rsidRPr="00562A1C" w:rsidRDefault="000966CC" w:rsidP="000966CC">
      <w:pPr>
        <w:spacing w:after="0" w:line="240" w:lineRule="auto"/>
        <w:ind w:firstLine="708"/>
        <w:jc w:val="both"/>
        <w:rPr>
          <w:rFonts w:ascii="Verdana" w:hAnsi="Verdana" w:cs="Arial"/>
          <w:color w:val="000000" w:themeColor="text1"/>
          <w:sz w:val="18"/>
          <w:szCs w:val="18"/>
        </w:rPr>
      </w:pPr>
      <w:r w:rsidRPr="00562A1C">
        <w:rPr>
          <w:rFonts w:ascii="Verdana" w:hAnsi="Verdana" w:cs="Arial"/>
          <w:color w:val="000000" w:themeColor="text1"/>
          <w:sz w:val="18"/>
          <w:szCs w:val="18"/>
        </w:rPr>
        <w:t>1. Contrato de seguro contenido en una póliza.</w:t>
      </w:r>
    </w:p>
    <w:p w14:paraId="7FEF4464" w14:textId="77777777" w:rsidR="000966CC" w:rsidRPr="00562A1C" w:rsidRDefault="000966CC" w:rsidP="000966CC">
      <w:pPr>
        <w:spacing w:after="0" w:line="240" w:lineRule="auto"/>
        <w:ind w:firstLine="708"/>
        <w:jc w:val="both"/>
        <w:rPr>
          <w:rFonts w:ascii="Verdana" w:hAnsi="Verdana" w:cs="Arial"/>
          <w:color w:val="000000" w:themeColor="text1"/>
          <w:sz w:val="18"/>
          <w:szCs w:val="18"/>
        </w:rPr>
      </w:pPr>
      <w:r w:rsidRPr="00562A1C">
        <w:rPr>
          <w:rFonts w:ascii="Verdana" w:hAnsi="Verdana" w:cs="Arial"/>
          <w:color w:val="000000" w:themeColor="text1"/>
          <w:sz w:val="18"/>
          <w:szCs w:val="18"/>
        </w:rPr>
        <w:t>2. Patrimonio autónomo.</w:t>
      </w:r>
    </w:p>
    <w:p w14:paraId="191F9DA7" w14:textId="77777777" w:rsidR="000966CC" w:rsidRPr="00562A1C" w:rsidRDefault="000966CC" w:rsidP="000966CC">
      <w:pPr>
        <w:spacing w:after="0" w:line="240" w:lineRule="auto"/>
        <w:ind w:firstLine="708"/>
        <w:jc w:val="both"/>
        <w:rPr>
          <w:rFonts w:ascii="Verdana" w:hAnsi="Verdana" w:cs="Arial"/>
          <w:color w:val="000000" w:themeColor="text1"/>
          <w:sz w:val="18"/>
          <w:szCs w:val="18"/>
        </w:rPr>
      </w:pPr>
      <w:r w:rsidRPr="00562A1C">
        <w:rPr>
          <w:rFonts w:ascii="Verdana" w:hAnsi="Verdana" w:cs="Arial"/>
          <w:color w:val="000000" w:themeColor="text1"/>
          <w:sz w:val="18"/>
          <w:szCs w:val="18"/>
        </w:rPr>
        <w:t>3. Garantía Bancaria”.</w:t>
      </w:r>
    </w:p>
    <w:p w14:paraId="6CEFC3BE" w14:textId="77777777" w:rsidR="000966CC" w:rsidRPr="00562A1C" w:rsidRDefault="000966CC" w:rsidP="000966CC">
      <w:pPr>
        <w:pStyle w:val="Textonotapie"/>
        <w:jc w:val="both"/>
        <w:rPr>
          <w:rFonts w:ascii="Verdana" w:hAnsi="Verdana" w:cs="Arial"/>
          <w:color w:val="000000" w:themeColor="text1"/>
          <w:sz w:val="18"/>
          <w:szCs w:val="18"/>
          <w:lang w:val="es-CO"/>
        </w:rPr>
      </w:pPr>
    </w:p>
  </w:footnote>
  <w:footnote w:id="13">
    <w:p w14:paraId="45353314" w14:textId="77777777" w:rsidR="000966CC" w:rsidRPr="00562A1C" w:rsidRDefault="000966CC" w:rsidP="000966CC">
      <w:pPr>
        <w:pStyle w:val="Textonotapie"/>
        <w:ind w:firstLine="708"/>
        <w:jc w:val="both"/>
        <w:rPr>
          <w:rFonts w:ascii="Verdana" w:hAnsi="Verdana" w:cs="Arial"/>
          <w:sz w:val="18"/>
          <w:szCs w:val="18"/>
          <w:lang w:val="es-ES"/>
        </w:rPr>
      </w:pPr>
      <w:r w:rsidRPr="00562A1C">
        <w:rPr>
          <w:rStyle w:val="Refdenotaalpie"/>
          <w:rFonts w:ascii="Verdana" w:hAnsi="Verdana" w:cs="Arial"/>
          <w:sz w:val="18"/>
          <w:szCs w:val="18"/>
        </w:rPr>
        <w:footnoteRef/>
      </w:r>
      <w:r w:rsidRPr="00562A1C">
        <w:rPr>
          <w:rFonts w:ascii="Verdana" w:hAnsi="Verdana" w:cs="Arial"/>
          <w:sz w:val="18"/>
          <w:szCs w:val="18"/>
        </w:rPr>
        <w:t xml:space="preserve"> Agencia Nacional de Contratación Pública – </w:t>
      </w:r>
      <w:r w:rsidRPr="00562A1C">
        <w:rPr>
          <w:rFonts w:ascii="Verdana" w:hAnsi="Verdana" w:cs="Arial"/>
          <w:sz w:val="18"/>
          <w:szCs w:val="18"/>
          <w:lang w:val="es-ES"/>
        </w:rPr>
        <w:t xml:space="preserve">Colombia Compra Eficiente. Síntesis: 8. Etapa precontractual: Garantía de cumplimiento del contrato estatal. </w:t>
      </w:r>
    </w:p>
    <w:p w14:paraId="24F56534" w14:textId="77777777" w:rsidR="000966CC" w:rsidRPr="00562A1C" w:rsidRDefault="000966CC" w:rsidP="000966CC">
      <w:pPr>
        <w:pStyle w:val="Textonotapie"/>
        <w:ind w:firstLine="708"/>
        <w:jc w:val="both"/>
        <w:rPr>
          <w:rFonts w:ascii="Verdana" w:hAnsi="Verdana" w:cs="Arial"/>
          <w:sz w:val="18"/>
          <w:szCs w:val="18"/>
        </w:rPr>
      </w:pPr>
    </w:p>
  </w:footnote>
  <w:footnote w:id="14">
    <w:p w14:paraId="753834AF" w14:textId="77777777" w:rsidR="000966CC" w:rsidRPr="00562A1C" w:rsidRDefault="000966CC" w:rsidP="000966CC">
      <w:pPr>
        <w:pStyle w:val="Textonotapie"/>
        <w:ind w:firstLine="708"/>
        <w:jc w:val="both"/>
        <w:rPr>
          <w:rFonts w:ascii="Verdana" w:hAnsi="Verdana" w:cs="Arial"/>
          <w:sz w:val="18"/>
          <w:szCs w:val="18"/>
        </w:rPr>
      </w:pPr>
      <w:r w:rsidRPr="00562A1C">
        <w:rPr>
          <w:rStyle w:val="Refdenotaalpie"/>
          <w:rFonts w:ascii="Verdana" w:hAnsi="Verdana" w:cs="Arial"/>
          <w:sz w:val="18"/>
          <w:szCs w:val="18"/>
        </w:rPr>
        <w:footnoteRef/>
      </w:r>
      <w:r w:rsidRPr="00562A1C">
        <w:rPr>
          <w:rFonts w:ascii="Verdana" w:hAnsi="Verdana" w:cs="Arial"/>
          <w:sz w:val="18"/>
          <w:szCs w:val="18"/>
        </w:rPr>
        <w:t xml:space="preserve"> La norma citada dispone: “Artículo 2.2.1.2.3.1.7. Garantía de cumplimiento. La garantía de cumplimiento del contrato debe cubrir:</w:t>
      </w:r>
    </w:p>
    <w:p w14:paraId="084A11A4"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1.    Buen manejo y correcta inversión del anticipo. Este amparo cubre los perjuicios sufridos por la Entidad Estatal con ocasión de: (i) la no inversión del anticipo; (</w:t>
      </w:r>
      <w:r w:rsidRPr="00562A1C">
        <w:rPr>
          <w:rFonts w:ascii="Verdana" w:hAnsi="Verdana" w:cs="Arial"/>
          <w:sz w:val="18"/>
          <w:szCs w:val="18"/>
        </w:rPr>
        <w:t>ii) el uso indebido del anticipo; y (iii) la apropiación indebida de los recursos recibidos en calidad de anticipo.</w:t>
      </w:r>
    </w:p>
    <w:p w14:paraId="1C9381FE"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61EEB6B4"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3.    Cumplimiento del contrato. Este amparo cubre a la Entidad Estatal de los perjuicios derivados de:</w:t>
      </w:r>
    </w:p>
    <w:p w14:paraId="1DE3F188"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3.1.   El incumplimiento total o parcial del contrato, cuando el incumplimiento es imputable al contratista;</w:t>
      </w:r>
    </w:p>
    <w:p w14:paraId="4CB5B596"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3.2.   El cumplimiento tardío o defectuoso del contrato, cuando el incumplimiento es imputable al contratista;</w:t>
      </w:r>
    </w:p>
    <w:p w14:paraId="72042AC2"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3.3.   Los daños imputables al contratista por entregas parciales de la obra, cuando el contrato no prevé entregas parciales; y</w:t>
      </w:r>
    </w:p>
    <w:p w14:paraId="24E94A91"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3.4.   El pago del valor de las multas y de la cláusula penal pecuniaria.</w:t>
      </w:r>
    </w:p>
    <w:p w14:paraId="24DE5A58"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013CA841"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La Entidad Estatal no debe exigir una garantía para cubrir este Riesgo en los contratos que se ejecuten fuera del territorio nacional con personal contratado bajo un régimen jurídico distinto al colombiano.</w:t>
      </w:r>
    </w:p>
    <w:p w14:paraId="0F0F87A1"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5.    Estabilidad y calidad de la obra. Este amparo cubre a la Entidad Estatal de los perjuicios ocasionados por cualquier tipo de daño o deterioro, imputable al contratista, sufrido por la obra entregada a satisfacción.</w:t>
      </w:r>
    </w:p>
    <w:p w14:paraId="61D2DFF0"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6.    Calidad del servicio. Este amparo cubre a la Entidad Estatal por los perjuicios deri­vados de la deficiente calidad del servicio prestado.</w:t>
      </w:r>
    </w:p>
    <w:p w14:paraId="71E5E538"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7.    Calidad y correcto funcionamiento de los bienes. Este amparo debe cubrir la calidad y el correcto funcionamiento de los bienes que recibe la Entidad Estatal en cumplimiento de un contrato.</w:t>
      </w:r>
    </w:p>
    <w:p w14:paraId="1B979493"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hAnsi="Verdana" w:cs="Arial"/>
          <w:sz w:val="18"/>
          <w:szCs w:val="18"/>
        </w:rPr>
        <w:t>8.    Los demás incumplimientos de obligaciones que la Entidad Estatal considere deben ser amparados de manera proporcional y acorde a la naturaleza del contrato”.</w:t>
      </w:r>
    </w:p>
    <w:p w14:paraId="212B8F5D" w14:textId="77777777" w:rsidR="000966CC" w:rsidRPr="00562A1C" w:rsidRDefault="000966CC" w:rsidP="000966CC">
      <w:pPr>
        <w:pStyle w:val="Textonotapie"/>
        <w:ind w:firstLine="708"/>
        <w:jc w:val="both"/>
        <w:rPr>
          <w:rFonts w:ascii="Verdana" w:hAnsi="Verdana" w:cs="Arial"/>
          <w:sz w:val="18"/>
          <w:szCs w:val="18"/>
        </w:rPr>
      </w:pPr>
    </w:p>
  </w:footnote>
  <w:footnote w:id="15">
    <w:p w14:paraId="1F27B2F6" w14:textId="77777777" w:rsidR="000966CC" w:rsidRPr="00562A1C" w:rsidRDefault="000966CC" w:rsidP="000966CC">
      <w:pPr>
        <w:pStyle w:val="Textonotapie"/>
        <w:ind w:firstLine="708"/>
        <w:jc w:val="both"/>
        <w:rPr>
          <w:rFonts w:ascii="Verdana" w:eastAsia="Calibri" w:hAnsi="Verdana" w:cs="Arial"/>
          <w:sz w:val="18"/>
          <w:szCs w:val="18"/>
          <w:lang w:val="es-ES_tradnl"/>
        </w:rPr>
      </w:pPr>
      <w:r w:rsidRPr="00562A1C">
        <w:rPr>
          <w:rStyle w:val="Refdenotaalpie"/>
          <w:rFonts w:ascii="Verdana" w:hAnsi="Verdana" w:cs="Arial"/>
          <w:sz w:val="18"/>
          <w:szCs w:val="18"/>
        </w:rPr>
        <w:footnoteRef/>
      </w:r>
      <w:r w:rsidRPr="00562A1C">
        <w:rPr>
          <w:rFonts w:ascii="Verdana" w:hAnsi="Verdana" w:cs="Arial"/>
          <w:sz w:val="18"/>
          <w:szCs w:val="18"/>
        </w:rPr>
        <w:t xml:space="preserve"> </w:t>
      </w:r>
      <w:r w:rsidRPr="00562A1C">
        <w:rPr>
          <w:rFonts w:ascii="Verdana" w:eastAsia="Calibri" w:hAnsi="Verdana" w:cs="Arial"/>
          <w:sz w:val="18"/>
          <w:szCs w:val="18"/>
          <w:lang w:val="es-ES_tradnl"/>
        </w:rPr>
        <w:t xml:space="preserve">Esta norma dispone que “Los contratos para construcción de edificios, celebrados con un empresario que se encarga de toda la obra por un precio único prefijado, se sujetan además a las reglas siguientes: </w:t>
      </w:r>
    </w:p>
    <w:p w14:paraId="5109487B" w14:textId="77777777" w:rsidR="000966CC" w:rsidRPr="00562A1C" w:rsidRDefault="000966CC" w:rsidP="000966CC">
      <w:pPr>
        <w:pStyle w:val="Textonotapie"/>
        <w:ind w:firstLine="708"/>
        <w:jc w:val="both"/>
        <w:rPr>
          <w:rFonts w:ascii="Verdana" w:eastAsia="Calibri" w:hAnsi="Verdana" w:cs="Arial"/>
          <w:sz w:val="18"/>
          <w:szCs w:val="18"/>
          <w:lang w:val="es-ES_tradnl"/>
        </w:rPr>
      </w:pPr>
      <w:r w:rsidRPr="00562A1C">
        <w:rPr>
          <w:rFonts w:ascii="Verdana" w:eastAsia="Calibri" w:hAnsi="Verdana" w:cs="Arial"/>
          <w:sz w:val="18"/>
          <w:szCs w:val="18"/>
          <w:lang w:val="es-ES_tradnl"/>
        </w:rPr>
        <w:t xml:space="preserve">[…] </w:t>
      </w:r>
    </w:p>
    <w:p w14:paraId="6C2E6A9A" w14:textId="77777777" w:rsidR="000966CC" w:rsidRPr="00562A1C" w:rsidRDefault="000966CC" w:rsidP="000966CC">
      <w:pPr>
        <w:pStyle w:val="Textonotapie"/>
        <w:ind w:firstLine="708"/>
        <w:jc w:val="both"/>
        <w:rPr>
          <w:rFonts w:ascii="Verdana" w:hAnsi="Verdana" w:cs="Arial"/>
          <w:sz w:val="18"/>
          <w:szCs w:val="18"/>
        </w:rPr>
      </w:pPr>
      <w:r w:rsidRPr="00562A1C">
        <w:rPr>
          <w:rFonts w:ascii="Verdana" w:eastAsia="Calibri" w:hAnsi="Verdana" w:cs="Arial"/>
          <w:sz w:val="18"/>
          <w:szCs w:val="18"/>
          <w:lang w:val="es-ES_tradnl"/>
        </w:rPr>
        <w:t xml:space="preserve">3. Si el edificio perece o amenaza ruina, en todo o parte, en los diez años subsiguientes a su entrega, por vicio de la construcción, o por vicio del suelo que el empresario o las personas empleadas por él hayan debido conocer </w:t>
      </w:r>
      <w:r w:rsidRPr="00562A1C">
        <w:rPr>
          <w:rFonts w:ascii="Verdana" w:eastAsia="Calibri" w:hAnsi="Verdana" w:cs="Arial"/>
          <w:sz w:val="18"/>
          <w:szCs w:val="18"/>
          <w:lang w:val="es-ES_tradnl"/>
        </w:rPr>
        <w:t>en razón de su oficio, o por vicio de los materiales, será responsable el empresario; si los materiales han sido suministrados por el dueño, no habrá lugar a la responsabilidad del empresario sino en conformidad al artículo 2041,2057 inciso final […]”.</w:t>
      </w:r>
    </w:p>
    <w:p w14:paraId="4BBC8091" w14:textId="77777777" w:rsidR="000966CC" w:rsidRPr="00562A1C" w:rsidRDefault="000966CC" w:rsidP="000966CC">
      <w:pPr>
        <w:pStyle w:val="Textonotapie"/>
        <w:ind w:firstLine="708"/>
        <w:jc w:val="both"/>
        <w:rPr>
          <w:rFonts w:ascii="Verdana" w:hAnsi="Verdana" w:cs="Arial"/>
          <w:sz w:val="18"/>
          <w:szCs w:val="18"/>
          <w:lang w:val="es-ES"/>
        </w:rPr>
      </w:pPr>
    </w:p>
  </w:footnote>
  <w:footnote w:id="16">
    <w:p w14:paraId="199D26CD" w14:textId="77777777" w:rsidR="000966CC" w:rsidRDefault="000966CC" w:rsidP="000966CC">
      <w:pPr>
        <w:pStyle w:val="Textonotapie"/>
        <w:ind w:firstLine="708"/>
        <w:jc w:val="both"/>
        <w:rPr>
          <w:rFonts w:ascii="Verdana" w:hAnsi="Verdana"/>
          <w:sz w:val="18"/>
          <w:szCs w:val="18"/>
          <w:lang w:val="es-CO"/>
        </w:rPr>
      </w:pPr>
      <w:r w:rsidRPr="00562A1C">
        <w:rPr>
          <w:rStyle w:val="Refdenotaalpie"/>
          <w:rFonts w:ascii="Verdana" w:hAnsi="Verdana"/>
          <w:sz w:val="18"/>
          <w:szCs w:val="18"/>
        </w:rPr>
        <w:footnoteRef/>
      </w:r>
      <w:r w:rsidRPr="00562A1C">
        <w:rPr>
          <w:rFonts w:ascii="Verdana" w:hAnsi="Verdana"/>
          <w:sz w:val="18"/>
          <w:szCs w:val="18"/>
        </w:rPr>
        <w:t xml:space="preserve"> </w:t>
      </w:r>
      <w:r w:rsidRPr="00562A1C">
        <w:rPr>
          <w:rFonts w:ascii="Verdana" w:hAnsi="Verdana"/>
          <w:sz w:val="18"/>
          <w:szCs w:val="18"/>
          <w:lang w:val="es-CO"/>
        </w:rPr>
        <w:t xml:space="preserve">Consejo de Estado. Sala de lo Contencioso Administrativo. Sección Tercera. Subsección B. </w:t>
      </w:r>
      <w:r w:rsidRPr="00562A1C">
        <w:rPr>
          <w:rFonts w:ascii="Verdana" w:hAnsi="Verdana"/>
          <w:sz w:val="18"/>
          <w:szCs w:val="18"/>
          <w:lang w:val="es-CO"/>
        </w:rPr>
        <w:t xml:space="preserve">Consejero ponente: Martín Bermúdez Muñoz. Bogotá D.C.  18 de noviembre de 2021. Radicado 56085. </w:t>
      </w:r>
    </w:p>
    <w:p w14:paraId="3CE63E12" w14:textId="77777777" w:rsidR="000966CC" w:rsidRPr="00562A1C" w:rsidRDefault="000966CC" w:rsidP="000966CC">
      <w:pPr>
        <w:pStyle w:val="Textonotapie"/>
        <w:ind w:firstLine="708"/>
        <w:jc w:val="both"/>
        <w:rPr>
          <w:rFonts w:ascii="Verdana" w:hAnsi="Verdana"/>
          <w:sz w:val="18"/>
          <w:szCs w:val="18"/>
        </w:rPr>
      </w:pPr>
    </w:p>
  </w:footnote>
  <w:footnote w:id="17">
    <w:p w14:paraId="67E809D6" w14:textId="77777777" w:rsidR="000966CC" w:rsidRPr="00562A1C" w:rsidRDefault="000966CC" w:rsidP="000966CC">
      <w:pPr>
        <w:pStyle w:val="Textonotapie"/>
        <w:ind w:firstLine="708"/>
        <w:jc w:val="both"/>
        <w:rPr>
          <w:rFonts w:ascii="Verdana" w:hAnsi="Verdana"/>
          <w:sz w:val="18"/>
          <w:szCs w:val="18"/>
          <w:lang w:val="es-CO"/>
        </w:rPr>
      </w:pPr>
      <w:r w:rsidRPr="00562A1C">
        <w:rPr>
          <w:rStyle w:val="Refdenotaalpie"/>
          <w:rFonts w:ascii="Verdana" w:hAnsi="Verdana"/>
          <w:sz w:val="18"/>
          <w:szCs w:val="18"/>
        </w:rPr>
        <w:footnoteRef/>
      </w:r>
      <w:r w:rsidRPr="00562A1C">
        <w:rPr>
          <w:rFonts w:ascii="Verdana" w:hAnsi="Verdana"/>
          <w:sz w:val="18"/>
          <w:szCs w:val="18"/>
        </w:rPr>
        <w:t xml:space="preserve"> </w:t>
      </w:r>
      <w:hyperlink r:id="rId1" w:history="1">
        <w:r w:rsidRPr="00562A1C">
          <w:rPr>
            <w:rStyle w:val="Hipervnculo"/>
            <w:rFonts w:ascii="Verdana" w:hAnsi="Verdana"/>
            <w:sz w:val="18"/>
            <w:szCs w:val="18"/>
            <w:lang w:val="es-CO"/>
          </w:rPr>
          <w:t>Diccionario de la lengua española (2001)</w:t>
        </w:r>
      </w:hyperlink>
      <w:r w:rsidRPr="00562A1C">
        <w:rPr>
          <w:rFonts w:ascii="Verdana" w:hAnsi="Verdana"/>
          <w:sz w:val="18"/>
          <w:szCs w:val="18"/>
        </w:rPr>
        <w:t xml:space="preserve">. Reforestar. </w:t>
      </w:r>
      <w:r>
        <w:rPr>
          <w:rFonts w:ascii="Verdana" w:hAnsi="Verdana"/>
          <w:sz w:val="18"/>
          <w:szCs w:val="18"/>
        </w:rPr>
        <w:t xml:space="preserve">Es posible consultarlo en: </w:t>
      </w:r>
      <w:hyperlink r:id="rId2" w:history="1">
        <w:r w:rsidRPr="007371A4">
          <w:rPr>
            <w:rStyle w:val="Hipervnculo"/>
            <w:rFonts w:ascii="Verdana" w:hAnsi="Verdana"/>
            <w:sz w:val="18"/>
            <w:szCs w:val="18"/>
          </w:rPr>
          <w:t>https://www.rae.es/drae2001/reforestar</w:t>
        </w:r>
      </w:hyperlink>
      <w:r>
        <w:rPr>
          <w:rFonts w:ascii="Verdana" w:hAnsi="Verdana"/>
          <w:sz w:val="18"/>
          <w:szCs w:val="18"/>
        </w:rPr>
        <w:t xml:space="preserve"> </w:t>
      </w:r>
    </w:p>
    <w:p w14:paraId="4BCE33A7" w14:textId="77777777" w:rsidR="000966CC" w:rsidRPr="00562A1C" w:rsidRDefault="000966CC" w:rsidP="000966CC">
      <w:pPr>
        <w:pStyle w:val="Textonotapie"/>
        <w:jc w:val="both"/>
        <w:rPr>
          <w:rFonts w:ascii="Verdana" w:hAnsi="Verdana"/>
          <w:sz w:val="18"/>
          <w:szCs w:val="18"/>
          <w:lang w:val="es-CO"/>
        </w:rPr>
      </w:pPr>
    </w:p>
  </w:footnote>
  <w:footnote w:id="18">
    <w:p w14:paraId="40A07080" w14:textId="77777777" w:rsidR="000966CC" w:rsidRDefault="000966CC" w:rsidP="000966CC">
      <w:pPr>
        <w:pStyle w:val="Textonotapie"/>
        <w:ind w:firstLine="708"/>
        <w:jc w:val="both"/>
        <w:rPr>
          <w:rFonts w:ascii="Verdana" w:hAnsi="Verdana"/>
          <w:sz w:val="18"/>
          <w:szCs w:val="18"/>
        </w:rPr>
      </w:pPr>
      <w:r w:rsidRPr="00562A1C">
        <w:rPr>
          <w:rStyle w:val="Refdenotaalpie"/>
          <w:rFonts w:ascii="Verdana" w:hAnsi="Verdana"/>
          <w:sz w:val="18"/>
          <w:szCs w:val="18"/>
        </w:rPr>
        <w:footnoteRef/>
      </w:r>
      <w:r w:rsidRPr="00562A1C">
        <w:rPr>
          <w:rFonts w:ascii="Verdana" w:hAnsi="Verdana"/>
          <w:sz w:val="18"/>
          <w:szCs w:val="18"/>
        </w:rPr>
        <w:t xml:space="preserve"> </w:t>
      </w:r>
      <w:hyperlink r:id="rId3" w:history="1">
        <w:r w:rsidRPr="00562A1C">
          <w:rPr>
            <w:rStyle w:val="Hipervnculo"/>
            <w:rFonts w:ascii="Verdana" w:hAnsi="Verdana"/>
            <w:sz w:val="18"/>
            <w:szCs w:val="18"/>
            <w:lang w:val="es-CO"/>
          </w:rPr>
          <w:t>Diccionario de la lengua española (2001)</w:t>
        </w:r>
      </w:hyperlink>
      <w:r w:rsidRPr="00562A1C">
        <w:rPr>
          <w:rFonts w:ascii="Verdana" w:hAnsi="Verdana"/>
          <w:sz w:val="18"/>
          <w:szCs w:val="18"/>
        </w:rPr>
        <w:t>.</w:t>
      </w:r>
      <w:r>
        <w:rPr>
          <w:rFonts w:ascii="Verdana" w:hAnsi="Verdana"/>
          <w:sz w:val="18"/>
          <w:szCs w:val="18"/>
        </w:rPr>
        <w:t xml:space="preserve"> Plantación. Es posible consultarlo en: </w:t>
      </w:r>
      <w:hyperlink r:id="rId4" w:history="1">
        <w:r w:rsidRPr="007371A4">
          <w:rPr>
            <w:rStyle w:val="Hipervnculo"/>
            <w:rFonts w:ascii="Verdana" w:hAnsi="Verdana"/>
            <w:sz w:val="18"/>
            <w:szCs w:val="18"/>
          </w:rPr>
          <w:t>https://dle.rae.es/plantaci%C3%B3n</w:t>
        </w:r>
      </w:hyperlink>
      <w:r>
        <w:rPr>
          <w:rFonts w:ascii="Verdana" w:hAnsi="Verdana"/>
          <w:sz w:val="18"/>
          <w:szCs w:val="18"/>
        </w:rPr>
        <w:t xml:space="preserve"> </w:t>
      </w:r>
    </w:p>
    <w:p w14:paraId="6608A861" w14:textId="77777777" w:rsidR="000966CC" w:rsidRPr="00562A1C" w:rsidRDefault="000966CC" w:rsidP="000966CC">
      <w:pPr>
        <w:pStyle w:val="Textonotapie"/>
        <w:ind w:firstLine="708"/>
        <w:jc w:val="both"/>
        <w:rPr>
          <w:rFonts w:ascii="Verdana" w:hAnsi="Verdana"/>
          <w:sz w:val="18"/>
          <w:szCs w:val="18"/>
        </w:rPr>
      </w:pPr>
    </w:p>
  </w:footnote>
  <w:footnote w:id="19">
    <w:p w14:paraId="75306ED2" w14:textId="77777777" w:rsidR="000966CC" w:rsidRDefault="000966CC" w:rsidP="000966CC">
      <w:pPr>
        <w:pStyle w:val="Textonotapie"/>
        <w:ind w:firstLine="708"/>
        <w:jc w:val="both"/>
        <w:rPr>
          <w:rFonts w:ascii="Verdana" w:hAnsi="Verdana"/>
          <w:sz w:val="18"/>
          <w:szCs w:val="18"/>
        </w:rPr>
      </w:pPr>
      <w:r w:rsidRPr="00562A1C">
        <w:rPr>
          <w:rStyle w:val="Refdenotaalpie"/>
          <w:rFonts w:ascii="Verdana" w:hAnsi="Verdana"/>
          <w:sz w:val="18"/>
          <w:szCs w:val="18"/>
        </w:rPr>
        <w:footnoteRef/>
      </w:r>
      <w:r w:rsidRPr="00562A1C">
        <w:rPr>
          <w:rFonts w:ascii="Verdana" w:hAnsi="Verdana"/>
          <w:sz w:val="18"/>
          <w:szCs w:val="18"/>
        </w:rPr>
        <w:t xml:space="preserve"> </w:t>
      </w:r>
      <w:hyperlink r:id="rId5" w:history="1">
        <w:r w:rsidRPr="00562A1C">
          <w:rPr>
            <w:rStyle w:val="Hipervnculo"/>
            <w:rFonts w:ascii="Verdana" w:hAnsi="Verdana"/>
            <w:sz w:val="18"/>
            <w:szCs w:val="18"/>
            <w:lang w:val="es-CO"/>
          </w:rPr>
          <w:t>Diccionario de la lengua española (2001)</w:t>
        </w:r>
      </w:hyperlink>
      <w:r w:rsidRPr="00562A1C">
        <w:rPr>
          <w:rFonts w:ascii="Verdana" w:hAnsi="Verdana"/>
          <w:sz w:val="18"/>
          <w:szCs w:val="18"/>
        </w:rPr>
        <w:t>.</w:t>
      </w:r>
      <w:r>
        <w:rPr>
          <w:rFonts w:ascii="Verdana" w:hAnsi="Verdana"/>
          <w:sz w:val="18"/>
          <w:szCs w:val="18"/>
        </w:rPr>
        <w:t xml:space="preserve"> Plantar. Es posible consultarlo en:  </w:t>
      </w:r>
      <w:hyperlink r:id="rId6" w:history="1">
        <w:r w:rsidRPr="007371A4">
          <w:rPr>
            <w:rStyle w:val="Hipervnculo"/>
            <w:rFonts w:ascii="Verdana" w:hAnsi="Verdana"/>
            <w:sz w:val="18"/>
            <w:szCs w:val="18"/>
          </w:rPr>
          <w:t>https://dle.rae.es/plantar</w:t>
        </w:r>
      </w:hyperlink>
    </w:p>
    <w:p w14:paraId="5E186978" w14:textId="77777777" w:rsidR="000966CC" w:rsidRPr="00562A1C" w:rsidRDefault="000966CC" w:rsidP="000966CC">
      <w:pPr>
        <w:pStyle w:val="Textonotapie"/>
        <w:jc w:val="both"/>
        <w:rPr>
          <w:rFonts w:ascii="Verdana" w:hAnsi="Verdana"/>
          <w:sz w:val="18"/>
          <w:szCs w:val="18"/>
        </w:rPr>
      </w:pPr>
    </w:p>
  </w:footnote>
  <w:footnote w:id="20">
    <w:p w14:paraId="6993121C" w14:textId="77777777" w:rsidR="000966CC" w:rsidRPr="00562A1C" w:rsidRDefault="000966CC" w:rsidP="000966CC">
      <w:pPr>
        <w:pStyle w:val="Textonotapie"/>
        <w:ind w:firstLine="708"/>
        <w:jc w:val="both"/>
        <w:rPr>
          <w:rFonts w:ascii="Verdana" w:hAnsi="Verdana" w:cs="Arial"/>
          <w:sz w:val="18"/>
          <w:szCs w:val="18"/>
        </w:rPr>
      </w:pPr>
      <w:r w:rsidRPr="00562A1C">
        <w:rPr>
          <w:rStyle w:val="Refdenotaalpie"/>
          <w:rFonts w:ascii="Verdana" w:hAnsi="Verdana" w:cs="Arial"/>
          <w:sz w:val="18"/>
          <w:szCs w:val="18"/>
        </w:rPr>
        <w:footnoteRef/>
      </w:r>
      <w:r w:rsidRPr="00562A1C">
        <w:rPr>
          <w:rFonts w:ascii="Verdana" w:hAnsi="Verdana" w:cs="Arial"/>
          <w:sz w:val="18"/>
          <w:szCs w:val="18"/>
        </w:rPr>
        <w:t xml:space="preserve"> TERMCAT CENTRE DE TERMINOLOGÍA. Diccionario de ingeniería civil. Recuperado el 20 de mayo de 2022 en: </w:t>
      </w:r>
      <w:hyperlink r:id="rId7" w:history="1">
        <w:r w:rsidRPr="00562A1C">
          <w:rPr>
            <w:rStyle w:val="Hipervnculo"/>
            <w:rFonts w:ascii="Verdana" w:hAnsi="Verdana" w:cs="Arial"/>
            <w:sz w:val="18"/>
            <w:szCs w:val="18"/>
          </w:rPr>
          <w:t>https://www.termcat.cat/es/diccionaris-en-linia/240/search/mantenimiento?type=basic&amp;language=&amp;condition=match</w:t>
        </w:r>
      </w:hyperlink>
    </w:p>
    <w:p w14:paraId="4A2A9D21" w14:textId="77777777" w:rsidR="000966CC" w:rsidRPr="00562A1C" w:rsidRDefault="000966CC" w:rsidP="000966CC">
      <w:pPr>
        <w:pStyle w:val="Textonotapie"/>
        <w:ind w:firstLine="708"/>
        <w:jc w:val="both"/>
        <w:rPr>
          <w:rFonts w:ascii="Verdana" w:hAnsi="Verdana" w:cs="Arial"/>
          <w:sz w:val="18"/>
          <w:szCs w:val="18"/>
        </w:rPr>
      </w:pPr>
    </w:p>
  </w:footnote>
  <w:footnote w:id="21">
    <w:p w14:paraId="5FDAD679" w14:textId="77777777" w:rsidR="000966CC" w:rsidRPr="00562A1C" w:rsidRDefault="000966CC" w:rsidP="000966CC">
      <w:pPr>
        <w:spacing w:after="0" w:line="240" w:lineRule="auto"/>
        <w:ind w:firstLine="708"/>
        <w:jc w:val="both"/>
        <w:rPr>
          <w:rFonts w:ascii="Verdana" w:hAnsi="Verdana" w:cs="Arial"/>
          <w:color w:val="000000" w:themeColor="text1"/>
          <w:sz w:val="18"/>
          <w:szCs w:val="18"/>
          <w:shd w:val="clear" w:color="auto" w:fill="FFFFFF"/>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Decreto 1082 de 2015: </w:t>
      </w:r>
      <w:r>
        <w:rPr>
          <w:rFonts w:ascii="Verdana" w:hAnsi="Verdana" w:cs="Arial"/>
          <w:color w:val="000000" w:themeColor="text1"/>
          <w:sz w:val="18"/>
          <w:szCs w:val="18"/>
        </w:rPr>
        <w:t>“</w:t>
      </w:r>
      <w:r w:rsidRPr="00562A1C">
        <w:rPr>
          <w:rFonts w:ascii="Verdana" w:hAnsi="Verdana" w:cs="Arial"/>
          <w:color w:val="000000" w:themeColor="text1"/>
          <w:sz w:val="18"/>
          <w:szCs w:val="18"/>
        </w:rPr>
        <w:t>Artículo</w:t>
      </w:r>
      <w:r w:rsidRPr="00562A1C">
        <w:rPr>
          <w:rFonts w:ascii="Verdana" w:hAnsi="Verdana" w:cs="Arial"/>
          <w:color w:val="000000" w:themeColor="text1"/>
          <w:sz w:val="18"/>
          <w:szCs w:val="18"/>
          <w:shd w:val="clear" w:color="auto" w:fill="FFFFFF"/>
        </w:rPr>
        <w:t> </w:t>
      </w:r>
      <w:bookmarkStart w:id="27" w:name="2.2.1.2.3.1.5"/>
      <w:bookmarkEnd w:id="27"/>
      <w:r w:rsidRPr="00562A1C">
        <w:rPr>
          <w:rFonts w:ascii="Verdana" w:hAnsi="Verdana" w:cs="Arial"/>
          <w:color w:val="000000" w:themeColor="text1"/>
          <w:sz w:val="18"/>
          <w:szCs w:val="18"/>
          <w:shd w:val="clear" w:color="auto" w:fill="FFFFFF"/>
        </w:rPr>
        <w:t>2.2.1.2.3.1.5. </w:t>
      </w:r>
      <w:r w:rsidRPr="00562A1C">
        <w:rPr>
          <w:rFonts w:ascii="Verdana" w:hAnsi="Verdana" w:cs="Arial"/>
          <w:i/>
          <w:iCs/>
          <w:color w:val="000000" w:themeColor="text1"/>
          <w:sz w:val="18"/>
          <w:szCs w:val="18"/>
          <w:shd w:val="clear" w:color="auto" w:fill="FFFFFF"/>
        </w:rPr>
        <w:t>Cobertura del Riesgo de responsabilidad civil extracontractual. </w:t>
      </w:r>
      <w:r w:rsidRPr="00562A1C">
        <w:rPr>
          <w:rFonts w:ascii="Verdana" w:hAnsi="Verdana" w:cs="Arial"/>
          <w:color w:val="000000" w:themeColor="text1"/>
          <w:sz w:val="18"/>
          <w:szCs w:val="18"/>
          <w:shd w:val="clear" w:color="auto" w:fill="FFFFFF"/>
        </w:rPr>
        <w:t>La responsabilidad extracontractual de la administración derivada de las actuaciones, hechos u omisiones de sus contratistas o subcontratistas solamente puede ser amparada con un contrato de seguro</w:t>
      </w:r>
      <w:r>
        <w:rPr>
          <w:rFonts w:ascii="Verdana" w:hAnsi="Verdana" w:cs="Arial"/>
          <w:color w:val="000000" w:themeColor="text1"/>
          <w:sz w:val="18"/>
          <w:szCs w:val="18"/>
          <w:shd w:val="clear" w:color="auto" w:fill="FFFFFF"/>
        </w:rPr>
        <w:t>”</w:t>
      </w:r>
      <w:r w:rsidRPr="00562A1C">
        <w:rPr>
          <w:rFonts w:ascii="Verdana" w:hAnsi="Verdana" w:cs="Arial"/>
          <w:color w:val="000000" w:themeColor="text1"/>
          <w:sz w:val="18"/>
          <w:szCs w:val="18"/>
          <w:shd w:val="clear" w:color="auto" w:fill="FFFFFF"/>
        </w:rPr>
        <w:t>.</w:t>
      </w:r>
    </w:p>
    <w:p w14:paraId="6962D7D7" w14:textId="77777777" w:rsidR="000966CC" w:rsidRPr="00562A1C" w:rsidRDefault="000966CC" w:rsidP="000966CC">
      <w:pPr>
        <w:spacing w:after="0" w:line="240" w:lineRule="auto"/>
        <w:ind w:firstLine="708"/>
        <w:jc w:val="both"/>
        <w:rPr>
          <w:rFonts w:ascii="Verdana" w:hAnsi="Verdana" w:cs="Arial"/>
          <w:color w:val="000000" w:themeColor="text1"/>
          <w:sz w:val="18"/>
          <w:szCs w:val="18"/>
          <w:shd w:val="clear" w:color="auto" w:fill="FFFFFF"/>
        </w:rPr>
      </w:pPr>
    </w:p>
  </w:footnote>
  <w:footnote w:id="22">
    <w:p w14:paraId="0FFF44ED" w14:textId="77777777" w:rsidR="000966CC" w:rsidRPr="00562A1C" w:rsidRDefault="000966CC" w:rsidP="000966CC">
      <w:pPr>
        <w:shd w:val="clear" w:color="auto" w:fill="FFFFFF"/>
        <w:spacing w:after="0" w:line="240" w:lineRule="auto"/>
        <w:ind w:firstLine="708"/>
        <w:jc w:val="both"/>
        <w:rPr>
          <w:rFonts w:ascii="Verdana" w:eastAsia="Times New Roman" w:hAnsi="Verdana" w:cs="Arial"/>
          <w:color w:val="000000" w:themeColor="text1"/>
          <w:sz w:val="18"/>
          <w:szCs w:val="18"/>
          <w:lang w:eastAsia="es-CO"/>
        </w:rPr>
      </w:pPr>
      <w:r w:rsidRPr="00562A1C">
        <w:rPr>
          <w:rStyle w:val="Refdenotaalpie"/>
          <w:rFonts w:ascii="Verdana" w:hAnsi="Verdana" w:cs="Arial"/>
          <w:color w:val="000000" w:themeColor="text1"/>
          <w:sz w:val="18"/>
          <w:szCs w:val="18"/>
        </w:rPr>
        <w:footnoteRef/>
      </w:r>
      <w:r w:rsidRPr="00562A1C">
        <w:rPr>
          <w:rFonts w:ascii="Verdana" w:hAnsi="Verdana" w:cs="Arial"/>
          <w:color w:val="000000" w:themeColor="text1"/>
          <w:sz w:val="18"/>
          <w:szCs w:val="18"/>
        </w:rPr>
        <w:t xml:space="preserve"> Decreto 1082 de 2015: </w:t>
      </w:r>
      <w:r>
        <w:rPr>
          <w:rFonts w:ascii="Verdana" w:hAnsi="Verdana" w:cs="Arial"/>
          <w:color w:val="000000" w:themeColor="text1"/>
          <w:sz w:val="18"/>
          <w:szCs w:val="18"/>
        </w:rPr>
        <w:t>“</w:t>
      </w:r>
      <w:r w:rsidRPr="00562A1C">
        <w:rPr>
          <w:rFonts w:ascii="Verdana" w:hAnsi="Verdana" w:cs="Arial"/>
          <w:color w:val="000000" w:themeColor="text1"/>
          <w:sz w:val="18"/>
          <w:szCs w:val="18"/>
        </w:rPr>
        <w:t>Artículo</w:t>
      </w:r>
      <w:r w:rsidRPr="00562A1C">
        <w:rPr>
          <w:rFonts w:ascii="Verdana" w:eastAsia="Times New Roman" w:hAnsi="Verdana" w:cs="Arial"/>
          <w:color w:val="000000" w:themeColor="text1"/>
          <w:sz w:val="18"/>
          <w:szCs w:val="18"/>
          <w:lang w:eastAsia="es-CO"/>
        </w:rPr>
        <w:t> </w:t>
      </w:r>
      <w:bookmarkStart w:id="28" w:name="2.2.1.2.3.1.8"/>
      <w:bookmarkEnd w:id="28"/>
      <w:r w:rsidRPr="00562A1C">
        <w:rPr>
          <w:rFonts w:ascii="Verdana" w:eastAsia="Times New Roman" w:hAnsi="Verdana" w:cs="Arial"/>
          <w:color w:val="000000" w:themeColor="text1"/>
          <w:sz w:val="18"/>
          <w:szCs w:val="18"/>
          <w:lang w:eastAsia="es-CO"/>
        </w:rPr>
        <w:t>2.2.1.2.3.1.8.</w:t>
      </w:r>
      <w:r w:rsidRPr="00562A1C">
        <w:rPr>
          <w:rFonts w:ascii="Verdana" w:eastAsia="Times New Roman" w:hAnsi="Verdana" w:cs="Arial"/>
          <w:i/>
          <w:iCs/>
          <w:color w:val="000000" w:themeColor="text1"/>
          <w:sz w:val="18"/>
          <w:szCs w:val="18"/>
          <w:lang w:eastAsia="es-CO"/>
        </w:rPr>
        <w:t> Cubrimiento de la responsabilidad civil extracontractual.</w:t>
      </w:r>
      <w:r w:rsidRPr="00562A1C">
        <w:rPr>
          <w:rFonts w:ascii="Verdana" w:eastAsia="Times New Roman" w:hAnsi="Verdana" w:cs="Arial"/>
          <w:color w:val="000000" w:themeColor="text1"/>
          <w:sz w:val="18"/>
          <w:szCs w:val="18"/>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4F03E833" w14:textId="77777777" w:rsidR="000966CC" w:rsidRDefault="000966CC" w:rsidP="000966CC">
      <w:pPr>
        <w:shd w:val="clear" w:color="auto" w:fill="FFFFFF"/>
        <w:spacing w:after="0" w:line="240" w:lineRule="auto"/>
        <w:ind w:firstLine="708"/>
        <w:jc w:val="both"/>
        <w:rPr>
          <w:rFonts w:ascii="Verdana" w:eastAsia="Times New Roman" w:hAnsi="Verdana" w:cs="Arial"/>
          <w:color w:val="000000" w:themeColor="text1"/>
          <w:sz w:val="18"/>
          <w:szCs w:val="18"/>
          <w:lang w:eastAsia="es-CO"/>
        </w:rPr>
      </w:pPr>
    </w:p>
    <w:p w14:paraId="63EFDDE4" w14:textId="77777777" w:rsidR="000966CC" w:rsidRPr="00562A1C" w:rsidRDefault="000966CC" w:rsidP="000966CC">
      <w:pPr>
        <w:shd w:val="clear" w:color="auto" w:fill="FFFFFF"/>
        <w:spacing w:after="0" w:line="240" w:lineRule="auto"/>
        <w:ind w:firstLine="708"/>
        <w:jc w:val="both"/>
        <w:rPr>
          <w:rFonts w:ascii="Verdana" w:eastAsia="Times New Roman" w:hAnsi="Verdana" w:cs="Arial"/>
          <w:color w:val="000000" w:themeColor="text1"/>
          <w:sz w:val="18"/>
          <w:szCs w:val="18"/>
          <w:lang w:eastAsia="es-CO"/>
        </w:rPr>
      </w:pPr>
      <w:r w:rsidRPr="00562A1C">
        <w:rPr>
          <w:rFonts w:ascii="Verdana" w:eastAsia="Times New Roman" w:hAnsi="Verdana" w:cs="Arial"/>
          <w:color w:val="000000" w:themeColor="text1"/>
          <w:sz w:val="18"/>
          <w:szCs w:val="18"/>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r>
        <w:rPr>
          <w:rFonts w:ascii="Verdana" w:eastAsia="Times New Roman" w:hAnsi="Verdana" w:cs="Arial"/>
          <w:color w:val="000000" w:themeColor="text1"/>
          <w:sz w:val="18"/>
          <w:szCs w:val="18"/>
          <w:lang w:eastAsia="es-CO"/>
        </w:rPr>
        <w:t>”</w:t>
      </w:r>
      <w:r w:rsidRPr="00562A1C">
        <w:rPr>
          <w:rFonts w:ascii="Verdana" w:eastAsia="Times New Roman" w:hAnsi="Verdana" w:cs="Arial"/>
          <w:color w:val="000000" w:themeColor="text1"/>
          <w:sz w:val="18"/>
          <w:szCs w:val="18"/>
          <w:lang w:eastAsia="es-CO"/>
        </w:rPr>
        <w:t>.</w:t>
      </w:r>
    </w:p>
    <w:p w14:paraId="04206D37" w14:textId="77777777" w:rsidR="000966CC" w:rsidRPr="00562A1C" w:rsidRDefault="000966CC" w:rsidP="000966CC">
      <w:pPr>
        <w:pStyle w:val="Textonotapie"/>
        <w:jc w:val="both"/>
        <w:rPr>
          <w:rFonts w:ascii="Verdana" w:hAnsi="Verdana" w:cs="Arial"/>
          <w:color w:val="000000" w:themeColor="text1"/>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94152C"/>
    <w:multiLevelType w:val="hybridMultilevel"/>
    <w:tmpl w:val="ECF888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3B168C0"/>
    <w:multiLevelType w:val="hybridMultilevel"/>
    <w:tmpl w:val="A0D0E24C"/>
    <w:lvl w:ilvl="0" w:tplc="AD8444B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34491E"/>
    <w:multiLevelType w:val="multilevel"/>
    <w:tmpl w:val="8CD8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1330140246">
    <w:abstractNumId w:val="0"/>
  </w:num>
  <w:num w:numId="17" w16cid:durableId="1214151568">
    <w:abstractNumId w:val="3"/>
  </w:num>
  <w:num w:numId="18" w16cid:durableId="514345363">
    <w:abstractNumId w:val="4"/>
  </w:num>
  <w:num w:numId="19" w16cid:durableId="1198347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4546"/>
    <w:rsid w:val="000966CC"/>
    <w:rsid w:val="000A683E"/>
    <w:rsid w:val="000B19B9"/>
    <w:rsid w:val="000D0334"/>
    <w:rsid w:val="000F6486"/>
    <w:rsid w:val="00125105"/>
    <w:rsid w:val="00127233"/>
    <w:rsid w:val="001511A0"/>
    <w:rsid w:val="001E4177"/>
    <w:rsid w:val="001F7DC6"/>
    <w:rsid w:val="00207773"/>
    <w:rsid w:val="002139D3"/>
    <w:rsid w:val="002421BB"/>
    <w:rsid w:val="00255E50"/>
    <w:rsid w:val="0025796E"/>
    <w:rsid w:val="002707A2"/>
    <w:rsid w:val="002951A0"/>
    <w:rsid w:val="002962BC"/>
    <w:rsid w:val="002A093D"/>
    <w:rsid w:val="002A0DD0"/>
    <w:rsid w:val="002A49AC"/>
    <w:rsid w:val="002A64FD"/>
    <w:rsid w:val="002C7A84"/>
    <w:rsid w:val="002E4FD9"/>
    <w:rsid w:val="00322A85"/>
    <w:rsid w:val="00324168"/>
    <w:rsid w:val="003448F4"/>
    <w:rsid w:val="00367150"/>
    <w:rsid w:val="00374F5E"/>
    <w:rsid w:val="00377E3E"/>
    <w:rsid w:val="003A779E"/>
    <w:rsid w:val="003D0F4D"/>
    <w:rsid w:val="003D5B0D"/>
    <w:rsid w:val="003E0499"/>
    <w:rsid w:val="003F3941"/>
    <w:rsid w:val="00406575"/>
    <w:rsid w:val="00414C74"/>
    <w:rsid w:val="0042722E"/>
    <w:rsid w:val="00430B85"/>
    <w:rsid w:val="0044528D"/>
    <w:rsid w:val="00476196"/>
    <w:rsid w:val="00497EB9"/>
    <w:rsid w:val="004A1847"/>
    <w:rsid w:val="004A305D"/>
    <w:rsid w:val="004F21C4"/>
    <w:rsid w:val="004F685F"/>
    <w:rsid w:val="005566E8"/>
    <w:rsid w:val="00574867"/>
    <w:rsid w:val="00591460"/>
    <w:rsid w:val="005B3816"/>
    <w:rsid w:val="005C2D6E"/>
    <w:rsid w:val="005C3777"/>
    <w:rsid w:val="005C5CDC"/>
    <w:rsid w:val="005D0922"/>
    <w:rsid w:val="005D476C"/>
    <w:rsid w:val="005E2E98"/>
    <w:rsid w:val="006219F8"/>
    <w:rsid w:val="00665D70"/>
    <w:rsid w:val="006829E8"/>
    <w:rsid w:val="006900D9"/>
    <w:rsid w:val="006E62DA"/>
    <w:rsid w:val="00706C16"/>
    <w:rsid w:val="00713D0D"/>
    <w:rsid w:val="007326B0"/>
    <w:rsid w:val="00741B31"/>
    <w:rsid w:val="00755303"/>
    <w:rsid w:val="00756841"/>
    <w:rsid w:val="007649AB"/>
    <w:rsid w:val="00771D0C"/>
    <w:rsid w:val="007833AC"/>
    <w:rsid w:val="00794842"/>
    <w:rsid w:val="007970D3"/>
    <w:rsid w:val="007B268C"/>
    <w:rsid w:val="007B7171"/>
    <w:rsid w:val="007C0C0F"/>
    <w:rsid w:val="007C3DC2"/>
    <w:rsid w:val="007D4947"/>
    <w:rsid w:val="007E5497"/>
    <w:rsid w:val="00806F5F"/>
    <w:rsid w:val="00820278"/>
    <w:rsid w:val="008318F1"/>
    <w:rsid w:val="00867F95"/>
    <w:rsid w:val="008843B6"/>
    <w:rsid w:val="00891928"/>
    <w:rsid w:val="008A446D"/>
    <w:rsid w:val="008A781F"/>
    <w:rsid w:val="008D180B"/>
    <w:rsid w:val="008E0AF7"/>
    <w:rsid w:val="008F0EA7"/>
    <w:rsid w:val="008F2DD4"/>
    <w:rsid w:val="00923EEF"/>
    <w:rsid w:val="009419F9"/>
    <w:rsid w:val="00943549"/>
    <w:rsid w:val="0095685E"/>
    <w:rsid w:val="00956C17"/>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40542"/>
    <w:rsid w:val="00B66319"/>
    <w:rsid w:val="00B713DC"/>
    <w:rsid w:val="00B72CD3"/>
    <w:rsid w:val="00B72FFF"/>
    <w:rsid w:val="00B75FDB"/>
    <w:rsid w:val="00BC3D36"/>
    <w:rsid w:val="00BD7F72"/>
    <w:rsid w:val="00C04FB3"/>
    <w:rsid w:val="00C330EB"/>
    <w:rsid w:val="00C41061"/>
    <w:rsid w:val="00C50AA8"/>
    <w:rsid w:val="00C754BE"/>
    <w:rsid w:val="00C76B1C"/>
    <w:rsid w:val="00CB6357"/>
    <w:rsid w:val="00CC1B26"/>
    <w:rsid w:val="00D423A2"/>
    <w:rsid w:val="00D520D8"/>
    <w:rsid w:val="00D63AC2"/>
    <w:rsid w:val="00D737D6"/>
    <w:rsid w:val="00D7383B"/>
    <w:rsid w:val="00DA231B"/>
    <w:rsid w:val="00DC39FC"/>
    <w:rsid w:val="00DD0794"/>
    <w:rsid w:val="00DF5254"/>
    <w:rsid w:val="00E16408"/>
    <w:rsid w:val="00E20894"/>
    <w:rsid w:val="00E245AB"/>
    <w:rsid w:val="00E2764C"/>
    <w:rsid w:val="00E27F2E"/>
    <w:rsid w:val="00E50AFE"/>
    <w:rsid w:val="00E62F30"/>
    <w:rsid w:val="00E75C92"/>
    <w:rsid w:val="00E771DC"/>
    <w:rsid w:val="00E8772A"/>
    <w:rsid w:val="00E90F6B"/>
    <w:rsid w:val="00E92C27"/>
    <w:rsid w:val="00EA0E3D"/>
    <w:rsid w:val="00EB0F10"/>
    <w:rsid w:val="00EC38A7"/>
    <w:rsid w:val="00ED7384"/>
    <w:rsid w:val="00EE1AA8"/>
    <w:rsid w:val="00F31EDC"/>
    <w:rsid w:val="00F4252E"/>
    <w:rsid w:val="00F45D81"/>
    <w:rsid w:val="00F462B3"/>
    <w:rsid w:val="00F5664F"/>
    <w:rsid w:val="00F666C4"/>
    <w:rsid w:val="00F76AFC"/>
    <w:rsid w:val="00FA47C0"/>
    <w:rsid w:val="00FB5DD1"/>
    <w:rsid w:val="00FC2B5D"/>
    <w:rsid w:val="00FE3B93"/>
    <w:rsid w:val="00FF1449"/>
    <w:rsid w:val="77C0AF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966C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900586">
      <w:bodyDiv w:val="1"/>
      <w:marLeft w:val="0"/>
      <w:marRight w:val="0"/>
      <w:marTop w:val="0"/>
      <w:marBottom w:val="0"/>
      <w:divBdr>
        <w:top w:val="none" w:sz="0" w:space="0" w:color="auto"/>
        <w:left w:val="none" w:sz="0" w:space="0" w:color="auto"/>
        <w:bottom w:val="none" w:sz="0" w:space="0" w:color="auto"/>
        <w:right w:val="none" w:sz="0" w:space="0" w:color="auto"/>
      </w:divBdr>
      <w:divsChild>
        <w:div w:id="112020028">
          <w:marLeft w:val="0"/>
          <w:marRight w:val="0"/>
          <w:marTop w:val="240"/>
          <w:marBottom w:val="240"/>
          <w:divBdr>
            <w:top w:val="none" w:sz="0" w:space="0" w:color="auto"/>
            <w:left w:val="none" w:sz="0" w:space="0" w:color="auto"/>
            <w:bottom w:val="none" w:sz="0" w:space="0" w:color="auto"/>
            <w:right w:val="none" w:sz="0" w:space="0" w:color="auto"/>
          </w:divBdr>
        </w:div>
        <w:div w:id="261107422">
          <w:marLeft w:val="0"/>
          <w:marRight w:val="0"/>
          <w:marTop w:val="240"/>
          <w:marBottom w:val="240"/>
          <w:divBdr>
            <w:top w:val="none" w:sz="0" w:space="0" w:color="auto"/>
            <w:left w:val="none" w:sz="0" w:space="0" w:color="auto"/>
            <w:bottom w:val="none" w:sz="0" w:space="0" w:color="auto"/>
            <w:right w:val="none" w:sz="0" w:space="0" w:color="auto"/>
          </w:divBdr>
        </w:div>
        <w:div w:id="402337879">
          <w:marLeft w:val="0"/>
          <w:marRight w:val="0"/>
          <w:marTop w:val="240"/>
          <w:marBottom w:val="240"/>
          <w:divBdr>
            <w:top w:val="none" w:sz="0" w:space="0" w:color="auto"/>
            <w:left w:val="none" w:sz="0" w:space="0" w:color="auto"/>
            <w:bottom w:val="none" w:sz="0" w:space="0" w:color="auto"/>
            <w:right w:val="none" w:sz="0" w:space="0" w:color="auto"/>
          </w:divBdr>
        </w:div>
        <w:div w:id="2079090529">
          <w:marLeft w:val="0"/>
          <w:marRight w:val="0"/>
          <w:marTop w:val="240"/>
          <w:marBottom w:val="24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0657699">
      <w:bodyDiv w:val="1"/>
      <w:marLeft w:val="0"/>
      <w:marRight w:val="0"/>
      <w:marTop w:val="0"/>
      <w:marBottom w:val="0"/>
      <w:divBdr>
        <w:top w:val="none" w:sz="0" w:space="0" w:color="auto"/>
        <w:left w:val="none" w:sz="0" w:space="0" w:color="auto"/>
        <w:bottom w:val="none" w:sz="0" w:space="0" w:color="auto"/>
        <w:right w:val="none" w:sz="0" w:space="0" w:color="auto"/>
      </w:divBdr>
    </w:div>
    <w:div w:id="94793144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58775514">
      <w:bodyDiv w:val="1"/>
      <w:marLeft w:val="0"/>
      <w:marRight w:val="0"/>
      <w:marTop w:val="0"/>
      <w:marBottom w:val="0"/>
      <w:divBdr>
        <w:top w:val="none" w:sz="0" w:space="0" w:color="auto"/>
        <w:left w:val="none" w:sz="0" w:space="0" w:color="auto"/>
        <w:bottom w:val="none" w:sz="0" w:space="0" w:color="auto"/>
        <w:right w:val="none" w:sz="0" w:space="0" w:color="auto"/>
      </w:divBdr>
      <w:divsChild>
        <w:div w:id="97411269">
          <w:marLeft w:val="0"/>
          <w:marRight w:val="0"/>
          <w:marTop w:val="240"/>
          <w:marBottom w:val="240"/>
          <w:divBdr>
            <w:top w:val="none" w:sz="0" w:space="0" w:color="auto"/>
            <w:left w:val="none" w:sz="0" w:space="0" w:color="auto"/>
            <w:bottom w:val="none" w:sz="0" w:space="0" w:color="auto"/>
            <w:right w:val="none" w:sz="0" w:space="0" w:color="auto"/>
          </w:divBdr>
        </w:div>
        <w:div w:id="300042115">
          <w:marLeft w:val="0"/>
          <w:marRight w:val="0"/>
          <w:marTop w:val="240"/>
          <w:marBottom w:val="240"/>
          <w:divBdr>
            <w:top w:val="none" w:sz="0" w:space="0" w:color="auto"/>
            <w:left w:val="none" w:sz="0" w:space="0" w:color="auto"/>
            <w:bottom w:val="none" w:sz="0" w:space="0" w:color="auto"/>
            <w:right w:val="none" w:sz="0" w:space="0" w:color="auto"/>
          </w:divBdr>
        </w:div>
        <w:div w:id="1503817038">
          <w:marLeft w:val="0"/>
          <w:marRight w:val="0"/>
          <w:marTop w:val="240"/>
          <w:marBottom w:val="240"/>
          <w:divBdr>
            <w:top w:val="none" w:sz="0" w:space="0" w:color="auto"/>
            <w:left w:val="none" w:sz="0" w:space="0" w:color="auto"/>
            <w:bottom w:val="none" w:sz="0" w:space="0" w:color="auto"/>
            <w:right w:val="none" w:sz="0" w:space="0" w:color="auto"/>
          </w:divBdr>
        </w:div>
        <w:div w:id="1942175910">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ae.es/drae2001/reforestar" TargetMode="External"/><Relationship Id="rId18" Type="http://schemas.openxmlformats.org/officeDocument/2006/relationships/hyperlink" Target="https://www.termcat.cat/es/diccionaris-en-linia/240/search/mantenimiento?type=basic&amp;language=&amp;condition=match"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 Id="rId7" Type="http://schemas.openxmlformats.org/officeDocument/2006/relationships/webSettings" Target="webSettings.xml"/><Relationship Id="rId12" Type="http://schemas.openxmlformats.org/officeDocument/2006/relationships/hyperlink" Target="https://www.rae.es/drae2001" TargetMode="External"/><Relationship Id="rId17" Type="http://schemas.openxmlformats.org/officeDocument/2006/relationships/hyperlink" Target="https://dle.rae.es/plantar"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ae.es/drae2001" TargetMode="External"/><Relationship Id="rId20"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guacasabogado@gmail.com"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dle.rae.es/plantaci%C3%B3n" TargetMode="External"/><Relationship Id="rId23"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relatoria.colombiacompra.gov.co/busqueda/concepto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ae.es/drae2001" TargetMode="External"/><Relationship Id="rId22"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ae.es/drae2001" TargetMode="External"/><Relationship Id="rId7" Type="http://schemas.openxmlformats.org/officeDocument/2006/relationships/hyperlink" Target="https://www.termcat.cat/es/diccionaris-en-linia/240/search/mantenimiento?type=basic&amp;language=&amp;condition=match" TargetMode="External"/><Relationship Id="rId2" Type="http://schemas.openxmlformats.org/officeDocument/2006/relationships/hyperlink" Target="https://www.rae.es/drae2001/reforestar" TargetMode="External"/><Relationship Id="rId1" Type="http://schemas.openxmlformats.org/officeDocument/2006/relationships/hyperlink" Target="https://www.rae.es/drae2001" TargetMode="External"/><Relationship Id="rId6" Type="http://schemas.openxmlformats.org/officeDocument/2006/relationships/hyperlink" Target="https://dle.rae.es/plantar" TargetMode="External"/><Relationship Id="rId5" Type="http://schemas.openxmlformats.org/officeDocument/2006/relationships/hyperlink" Target="https://www.rae.es/drae2001" TargetMode="External"/><Relationship Id="rId4" Type="http://schemas.openxmlformats.org/officeDocument/2006/relationships/hyperlink" Target="https://dle.rae.es/plantaci%C3%B3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46C682A-C146-4C95-AE04-E96E8678B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openxmlformats.org/package/2006/metadata/core-properties"/>
    <ds:schemaRef ds:uri="http://purl.org/dc/terms/"/>
    <ds:schemaRef ds:uri="http://www.w3.org/XML/1998/namespace"/>
    <ds:schemaRef ds:uri="http://purl.org/dc/dcmitype/"/>
    <ds:schemaRef ds:uri="http://schemas.microsoft.com/office/infopath/2007/PartnerControls"/>
    <ds:schemaRef ds:uri="a6cb9e4b-f1d1-4245-83ec-6cad768d538a"/>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7448</Words>
  <Characters>40969</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Juan Manuel Avendaño Robles</cp:lastModifiedBy>
  <cp:revision>2</cp:revision>
  <cp:lastPrinted>2023-01-10T21:18:00Z</cp:lastPrinted>
  <dcterms:created xsi:type="dcterms:W3CDTF">2024-12-17T11:19:00Z</dcterms:created>
  <dcterms:modified xsi:type="dcterms:W3CDTF">2024-12-17T11:19:00Z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