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5E56F" w14:textId="77777777" w:rsidR="00501B0C" w:rsidRPr="00212092" w:rsidRDefault="00501B0C">
      <w:pPr>
        <w:shd w:val="clear" w:color="auto" w:fill="FFFFFF"/>
        <w:spacing w:after="0" w:line="240" w:lineRule="auto"/>
        <w:rPr>
          <w:rFonts w:ascii="Arial" w:eastAsia="Arial" w:hAnsi="Arial" w:cs="Arial"/>
          <w:b/>
          <w:color w:val="000000"/>
          <w:sz w:val="22"/>
          <w:szCs w:val="22"/>
        </w:rPr>
      </w:pPr>
    </w:p>
    <w:p w14:paraId="33AFA299" w14:textId="77777777" w:rsidR="00501B0C" w:rsidRPr="00212092" w:rsidRDefault="00557D14">
      <w:pPr>
        <w:spacing w:after="0" w:line="240" w:lineRule="auto"/>
        <w:rPr>
          <w:rFonts w:ascii="Arial" w:eastAsia="Arial" w:hAnsi="Arial" w:cs="Arial"/>
          <w:b/>
          <w:sz w:val="22"/>
          <w:szCs w:val="22"/>
        </w:rPr>
      </w:pPr>
      <w:r w:rsidRPr="00212092">
        <w:rPr>
          <w:rFonts w:ascii="Arial" w:eastAsia="Arial" w:hAnsi="Arial" w:cs="Arial"/>
          <w:b/>
          <w:sz w:val="22"/>
          <w:szCs w:val="22"/>
        </w:rPr>
        <w:t>PRINCIPIO DE PUBLICIDAD – Democracia – Estado social de Derecho – Fundamento axiológico</w:t>
      </w:r>
    </w:p>
    <w:p w14:paraId="73FDA829" w14:textId="77777777" w:rsidR="00501B0C" w:rsidRDefault="00501B0C">
      <w:pPr>
        <w:spacing w:after="0" w:line="240" w:lineRule="auto"/>
        <w:rPr>
          <w:rFonts w:ascii="Arial" w:eastAsia="Arial" w:hAnsi="Arial" w:cs="Arial"/>
          <w:b/>
          <w:sz w:val="20"/>
          <w:szCs w:val="20"/>
        </w:rPr>
      </w:pPr>
    </w:p>
    <w:p w14:paraId="65293244" w14:textId="77777777" w:rsidR="00501B0C" w:rsidRDefault="00557D14">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787A40D4" w14:textId="77777777" w:rsidR="00501B0C" w:rsidRDefault="00501B0C">
      <w:pPr>
        <w:spacing w:after="0" w:line="240" w:lineRule="auto"/>
        <w:rPr>
          <w:rFonts w:ascii="Arial" w:eastAsia="Arial" w:hAnsi="Arial" w:cs="Arial"/>
          <w:color w:val="000000"/>
          <w:sz w:val="20"/>
          <w:szCs w:val="20"/>
        </w:rPr>
      </w:pPr>
    </w:p>
    <w:p w14:paraId="0515F4F6" w14:textId="77777777" w:rsidR="00501B0C" w:rsidRPr="00212092" w:rsidRDefault="00557D14">
      <w:pPr>
        <w:spacing w:after="0" w:line="240" w:lineRule="auto"/>
        <w:rPr>
          <w:rFonts w:ascii="Arial" w:eastAsia="Arial" w:hAnsi="Arial" w:cs="Arial"/>
          <w:b/>
          <w:sz w:val="22"/>
          <w:szCs w:val="22"/>
        </w:rPr>
      </w:pPr>
      <w:r w:rsidRPr="00212092">
        <w:rPr>
          <w:rFonts w:ascii="Arial" w:eastAsia="Arial" w:hAnsi="Arial" w:cs="Arial"/>
          <w:b/>
          <w:sz w:val="22"/>
          <w:szCs w:val="22"/>
        </w:rPr>
        <w:t>SECOP – Entidades exceptuadas – Publicidad – Documentos – Información oficial – Concepto CU-003</w:t>
      </w:r>
    </w:p>
    <w:p w14:paraId="3663433B" w14:textId="77777777" w:rsidR="00501B0C" w:rsidRDefault="00501B0C">
      <w:pPr>
        <w:spacing w:after="0" w:line="240" w:lineRule="auto"/>
        <w:rPr>
          <w:rFonts w:ascii="Arial" w:eastAsia="Arial" w:hAnsi="Arial" w:cs="Arial"/>
          <w:b/>
          <w:sz w:val="20"/>
          <w:szCs w:val="20"/>
        </w:rPr>
      </w:pPr>
    </w:p>
    <w:p w14:paraId="1916FB50" w14:textId="77777777" w:rsidR="00501B0C" w:rsidRDefault="00557D14">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la Ley 1712 de 2014 –«Por medio de la cual se crea la Ley de Transparencia y del Derecho de Acceso a la Información Pública Nacional y se dictan otras disposiciones»–, señala en el artículo 11, literal g), que todo </w:t>
      </w:r>
      <w:r>
        <w:rPr>
          <w:rFonts w:ascii="Arial" w:eastAsia="Arial" w:hAnsi="Arial" w:cs="Arial"/>
          <w:i/>
          <w:color w:val="000000"/>
          <w:sz w:val="20"/>
          <w:szCs w:val="20"/>
        </w:rPr>
        <w:t>sujeto obligado</w:t>
      </w:r>
      <w:r>
        <w:rPr>
          <w:rFonts w:ascii="Arial" w:eastAsia="Arial" w:hAnsi="Arial" w:cs="Arial"/>
          <w:color w:val="000000"/>
          <w:sz w:val="20"/>
          <w:szCs w:val="20"/>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 Finalmente, el artículo 10 del Decreto 103 de 2015 –</w:t>
      </w:r>
      <w:r>
        <w:rPr>
          <w:rFonts w:ascii="Arial" w:eastAsia="Arial" w:hAnsi="Arial" w:cs="Arial"/>
          <w:sz w:val="20"/>
          <w:szCs w:val="20"/>
        </w:rPr>
        <w:t xml:space="preserve">artículo </w:t>
      </w:r>
      <w:r>
        <w:rPr>
          <w:rFonts w:ascii="Arial" w:eastAsia="Arial" w:hAnsi="Arial" w:cs="Arial"/>
          <w:color w:val="000000"/>
          <w:sz w:val="20"/>
          <w:szCs w:val="20"/>
        </w:rPr>
        <w:t>2.1.1.2.1.10. del Decreto 1081 de 2015– consagra la obligación que tienen las entidades estatales de publicar en el SECOP el Plan Anual de Adquisiciones.</w:t>
      </w:r>
    </w:p>
    <w:p w14:paraId="21B3ED7A" w14:textId="77777777" w:rsidR="00501B0C" w:rsidRDefault="00501B0C">
      <w:pPr>
        <w:spacing w:after="0" w:line="240" w:lineRule="auto"/>
        <w:rPr>
          <w:rFonts w:ascii="Arial" w:eastAsia="Arial" w:hAnsi="Arial" w:cs="Arial"/>
          <w:color w:val="000000"/>
          <w:sz w:val="20"/>
          <w:szCs w:val="20"/>
        </w:rPr>
      </w:pPr>
    </w:p>
    <w:p w14:paraId="0EAA2AC1" w14:textId="77777777" w:rsidR="00501B0C" w:rsidRPr="00212092" w:rsidRDefault="00557D14">
      <w:pPr>
        <w:spacing w:after="0" w:line="240" w:lineRule="auto"/>
        <w:rPr>
          <w:rFonts w:ascii="Arial" w:eastAsia="Arial" w:hAnsi="Arial" w:cs="Arial"/>
          <w:b/>
          <w:color w:val="1A1A1A"/>
          <w:sz w:val="22"/>
          <w:szCs w:val="22"/>
        </w:rPr>
      </w:pPr>
      <w:r w:rsidRPr="00212092">
        <w:rPr>
          <w:rFonts w:ascii="Arial" w:eastAsia="Arial" w:hAnsi="Arial" w:cs="Arial"/>
          <w:b/>
          <w:color w:val="1A1A1A"/>
          <w:sz w:val="22"/>
          <w:szCs w:val="22"/>
        </w:rPr>
        <w:t xml:space="preserve">EMPRESAS DE SERVICIOS PÚBLICOS – Naturaleza jurídica especial – Régimen contractual </w:t>
      </w:r>
    </w:p>
    <w:p w14:paraId="3136E1E4" w14:textId="77777777" w:rsidR="00501B0C" w:rsidRDefault="00501B0C">
      <w:pPr>
        <w:spacing w:after="0" w:line="240" w:lineRule="auto"/>
        <w:rPr>
          <w:rFonts w:ascii="Arial" w:eastAsia="Arial" w:hAnsi="Arial" w:cs="Arial"/>
          <w:b/>
          <w:color w:val="000000"/>
          <w:sz w:val="20"/>
          <w:szCs w:val="20"/>
        </w:rPr>
      </w:pPr>
    </w:p>
    <w:p w14:paraId="2184AF03" w14:textId="77777777" w:rsidR="00501B0C" w:rsidRDefault="00557D14">
      <w:pPr>
        <w:spacing w:after="0" w:line="240" w:lineRule="auto"/>
        <w:rPr>
          <w:rFonts w:ascii="Arial" w:eastAsia="Arial" w:hAnsi="Arial" w:cs="Arial"/>
          <w:color w:val="1A1A1A"/>
          <w:sz w:val="20"/>
          <w:szCs w:val="20"/>
        </w:rPr>
      </w:pPr>
      <w:r>
        <w:rPr>
          <w:rFonts w:ascii="Arial" w:eastAsia="Arial" w:hAnsi="Arial" w:cs="Arial"/>
          <w:color w:val="1A1A1A"/>
          <w:sz w:val="20"/>
          <w:szCs w:val="20"/>
        </w:rPr>
        <w:t xml:space="preserve">[…] las empresas de servicios públicos tienen una naturaleza jurídica especial que viene dada directamente por el artículo 356 de la Constitución Política, y el hecho de que su composición accionaria pueda estar compartida por recursos públicos y privados no las convierte en sociedades de economía mixta, pues las empresas en cuestión tienen su clasificación propia dependiendo de la composición de su capital accionario: empresas de servicios públicos oficiales, mixtas y privadas. </w:t>
      </w:r>
      <w:r>
        <w:rPr>
          <w:rFonts w:ascii="Arial" w:eastAsia="Arial" w:hAnsi="Arial" w:cs="Arial"/>
          <w:color w:val="1A1A1A"/>
          <w:sz w:val="20"/>
          <w:szCs w:val="20"/>
        </w:rPr>
        <w:lastRenderedPageBreak/>
        <w:t>Ahora, sin importar su clasificación, todas hacen parte de la Rama Ejecutiva del sector descentralizado por servicios. 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De esta manera,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esto es, por regla general no están sometidas a la Ley 80 de 1993. Sin embargo, como se analizó ut supra, eso no las exime del deber de publicar su actividad contractual, cuando ejecuten recursos públicos.</w:t>
      </w:r>
    </w:p>
    <w:p w14:paraId="7A3ACEFE" w14:textId="77777777" w:rsidR="00501B0C" w:rsidRDefault="00501B0C">
      <w:pPr>
        <w:spacing w:after="0" w:line="240" w:lineRule="auto"/>
        <w:rPr>
          <w:rFonts w:ascii="Arial" w:eastAsia="Arial" w:hAnsi="Arial" w:cs="Arial"/>
          <w:color w:val="000000"/>
          <w:sz w:val="20"/>
          <w:szCs w:val="20"/>
        </w:rPr>
      </w:pPr>
    </w:p>
    <w:p w14:paraId="3D23DC5C" w14:textId="77777777" w:rsidR="00501B0C" w:rsidRPr="00212092" w:rsidRDefault="00557D14">
      <w:pPr>
        <w:spacing w:after="0" w:line="240" w:lineRule="auto"/>
        <w:rPr>
          <w:rFonts w:ascii="Arial" w:eastAsia="Arial" w:hAnsi="Arial" w:cs="Arial"/>
          <w:b/>
          <w:color w:val="000000"/>
          <w:sz w:val="22"/>
          <w:szCs w:val="22"/>
        </w:rPr>
      </w:pPr>
      <w:r w:rsidRPr="00212092">
        <w:rPr>
          <w:rFonts w:ascii="Arial" w:eastAsia="Arial" w:hAnsi="Arial" w:cs="Arial"/>
          <w:b/>
          <w:color w:val="000000"/>
          <w:sz w:val="22"/>
          <w:szCs w:val="22"/>
        </w:rPr>
        <w:t xml:space="preserve">SECOP – EMPRESAS PRESTADORAS DE SERVICIOS PÚBLICOS DOMICILIARIOS – Deber de publicidad </w:t>
      </w:r>
    </w:p>
    <w:p w14:paraId="23C99974" w14:textId="77777777" w:rsidR="00501B0C" w:rsidRDefault="00501B0C">
      <w:pPr>
        <w:pBdr>
          <w:top w:val="nil"/>
          <w:left w:val="nil"/>
          <w:bottom w:val="nil"/>
          <w:right w:val="nil"/>
          <w:between w:val="nil"/>
        </w:pBdr>
        <w:spacing w:after="0" w:line="240" w:lineRule="auto"/>
        <w:ind w:right="45"/>
        <w:rPr>
          <w:rFonts w:ascii="Arial" w:eastAsia="Arial" w:hAnsi="Arial" w:cs="Arial"/>
          <w:color w:val="000000"/>
          <w:sz w:val="20"/>
          <w:szCs w:val="20"/>
        </w:rPr>
      </w:pPr>
    </w:p>
    <w:p w14:paraId="0810BD6D" w14:textId="77777777" w:rsidR="00501B0C" w:rsidRDefault="00557D14">
      <w:pPr>
        <w:spacing w:after="0" w:line="240" w:lineRule="auto"/>
        <w:rPr>
          <w:rFonts w:ascii="Arial" w:eastAsia="Arial" w:hAnsi="Arial" w:cs="Arial"/>
          <w:color w:val="000000"/>
          <w:sz w:val="20"/>
          <w:szCs w:val="20"/>
        </w:rPr>
      </w:pPr>
      <w:r>
        <w:rPr>
          <w:rFonts w:ascii="Arial" w:eastAsia="Arial" w:hAnsi="Arial" w:cs="Arial"/>
          <w:color w:val="000000"/>
          <w:sz w:val="20"/>
          <w:szCs w:val="20"/>
        </w:rPr>
        <w:t>Las empresas prestadoras de servicios públicos domiciliarios no se encuentran incluidas en el Anexo 1 de la Circular No. 1 de 2019, ni en el Anexo de la Circular No. 1 de 2021, razón por la cual no están obligados a utilizar la plataforma SECOP II para gestionar y publicar en línea sus procesos de contratación. Es decir que, los procesos de contratación deben seguir gestionándose a través de SECOP I, con excepción de los procesos de contratación derivados de la aplicación del Decreto 092 de 2017. En todo caso, informamos que la Agencia Nacional de Contratación Pública – Colombia Compra Eficiente no ha establecido una fecha exacta a partir de la cual será obligatorio el uso del SECOP II para las entidades que no se encuentran incluidas en los Anexos de las Circulares No.1 de 2019 y 2021. Cuando se determine, la entidad informará con la suficiente anticipación a través los canales de comunicación oficiales, con el fin de coordinar los servicios de capacitación y acompañamiento correspondientes.</w:t>
      </w:r>
    </w:p>
    <w:p w14:paraId="053FC09D" w14:textId="77777777" w:rsidR="00501B0C" w:rsidRDefault="00557D14">
      <w:pPr>
        <w:spacing w:after="0" w:line="240" w:lineRule="auto"/>
        <w:rPr>
          <w:rFonts w:ascii="Arial" w:eastAsia="Arial" w:hAnsi="Arial" w:cs="Arial"/>
          <w:b/>
          <w:color w:val="000000"/>
          <w:sz w:val="20"/>
          <w:szCs w:val="20"/>
        </w:rPr>
      </w:pPr>
      <w:r>
        <w:br w:type="page"/>
      </w:r>
    </w:p>
    <w:p w14:paraId="79CCFB7B" w14:textId="77777777" w:rsidR="00501B0C" w:rsidRDefault="00501B0C">
      <w:pPr>
        <w:spacing w:after="0"/>
        <w:rPr>
          <w:rFonts w:ascii="Arial" w:eastAsia="Arial" w:hAnsi="Arial" w:cs="Arial"/>
          <w:b/>
          <w:color w:val="000000"/>
          <w:sz w:val="22"/>
          <w:szCs w:val="22"/>
        </w:rPr>
      </w:pPr>
    </w:p>
    <w:p w14:paraId="5D085562" w14:textId="22D8FA6F" w:rsidR="00501B0C" w:rsidRDefault="000A062D" w:rsidP="000A062D">
      <w:pPr>
        <w:tabs>
          <w:tab w:val="left" w:pos="3374"/>
        </w:tabs>
        <w:spacing w:after="0"/>
        <w:jc w:val="right"/>
        <w:rPr>
          <w:rFonts w:ascii="Arial" w:eastAsia="Arial" w:hAnsi="Arial" w:cs="Arial"/>
          <w:color w:val="000000"/>
          <w:sz w:val="22"/>
          <w:szCs w:val="22"/>
        </w:rPr>
      </w:pPr>
      <w:bookmarkStart w:id="0" w:name="_gjdgxs" w:colFirst="0" w:colLast="0"/>
      <w:bookmarkEnd w:id="0"/>
      <w:r>
        <w:rPr>
          <w:noProof/>
        </w:rPr>
        <w:drawing>
          <wp:inline distT="0" distB="0" distL="0" distR="0" wp14:anchorId="790C4625" wp14:editId="02419A1C">
            <wp:extent cx="2505075" cy="1085850"/>
            <wp:effectExtent l="0" t="0" r="9525"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0"/>
                    <a:stretch>
                      <a:fillRect/>
                    </a:stretch>
                  </pic:blipFill>
                  <pic:spPr>
                    <a:xfrm>
                      <a:off x="0" y="0"/>
                      <a:ext cx="2505075" cy="1085850"/>
                    </a:xfrm>
                    <a:prstGeom prst="rect">
                      <a:avLst/>
                    </a:prstGeom>
                  </pic:spPr>
                </pic:pic>
              </a:graphicData>
            </a:graphic>
          </wp:inline>
        </w:drawing>
      </w:r>
    </w:p>
    <w:p w14:paraId="0A5B856D" w14:textId="77777777" w:rsidR="000A062D" w:rsidRDefault="000A062D">
      <w:pPr>
        <w:tabs>
          <w:tab w:val="left" w:pos="3374"/>
        </w:tabs>
        <w:spacing w:after="0"/>
        <w:rPr>
          <w:rFonts w:ascii="Arial" w:eastAsia="Arial" w:hAnsi="Arial" w:cs="Arial"/>
          <w:color w:val="000000"/>
          <w:sz w:val="22"/>
          <w:szCs w:val="22"/>
        </w:rPr>
      </w:pPr>
    </w:p>
    <w:p w14:paraId="27C8E256" w14:textId="6FCD3A08" w:rsidR="00501B0C" w:rsidRDefault="000A062D">
      <w:pPr>
        <w:spacing w:after="0"/>
        <w:rPr>
          <w:rFonts w:ascii="Arial" w:eastAsia="Arial" w:hAnsi="Arial" w:cs="Arial"/>
          <w:color w:val="000000"/>
          <w:sz w:val="22"/>
          <w:szCs w:val="22"/>
        </w:rPr>
      </w:pPr>
      <w:r w:rsidRPr="000A062D">
        <w:rPr>
          <w:rFonts w:ascii="Arial" w:eastAsia="Arial" w:hAnsi="Arial" w:cs="Arial"/>
          <w:color w:val="000000"/>
          <w:sz w:val="22"/>
          <w:szCs w:val="22"/>
        </w:rPr>
        <w:t xml:space="preserve">Bogotá, 10 </w:t>
      </w:r>
      <w:proofErr w:type="gramStart"/>
      <w:r w:rsidRPr="000A062D">
        <w:rPr>
          <w:rFonts w:ascii="Arial" w:eastAsia="Arial" w:hAnsi="Arial" w:cs="Arial"/>
          <w:color w:val="000000"/>
          <w:sz w:val="22"/>
          <w:szCs w:val="22"/>
        </w:rPr>
        <w:t>Febrero</w:t>
      </w:r>
      <w:proofErr w:type="gramEnd"/>
      <w:r w:rsidRPr="000A062D">
        <w:rPr>
          <w:rFonts w:ascii="Arial" w:eastAsia="Arial" w:hAnsi="Arial" w:cs="Arial"/>
          <w:color w:val="000000"/>
          <w:sz w:val="22"/>
          <w:szCs w:val="22"/>
        </w:rPr>
        <w:t xml:space="preserve"> 2022</w:t>
      </w:r>
    </w:p>
    <w:p w14:paraId="2F38341A" w14:textId="77777777" w:rsidR="000A062D" w:rsidRDefault="000A062D">
      <w:pPr>
        <w:spacing w:after="0"/>
        <w:rPr>
          <w:rFonts w:ascii="Arial" w:eastAsia="Arial" w:hAnsi="Arial" w:cs="Arial"/>
          <w:color w:val="000000"/>
          <w:sz w:val="22"/>
          <w:szCs w:val="22"/>
        </w:rPr>
      </w:pPr>
    </w:p>
    <w:p w14:paraId="609FCA44" w14:textId="77777777" w:rsidR="00501B0C" w:rsidRDefault="00501B0C">
      <w:pPr>
        <w:spacing w:after="0"/>
        <w:rPr>
          <w:rFonts w:ascii="Arial" w:eastAsia="Arial" w:hAnsi="Arial" w:cs="Arial"/>
          <w:color w:val="000000"/>
          <w:sz w:val="22"/>
          <w:szCs w:val="22"/>
        </w:rPr>
      </w:pPr>
    </w:p>
    <w:p w14:paraId="6D1F886A" w14:textId="77777777" w:rsidR="00501B0C" w:rsidRDefault="00557D14">
      <w:pPr>
        <w:spacing w:after="0"/>
        <w:rPr>
          <w:rFonts w:ascii="Arial" w:eastAsia="Arial" w:hAnsi="Arial" w:cs="Arial"/>
          <w:color w:val="000000"/>
          <w:sz w:val="22"/>
          <w:szCs w:val="22"/>
        </w:rPr>
      </w:pPr>
      <w:r>
        <w:rPr>
          <w:rFonts w:ascii="Arial" w:eastAsia="Arial" w:hAnsi="Arial" w:cs="Arial"/>
          <w:color w:val="000000"/>
          <w:sz w:val="22"/>
          <w:szCs w:val="22"/>
        </w:rPr>
        <w:t>Señor</w:t>
      </w:r>
    </w:p>
    <w:p w14:paraId="6DC1320E" w14:textId="77777777" w:rsidR="00501B0C" w:rsidRDefault="00557D14">
      <w:pPr>
        <w:spacing w:after="0"/>
        <w:rPr>
          <w:rFonts w:ascii="Arial" w:eastAsia="Arial" w:hAnsi="Arial" w:cs="Arial"/>
          <w:b/>
          <w:color w:val="000000"/>
          <w:sz w:val="22"/>
          <w:szCs w:val="22"/>
        </w:rPr>
      </w:pPr>
      <w:r>
        <w:rPr>
          <w:rFonts w:ascii="Arial" w:eastAsia="Arial" w:hAnsi="Arial" w:cs="Arial"/>
          <w:b/>
          <w:color w:val="000000"/>
          <w:sz w:val="22"/>
          <w:szCs w:val="22"/>
        </w:rPr>
        <w:t>Luis Enrique Roa Merchán</w:t>
      </w:r>
    </w:p>
    <w:p w14:paraId="27AA447D" w14:textId="77777777" w:rsidR="00501B0C" w:rsidRDefault="00557D14">
      <w:pPr>
        <w:spacing w:after="0"/>
        <w:rPr>
          <w:rFonts w:ascii="Arial" w:eastAsia="Arial" w:hAnsi="Arial" w:cs="Arial"/>
          <w:b/>
          <w:color w:val="000000"/>
          <w:sz w:val="22"/>
          <w:szCs w:val="22"/>
        </w:rPr>
      </w:pPr>
      <w:r>
        <w:rPr>
          <w:rFonts w:ascii="Arial" w:eastAsia="Arial" w:hAnsi="Arial" w:cs="Arial"/>
          <w:b/>
          <w:color w:val="000000"/>
          <w:sz w:val="22"/>
          <w:szCs w:val="22"/>
        </w:rPr>
        <w:t>secretariageneral@cartagena.gov.co</w:t>
      </w:r>
    </w:p>
    <w:p w14:paraId="4A123D8F" w14:textId="77777777" w:rsidR="00501B0C" w:rsidRDefault="00501B0C">
      <w:pPr>
        <w:spacing w:after="0"/>
        <w:rPr>
          <w:rFonts w:ascii="Arial" w:eastAsia="Arial" w:hAnsi="Arial" w:cs="Arial"/>
          <w:color w:val="000000"/>
          <w:sz w:val="22"/>
          <w:szCs w:val="22"/>
        </w:rPr>
      </w:pPr>
    </w:p>
    <w:p w14:paraId="38D08219" w14:textId="77777777" w:rsidR="00501B0C" w:rsidRDefault="00501B0C">
      <w:pPr>
        <w:spacing w:after="0"/>
        <w:rPr>
          <w:rFonts w:ascii="Arial" w:eastAsia="Arial" w:hAnsi="Arial" w:cs="Arial"/>
          <w:color w:val="000000"/>
          <w:sz w:val="22"/>
          <w:szCs w:val="22"/>
        </w:rPr>
      </w:pPr>
    </w:p>
    <w:p w14:paraId="321BC92E" w14:textId="1CDDDA85" w:rsidR="00501B0C" w:rsidRDefault="00557D14">
      <w:pPr>
        <w:spacing w:after="0"/>
        <w:rPr>
          <w:rFonts w:ascii="Arial" w:eastAsia="Arial" w:hAnsi="Arial" w:cs="Arial"/>
          <w:color w:val="000000"/>
          <w:sz w:val="22"/>
          <w:szCs w:val="22"/>
        </w:rPr>
      </w:pPr>
      <w:r>
        <w:rPr>
          <w:rFonts w:ascii="Arial" w:eastAsia="Arial" w:hAnsi="Arial" w:cs="Arial"/>
          <w:color w:val="000000"/>
          <w:sz w:val="22"/>
          <w:szCs w:val="22"/>
        </w:rPr>
        <w:t xml:space="preserve">                                            </w:t>
      </w:r>
      <w:r>
        <w:rPr>
          <w:rFonts w:ascii="Arial" w:eastAsia="Arial" w:hAnsi="Arial" w:cs="Arial"/>
          <w:b/>
          <w:color w:val="000000"/>
          <w:sz w:val="22"/>
          <w:szCs w:val="22"/>
        </w:rPr>
        <w:t>Concepto C –758 de 2021</w:t>
      </w:r>
      <w:r>
        <w:rPr>
          <w:rFonts w:ascii="Arial" w:eastAsia="Arial" w:hAnsi="Arial" w:cs="Arial"/>
          <w:color w:val="000000"/>
          <w:sz w:val="22"/>
          <w:szCs w:val="22"/>
        </w:rPr>
        <w:t xml:space="preserve"> </w:t>
      </w:r>
    </w:p>
    <w:p w14:paraId="6F01CA37" w14:textId="77777777" w:rsidR="00501B0C" w:rsidRDefault="00501B0C">
      <w:pPr>
        <w:spacing w:after="0"/>
        <w:rPr>
          <w:rFonts w:ascii="Arial" w:eastAsia="Arial" w:hAnsi="Arial" w:cs="Arial"/>
          <w:b/>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501B0C" w14:paraId="53491D6A" w14:textId="77777777">
        <w:trPr>
          <w:trHeight w:val="1038"/>
        </w:trPr>
        <w:tc>
          <w:tcPr>
            <w:tcW w:w="2689" w:type="dxa"/>
          </w:tcPr>
          <w:p w14:paraId="32B79E63" w14:textId="77777777" w:rsidR="00501B0C" w:rsidRDefault="00557D14">
            <w:pPr>
              <w:spacing w:line="276" w:lineRule="auto"/>
              <w:rPr>
                <w:rFonts w:ascii="Arial" w:eastAsia="Arial" w:hAnsi="Arial" w:cs="Arial"/>
                <w:color w:val="000000"/>
              </w:rPr>
            </w:pPr>
            <w:r>
              <w:rPr>
                <w:rFonts w:ascii="Arial" w:eastAsia="Arial" w:hAnsi="Arial" w:cs="Arial"/>
                <w:b/>
                <w:color w:val="000000"/>
              </w:rPr>
              <w:t>Temas:</w:t>
            </w:r>
            <w:r>
              <w:rPr>
                <w:rFonts w:ascii="Arial" w:eastAsia="Arial" w:hAnsi="Arial" w:cs="Arial"/>
                <w:color w:val="000000"/>
              </w:rPr>
              <w:t xml:space="preserve">        </w:t>
            </w:r>
          </w:p>
        </w:tc>
        <w:tc>
          <w:tcPr>
            <w:tcW w:w="6237" w:type="dxa"/>
          </w:tcPr>
          <w:p w14:paraId="4943FFED" w14:textId="77777777" w:rsidR="00501B0C" w:rsidRDefault="00557D14">
            <w:pPr>
              <w:jc w:val="both"/>
              <w:rPr>
                <w:rFonts w:ascii="Arial" w:eastAsia="Arial" w:hAnsi="Arial" w:cs="Arial"/>
                <w:color w:val="000000"/>
                <w:sz w:val="20"/>
                <w:szCs w:val="20"/>
              </w:rPr>
            </w:pPr>
            <w:r>
              <w:rPr>
                <w:rFonts w:ascii="Arial" w:eastAsia="Arial" w:hAnsi="Arial" w:cs="Arial"/>
                <w:sz w:val="20"/>
                <w:szCs w:val="20"/>
              </w:rPr>
              <w:t xml:space="preserve">PRINCIPIO DE PUBLICIDAD – Democracia – Estado social de Derecho – Fundamento axiológico / SECOP – Entidades exceptuadas – Publicidad – Documentos – Información oficial – Concepto CU-003 / </w:t>
            </w:r>
            <w:r>
              <w:rPr>
                <w:rFonts w:ascii="Arial" w:eastAsia="Arial" w:hAnsi="Arial" w:cs="Arial"/>
                <w:color w:val="1A1A1A"/>
                <w:sz w:val="20"/>
                <w:szCs w:val="20"/>
              </w:rPr>
              <w:t xml:space="preserve">EMPRESAS DE SERVICIOS PÚBLICOS – Naturaleza jurídica especial – Régimen contractual / </w:t>
            </w:r>
            <w:r>
              <w:rPr>
                <w:rFonts w:ascii="Arial" w:eastAsia="Arial" w:hAnsi="Arial" w:cs="Arial"/>
                <w:color w:val="000000"/>
                <w:sz w:val="20"/>
                <w:szCs w:val="20"/>
              </w:rPr>
              <w:t xml:space="preserve">SECOP – EMPRESAS PRESTADORAS DE SERVICIOS PÚBLICOS DOMICILIARIOS – Deber de publicidad </w:t>
            </w:r>
          </w:p>
          <w:p w14:paraId="50BDF745" w14:textId="77777777" w:rsidR="00501B0C" w:rsidRDefault="00501B0C">
            <w:pPr>
              <w:rPr>
                <w:rFonts w:ascii="Arial" w:eastAsia="Arial" w:hAnsi="Arial" w:cs="Arial"/>
                <w:b/>
                <w:color w:val="1A1A1A"/>
                <w:sz w:val="20"/>
                <w:szCs w:val="20"/>
              </w:rPr>
            </w:pPr>
          </w:p>
          <w:p w14:paraId="22C3F98B" w14:textId="77777777" w:rsidR="00501B0C" w:rsidRDefault="00501B0C">
            <w:pPr>
              <w:spacing w:after="120" w:line="276" w:lineRule="auto"/>
              <w:jc w:val="both"/>
              <w:rPr>
                <w:rFonts w:ascii="Arial" w:eastAsia="Arial" w:hAnsi="Arial" w:cs="Arial"/>
                <w:color w:val="000000"/>
              </w:rPr>
            </w:pPr>
          </w:p>
        </w:tc>
      </w:tr>
      <w:tr w:rsidR="00501B0C" w14:paraId="3D8B5C43" w14:textId="77777777">
        <w:tc>
          <w:tcPr>
            <w:tcW w:w="2689" w:type="dxa"/>
          </w:tcPr>
          <w:p w14:paraId="36FA5622" w14:textId="77777777" w:rsidR="00501B0C" w:rsidRDefault="00557D14">
            <w:pPr>
              <w:spacing w:line="276" w:lineRule="auto"/>
              <w:rPr>
                <w:rFonts w:ascii="Arial" w:eastAsia="Arial" w:hAnsi="Arial" w:cs="Arial"/>
                <w:b/>
                <w:color w:val="000000"/>
                <w:sz w:val="22"/>
                <w:szCs w:val="22"/>
              </w:rPr>
            </w:pPr>
            <w:r>
              <w:rPr>
                <w:rFonts w:ascii="Arial" w:eastAsia="Arial" w:hAnsi="Arial" w:cs="Arial"/>
                <w:b/>
                <w:color w:val="000000"/>
                <w:sz w:val="22"/>
                <w:szCs w:val="22"/>
              </w:rPr>
              <w:t>Radicación:</w:t>
            </w:r>
            <w:r>
              <w:rPr>
                <w:rFonts w:ascii="Arial" w:eastAsia="Arial" w:hAnsi="Arial" w:cs="Arial"/>
                <w:color w:val="000000"/>
                <w:sz w:val="22"/>
                <w:szCs w:val="22"/>
              </w:rPr>
              <w:t xml:space="preserve">                              </w:t>
            </w:r>
          </w:p>
        </w:tc>
        <w:tc>
          <w:tcPr>
            <w:tcW w:w="6237" w:type="dxa"/>
          </w:tcPr>
          <w:p w14:paraId="3CC71C09" w14:textId="77777777" w:rsidR="00501B0C" w:rsidRDefault="00557D14">
            <w:pPr>
              <w:spacing w:line="276" w:lineRule="auto"/>
              <w:jc w:val="both"/>
              <w:rPr>
                <w:rFonts w:ascii="Arial" w:eastAsia="Arial" w:hAnsi="Arial" w:cs="Arial"/>
                <w:color w:val="000000"/>
                <w:sz w:val="22"/>
                <w:szCs w:val="22"/>
              </w:rPr>
            </w:pPr>
            <w:r>
              <w:rPr>
                <w:rFonts w:ascii="Arial" w:eastAsia="Arial" w:hAnsi="Arial" w:cs="Arial"/>
                <w:color w:val="000000"/>
                <w:sz w:val="22"/>
                <w:szCs w:val="22"/>
              </w:rPr>
              <w:t>Respuesta a consulta P20211229011852</w:t>
            </w:r>
          </w:p>
        </w:tc>
      </w:tr>
    </w:tbl>
    <w:p w14:paraId="265F4BC3" w14:textId="77777777" w:rsidR="00501B0C" w:rsidRDefault="00501B0C">
      <w:pPr>
        <w:spacing w:after="0" w:line="240" w:lineRule="auto"/>
        <w:rPr>
          <w:color w:val="000000"/>
          <w:sz w:val="22"/>
          <w:szCs w:val="22"/>
        </w:rPr>
      </w:pPr>
    </w:p>
    <w:p w14:paraId="30EA2E04" w14:textId="77777777" w:rsidR="00501B0C" w:rsidRDefault="00501B0C">
      <w:pPr>
        <w:spacing w:after="0"/>
        <w:rPr>
          <w:rFonts w:ascii="Arial" w:eastAsia="Arial" w:hAnsi="Arial" w:cs="Arial"/>
          <w:color w:val="000000"/>
          <w:sz w:val="22"/>
          <w:szCs w:val="22"/>
        </w:rPr>
      </w:pPr>
    </w:p>
    <w:p w14:paraId="22F40F72" w14:textId="77777777" w:rsidR="00501B0C" w:rsidRDefault="00557D14">
      <w:pPr>
        <w:spacing w:after="0"/>
        <w:rPr>
          <w:rFonts w:ascii="Arial" w:eastAsia="Arial" w:hAnsi="Arial" w:cs="Arial"/>
          <w:color w:val="000000"/>
          <w:sz w:val="22"/>
          <w:szCs w:val="22"/>
        </w:rPr>
      </w:pPr>
      <w:r>
        <w:rPr>
          <w:rFonts w:ascii="Arial" w:eastAsia="Arial" w:hAnsi="Arial" w:cs="Arial"/>
          <w:color w:val="000000"/>
          <w:sz w:val="22"/>
          <w:szCs w:val="22"/>
        </w:rPr>
        <w:t>Estimado señor Roa:</w:t>
      </w:r>
    </w:p>
    <w:p w14:paraId="0801408A" w14:textId="77777777" w:rsidR="00501B0C" w:rsidRDefault="00501B0C">
      <w:pPr>
        <w:spacing w:after="0"/>
        <w:ind w:firstLine="709"/>
        <w:rPr>
          <w:rFonts w:ascii="Arial" w:eastAsia="Arial" w:hAnsi="Arial" w:cs="Arial"/>
          <w:color w:val="000000"/>
          <w:sz w:val="22"/>
          <w:szCs w:val="22"/>
        </w:rPr>
      </w:pPr>
    </w:p>
    <w:p w14:paraId="3315A37C" w14:textId="77777777" w:rsidR="00501B0C" w:rsidRDefault="00557D14">
      <w:pPr>
        <w:spacing w:after="0"/>
        <w:ind w:right="51"/>
        <w:rPr>
          <w:rFonts w:ascii="Arial" w:eastAsia="Arial" w:hAnsi="Arial" w:cs="Arial"/>
          <w:color w:val="000000"/>
          <w:sz w:val="22"/>
          <w:szCs w:val="22"/>
        </w:rPr>
      </w:pPr>
      <w:r>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la consulta realizada el 21 de diciembre de 2021. </w:t>
      </w:r>
    </w:p>
    <w:p w14:paraId="602D8C1C" w14:textId="77777777" w:rsidR="00501B0C" w:rsidRDefault="00501B0C">
      <w:pPr>
        <w:spacing w:after="0"/>
        <w:rPr>
          <w:rFonts w:ascii="Arial" w:eastAsia="Arial" w:hAnsi="Arial" w:cs="Arial"/>
          <w:color w:val="000000"/>
          <w:sz w:val="22"/>
          <w:szCs w:val="22"/>
        </w:rPr>
      </w:pPr>
    </w:p>
    <w:p w14:paraId="4E64F3A0" w14:textId="77777777" w:rsidR="00501B0C" w:rsidRDefault="00557D14">
      <w:pPr>
        <w:tabs>
          <w:tab w:val="left" w:pos="284"/>
        </w:tabs>
        <w:spacing w:after="0"/>
        <w:rPr>
          <w:rFonts w:ascii="Arial" w:eastAsia="Arial" w:hAnsi="Arial" w:cs="Arial"/>
          <w:b/>
          <w:color w:val="000000"/>
          <w:sz w:val="22"/>
          <w:szCs w:val="22"/>
        </w:rPr>
      </w:pPr>
      <w:r>
        <w:rPr>
          <w:rFonts w:ascii="Arial" w:eastAsia="Arial" w:hAnsi="Arial" w:cs="Arial"/>
          <w:b/>
          <w:color w:val="000000"/>
          <w:sz w:val="22"/>
          <w:szCs w:val="22"/>
        </w:rPr>
        <w:t xml:space="preserve">1. Problema planteado </w:t>
      </w:r>
    </w:p>
    <w:p w14:paraId="11E318B8" w14:textId="77777777" w:rsidR="00501B0C" w:rsidRDefault="00557D14">
      <w:pPr>
        <w:pBdr>
          <w:top w:val="nil"/>
          <w:left w:val="nil"/>
          <w:bottom w:val="nil"/>
          <w:right w:val="nil"/>
          <w:between w:val="nil"/>
        </w:pBdr>
        <w:spacing w:line="240" w:lineRule="auto"/>
        <w:rPr>
          <w:rFonts w:ascii="Times New Roman" w:eastAsia="Times New Roman" w:hAnsi="Times New Roman" w:cs="Times New Roman"/>
          <w:color w:val="000000"/>
        </w:rPr>
      </w:pPr>
      <w:bookmarkStart w:id="1" w:name="_30j0zll" w:colFirst="0" w:colLast="0"/>
      <w:bookmarkEnd w:id="1"/>
      <w:r>
        <w:rPr>
          <w:rFonts w:ascii="Arial" w:eastAsia="Arial" w:hAnsi="Arial" w:cs="Arial"/>
          <w:color w:val="000000"/>
          <w:sz w:val="22"/>
          <w:szCs w:val="22"/>
        </w:rPr>
        <w:t xml:space="preserve">En su consulta, usted plantea le siguiente interrogante: «¿se deben publicar en el Sistema Electrónico para la Contratación Pública (SECOP), los contratos que suscriban las </w:t>
      </w:r>
      <w:r>
        <w:rPr>
          <w:rFonts w:ascii="Arial" w:eastAsia="Arial" w:hAnsi="Arial" w:cs="Arial"/>
          <w:color w:val="000000"/>
          <w:sz w:val="22"/>
          <w:szCs w:val="22"/>
        </w:rPr>
        <w:lastRenderedPageBreak/>
        <w:t>entidades territoriales en el marco del régimen contractual contemplado en las Leyes 142 y 143 de 1994?».</w:t>
      </w:r>
      <w:r>
        <w:rPr>
          <w:rFonts w:ascii="Helvetica Neue" w:eastAsia="Helvetica Neue" w:hAnsi="Helvetica Neue" w:cs="Helvetica Neue"/>
          <w:b/>
          <w:color w:val="000000"/>
          <w:sz w:val="20"/>
          <w:szCs w:val="20"/>
        </w:rPr>
        <w:t xml:space="preserve"> </w:t>
      </w:r>
    </w:p>
    <w:p w14:paraId="50380B48" w14:textId="77777777" w:rsidR="00501B0C" w:rsidRDefault="00557D14">
      <w:pPr>
        <w:tabs>
          <w:tab w:val="left" w:pos="284"/>
        </w:tabs>
        <w:spacing w:after="0"/>
        <w:rPr>
          <w:rFonts w:ascii="Arial" w:eastAsia="Arial" w:hAnsi="Arial" w:cs="Arial"/>
          <w:b/>
          <w:color w:val="000000"/>
          <w:sz w:val="22"/>
          <w:szCs w:val="22"/>
        </w:rPr>
      </w:pPr>
      <w:r>
        <w:rPr>
          <w:rFonts w:ascii="Arial" w:eastAsia="Arial" w:hAnsi="Arial" w:cs="Arial"/>
          <w:b/>
          <w:color w:val="000000"/>
          <w:sz w:val="22"/>
          <w:szCs w:val="22"/>
        </w:rPr>
        <w:t>2. Consideraciones</w:t>
      </w:r>
    </w:p>
    <w:p w14:paraId="1115AB17" w14:textId="77777777" w:rsidR="00501B0C" w:rsidRDefault="00501B0C">
      <w:pPr>
        <w:tabs>
          <w:tab w:val="left" w:pos="426"/>
        </w:tabs>
        <w:spacing w:after="0"/>
        <w:ind w:firstLine="709"/>
        <w:rPr>
          <w:rFonts w:ascii="Arial" w:eastAsia="Arial" w:hAnsi="Arial" w:cs="Arial"/>
          <w:color w:val="000000"/>
          <w:sz w:val="22"/>
          <w:szCs w:val="22"/>
        </w:rPr>
      </w:pPr>
    </w:p>
    <w:p w14:paraId="07515458" w14:textId="77777777" w:rsidR="00501B0C" w:rsidRDefault="00557D14">
      <w:pPr>
        <w:spacing w:after="120"/>
        <w:rPr>
          <w:rFonts w:ascii="Arial" w:eastAsia="Arial" w:hAnsi="Arial" w:cs="Arial"/>
          <w:color w:val="000000"/>
          <w:sz w:val="22"/>
          <w:szCs w:val="22"/>
        </w:rPr>
      </w:pPr>
      <w:r>
        <w:rPr>
          <w:rFonts w:ascii="Arial" w:eastAsia="Arial" w:hAnsi="Arial" w:cs="Arial"/>
          <w:color w:val="000000"/>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eastAsia="Arial" w:hAnsi="Arial" w:cs="Arial"/>
          <w:color w:val="000000"/>
          <w:sz w:val="22"/>
          <w:szCs w:val="22"/>
          <w:vertAlign w:val="superscript"/>
        </w:rPr>
        <w:footnoteReference w:id="1"/>
      </w:r>
      <w:r>
        <w:rPr>
          <w:rFonts w:ascii="Arial" w:eastAsia="Arial" w:hAnsi="Arial" w:cs="Arial"/>
          <w:color w:val="000000"/>
          <w:sz w:val="22"/>
          <w:szCs w:val="22"/>
        </w:rPr>
        <w:t>.</w:t>
      </w:r>
    </w:p>
    <w:p w14:paraId="561D7647" w14:textId="77777777" w:rsidR="00501B0C" w:rsidRPr="009D2FA3" w:rsidRDefault="00557D14" w:rsidP="009D2FA3">
      <w:pPr>
        <w:spacing w:after="120"/>
      </w:pPr>
      <w:bookmarkStart w:id="3" w:name="_1fob9te" w:colFirst="0" w:colLast="0"/>
      <w:bookmarkEnd w:id="3"/>
      <w:r>
        <w:rPr>
          <w:rFonts w:ascii="Arial" w:eastAsia="Arial" w:hAnsi="Arial" w:cs="Arial"/>
          <w:color w:val="000000"/>
          <w:sz w:val="22"/>
          <w:szCs w:val="22"/>
        </w:rPr>
        <w:tab/>
        <w:t>Por ello, esta Subdirección –dentro de los límites de sus atribuciones</w:t>
      </w:r>
      <w:r>
        <w:rPr>
          <w:rFonts w:ascii="Arial" w:eastAsia="Arial" w:hAnsi="Arial" w:cs="Arial"/>
          <w:color w:val="000000"/>
          <w:sz w:val="22"/>
          <w:szCs w:val="22"/>
          <w:vertAlign w:val="superscript"/>
        </w:rPr>
        <w:footnoteReference w:id="2"/>
      </w:r>
      <w:r>
        <w:rPr>
          <w:rFonts w:ascii="Arial" w:eastAsia="Arial" w:hAnsi="Arial" w:cs="Arial"/>
          <w:color w:val="000000"/>
          <w:sz w:val="22"/>
          <w:szCs w:val="22"/>
        </w:rPr>
        <w:t xml:space="preserve">– resolverá la consulta conforme a las normas generales en materia de contratación estatal. Con este objetivo, se analizarán los siguientes temas: i) fundamento axiológico de la publicidad de la información oficial de la contratación estatal en el Sistema Electrónico para la Contratación Pública –SECOP–, ii) documentos que deben publicar en el SECOP las entidades estatales que, por regla general, se rigen por el derecho privado en su actividad contractual y iii) </w:t>
      </w:r>
      <w:r>
        <w:rPr>
          <w:rFonts w:ascii="Arial" w:eastAsia="Arial" w:hAnsi="Arial" w:cs="Arial"/>
          <w:color w:val="1A1A1A"/>
          <w:sz w:val="22"/>
          <w:szCs w:val="22"/>
        </w:rPr>
        <w:t>régimen  de las empresas de servicios públicos domiciliarios y publicidad de la información contractual en el SECOP</w:t>
      </w:r>
      <w:r>
        <w:rPr>
          <w:rFonts w:ascii="Arial" w:eastAsia="Arial" w:hAnsi="Arial" w:cs="Arial"/>
          <w:color w:val="000000"/>
          <w:sz w:val="22"/>
          <w:szCs w:val="22"/>
        </w:rPr>
        <w:t>.</w:t>
      </w:r>
    </w:p>
    <w:p w14:paraId="434F787B" w14:textId="77777777" w:rsidR="00501B0C" w:rsidRDefault="00557D14">
      <w:pPr>
        <w:spacing w:before="120" w:after="120"/>
        <w:ind w:firstLine="709"/>
        <w:rPr>
          <w:rFonts w:ascii="Arial" w:eastAsia="Arial" w:hAnsi="Arial" w:cs="Arial"/>
          <w:color w:val="1A1A1A"/>
          <w:sz w:val="22"/>
          <w:szCs w:val="22"/>
        </w:rPr>
      </w:pPr>
      <w:r>
        <w:rPr>
          <w:rFonts w:ascii="Arial" w:eastAsia="Arial" w:hAnsi="Arial" w:cs="Arial"/>
          <w:color w:val="000000"/>
          <w:sz w:val="22"/>
          <w:szCs w:val="22"/>
        </w:rPr>
        <w:t xml:space="preserve">La Agencia Nacional de Contratación Pública –Colombia Compra Eficiente– unificó su doctrina sobre el deber de las entidades exceptuadas del Estatuto General de Contratación de la Administración Pública –o con régimen especial– de publicar sus actuaciones contractuales en el SECOP, en el concepto CU-003 del 15 de enero de 2020.  Este concepto se reiterará a continuación.  </w:t>
      </w:r>
    </w:p>
    <w:p w14:paraId="5ACDD5BB" w14:textId="515A4F36" w:rsidR="00501B0C" w:rsidRPr="009D2FA3" w:rsidRDefault="00557D14" w:rsidP="009D2FA3">
      <w:pPr>
        <w:tabs>
          <w:tab w:val="left" w:pos="426"/>
        </w:tabs>
        <w:spacing w:after="0"/>
      </w:pPr>
      <w:r>
        <w:rPr>
          <w:rFonts w:ascii="Arial" w:eastAsia="Arial" w:hAnsi="Arial" w:cs="Arial"/>
          <w:color w:val="1A1A1A"/>
          <w:sz w:val="22"/>
          <w:szCs w:val="22"/>
        </w:rPr>
        <w:tab/>
      </w:r>
      <w:r>
        <w:rPr>
          <w:rFonts w:ascii="Arial" w:eastAsia="Arial" w:hAnsi="Arial" w:cs="Arial"/>
          <w:color w:val="1A1A1A"/>
          <w:sz w:val="22"/>
          <w:szCs w:val="22"/>
        </w:rPr>
        <w:tab/>
        <w:t xml:space="preserve">Adicionalmente, para desarrollar el problema planteado, se explicará el deber de publicidad de la información contractual en el SECOP. En este sentido, la Agencia Nacional de Contratación Pública estudió este tema en la consulta No. 4201913000005397 del 9 de agosto de 2019 y reiteró la posición en los siguientes conceptos: 4201912000006611 del 25 de septiembre de 2019, </w:t>
      </w:r>
      <w:r>
        <w:rPr>
          <w:rFonts w:ascii="Arial" w:eastAsia="Arial" w:hAnsi="Arial" w:cs="Arial"/>
          <w:sz w:val="22"/>
          <w:szCs w:val="22"/>
        </w:rPr>
        <w:t>4201913000006847</w:t>
      </w:r>
      <w:r>
        <w:rPr>
          <w:rFonts w:ascii="Arial" w:eastAsia="Arial" w:hAnsi="Arial" w:cs="Arial"/>
          <w:color w:val="1A1A1A"/>
          <w:sz w:val="22"/>
          <w:szCs w:val="22"/>
        </w:rPr>
        <w:t xml:space="preserve"> del 4 de octubre de 2019, 4201912000007762 del 18 de noviembre de 2019 y 4201912000007828 del 13 de noviembre de 2019. Las tesis expuestas en los anteriores conceptos fueron unificadas en el concepto CU-003 del 15 de enero de 2020. Dicho concepto de unificación fue reiterado </w:t>
      </w:r>
      <w:r>
        <w:rPr>
          <w:rFonts w:ascii="Arial" w:eastAsia="Arial" w:hAnsi="Arial" w:cs="Arial"/>
          <w:color w:val="1A1A1A"/>
          <w:sz w:val="22"/>
          <w:szCs w:val="22"/>
        </w:rPr>
        <w:lastRenderedPageBreak/>
        <w:t>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 C-680 de 18 de noviembre de 2020, C-780 del 18 de enero de 2021, C-222 del 19 de mayo de 2021, C-238 del 24 de mayo de 2021 y C-241 del 25 de mayo de 2021. La tesis planteada en estos conceptos se reitera a continuación</w:t>
      </w:r>
      <w:r>
        <w:rPr>
          <w:rFonts w:ascii="Arial" w:eastAsia="Arial" w:hAnsi="Arial" w:cs="Arial"/>
          <w:color w:val="000000"/>
          <w:sz w:val="22"/>
          <w:szCs w:val="22"/>
        </w:rPr>
        <w:t>:</w:t>
      </w:r>
    </w:p>
    <w:p w14:paraId="258D58FA" w14:textId="77777777" w:rsidR="00501B0C" w:rsidRDefault="00501B0C">
      <w:pPr>
        <w:tabs>
          <w:tab w:val="left" w:pos="426"/>
        </w:tabs>
        <w:spacing w:after="0"/>
        <w:ind w:firstLine="709"/>
        <w:rPr>
          <w:rFonts w:ascii="Arial" w:eastAsia="Arial" w:hAnsi="Arial" w:cs="Arial"/>
          <w:b/>
          <w:color w:val="000000"/>
          <w:sz w:val="22"/>
          <w:szCs w:val="22"/>
        </w:rPr>
      </w:pPr>
    </w:p>
    <w:p w14:paraId="3A9B33D4" w14:textId="77777777" w:rsidR="00501B0C" w:rsidRDefault="00557D14">
      <w:pPr>
        <w:tabs>
          <w:tab w:val="left" w:pos="426"/>
        </w:tabs>
        <w:rPr>
          <w:rFonts w:ascii="Arial" w:eastAsia="Arial" w:hAnsi="Arial" w:cs="Arial"/>
          <w:b/>
          <w:color w:val="000000"/>
          <w:sz w:val="22"/>
          <w:szCs w:val="22"/>
        </w:rPr>
      </w:pPr>
      <w:bookmarkStart w:id="5" w:name="_3znysh7" w:colFirst="0" w:colLast="0"/>
      <w:bookmarkEnd w:id="5"/>
      <w:r>
        <w:rPr>
          <w:rFonts w:ascii="Arial" w:eastAsia="Arial" w:hAnsi="Arial" w:cs="Arial"/>
          <w:b/>
          <w:color w:val="000000"/>
          <w:sz w:val="22"/>
          <w:szCs w:val="22"/>
        </w:rPr>
        <w:t>2.1. Fundamento axiológico de la publicidad de la información oficial de la contratación estatal en el Sistema Electrónico para la Contratación Pública –SECOP–</w:t>
      </w:r>
    </w:p>
    <w:p w14:paraId="6F203104" w14:textId="77777777" w:rsidR="00501B0C" w:rsidRDefault="00557D14">
      <w:pPr>
        <w:spacing w:after="120"/>
        <w:rPr>
          <w:rFonts w:ascii="Arial" w:eastAsia="Arial" w:hAnsi="Arial" w:cs="Arial"/>
          <w:color w:val="000000"/>
          <w:sz w:val="22"/>
          <w:szCs w:val="22"/>
        </w:rPr>
      </w:pPr>
      <w:r>
        <w:rPr>
          <w:rFonts w:ascii="Arial" w:eastAsia="Arial" w:hAnsi="Arial" w:cs="Arial"/>
          <w:color w:val="000000"/>
          <w:sz w:val="22"/>
          <w:szCs w:val="22"/>
        </w:rPr>
        <w:t xml:space="preserve">Uno de los postulados más importantes de un Estado social y democrático de derecho es el principio de </w:t>
      </w:r>
      <w:r>
        <w:rPr>
          <w:rFonts w:ascii="Arial" w:eastAsia="Arial" w:hAnsi="Arial" w:cs="Arial"/>
          <w:i/>
          <w:color w:val="000000"/>
          <w:sz w:val="22"/>
          <w:szCs w:val="22"/>
        </w:rPr>
        <w:t>publicidad</w:t>
      </w:r>
      <w:r>
        <w:rPr>
          <w:rFonts w:ascii="Arial" w:eastAsia="Arial" w:hAnsi="Arial" w:cs="Arial"/>
          <w:color w:val="000000"/>
          <w:sz w:val="22"/>
          <w:szCs w:val="22"/>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Pr>
          <w:rFonts w:ascii="Arial" w:eastAsia="Arial" w:hAnsi="Arial" w:cs="Arial"/>
          <w:color w:val="000000"/>
          <w:sz w:val="22"/>
          <w:szCs w:val="22"/>
          <w:vertAlign w:val="superscript"/>
        </w:rPr>
        <w:footnoteReference w:id="3"/>
      </w:r>
      <w:r>
        <w:rPr>
          <w:rFonts w:ascii="Arial" w:eastAsia="Arial" w:hAnsi="Arial" w:cs="Arial"/>
          <w:color w:val="000000"/>
          <w:sz w:val="22"/>
          <w:szCs w:val="22"/>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410560F6" w14:textId="77777777" w:rsidR="00501B0C" w:rsidRDefault="00557D14">
      <w:pPr>
        <w:ind w:firstLine="708"/>
        <w:rPr>
          <w:rFonts w:ascii="Arial" w:eastAsia="Arial" w:hAnsi="Arial" w:cs="Arial"/>
          <w:color w:val="000000"/>
          <w:sz w:val="22"/>
          <w:szCs w:val="22"/>
        </w:rPr>
      </w:pPr>
      <w:r>
        <w:rPr>
          <w:rFonts w:ascii="Arial" w:eastAsia="Arial" w:hAnsi="Arial" w:cs="Arial"/>
          <w:color w:val="000000"/>
          <w:sz w:val="22"/>
          <w:szCs w:val="22"/>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0665969C" w14:textId="77777777" w:rsidR="00501B0C" w:rsidRPr="009D2FA3" w:rsidRDefault="00557D14" w:rsidP="009D2FA3">
      <w:pPr>
        <w:tabs>
          <w:tab w:val="left" w:pos="3885"/>
        </w:tabs>
        <w:spacing w:after="120" w:line="240" w:lineRule="auto"/>
        <w:ind w:left="709" w:right="709"/>
      </w:pPr>
      <w:r>
        <w:rPr>
          <w:rFonts w:ascii="Arial" w:eastAsia="Arial" w:hAnsi="Arial" w:cs="Arial"/>
          <w:color w:val="000000"/>
          <w:sz w:val="21"/>
          <w:szCs w:val="21"/>
        </w:rPr>
        <w:t xml:space="preserve">El principio de publicidad se encuentra consagrado en el artículo 209 de la Constitución Política, que señala que la función administrativa está al servicio de </w:t>
      </w:r>
      <w:r>
        <w:rPr>
          <w:rFonts w:ascii="Arial" w:eastAsia="Arial" w:hAnsi="Arial" w:cs="Arial"/>
          <w:color w:val="000000"/>
          <w:sz w:val="21"/>
          <w:szCs w:val="21"/>
        </w:rPr>
        <w:lastRenderedPageBreak/>
        <w:t>los intereses generales y se desarrolla con fundamento entre otros, en el «principio de publicidad», el cual se evidencia en dos dimensiones.</w:t>
      </w:r>
    </w:p>
    <w:p w14:paraId="024F9EF7" w14:textId="77777777" w:rsidR="00501B0C" w:rsidRPr="009D2FA3" w:rsidRDefault="00557D14" w:rsidP="009D2FA3">
      <w:pPr>
        <w:tabs>
          <w:tab w:val="left" w:pos="3885"/>
          <w:tab w:val="left" w:pos="8222"/>
        </w:tabs>
        <w:spacing w:line="240" w:lineRule="auto"/>
        <w:ind w:left="709" w:right="709"/>
      </w:pPr>
      <w:r>
        <w:rPr>
          <w:rFonts w:ascii="Arial" w:eastAsia="Arial" w:hAnsi="Arial" w:cs="Arial"/>
          <w:color w:val="000000"/>
          <w:sz w:val="21"/>
          <w:szCs w:val="21"/>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Pr>
          <w:rFonts w:ascii="Arial" w:eastAsia="Arial" w:hAnsi="Arial" w:cs="Arial"/>
          <w:color w:val="000000"/>
          <w:sz w:val="21"/>
          <w:szCs w:val="21"/>
          <w:vertAlign w:val="superscript"/>
        </w:rPr>
        <w:footnoteReference w:id="4"/>
      </w:r>
      <w:r>
        <w:rPr>
          <w:rFonts w:ascii="Arial" w:eastAsia="Arial" w:hAnsi="Arial" w:cs="Arial"/>
          <w:color w:val="000000"/>
          <w:sz w:val="21"/>
          <w:szCs w:val="21"/>
        </w:rPr>
        <w:t>.</w:t>
      </w:r>
    </w:p>
    <w:p w14:paraId="4392175D" w14:textId="77777777" w:rsidR="00501B0C" w:rsidRPr="009D2FA3" w:rsidRDefault="00557D14" w:rsidP="009D2FA3">
      <w:pPr>
        <w:spacing w:after="120"/>
        <w:ind w:firstLine="709"/>
      </w:pPr>
      <w:r>
        <w:rPr>
          <w:rFonts w:ascii="Arial" w:eastAsia="Arial" w:hAnsi="Arial" w:cs="Arial"/>
          <w:color w:val="000000"/>
          <w:sz w:val="22"/>
          <w:szCs w:val="22"/>
        </w:rPr>
        <w:t>El principio de publicidad impone a las autoridades administrativas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Pr>
          <w:rFonts w:ascii="Arial" w:eastAsia="Arial" w:hAnsi="Arial" w:cs="Arial"/>
          <w:color w:val="000000"/>
          <w:sz w:val="22"/>
          <w:szCs w:val="22"/>
          <w:vertAlign w:val="superscript"/>
        </w:rPr>
        <w:footnoteReference w:id="5"/>
      </w:r>
      <w:r>
        <w:rPr>
          <w:rFonts w:ascii="Arial" w:eastAsia="Arial" w:hAnsi="Arial" w:cs="Arial"/>
          <w:color w:val="000000"/>
          <w:sz w:val="22"/>
          <w:szCs w:val="22"/>
        </w:rPr>
        <w:t xml:space="preserve">. </w:t>
      </w:r>
    </w:p>
    <w:p w14:paraId="56971604" w14:textId="0E0DC7E6" w:rsidR="00501B0C" w:rsidRPr="009D2FA3" w:rsidRDefault="00557D14" w:rsidP="009D2FA3">
      <w:pPr>
        <w:spacing w:before="120" w:after="120"/>
        <w:ind w:firstLine="709"/>
      </w:pPr>
      <w:r>
        <w:rPr>
          <w:rFonts w:ascii="Arial" w:eastAsia="Arial" w:hAnsi="Arial" w:cs="Arial"/>
          <w:color w:val="000000"/>
          <w:sz w:val="22"/>
          <w:szCs w:val="22"/>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Pr>
          <w:rFonts w:ascii="Arial" w:eastAsia="Arial" w:hAnsi="Arial" w:cs="Arial"/>
          <w:color w:val="000000"/>
          <w:sz w:val="22"/>
          <w:szCs w:val="22"/>
          <w:vertAlign w:val="superscript"/>
        </w:rPr>
        <w:footnoteReference w:id="6"/>
      </w:r>
      <w:r>
        <w:rPr>
          <w:rFonts w:ascii="Arial" w:eastAsia="Arial" w:hAnsi="Arial" w:cs="Arial"/>
          <w:color w:val="000000"/>
          <w:sz w:val="22"/>
          <w:szCs w:val="22"/>
        </w:rPr>
        <w:t>.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que los sujetos obligados, que son todas las entidades públicas</w:t>
      </w:r>
      <w:r>
        <w:rPr>
          <w:rFonts w:ascii="Arial" w:eastAsia="Arial" w:hAnsi="Arial" w:cs="Arial"/>
          <w:color w:val="000000"/>
          <w:sz w:val="22"/>
          <w:szCs w:val="22"/>
          <w:vertAlign w:val="superscript"/>
        </w:rPr>
        <w:footnoteReference w:id="7"/>
      </w:r>
      <w:r>
        <w:rPr>
          <w:rFonts w:ascii="Arial" w:eastAsia="Arial" w:hAnsi="Arial" w:cs="Arial"/>
          <w:color w:val="000000"/>
          <w:sz w:val="22"/>
          <w:szCs w:val="22"/>
        </w:rPr>
        <w:t xml:space="preserve">, deben publicar la información </w:t>
      </w:r>
      <w:r>
        <w:rPr>
          <w:rFonts w:ascii="Arial" w:eastAsia="Arial" w:hAnsi="Arial" w:cs="Arial"/>
          <w:color w:val="000000"/>
          <w:sz w:val="22"/>
          <w:szCs w:val="22"/>
        </w:rPr>
        <w:lastRenderedPageBreak/>
        <w:t>relativa a su contratación. Esta obligación fue desarrollada por el Decreto Único Reglamentario 1081 de 2015</w:t>
      </w:r>
      <w:r>
        <w:rPr>
          <w:rFonts w:ascii="Arial" w:eastAsia="Arial" w:hAnsi="Arial" w:cs="Arial"/>
          <w:color w:val="000000"/>
          <w:sz w:val="22"/>
          <w:szCs w:val="22"/>
          <w:vertAlign w:val="superscript"/>
        </w:rPr>
        <w:footnoteReference w:id="8"/>
      </w:r>
      <w:r>
        <w:rPr>
          <w:rFonts w:ascii="Arial" w:eastAsia="Arial" w:hAnsi="Arial" w:cs="Arial"/>
          <w:color w:val="000000"/>
          <w:sz w:val="22"/>
          <w:szCs w:val="22"/>
        </w:rPr>
        <w:t>, el cual dispuso que la publicación de la información contractual de los sujetos obligados, que contratan con cargo a recursos públicos, debe hacerse en el Sistema Electrónico para la Contratación Pública ─SECOP–.</w:t>
      </w:r>
    </w:p>
    <w:p w14:paraId="7D347004" w14:textId="77777777" w:rsidR="00501B0C" w:rsidRPr="009D2FA3" w:rsidRDefault="00557D14" w:rsidP="009D2FA3">
      <w:pPr>
        <w:spacing w:before="120" w:after="120"/>
        <w:ind w:firstLine="709"/>
      </w:pPr>
      <w:r>
        <w:rPr>
          <w:rFonts w:ascii="Arial" w:eastAsia="Arial" w:hAnsi="Arial" w:cs="Arial"/>
          <w:color w:val="000000"/>
          <w:sz w:val="22"/>
          <w:szCs w:val="22"/>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Pr>
          <w:rFonts w:ascii="Arial" w:eastAsia="Arial" w:hAnsi="Arial" w:cs="Arial"/>
          <w:color w:val="000000"/>
          <w:sz w:val="22"/>
          <w:szCs w:val="22"/>
          <w:vertAlign w:val="superscript"/>
        </w:rPr>
        <w:footnoteReference w:id="9"/>
      </w:r>
      <w:r>
        <w:rPr>
          <w:rFonts w:ascii="Arial" w:eastAsia="Arial" w:hAnsi="Arial" w:cs="Arial"/>
          <w:color w:val="000000"/>
          <w:sz w:val="22"/>
          <w:szCs w:val="22"/>
        </w:rPr>
        <w:t>.</w:t>
      </w:r>
    </w:p>
    <w:p w14:paraId="5FBA3E1D" w14:textId="77777777" w:rsidR="00501B0C" w:rsidRPr="009D2FA3" w:rsidRDefault="00557D14" w:rsidP="009D2FA3">
      <w:pPr>
        <w:spacing w:before="120" w:after="120"/>
        <w:ind w:firstLine="709"/>
      </w:pPr>
      <w:r>
        <w:rPr>
          <w:rFonts w:ascii="Arial" w:eastAsia="Arial" w:hAnsi="Arial" w:cs="Arial"/>
          <w:color w:val="000000"/>
          <w:sz w:val="22"/>
          <w:szCs w:val="22"/>
        </w:rPr>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Pr>
          <w:rFonts w:ascii="Arial" w:eastAsia="Arial" w:hAnsi="Arial" w:cs="Arial"/>
          <w:color w:val="000000"/>
          <w:sz w:val="22"/>
          <w:szCs w:val="22"/>
          <w:vertAlign w:val="superscript"/>
        </w:rPr>
        <w:footnoteReference w:id="10"/>
      </w:r>
      <w:r>
        <w:rPr>
          <w:rFonts w:ascii="Arial" w:eastAsia="Arial" w:hAnsi="Arial" w:cs="Arial"/>
          <w:color w:val="000000"/>
          <w:sz w:val="22"/>
          <w:szCs w:val="22"/>
        </w:rPr>
        <w:t>. Este deber, tal y como ha sido aclarado por esta Agencia</w:t>
      </w:r>
      <w:r>
        <w:rPr>
          <w:rFonts w:ascii="Arial" w:eastAsia="Arial" w:hAnsi="Arial" w:cs="Arial"/>
          <w:color w:val="000000"/>
          <w:sz w:val="22"/>
          <w:szCs w:val="22"/>
          <w:vertAlign w:val="superscript"/>
        </w:rPr>
        <w:footnoteReference w:id="11"/>
      </w:r>
      <w:r>
        <w:rPr>
          <w:rFonts w:ascii="Arial" w:eastAsia="Arial" w:hAnsi="Arial" w:cs="Arial"/>
          <w:color w:val="000000"/>
          <w:sz w:val="22"/>
          <w:szCs w:val="22"/>
        </w:rPr>
        <w:t>,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06EDD7B3" w14:textId="77777777" w:rsidR="00501B0C" w:rsidRDefault="00557D14">
      <w:pPr>
        <w:spacing w:before="120"/>
        <w:ind w:firstLine="709"/>
        <w:rPr>
          <w:rFonts w:ascii="Arial" w:eastAsia="Arial" w:hAnsi="Arial" w:cs="Arial"/>
          <w:color w:val="000000"/>
          <w:sz w:val="22"/>
          <w:szCs w:val="22"/>
        </w:rPr>
      </w:pPr>
      <w:r>
        <w:rPr>
          <w:rFonts w:ascii="Arial" w:eastAsia="Arial" w:hAnsi="Arial" w:cs="Arial"/>
          <w:color w:val="000000"/>
          <w:sz w:val="22"/>
          <w:szCs w:val="22"/>
        </w:rPr>
        <w:lastRenderedPageBreak/>
        <w:t>El debate sobre la obligatoriedad o no de publicar en el SECOP, para las entidades con régimen especial de contratación, había sido definido, al menos de manera preliminar, por el Consejo de Estado. En este sentido, la Sección Tercera, Subsección C, en el Auto del 14 de agosto de 2017</w:t>
      </w:r>
      <w:r>
        <w:rPr>
          <w:rFonts w:ascii="Arial" w:eastAsia="Arial" w:hAnsi="Arial" w:cs="Arial"/>
          <w:color w:val="000000"/>
          <w:sz w:val="22"/>
          <w:szCs w:val="22"/>
          <w:vertAlign w:val="superscript"/>
        </w:rPr>
        <w:footnoteReference w:id="12"/>
      </w:r>
      <w:r>
        <w:rPr>
          <w:rFonts w:ascii="Arial" w:eastAsia="Arial" w:hAnsi="Arial" w:cs="Arial"/>
          <w:color w:val="000000"/>
          <w:sz w:val="22"/>
          <w:szCs w:val="22"/>
        </w:rPr>
        <w:t>, expresó que la obligación prevista en la Circular Externa No. 1 se ajusta a la normativa superior, en los siguientes términos:</w:t>
      </w:r>
    </w:p>
    <w:p w14:paraId="6D78967C" w14:textId="77777777" w:rsidR="00501B0C" w:rsidRPr="009D2FA3" w:rsidRDefault="00557D14" w:rsidP="009D2FA3">
      <w:pPr>
        <w:tabs>
          <w:tab w:val="left" w:pos="3885"/>
        </w:tabs>
        <w:spacing w:after="120" w:line="240" w:lineRule="auto"/>
        <w:ind w:left="709" w:right="709"/>
      </w:pPr>
      <w:r>
        <w:rPr>
          <w:rFonts w:ascii="Arial" w:eastAsia="Arial" w:hAnsi="Arial" w:cs="Arial"/>
          <w:color w:val="000000"/>
          <w:sz w:val="21"/>
          <w:szCs w:val="21"/>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632168C" w14:textId="77777777" w:rsidR="00501B0C" w:rsidRPr="009D2FA3" w:rsidRDefault="00557D14" w:rsidP="009D2FA3">
      <w:pPr>
        <w:tabs>
          <w:tab w:val="left" w:pos="3885"/>
        </w:tabs>
        <w:spacing w:line="240" w:lineRule="auto"/>
        <w:ind w:left="709" w:right="709"/>
      </w:pPr>
      <w:r>
        <w:rPr>
          <w:rFonts w:ascii="Arial" w:eastAsia="Arial" w:hAnsi="Arial" w:cs="Arial"/>
          <w:color w:val="000000"/>
          <w:sz w:val="21"/>
          <w:szCs w:val="21"/>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A97CA4F" w14:textId="77777777" w:rsidR="00501B0C" w:rsidRPr="009D2FA3" w:rsidRDefault="00557D14" w:rsidP="009D2FA3">
      <w:pPr>
        <w:tabs>
          <w:tab w:val="left" w:pos="3885"/>
        </w:tabs>
        <w:spacing w:after="120" w:line="240" w:lineRule="auto"/>
        <w:ind w:left="709" w:right="709"/>
      </w:pPr>
      <w:r>
        <w:rPr>
          <w:rFonts w:ascii="Arial" w:eastAsia="Arial" w:hAnsi="Arial" w:cs="Arial"/>
          <w:color w:val="000000"/>
          <w:sz w:val="21"/>
          <w:szCs w:val="21"/>
        </w:rPr>
        <w:t>[…]</w:t>
      </w:r>
    </w:p>
    <w:p w14:paraId="7C38FD2E" w14:textId="77777777" w:rsidR="00501B0C" w:rsidRPr="009D2FA3" w:rsidRDefault="00557D14" w:rsidP="009D2FA3">
      <w:pPr>
        <w:tabs>
          <w:tab w:val="left" w:pos="3885"/>
        </w:tabs>
        <w:spacing w:line="240" w:lineRule="auto"/>
        <w:ind w:left="709" w:right="709"/>
      </w:pPr>
      <w:r>
        <w:rPr>
          <w:rFonts w:ascii="Arial" w:eastAsia="Arial" w:hAnsi="Arial" w:cs="Arial"/>
          <w:color w:val="000000"/>
          <w:sz w:val="21"/>
          <w:szCs w:val="21"/>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Pr>
          <w:rFonts w:ascii="Arial" w:eastAsia="Arial" w:hAnsi="Arial" w:cs="Arial"/>
          <w:color w:val="000000"/>
          <w:sz w:val="21"/>
          <w:szCs w:val="21"/>
          <w:vertAlign w:val="superscript"/>
        </w:rPr>
        <w:footnoteReference w:id="13"/>
      </w:r>
      <w:r>
        <w:rPr>
          <w:rFonts w:ascii="Arial" w:eastAsia="Arial" w:hAnsi="Arial" w:cs="Arial"/>
          <w:color w:val="000000"/>
          <w:sz w:val="21"/>
          <w:szCs w:val="21"/>
        </w:rPr>
        <w:t>.</w:t>
      </w:r>
    </w:p>
    <w:p w14:paraId="3155CEAA" w14:textId="77777777" w:rsidR="00501B0C" w:rsidRDefault="00557D14">
      <w:pPr>
        <w:ind w:firstLine="708"/>
        <w:rPr>
          <w:rFonts w:ascii="Arial" w:eastAsia="Arial" w:hAnsi="Arial" w:cs="Arial"/>
          <w:color w:val="000000"/>
          <w:sz w:val="22"/>
          <w:szCs w:val="22"/>
        </w:rPr>
      </w:pPr>
      <w:r>
        <w:rPr>
          <w:rFonts w:ascii="Arial" w:eastAsia="Arial" w:hAnsi="Arial" w:cs="Arial"/>
          <w:color w:val="000000"/>
          <w:sz w:val="22"/>
          <w:szCs w:val="22"/>
        </w:rPr>
        <w:t xml:space="preserve">Adicionalmente, la publicación de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43E61A76" w14:textId="77777777" w:rsidR="00501B0C" w:rsidRPr="009D2FA3" w:rsidRDefault="00557D14" w:rsidP="009D2FA3">
      <w:pPr>
        <w:spacing w:line="240" w:lineRule="auto"/>
        <w:ind w:left="709" w:right="709"/>
      </w:pPr>
      <w:r>
        <w:rPr>
          <w:rFonts w:ascii="Arial" w:eastAsia="Arial" w:hAnsi="Arial" w:cs="Arial"/>
          <w:color w:val="000000"/>
          <w:sz w:val="21"/>
          <w:szCs w:val="21"/>
        </w:rPr>
        <w:t xml:space="preserve">Por consiguiente, otra conclusión natural de lo que se viene de decir es que la exigibilidad prevista en el literal c) del artículo 3° de la Ley 1150 de 2007 y aquella reflejada en la Circular Externa sobre deber de informar no alteran ni trastocan </w:t>
      </w:r>
      <w:r>
        <w:rPr>
          <w:rFonts w:ascii="Arial" w:eastAsia="Arial" w:hAnsi="Arial" w:cs="Arial"/>
          <w:color w:val="000000"/>
          <w:sz w:val="21"/>
          <w:szCs w:val="21"/>
        </w:rPr>
        <w:lastRenderedPageBreak/>
        <w:t>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Pr>
          <w:rFonts w:ascii="Arial" w:eastAsia="Arial" w:hAnsi="Arial" w:cs="Arial"/>
          <w:color w:val="000000"/>
          <w:sz w:val="21"/>
          <w:szCs w:val="21"/>
          <w:vertAlign w:val="superscript"/>
        </w:rPr>
        <w:footnoteReference w:id="14"/>
      </w:r>
      <w:r>
        <w:rPr>
          <w:rFonts w:ascii="Arial" w:eastAsia="Arial" w:hAnsi="Arial" w:cs="Arial"/>
          <w:color w:val="000000"/>
          <w:sz w:val="21"/>
          <w:szCs w:val="21"/>
        </w:rPr>
        <w:t>.</w:t>
      </w:r>
    </w:p>
    <w:p w14:paraId="6D91FE60" w14:textId="77777777" w:rsidR="00501B0C" w:rsidRDefault="00557D14">
      <w:pPr>
        <w:ind w:firstLine="708"/>
        <w:rPr>
          <w:rFonts w:ascii="Arial" w:eastAsia="Arial" w:hAnsi="Arial" w:cs="Arial"/>
          <w:color w:val="000000"/>
          <w:sz w:val="22"/>
          <w:szCs w:val="22"/>
        </w:rPr>
      </w:pPr>
      <w:r>
        <w:rPr>
          <w:rFonts w:ascii="Arial" w:eastAsia="Arial" w:hAnsi="Arial" w:cs="Arial"/>
          <w:color w:val="000000"/>
          <w:sz w:val="22"/>
          <w:szCs w:val="22"/>
        </w:rPr>
        <w:t xml:space="preserve">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 </w:t>
      </w:r>
      <w:r>
        <w:rPr>
          <w:rFonts w:ascii="Arial" w:eastAsia="Arial" w:hAnsi="Arial" w:cs="Arial"/>
          <w:color w:val="000000"/>
          <w:sz w:val="21"/>
          <w:szCs w:val="21"/>
        </w:rPr>
        <w:t xml:space="preserve">  </w:t>
      </w:r>
    </w:p>
    <w:p w14:paraId="14D89D17" w14:textId="77777777" w:rsidR="00501B0C" w:rsidRDefault="00557D14">
      <w:pPr>
        <w:pBdr>
          <w:top w:val="nil"/>
          <w:left w:val="nil"/>
          <w:bottom w:val="nil"/>
          <w:right w:val="nil"/>
          <w:between w:val="nil"/>
        </w:pBdr>
        <w:tabs>
          <w:tab w:val="left" w:pos="284"/>
          <w:tab w:val="left" w:pos="426"/>
        </w:tabs>
        <w:spacing w:after="0"/>
        <w:rPr>
          <w:rFonts w:ascii="Arial" w:eastAsia="Arial" w:hAnsi="Arial" w:cs="Arial"/>
          <w:b/>
          <w:color w:val="000000"/>
          <w:sz w:val="22"/>
          <w:szCs w:val="22"/>
        </w:rPr>
      </w:pPr>
      <w:r>
        <w:rPr>
          <w:rFonts w:ascii="Arial" w:eastAsia="Arial" w:hAnsi="Arial" w:cs="Arial"/>
          <w:b/>
          <w:color w:val="000000"/>
          <w:sz w:val="22"/>
          <w:szCs w:val="22"/>
        </w:rPr>
        <w:t xml:space="preserve">2.2. Documentos que deben publicar en el SECOP las entidades estatales de régimen especial. Reiteración del concepto CU-003 del 15 de enero de 2020 </w:t>
      </w:r>
    </w:p>
    <w:p w14:paraId="550F4AB4" w14:textId="77777777" w:rsidR="00501B0C" w:rsidRDefault="00501B0C">
      <w:pPr>
        <w:pBdr>
          <w:top w:val="nil"/>
          <w:left w:val="nil"/>
          <w:bottom w:val="nil"/>
          <w:right w:val="nil"/>
          <w:between w:val="nil"/>
        </w:pBdr>
        <w:spacing w:after="0"/>
        <w:rPr>
          <w:rFonts w:ascii="Arial" w:eastAsia="Arial" w:hAnsi="Arial" w:cs="Arial"/>
          <w:b/>
          <w:color w:val="000000"/>
          <w:sz w:val="22"/>
          <w:szCs w:val="22"/>
        </w:rPr>
      </w:pPr>
    </w:p>
    <w:p w14:paraId="46B1C2F1" w14:textId="77777777" w:rsidR="00501B0C" w:rsidRDefault="00557D14">
      <w:p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Determinada la obligación que tienen las entidades sujetas a un régimen especial de publicar la información oficial de su contratación con recursos públicos en el SECOP, se identificarán los documentos que deben publicar, no sin antes explicar la posición que la Agencia Nacional de Contratación Pública ─ Colombia Compra Eficiente adoptó desde el 2016 hasta el 2019. Posteriormente, se reiterará el concepto CU-003 del 15 de enero de 2020, que contiene la tesis que actualmente acoge la Agencia. </w:t>
      </w:r>
    </w:p>
    <w:p w14:paraId="2C907271" w14:textId="77777777" w:rsidR="00501B0C" w:rsidRPr="009D2FA3" w:rsidRDefault="00557D14" w:rsidP="009D2FA3">
      <w:pPr>
        <w:spacing w:before="120" w:after="120"/>
        <w:ind w:firstLine="709"/>
      </w:pPr>
      <w:r>
        <w:rPr>
          <w:rFonts w:ascii="Arial" w:eastAsia="Arial" w:hAnsi="Arial" w:cs="Arial"/>
          <w:color w:val="000000"/>
          <w:sz w:val="22"/>
          <w:szCs w:val="22"/>
        </w:rPr>
        <w:t>Primero, en respuesta a la consulta identificada con el radicado No. 41612000877 del 15 de febrero de 2016, la Agencia señaló que las empresas industriales y comerciales del Estado, las empresas de servicios públicos domiciliarios y las sociedades de economía mixta –sometidas a un régimen especial de contratación– debían publicar en el SECOP todos los documentos del proceso que define el Decreto 1082 de 2015, así como lo relativo a la ejecución del contrato. Lo anterior, a partir de lo dispuesto en el literal c) del artículo 3 de la Ley 1150 de 2007</w:t>
      </w:r>
      <w:r>
        <w:rPr>
          <w:rFonts w:ascii="Arial" w:eastAsia="Arial" w:hAnsi="Arial" w:cs="Arial"/>
          <w:color w:val="000000"/>
          <w:sz w:val="22"/>
          <w:szCs w:val="22"/>
          <w:vertAlign w:val="superscript"/>
        </w:rPr>
        <w:footnoteReference w:id="15"/>
      </w:r>
      <w:r>
        <w:rPr>
          <w:rFonts w:ascii="Arial" w:eastAsia="Arial" w:hAnsi="Arial" w:cs="Arial"/>
          <w:color w:val="000000"/>
          <w:sz w:val="22"/>
          <w:szCs w:val="22"/>
        </w:rPr>
        <w:t xml:space="preserve">. En este sentido, reconoció la obligatoriedad, por parte de las entidades de régimen especial, de publicar su </w:t>
      </w:r>
      <w:r w:rsidRPr="009D2FA3">
        <w:rPr>
          <w:rFonts w:ascii="Arial" w:eastAsia="Arial" w:hAnsi="Arial" w:cs="Arial"/>
          <w:color w:val="000000"/>
          <w:sz w:val="22"/>
          <w:szCs w:val="22"/>
        </w:rPr>
        <w:t>actividad contractual</w:t>
      </w:r>
      <w:r>
        <w:rPr>
          <w:rFonts w:ascii="Arial" w:eastAsia="Arial" w:hAnsi="Arial" w:cs="Arial"/>
          <w:color w:val="000000"/>
          <w:sz w:val="22"/>
          <w:szCs w:val="22"/>
        </w:rPr>
        <w:t xml:space="preserve"> en el SECOP. De este modo, con fundamento en el artículo 2.2.1.1.1.3.1 del Decreto 1082 de 2015, normativa que aplica a las entidades que se rigen por la Ley 80 de 1993, indicó que los documentos del </w:t>
      </w:r>
      <w:r>
        <w:rPr>
          <w:rFonts w:ascii="Arial" w:eastAsia="Arial" w:hAnsi="Arial" w:cs="Arial"/>
          <w:color w:val="000000"/>
          <w:sz w:val="22"/>
          <w:szCs w:val="22"/>
        </w:rPr>
        <w:lastRenderedPageBreak/>
        <w:t>proceso que se enunciaban allí también eran los que debían publicar las entidades exceptuadas del Estatuto General de Contratación de la Administración Pública.</w:t>
      </w:r>
    </w:p>
    <w:p w14:paraId="3C831931" w14:textId="77777777" w:rsidR="00501B0C" w:rsidRPr="009D2FA3" w:rsidRDefault="00557D14" w:rsidP="009D2FA3">
      <w:pPr>
        <w:spacing w:before="120" w:after="120"/>
        <w:ind w:firstLine="709"/>
      </w:pPr>
      <w:r>
        <w:rPr>
          <w:rFonts w:ascii="Arial" w:eastAsia="Arial" w:hAnsi="Arial" w:cs="Arial"/>
          <w:color w:val="000000"/>
          <w:sz w:val="22"/>
          <w:szCs w:val="22"/>
        </w:rPr>
        <w:t>Posteriormente, en el año 2018, cambió el fundamento normativo que define los documentos que las entidades de régimen especial debían publicar en el SECOP. Así, en el concepto con radicado No. 4201814000008329 del 8 de octubre de 2018, la Agencia dijo que en virtud del artículo 11 de la Ley 1712 de 2014, los destinatarios de las normas contenidas en la ley de transparencia debían publicar los procedimientos, lineamientos, políticas en materia de adquisiciones y compras, así como todos los datos de adjudicación y ejecución de contratos, incluidos concursos y licitaciones. Por lo tanto, los documentos que se debían publicar eran los previstos en el manual de contratación de cada entidad de régimen especial para la adquisición de un bien o servicio, y no los que definía el artículo 2.2.1.1.1.3.1 del Decreto 1082 de 2015</w:t>
      </w:r>
      <w:r>
        <w:rPr>
          <w:rFonts w:ascii="Arial" w:eastAsia="Arial" w:hAnsi="Arial" w:cs="Arial"/>
          <w:color w:val="000000"/>
          <w:sz w:val="22"/>
          <w:szCs w:val="22"/>
          <w:vertAlign w:val="superscript"/>
        </w:rPr>
        <w:footnoteReference w:id="16"/>
      </w:r>
      <w:r>
        <w:rPr>
          <w:rFonts w:ascii="Arial" w:eastAsia="Arial" w:hAnsi="Arial" w:cs="Arial"/>
          <w:color w:val="000000"/>
          <w:sz w:val="22"/>
          <w:szCs w:val="22"/>
        </w:rPr>
        <w:t xml:space="preserve">. </w:t>
      </w:r>
    </w:p>
    <w:p w14:paraId="0C6A32DD" w14:textId="77777777" w:rsidR="00501B0C" w:rsidRPr="009D2FA3" w:rsidRDefault="00557D14" w:rsidP="009D2FA3">
      <w:pPr>
        <w:spacing w:before="120" w:after="120"/>
        <w:ind w:firstLine="709"/>
      </w:pPr>
      <w:r>
        <w:rPr>
          <w:rFonts w:ascii="Arial" w:eastAsia="Arial" w:hAnsi="Arial" w:cs="Arial"/>
          <w:color w:val="000000"/>
          <w:sz w:val="22"/>
          <w:szCs w:val="22"/>
        </w:rPr>
        <w:t>Conforme a lo anterior, en un primer momento la Agencia Nacional de Contratación Pública – Colombia Compra Eficiente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–compilado en los artículos 2.1.1.1.1. al 2.1.1.6.1. del Decreto 1081 de 2015–. Esta posición –que fue la acogida y desarrollada en el concepto de unificación CU-003 de 2020– es la que se reiterará a continuación.</w:t>
      </w:r>
    </w:p>
    <w:p w14:paraId="612DF564" w14:textId="77777777" w:rsidR="00501B0C" w:rsidRPr="009D2FA3" w:rsidRDefault="00557D14" w:rsidP="009D2FA3">
      <w:pPr>
        <w:spacing w:before="120" w:after="120"/>
        <w:ind w:firstLine="709"/>
      </w:pPr>
      <w:r>
        <w:rPr>
          <w:rFonts w:ascii="Arial" w:eastAsia="Arial" w:hAnsi="Arial" w:cs="Arial"/>
          <w:color w:val="000000"/>
          <w:sz w:val="22"/>
          <w:szCs w:val="22"/>
        </w:rPr>
        <w:t xml:space="preserve">En efecto, la Ley 1712 de 2014 –«Por medio de la cual se crea la Ley de Transparencia y del Derecho de Acceso a la Información Pública Nacional y se dictan otras disposiciones»–, señala en el artículo 11, literal g), que todo </w:t>
      </w:r>
      <w:r>
        <w:rPr>
          <w:rFonts w:ascii="Arial" w:eastAsia="Arial" w:hAnsi="Arial" w:cs="Arial"/>
          <w:i/>
          <w:color w:val="000000"/>
          <w:sz w:val="22"/>
          <w:szCs w:val="22"/>
        </w:rPr>
        <w:t>sujeto obligado</w:t>
      </w:r>
      <w:r>
        <w:rPr>
          <w:rFonts w:ascii="Arial" w:eastAsia="Arial" w:hAnsi="Arial" w:cs="Arial"/>
          <w:color w:val="000000"/>
          <w:sz w:val="22"/>
          <w:szCs w:val="22"/>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3B2BE481" w14:textId="77777777" w:rsidR="00501B0C" w:rsidRPr="009D2FA3" w:rsidRDefault="00557D14" w:rsidP="009D2FA3">
      <w:pPr>
        <w:spacing w:before="120" w:after="120"/>
        <w:ind w:firstLine="709"/>
      </w:pPr>
      <w:r>
        <w:rPr>
          <w:rFonts w:ascii="Arial" w:eastAsia="Arial" w:hAnsi="Arial" w:cs="Arial"/>
          <w:color w:val="000000"/>
          <w:sz w:val="22"/>
          <w:szCs w:val="22"/>
        </w:rPr>
        <w:lastRenderedPageBreak/>
        <w:t>Luego,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w:t>
      </w:r>
      <w:r>
        <w:rPr>
          <w:rFonts w:ascii="Arial" w:eastAsia="Arial" w:hAnsi="Arial" w:cs="Arial"/>
          <w:color w:val="000000"/>
          <w:sz w:val="22"/>
          <w:szCs w:val="22"/>
          <w:vertAlign w:val="superscript"/>
        </w:rPr>
        <w:footnoteReference w:id="17"/>
      </w:r>
      <w:r>
        <w:rPr>
          <w:rFonts w:ascii="Arial" w:eastAsia="Arial" w:hAnsi="Arial" w:cs="Arial"/>
          <w:color w:val="000000"/>
          <w:sz w:val="22"/>
          <w:szCs w:val="22"/>
        </w:rPr>
        <w:t>.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Pr>
          <w:rFonts w:ascii="Arial" w:eastAsia="Arial" w:hAnsi="Arial" w:cs="Arial"/>
          <w:color w:val="000000"/>
          <w:sz w:val="22"/>
          <w:szCs w:val="22"/>
          <w:vertAlign w:val="superscript"/>
        </w:rPr>
        <w:footnoteReference w:id="18"/>
      </w:r>
      <w:r>
        <w:rPr>
          <w:rFonts w:ascii="Arial" w:eastAsia="Arial" w:hAnsi="Arial" w:cs="Arial"/>
          <w:color w:val="000000"/>
          <w:sz w:val="22"/>
          <w:szCs w:val="22"/>
        </w:rPr>
        <w:t>. Finalmente, el artículo 10 del Decreto 103 de 2015 –</w:t>
      </w:r>
      <w:r>
        <w:rPr>
          <w:rFonts w:ascii="Arial" w:eastAsia="Arial" w:hAnsi="Arial" w:cs="Arial"/>
          <w:sz w:val="22"/>
          <w:szCs w:val="22"/>
        </w:rPr>
        <w:t xml:space="preserve">artículo </w:t>
      </w:r>
      <w:r>
        <w:rPr>
          <w:rFonts w:ascii="Arial" w:eastAsia="Arial" w:hAnsi="Arial" w:cs="Arial"/>
          <w:color w:val="000000"/>
          <w:sz w:val="22"/>
          <w:szCs w:val="22"/>
        </w:rPr>
        <w:t>2.1.1.2.1.10. del Decreto 1081 de 2015– consagra la obligación que tienen las entidades estatales de publicar en el SECOP el Plan Anual de Adquisiciones</w:t>
      </w:r>
      <w:r>
        <w:rPr>
          <w:rFonts w:ascii="Arial" w:eastAsia="Arial" w:hAnsi="Arial" w:cs="Arial"/>
          <w:color w:val="000000"/>
          <w:sz w:val="22"/>
          <w:szCs w:val="22"/>
          <w:vertAlign w:val="superscript"/>
        </w:rPr>
        <w:footnoteReference w:id="19"/>
      </w:r>
      <w:r>
        <w:rPr>
          <w:rFonts w:ascii="Arial" w:eastAsia="Arial" w:hAnsi="Arial" w:cs="Arial"/>
          <w:color w:val="000000"/>
          <w:sz w:val="22"/>
          <w:szCs w:val="22"/>
        </w:rPr>
        <w:t>.</w:t>
      </w:r>
    </w:p>
    <w:p w14:paraId="1DEA0746" w14:textId="77777777" w:rsidR="00501B0C" w:rsidRPr="009D2FA3" w:rsidRDefault="00557D14" w:rsidP="009D2FA3">
      <w:pPr>
        <w:spacing w:before="120" w:after="120"/>
        <w:ind w:firstLine="709"/>
      </w:pPr>
      <w:r>
        <w:rPr>
          <w:rFonts w:ascii="Arial" w:eastAsia="Arial" w:hAnsi="Arial" w:cs="Arial"/>
          <w:color w:val="000000"/>
          <w:sz w:val="22"/>
          <w:szCs w:val="22"/>
        </w:rPr>
        <w:t xml:space="preserve">De conformidad con lo anterior,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ii) los procedimientos, lineamientos y políticas en materia de adquisición que corresponden a los  documentos que </w:t>
      </w:r>
      <w:r>
        <w:rPr>
          <w:rFonts w:ascii="Arial" w:eastAsia="Arial" w:hAnsi="Arial" w:cs="Arial"/>
          <w:color w:val="000000"/>
          <w:sz w:val="22"/>
          <w:szCs w:val="22"/>
        </w:rPr>
        <w:lastRenderedPageBreak/>
        <w:t>los conforman, previstos en el manual de contratación de la entidad, y finalmente, iii) el plan anual de adquisiciones.</w:t>
      </w:r>
    </w:p>
    <w:p w14:paraId="3625DD2D" w14:textId="77777777" w:rsidR="00501B0C" w:rsidRPr="009D2FA3" w:rsidRDefault="00557D14" w:rsidP="009D2FA3">
      <w:pPr>
        <w:spacing w:before="120" w:after="120"/>
        <w:ind w:firstLine="709"/>
      </w:pPr>
      <w:r>
        <w:rPr>
          <w:rFonts w:ascii="Arial" w:eastAsia="Arial" w:hAnsi="Arial" w:cs="Arial"/>
          <w:color w:val="000000"/>
          <w:sz w:val="22"/>
          <w:szCs w:val="22"/>
        </w:rPr>
        <w:t>En relación con el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65A2CB88" w14:textId="77777777" w:rsidR="00501B0C" w:rsidRDefault="00557D14">
      <w:pPr>
        <w:spacing w:before="120"/>
        <w:ind w:firstLine="709"/>
        <w:rPr>
          <w:rFonts w:ascii="Arial" w:eastAsia="Arial" w:hAnsi="Arial" w:cs="Arial"/>
          <w:color w:val="000000"/>
          <w:sz w:val="22"/>
          <w:szCs w:val="22"/>
        </w:rPr>
      </w:pPr>
      <w:r>
        <w:rPr>
          <w:rFonts w:ascii="Arial" w:eastAsia="Arial" w:hAnsi="Arial" w:cs="Arial"/>
          <w:color w:val="000000"/>
          <w:sz w:val="22"/>
          <w:szCs w:val="22"/>
        </w:rPr>
        <w:t>Por lo tanto, en estos casos aplica la Ley 1712 de 2014 y el Decreto 103 de 2015, no el Decreto 1082 de 2015, porque esta última norma rige a las entidades sometidas al Estatuto General de Contratación de la Administración Pública, y por lo tanto no aplica a las entidades exceptuadas de dicho Estatuto que, por regla general, se rigen por el derecho privado. Por su parte, la Ley 1712 de 2014 y el Decreto reglamentario 103 de 2015 –compilado en los artículos 2.1.1.1.1. al 2.1.1.6.1. del Decreto 1081 de 2015– le aplican a cualquier entidad pública, incluyendo las pertenecientes a todas las ramas del poder público, en todos los niveles de la estructura estatal, central o descentralizada por servicios o territorialmente, en los órdenes nacional, departamental, municipal y distrital.</w:t>
      </w:r>
    </w:p>
    <w:p w14:paraId="3167057C" w14:textId="77777777" w:rsidR="00501B0C" w:rsidRDefault="00557D14">
      <w:pPr>
        <w:rPr>
          <w:rFonts w:ascii="Arial" w:eastAsia="Arial" w:hAnsi="Arial" w:cs="Arial"/>
          <w:b/>
          <w:color w:val="1A1A1A"/>
          <w:sz w:val="22"/>
          <w:szCs w:val="22"/>
        </w:rPr>
      </w:pPr>
      <w:r>
        <w:rPr>
          <w:rFonts w:ascii="Arial" w:eastAsia="Arial" w:hAnsi="Arial" w:cs="Arial"/>
          <w:b/>
          <w:color w:val="1A1A1A"/>
          <w:sz w:val="22"/>
          <w:szCs w:val="22"/>
        </w:rPr>
        <w:t xml:space="preserve">2.3. Régimen  de las empresas de servicios públicos domiciliarios y publicidad de la información contractual en el SECOP  </w:t>
      </w:r>
    </w:p>
    <w:p w14:paraId="584A4129" w14:textId="77777777" w:rsidR="00501B0C" w:rsidRDefault="00557D14">
      <w:pPr>
        <w:spacing w:after="120"/>
        <w:rPr>
          <w:rFonts w:ascii="Arial" w:eastAsia="Arial" w:hAnsi="Arial" w:cs="Arial"/>
          <w:color w:val="1A1A1A"/>
          <w:sz w:val="22"/>
          <w:szCs w:val="22"/>
        </w:rPr>
      </w:pPr>
      <w:r>
        <w:rPr>
          <w:rFonts w:ascii="Arial" w:eastAsia="Arial" w:hAnsi="Arial" w:cs="Arial"/>
          <w:color w:val="1A1A1A"/>
          <w:sz w:val="22"/>
          <w:szCs w:val="22"/>
        </w:rPr>
        <w:t>El artículo 365 de la Constitución Política establece que los servicios públicos domiciliarios «podrán ser prestados por el Estado, directa o indirectamente, por comunidades organizadas o por particulares», pero que «[e]n todo caso, el Estado mantendrá la regulación, el control y la vigilancia de dichos servicios». En desarrollo de esta habilitación superior, el Congreso de la República dispuso, en el artículo 15 de la Ley 142 de 1994, que pueden actuar como operadores de servicios públicos domiciliarios: i) «Las empresas de servicios públicos» –oficiales, mixtas y privadas–, ii) «Las personas naturales o jurídicas que produzcan para ellas mismas, o como consecuencia o complemento de su actividad principal, los bienes y servicios propios del objeto de las empresas de servicios públicos, iii) «Los municipios cuando asuman en forma directa, a través de su administración central, la prestación de los servicios públicos, conforme a lo dispuesto en esta Ley», y iv) «Las organizaciones autorizadas conforme a esta Ley para prestar servicios públicos en municipios menores en zonas rurales y en áreas o zonas urbanas específicas».</w:t>
      </w:r>
    </w:p>
    <w:p w14:paraId="33B296F0" w14:textId="77777777" w:rsidR="00501B0C" w:rsidRDefault="00557D14">
      <w:pPr>
        <w:ind w:firstLine="709"/>
        <w:rPr>
          <w:rFonts w:ascii="Arial" w:eastAsia="Arial" w:hAnsi="Arial" w:cs="Arial"/>
          <w:color w:val="1A1A1A"/>
          <w:sz w:val="22"/>
          <w:szCs w:val="22"/>
        </w:rPr>
      </w:pPr>
      <w:r>
        <w:rPr>
          <w:rFonts w:ascii="Arial" w:eastAsia="Arial" w:hAnsi="Arial" w:cs="Arial"/>
          <w:color w:val="1A1A1A"/>
          <w:sz w:val="22"/>
          <w:szCs w:val="22"/>
        </w:rPr>
        <w:lastRenderedPageBreak/>
        <w:t xml:space="preserve">Por su parte, 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6555553E" w14:textId="77777777" w:rsidR="00501B0C" w:rsidRDefault="00557D14">
      <w:pPr>
        <w:pBdr>
          <w:top w:val="nil"/>
          <w:left w:val="nil"/>
          <w:bottom w:val="nil"/>
          <w:right w:val="nil"/>
          <w:between w:val="nil"/>
        </w:pBdr>
        <w:spacing w:after="0" w:line="240" w:lineRule="auto"/>
        <w:ind w:left="709" w:right="474"/>
        <w:rPr>
          <w:rFonts w:ascii="Arial" w:eastAsia="Arial" w:hAnsi="Arial" w:cs="Arial"/>
          <w:color w:val="1A1A1A"/>
          <w:sz w:val="21"/>
          <w:szCs w:val="21"/>
        </w:rPr>
      </w:pPr>
      <w:r>
        <w:rPr>
          <w:rFonts w:ascii="Arial" w:eastAsia="Arial" w:hAnsi="Arial" w:cs="Arial"/>
          <w:color w:val="1A1A1A"/>
          <w:sz w:val="21"/>
          <w:szCs w:val="21"/>
        </w:rPr>
        <w:t>14.5. Empresa de servicios públicos oficial. Es aquella en cuyo capital la Nación, las entidades territoriales, o las entidades descentralizadas de aquella o estas tienen el 100% de los aportes.</w:t>
      </w:r>
    </w:p>
    <w:p w14:paraId="15B4267C" w14:textId="77777777" w:rsidR="00501B0C" w:rsidRDefault="00557D14">
      <w:pPr>
        <w:pBdr>
          <w:top w:val="nil"/>
          <w:left w:val="nil"/>
          <w:bottom w:val="nil"/>
          <w:right w:val="nil"/>
          <w:between w:val="nil"/>
        </w:pBdr>
        <w:spacing w:before="120" w:after="120" w:line="240" w:lineRule="auto"/>
        <w:ind w:left="709" w:right="474"/>
        <w:rPr>
          <w:rFonts w:ascii="Arial" w:eastAsia="Arial" w:hAnsi="Arial" w:cs="Arial"/>
          <w:color w:val="1A1A1A"/>
          <w:sz w:val="21"/>
          <w:szCs w:val="21"/>
        </w:rPr>
      </w:pPr>
      <w:r>
        <w:rPr>
          <w:rFonts w:ascii="Arial" w:eastAsia="Arial" w:hAnsi="Arial" w:cs="Arial"/>
          <w:color w:val="1A1A1A"/>
          <w:sz w:val="21"/>
          <w:szCs w:val="21"/>
        </w:rPr>
        <w:t>14.6. Empresa de servicios públicos mixta. Es aquella en cuyo capital la Nación, las entidades territoriales, o las entidades descentralizadas de aquella o éstas tienen aportes iguales o superiores al 50%. </w:t>
      </w:r>
    </w:p>
    <w:p w14:paraId="3B35194C" w14:textId="77777777" w:rsidR="00501B0C" w:rsidRDefault="00557D14">
      <w:pPr>
        <w:pBdr>
          <w:top w:val="nil"/>
          <w:left w:val="nil"/>
          <w:bottom w:val="nil"/>
          <w:right w:val="nil"/>
          <w:between w:val="nil"/>
        </w:pBdr>
        <w:spacing w:before="120" w:after="0" w:line="240" w:lineRule="auto"/>
        <w:ind w:left="709" w:right="474"/>
        <w:rPr>
          <w:rFonts w:ascii="Arial" w:eastAsia="Arial" w:hAnsi="Arial" w:cs="Arial"/>
          <w:color w:val="1A1A1A"/>
          <w:sz w:val="21"/>
          <w:szCs w:val="21"/>
        </w:rPr>
      </w:pPr>
      <w:r>
        <w:rPr>
          <w:rFonts w:ascii="Arial" w:eastAsia="Arial" w:hAnsi="Arial" w:cs="Arial"/>
          <w:color w:val="1A1A1A"/>
          <w:sz w:val="21"/>
          <w:szCs w:val="21"/>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7F183F90" w14:textId="77777777" w:rsidR="00501B0C" w:rsidRDefault="00501B0C">
      <w:pPr>
        <w:pBdr>
          <w:top w:val="nil"/>
          <w:left w:val="nil"/>
          <w:bottom w:val="nil"/>
          <w:right w:val="nil"/>
          <w:between w:val="nil"/>
        </w:pBdr>
        <w:spacing w:after="0" w:line="240" w:lineRule="auto"/>
        <w:rPr>
          <w:rFonts w:ascii="Arial" w:eastAsia="Arial" w:hAnsi="Arial" w:cs="Arial"/>
          <w:color w:val="1A1A1A"/>
          <w:sz w:val="22"/>
          <w:szCs w:val="22"/>
        </w:rPr>
      </w:pPr>
    </w:p>
    <w:p w14:paraId="604B780A" w14:textId="77777777" w:rsidR="00501B0C" w:rsidRDefault="00557D14">
      <w:pPr>
        <w:pBdr>
          <w:top w:val="nil"/>
          <w:left w:val="nil"/>
          <w:bottom w:val="nil"/>
          <w:right w:val="nil"/>
          <w:between w:val="nil"/>
        </w:pBdr>
        <w:spacing w:after="120"/>
        <w:ind w:firstLine="708"/>
        <w:rPr>
          <w:rFonts w:ascii="Arial" w:eastAsia="Arial" w:hAnsi="Arial" w:cs="Arial"/>
          <w:color w:val="1A1A1A"/>
          <w:sz w:val="22"/>
          <w:szCs w:val="22"/>
        </w:rPr>
      </w:pPr>
      <w:r>
        <w:rPr>
          <w:rFonts w:ascii="Arial" w:eastAsia="Arial" w:hAnsi="Arial" w:cs="Arial"/>
          <w:color w:val="1A1A1A"/>
          <w:sz w:val="22"/>
          <w:szCs w:val="22"/>
        </w:rPr>
        <w:t xml:space="preserve">A su turno, el artículo 17 de la ley citada señala que «las empresas de servicios públicos son sociedades por acciones cuyo objeto es la prestación de los servicios públicos de que trata esta ley». </w:t>
      </w:r>
    </w:p>
    <w:p w14:paraId="4A48F3DF" w14:textId="77777777" w:rsidR="00501B0C" w:rsidRDefault="00557D14">
      <w:pPr>
        <w:pBdr>
          <w:top w:val="nil"/>
          <w:left w:val="nil"/>
          <w:bottom w:val="nil"/>
          <w:right w:val="nil"/>
          <w:between w:val="nil"/>
        </w:pBdr>
        <w:spacing w:before="120" w:after="120"/>
        <w:ind w:firstLine="708"/>
        <w:rPr>
          <w:rFonts w:ascii="Arial" w:eastAsia="Arial" w:hAnsi="Arial" w:cs="Arial"/>
          <w:color w:val="1A1A1A"/>
          <w:sz w:val="22"/>
          <w:szCs w:val="22"/>
        </w:rPr>
      </w:pPr>
      <w:r>
        <w:rPr>
          <w:rFonts w:ascii="Arial" w:eastAsia="Arial" w:hAnsi="Arial" w:cs="Arial"/>
          <w:color w:val="1A1A1A"/>
          <w:sz w:val="22"/>
          <w:szCs w:val="22"/>
        </w:rPr>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públicos, esto es, aquellas en las que la participación del Estado es del 100%</w:t>
      </w:r>
      <w:r>
        <w:rPr>
          <w:rFonts w:ascii="Arial" w:eastAsia="Arial" w:hAnsi="Arial" w:cs="Arial"/>
          <w:color w:val="1A1A1A"/>
          <w:sz w:val="22"/>
          <w:szCs w:val="22"/>
          <w:vertAlign w:val="superscript"/>
        </w:rPr>
        <w:footnoteReference w:id="20"/>
      </w:r>
      <w:r>
        <w:rPr>
          <w:rFonts w:ascii="Arial" w:eastAsia="Arial" w:hAnsi="Arial" w:cs="Arial"/>
          <w:color w:val="1A1A1A"/>
          <w:sz w:val="22"/>
          <w:szCs w:val="22"/>
        </w:rPr>
        <w:t xml:space="preserve">. </w:t>
      </w:r>
    </w:p>
    <w:p w14:paraId="6BC07C7D" w14:textId="77777777" w:rsidR="00501B0C" w:rsidRDefault="00557D14">
      <w:pPr>
        <w:pBdr>
          <w:top w:val="nil"/>
          <w:left w:val="nil"/>
          <w:bottom w:val="nil"/>
          <w:right w:val="nil"/>
          <w:between w:val="nil"/>
        </w:pBdr>
        <w:spacing w:before="120" w:after="120"/>
        <w:ind w:firstLine="708"/>
        <w:rPr>
          <w:rFonts w:ascii="Arial" w:eastAsia="Arial" w:hAnsi="Arial" w:cs="Arial"/>
          <w:color w:val="1A1A1A"/>
          <w:sz w:val="22"/>
          <w:szCs w:val="22"/>
        </w:rPr>
      </w:pPr>
      <w:r>
        <w:rPr>
          <w:rFonts w:ascii="Arial" w:eastAsia="Arial" w:hAnsi="Arial" w:cs="Arial"/>
          <w:color w:val="1A1A1A"/>
          <w:sz w:val="22"/>
          <w:szCs w:val="22"/>
        </w:rPr>
        <w:t xml:space="preserve">Lo anterior llevó a pensar que el legislador excluyó de la Rama Ejecutiva a las empresas de servicios públicos mixtas –capital público superior al 50%– y las privadas –capital público inferior al 50%–. Sin embargo, la Corte Constitucional determinó que tanto las empresas de servicios públicos mixtas como las privadas hacían parte de la Rama Ejecutiva, toda vez que el literal g) del artículo 38 de la Ley 489 de 1998 aplica a «g) Las demás entidades administrativas nacionales con personería jurídica que cree, organice o autorice la ley para que formen parte de la Rama Ejecutiva del Poder Público». </w:t>
      </w:r>
    </w:p>
    <w:p w14:paraId="5274B661" w14:textId="77777777" w:rsidR="00501B0C" w:rsidRDefault="00557D14">
      <w:pPr>
        <w:pBdr>
          <w:top w:val="nil"/>
          <w:left w:val="nil"/>
          <w:bottom w:val="nil"/>
          <w:right w:val="nil"/>
          <w:between w:val="nil"/>
        </w:pBdr>
        <w:spacing w:before="120" w:after="120"/>
        <w:ind w:firstLine="709"/>
        <w:rPr>
          <w:rFonts w:ascii="Arial" w:eastAsia="Arial" w:hAnsi="Arial" w:cs="Arial"/>
          <w:color w:val="1A1A1A"/>
          <w:sz w:val="21"/>
          <w:szCs w:val="21"/>
        </w:rPr>
      </w:pPr>
      <w:r>
        <w:rPr>
          <w:rFonts w:ascii="Arial" w:eastAsia="Arial" w:hAnsi="Arial" w:cs="Arial"/>
          <w:color w:val="1A1A1A"/>
          <w:sz w:val="22"/>
          <w:szCs w:val="22"/>
        </w:rPr>
        <w:lastRenderedPageBreak/>
        <w:t>La Corte Constitucional, además de señalar la pertenencia a la Rama Ejecutiva de las empresas de servicios públicos mixtas y privadas, también sostuvo que se trataba de entidades descentralizadas por servicios, en los términos del artículo 68 de la Ley 489 de 1998</w:t>
      </w:r>
      <w:r>
        <w:rPr>
          <w:rFonts w:ascii="Arial" w:eastAsia="Arial" w:hAnsi="Arial" w:cs="Arial"/>
          <w:color w:val="1A1A1A"/>
          <w:sz w:val="22"/>
          <w:szCs w:val="22"/>
          <w:vertAlign w:val="superscript"/>
        </w:rPr>
        <w:footnoteReference w:id="21"/>
      </w:r>
      <w:r>
        <w:rPr>
          <w:rFonts w:ascii="Arial" w:eastAsia="Arial" w:hAnsi="Arial" w:cs="Arial"/>
          <w:color w:val="1A1A1A"/>
          <w:sz w:val="22"/>
          <w:szCs w:val="22"/>
        </w:rPr>
        <w:t>. En esta providencia también aclaró que las empresas prestadoras de servicios públicos, de carácter mixto o privado, no son empresas de economía mixta. La anterior conclusión fue fundamentada sobre la idea del carácter o naturaleza especial que la Constitución otorgó a las empresas de servicios públicos</w:t>
      </w:r>
      <w:r>
        <w:rPr>
          <w:rFonts w:ascii="Arial" w:eastAsia="Arial" w:hAnsi="Arial" w:cs="Arial"/>
          <w:color w:val="1A1A1A"/>
          <w:sz w:val="21"/>
          <w:szCs w:val="21"/>
          <w:vertAlign w:val="superscript"/>
        </w:rPr>
        <w:footnoteReference w:id="22"/>
      </w:r>
      <w:r>
        <w:rPr>
          <w:rFonts w:ascii="Arial" w:eastAsia="Arial" w:hAnsi="Arial" w:cs="Arial"/>
          <w:color w:val="1A1A1A"/>
          <w:sz w:val="21"/>
          <w:szCs w:val="21"/>
        </w:rPr>
        <w:t>.</w:t>
      </w:r>
    </w:p>
    <w:p w14:paraId="62858186" w14:textId="77777777" w:rsidR="00501B0C" w:rsidRDefault="00557D14">
      <w:pPr>
        <w:spacing w:after="120"/>
        <w:ind w:firstLine="708"/>
        <w:rPr>
          <w:rFonts w:ascii="Arial" w:eastAsia="Arial" w:hAnsi="Arial" w:cs="Arial"/>
          <w:color w:val="1A1A1A"/>
          <w:sz w:val="22"/>
          <w:szCs w:val="22"/>
        </w:rPr>
      </w:pPr>
      <w:r>
        <w:rPr>
          <w:rFonts w:ascii="Arial" w:eastAsia="Arial" w:hAnsi="Arial" w:cs="Arial"/>
          <w:color w:val="1A1A1A"/>
          <w:sz w:val="22"/>
          <w:szCs w:val="22"/>
        </w:rPr>
        <w:t xml:space="preserve">Así las cosas, las empresas de servicios públicos tienen una naturaleza jurídica especial que viene dada directamente por el artículo 356 de la Constitución Política, y el hecho de que su composición accionaria pueda estar compartida por recursos públicos y privados no las convierte en sociedades de economía mixta, pues las empresas en cuestión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36C6ED2A" w14:textId="41BA7D60" w:rsidR="00501B0C" w:rsidRDefault="00557D14">
      <w:pPr>
        <w:spacing w:after="120"/>
        <w:ind w:firstLine="708"/>
        <w:rPr>
          <w:rFonts w:ascii="Arial" w:eastAsia="Arial" w:hAnsi="Arial" w:cs="Arial"/>
          <w:color w:val="1A1A1A"/>
          <w:sz w:val="22"/>
          <w:szCs w:val="22"/>
        </w:rPr>
      </w:pPr>
      <w:r>
        <w:rPr>
          <w:rFonts w:ascii="Arial" w:eastAsia="Arial" w:hAnsi="Arial" w:cs="Arial"/>
          <w:color w:val="1A1A1A"/>
          <w:sz w:val="22"/>
          <w:szCs w:val="22"/>
        </w:rPr>
        <w:t xml:space="preserve">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De esta manera,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esto es, por regla general no están sometidas a la Ley 80 de </w:t>
      </w:r>
      <w:r>
        <w:rPr>
          <w:rFonts w:ascii="Arial" w:eastAsia="Arial" w:hAnsi="Arial" w:cs="Arial"/>
          <w:color w:val="1A1A1A"/>
          <w:sz w:val="22"/>
          <w:szCs w:val="22"/>
        </w:rPr>
        <w:lastRenderedPageBreak/>
        <w:t>1993</w:t>
      </w:r>
      <w:r>
        <w:rPr>
          <w:rFonts w:ascii="Arial" w:eastAsia="Arial" w:hAnsi="Arial" w:cs="Arial"/>
          <w:color w:val="1A1A1A"/>
          <w:sz w:val="22"/>
          <w:szCs w:val="22"/>
          <w:vertAlign w:val="superscript"/>
        </w:rPr>
        <w:footnoteReference w:id="23"/>
      </w:r>
      <w:r>
        <w:rPr>
          <w:rFonts w:ascii="Arial" w:eastAsia="Arial" w:hAnsi="Arial" w:cs="Arial"/>
          <w:color w:val="1A1A1A"/>
          <w:sz w:val="22"/>
          <w:szCs w:val="22"/>
        </w:rPr>
        <w:t xml:space="preserve">. Sin embargo, como se analizó </w:t>
      </w:r>
      <w:r>
        <w:rPr>
          <w:rFonts w:ascii="Arial" w:eastAsia="Arial" w:hAnsi="Arial" w:cs="Arial"/>
          <w:i/>
          <w:color w:val="1A1A1A"/>
          <w:sz w:val="22"/>
          <w:szCs w:val="22"/>
        </w:rPr>
        <w:t>ut supra</w:t>
      </w:r>
      <w:r>
        <w:rPr>
          <w:rFonts w:ascii="Arial" w:eastAsia="Arial" w:hAnsi="Arial" w:cs="Arial"/>
          <w:color w:val="1A1A1A"/>
          <w:sz w:val="22"/>
          <w:szCs w:val="22"/>
        </w:rPr>
        <w:t xml:space="preserve">, eso no las exime del deber de publicar </w:t>
      </w:r>
      <w:r>
        <w:rPr>
          <w:rFonts w:ascii="Arial" w:eastAsia="Arial" w:hAnsi="Arial" w:cs="Arial"/>
          <w:color w:val="000000"/>
          <w:sz w:val="22"/>
          <w:szCs w:val="22"/>
        </w:rPr>
        <w:t>la información oficial de la contratación que realicen con recursos públicos</w:t>
      </w:r>
      <w:r>
        <w:rPr>
          <w:rFonts w:ascii="Arial" w:eastAsia="Arial" w:hAnsi="Arial" w:cs="Arial"/>
          <w:color w:val="1A1A1A"/>
          <w:sz w:val="22"/>
          <w:szCs w:val="22"/>
        </w:rPr>
        <w:t xml:space="preserve"> . </w:t>
      </w:r>
    </w:p>
    <w:p w14:paraId="088524ED" w14:textId="77777777" w:rsidR="00501B0C" w:rsidRDefault="00557D14">
      <w:pPr>
        <w:spacing w:after="120"/>
        <w:ind w:firstLine="708"/>
        <w:rPr>
          <w:rFonts w:ascii="Arial" w:eastAsia="Arial" w:hAnsi="Arial" w:cs="Arial"/>
          <w:color w:val="000000"/>
          <w:sz w:val="22"/>
          <w:szCs w:val="22"/>
        </w:rPr>
      </w:pPr>
      <w:bookmarkStart w:id="6" w:name="_2et92p0" w:colFirst="0" w:colLast="0"/>
      <w:bookmarkEnd w:id="6"/>
      <w:r>
        <w:rPr>
          <w:rFonts w:ascii="Arial" w:eastAsia="Arial" w:hAnsi="Arial" w:cs="Arial"/>
          <w:color w:val="000000"/>
          <w:sz w:val="22"/>
          <w:szCs w:val="22"/>
        </w:rPr>
        <w:t>Ahora bien, la Agencia Nacional de Contratación Pública – Colombia Compra Eficiente tiene como función administrar el SECOP</w:t>
      </w:r>
      <w:r>
        <w:rPr>
          <w:rFonts w:ascii="Arial" w:eastAsia="Arial" w:hAnsi="Arial" w:cs="Arial"/>
          <w:color w:val="000000"/>
          <w:sz w:val="22"/>
          <w:szCs w:val="22"/>
          <w:vertAlign w:val="superscript"/>
        </w:rPr>
        <w:footnoteReference w:id="24"/>
      </w:r>
      <w:r>
        <w:rPr>
          <w:rFonts w:ascii="Arial" w:eastAsia="Arial" w:hAnsi="Arial" w:cs="Arial"/>
          <w:color w:val="000000"/>
          <w:sz w:val="22"/>
          <w:szCs w:val="22"/>
        </w:rPr>
        <w:t>, por lo cual desarrolló la primera versión de la plataforma, denominada SECOP I, que funciona como medio de publicidad y no transaccional, lo que significa que, en la práctica, el procedimiento contractual ocurre fuera de la plataforma y del mismo la entidad lleva un expediente físico, cuyos documentos se convierten en electrónicos para ser cargados, por quien tenga la función dentro de la entidad, de acuerdo con su organización interna y en cumplimiento de un deber legal.</w:t>
      </w:r>
    </w:p>
    <w:p w14:paraId="76E64234" w14:textId="77777777" w:rsidR="00501B0C" w:rsidRDefault="00557D14">
      <w:pPr>
        <w:spacing w:before="120" w:after="120"/>
        <w:ind w:firstLine="708"/>
        <w:rPr>
          <w:rFonts w:ascii="Arial" w:eastAsia="Arial" w:hAnsi="Arial" w:cs="Arial"/>
          <w:color w:val="000000"/>
          <w:sz w:val="22"/>
          <w:szCs w:val="22"/>
        </w:rPr>
      </w:pPr>
      <w:r>
        <w:rPr>
          <w:rFonts w:ascii="Arial" w:eastAsia="Arial" w:hAnsi="Arial" w:cs="Arial"/>
          <w:color w:val="000000"/>
          <w:sz w:val="22"/>
          <w:szCs w:val="22"/>
        </w:rPr>
        <w:t>El SECOP II es la segunda versión de la plataforma y su principal característica es que es transaccional, esto es, permite gestionar en línea todos los procedimientos de contratación, con cuentas y usuarios asociados a éstas, para las entidades y los proveedores, así como también el acceso para consulta por parte de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7A86C83D" w14:textId="77777777" w:rsidR="00501B0C" w:rsidRPr="009D2FA3" w:rsidRDefault="00557D14" w:rsidP="009D2FA3">
      <w:pPr>
        <w:spacing w:after="120"/>
        <w:ind w:firstLine="709"/>
      </w:pPr>
      <w:r>
        <w:rPr>
          <w:rFonts w:ascii="Arial" w:eastAsia="Arial" w:hAnsi="Arial" w:cs="Arial"/>
          <w:color w:val="000000"/>
          <w:sz w:val="22"/>
          <w:szCs w:val="22"/>
        </w:rPr>
        <w:t>Es necesario aclarar que, dado que el procedimiento contractual se desarrolla en línea y dentro de la plataforma, paulatinamente se va conformando un expediente electrónico, lo cual implica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1FBCB609" w14:textId="77777777" w:rsidR="00501B0C" w:rsidRDefault="00557D14">
      <w:pPr>
        <w:spacing w:before="120" w:after="120"/>
        <w:ind w:firstLine="708"/>
        <w:rPr>
          <w:rFonts w:ascii="Arial" w:eastAsia="Arial" w:hAnsi="Arial" w:cs="Arial"/>
          <w:color w:val="000000"/>
          <w:sz w:val="22"/>
          <w:szCs w:val="22"/>
        </w:rPr>
      </w:pPr>
      <w:r>
        <w:rPr>
          <w:rFonts w:ascii="Arial" w:eastAsia="Arial" w:hAnsi="Arial" w:cs="Arial"/>
          <w:color w:val="000000"/>
          <w:sz w:val="22"/>
          <w:szCs w:val="22"/>
        </w:rPr>
        <w:t xml:space="preserve">Colombia Compra Eficiente realizó el despliegue de SECOP II a nivel territorial en el 2018 y 2019, por lo cual se expidió la Circular Externa No. 1 de 2019 sobre la obligatoriedad del uso del SECOP II en el 2020, que dispone: «a partir del 1 de enero de </w:t>
      </w:r>
      <w:r>
        <w:rPr>
          <w:rFonts w:ascii="Arial" w:eastAsia="Arial" w:hAnsi="Arial" w:cs="Arial"/>
          <w:color w:val="000000"/>
          <w:sz w:val="22"/>
          <w:szCs w:val="22"/>
        </w:rPr>
        <w:lastRenderedPageBreak/>
        <w:t>2020, todos los procesos de contratación de las entidades relacionadas en el Anexo 1 de esta circular deberán gestionarse, exclusivamente, en el SECOP ll». Son las entidades públicas relacionadas en dicho anexo las obligadas al uso de la plataforma que se estudia.</w:t>
      </w:r>
    </w:p>
    <w:p w14:paraId="25A04413" w14:textId="77777777" w:rsidR="00501B0C" w:rsidRDefault="00557D14">
      <w:pPr>
        <w:spacing w:before="120" w:after="120"/>
        <w:ind w:firstLine="708"/>
        <w:rPr>
          <w:rFonts w:ascii="Arial" w:eastAsia="Arial" w:hAnsi="Arial" w:cs="Arial"/>
          <w:color w:val="000000"/>
          <w:sz w:val="22"/>
          <w:szCs w:val="22"/>
        </w:rPr>
      </w:pPr>
      <w:r>
        <w:rPr>
          <w:rFonts w:ascii="Arial" w:eastAsia="Arial" w:hAnsi="Arial" w:cs="Arial"/>
          <w:color w:val="000000"/>
          <w:sz w:val="22"/>
          <w:szCs w:val="22"/>
        </w:rPr>
        <w:t>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1060475A" w14:textId="77777777" w:rsidR="00501B0C" w:rsidRDefault="00557D14">
      <w:pPr>
        <w:spacing w:before="120" w:after="120"/>
        <w:ind w:firstLine="708"/>
        <w:rPr>
          <w:rFonts w:ascii="Arial" w:eastAsia="Arial" w:hAnsi="Arial" w:cs="Arial"/>
          <w:color w:val="000000"/>
          <w:sz w:val="22"/>
          <w:szCs w:val="22"/>
        </w:rPr>
      </w:pPr>
      <w:r>
        <w:rPr>
          <w:rFonts w:ascii="Arial" w:eastAsia="Arial" w:hAnsi="Arial" w:cs="Arial"/>
          <w:color w:val="000000"/>
          <w:sz w:val="22"/>
          <w:szCs w:val="22"/>
        </w:rPr>
        <w:t>Los primeros, porque no alcanzaron a ser capacitados en el uso de la plataforma SECOP II, pues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p w14:paraId="589DEEE2" w14:textId="77777777" w:rsidR="00501B0C" w:rsidRDefault="00557D14">
      <w:pPr>
        <w:spacing w:before="120" w:after="120"/>
        <w:ind w:firstLine="708"/>
        <w:rPr>
          <w:rFonts w:ascii="Arial" w:eastAsia="Arial" w:hAnsi="Arial" w:cs="Arial"/>
          <w:color w:val="000000"/>
          <w:sz w:val="22"/>
          <w:szCs w:val="22"/>
        </w:rPr>
      </w:pPr>
      <w:r>
        <w:rPr>
          <w:rFonts w:ascii="Arial" w:eastAsia="Arial" w:hAnsi="Arial" w:cs="Arial"/>
          <w:color w:val="000000"/>
          <w:sz w:val="22"/>
          <w:szCs w:val="22"/>
        </w:rPr>
        <w:t xml:space="preserve">Finalmente, el pasado 10 de febrero de 2021 la Agencia expidió la Circular Externa No. 1 de 2021 por medio de la cual se determina la obligatoriedad del SECOP II para la vigencia del 2021 para las entidades estatales listadas en el Anexo No. 1 de esta circular. </w:t>
      </w:r>
    </w:p>
    <w:p w14:paraId="3DE22DDE" w14:textId="77777777" w:rsidR="00501B0C" w:rsidRDefault="00557D14">
      <w:pPr>
        <w:spacing w:before="120"/>
        <w:ind w:firstLine="708"/>
        <w:rPr>
          <w:rFonts w:ascii="Arial" w:eastAsia="Arial" w:hAnsi="Arial" w:cs="Arial"/>
          <w:color w:val="000000"/>
          <w:sz w:val="22"/>
          <w:szCs w:val="22"/>
        </w:rPr>
      </w:pPr>
      <w:bookmarkStart w:id="7" w:name="_tyjcwt" w:colFirst="0" w:colLast="0"/>
      <w:bookmarkEnd w:id="7"/>
      <w:r>
        <w:rPr>
          <w:rFonts w:ascii="Arial" w:eastAsia="Arial" w:hAnsi="Arial" w:cs="Arial"/>
          <w:color w:val="000000"/>
          <w:sz w:val="22"/>
          <w:szCs w:val="22"/>
        </w:rPr>
        <w:t>Así las cosas, con fundamento en las consideraciones expuestas en ese momento, el hecho de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está vinculado a las entidades referidas por la Agencia en las Circulares Externas mencionadas. En efecto, en el concepto C-151 de 2020 se concluyó lo siguiente:</w:t>
      </w:r>
    </w:p>
    <w:p w14:paraId="2906685B" w14:textId="77777777" w:rsidR="00501B0C" w:rsidRPr="009D2FA3" w:rsidRDefault="00557D14" w:rsidP="009D2FA3">
      <w:pPr>
        <w:spacing w:line="240" w:lineRule="auto"/>
        <w:ind w:left="709" w:right="709"/>
      </w:pPr>
      <w:r>
        <w:rPr>
          <w:rFonts w:ascii="Arial" w:eastAsia="Arial" w:hAnsi="Arial" w:cs="Arial"/>
          <w:color w:val="000000"/>
          <w:sz w:val="21"/>
          <w:szCs w:val="21"/>
        </w:rPr>
        <w:t>Respecto a la publicación del SECOP I o en el SECOP II,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las releva de continuar publicando sus procesos de contratación en la plataforma de SECOP I.</w:t>
      </w:r>
      <w:r>
        <w:rPr>
          <w:rFonts w:ascii="Arial" w:eastAsia="Arial" w:hAnsi="Arial" w:cs="Arial"/>
          <w:color w:val="000000"/>
          <w:sz w:val="21"/>
          <w:szCs w:val="21"/>
        </w:rPr>
        <w:tab/>
      </w:r>
    </w:p>
    <w:p w14:paraId="75DE2234" w14:textId="77777777" w:rsidR="00501B0C" w:rsidRPr="009D2FA3" w:rsidRDefault="00557D14" w:rsidP="009D2FA3">
      <w:pPr>
        <w:spacing w:after="120"/>
        <w:ind w:firstLine="709"/>
      </w:pPr>
      <w:r>
        <w:rPr>
          <w:rFonts w:ascii="Arial" w:eastAsia="Arial" w:hAnsi="Arial" w:cs="Arial"/>
          <w:color w:val="000000"/>
          <w:sz w:val="22"/>
          <w:szCs w:val="22"/>
        </w:rPr>
        <w:lastRenderedPageBreak/>
        <w:t xml:space="preserve">Las entidades descentralizadas por servicios, por otro lado, también deben publicar su actividad contractual en el SECOP. Así lo concluyó Colombia Compra Eficiente en el concepto C-264 de 2020, en donde sostuvo que: «[e]l Instituto Social de Vivienda y Hábitat de Medellín, sin consideración al régimen sustantivo de contratación que le resulta aplicable, esto es, Estatuto General de Contratación de la Administración Pública o regímenes exceptuados, inclusive </w:t>
      </w:r>
      <w:r>
        <w:rPr>
          <w:rFonts w:ascii="Arial" w:eastAsia="Arial" w:hAnsi="Arial" w:cs="Arial"/>
          <w:i/>
          <w:color w:val="000000"/>
          <w:sz w:val="22"/>
          <w:szCs w:val="22"/>
        </w:rPr>
        <w:t>independiente de la tipología de los contratos y el régimen aplicable a los mismos</w:t>
      </w:r>
      <w:r>
        <w:rPr>
          <w:rFonts w:ascii="Arial" w:eastAsia="Arial" w:hAnsi="Arial" w:cs="Arial"/>
          <w:color w:val="000000"/>
          <w:sz w:val="22"/>
          <w:szCs w:val="22"/>
        </w:rPr>
        <w:t>, está en la obligación de publicar todos los documentos proferidos con ocasión de sus procesos de contratación» «cursivas propias».</w:t>
      </w:r>
    </w:p>
    <w:p w14:paraId="65D3191A" w14:textId="2A6895E8" w:rsidR="00501B0C" w:rsidRDefault="00557D14">
      <w:pPr>
        <w:spacing w:after="120"/>
        <w:rPr>
          <w:rFonts w:ascii="Arial" w:eastAsia="Arial" w:hAnsi="Arial" w:cs="Arial"/>
          <w:color w:val="000000"/>
          <w:sz w:val="22"/>
          <w:szCs w:val="22"/>
        </w:rPr>
      </w:pPr>
      <w:r>
        <w:rPr>
          <w:rFonts w:ascii="Arial" w:eastAsia="Arial" w:hAnsi="Arial" w:cs="Arial"/>
          <w:color w:val="000000"/>
          <w:sz w:val="22"/>
          <w:szCs w:val="22"/>
        </w:rPr>
        <w:tab/>
        <w:t>En suma, a la luz de los criterios desarrollados por la Agencia Nacional de Contratación Pública, el deber de publicar en el SECOP se fundamenta en una idea general, esto es, que se debe publicar la información oficial de la contratación que realicen con recursos públicos, con independencia de la naturaleza jurídica de la entidad contratante, de su régimen contractual, incluso, sin importar la tipología del contrato a celebrar. Igualmente, este deber debe hacerse efectivo en el SECOP I o en el SECOP II, dependiendo de cada caso.</w:t>
      </w:r>
    </w:p>
    <w:p w14:paraId="6E76F028" w14:textId="77777777" w:rsidR="00501B0C" w:rsidRDefault="00557D14">
      <w:pPr>
        <w:spacing w:after="120"/>
        <w:ind w:firstLine="708"/>
        <w:rPr>
          <w:rFonts w:ascii="Arial" w:eastAsia="Arial" w:hAnsi="Arial" w:cs="Arial"/>
          <w:color w:val="000000"/>
          <w:sz w:val="22"/>
          <w:szCs w:val="22"/>
        </w:rPr>
      </w:pPr>
      <w:bookmarkStart w:id="8" w:name="_3dy6vkm" w:colFirst="0" w:colLast="0"/>
      <w:bookmarkEnd w:id="8"/>
      <w:r>
        <w:rPr>
          <w:rFonts w:ascii="Arial" w:eastAsia="Arial" w:hAnsi="Arial" w:cs="Arial"/>
          <w:color w:val="000000"/>
          <w:sz w:val="22"/>
          <w:szCs w:val="22"/>
        </w:rPr>
        <w:t>Para el caso concreto, las empresas prestadoras de servicios públicos domiciliarios no se encuentran incluidas en el Anexo 1 de la Circular No. 1 de 2019, ni en el Anexo de la Circular No. 1 de 2021, razón por la cual no están obligados a utilizar la plataforma SECOP II para gestionar y publicar en línea sus procesos de contratación. Es decir que, los procesos de contratación deben seguir gestionándose a través de SECOP I, con excepción de los procesos de contratación derivados de la aplicación del Decreto 092 de 2017</w:t>
      </w:r>
      <w:r>
        <w:rPr>
          <w:rFonts w:ascii="Arial" w:eastAsia="Arial" w:hAnsi="Arial" w:cs="Arial"/>
          <w:color w:val="000000"/>
          <w:sz w:val="22"/>
          <w:szCs w:val="22"/>
          <w:vertAlign w:val="superscript"/>
        </w:rPr>
        <w:footnoteReference w:id="25"/>
      </w:r>
      <w:r>
        <w:rPr>
          <w:rFonts w:ascii="Arial" w:eastAsia="Arial" w:hAnsi="Arial" w:cs="Arial"/>
          <w:color w:val="000000"/>
          <w:sz w:val="22"/>
          <w:szCs w:val="22"/>
        </w:rPr>
        <w:t>.</w:t>
      </w:r>
    </w:p>
    <w:p w14:paraId="63E81615" w14:textId="77777777" w:rsidR="00501B0C" w:rsidRDefault="00557D14">
      <w:pPr>
        <w:pBdr>
          <w:top w:val="nil"/>
          <w:left w:val="nil"/>
          <w:bottom w:val="nil"/>
          <w:right w:val="nil"/>
          <w:between w:val="nil"/>
        </w:pBdr>
        <w:spacing w:after="0"/>
        <w:ind w:firstLine="708"/>
        <w:rPr>
          <w:rFonts w:ascii="Arial" w:eastAsia="Arial" w:hAnsi="Arial" w:cs="Arial"/>
          <w:color w:val="000000"/>
          <w:sz w:val="22"/>
          <w:szCs w:val="22"/>
        </w:rPr>
      </w:pPr>
      <w:r>
        <w:rPr>
          <w:rFonts w:ascii="Arial" w:eastAsia="Arial" w:hAnsi="Arial" w:cs="Arial"/>
          <w:color w:val="000000"/>
          <w:sz w:val="22"/>
          <w:szCs w:val="22"/>
        </w:rPr>
        <w:t>En otras palabras, los únicos procesos que debe adelantar las empresas prestadoras de servicios públicos domiciliarios a través del SECOP II son los derivados del Decreto 092 de 2017 para la contratación con ESAL de reconocida idoneidad. Para ello, tendrán habilitados los módulos de “Régimen Especial” en la plataforma. Si requiere información adicional sobre el uso de estos módulos, puede consultar las guías y manuales dispuestos por la ANCP- CCE en el minisitio de SECOP II disponible en los siguientes enlaces:</w:t>
      </w:r>
    </w:p>
    <w:p w14:paraId="59A3FEAA" w14:textId="77777777" w:rsidR="00501B0C" w:rsidRDefault="00501B0C">
      <w:pPr>
        <w:pBdr>
          <w:top w:val="nil"/>
          <w:left w:val="nil"/>
          <w:bottom w:val="nil"/>
          <w:right w:val="nil"/>
          <w:between w:val="nil"/>
        </w:pBdr>
        <w:spacing w:after="0"/>
        <w:ind w:firstLine="708"/>
        <w:rPr>
          <w:rFonts w:ascii="Arial" w:eastAsia="Arial" w:hAnsi="Arial" w:cs="Arial"/>
          <w:color w:val="000000"/>
          <w:sz w:val="22"/>
          <w:szCs w:val="22"/>
        </w:rPr>
      </w:pPr>
    </w:p>
    <w:p w14:paraId="036DB433" w14:textId="77777777" w:rsidR="00501B0C" w:rsidRDefault="00557D14">
      <w:pPr>
        <w:numPr>
          <w:ilvl w:val="0"/>
          <w:numId w:val="1"/>
        </w:numPr>
        <w:pBdr>
          <w:top w:val="nil"/>
          <w:left w:val="nil"/>
          <w:bottom w:val="nil"/>
          <w:right w:val="nil"/>
          <w:between w:val="nil"/>
        </w:pBdr>
        <w:spacing w:after="0" w:line="240" w:lineRule="auto"/>
        <w:rPr>
          <w:color w:val="000000"/>
          <w:sz w:val="22"/>
          <w:szCs w:val="22"/>
        </w:rPr>
      </w:pPr>
      <w:r>
        <w:rPr>
          <w:rFonts w:ascii="Arial" w:eastAsia="Arial" w:hAnsi="Arial" w:cs="Arial"/>
          <w:color w:val="000000"/>
          <w:sz w:val="22"/>
          <w:szCs w:val="22"/>
        </w:rPr>
        <w:t xml:space="preserve">Régimen especial – Con Oferta: </w:t>
      </w:r>
      <w:hyperlink r:id="rId11">
        <w:r>
          <w:rPr>
            <w:rFonts w:ascii="Arial" w:eastAsia="Arial" w:hAnsi="Arial" w:cs="Arial"/>
            <w:color w:val="000000"/>
            <w:sz w:val="22"/>
            <w:szCs w:val="22"/>
            <w:u w:val="single"/>
          </w:rPr>
          <w:t>https://colombiacompra.gov.co/node/23628</w:t>
        </w:r>
      </w:hyperlink>
    </w:p>
    <w:p w14:paraId="22A6C658" w14:textId="77777777" w:rsidR="00501B0C" w:rsidRDefault="00557D14">
      <w:pPr>
        <w:numPr>
          <w:ilvl w:val="0"/>
          <w:numId w:val="1"/>
        </w:numPr>
        <w:pBdr>
          <w:top w:val="nil"/>
          <w:left w:val="nil"/>
          <w:bottom w:val="nil"/>
          <w:right w:val="nil"/>
          <w:between w:val="nil"/>
        </w:pBdr>
        <w:spacing w:after="0"/>
        <w:rPr>
          <w:color w:val="000000"/>
          <w:sz w:val="22"/>
          <w:szCs w:val="22"/>
          <w:u w:val="single"/>
        </w:rPr>
      </w:pPr>
      <w:r>
        <w:rPr>
          <w:rFonts w:ascii="Arial" w:eastAsia="Arial" w:hAnsi="Arial" w:cs="Arial"/>
          <w:color w:val="000000"/>
          <w:sz w:val="22"/>
          <w:szCs w:val="22"/>
        </w:rPr>
        <w:t xml:space="preserve">Régimen especial – Sin ofertas (Uso transaccional): </w:t>
      </w:r>
      <w:hyperlink r:id="rId12">
        <w:r>
          <w:rPr>
            <w:rFonts w:ascii="Arial" w:eastAsia="Arial" w:hAnsi="Arial" w:cs="Arial"/>
            <w:color w:val="000000"/>
            <w:sz w:val="22"/>
            <w:szCs w:val="22"/>
            <w:u w:val="single"/>
          </w:rPr>
          <w:t>https://www.colombiacompra.gov.co/node/30741</w:t>
        </w:r>
      </w:hyperlink>
    </w:p>
    <w:p w14:paraId="7313F22F" w14:textId="77777777" w:rsidR="00501B0C" w:rsidRDefault="00501B0C">
      <w:pPr>
        <w:pBdr>
          <w:top w:val="nil"/>
          <w:left w:val="nil"/>
          <w:bottom w:val="nil"/>
          <w:right w:val="nil"/>
          <w:between w:val="nil"/>
        </w:pBdr>
        <w:spacing w:after="0"/>
        <w:ind w:left="720"/>
        <w:rPr>
          <w:rFonts w:ascii="Arial" w:eastAsia="Arial" w:hAnsi="Arial" w:cs="Arial"/>
          <w:color w:val="000000"/>
          <w:sz w:val="22"/>
          <w:szCs w:val="22"/>
        </w:rPr>
      </w:pPr>
    </w:p>
    <w:p w14:paraId="5F3EFB92" w14:textId="77777777" w:rsidR="00501B0C" w:rsidRDefault="00557D14">
      <w:pPr>
        <w:pBdr>
          <w:top w:val="nil"/>
          <w:left w:val="nil"/>
          <w:bottom w:val="nil"/>
          <w:right w:val="nil"/>
          <w:between w:val="nil"/>
        </w:pBdr>
        <w:spacing w:after="120"/>
        <w:ind w:firstLine="709"/>
        <w:rPr>
          <w:rFonts w:ascii="Arial" w:eastAsia="Arial" w:hAnsi="Arial" w:cs="Arial"/>
          <w:color w:val="000000"/>
          <w:sz w:val="22"/>
          <w:szCs w:val="22"/>
        </w:rPr>
      </w:pPr>
      <w:r>
        <w:rPr>
          <w:rFonts w:ascii="Arial" w:eastAsia="Arial" w:hAnsi="Arial" w:cs="Arial"/>
          <w:color w:val="000000"/>
          <w:sz w:val="22"/>
          <w:szCs w:val="22"/>
        </w:rPr>
        <w:t xml:space="preserve">En todo caso, informamos que la Agencia Nacional de Contratación Pública – Colombia Compra Eficiente no ha establecido una fecha exacta a partir de la cual será obligatorio el uso del SECOP II para las entidades que no se encuentran incluidas en los </w:t>
      </w:r>
      <w:r>
        <w:rPr>
          <w:rFonts w:ascii="Arial" w:eastAsia="Arial" w:hAnsi="Arial" w:cs="Arial"/>
          <w:color w:val="000000"/>
          <w:sz w:val="22"/>
          <w:szCs w:val="22"/>
        </w:rPr>
        <w:lastRenderedPageBreak/>
        <w:t>Anexos de las Circulares No.1 de 2019 y 2021. Cuando se determine, la entidad informará con la suficiente anticipación a través los canales de comunicación oficiales, con el fin de coordinar los servicios de capacitación y acompañamiento correspondientes.</w:t>
      </w:r>
    </w:p>
    <w:p w14:paraId="0E45EBAE" w14:textId="77777777" w:rsidR="00501B0C" w:rsidRDefault="00557D14">
      <w:pPr>
        <w:pBdr>
          <w:top w:val="nil"/>
          <w:left w:val="nil"/>
          <w:bottom w:val="nil"/>
          <w:right w:val="nil"/>
          <w:between w:val="nil"/>
        </w:pBdr>
        <w:spacing w:after="120"/>
        <w:ind w:firstLine="709"/>
        <w:rPr>
          <w:rFonts w:ascii="Arial" w:eastAsia="Arial" w:hAnsi="Arial" w:cs="Arial"/>
          <w:color w:val="000000"/>
          <w:sz w:val="22"/>
          <w:szCs w:val="22"/>
        </w:rPr>
      </w:pPr>
      <w:r>
        <w:rPr>
          <w:rFonts w:ascii="Arial" w:eastAsia="Arial" w:hAnsi="Arial" w:cs="Arial"/>
          <w:color w:val="000000"/>
          <w:sz w:val="22"/>
          <w:szCs w:val="22"/>
        </w:rPr>
        <w:t xml:space="preserve">Si desea conocer información sobre el funcionamiento técnico de SECOP II puede consultar las guías y manuales dispuestos por la ANCP- CCE en el minisitio de SECOP II en el siguiente enlace </w:t>
      </w:r>
      <w:hyperlink r:id="rId13">
        <w:r>
          <w:rPr>
            <w:rFonts w:ascii="Arial" w:eastAsia="Arial" w:hAnsi="Arial" w:cs="Arial"/>
            <w:color w:val="000000"/>
            <w:sz w:val="22"/>
            <w:szCs w:val="22"/>
            <w:u w:val="single"/>
          </w:rPr>
          <w:t>https://www.colombiacompra.gov.co/secop-ii</w:t>
        </w:r>
      </w:hyperlink>
      <w:r>
        <w:rPr>
          <w:rFonts w:ascii="Arial" w:eastAsia="Arial" w:hAnsi="Arial" w:cs="Arial"/>
          <w:color w:val="000000"/>
          <w:sz w:val="22"/>
          <w:szCs w:val="22"/>
          <w:u w:val="single"/>
        </w:rPr>
        <w:t>.</w:t>
      </w:r>
      <w:r>
        <w:rPr>
          <w:rFonts w:ascii="Arial" w:eastAsia="Arial" w:hAnsi="Arial" w:cs="Arial"/>
          <w:color w:val="000000"/>
          <w:sz w:val="22"/>
          <w:szCs w:val="22"/>
        </w:rPr>
        <w:t xml:space="preserve"> </w:t>
      </w:r>
    </w:p>
    <w:p w14:paraId="2B6F2B4F" w14:textId="77777777" w:rsidR="00501B0C" w:rsidRPr="009D2FA3" w:rsidRDefault="00557D14" w:rsidP="009D2FA3">
      <w:pPr>
        <w:shd w:val="clear" w:color="auto" w:fill="FFFFFF"/>
        <w:spacing w:after="0"/>
        <w:ind w:firstLine="709"/>
      </w:pPr>
      <w:r>
        <w:rPr>
          <w:rFonts w:ascii="Arial" w:eastAsia="Arial" w:hAnsi="Arial" w:cs="Arial"/>
          <w:color w:val="000000"/>
          <w:sz w:val="22"/>
          <w:szCs w:val="22"/>
        </w:rPr>
        <w:t xml:space="preserve">Finalmente, en caso de tener dudas sobre las herramientas puede acceder a la Mesa de Servicio de la ANCP - CCE a través de los canales especificados en este enlace: </w:t>
      </w:r>
      <w:hyperlink r:id="rId14">
        <w:r>
          <w:rPr>
            <w:rFonts w:ascii="Arial" w:eastAsia="Arial" w:hAnsi="Arial" w:cs="Arial"/>
            <w:color w:val="000000"/>
            <w:sz w:val="22"/>
            <w:szCs w:val="22"/>
            <w:u w:val="single"/>
          </w:rPr>
          <w:t>https://www.colombiacompra.gov.co/mesa-de-servicio</w:t>
        </w:r>
      </w:hyperlink>
      <w:r>
        <w:rPr>
          <w:rFonts w:ascii="Arial" w:eastAsia="Arial" w:hAnsi="Arial" w:cs="Arial"/>
          <w:color w:val="000000"/>
          <w:sz w:val="22"/>
          <w:szCs w:val="22"/>
        </w:rPr>
        <w:t>.</w:t>
      </w:r>
    </w:p>
    <w:p w14:paraId="62DD38E8" w14:textId="77777777" w:rsidR="00501B0C" w:rsidRDefault="00501B0C">
      <w:pPr>
        <w:tabs>
          <w:tab w:val="left" w:pos="284"/>
        </w:tabs>
        <w:spacing w:after="0"/>
        <w:rPr>
          <w:rFonts w:ascii="Arial" w:eastAsia="Arial" w:hAnsi="Arial" w:cs="Arial"/>
          <w:b/>
          <w:color w:val="000000"/>
          <w:sz w:val="22"/>
          <w:szCs w:val="22"/>
        </w:rPr>
      </w:pPr>
    </w:p>
    <w:p w14:paraId="5BDD19DC" w14:textId="77777777" w:rsidR="00501B0C" w:rsidRDefault="00501B0C">
      <w:pPr>
        <w:tabs>
          <w:tab w:val="left" w:pos="284"/>
        </w:tabs>
        <w:spacing w:after="0"/>
        <w:rPr>
          <w:rFonts w:ascii="Arial" w:eastAsia="Arial" w:hAnsi="Arial" w:cs="Arial"/>
          <w:b/>
          <w:color w:val="000000"/>
          <w:sz w:val="22"/>
          <w:szCs w:val="22"/>
        </w:rPr>
      </w:pPr>
    </w:p>
    <w:p w14:paraId="4C35F73F" w14:textId="77777777" w:rsidR="00501B0C" w:rsidRDefault="00557D14">
      <w:pPr>
        <w:tabs>
          <w:tab w:val="left" w:pos="284"/>
        </w:tabs>
        <w:spacing w:after="0"/>
        <w:rPr>
          <w:rFonts w:ascii="Arial" w:eastAsia="Arial" w:hAnsi="Arial" w:cs="Arial"/>
          <w:b/>
          <w:color w:val="000000"/>
          <w:sz w:val="22"/>
          <w:szCs w:val="22"/>
        </w:rPr>
      </w:pPr>
      <w:r>
        <w:rPr>
          <w:rFonts w:ascii="Arial" w:eastAsia="Arial" w:hAnsi="Arial" w:cs="Arial"/>
          <w:b/>
          <w:color w:val="000000"/>
          <w:sz w:val="22"/>
          <w:szCs w:val="22"/>
        </w:rPr>
        <w:t>3. Respuesta</w:t>
      </w:r>
    </w:p>
    <w:p w14:paraId="4D5AFC0F" w14:textId="77777777" w:rsidR="00501B0C" w:rsidRDefault="00501B0C">
      <w:pPr>
        <w:tabs>
          <w:tab w:val="left" w:pos="284"/>
        </w:tabs>
        <w:spacing w:after="0"/>
        <w:rPr>
          <w:rFonts w:ascii="Arial" w:eastAsia="Arial" w:hAnsi="Arial" w:cs="Arial"/>
          <w:b/>
          <w:color w:val="000000"/>
          <w:sz w:val="22"/>
          <w:szCs w:val="22"/>
        </w:rPr>
      </w:pPr>
    </w:p>
    <w:p w14:paraId="3684B2ED" w14:textId="77777777" w:rsidR="00501B0C" w:rsidRPr="009D2FA3" w:rsidRDefault="00557D14" w:rsidP="009D2FA3">
      <w:pPr>
        <w:spacing w:after="0" w:line="240" w:lineRule="auto"/>
        <w:ind w:left="709" w:right="709"/>
      </w:pPr>
      <w:r>
        <w:rPr>
          <w:rFonts w:ascii="Arial" w:eastAsia="Arial" w:hAnsi="Arial" w:cs="Arial"/>
          <w:color w:val="000000"/>
          <w:sz w:val="21"/>
          <w:szCs w:val="21"/>
        </w:rPr>
        <w:t>«¿se deben publicar en el Sistema Electrónico para la Contratación Pública (SECOP), los contratos que suscriban las entidades territoriales en el marco del régimen contractual contemplado en las Leyes 142 y 143 de 1994?».</w:t>
      </w:r>
    </w:p>
    <w:p w14:paraId="1BD10205" w14:textId="77777777" w:rsidR="00501B0C" w:rsidRDefault="00501B0C">
      <w:pPr>
        <w:spacing w:after="0"/>
        <w:ind w:left="720"/>
        <w:rPr>
          <w:rFonts w:ascii="Arial" w:eastAsia="Arial" w:hAnsi="Arial" w:cs="Arial"/>
          <w:color w:val="000000"/>
          <w:sz w:val="22"/>
          <w:szCs w:val="22"/>
        </w:rPr>
      </w:pPr>
    </w:p>
    <w:p w14:paraId="14254AF4" w14:textId="6C3DB7A4" w:rsidR="00501B0C" w:rsidRPr="009D2FA3" w:rsidRDefault="00557D14" w:rsidP="009D2FA3">
      <w:pPr>
        <w:spacing w:after="120"/>
      </w:pPr>
      <w:r>
        <w:rPr>
          <w:rFonts w:ascii="Arial" w:eastAsia="Arial" w:hAnsi="Arial" w:cs="Arial"/>
          <w:color w:val="000000"/>
          <w:sz w:val="22"/>
          <w:szCs w:val="22"/>
        </w:rPr>
        <w:t>De acuerdo con las consideraciones de este concepto, el deber de publicar en el SECOP se fundamenta en una idea general, esto es, que se debe publicar la información oficial de la contratación que realicen con recursos públicos, con independencia del régimen contractual. De conformidad con el Decreto 103 de 2015 –compilado en los artículos 2.1.1.1.1. al 2.1.1.6.1. del Decreto 1081 de 2015–, los documentos que deben publicar las entidades estatales, entre estas las empresas de servicios públicos domiciliarios y, en general, todas las entidades estatales con régimen especial de contratación,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w:t>
      </w:r>
    </w:p>
    <w:p w14:paraId="75B92344" w14:textId="7D319B99" w:rsidR="00501B0C" w:rsidRDefault="00557D14">
      <w:pPr>
        <w:spacing w:after="120"/>
        <w:ind w:firstLine="720"/>
        <w:rPr>
          <w:rFonts w:ascii="Arial" w:eastAsia="Arial" w:hAnsi="Arial" w:cs="Arial"/>
          <w:color w:val="000000"/>
          <w:sz w:val="22"/>
          <w:szCs w:val="22"/>
        </w:rPr>
      </w:pPr>
      <w:r>
        <w:rPr>
          <w:rFonts w:ascii="Arial" w:eastAsia="Arial" w:hAnsi="Arial" w:cs="Arial"/>
          <w:color w:val="000000"/>
          <w:sz w:val="22"/>
          <w:szCs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w:t>
      </w:r>
      <w:r>
        <w:rPr>
          <w:rFonts w:ascii="Arial" w:eastAsia="Arial" w:hAnsi="Arial" w:cs="Arial"/>
          <w:color w:val="000000"/>
          <w:sz w:val="22"/>
          <w:szCs w:val="22"/>
        </w:rPr>
        <w:lastRenderedPageBreak/>
        <w:t>regulada en el artículo 860 del Código de Comercio–, por expresa disposición del literal g) del artículo 11 de la Ley 1712 de 2014.</w:t>
      </w:r>
    </w:p>
    <w:p w14:paraId="5A8AE37C" w14:textId="77777777" w:rsidR="00501B0C" w:rsidRDefault="00501B0C">
      <w:pPr>
        <w:spacing w:after="120"/>
        <w:rPr>
          <w:color w:val="000000"/>
        </w:rPr>
      </w:pPr>
    </w:p>
    <w:p w14:paraId="1D45E896" w14:textId="77777777" w:rsidR="00501B0C" w:rsidRDefault="00557D14">
      <w:pPr>
        <w:spacing w:after="120"/>
        <w:rPr>
          <w:rFonts w:ascii="Arial" w:eastAsia="Arial" w:hAnsi="Arial" w:cs="Arial"/>
          <w:color w:val="000000"/>
          <w:sz w:val="22"/>
          <w:szCs w:val="22"/>
        </w:rPr>
      </w:pPr>
      <w:bookmarkStart w:id="9" w:name="_1t3h5sf" w:colFirst="0" w:colLast="0"/>
      <w:bookmarkEnd w:id="9"/>
      <w:r>
        <w:rPr>
          <w:rFonts w:ascii="Arial" w:eastAsia="Arial" w:hAnsi="Arial" w:cs="Arial"/>
          <w:color w:val="000000"/>
          <w:sz w:val="22"/>
          <w:szCs w:val="22"/>
        </w:rPr>
        <w:t>Este concepto tiene el alcance previsto en el artículo 28 del Código de Procedimiento Administrativo y de lo Contencioso Administrativo.</w:t>
      </w:r>
    </w:p>
    <w:p w14:paraId="1DF8827C" w14:textId="77777777" w:rsidR="00501B0C" w:rsidRDefault="00557D14">
      <w:pPr>
        <w:spacing w:after="120"/>
        <w:rPr>
          <w:rFonts w:ascii="Arial" w:eastAsia="Arial" w:hAnsi="Arial" w:cs="Arial"/>
          <w:color w:val="000000"/>
          <w:sz w:val="22"/>
          <w:szCs w:val="22"/>
        </w:rPr>
      </w:pPr>
      <w:r>
        <w:rPr>
          <w:noProof/>
        </w:rPr>
        <mc:AlternateContent>
          <mc:Choice Requires="wps">
            <w:drawing>
              <wp:anchor distT="4294967260" distB="4294967260" distL="114300" distR="114300" simplePos="0" relativeHeight="251658240" behindDoc="0" locked="0" layoutInCell="1" hidden="0" allowOverlap="1" wp14:anchorId="1A8A9E13" wp14:editId="52DEF839">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60" distT="4294967260" distL="114300" distR="114300" hidden="0" layoutInCell="1" locked="0" relativeHeight="0" simplePos="0">
                <wp:simplePos x="0" y="0"/>
                <wp:positionH relativeFrom="column">
                  <wp:posOffset>434340</wp:posOffset>
                </wp:positionH>
                <wp:positionV relativeFrom="paragraph">
                  <wp:posOffset>10205</wp:posOffset>
                </wp:positionV>
                <wp:extent cx="4686300" cy="9526"/>
                <wp:effectExtent b="0" l="0" r="0" t="0"/>
                <wp:wrapNone/>
                <wp:docPr id="1"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4686300" cy="9526"/>
                        </a:xfrm>
                        <a:prstGeom prst="rect"/>
                        <a:ln/>
                      </pic:spPr>
                    </pic:pic>
                  </a:graphicData>
                </a:graphic>
              </wp:anchor>
            </w:drawing>
          </mc:Fallback>
        </mc:AlternateContent>
      </w:r>
    </w:p>
    <w:p w14:paraId="61B2872B" w14:textId="77777777" w:rsidR="00501B0C" w:rsidRDefault="00557D14">
      <w:pPr>
        <w:rPr>
          <w:rFonts w:ascii="Arial" w:eastAsia="Arial" w:hAnsi="Arial" w:cs="Arial"/>
          <w:color w:val="000000"/>
          <w:sz w:val="22"/>
          <w:szCs w:val="22"/>
        </w:rPr>
      </w:pPr>
      <w:r>
        <w:rPr>
          <w:rFonts w:ascii="Arial" w:eastAsia="Arial" w:hAnsi="Arial" w:cs="Arial"/>
          <w:color w:val="000000"/>
          <w:sz w:val="22"/>
          <w:szCs w:val="22"/>
        </w:rPr>
        <w:t>Atentamente,</w:t>
      </w:r>
    </w:p>
    <w:p w14:paraId="18F85856" w14:textId="149E24EC" w:rsidR="00501B0C" w:rsidRDefault="000A062D">
      <w:pPr>
        <w:jc w:val="center"/>
        <w:rPr>
          <w:rFonts w:ascii="Arial" w:eastAsia="Arial" w:hAnsi="Arial" w:cs="Arial"/>
          <w:color w:val="000000"/>
          <w:sz w:val="18"/>
          <w:szCs w:val="18"/>
        </w:rPr>
      </w:pPr>
      <w:r>
        <w:rPr>
          <w:noProof/>
        </w:rPr>
        <w:drawing>
          <wp:inline distT="0" distB="0" distL="0" distR="0" wp14:anchorId="11FB2729" wp14:editId="6B1A16ED">
            <wp:extent cx="2514600" cy="1114425"/>
            <wp:effectExtent l="0" t="0" r="0" b="952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501B0C" w14:paraId="2D516743" w14:textId="77777777">
        <w:trPr>
          <w:trHeight w:val="315"/>
        </w:trPr>
        <w:tc>
          <w:tcPr>
            <w:tcW w:w="812" w:type="dxa"/>
            <w:vAlign w:val="center"/>
          </w:tcPr>
          <w:p w14:paraId="0A619B4F" w14:textId="77777777" w:rsidR="00501B0C" w:rsidRPr="009D2FA3" w:rsidRDefault="00557D14" w:rsidP="009D2FA3">
            <w:pPr>
              <w:spacing w:before="0"/>
            </w:pPr>
            <w:r>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5D8FE4CA" w14:textId="77777777" w:rsidR="00501B0C" w:rsidRPr="009D2FA3" w:rsidRDefault="00557D14" w:rsidP="009D2FA3">
            <w:pPr>
              <w:spacing w:before="0"/>
            </w:pPr>
            <w:r>
              <w:rPr>
                <w:rFonts w:ascii="Arial" w:eastAsia="Arial" w:hAnsi="Arial" w:cs="Arial"/>
                <w:color w:val="000000"/>
                <w:sz w:val="16"/>
                <w:szCs w:val="16"/>
              </w:rPr>
              <w:t>Álvaro Namén Vargas</w:t>
            </w:r>
          </w:p>
          <w:p w14:paraId="7448F0F9" w14:textId="77777777" w:rsidR="00501B0C" w:rsidRPr="009D2FA3" w:rsidRDefault="00557D14" w:rsidP="009D2FA3">
            <w:pPr>
              <w:spacing w:before="0"/>
            </w:pPr>
            <w:r>
              <w:rPr>
                <w:rFonts w:ascii="Arial" w:eastAsia="Arial" w:hAnsi="Arial" w:cs="Arial"/>
                <w:color w:val="000000"/>
                <w:sz w:val="16"/>
                <w:szCs w:val="16"/>
              </w:rPr>
              <w:t>Contratista de la Subdirección de Gestión Contractual</w:t>
            </w:r>
          </w:p>
        </w:tc>
      </w:tr>
      <w:tr w:rsidR="00501B0C" w14:paraId="65452594" w14:textId="77777777">
        <w:trPr>
          <w:trHeight w:val="330"/>
        </w:trPr>
        <w:tc>
          <w:tcPr>
            <w:tcW w:w="812" w:type="dxa"/>
            <w:vAlign w:val="center"/>
          </w:tcPr>
          <w:p w14:paraId="26F330E9" w14:textId="77777777" w:rsidR="00501B0C" w:rsidRPr="009D2FA3" w:rsidRDefault="00557D14" w:rsidP="009D2FA3">
            <w:pPr>
              <w:spacing w:before="0"/>
            </w:pPr>
            <w:r>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5AA81DA1" w14:textId="77777777" w:rsidR="00501B0C" w:rsidRPr="009D2FA3" w:rsidRDefault="00557D14" w:rsidP="009D2FA3">
            <w:pPr>
              <w:spacing w:before="0"/>
            </w:pPr>
            <w:r>
              <w:rPr>
                <w:rFonts w:ascii="Arial" w:eastAsia="Arial" w:hAnsi="Arial" w:cs="Arial"/>
                <w:color w:val="000000"/>
                <w:sz w:val="16"/>
                <w:szCs w:val="16"/>
              </w:rPr>
              <w:t>Sebastián Ramírez Grisales</w:t>
            </w:r>
          </w:p>
          <w:p w14:paraId="7E859229" w14:textId="77777777" w:rsidR="00501B0C" w:rsidRPr="009D2FA3" w:rsidRDefault="00557D14" w:rsidP="009D2FA3">
            <w:pPr>
              <w:spacing w:before="0"/>
            </w:pPr>
            <w:r>
              <w:rPr>
                <w:rFonts w:ascii="Arial" w:eastAsia="Arial" w:hAnsi="Arial" w:cs="Arial"/>
                <w:color w:val="000000"/>
                <w:sz w:val="16"/>
                <w:szCs w:val="16"/>
              </w:rPr>
              <w:t>Contratista de la Subdirección de Gestión Contractual</w:t>
            </w:r>
          </w:p>
        </w:tc>
      </w:tr>
      <w:tr w:rsidR="00501B0C" w14:paraId="2197F93F" w14:textId="77777777">
        <w:trPr>
          <w:trHeight w:val="300"/>
        </w:trPr>
        <w:tc>
          <w:tcPr>
            <w:tcW w:w="812" w:type="dxa"/>
            <w:vAlign w:val="center"/>
          </w:tcPr>
          <w:p w14:paraId="28BF942E" w14:textId="77777777" w:rsidR="00501B0C" w:rsidRPr="009D2FA3" w:rsidRDefault="00557D14" w:rsidP="009D2FA3">
            <w:pPr>
              <w:spacing w:before="0"/>
            </w:pPr>
            <w:r>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58A47463" w14:textId="77777777" w:rsidR="00501B0C" w:rsidRPr="009D2FA3" w:rsidRDefault="00557D14" w:rsidP="009D2FA3">
            <w:pPr>
              <w:spacing w:before="0"/>
            </w:pPr>
            <w:r>
              <w:rPr>
                <w:rFonts w:ascii="Arial" w:eastAsia="Arial" w:hAnsi="Arial" w:cs="Arial"/>
                <w:color w:val="000000"/>
                <w:sz w:val="16"/>
                <w:szCs w:val="16"/>
              </w:rPr>
              <w:t>Jorge Augusto Tirado Navarro</w:t>
            </w:r>
          </w:p>
          <w:p w14:paraId="3811E557" w14:textId="77777777" w:rsidR="00501B0C" w:rsidRPr="009D2FA3" w:rsidRDefault="00557D14" w:rsidP="009D2FA3">
            <w:pPr>
              <w:spacing w:before="0"/>
            </w:pPr>
            <w:r>
              <w:rPr>
                <w:rFonts w:ascii="Arial" w:eastAsia="Arial" w:hAnsi="Arial" w:cs="Arial"/>
                <w:color w:val="000000"/>
                <w:sz w:val="16"/>
                <w:szCs w:val="16"/>
              </w:rPr>
              <w:t>Subdirector de Gestión Contractual ANCP – CCE</w:t>
            </w:r>
          </w:p>
        </w:tc>
      </w:tr>
    </w:tbl>
    <w:p w14:paraId="5E41BA08" w14:textId="77777777" w:rsidR="00501B0C" w:rsidRDefault="00501B0C">
      <w:pPr>
        <w:spacing w:after="120"/>
        <w:rPr>
          <w:rFonts w:ascii="Arial" w:eastAsia="Arial" w:hAnsi="Arial" w:cs="Arial"/>
          <w:b/>
          <w:color w:val="000000"/>
          <w:sz w:val="20"/>
          <w:szCs w:val="20"/>
        </w:rPr>
      </w:pPr>
    </w:p>
    <w:sectPr w:rsidR="00501B0C">
      <w:headerReference w:type="default" r:id="rId17"/>
      <w:footerReference w:type="default" r:id="rId18"/>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7324D" w14:textId="77777777" w:rsidR="00254A44" w:rsidRDefault="00254A44">
      <w:pPr>
        <w:spacing w:after="0" w:line="240" w:lineRule="auto"/>
      </w:pPr>
      <w:r>
        <w:separator/>
      </w:r>
    </w:p>
  </w:endnote>
  <w:endnote w:type="continuationSeparator" w:id="0">
    <w:p w14:paraId="44B8342A" w14:textId="77777777" w:rsidR="00254A44" w:rsidRDefault="00254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BAC0" w14:textId="77777777" w:rsidR="00501B0C" w:rsidRDefault="00501B0C">
    <w:pPr>
      <w:pBdr>
        <w:top w:val="nil"/>
        <w:left w:val="nil"/>
        <w:bottom w:val="nil"/>
        <w:right w:val="nil"/>
        <w:between w:val="nil"/>
      </w:pBdr>
      <w:spacing w:after="0" w:line="240" w:lineRule="auto"/>
      <w:rPr>
        <w:rFonts w:ascii="Arial" w:eastAsia="Arial" w:hAnsi="Arial" w:cs="Arial"/>
        <w:color w:val="000000"/>
        <w:sz w:val="18"/>
        <w:szCs w:val="18"/>
      </w:rPr>
    </w:pPr>
  </w:p>
  <w:p w14:paraId="675E2E84" w14:textId="77777777" w:rsidR="00501B0C" w:rsidRDefault="00557D14">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9D2FA3">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9D2FA3">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232B64D5" w14:textId="77777777" w:rsidR="00501B0C" w:rsidRDefault="00557D14">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5AF53172" wp14:editId="0B76CAD5">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52C801EA" w14:textId="77777777" w:rsidR="00501B0C" w:rsidRDefault="00501B0C">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517D9" w14:textId="77777777" w:rsidR="00254A44" w:rsidRDefault="00254A44">
      <w:pPr>
        <w:spacing w:after="0" w:line="240" w:lineRule="auto"/>
      </w:pPr>
      <w:r>
        <w:separator/>
      </w:r>
    </w:p>
  </w:footnote>
  <w:footnote w:type="continuationSeparator" w:id="0">
    <w:p w14:paraId="20422A80" w14:textId="77777777" w:rsidR="00254A44" w:rsidRDefault="00254A44">
      <w:pPr>
        <w:spacing w:after="0" w:line="240" w:lineRule="auto"/>
      </w:pPr>
      <w:r>
        <w:continuationSeparator/>
      </w:r>
    </w:p>
  </w:footnote>
  <w:footnote w:id="1">
    <w:p w14:paraId="674FF217"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A062D">
        <w:rPr>
          <w:rFonts w:ascii="Arial" w:eastAsia="Arial" w:hAnsi="Arial" w:cs="Arial"/>
          <w:i/>
          <w:color w:val="000000"/>
          <w:sz w:val="16"/>
          <w:szCs w:val="16"/>
        </w:rPr>
        <w:t xml:space="preserve">ibidem </w:t>
      </w:r>
      <w:r w:rsidRPr="000A062D">
        <w:rPr>
          <w:rFonts w:ascii="Arial" w:eastAsia="Arial" w:hAnsi="Arial" w:cs="Arial"/>
          <w:color w:val="000000"/>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bookmarkStart w:id="2" w:name="_4d34og8" w:colFirst="0" w:colLast="0"/>
    <w:bookmarkEnd w:id="2"/>
  </w:footnote>
  <w:footnote w:id="2">
    <w:p w14:paraId="01075CB6"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bookmarkStart w:id="4" w:name="_4d34og8" w:colFirst="0" w:colLast="0"/>
      <w:bookmarkEnd w:id="4"/>
      <w:r w:rsidRPr="000A062D">
        <w:rPr>
          <w:sz w:val="16"/>
          <w:szCs w:val="16"/>
          <w:vertAlign w:val="superscript"/>
        </w:rPr>
        <w:footnoteRef/>
      </w:r>
      <w:r w:rsidRPr="000A062D">
        <w:rPr>
          <w:rFonts w:ascii="Arial" w:eastAsia="Arial" w:hAnsi="Arial" w:cs="Arial"/>
          <w:color w:val="000000"/>
          <w:sz w:val="16"/>
          <w:szCs w:val="16"/>
        </w:rPr>
        <w:t xml:space="preserve"> Seguidamente, el numeral 8º del artículo 11 Decreto Ley 4170 de 2011 señala que es función de la Subdirección de Gestión Contractual: «[a]bsolver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3">
    <w:p w14:paraId="127C6B5E"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BOBBIO, Norberto. Democracia y secreto. México: Fondo de Cultura Económica, 2013. p. 27.</w:t>
      </w:r>
    </w:p>
  </w:footnote>
  <w:footnote w:id="4">
    <w:p w14:paraId="4A2F9FEF"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p>
    <w:p w14:paraId="20176E4D"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 xml:space="preserve"> Corte Constitucional. Sentencia C- 341 del 4 de junio de 2014. M. P. Mauricio González Cuervo.</w:t>
      </w:r>
    </w:p>
    <w:p w14:paraId="3DEF534B"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5">
    <w:p w14:paraId="215B3D7D"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452A4B3"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»Lo anterior, sin perjuicio de las publicaciones previstas en el numeral 3 del artículo 30 de la Ley 80 de 1993.</w:t>
      </w:r>
    </w:p>
    <w:p w14:paraId="31853B06"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 xml:space="preserve">»Con el fin de materializar los objetivos a que se refiere el inciso anterior, el Gobierno Nacional desarrollará el Sistema Electrónico para la Contratación Pública, Secop, el cual: </w:t>
      </w:r>
    </w:p>
    <w:p w14:paraId="5F362068"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w:t>
      </w:r>
    </w:p>
    <w:p w14:paraId="3A861DB5"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462E801F"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6">
    <w:p w14:paraId="00F5F72A"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717A7D3"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7">
    <w:p w14:paraId="618E31E1"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Ley 1712 de 2014: «Artículo 5. Ámbito de aplicación. Las disposiciones de esta ley serán aplicables a las siguientes personas en calidad de sujetos obligados: </w:t>
      </w:r>
    </w:p>
    <w:p w14:paraId="271C5D3B"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63167C5"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8">
    <w:p w14:paraId="3066A10C"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vertAlign w:val="superscript"/>
        </w:rPr>
        <w:t xml:space="preserve"> </w:t>
      </w:r>
      <w:r w:rsidRPr="000A062D">
        <w:rPr>
          <w:rFonts w:ascii="Arial" w:eastAsia="Arial" w:hAnsi="Arial"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C3D10D7"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w:t>
      </w:r>
    </w:p>
    <w:p w14:paraId="7DBBECE1"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«Los sujetos obligados que contratan con recursos públicos y recursos privados, deben publicar la información de su gestión contractual con cargo a recursos públicos en el Sistema Electrónico para la Contratación Pública [SECOP]».</w:t>
      </w:r>
    </w:p>
    <w:p w14:paraId="2D7B7FC8"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9">
    <w:p w14:paraId="75E1E1DC"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Corte Constitucional. Sentencia C‒274 de 9 de mayo de 2013. M.P. María Victoria Calle Correa. </w:t>
      </w:r>
    </w:p>
    <w:p w14:paraId="75A2BCB0"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10">
    <w:p w14:paraId="7F2DB13B"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16F52A09"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11">
    <w:p w14:paraId="565A49A6" w14:textId="77777777" w:rsidR="00501B0C" w:rsidRPr="000A062D" w:rsidRDefault="00557D14" w:rsidP="009D2FA3">
      <w:pPr>
        <w:pBdr>
          <w:top w:val="nil"/>
          <w:left w:val="nil"/>
          <w:bottom w:val="nil"/>
          <w:right w:val="nil"/>
          <w:between w:val="nil"/>
        </w:pBdr>
        <w:spacing w:after="0" w:line="240" w:lineRule="auto"/>
        <w:ind w:firstLine="709"/>
        <w:rPr>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Concepto C-241 de 2021. Disponible en: </w:t>
      </w:r>
      <w:hyperlink r:id="rId1" w:history="1">
        <w:r w:rsidRPr="000A062D">
          <w:rPr>
            <w:rFonts w:ascii="Arial" w:eastAsia="Arial" w:hAnsi="Arial" w:cs="Arial"/>
            <w:color w:val="0000FF"/>
            <w:sz w:val="16"/>
            <w:szCs w:val="16"/>
            <w:u w:val="single"/>
          </w:rPr>
          <w:t>https://relatoria.colombiacompra.gov.co/ficha/C-241%20de%202021</w:t>
        </w:r>
      </w:hyperlink>
      <w:r w:rsidRPr="000A062D">
        <w:rPr>
          <w:rFonts w:ascii="Arial" w:eastAsia="Arial" w:hAnsi="Arial" w:cs="Arial"/>
          <w:color w:val="000000"/>
          <w:sz w:val="16"/>
          <w:szCs w:val="16"/>
        </w:rPr>
        <w:t xml:space="preserve">. </w:t>
      </w:r>
    </w:p>
  </w:footnote>
  <w:footnote w:id="12">
    <w:p w14:paraId="60C84FDA"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Consejero Ponente: Jaime Orlando Santofimio Gamboa.</w:t>
      </w:r>
    </w:p>
  </w:footnote>
  <w:footnote w:id="13">
    <w:p w14:paraId="7FAC4345"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p>
    <w:p w14:paraId="0E9DAF8C"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 xml:space="preserve"> Consejo de Estado. Sección Tercera. Subsección C. Auto del 14 de agosto de 2017. Exp. 58.820. C.P. Jaime Orlando Santofimio Gamboa. </w:t>
      </w:r>
    </w:p>
    <w:p w14:paraId="52643C8A"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14">
    <w:p w14:paraId="6A735A30"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Ibíd. </w:t>
      </w:r>
    </w:p>
  </w:footnote>
  <w:footnote w:id="15">
    <w:p w14:paraId="6657DE65"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3FBA54D"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16">
    <w:p w14:paraId="7801684A"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690ADF9C"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61313FE8"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17">
    <w:p w14:paraId="396D9820"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18">
    <w:p w14:paraId="3C71CC3B"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p>
    <w:p w14:paraId="74B4CDA5"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57422774" w14:textId="77777777" w:rsidR="00501B0C" w:rsidRPr="000A062D" w:rsidRDefault="00501B0C">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19">
    <w:p w14:paraId="1FF0785E"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67465EDA"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»Los sujetos obligados que no contratan con cargo a recursos públicos no están obligados a publicar su Plan Anual de Adquisiciones.</w:t>
      </w:r>
    </w:p>
    <w:p w14:paraId="11B1AD96"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»Los sujetos obligados que contratan con cargo a recursos públicos y recursos privados, deben publicar en su página web y en el SECOP el Plan Anual de Adquisiciones para los recursos de carácter público que ejecutarán en el año.</w:t>
      </w:r>
    </w:p>
    <w:p w14:paraId="685D058B" w14:textId="77777777" w:rsidR="00501B0C" w:rsidRPr="000A062D" w:rsidRDefault="00557D14">
      <w:pPr>
        <w:pBdr>
          <w:top w:val="nil"/>
          <w:left w:val="nil"/>
          <w:bottom w:val="nil"/>
          <w:right w:val="nil"/>
          <w:between w:val="nil"/>
        </w:pBdr>
        <w:spacing w:after="0" w:line="240" w:lineRule="auto"/>
        <w:ind w:firstLine="709"/>
        <w:rPr>
          <w:rFonts w:ascii="Arial" w:eastAsia="Arial" w:hAnsi="Arial" w:cs="Arial"/>
          <w:color w:val="000000"/>
          <w:sz w:val="16"/>
          <w:szCs w:val="16"/>
        </w:rPr>
      </w:pPr>
      <w:r w:rsidRPr="000A062D">
        <w:rPr>
          <w:rFonts w:ascii="Arial" w:eastAsia="Arial" w:hAnsi="Arial" w:cs="Arial"/>
          <w:color w:val="000000"/>
          <w:sz w:val="16"/>
          <w:szCs w:val="16"/>
        </w:rPr>
        <w:t>»Se entenderá como definición de Plan Anual de Adquisiciones respecto a todos los sujetos obligados que contratan con recursos públicos, la prevista en el artículo 3° del Decreto 1510 de 2013, o el que lo modifique, sustituya o adicione».</w:t>
      </w:r>
    </w:p>
  </w:footnote>
  <w:footnote w:id="20">
    <w:p w14:paraId="53AA8C39" w14:textId="77777777" w:rsidR="00501B0C" w:rsidRPr="000A062D" w:rsidRDefault="00557D14">
      <w:pPr>
        <w:pBdr>
          <w:top w:val="nil"/>
          <w:left w:val="nil"/>
          <w:bottom w:val="nil"/>
          <w:right w:val="nil"/>
          <w:between w:val="nil"/>
        </w:pBdr>
        <w:spacing w:after="0" w:line="240" w:lineRule="auto"/>
        <w:ind w:firstLine="708"/>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0A062D">
        <w:rPr>
          <w:rFonts w:ascii="Arial" w:eastAsia="Arial" w:hAnsi="Arial" w:cs="Arial"/>
          <w:i/>
          <w:color w:val="000000"/>
          <w:sz w:val="16"/>
          <w:szCs w:val="16"/>
        </w:rPr>
        <w:t>las empresas oficiales de servicios públicos</w:t>
      </w:r>
      <w:r w:rsidRPr="000A062D">
        <w:rPr>
          <w:rFonts w:ascii="Arial" w:eastAsia="Arial" w:hAnsi="Arial" w:cs="Arial"/>
          <w:color w:val="000000"/>
          <w:sz w:val="16"/>
          <w:szCs w:val="16"/>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 (Énfasis fuera de texto).</w:t>
      </w:r>
    </w:p>
    <w:p w14:paraId="50D241AB" w14:textId="77777777" w:rsidR="00501B0C" w:rsidRPr="000A062D" w:rsidRDefault="00501B0C">
      <w:pPr>
        <w:pBdr>
          <w:top w:val="nil"/>
          <w:left w:val="nil"/>
          <w:bottom w:val="nil"/>
          <w:right w:val="nil"/>
          <w:between w:val="nil"/>
        </w:pBdr>
        <w:spacing w:after="0" w:line="240" w:lineRule="auto"/>
        <w:ind w:firstLine="708"/>
        <w:rPr>
          <w:rFonts w:ascii="Arial" w:eastAsia="Arial" w:hAnsi="Arial" w:cs="Arial"/>
          <w:color w:val="000000"/>
          <w:sz w:val="16"/>
          <w:szCs w:val="16"/>
        </w:rPr>
      </w:pPr>
    </w:p>
  </w:footnote>
  <w:footnote w:id="21">
    <w:p w14:paraId="2D2E2A98" w14:textId="77777777" w:rsidR="00501B0C" w:rsidRPr="000A062D" w:rsidRDefault="00557D14">
      <w:pPr>
        <w:pBdr>
          <w:top w:val="nil"/>
          <w:left w:val="nil"/>
          <w:bottom w:val="nil"/>
          <w:right w:val="nil"/>
          <w:between w:val="nil"/>
        </w:pBdr>
        <w:spacing w:after="0" w:line="240" w:lineRule="auto"/>
        <w:ind w:firstLine="708"/>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Corte Constitucional. Sentencia C-736 de 2007. C.P. Marco Gerardo Monroy Cabra: «Obsérvese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p>
    <w:p w14:paraId="5F24CB27" w14:textId="77777777" w:rsidR="00501B0C" w:rsidRPr="000A062D" w:rsidRDefault="00501B0C">
      <w:pPr>
        <w:pBdr>
          <w:top w:val="nil"/>
          <w:left w:val="nil"/>
          <w:bottom w:val="nil"/>
          <w:right w:val="nil"/>
          <w:between w:val="nil"/>
        </w:pBdr>
        <w:spacing w:after="0" w:line="240" w:lineRule="auto"/>
        <w:ind w:firstLine="708"/>
        <w:rPr>
          <w:rFonts w:ascii="Arial" w:eastAsia="Arial" w:hAnsi="Arial" w:cs="Arial"/>
          <w:color w:val="000000"/>
          <w:sz w:val="16"/>
          <w:szCs w:val="16"/>
        </w:rPr>
      </w:pPr>
    </w:p>
  </w:footnote>
  <w:footnote w:id="22">
    <w:p w14:paraId="21929161" w14:textId="77777777" w:rsidR="00501B0C" w:rsidRPr="000A062D" w:rsidRDefault="00557D14">
      <w:pPr>
        <w:pBdr>
          <w:top w:val="nil"/>
          <w:left w:val="nil"/>
          <w:bottom w:val="nil"/>
          <w:right w:val="nil"/>
          <w:between w:val="nil"/>
        </w:pBdr>
        <w:spacing w:after="0" w:line="240" w:lineRule="auto"/>
        <w:ind w:firstLine="708"/>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i/>
          <w:color w:val="000000"/>
          <w:sz w:val="16"/>
          <w:szCs w:val="16"/>
        </w:rPr>
        <w:t xml:space="preserve"> Ibídem.</w:t>
      </w:r>
      <w:r w:rsidRPr="000A062D">
        <w:rPr>
          <w:rFonts w:ascii="Arial" w:eastAsia="Arial" w:hAnsi="Arial" w:cs="Arial"/>
          <w:color w:val="000000"/>
          <w:sz w:val="16"/>
          <w:szCs w:val="16"/>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0EDFF388" w14:textId="77777777" w:rsidR="00501B0C" w:rsidRPr="000A062D" w:rsidRDefault="00501B0C">
      <w:pPr>
        <w:pBdr>
          <w:top w:val="nil"/>
          <w:left w:val="nil"/>
          <w:bottom w:val="nil"/>
          <w:right w:val="nil"/>
          <w:between w:val="nil"/>
        </w:pBdr>
        <w:spacing w:after="0" w:line="240" w:lineRule="auto"/>
        <w:ind w:firstLine="708"/>
        <w:rPr>
          <w:rFonts w:ascii="Arial" w:eastAsia="Arial" w:hAnsi="Arial" w:cs="Arial"/>
          <w:color w:val="000000"/>
          <w:sz w:val="16"/>
          <w:szCs w:val="16"/>
        </w:rPr>
      </w:pPr>
    </w:p>
  </w:footnote>
  <w:footnote w:id="23">
    <w:p w14:paraId="408E7236" w14:textId="77777777" w:rsidR="00501B0C" w:rsidRPr="000A062D" w:rsidRDefault="00557D14">
      <w:pPr>
        <w:pBdr>
          <w:top w:val="nil"/>
          <w:left w:val="nil"/>
          <w:bottom w:val="nil"/>
          <w:right w:val="nil"/>
          <w:between w:val="nil"/>
        </w:pBdr>
        <w:spacing w:after="0" w:line="240" w:lineRule="auto"/>
        <w:ind w:firstLine="708"/>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La Ley 1150 de 2007, en el artículo 13, dispone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3C0583C" w14:textId="77777777" w:rsidR="00501B0C" w:rsidRPr="000A062D" w:rsidRDefault="00501B0C">
      <w:pPr>
        <w:pBdr>
          <w:top w:val="nil"/>
          <w:left w:val="nil"/>
          <w:bottom w:val="nil"/>
          <w:right w:val="nil"/>
          <w:between w:val="nil"/>
        </w:pBdr>
        <w:spacing w:after="0" w:line="240" w:lineRule="auto"/>
        <w:ind w:firstLine="708"/>
        <w:rPr>
          <w:rFonts w:ascii="Arial" w:eastAsia="Arial" w:hAnsi="Arial" w:cs="Arial"/>
          <w:color w:val="000000"/>
          <w:sz w:val="16"/>
          <w:szCs w:val="16"/>
        </w:rPr>
      </w:pPr>
    </w:p>
  </w:footnote>
  <w:footnote w:id="24">
    <w:p w14:paraId="7505CEBC" w14:textId="77777777" w:rsidR="00501B0C" w:rsidRPr="000A062D" w:rsidRDefault="00557D14">
      <w:pPr>
        <w:pBdr>
          <w:top w:val="nil"/>
          <w:left w:val="nil"/>
          <w:bottom w:val="nil"/>
          <w:right w:val="nil"/>
          <w:between w:val="nil"/>
        </w:pBdr>
        <w:spacing w:after="0" w:line="240" w:lineRule="auto"/>
        <w:ind w:firstLine="708"/>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Decreto 4170 de 2011: «Artículo 3. Funciones: La Agencia Nacional de Contratación Pública –Colombia Compra Eficiente– ejercerá las siguientes funciones:</w:t>
      </w:r>
    </w:p>
    <w:p w14:paraId="7AD8F36F" w14:textId="77777777" w:rsidR="00501B0C" w:rsidRPr="000A062D" w:rsidRDefault="00557D14">
      <w:pPr>
        <w:pBdr>
          <w:top w:val="nil"/>
          <w:left w:val="nil"/>
          <w:bottom w:val="nil"/>
          <w:right w:val="nil"/>
          <w:between w:val="nil"/>
        </w:pBdr>
        <w:spacing w:after="0" w:line="240" w:lineRule="auto"/>
        <w:ind w:firstLine="708"/>
        <w:rPr>
          <w:rFonts w:ascii="Arial" w:eastAsia="Arial" w:hAnsi="Arial" w:cs="Arial"/>
          <w:color w:val="000000"/>
          <w:sz w:val="16"/>
          <w:szCs w:val="16"/>
        </w:rPr>
      </w:pPr>
      <w:r w:rsidRPr="000A062D">
        <w:rPr>
          <w:rFonts w:ascii="Arial" w:eastAsia="Arial" w:hAnsi="Arial" w:cs="Arial"/>
          <w:color w:val="000000"/>
          <w:sz w:val="16"/>
          <w:szCs w:val="16"/>
        </w:rPr>
        <w:t>[...]</w:t>
      </w:r>
    </w:p>
    <w:p w14:paraId="6FFFF450" w14:textId="77777777" w:rsidR="00501B0C" w:rsidRPr="000A062D" w:rsidRDefault="00501B0C">
      <w:pPr>
        <w:pBdr>
          <w:top w:val="nil"/>
          <w:left w:val="nil"/>
          <w:bottom w:val="nil"/>
          <w:right w:val="nil"/>
          <w:between w:val="nil"/>
        </w:pBdr>
        <w:spacing w:after="0" w:line="240" w:lineRule="auto"/>
        <w:ind w:firstLine="708"/>
        <w:rPr>
          <w:rFonts w:ascii="Arial" w:eastAsia="Arial" w:hAnsi="Arial" w:cs="Arial"/>
          <w:color w:val="000000"/>
          <w:sz w:val="16"/>
          <w:szCs w:val="16"/>
        </w:rPr>
      </w:pPr>
    </w:p>
    <w:p w14:paraId="494C9F2B" w14:textId="77777777" w:rsidR="00501B0C" w:rsidRPr="000A062D" w:rsidRDefault="00557D14">
      <w:pPr>
        <w:pBdr>
          <w:top w:val="nil"/>
          <w:left w:val="nil"/>
          <w:bottom w:val="nil"/>
          <w:right w:val="nil"/>
          <w:between w:val="nil"/>
        </w:pBdr>
        <w:spacing w:after="0" w:line="240" w:lineRule="auto"/>
        <w:ind w:firstLine="708"/>
        <w:rPr>
          <w:rFonts w:ascii="Arial" w:eastAsia="Arial" w:hAnsi="Arial" w:cs="Arial"/>
          <w:color w:val="000000"/>
          <w:sz w:val="16"/>
          <w:szCs w:val="16"/>
        </w:rPr>
      </w:pPr>
      <w:r w:rsidRPr="000A062D">
        <w:rPr>
          <w:rFonts w:ascii="Arial" w:eastAsia="Arial" w:hAnsi="Arial"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1B830313" w14:textId="77777777" w:rsidR="00501B0C" w:rsidRPr="000A062D" w:rsidRDefault="00557D14">
      <w:pPr>
        <w:pBdr>
          <w:top w:val="nil"/>
          <w:left w:val="nil"/>
          <w:bottom w:val="nil"/>
          <w:right w:val="nil"/>
          <w:between w:val="nil"/>
        </w:pBdr>
        <w:spacing w:after="0" w:line="240" w:lineRule="auto"/>
        <w:ind w:firstLine="708"/>
        <w:rPr>
          <w:rFonts w:ascii="Arial" w:eastAsia="Arial" w:hAnsi="Arial" w:cs="Arial"/>
          <w:color w:val="000000"/>
          <w:sz w:val="16"/>
          <w:szCs w:val="16"/>
        </w:rPr>
      </w:pPr>
      <w:r w:rsidRPr="000A062D">
        <w:rPr>
          <w:rFonts w:ascii="Arial" w:eastAsia="Arial" w:hAnsi="Arial" w:cs="Arial"/>
          <w:color w:val="000000"/>
          <w:sz w:val="16"/>
          <w:szCs w:val="16"/>
        </w:rPr>
        <w:t>[...]».</w:t>
      </w:r>
    </w:p>
  </w:footnote>
  <w:footnote w:id="25">
    <w:p w14:paraId="0C19AA33" w14:textId="77777777" w:rsidR="00501B0C" w:rsidRPr="000A062D" w:rsidRDefault="00557D14">
      <w:pPr>
        <w:pBdr>
          <w:top w:val="nil"/>
          <w:left w:val="nil"/>
          <w:bottom w:val="nil"/>
          <w:right w:val="nil"/>
          <w:between w:val="nil"/>
        </w:pBdr>
        <w:spacing w:after="0" w:line="240" w:lineRule="auto"/>
        <w:ind w:firstLine="708"/>
        <w:jc w:val="left"/>
        <w:rPr>
          <w:rFonts w:ascii="Arial" w:eastAsia="Arial" w:hAnsi="Arial" w:cs="Arial"/>
          <w:color w:val="000000"/>
          <w:sz w:val="16"/>
          <w:szCs w:val="16"/>
        </w:rPr>
      </w:pPr>
      <w:r w:rsidRPr="000A062D">
        <w:rPr>
          <w:sz w:val="16"/>
          <w:szCs w:val="16"/>
          <w:vertAlign w:val="superscript"/>
        </w:rPr>
        <w:footnoteRef/>
      </w:r>
      <w:r w:rsidRPr="000A062D">
        <w:rPr>
          <w:rFonts w:ascii="Arial" w:eastAsia="Arial" w:hAnsi="Arial" w:cs="Arial"/>
          <w:color w:val="000000"/>
          <w:sz w:val="16"/>
          <w:szCs w:val="16"/>
        </w:rPr>
        <w:t xml:space="preserve"> Ver: Artículo 9 del Decreto 92 de 2017 y los conceptos 4201913000005551 del 9/09/2019, C-014 de 2020, C.670 de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7E84" w14:textId="77777777" w:rsidR="00501B0C" w:rsidRDefault="00557D14">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2F3C0AA3" wp14:editId="2D70C9A9">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72A65C1A" w14:textId="77777777" w:rsidR="00501B0C" w:rsidRDefault="00501B0C">
    <w:pPr>
      <w:pBdr>
        <w:top w:val="nil"/>
        <w:left w:val="nil"/>
        <w:bottom w:val="nil"/>
        <w:right w:val="nil"/>
        <w:between w:val="nil"/>
      </w:pBdr>
      <w:tabs>
        <w:tab w:val="center" w:pos="4252"/>
        <w:tab w:val="right" w:pos="8504"/>
      </w:tabs>
      <w:spacing w:after="0"/>
      <w:rPr>
        <w:color w:val="000000"/>
      </w:rPr>
    </w:pPr>
  </w:p>
  <w:p w14:paraId="73283C97" w14:textId="77777777" w:rsidR="00501B0C" w:rsidRDefault="00501B0C">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832CE4"/>
    <w:multiLevelType w:val="multilevel"/>
    <w:tmpl w:val="B00C2C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786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B0C"/>
    <w:rsid w:val="000A062D"/>
    <w:rsid w:val="00212092"/>
    <w:rsid w:val="00254A44"/>
    <w:rsid w:val="0034425B"/>
    <w:rsid w:val="00501B0C"/>
    <w:rsid w:val="00557D14"/>
    <w:rsid w:val="009D2FA3"/>
    <w:rsid w:val="00B51A7A"/>
    <w:rsid w:val="00C161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4B6F1"/>
  <w15:docId w15:val="{2FBF6F6A-AC9C-BB4D-9314-CF0E58840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ecop-ii"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de/30741"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ombiacompra.gov.co/node/23628" TargetMode="External"/><Relationship Id="rId5" Type="http://schemas.openxmlformats.org/officeDocument/2006/relationships/styles" Target="styles.xml"/><Relationship Id="rId15" Type="http://schemas.openxmlformats.org/officeDocument/2006/relationships/image" Target="media/image10.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esa-de-servici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ficha/C-241%20de%2020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4832B0-5557-465C-8827-D1B97AF8CDF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3F240E9-72CA-4304-93F2-3B84B0B77D3A}">
  <ds:schemaRefs>
    <ds:schemaRef ds:uri="http://schemas.microsoft.com/sharepoint/v3/contenttype/forms"/>
  </ds:schemaRefs>
</ds:datastoreItem>
</file>

<file path=customXml/itemProps3.xml><?xml version="1.0" encoding="utf-8"?>
<ds:datastoreItem xmlns:ds="http://schemas.openxmlformats.org/officeDocument/2006/customXml" ds:itemID="{84F6E0F2-046D-4E20-9038-D3CF87B0C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6951</Words>
  <Characters>38231</Characters>
  <Application>Microsoft Office Word</Application>
  <DocSecurity>0</DocSecurity>
  <Lines>318</Lines>
  <Paragraphs>90</Paragraphs>
  <ScaleCrop>false</ScaleCrop>
  <Company/>
  <LinksUpToDate>false</LinksUpToDate>
  <CharactersWithSpaces>45092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MORALES</dc:creator>
  <cp:lastModifiedBy>Jorge Eliecer Moran Buitrón</cp:lastModifiedBy>
  <cp:revision>3</cp:revision>
  <dcterms:created xsi:type="dcterms:W3CDTF">2022-02-14T21:40:00Z</dcterms:created>
  <dcterms:modified xsi:type="dcterms:W3CDTF">2022-04-22T20:32:00Z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