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D1C66" w14:textId="77777777" w:rsidR="00427743" w:rsidRPr="00642EA6" w:rsidRDefault="00427743" w:rsidP="00427743">
      <w:pPr>
        <w:spacing w:after="0" w:line="240" w:lineRule="auto"/>
        <w:jc w:val="both"/>
        <w:rPr>
          <w:rFonts w:ascii="Verdana" w:eastAsia="Aptos" w:hAnsi="Verdana" w:cs="Times New Roman"/>
          <w:b/>
          <w:bCs/>
          <w:kern w:val="2"/>
          <w14:ligatures w14:val="standardContextual"/>
        </w:rPr>
      </w:pPr>
      <w:r w:rsidRPr="00642EA6">
        <w:rPr>
          <w:rFonts w:ascii="Verdana" w:eastAsia="Aptos" w:hAnsi="Verdana" w:cs="Times New Roman"/>
          <w:b/>
          <w:bCs/>
          <w:kern w:val="2"/>
          <w14:ligatures w14:val="standardContextual"/>
        </w:rPr>
        <w:t>ENTIDADES CON RÉGIMEN ESPECIAL DE CONTRATACIÓN – Deber de publicidad – SECOP II – Actividad contractual – Recursos públicos</w:t>
      </w:r>
    </w:p>
    <w:p w14:paraId="3CA75B42" w14:textId="77777777" w:rsidR="00427743" w:rsidRPr="00642EA6" w:rsidRDefault="00427743" w:rsidP="00427743">
      <w:pPr>
        <w:spacing w:after="0" w:line="278" w:lineRule="auto"/>
        <w:jc w:val="both"/>
        <w:rPr>
          <w:rFonts w:ascii="Verdana" w:eastAsia="Aptos" w:hAnsi="Verdana" w:cs="Times New Roman"/>
          <w:b/>
          <w:bCs/>
          <w:kern w:val="2"/>
          <w14:ligatures w14:val="standardContextual"/>
        </w:rPr>
      </w:pPr>
    </w:p>
    <w:p w14:paraId="7B64C385" w14:textId="77777777" w:rsidR="00427743" w:rsidRPr="00642EA6" w:rsidRDefault="00427743" w:rsidP="00427743">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 mediante el cual se adiciona el artículo 13 a la Ley 1150 de 2007, asigna a dichas entidades la obligación de publicar los documentos relacionados con su actividad contractual en el SECOP II o la plataforma transaccional que haga sus veces.</w:t>
      </w:r>
    </w:p>
    <w:p w14:paraId="63ADCFA2" w14:textId="77777777" w:rsidR="00427743" w:rsidRPr="00642EA6" w:rsidRDefault="00427743" w:rsidP="00427743">
      <w:pPr>
        <w:spacing w:after="0" w:line="278"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w:t>
      </w:r>
    </w:p>
    <w:p w14:paraId="1E035FAE" w14:textId="77777777" w:rsidR="00427743" w:rsidRPr="00642EA6" w:rsidRDefault="00427743" w:rsidP="00427743">
      <w:pPr>
        <w:spacing w:after="0" w:line="240" w:lineRule="auto"/>
        <w:jc w:val="both"/>
        <w:rPr>
          <w:rFonts w:ascii="Verdana" w:eastAsia="Aptos" w:hAnsi="Verdana" w:cs="Times New Roman"/>
          <w:kern w:val="2"/>
          <w:sz w:val="20"/>
          <w:szCs w:val="20"/>
          <w14:ligatures w14:val="standardContextual"/>
        </w:rPr>
      </w:pPr>
      <w:r w:rsidRPr="00642EA6">
        <w:rPr>
          <w:rFonts w:ascii="Verdana" w:eastAsia="Aptos" w:hAnsi="Verdana" w:cs="Times New Roman"/>
          <w:kern w:val="2"/>
          <w:sz w:val="20"/>
          <w:szCs w:val="20"/>
          <w14:ligatures w14:val="standardContextual"/>
        </w:rPr>
        <w:t>[…]debe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con dineros públicos. Así las cosas, la Agencia Nacional de Contratación Pública – Colombia Compra Eficiente considera que la modificación introducida por el artículo 53 de la Ley 2195 de 2022 no afecta la interpretación adoptada hasta el momento, en el sentido de que la publicación de la información oficial de la contratación en el SECOP II debe realizarse si los negocios jurídicos adelantados fueron financiados con recursos públicos.</w:t>
      </w:r>
    </w:p>
    <w:p w14:paraId="027A6A49" w14:textId="77777777" w:rsidR="00427743" w:rsidRPr="00501236" w:rsidRDefault="00427743" w:rsidP="00427743">
      <w:pPr>
        <w:spacing w:after="0" w:line="240" w:lineRule="auto"/>
        <w:jc w:val="both"/>
        <w:rPr>
          <w:rFonts w:ascii="Verdana" w:eastAsia="Calibri" w:hAnsi="Verdana" w:cs="Arial"/>
          <w:sz w:val="20"/>
          <w:szCs w:val="20"/>
        </w:rPr>
      </w:pPr>
    </w:p>
    <w:p w14:paraId="2D4C1E5B" w14:textId="77777777" w:rsidR="00427743" w:rsidRPr="008B3C19" w:rsidRDefault="00427743" w:rsidP="00427743">
      <w:pPr>
        <w:spacing w:after="0" w:line="240" w:lineRule="auto"/>
        <w:jc w:val="both"/>
        <w:rPr>
          <w:rFonts w:ascii="Verdana" w:eastAsia="Calibri" w:hAnsi="Verdana" w:cs="Arial"/>
          <w:b/>
          <w:color w:val="000000" w:themeColor="text1"/>
          <w:lang w:val="es-ES_tradnl"/>
        </w:rPr>
      </w:pPr>
      <w:r w:rsidRPr="008B3C19">
        <w:rPr>
          <w:rFonts w:ascii="Verdana" w:eastAsia="Calibri" w:hAnsi="Verdana" w:cs="Arial"/>
          <w:b/>
          <w:color w:val="000000" w:themeColor="text1"/>
          <w:lang w:val="es-ES_tradnl"/>
        </w:rPr>
        <w:t>EMPRESAS SOCIALES DEL ESTADO – Régimen jurídico – Reglas aplicables</w:t>
      </w:r>
    </w:p>
    <w:p w14:paraId="5C354680" w14:textId="77777777" w:rsidR="00427743" w:rsidRPr="008B3C19" w:rsidRDefault="00427743" w:rsidP="00427743">
      <w:pPr>
        <w:spacing w:after="0" w:line="240" w:lineRule="auto"/>
        <w:jc w:val="both"/>
        <w:rPr>
          <w:rFonts w:ascii="Verdana" w:eastAsia="Calibri" w:hAnsi="Verdana" w:cs="Arial"/>
          <w:color w:val="000000" w:themeColor="text1"/>
          <w:lang w:val="es-ES_tradnl"/>
        </w:rPr>
      </w:pPr>
    </w:p>
    <w:p w14:paraId="5E40F01A" w14:textId="3605268A" w:rsidR="0044318F" w:rsidRPr="00281E14" w:rsidRDefault="00427743" w:rsidP="00427743">
      <w:pPr>
        <w:spacing w:after="120" w:line="240" w:lineRule="auto"/>
        <w:jc w:val="both"/>
        <w:rPr>
          <w:rFonts w:ascii="Verdana" w:eastAsia="Calibri" w:hAnsi="Verdana" w:cs="Arial"/>
          <w:color w:val="000000" w:themeColor="text1"/>
          <w:sz w:val="20"/>
          <w:szCs w:val="20"/>
          <w:lang w:val="es-MX"/>
        </w:rPr>
      </w:pPr>
      <w:r w:rsidRPr="00281E14">
        <w:rPr>
          <w:rFonts w:ascii="Verdana" w:eastAsia="Calibri" w:hAnsi="Verdana" w:cs="Arial"/>
          <w:color w:val="000000" w:themeColor="text1"/>
          <w:sz w:val="20"/>
          <w:szCs w:val="20"/>
          <w:lang w:val="es-ES_tradnl"/>
        </w:rPr>
        <w:t xml:space="preserve">[…] </w:t>
      </w:r>
      <w:r w:rsidRPr="00281E14">
        <w:rPr>
          <w:rFonts w:ascii="Verdana" w:eastAsia="Calibri" w:hAnsi="Verdana" w:cs="Arial"/>
          <w:color w:val="000000" w:themeColor="text1"/>
          <w:sz w:val="20"/>
          <w:szCs w:val="20"/>
          <w:lang w:val="es-MX"/>
        </w:rPr>
        <w:t>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w:t>
      </w:r>
      <w:r w:rsidRPr="00281E14">
        <w:rPr>
          <w:rFonts w:ascii="Verdana" w:eastAsia="Calibri" w:hAnsi="Verdana" w:cs="Arial"/>
          <w:b/>
          <w:bCs/>
          <w:color w:val="000000" w:themeColor="text1"/>
          <w:sz w:val="20"/>
          <w:szCs w:val="20"/>
          <w:lang w:val="es-MX"/>
        </w:rPr>
        <w:t xml:space="preserve"> </w:t>
      </w:r>
      <w:r w:rsidRPr="00281E14">
        <w:rPr>
          <w:rFonts w:ascii="Verdana" w:eastAsia="Calibri" w:hAnsi="Verdana" w:cs="Arial"/>
          <w:color w:val="000000" w:themeColor="text1"/>
          <w:sz w:val="20"/>
          <w:szCs w:val="20"/>
          <w:lang w:val="es-MX"/>
        </w:rPr>
        <w:t xml:space="preserve">Estas entidades, </w:t>
      </w:r>
      <w:r w:rsidR="00D62D10" w:rsidRPr="00281E14">
        <w:rPr>
          <w:rFonts w:ascii="Verdana" w:eastAsia="Calibri" w:hAnsi="Verdana" w:cs="Arial"/>
          <w:color w:val="000000" w:themeColor="text1"/>
          <w:sz w:val="20"/>
          <w:szCs w:val="20"/>
          <w:lang w:val="es-MX"/>
        </w:rPr>
        <w:t>conforme a lo establecido en</w:t>
      </w:r>
      <w:r w:rsidRPr="00281E14">
        <w:rPr>
          <w:rFonts w:ascii="Verdana" w:eastAsia="Calibri" w:hAnsi="Verdana" w:cs="Arial"/>
          <w:color w:val="000000" w:themeColor="text1"/>
          <w:sz w:val="20"/>
          <w:szCs w:val="20"/>
          <w:lang w:val="es-MX"/>
        </w:rPr>
        <w:t xml:space="preserve"> el artículo 83 de la Ley 489 de 1998, son «</w:t>
      </w:r>
      <w:r w:rsidRPr="00281E14">
        <w:rPr>
          <w:rFonts w:ascii="Verdana" w:eastAsia="Calibri" w:hAnsi="Verdana" w:cs="Arial"/>
          <w:color w:val="000000" w:themeColor="text1"/>
          <w:sz w:val="20"/>
          <w:szCs w:val="20"/>
        </w:rPr>
        <w:t>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w:t>
      </w:r>
      <w:r w:rsidRPr="00281E14">
        <w:rPr>
          <w:rFonts w:ascii="Verdana" w:eastAsia="Calibri" w:hAnsi="Verdana" w:cs="Arial"/>
          <w:color w:val="000000" w:themeColor="text1"/>
          <w:sz w:val="20"/>
          <w:szCs w:val="20"/>
          <w:lang w:val="es-MX"/>
        </w:rPr>
        <w:t xml:space="preserve">. </w:t>
      </w:r>
    </w:p>
    <w:p w14:paraId="36CB985E" w14:textId="77777777" w:rsidR="00DD681C" w:rsidRDefault="00075C32" w:rsidP="00DD681C">
      <w:pPr>
        <w:spacing w:after="120" w:line="240" w:lineRule="auto"/>
        <w:jc w:val="both"/>
        <w:rPr>
          <w:rFonts w:ascii="Verdana" w:eastAsia="Calibri" w:hAnsi="Verdana" w:cs="Arial"/>
          <w:color w:val="000000" w:themeColor="text1"/>
          <w:sz w:val="20"/>
          <w:szCs w:val="20"/>
        </w:rPr>
      </w:pPr>
      <w:r w:rsidRPr="00281E14">
        <w:rPr>
          <w:rFonts w:ascii="Verdana" w:eastAsia="Calibri" w:hAnsi="Verdana" w:cs="Arial"/>
          <w:color w:val="000000" w:themeColor="text1"/>
          <w:sz w:val="20"/>
          <w:szCs w:val="20"/>
        </w:rPr>
        <w:t>Teniendo en cuenta la naturaleza de la actividad que desarrollan —la prestación de servicios de salud—, se reitera que el régimen jurídico aplicable a estas empresas difiere del que rige a otras entidades descentralizadas funcionalmente o por servicios, como las superintendencias con personería jurídica, los establecimientos públicos o las unidades administrativas especiales. En su caso, la regla general es la aplicación del derecho privado, con excepción de lo relacionado con cláusulas exorbitantes, materia respecto de la cual están habilitadas para aplicar las disposiciones del Estatuto General de Contratación de la Administración Pública (EGCAP).</w:t>
      </w:r>
    </w:p>
    <w:p w14:paraId="5F58C1F2" w14:textId="3DE289C1" w:rsidR="00427743" w:rsidRPr="00DD681C" w:rsidRDefault="00427743" w:rsidP="00DD681C">
      <w:pPr>
        <w:spacing w:after="120" w:line="240" w:lineRule="auto"/>
        <w:jc w:val="both"/>
        <w:rPr>
          <w:rFonts w:ascii="Verdana" w:eastAsia="Calibri" w:hAnsi="Verdana" w:cs="Arial"/>
          <w:color w:val="000000" w:themeColor="text1"/>
          <w:sz w:val="20"/>
          <w:szCs w:val="20"/>
        </w:rPr>
      </w:pPr>
      <w:r w:rsidRPr="008B3C19">
        <w:rPr>
          <w:rFonts w:ascii="Verdana" w:eastAsia="Geomanist Light" w:hAnsi="Verdana" w:cs="Arial"/>
          <w:lang w:val="es-MX"/>
        </w:rPr>
        <w:lastRenderedPageBreak/>
        <w:t>Bogotá D.C., [Día] de [</w:t>
      </w:r>
      <w:proofErr w:type="spellStart"/>
      <w:r w:rsidRPr="008B3C19">
        <w:rPr>
          <w:rFonts w:ascii="Verdana" w:eastAsia="Geomanist Light" w:hAnsi="Verdana" w:cs="Arial"/>
          <w:lang w:val="es-MX"/>
        </w:rPr>
        <w:t>Mes.NombreCapitalizado</w:t>
      </w:r>
      <w:proofErr w:type="spellEnd"/>
      <w:r w:rsidRPr="008B3C19">
        <w:rPr>
          <w:rFonts w:ascii="Verdana" w:eastAsia="Geomanist Light" w:hAnsi="Verdana" w:cs="Arial"/>
          <w:lang w:val="es-MX"/>
        </w:rPr>
        <w:t>] de [Año]</w:t>
      </w:r>
    </w:p>
    <w:p w14:paraId="6B154A1C" w14:textId="244DC5F7" w:rsidR="00427743" w:rsidRPr="008B3C19" w:rsidRDefault="00DD681C" w:rsidP="00427743">
      <w:pPr>
        <w:spacing w:after="0" w:line="240" w:lineRule="auto"/>
        <w:jc w:val="both"/>
        <w:rPr>
          <w:rFonts w:ascii="Verdana" w:eastAsia="Calibri" w:hAnsi="Verdana" w:cs="Arial"/>
          <w:lang w:val="es-ES"/>
        </w:rPr>
      </w:pPr>
      <w:r w:rsidRPr="00E432C3">
        <w:rPr>
          <w:rFonts w:ascii="Verdana" w:eastAsia="Calibri" w:hAnsi="Verdana" w:cs="Arial"/>
          <w:noProof/>
          <w:lang w:val="es-ES" w:eastAsia="es-ES"/>
        </w:rPr>
        <w:drawing>
          <wp:anchor distT="0" distB="0" distL="114300" distR="114300" simplePos="0" relativeHeight="251660288" behindDoc="1" locked="0" layoutInCell="1" allowOverlap="1" wp14:anchorId="4969069A" wp14:editId="7B7F187C">
            <wp:simplePos x="0" y="0"/>
            <wp:positionH relativeFrom="margin">
              <wp:align>right</wp:align>
            </wp:positionH>
            <wp:positionV relativeFrom="paragraph">
              <wp:posOffset>86360</wp:posOffset>
            </wp:positionV>
            <wp:extent cx="3146425" cy="770890"/>
            <wp:effectExtent l="0" t="0" r="0" b="0"/>
            <wp:wrapSquare wrapText="bothSides"/>
            <wp:docPr id="12269488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4883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46425" cy="770890"/>
                    </a:xfrm>
                    <a:prstGeom prst="rect">
                      <a:avLst/>
                    </a:prstGeom>
                  </pic:spPr>
                </pic:pic>
              </a:graphicData>
            </a:graphic>
            <wp14:sizeRelH relativeFrom="page">
              <wp14:pctWidth>0</wp14:pctWidth>
            </wp14:sizeRelH>
            <wp14:sizeRelV relativeFrom="page">
              <wp14:pctHeight>0</wp14:pctHeight>
            </wp14:sizeRelV>
          </wp:anchor>
        </w:drawing>
      </w:r>
    </w:p>
    <w:p w14:paraId="2AC91546" w14:textId="2654F528" w:rsidR="00427743" w:rsidRPr="008B3C19" w:rsidRDefault="00427743" w:rsidP="00427743">
      <w:pPr>
        <w:spacing w:after="0" w:line="240" w:lineRule="auto"/>
        <w:jc w:val="both"/>
        <w:rPr>
          <w:rFonts w:ascii="Verdana" w:eastAsia="Calibri" w:hAnsi="Verdana" w:cs="Arial"/>
          <w:lang w:val="es-ES" w:eastAsia="es-ES"/>
        </w:rPr>
      </w:pPr>
      <w:r w:rsidRPr="008B3C19">
        <w:rPr>
          <w:rFonts w:ascii="Verdana" w:eastAsia="Calibri" w:hAnsi="Verdana" w:cs="Arial"/>
          <w:lang w:val="es-ES" w:eastAsia="es-ES"/>
        </w:rPr>
        <w:t>Señor</w:t>
      </w:r>
    </w:p>
    <w:p w14:paraId="7F41F711" w14:textId="5247F2AB" w:rsidR="00427743" w:rsidRPr="0011121F" w:rsidRDefault="00427743" w:rsidP="00427743">
      <w:pPr>
        <w:spacing w:after="0" w:line="240" w:lineRule="auto"/>
        <w:rPr>
          <w:rFonts w:ascii="Verdana" w:eastAsia="Calibri" w:hAnsi="Verdana" w:cs="Arial"/>
          <w:b/>
          <w:lang w:val="es-ES" w:eastAsia="es-ES"/>
        </w:rPr>
      </w:pPr>
      <w:proofErr w:type="spellStart"/>
      <w:r w:rsidRPr="373F679A">
        <w:rPr>
          <w:rFonts w:ascii="Verdana" w:eastAsia="Calibri" w:hAnsi="Verdana" w:cs="Arial"/>
          <w:b/>
          <w:lang w:val="es-ES" w:eastAsia="es-ES"/>
        </w:rPr>
        <w:t>Homer</w:t>
      </w:r>
      <w:proofErr w:type="spellEnd"/>
      <w:r w:rsidRPr="373F679A">
        <w:rPr>
          <w:rFonts w:ascii="Verdana" w:eastAsia="Calibri" w:hAnsi="Verdana" w:cs="Arial"/>
          <w:b/>
          <w:lang w:val="es-ES" w:eastAsia="es-ES"/>
        </w:rPr>
        <w:t xml:space="preserve"> José Lozano Santana</w:t>
      </w:r>
      <w:r w:rsidRPr="373F679A">
        <w:rPr>
          <w:rFonts w:ascii="Verdana" w:eastAsia="Calibri" w:hAnsi="Verdana" w:cs="Arial"/>
          <w:lang w:val="es-ES" w:eastAsia="es-ES"/>
        </w:rPr>
        <w:t xml:space="preserve"> </w:t>
      </w:r>
    </w:p>
    <w:p w14:paraId="20B042CF" w14:textId="77777777" w:rsidR="00427743" w:rsidRPr="008B3C19" w:rsidRDefault="00427743" w:rsidP="00427743">
      <w:pPr>
        <w:spacing w:after="0" w:line="240" w:lineRule="auto"/>
        <w:rPr>
          <w:rFonts w:ascii="Verdana" w:eastAsia="Calibri" w:hAnsi="Verdana" w:cs="Arial"/>
          <w:u w:val="single"/>
          <w:lang w:val="es-ES" w:eastAsia="es-ES"/>
        </w:rPr>
      </w:pPr>
      <w:r>
        <w:rPr>
          <w:rFonts w:ascii="Verdana" w:eastAsia="Calibri" w:hAnsi="Verdana" w:cs="Arial"/>
          <w:u w:val="single"/>
          <w:lang w:val="es-ES" w:eastAsia="es-ES"/>
        </w:rPr>
        <w:t>homerjlozano</w:t>
      </w:r>
      <w:r w:rsidRPr="008B3C19">
        <w:rPr>
          <w:rFonts w:ascii="Verdana" w:eastAsia="Calibri" w:hAnsi="Verdana" w:cs="Arial"/>
          <w:u w:val="single"/>
          <w:lang w:val="es-ES" w:eastAsia="es-ES"/>
        </w:rPr>
        <w:t>@gmail.com</w:t>
      </w:r>
    </w:p>
    <w:p w14:paraId="24FFCDF3" w14:textId="77777777" w:rsidR="00427743" w:rsidRPr="008B3C19" w:rsidRDefault="00427743" w:rsidP="00427743">
      <w:pPr>
        <w:spacing w:after="0" w:line="240" w:lineRule="auto"/>
        <w:rPr>
          <w:rFonts w:ascii="Verdana" w:eastAsia="Calibri" w:hAnsi="Verdana" w:cs="Arial"/>
          <w:b/>
          <w:bCs/>
          <w:lang w:val="es-ES" w:eastAsia="es-ES"/>
        </w:rPr>
      </w:pPr>
      <w:r>
        <w:rPr>
          <w:rFonts w:ascii="Verdana" w:eastAsia="Calibri" w:hAnsi="Verdana" w:cs="Arial"/>
          <w:lang w:val="es-ES" w:eastAsia="es-ES"/>
        </w:rPr>
        <w:t>Santa Marta, Magdalena</w:t>
      </w:r>
      <w:r w:rsidRPr="008B3C19">
        <w:rPr>
          <w:rFonts w:ascii="Verdana" w:eastAsia="Calibri" w:hAnsi="Verdana" w:cs="Arial"/>
          <w:lang w:val="es-ES" w:eastAsia="es-ES"/>
        </w:rPr>
        <w:t>.</w:t>
      </w:r>
    </w:p>
    <w:p w14:paraId="048CB973" w14:textId="77777777" w:rsidR="00427743" w:rsidRPr="008B3C19" w:rsidRDefault="00427743" w:rsidP="00427743">
      <w:pPr>
        <w:spacing w:after="0" w:line="240" w:lineRule="auto"/>
        <w:rPr>
          <w:rFonts w:ascii="Verdana" w:eastAsia="Calibri" w:hAnsi="Verdana" w:cs="Arial"/>
          <w:b/>
          <w:bCs/>
          <w:lang w:val="es-ES_tradnl" w:eastAsia="es-ES_tradnl"/>
        </w:rPr>
      </w:pPr>
    </w:p>
    <w:p w14:paraId="25B31FE9" w14:textId="77777777" w:rsidR="00427743" w:rsidRPr="008B3C19" w:rsidRDefault="00427743" w:rsidP="00427743">
      <w:pPr>
        <w:spacing w:after="0" w:line="240" w:lineRule="auto"/>
        <w:rPr>
          <w:rFonts w:ascii="Verdana" w:eastAsia="Calibri" w:hAnsi="Verdana" w:cs="Arial"/>
          <w:b/>
          <w:bCs/>
          <w:lang w:val="es-ES_tradnl" w:eastAsia="es-ES_tradnl"/>
        </w:rPr>
      </w:pPr>
    </w:p>
    <w:tbl>
      <w:tblPr>
        <w:tblStyle w:val="Tablaconcuadrcula"/>
        <w:tblW w:w="8789" w:type="dxa"/>
        <w:tblCellMar>
          <w:left w:w="0" w:type="dxa"/>
          <w:right w:w="0" w:type="dxa"/>
        </w:tblCellMar>
        <w:tblLook w:val="04A0" w:firstRow="1" w:lastRow="0" w:firstColumn="1" w:lastColumn="0" w:noHBand="0" w:noVBand="1"/>
      </w:tblPr>
      <w:tblGrid>
        <w:gridCol w:w="2689"/>
        <w:gridCol w:w="6100"/>
      </w:tblGrid>
      <w:tr w:rsidR="00427743" w:rsidRPr="008B3C19" w14:paraId="35488D1C" w14:textId="77777777" w:rsidTr="373F679A">
        <w:trPr>
          <w:trHeight w:val="884"/>
        </w:trPr>
        <w:tc>
          <w:tcPr>
            <w:tcW w:w="2689" w:type="dxa"/>
          </w:tcPr>
          <w:p w14:paraId="63DBEAC9" w14:textId="77777777" w:rsidR="00427743" w:rsidRPr="008B3C19" w:rsidRDefault="00427743">
            <w:pPr>
              <w:jc w:val="both"/>
              <w:rPr>
                <w:rFonts w:ascii="Verdana" w:eastAsia="Calibri" w:hAnsi="Verdana" w:cs="Arial"/>
                <w:b/>
                <w:bCs/>
                <w:lang w:val="es-ES_tradnl" w:eastAsia="es-ES_tradnl"/>
              </w:rPr>
            </w:pPr>
          </w:p>
        </w:tc>
        <w:tc>
          <w:tcPr>
            <w:tcW w:w="6100" w:type="dxa"/>
          </w:tcPr>
          <w:p w14:paraId="06CB0341" w14:textId="77777777" w:rsidR="00427743" w:rsidRPr="008B3C19" w:rsidRDefault="00427743">
            <w:pPr>
              <w:jc w:val="both"/>
              <w:rPr>
                <w:rFonts w:ascii="Verdana" w:eastAsia="Calibri" w:hAnsi="Verdana" w:cs="Arial"/>
                <w:b/>
                <w:bCs/>
                <w:lang w:val="es-ES" w:eastAsia="es-ES"/>
              </w:rPr>
            </w:pPr>
            <w:r w:rsidRPr="008B3C19">
              <w:rPr>
                <w:rFonts w:ascii="Verdana" w:eastAsia="Calibri" w:hAnsi="Verdana" w:cs="Arial"/>
                <w:b/>
                <w:bCs/>
                <w:lang w:val="es-ES" w:eastAsia="es-ES"/>
              </w:rPr>
              <w:t>Concepto C-</w:t>
            </w:r>
            <w:r>
              <w:rPr>
                <w:rFonts w:ascii="Verdana" w:eastAsia="Calibri" w:hAnsi="Verdana" w:cs="Arial"/>
                <w:b/>
                <w:bCs/>
                <w:lang w:val="es-ES" w:eastAsia="es-ES"/>
              </w:rPr>
              <w:t>759</w:t>
            </w:r>
            <w:r w:rsidRPr="008B3C19">
              <w:rPr>
                <w:rFonts w:ascii="Verdana" w:eastAsia="Calibri" w:hAnsi="Verdana" w:cs="Arial"/>
                <w:b/>
                <w:bCs/>
                <w:lang w:val="es-ES" w:eastAsia="es-ES"/>
              </w:rPr>
              <w:t xml:space="preserve"> de 2025</w:t>
            </w:r>
          </w:p>
        </w:tc>
      </w:tr>
      <w:tr w:rsidR="00427743" w:rsidRPr="008B3C19" w14:paraId="41C50833" w14:textId="77777777" w:rsidTr="373F679A">
        <w:trPr>
          <w:trHeight w:val="884"/>
        </w:trPr>
        <w:tc>
          <w:tcPr>
            <w:tcW w:w="2689" w:type="dxa"/>
          </w:tcPr>
          <w:p w14:paraId="3B5A435D" w14:textId="77777777" w:rsidR="00427743" w:rsidRPr="008B3C19" w:rsidRDefault="00427743">
            <w:pPr>
              <w:jc w:val="both"/>
              <w:rPr>
                <w:rFonts w:ascii="Verdana" w:eastAsia="Calibri" w:hAnsi="Verdana" w:cs="Arial"/>
                <w:lang w:val="es-ES_tradnl" w:eastAsia="es-ES_tradnl"/>
              </w:rPr>
            </w:pPr>
            <w:r w:rsidRPr="008B3C19">
              <w:rPr>
                <w:rFonts w:ascii="Verdana" w:eastAsia="Calibri" w:hAnsi="Verdana" w:cs="Arial"/>
                <w:b/>
                <w:lang w:val="es-ES_tradnl" w:eastAsia="es-ES_tradnl"/>
              </w:rPr>
              <w:t>Temas:</w:t>
            </w:r>
            <w:r w:rsidRPr="008B3C19">
              <w:rPr>
                <w:rFonts w:ascii="Verdana" w:eastAsia="Calibri" w:hAnsi="Verdana" w:cs="Arial"/>
                <w:lang w:val="es-ES_tradnl" w:eastAsia="es-ES_tradnl"/>
              </w:rPr>
              <w:t xml:space="preserve">                   </w:t>
            </w:r>
          </w:p>
        </w:tc>
        <w:tc>
          <w:tcPr>
            <w:tcW w:w="6100" w:type="dxa"/>
          </w:tcPr>
          <w:p w14:paraId="10D7189C" w14:textId="77777777" w:rsidR="00427743" w:rsidRPr="0011121F" w:rsidRDefault="00427743">
            <w:pPr>
              <w:spacing w:line="276" w:lineRule="auto"/>
              <w:jc w:val="both"/>
              <w:rPr>
                <w:rFonts w:ascii="Verdana" w:eastAsia="Calibri" w:hAnsi="Verdana" w:cs="Arial"/>
                <w:color w:val="000000" w:themeColor="text1"/>
                <w:lang w:val="es-MX"/>
              </w:rPr>
            </w:pPr>
            <w:r w:rsidRPr="0011121F">
              <w:rPr>
                <w:rFonts w:ascii="Verdana" w:eastAsia="Calibri" w:hAnsi="Verdana" w:cs="Arial"/>
                <w:color w:val="000000" w:themeColor="text1"/>
                <w:lang w:val="es-MX"/>
              </w:rPr>
              <w:t>ENTIDADES CON RÉGIMEN ESPECIAL – Definición / ENTIDADES CON RÉGIMEN ESPECIAL – Reglas aplicables / EMPRESAS SOCIALES DEL ESTADO – Régimen jurídico – Reglas aplicables / ENTIDADES CON RÉGIMEN ESPECIAL – Manual de Contratación – Contenido</w:t>
            </w:r>
          </w:p>
          <w:p w14:paraId="26D7D9A3" w14:textId="77777777" w:rsidR="00427743" w:rsidRPr="008B3C19" w:rsidRDefault="00427743">
            <w:pPr>
              <w:spacing w:line="276" w:lineRule="auto"/>
              <w:jc w:val="both"/>
              <w:rPr>
                <w:rFonts w:ascii="Verdana" w:eastAsia="Calibri" w:hAnsi="Verdana" w:cs="Arial"/>
                <w:lang w:val="es-ES" w:eastAsia="es-ES"/>
              </w:rPr>
            </w:pPr>
          </w:p>
        </w:tc>
      </w:tr>
      <w:tr w:rsidR="00427743" w:rsidRPr="008B3C19" w14:paraId="7A7CB223" w14:textId="77777777" w:rsidTr="373F679A">
        <w:trPr>
          <w:trHeight w:val="300"/>
        </w:trPr>
        <w:tc>
          <w:tcPr>
            <w:tcW w:w="2689" w:type="dxa"/>
          </w:tcPr>
          <w:p w14:paraId="3ED85908" w14:textId="77777777" w:rsidR="00427743" w:rsidRPr="008B3C19" w:rsidRDefault="00427743">
            <w:pPr>
              <w:jc w:val="both"/>
              <w:rPr>
                <w:rFonts w:ascii="Verdana" w:eastAsia="Calibri" w:hAnsi="Verdana" w:cs="Arial"/>
                <w:b/>
                <w:lang w:val="es-ES_tradnl" w:eastAsia="es-ES_tradnl"/>
              </w:rPr>
            </w:pPr>
            <w:r w:rsidRPr="008B3C19">
              <w:rPr>
                <w:rFonts w:ascii="Verdana" w:eastAsia="Calibri" w:hAnsi="Verdana" w:cs="Arial"/>
                <w:b/>
                <w:lang w:val="es-ES_tradnl" w:eastAsia="es-ES_tradnl"/>
              </w:rPr>
              <w:t>Radicación:</w:t>
            </w:r>
            <w:r w:rsidRPr="008B3C19">
              <w:rPr>
                <w:rFonts w:ascii="Verdana" w:eastAsia="Calibri" w:hAnsi="Verdana" w:cs="Arial"/>
                <w:lang w:val="es-ES_tradnl" w:eastAsia="es-ES_tradnl"/>
              </w:rPr>
              <w:t xml:space="preserve">               </w:t>
            </w:r>
          </w:p>
        </w:tc>
        <w:tc>
          <w:tcPr>
            <w:tcW w:w="6100" w:type="dxa"/>
          </w:tcPr>
          <w:p w14:paraId="0CDC4CD8" w14:textId="77777777" w:rsidR="00427743" w:rsidRPr="008B3C19" w:rsidRDefault="00427743">
            <w:pPr>
              <w:jc w:val="both"/>
              <w:rPr>
                <w:rFonts w:ascii="Verdana" w:eastAsia="Calibri" w:hAnsi="Verdana" w:cs="Arial"/>
                <w:lang w:val="es-ES_tradnl" w:eastAsia="es-ES_tradnl"/>
              </w:rPr>
            </w:pPr>
            <w:r w:rsidRPr="008B3C19">
              <w:rPr>
                <w:rFonts w:ascii="Verdana" w:eastAsia="Calibri" w:hAnsi="Verdana" w:cs="Arial"/>
                <w:lang w:val="es-ES_tradnl" w:eastAsia="es-ES_tradnl"/>
              </w:rPr>
              <w:t xml:space="preserve">Respuesta a consulta con radicado No. </w:t>
            </w:r>
            <w:r w:rsidRPr="0011121F">
              <w:rPr>
                <w:rFonts w:ascii="Verdana" w:eastAsia="Calibri" w:hAnsi="Verdana" w:cs="Arial"/>
                <w:lang w:eastAsia="es-ES_tradnl"/>
              </w:rPr>
              <w:t>1_2025_06_12_005838</w:t>
            </w:r>
          </w:p>
        </w:tc>
      </w:tr>
    </w:tbl>
    <w:p w14:paraId="1CCAE759" w14:textId="77777777" w:rsidR="00427743" w:rsidRPr="008B3C19" w:rsidRDefault="00427743" w:rsidP="00427743">
      <w:pPr>
        <w:spacing w:after="0" w:line="240" w:lineRule="auto"/>
        <w:jc w:val="both"/>
        <w:rPr>
          <w:rFonts w:ascii="Verdana" w:eastAsia="Calibri" w:hAnsi="Verdana" w:cs="Arial"/>
          <w:lang w:val="es-ES_tradnl" w:eastAsia="es-ES_tradnl"/>
        </w:rPr>
      </w:pPr>
    </w:p>
    <w:p w14:paraId="2F19F3E9" w14:textId="77777777" w:rsidR="00427743" w:rsidRPr="008B3C19" w:rsidRDefault="00427743" w:rsidP="00427743">
      <w:pPr>
        <w:spacing w:after="0" w:line="240" w:lineRule="auto"/>
        <w:jc w:val="both"/>
        <w:rPr>
          <w:rFonts w:ascii="Verdana" w:eastAsia="Calibri" w:hAnsi="Verdana" w:cs="Arial"/>
          <w:lang w:val="es-ES_tradnl" w:eastAsia="es-ES_tradnl"/>
        </w:rPr>
      </w:pPr>
    </w:p>
    <w:p w14:paraId="11AEFC6D" w14:textId="77777777" w:rsidR="00427743" w:rsidRPr="008B3C19" w:rsidRDefault="00427743" w:rsidP="00427743">
      <w:pPr>
        <w:spacing w:after="0" w:line="276" w:lineRule="auto"/>
        <w:jc w:val="both"/>
        <w:rPr>
          <w:rFonts w:ascii="Verdana" w:eastAsia="Calibri" w:hAnsi="Verdana" w:cs="Arial"/>
          <w:lang w:val="es-ES" w:eastAsia="es-ES"/>
        </w:rPr>
      </w:pPr>
      <w:r w:rsidRPr="008B3C19">
        <w:rPr>
          <w:rFonts w:ascii="Verdana" w:eastAsia="Calibri" w:hAnsi="Verdana" w:cs="Arial"/>
          <w:lang w:val="es-ES" w:eastAsia="es-ES"/>
        </w:rPr>
        <w:t xml:space="preserve">Estimado señor </w:t>
      </w:r>
      <w:r>
        <w:rPr>
          <w:rFonts w:ascii="Verdana" w:eastAsia="Calibri" w:hAnsi="Verdana" w:cs="Arial"/>
          <w:lang w:val="es-ES" w:eastAsia="es-ES"/>
        </w:rPr>
        <w:t>Lozano</w:t>
      </w:r>
      <w:r w:rsidRPr="008B3C19">
        <w:rPr>
          <w:rFonts w:ascii="Verdana" w:eastAsia="Calibri" w:hAnsi="Verdana" w:cs="Arial"/>
          <w:lang w:val="es-ES" w:eastAsia="es-ES"/>
        </w:rPr>
        <w:t xml:space="preserve">: </w:t>
      </w:r>
    </w:p>
    <w:p w14:paraId="01169FB8" w14:textId="77777777" w:rsidR="00427743" w:rsidRPr="008B3C19" w:rsidRDefault="00427743" w:rsidP="00427743">
      <w:pPr>
        <w:tabs>
          <w:tab w:val="left" w:pos="3768"/>
        </w:tabs>
        <w:spacing w:after="0" w:line="276" w:lineRule="auto"/>
        <w:jc w:val="both"/>
        <w:rPr>
          <w:rFonts w:ascii="Verdana" w:eastAsia="Calibri" w:hAnsi="Verdana" w:cs="Arial"/>
          <w:lang w:val="es-ES" w:eastAsia="es-ES"/>
        </w:rPr>
      </w:pPr>
      <w:r w:rsidRPr="008B3C19">
        <w:rPr>
          <w:rFonts w:ascii="Verdana" w:eastAsia="Calibri" w:hAnsi="Verdana" w:cs="Arial"/>
          <w:lang w:val="es-ES" w:eastAsia="es-ES"/>
        </w:rPr>
        <w:tab/>
      </w:r>
    </w:p>
    <w:p w14:paraId="5BF9F935" w14:textId="77777777" w:rsidR="00427743" w:rsidRPr="008B3C19" w:rsidRDefault="00427743" w:rsidP="00427743">
      <w:pPr>
        <w:spacing w:after="0" w:line="276" w:lineRule="auto"/>
        <w:jc w:val="both"/>
        <w:rPr>
          <w:rFonts w:ascii="Verdana" w:eastAsia="Calibri" w:hAnsi="Verdana" w:cs="Arial"/>
          <w:lang w:val="es-ES" w:eastAsia="es-ES"/>
        </w:rPr>
      </w:pPr>
      <w:r w:rsidRPr="008B3C19">
        <w:rPr>
          <w:rFonts w:ascii="Verdana" w:eastAsia="Calibri" w:hAnsi="Verdana" w:cs="Arial"/>
          <w:lang w:val="es-ES" w:eastAsia="es-ES"/>
        </w:rPr>
        <w:t>En ejercicio de la competencia otorgada por los artículos 3, numeral 5º, y 11, numeral 8º, del Decreto Ley 4170 de 2011,</w:t>
      </w:r>
      <w:r w:rsidRPr="008B3C19">
        <w:rPr>
          <w:rFonts w:ascii="Verdana" w:eastAsia="Arial MT" w:hAnsi="Verdana" w:cs="Arial MT"/>
          <w:lang w:val="es-ES" w:eastAsia="es-ES"/>
        </w:rPr>
        <w:t xml:space="preserve"> </w:t>
      </w:r>
      <w:r w:rsidRPr="008B3C19">
        <w:rPr>
          <w:rFonts w:ascii="Verdana" w:hAnsi="Verdana" w:cs="Arial"/>
        </w:rPr>
        <w:t xml:space="preserve">así como lo establecido en el artículo 4 de la Resolución 1707 de 2018 expedida por esta Entidad, </w:t>
      </w:r>
      <w:r w:rsidRPr="008B3C19">
        <w:rPr>
          <w:rFonts w:ascii="Verdana" w:eastAsia="Calibri" w:hAnsi="Verdana" w:cs="Arial"/>
          <w:lang w:val="es-ES" w:eastAsia="es-ES"/>
        </w:rPr>
        <w:t xml:space="preserve">la Agencia Nacional de Contratación Pública – Colombia Compra Eficiente– responde su solicitud de consulta la cual fue remitida a esta agencia el </w:t>
      </w:r>
      <w:r>
        <w:rPr>
          <w:rFonts w:ascii="Verdana" w:eastAsia="Calibri" w:hAnsi="Verdana" w:cs="Arial"/>
          <w:lang w:val="es-ES" w:eastAsia="es-ES"/>
        </w:rPr>
        <w:t>12</w:t>
      </w:r>
      <w:r w:rsidRPr="008B3C19">
        <w:rPr>
          <w:rFonts w:ascii="Verdana" w:eastAsia="Calibri" w:hAnsi="Verdana" w:cs="Arial"/>
          <w:lang w:val="es-ES" w:eastAsia="es-ES"/>
        </w:rPr>
        <w:t xml:space="preserve"> de </w:t>
      </w:r>
      <w:r>
        <w:rPr>
          <w:rFonts w:ascii="Verdana" w:eastAsia="Calibri" w:hAnsi="Verdana" w:cs="Arial"/>
          <w:lang w:val="es-ES" w:eastAsia="es-ES"/>
        </w:rPr>
        <w:t>junio</w:t>
      </w:r>
      <w:r w:rsidRPr="008B3C19">
        <w:rPr>
          <w:rFonts w:ascii="Verdana" w:eastAsia="Calibri" w:hAnsi="Verdana" w:cs="Arial"/>
          <w:lang w:val="es-ES" w:eastAsia="es-ES"/>
        </w:rPr>
        <w:t xml:space="preserve"> de 2025, en la cual manifiesta lo siguiente: </w:t>
      </w:r>
    </w:p>
    <w:p w14:paraId="1FDA5C45" w14:textId="77777777" w:rsidR="00427743" w:rsidRPr="008B3C19" w:rsidRDefault="00427743" w:rsidP="00427743">
      <w:pPr>
        <w:pStyle w:val="Prrafodelista"/>
        <w:tabs>
          <w:tab w:val="left" w:pos="142"/>
          <w:tab w:val="left" w:pos="284"/>
        </w:tabs>
        <w:spacing w:line="276" w:lineRule="auto"/>
        <w:ind w:left="0"/>
        <w:jc w:val="both"/>
        <w:rPr>
          <w:rFonts w:ascii="Verdana" w:eastAsia="Century Gothic" w:hAnsi="Verdana" w:cs="Century Gothic"/>
          <w:b/>
          <w:bCs/>
        </w:rPr>
      </w:pPr>
    </w:p>
    <w:p w14:paraId="1712853B" w14:textId="77777777" w:rsidR="00427743" w:rsidRPr="005B4AB1" w:rsidRDefault="00427743" w:rsidP="00427743">
      <w:pPr>
        <w:spacing w:after="0" w:line="240" w:lineRule="auto"/>
        <w:ind w:left="709" w:right="709"/>
        <w:jc w:val="both"/>
        <w:rPr>
          <w:rFonts w:ascii="Verdana" w:eastAsia="Century Gothic" w:hAnsi="Verdana" w:cs="Century Gothic"/>
          <w:i/>
          <w:iCs/>
          <w:sz w:val="20"/>
          <w:szCs w:val="20"/>
        </w:rPr>
      </w:pPr>
      <w:bookmarkStart w:id="0" w:name="_Hlk95313578"/>
      <w:r w:rsidRPr="005B4AB1">
        <w:rPr>
          <w:rFonts w:ascii="Verdana" w:eastAsia="Century Gothic" w:hAnsi="Verdana" w:cs="Century Gothic"/>
          <w:i/>
          <w:iCs/>
          <w:sz w:val="20"/>
          <w:szCs w:val="20"/>
          <w:lang w:val="es-ES"/>
        </w:rPr>
        <w:t>“</w:t>
      </w:r>
      <w:r w:rsidRPr="005B4AB1">
        <w:rPr>
          <w:rFonts w:ascii="Verdana" w:eastAsia="Century Gothic" w:hAnsi="Verdana" w:cs="Century Gothic"/>
          <w:i/>
          <w:iCs/>
          <w:sz w:val="20"/>
          <w:szCs w:val="20"/>
        </w:rPr>
        <w:t xml:space="preserve">Amablemente me dirijo a ustedes para exponer el siguiente caso y me puedan ayudar. Trabajo en una institución pública. El proceso de contratación lo quieren llevar de dos formas; 1 algunos contratos salgan de manera publicitaria y 2 otros contratos se celebren de forma transaccional. La pregunta es la siguientes ¿Es correcto tener estás formas en la Institución implementadas para los contratos? El lugar de trabajo es un Hospital. ¿Tener estas formas de seleccionar lo quiero de forma publicitaria y los que no de forma transaccional? ¿Hacer esta dualidad en </w:t>
      </w:r>
      <w:r w:rsidRPr="005B4AB1">
        <w:rPr>
          <w:rFonts w:ascii="Verdana" w:eastAsia="Century Gothic" w:hAnsi="Verdana" w:cs="Century Gothic"/>
          <w:i/>
          <w:iCs/>
          <w:sz w:val="20"/>
          <w:szCs w:val="20"/>
        </w:rPr>
        <w:lastRenderedPageBreak/>
        <w:t xml:space="preserve">la modalidad contractual tiene alguna implicación legal o </w:t>
      </w:r>
      <w:proofErr w:type="gramStart"/>
      <w:r w:rsidRPr="005B4AB1">
        <w:rPr>
          <w:rFonts w:ascii="Verdana" w:eastAsia="Century Gothic" w:hAnsi="Verdana" w:cs="Century Gothic"/>
          <w:i/>
          <w:iCs/>
          <w:sz w:val="20"/>
          <w:szCs w:val="20"/>
        </w:rPr>
        <w:t>sancionatoria ?</w:t>
      </w:r>
      <w:proofErr w:type="gramEnd"/>
      <w:r w:rsidRPr="005B4AB1">
        <w:rPr>
          <w:rFonts w:ascii="Verdana" w:eastAsia="Century Gothic" w:hAnsi="Verdana" w:cs="Century Gothic"/>
          <w:i/>
          <w:iCs/>
          <w:sz w:val="20"/>
          <w:szCs w:val="20"/>
          <w:lang w:val="es-ES"/>
        </w:rPr>
        <w:t xml:space="preserve"> </w:t>
      </w:r>
      <w:r w:rsidRPr="005B4AB1">
        <w:rPr>
          <w:rStyle w:val="normaltextrun"/>
          <w:rFonts w:ascii="Verdana" w:hAnsi="Verdana" w:cs="Arial"/>
          <w:i/>
          <w:iCs/>
          <w:sz w:val="20"/>
          <w:szCs w:val="20"/>
          <w:shd w:val="clear" w:color="auto" w:fill="FFFFFF"/>
          <w:lang w:val="es-ES"/>
        </w:rPr>
        <w:t>[…]</w:t>
      </w:r>
      <w:r w:rsidRPr="005B4AB1">
        <w:rPr>
          <w:rFonts w:ascii="Verdana" w:eastAsia="Century Gothic" w:hAnsi="Verdana" w:cs="Century Gothic"/>
          <w:i/>
          <w:iCs/>
          <w:sz w:val="20"/>
          <w:szCs w:val="20"/>
          <w:lang w:val="es-ES"/>
        </w:rPr>
        <w:t>”</w:t>
      </w:r>
      <w:bookmarkEnd w:id="0"/>
      <w:r w:rsidRPr="005B4AB1">
        <w:rPr>
          <w:rFonts w:ascii="Verdana" w:eastAsia="Century Gothic" w:hAnsi="Verdana" w:cs="Century Gothic"/>
          <w:i/>
          <w:iCs/>
          <w:sz w:val="20"/>
          <w:szCs w:val="20"/>
          <w:lang w:val="es-ES"/>
        </w:rPr>
        <w:t>.</w:t>
      </w:r>
    </w:p>
    <w:p w14:paraId="3C8DEAD2" w14:textId="77777777" w:rsidR="00427743" w:rsidRPr="008B3C19" w:rsidRDefault="00427743" w:rsidP="00427743">
      <w:pPr>
        <w:pStyle w:val="Prrafodelista"/>
        <w:tabs>
          <w:tab w:val="left" w:pos="142"/>
          <w:tab w:val="left" w:pos="284"/>
        </w:tabs>
        <w:spacing w:line="276" w:lineRule="auto"/>
        <w:ind w:left="0"/>
        <w:jc w:val="both"/>
        <w:rPr>
          <w:rFonts w:ascii="Verdana" w:eastAsia="Century Gothic" w:hAnsi="Verdana" w:cs="Century Gothic"/>
          <w:b/>
          <w:bCs/>
        </w:rPr>
      </w:pPr>
    </w:p>
    <w:p w14:paraId="2B765195" w14:textId="77777777" w:rsidR="00427743" w:rsidRPr="008B3C19" w:rsidRDefault="00427743" w:rsidP="00427743">
      <w:pPr>
        <w:spacing w:after="120" w:line="276" w:lineRule="auto"/>
        <w:ind w:firstLine="709"/>
        <w:jc w:val="both"/>
        <w:rPr>
          <w:rFonts w:ascii="Verdana" w:eastAsia="Calibri" w:hAnsi="Verdana" w:cs="Arial"/>
          <w:lang w:val="es-ES_tradnl" w:eastAsia="es-ES_tradnl"/>
        </w:rPr>
      </w:pPr>
      <w:r w:rsidRPr="008B3C1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B3C19">
        <w:rPr>
          <w:rFonts w:ascii="Verdana" w:eastAsia="Calibri" w:hAnsi="Verdana" w:cs="Arial"/>
          <w:lang w:val="es-ES_tradnl" w:eastAsia="es-ES_tradnl"/>
        </w:rPr>
        <w:tab/>
      </w:r>
    </w:p>
    <w:p w14:paraId="75248C0E" w14:textId="77777777" w:rsidR="00427743" w:rsidRPr="008B3C19" w:rsidRDefault="00427743" w:rsidP="00427743">
      <w:pPr>
        <w:spacing w:after="0" w:line="276" w:lineRule="auto"/>
        <w:ind w:firstLine="709"/>
        <w:jc w:val="both"/>
        <w:rPr>
          <w:rFonts w:ascii="Verdana" w:eastAsia="Calibri" w:hAnsi="Verdana" w:cs="Arial"/>
          <w:lang w:val="es-ES" w:eastAsia="es-ES"/>
        </w:rPr>
      </w:pPr>
      <w:r w:rsidRPr="008B3C1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61DE781" w14:textId="77777777" w:rsidR="00427743" w:rsidRPr="008B3C19" w:rsidRDefault="00427743" w:rsidP="00427743">
      <w:pPr>
        <w:spacing w:after="0" w:line="276" w:lineRule="auto"/>
        <w:ind w:firstLine="709"/>
        <w:jc w:val="both"/>
        <w:rPr>
          <w:rFonts w:ascii="Verdana" w:eastAsia="Calibri" w:hAnsi="Verdana" w:cs="Arial"/>
          <w:lang w:val="es-ES" w:eastAsia="es-ES"/>
        </w:rPr>
      </w:pPr>
    </w:p>
    <w:p w14:paraId="1447016E" w14:textId="77777777" w:rsidR="00427743" w:rsidRPr="008B3C19" w:rsidRDefault="00427743" w:rsidP="004277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B3C19">
        <w:rPr>
          <w:rFonts w:ascii="Verdana" w:eastAsia="Century Gothic" w:hAnsi="Verdana" w:cs="Century Gothic"/>
          <w:b/>
          <w:bCs/>
        </w:rPr>
        <w:t>Problema planteado:</w:t>
      </w:r>
    </w:p>
    <w:p w14:paraId="030E89F8" w14:textId="77777777" w:rsidR="00427743" w:rsidRPr="008B3C19" w:rsidRDefault="00427743" w:rsidP="00427743">
      <w:pPr>
        <w:tabs>
          <w:tab w:val="left" w:pos="426"/>
        </w:tabs>
        <w:spacing w:after="0" w:line="276" w:lineRule="auto"/>
        <w:jc w:val="both"/>
        <w:rPr>
          <w:rFonts w:ascii="Verdana" w:eastAsia="Century Gothic" w:hAnsi="Verdana" w:cs="Century Gothic"/>
          <w:lang w:val="es-ES"/>
        </w:rPr>
      </w:pPr>
    </w:p>
    <w:p w14:paraId="1B9CB418" w14:textId="77777777" w:rsidR="00427743" w:rsidRDefault="00427743" w:rsidP="00427743">
      <w:pPr>
        <w:spacing w:after="0" w:line="276" w:lineRule="auto"/>
        <w:jc w:val="both"/>
        <w:rPr>
          <w:rFonts w:ascii="Verdana" w:eastAsia="Century Gothic" w:hAnsi="Verdana" w:cs="Century Gothic"/>
        </w:rPr>
      </w:pPr>
      <w:r w:rsidRPr="008B3C19">
        <w:rPr>
          <w:rFonts w:ascii="Verdana" w:eastAsia="Century Gothic" w:hAnsi="Verdana" w:cs="Century Gothic"/>
        </w:rPr>
        <w:t xml:space="preserve">De acuerdo con el contenido de su solicitud, esta Agencia resolverá el siguiente problema jurídico: </w:t>
      </w:r>
      <w:r w:rsidRPr="00590D19">
        <w:rPr>
          <w:rFonts w:ascii="Verdana" w:eastAsia="Century Gothic" w:hAnsi="Verdana" w:cs="Century Gothic"/>
        </w:rPr>
        <w:t>¿Es jurídicamente viable que un hospital público adopte simultáneamente dos modalidades de contratación, una de carácter publicitario y otra de naturaleza transaccional, para la selección de contratistas?</w:t>
      </w:r>
    </w:p>
    <w:p w14:paraId="3A6BDA6C" w14:textId="77777777" w:rsidR="00427743" w:rsidRPr="008B3C19" w:rsidRDefault="00427743" w:rsidP="00427743">
      <w:pPr>
        <w:spacing w:after="0" w:line="276" w:lineRule="auto"/>
        <w:jc w:val="both"/>
        <w:rPr>
          <w:rFonts w:ascii="Verdana" w:eastAsia="Century Gothic" w:hAnsi="Verdana" w:cs="Century Gothic"/>
        </w:rPr>
      </w:pPr>
    </w:p>
    <w:p w14:paraId="56A73A19" w14:textId="77777777" w:rsidR="00427743" w:rsidRDefault="00427743" w:rsidP="00427743">
      <w:pPr>
        <w:spacing w:after="0" w:line="276" w:lineRule="auto"/>
        <w:jc w:val="both"/>
        <w:rPr>
          <w:rFonts w:ascii="Verdana" w:eastAsia="Calibri" w:hAnsi="Verdana" w:cs="Arial"/>
          <w:lang w:val="es-ES"/>
        </w:rPr>
      </w:pPr>
    </w:p>
    <w:p w14:paraId="686CBB41" w14:textId="77777777" w:rsidR="00427743" w:rsidRPr="008B3C19" w:rsidRDefault="00427743" w:rsidP="00427743">
      <w:pPr>
        <w:spacing w:after="0" w:line="276" w:lineRule="auto"/>
        <w:jc w:val="both"/>
        <w:rPr>
          <w:rFonts w:ascii="Verdana" w:eastAsia="Calibri" w:hAnsi="Verdana" w:cs="Arial"/>
          <w:lang w:val="es-ES"/>
        </w:rPr>
      </w:pPr>
    </w:p>
    <w:p w14:paraId="2E589537" w14:textId="77777777" w:rsidR="00427743" w:rsidRPr="008B3C19" w:rsidRDefault="00427743" w:rsidP="004277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B3C19">
        <w:rPr>
          <w:rFonts w:ascii="Verdana" w:eastAsia="Century Gothic" w:hAnsi="Verdana" w:cs="Century Gothic"/>
          <w:b/>
          <w:bCs/>
        </w:rPr>
        <w:t>Respuesta:</w:t>
      </w:r>
    </w:p>
    <w:p w14:paraId="17612857" w14:textId="77777777" w:rsidR="00427743" w:rsidRPr="008B3C19" w:rsidRDefault="00427743" w:rsidP="0042774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27743" w:rsidRPr="008B3C19" w14:paraId="622F8926" w14:textId="77777777">
        <w:tc>
          <w:tcPr>
            <w:tcW w:w="8828" w:type="dxa"/>
          </w:tcPr>
          <w:p w14:paraId="05553E6B" w14:textId="77777777" w:rsidR="00427743" w:rsidRPr="0051283D" w:rsidRDefault="00427743">
            <w:pPr>
              <w:spacing w:line="276" w:lineRule="auto"/>
              <w:jc w:val="both"/>
              <w:rPr>
                <w:rFonts w:ascii="Verdana" w:eastAsia="Calibri" w:hAnsi="Verdana" w:cs="Arial"/>
              </w:rPr>
            </w:pPr>
            <w:r>
              <w:rPr>
                <w:rFonts w:ascii="Verdana" w:eastAsia="Calibri" w:hAnsi="Verdana" w:cs="Arial"/>
              </w:rPr>
              <w:t xml:space="preserve">       </w:t>
            </w:r>
            <w:r w:rsidRPr="0051283D">
              <w:rPr>
                <w:rFonts w:ascii="Verdana" w:eastAsia="Calibri" w:hAnsi="Verdana" w:cs="Arial"/>
              </w:rPr>
              <w:t xml:space="preserve">Los hospitales públicos constituidos como Empresas Sociales del Estado (E.S.E.) están sujetos a un régimen especial de contratación, conforme lo dispone el artículo 195 de la Ley 100 de 1993, que establece que su contratación se rige, de manera prevalente, por las normas del derecho </w:t>
            </w:r>
            <w:r w:rsidRPr="0051283D">
              <w:rPr>
                <w:rFonts w:ascii="Verdana" w:eastAsia="Calibri" w:hAnsi="Verdana" w:cs="Arial"/>
              </w:rPr>
              <w:lastRenderedPageBreak/>
              <w:t>privado. Esta disposición fue reiterada en el artículo 45 de la Ley 1122 de 2007, el cual extiende expresamente dicho régimen a las Entidades Promotoras de Salud de naturaleza pública, y por analogía resulta aplicable a las E.S.E. en tanto hacen parte del sistema general de seguridad social en salud.</w:t>
            </w:r>
          </w:p>
          <w:p w14:paraId="324833D0" w14:textId="77777777" w:rsidR="00427743" w:rsidRDefault="00427743">
            <w:pPr>
              <w:spacing w:line="276" w:lineRule="auto"/>
              <w:jc w:val="both"/>
              <w:rPr>
                <w:rFonts w:ascii="Verdana" w:eastAsia="Calibri" w:hAnsi="Verdana" w:cs="Arial"/>
              </w:rPr>
            </w:pPr>
            <w:r>
              <w:rPr>
                <w:rFonts w:ascii="Verdana" w:eastAsia="Calibri" w:hAnsi="Verdana" w:cs="Arial"/>
              </w:rPr>
              <w:t xml:space="preserve">       </w:t>
            </w:r>
            <w:r w:rsidRPr="0051283D">
              <w:rPr>
                <w:rFonts w:ascii="Verdana" w:eastAsia="Calibri" w:hAnsi="Verdana" w:cs="Arial"/>
              </w:rPr>
              <w:t>No obstante, y sin perjuicio de su sujeción al derecho privado, estas entidades están obligadas a observar los principios de la función administrativa y de la gestión fiscal, conforme a lo establecido en el artículo 13 de la Ley 1150 de 2007, modificado por el artículo 53 de la Ley 2195 de 2022. Esta última norma impone a todas las entidades sometidas a regímenes contractuales especiales, la obligación de publicar los documentos relacionados con su actividad contractual en el Sistema Electrónico para la Contratación Pública – SECOP II – o la plataforma transaccional que haga sus veces, siempre que la contratación se realice con recursos públicos.</w:t>
            </w:r>
          </w:p>
          <w:p w14:paraId="16F87B19" w14:textId="77777777" w:rsidR="00427743" w:rsidRPr="0051283D" w:rsidRDefault="00427743">
            <w:pPr>
              <w:spacing w:line="276" w:lineRule="auto"/>
              <w:jc w:val="both"/>
              <w:rPr>
                <w:rFonts w:ascii="Verdana" w:eastAsia="Calibri" w:hAnsi="Verdana" w:cs="Arial"/>
              </w:rPr>
            </w:pPr>
          </w:p>
          <w:p w14:paraId="55971AF7" w14:textId="77777777" w:rsidR="00427743" w:rsidRDefault="00427743">
            <w:pPr>
              <w:spacing w:after="120" w:line="276" w:lineRule="auto"/>
              <w:jc w:val="both"/>
              <w:rPr>
                <w:rFonts w:ascii="Verdana" w:eastAsia="Calibri" w:hAnsi="Verdana" w:cs="Arial"/>
                <w:lang w:val="es-ES"/>
              </w:rPr>
            </w:pPr>
            <w:r>
              <w:rPr>
                <w:rFonts w:ascii="Verdana" w:eastAsia="Calibri" w:hAnsi="Verdana" w:cs="Arial"/>
                <w:lang w:val="es-ES"/>
              </w:rPr>
              <w:t xml:space="preserve">       De otro lado, en virtud de que la obligación de publicidad establecida en dicha norma se prédica únicamente de la actividad contractual financiada con recursos públicos, resulta meramente potestativa o facultativa la decisión de realizar o no la publicación de la actividad contractual financiada con otro tipo de recursos en dicha plataforma.</w:t>
            </w:r>
            <w:r w:rsidRPr="00642EA6">
              <w:rPr>
                <w:rFonts w:ascii="Verdana" w:eastAsia="Calibri" w:hAnsi="Verdana" w:cs="Arial"/>
                <w:lang w:val="es-ES"/>
              </w:rPr>
              <w:t xml:space="preserve"> </w:t>
            </w:r>
          </w:p>
          <w:p w14:paraId="20F24801" w14:textId="77777777" w:rsidR="00427743" w:rsidRDefault="00427743">
            <w:pPr>
              <w:spacing w:after="120" w:line="276" w:lineRule="auto"/>
              <w:jc w:val="both"/>
              <w:rPr>
                <w:rFonts w:ascii="Verdana" w:eastAsia="Calibri" w:hAnsi="Verdana" w:cs="Arial"/>
              </w:rPr>
            </w:pPr>
            <w:r>
              <w:rPr>
                <w:rFonts w:ascii="Verdana" w:eastAsia="Calibri" w:hAnsi="Verdana" w:cs="Arial"/>
                <w:lang w:val="es-ES"/>
              </w:rPr>
              <w:t xml:space="preserve">En consecuencia, si la entidad de régimen especial publica en el SECOP II </w:t>
            </w:r>
            <w:r>
              <w:rPr>
                <w:rFonts w:ascii="Verdana" w:eastAsia="Calibri" w:hAnsi="Verdana" w:cs="Arial"/>
              </w:rPr>
              <w:t>tiene dos opciones según lo mencionado por la Circular Externa No. 2 de 2024 de esta Agencia:</w:t>
            </w:r>
          </w:p>
          <w:p w14:paraId="09C112C7" w14:textId="77777777" w:rsidR="00427743" w:rsidRDefault="00427743">
            <w:pPr>
              <w:ind w:left="709" w:right="709"/>
              <w:jc w:val="both"/>
              <w:rPr>
                <w:rFonts w:ascii="Verdana" w:eastAsia="Times New Roman" w:hAnsi="Verdana" w:cs="Arial"/>
                <w:i/>
                <w:iCs/>
                <w:sz w:val="21"/>
                <w:szCs w:val="21"/>
                <w:lang w:eastAsia="es-CO"/>
              </w:rPr>
            </w:pPr>
            <w:r w:rsidRPr="00751156">
              <w:rPr>
                <w:rFonts w:ascii="Verdana" w:eastAsia="Times New Roman" w:hAnsi="Verdana" w:cs="Arial"/>
                <w:i/>
                <w:iCs/>
                <w:sz w:val="21"/>
                <w:szCs w:val="21"/>
                <w:lang w:eastAsia="es-CO"/>
              </w:rPr>
              <w:t>“Contratación Régimen Especial (con ofertas):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w:t>
            </w:r>
          </w:p>
          <w:p w14:paraId="4EFA098D" w14:textId="77777777" w:rsidR="00427743" w:rsidRPr="00751156" w:rsidRDefault="00427743">
            <w:pPr>
              <w:ind w:left="709" w:right="709"/>
              <w:jc w:val="both"/>
              <w:rPr>
                <w:rFonts w:ascii="Verdana" w:eastAsia="Times New Roman" w:hAnsi="Verdana" w:cs="Arial"/>
                <w:i/>
                <w:iCs/>
                <w:sz w:val="21"/>
                <w:szCs w:val="21"/>
                <w:lang w:eastAsia="es-CO"/>
              </w:rPr>
            </w:pPr>
            <w:r>
              <w:rPr>
                <w:rFonts w:ascii="Verdana" w:eastAsia="Times New Roman" w:hAnsi="Verdana" w:cs="Arial"/>
                <w:i/>
                <w:iCs/>
                <w:sz w:val="21"/>
                <w:szCs w:val="21"/>
                <w:lang w:eastAsia="es-CO"/>
              </w:rPr>
              <w:t xml:space="preserve"> </w:t>
            </w:r>
            <w:r w:rsidRPr="00751156">
              <w:rPr>
                <w:rFonts w:ascii="Verdana" w:eastAsia="Times New Roman" w:hAnsi="Verdana" w:cs="Arial"/>
                <w:i/>
                <w:iCs/>
                <w:sz w:val="21"/>
                <w:szCs w:val="21"/>
                <w:lang w:eastAsia="es-CO"/>
              </w:rPr>
              <w:t xml:space="preserve"> </w:t>
            </w:r>
          </w:p>
          <w:p w14:paraId="51F60AA0" w14:textId="74615A1F" w:rsidR="00427743" w:rsidRDefault="00427743" w:rsidP="373F679A">
            <w:pPr>
              <w:ind w:left="708" w:right="709"/>
              <w:jc w:val="both"/>
              <w:rPr>
                <w:rFonts w:ascii="Verdana" w:eastAsia="Times New Roman" w:hAnsi="Verdana" w:cs="Arial"/>
                <w:i/>
                <w:iCs/>
                <w:sz w:val="21"/>
                <w:szCs w:val="21"/>
                <w:lang w:eastAsia="es-CO"/>
              </w:rPr>
            </w:pPr>
            <w:r w:rsidRPr="00751156">
              <w:rPr>
                <w:rFonts w:ascii="Verdana" w:eastAsia="Times New Roman" w:hAnsi="Verdana" w:cs="Arial"/>
                <w:i/>
                <w:iCs/>
                <w:sz w:val="21"/>
                <w:szCs w:val="21"/>
                <w:lang w:eastAsia="es-CO"/>
              </w:rPr>
              <w:t>Contratación Régimen Especial (sin ofertas): Este módulo permite a las entidades gestionar sus procesos de selección directos. Asimismo, este módulo permite estructurar los procesos de contratación, publicar documentos generados por fuera de la plataforma y realizar la gestión contractual en línea”.</w:t>
            </w:r>
          </w:p>
          <w:p w14:paraId="6702719E" w14:textId="77777777" w:rsidR="00427743" w:rsidRDefault="00427743">
            <w:pPr>
              <w:spacing w:line="276" w:lineRule="auto"/>
              <w:jc w:val="both"/>
              <w:rPr>
                <w:rFonts w:ascii="Verdana" w:eastAsia="Calibri" w:hAnsi="Verdana" w:cs="Arial"/>
                <w:lang w:val="es-ES"/>
              </w:rPr>
            </w:pPr>
          </w:p>
          <w:p w14:paraId="63CD9DE7" w14:textId="53ADA0EB" w:rsidR="00427743" w:rsidRPr="008B3C19" w:rsidRDefault="00427743">
            <w:pPr>
              <w:spacing w:line="276" w:lineRule="auto"/>
              <w:jc w:val="both"/>
              <w:rPr>
                <w:rFonts w:ascii="Verdana" w:eastAsia="Calibri" w:hAnsi="Verdana" w:cs="Arial"/>
                <w:lang w:val="es-ES"/>
              </w:rPr>
            </w:pPr>
            <w:r>
              <w:rPr>
                <w:rFonts w:ascii="Verdana" w:eastAsia="Calibri" w:hAnsi="Verdana" w:cs="Arial"/>
              </w:rPr>
              <w:lastRenderedPageBreak/>
              <w:t>E</w:t>
            </w:r>
            <w:r w:rsidRPr="0076705F">
              <w:rPr>
                <w:rFonts w:ascii="Verdana" w:eastAsia="Calibri" w:hAnsi="Verdana" w:cs="Arial"/>
              </w:rPr>
              <w:t>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contractual</w:t>
            </w:r>
            <w:r w:rsidR="046590EC" w:rsidRPr="373F679A">
              <w:rPr>
                <w:rFonts w:ascii="Verdana" w:eastAsia="Calibri" w:hAnsi="Verdana" w:cs="Arial"/>
              </w:rPr>
              <w:t>.</w:t>
            </w:r>
          </w:p>
        </w:tc>
      </w:tr>
    </w:tbl>
    <w:p w14:paraId="54AD55AA" w14:textId="77777777" w:rsidR="00427743" w:rsidRPr="008B3C19" w:rsidRDefault="00427743" w:rsidP="00427743">
      <w:pPr>
        <w:tabs>
          <w:tab w:val="left" w:pos="142"/>
          <w:tab w:val="left" w:pos="284"/>
        </w:tabs>
        <w:spacing w:after="0" w:line="276" w:lineRule="auto"/>
        <w:jc w:val="both"/>
        <w:rPr>
          <w:rFonts w:ascii="Verdana" w:eastAsia="Century Gothic" w:hAnsi="Verdana" w:cs="Century Gothic"/>
          <w:b/>
          <w:bCs/>
          <w:lang w:val="es-ES"/>
        </w:rPr>
      </w:pPr>
    </w:p>
    <w:p w14:paraId="18BC32F3" w14:textId="77777777" w:rsidR="00427743" w:rsidRPr="008B3C19" w:rsidRDefault="00427743" w:rsidP="004277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B3C19">
        <w:rPr>
          <w:rFonts w:ascii="Verdana" w:eastAsia="Century Gothic" w:hAnsi="Verdana" w:cs="Century Gothic"/>
          <w:b/>
          <w:bCs/>
        </w:rPr>
        <w:t>Razones de la respuesta:</w:t>
      </w:r>
    </w:p>
    <w:p w14:paraId="06FB661A" w14:textId="77777777" w:rsidR="00427743" w:rsidRPr="008B3C19" w:rsidRDefault="00427743" w:rsidP="00427743">
      <w:pPr>
        <w:spacing w:after="0" w:line="276" w:lineRule="auto"/>
        <w:jc w:val="both"/>
        <w:rPr>
          <w:rFonts w:ascii="Verdana" w:eastAsia="Calibri" w:hAnsi="Verdana" w:cs="Arial"/>
          <w:lang w:val="es-ES"/>
        </w:rPr>
      </w:pPr>
    </w:p>
    <w:p w14:paraId="7588B468" w14:textId="77777777" w:rsidR="00427743" w:rsidRDefault="00427743" w:rsidP="00427743">
      <w:pPr>
        <w:spacing w:after="0" w:line="276" w:lineRule="auto"/>
        <w:jc w:val="both"/>
        <w:rPr>
          <w:rFonts w:ascii="Verdana" w:eastAsia="Calibri" w:hAnsi="Verdana" w:cs="Arial"/>
          <w:lang w:val="es-ES"/>
        </w:rPr>
      </w:pPr>
      <w:r w:rsidRPr="008B3C19">
        <w:rPr>
          <w:rFonts w:ascii="Verdana" w:eastAsia="Calibri" w:hAnsi="Verdana" w:cs="Arial"/>
          <w:lang w:val="es-ES"/>
        </w:rPr>
        <w:t xml:space="preserve">Lo anterior se sustenta en las siguientes consideraciones: </w:t>
      </w:r>
    </w:p>
    <w:p w14:paraId="187DE621" w14:textId="77777777" w:rsidR="00427743" w:rsidRDefault="00427743" w:rsidP="00427743">
      <w:pPr>
        <w:spacing w:after="0" w:line="276" w:lineRule="auto"/>
        <w:jc w:val="both"/>
        <w:rPr>
          <w:rFonts w:ascii="Verdana" w:eastAsia="Calibri" w:hAnsi="Verdana" w:cs="Arial"/>
          <w:lang w:val="es-ES"/>
        </w:rPr>
      </w:pPr>
    </w:p>
    <w:p w14:paraId="30F24CA4" w14:textId="77777777" w:rsidR="00427743" w:rsidRDefault="00427743" w:rsidP="00427743">
      <w:pPr>
        <w:spacing w:after="0" w:line="276" w:lineRule="auto"/>
        <w:jc w:val="both"/>
        <w:rPr>
          <w:rFonts w:ascii="Verdana" w:eastAsia="Calibri" w:hAnsi="Verdana" w:cs="Arial"/>
          <w:lang w:val="es-ES"/>
        </w:rPr>
      </w:pPr>
      <w:r w:rsidRPr="00CC1073">
        <w:rPr>
          <w:rFonts w:ascii="Verdana" w:eastAsia="Calibri" w:hAnsi="Verdana" w:cs="Arial"/>
          <w:lang w:val="es-ES"/>
        </w:rPr>
        <w:t xml:space="preserve">Respecto de la naturaleza jurídica de las Entidades Promotoras de Salud –E.P.S., el artículo 180 de la Ley 100 de 1993 establece que estas pueden ser públicas, privadas o mixtas. Esto implica que las EPS pueden conformarse de 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 </w:t>
      </w:r>
    </w:p>
    <w:p w14:paraId="5A730273" w14:textId="77777777" w:rsidR="00427743" w:rsidRPr="00CC1073" w:rsidRDefault="00427743" w:rsidP="00427743">
      <w:pPr>
        <w:spacing w:after="0" w:line="276" w:lineRule="auto"/>
        <w:jc w:val="both"/>
        <w:rPr>
          <w:rFonts w:ascii="Verdana" w:eastAsia="Calibri" w:hAnsi="Verdana" w:cs="Arial"/>
          <w:lang w:val="es-ES"/>
        </w:rPr>
      </w:pPr>
    </w:p>
    <w:p w14:paraId="0931CB93" w14:textId="55CB4721" w:rsidR="00427743" w:rsidRPr="00CC1073" w:rsidRDefault="00427743" w:rsidP="00427743">
      <w:pPr>
        <w:spacing w:after="0" w:line="276" w:lineRule="auto"/>
        <w:jc w:val="both"/>
        <w:rPr>
          <w:rFonts w:ascii="Verdana" w:eastAsia="Calibri" w:hAnsi="Verdana" w:cs="Arial"/>
          <w:lang w:val="es-ES"/>
        </w:rPr>
      </w:pPr>
      <w:r w:rsidRPr="00CC1073">
        <w:rPr>
          <w:rFonts w:ascii="Verdana" w:eastAsia="Calibri" w:hAnsi="Verdana" w:cs="Arial"/>
          <w:lang w:val="es-ES"/>
        </w:rPr>
        <w:tab/>
        <w:t xml:space="preserve">Tratándose de E.P.S de naturaleza pública, estas pueden ser conformadas como empresas industriales y comerciales del Estado, conforme indica el artículo 85 de la Ley 489 de 1998 o como sociedades públicas conformadas con participación de una o diversas entidades estatales. En ambos casos, estas tienen la calidad de entidades descentralizadas por servicios, por lo que deben ser creadas por disposición o autorización de la ley, en los términos de los artículos 68 y 69 de la Ley 489 de </w:t>
      </w:r>
      <w:r w:rsidR="59D86449" w:rsidRPr="00CC1073">
        <w:rPr>
          <w:rFonts w:ascii="Verdana" w:eastAsia="Calibri" w:hAnsi="Verdana" w:cs="Arial"/>
          <w:lang w:val="es-ES"/>
        </w:rPr>
        <w:t>1998.</w:t>
      </w:r>
      <w:r w:rsidRPr="00CC1073">
        <w:rPr>
          <w:rFonts w:ascii="Verdana" w:eastAsia="Calibri" w:hAnsi="Verdana" w:cs="Arial"/>
          <w:lang w:val="es-ES"/>
        </w:rPr>
        <w:t xml:space="preserve"> </w:t>
      </w:r>
    </w:p>
    <w:p w14:paraId="565B790E" w14:textId="7EE4C803" w:rsidR="00427743" w:rsidRDefault="00427743" w:rsidP="00427743">
      <w:pPr>
        <w:spacing w:after="0" w:line="276" w:lineRule="auto"/>
        <w:ind w:firstLine="708"/>
        <w:jc w:val="both"/>
        <w:rPr>
          <w:rFonts w:ascii="Verdana" w:eastAsia="Calibri" w:hAnsi="Verdana" w:cs="Arial"/>
          <w:lang w:val="es-ES"/>
        </w:rPr>
      </w:pPr>
      <w:r w:rsidRPr="00CC1073">
        <w:rPr>
          <w:rFonts w:ascii="Verdana" w:eastAsia="Calibri" w:hAnsi="Verdana" w:cs="Arial"/>
          <w:lang w:val="es-ES"/>
        </w:rPr>
        <w:t xml:space="preserve">Sin embargo, en cuanto al régimen de contratación de las E.P.S. públicas existe una norma especial que regula su régimen de contratación, establecida en el artículo 45 de la Ley 1122 de </w:t>
      </w:r>
      <w:r w:rsidR="534C5B2A" w:rsidRPr="373F679A">
        <w:rPr>
          <w:rFonts w:ascii="Verdana" w:eastAsia="Calibri" w:hAnsi="Verdana" w:cs="Arial"/>
          <w:lang w:val="es-ES"/>
        </w:rPr>
        <w:t>2007,</w:t>
      </w:r>
      <w:r w:rsidRPr="00CC1073">
        <w:rPr>
          <w:rFonts w:ascii="Verdana" w:eastAsia="Calibri" w:hAnsi="Verdana" w:cs="Arial"/>
          <w:lang w:val="es-ES"/>
        </w:rPr>
        <w:t xml:space="preserve"> que les hace extensivo el régimen de contratación de las empresas sociales del Estado –E.S.E.–, entidades cuya contratación, de conformidad con el artículo 195, numeral 6, está regida de manera prevalente por el derecho </w:t>
      </w:r>
      <w:r w:rsidR="573154B9" w:rsidRPr="373F679A">
        <w:rPr>
          <w:rFonts w:ascii="Verdana" w:eastAsia="Calibri" w:hAnsi="Verdana" w:cs="Arial"/>
          <w:lang w:val="es-ES"/>
        </w:rPr>
        <w:t>privado.</w:t>
      </w:r>
    </w:p>
    <w:p w14:paraId="0E3FDFD6" w14:textId="77777777" w:rsidR="00427743" w:rsidRPr="00CC1073" w:rsidRDefault="00427743" w:rsidP="00427743">
      <w:pPr>
        <w:spacing w:after="0" w:line="276" w:lineRule="auto"/>
        <w:jc w:val="both"/>
        <w:rPr>
          <w:rFonts w:ascii="Verdana" w:eastAsia="Calibri" w:hAnsi="Verdana" w:cs="Arial"/>
          <w:lang w:val="es-ES"/>
        </w:rPr>
      </w:pPr>
    </w:p>
    <w:p w14:paraId="437ACEBD" w14:textId="29DA069D" w:rsidR="00427743" w:rsidRDefault="00427743" w:rsidP="00427743">
      <w:pPr>
        <w:spacing w:after="0" w:line="276" w:lineRule="auto"/>
        <w:ind w:firstLine="708"/>
        <w:jc w:val="both"/>
        <w:rPr>
          <w:rFonts w:ascii="Verdana" w:eastAsia="Calibri" w:hAnsi="Verdana" w:cs="Arial"/>
          <w:lang w:val="es-ES"/>
        </w:rPr>
      </w:pPr>
      <w:r w:rsidRPr="00CC1073">
        <w:rPr>
          <w:rFonts w:ascii="Verdana" w:eastAsia="Calibri" w:hAnsi="Verdana" w:cs="Arial"/>
          <w:lang w:val="es-ES"/>
        </w:rPr>
        <w:t xml:space="preserve">En cuanto a las E.P.S mixtas, estas son creadas como sociedades de economía mixta, de acuerdo con el artículo 97 de la Ley 489 de </w:t>
      </w:r>
      <w:r w:rsidR="2E52219F" w:rsidRPr="373F679A">
        <w:rPr>
          <w:rFonts w:ascii="Verdana" w:eastAsia="Calibri" w:hAnsi="Verdana" w:cs="Arial"/>
          <w:lang w:val="es-ES"/>
        </w:rPr>
        <w:t>1998.</w:t>
      </w:r>
      <w:r w:rsidRPr="00CC1073">
        <w:rPr>
          <w:rFonts w:ascii="Verdana" w:eastAsia="Calibri" w:hAnsi="Verdana" w:cs="Arial"/>
          <w:lang w:val="es-ES"/>
        </w:rPr>
        <w:t xml:space="preserve"> Este tipo de entidades, bajo ciertos supuestos, se encuentran exceptuadas de la aplicación del Estatuto General de Contratación de la Administración Pública, de conformidad con el artículo 14 de la Ley 1150 de 2007.</w:t>
      </w:r>
    </w:p>
    <w:p w14:paraId="5959F2C3" w14:textId="77777777" w:rsidR="00427743" w:rsidRPr="00CC1073" w:rsidRDefault="00427743" w:rsidP="00427743">
      <w:pPr>
        <w:spacing w:after="0" w:line="276" w:lineRule="auto"/>
        <w:jc w:val="both"/>
        <w:rPr>
          <w:rFonts w:ascii="Verdana" w:eastAsia="Calibri" w:hAnsi="Verdana" w:cs="Arial"/>
          <w:lang w:val="es-ES"/>
        </w:rPr>
      </w:pPr>
    </w:p>
    <w:p w14:paraId="6AC31554" w14:textId="2C3C81B0" w:rsidR="00427743" w:rsidRDefault="00427743" w:rsidP="00427743">
      <w:pPr>
        <w:spacing w:after="0" w:line="276" w:lineRule="auto"/>
        <w:ind w:firstLine="708"/>
        <w:jc w:val="both"/>
        <w:rPr>
          <w:rFonts w:ascii="Verdana" w:eastAsia="Calibri" w:hAnsi="Verdana" w:cs="Arial"/>
          <w:lang w:val="es-ES"/>
        </w:rPr>
      </w:pPr>
      <w:r w:rsidRPr="00CC1073">
        <w:rPr>
          <w:rFonts w:ascii="Verdana" w:eastAsia="Calibri" w:hAnsi="Verdana" w:cs="Arial"/>
          <w:lang w:val="es-ES"/>
        </w:rPr>
        <w:t xml:space="preserve">Por otro lado, respecto de las E.P.S privadas, el artículo 181 de la Ley 100 de 1993 permite que distintos tipos de entidades regidas por el derecho privado se constituyan como E.P.S. Así, por ejemplo, podrán hacerlo las asociaciones de cajas de compensación –literal c)–, las sociedades comerciales y entidades de economía </w:t>
      </w:r>
      <w:r w:rsidR="2D30B705" w:rsidRPr="373F679A">
        <w:rPr>
          <w:rFonts w:ascii="Verdana" w:eastAsia="Calibri" w:hAnsi="Verdana" w:cs="Arial"/>
          <w:lang w:val="es-ES"/>
        </w:rPr>
        <w:t>solidaria que</w:t>
      </w:r>
      <w:r w:rsidRPr="00CC1073">
        <w:rPr>
          <w:rFonts w:ascii="Verdana" w:eastAsia="Calibri" w:hAnsi="Verdana" w:cs="Arial"/>
          <w:lang w:val="es-ES"/>
        </w:rPr>
        <w:t xml:space="preserve"> se creen con el propósito de funcionar como E.P.S –literal h–. Este tipo de entidades, en tanto son personas jurídicas de derecho privado, les corresponde contratar conforme a dicho régimen, sin perjuicio de que en virtud de sus calidades de sujetos miembros del sistema de seguridad social en salud deban aplicar las disposiciones sectoriales correspondientes.</w:t>
      </w:r>
    </w:p>
    <w:p w14:paraId="59162655" w14:textId="77777777" w:rsidR="00427743" w:rsidRPr="00CC1073" w:rsidRDefault="00427743" w:rsidP="00427743">
      <w:pPr>
        <w:spacing w:after="0" w:line="276" w:lineRule="auto"/>
        <w:ind w:firstLine="708"/>
        <w:jc w:val="both"/>
        <w:rPr>
          <w:rFonts w:ascii="Verdana" w:eastAsia="Calibri" w:hAnsi="Verdana" w:cs="Arial"/>
          <w:lang w:val="es-ES"/>
        </w:rPr>
      </w:pPr>
    </w:p>
    <w:p w14:paraId="41C97D85" w14:textId="77777777" w:rsidR="00427743" w:rsidRDefault="00427743" w:rsidP="00427743">
      <w:pPr>
        <w:spacing w:after="0" w:line="276" w:lineRule="auto"/>
        <w:jc w:val="both"/>
        <w:rPr>
          <w:rFonts w:ascii="Verdana" w:eastAsia="Calibri" w:hAnsi="Verdana" w:cs="Arial"/>
          <w:lang w:val="es-ES"/>
        </w:rPr>
      </w:pPr>
      <w:r w:rsidRPr="00CC1073">
        <w:rPr>
          <w:rFonts w:ascii="Verdana" w:eastAsia="Calibri" w:hAnsi="Verdana" w:cs="Arial"/>
          <w:lang w:val="es-ES"/>
        </w:rPr>
        <w:t>Ahora bien, independientemente de la naturaleza jurídica concreta a la que obedezca una E.P.S, es claro que estas como actores del sistema general de seguridad social en salud, administran recursos públicos. Así se desprende, 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69E12DB5" w14:textId="77777777" w:rsidR="00427743" w:rsidRDefault="00427743" w:rsidP="00427743">
      <w:pPr>
        <w:spacing w:after="0" w:line="276" w:lineRule="auto"/>
        <w:jc w:val="both"/>
        <w:rPr>
          <w:rFonts w:ascii="Verdana" w:eastAsia="Calibri" w:hAnsi="Verdana" w:cs="Arial"/>
          <w:lang w:val="es-ES"/>
        </w:rPr>
      </w:pPr>
    </w:p>
    <w:p w14:paraId="7EA36326" w14:textId="77777777" w:rsidR="00427743" w:rsidRPr="00642EA6" w:rsidRDefault="00427743" w:rsidP="00427743">
      <w:pPr>
        <w:tabs>
          <w:tab w:val="left" w:pos="709"/>
        </w:tabs>
        <w:spacing w:before="120" w:after="120" w:line="276" w:lineRule="auto"/>
        <w:jc w:val="both"/>
        <w:rPr>
          <w:rFonts w:ascii="Verdana" w:eastAsia="Calibri" w:hAnsi="Verdana" w:cs="Arial"/>
          <w:shd w:val="clear" w:color="auto" w:fill="FFFFFF"/>
        </w:rPr>
      </w:pPr>
      <w:r>
        <w:rPr>
          <w:rFonts w:ascii="Verdana" w:eastAsia="Aptos" w:hAnsi="Verdana" w:cs="Arial"/>
          <w:bCs/>
        </w:rPr>
        <w:tab/>
        <w:t>E</w:t>
      </w:r>
      <w:r w:rsidRPr="00642EA6">
        <w:rPr>
          <w:rFonts w:ascii="Verdana" w:eastAsia="Aptos" w:hAnsi="Verdana" w:cs="Arial"/>
          <w:bCs/>
        </w:rPr>
        <w:t xml:space="preserve">s preciso indicar que </w:t>
      </w:r>
      <w:r w:rsidRPr="00642EA6">
        <w:rPr>
          <w:rFonts w:ascii="Verdana" w:eastAsia="Calibri"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Pr="00642EA6">
        <w:rPr>
          <w:rFonts w:ascii="Verdana" w:eastAsia="Calibri" w:hAnsi="Verdana" w:cs="Arial"/>
          <w:i/>
          <w:iCs/>
          <w:u w:val="single"/>
          <w:shd w:val="clear" w:color="auto" w:fill="FFFFFF"/>
        </w:rPr>
        <w:t>realizada con dineros públicos</w:t>
      </w:r>
      <w:r w:rsidRPr="00642EA6">
        <w:rPr>
          <w:rFonts w:ascii="Verdana" w:eastAsia="Calibri" w:hAnsi="Verdana" w:cs="Arial"/>
          <w:shd w:val="clear" w:color="auto" w:fill="FFFFFF"/>
        </w:rPr>
        <w:t>, para lo cual establecerá los patrones a que haya lugar y se encargará de su difusión a través de canales electrónicos</w:t>
      </w:r>
      <w:r>
        <w:rPr>
          <w:rFonts w:ascii="Verdana" w:eastAsia="Calibri" w:hAnsi="Verdana" w:cs="Arial"/>
          <w:shd w:val="clear" w:color="auto" w:fill="FFFFFF"/>
        </w:rPr>
        <w:t>”</w:t>
      </w:r>
      <w:r w:rsidRPr="00642EA6">
        <w:rPr>
          <w:rFonts w:ascii="Aptos" w:eastAsia="Aptos" w:hAnsi="Aptos" w:cs="Times New Roman"/>
          <w:color w:val="000000"/>
          <w:vertAlign w:val="superscript"/>
          <w:lang w:val="es-ES_tradnl"/>
        </w:rPr>
        <w:footnoteReference w:id="2"/>
      </w:r>
      <w:r w:rsidRPr="00642EA6">
        <w:rPr>
          <w:rFonts w:ascii="Verdana" w:eastAsia="Calibri" w:hAnsi="Verdana" w:cs="Arial"/>
          <w:color w:val="000000"/>
          <w:lang w:val="es-ES_tradnl"/>
        </w:rPr>
        <w:t>. [Énfasis fuera de texto]</w:t>
      </w:r>
    </w:p>
    <w:p w14:paraId="5D1FA64F" w14:textId="77777777" w:rsidR="00427743" w:rsidRPr="00642EA6" w:rsidRDefault="00427743" w:rsidP="00427743">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shd w:val="clear" w:color="auto" w:fill="FFFFFF"/>
        </w:rPr>
        <w:lastRenderedPageBreak/>
        <w:t>En ese sentido, la Ley 1712 de 2014 –ley estatutaria que regula la transparencia y el derecho de acceso a la información y a los documentos públicos–; identifica como principios que orientan el derecho de acceso a la información pública, el</w:t>
      </w:r>
      <w:r w:rsidRPr="00642EA6">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42EA6">
        <w:rPr>
          <w:rFonts w:ascii="Aptos" w:eastAsia="Aptos" w:hAnsi="Aptos" w:cs="Times New Roman"/>
          <w:color w:val="000000"/>
          <w:vertAlign w:val="superscript"/>
          <w:lang w:val="es-ES_tradnl"/>
        </w:rPr>
        <w:footnoteReference w:id="3"/>
      </w:r>
      <w:r w:rsidRPr="00642EA6">
        <w:rPr>
          <w:rFonts w:ascii="Verdana" w:eastAsia="Calibri" w:hAnsi="Verdana" w:cs="Arial"/>
          <w:color w:val="000000"/>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642EA6">
        <w:rPr>
          <w:rFonts w:ascii="Aptos" w:eastAsia="Aptos" w:hAnsi="Aptos" w:cs="Times New Roman"/>
          <w:color w:val="000000"/>
          <w:vertAlign w:val="superscript"/>
          <w:lang w:val="es-ES_tradnl"/>
        </w:rPr>
        <w:footnoteReference w:id="4"/>
      </w:r>
      <w:r w:rsidRPr="00642EA6">
        <w:rPr>
          <w:rFonts w:ascii="Verdana" w:eastAsia="Calibri" w:hAnsi="Verdana" w:cs="Arial"/>
          <w:color w:val="000000"/>
          <w:lang w:val="es-ES_tradnl"/>
        </w:rPr>
        <w:t>, deben publicar la información relativa a su contratación. Esta obligación fue desarrollada por el Decreto Único Reglamentario 1082 de 2015</w:t>
      </w:r>
      <w:r w:rsidRPr="00642EA6">
        <w:rPr>
          <w:rFonts w:ascii="Aptos" w:eastAsia="Aptos" w:hAnsi="Aptos" w:cs="Times New Roman"/>
          <w:color w:val="000000"/>
          <w:vertAlign w:val="superscript"/>
          <w:lang w:val="es-ES_tradnl"/>
        </w:rPr>
        <w:footnoteReference w:id="5"/>
      </w:r>
      <w:r w:rsidRPr="00642EA6">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223C0822" w14:textId="77777777" w:rsidR="00427743" w:rsidRPr="00642EA6" w:rsidRDefault="00427743" w:rsidP="00427743">
      <w:pPr>
        <w:spacing w:before="120" w:after="0" w:line="276" w:lineRule="auto"/>
        <w:ind w:firstLine="708"/>
        <w:contextualSpacing/>
        <w:jc w:val="both"/>
        <w:rPr>
          <w:rFonts w:ascii="Verdana" w:eastAsia="Times New Roman" w:hAnsi="Verdana" w:cs="Arial"/>
          <w:color w:val="000000"/>
          <w:szCs w:val="24"/>
          <w:lang w:val="es-ES_tradnl" w:eastAsia="es-ES_tradnl"/>
        </w:rPr>
      </w:pPr>
      <w:r w:rsidRPr="00642EA6">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w:t>
      </w:r>
      <w:r w:rsidRPr="00642EA6">
        <w:rPr>
          <w:rFonts w:ascii="Verdana" w:eastAsia="Times New Roman" w:hAnsi="Verdana" w:cs="Arial"/>
          <w:color w:val="000000"/>
          <w:szCs w:val="24"/>
          <w:lang w:val="es-ES_tradnl" w:eastAsia="es-ES_tradnl"/>
        </w:rPr>
        <w:lastRenderedPageBreak/>
        <w:t xml:space="preserve">SECOP. </w:t>
      </w:r>
      <w:r w:rsidRPr="00642EA6">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642EA6">
        <w:rPr>
          <w:rFonts w:ascii="Aptos" w:eastAsia="Calibri" w:hAnsi="Aptos" w:cs="Times New Roman"/>
          <w:vertAlign w:val="superscript"/>
          <w:lang w:val="es-ES_tradnl" w:eastAsia="es-ES_tradnl"/>
        </w:rPr>
        <w:footnoteReference w:id="6"/>
      </w:r>
      <w:r w:rsidRPr="00642EA6">
        <w:rPr>
          <w:rFonts w:ascii="Verdana" w:eastAsia="Calibri" w:hAnsi="Verdana" w:cs="Arial"/>
          <w:color w:val="000000"/>
          <w:szCs w:val="24"/>
          <w:lang w:val="es-ES_tradnl" w:eastAsia="es-ES_tradnl"/>
        </w:rPr>
        <w:t>.</w:t>
      </w:r>
    </w:p>
    <w:p w14:paraId="7410B540" w14:textId="77777777" w:rsidR="00427743" w:rsidRPr="00642EA6" w:rsidRDefault="00427743" w:rsidP="00427743">
      <w:pPr>
        <w:tabs>
          <w:tab w:val="left" w:pos="709"/>
        </w:tabs>
        <w:spacing w:before="120" w:after="120" w:line="276" w:lineRule="auto"/>
        <w:jc w:val="both"/>
        <w:rPr>
          <w:rFonts w:ascii="Verdana" w:eastAsia="Calibri" w:hAnsi="Verdana" w:cs="Arial"/>
          <w:shd w:val="clear" w:color="auto" w:fill="FFFFFF"/>
        </w:rPr>
      </w:pPr>
      <w:r>
        <w:rPr>
          <w:rFonts w:ascii="Verdana" w:eastAsia="Calibri" w:hAnsi="Verdana" w:cs="Arial"/>
          <w:shd w:val="clear" w:color="auto" w:fill="FFFFFF"/>
        </w:rPr>
        <w:tab/>
      </w:r>
      <w:r w:rsidRPr="00642EA6">
        <w:rPr>
          <w:rFonts w:ascii="Verdana" w:eastAsia="Calibri"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w:t>
      </w:r>
      <w:r w:rsidRPr="00642EA6">
        <w:rPr>
          <w:rFonts w:ascii="Aptos" w:eastAsia="Aptos" w:hAnsi="Aptos" w:cs="Times New Roman"/>
          <w:shd w:val="clear" w:color="auto" w:fill="FFFFFF"/>
          <w:vertAlign w:val="superscript"/>
        </w:rPr>
        <w:footnoteReference w:id="7"/>
      </w:r>
      <w:r w:rsidRPr="00642EA6">
        <w:rPr>
          <w:rFonts w:ascii="Verdana" w:eastAsia="Calibri" w:hAnsi="Verdana" w:cs="Arial"/>
          <w:shd w:val="clear" w:color="auto" w:fill="FFFFFF"/>
        </w:rPr>
        <w:t>, mediante el cual se adiciona el artículo 13 a la Ley 1150 de 2007, asigna a dichas entidades la obligación de publicar los documentos relacionados con su actividad contractual en el SECOP II o la plataforma transaccional que haga sus veces.</w:t>
      </w:r>
    </w:p>
    <w:p w14:paraId="40063B3B" w14:textId="77777777" w:rsidR="00427743" w:rsidRPr="00642EA6" w:rsidRDefault="00427743" w:rsidP="00427743">
      <w:pPr>
        <w:spacing w:after="120" w:line="276" w:lineRule="auto"/>
        <w:ind w:firstLine="709"/>
        <w:jc w:val="both"/>
        <w:rPr>
          <w:rFonts w:ascii="Verdana" w:eastAsia="Calibri" w:hAnsi="Verdana" w:cs="Arial"/>
          <w:bCs/>
          <w:lang w:val="es-MX"/>
        </w:rPr>
      </w:pPr>
      <w:r w:rsidRPr="00642EA6">
        <w:rPr>
          <w:rFonts w:ascii="Verdana" w:eastAsia="Calibri" w:hAnsi="Verdana" w:cs="Arial"/>
          <w:bCs/>
          <w:lang w:val="es-MX"/>
        </w:rPr>
        <w:t>En ese orden, y atendiendo al objeto de la consulta, debe analizarse el alcance de esta obligación para determinar si esta aplica a toda la actividad contractual desarrollada por este tipo de entidades. De esta forma, se tiene que e</w:t>
      </w:r>
      <w:r w:rsidRPr="00642EA6">
        <w:rPr>
          <w:rFonts w:ascii="Verdana" w:eastAsia="Calibri" w:hAnsi="Verdana" w:cs="Arial"/>
          <w:lang w:val="es-ES_tradnl" w:eastAsia="es-ES_tradnl"/>
        </w:rPr>
        <w:t xml:space="preserve">l artículo 53 de la Ley 2195 de 2022 dispone que las entidades con regímenes especiales “deberán publicar los documentos relacionados con su actividad contractual en el Sistema Electrónico para la Contratación Pública (SECOP II) o la plataforma transaccional que haga sus veces”. Como puede observarse, la disposición objeto de estudio no señala de forma expresa si el deber de las entidades exceptuadas de publicar todos los documentos relacionados con su </w:t>
      </w:r>
      <w:r w:rsidRPr="00642EA6">
        <w:rPr>
          <w:rFonts w:ascii="Verdana" w:eastAsia="Calibri" w:hAnsi="Verdana" w:cs="Arial"/>
          <w:lang w:val="es-ES_tradnl" w:eastAsia="es-ES_tradnl"/>
        </w:rPr>
        <w:lastRenderedPageBreak/>
        <w:t>actividad contractual aplica para todos los contratos que se celebren o si, por el contrario, esta obligación sólo se impone respecto de aquellos contratos cuya fuente de financiación proviene de recursos públicos.</w:t>
      </w:r>
    </w:p>
    <w:p w14:paraId="4A1B1E53" w14:textId="77777777" w:rsidR="00427743" w:rsidRPr="00642EA6" w:rsidRDefault="00427743" w:rsidP="00427743">
      <w:pPr>
        <w:tabs>
          <w:tab w:val="left" w:pos="0"/>
        </w:tabs>
        <w:spacing w:before="120" w:after="120" w:line="276" w:lineRule="auto"/>
        <w:jc w:val="both"/>
        <w:rPr>
          <w:rFonts w:ascii="Verdana" w:eastAsia="Calibri" w:hAnsi="Verdana" w:cs="Arial"/>
          <w:lang w:val="es-ES_tradnl" w:eastAsia="es-ES_tradnl"/>
        </w:rPr>
      </w:pPr>
      <w:r>
        <w:rPr>
          <w:rFonts w:ascii="Verdana" w:eastAsia="Calibri" w:hAnsi="Verdana" w:cs="Arial"/>
          <w:lang w:val="es-ES_tradnl" w:eastAsia="es-ES_tradnl"/>
        </w:rPr>
        <w:tab/>
      </w:r>
      <w:r w:rsidRPr="00642EA6">
        <w:rPr>
          <w:rFonts w:ascii="Verdana" w:eastAsia="Calibri" w:hAnsi="Verdana" w:cs="Arial"/>
          <w:lang w:val="es-ES_tradnl" w:eastAsia="es-ES_tradnl"/>
        </w:rPr>
        <w:t xml:space="preserve">De la lectura del artículo antes citado se pueden extraer al menos dos (2) posturas contrapuestas relacionadas con la interpretación que se realice de la norma. En primer lugar, una interpretación </w:t>
      </w:r>
      <w:r w:rsidRPr="00642EA6">
        <w:rPr>
          <w:rFonts w:ascii="Verdana" w:eastAsia="Calibri" w:hAnsi="Verdana" w:cs="Arial"/>
          <w:i/>
          <w:iCs/>
          <w:lang w:val="es-ES_tradnl" w:eastAsia="es-ES_tradnl"/>
        </w:rPr>
        <w:t xml:space="preserve">exegética </w:t>
      </w:r>
      <w:r w:rsidRPr="00642EA6">
        <w:rPr>
          <w:rFonts w:ascii="Verdana" w:eastAsia="Calibri" w:hAnsi="Verdana" w:cs="Arial"/>
          <w:lang w:val="es-ES_tradnl"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642EA6">
        <w:rPr>
          <w:rFonts w:ascii="Verdana" w:eastAsia="Calibri" w:hAnsi="Verdana" w:cs="Arial"/>
          <w:i/>
          <w:iCs/>
          <w:lang w:val="es-ES_tradnl" w:eastAsia="es-ES_tradnl"/>
        </w:rPr>
        <w:t xml:space="preserve">sistemática </w:t>
      </w:r>
      <w:r w:rsidRPr="00642EA6">
        <w:rPr>
          <w:rFonts w:ascii="Verdana" w:eastAsia="Calibri" w:hAnsi="Verdana"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642EA6">
        <w:rPr>
          <w:rFonts w:ascii="Verdana" w:eastAsia="Calibri" w:hAnsi="Verdana" w:cs="Arial"/>
          <w:i/>
          <w:iCs/>
          <w:lang w:val="es-ES_tradnl" w:eastAsia="es-ES_tradnl"/>
        </w:rPr>
        <w:t xml:space="preserve">dineros públicos, </w:t>
      </w:r>
      <w:r w:rsidRPr="00642EA6">
        <w:rPr>
          <w:rFonts w:ascii="Verdana" w:eastAsia="Calibri" w:hAnsi="Verdana"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0D673278" w14:textId="714EC81B" w:rsidR="00427743" w:rsidRPr="00642EA6" w:rsidRDefault="00427743" w:rsidP="00427743">
      <w:pPr>
        <w:spacing w:before="120" w:after="120" w:line="276" w:lineRule="auto"/>
        <w:ind w:firstLine="709"/>
        <w:jc w:val="both"/>
        <w:rPr>
          <w:rFonts w:ascii="Verdana" w:eastAsia="Calibri" w:hAnsi="Verdana" w:cs="Arial"/>
          <w:lang w:val="es-ES" w:eastAsia="es-ES"/>
        </w:rPr>
      </w:pPr>
      <w:r w:rsidRPr="4E3C208C">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entre otros, los siguientes enunciados normativos: i) los artículos 74 y 209 de la Constitución, </w:t>
      </w:r>
      <w:proofErr w:type="spellStart"/>
      <w:r w:rsidRPr="4E3C208C">
        <w:rPr>
          <w:rFonts w:ascii="Verdana" w:eastAsia="Calibri" w:hAnsi="Verdana" w:cs="Arial"/>
          <w:lang w:val="es-ES" w:eastAsia="es-ES"/>
        </w:rPr>
        <w:t>ii</w:t>
      </w:r>
      <w:proofErr w:type="spellEnd"/>
      <w:r w:rsidRPr="4E3C208C">
        <w:rPr>
          <w:rFonts w:ascii="Verdana" w:eastAsia="Calibri" w:hAnsi="Verdana" w:cs="Arial"/>
          <w:lang w:val="es-ES" w:eastAsia="es-ES"/>
        </w:rPr>
        <w:t xml:space="preserve">) el artículo 3, literal c) de la Ley 1150 de 2007, </w:t>
      </w:r>
      <w:proofErr w:type="spellStart"/>
      <w:r w:rsidRPr="4E3C208C">
        <w:rPr>
          <w:rFonts w:ascii="Verdana" w:eastAsia="Calibri" w:hAnsi="Verdana" w:cs="Arial"/>
          <w:lang w:val="es-ES" w:eastAsia="es-ES"/>
        </w:rPr>
        <w:t>iii</w:t>
      </w:r>
      <w:proofErr w:type="spellEnd"/>
      <w:r w:rsidRPr="4E3C208C">
        <w:rPr>
          <w:rFonts w:ascii="Verdana" w:eastAsia="Calibri" w:hAnsi="Verdana" w:cs="Arial"/>
          <w:lang w:val="es-ES" w:eastAsia="es-ES"/>
        </w:rPr>
        <w:t xml:space="preserve">) los artículos 3, 9, literal e) y 11, literal g), de la Ley 1712 de 2014, y </w:t>
      </w:r>
      <w:proofErr w:type="spellStart"/>
      <w:r w:rsidRPr="4E3C208C">
        <w:rPr>
          <w:rFonts w:ascii="Verdana" w:eastAsia="Calibri" w:hAnsi="Verdana" w:cs="Arial"/>
          <w:lang w:val="es-ES" w:eastAsia="es-ES"/>
        </w:rPr>
        <w:t>iv</w:t>
      </w:r>
      <w:proofErr w:type="spellEnd"/>
      <w:r w:rsidRPr="4E3C208C">
        <w:rPr>
          <w:rFonts w:ascii="Verdana" w:eastAsia="Calibri" w:hAnsi="Verdana" w:cs="Arial"/>
          <w:lang w:val="es-ES" w:eastAsia="es-ES"/>
        </w:rPr>
        <w:t>) los artículos 7 al 10 del Decreto 103 de 2015 –compilado en los artículos 2.1.1.1.1. al 2.1.1.6.1. del Decreto 1081 de 2015–.</w:t>
      </w:r>
    </w:p>
    <w:p w14:paraId="4B07D0AD" w14:textId="7F45BB54" w:rsidR="00427743" w:rsidRPr="00642EA6" w:rsidRDefault="00427743" w:rsidP="00427743">
      <w:pPr>
        <w:spacing w:before="120" w:after="120" w:line="276" w:lineRule="auto"/>
        <w:ind w:firstLine="709"/>
        <w:jc w:val="both"/>
        <w:rPr>
          <w:rFonts w:ascii="Verdana" w:eastAsia="Calibri" w:hAnsi="Verdana" w:cs="Arial"/>
          <w:shd w:val="clear" w:color="auto" w:fill="FFFFFF"/>
          <w:lang w:val="es-ES"/>
        </w:rPr>
      </w:pPr>
      <w:r w:rsidRPr="373F679A">
        <w:rPr>
          <w:rFonts w:ascii="Verdana" w:eastAsia="Calibri" w:hAnsi="Verdana" w:cs="Arial"/>
          <w:lang w:val="es-ES"/>
        </w:rPr>
        <w:t xml:space="preserve">Así las cosas, dado que el artículo 53 de la Ley 2195 de 2022 complementó las disposiciones ya establecidas en la Ley 1150 de 2007, la lectura que se haga de dicho artículo debe efectuarse de forma </w:t>
      </w:r>
      <w:r w:rsidRPr="373F679A">
        <w:rPr>
          <w:rFonts w:ascii="Verdana" w:eastAsia="Calibri" w:hAnsi="Verdana" w:cs="Arial"/>
          <w:i/>
          <w:lang w:val="es-ES"/>
        </w:rPr>
        <w:t xml:space="preserve">sistemática. </w:t>
      </w:r>
      <w:r w:rsidRPr="373F679A">
        <w:rPr>
          <w:rFonts w:ascii="Verdana" w:eastAsia="Calibri" w:hAnsi="Verdana" w:cs="Arial"/>
          <w:lang w:val="es-ES"/>
        </w:rPr>
        <w:t xml:space="preserve">En ese sentido, debe señalarse que la </w:t>
      </w:r>
      <w:r w:rsidRPr="373F679A">
        <w:rPr>
          <w:rFonts w:ascii="Verdana" w:eastAsia="Calibri" w:hAnsi="Verdana" w:cs="Arial"/>
          <w:lang w:val="es-ES" w:eastAsia="es-CO"/>
        </w:rPr>
        <w:t>contratación con cargo a recursos públicos es un concepto al que alude expresamente la Ley 1150 de 2007, incluso desde el mismo título, pues</w:t>
      </w:r>
      <w:r w:rsidR="004C3417">
        <w:rPr>
          <w:rFonts w:ascii="Verdana" w:eastAsia="Calibri" w:hAnsi="Verdana" w:cs="Arial"/>
          <w:lang w:val="es-ES" w:eastAsia="es-CO"/>
        </w:rPr>
        <w:t xml:space="preserve"> indica</w:t>
      </w:r>
      <w:proofErr w:type="gramStart"/>
      <w:r w:rsidR="004C3417">
        <w:rPr>
          <w:rFonts w:ascii="Verdana" w:eastAsia="Calibri" w:hAnsi="Verdana" w:cs="Arial"/>
          <w:lang w:val="es-ES" w:eastAsia="es-CO"/>
        </w:rPr>
        <w:t>:</w:t>
      </w:r>
      <w:r w:rsidRPr="373F679A">
        <w:rPr>
          <w:rFonts w:ascii="Verdana" w:eastAsia="Calibri" w:hAnsi="Verdana" w:cs="Arial"/>
          <w:lang w:val="es-ES" w:eastAsia="es-CO"/>
        </w:rPr>
        <w:t xml:space="preserve">  </w:t>
      </w:r>
      <w:r w:rsidRPr="373F679A">
        <w:rPr>
          <w:rFonts w:ascii="Verdana" w:eastAsia="Calibri" w:hAnsi="Verdana" w:cs="Arial"/>
          <w:lang w:val="es-ES"/>
        </w:rPr>
        <w:t>“</w:t>
      </w:r>
      <w:proofErr w:type="gramEnd"/>
      <w:r w:rsidRPr="00642EA6">
        <w:rPr>
          <w:rFonts w:ascii="Verdana" w:eastAsia="Calibri" w:hAnsi="Verdana" w:cs="Arial"/>
        </w:rPr>
        <w:t>Por medio de la cual se introducen medidas para la eficiencia y la transparencia en la Ley </w:t>
      </w:r>
      <w:hyperlink r:id="rId11" w:anchor="1" w:history="1">
        <w:r w:rsidRPr="00642EA6">
          <w:rPr>
            <w:rFonts w:ascii="Verdana" w:eastAsia="Calibri" w:hAnsi="Verdana" w:cs="Arial"/>
          </w:rPr>
          <w:t>80</w:t>
        </w:r>
      </w:hyperlink>
      <w:r w:rsidRPr="00642EA6">
        <w:rPr>
          <w:rFonts w:ascii="Verdana" w:eastAsia="Calibri" w:hAnsi="Verdana" w:cs="Arial"/>
        </w:rPr>
        <w:t> de 1993 y se dictan otras disposiciones generales sobre la contratación con Recursos Públicos</w:t>
      </w:r>
      <w:r w:rsidRPr="373F679A">
        <w:rPr>
          <w:rFonts w:ascii="Verdana" w:eastAsia="Calibri" w:hAnsi="Verdana" w:cs="Arial"/>
          <w:lang w:val="es-ES"/>
        </w:rPr>
        <w:t>”</w:t>
      </w:r>
      <w:r w:rsidRPr="00642EA6">
        <w:rPr>
          <w:rFonts w:ascii="Verdana" w:eastAsia="Calibri" w:hAnsi="Verdana" w:cs="Arial"/>
        </w:rPr>
        <w:t>.</w:t>
      </w:r>
      <w:r w:rsidRPr="373F679A">
        <w:rPr>
          <w:rFonts w:ascii="Verdana" w:eastAsia="Calibri" w:hAnsi="Verdana" w:cs="Arial"/>
          <w:lang w:val="es-ES" w:eastAsia="es-CO"/>
        </w:rPr>
        <w:t xml:space="preserve"> Asimismo, la terminología </w:t>
      </w:r>
      <w:r w:rsidR="003B1ABA">
        <w:rPr>
          <w:rFonts w:ascii="Verdana" w:eastAsia="Calibri" w:hAnsi="Verdana" w:cs="Arial"/>
          <w:lang w:val="es-ES" w:eastAsia="es-CO"/>
        </w:rPr>
        <w:lastRenderedPageBreak/>
        <w:t>“</w:t>
      </w:r>
      <w:r w:rsidRPr="373F679A">
        <w:rPr>
          <w:rFonts w:ascii="Verdana" w:eastAsia="Calibri" w:hAnsi="Verdana" w:cs="Arial"/>
          <w:lang w:val="es-ES" w:eastAsia="es-CO"/>
        </w:rPr>
        <w:t>contratación</w:t>
      </w:r>
      <w:r w:rsidR="003B1ABA">
        <w:rPr>
          <w:rFonts w:ascii="Verdana" w:eastAsia="Calibri" w:hAnsi="Verdana" w:cs="Arial"/>
          <w:lang w:val="es-ES" w:eastAsia="es-CO"/>
        </w:rPr>
        <w:t>”</w:t>
      </w:r>
      <w:r w:rsidRPr="373F679A">
        <w:rPr>
          <w:rFonts w:ascii="Verdana" w:eastAsia="Calibri" w:hAnsi="Verdana" w:cs="Arial"/>
          <w:lang w:val="es-ES" w:eastAsia="es-CO"/>
        </w:rPr>
        <w:t xml:space="preserve"> con cargo recursos públicos</w:t>
      </w:r>
      <w:r w:rsidRPr="373F679A">
        <w:rPr>
          <w:rFonts w:ascii="Verdana" w:eastAsia="Calibri" w:hAnsi="Verdana" w:cs="Arial"/>
          <w:i/>
          <w:lang w:val="es-ES" w:eastAsia="es-CO"/>
        </w:rPr>
        <w:t xml:space="preserve"> </w:t>
      </w:r>
      <w:r w:rsidRPr="373F679A">
        <w:rPr>
          <w:rFonts w:ascii="Verdana" w:eastAsia="Calibri" w:hAnsi="Verdana" w:cs="Arial"/>
          <w:lang w:val="es-ES" w:eastAsia="es-CO"/>
        </w:rPr>
        <w:t>se encuentra en el artículo primero, al definir el ámbito de aplicación de sus disposiciones</w:t>
      </w:r>
      <w:r w:rsidRPr="373F679A">
        <w:rPr>
          <w:rFonts w:ascii="Aptos" w:eastAsia="Aptos" w:hAnsi="Aptos" w:cs="Times New Roman"/>
          <w:vertAlign w:val="superscript"/>
          <w:lang w:val="es-ES" w:eastAsia="es-CO"/>
        </w:rPr>
        <w:footnoteReference w:id="8"/>
      </w:r>
      <w:r w:rsidRPr="373F679A">
        <w:rPr>
          <w:rFonts w:ascii="Verdana" w:eastAsia="Calibri" w:hAnsi="Verdana" w:cs="Arial"/>
          <w:lang w:val="es-ES" w:eastAsia="es-CO"/>
        </w:rPr>
        <w:t xml:space="preserve"> y en el literal c) del artículo 3 –del que surge el deber de publicar en el SECOP–, que expresamente </w:t>
      </w:r>
      <w:r w:rsidRPr="00642EA6">
        <w:rPr>
          <w:rFonts w:ascii="Verdana" w:eastAsia="Calibri" w:hAnsi="Verdana" w:cs="Arial"/>
          <w:shd w:val="clear" w:color="auto" w:fill="FFFFFF"/>
          <w:lang w:val="es-ES"/>
        </w:rPr>
        <w:t xml:space="preserve">establece que ese aparte del artículo se aplica a la “contratación realizada con dineros públicos”. </w:t>
      </w:r>
      <w:r w:rsidRPr="00642EA6">
        <w:rPr>
          <w:rFonts w:ascii="Verdana" w:eastAsia="Calibri"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05DD67B3" w14:textId="77777777" w:rsidR="00427743" w:rsidRPr="00642EA6" w:rsidRDefault="00427743" w:rsidP="00427743">
      <w:pPr>
        <w:spacing w:after="0" w:line="276" w:lineRule="auto"/>
        <w:ind w:firstLine="708"/>
        <w:contextualSpacing/>
        <w:jc w:val="both"/>
        <w:rPr>
          <w:rFonts w:ascii="Verdana" w:eastAsia="Calibri" w:hAnsi="Verdana" w:cs="Arial"/>
        </w:rPr>
      </w:pPr>
      <w:r w:rsidRPr="00642EA6">
        <w:rPr>
          <w:rFonts w:ascii="Verdana" w:eastAsia="Calibri" w:hAnsi="Verdana" w:cs="Arial"/>
          <w:lang w:val="es-ES_tradnl" w:eastAsia="es-CO"/>
        </w:rPr>
        <w:t xml:space="preserve">Por otro lado, </w:t>
      </w:r>
      <w:r w:rsidRPr="00642EA6">
        <w:rPr>
          <w:rFonts w:ascii="Verdana" w:eastAsia="Calibri" w:hAnsi="Verdana" w:cs="Arial"/>
        </w:rPr>
        <w:t xml:space="preserve">el Decreto 103 de 2015, mediante el cual se reglamentó la Ley 1712 de 2014, y que fue compilado </w:t>
      </w:r>
      <w:r w:rsidRPr="00642EA6">
        <w:rPr>
          <w:rFonts w:ascii="Verdana" w:eastAsia="Calibri" w:hAnsi="Verdana" w:cs="Arial"/>
          <w:shd w:val="clear" w:color="auto" w:fill="FFFFFF"/>
        </w:rPr>
        <w:t xml:space="preserve">en los artículos 2.1.1.1.1. al 2.1.1.6.1. del Decreto 1081 de 2015–.  </w:t>
      </w:r>
      <w:r w:rsidRPr="00642EA6">
        <w:rPr>
          <w:rFonts w:ascii="Verdana" w:eastAsia="Calibri" w:hAnsi="Verdana" w:cs="Arial"/>
        </w:rPr>
        <w:t>señala:</w:t>
      </w:r>
    </w:p>
    <w:p w14:paraId="19DFF241" w14:textId="77777777" w:rsidR="00427743" w:rsidRPr="00642EA6" w:rsidRDefault="00427743" w:rsidP="00427743">
      <w:pPr>
        <w:spacing w:after="0" w:line="276" w:lineRule="auto"/>
        <w:ind w:firstLine="784"/>
        <w:contextualSpacing/>
        <w:jc w:val="both"/>
        <w:rPr>
          <w:rFonts w:ascii="Verdana" w:eastAsia="Calibri" w:hAnsi="Verdana" w:cs="Arial"/>
        </w:rPr>
      </w:pPr>
    </w:p>
    <w:p w14:paraId="3F5D723E" w14:textId="77777777" w:rsidR="00427743" w:rsidRPr="00642EA6" w:rsidRDefault="00427743" w:rsidP="00427743">
      <w:pPr>
        <w:spacing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“Artículo 7°.</w:t>
      </w:r>
      <w:r w:rsidRPr="00642EA6">
        <w:rPr>
          <w:rFonts w:ascii="Verdana" w:eastAsia="Times New Roman" w:hAnsi="Verdana" w:cs="Arial"/>
          <w:i/>
          <w:iCs/>
          <w:sz w:val="21"/>
          <w:szCs w:val="21"/>
          <w:lang w:eastAsia="es-CO"/>
        </w:rPr>
        <w:t xml:space="preserve"> Publicación de la información contractual. </w:t>
      </w:r>
      <w:r w:rsidRPr="00642EA6">
        <w:rPr>
          <w:rFonts w:ascii="Verdana" w:eastAsia="Times New Roman" w:hAnsi="Verdana" w:cs="Arial"/>
          <w:sz w:val="21"/>
          <w:szCs w:val="21"/>
          <w:lang w:eastAsia="es-CO"/>
        </w:rPr>
        <w:t xml:space="preserve">De conformidad con el literal (c) del artículo 3° de la Ley 1150 de 2007, el sistema de información del Estado en el cual 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cumplir la obligación de publicar la información de su gestión contractual es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w:t>
      </w:r>
    </w:p>
    <w:p w14:paraId="7EF48B10" w14:textId="77777777" w:rsidR="00427743" w:rsidRPr="00642EA6" w:rsidRDefault="00427743" w:rsidP="00427743">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 xml:space="preserve">Los sujetos obligados que contratan </w:t>
      </w:r>
      <w:r w:rsidRPr="00642EA6">
        <w:rPr>
          <w:rFonts w:ascii="Verdana" w:eastAsia="Times New Roman" w:hAnsi="Verdana" w:cs="Arial"/>
          <w:i/>
          <w:iCs/>
          <w:sz w:val="21"/>
          <w:szCs w:val="21"/>
          <w:lang w:eastAsia="es-CO"/>
        </w:rPr>
        <w:t>con cargo a recursos públicos</w:t>
      </w:r>
      <w:r w:rsidRPr="00642EA6">
        <w:rPr>
          <w:rFonts w:ascii="Verdana" w:eastAsia="Times New Roman" w:hAnsi="Verdana" w:cs="Arial"/>
          <w:sz w:val="21"/>
          <w:szCs w:val="21"/>
          <w:lang w:eastAsia="es-CO"/>
        </w:rPr>
        <w:t xml:space="preserve"> deben publicar la información de su gestión contractual en el plazo previsto en el artículo 19 del Decreto 1510 de 2013, o el que lo modifique, sustituya o adicione. </w:t>
      </w:r>
    </w:p>
    <w:p w14:paraId="0687DD27" w14:textId="77777777" w:rsidR="00427743" w:rsidRPr="00642EA6" w:rsidRDefault="00427743" w:rsidP="00427743">
      <w:pPr>
        <w:spacing w:before="120" w:after="0" w:line="240" w:lineRule="auto"/>
        <w:ind w:left="709" w:right="709"/>
        <w:jc w:val="both"/>
        <w:rPr>
          <w:rFonts w:ascii="Verdana" w:eastAsia="Times New Roman" w:hAnsi="Verdana" w:cs="Arial"/>
          <w:sz w:val="21"/>
          <w:szCs w:val="21"/>
          <w:lang w:eastAsia="es-CO"/>
        </w:rPr>
      </w:pPr>
      <w:r w:rsidRPr="00642EA6">
        <w:rPr>
          <w:rFonts w:ascii="Verdana" w:eastAsia="Times New Roman" w:hAnsi="Verdana" w:cs="Arial"/>
          <w:sz w:val="21"/>
          <w:szCs w:val="21"/>
          <w:lang w:eastAsia="es-CO"/>
        </w:rPr>
        <w:t xml:space="preserve">Los sujetos obligados que contratan con recursos públicos y recursos </w:t>
      </w:r>
      <w:proofErr w:type="gramStart"/>
      <w:r w:rsidRPr="00642EA6">
        <w:rPr>
          <w:rFonts w:ascii="Verdana" w:eastAsia="Times New Roman" w:hAnsi="Verdana" w:cs="Arial"/>
          <w:sz w:val="21"/>
          <w:szCs w:val="21"/>
          <w:lang w:eastAsia="es-CO"/>
        </w:rPr>
        <w:t>privados,</w:t>
      </w:r>
      <w:proofErr w:type="gramEnd"/>
      <w:r w:rsidRPr="00642EA6">
        <w:rPr>
          <w:rFonts w:ascii="Verdana" w:eastAsia="Times New Roman" w:hAnsi="Verdana" w:cs="Arial"/>
          <w:sz w:val="21"/>
          <w:szCs w:val="21"/>
          <w:lang w:eastAsia="es-CO"/>
        </w:rPr>
        <w:t xml:space="preserve"> deben publicar la información de su gestión contractual con cargo a recursos públicos en el Sistema Electrónico para la Contratación Pública (</w:t>
      </w:r>
      <w:proofErr w:type="spellStart"/>
      <w:r w:rsidRPr="00642EA6">
        <w:rPr>
          <w:rFonts w:ascii="Verdana" w:eastAsia="Times New Roman" w:hAnsi="Verdana" w:cs="Arial"/>
          <w:sz w:val="21"/>
          <w:szCs w:val="21"/>
          <w:lang w:eastAsia="es-CO"/>
        </w:rPr>
        <w:t>Secop</w:t>
      </w:r>
      <w:proofErr w:type="spellEnd"/>
      <w:r w:rsidRPr="00642EA6">
        <w:rPr>
          <w:rFonts w:ascii="Verdana" w:eastAsia="Times New Roman" w:hAnsi="Verdana" w:cs="Arial"/>
          <w:sz w:val="21"/>
          <w:szCs w:val="21"/>
          <w:lang w:eastAsia="es-CO"/>
        </w:rPr>
        <w:t>)”. [Énfasis fuera del texto original]</w:t>
      </w:r>
    </w:p>
    <w:p w14:paraId="253BC9DB" w14:textId="77777777" w:rsidR="00427743" w:rsidRPr="00642EA6" w:rsidRDefault="00427743" w:rsidP="00427743">
      <w:pPr>
        <w:spacing w:after="0" w:line="276" w:lineRule="auto"/>
        <w:ind w:left="709" w:right="709" w:firstLine="150"/>
        <w:contextualSpacing/>
        <w:jc w:val="both"/>
        <w:rPr>
          <w:rFonts w:ascii="Verdana" w:eastAsia="Times New Roman" w:hAnsi="Verdana" w:cs="Arial"/>
          <w:lang w:eastAsia="es-CO"/>
        </w:rPr>
      </w:pPr>
    </w:p>
    <w:p w14:paraId="01BBA23E" w14:textId="77777777" w:rsidR="00427743" w:rsidRPr="00642EA6" w:rsidRDefault="00427743" w:rsidP="00427743">
      <w:pPr>
        <w:spacing w:before="120" w:after="120" w:line="276" w:lineRule="auto"/>
        <w:ind w:firstLine="709"/>
        <w:jc w:val="both"/>
        <w:rPr>
          <w:rFonts w:ascii="Verdana" w:eastAsia="Calibri" w:hAnsi="Verdana" w:cs="Arial"/>
          <w:lang w:val="es-ES_tradnl" w:eastAsia="es-ES_tradnl"/>
        </w:rPr>
      </w:pPr>
      <w:bookmarkStart w:id="1" w:name="_Hlk110869205"/>
      <w:r w:rsidRPr="00642EA6">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w:t>
      </w:r>
      <w:r w:rsidRPr="00642EA6">
        <w:rPr>
          <w:rFonts w:ascii="Verdana" w:eastAsia="Calibri" w:hAnsi="Verdana" w:cs="Arial"/>
          <w:lang w:val="es-ES_tradnl" w:eastAsia="es-ES_tradnl"/>
        </w:rPr>
        <w:lastRenderedPageBreak/>
        <w:t xml:space="preserve">el SECOP II– se refiere a aquella actividad contractual cuya fuente de financiación </w:t>
      </w:r>
      <w:r w:rsidRPr="00E325A0">
        <w:rPr>
          <w:rFonts w:ascii="Verdana" w:eastAsia="Calibri" w:hAnsi="Verdana" w:cs="Arial"/>
          <w:shd w:val="clear" w:color="auto" w:fill="FFFFFF"/>
        </w:rPr>
        <w:t>provenga</w:t>
      </w:r>
      <w:r w:rsidRPr="00642EA6">
        <w:rPr>
          <w:rFonts w:ascii="Verdana" w:eastAsia="Calibri" w:hAnsi="Verdana" w:cs="Arial"/>
          <w:lang w:val="es-ES_tradnl" w:eastAsia="es-ES_tradnl"/>
        </w:rPr>
        <w:t xml:space="preserve"> de recursos públicos. </w:t>
      </w:r>
    </w:p>
    <w:bookmarkEnd w:id="1"/>
    <w:p w14:paraId="164BC32C" w14:textId="77777777" w:rsidR="00427743" w:rsidRPr="00642EA6" w:rsidRDefault="00427743" w:rsidP="00427743">
      <w:pPr>
        <w:spacing w:after="120" w:line="276" w:lineRule="auto"/>
        <w:ind w:firstLine="708"/>
        <w:contextualSpacing/>
        <w:jc w:val="both"/>
        <w:rPr>
          <w:rFonts w:ascii="Verdana" w:eastAsia="Calibri" w:hAnsi="Verdana" w:cs="Arial"/>
          <w:lang w:val="es-ES"/>
        </w:rPr>
      </w:pPr>
      <w:r w:rsidRPr="00642EA6">
        <w:rPr>
          <w:rFonts w:ascii="Verdana" w:eastAsia="Calibri" w:hAnsi="Verdana" w:cs="Arial"/>
          <w:shd w:val="clear" w:color="auto" w:fill="FFFFFF"/>
          <w:lang w:val="es-ES"/>
        </w:rPr>
        <w:t xml:space="preserve">En consonancia con la interpretación antes expuesta, </w:t>
      </w:r>
      <w:r w:rsidRPr="00642EA6">
        <w:rPr>
          <w:rFonts w:ascii="Verdana" w:eastAsia="Calibri" w:hAnsi="Verdana" w:cs="Arial"/>
          <w:lang w:val="es-ES"/>
        </w:rPr>
        <w:t>la Circular 002 del 23 de agosto de 2024</w:t>
      </w:r>
      <w:r w:rsidRPr="00642EA6">
        <w:rPr>
          <w:rFonts w:ascii="Aptos" w:eastAsia="Aptos" w:hAnsi="Aptos" w:cs="Times New Roman"/>
          <w:vertAlign w:val="superscript"/>
          <w:lang w:val="es-ES"/>
        </w:rPr>
        <w:footnoteReference w:id="9"/>
      </w:r>
      <w:r w:rsidRPr="00642EA6">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738B2DA0" w14:textId="77777777" w:rsidR="00427743" w:rsidRPr="00784503" w:rsidRDefault="00427743" w:rsidP="00427743">
      <w:pPr>
        <w:spacing w:after="0" w:line="276" w:lineRule="auto"/>
        <w:ind w:left="709" w:right="709"/>
        <w:jc w:val="both"/>
        <w:rPr>
          <w:rFonts w:ascii="Verdana" w:eastAsia="Calibri" w:hAnsi="Verdana" w:cs="Arial"/>
          <w:sz w:val="20"/>
          <w:szCs w:val="20"/>
          <w:lang w:val="es-ES_tradnl" w:eastAsia="es-ES_tradnl"/>
        </w:rPr>
      </w:pPr>
    </w:p>
    <w:p w14:paraId="3D623E46" w14:textId="77777777" w:rsidR="00427743" w:rsidRPr="00784503" w:rsidRDefault="00427743" w:rsidP="00427743">
      <w:pPr>
        <w:spacing w:after="0" w:line="240" w:lineRule="auto"/>
        <w:ind w:left="709" w:right="709"/>
        <w:jc w:val="both"/>
        <w:rPr>
          <w:rFonts w:ascii="Verdana" w:eastAsia="Calibri" w:hAnsi="Verdana" w:cs="Arial"/>
          <w:sz w:val="20"/>
          <w:szCs w:val="20"/>
          <w:lang w:val="es-ES" w:eastAsia="es-ES"/>
        </w:rPr>
      </w:pPr>
      <w:r w:rsidRPr="00784503">
        <w:rPr>
          <w:rFonts w:ascii="Verdana" w:eastAsia="Calibri" w:hAnsi="Verdana" w:cs="Arial"/>
          <w:sz w:val="20"/>
          <w:szCs w:val="20"/>
          <w:lang w:val="es-ES" w:eastAsia="es-ES"/>
        </w:rPr>
        <w:t xml:space="preserve">“La obligación de publicar la actividad contractual siempre ha estado encaminada a que se publique aquella información relacionada con la ejecución de los dineros públicos. Por tal razón, puede concluirse, a la luz de las disposiciones que regulan la materia, que </w:t>
      </w:r>
      <w:proofErr w:type="spellStart"/>
      <w:r w:rsidRPr="00784503">
        <w:rPr>
          <w:rFonts w:ascii="Verdana" w:eastAsia="Calibri" w:hAnsi="Verdana" w:cs="Arial"/>
          <w:sz w:val="20"/>
          <w:szCs w:val="20"/>
          <w:lang w:val="es-ES" w:eastAsia="es-ES"/>
        </w:rPr>
        <w:t>e</w:t>
      </w:r>
      <w:proofErr w:type="spellEnd"/>
      <w:r w:rsidRPr="00784503">
        <w:rPr>
          <w:rFonts w:ascii="Verdana" w:eastAsia="Calibri" w:hAnsi="Verdana" w:cs="Arial"/>
          <w:sz w:val="20"/>
          <w:szCs w:val="20"/>
          <w:lang w:val="es-ES" w:eastAsia="es-ES"/>
        </w:rPr>
        <w:t xml:space="preserve"> el artículo 53 -al ampliar la obligación de las entidades con regímenes especiales de publicar su actividad contractual en el SECOP II- se refiere a aquella actividad contractual cuya fuente de financiación provenga de recursos públicos […]”</w:t>
      </w:r>
    </w:p>
    <w:p w14:paraId="7CFBD3AD" w14:textId="77777777" w:rsidR="00427743" w:rsidRDefault="00427743" w:rsidP="00427743">
      <w:pPr>
        <w:spacing w:after="120" w:line="276" w:lineRule="auto"/>
        <w:ind w:firstLine="709"/>
        <w:jc w:val="both"/>
        <w:rPr>
          <w:rFonts w:ascii="Verdana" w:eastAsia="Calibri" w:hAnsi="Verdana" w:cs="Arial"/>
          <w:lang w:val="es-ES"/>
        </w:rPr>
      </w:pPr>
    </w:p>
    <w:p w14:paraId="6F881B9B" w14:textId="78615633" w:rsidR="00427743" w:rsidRPr="00642EA6" w:rsidRDefault="00427743" w:rsidP="373F679A">
      <w:pPr>
        <w:spacing w:after="120" w:line="276" w:lineRule="auto"/>
        <w:ind w:firstLine="709"/>
        <w:jc w:val="both"/>
        <w:rPr>
          <w:rFonts w:ascii="Verdana" w:eastAsia="Calibri" w:hAnsi="Verdana" w:cs="Arial"/>
        </w:rPr>
      </w:pPr>
      <w:r>
        <w:rPr>
          <w:rFonts w:ascii="Verdana" w:eastAsia="Calibri" w:hAnsi="Verdana" w:cs="Arial"/>
          <w:lang w:val="es-ES"/>
        </w:rPr>
        <w:t xml:space="preserve">Ahora bien, </w:t>
      </w:r>
      <w:r w:rsidRPr="00642EA6">
        <w:rPr>
          <w:rFonts w:ascii="Verdana" w:eastAsia="Calibri" w:hAnsi="Verdana" w:cs="Arial"/>
          <w:lang w:val="es-ES"/>
        </w:rPr>
        <w:t xml:space="preserve">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w:t>
      </w:r>
      <w:r>
        <w:rPr>
          <w:rFonts w:ascii="Verdana" w:eastAsia="Calibri" w:hAnsi="Verdana" w:cs="Arial"/>
          <w:lang w:val="es-ES"/>
        </w:rPr>
        <w:t>financiada</w:t>
      </w:r>
      <w:r w:rsidR="00E356D4">
        <w:rPr>
          <w:rFonts w:ascii="Verdana" w:eastAsia="Calibri" w:hAnsi="Verdana" w:cs="Arial"/>
          <w:lang w:val="es-ES"/>
        </w:rPr>
        <w:t xml:space="preserve"> con</w:t>
      </w:r>
      <w:r w:rsidRPr="00642EA6">
        <w:rPr>
          <w:rFonts w:ascii="Verdana" w:eastAsia="Calibri" w:hAnsi="Verdana" w:cs="Arial"/>
          <w:lang w:val="es-ES"/>
        </w:rPr>
        <w:t xml:space="preserve"> dineros públicos. </w:t>
      </w:r>
    </w:p>
    <w:p w14:paraId="59031FF0" w14:textId="460CF540" w:rsidR="373F679A" w:rsidRPr="00B61B99" w:rsidRDefault="00427743" w:rsidP="00B61B99">
      <w:pPr>
        <w:spacing w:after="120" w:line="276" w:lineRule="auto"/>
        <w:ind w:firstLine="709"/>
        <w:jc w:val="both"/>
        <w:rPr>
          <w:rFonts w:ascii="Verdana" w:eastAsia="Calibri" w:hAnsi="Verdana" w:cs="Arial"/>
          <w:shd w:val="clear" w:color="auto" w:fill="FFFFFF"/>
        </w:rPr>
      </w:pPr>
      <w:r>
        <w:rPr>
          <w:rFonts w:ascii="Verdana" w:eastAsia="Calibri" w:hAnsi="Verdana" w:cs="Arial"/>
          <w:shd w:val="clear" w:color="auto" w:fill="FFFFFF"/>
        </w:rPr>
        <w:t>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w:t>
      </w:r>
      <w:r w:rsidRPr="00642EA6">
        <w:rPr>
          <w:rFonts w:ascii="Verdana" w:eastAsia="Calibri" w:hAnsi="Verdana" w:cs="Arial"/>
          <w:shd w:val="clear" w:color="auto" w:fill="FFFFFF"/>
        </w:rPr>
        <w:t xml:space="preserve"> </w:t>
      </w:r>
      <w:r>
        <w:rPr>
          <w:rFonts w:ascii="Verdana" w:eastAsia="Calibri" w:hAnsi="Verdana" w:cs="Arial"/>
          <w:shd w:val="clear" w:color="auto" w:fill="FFFFFF"/>
          <w:lang w:val="es-ES"/>
        </w:rPr>
        <w:t xml:space="preserve">desarrollada con otro tipo de recursos. </w:t>
      </w:r>
    </w:p>
    <w:p w14:paraId="36374732" w14:textId="77777777" w:rsidR="00427743" w:rsidRDefault="00427743" w:rsidP="00427743">
      <w:pPr>
        <w:tabs>
          <w:tab w:val="left" w:pos="709"/>
        </w:tabs>
        <w:spacing w:before="120" w:after="120" w:line="276" w:lineRule="auto"/>
        <w:contextualSpacing/>
        <w:jc w:val="both"/>
        <w:rPr>
          <w:rFonts w:ascii="Verdana" w:eastAsia="Aptos" w:hAnsi="Verdana" w:cs="Arial"/>
          <w:shd w:val="clear" w:color="auto" w:fill="FFFFFF"/>
        </w:rPr>
      </w:pPr>
      <w:r>
        <w:rPr>
          <w:rFonts w:ascii="Verdana" w:eastAsia="Aptos" w:hAnsi="Verdana" w:cs="Arial"/>
          <w:shd w:val="clear" w:color="auto" w:fill="FFFFFF"/>
        </w:rPr>
        <w:tab/>
      </w:r>
      <w:r w:rsidRPr="002A1CD3">
        <w:rPr>
          <w:rFonts w:ascii="Verdana" w:eastAsia="Aptos" w:hAnsi="Verdana" w:cs="Arial"/>
          <w:shd w:val="clear" w:color="auto" w:fill="FFFFFF"/>
        </w:rPr>
        <w:t xml:space="preserve">Conforme a lo expuesto, se concluye que las Empresas Sociales del Estado, en su calidad de entidades estatales sometidas a un régimen especial de contratación regulado de manera prevalente por el derecho privado (artículo 195 de la Ley 100 de 1993 y artículo 45 de la Ley 1122 de 2007), deben observar, en todo caso, los principios constitucionales que rigen la función </w:t>
      </w:r>
      <w:r w:rsidRPr="002A1CD3">
        <w:rPr>
          <w:rFonts w:ascii="Verdana" w:eastAsia="Aptos" w:hAnsi="Verdana" w:cs="Arial"/>
          <w:shd w:val="clear" w:color="auto" w:fill="FFFFFF"/>
        </w:rPr>
        <w:lastRenderedPageBreak/>
        <w:t>administrativa y la gestión fiscal (artículos 209 y 267 de la Constitución Política), entre los cuales se encuentra el principio de publicidad.</w:t>
      </w:r>
    </w:p>
    <w:p w14:paraId="01B31BBD" w14:textId="77777777" w:rsidR="00427743" w:rsidRPr="002A1CD3" w:rsidRDefault="00427743" w:rsidP="00427743">
      <w:pPr>
        <w:tabs>
          <w:tab w:val="left" w:pos="709"/>
        </w:tabs>
        <w:spacing w:before="120" w:after="120" w:line="276" w:lineRule="auto"/>
        <w:contextualSpacing/>
        <w:jc w:val="both"/>
        <w:rPr>
          <w:rFonts w:ascii="Verdana" w:eastAsia="Aptos" w:hAnsi="Verdana" w:cs="Arial"/>
          <w:shd w:val="clear" w:color="auto" w:fill="FFFFFF"/>
        </w:rPr>
      </w:pPr>
    </w:p>
    <w:p w14:paraId="4F3BDB94" w14:textId="31F5BBC0" w:rsidR="00427743" w:rsidRDefault="00427743" w:rsidP="00427743">
      <w:pPr>
        <w:tabs>
          <w:tab w:val="left" w:pos="709"/>
        </w:tabs>
        <w:spacing w:before="120" w:after="120" w:line="276" w:lineRule="auto"/>
        <w:contextualSpacing/>
        <w:jc w:val="both"/>
        <w:rPr>
          <w:rFonts w:ascii="Verdana" w:eastAsia="Aptos" w:hAnsi="Verdana" w:cs="Arial"/>
          <w:shd w:val="clear" w:color="auto" w:fill="FFFFFF"/>
        </w:rPr>
      </w:pPr>
      <w:r w:rsidRPr="002A1CD3">
        <w:rPr>
          <w:rFonts w:ascii="Verdana" w:eastAsia="Aptos" w:hAnsi="Verdana" w:cs="Arial"/>
          <w:shd w:val="clear" w:color="auto" w:fill="FFFFFF"/>
        </w:rPr>
        <w:t>En ese sentido, conforme a lo consultado,</w:t>
      </w:r>
      <w:r w:rsidR="59FFB1B3" w:rsidRPr="002A1CD3">
        <w:rPr>
          <w:rFonts w:ascii="Verdana" w:eastAsia="Aptos" w:hAnsi="Verdana" w:cs="Arial"/>
          <w:shd w:val="clear" w:color="auto" w:fill="FFFFFF"/>
        </w:rPr>
        <w:t xml:space="preserve"> se considera que</w:t>
      </w:r>
      <w:r w:rsidRPr="002A1CD3">
        <w:rPr>
          <w:rFonts w:ascii="Verdana" w:eastAsia="Aptos" w:hAnsi="Verdana" w:cs="Arial"/>
          <w:shd w:val="clear" w:color="auto" w:fill="FFFFFF"/>
        </w:rPr>
        <w:t xml:space="preserve"> el hospital público al que se refiere la solicitud —en su condición de E.S.E.— no está obligado a adelantar sus procesos contractuales a través de un único módulo del SECOP II, ni a adoptar una modalidad uniforme para todos los contratos. La normativa vigente permite que la entidad, en ejercicio de su autonomía administrativa y con base en su manual de contratación, utilice los distintos módulos habilitados para entidades con régimen especial: (i) el módulo con ofertas para procesos competitivos y (</w:t>
      </w:r>
      <w:proofErr w:type="spellStart"/>
      <w:r w:rsidRPr="002A1CD3">
        <w:rPr>
          <w:rFonts w:ascii="Verdana" w:eastAsia="Aptos" w:hAnsi="Verdana" w:cs="Arial"/>
          <w:shd w:val="clear" w:color="auto" w:fill="FFFFFF"/>
        </w:rPr>
        <w:t>ii</w:t>
      </w:r>
      <w:proofErr w:type="spellEnd"/>
      <w:r w:rsidRPr="002A1CD3">
        <w:rPr>
          <w:rFonts w:ascii="Verdana" w:eastAsia="Aptos" w:hAnsi="Verdana" w:cs="Arial"/>
          <w:shd w:val="clear" w:color="auto" w:fill="FFFFFF"/>
        </w:rPr>
        <w:t>) el módulo sin ofertas para contrataciones directas. Lo relevante, es que se garantice el cumplimiento del deber de publicidad frente a todos aquellos contratos que impliquen la ejecución de recursos públicos, lo cual constituye una obligación legal imperativa.</w:t>
      </w:r>
    </w:p>
    <w:p w14:paraId="4663A644" w14:textId="77777777" w:rsidR="00427743" w:rsidRPr="002A1CD3" w:rsidRDefault="00427743" w:rsidP="00427743">
      <w:pPr>
        <w:tabs>
          <w:tab w:val="left" w:pos="709"/>
        </w:tabs>
        <w:spacing w:before="120" w:after="120" w:line="276" w:lineRule="auto"/>
        <w:contextualSpacing/>
        <w:jc w:val="both"/>
        <w:rPr>
          <w:rFonts w:ascii="Verdana" w:eastAsia="Aptos" w:hAnsi="Verdana" w:cs="Arial"/>
          <w:shd w:val="clear" w:color="auto" w:fill="FFFFFF"/>
        </w:rPr>
      </w:pPr>
    </w:p>
    <w:p w14:paraId="5947BB83" w14:textId="32E719D7" w:rsidR="00427743" w:rsidRDefault="00427743" w:rsidP="00427743">
      <w:pPr>
        <w:tabs>
          <w:tab w:val="left" w:pos="709"/>
        </w:tabs>
        <w:spacing w:before="120" w:after="120" w:line="276" w:lineRule="auto"/>
        <w:contextualSpacing/>
        <w:jc w:val="both"/>
        <w:rPr>
          <w:rFonts w:ascii="Verdana" w:eastAsia="Aptos" w:hAnsi="Verdana" w:cs="Arial"/>
          <w:shd w:val="clear" w:color="auto" w:fill="FFFFFF"/>
        </w:rPr>
      </w:pPr>
      <w:r w:rsidRPr="002A1CD3">
        <w:rPr>
          <w:rFonts w:ascii="Verdana" w:eastAsia="Aptos" w:hAnsi="Verdana" w:cs="Arial"/>
          <w:shd w:val="clear" w:color="auto" w:fill="FFFFFF"/>
        </w:rPr>
        <w:t xml:space="preserve">Por tanto, cualquier esquema operativo o decisión interna sobre el uso del SECOP II —sea a través del módulo con ofertas o del módulo sin ofertas— debe estar orientado a cumplir con este mandato legal de transparencia, sin que la coexistencia de ambas alternativas represente, per se, una irregularidad. </w:t>
      </w:r>
    </w:p>
    <w:p w14:paraId="632F6F6D" w14:textId="77777777" w:rsidR="00B61B99" w:rsidRPr="002A1CD3" w:rsidRDefault="00B61B99" w:rsidP="00427743">
      <w:pPr>
        <w:tabs>
          <w:tab w:val="left" w:pos="709"/>
        </w:tabs>
        <w:spacing w:before="120" w:after="120" w:line="276" w:lineRule="auto"/>
        <w:contextualSpacing/>
        <w:jc w:val="both"/>
        <w:rPr>
          <w:rFonts w:ascii="Verdana" w:eastAsia="Aptos" w:hAnsi="Verdana" w:cs="Arial"/>
          <w:shd w:val="clear" w:color="auto" w:fill="FFFFFF"/>
        </w:rPr>
      </w:pPr>
    </w:p>
    <w:p w14:paraId="2FF1827B" w14:textId="77777777" w:rsidR="00427743" w:rsidRPr="007C1C94" w:rsidRDefault="00427743" w:rsidP="00427743">
      <w:pPr>
        <w:tabs>
          <w:tab w:val="left" w:pos="709"/>
        </w:tabs>
        <w:spacing w:before="120" w:after="120" w:line="276" w:lineRule="auto"/>
        <w:contextualSpacing/>
        <w:jc w:val="both"/>
        <w:rPr>
          <w:rFonts w:ascii="Verdana" w:eastAsia="Century Gothic" w:hAnsi="Verdana" w:cs="Century Gothic"/>
          <w:b/>
          <w:bCs/>
          <w:lang w:val="es-ES"/>
        </w:rPr>
      </w:pPr>
      <w:r w:rsidRPr="007C1C94">
        <w:rPr>
          <w:rFonts w:ascii="Verdana" w:eastAsia="Century Gothic" w:hAnsi="Verdana" w:cs="Century Gothic"/>
          <w:b/>
          <w:bCs/>
          <w:lang w:val="es-ES"/>
        </w:rPr>
        <w:t>Referencias normativas, jurisprudenciales y otras fuentes:</w:t>
      </w:r>
    </w:p>
    <w:p w14:paraId="5F27861E" w14:textId="77777777" w:rsidR="00427743" w:rsidRPr="007C1C94" w:rsidRDefault="00427743" w:rsidP="0042774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27743" w:rsidRPr="007C1C94" w14:paraId="2565A8B5" w14:textId="77777777">
        <w:trPr>
          <w:trHeight w:val="870"/>
        </w:trPr>
        <w:tc>
          <w:tcPr>
            <w:tcW w:w="8647" w:type="dxa"/>
          </w:tcPr>
          <w:p w14:paraId="0A511A26" w14:textId="77777777" w:rsidR="00427743" w:rsidRPr="00642EA6" w:rsidRDefault="00427743" w:rsidP="00427743">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1150 de 2007. Artículo 13, literal c); Artículo 14</w:t>
            </w:r>
          </w:p>
          <w:p w14:paraId="6464D0D6" w14:textId="77777777" w:rsidR="00427743" w:rsidRPr="00642EA6" w:rsidRDefault="00427743" w:rsidP="00427743">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1712 de 2014. Artículo 2; Artículo 9; Artículo 11, literal g)</w:t>
            </w:r>
          </w:p>
          <w:p w14:paraId="0AAC81F4" w14:textId="77777777" w:rsidR="00427743" w:rsidRPr="00642EA6" w:rsidRDefault="00427743" w:rsidP="00427743">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Ley 2195 de 2022. Artículo 53</w:t>
            </w:r>
          </w:p>
          <w:p w14:paraId="170229D0" w14:textId="77777777" w:rsidR="00427743" w:rsidRPr="00642EA6" w:rsidRDefault="00427743" w:rsidP="00427743">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642EA6">
              <w:rPr>
                <w:rFonts w:ascii="Verdana" w:eastAsia="Calibri" w:hAnsi="Verdana" w:cs="Arial"/>
                <w:lang w:val="es-ES"/>
              </w:rPr>
              <w:t xml:space="preserve">Decreto 1082 de 2015. Artículo </w:t>
            </w:r>
            <w:r w:rsidRPr="00642EA6">
              <w:rPr>
                <w:rFonts w:ascii="Verdana" w:eastAsia="Aptos" w:hAnsi="Verdana" w:cs="Arial"/>
                <w:color w:val="000000"/>
                <w:shd w:val="clear" w:color="auto" w:fill="FFFFFF"/>
              </w:rPr>
              <w:t>2.2.1.1.1.7.1</w:t>
            </w:r>
          </w:p>
          <w:p w14:paraId="490ABE91" w14:textId="77777777" w:rsidR="00427743" w:rsidRPr="00642EA6" w:rsidRDefault="00427743" w:rsidP="00427743">
            <w:pPr>
              <w:widowControl w:val="0"/>
              <w:numPr>
                <w:ilvl w:val="0"/>
                <w:numId w:val="17"/>
              </w:numPr>
              <w:autoSpaceDE w:val="0"/>
              <w:autoSpaceDN w:val="0"/>
              <w:spacing w:line="276" w:lineRule="auto"/>
              <w:contextualSpacing/>
              <w:jc w:val="both"/>
              <w:rPr>
                <w:rFonts w:ascii="Verdana" w:eastAsia="Aptos" w:hAnsi="Verdana" w:cs="Arial"/>
              </w:rPr>
            </w:pPr>
            <w:r w:rsidRPr="00642EA6">
              <w:rPr>
                <w:rFonts w:ascii="Verdana" w:eastAsia="Calibri" w:hAnsi="Verdana" w:cs="Arial"/>
                <w:lang w:val="es-ES"/>
              </w:rPr>
              <w:t xml:space="preserve">Circular Externa Única, disponible </w:t>
            </w:r>
            <w:hyperlink r:id="rId12" w:history="1">
              <w:r w:rsidRPr="00642EA6">
                <w:rPr>
                  <w:rFonts w:ascii="Verdana" w:eastAsia="Calibri" w:hAnsi="Verdana" w:cs="Arial"/>
                  <w:color w:val="467886"/>
                  <w:u w:val="single"/>
                  <w:lang w:val="es-ES"/>
                </w:rPr>
                <w:t>aquí</w:t>
              </w:r>
            </w:hyperlink>
          </w:p>
          <w:p w14:paraId="3C3DAEBF" w14:textId="77777777" w:rsidR="00427743" w:rsidRPr="00D84E65" w:rsidRDefault="00427743" w:rsidP="00427743">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42EA6">
              <w:rPr>
                <w:rFonts w:ascii="Verdana" w:eastAsia="Calibri" w:hAnsi="Verdana" w:cs="Arial"/>
              </w:rPr>
              <w:t xml:space="preserve">Circular Externa No. 002 del 23 de agosto de 2024, disponible </w:t>
            </w:r>
            <w:hyperlink r:id="rId13" w:history="1">
              <w:r w:rsidRPr="00642EA6">
                <w:rPr>
                  <w:rFonts w:ascii="Verdana" w:eastAsia="Calibri" w:hAnsi="Verdana" w:cs="Arial"/>
                  <w:color w:val="467886"/>
                  <w:u w:val="single"/>
                </w:rPr>
                <w:t>aquí</w:t>
              </w:r>
            </w:hyperlink>
          </w:p>
        </w:tc>
      </w:tr>
    </w:tbl>
    <w:p w14:paraId="61D908D6" w14:textId="29D14BDF" w:rsidR="00427743" w:rsidRPr="007C1C94" w:rsidRDefault="00427743" w:rsidP="00427743">
      <w:pPr>
        <w:widowControl w:val="0"/>
        <w:autoSpaceDE w:val="0"/>
        <w:autoSpaceDN w:val="0"/>
        <w:spacing w:after="0" w:line="276" w:lineRule="auto"/>
        <w:jc w:val="both"/>
        <w:rPr>
          <w:rFonts w:ascii="Verdana" w:hAnsi="Verdana" w:cs="Arial"/>
        </w:rPr>
      </w:pPr>
    </w:p>
    <w:p w14:paraId="5E34F778" w14:textId="77777777" w:rsidR="00427743" w:rsidRPr="007C1C94" w:rsidRDefault="00427743" w:rsidP="0042774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C1C94">
        <w:rPr>
          <w:rFonts w:ascii="Verdana" w:eastAsia="Century Gothic" w:hAnsi="Verdana" w:cs="Century Gothic"/>
          <w:b/>
          <w:bCs/>
        </w:rPr>
        <w:t>Doctrina de la Agencia Nacional de Contratación Pública:</w:t>
      </w:r>
    </w:p>
    <w:p w14:paraId="3106AEDB" w14:textId="77777777" w:rsidR="00427743" w:rsidRPr="007C1C94" w:rsidRDefault="00427743" w:rsidP="00427743">
      <w:pPr>
        <w:widowControl w:val="0"/>
        <w:autoSpaceDE w:val="0"/>
        <w:autoSpaceDN w:val="0"/>
        <w:spacing w:after="0" w:line="276" w:lineRule="auto"/>
        <w:jc w:val="both"/>
        <w:rPr>
          <w:rFonts w:ascii="Verdana" w:hAnsi="Verdana" w:cs="Arial"/>
        </w:rPr>
      </w:pPr>
    </w:p>
    <w:p w14:paraId="686ECF7D" w14:textId="57E2B3CF" w:rsidR="00427743" w:rsidRDefault="00427743" w:rsidP="00427743">
      <w:pPr>
        <w:widowControl w:val="0"/>
        <w:autoSpaceDE w:val="0"/>
        <w:autoSpaceDN w:val="0"/>
        <w:spacing w:after="0" w:line="276" w:lineRule="auto"/>
        <w:jc w:val="both"/>
        <w:rPr>
          <w:rStyle w:val="normaltextrun"/>
          <w:rFonts w:ascii="Verdana" w:hAnsi="Verdana" w:cs="Arial"/>
          <w:shd w:val="clear" w:color="auto" w:fill="FFFFFF"/>
          <w:lang w:val="es-ES"/>
        </w:rPr>
      </w:pPr>
      <w:r>
        <w:rPr>
          <w:rFonts w:ascii="Verdana" w:eastAsia="Calibri" w:hAnsi="Verdana" w:cs="Arial"/>
          <w:lang w:eastAsia="es-MX"/>
        </w:rPr>
        <w:t>S</w:t>
      </w:r>
      <w:r w:rsidRPr="373F679A">
        <w:rPr>
          <w:rFonts w:ascii="Verdana" w:eastAsia="Calibri" w:hAnsi="Verdana" w:cs="Arial"/>
          <w:lang w:val="es-ES" w:eastAsia="es-MX"/>
        </w:rPr>
        <w:t>obre la interpretación la publicidad en SECOP respecto de las entidades sometidas a Régimen especial de Contratación y respecto del artículo 53 de la Ley 2195 de 2022</w:t>
      </w:r>
      <w:r>
        <w:rPr>
          <w:rStyle w:val="normaltextrun"/>
          <w:rFonts w:ascii="Verdana" w:hAnsi="Verdana" w:cs="Arial"/>
          <w:shd w:val="clear" w:color="auto" w:fill="FFFFFF"/>
          <w:lang w:val="es-ES"/>
        </w:rPr>
        <w:t xml:space="preserve"> </w:t>
      </w:r>
      <w:r w:rsidRPr="007C1C94">
        <w:rPr>
          <w:rStyle w:val="normaltextrun"/>
          <w:rFonts w:ascii="Verdana" w:hAnsi="Verdana" w:cs="Arial"/>
          <w:shd w:val="clear" w:color="auto" w:fill="FFFFFF"/>
          <w:lang w:val="es-ES"/>
        </w:rPr>
        <w:t>se pronunció esta Subdirección en los conceptos</w:t>
      </w:r>
      <w:r w:rsidRPr="007C1C94">
        <w:rPr>
          <w:rStyle w:val="normaltextrun"/>
          <w:rFonts w:ascii="Verdana" w:hAnsi="Verdana" w:cs="Calibri"/>
          <w:shd w:val="clear" w:color="auto" w:fill="FFFFFF"/>
        </w:rPr>
        <w:t xml:space="preserve"> </w:t>
      </w:r>
      <w:r w:rsidRPr="373F679A">
        <w:rPr>
          <w:rFonts w:ascii="Verdana" w:eastAsia="Calibri" w:hAnsi="Verdana" w:cs="Arial"/>
          <w:lang w:val="es-ES" w:eastAsia="es-MX"/>
        </w:rPr>
        <w:t xml:space="preserve">C-049 del 7 de marzo de 2022, C-120 del 22 de marzo de 2022, C-124 del 22 de marzo de 2022, C-132 del 28 de marzo de 2022, C-337 del 25 de mayo de 2022, C-348 del 13 de junio de 2022, C-480 del 18 de julio de 2022, C- 544 del 29 de agosto </w:t>
      </w:r>
      <w:r w:rsidRPr="373F679A">
        <w:rPr>
          <w:rFonts w:ascii="Verdana" w:eastAsia="Calibri" w:hAnsi="Verdana" w:cs="Arial"/>
          <w:lang w:val="es-ES" w:eastAsia="es-MX"/>
        </w:rPr>
        <w:lastRenderedPageBreak/>
        <w:t>de 2022, C-555 del 6 de septiembre de 2022, C- 821 de 29 de noviembre de 2022, C-071 del 28 de marzo de 2023</w:t>
      </w:r>
      <w:r w:rsidRPr="00642EA6">
        <w:rPr>
          <w:rFonts w:ascii="Verdana" w:eastAsia="Aptos" w:hAnsi="Verdana" w:cs="Arial"/>
          <w:shd w:val="clear" w:color="auto" w:fill="FFFFFF"/>
          <w:lang w:val="es-ES"/>
        </w:rPr>
        <w:t>,</w:t>
      </w:r>
      <w:r>
        <w:rPr>
          <w:rFonts w:ascii="Verdana" w:eastAsia="Aptos" w:hAnsi="Verdana" w:cs="Arial"/>
          <w:shd w:val="clear" w:color="auto" w:fill="FFFFFF"/>
          <w:lang w:val="es-ES"/>
        </w:rPr>
        <w:t xml:space="preserve"> </w:t>
      </w:r>
      <w:r>
        <w:rPr>
          <w:rFonts w:ascii="Verdana" w:eastAsia="Aptos" w:hAnsi="Verdana" w:cs="Arial"/>
          <w:shd w:val="clear" w:color="auto" w:fill="FFFFFF"/>
          <w:lang w:val="es-ES"/>
        </w:rPr>
        <w:br/>
        <w:t>C-540 del 7 de octubre de 2024, C-710 del 20 de noviembre de 2024, C-058 del 24 de febrero de 2025, C-402 del 7 de mayo de 2025 y 671 de 2025,</w:t>
      </w:r>
      <w:r w:rsidRPr="00642EA6">
        <w:rPr>
          <w:rFonts w:ascii="Verdana" w:eastAsia="Aptos" w:hAnsi="Verdana" w:cs="Arial"/>
          <w:shd w:val="clear" w:color="auto" w:fill="FFFFFF"/>
          <w:lang w:val="es-ES"/>
        </w:rPr>
        <w:t xml:space="preserve"> entre otros</w:t>
      </w:r>
      <w:r w:rsidRPr="007C1C94">
        <w:rPr>
          <w:rStyle w:val="normaltextrun"/>
          <w:rFonts w:ascii="Verdana" w:hAnsi="Verdana" w:cs="Arial"/>
          <w:shd w:val="clear" w:color="auto" w:fill="FFFFFF"/>
          <w:lang w:val="es-ES"/>
        </w:rPr>
        <w:t>. Es</w:t>
      </w:r>
      <w:r w:rsidRPr="007C1C94">
        <w:rPr>
          <w:rFonts w:ascii="Verdana" w:hAnsi="Verdana"/>
        </w:rPr>
        <w:t>tos y otros conceptos se encuentran disponibles para consulta en el Sistema de relatoría de la Agencia, al cual se puede acceder a través del siguiente enlace:</w:t>
      </w:r>
      <w:r w:rsidRPr="007C1C94">
        <w:rPr>
          <w:rStyle w:val="normaltextrun"/>
          <w:rFonts w:ascii="Verdana" w:hAnsi="Verdana" w:cs="Arial"/>
          <w:shd w:val="clear" w:color="auto" w:fill="FFFFFF"/>
          <w:lang w:val="es-ES"/>
        </w:rPr>
        <w:t xml:space="preserve"> </w:t>
      </w:r>
      <w:hyperlink r:id="rId14" w:history="1">
        <w:r w:rsidRPr="007C1C94">
          <w:rPr>
            <w:rStyle w:val="Hipervnculo"/>
            <w:rFonts w:ascii="Verdana" w:hAnsi="Verdana" w:cs="Arial"/>
            <w:shd w:val="clear" w:color="auto" w:fill="FFFFFF"/>
            <w:lang w:val="es-ES"/>
          </w:rPr>
          <w:t>https://relatoria.colombiacompra.gov.co/busqueda/conceptos</w:t>
        </w:r>
      </w:hyperlink>
    </w:p>
    <w:p w14:paraId="7E1AD6A2" w14:textId="77777777" w:rsidR="00427743" w:rsidRPr="008B3C19" w:rsidRDefault="00427743" w:rsidP="00427743">
      <w:pPr>
        <w:widowControl w:val="0"/>
        <w:autoSpaceDE w:val="0"/>
        <w:autoSpaceDN w:val="0"/>
        <w:spacing w:after="0" w:line="276" w:lineRule="auto"/>
        <w:jc w:val="both"/>
        <w:rPr>
          <w:rStyle w:val="normaltextrun"/>
          <w:rFonts w:ascii="Verdana" w:hAnsi="Verdana" w:cs="Arial"/>
          <w:shd w:val="clear" w:color="auto" w:fill="FFFFFF"/>
          <w:lang w:val="es-ES"/>
        </w:rPr>
      </w:pPr>
    </w:p>
    <w:p w14:paraId="66A8F817" w14:textId="77777777" w:rsidR="00427743" w:rsidRPr="008B3C19" w:rsidRDefault="00427743" w:rsidP="00427743">
      <w:pPr>
        <w:shd w:val="clear" w:color="auto" w:fill="FFFFFF"/>
        <w:spacing w:after="0" w:line="276" w:lineRule="auto"/>
        <w:jc w:val="both"/>
        <w:rPr>
          <w:rFonts w:ascii="Verdana" w:hAnsi="Verdana"/>
          <w:color w:val="467886"/>
          <w:u w:val="single"/>
        </w:rPr>
      </w:pPr>
      <w:r w:rsidRPr="008B3C19">
        <w:rPr>
          <w:rFonts w:ascii="Verdana" w:hAnsi="Verdana"/>
          <w:color w:val="000000"/>
        </w:rPr>
        <w:t>Te informamos que ya se encuentra disponible la </w:t>
      </w:r>
      <w:r w:rsidRPr="008B3C19">
        <w:rPr>
          <w:rFonts w:ascii="Verdana" w:hAnsi="Verdana"/>
          <w:b/>
          <w:bCs/>
          <w:color w:val="000000"/>
        </w:rPr>
        <w:t>Guía de lineamientos de transparencia y selección objetiva para el departamento de La Guajira – Objetivo sexto constitucional de la Sentencia T-302 del 2017. </w:t>
      </w:r>
      <w:r w:rsidRPr="008B3C1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B3C19">
        <w:rPr>
          <w:rFonts w:ascii="Verdana" w:hAnsi="Verdana"/>
          <w:color w:val="000000"/>
        </w:rPr>
        <w:t>Wayúu</w:t>
      </w:r>
      <w:proofErr w:type="spellEnd"/>
      <w:r w:rsidRPr="008B3C19">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8B3C19">
          <w:rPr>
            <w:rStyle w:val="Hipervnculo"/>
            <w:rFonts w:ascii="Verdana" w:hAnsi="Verdana"/>
          </w:rPr>
          <w:t>Guía de lineamientos de transparencia y selección objetiva para el departamento de La Guajira – Objetivo sexto constitucional de la Sentencia T-302 del 2017</w:t>
        </w:r>
      </w:hyperlink>
      <w:r w:rsidRPr="008B3C19">
        <w:rPr>
          <w:rFonts w:ascii="Verdana" w:hAnsi="Verdana"/>
          <w:color w:val="000000"/>
          <w:u w:val="single"/>
        </w:rPr>
        <w:t>.</w:t>
      </w:r>
    </w:p>
    <w:p w14:paraId="7B427247" w14:textId="77777777" w:rsidR="00427743" w:rsidRPr="008B3C19" w:rsidRDefault="00427743" w:rsidP="00427743">
      <w:pPr>
        <w:widowControl w:val="0"/>
        <w:autoSpaceDE w:val="0"/>
        <w:autoSpaceDN w:val="0"/>
        <w:spacing w:after="0" w:line="276" w:lineRule="auto"/>
        <w:jc w:val="both"/>
        <w:rPr>
          <w:rFonts w:ascii="Verdana" w:hAnsi="Verdana" w:cs="Arial"/>
          <w:color w:val="FF0000"/>
          <w:shd w:val="clear" w:color="auto" w:fill="FFFFFF"/>
          <w:lang w:val="es-ES_tradnl"/>
        </w:rPr>
      </w:pPr>
      <w:r w:rsidRPr="008B3C19">
        <w:rPr>
          <w:rFonts w:ascii="Verdana" w:hAnsi="Verdana" w:cs="Arial"/>
          <w:color w:val="000000" w:themeColor="text1"/>
          <w:shd w:val="clear" w:color="auto" w:fill="FFFFFF"/>
          <w:lang w:val="es-ES_tradnl"/>
        </w:rPr>
        <w:t xml:space="preserve"> </w:t>
      </w:r>
      <w:r w:rsidRPr="008B3C19">
        <w:rPr>
          <w:rStyle w:val="normaltextrun"/>
          <w:rFonts w:ascii="Verdana" w:hAnsi="Verdana" w:cs="Arial"/>
          <w:color w:val="FF0000"/>
          <w:shd w:val="clear" w:color="auto" w:fill="FFFFFF"/>
          <w:lang w:val="es-ES_tradnl"/>
        </w:rPr>
        <w:t xml:space="preserve">        </w:t>
      </w:r>
    </w:p>
    <w:p w14:paraId="3F270B86" w14:textId="77777777" w:rsidR="00427743" w:rsidRPr="008B3C19" w:rsidRDefault="00427743" w:rsidP="00427743">
      <w:pPr>
        <w:widowControl w:val="0"/>
        <w:autoSpaceDE w:val="0"/>
        <w:autoSpaceDN w:val="0"/>
        <w:spacing w:after="0" w:line="276" w:lineRule="auto"/>
        <w:jc w:val="both"/>
        <w:rPr>
          <w:rFonts w:ascii="Verdana" w:hAnsi="Verdana" w:cs="Arial"/>
          <w:lang w:val="es-ES_tradnl"/>
        </w:rPr>
      </w:pPr>
      <w:r w:rsidRPr="008B3C19">
        <w:rPr>
          <w:rFonts w:ascii="Verdana" w:hAnsi="Verdana" w:cs="Arial"/>
        </w:rPr>
        <w:t xml:space="preserve">Este concepto tiene el alcance previsto en el artículo 28 del Código de Procedimiento Administrativo y de lo Contencioso Administrativo </w:t>
      </w:r>
      <w:r w:rsidRPr="008B3C19">
        <w:rPr>
          <w:rFonts w:ascii="Verdana" w:hAnsi="Verdana" w:cs="Arial"/>
          <w:lang w:val="es-ES_tradnl"/>
        </w:rPr>
        <w:t>y las expresiones aquí utilizadas con mayúscula inicial deben ser entendidas con el significado que les otorga el artículo 2.2.1.1.1.3.1. del Decreto 1082 de 2015.</w:t>
      </w:r>
    </w:p>
    <w:p w14:paraId="7606E66F" w14:textId="77777777" w:rsidR="00427743" w:rsidRPr="008B3C19" w:rsidRDefault="00427743" w:rsidP="00427743">
      <w:pPr>
        <w:widowControl w:val="0"/>
        <w:autoSpaceDE w:val="0"/>
        <w:autoSpaceDN w:val="0"/>
        <w:spacing w:after="0" w:line="276" w:lineRule="auto"/>
        <w:jc w:val="both"/>
        <w:rPr>
          <w:rFonts w:ascii="Verdana" w:hAnsi="Verdana" w:cs="Arial"/>
        </w:rPr>
      </w:pPr>
    </w:p>
    <w:p w14:paraId="01C336AD" w14:textId="77777777" w:rsidR="00427743" w:rsidRPr="008B3C19" w:rsidRDefault="00427743" w:rsidP="00427743">
      <w:pPr>
        <w:spacing w:after="0" w:line="240" w:lineRule="auto"/>
        <w:rPr>
          <w:rFonts w:ascii="Verdana" w:hAnsi="Verdana" w:cs="Arial"/>
          <w:lang w:eastAsia="es-CO"/>
        </w:rPr>
      </w:pPr>
      <w:r w:rsidRPr="008B3C19">
        <w:rPr>
          <w:rFonts w:ascii="Verdana" w:eastAsia="Times New Roman" w:hAnsi="Verdana" w:cs="Arial"/>
          <w:lang w:eastAsia="es-CO"/>
        </w:rPr>
        <w:t>Atentamente,</w:t>
      </w:r>
      <w:r w:rsidRPr="008B3C19">
        <w:rPr>
          <w:rFonts w:ascii="Verdana" w:hAnsi="Verdana" w:cs="Arial"/>
          <w:lang w:eastAsia="es-CO"/>
        </w:rPr>
        <w:t xml:space="preserve"> </w:t>
      </w:r>
    </w:p>
    <w:p w14:paraId="4F0A7A52" w14:textId="154038DC" w:rsidR="008E298D" w:rsidRPr="00876554" w:rsidRDefault="00E432C3" w:rsidP="008E298D">
      <w:pPr>
        <w:spacing w:line="276" w:lineRule="auto"/>
        <w:jc w:val="center"/>
        <w:rPr>
          <w:rFonts w:ascii="Verdana" w:hAnsi="Verdana" w:cs="Arial"/>
          <w:lang w:val="es-ES_tradnl" w:eastAsia="es-CO"/>
        </w:rPr>
      </w:pPr>
      <w:r w:rsidRPr="00E432C3">
        <w:rPr>
          <w:rFonts w:ascii="Verdana" w:hAnsi="Verdana" w:cs="Arial"/>
          <w:noProof/>
          <w:lang w:eastAsia="es-CO"/>
        </w:rPr>
        <w:drawing>
          <wp:inline distT="0" distB="0" distL="0" distR="0" wp14:anchorId="1EBD6127" wp14:editId="0832F510">
            <wp:extent cx="2812648" cy="1181396"/>
            <wp:effectExtent l="0" t="0" r="6985" b="0"/>
            <wp:docPr id="610887136" name="Imagen 2" descr="Imagen 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1, Imag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4455" cy="118635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E298D" w:rsidRPr="00876554" w14:paraId="0FD4310A" w14:textId="77777777" w:rsidTr="00A86ED8">
        <w:trPr>
          <w:trHeight w:val="315"/>
        </w:trPr>
        <w:tc>
          <w:tcPr>
            <w:tcW w:w="893" w:type="dxa"/>
            <w:vAlign w:val="center"/>
            <w:hideMark/>
          </w:tcPr>
          <w:p w14:paraId="60038DC1" w14:textId="77777777" w:rsidR="008E298D" w:rsidRPr="00876554" w:rsidRDefault="008E298D" w:rsidP="00A86ED8">
            <w:pPr>
              <w:contextualSpacing/>
              <w:rPr>
                <w:rFonts w:ascii="Verdana" w:hAnsi="Verdana" w:cs="Arial"/>
                <w:sz w:val="16"/>
                <w:szCs w:val="16"/>
                <w:lang w:val="es-ES" w:eastAsia="es-ES"/>
              </w:rPr>
            </w:pPr>
            <w:r w:rsidRPr="0087655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3620985" w14:textId="77777777" w:rsidR="008E298D" w:rsidRPr="00876554" w:rsidRDefault="008E298D" w:rsidP="00A86ED8">
            <w:pPr>
              <w:contextualSpacing/>
              <w:rPr>
                <w:rFonts w:ascii="Verdana" w:eastAsia="Arial" w:hAnsi="Verdana" w:cs="Arial"/>
                <w:sz w:val="16"/>
                <w:szCs w:val="16"/>
              </w:rPr>
            </w:pPr>
            <w:r>
              <w:rPr>
                <w:rFonts w:ascii="Verdana" w:eastAsia="Arial" w:hAnsi="Verdana" w:cs="Arial"/>
                <w:sz w:val="16"/>
                <w:szCs w:val="16"/>
              </w:rPr>
              <w:t>Gloria Elizabeth Arango Builes</w:t>
            </w:r>
          </w:p>
          <w:p w14:paraId="6313F613" w14:textId="77777777" w:rsidR="008E298D" w:rsidRPr="00876554" w:rsidRDefault="008E298D" w:rsidP="00A86ED8">
            <w:pPr>
              <w:contextualSpacing/>
              <w:rPr>
                <w:rFonts w:ascii="Verdana" w:eastAsia="Arial" w:hAnsi="Verdana" w:cs="Arial"/>
                <w:sz w:val="16"/>
                <w:szCs w:val="16"/>
              </w:rPr>
            </w:pPr>
            <w:r>
              <w:rPr>
                <w:rStyle w:val="normaltextrun"/>
                <w:rFonts w:ascii="Verdana" w:eastAsia="Arial" w:hAnsi="Verdana" w:cs="Arial"/>
                <w:sz w:val="16"/>
                <w:szCs w:val="16"/>
              </w:rPr>
              <w:t>Contratista</w:t>
            </w:r>
            <w:r w:rsidRPr="00876554">
              <w:rPr>
                <w:rStyle w:val="normaltextrun"/>
                <w:rFonts w:ascii="Verdana" w:eastAsia="Arial" w:hAnsi="Verdana" w:cs="Arial"/>
                <w:sz w:val="16"/>
                <w:szCs w:val="16"/>
              </w:rPr>
              <w:t xml:space="preserve"> de la Subdirección de Gestión Contractual</w:t>
            </w:r>
          </w:p>
        </w:tc>
      </w:tr>
      <w:tr w:rsidR="008E298D" w:rsidRPr="00876554" w14:paraId="4EBD03DA" w14:textId="77777777" w:rsidTr="00A86ED8">
        <w:trPr>
          <w:trHeight w:val="330"/>
        </w:trPr>
        <w:tc>
          <w:tcPr>
            <w:tcW w:w="893" w:type="dxa"/>
            <w:vAlign w:val="center"/>
            <w:hideMark/>
          </w:tcPr>
          <w:p w14:paraId="5A6A02F4" w14:textId="77777777" w:rsidR="008E298D" w:rsidRPr="00876554" w:rsidRDefault="008E298D" w:rsidP="00A86ED8">
            <w:pPr>
              <w:contextualSpacing/>
              <w:rPr>
                <w:rFonts w:ascii="Verdana" w:hAnsi="Verdana" w:cs="Arial"/>
                <w:sz w:val="16"/>
                <w:szCs w:val="16"/>
                <w:lang w:val="es-ES" w:eastAsia="es-ES"/>
              </w:rPr>
            </w:pPr>
            <w:r w:rsidRPr="0087655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003EEE" w14:textId="06BA8B09" w:rsidR="008E298D" w:rsidRPr="00876554" w:rsidRDefault="008E298D" w:rsidP="00A86ED8">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Juan Carlos </w:t>
            </w:r>
            <w:r w:rsidR="00096768">
              <w:rPr>
                <w:rFonts w:ascii="Verdana" w:hAnsi="Verdana" w:cs="Segoe UI"/>
                <w:sz w:val="16"/>
                <w:szCs w:val="16"/>
              </w:rPr>
              <w:t>González Vásquez</w:t>
            </w:r>
          </w:p>
          <w:p w14:paraId="147B06B5" w14:textId="77777777" w:rsidR="008E298D" w:rsidRPr="00876554" w:rsidRDefault="008E298D" w:rsidP="00A86ED8">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Pr="00876554">
              <w:rPr>
                <w:rStyle w:val="normaltextrun"/>
                <w:rFonts w:ascii="Verdana" w:hAnsi="Verdana" w:cs="Arial"/>
                <w:sz w:val="16"/>
                <w:szCs w:val="16"/>
                <w:lang w:val="es-ES"/>
              </w:rPr>
              <w:t xml:space="preserve"> de la Subdirección de Gestión Contractual</w:t>
            </w:r>
            <w:r w:rsidRPr="00876554">
              <w:rPr>
                <w:rStyle w:val="eop"/>
                <w:rFonts w:ascii="Verdana" w:hAnsi="Verdana" w:cs="Arial"/>
                <w:sz w:val="16"/>
                <w:szCs w:val="16"/>
              </w:rPr>
              <w:t> </w:t>
            </w:r>
          </w:p>
        </w:tc>
      </w:tr>
      <w:tr w:rsidR="008E298D" w:rsidRPr="00876554" w14:paraId="28FE7EC8" w14:textId="77777777" w:rsidTr="00A86ED8">
        <w:trPr>
          <w:trHeight w:val="300"/>
        </w:trPr>
        <w:tc>
          <w:tcPr>
            <w:tcW w:w="893" w:type="dxa"/>
            <w:vAlign w:val="center"/>
          </w:tcPr>
          <w:p w14:paraId="4449A194" w14:textId="77777777" w:rsidR="008E298D" w:rsidRPr="00876554" w:rsidRDefault="008E298D" w:rsidP="00A86ED8">
            <w:pPr>
              <w:contextualSpacing/>
              <w:rPr>
                <w:rFonts w:ascii="Verdana" w:hAnsi="Verdana" w:cs="Arial"/>
                <w:sz w:val="16"/>
                <w:szCs w:val="16"/>
                <w:lang w:val="es-ES" w:eastAsia="es-ES"/>
              </w:rPr>
            </w:pPr>
            <w:r w:rsidRPr="0087655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C88D5F" w14:textId="77777777" w:rsidR="008E298D" w:rsidRPr="00876554" w:rsidRDefault="008E298D" w:rsidP="00A86ED8">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proofErr w:type="spellStart"/>
            <w:r>
              <w:rPr>
                <w:rFonts w:ascii="Verdana" w:eastAsia="Calibri" w:hAnsi="Verdana" w:cs="Arial"/>
                <w:sz w:val="16"/>
                <w:szCs w:val="16"/>
                <w:lang w:val="pt-BR" w:eastAsia="es-ES"/>
              </w:rPr>
              <w:t>María</w:t>
            </w:r>
            <w:proofErr w:type="spellEnd"/>
            <w:r>
              <w:rPr>
                <w:rFonts w:ascii="Verdana" w:eastAsia="Calibri" w:hAnsi="Verdana" w:cs="Arial"/>
                <w:sz w:val="16"/>
                <w:szCs w:val="16"/>
                <w:lang w:val="pt-BR" w:eastAsia="es-ES"/>
              </w:rPr>
              <w:t xml:space="preserve"> Tolosa Rico</w:t>
            </w:r>
          </w:p>
          <w:p w14:paraId="43E450D9" w14:textId="77777777" w:rsidR="008E298D" w:rsidRPr="00876554" w:rsidRDefault="008E298D" w:rsidP="00A86ED8">
            <w:pPr>
              <w:contextualSpacing/>
              <w:rPr>
                <w:rFonts w:ascii="Verdana" w:eastAsia="Calibri" w:hAnsi="Verdana" w:cs="Arial"/>
                <w:sz w:val="16"/>
                <w:szCs w:val="16"/>
                <w:lang w:val="pt-BR" w:eastAsia="es-ES"/>
              </w:rPr>
            </w:pPr>
            <w:r w:rsidRPr="00876554">
              <w:rPr>
                <w:rFonts w:ascii="Verdana" w:eastAsia="Calibri" w:hAnsi="Verdana" w:cs="Arial"/>
                <w:sz w:val="16"/>
                <w:szCs w:val="16"/>
                <w:lang w:eastAsia="es-ES"/>
              </w:rPr>
              <w:t>Subdirectora</w:t>
            </w:r>
            <w:r w:rsidRPr="00876554">
              <w:rPr>
                <w:rFonts w:ascii="Verdana" w:eastAsia="Calibri" w:hAnsi="Verdana" w:cs="Arial"/>
                <w:sz w:val="16"/>
                <w:szCs w:val="16"/>
                <w:lang w:val="pt-BR" w:eastAsia="es-ES"/>
              </w:rPr>
              <w:t xml:space="preserve"> de Gestión </w:t>
            </w:r>
            <w:proofErr w:type="spellStart"/>
            <w:r w:rsidRPr="00876554">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(E)</w:t>
            </w:r>
            <w:r w:rsidRPr="00876554">
              <w:rPr>
                <w:rFonts w:ascii="Verdana" w:eastAsia="Calibri" w:hAnsi="Verdana" w:cs="Arial"/>
                <w:sz w:val="16"/>
                <w:szCs w:val="16"/>
                <w:lang w:val="pt-BR" w:eastAsia="es-ES"/>
              </w:rPr>
              <w:t xml:space="preserve"> ANCP – CCE</w:t>
            </w:r>
          </w:p>
        </w:tc>
      </w:tr>
    </w:tbl>
    <w:p w14:paraId="68C55C69" w14:textId="77777777" w:rsidR="008E298D" w:rsidRPr="00876554" w:rsidRDefault="008E298D" w:rsidP="008E298D">
      <w:pPr>
        <w:rPr>
          <w:rFonts w:ascii="Verdana" w:hAnsi="Verdana"/>
        </w:rPr>
      </w:pPr>
    </w:p>
    <w:sectPr w:rsidR="008E298D" w:rsidRPr="0087655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E5D9B" w14:textId="77777777" w:rsidR="00415B8F" w:rsidRDefault="00415B8F" w:rsidP="004A1847">
      <w:pPr>
        <w:spacing w:after="0" w:line="240" w:lineRule="auto"/>
      </w:pPr>
      <w:r>
        <w:separator/>
      </w:r>
    </w:p>
  </w:endnote>
  <w:endnote w:type="continuationSeparator" w:id="0">
    <w:p w14:paraId="7A33AF73" w14:textId="77777777" w:rsidR="00415B8F" w:rsidRDefault="00415B8F" w:rsidP="004A1847">
      <w:pPr>
        <w:spacing w:after="0" w:line="240" w:lineRule="auto"/>
      </w:pPr>
      <w:r>
        <w:continuationSeparator/>
      </w:r>
    </w:p>
  </w:endnote>
  <w:endnote w:type="continuationNotice" w:id="1">
    <w:p w14:paraId="1A9B08D5" w14:textId="77777777" w:rsidR="00415B8F" w:rsidRDefault="00415B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68E0" w14:textId="77777777" w:rsidR="00415B8F" w:rsidRDefault="00415B8F" w:rsidP="004A1847">
      <w:pPr>
        <w:spacing w:after="0" w:line="240" w:lineRule="auto"/>
      </w:pPr>
      <w:r>
        <w:separator/>
      </w:r>
    </w:p>
  </w:footnote>
  <w:footnote w:type="continuationSeparator" w:id="0">
    <w:p w14:paraId="75BE4F18" w14:textId="77777777" w:rsidR="00415B8F" w:rsidRDefault="00415B8F" w:rsidP="004A1847">
      <w:pPr>
        <w:spacing w:after="0" w:line="240" w:lineRule="auto"/>
      </w:pPr>
      <w:r>
        <w:continuationSeparator/>
      </w:r>
    </w:p>
  </w:footnote>
  <w:footnote w:type="continuationNotice" w:id="1">
    <w:p w14:paraId="4672FD5A" w14:textId="77777777" w:rsidR="00415B8F" w:rsidRDefault="00415B8F">
      <w:pPr>
        <w:spacing w:after="0" w:line="240" w:lineRule="auto"/>
      </w:pPr>
    </w:p>
  </w:footnote>
  <w:footnote w:id="2">
    <w:p w14:paraId="312365A3" w14:textId="77777777" w:rsidR="00427743" w:rsidRDefault="00427743" w:rsidP="00427743">
      <w:pPr>
        <w:pStyle w:val="Textonotapie"/>
        <w:ind w:firstLine="709"/>
        <w:jc w:val="both"/>
        <w:rPr>
          <w:rFonts w:ascii="Verdana" w:hAnsi="Verdana" w:cs="Arial"/>
          <w:color w:val="000000"/>
          <w:sz w:val="16"/>
          <w:szCs w:val="16"/>
        </w:rPr>
      </w:pPr>
    </w:p>
    <w:p w14:paraId="35FEF20F" w14:textId="77777777" w:rsidR="00427743" w:rsidRPr="005C10BE" w:rsidRDefault="00427743" w:rsidP="0042774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0990D1B" w14:textId="77777777" w:rsidR="00427743" w:rsidRPr="005C10BE" w:rsidRDefault="00427743" w:rsidP="0042774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Lo anterior, sin perjuicio de las publicaciones previstas en el numeral 3 del artículo 30 de la Ley 80 de 1993.</w:t>
      </w:r>
    </w:p>
    <w:p w14:paraId="5A988E9D" w14:textId="77777777" w:rsidR="00427743" w:rsidRPr="005C10BE" w:rsidRDefault="00427743" w:rsidP="0042774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29A3F3A7" w14:textId="77777777" w:rsidR="00427743" w:rsidRPr="005C10BE" w:rsidRDefault="00427743" w:rsidP="0042774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w:t>
      </w:r>
    </w:p>
    <w:p w14:paraId="11C7269C" w14:textId="77777777" w:rsidR="00427743" w:rsidRPr="005C10BE" w:rsidRDefault="00427743" w:rsidP="0042774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2020F974" w14:textId="77777777" w:rsidR="00427743" w:rsidRPr="005C10BE" w:rsidRDefault="00427743" w:rsidP="00427743">
      <w:pPr>
        <w:pStyle w:val="Textonotapie"/>
        <w:ind w:firstLine="709"/>
        <w:jc w:val="both"/>
        <w:rPr>
          <w:rFonts w:ascii="Verdana" w:hAnsi="Verdana" w:cs="Arial"/>
          <w:color w:val="000000"/>
          <w:sz w:val="16"/>
          <w:szCs w:val="16"/>
          <w:lang w:val="es-CO"/>
        </w:rPr>
      </w:pPr>
    </w:p>
  </w:footnote>
  <w:footnote w:id="3">
    <w:p w14:paraId="2C0E9542" w14:textId="77777777" w:rsidR="00427743" w:rsidRPr="005C10BE" w:rsidRDefault="00427743" w:rsidP="0042774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680CEB5" w14:textId="77777777" w:rsidR="00427743" w:rsidRPr="005C10BE" w:rsidRDefault="00427743" w:rsidP="00427743">
      <w:pPr>
        <w:pStyle w:val="Textonotapie"/>
        <w:ind w:firstLine="709"/>
        <w:jc w:val="both"/>
        <w:rPr>
          <w:rFonts w:ascii="Verdana" w:hAnsi="Verdana" w:cs="Arial"/>
          <w:color w:val="000000"/>
          <w:sz w:val="16"/>
          <w:szCs w:val="16"/>
          <w:lang w:val="es-CO"/>
        </w:rPr>
      </w:pPr>
    </w:p>
  </w:footnote>
  <w:footnote w:id="4">
    <w:p w14:paraId="5686C567" w14:textId="77777777" w:rsidR="00427743" w:rsidRPr="005C10BE" w:rsidRDefault="00427743" w:rsidP="0042774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0B4FDD7C" w14:textId="77777777" w:rsidR="00427743" w:rsidRPr="005C10BE" w:rsidRDefault="00427743" w:rsidP="00427743">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1F08217" w14:textId="77777777" w:rsidR="00427743" w:rsidRPr="005C10BE" w:rsidRDefault="00427743" w:rsidP="00427743">
      <w:pPr>
        <w:pStyle w:val="Textonotapie"/>
        <w:ind w:firstLine="709"/>
        <w:jc w:val="both"/>
        <w:rPr>
          <w:rFonts w:ascii="Verdana" w:hAnsi="Verdana" w:cs="Arial"/>
          <w:color w:val="000000"/>
          <w:sz w:val="16"/>
          <w:szCs w:val="16"/>
          <w:lang w:val="es-CO"/>
        </w:rPr>
      </w:pPr>
    </w:p>
  </w:footnote>
  <w:footnote w:id="5">
    <w:p w14:paraId="52BB6DFE" w14:textId="77777777" w:rsidR="00427743" w:rsidRPr="005C10BE" w:rsidRDefault="00427743" w:rsidP="00427743">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B77879B" w14:textId="77777777" w:rsidR="00427743" w:rsidRPr="005C10BE" w:rsidRDefault="00427743" w:rsidP="00427743">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339A3973" w14:textId="77777777" w:rsidR="00427743" w:rsidRPr="005C10BE" w:rsidRDefault="00427743" w:rsidP="00427743">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E9AB93C" w14:textId="77777777" w:rsidR="00427743" w:rsidRPr="005C10BE" w:rsidRDefault="00427743" w:rsidP="00427743">
      <w:pPr>
        <w:pStyle w:val="Textonotapie"/>
        <w:ind w:firstLine="709"/>
        <w:jc w:val="both"/>
        <w:rPr>
          <w:rFonts w:ascii="Verdana" w:eastAsia="Times New Roman" w:hAnsi="Verdana" w:cs="Arial"/>
          <w:color w:val="000000"/>
          <w:sz w:val="16"/>
          <w:szCs w:val="16"/>
          <w:lang w:val="es-ES" w:eastAsia="es-ES"/>
        </w:rPr>
      </w:pPr>
    </w:p>
  </w:footnote>
  <w:footnote w:id="6">
    <w:p w14:paraId="50C0FF13" w14:textId="77777777" w:rsidR="00427743" w:rsidRPr="005C10BE" w:rsidRDefault="00427743" w:rsidP="00427743">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C</w:t>
      </w:r>
      <w:r w:rsidRPr="005C10BE">
        <w:rPr>
          <w:rFonts w:ascii="Verdana" w:eastAsia="Times New Roman" w:hAnsi="Verdana" w:cs="Arial"/>
          <w:color w:val="000000"/>
          <w:sz w:val="16"/>
          <w:szCs w:val="16"/>
          <w:lang w:val="es-ES" w:eastAsia="es-ES"/>
        </w:rPr>
        <w:t>orte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1706524C" w14:textId="77777777" w:rsidR="00427743" w:rsidRPr="005C10BE" w:rsidRDefault="00427743" w:rsidP="00427743">
      <w:pPr>
        <w:pStyle w:val="Textonotapie"/>
        <w:ind w:firstLine="709"/>
        <w:jc w:val="both"/>
        <w:rPr>
          <w:rFonts w:ascii="Verdana" w:hAnsi="Verdana" w:cs="Arial"/>
          <w:color w:val="000000"/>
          <w:sz w:val="16"/>
          <w:szCs w:val="16"/>
          <w:lang w:val="es-CO"/>
        </w:rPr>
      </w:pPr>
    </w:p>
  </w:footnote>
  <w:footnote w:id="7">
    <w:p w14:paraId="688FF1A4" w14:textId="77777777" w:rsidR="00427743" w:rsidRPr="005C10BE" w:rsidRDefault="00427743" w:rsidP="00427743">
      <w:pPr>
        <w:pStyle w:val="Textonotapie"/>
        <w:ind w:firstLine="708"/>
        <w:jc w:val="both"/>
        <w:rPr>
          <w:rFonts w:ascii="Verdana" w:hAnsi="Verdana"/>
          <w:sz w:val="16"/>
          <w:szCs w:val="16"/>
        </w:rPr>
      </w:pPr>
      <w:r w:rsidRPr="005C10BE">
        <w:rPr>
          <w:rStyle w:val="Refdenotaalpie"/>
          <w:rFonts w:ascii="Verdana" w:hAnsi="Verdana"/>
          <w:sz w:val="16"/>
          <w:szCs w:val="16"/>
        </w:rPr>
        <w:footnoteRef/>
      </w:r>
      <w:r w:rsidRPr="005C10BE">
        <w:rPr>
          <w:rFonts w:ascii="Verdana" w:hAnsi="Verdana"/>
          <w:sz w:val="16"/>
          <w:szCs w:val="16"/>
        </w:rPr>
        <w:t xml:space="preserve"> Adiciónese los siguientes incisos al artículo 13 de la Ley 1150 de 2007, el cual quedará así:</w:t>
      </w:r>
    </w:p>
    <w:p w14:paraId="75361E15" w14:textId="77777777" w:rsidR="00427743" w:rsidRPr="005C10BE" w:rsidRDefault="00427743" w:rsidP="00427743">
      <w:pPr>
        <w:pStyle w:val="Textonotapie"/>
        <w:ind w:firstLine="708"/>
        <w:jc w:val="both"/>
        <w:rPr>
          <w:rFonts w:ascii="Verdana" w:hAnsi="Verdana"/>
          <w:sz w:val="16"/>
          <w:szCs w:val="16"/>
        </w:rPr>
      </w:pPr>
    </w:p>
    <w:p w14:paraId="382CEEFC" w14:textId="77777777" w:rsidR="00427743" w:rsidRPr="005C10BE" w:rsidRDefault="00427743" w:rsidP="00427743">
      <w:pPr>
        <w:pStyle w:val="Textonotapie"/>
        <w:ind w:firstLine="708"/>
        <w:jc w:val="both"/>
        <w:rPr>
          <w:rFonts w:ascii="Verdana" w:hAnsi="Verdana"/>
          <w:sz w:val="16"/>
          <w:szCs w:val="16"/>
        </w:rPr>
      </w:pPr>
      <w:r w:rsidRPr="005C10BE">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ED90DFE" w14:textId="77777777" w:rsidR="00427743" w:rsidRPr="005C10BE" w:rsidRDefault="00427743" w:rsidP="00427743">
      <w:pPr>
        <w:pStyle w:val="Textonotapie"/>
        <w:ind w:firstLine="708"/>
        <w:jc w:val="both"/>
        <w:rPr>
          <w:rFonts w:ascii="Verdana" w:hAnsi="Verdana"/>
          <w:sz w:val="16"/>
          <w:szCs w:val="16"/>
        </w:rPr>
      </w:pPr>
    </w:p>
    <w:p w14:paraId="57FA97F2" w14:textId="77777777" w:rsidR="00427743" w:rsidRPr="005C10BE" w:rsidRDefault="00427743" w:rsidP="00427743">
      <w:pPr>
        <w:pStyle w:val="Textonotapie"/>
        <w:ind w:firstLine="708"/>
        <w:jc w:val="both"/>
        <w:rPr>
          <w:rFonts w:ascii="Verdana" w:hAnsi="Verdana"/>
          <w:sz w:val="16"/>
          <w:szCs w:val="16"/>
        </w:rPr>
      </w:pPr>
      <w:r w:rsidRPr="005C10BE">
        <w:rPr>
          <w:rFonts w:ascii="Verdana" w:hAnsi="Verdana"/>
          <w:sz w:val="16"/>
          <w:szCs w:val="16"/>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43A4147A" w14:textId="77777777" w:rsidR="00427743" w:rsidRPr="005C10BE" w:rsidRDefault="00427743" w:rsidP="00427743">
      <w:pPr>
        <w:pStyle w:val="Textonotapie"/>
        <w:ind w:firstLine="708"/>
        <w:jc w:val="both"/>
        <w:rPr>
          <w:rFonts w:ascii="Verdana" w:hAnsi="Verdana"/>
          <w:sz w:val="16"/>
          <w:szCs w:val="16"/>
        </w:rPr>
      </w:pPr>
    </w:p>
    <w:p w14:paraId="08B265F0" w14:textId="77777777" w:rsidR="00427743" w:rsidRPr="005C10BE" w:rsidRDefault="00427743" w:rsidP="00427743">
      <w:pPr>
        <w:pStyle w:val="Textonotapie"/>
        <w:ind w:firstLine="708"/>
        <w:jc w:val="both"/>
        <w:rPr>
          <w:rFonts w:ascii="Verdana" w:hAnsi="Verdana"/>
          <w:sz w:val="16"/>
          <w:szCs w:val="16"/>
          <w:lang w:val="es-CO"/>
        </w:rPr>
      </w:pPr>
      <w:r w:rsidRPr="005C10BE">
        <w:rPr>
          <w:rFonts w:ascii="Verdana" w:hAnsi="Verdana"/>
          <w:sz w:val="16"/>
          <w:szCs w:val="16"/>
        </w:rPr>
        <w:t>A partir de la entrada en vigencia de la presente Ley, se establecerá un periodo de transición de seis (6) meses, para que las entidades den cumplimiento efectivo a lo aquí establecido.</w:t>
      </w:r>
    </w:p>
  </w:footnote>
  <w:footnote w:id="8">
    <w:p w14:paraId="3EFD64F4" w14:textId="77777777" w:rsidR="00427743" w:rsidRPr="005C10BE" w:rsidRDefault="00427743" w:rsidP="00427743">
      <w:pPr>
        <w:pStyle w:val="Textonotapie"/>
        <w:ind w:firstLine="708"/>
        <w:contextualSpacing/>
        <w:jc w:val="both"/>
        <w:rPr>
          <w:rFonts w:ascii="Verdana" w:hAnsi="Verdana" w:cs="Arial"/>
          <w:sz w:val="16"/>
          <w:szCs w:val="16"/>
        </w:rPr>
      </w:pPr>
    </w:p>
    <w:p w14:paraId="1A16CA65" w14:textId="77777777" w:rsidR="00427743" w:rsidRPr="005C10BE" w:rsidRDefault="00427743" w:rsidP="00427743">
      <w:pPr>
        <w:pStyle w:val="Textonotapie"/>
        <w:ind w:firstLine="708"/>
        <w:contextualSpacing/>
        <w:jc w:val="both"/>
        <w:rPr>
          <w:rFonts w:ascii="Verdana" w:hAnsi="Verdana" w:cs="Arial"/>
          <w:sz w:val="16"/>
          <w:szCs w:val="16"/>
          <w:lang w:val="es-CO"/>
        </w:rPr>
      </w:pPr>
      <w:r w:rsidRPr="005C10BE">
        <w:rPr>
          <w:rStyle w:val="Refdenotaalpie"/>
          <w:rFonts w:ascii="Verdana" w:hAnsi="Verdana" w:cs="Arial"/>
          <w:sz w:val="16"/>
          <w:szCs w:val="16"/>
        </w:rPr>
        <w:footnoteRef/>
      </w:r>
      <w:r w:rsidRPr="005C10BE">
        <w:rPr>
          <w:rFonts w:ascii="Verdana" w:hAnsi="Verdana" w:cs="Arial"/>
          <w:sz w:val="16"/>
          <w:szCs w:val="16"/>
        </w:rPr>
        <w:t xml:space="preserve"> Ley 1150 de 2007. “Artículo 1. Objeto. La presente ley tiene por objeto introducir modificaciones en la Ley 80 de 1993, así como dictar otras disposiciones generales aplicables a toda contratación con recursos públicos”.</w:t>
      </w:r>
    </w:p>
  </w:footnote>
  <w:footnote w:id="9">
    <w:p w14:paraId="775F51CA" w14:textId="77777777" w:rsidR="00427743" w:rsidRPr="005C10BE" w:rsidRDefault="00427743" w:rsidP="00427743">
      <w:pPr>
        <w:autoSpaceDE w:val="0"/>
        <w:autoSpaceDN w:val="0"/>
        <w:adjustRightInd w:val="0"/>
        <w:spacing w:after="0" w:line="240" w:lineRule="auto"/>
        <w:ind w:firstLine="708"/>
        <w:contextualSpacing/>
        <w:jc w:val="both"/>
        <w:rPr>
          <w:rFonts w:ascii="Verdana" w:eastAsia="Calibri" w:hAnsi="Verdana" w:cs="Arial"/>
          <w:sz w:val="16"/>
          <w:szCs w:val="16"/>
          <w:lang w:val="es-ES" w:eastAsia="es-ES_tradnl"/>
        </w:rPr>
      </w:pPr>
      <w:r w:rsidRPr="005C10BE">
        <w:rPr>
          <w:rStyle w:val="Refdenotaalpie"/>
          <w:rFonts w:ascii="Verdana" w:hAnsi="Verdana" w:cs="Arial"/>
          <w:sz w:val="16"/>
          <w:szCs w:val="16"/>
        </w:rPr>
        <w:footnoteRef/>
      </w:r>
      <w:r w:rsidRPr="005C10BE">
        <w:rPr>
          <w:rFonts w:ascii="Verdana" w:hAnsi="Verdana" w:cs="Arial"/>
          <w:sz w:val="16"/>
          <w:szCs w:val="16"/>
        </w:rPr>
        <w:t xml:space="preserve"> Disponible en el siguiente enlace: </w:t>
      </w:r>
      <w:hyperlink r:id="rId1" w:history="1">
        <w:r w:rsidRPr="005C10BE">
          <w:rPr>
            <w:rStyle w:val="Hipervnculo"/>
            <w:rFonts w:ascii="Verdana" w:hAnsi="Verdana" w:cs="Arial"/>
            <w:sz w:val="16"/>
            <w:szCs w:val="16"/>
          </w:rPr>
          <w:t>https://www.colombiacompra.gov.co/sites/cce_public/files/cce_circulares/doc-20240823-wa0021.pdf</w:t>
        </w:r>
      </w:hyperlink>
      <w:r w:rsidRPr="005C10BE">
        <w:rPr>
          <w:rFonts w:ascii="Verdana" w:hAnsi="Verdana" w:cs="Arial"/>
          <w:sz w:val="16"/>
          <w:szCs w:val="16"/>
        </w:rPr>
        <w:t xml:space="preserve"> </w:t>
      </w:r>
    </w:p>
    <w:p w14:paraId="1ED1AF11" w14:textId="77777777" w:rsidR="00427743" w:rsidRPr="005C10BE" w:rsidRDefault="00427743" w:rsidP="00427743">
      <w:pPr>
        <w:autoSpaceDE w:val="0"/>
        <w:autoSpaceDN w:val="0"/>
        <w:adjustRightInd w:val="0"/>
        <w:spacing w:after="0" w:line="240" w:lineRule="auto"/>
        <w:ind w:firstLine="708"/>
        <w:contextualSpacing/>
        <w:jc w:val="both"/>
        <w:rPr>
          <w:rFonts w:ascii="Verdana" w:eastAsia="Times New Roman" w:hAnsi="Verdana" w:cs="Arial"/>
          <w:sz w:val="16"/>
          <w:szCs w:val="16"/>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C7B"/>
    <w:rsid w:val="00043B84"/>
    <w:rsid w:val="00046945"/>
    <w:rsid w:val="00061B2A"/>
    <w:rsid w:val="00075C32"/>
    <w:rsid w:val="00082362"/>
    <w:rsid w:val="00096768"/>
    <w:rsid w:val="000A683E"/>
    <w:rsid w:val="000B19B9"/>
    <w:rsid w:val="000D0334"/>
    <w:rsid w:val="000F6486"/>
    <w:rsid w:val="00125105"/>
    <w:rsid w:val="00127233"/>
    <w:rsid w:val="001511A0"/>
    <w:rsid w:val="00184A2D"/>
    <w:rsid w:val="001E4177"/>
    <w:rsid w:val="001F7DC6"/>
    <w:rsid w:val="002421BB"/>
    <w:rsid w:val="0025796E"/>
    <w:rsid w:val="002707A2"/>
    <w:rsid w:val="00281E14"/>
    <w:rsid w:val="002951A0"/>
    <w:rsid w:val="002962BC"/>
    <w:rsid w:val="002A093D"/>
    <w:rsid w:val="002A0DD0"/>
    <w:rsid w:val="002A49AC"/>
    <w:rsid w:val="002A64FD"/>
    <w:rsid w:val="002C7A84"/>
    <w:rsid w:val="002E4FD9"/>
    <w:rsid w:val="00322A85"/>
    <w:rsid w:val="00324168"/>
    <w:rsid w:val="003448F4"/>
    <w:rsid w:val="00360D85"/>
    <w:rsid w:val="00374F5E"/>
    <w:rsid w:val="00377E3E"/>
    <w:rsid w:val="003A779E"/>
    <w:rsid w:val="003B1ABA"/>
    <w:rsid w:val="003B618E"/>
    <w:rsid w:val="003D0F4D"/>
    <w:rsid w:val="003D5B0D"/>
    <w:rsid w:val="003E0499"/>
    <w:rsid w:val="003F3941"/>
    <w:rsid w:val="00406575"/>
    <w:rsid w:val="00414C74"/>
    <w:rsid w:val="00415B8F"/>
    <w:rsid w:val="0042722E"/>
    <w:rsid w:val="00427743"/>
    <w:rsid w:val="0044318F"/>
    <w:rsid w:val="0044528D"/>
    <w:rsid w:val="004A1847"/>
    <w:rsid w:val="004A305D"/>
    <w:rsid w:val="004C3417"/>
    <w:rsid w:val="004F21C4"/>
    <w:rsid w:val="004F685F"/>
    <w:rsid w:val="005008BC"/>
    <w:rsid w:val="00522435"/>
    <w:rsid w:val="00527321"/>
    <w:rsid w:val="0053533F"/>
    <w:rsid w:val="005566E8"/>
    <w:rsid w:val="00574867"/>
    <w:rsid w:val="00591460"/>
    <w:rsid w:val="005B3816"/>
    <w:rsid w:val="005B4AB1"/>
    <w:rsid w:val="005C3777"/>
    <w:rsid w:val="005C5CDC"/>
    <w:rsid w:val="005D476C"/>
    <w:rsid w:val="006219F8"/>
    <w:rsid w:val="0065222D"/>
    <w:rsid w:val="00665D70"/>
    <w:rsid w:val="006900D9"/>
    <w:rsid w:val="006E4F53"/>
    <w:rsid w:val="00706C16"/>
    <w:rsid w:val="00754E87"/>
    <w:rsid w:val="00756841"/>
    <w:rsid w:val="007649AB"/>
    <w:rsid w:val="007667F8"/>
    <w:rsid w:val="00771D0C"/>
    <w:rsid w:val="007833AC"/>
    <w:rsid w:val="007B268C"/>
    <w:rsid w:val="007B7171"/>
    <w:rsid w:val="007C0C0F"/>
    <w:rsid w:val="007C3DC2"/>
    <w:rsid w:val="007E5497"/>
    <w:rsid w:val="00806F5F"/>
    <w:rsid w:val="00814E4A"/>
    <w:rsid w:val="00820278"/>
    <w:rsid w:val="008473E3"/>
    <w:rsid w:val="00867F95"/>
    <w:rsid w:val="008843B6"/>
    <w:rsid w:val="00891928"/>
    <w:rsid w:val="008A446D"/>
    <w:rsid w:val="008D180B"/>
    <w:rsid w:val="008E298D"/>
    <w:rsid w:val="008F0EA7"/>
    <w:rsid w:val="00923EEF"/>
    <w:rsid w:val="009419F9"/>
    <w:rsid w:val="00954CF0"/>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E326B"/>
    <w:rsid w:val="00B01B1A"/>
    <w:rsid w:val="00B21FB1"/>
    <w:rsid w:val="00B61B99"/>
    <w:rsid w:val="00B66319"/>
    <w:rsid w:val="00B72B37"/>
    <w:rsid w:val="00B72CD3"/>
    <w:rsid w:val="00B72FFF"/>
    <w:rsid w:val="00BB4BE8"/>
    <w:rsid w:val="00BC3D36"/>
    <w:rsid w:val="00BD6400"/>
    <w:rsid w:val="00BD7F72"/>
    <w:rsid w:val="00C04FB3"/>
    <w:rsid w:val="00C330EB"/>
    <w:rsid w:val="00C41061"/>
    <w:rsid w:val="00C754BE"/>
    <w:rsid w:val="00C76B1C"/>
    <w:rsid w:val="00C87D2F"/>
    <w:rsid w:val="00CA01B3"/>
    <w:rsid w:val="00CB6357"/>
    <w:rsid w:val="00CC1B26"/>
    <w:rsid w:val="00CE11E6"/>
    <w:rsid w:val="00D423A2"/>
    <w:rsid w:val="00D47FF1"/>
    <w:rsid w:val="00D520D8"/>
    <w:rsid w:val="00D62D10"/>
    <w:rsid w:val="00D63AC2"/>
    <w:rsid w:val="00D7383B"/>
    <w:rsid w:val="00DA231B"/>
    <w:rsid w:val="00DC39FC"/>
    <w:rsid w:val="00DD681C"/>
    <w:rsid w:val="00DF5254"/>
    <w:rsid w:val="00E16408"/>
    <w:rsid w:val="00E20894"/>
    <w:rsid w:val="00E245AB"/>
    <w:rsid w:val="00E2764C"/>
    <w:rsid w:val="00E27F2E"/>
    <w:rsid w:val="00E356D4"/>
    <w:rsid w:val="00E432C3"/>
    <w:rsid w:val="00E50AFE"/>
    <w:rsid w:val="00E75C92"/>
    <w:rsid w:val="00E771DC"/>
    <w:rsid w:val="00E8772A"/>
    <w:rsid w:val="00E90F6B"/>
    <w:rsid w:val="00E92C27"/>
    <w:rsid w:val="00EA0B25"/>
    <w:rsid w:val="00EA0E3D"/>
    <w:rsid w:val="00EA62BD"/>
    <w:rsid w:val="00EC38A7"/>
    <w:rsid w:val="00ED7384"/>
    <w:rsid w:val="00EE1AA8"/>
    <w:rsid w:val="00F24E66"/>
    <w:rsid w:val="00F30BF0"/>
    <w:rsid w:val="00F31EDC"/>
    <w:rsid w:val="00F462B3"/>
    <w:rsid w:val="00F5664F"/>
    <w:rsid w:val="00F666C4"/>
    <w:rsid w:val="00F75621"/>
    <w:rsid w:val="00F76AFC"/>
    <w:rsid w:val="00FA47C0"/>
    <w:rsid w:val="00FB5DD1"/>
    <w:rsid w:val="00FC2B5D"/>
    <w:rsid w:val="00FE0157"/>
    <w:rsid w:val="00FF1449"/>
    <w:rsid w:val="046590EC"/>
    <w:rsid w:val="0C320EB2"/>
    <w:rsid w:val="1493A2F8"/>
    <w:rsid w:val="14FFC5B7"/>
    <w:rsid w:val="165E9519"/>
    <w:rsid w:val="19A3BFC8"/>
    <w:rsid w:val="24522717"/>
    <w:rsid w:val="2D30B705"/>
    <w:rsid w:val="2E52219F"/>
    <w:rsid w:val="30524623"/>
    <w:rsid w:val="373F679A"/>
    <w:rsid w:val="382536D9"/>
    <w:rsid w:val="43D5E314"/>
    <w:rsid w:val="44A74C48"/>
    <w:rsid w:val="4FD8340C"/>
    <w:rsid w:val="534C5B2A"/>
    <w:rsid w:val="542DEED0"/>
    <w:rsid w:val="573154B9"/>
    <w:rsid w:val="59D86449"/>
    <w:rsid w:val="59FFB1B3"/>
    <w:rsid w:val="5C492946"/>
    <w:rsid w:val="601417F1"/>
    <w:rsid w:val="61827FAD"/>
    <w:rsid w:val="6999F6D0"/>
    <w:rsid w:val="6B7EF36C"/>
    <w:rsid w:val="6EFDAB80"/>
    <w:rsid w:val="778223CC"/>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38E1A16-B2FE-4387-AD3D-64624A8B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A01B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A01B3"/>
    <w:rPr>
      <w:rFonts w:ascii="Geomanist Light" w:hAnsi="Geomanist Light"/>
      <w:lang w:val="es-ES"/>
    </w:rPr>
  </w:style>
  <w:style w:type="paragraph" w:styleId="Textocomentario">
    <w:name w:val="annotation text"/>
    <w:basedOn w:val="Normal"/>
    <w:link w:val="TextocomentarioCar"/>
    <w:uiPriority w:val="99"/>
    <w:semiHidden/>
    <w:unhideWhenUsed/>
    <w:rsid w:val="00F30BF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30BF0"/>
    <w:rPr>
      <w:sz w:val="20"/>
      <w:szCs w:val="20"/>
    </w:rPr>
  </w:style>
  <w:style w:type="character" w:styleId="Refdecomentario">
    <w:name w:val="annotation reference"/>
    <w:basedOn w:val="Fuentedeprrafopredeter"/>
    <w:uiPriority w:val="99"/>
    <w:semiHidden/>
    <w:unhideWhenUsed/>
    <w:rsid w:val="00F30BF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hrome-extension://efaidnbmnnnibpcajpcglclefindmkaj/https:/colombiacompra.gov.co/sites/cce_public/files/cce_circulares/doc-20240823-wa002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chrome-extension://efaidnbmnnnibpcajpcglclefindmkaj/https:/www.colombiacompra.gov.co/sites/cce_public/files/cce_circulares/circular_externa_unica_version_3_vf49.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240EB98-DB34-4A6C-B989-46895C587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4461</Words>
  <Characters>24537</Characters>
  <Application>Microsoft Office Word</Application>
  <DocSecurity>0</DocSecurity>
  <Lines>204</Lines>
  <Paragraphs>57</Paragraphs>
  <ScaleCrop>false</ScaleCrop>
  <Company/>
  <LinksUpToDate>false</LinksUpToDate>
  <CharactersWithSpaces>28941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2025-07-24T13:09:00Z</dcterms:created>
  <dcterms:modified xsi:type="dcterms:W3CDTF">2025-07-24T13:09:00Z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