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08384" w14:textId="77777777" w:rsidR="00CB2F83" w:rsidRPr="005849C8" w:rsidRDefault="00CB2F83" w:rsidP="00CB2F83">
      <w:pPr>
        <w:contextualSpacing/>
        <w:jc w:val="both"/>
        <w:rPr>
          <w:rFonts w:ascii="Verdana" w:eastAsia="Calibri" w:hAnsi="Verdana" w:cs="Arial"/>
          <w:b/>
          <w:lang w:val="es-ES_tradnl"/>
        </w:rPr>
      </w:pPr>
      <w:bookmarkStart w:id="0" w:name="_Hlk67491213"/>
      <w:r w:rsidRPr="005849C8">
        <w:rPr>
          <w:rFonts w:ascii="Verdana" w:eastAsia="Calibri" w:hAnsi="Verdana" w:cs="Arial"/>
          <w:b/>
          <w:lang w:val="es-ES_tradnl"/>
        </w:rPr>
        <w:t xml:space="preserve">LEY DE EMPRENDIMIENTO – Ley 2069 de 2020 – Contenido </w:t>
      </w:r>
    </w:p>
    <w:bookmarkEnd w:id="0"/>
    <w:p w14:paraId="44F21C18" w14:textId="77777777" w:rsidR="00CB2F83" w:rsidRPr="005849C8" w:rsidRDefault="00CB2F83" w:rsidP="00CB2F83">
      <w:pPr>
        <w:contextualSpacing/>
        <w:jc w:val="both"/>
        <w:rPr>
          <w:rFonts w:ascii="Verdana" w:eastAsia="Calibri" w:hAnsi="Verdana" w:cs="Arial"/>
          <w:b/>
          <w:sz w:val="20"/>
          <w:szCs w:val="20"/>
          <w:lang w:val="es-ES_tradnl"/>
        </w:rPr>
      </w:pPr>
    </w:p>
    <w:p w14:paraId="172CA6F4" w14:textId="77777777" w:rsidR="00CB2F83" w:rsidRPr="005849C8" w:rsidRDefault="00CB2F83" w:rsidP="00CB2F83">
      <w:pPr>
        <w:contextualSpacing/>
        <w:jc w:val="both"/>
        <w:rPr>
          <w:rFonts w:ascii="Verdana" w:eastAsia="Calibri" w:hAnsi="Verdana" w:cs="Arial"/>
          <w:sz w:val="20"/>
          <w:szCs w:val="20"/>
          <w:lang w:val="es-ES_tradnl"/>
        </w:rPr>
      </w:pPr>
      <w:r w:rsidRPr="005849C8">
        <w:rPr>
          <w:rFonts w:ascii="Verdana" w:eastAsia="Calibri" w:hAnsi="Verdana" w:cs="Arial"/>
          <w:sz w:val="20"/>
          <w:szCs w:val="20"/>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270D9723" w14:textId="77777777" w:rsidR="00CB2F83" w:rsidRPr="005849C8" w:rsidRDefault="00CB2F83" w:rsidP="00CB2F83">
      <w:pPr>
        <w:contextualSpacing/>
        <w:jc w:val="both"/>
        <w:rPr>
          <w:rFonts w:ascii="Verdana" w:eastAsia="Calibri" w:hAnsi="Verdana" w:cs="Arial"/>
          <w:sz w:val="20"/>
          <w:szCs w:val="20"/>
          <w:lang w:val="es-ES_tradnl"/>
        </w:rPr>
      </w:pPr>
    </w:p>
    <w:p w14:paraId="4F6BF1E8" w14:textId="77777777" w:rsidR="00CB2F83" w:rsidRPr="005849C8" w:rsidRDefault="00CB2F83" w:rsidP="3E6C2DBB">
      <w:pPr>
        <w:contextualSpacing/>
        <w:jc w:val="both"/>
        <w:rPr>
          <w:rFonts w:ascii="Verdana" w:eastAsia="Calibri" w:hAnsi="Verdana" w:cs="Arial"/>
          <w:sz w:val="20"/>
          <w:szCs w:val="20"/>
          <w:lang w:val="es-ES"/>
        </w:rPr>
      </w:pPr>
      <w:r w:rsidRPr="3E6C2DBB">
        <w:rPr>
          <w:rFonts w:ascii="Verdana" w:eastAsia="Calibri" w:hAnsi="Verdana" w:cs="Arial"/>
          <w:sz w:val="20"/>
          <w:szCs w:val="20"/>
          <w:lang w:val="es-ES"/>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3E6C2DBB">
        <w:rPr>
          <w:rFonts w:ascii="Verdana" w:eastAsia="Calibri" w:hAnsi="Verdana" w:cs="Arial"/>
          <w:sz w:val="20"/>
          <w:szCs w:val="20"/>
          <w:lang w:val="es-ES"/>
        </w:rPr>
        <w:t>de acuerdo a</w:t>
      </w:r>
      <w:proofErr w:type="gramEnd"/>
      <w:r w:rsidRPr="3E6C2DBB">
        <w:rPr>
          <w:rFonts w:ascii="Verdana" w:eastAsia="Calibri" w:hAnsi="Verdana" w:cs="Arial"/>
          <w:sz w:val="20"/>
          <w:szCs w:val="20"/>
          <w:lang w:val="es-ES"/>
        </w:rPr>
        <w:t xml:space="preserve"> las realidades socioeconómicas de cada región”. En desarrollo de esta finalidad, se establecen medidas de apoyo para las micro, pequeñas y medianas empresas –</w:t>
      </w:r>
      <w:proofErr w:type="spellStart"/>
      <w:r w:rsidRPr="3E6C2DBB">
        <w:rPr>
          <w:rFonts w:ascii="Verdana" w:eastAsia="Calibri" w:hAnsi="Verdana" w:cs="Arial"/>
          <w:sz w:val="20"/>
          <w:szCs w:val="20"/>
          <w:lang w:val="es-ES"/>
        </w:rPr>
        <w:t>Mipymes</w:t>
      </w:r>
      <w:proofErr w:type="spellEnd"/>
      <w:r w:rsidRPr="3E6C2DBB">
        <w:rPr>
          <w:rFonts w:ascii="Verdana" w:eastAsia="Calibri" w:hAnsi="Verdana" w:cs="Arial"/>
          <w:sz w:val="20"/>
          <w:szCs w:val="20"/>
          <w:lang w:val="es-ES"/>
        </w:rPr>
        <w:t xml:space="preserve">–,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 </w:t>
      </w:r>
    </w:p>
    <w:p w14:paraId="64D82760" w14:textId="77777777" w:rsidR="00B07C06" w:rsidRDefault="00B07C06" w:rsidP="00BD480F">
      <w:pPr>
        <w:spacing w:after="0" w:line="240" w:lineRule="auto"/>
        <w:rPr>
          <w:rFonts w:ascii="Verdana" w:eastAsia="Calibri" w:hAnsi="Verdana" w:cs="Arial"/>
          <w:b/>
          <w:lang w:val="es-ES_tradnl"/>
        </w:rPr>
      </w:pPr>
    </w:p>
    <w:p w14:paraId="2B481A99" w14:textId="77777777" w:rsidR="001E4DB4" w:rsidRPr="005849C8" w:rsidRDefault="001E4DB4" w:rsidP="001E4DB4">
      <w:pPr>
        <w:tabs>
          <w:tab w:val="left" w:pos="709"/>
        </w:tabs>
        <w:contextualSpacing/>
        <w:jc w:val="both"/>
        <w:rPr>
          <w:rFonts w:ascii="Verdana" w:eastAsia="Calibri" w:hAnsi="Verdana" w:cs="Arial"/>
          <w:lang w:val="es-ES_tradnl"/>
        </w:rPr>
      </w:pPr>
      <w:r w:rsidRPr="005849C8">
        <w:rPr>
          <w:rFonts w:ascii="Verdana" w:hAnsi="Verdana" w:cs="Arial"/>
          <w:b/>
          <w:bCs/>
          <w:noProof/>
          <w:lang w:val="es-ES_tradnl"/>
        </w:rPr>
        <w:t xml:space="preserve">FACTORES DE DESEMPATE </w:t>
      </w:r>
      <w:r w:rsidRPr="005849C8">
        <w:rPr>
          <w:rFonts w:ascii="Verdana" w:hAnsi="Verdana" w:cs="Arial"/>
          <w:b/>
          <w:bCs/>
          <w:noProof/>
          <w:lang w:val="es-ES_tradnl"/>
        </w:rPr>
        <w:softHyphen/>
        <w:t xml:space="preserve">– Ley 2069 de 2020 – Artículo 35 </w:t>
      </w:r>
    </w:p>
    <w:p w14:paraId="08312F16" w14:textId="77777777" w:rsidR="001E4DB4" w:rsidRPr="005849C8" w:rsidRDefault="001E4DB4" w:rsidP="001E4DB4">
      <w:pPr>
        <w:tabs>
          <w:tab w:val="left" w:pos="709"/>
        </w:tabs>
        <w:contextualSpacing/>
        <w:jc w:val="both"/>
        <w:rPr>
          <w:rFonts w:ascii="Verdana" w:eastAsia="Calibri" w:hAnsi="Verdana" w:cs="Arial"/>
          <w:sz w:val="20"/>
          <w:szCs w:val="20"/>
          <w:lang w:val="es-ES_tradnl"/>
        </w:rPr>
      </w:pPr>
    </w:p>
    <w:p w14:paraId="61E807C0" w14:textId="77777777" w:rsidR="001E4DB4" w:rsidRPr="005849C8" w:rsidRDefault="001E4DB4" w:rsidP="001E4DB4">
      <w:pPr>
        <w:tabs>
          <w:tab w:val="left" w:pos="709"/>
        </w:tabs>
        <w:contextualSpacing/>
        <w:jc w:val="both"/>
        <w:rPr>
          <w:rFonts w:ascii="Verdana" w:eastAsia="Calibri" w:hAnsi="Verdana" w:cs="Arial"/>
          <w:sz w:val="20"/>
          <w:szCs w:val="20"/>
          <w:lang w:val="es-ES_tradnl"/>
        </w:rPr>
      </w:pPr>
      <w:r w:rsidRPr="005849C8">
        <w:rPr>
          <w:rFonts w:ascii="Verdana" w:eastAsia="Calibri" w:hAnsi="Verdana" w:cs="Arial"/>
          <w:sz w:val="20"/>
          <w:szCs w:val="20"/>
          <w:lang w:val="es-ES_tradnl"/>
        </w:rPr>
        <w:t>El artículo 35 de la Ley 2069 de 2020 define un nuevo marco jurídico en relación con los criterios de desempate previstos en los procesos de contratación realizados con cargo a recursos públicos, los procesos de contratación efectuados por las entidades estatales indistintamente de su régimen de contratación, así como los procesos de contratación adelantados por patrimonios autónomos constituidos por entidades estatales. […]</w:t>
      </w:r>
    </w:p>
    <w:p w14:paraId="1D7E49C3" w14:textId="77777777" w:rsidR="001E4DB4" w:rsidRPr="005849C8" w:rsidRDefault="001E4DB4" w:rsidP="001E4DB4">
      <w:pPr>
        <w:tabs>
          <w:tab w:val="left" w:pos="709"/>
        </w:tabs>
        <w:contextualSpacing/>
        <w:jc w:val="both"/>
        <w:rPr>
          <w:rFonts w:ascii="Verdana" w:eastAsia="Calibri" w:hAnsi="Verdana" w:cs="Arial"/>
          <w:sz w:val="20"/>
          <w:szCs w:val="20"/>
          <w:lang w:val="es-ES_tradnl"/>
        </w:rPr>
      </w:pPr>
    </w:p>
    <w:p w14:paraId="10E07EBB" w14:textId="77777777" w:rsidR="001E4DB4" w:rsidRPr="005849C8" w:rsidRDefault="001E4DB4" w:rsidP="001E4DB4">
      <w:pPr>
        <w:tabs>
          <w:tab w:val="left" w:pos="709"/>
        </w:tabs>
        <w:contextualSpacing/>
        <w:jc w:val="both"/>
        <w:rPr>
          <w:rFonts w:ascii="Verdana" w:hAnsi="Verdana" w:cs="Arial"/>
          <w:b/>
          <w:bCs/>
          <w:noProof/>
          <w:lang w:val="es-ES_tradnl"/>
        </w:rPr>
      </w:pPr>
      <w:r w:rsidRPr="005849C8">
        <w:rPr>
          <w:rFonts w:ascii="Verdana" w:hAnsi="Verdana" w:cs="Arial"/>
          <w:b/>
          <w:bCs/>
          <w:noProof/>
          <w:lang w:val="es-ES_tradnl"/>
        </w:rPr>
        <w:t xml:space="preserve">FACTORES DE DESEMPATE </w:t>
      </w:r>
      <w:r w:rsidRPr="005849C8">
        <w:rPr>
          <w:rFonts w:ascii="Verdana" w:hAnsi="Verdana" w:cs="Arial"/>
          <w:b/>
          <w:bCs/>
          <w:noProof/>
          <w:lang w:val="es-ES_tradnl"/>
        </w:rPr>
        <w:softHyphen/>
        <w:t>– Decreto 1860 de 2021</w:t>
      </w:r>
    </w:p>
    <w:p w14:paraId="0F6A8AF4" w14:textId="77777777" w:rsidR="001E4DB4" w:rsidRPr="005849C8" w:rsidRDefault="001E4DB4" w:rsidP="001E4DB4">
      <w:pPr>
        <w:tabs>
          <w:tab w:val="left" w:pos="709"/>
        </w:tabs>
        <w:contextualSpacing/>
        <w:jc w:val="both"/>
        <w:rPr>
          <w:rFonts w:ascii="Verdana" w:eastAsia="Calibri" w:hAnsi="Verdana" w:cs="Arial"/>
          <w:sz w:val="20"/>
          <w:szCs w:val="20"/>
          <w:lang w:val="es-ES_tradnl"/>
        </w:rPr>
      </w:pPr>
    </w:p>
    <w:p w14:paraId="05615CE7" w14:textId="77777777" w:rsidR="001E4DB4" w:rsidRPr="005849C8" w:rsidRDefault="001E4DB4" w:rsidP="3E6C2DBB">
      <w:pPr>
        <w:contextualSpacing/>
        <w:jc w:val="both"/>
        <w:rPr>
          <w:rFonts w:ascii="Verdana" w:eastAsia="Calibri" w:hAnsi="Verdana" w:cs="Arial"/>
          <w:sz w:val="20"/>
          <w:szCs w:val="20"/>
          <w:lang w:val="es-ES"/>
        </w:rPr>
      </w:pPr>
      <w:r w:rsidRPr="3E6C2DBB">
        <w:rPr>
          <w:rFonts w:ascii="Verdana" w:eastAsia="Calibri" w:hAnsi="Verdana" w:cs="Arial"/>
          <w:sz w:val="20"/>
          <w:szCs w:val="20"/>
          <w:lang w:val="es-ES"/>
        </w:rPr>
        <w:t xml:space="preserve">Si bien esta norma es de aplicación directa, como se mencionó en los párrafos anteriores, no establece la forma de acreditar las circunstancias a las que se refieren cada uno de sus numerales, por lo que se consideró necesario la intervención del reglamento para la debida aplicación de los factores de desempate, de manera que se estandarizara la forma en que se acreditan los mismos. En consecuencia, conforme la potestad reglamentaria asignada al gobierno nacional, el artículo 3 del Decreto 1860 de 2021, mediante el cual se adicionó el artículo 2.2.1.2.4.2.17. al Decreto 1082 de 2015, reglamentó el artículo 35 de la Ley 2069 de 2020 y determinó la forma en la cual se deben acreditar las circunstancias a las que se refieren cada uno de los numerales del citado artículo. De esta forma, a través del artículo en mención se permite la debida aplicación de los factores de desempate previstos y se garantiza la selección objetiva de los contratistas. Esta regulación impide que la forma de acreditación de los factores de desempate dependa de la discrecionalidad administrativa, por lo que pretende una regulación </w:t>
      </w:r>
      <w:r w:rsidRPr="3E6C2DBB">
        <w:rPr>
          <w:rFonts w:ascii="Verdana" w:eastAsia="Calibri" w:hAnsi="Verdana" w:cs="Arial"/>
          <w:sz w:val="20"/>
          <w:szCs w:val="20"/>
          <w:lang w:val="es-ES"/>
        </w:rPr>
        <w:lastRenderedPageBreak/>
        <w:t>uniforme de la materia conforme al alcance de cada una de las causales contenidas en el artículo 35 de la Ley 2069 de 2021.</w:t>
      </w:r>
    </w:p>
    <w:p w14:paraId="0335CE7B" w14:textId="77777777" w:rsidR="001E4DB4" w:rsidRPr="005849C8" w:rsidRDefault="001E4DB4" w:rsidP="001E4DB4">
      <w:pPr>
        <w:tabs>
          <w:tab w:val="left" w:pos="709"/>
        </w:tabs>
        <w:contextualSpacing/>
        <w:jc w:val="both"/>
        <w:rPr>
          <w:rFonts w:ascii="Verdana" w:eastAsia="Calibri" w:hAnsi="Verdana" w:cs="Arial"/>
          <w:sz w:val="20"/>
          <w:szCs w:val="20"/>
          <w:lang w:val="es-ES_tradnl"/>
        </w:rPr>
      </w:pPr>
      <w:r w:rsidRPr="005849C8">
        <w:rPr>
          <w:rFonts w:ascii="Verdana" w:eastAsia="Calibri" w:hAnsi="Verdana" w:cs="Arial"/>
          <w:sz w:val="20"/>
          <w:szCs w:val="20"/>
          <w:lang w:val="es-ES_tradnl"/>
        </w:rPr>
        <w:tab/>
      </w:r>
    </w:p>
    <w:p w14:paraId="423EFFE1" w14:textId="2D51B25F" w:rsidR="001E4DB4" w:rsidRPr="005849C8" w:rsidRDefault="001E4DB4" w:rsidP="001E4DB4">
      <w:pPr>
        <w:contextualSpacing/>
        <w:jc w:val="both"/>
        <w:rPr>
          <w:rFonts w:ascii="Verdana" w:hAnsi="Verdana" w:cs="Arial"/>
          <w:b/>
          <w:bCs/>
          <w:noProof/>
          <w:lang w:val="es-ES_tradnl"/>
        </w:rPr>
      </w:pPr>
      <w:r w:rsidRPr="005849C8">
        <w:rPr>
          <w:rFonts w:ascii="Verdana" w:hAnsi="Verdana" w:cs="Arial"/>
          <w:b/>
          <w:bCs/>
          <w:noProof/>
          <w:lang w:val="es-ES_tradnl"/>
        </w:rPr>
        <w:t xml:space="preserve">FACTORES DE DESEMPATE </w:t>
      </w:r>
      <w:r w:rsidRPr="005849C8">
        <w:rPr>
          <w:rFonts w:ascii="Verdana" w:hAnsi="Verdana" w:cs="Arial"/>
          <w:b/>
          <w:bCs/>
          <w:noProof/>
          <w:lang w:val="es-ES_tradnl"/>
        </w:rPr>
        <w:softHyphen/>
        <w:t xml:space="preserve">– Mínima cuantía – Ley 2069 de 2020 – Artículo 35 – Aplicación – Puntaje </w:t>
      </w:r>
    </w:p>
    <w:p w14:paraId="05EB2141" w14:textId="77777777" w:rsidR="001E4DB4" w:rsidRPr="005849C8" w:rsidRDefault="001E4DB4" w:rsidP="001E4DB4">
      <w:pPr>
        <w:tabs>
          <w:tab w:val="left" w:pos="709"/>
        </w:tabs>
        <w:contextualSpacing/>
        <w:jc w:val="both"/>
        <w:rPr>
          <w:rFonts w:ascii="Verdana" w:eastAsia="Calibri" w:hAnsi="Verdana" w:cs="Arial"/>
          <w:sz w:val="20"/>
          <w:szCs w:val="20"/>
          <w:lang w:val="es-ES_tradnl"/>
        </w:rPr>
      </w:pPr>
    </w:p>
    <w:p w14:paraId="28675BCF" w14:textId="77777777" w:rsidR="001E4DB4" w:rsidRPr="005849C8" w:rsidRDefault="001E4DB4" w:rsidP="001E4DB4">
      <w:pPr>
        <w:tabs>
          <w:tab w:val="left" w:pos="0"/>
        </w:tabs>
        <w:contextualSpacing/>
        <w:jc w:val="both"/>
        <w:rPr>
          <w:rFonts w:ascii="Verdana" w:hAnsi="Verdana" w:cs="Arial"/>
          <w:sz w:val="20"/>
          <w:szCs w:val="20"/>
        </w:rPr>
      </w:pPr>
      <w:r w:rsidRPr="005849C8">
        <w:rPr>
          <w:rFonts w:ascii="Verdana" w:eastAsia="Calibri" w:hAnsi="Verdana" w:cs="Arial"/>
          <w:sz w:val="20"/>
          <w:szCs w:val="20"/>
          <w:lang w:val="es-ES_tradnl"/>
        </w:rPr>
        <w:t>En ese sentido, la Agencia ha estimado que la aplicación del artículo 35 de la Ley 2069 de 2020</w:t>
      </w:r>
      <w:r w:rsidRPr="005849C8">
        <w:rPr>
          <w:rFonts w:ascii="Verdana" w:hAnsi="Verdana" w:cs="Arial"/>
          <w:sz w:val="20"/>
          <w:szCs w:val="20"/>
        </w:rPr>
        <w:t xml:space="preserve"> es transversal a los diferentes actores del sistema de compras públicas, quienes –indistintamente del régimen de contractual y el proceso de selección– deben aplicar los criterios de desempate de esta norma, lo cual aplica a los procedimientos de subasta inversa y de mínima cuantía. </w:t>
      </w:r>
    </w:p>
    <w:p w14:paraId="2039D996" w14:textId="77777777" w:rsidR="001E4DB4" w:rsidRPr="005849C8" w:rsidRDefault="001E4DB4" w:rsidP="001E4DB4">
      <w:pPr>
        <w:tabs>
          <w:tab w:val="left" w:pos="0"/>
        </w:tabs>
        <w:contextualSpacing/>
        <w:jc w:val="both"/>
        <w:rPr>
          <w:rFonts w:ascii="Verdana" w:eastAsia="Calibri" w:hAnsi="Verdana" w:cs="Arial"/>
          <w:sz w:val="20"/>
          <w:szCs w:val="20"/>
          <w:lang w:val="es-ES_tradnl"/>
        </w:rPr>
      </w:pPr>
    </w:p>
    <w:p w14:paraId="665D0A9C" w14:textId="77777777" w:rsidR="001E4DB4" w:rsidRPr="005849C8" w:rsidRDefault="001E4DB4" w:rsidP="001E4DB4">
      <w:pPr>
        <w:tabs>
          <w:tab w:val="left" w:pos="0"/>
        </w:tabs>
        <w:contextualSpacing/>
        <w:jc w:val="both"/>
        <w:rPr>
          <w:rFonts w:ascii="Verdana" w:eastAsia="Calibri" w:hAnsi="Verdana" w:cs="Arial"/>
          <w:bCs/>
          <w:sz w:val="20"/>
          <w:szCs w:val="20"/>
        </w:rPr>
      </w:pPr>
      <w:r w:rsidRPr="005849C8">
        <w:rPr>
          <w:rFonts w:ascii="Verdana" w:eastAsia="Calibri" w:hAnsi="Verdana" w:cs="Arial"/>
          <w:sz w:val="20"/>
          <w:szCs w:val="20"/>
          <w:lang w:val="es-ES_tradnl"/>
        </w:rPr>
        <w:t>El hecho de que en este procedimiento la determinación de la oferta más favorable no esté mediada por el uso de “puntaje” y que el artículo 35 de la Ley 2069 de 2020 sea aplicable en “</w:t>
      </w:r>
      <w:r w:rsidRPr="005849C8">
        <w:rPr>
          <w:rFonts w:ascii="Verdana" w:hAnsi="Verdana" w:cs="Arial"/>
          <w:sz w:val="20"/>
          <w:szCs w:val="20"/>
        </w:rPr>
        <w:t>[..] caso de empate en el puntaje total de dos o más ofertas […]”,</w:t>
      </w:r>
      <w:r w:rsidRPr="005849C8">
        <w:rPr>
          <w:rFonts w:ascii="Verdana" w:eastAsia="Calibri" w:hAnsi="Verdana" w:cs="Arial"/>
          <w:sz w:val="20"/>
          <w:szCs w:val="20"/>
          <w:lang w:val="es-ES_tradnl"/>
        </w:rPr>
        <w:t xml:space="preserve"> no significa la inaplicación de dicha noma</w:t>
      </w:r>
      <w:r w:rsidRPr="005849C8">
        <w:rPr>
          <w:rFonts w:ascii="Verdana" w:eastAsia="Calibri" w:hAnsi="Verdana" w:cs="Arial"/>
          <w:bCs/>
          <w:sz w:val="20"/>
          <w:szCs w:val="20"/>
        </w:rPr>
        <w:t xml:space="preserve">. </w:t>
      </w:r>
      <w:r w:rsidRPr="005849C8">
        <w:rPr>
          <w:rFonts w:ascii="Verdana" w:eastAsia="Calibri" w:hAnsi="Verdana" w:cs="Arial"/>
          <w:sz w:val="20"/>
          <w:szCs w:val="20"/>
          <w:lang w:val="es-ES_tradnl"/>
        </w:rPr>
        <w:t xml:space="preserve">Esto dado que una interpretación exegética del artículo 35, según la cual este solo es aplicable en los procedimientos en los que se use el “puntaje” como mecanismo de evaluación, no corresponde con la finalidad transversal de la norma, puesto que los factores de desempate de la Ley de Emprendimiento están concebidos para </w:t>
      </w:r>
      <w:r w:rsidRPr="005849C8">
        <w:rPr>
          <w:rFonts w:ascii="Verdana" w:eastAsia="Calibri" w:hAnsi="Verdana" w:cs="Arial"/>
          <w:bCs/>
          <w:sz w:val="20"/>
          <w:szCs w:val="20"/>
        </w:rPr>
        <w:t>“[…]</w:t>
      </w:r>
      <w:r w:rsidRPr="005849C8">
        <w:rPr>
          <w:rFonts w:ascii="Verdana" w:hAnsi="Verdana" w:cs="Arial"/>
          <w:sz w:val="20"/>
          <w:szCs w:val="20"/>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w:t>
      </w:r>
      <w:r w:rsidRPr="005849C8">
        <w:rPr>
          <w:rFonts w:ascii="Verdana" w:eastAsia="Calibri" w:hAnsi="Verdana" w:cs="Arial"/>
          <w:bCs/>
          <w:sz w:val="20"/>
          <w:szCs w:val="20"/>
        </w:rPr>
        <w:t>”.</w:t>
      </w:r>
    </w:p>
    <w:p w14:paraId="1A6CE894" w14:textId="77777777" w:rsidR="001E4DB4" w:rsidRPr="005849C8" w:rsidRDefault="001E4DB4" w:rsidP="001E4DB4">
      <w:pPr>
        <w:tabs>
          <w:tab w:val="left" w:pos="0"/>
        </w:tabs>
        <w:contextualSpacing/>
        <w:jc w:val="both"/>
        <w:rPr>
          <w:rFonts w:ascii="Verdana" w:eastAsia="Calibri" w:hAnsi="Verdana" w:cs="Arial"/>
          <w:bCs/>
          <w:sz w:val="20"/>
          <w:szCs w:val="20"/>
        </w:rPr>
      </w:pPr>
    </w:p>
    <w:p w14:paraId="5F232A70" w14:textId="77777777" w:rsidR="001E4DB4" w:rsidRPr="005849C8" w:rsidRDefault="001E4DB4" w:rsidP="001E4DB4">
      <w:pPr>
        <w:tabs>
          <w:tab w:val="left" w:pos="0"/>
        </w:tabs>
        <w:contextualSpacing/>
        <w:jc w:val="both"/>
        <w:rPr>
          <w:rFonts w:ascii="Verdana" w:eastAsia="Calibri" w:hAnsi="Verdana" w:cs="Arial"/>
          <w:bCs/>
          <w:sz w:val="20"/>
          <w:szCs w:val="20"/>
        </w:rPr>
      </w:pPr>
      <w:r w:rsidRPr="005849C8">
        <w:rPr>
          <w:rFonts w:ascii="Verdana" w:eastAsia="Calibri" w:hAnsi="Verdana" w:cs="Arial"/>
          <w:bCs/>
          <w:sz w:val="20"/>
          <w:szCs w:val="20"/>
        </w:rPr>
        <w:t xml:space="preserve">Por lo anterior, se considera que el alcance de la expresión </w:t>
      </w:r>
      <w:r w:rsidRPr="005849C8">
        <w:rPr>
          <w:rFonts w:ascii="Verdana" w:eastAsia="Calibri" w:hAnsi="Verdana" w:cs="Arial"/>
          <w:bCs/>
          <w:i/>
          <w:iCs/>
          <w:sz w:val="20"/>
          <w:szCs w:val="20"/>
        </w:rPr>
        <w:t xml:space="preserve">puntaje total, </w:t>
      </w:r>
      <w:r w:rsidRPr="005849C8">
        <w:rPr>
          <w:rFonts w:ascii="Verdana" w:eastAsia="Calibri" w:hAnsi="Verdana" w:cs="Arial"/>
          <w:bCs/>
          <w:sz w:val="20"/>
          <w:szCs w:val="20"/>
        </w:rPr>
        <w:t>contenida en el artículo 35 de la Ley 2069 de 2020, debe interpretarse sistemáticamente, propiciando una aplicación normativa coherente con otras disposiciones del sistema de compra pública y que satisfaga la finalidad transversal de la norma. Con este propósito, es necesario acudir al artículo 5 de la Ley 1150 de 2007, el cual regula el deber de selección objetiva, conforme al cual debe determinarse cuál es la oferta más favorable para la entidad y los fines de la contratación.</w:t>
      </w:r>
    </w:p>
    <w:p w14:paraId="045E2899" w14:textId="77777777" w:rsidR="001E4DB4" w:rsidRDefault="001E4DB4" w:rsidP="00BD480F">
      <w:pPr>
        <w:spacing w:after="0" w:line="240" w:lineRule="auto"/>
        <w:rPr>
          <w:rFonts w:ascii="Verdana" w:eastAsia="Calibri" w:hAnsi="Verdana" w:cs="Arial"/>
          <w:b/>
        </w:rPr>
      </w:pPr>
    </w:p>
    <w:p w14:paraId="1B8C4C81" w14:textId="77777777" w:rsidR="00596AE1" w:rsidRPr="005849C8" w:rsidRDefault="00596AE1" w:rsidP="00596AE1">
      <w:pPr>
        <w:contextualSpacing/>
        <w:jc w:val="both"/>
        <w:rPr>
          <w:rFonts w:ascii="Verdana" w:hAnsi="Verdana" w:cs="Arial"/>
          <w:b/>
          <w:bCs/>
          <w:noProof/>
          <w:lang w:val="es-ES_tradnl"/>
        </w:rPr>
      </w:pPr>
      <w:r w:rsidRPr="005849C8">
        <w:rPr>
          <w:rFonts w:ascii="Verdana" w:hAnsi="Verdana" w:cs="Arial"/>
          <w:b/>
          <w:bCs/>
          <w:noProof/>
          <w:lang w:val="es-ES_tradnl"/>
        </w:rPr>
        <w:t xml:space="preserve">FACTORES DE DESEMPATE </w:t>
      </w:r>
      <w:r w:rsidRPr="005849C8">
        <w:rPr>
          <w:rFonts w:ascii="Verdana" w:hAnsi="Verdana" w:cs="Arial"/>
          <w:b/>
          <w:bCs/>
          <w:noProof/>
          <w:lang w:val="es-ES_tradnl"/>
        </w:rPr>
        <w:softHyphen/>
        <w:t>– Mínima cuantía – Ley 2069 de 2020 – Artículo 35 – Factores de desempate – Aplicación – Decreto 1860 de 2021</w:t>
      </w:r>
    </w:p>
    <w:p w14:paraId="705FA802" w14:textId="77777777" w:rsidR="00596AE1" w:rsidRPr="005849C8" w:rsidRDefault="00596AE1" w:rsidP="00596AE1">
      <w:pPr>
        <w:contextualSpacing/>
        <w:jc w:val="both"/>
        <w:rPr>
          <w:rFonts w:ascii="Verdana" w:eastAsia="Calibri" w:hAnsi="Verdana" w:cs="Arial"/>
          <w:bCs/>
          <w:sz w:val="20"/>
          <w:szCs w:val="20"/>
        </w:rPr>
      </w:pPr>
    </w:p>
    <w:p w14:paraId="20BD48F1" w14:textId="77777777" w:rsidR="00596AE1" w:rsidRPr="005849C8" w:rsidRDefault="00596AE1" w:rsidP="3E6C2DBB">
      <w:pPr>
        <w:contextualSpacing/>
        <w:jc w:val="both"/>
        <w:rPr>
          <w:rFonts w:ascii="Verdana" w:eastAsia="Calibri" w:hAnsi="Verdana" w:cs="Arial"/>
          <w:sz w:val="20"/>
          <w:szCs w:val="20"/>
          <w:lang w:val="es-ES"/>
        </w:rPr>
      </w:pPr>
      <w:r w:rsidRPr="3E6C2DBB">
        <w:rPr>
          <w:rFonts w:ascii="Verdana" w:eastAsia="Calibri" w:hAnsi="Verdana" w:cs="Arial"/>
          <w:sz w:val="20"/>
          <w:szCs w:val="20"/>
          <w:lang w:val="es-ES"/>
        </w:rPr>
        <w:t xml:space="preserve">Sumado a los argumentos antes expuestos, se debe tener en cuenta que el Decreto 1860 de 2021, mediante el cual se reglamentó la Ley 2069 de 2020, dispuso de forma expresa la aplicación de los factores de desempate dispuesto en el artículo 35 a los procedimientos de mínima cuantía. Así las cosas, el artículo 2.2.1.2.1.5.2 del Decreto 1082 de 2015, modificado por el artículo 2 del Decreto 1860 de 2021, regula el procedimiento aplicable para la modalidad de mínima cuantía y </w:t>
      </w:r>
      <w:r w:rsidRPr="3E6C2DBB">
        <w:rPr>
          <w:rFonts w:ascii="Verdana" w:eastAsia="Calibri" w:hAnsi="Verdana" w:cs="Arial"/>
          <w:sz w:val="20"/>
          <w:szCs w:val="20"/>
          <w:lang w:val="es-ES" w:eastAsia="es-CO"/>
        </w:rPr>
        <w:t>dispone, en su numeral 8, un factor de desempate aplicable a este procedimiento</w:t>
      </w:r>
      <w:r w:rsidRPr="3E6C2DBB">
        <w:rPr>
          <w:rFonts w:ascii="Verdana" w:eastAsia="Calibri" w:hAnsi="Verdana" w:cs="Arial"/>
          <w:sz w:val="20"/>
          <w:szCs w:val="20"/>
          <w:lang w:val="es-ES"/>
        </w:rPr>
        <w:t xml:space="preserve">, al indicar que en caso de </w:t>
      </w:r>
      <w:r w:rsidRPr="3E6C2DBB">
        <w:rPr>
          <w:rFonts w:ascii="Verdana" w:eastAsia="Calibri" w:hAnsi="Verdana" w:cs="Arial"/>
          <w:sz w:val="20"/>
          <w:szCs w:val="20"/>
          <w:lang w:val="es-ES"/>
        </w:rPr>
        <w:lastRenderedPageBreak/>
        <w:t xml:space="preserve">empate se aplicaran los criterios de que trata el artículo 35 de la Ley 2069 de 2020, conforme lo medios de acreditación dispuestos en el artículo 2.2.1.2.4.2.17. del mismo Decreto. </w:t>
      </w:r>
    </w:p>
    <w:p w14:paraId="4560543C" w14:textId="77777777" w:rsidR="00596AE1" w:rsidRPr="00596AE1" w:rsidRDefault="00596AE1" w:rsidP="00BD480F">
      <w:pPr>
        <w:spacing w:after="0" w:line="240" w:lineRule="auto"/>
        <w:rPr>
          <w:rFonts w:ascii="Verdana" w:eastAsia="Calibri" w:hAnsi="Verdana" w:cs="Arial"/>
          <w:b/>
          <w:lang w:val="es-ES_tradnl"/>
        </w:rPr>
      </w:pPr>
    </w:p>
    <w:p w14:paraId="5C9310D6" w14:textId="77777777" w:rsidR="00B07C06" w:rsidRDefault="00B07C06" w:rsidP="00BD480F">
      <w:pPr>
        <w:spacing w:after="0" w:line="240" w:lineRule="auto"/>
        <w:rPr>
          <w:rFonts w:ascii="Verdana" w:eastAsia="Calibri" w:hAnsi="Verdana" w:cs="Arial"/>
          <w:b/>
          <w:lang w:val="es-ES_tradnl"/>
        </w:rPr>
      </w:pPr>
    </w:p>
    <w:p w14:paraId="5C2D204B" w14:textId="77777777" w:rsidR="00B07C06" w:rsidRDefault="00B07C06" w:rsidP="00BD480F">
      <w:pPr>
        <w:spacing w:after="0" w:line="240" w:lineRule="auto"/>
        <w:rPr>
          <w:rFonts w:ascii="Verdana" w:eastAsia="Calibri" w:hAnsi="Verdana" w:cs="Arial"/>
          <w:b/>
          <w:lang w:val="es-ES_tradnl"/>
        </w:rPr>
      </w:pPr>
    </w:p>
    <w:p w14:paraId="18707FD6" w14:textId="77777777" w:rsidR="00B07C06" w:rsidRDefault="00B07C06" w:rsidP="00BD480F">
      <w:pPr>
        <w:spacing w:after="0" w:line="240" w:lineRule="auto"/>
        <w:rPr>
          <w:rFonts w:ascii="Verdana" w:eastAsia="Calibri" w:hAnsi="Verdana" w:cs="Arial"/>
          <w:b/>
          <w:lang w:val="es-ES_tradnl"/>
        </w:rPr>
      </w:pPr>
    </w:p>
    <w:p w14:paraId="20C425F7" w14:textId="77777777" w:rsidR="00B07C06" w:rsidRDefault="00B07C06" w:rsidP="00BD480F">
      <w:pPr>
        <w:spacing w:after="0" w:line="240" w:lineRule="auto"/>
        <w:rPr>
          <w:rFonts w:ascii="Verdana" w:eastAsia="Calibri" w:hAnsi="Verdana" w:cs="Arial"/>
          <w:b/>
          <w:lang w:val="es-ES_tradnl"/>
        </w:rPr>
      </w:pPr>
    </w:p>
    <w:p w14:paraId="01ABCA6A" w14:textId="77777777" w:rsidR="00B07C06" w:rsidRDefault="00B07C06" w:rsidP="00BD480F">
      <w:pPr>
        <w:spacing w:after="0" w:line="240" w:lineRule="auto"/>
        <w:rPr>
          <w:rFonts w:ascii="Verdana" w:eastAsia="Calibri" w:hAnsi="Verdana" w:cs="Arial"/>
          <w:b/>
          <w:lang w:val="es-ES_tradnl"/>
        </w:rPr>
      </w:pPr>
    </w:p>
    <w:p w14:paraId="0A2CAD74" w14:textId="77777777" w:rsidR="00B07C06" w:rsidRDefault="00B07C06" w:rsidP="00BD480F">
      <w:pPr>
        <w:spacing w:after="0" w:line="240" w:lineRule="auto"/>
        <w:rPr>
          <w:rFonts w:ascii="Verdana" w:eastAsia="Calibri" w:hAnsi="Verdana" w:cs="Arial"/>
          <w:b/>
          <w:lang w:val="es-ES_tradnl"/>
        </w:rPr>
      </w:pPr>
    </w:p>
    <w:p w14:paraId="77369DFE" w14:textId="77777777" w:rsidR="00B07C06" w:rsidRDefault="00B07C06" w:rsidP="00BD480F">
      <w:pPr>
        <w:spacing w:after="0" w:line="240" w:lineRule="auto"/>
        <w:rPr>
          <w:rFonts w:ascii="Verdana" w:eastAsia="Calibri" w:hAnsi="Verdana" w:cs="Arial"/>
          <w:b/>
          <w:lang w:val="es-ES_tradnl"/>
        </w:rPr>
      </w:pPr>
    </w:p>
    <w:p w14:paraId="1C6696A5" w14:textId="77777777" w:rsidR="00B07C06" w:rsidRDefault="00B07C06" w:rsidP="00BD480F">
      <w:pPr>
        <w:spacing w:after="0" w:line="240" w:lineRule="auto"/>
        <w:rPr>
          <w:rFonts w:ascii="Verdana" w:eastAsia="Calibri" w:hAnsi="Verdana" w:cs="Arial"/>
          <w:b/>
          <w:lang w:val="es-ES_tradnl"/>
        </w:rPr>
      </w:pPr>
    </w:p>
    <w:p w14:paraId="796996D3" w14:textId="77777777" w:rsidR="00B07C06" w:rsidRDefault="00B07C06" w:rsidP="00BD480F">
      <w:pPr>
        <w:spacing w:after="0" w:line="240" w:lineRule="auto"/>
        <w:rPr>
          <w:rFonts w:ascii="Verdana" w:eastAsia="Calibri" w:hAnsi="Verdana" w:cs="Arial"/>
          <w:b/>
          <w:lang w:val="es-ES_tradnl"/>
        </w:rPr>
      </w:pPr>
    </w:p>
    <w:p w14:paraId="49F20119" w14:textId="77777777" w:rsidR="00B07C06" w:rsidRDefault="00B07C06" w:rsidP="00BD480F">
      <w:pPr>
        <w:spacing w:after="0" w:line="240" w:lineRule="auto"/>
        <w:rPr>
          <w:rFonts w:ascii="Verdana" w:eastAsia="Calibri" w:hAnsi="Verdana" w:cs="Arial"/>
          <w:b/>
          <w:lang w:val="es-ES_tradnl"/>
        </w:rPr>
      </w:pPr>
    </w:p>
    <w:p w14:paraId="5FEBCBE1" w14:textId="77777777" w:rsidR="00B07C06" w:rsidRDefault="00B07C06" w:rsidP="00BD480F">
      <w:pPr>
        <w:spacing w:after="0" w:line="240" w:lineRule="auto"/>
        <w:rPr>
          <w:rFonts w:ascii="Verdana" w:eastAsia="Calibri" w:hAnsi="Verdana" w:cs="Arial"/>
          <w:b/>
          <w:lang w:val="es-ES_tradnl"/>
        </w:rPr>
      </w:pPr>
    </w:p>
    <w:p w14:paraId="3FE5604F" w14:textId="77777777" w:rsidR="00B07C06" w:rsidRDefault="00B07C06" w:rsidP="00BD480F">
      <w:pPr>
        <w:spacing w:after="0" w:line="240" w:lineRule="auto"/>
        <w:rPr>
          <w:rFonts w:ascii="Verdana" w:eastAsia="Calibri" w:hAnsi="Verdana" w:cs="Arial"/>
          <w:b/>
          <w:lang w:val="es-ES_tradnl"/>
        </w:rPr>
      </w:pPr>
    </w:p>
    <w:p w14:paraId="3CDEF616" w14:textId="77777777" w:rsidR="00B07C06" w:rsidRDefault="00B07C06" w:rsidP="00BD480F">
      <w:pPr>
        <w:spacing w:after="0" w:line="240" w:lineRule="auto"/>
        <w:rPr>
          <w:rFonts w:ascii="Verdana" w:eastAsia="Calibri" w:hAnsi="Verdana" w:cs="Arial"/>
          <w:b/>
          <w:lang w:val="es-ES_tradnl"/>
        </w:rPr>
      </w:pPr>
    </w:p>
    <w:p w14:paraId="44F92247" w14:textId="77777777" w:rsidR="00B07C06" w:rsidRDefault="00B07C06" w:rsidP="00BD480F">
      <w:pPr>
        <w:spacing w:after="0" w:line="240" w:lineRule="auto"/>
        <w:rPr>
          <w:rFonts w:ascii="Verdana" w:eastAsia="Calibri" w:hAnsi="Verdana" w:cs="Arial"/>
          <w:b/>
          <w:lang w:val="es-ES_tradnl"/>
        </w:rPr>
      </w:pPr>
    </w:p>
    <w:p w14:paraId="61D1C074" w14:textId="77777777" w:rsidR="00B07C06" w:rsidRDefault="00B07C06" w:rsidP="00BD480F">
      <w:pPr>
        <w:spacing w:after="0" w:line="240" w:lineRule="auto"/>
        <w:rPr>
          <w:rFonts w:ascii="Verdana" w:eastAsia="Calibri" w:hAnsi="Verdana" w:cs="Arial"/>
          <w:b/>
          <w:lang w:val="es-ES_tradnl"/>
        </w:rPr>
      </w:pPr>
    </w:p>
    <w:p w14:paraId="5E92AD7C" w14:textId="77777777" w:rsidR="00B07C06" w:rsidRDefault="00B07C06" w:rsidP="00BD480F">
      <w:pPr>
        <w:spacing w:after="0" w:line="240" w:lineRule="auto"/>
        <w:rPr>
          <w:rFonts w:ascii="Verdana" w:eastAsia="Calibri" w:hAnsi="Verdana" w:cs="Arial"/>
          <w:b/>
          <w:lang w:val="es-ES_tradnl"/>
        </w:rPr>
      </w:pPr>
    </w:p>
    <w:p w14:paraId="427C6B56" w14:textId="77777777" w:rsidR="00B07C06" w:rsidRDefault="00B07C06" w:rsidP="00BD480F">
      <w:pPr>
        <w:spacing w:after="0" w:line="240" w:lineRule="auto"/>
        <w:rPr>
          <w:rFonts w:ascii="Verdana" w:eastAsia="Calibri" w:hAnsi="Verdana" w:cs="Arial"/>
          <w:b/>
          <w:lang w:val="es-ES_tradnl"/>
        </w:rPr>
      </w:pPr>
    </w:p>
    <w:p w14:paraId="2AE14F63" w14:textId="77777777" w:rsidR="00B07C06" w:rsidRDefault="00B07C06" w:rsidP="00BD480F">
      <w:pPr>
        <w:spacing w:after="0" w:line="240" w:lineRule="auto"/>
        <w:rPr>
          <w:rFonts w:ascii="Verdana" w:eastAsia="Calibri" w:hAnsi="Verdana" w:cs="Arial"/>
          <w:b/>
          <w:lang w:val="es-ES_tradnl"/>
        </w:rPr>
      </w:pPr>
    </w:p>
    <w:p w14:paraId="003DEF3E" w14:textId="77777777" w:rsidR="00B07C06" w:rsidRDefault="00B07C06" w:rsidP="00BD480F">
      <w:pPr>
        <w:spacing w:after="0" w:line="240" w:lineRule="auto"/>
        <w:rPr>
          <w:rFonts w:ascii="Verdana" w:eastAsia="Calibri" w:hAnsi="Verdana" w:cs="Arial"/>
          <w:b/>
          <w:lang w:val="es-ES_tradnl"/>
        </w:rPr>
      </w:pPr>
    </w:p>
    <w:p w14:paraId="6DEC2009" w14:textId="77777777" w:rsidR="00B07C06" w:rsidRDefault="00B07C06" w:rsidP="00BD480F">
      <w:pPr>
        <w:spacing w:after="0" w:line="240" w:lineRule="auto"/>
        <w:rPr>
          <w:rFonts w:ascii="Verdana" w:eastAsia="Calibri" w:hAnsi="Verdana" w:cs="Arial"/>
          <w:b/>
          <w:lang w:val="es-ES_tradnl"/>
        </w:rPr>
      </w:pPr>
    </w:p>
    <w:p w14:paraId="13036389" w14:textId="77777777" w:rsidR="00B07C06" w:rsidRDefault="00B07C06" w:rsidP="00BD480F">
      <w:pPr>
        <w:spacing w:after="0" w:line="240" w:lineRule="auto"/>
        <w:rPr>
          <w:rFonts w:ascii="Verdana" w:eastAsia="Calibri" w:hAnsi="Verdana" w:cs="Arial"/>
          <w:b/>
          <w:lang w:val="es-ES_tradnl"/>
        </w:rPr>
      </w:pPr>
    </w:p>
    <w:p w14:paraId="2EEF94F7" w14:textId="77777777" w:rsidR="00B07C06" w:rsidRDefault="00B07C06" w:rsidP="00BD480F">
      <w:pPr>
        <w:spacing w:after="0" w:line="240" w:lineRule="auto"/>
        <w:rPr>
          <w:rFonts w:ascii="Verdana" w:eastAsia="Calibri" w:hAnsi="Verdana" w:cs="Arial"/>
          <w:b/>
          <w:lang w:val="es-ES_tradnl"/>
        </w:rPr>
      </w:pPr>
    </w:p>
    <w:p w14:paraId="094211A8" w14:textId="77777777" w:rsidR="00B07C06" w:rsidRDefault="00B07C06" w:rsidP="00BD480F">
      <w:pPr>
        <w:spacing w:after="0" w:line="240" w:lineRule="auto"/>
        <w:rPr>
          <w:rFonts w:ascii="Verdana" w:eastAsia="Calibri" w:hAnsi="Verdana" w:cs="Arial"/>
          <w:b/>
          <w:lang w:val="es-ES_tradnl"/>
        </w:rPr>
      </w:pPr>
    </w:p>
    <w:p w14:paraId="4F41C069" w14:textId="77777777" w:rsidR="00B07C06" w:rsidRDefault="00B07C06" w:rsidP="00BD480F">
      <w:pPr>
        <w:spacing w:after="0" w:line="240" w:lineRule="auto"/>
        <w:rPr>
          <w:rFonts w:ascii="Verdana" w:eastAsia="Calibri" w:hAnsi="Verdana" w:cs="Arial"/>
          <w:b/>
          <w:lang w:val="es-ES_tradnl"/>
        </w:rPr>
      </w:pPr>
    </w:p>
    <w:p w14:paraId="3820D593" w14:textId="77777777" w:rsidR="00B07C06" w:rsidRDefault="00B07C06" w:rsidP="00BD480F">
      <w:pPr>
        <w:spacing w:after="0" w:line="240" w:lineRule="auto"/>
        <w:rPr>
          <w:rFonts w:ascii="Verdana" w:eastAsia="Calibri" w:hAnsi="Verdana" w:cs="Arial"/>
          <w:b/>
          <w:lang w:val="es-ES_tradnl"/>
        </w:rPr>
      </w:pPr>
    </w:p>
    <w:p w14:paraId="5B085A89" w14:textId="77777777" w:rsidR="00B07C06" w:rsidRDefault="00B07C06" w:rsidP="00BD480F">
      <w:pPr>
        <w:spacing w:after="0" w:line="240" w:lineRule="auto"/>
        <w:rPr>
          <w:rFonts w:ascii="Verdana" w:eastAsia="Calibri" w:hAnsi="Verdana" w:cs="Arial"/>
          <w:b/>
          <w:lang w:val="es-ES_tradnl"/>
        </w:rPr>
      </w:pPr>
    </w:p>
    <w:p w14:paraId="35AAEDD6" w14:textId="77777777" w:rsidR="00B07C06" w:rsidRDefault="00B07C06" w:rsidP="00BD480F">
      <w:pPr>
        <w:spacing w:after="0" w:line="240" w:lineRule="auto"/>
        <w:rPr>
          <w:rFonts w:ascii="Verdana" w:eastAsia="Calibri" w:hAnsi="Verdana" w:cs="Arial"/>
          <w:b/>
          <w:lang w:val="es-ES_tradnl"/>
        </w:rPr>
      </w:pPr>
    </w:p>
    <w:p w14:paraId="49395FB1" w14:textId="77777777" w:rsidR="00B07C06" w:rsidRDefault="00B07C06" w:rsidP="00BD480F">
      <w:pPr>
        <w:spacing w:after="0" w:line="240" w:lineRule="auto"/>
        <w:rPr>
          <w:rFonts w:ascii="Verdana" w:eastAsia="Calibri" w:hAnsi="Verdana" w:cs="Arial"/>
          <w:b/>
          <w:lang w:val="es-ES_tradnl"/>
        </w:rPr>
      </w:pPr>
    </w:p>
    <w:p w14:paraId="0D7ACEF9" w14:textId="77777777" w:rsidR="00B07C06" w:rsidRDefault="00B07C06" w:rsidP="00BD480F">
      <w:pPr>
        <w:spacing w:after="0" w:line="240" w:lineRule="auto"/>
        <w:rPr>
          <w:rFonts w:ascii="Verdana" w:eastAsia="Calibri" w:hAnsi="Verdana" w:cs="Arial"/>
          <w:b/>
          <w:lang w:val="es-ES_tradnl"/>
        </w:rPr>
      </w:pPr>
    </w:p>
    <w:p w14:paraId="5CBC5B8F" w14:textId="77777777" w:rsidR="00B07C06" w:rsidRDefault="00B07C06" w:rsidP="00BD480F">
      <w:pPr>
        <w:spacing w:after="0" w:line="240" w:lineRule="auto"/>
        <w:rPr>
          <w:rFonts w:ascii="Verdana" w:eastAsia="Calibri" w:hAnsi="Verdana" w:cs="Arial"/>
          <w:b/>
          <w:lang w:val="es-ES_tradnl"/>
        </w:rPr>
      </w:pPr>
    </w:p>
    <w:p w14:paraId="55BEE111" w14:textId="77777777" w:rsidR="00B07C06" w:rsidRDefault="00B07C06" w:rsidP="00BD480F">
      <w:pPr>
        <w:spacing w:after="0" w:line="240" w:lineRule="auto"/>
        <w:rPr>
          <w:rFonts w:ascii="Verdana" w:eastAsia="Calibri" w:hAnsi="Verdana" w:cs="Arial"/>
          <w:b/>
          <w:lang w:val="es-ES_tradnl"/>
        </w:rPr>
      </w:pPr>
    </w:p>
    <w:p w14:paraId="55A5AF0E" w14:textId="77777777" w:rsidR="00B07C06" w:rsidRDefault="00B07C06" w:rsidP="00BD480F">
      <w:pPr>
        <w:spacing w:after="0" w:line="240" w:lineRule="auto"/>
        <w:rPr>
          <w:rFonts w:ascii="Verdana" w:eastAsia="Calibri" w:hAnsi="Verdana" w:cs="Arial"/>
          <w:b/>
          <w:lang w:val="es-ES_tradnl"/>
        </w:rPr>
      </w:pPr>
    </w:p>
    <w:p w14:paraId="4E06B667" w14:textId="77777777" w:rsidR="00B07C06" w:rsidRDefault="00B07C06" w:rsidP="00BD480F">
      <w:pPr>
        <w:spacing w:after="0" w:line="240" w:lineRule="auto"/>
        <w:rPr>
          <w:rFonts w:ascii="Verdana" w:eastAsia="Calibri" w:hAnsi="Verdana" w:cs="Arial"/>
          <w:b/>
          <w:lang w:val="es-ES_tradnl"/>
        </w:rPr>
      </w:pPr>
    </w:p>
    <w:p w14:paraId="27C22D11" w14:textId="77777777" w:rsidR="00B07C06" w:rsidRDefault="00B07C06" w:rsidP="00BD480F">
      <w:pPr>
        <w:spacing w:after="0" w:line="240" w:lineRule="auto"/>
        <w:rPr>
          <w:rFonts w:ascii="Verdana" w:eastAsia="Calibri" w:hAnsi="Verdana" w:cs="Arial"/>
          <w:b/>
          <w:lang w:val="es-ES_tradnl"/>
        </w:rPr>
      </w:pPr>
    </w:p>
    <w:p w14:paraId="5A787C2A" w14:textId="77777777" w:rsidR="00B07C06" w:rsidRDefault="00B07C06" w:rsidP="00BD480F">
      <w:pPr>
        <w:spacing w:after="0" w:line="240" w:lineRule="auto"/>
        <w:rPr>
          <w:rFonts w:ascii="Verdana" w:eastAsia="Calibri" w:hAnsi="Verdana" w:cs="Arial"/>
          <w:b/>
          <w:lang w:val="es-ES_tradnl"/>
        </w:rPr>
      </w:pPr>
    </w:p>
    <w:p w14:paraId="49FB8E7E" w14:textId="77777777" w:rsidR="00B07C06" w:rsidRDefault="00B07C06" w:rsidP="00BD480F">
      <w:pPr>
        <w:spacing w:after="0" w:line="240" w:lineRule="auto"/>
        <w:rPr>
          <w:rFonts w:ascii="Verdana" w:eastAsia="Calibri" w:hAnsi="Verdana" w:cs="Arial"/>
          <w:b/>
          <w:lang w:val="es-ES_tradnl"/>
        </w:rPr>
      </w:pPr>
    </w:p>
    <w:p w14:paraId="6D91B103" w14:textId="77777777" w:rsidR="00B07C06" w:rsidRDefault="00B07C06" w:rsidP="00BD480F">
      <w:pPr>
        <w:spacing w:after="0" w:line="240" w:lineRule="auto"/>
        <w:rPr>
          <w:rFonts w:ascii="Verdana" w:eastAsia="Calibri" w:hAnsi="Verdana" w:cs="Arial"/>
          <w:b/>
          <w:lang w:val="es-ES_tradnl"/>
        </w:rPr>
      </w:pPr>
    </w:p>
    <w:p w14:paraId="1440A05D" w14:textId="77777777" w:rsidR="00596AE1" w:rsidRDefault="00596AE1" w:rsidP="00BD480F">
      <w:pPr>
        <w:spacing w:after="0" w:line="240" w:lineRule="auto"/>
        <w:rPr>
          <w:rFonts w:ascii="Verdana" w:eastAsia="Calibri" w:hAnsi="Verdana" w:cs="Arial"/>
          <w:b/>
          <w:lang w:val="es-ES_tradnl"/>
        </w:rPr>
      </w:pPr>
    </w:p>
    <w:p w14:paraId="6ED2351E" w14:textId="77777777" w:rsidR="008B1D56" w:rsidRDefault="008B1D56" w:rsidP="00BD480F">
      <w:pPr>
        <w:spacing w:after="0" w:line="240" w:lineRule="auto"/>
        <w:rPr>
          <w:rFonts w:ascii="Verdana" w:eastAsia="Calibri" w:hAnsi="Verdana" w:cs="Arial"/>
          <w:b/>
          <w:lang w:val="es-ES_tradnl"/>
        </w:rPr>
      </w:pPr>
    </w:p>
    <w:p w14:paraId="11F9BC47" w14:textId="40FACEF9" w:rsidR="00BD480F" w:rsidRPr="00C178CC" w:rsidRDefault="007869B7" w:rsidP="00BD480F">
      <w:pPr>
        <w:spacing w:after="0" w:line="240" w:lineRule="auto"/>
        <w:rPr>
          <w:rFonts w:ascii="Verdana" w:eastAsia="Calibri" w:hAnsi="Verdana" w:cs="Arial"/>
        </w:rPr>
      </w:pPr>
      <w:r w:rsidRPr="007869B7">
        <w:rPr>
          <w:rFonts w:ascii="Verdana" w:eastAsia="Calibri" w:hAnsi="Verdana" w:cs="Arial"/>
        </w:rPr>
        <w:lastRenderedPageBreak/>
        <w:t>Bogotá, 24 Julio 2025</w:t>
      </w:r>
      <w:r>
        <w:rPr>
          <w:rFonts w:ascii="Verdana" w:eastAsia="Calibri" w:hAnsi="Verdana" w:cs="Arial"/>
        </w:rPr>
        <w:t xml:space="preserve"> </w:t>
      </w:r>
    </w:p>
    <w:p w14:paraId="34B8AC56" w14:textId="4C6FB687" w:rsidR="00BD480F" w:rsidRPr="00D10E89" w:rsidRDefault="00BD480F" w:rsidP="00BD480F">
      <w:pPr>
        <w:spacing w:after="0" w:line="240" w:lineRule="auto"/>
        <w:jc w:val="both"/>
        <w:rPr>
          <w:rFonts w:ascii="Verdana" w:eastAsia="Calibri" w:hAnsi="Verdana" w:cs="Arial"/>
          <w:color w:val="000000" w:themeColor="text1"/>
          <w:lang w:val="es-MX"/>
        </w:rPr>
      </w:pPr>
    </w:p>
    <w:p w14:paraId="2BB83017" w14:textId="6FD987F6" w:rsidR="00BD480F" w:rsidRDefault="00BD480F" w:rsidP="00BD480F">
      <w:pPr>
        <w:spacing w:after="0" w:line="240" w:lineRule="auto"/>
        <w:jc w:val="both"/>
        <w:rPr>
          <w:rFonts w:ascii="Verdana" w:eastAsia="Calibri" w:hAnsi="Verdana" w:cs="Arial"/>
          <w:color w:val="000000" w:themeColor="text1"/>
          <w:lang w:val="es-ES"/>
        </w:rPr>
      </w:pPr>
    </w:p>
    <w:p w14:paraId="1B95398B" w14:textId="70E2FDF8" w:rsidR="00305BB2" w:rsidRDefault="00D33095" w:rsidP="00BD480F">
      <w:pPr>
        <w:spacing w:after="0" w:line="240" w:lineRule="auto"/>
        <w:jc w:val="both"/>
        <w:rPr>
          <w:rFonts w:ascii="Verdana" w:eastAsia="Calibri" w:hAnsi="Verdana" w:cs="Arial"/>
          <w:color w:val="000000" w:themeColor="text1"/>
          <w:lang w:val="es-ES"/>
        </w:rPr>
      </w:pPr>
      <w:r w:rsidRPr="00305BB2">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6CE74AD9" wp14:editId="4F36194A">
            <wp:simplePos x="0" y="0"/>
            <wp:positionH relativeFrom="margin">
              <wp:align>right</wp:align>
            </wp:positionH>
            <wp:positionV relativeFrom="paragraph">
              <wp:posOffset>13943</wp:posOffset>
            </wp:positionV>
            <wp:extent cx="3295650" cy="923925"/>
            <wp:effectExtent l="0" t="0" r="0" b="9525"/>
            <wp:wrapSquare wrapText="bothSides"/>
            <wp:docPr id="150500767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0767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95650" cy="923925"/>
                    </a:xfrm>
                    <a:prstGeom prst="rect">
                      <a:avLst/>
                    </a:prstGeom>
                  </pic:spPr>
                </pic:pic>
              </a:graphicData>
            </a:graphic>
            <wp14:sizeRelH relativeFrom="margin">
              <wp14:pctWidth>0</wp14:pctWidth>
            </wp14:sizeRelH>
            <wp14:sizeRelV relativeFrom="margin">
              <wp14:pctHeight>0</wp14:pctHeight>
            </wp14:sizeRelV>
          </wp:anchor>
        </w:drawing>
      </w:r>
    </w:p>
    <w:p w14:paraId="4B248891" w14:textId="77777777" w:rsidR="00305BB2" w:rsidRPr="00D10E89" w:rsidRDefault="00305BB2" w:rsidP="00BD480F">
      <w:pPr>
        <w:spacing w:after="0" w:line="240" w:lineRule="auto"/>
        <w:jc w:val="both"/>
        <w:rPr>
          <w:rFonts w:ascii="Verdana" w:eastAsia="Calibri" w:hAnsi="Verdana" w:cs="Arial"/>
          <w:color w:val="000000" w:themeColor="text1"/>
          <w:lang w:val="es-ES"/>
        </w:rPr>
      </w:pPr>
    </w:p>
    <w:p w14:paraId="5419BBD2" w14:textId="77777777" w:rsidR="00BD480F" w:rsidRPr="00D10E89" w:rsidRDefault="00BD480F" w:rsidP="00BD480F">
      <w:pPr>
        <w:spacing w:after="0" w:line="240" w:lineRule="auto"/>
        <w:jc w:val="both"/>
        <w:rPr>
          <w:rFonts w:ascii="Verdana" w:eastAsia="Calibri" w:hAnsi="Verdana" w:cs="Arial"/>
          <w:color w:val="000000" w:themeColor="text1"/>
          <w:lang w:val="es-ES" w:eastAsia="es-ES"/>
        </w:rPr>
      </w:pPr>
      <w:r w:rsidRPr="00D10E89">
        <w:rPr>
          <w:rFonts w:ascii="Verdana" w:eastAsia="Calibri" w:hAnsi="Verdana" w:cs="Arial"/>
          <w:color w:val="000000" w:themeColor="text1"/>
          <w:lang w:val="es-ES" w:eastAsia="es-ES"/>
        </w:rPr>
        <w:t>Señora</w:t>
      </w:r>
    </w:p>
    <w:p w14:paraId="7A473C7B" w14:textId="77777777" w:rsidR="00BD480F" w:rsidRPr="00D10E89" w:rsidRDefault="00BD480F" w:rsidP="00BD480F">
      <w:pPr>
        <w:spacing w:after="0" w:line="240" w:lineRule="auto"/>
        <w:rPr>
          <w:rFonts w:ascii="Verdana" w:eastAsia="Calibri" w:hAnsi="Verdana" w:cs="Arial"/>
          <w:b/>
          <w:color w:val="000000" w:themeColor="text1"/>
          <w:lang w:val="es-ES" w:eastAsia="es-ES"/>
        </w:rPr>
      </w:pPr>
      <w:r w:rsidRPr="000A268F">
        <w:rPr>
          <w:rFonts w:ascii="Verdana" w:eastAsia="Calibri" w:hAnsi="Verdana" w:cs="Arial"/>
          <w:b/>
          <w:color w:val="000000" w:themeColor="text1"/>
          <w:lang w:val="es-ES" w:eastAsia="es-ES"/>
        </w:rPr>
        <w:t>Eliana G</w:t>
      </w:r>
      <w:r>
        <w:rPr>
          <w:rFonts w:ascii="Verdana" w:eastAsia="Calibri" w:hAnsi="Verdana" w:cs="Arial"/>
          <w:b/>
          <w:color w:val="000000" w:themeColor="text1"/>
          <w:lang w:val="es-ES" w:eastAsia="es-ES"/>
        </w:rPr>
        <w:t>ó</w:t>
      </w:r>
      <w:r w:rsidRPr="000A268F">
        <w:rPr>
          <w:rFonts w:ascii="Verdana" w:eastAsia="Calibri" w:hAnsi="Verdana" w:cs="Arial"/>
          <w:b/>
          <w:color w:val="000000" w:themeColor="text1"/>
          <w:lang w:val="es-ES" w:eastAsia="es-ES"/>
        </w:rPr>
        <w:t>mez Mejía</w:t>
      </w:r>
      <w:r>
        <w:rPr>
          <w:rFonts w:ascii="Verdana" w:eastAsia="Calibri" w:hAnsi="Verdana" w:cs="Arial"/>
          <w:b/>
          <w:color w:val="000000" w:themeColor="text1"/>
          <w:lang w:val="es-ES" w:eastAsia="es-ES"/>
        </w:rPr>
        <w:t xml:space="preserve"> </w:t>
      </w:r>
      <w:r w:rsidRPr="00D10E89">
        <w:rPr>
          <w:rFonts w:ascii="Verdana" w:eastAsia="Calibri" w:hAnsi="Verdana" w:cs="Arial"/>
          <w:b/>
          <w:color w:val="000000" w:themeColor="text1"/>
          <w:lang w:val="es-ES" w:eastAsia="es-ES"/>
        </w:rPr>
        <w:t xml:space="preserve"> </w:t>
      </w:r>
    </w:p>
    <w:p w14:paraId="19E828AE" w14:textId="77777777" w:rsidR="00BD480F" w:rsidRPr="00D10E89" w:rsidRDefault="00BD480F" w:rsidP="00BD480F">
      <w:pPr>
        <w:spacing w:after="0" w:line="240" w:lineRule="auto"/>
        <w:rPr>
          <w:rFonts w:ascii="Verdana" w:eastAsia="Calibri" w:hAnsi="Verdana" w:cs="Arial"/>
          <w:color w:val="000000" w:themeColor="text1"/>
          <w:u w:val="single"/>
          <w:lang w:eastAsia="es-ES"/>
        </w:rPr>
      </w:pPr>
      <w:hyperlink r:id="rId11" w:history="1">
        <w:r w:rsidRPr="00EA5531">
          <w:rPr>
            <w:rStyle w:val="Hipervnculo"/>
            <w:rFonts w:ascii="Verdana" w:eastAsia="Calibri" w:hAnsi="Verdana" w:cs="Arial"/>
            <w:lang w:eastAsia="es-ES"/>
          </w:rPr>
          <w:t>elianagomezmejia@gmail.com</w:t>
        </w:r>
      </w:hyperlink>
      <w:r>
        <w:rPr>
          <w:rFonts w:ascii="Verdana" w:eastAsia="Calibri" w:hAnsi="Verdana" w:cs="Arial"/>
          <w:color w:val="000000" w:themeColor="text1"/>
          <w:u w:val="single"/>
          <w:lang w:eastAsia="es-ES"/>
        </w:rPr>
        <w:t xml:space="preserve"> </w:t>
      </w:r>
      <w:r w:rsidRPr="00D10E89">
        <w:rPr>
          <w:rFonts w:ascii="Verdana" w:eastAsia="Calibri" w:hAnsi="Verdana" w:cs="Arial"/>
          <w:color w:val="000000" w:themeColor="text1"/>
          <w:u w:val="single"/>
          <w:lang w:eastAsia="es-ES"/>
        </w:rPr>
        <w:t xml:space="preserve"> </w:t>
      </w:r>
    </w:p>
    <w:p w14:paraId="7A6D678F" w14:textId="77777777" w:rsidR="00BD480F" w:rsidRPr="00D10E89" w:rsidRDefault="00BD480F" w:rsidP="00BD480F">
      <w:pPr>
        <w:spacing w:after="0" w:line="240" w:lineRule="auto"/>
        <w:rPr>
          <w:rFonts w:ascii="Verdana" w:eastAsia="Calibri" w:hAnsi="Verdana" w:cs="Arial"/>
          <w:color w:val="000000" w:themeColor="text1"/>
          <w:lang w:eastAsia="es-ES"/>
        </w:rPr>
      </w:pPr>
      <w:r>
        <w:rPr>
          <w:rFonts w:ascii="Verdana" w:eastAsia="Calibri" w:hAnsi="Verdana" w:cs="Arial"/>
          <w:color w:val="000000" w:themeColor="text1"/>
          <w:lang w:eastAsia="es-ES"/>
        </w:rPr>
        <w:t>Manizales</w:t>
      </w:r>
      <w:r w:rsidRPr="00D10E89">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Caldas</w:t>
      </w:r>
    </w:p>
    <w:p w14:paraId="522ADCAC" w14:textId="77777777" w:rsidR="00BD480F" w:rsidRPr="00D10E89" w:rsidRDefault="00BD480F" w:rsidP="00BD480F">
      <w:pPr>
        <w:spacing w:after="0" w:line="240" w:lineRule="auto"/>
        <w:rPr>
          <w:rFonts w:ascii="Verdana" w:eastAsia="Calibri" w:hAnsi="Verdana" w:cs="Arial"/>
          <w:b/>
          <w:bCs/>
          <w:color w:val="000000" w:themeColor="text1"/>
          <w:lang w:eastAsia="es-ES_tradnl"/>
        </w:rPr>
      </w:pPr>
    </w:p>
    <w:p w14:paraId="516098E9" w14:textId="77777777" w:rsidR="00BD480F" w:rsidRPr="00D10E89" w:rsidRDefault="00BD480F" w:rsidP="00BD480F">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D480F" w:rsidRPr="00150584" w14:paraId="3E09B074" w14:textId="77777777" w:rsidTr="00BD480F">
        <w:trPr>
          <w:trHeight w:val="222"/>
        </w:trPr>
        <w:tc>
          <w:tcPr>
            <w:tcW w:w="2689" w:type="dxa"/>
          </w:tcPr>
          <w:p w14:paraId="01D7081A" w14:textId="77777777" w:rsidR="00BD480F" w:rsidRPr="00D10E89" w:rsidRDefault="00BD480F" w:rsidP="003A363A">
            <w:pPr>
              <w:jc w:val="both"/>
              <w:rPr>
                <w:rFonts w:ascii="Verdana" w:eastAsia="Calibri" w:hAnsi="Verdana" w:cs="Arial"/>
                <w:b/>
                <w:bCs/>
                <w:color w:val="000000" w:themeColor="text1"/>
                <w:lang w:eastAsia="es-ES_tradnl"/>
              </w:rPr>
            </w:pPr>
          </w:p>
        </w:tc>
        <w:tc>
          <w:tcPr>
            <w:tcW w:w="6100" w:type="dxa"/>
          </w:tcPr>
          <w:p w14:paraId="315E7EAD" w14:textId="77777777" w:rsidR="00BD480F" w:rsidRPr="00C64D84" w:rsidRDefault="00BD480F" w:rsidP="003A363A">
            <w:pPr>
              <w:jc w:val="both"/>
              <w:rPr>
                <w:rFonts w:ascii="Verdana" w:eastAsia="Calibri" w:hAnsi="Verdana" w:cs="Arial"/>
                <w:b/>
                <w:bCs/>
                <w:color w:val="000000" w:themeColor="text1"/>
                <w:lang w:val="es-ES" w:eastAsia="es-ES"/>
              </w:rPr>
            </w:pPr>
            <w:r w:rsidRPr="00D10E89">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760</w:t>
            </w:r>
            <w:r w:rsidRPr="00D10E89">
              <w:rPr>
                <w:rFonts w:ascii="Verdana" w:eastAsia="Calibri" w:hAnsi="Verdana" w:cs="Arial"/>
                <w:b/>
                <w:bCs/>
                <w:color w:val="000000" w:themeColor="text1"/>
                <w:lang w:val="es-ES" w:eastAsia="es-ES"/>
              </w:rPr>
              <w:t xml:space="preserve"> de 2025</w:t>
            </w:r>
          </w:p>
          <w:p w14:paraId="112E734B" w14:textId="77777777" w:rsidR="00BD480F" w:rsidRPr="00D10E89" w:rsidRDefault="00BD480F" w:rsidP="003A363A">
            <w:pPr>
              <w:jc w:val="both"/>
              <w:rPr>
                <w:rFonts w:ascii="Verdana" w:eastAsia="Calibri" w:hAnsi="Verdana" w:cs="Arial"/>
                <w:b/>
                <w:bCs/>
                <w:color w:val="000000" w:themeColor="text1"/>
                <w:lang w:val="es-ES" w:eastAsia="es-ES"/>
              </w:rPr>
            </w:pPr>
          </w:p>
        </w:tc>
      </w:tr>
      <w:tr w:rsidR="00BD480F" w:rsidRPr="00150584" w14:paraId="57DD20F0" w14:textId="77777777" w:rsidTr="003A363A">
        <w:trPr>
          <w:trHeight w:val="884"/>
        </w:trPr>
        <w:tc>
          <w:tcPr>
            <w:tcW w:w="2689" w:type="dxa"/>
          </w:tcPr>
          <w:p w14:paraId="14C3326D" w14:textId="77777777" w:rsidR="00BD480F" w:rsidRPr="00D10E89" w:rsidRDefault="00BD480F" w:rsidP="003A363A">
            <w:pPr>
              <w:jc w:val="both"/>
              <w:rPr>
                <w:rFonts w:ascii="Verdana" w:eastAsia="Calibri" w:hAnsi="Verdana" w:cs="Arial"/>
                <w:color w:val="000000" w:themeColor="text1"/>
                <w:lang w:val="es-ES_tradnl" w:eastAsia="es-ES_tradnl"/>
              </w:rPr>
            </w:pPr>
            <w:r w:rsidRPr="00D10E89">
              <w:rPr>
                <w:rFonts w:ascii="Verdana" w:eastAsia="Calibri" w:hAnsi="Verdana" w:cs="Arial"/>
                <w:b/>
                <w:color w:val="000000" w:themeColor="text1"/>
                <w:lang w:val="es-ES_tradnl" w:eastAsia="es-ES_tradnl"/>
              </w:rPr>
              <w:t>Temas:</w:t>
            </w:r>
            <w:r w:rsidRPr="00D10E89">
              <w:rPr>
                <w:rFonts w:ascii="Verdana" w:eastAsia="Calibri" w:hAnsi="Verdana" w:cs="Arial"/>
                <w:color w:val="000000" w:themeColor="text1"/>
                <w:lang w:val="es-ES_tradnl" w:eastAsia="es-ES_tradnl"/>
              </w:rPr>
              <w:t xml:space="preserve">                   </w:t>
            </w:r>
          </w:p>
        </w:tc>
        <w:tc>
          <w:tcPr>
            <w:tcW w:w="6100" w:type="dxa"/>
          </w:tcPr>
          <w:p w14:paraId="7D76F68B" w14:textId="0F127633" w:rsidR="00BD480F" w:rsidRPr="00D33095" w:rsidRDefault="00BD480F" w:rsidP="003A363A">
            <w:pPr>
              <w:jc w:val="both"/>
              <w:rPr>
                <w:rFonts w:ascii="Verdana" w:hAnsi="Verdana" w:cs="Arial"/>
                <w:lang w:val="es-ES"/>
              </w:rPr>
            </w:pPr>
            <w:r w:rsidRPr="32F57079">
              <w:rPr>
                <w:rFonts w:ascii="Verdana" w:eastAsia="Calibri" w:hAnsi="Verdana" w:cs="Arial"/>
                <w:lang w:val="es-ES"/>
              </w:rPr>
              <w:t xml:space="preserve">LEY DE EMPRENDIMIENTO – Ley 2069 de 2020 – Contenido / </w:t>
            </w:r>
            <w:r w:rsidRPr="32F57079">
              <w:rPr>
                <w:rFonts w:ascii="Verdana" w:hAnsi="Verdana" w:cs="Arial"/>
                <w:lang w:val="es-ES"/>
              </w:rPr>
              <w:t>FACTORES DE DESEMPATE – Ley 2069 de 2020 – Artículo 35 / FACTORES DE DESEMPATE – Decreto 1860 de 2021 / FACTORES DE DESEMPATE – Mínima cuantía – Ley 2069 de 2020 – Artículo 35 –– Aplicación – Puntaje / FACTORES DE DESEMPATE – Mínima cuantía – Ley 2069 de 2020 – Artículo 35 – Factores de desempate – Aplicación – Decreto 1860 de 2021</w:t>
            </w:r>
          </w:p>
        </w:tc>
      </w:tr>
      <w:tr w:rsidR="00BD480F" w:rsidRPr="00150584" w14:paraId="598AA4D2" w14:textId="77777777" w:rsidTr="003A363A">
        <w:tc>
          <w:tcPr>
            <w:tcW w:w="2689" w:type="dxa"/>
          </w:tcPr>
          <w:p w14:paraId="59458D80" w14:textId="77777777" w:rsidR="00BD480F" w:rsidRPr="00D10E89" w:rsidRDefault="00BD480F" w:rsidP="003A363A">
            <w:pPr>
              <w:jc w:val="both"/>
              <w:rPr>
                <w:rFonts w:ascii="Verdana" w:eastAsia="Calibri" w:hAnsi="Verdana" w:cs="Arial"/>
                <w:b/>
                <w:color w:val="000000" w:themeColor="text1"/>
                <w:lang w:val="es-ES_tradnl" w:eastAsia="es-ES_tradnl"/>
              </w:rPr>
            </w:pPr>
            <w:r w:rsidRPr="00D10E89">
              <w:rPr>
                <w:rFonts w:ascii="Verdana" w:eastAsia="Calibri" w:hAnsi="Verdana" w:cs="Arial"/>
                <w:b/>
                <w:color w:val="000000" w:themeColor="text1"/>
                <w:lang w:val="es-ES_tradnl" w:eastAsia="es-ES_tradnl"/>
              </w:rPr>
              <w:t>Radicación:</w:t>
            </w:r>
            <w:r w:rsidRPr="00D10E89">
              <w:rPr>
                <w:rFonts w:ascii="Verdana" w:eastAsia="Calibri" w:hAnsi="Verdana" w:cs="Arial"/>
                <w:color w:val="000000" w:themeColor="text1"/>
                <w:lang w:val="es-ES_tradnl" w:eastAsia="es-ES_tradnl"/>
              </w:rPr>
              <w:t xml:space="preserve">               </w:t>
            </w:r>
          </w:p>
        </w:tc>
        <w:tc>
          <w:tcPr>
            <w:tcW w:w="6100" w:type="dxa"/>
          </w:tcPr>
          <w:p w14:paraId="5C523A12" w14:textId="77777777" w:rsidR="00BD480F" w:rsidRPr="00D10E89" w:rsidRDefault="00BD480F" w:rsidP="003A363A">
            <w:pPr>
              <w:jc w:val="both"/>
              <w:rPr>
                <w:rFonts w:ascii="Verdana" w:eastAsia="Calibri" w:hAnsi="Verdana" w:cs="Arial"/>
                <w:color w:val="000000" w:themeColor="text1"/>
                <w:lang w:val="es-ES_tradnl" w:eastAsia="es-ES_tradnl"/>
              </w:rPr>
            </w:pPr>
            <w:r w:rsidRPr="00D10E89">
              <w:rPr>
                <w:rFonts w:ascii="Verdana" w:eastAsia="Calibri" w:hAnsi="Verdana" w:cs="Arial"/>
                <w:color w:val="000000" w:themeColor="text1"/>
                <w:lang w:val="es-ES_tradnl" w:eastAsia="es-ES_tradnl"/>
              </w:rPr>
              <w:t xml:space="preserve">Respuesta a consulta con radicado No. </w:t>
            </w:r>
            <w:r w:rsidRPr="000A268F">
              <w:rPr>
                <w:rFonts w:ascii="Verdana" w:eastAsia="Calibri" w:hAnsi="Verdana" w:cs="Arial"/>
                <w:color w:val="000000" w:themeColor="text1"/>
                <w:lang w:eastAsia="es-ES_tradnl"/>
              </w:rPr>
              <w:t>1_2025_06_12_005865</w:t>
            </w:r>
            <w:r>
              <w:rPr>
                <w:rFonts w:ascii="Verdana" w:eastAsia="Calibri" w:hAnsi="Verdana" w:cs="Arial"/>
                <w:color w:val="000000" w:themeColor="text1"/>
                <w:lang w:eastAsia="es-ES_tradnl"/>
              </w:rPr>
              <w:t xml:space="preserve"> </w:t>
            </w:r>
          </w:p>
        </w:tc>
      </w:tr>
    </w:tbl>
    <w:p w14:paraId="36E1F5CA" w14:textId="77777777" w:rsidR="00BD480F" w:rsidRPr="00517AFB" w:rsidRDefault="00BD480F" w:rsidP="00BD480F">
      <w:pPr>
        <w:spacing w:after="0" w:line="276" w:lineRule="auto"/>
        <w:jc w:val="both"/>
        <w:rPr>
          <w:rFonts w:ascii="Verdana" w:eastAsia="Calibri" w:hAnsi="Verdana" w:cs="Arial"/>
          <w:color w:val="000000" w:themeColor="text1"/>
          <w:lang w:val="es-ES" w:eastAsia="es-ES"/>
        </w:rPr>
      </w:pPr>
    </w:p>
    <w:p w14:paraId="159F16A2" w14:textId="77777777" w:rsidR="00BD480F" w:rsidRPr="00517AFB" w:rsidRDefault="00BD480F" w:rsidP="00BD480F">
      <w:pPr>
        <w:spacing w:after="0" w:line="276" w:lineRule="auto"/>
        <w:jc w:val="both"/>
        <w:rPr>
          <w:rFonts w:ascii="Verdana" w:eastAsia="Calibri" w:hAnsi="Verdana" w:cs="Arial"/>
          <w:color w:val="000000" w:themeColor="text1"/>
          <w:lang w:val="es-ES" w:eastAsia="es-ES"/>
        </w:rPr>
      </w:pPr>
    </w:p>
    <w:p w14:paraId="13340CF0" w14:textId="77777777" w:rsidR="00BD480F" w:rsidRPr="00D10E89" w:rsidRDefault="00BD480F" w:rsidP="00BD480F">
      <w:pPr>
        <w:spacing w:after="0" w:line="276" w:lineRule="auto"/>
        <w:jc w:val="both"/>
        <w:rPr>
          <w:rFonts w:ascii="Verdana" w:eastAsia="Calibri" w:hAnsi="Verdana" w:cs="Arial"/>
          <w:color w:val="000000" w:themeColor="text1"/>
          <w:lang w:val="es-ES" w:eastAsia="es-ES"/>
        </w:rPr>
      </w:pPr>
      <w:r w:rsidRPr="00D10E89">
        <w:rPr>
          <w:rFonts w:ascii="Verdana" w:eastAsia="Calibri" w:hAnsi="Verdana" w:cs="Arial"/>
          <w:color w:val="000000" w:themeColor="text1"/>
          <w:lang w:val="es-ES" w:eastAsia="es-ES"/>
        </w:rPr>
        <w:t xml:space="preserve">Estimada señora </w:t>
      </w:r>
      <w:r>
        <w:rPr>
          <w:rFonts w:ascii="Verdana" w:eastAsia="Calibri" w:hAnsi="Verdana" w:cs="Arial"/>
          <w:color w:val="000000" w:themeColor="text1"/>
          <w:lang w:val="es-ES" w:eastAsia="es-ES"/>
        </w:rPr>
        <w:t>Eliana</w:t>
      </w:r>
      <w:r w:rsidRPr="00D10E89">
        <w:rPr>
          <w:rFonts w:ascii="Verdana" w:eastAsia="Calibri" w:hAnsi="Verdana" w:cs="Arial"/>
          <w:color w:val="000000" w:themeColor="text1"/>
          <w:lang w:val="es-ES" w:eastAsia="es-ES"/>
        </w:rPr>
        <w:t xml:space="preserve">: </w:t>
      </w:r>
    </w:p>
    <w:p w14:paraId="4EE0FC9F" w14:textId="77777777" w:rsidR="00BD480F" w:rsidRPr="00D10E89" w:rsidRDefault="00BD480F" w:rsidP="00BD480F">
      <w:pPr>
        <w:tabs>
          <w:tab w:val="left" w:pos="3768"/>
        </w:tabs>
        <w:spacing w:after="0" w:line="276" w:lineRule="auto"/>
        <w:jc w:val="both"/>
        <w:rPr>
          <w:rFonts w:ascii="Verdana" w:eastAsia="Calibri" w:hAnsi="Verdana" w:cs="Arial"/>
          <w:color w:val="000000" w:themeColor="text1"/>
          <w:lang w:val="es-ES" w:eastAsia="es-ES"/>
        </w:rPr>
      </w:pPr>
      <w:r w:rsidRPr="00D10E89">
        <w:rPr>
          <w:rFonts w:ascii="Verdana" w:eastAsia="Calibri" w:hAnsi="Verdana" w:cs="Arial"/>
          <w:color w:val="000000" w:themeColor="text1"/>
          <w:lang w:val="es-ES" w:eastAsia="es-ES"/>
        </w:rPr>
        <w:tab/>
      </w:r>
    </w:p>
    <w:p w14:paraId="28484AC3" w14:textId="77777777" w:rsidR="00BD480F" w:rsidRPr="00D10E89" w:rsidRDefault="00BD480F" w:rsidP="00BD480F">
      <w:pPr>
        <w:spacing w:after="0" w:line="276" w:lineRule="auto"/>
        <w:jc w:val="both"/>
        <w:rPr>
          <w:rFonts w:ascii="Verdana" w:eastAsia="Calibri" w:hAnsi="Verdana" w:cs="Arial"/>
          <w:color w:val="000000" w:themeColor="text1"/>
          <w:lang w:val="es-ES" w:eastAsia="es-ES"/>
        </w:rPr>
      </w:pPr>
      <w:r w:rsidRPr="00D10E89">
        <w:rPr>
          <w:rFonts w:ascii="Verdana" w:eastAsia="Calibri" w:hAnsi="Verdana" w:cs="Arial"/>
          <w:color w:val="000000" w:themeColor="text1"/>
          <w:lang w:val="es-ES" w:eastAsia="es-ES"/>
        </w:rPr>
        <w:t>En ejercicio de la competencia otorgada por los artículos 3, numeral 5º, y 11, numeral 8º, del Decreto Ley 4170 de 2011,</w:t>
      </w:r>
      <w:r w:rsidRPr="00D10E89">
        <w:rPr>
          <w:rFonts w:ascii="Verdana" w:eastAsia="Arial MT" w:hAnsi="Verdana" w:cs="Arial MT"/>
          <w:color w:val="000000" w:themeColor="text1"/>
          <w:lang w:val="es-ES" w:eastAsia="es-ES"/>
        </w:rPr>
        <w:t xml:space="preserve"> </w:t>
      </w:r>
      <w:r w:rsidRPr="00D10E89">
        <w:rPr>
          <w:rFonts w:ascii="Verdana" w:hAnsi="Verdana" w:cs="Arial"/>
          <w:color w:val="000000" w:themeColor="text1"/>
        </w:rPr>
        <w:t xml:space="preserve">así como lo establecido en el artículo 4 de la Resolución 1707 de 2018 expedida por esta Entidad, </w:t>
      </w:r>
      <w:r w:rsidRPr="00D10E89">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12</w:t>
      </w:r>
      <w:r w:rsidRPr="00D10E89">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junio</w:t>
      </w:r>
      <w:r w:rsidRPr="00D10E89">
        <w:rPr>
          <w:rFonts w:ascii="Verdana" w:eastAsia="Calibri" w:hAnsi="Verdana" w:cs="Arial"/>
          <w:color w:val="000000" w:themeColor="text1"/>
          <w:lang w:val="es-ES" w:eastAsia="es-ES"/>
        </w:rPr>
        <w:t xml:space="preserve"> de 2025, en la cual manifiesta lo siguiente: </w:t>
      </w:r>
    </w:p>
    <w:p w14:paraId="7868DD00" w14:textId="77777777" w:rsidR="00BD480F" w:rsidRPr="00D10E89" w:rsidRDefault="00BD480F" w:rsidP="00BD480F">
      <w:pPr>
        <w:pStyle w:val="Prrafodelista"/>
        <w:tabs>
          <w:tab w:val="left" w:pos="142"/>
          <w:tab w:val="left" w:pos="284"/>
        </w:tabs>
        <w:spacing w:after="0" w:line="276" w:lineRule="auto"/>
        <w:jc w:val="both"/>
        <w:rPr>
          <w:rFonts w:ascii="Verdana" w:eastAsia="Century Gothic" w:hAnsi="Verdana" w:cs="Century Gothic"/>
          <w:b/>
          <w:color w:val="000000" w:themeColor="text1"/>
        </w:rPr>
      </w:pPr>
    </w:p>
    <w:p w14:paraId="69F331BF" w14:textId="77777777" w:rsidR="00BD480F" w:rsidRPr="008F04FA" w:rsidRDefault="00BD480F" w:rsidP="00BD480F">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32F57079">
        <w:rPr>
          <w:rFonts w:ascii="Verdana" w:eastAsia="Century Gothic" w:hAnsi="Verdana" w:cs="Century Gothic"/>
          <w:color w:val="000000" w:themeColor="text1"/>
          <w:sz w:val="20"/>
          <w:szCs w:val="20"/>
          <w:lang w:val="es-ES"/>
        </w:rPr>
        <w:t>“</w:t>
      </w:r>
      <w:bookmarkEnd w:id="1"/>
      <w:r w:rsidRPr="32F57079">
        <w:rPr>
          <w:rFonts w:ascii="Verdana" w:eastAsia="Century Gothic" w:hAnsi="Verdana" w:cs="Century Gothic"/>
          <w:color w:val="000000" w:themeColor="text1"/>
          <w:sz w:val="20"/>
          <w:szCs w:val="20"/>
        </w:rPr>
        <w:t>Solicito amablemente una aclaración: en Concepto 246 de 2025 emitido el mes de abril aducen lo siguiente: "</w:t>
      </w:r>
      <w:proofErr w:type="spellStart"/>
      <w:r w:rsidRPr="32F57079">
        <w:rPr>
          <w:rFonts w:ascii="Verdana" w:eastAsia="Century Gothic" w:hAnsi="Verdana" w:cs="Century Gothic"/>
          <w:color w:val="000000" w:themeColor="text1"/>
          <w:sz w:val="20"/>
          <w:szCs w:val="20"/>
        </w:rPr>
        <w:t>viii</w:t>
      </w:r>
      <w:proofErr w:type="spellEnd"/>
      <w:r w:rsidRPr="32F57079">
        <w:rPr>
          <w:rFonts w:ascii="Verdana" w:eastAsia="Century Gothic" w:hAnsi="Verdana" w:cs="Century Gothic"/>
          <w:color w:val="000000" w:themeColor="text1"/>
          <w:sz w:val="20"/>
          <w:szCs w:val="20"/>
        </w:rPr>
        <w:t xml:space="preserve">) De existir empate debe preferirse la oferta que se presentó primero en el tiempo", sin embargo, existen unos factores de desempate establecidos por norma (artículo 35 de la ley 2069 de 2020. Cuáles, según ustedes, deberán ser aquellos factores de desempate de obligatoria observancia en este tipo de modalidad de contratación de carácter especial. Es cierto que cómo el precio es el factor de selección del proponente, ¿deberá escogerse en caso de empate, el </w:t>
      </w:r>
      <w:r w:rsidRPr="32F57079">
        <w:rPr>
          <w:rFonts w:ascii="Verdana" w:eastAsia="Century Gothic" w:hAnsi="Verdana" w:cs="Century Gothic"/>
          <w:color w:val="000000" w:themeColor="text1"/>
          <w:sz w:val="20"/>
          <w:szCs w:val="20"/>
        </w:rPr>
        <w:lastRenderedPageBreak/>
        <w:t>primero en allegar o presentar su oferta de menor valor? ¿En qué se basan para aducir ello en el concepto antes enunciado?”</w:t>
      </w:r>
      <w:r w:rsidRPr="32F57079">
        <w:rPr>
          <w:rFonts w:ascii="Verdana" w:eastAsia="Century Gothic" w:hAnsi="Verdana" w:cs="Century Gothic"/>
          <w:color w:val="000000" w:themeColor="text1"/>
          <w:sz w:val="20"/>
          <w:szCs w:val="20"/>
          <w:lang w:val="es-ES"/>
        </w:rPr>
        <w:t xml:space="preserve"> </w:t>
      </w:r>
    </w:p>
    <w:p w14:paraId="31C86A31" w14:textId="77777777" w:rsidR="00BD480F" w:rsidRPr="00D10E89" w:rsidRDefault="00BD480F" w:rsidP="00BD480F">
      <w:pPr>
        <w:spacing w:after="0" w:line="240" w:lineRule="auto"/>
        <w:ind w:left="709" w:right="709"/>
        <w:jc w:val="both"/>
        <w:rPr>
          <w:rFonts w:ascii="Verdana" w:eastAsia="Century Gothic" w:hAnsi="Verdana" w:cs="Century Gothic"/>
          <w:i/>
          <w:iCs/>
          <w:color w:val="000000" w:themeColor="text1"/>
          <w:sz w:val="20"/>
          <w:szCs w:val="20"/>
          <w:lang w:val="es-ES"/>
        </w:rPr>
      </w:pPr>
    </w:p>
    <w:p w14:paraId="709EB2AA" w14:textId="77777777" w:rsidR="00BD480F" w:rsidRPr="00D10E89" w:rsidRDefault="00BD480F" w:rsidP="00BD480F">
      <w:pPr>
        <w:spacing w:after="120" w:line="276" w:lineRule="auto"/>
        <w:ind w:firstLine="709"/>
        <w:jc w:val="both"/>
        <w:rPr>
          <w:rFonts w:ascii="Verdana" w:eastAsia="Calibri" w:hAnsi="Verdana" w:cs="Arial"/>
          <w:color w:val="000000" w:themeColor="text1"/>
          <w:lang w:val="es-ES" w:eastAsia="es-ES"/>
        </w:rPr>
      </w:pPr>
      <w:r w:rsidRPr="00D10E89">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themeColor="text1"/>
          <w:lang w:val="es-ES" w:eastAsia="es-ES"/>
        </w:rPr>
        <w:t>la Agencia Nacional de Contratación Pública –</w:t>
      </w:r>
      <w:r w:rsidRPr="00D10E89">
        <w:rPr>
          <w:rFonts w:ascii="Verdana" w:eastAsia="Calibri" w:hAnsi="Verdana" w:cs="Arial"/>
          <w:color w:val="000000" w:themeColor="text1"/>
          <w:lang w:val="es-ES" w:eastAsia="es-ES"/>
        </w:rPr>
        <w:t xml:space="preserve"> Colombia</w:t>
      </w:r>
      <w:r>
        <w:rPr>
          <w:rFonts w:ascii="Verdana" w:eastAsia="Calibri" w:hAnsi="Verdana" w:cs="Arial"/>
          <w:color w:val="000000" w:themeColor="text1"/>
          <w:lang w:val="es-ES" w:eastAsia="es-ES"/>
        </w:rPr>
        <w:t xml:space="preserve"> </w:t>
      </w:r>
      <w:r w:rsidRPr="00D10E89">
        <w:rPr>
          <w:rFonts w:ascii="Verdana" w:eastAsia="Calibri" w:hAnsi="Verdana" w:cs="Arial"/>
          <w:color w:val="000000" w:themeColor="text1"/>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13390DEF" w14:textId="77777777" w:rsidR="00BD480F" w:rsidRPr="00D10E89" w:rsidRDefault="00BD480F" w:rsidP="00BD480F">
      <w:pPr>
        <w:spacing w:after="0" w:line="276" w:lineRule="auto"/>
        <w:ind w:firstLine="709"/>
        <w:jc w:val="both"/>
        <w:rPr>
          <w:rFonts w:ascii="Verdana" w:eastAsia="Calibri" w:hAnsi="Verdana" w:cs="Arial"/>
          <w:color w:val="000000" w:themeColor="text1"/>
          <w:lang w:val="es-ES" w:eastAsia="es-ES"/>
        </w:rPr>
      </w:pPr>
      <w:r w:rsidRPr="00D10E89">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el problema jurídico de su consulta. </w:t>
      </w:r>
    </w:p>
    <w:p w14:paraId="0ED84C24" w14:textId="77777777" w:rsidR="00BD480F" w:rsidRPr="00D10E89" w:rsidRDefault="00BD480F" w:rsidP="00BD480F">
      <w:pPr>
        <w:spacing w:after="0" w:line="276" w:lineRule="auto"/>
        <w:ind w:firstLine="709"/>
        <w:jc w:val="both"/>
        <w:rPr>
          <w:rFonts w:ascii="Verdana" w:eastAsia="Calibri" w:hAnsi="Verdana" w:cs="Arial"/>
          <w:color w:val="000000" w:themeColor="text1"/>
          <w:lang w:val="es-ES" w:eastAsia="es-ES"/>
        </w:rPr>
      </w:pPr>
    </w:p>
    <w:p w14:paraId="1AEDAB0A" w14:textId="77777777" w:rsidR="00BD480F" w:rsidRPr="00D10E89" w:rsidRDefault="00BD480F" w:rsidP="00BD480F">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color w:val="000000" w:themeColor="text1"/>
        </w:rPr>
      </w:pPr>
      <w:r w:rsidRPr="00D10E89">
        <w:rPr>
          <w:rFonts w:ascii="Verdana" w:eastAsia="Century Gothic" w:hAnsi="Verdana" w:cs="Century Gothic"/>
          <w:b/>
          <w:color w:val="000000" w:themeColor="text1"/>
        </w:rPr>
        <w:t>Problema planteado:</w:t>
      </w:r>
    </w:p>
    <w:p w14:paraId="2AC76DAF" w14:textId="77777777" w:rsidR="00BD480F" w:rsidRPr="00D10E89" w:rsidRDefault="00BD480F" w:rsidP="00BD480F">
      <w:pPr>
        <w:tabs>
          <w:tab w:val="left" w:pos="426"/>
        </w:tabs>
        <w:spacing w:after="0" w:line="276" w:lineRule="auto"/>
        <w:jc w:val="both"/>
        <w:rPr>
          <w:rFonts w:ascii="Verdana" w:eastAsia="Century Gothic" w:hAnsi="Verdana" w:cs="Century Gothic"/>
          <w:color w:val="000000" w:themeColor="text1"/>
          <w:lang w:val="es-ES"/>
        </w:rPr>
      </w:pPr>
    </w:p>
    <w:p w14:paraId="3FC79E41" w14:textId="77777777" w:rsidR="00BD480F" w:rsidRPr="00D10E89" w:rsidRDefault="00BD480F" w:rsidP="00BD480F">
      <w:pPr>
        <w:spacing w:after="0" w:line="276" w:lineRule="auto"/>
        <w:jc w:val="both"/>
        <w:rPr>
          <w:rFonts w:ascii="Verdana" w:eastAsia="Century Gothic" w:hAnsi="Verdana" w:cs="Century Gothic"/>
          <w:color w:val="000000" w:themeColor="text1"/>
        </w:rPr>
      </w:pPr>
      <w:r w:rsidRPr="00D10E89">
        <w:rPr>
          <w:rFonts w:ascii="Verdana" w:eastAsia="Century Gothic" w:hAnsi="Verdana" w:cs="Century Gothic"/>
          <w:color w:val="000000" w:themeColor="text1"/>
        </w:rPr>
        <w:t xml:space="preserve">De acuerdo con el contenido de su solicitud, esta Agencia resolverá el siguiente problema jurídico: </w:t>
      </w:r>
      <w:r>
        <w:rPr>
          <w:rFonts w:ascii="Verdana" w:eastAsia="Century Gothic" w:hAnsi="Verdana" w:cs="Century Gothic"/>
          <w:color w:val="000000" w:themeColor="text1"/>
        </w:rPr>
        <w:t>Con base en el marco normativo actual</w:t>
      </w:r>
      <w:r w:rsidRPr="00D10E89">
        <w:rPr>
          <w:rFonts w:ascii="Verdana" w:eastAsia="Century Gothic" w:hAnsi="Verdana" w:cs="Century Gothic"/>
          <w:color w:val="000000" w:themeColor="text1"/>
        </w:rPr>
        <w:t xml:space="preserve"> ¿</w:t>
      </w:r>
      <w:r>
        <w:rPr>
          <w:rFonts w:ascii="Verdana" w:eastAsia="Century Gothic" w:hAnsi="Verdana" w:cs="Century Gothic"/>
          <w:color w:val="000000" w:themeColor="text1"/>
        </w:rPr>
        <w:t>Resulta</w:t>
      </w:r>
      <w:r w:rsidRPr="00D10E89">
        <w:rPr>
          <w:rFonts w:ascii="Verdana" w:eastAsia="Century Gothic" w:hAnsi="Verdana" w:cs="Century Gothic"/>
          <w:color w:val="000000" w:themeColor="text1"/>
        </w:rPr>
        <w:t xml:space="preserve"> jurídicamente procedente </w:t>
      </w:r>
      <w:r w:rsidRPr="32F57079">
        <w:rPr>
          <w:rFonts w:ascii="Verdana" w:eastAsia="Century Gothic" w:hAnsi="Verdana" w:cs="Century Gothic"/>
          <w:color w:val="000000" w:themeColor="text1"/>
        </w:rPr>
        <w:t>aplicar el</w:t>
      </w:r>
      <w:r w:rsidRPr="00D10E89">
        <w:rPr>
          <w:rFonts w:ascii="Verdana" w:eastAsia="Century Gothic" w:hAnsi="Verdana" w:cs="Century Gothic"/>
          <w:color w:val="000000" w:themeColor="text1"/>
        </w:rPr>
        <w:t xml:space="preserve"> criterio de preferencia temporal para resolver empates en la modalidad de selección de mínima cuantía</w:t>
      </w:r>
      <w:r>
        <w:rPr>
          <w:rFonts w:ascii="Verdana" w:eastAsia="Century Gothic" w:hAnsi="Verdana" w:cs="Century Gothic"/>
          <w:color w:val="000000" w:themeColor="text1"/>
        </w:rPr>
        <w:t xml:space="preserve"> </w:t>
      </w:r>
      <w:r w:rsidRPr="00D10E89">
        <w:rPr>
          <w:rFonts w:ascii="Verdana" w:eastAsia="Century Gothic" w:hAnsi="Verdana" w:cs="Century Gothic"/>
          <w:color w:val="000000" w:themeColor="text1"/>
        </w:rPr>
        <w:t xml:space="preserve">o </w:t>
      </w:r>
      <w:r w:rsidRPr="00BA2A0E">
        <w:rPr>
          <w:rFonts w:ascii="Verdana" w:eastAsia="Century Gothic" w:hAnsi="Verdana" w:cs="Century Gothic"/>
          <w:color w:val="000000" w:themeColor="text1"/>
        </w:rPr>
        <w:t>debe</w:t>
      </w:r>
      <w:r>
        <w:rPr>
          <w:rFonts w:ascii="Verdana" w:eastAsia="Century Gothic" w:hAnsi="Verdana" w:cs="Century Gothic"/>
          <w:color w:val="000000" w:themeColor="text1"/>
        </w:rPr>
        <w:t>n</w:t>
      </w:r>
      <w:r w:rsidRPr="00D10E89">
        <w:rPr>
          <w:rFonts w:ascii="Verdana" w:eastAsia="Century Gothic" w:hAnsi="Verdana" w:cs="Century Gothic"/>
          <w:color w:val="000000" w:themeColor="text1"/>
        </w:rPr>
        <w:t xml:space="preserve"> aplicarse </w:t>
      </w:r>
      <w:r>
        <w:rPr>
          <w:rFonts w:ascii="Verdana" w:eastAsia="Century Gothic" w:hAnsi="Verdana" w:cs="Century Gothic"/>
          <w:color w:val="000000" w:themeColor="text1"/>
        </w:rPr>
        <w:t xml:space="preserve">las causales </w:t>
      </w:r>
      <w:r w:rsidRPr="00D10E89">
        <w:rPr>
          <w:rFonts w:ascii="Verdana" w:eastAsia="Century Gothic" w:hAnsi="Verdana" w:cs="Century Gothic"/>
          <w:color w:val="000000" w:themeColor="text1"/>
        </w:rPr>
        <w:t xml:space="preserve">de desempate </w:t>
      </w:r>
      <w:r w:rsidRPr="00BA2A0E">
        <w:rPr>
          <w:rFonts w:ascii="Verdana" w:eastAsia="Century Gothic" w:hAnsi="Verdana" w:cs="Century Gothic"/>
          <w:color w:val="000000" w:themeColor="text1"/>
        </w:rPr>
        <w:t>previst</w:t>
      </w:r>
      <w:r>
        <w:rPr>
          <w:rFonts w:ascii="Verdana" w:eastAsia="Century Gothic" w:hAnsi="Verdana" w:cs="Century Gothic"/>
          <w:color w:val="000000" w:themeColor="text1"/>
        </w:rPr>
        <w:t>as</w:t>
      </w:r>
      <w:r w:rsidRPr="00D10E89">
        <w:rPr>
          <w:rFonts w:ascii="Verdana" w:eastAsia="Century Gothic" w:hAnsi="Verdana" w:cs="Century Gothic"/>
          <w:color w:val="000000" w:themeColor="text1"/>
        </w:rPr>
        <w:t xml:space="preserve"> en el artículo 35 de la Ley 2069 de 2020? </w:t>
      </w:r>
    </w:p>
    <w:p w14:paraId="680EE89F" w14:textId="77777777" w:rsidR="00BD480F" w:rsidRPr="00D10E89" w:rsidRDefault="00BD480F" w:rsidP="00BD480F">
      <w:pPr>
        <w:spacing w:after="0" w:line="276" w:lineRule="auto"/>
        <w:jc w:val="both"/>
        <w:rPr>
          <w:rFonts w:ascii="Verdana" w:eastAsia="Calibri" w:hAnsi="Verdana" w:cs="Arial"/>
          <w:color w:val="000000" w:themeColor="text1"/>
          <w:lang w:val="es-ES"/>
        </w:rPr>
      </w:pPr>
    </w:p>
    <w:p w14:paraId="1EFF00C4" w14:textId="77777777" w:rsidR="00BD480F" w:rsidRPr="00D10E89" w:rsidRDefault="00BD480F" w:rsidP="00BD480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D10E89">
        <w:rPr>
          <w:rFonts w:ascii="Verdana" w:eastAsia="Century Gothic" w:hAnsi="Verdana" w:cs="Century Gothic"/>
          <w:b/>
          <w:color w:val="000000" w:themeColor="text1"/>
        </w:rPr>
        <w:t>Respuesta:</w:t>
      </w:r>
    </w:p>
    <w:p w14:paraId="37CD3359" w14:textId="77777777" w:rsidR="00BD480F" w:rsidRPr="00D10E89" w:rsidRDefault="00BD480F" w:rsidP="00BD480F">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D480F" w:rsidRPr="00D10E89" w14:paraId="39C47EBB" w14:textId="77777777" w:rsidTr="003A363A">
        <w:tc>
          <w:tcPr>
            <w:tcW w:w="8828" w:type="dxa"/>
          </w:tcPr>
          <w:p w14:paraId="5637B67F" w14:textId="77777777" w:rsidR="00BD480F" w:rsidRDefault="00BD480F" w:rsidP="003A363A">
            <w:pPr>
              <w:spacing w:after="120" w:line="276" w:lineRule="auto"/>
              <w:jc w:val="both"/>
              <w:rPr>
                <w:rFonts w:ascii="Verdana" w:eastAsia="Calibri" w:hAnsi="Verdana" w:cs="Arial"/>
                <w:color w:val="000000" w:themeColor="text1"/>
              </w:rPr>
            </w:pPr>
            <w:r w:rsidRPr="00646B57">
              <w:rPr>
                <w:rFonts w:ascii="Verdana" w:eastAsia="Calibri" w:hAnsi="Verdana" w:cs="Arial"/>
                <w:color w:val="000000" w:themeColor="text1"/>
              </w:rPr>
              <w:t>Conforme al marco normativo vigente, </w:t>
            </w:r>
            <w:r w:rsidRPr="32F57079">
              <w:rPr>
                <w:rFonts w:ascii="Verdana" w:eastAsia="Calibri" w:hAnsi="Verdana" w:cs="Arial"/>
                <w:color w:val="000000" w:themeColor="text1"/>
              </w:rPr>
              <w:t>no resulta jurídicamente procedente aplicar el criterio de preferencia temporal como mecanismo de desempate en los procedimientos de mínima cuantía</w:t>
            </w:r>
            <w:r w:rsidRPr="00646B57">
              <w:rPr>
                <w:rFonts w:ascii="Verdana" w:eastAsia="Calibri" w:hAnsi="Verdana" w:cs="Arial"/>
                <w:color w:val="000000" w:themeColor="text1"/>
              </w:rPr>
              <w:t>, en tanto que el ordenamiento jurídico establece de manera expresa y obligatoria la aplicación de los </w:t>
            </w:r>
            <w:r w:rsidRPr="32F57079">
              <w:rPr>
                <w:rFonts w:ascii="Verdana" w:eastAsia="Calibri" w:hAnsi="Verdana" w:cs="Arial"/>
                <w:color w:val="000000" w:themeColor="text1"/>
              </w:rPr>
              <w:t xml:space="preserve">factores de </w:t>
            </w:r>
            <w:r w:rsidRPr="32F57079">
              <w:rPr>
                <w:rFonts w:ascii="Verdana" w:eastAsia="Calibri" w:hAnsi="Verdana" w:cs="Arial"/>
                <w:color w:val="000000" w:themeColor="text1"/>
              </w:rPr>
              <w:lastRenderedPageBreak/>
              <w:t>desempate consagrados en el artículo 35 de la Ley 2069 de 2020</w:t>
            </w:r>
            <w:r w:rsidRPr="00646B57">
              <w:rPr>
                <w:rFonts w:ascii="Verdana" w:eastAsia="Calibri" w:hAnsi="Verdana" w:cs="Arial"/>
                <w:color w:val="000000" w:themeColor="text1"/>
              </w:rPr>
              <w:t>, reglamentados por el Decreto 1860 de 2021.</w:t>
            </w:r>
          </w:p>
          <w:p w14:paraId="326105D2" w14:textId="77777777" w:rsidR="00BD480F" w:rsidRPr="00680B2B" w:rsidRDefault="00BD480F" w:rsidP="003A363A">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Lo anterior dado que </w:t>
            </w:r>
            <w:r w:rsidRPr="00680B2B">
              <w:rPr>
                <w:rFonts w:ascii="Verdana" w:eastAsia="Calibri" w:hAnsi="Verdana" w:cs="Arial"/>
                <w:color w:val="000000" w:themeColor="text1"/>
              </w:rPr>
              <w:t xml:space="preserve">artículo 35 </w:t>
            </w:r>
            <w:r w:rsidRPr="32F57079">
              <w:rPr>
                <w:rFonts w:ascii="Verdana" w:eastAsia="Calibri" w:hAnsi="Verdana" w:cs="Arial"/>
                <w:i/>
                <w:color w:val="000000" w:themeColor="text1"/>
              </w:rPr>
              <w:t>ibidem</w:t>
            </w:r>
            <w:r w:rsidRPr="00680B2B">
              <w:rPr>
                <w:rFonts w:ascii="Verdana" w:eastAsia="Calibri" w:hAnsi="Verdana" w:cs="Arial"/>
                <w:color w:val="000000" w:themeColor="text1"/>
              </w:rPr>
              <w:t xml:space="preserve"> establece un régimen obligatorio de factores de desempate aplicable a</w:t>
            </w:r>
            <w:r>
              <w:rPr>
                <w:rFonts w:ascii="Verdana" w:eastAsia="Calibri" w:hAnsi="Verdana" w:cs="Arial"/>
                <w:color w:val="000000" w:themeColor="text1"/>
              </w:rPr>
              <w:t xml:space="preserve"> </w:t>
            </w:r>
            <w:r w:rsidRPr="00680B2B">
              <w:rPr>
                <w:rFonts w:ascii="Verdana" w:eastAsia="Calibri" w:hAnsi="Verdana" w:cs="Arial"/>
                <w:color w:val="000000" w:themeColor="text1"/>
              </w:rPr>
              <w:t>“[…] los procesos de contratación realizados con cargo a recursos públicos, los procesos de contratación realizados por las entidades estatales indistintamente de su régimen de contratación, así como los celebrados por los patrimonios autónomos constituidos por entidades estatales […]”.</w:t>
            </w:r>
            <w:r>
              <w:rPr>
                <w:rFonts w:ascii="Verdana" w:eastAsia="Calibri" w:hAnsi="Verdana" w:cs="Arial"/>
                <w:color w:val="000000" w:themeColor="text1"/>
              </w:rPr>
              <w:t xml:space="preserve"> Como se observa, e</w:t>
            </w:r>
            <w:r w:rsidRPr="00680B2B">
              <w:rPr>
                <w:rFonts w:ascii="Verdana" w:eastAsia="Calibri" w:hAnsi="Verdana" w:cs="Arial"/>
                <w:color w:val="000000" w:themeColor="text1"/>
              </w:rPr>
              <w:t>sta disposición </w:t>
            </w:r>
            <w:r w:rsidRPr="32F57079">
              <w:rPr>
                <w:rFonts w:ascii="Verdana" w:eastAsia="Calibri" w:hAnsi="Verdana" w:cs="Arial"/>
                <w:color w:val="000000" w:themeColor="text1"/>
              </w:rPr>
              <w:t>no distingue entre modalidades de selección</w:t>
            </w:r>
            <w:r w:rsidRPr="00680B2B">
              <w:rPr>
                <w:rFonts w:ascii="Verdana" w:eastAsia="Calibri" w:hAnsi="Verdana" w:cs="Arial"/>
                <w:color w:val="000000" w:themeColor="text1"/>
              </w:rPr>
              <w:t>, por lo que su aplicación se extiende a la </w:t>
            </w:r>
            <w:r w:rsidRPr="32F57079">
              <w:rPr>
                <w:rFonts w:ascii="Verdana" w:eastAsia="Calibri" w:hAnsi="Verdana" w:cs="Arial"/>
                <w:color w:val="000000" w:themeColor="text1"/>
              </w:rPr>
              <w:t>mínima cuantía</w:t>
            </w:r>
            <w:r w:rsidRPr="00680B2B">
              <w:rPr>
                <w:rFonts w:ascii="Verdana" w:eastAsia="Calibri" w:hAnsi="Verdana" w:cs="Arial"/>
                <w:color w:val="000000" w:themeColor="text1"/>
              </w:rPr>
              <w:t>, subasta inversa y demás procedimientos contractuales.</w:t>
            </w:r>
          </w:p>
          <w:p w14:paraId="4F292167" w14:textId="77777777" w:rsidR="00BD480F" w:rsidRPr="007C43E8" w:rsidRDefault="00BD480F" w:rsidP="003A363A">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Ahora bien, a</w:t>
            </w:r>
            <w:r w:rsidRPr="007C43E8">
              <w:rPr>
                <w:rFonts w:ascii="Verdana" w:eastAsia="Calibri" w:hAnsi="Verdana" w:cs="Arial"/>
                <w:color w:val="000000" w:themeColor="text1"/>
              </w:rPr>
              <w:t>unque el artículo 35 hace referencia a empates en el “puntaje total”, una interpretación literal limitaría injustificadamente su aplicación. La expresión debe entenderse de forma </w:t>
            </w:r>
            <w:r w:rsidRPr="32F57079">
              <w:rPr>
                <w:rFonts w:ascii="Verdana" w:eastAsia="Calibri" w:hAnsi="Verdana" w:cs="Arial"/>
                <w:color w:val="000000" w:themeColor="text1"/>
              </w:rPr>
              <w:t>sistemática y finalista</w:t>
            </w:r>
            <w:r w:rsidRPr="007C43E8">
              <w:rPr>
                <w:rFonts w:ascii="Verdana" w:eastAsia="Calibri" w:hAnsi="Verdana" w:cs="Arial"/>
                <w:color w:val="000000" w:themeColor="text1"/>
              </w:rPr>
              <w:t>, como cualquier situación en la que, tras aplicar los criterios de evaluación definidos en el procedimiento</w:t>
            </w:r>
            <w:r>
              <w:rPr>
                <w:rFonts w:ascii="Verdana" w:eastAsia="Calibri" w:hAnsi="Verdana" w:cs="Arial"/>
                <w:color w:val="000000" w:themeColor="text1"/>
              </w:rPr>
              <w:t xml:space="preserve">, </w:t>
            </w:r>
            <w:r w:rsidRPr="007C43E8">
              <w:rPr>
                <w:rFonts w:ascii="Verdana" w:eastAsia="Calibri" w:hAnsi="Verdana" w:cs="Arial"/>
                <w:color w:val="000000" w:themeColor="text1"/>
              </w:rPr>
              <w:t>ya sea puntaje, fórmulas, relación costo-beneficio o menor precio, se presente un empate entre dos o más ofertas.</w:t>
            </w:r>
            <w:r>
              <w:rPr>
                <w:rFonts w:ascii="Verdana" w:eastAsia="Calibri" w:hAnsi="Verdana" w:cs="Arial"/>
                <w:color w:val="000000" w:themeColor="text1"/>
              </w:rPr>
              <w:t xml:space="preserve"> </w:t>
            </w:r>
            <w:r w:rsidRPr="007C43E8">
              <w:rPr>
                <w:rFonts w:ascii="Verdana" w:eastAsia="Calibri" w:hAnsi="Verdana" w:cs="Arial"/>
                <w:color w:val="000000" w:themeColor="text1"/>
              </w:rPr>
              <w:t>Esta interpretación está respaldada por el </w:t>
            </w:r>
            <w:r w:rsidRPr="32F57079">
              <w:rPr>
                <w:rFonts w:ascii="Verdana" w:eastAsia="Calibri" w:hAnsi="Verdana" w:cs="Arial"/>
                <w:color w:val="000000" w:themeColor="text1"/>
              </w:rPr>
              <w:t>principio del efecto útil de las normas</w:t>
            </w:r>
            <w:r w:rsidRPr="007C43E8">
              <w:rPr>
                <w:rFonts w:ascii="Verdana" w:eastAsia="Calibri" w:hAnsi="Verdana" w:cs="Arial"/>
                <w:color w:val="000000" w:themeColor="text1"/>
              </w:rPr>
              <w:t>, que exige dar aplicación plena a las disposiciones legales, evitando interpretaciones que las tornen inocuas o ineficaces.</w:t>
            </w:r>
          </w:p>
          <w:p w14:paraId="77F35DA2" w14:textId="77777777" w:rsidR="00BD480F" w:rsidRDefault="00BD480F" w:rsidP="003A363A">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Adicionalmente, la anterior</w:t>
            </w:r>
            <w:r w:rsidRPr="00D10E89">
              <w:rPr>
                <w:rFonts w:ascii="Verdana" w:eastAsia="Calibri" w:hAnsi="Verdana" w:cs="Arial"/>
                <w:color w:val="000000" w:themeColor="text1"/>
              </w:rPr>
              <w:t xml:space="preserve"> regla resulta aplicable en virtud de la remisión expresa contenida en el artículo 2.2.1.2.1.5.2 del Decreto 1082 de 2015, modificado por el artículo 2 del Decreto 1860 de 2021, que regula el procedimiento aplicable a la mínima cuantía y </w:t>
            </w:r>
            <w:r>
              <w:rPr>
                <w:rFonts w:ascii="Verdana" w:eastAsia="Calibri" w:hAnsi="Verdana" w:cs="Arial"/>
                <w:color w:val="000000" w:themeColor="text1"/>
              </w:rPr>
              <w:t xml:space="preserve">que </w:t>
            </w:r>
            <w:r w:rsidRPr="00D10E89">
              <w:rPr>
                <w:rFonts w:ascii="Verdana" w:eastAsia="Calibri" w:hAnsi="Verdana" w:cs="Arial"/>
                <w:color w:val="000000" w:themeColor="text1"/>
              </w:rPr>
              <w:t xml:space="preserve">establece que, en caso de empate, deberán aplicarse los criterios previstos en la citada Ley de Emprendimiento. </w:t>
            </w:r>
          </w:p>
          <w:p w14:paraId="4E5BFB4C" w14:textId="77777777" w:rsidR="00BD480F" w:rsidRPr="00D10E89" w:rsidRDefault="00BD480F" w:rsidP="003A363A">
            <w:pPr>
              <w:spacing w:line="276" w:lineRule="auto"/>
              <w:ind w:firstLine="709"/>
              <w:jc w:val="both"/>
              <w:rPr>
                <w:rFonts w:ascii="Verdana" w:eastAsia="Calibri" w:hAnsi="Verdana" w:cs="Arial"/>
                <w:color w:val="000000" w:themeColor="text1"/>
              </w:rPr>
            </w:pPr>
            <w:r w:rsidRPr="00D10E89">
              <w:rPr>
                <w:rFonts w:ascii="Verdana" w:eastAsia="Calibri" w:hAnsi="Verdana" w:cs="Arial"/>
                <w:color w:val="000000" w:themeColor="text1"/>
              </w:rPr>
              <w:t xml:space="preserve">En consecuencia, la Agencia Nacional de Contratación Pública – Colombia Compra Eficiente </w:t>
            </w:r>
            <w:r>
              <w:rPr>
                <w:rFonts w:ascii="Verdana" w:eastAsia="Calibri" w:hAnsi="Verdana" w:cs="Arial"/>
                <w:color w:val="000000" w:themeColor="text1"/>
              </w:rPr>
              <w:t>considera necesario</w:t>
            </w:r>
            <w:r w:rsidRPr="00BA2A0E">
              <w:rPr>
                <w:rFonts w:ascii="Verdana" w:eastAsia="Calibri" w:hAnsi="Verdana" w:cs="Arial"/>
                <w:color w:val="000000" w:themeColor="text1"/>
              </w:rPr>
              <w:t xml:space="preserve"> aclara</w:t>
            </w:r>
            <w:r>
              <w:rPr>
                <w:rFonts w:ascii="Verdana" w:eastAsia="Calibri" w:hAnsi="Verdana" w:cs="Arial"/>
                <w:color w:val="000000" w:themeColor="text1"/>
              </w:rPr>
              <w:t>r</w:t>
            </w:r>
            <w:r w:rsidRPr="00D10E89">
              <w:rPr>
                <w:rFonts w:ascii="Verdana" w:eastAsia="Calibri" w:hAnsi="Verdana" w:cs="Arial"/>
                <w:color w:val="000000" w:themeColor="text1"/>
              </w:rPr>
              <w:t xml:space="preserve"> que el orden cronológico de presentación de las ofertas no constituye un criterio válido de desempate </w:t>
            </w:r>
            <w:r>
              <w:rPr>
                <w:rFonts w:ascii="Verdana" w:eastAsia="Calibri" w:hAnsi="Verdana" w:cs="Arial"/>
                <w:color w:val="000000" w:themeColor="text1"/>
              </w:rPr>
              <w:t>en procesos de selección adelantados bajo la modalidad de mínima cuantía, por lo que es necesario</w:t>
            </w:r>
            <w:r w:rsidRPr="00BA2A0E">
              <w:rPr>
                <w:rFonts w:ascii="Verdana" w:eastAsia="Calibri" w:hAnsi="Verdana" w:cs="Arial"/>
                <w:color w:val="000000" w:themeColor="text1"/>
              </w:rPr>
              <w:t xml:space="preserve"> corr</w:t>
            </w:r>
            <w:r>
              <w:rPr>
                <w:rFonts w:ascii="Verdana" w:eastAsia="Calibri" w:hAnsi="Verdana" w:cs="Arial"/>
                <w:color w:val="000000" w:themeColor="text1"/>
              </w:rPr>
              <w:t xml:space="preserve">egir </w:t>
            </w:r>
            <w:r w:rsidRPr="00D10E89">
              <w:rPr>
                <w:rFonts w:ascii="Verdana" w:eastAsia="Calibri" w:hAnsi="Verdana" w:cs="Arial"/>
                <w:color w:val="000000" w:themeColor="text1"/>
              </w:rPr>
              <w:t>la posición adoptada previamente</w:t>
            </w:r>
            <w:r>
              <w:rPr>
                <w:rFonts w:ascii="Verdana" w:eastAsia="Calibri" w:hAnsi="Verdana" w:cs="Arial"/>
                <w:color w:val="000000" w:themeColor="text1"/>
              </w:rPr>
              <w:t>,</w:t>
            </w:r>
            <w:r w:rsidRPr="00D10E89">
              <w:rPr>
                <w:rFonts w:ascii="Verdana" w:eastAsia="Calibri" w:hAnsi="Verdana" w:cs="Arial"/>
                <w:color w:val="000000" w:themeColor="text1"/>
              </w:rPr>
              <w:t xml:space="preserve"> en concepto</w:t>
            </w:r>
            <w:r>
              <w:rPr>
                <w:rFonts w:ascii="Verdana" w:eastAsia="Calibri" w:hAnsi="Verdana" w:cs="Arial"/>
                <w:color w:val="000000" w:themeColor="text1"/>
              </w:rPr>
              <w:t>s como el</w:t>
            </w:r>
            <w:r w:rsidRPr="00D10E89">
              <w:rPr>
                <w:rFonts w:ascii="Verdana" w:eastAsia="Calibri" w:hAnsi="Verdana" w:cs="Arial"/>
                <w:color w:val="000000" w:themeColor="text1"/>
              </w:rPr>
              <w:t xml:space="preserve"> C-246 de 2025</w:t>
            </w:r>
            <w:r>
              <w:rPr>
                <w:rFonts w:ascii="Verdana" w:eastAsia="Calibri" w:hAnsi="Verdana" w:cs="Arial"/>
                <w:color w:val="000000" w:themeColor="text1"/>
              </w:rPr>
              <w:t xml:space="preserve">, para en su lugar señalar que en esta modalidad los casos de desempate se resolverán aplicando los criterios establecidos en el artículo 35 de la Ley 2069 de 2020. </w:t>
            </w:r>
          </w:p>
        </w:tc>
      </w:tr>
    </w:tbl>
    <w:p w14:paraId="423EA9E5" w14:textId="77777777" w:rsidR="00BD480F" w:rsidRPr="00D10E89" w:rsidRDefault="00BD480F" w:rsidP="00BD480F">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908877C" w14:textId="77777777" w:rsidR="00BD480F" w:rsidRPr="00D10E89" w:rsidRDefault="00BD480F" w:rsidP="00BD480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D10E89">
        <w:rPr>
          <w:rFonts w:ascii="Verdana" w:eastAsia="Century Gothic" w:hAnsi="Verdana" w:cs="Century Gothic"/>
          <w:b/>
          <w:color w:val="000000" w:themeColor="text1"/>
        </w:rPr>
        <w:t>Razones de la respuesta:</w:t>
      </w:r>
    </w:p>
    <w:p w14:paraId="5742A352" w14:textId="77777777" w:rsidR="00BD480F" w:rsidRPr="00D10E89" w:rsidRDefault="00BD480F" w:rsidP="00BD480F">
      <w:pPr>
        <w:spacing w:after="0" w:line="276" w:lineRule="auto"/>
        <w:jc w:val="both"/>
        <w:rPr>
          <w:rFonts w:ascii="Verdana" w:eastAsia="Calibri" w:hAnsi="Verdana" w:cs="Arial"/>
          <w:color w:val="000000" w:themeColor="text1"/>
          <w:lang w:val="es-ES"/>
        </w:rPr>
      </w:pPr>
    </w:p>
    <w:p w14:paraId="3280639F" w14:textId="77777777" w:rsidR="00BD480F" w:rsidRPr="00D10E89" w:rsidRDefault="00BD480F" w:rsidP="00BD480F">
      <w:pPr>
        <w:spacing w:after="0" w:line="276" w:lineRule="auto"/>
        <w:jc w:val="both"/>
        <w:rPr>
          <w:rFonts w:ascii="Verdana" w:eastAsia="Calibri" w:hAnsi="Verdana" w:cs="Arial"/>
          <w:color w:val="000000" w:themeColor="text1"/>
          <w:lang w:val="es-ES"/>
        </w:rPr>
      </w:pPr>
      <w:r w:rsidRPr="00D10E89">
        <w:rPr>
          <w:rFonts w:ascii="Verdana" w:eastAsia="Calibri" w:hAnsi="Verdana" w:cs="Arial"/>
          <w:color w:val="000000" w:themeColor="text1"/>
          <w:lang w:val="es-ES"/>
        </w:rPr>
        <w:t xml:space="preserve">Lo anterior se sustenta en las siguientes consideraciones: </w:t>
      </w:r>
    </w:p>
    <w:p w14:paraId="027A94A5" w14:textId="77777777" w:rsidR="00BD480F" w:rsidRPr="00D10E89" w:rsidRDefault="00BD480F" w:rsidP="00BD480F">
      <w:pPr>
        <w:spacing w:after="0" w:line="276" w:lineRule="auto"/>
        <w:jc w:val="both"/>
        <w:rPr>
          <w:rFonts w:ascii="Verdana" w:eastAsia="Calibri" w:hAnsi="Verdana" w:cs="Arial"/>
          <w:color w:val="000000" w:themeColor="text1"/>
          <w:lang w:val="es-ES"/>
        </w:rPr>
      </w:pPr>
    </w:p>
    <w:p w14:paraId="33A5352A" w14:textId="77777777" w:rsidR="00BD480F" w:rsidRPr="00BA2A0E" w:rsidRDefault="00BD480F" w:rsidP="00BD480F">
      <w:pPr>
        <w:spacing w:after="120" w:line="276" w:lineRule="auto"/>
        <w:jc w:val="both"/>
        <w:rPr>
          <w:rFonts w:ascii="Verdana" w:eastAsia="Calibri" w:hAnsi="Verdana" w:cs="Arial"/>
          <w:lang w:val="es-ES"/>
        </w:rPr>
      </w:pPr>
      <w:bookmarkStart w:id="2" w:name="_Hlk102388074"/>
      <w:bookmarkStart w:id="3" w:name="_Hlk102983874"/>
      <w:r w:rsidRPr="32F57079">
        <w:rPr>
          <w:rFonts w:ascii="Verdana" w:eastAsia="Calibri" w:hAnsi="Verdana" w:cs="Arial"/>
          <w:lang w:val="es-ES"/>
        </w:rPr>
        <w:t xml:space="preserve">i) El 31 de diciembre de 2020 se promulgó la Ley 2069, “Por medio de la cual se impulsa el emprendimiento en Colombia”. </w:t>
      </w:r>
      <w:bookmarkStart w:id="4" w:name="_Hlk102388095"/>
      <w:bookmarkEnd w:id="2"/>
      <w:r w:rsidRPr="3AF63748">
        <w:rPr>
          <w:rFonts w:ascii="Verdana" w:eastAsia="Calibri" w:hAnsi="Verdana" w:cs="Arial"/>
          <w:lang w:val="es-ES"/>
        </w:rPr>
        <w:t>En cuando a su contenido, es importante señalar que, como dispone el artículo 1, aquella “</w:t>
      </w:r>
      <w:r>
        <w:rPr>
          <w:rFonts w:ascii="Verdana" w:eastAsia="Calibri" w:hAnsi="Verdana" w:cs="Arial"/>
          <w:lang w:val="es-ES"/>
        </w:rPr>
        <w:t xml:space="preserve">[…] </w:t>
      </w:r>
      <w:r w:rsidRPr="3AF63748">
        <w:rPr>
          <w:rFonts w:ascii="Verdana" w:eastAsia="Calibri" w:hAnsi="Verdana" w:cs="Arial"/>
          <w:lang w:val="es-ES"/>
        </w:rPr>
        <w:t xml:space="preserve">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3AF63748">
        <w:rPr>
          <w:rFonts w:ascii="Verdana" w:eastAsia="Calibri" w:hAnsi="Verdana" w:cs="Arial"/>
          <w:lang w:val="es-ES"/>
        </w:rPr>
        <w:t>de acuerdo a</w:t>
      </w:r>
      <w:proofErr w:type="gramEnd"/>
      <w:r w:rsidRPr="3AF63748">
        <w:rPr>
          <w:rFonts w:ascii="Verdana" w:eastAsia="Calibri" w:hAnsi="Verdana" w:cs="Arial"/>
          <w:lang w:val="es-ES"/>
        </w:rPr>
        <w:t xml:space="preserve"> las realidades socioeconómicas de cada región”. </w:t>
      </w:r>
    </w:p>
    <w:p w14:paraId="63F56114" w14:textId="77777777" w:rsidR="00BD480F" w:rsidRPr="00D10E89" w:rsidRDefault="00BD480F" w:rsidP="00BD480F">
      <w:pPr>
        <w:spacing w:after="120" w:line="276" w:lineRule="auto"/>
        <w:ind w:firstLine="708"/>
        <w:jc w:val="both"/>
        <w:rPr>
          <w:rFonts w:ascii="Verdana" w:eastAsia="Calibri" w:hAnsi="Verdana" w:cs="Arial"/>
          <w:lang w:val="es-ES"/>
        </w:rPr>
      </w:pPr>
      <w:r w:rsidRPr="3AF63748">
        <w:rPr>
          <w:rFonts w:ascii="Verdana" w:eastAsia="Calibri" w:hAnsi="Verdana" w:cs="Arial"/>
          <w:lang w:val="es-ES"/>
        </w:rPr>
        <w:t>En desarrollo de esta finalidad, se establecen medidas de apoyo para las micro, pequeñas y medianas empresas –</w:t>
      </w:r>
      <w:proofErr w:type="spellStart"/>
      <w:r w:rsidRPr="3AF63748">
        <w:rPr>
          <w:rFonts w:ascii="Verdana" w:eastAsia="Calibri" w:hAnsi="Verdana" w:cs="Arial"/>
          <w:lang w:val="es-ES"/>
        </w:rPr>
        <w:t>Mipymes</w:t>
      </w:r>
      <w:proofErr w:type="spellEnd"/>
      <w:r w:rsidRPr="3AF63748">
        <w:rPr>
          <w:rFonts w:ascii="Verdana" w:eastAsia="Calibri" w:hAnsi="Verdana" w:cs="Arial"/>
          <w:lang w:val="es-ES"/>
        </w:rPr>
        <w:t>–, mediante la racionalización y simplificación de los trámites y tarifas</w:t>
      </w:r>
      <w:r w:rsidRPr="3AF63748">
        <w:rPr>
          <w:rStyle w:val="Refdenotaalpie"/>
          <w:rFonts w:ascii="Verdana" w:eastAsia="Calibri" w:hAnsi="Verdana" w:cs="Arial"/>
          <w:lang w:val="es-ES"/>
        </w:rPr>
        <w:footnoteReference w:id="1"/>
      </w:r>
      <w:r w:rsidRPr="3AF63748">
        <w:rPr>
          <w:rFonts w:ascii="Verdana" w:eastAsia="Calibri" w:hAnsi="Verdana" w:cs="Arial"/>
          <w:lang w:val="es-ES"/>
        </w:rPr>
        <w:t>, así como incentivos a favor de aquellas dentro del sistema de compras y contratación pública</w:t>
      </w:r>
      <w:r w:rsidRPr="3AF63748">
        <w:rPr>
          <w:rStyle w:val="Refdenotaalpie"/>
          <w:rFonts w:ascii="Verdana" w:eastAsia="Calibri" w:hAnsi="Verdana" w:cs="Arial"/>
          <w:lang w:val="es-ES"/>
        </w:rPr>
        <w:footnoteReference w:id="2"/>
      </w:r>
      <w:r w:rsidRPr="3AF63748">
        <w:rPr>
          <w:rFonts w:ascii="Verdana" w:eastAsia="Calibri" w:hAnsi="Verdana" w:cs="Arial"/>
          <w:lang w:val="es-ES"/>
        </w:rPr>
        <w:t>. También se consagran mecanismos de acceso al financiamiento</w:t>
      </w:r>
      <w:r w:rsidRPr="3AF63748">
        <w:rPr>
          <w:rStyle w:val="Refdenotaalpie"/>
          <w:rFonts w:ascii="Verdana" w:eastAsia="Calibri" w:hAnsi="Verdana" w:cs="Arial"/>
          <w:lang w:val="es-ES"/>
        </w:rPr>
        <w:footnoteReference w:id="3"/>
      </w:r>
      <w:r w:rsidRPr="3AF63748">
        <w:rPr>
          <w:rFonts w:ascii="Verdana" w:eastAsia="Calibri" w:hAnsi="Verdana" w:cs="Arial"/>
          <w:lang w:val="es-ES"/>
        </w:rPr>
        <w:t>, se unifican las fuentes de emprendimiento y de desarrollo empresarial, para fortalecer y promover los distintos sectores de la economía</w:t>
      </w:r>
      <w:r w:rsidRPr="3AF63748">
        <w:rPr>
          <w:rStyle w:val="Refdenotaalpie"/>
          <w:rFonts w:ascii="Verdana" w:eastAsia="Calibri" w:hAnsi="Verdana" w:cs="Arial"/>
          <w:lang w:val="es-ES"/>
        </w:rPr>
        <w:footnoteReference w:id="4"/>
      </w:r>
      <w:r w:rsidRPr="3AF63748">
        <w:rPr>
          <w:rFonts w:ascii="Verdana" w:eastAsia="Calibri" w:hAnsi="Verdana" w:cs="Arial"/>
          <w:lang w:val="es-ES"/>
        </w:rPr>
        <w:t xml:space="preserve"> y se prevén medidas de educación para el emprendimiento y la innovación</w:t>
      </w:r>
      <w:bookmarkEnd w:id="3"/>
      <w:r w:rsidRPr="3AF63748">
        <w:rPr>
          <w:rStyle w:val="Refdenotaalpie"/>
          <w:rFonts w:ascii="Verdana" w:eastAsia="Calibri" w:hAnsi="Verdana" w:cs="Arial"/>
          <w:lang w:val="es-ES"/>
        </w:rPr>
        <w:footnoteReference w:id="5"/>
      </w:r>
      <w:r w:rsidRPr="3AF63748">
        <w:rPr>
          <w:rFonts w:ascii="Verdana" w:eastAsia="Calibri" w:hAnsi="Verdana" w:cs="Arial"/>
          <w:lang w:val="es-ES"/>
        </w:rPr>
        <w:t>.</w:t>
      </w:r>
      <w:bookmarkEnd w:id="4"/>
    </w:p>
    <w:p w14:paraId="579A1E6C" w14:textId="77777777" w:rsidR="00BD480F" w:rsidRPr="00D10E89" w:rsidRDefault="00BD480F" w:rsidP="00BD480F">
      <w:pPr>
        <w:spacing w:after="120" w:line="276" w:lineRule="auto"/>
        <w:ind w:firstLine="709"/>
        <w:jc w:val="both"/>
        <w:rPr>
          <w:rFonts w:ascii="Verdana" w:eastAsia="Calibri" w:hAnsi="Verdana" w:cs="Arial"/>
          <w:lang w:val="es-ES"/>
        </w:rPr>
      </w:pPr>
      <w:bookmarkStart w:id="5" w:name="_Hlk63883948"/>
      <w:r w:rsidRPr="32F57079">
        <w:rPr>
          <w:rFonts w:ascii="Verdana" w:eastAsia="Calibri" w:hAnsi="Verdana" w:cs="Arial"/>
          <w:lang w:val="es-ES"/>
        </w:rPr>
        <w:t xml:space="preserve">La Ley 2069 de 2020 guarda </w:t>
      </w:r>
      <w:r w:rsidRPr="00D10E89">
        <w:rPr>
          <w:rFonts w:ascii="Verdana" w:eastAsia="Calibri" w:hAnsi="Verdana" w:cs="Arial"/>
          <w:bCs/>
        </w:rPr>
        <w:t xml:space="preserve">congruencia con el “Pacto por el emprendimiento, la formalización y la productividad” del Plan Nacional de Desarrollo 2018-2022, pues busca impulsar </w:t>
      </w:r>
      <w:r w:rsidRPr="32F57079">
        <w:rPr>
          <w:rFonts w:ascii="Verdana" w:eastAsia="Calibri" w:hAnsi="Verdana" w:cs="Arial"/>
        </w:rPr>
        <w:t>la</w:t>
      </w:r>
      <w:r>
        <w:rPr>
          <w:rFonts w:ascii="Verdana" w:eastAsia="Calibri" w:hAnsi="Verdana" w:cs="Arial"/>
          <w:bCs/>
        </w:rPr>
        <w:t xml:space="preserve"> creación</w:t>
      </w:r>
      <w:r w:rsidRPr="00D10E89">
        <w:rPr>
          <w:rFonts w:ascii="Verdana" w:eastAsia="Calibri" w:hAnsi="Verdana" w:cs="Arial"/>
          <w:bCs/>
        </w:rPr>
        <w:t xml:space="preserve"> de nuevas empresas que incentiven la generación de empleo en el país. En</w:t>
      </w:r>
      <w:r w:rsidRPr="00D10E89" w:rsidDel="00983252">
        <w:rPr>
          <w:rFonts w:ascii="Verdana" w:eastAsia="Calibri" w:hAnsi="Verdana" w:cs="Arial"/>
          <w:bCs/>
        </w:rPr>
        <w:t xml:space="preserve"> </w:t>
      </w:r>
      <w:r>
        <w:rPr>
          <w:rFonts w:ascii="Verdana" w:eastAsia="Calibri" w:hAnsi="Verdana" w:cs="Arial"/>
          <w:bCs/>
        </w:rPr>
        <w:t>ese</w:t>
      </w:r>
      <w:r w:rsidRPr="00D10E89">
        <w:rPr>
          <w:rFonts w:ascii="Verdana" w:eastAsia="Calibri" w:hAnsi="Verdana" w:cs="Arial"/>
          <w:bCs/>
        </w:rPr>
        <w:t xml:space="preserve"> sentido, su finalidad principal es </w:t>
      </w:r>
      <w:r>
        <w:rPr>
          <w:rFonts w:ascii="Verdana" w:eastAsia="Calibri" w:hAnsi="Verdana" w:cs="Arial"/>
          <w:bCs/>
        </w:rPr>
        <w:t>contribuir a</w:t>
      </w:r>
      <w:r w:rsidRPr="00D10E89">
        <w:rPr>
          <w:rFonts w:ascii="Verdana" w:eastAsia="Calibri" w:hAnsi="Verdana" w:cs="Arial"/>
          <w:bCs/>
        </w:rPr>
        <w:t xml:space="preserve"> la reactivación de la economía y fomentar la actividad emprendedora</w:t>
      </w:r>
      <w:r>
        <w:rPr>
          <w:rFonts w:ascii="Verdana" w:eastAsia="Calibri" w:hAnsi="Verdana" w:cs="Arial"/>
          <w:bCs/>
        </w:rPr>
        <w:t xml:space="preserve">. </w:t>
      </w:r>
      <w:r w:rsidRPr="32F57079">
        <w:rPr>
          <w:rFonts w:ascii="Verdana" w:eastAsia="Calibri" w:hAnsi="Verdana" w:cs="Arial"/>
        </w:rPr>
        <w:t>Por</w:t>
      </w:r>
      <w:r w:rsidRPr="00D10E89">
        <w:rPr>
          <w:rFonts w:ascii="Verdana" w:eastAsia="Calibri" w:hAnsi="Verdana" w:cs="Arial"/>
          <w:bCs/>
        </w:rPr>
        <w:t xml:space="preserve">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6" w:name="_Hlk63692496"/>
      <w:r w:rsidRPr="00BA2A0E">
        <w:rPr>
          <w:rFonts w:ascii="Verdana" w:eastAsia="Calibri" w:hAnsi="Verdana" w:cs="Arial"/>
          <w:bCs/>
        </w:rPr>
        <w:t>“</w:t>
      </w:r>
      <w:r w:rsidRPr="00D10E89">
        <w:rPr>
          <w:rFonts w:ascii="Verdana" w:eastAsia="Calibri" w:hAnsi="Verdana" w:cs="Arial"/>
          <w:bCs/>
        </w:rPr>
        <w:t>Política de formalización empresarial</w:t>
      </w:r>
      <w:bookmarkEnd w:id="6"/>
      <w:r w:rsidRPr="00D10E89">
        <w:rPr>
          <w:rFonts w:ascii="Verdana" w:eastAsia="Calibri" w:hAnsi="Verdana" w:cs="Arial"/>
          <w:bCs/>
        </w:rPr>
        <w:t xml:space="preserve">” del Documento </w:t>
      </w:r>
      <w:proofErr w:type="spellStart"/>
      <w:r w:rsidRPr="00D10E89">
        <w:rPr>
          <w:rFonts w:ascii="Verdana" w:eastAsia="Calibri" w:hAnsi="Verdana" w:cs="Arial"/>
          <w:bCs/>
        </w:rPr>
        <w:t>Conpes</w:t>
      </w:r>
      <w:proofErr w:type="spellEnd"/>
      <w:r w:rsidRPr="00D10E89">
        <w:rPr>
          <w:rFonts w:ascii="Verdana" w:eastAsia="Calibri" w:hAnsi="Verdana" w:cs="Arial"/>
          <w:bCs/>
        </w:rPr>
        <w:t xml:space="preserve"> 3956 del 8 de enero de 2019</w:t>
      </w:r>
      <w:r w:rsidRPr="00D10E89">
        <w:rPr>
          <w:rStyle w:val="Refdenotaalpie"/>
          <w:rFonts w:ascii="Verdana" w:eastAsia="Calibri" w:hAnsi="Verdana" w:cs="Arial"/>
          <w:bCs/>
        </w:rPr>
        <w:footnoteReference w:id="6"/>
      </w:r>
      <w:r w:rsidRPr="00D10E89">
        <w:rPr>
          <w:rFonts w:ascii="Verdana" w:eastAsia="Calibri" w:hAnsi="Verdana" w:cs="Arial"/>
          <w:bCs/>
        </w:rPr>
        <w:t>.</w:t>
      </w:r>
      <w:bookmarkEnd w:id="5"/>
    </w:p>
    <w:p w14:paraId="4E8DED20" w14:textId="77777777" w:rsidR="00BD480F" w:rsidRPr="00D10E89" w:rsidRDefault="00BD480F" w:rsidP="00BD480F">
      <w:pPr>
        <w:tabs>
          <w:tab w:val="left" w:pos="709"/>
        </w:tabs>
        <w:spacing w:after="120" w:line="276" w:lineRule="auto"/>
        <w:jc w:val="both"/>
        <w:rPr>
          <w:rFonts w:ascii="Verdana" w:eastAsia="Calibri" w:hAnsi="Verdana" w:cs="Arial"/>
          <w:bCs/>
        </w:rPr>
      </w:pPr>
      <w:r w:rsidRPr="00D10E89">
        <w:rPr>
          <w:rFonts w:ascii="Verdana" w:eastAsia="Calibri" w:hAnsi="Verdana" w:cs="Arial"/>
          <w:bCs/>
        </w:rPr>
        <w:lastRenderedPageBreak/>
        <w:tab/>
      </w:r>
      <w:r w:rsidRPr="32F57079">
        <w:rPr>
          <w:rFonts w:ascii="Verdana" w:eastAsia="Calibri" w:hAnsi="Verdana" w:cs="Arial"/>
        </w:rPr>
        <w:t>En</w:t>
      </w:r>
      <w:r>
        <w:rPr>
          <w:rFonts w:ascii="Verdana" w:eastAsia="Calibri" w:hAnsi="Verdana" w:cs="Arial"/>
          <w:bCs/>
        </w:rPr>
        <w:t xml:space="preserve"> desarrollo de estos objetivos</w:t>
      </w:r>
      <w:r w:rsidRPr="00D10E89">
        <w:rPr>
          <w:rFonts w:ascii="Verdana" w:eastAsia="Calibri" w:hAnsi="Verdana" w:cs="Arial"/>
          <w:bCs/>
        </w:rPr>
        <w:t xml:space="preserve">, la Ley </w:t>
      </w:r>
      <w:r>
        <w:rPr>
          <w:rFonts w:ascii="Verdana" w:eastAsia="Calibri" w:hAnsi="Verdana" w:cs="Arial"/>
          <w:bCs/>
        </w:rPr>
        <w:t>adopta una serie de</w:t>
      </w:r>
      <w:r w:rsidRPr="00D10E89">
        <w:rPr>
          <w:rFonts w:ascii="Verdana" w:eastAsia="Calibri" w:hAnsi="Verdana" w:cs="Arial"/>
          <w:bCs/>
        </w:rPr>
        <w:t xml:space="preserve"> medidas </w:t>
      </w:r>
      <w:r w:rsidRPr="32F57079">
        <w:rPr>
          <w:rFonts w:ascii="Verdana" w:eastAsia="Calibri" w:hAnsi="Verdana" w:cs="Arial"/>
        </w:rPr>
        <w:t>orientadas</w:t>
      </w:r>
      <w:r>
        <w:rPr>
          <w:rFonts w:ascii="Verdana" w:eastAsia="Calibri" w:hAnsi="Verdana" w:cs="Arial"/>
          <w:bCs/>
        </w:rPr>
        <w:t xml:space="preserve"> a</w:t>
      </w:r>
      <w:r w:rsidRPr="00D10E89">
        <w:rPr>
          <w:rFonts w:ascii="Verdana" w:eastAsia="Calibri" w:hAnsi="Verdana" w:cs="Arial"/>
          <w:bCs/>
        </w:rPr>
        <w:t xml:space="preserve">: i) reducir cargas y trámites para los emprendedores del país, </w:t>
      </w:r>
      <w:proofErr w:type="spellStart"/>
      <w:r w:rsidRPr="00D10E89">
        <w:rPr>
          <w:rFonts w:ascii="Verdana" w:eastAsia="Calibri" w:hAnsi="Verdana" w:cs="Arial"/>
          <w:bCs/>
        </w:rPr>
        <w:t>ii</w:t>
      </w:r>
      <w:proofErr w:type="spellEnd"/>
      <w:r w:rsidRPr="00D10E89">
        <w:rPr>
          <w:rFonts w:ascii="Verdana" w:eastAsia="Calibri" w:hAnsi="Verdana" w:cs="Arial"/>
          <w:bCs/>
        </w:rPr>
        <w:t xml:space="preserve">) facilitar su acceso al sistema de compras y contratación pública, </w:t>
      </w:r>
      <w:proofErr w:type="spellStart"/>
      <w:r w:rsidRPr="00D10E89">
        <w:rPr>
          <w:rFonts w:ascii="Verdana" w:eastAsia="Calibri" w:hAnsi="Verdana" w:cs="Arial"/>
          <w:bCs/>
        </w:rPr>
        <w:t>iii</w:t>
      </w:r>
      <w:proofErr w:type="spellEnd"/>
      <w:r w:rsidRPr="00D10E89">
        <w:rPr>
          <w:rFonts w:ascii="Verdana" w:eastAsia="Calibri" w:hAnsi="Verdana" w:cs="Arial"/>
          <w:bCs/>
        </w:rPr>
        <w:t xml:space="preserve">) incentivar el crecimiento económico con la llegada de más actores al ecosistema de inversión y financiación, </w:t>
      </w:r>
      <w:proofErr w:type="spellStart"/>
      <w:r w:rsidRPr="00D10E89">
        <w:rPr>
          <w:rFonts w:ascii="Verdana" w:eastAsia="Calibri" w:hAnsi="Verdana" w:cs="Arial"/>
          <w:bCs/>
        </w:rPr>
        <w:t>iv</w:t>
      </w:r>
      <w:proofErr w:type="spellEnd"/>
      <w:r w:rsidRPr="00D10E89">
        <w:rPr>
          <w:rFonts w:ascii="Verdana" w:eastAsia="Calibri" w:hAnsi="Verdana" w:cs="Arial"/>
          <w:bCs/>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D10E89">
        <w:rPr>
          <w:rStyle w:val="Refdenotaalpie"/>
          <w:rFonts w:ascii="Verdana" w:eastAsia="Calibri" w:hAnsi="Verdana" w:cs="Arial"/>
          <w:bCs/>
        </w:rPr>
        <w:footnoteReference w:id="7"/>
      </w:r>
      <w:r w:rsidRPr="00D10E89">
        <w:rPr>
          <w:rFonts w:ascii="Verdana" w:eastAsia="Calibri" w:hAnsi="Verdana" w:cs="Arial"/>
          <w:bCs/>
        </w:rPr>
        <w:t>.</w:t>
      </w:r>
    </w:p>
    <w:p w14:paraId="35CEC0F0" w14:textId="77777777" w:rsidR="00BD480F" w:rsidRPr="00D10E89" w:rsidRDefault="00BD480F" w:rsidP="00BD480F">
      <w:pPr>
        <w:spacing w:after="120" w:line="276" w:lineRule="auto"/>
        <w:ind w:firstLine="709"/>
        <w:jc w:val="both"/>
        <w:rPr>
          <w:rFonts w:ascii="Verdana" w:eastAsia="Calibri" w:hAnsi="Verdana" w:cs="Arial"/>
          <w:lang w:val="es-ES"/>
        </w:rPr>
      </w:pPr>
      <w:r w:rsidRPr="3AF63748">
        <w:rPr>
          <w:rFonts w:ascii="Verdana" w:eastAsia="Calibri" w:hAnsi="Verdana" w:cs="Arial"/>
          <w:lang w:val="es-ES"/>
        </w:rPr>
        <w:t xml:space="preserve">Además, parte de la Ley 2069 de 2020 contiene normas que modifican algunos aspectos de la contratación estatal para promover el emprendimiento. Concretamente, aquellas </w:t>
      </w:r>
      <w:r>
        <w:rPr>
          <w:rFonts w:ascii="Verdana" w:eastAsia="Calibri" w:hAnsi="Verdana" w:cs="Arial"/>
          <w:lang w:val="es-ES"/>
        </w:rPr>
        <w:t>disposiciones</w:t>
      </w:r>
      <w:r w:rsidRPr="3AF63748">
        <w:rPr>
          <w:rFonts w:ascii="Verdana" w:eastAsia="Calibri" w:hAnsi="Verdana" w:cs="Arial"/>
          <w:lang w:val="es-ES"/>
        </w:rPr>
        <w:t xml:space="preserve"> se encuentran en el Capítulo III –artículos 30 al 36–. En su orden, tales artículos consagran: i) </w:t>
      </w:r>
      <w:r w:rsidRPr="32F57079">
        <w:rPr>
          <w:rFonts w:ascii="Verdana" w:eastAsia="Calibri" w:hAnsi="Verdana" w:cs="Arial"/>
          <w:i/>
          <w:lang w:val="es-ES"/>
        </w:rPr>
        <w:t xml:space="preserve">reglas sobre la participación de las </w:t>
      </w:r>
      <w:proofErr w:type="spellStart"/>
      <w:r w:rsidRPr="32F57079">
        <w:rPr>
          <w:rFonts w:ascii="Verdana" w:eastAsia="Calibri" w:hAnsi="Verdana" w:cs="Arial"/>
          <w:i/>
          <w:lang w:val="es-ES"/>
        </w:rPr>
        <w:t>Mipymes</w:t>
      </w:r>
      <w:proofErr w:type="spellEnd"/>
      <w:r w:rsidRPr="32F57079">
        <w:rPr>
          <w:rFonts w:ascii="Verdana" w:eastAsia="Calibri" w:hAnsi="Verdana" w:cs="Arial"/>
          <w:i/>
          <w:lang w:val="es-ES"/>
        </w:rPr>
        <w:t xml:space="preserve"> en el procedimiento de mínima cuantía</w:t>
      </w:r>
      <w:r w:rsidRPr="3AF63748">
        <w:rPr>
          <w:rFonts w:ascii="Verdana" w:eastAsia="Calibri" w:hAnsi="Verdana" w:cs="Arial"/>
          <w:lang w:val="es-ES"/>
        </w:rPr>
        <w:t xml:space="preserve">, </w:t>
      </w:r>
      <w:proofErr w:type="spellStart"/>
      <w:r w:rsidRPr="3AF63748">
        <w:rPr>
          <w:rFonts w:ascii="Verdana" w:eastAsia="Calibri" w:hAnsi="Verdana" w:cs="Arial"/>
          <w:lang w:val="es-ES"/>
        </w:rPr>
        <w:t>ii</w:t>
      </w:r>
      <w:proofErr w:type="spellEnd"/>
      <w:r w:rsidRPr="3AF63748">
        <w:rPr>
          <w:rFonts w:ascii="Verdana" w:eastAsia="Calibri" w:hAnsi="Verdana" w:cs="Arial"/>
          <w:lang w:val="es-ES"/>
        </w:rPr>
        <w:t xml:space="preserve">) criterios diferenciales para </w:t>
      </w:r>
      <w:proofErr w:type="spellStart"/>
      <w:r w:rsidRPr="3AF63748">
        <w:rPr>
          <w:rFonts w:ascii="Verdana" w:eastAsia="Calibri" w:hAnsi="Verdana" w:cs="Arial"/>
          <w:lang w:val="es-ES"/>
        </w:rPr>
        <w:t>Mipymes</w:t>
      </w:r>
      <w:proofErr w:type="spellEnd"/>
      <w:r w:rsidRPr="3AF63748">
        <w:rPr>
          <w:rFonts w:ascii="Verdana" w:eastAsia="Calibri" w:hAnsi="Verdana" w:cs="Arial"/>
          <w:lang w:val="es-ES"/>
        </w:rPr>
        <w:t xml:space="preserve"> en el sistema de compras públicas, </w:t>
      </w:r>
      <w:proofErr w:type="spellStart"/>
      <w:r w:rsidRPr="3AF63748">
        <w:rPr>
          <w:rFonts w:ascii="Verdana" w:eastAsia="Calibri" w:hAnsi="Verdana" w:cs="Arial"/>
          <w:lang w:val="es-ES"/>
        </w:rPr>
        <w:t>iii</w:t>
      </w:r>
      <w:proofErr w:type="spellEnd"/>
      <w:r w:rsidRPr="3AF63748">
        <w:rPr>
          <w:rFonts w:ascii="Verdana" w:eastAsia="Calibri" w:hAnsi="Verdana" w:cs="Arial"/>
          <w:lang w:val="es-ES"/>
        </w:rPr>
        <w:t xml:space="preserve">) criterios diferenciales para emprendimientos y empresas de mujeres en el sistema de compras públicas, </w:t>
      </w:r>
      <w:proofErr w:type="spellStart"/>
      <w:r w:rsidRPr="3AF63748">
        <w:rPr>
          <w:rFonts w:ascii="Verdana" w:eastAsia="Calibri" w:hAnsi="Verdana" w:cs="Arial"/>
          <w:lang w:val="es-ES"/>
        </w:rPr>
        <w:t>iv</w:t>
      </w:r>
      <w:proofErr w:type="spellEnd"/>
      <w:r w:rsidRPr="3AF63748">
        <w:rPr>
          <w:rFonts w:ascii="Verdana" w:eastAsia="Calibri" w:hAnsi="Verdana" w:cs="Arial"/>
          <w:lang w:val="es-ES"/>
        </w:rPr>
        <w:t xml:space="preserve">) promoción del acceso de las </w:t>
      </w:r>
      <w:proofErr w:type="spellStart"/>
      <w:r w:rsidRPr="3AF63748">
        <w:rPr>
          <w:rFonts w:ascii="Verdana" w:eastAsia="Calibri" w:hAnsi="Verdana" w:cs="Arial"/>
          <w:lang w:val="es-ES"/>
        </w:rPr>
        <w:t>Mipymes</w:t>
      </w:r>
      <w:proofErr w:type="spellEnd"/>
      <w:r w:rsidRPr="3AF63748">
        <w:rPr>
          <w:rFonts w:ascii="Verdana" w:eastAsia="Calibri" w:hAnsi="Verdana" w:cs="Arial"/>
          <w:lang w:val="es-ES"/>
        </w:rPr>
        <w:t xml:space="preserve"> al mercado de compras públicas, v) promoción del desarrollo en la contratación pública, </w:t>
      </w:r>
      <w:r w:rsidRPr="000E093A">
        <w:rPr>
          <w:rFonts w:ascii="Verdana" w:eastAsia="Calibri" w:hAnsi="Verdana" w:cs="Arial"/>
          <w:i/>
          <w:lang w:val="es-ES"/>
        </w:rPr>
        <w:t xml:space="preserve">vi) un nuevo régimen de factores de desempate </w:t>
      </w:r>
      <w:r w:rsidRPr="3AF63748">
        <w:rPr>
          <w:rFonts w:ascii="Verdana" w:eastAsia="Calibri" w:hAnsi="Verdana" w:cs="Arial"/>
          <w:lang w:val="es-ES"/>
        </w:rPr>
        <w:t xml:space="preserve">y vi) un llamado a las entidades estatales para que promuevan compras públicas en el marco de la tecnología y la innovación. </w:t>
      </w:r>
    </w:p>
    <w:p w14:paraId="57CC88A2" w14:textId="77777777" w:rsidR="00BD480F" w:rsidRPr="00D10E89" w:rsidRDefault="00BD480F" w:rsidP="00BD480F">
      <w:pPr>
        <w:spacing w:after="120" w:line="276" w:lineRule="auto"/>
        <w:ind w:firstLine="708"/>
        <w:jc w:val="both"/>
        <w:rPr>
          <w:rFonts w:ascii="Verdana" w:eastAsia="Calibri" w:hAnsi="Verdana" w:cs="Arial"/>
          <w:lang w:val="es-ES"/>
        </w:rPr>
      </w:pPr>
      <w:bookmarkStart w:id="8" w:name="_Hlk102388186"/>
      <w:r w:rsidRPr="32F57079">
        <w:rPr>
          <w:rFonts w:ascii="Verdana" w:eastAsia="Calibri" w:hAnsi="Verdana" w:cs="Arial"/>
          <w:lang w:val="es-ES"/>
        </w:rPr>
        <w:t xml:space="preserve">En particular, el artículo 35 </w:t>
      </w:r>
      <w:r w:rsidRPr="32F57079">
        <w:rPr>
          <w:rFonts w:ascii="Verdana" w:eastAsia="Calibri" w:hAnsi="Verdana" w:cs="Arial"/>
          <w:i/>
          <w:iCs/>
          <w:lang w:val="es-ES"/>
        </w:rPr>
        <w:t>ibidem</w:t>
      </w:r>
      <w:r w:rsidRPr="32F57079">
        <w:rPr>
          <w:rFonts w:ascii="Verdana" w:eastAsia="Calibri" w:hAnsi="Verdana" w:cs="Arial"/>
          <w:lang w:val="es-ES"/>
        </w:rPr>
        <w:t xml:space="preserve"> establece un nuevo marco jurídico en relación con los criterios de desempate previstos en los procesos de contratación realizados con cargo a recursos públicos, los procesos de contratación efectuados por las entidades estatales indistintamente de su régimen de contratación, así como los procesos de contratación adelantados por patrimonios autónomos constituidos por entidades estatales. </w:t>
      </w:r>
      <w:bookmarkEnd w:id="8"/>
      <w:r w:rsidRPr="32F57079">
        <w:rPr>
          <w:rFonts w:ascii="Verdana" w:eastAsia="Calibri" w:hAnsi="Verdana" w:cs="Arial"/>
          <w:lang w:val="es-ES"/>
        </w:rPr>
        <w:t xml:space="preserve">En atención a la solicitud elevada a la Agencia Nacional de Contratación Pública – Colombia Compra Eficiente, relacionada con la interpretación de este artículo en los procedimientos de selección adelantados bajo la modalidad de mínima cuantía, la Agencia se </w:t>
      </w:r>
      <w:r w:rsidRPr="32F57079">
        <w:rPr>
          <w:rFonts w:ascii="Verdana" w:eastAsia="Calibri" w:hAnsi="Verdana" w:cs="Arial"/>
          <w:lang w:val="es-ES"/>
        </w:rPr>
        <w:lastRenderedPageBreak/>
        <w:t>pronunciará sobre el alcance normativo de dichas disposiciones, sin pasar por alto la novedad introducida por la Ley 2069 de 2020.</w:t>
      </w:r>
    </w:p>
    <w:p w14:paraId="5CA299B3" w14:textId="77777777" w:rsidR="00BD480F" w:rsidRPr="00D10E89" w:rsidRDefault="00BD480F" w:rsidP="00BD480F">
      <w:pPr>
        <w:spacing w:after="120" w:line="276" w:lineRule="auto"/>
        <w:ind w:firstLine="708"/>
        <w:jc w:val="both"/>
        <w:rPr>
          <w:rFonts w:ascii="Verdana" w:eastAsia="Calibri" w:hAnsi="Verdana" w:cs="Arial"/>
          <w:lang w:val="es-ES"/>
        </w:rPr>
      </w:pPr>
      <w:r w:rsidRPr="00BA2A0E">
        <w:rPr>
          <w:rFonts w:ascii="Verdana" w:eastAsia="Calibri" w:hAnsi="Verdana" w:cs="Arial"/>
          <w:lang w:val="es-ES"/>
        </w:rPr>
        <w:t xml:space="preserve">Al respecto, debe señalarse que, </w:t>
      </w:r>
      <w:r w:rsidRPr="3AF63748">
        <w:rPr>
          <w:rFonts w:ascii="Verdana" w:hAnsi="Verdana" w:cs="Arial"/>
          <w:lang w:val="es-ES"/>
        </w:rPr>
        <w:t>los factores de desempate regulados en el artículo 35 deben aplicarse “[…] de forma sucesiva y excluyente para seleccionar al oferente favorecido, respetando en todo caso los compromisos internacionales vigentes” –según lo dispone el inciso primero–</w:t>
      </w:r>
      <w:r>
        <w:rPr>
          <w:rFonts w:ascii="Verdana" w:hAnsi="Verdana" w:cs="Arial"/>
          <w:lang w:val="es-ES"/>
        </w:rPr>
        <w:t>. Así mismo</w:t>
      </w:r>
      <w:r w:rsidRPr="3AF63748" w:rsidDel="0023064F">
        <w:rPr>
          <w:rFonts w:ascii="Verdana" w:hAnsi="Verdana" w:cs="Arial"/>
          <w:lang w:val="es-ES"/>
        </w:rPr>
        <w:t>,</w:t>
      </w:r>
      <w:r w:rsidRPr="3AF63748">
        <w:rPr>
          <w:rFonts w:ascii="Verdana" w:hAnsi="Verdana" w:cs="Arial"/>
          <w:lang w:val="es-ES"/>
        </w:rPr>
        <w:t xml:space="preserve">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3AF63748">
        <w:rPr>
          <w:rFonts w:ascii="Verdana" w:eastAsia="Calibri" w:hAnsi="Verdana" w:cs="Arial"/>
          <w:lang w:val="es-ES"/>
        </w:rPr>
        <w:t xml:space="preserve"> </w:t>
      </w:r>
    </w:p>
    <w:p w14:paraId="64EF429D" w14:textId="77777777" w:rsidR="00BD480F" w:rsidRPr="00BA2A0E" w:rsidRDefault="00BD480F" w:rsidP="00BD480F">
      <w:pPr>
        <w:spacing w:after="120" w:line="276" w:lineRule="auto"/>
        <w:ind w:firstLine="709"/>
        <w:jc w:val="both"/>
        <w:rPr>
          <w:rFonts w:ascii="Verdana" w:eastAsia="Calibri" w:hAnsi="Verdana" w:cs="Arial"/>
          <w:lang w:val="es-ES"/>
        </w:rPr>
      </w:pPr>
      <w:bookmarkStart w:id="9" w:name="_Hlk102388229"/>
      <w:r w:rsidRPr="32F57079">
        <w:rPr>
          <w:rFonts w:ascii="Verdana" w:eastAsia="Calibri" w:hAnsi="Verdana" w:cs="Arial"/>
          <w:lang w:val="es-ES"/>
        </w:rPr>
        <w:t>Aunque la</w:t>
      </w:r>
      <w:r w:rsidRPr="3AF63748">
        <w:rPr>
          <w:rFonts w:ascii="Verdana" w:eastAsia="Calibri" w:hAnsi="Verdana" w:cs="Arial"/>
          <w:lang w:val="es-ES"/>
        </w:rPr>
        <w:t xml:space="preserve"> norma es de aplicación directa, no establece la forma de acreditar las circunstancias a las que se refieren cada uno de sus numerales, por lo que se consideró necesario la intervención del reglamento para la debida aplicación de los factores de desempate, de manera que se estandarizara la forma en que se acreditan </w:t>
      </w:r>
      <w:r>
        <w:rPr>
          <w:rFonts w:ascii="Verdana" w:eastAsia="Calibri" w:hAnsi="Verdana" w:cs="Arial"/>
          <w:lang w:val="es-ES"/>
        </w:rPr>
        <w:t>y verifican</w:t>
      </w:r>
      <w:r w:rsidRPr="3AF63748">
        <w:rPr>
          <w:rFonts w:ascii="Verdana" w:eastAsia="Calibri" w:hAnsi="Verdana" w:cs="Arial"/>
          <w:lang w:val="es-ES"/>
        </w:rPr>
        <w:t xml:space="preserve"> los mismos. En consecuencia, conforme la potestad reglamentaria asignada al gobierno nacional, el artículo 3 del Decreto 1860 de 2021, mediante el cual se adicionó el artículo 2.2.1.2.4.2.17. al Decreto 1082 de 2015, reglamentó el artículo 35 de la Ley 2069 de 2020 y determinó la forma en la cual se deben acreditar las circunstancias a las que se refieren cada uno de los numerales del citado artículo. </w:t>
      </w:r>
    </w:p>
    <w:p w14:paraId="49DB7207" w14:textId="77777777" w:rsidR="00BD480F" w:rsidRPr="00D10E89" w:rsidRDefault="00BD480F" w:rsidP="00BD480F">
      <w:pPr>
        <w:spacing w:after="120" w:line="276" w:lineRule="auto"/>
        <w:ind w:firstLine="709"/>
        <w:jc w:val="both"/>
        <w:rPr>
          <w:rFonts w:ascii="Verdana" w:eastAsia="Calibri" w:hAnsi="Verdana" w:cs="Arial"/>
          <w:lang w:val="es-ES"/>
        </w:rPr>
      </w:pPr>
      <w:r w:rsidRPr="3AF63748">
        <w:rPr>
          <w:rFonts w:ascii="Verdana" w:eastAsia="Calibri" w:hAnsi="Verdana" w:cs="Arial"/>
          <w:lang w:val="es-ES"/>
        </w:rPr>
        <w:t>De esta forma, a través de</w:t>
      </w:r>
      <w:r>
        <w:rPr>
          <w:rFonts w:ascii="Verdana" w:eastAsia="Calibri" w:hAnsi="Verdana" w:cs="Arial"/>
          <w:lang w:val="es-ES"/>
        </w:rPr>
        <w:t xml:space="preserve"> esta </w:t>
      </w:r>
      <w:r w:rsidRPr="32F57079">
        <w:rPr>
          <w:rFonts w:ascii="Verdana" w:eastAsia="Calibri" w:hAnsi="Verdana" w:cs="Arial"/>
          <w:lang w:val="es-ES"/>
        </w:rPr>
        <w:t>reglamentación</w:t>
      </w:r>
      <w:r w:rsidRPr="3AF63748">
        <w:rPr>
          <w:rFonts w:ascii="Verdana" w:eastAsia="Calibri" w:hAnsi="Verdana" w:cs="Arial"/>
          <w:lang w:val="es-ES"/>
        </w:rPr>
        <w:t xml:space="preserve"> se permite la debida aplicación de los factores de desempate previstos y se garantiza la selección objetiva de los contratistas. Esta regulación impide que la forma de acreditación de los factores de desempate dependa de la discrecionalidad administrativa, por lo que pretende una regulación uniforme de la materia conforme al alcance de cada una de las causales contenidas en el artículo 35 de la Ley 2069 de 2021.</w:t>
      </w:r>
    </w:p>
    <w:bookmarkEnd w:id="9"/>
    <w:p w14:paraId="02B24D17" w14:textId="77777777" w:rsidR="00BD480F" w:rsidRPr="00D10E89" w:rsidRDefault="00BD480F" w:rsidP="00BD480F">
      <w:pPr>
        <w:spacing w:after="120" w:line="276" w:lineRule="auto"/>
        <w:ind w:firstLine="709"/>
        <w:jc w:val="both"/>
        <w:rPr>
          <w:rFonts w:ascii="Verdana" w:hAnsi="Verdana" w:cs="Arial"/>
          <w:lang w:val="es-ES"/>
        </w:rPr>
      </w:pPr>
      <w:r w:rsidRPr="32F57079">
        <w:rPr>
          <w:rFonts w:ascii="Verdana" w:eastAsia="Calibri" w:hAnsi="Verdana" w:cs="Arial"/>
          <w:lang w:val="es-ES"/>
        </w:rPr>
        <w:t xml:space="preserve">El parágrafo primero del artículo 2.2.1.2.4.2.17 reitera, en línea con lo dispuesto en el artículo 35 de la Ley 2069 de 2020, que la aplicación de los factores de desempate debe darse en armonía con los Acuerdos Comerciales vigentes suscritos por Colombia y señala que </w:t>
      </w:r>
      <w:r w:rsidRPr="32F57079">
        <w:rPr>
          <w:rFonts w:ascii="Verdana" w:hAnsi="Verdana" w:cs="Arial"/>
          <w:lang w:val="es-ES"/>
        </w:rPr>
        <w:t xml:space="preserve">en el evento en que el empate se presente entre ofertas cubiertas por un Acuerdo Comercial se aplicarán los factores de desempate que sean compatibles con los mencionados Acuerdos. Además, indica que, si el empate se presenta con un proponente, bien o servicio extranjero cuyo país de origen no tiene Acuerdo Comercial con Colombia, ni trato </w:t>
      </w:r>
      <w:r w:rsidRPr="32F57079">
        <w:rPr>
          <w:rFonts w:ascii="Verdana" w:hAnsi="Verdana" w:cs="Arial"/>
          <w:lang w:val="es-ES"/>
        </w:rPr>
        <w:lastRenderedPageBreak/>
        <w:t xml:space="preserve">nacional por reciprocidad o con ocasión de la normativa comunitaria, se dará aplicación a todos los criterios de desempate previstos en el Decreto. </w:t>
      </w:r>
    </w:p>
    <w:p w14:paraId="0D4416F8" w14:textId="77777777" w:rsidR="00BD480F" w:rsidRPr="00D10E89" w:rsidRDefault="00BD480F" w:rsidP="00BD480F">
      <w:pPr>
        <w:spacing w:after="0" w:line="276" w:lineRule="auto"/>
        <w:ind w:firstLine="709"/>
        <w:jc w:val="both"/>
        <w:rPr>
          <w:rFonts w:ascii="Verdana" w:hAnsi="Verdana" w:cs="Arial"/>
          <w:lang w:val="es-ES"/>
        </w:rPr>
      </w:pPr>
      <w:r w:rsidRPr="3AF63748">
        <w:rPr>
          <w:rFonts w:ascii="Verdana" w:hAnsi="Verdana" w:cs="Arial"/>
          <w:lang w:val="es-ES"/>
        </w:rPr>
        <w:t xml:space="preserve">Finalmente, el parágrafo tercero del artículo objeto de estudio consagra la obligación de las entidades estatales de garantizar el derecho a la reserva legal de toda la información que acredite el cumplimiento de los factores de desempate de: i) mujeres víctimas de violencia intrafamiliar; </w:t>
      </w:r>
      <w:proofErr w:type="spellStart"/>
      <w:r w:rsidRPr="3AF63748">
        <w:rPr>
          <w:rFonts w:ascii="Verdana" w:hAnsi="Verdana" w:cs="Arial"/>
          <w:lang w:val="es-ES"/>
        </w:rPr>
        <w:t>ii</w:t>
      </w:r>
      <w:proofErr w:type="spellEnd"/>
      <w:r w:rsidRPr="3AF63748">
        <w:rPr>
          <w:rFonts w:ascii="Verdana" w:hAnsi="Verdana" w:cs="Arial"/>
          <w:lang w:val="es-ES"/>
        </w:rPr>
        <w:t xml:space="preserve">) las personas en proceso de reincorporación y/o reintegración y; </w:t>
      </w:r>
      <w:proofErr w:type="spellStart"/>
      <w:r w:rsidRPr="3AF63748">
        <w:rPr>
          <w:rFonts w:ascii="Verdana" w:hAnsi="Verdana" w:cs="Arial"/>
          <w:lang w:val="es-ES"/>
        </w:rPr>
        <w:t>iii</w:t>
      </w:r>
      <w:proofErr w:type="spellEnd"/>
      <w:r w:rsidRPr="3AF63748">
        <w:rPr>
          <w:rFonts w:ascii="Verdana" w:hAnsi="Verdana" w:cs="Arial"/>
          <w:lang w:val="es-ES"/>
        </w:rPr>
        <w:t xml:space="preserve">) la población indígena, negra, afrocolombiana, raizal, palenquera, </w:t>
      </w:r>
      <w:proofErr w:type="spellStart"/>
      <w:r w:rsidRPr="3AF63748">
        <w:rPr>
          <w:rFonts w:ascii="Verdana" w:hAnsi="Verdana" w:cs="Arial"/>
          <w:lang w:val="es-ES"/>
        </w:rPr>
        <w:t>Rrom</w:t>
      </w:r>
      <w:proofErr w:type="spellEnd"/>
      <w:r w:rsidRPr="3AF63748">
        <w:rPr>
          <w:rFonts w:ascii="Verdana" w:hAnsi="Verdana" w:cs="Arial"/>
          <w:lang w:val="es-ES"/>
        </w:rPr>
        <w:t xml:space="preserve"> o gitana. En consonancia con lo anterior, dispone que en la plataforma del SECOP no se publicará para el conocimiento de terceros la información relacionada con los factores de desempate de personas en procesos de reincorporación o reintegración o mujeres víctimas de violencia intrafamiliar o la población indígena, negra, afrocolombiana, raizal, palenquera, </w:t>
      </w:r>
      <w:proofErr w:type="spellStart"/>
      <w:r w:rsidRPr="3AF63748">
        <w:rPr>
          <w:rFonts w:ascii="Verdana" w:hAnsi="Verdana" w:cs="Arial"/>
          <w:lang w:val="es-ES"/>
        </w:rPr>
        <w:t>Rrom</w:t>
      </w:r>
      <w:proofErr w:type="spellEnd"/>
      <w:r w:rsidRPr="3AF63748">
        <w:rPr>
          <w:rFonts w:ascii="Verdana" w:hAnsi="Verdana" w:cs="Arial"/>
          <w:lang w:val="es-ES"/>
        </w:rPr>
        <w:t xml:space="preserve"> o gitana, puesto que su público conocimiento puede afectar el derecho a la intimidad de los oferentes o de sus trabajadores o socios o accionistas.</w:t>
      </w:r>
    </w:p>
    <w:p w14:paraId="0831D0A3" w14:textId="77777777" w:rsidR="00BD480F" w:rsidRDefault="00BD480F" w:rsidP="00BD480F">
      <w:pPr>
        <w:spacing w:after="0" w:line="276" w:lineRule="auto"/>
        <w:ind w:firstLine="709"/>
        <w:jc w:val="both"/>
        <w:rPr>
          <w:rFonts w:ascii="Verdana" w:hAnsi="Verdana" w:cs="Arial"/>
          <w:lang w:val="es-ES"/>
        </w:rPr>
      </w:pPr>
    </w:p>
    <w:p w14:paraId="7A1DAB95" w14:textId="77777777" w:rsidR="00BD480F" w:rsidRPr="00D10E89" w:rsidRDefault="00BD480F" w:rsidP="00BD480F">
      <w:pPr>
        <w:spacing w:after="0" w:line="276" w:lineRule="auto"/>
        <w:jc w:val="both"/>
        <w:rPr>
          <w:rFonts w:ascii="Verdana" w:hAnsi="Verdana" w:cs="Arial"/>
          <w:lang w:val="es-ES"/>
        </w:rPr>
      </w:pPr>
      <w:proofErr w:type="spellStart"/>
      <w:r>
        <w:rPr>
          <w:rFonts w:ascii="Verdana" w:hAnsi="Verdana" w:cs="Arial"/>
          <w:lang w:val="es-ES"/>
        </w:rPr>
        <w:t>ii</w:t>
      </w:r>
      <w:proofErr w:type="spellEnd"/>
      <w:r>
        <w:rPr>
          <w:rFonts w:ascii="Verdana" w:hAnsi="Verdana" w:cs="Arial"/>
          <w:lang w:val="es-ES"/>
        </w:rPr>
        <w:t xml:space="preserve">) </w:t>
      </w:r>
      <w:r w:rsidRPr="32F57079">
        <w:rPr>
          <w:rFonts w:ascii="Verdana" w:hAnsi="Verdana" w:cs="Arial"/>
          <w:lang w:val="es-ES"/>
        </w:rPr>
        <w:t xml:space="preserve">Lo explicado en los párrafos precedentes también aplica </w:t>
      </w:r>
      <w:r w:rsidRPr="32F57079">
        <w:rPr>
          <w:rFonts w:ascii="Verdana" w:hAnsi="Verdana" w:cs="Arial"/>
          <w:i/>
          <w:lang w:val="es-ES"/>
        </w:rPr>
        <w:t>mutatis mutandis</w:t>
      </w:r>
      <w:r w:rsidRPr="32F57079">
        <w:rPr>
          <w:rFonts w:ascii="Verdana" w:hAnsi="Verdana" w:cs="Arial"/>
          <w:lang w:val="es-ES"/>
        </w:rPr>
        <w:t xml:space="preserve"> a los factores de desempate previstos en el Decreto Único Reglamentario del Sector Administrativo de Planeación Nacional para los procedimientos de mínima cuantía, a los que se refiere en su consulta.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5F4C74C8" w14:textId="77777777" w:rsidR="00BD480F" w:rsidRPr="00D10E89" w:rsidRDefault="00BD480F" w:rsidP="00BD480F">
      <w:pPr>
        <w:pStyle w:val="NormalWeb"/>
        <w:spacing w:before="0" w:beforeAutospacing="0" w:after="120" w:afterAutospacing="0" w:line="276" w:lineRule="auto"/>
        <w:ind w:firstLine="708"/>
        <w:jc w:val="both"/>
        <w:rPr>
          <w:rFonts w:ascii="Verdana" w:eastAsia="Calibri" w:hAnsi="Verdana" w:cs="Arial"/>
          <w:sz w:val="22"/>
          <w:szCs w:val="22"/>
          <w:lang w:val="es-ES"/>
        </w:rPr>
      </w:pPr>
      <w:r w:rsidRPr="32F57079">
        <w:rPr>
          <w:rFonts w:ascii="Verdana" w:eastAsia="Calibri" w:hAnsi="Verdana" w:cs="Arial"/>
          <w:sz w:val="22"/>
          <w:szCs w:val="22"/>
          <w:lang w:val="es-ES"/>
        </w:rPr>
        <w:t>Como se precisó anteriormente, los factores de desempate del artículo 35 de la Ley de Emprendimiento</w:t>
      </w:r>
      <w:r w:rsidRPr="32F57079">
        <w:rPr>
          <w:rFonts w:ascii="Verdana" w:eastAsia="Calibri" w:hAnsi="Verdana" w:cs="Arial"/>
          <w:i/>
          <w:sz w:val="22"/>
          <w:szCs w:val="22"/>
          <w:lang w:val="es-ES"/>
        </w:rPr>
        <w:t xml:space="preserve"> </w:t>
      </w:r>
      <w:r w:rsidRPr="32F57079">
        <w:rPr>
          <w:rFonts w:ascii="Verdana" w:eastAsia="Calibri" w:hAnsi="Verdana" w:cs="Arial"/>
          <w:sz w:val="22"/>
          <w:szCs w:val="22"/>
          <w:lang w:val="es-ES"/>
        </w:rPr>
        <w:t xml:space="preserve">no solo son aplicables a la contratación de las entidades regidas por el EGCAP, sino también a los procesos de selección de las entidades exceptuadas, a los que realicen los patrimonios autónomos constituidos por entidades estatales, y en general, en los procesos de selección realizados con cargo a recursos públicos. Debido a que la norma no distingue entre modalidades o procedimientos, </w:t>
      </w:r>
      <w:proofErr w:type="gramStart"/>
      <w:r w:rsidRPr="32F57079">
        <w:rPr>
          <w:rFonts w:ascii="Verdana" w:eastAsia="Calibri" w:hAnsi="Verdana" w:cs="Arial"/>
          <w:sz w:val="22"/>
          <w:szCs w:val="22"/>
          <w:lang w:val="es-ES"/>
        </w:rPr>
        <w:t>los factores de desempate se extiende</w:t>
      </w:r>
      <w:proofErr w:type="gramEnd"/>
      <w:r w:rsidRPr="32F57079">
        <w:rPr>
          <w:rFonts w:ascii="Verdana" w:eastAsia="Calibri" w:hAnsi="Verdana" w:cs="Arial"/>
          <w:sz w:val="22"/>
          <w:szCs w:val="22"/>
          <w:lang w:val="es-ES"/>
        </w:rPr>
        <w:t xml:space="preserve"> a todos los sujetos y escenarios mencionados.</w:t>
      </w:r>
    </w:p>
    <w:p w14:paraId="13290722" w14:textId="77777777" w:rsidR="00BD480F" w:rsidRPr="00D10E89" w:rsidRDefault="00BD480F" w:rsidP="00BD480F">
      <w:pPr>
        <w:spacing w:after="120" w:line="276" w:lineRule="auto"/>
        <w:jc w:val="both"/>
        <w:rPr>
          <w:rFonts w:ascii="Verdana" w:eastAsia="Calibri" w:hAnsi="Verdana" w:cs="Arial"/>
          <w:lang w:val="es-ES"/>
        </w:rPr>
      </w:pPr>
      <w:r w:rsidRPr="00D10E89">
        <w:rPr>
          <w:rFonts w:ascii="Verdana" w:eastAsia="Calibri" w:hAnsi="Verdana" w:cs="Arial"/>
          <w:lang w:val="es-ES_tradnl"/>
        </w:rPr>
        <w:lastRenderedPageBreak/>
        <w:tab/>
      </w:r>
      <w:bookmarkStart w:id="10" w:name="_Hlk102388390"/>
      <w:bookmarkStart w:id="11" w:name="_Hlk102984001"/>
      <w:r w:rsidRPr="32F57079">
        <w:rPr>
          <w:rFonts w:ascii="Verdana" w:eastAsia="Calibri" w:hAnsi="Verdana" w:cs="Arial"/>
          <w:lang w:val="es-ES"/>
        </w:rPr>
        <w:t>En ese sentido, la Agencia ha estimado que la aplicación del artículo 35 de la Ley 2069 de 2020</w:t>
      </w:r>
      <w:r w:rsidRPr="00D10E89">
        <w:rPr>
          <w:rFonts w:ascii="Verdana" w:hAnsi="Verdana" w:cs="Arial"/>
        </w:rPr>
        <w:t xml:space="preserve"> es transversal a los diferentes actores del sistema de compras </w:t>
      </w:r>
      <w:r>
        <w:rPr>
          <w:rFonts w:ascii="Verdana" w:hAnsi="Verdana" w:cs="Arial"/>
        </w:rPr>
        <w:t>y contratación</w:t>
      </w:r>
      <w:r w:rsidRPr="00D10E89">
        <w:rPr>
          <w:rFonts w:ascii="Verdana" w:hAnsi="Verdana" w:cs="Arial"/>
        </w:rPr>
        <w:t xml:space="preserve"> pública, quienes –indistintamente del régimen de contractual y el proceso de selección– deben aplicar los criterios de desempate </w:t>
      </w:r>
      <w:r>
        <w:rPr>
          <w:rFonts w:ascii="Verdana" w:hAnsi="Verdana" w:cs="Arial"/>
        </w:rPr>
        <w:t>incorporados en</w:t>
      </w:r>
      <w:r w:rsidRPr="00D10E89">
        <w:rPr>
          <w:rFonts w:ascii="Verdana" w:hAnsi="Verdana" w:cs="Arial"/>
        </w:rPr>
        <w:t xml:space="preserve"> esta norma, </w:t>
      </w:r>
      <w:r>
        <w:rPr>
          <w:rFonts w:ascii="Verdana" w:hAnsi="Verdana" w:cs="Arial"/>
        </w:rPr>
        <w:t>incluyendo</w:t>
      </w:r>
      <w:r w:rsidRPr="00D10E89">
        <w:rPr>
          <w:rFonts w:ascii="Verdana" w:hAnsi="Verdana" w:cs="Arial"/>
        </w:rPr>
        <w:t xml:space="preserve"> los procedimientos de subasta inversa y de mínima cuantía. </w:t>
      </w:r>
    </w:p>
    <w:p w14:paraId="28035B1A" w14:textId="77777777" w:rsidR="00BD480F" w:rsidRPr="00D10E89" w:rsidRDefault="00BD480F" w:rsidP="00BD480F">
      <w:pPr>
        <w:spacing w:after="120" w:line="276" w:lineRule="auto"/>
        <w:jc w:val="both"/>
        <w:rPr>
          <w:rFonts w:ascii="Verdana" w:eastAsia="Calibri" w:hAnsi="Verdana" w:cs="Arial"/>
          <w:bCs/>
        </w:rPr>
      </w:pPr>
      <w:r w:rsidRPr="00D10E89">
        <w:rPr>
          <w:rFonts w:ascii="Verdana" w:eastAsia="Calibri" w:hAnsi="Verdana" w:cs="Arial"/>
          <w:lang w:val="es-ES_tradnl"/>
        </w:rPr>
        <w:tab/>
      </w:r>
      <w:r w:rsidRPr="32F57079">
        <w:rPr>
          <w:rFonts w:ascii="Verdana" w:eastAsia="Calibri" w:hAnsi="Verdana" w:cs="Arial"/>
          <w:lang w:val="es-ES"/>
        </w:rPr>
        <w:t>El hecho de que en esta</w:t>
      </w:r>
      <w:r w:rsidRPr="32F57079" w:rsidDel="005C5ED8">
        <w:rPr>
          <w:rFonts w:ascii="Verdana" w:eastAsia="Calibri" w:hAnsi="Verdana" w:cs="Arial"/>
          <w:lang w:val="es-ES"/>
        </w:rPr>
        <w:t xml:space="preserve"> </w:t>
      </w:r>
      <w:r w:rsidRPr="32F57079">
        <w:rPr>
          <w:rFonts w:ascii="Verdana" w:eastAsia="Calibri" w:hAnsi="Verdana" w:cs="Arial"/>
          <w:lang w:val="es-ES"/>
        </w:rPr>
        <w:t>modalidad de selección la determinación de la oferta más favorable no esté mediada por el uso de “puntaje” y que el artículo 35 de la Ley 2069 de 2020 sea aplicable en “</w:t>
      </w:r>
      <w:r w:rsidRPr="00BA2A0E">
        <w:rPr>
          <w:rFonts w:ascii="Verdana" w:hAnsi="Verdana" w:cs="Arial"/>
        </w:rPr>
        <w:t>[…]</w:t>
      </w:r>
      <w:r w:rsidRPr="00D10E89">
        <w:rPr>
          <w:rFonts w:ascii="Verdana" w:hAnsi="Verdana" w:cs="Arial"/>
        </w:rPr>
        <w:t xml:space="preserve"> caso de empate en el </w:t>
      </w:r>
      <w:r w:rsidRPr="32F57079">
        <w:rPr>
          <w:rFonts w:ascii="Verdana" w:hAnsi="Verdana" w:cs="Arial"/>
          <w:i/>
        </w:rPr>
        <w:t>puntaje total</w:t>
      </w:r>
      <w:r w:rsidRPr="00D10E89">
        <w:rPr>
          <w:rFonts w:ascii="Verdana" w:hAnsi="Verdana" w:cs="Arial"/>
        </w:rPr>
        <w:t xml:space="preserve"> de dos o más ofertas […]”,</w:t>
      </w:r>
      <w:r w:rsidRPr="32F57079">
        <w:rPr>
          <w:rFonts w:ascii="Verdana" w:eastAsia="Calibri" w:hAnsi="Verdana" w:cs="Arial"/>
          <w:lang w:val="es-ES"/>
        </w:rPr>
        <w:t xml:space="preserve"> no significa la inaplicación de dicha noma</w:t>
      </w:r>
      <w:r w:rsidRPr="00D10E89">
        <w:rPr>
          <w:rFonts w:ascii="Verdana" w:eastAsia="Calibri" w:hAnsi="Verdana" w:cs="Arial"/>
          <w:bCs/>
        </w:rPr>
        <w:t xml:space="preserve">. </w:t>
      </w:r>
      <w:r w:rsidRPr="32F57079">
        <w:rPr>
          <w:rFonts w:ascii="Verdana" w:eastAsia="Calibri" w:hAnsi="Verdana" w:cs="Arial"/>
          <w:lang w:val="es-ES"/>
        </w:rPr>
        <w:t xml:space="preserve">Esto dado que una interpretación exegética del artículo 35, según la cual este solo es aplicable en los procedimientos en los que se use el “puntaje” como mecanismo de evaluación, no corresponde con la finalidad transversal de la norma, que busca que se apliquen a todos los procesos de contratación financiados con recursos públicos. </w:t>
      </w:r>
    </w:p>
    <w:bookmarkEnd w:id="10"/>
    <w:p w14:paraId="23CAAD51" w14:textId="77777777" w:rsidR="00BD480F" w:rsidRPr="00D10E89" w:rsidRDefault="00BD480F" w:rsidP="00BD480F">
      <w:pPr>
        <w:spacing w:after="120" w:line="276" w:lineRule="auto"/>
        <w:jc w:val="both"/>
        <w:rPr>
          <w:rFonts w:ascii="Verdana" w:eastAsia="Calibri" w:hAnsi="Verdana" w:cs="Arial"/>
          <w:bCs/>
        </w:rPr>
      </w:pPr>
      <w:r w:rsidRPr="00D10E89">
        <w:rPr>
          <w:rFonts w:ascii="Verdana" w:eastAsia="Calibri" w:hAnsi="Verdana" w:cs="Arial"/>
          <w:bCs/>
        </w:rPr>
        <w:tab/>
      </w:r>
      <w:bookmarkStart w:id="12" w:name="_Hlk102388416"/>
      <w:r w:rsidRPr="00D10E89">
        <w:rPr>
          <w:rFonts w:ascii="Verdana" w:eastAsia="Calibri" w:hAnsi="Verdana" w:cs="Arial"/>
          <w:bCs/>
        </w:rPr>
        <w:t xml:space="preserve">Por lo anterior, se considera que el alcance de la expresión </w:t>
      </w:r>
      <w:r w:rsidRPr="00D10E89">
        <w:rPr>
          <w:rFonts w:ascii="Verdana" w:eastAsia="Calibri" w:hAnsi="Verdana" w:cs="Arial"/>
          <w:bCs/>
          <w:i/>
          <w:iCs/>
        </w:rPr>
        <w:t xml:space="preserve">puntaje total, </w:t>
      </w:r>
      <w:r w:rsidRPr="00D10E89">
        <w:rPr>
          <w:rFonts w:ascii="Verdana" w:eastAsia="Calibri" w:hAnsi="Verdana" w:cs="Arial"/>
          <w:bCs/>
        </w:rPr>
        <w:t xml:space="preserve">contenida en el artículo 35 de la Ley 2069 de 2020, debe interpretarse sistemáticamente, propiciando una aplicación normativa coherente con otras disposiciones del sistema de compra pública y </w:t>
      </w:r>
      <w:r w:rsidRPr="32F57079">
        <w:rPr>
          <w:rFonts w:ascii="Verdana" w:eastAsia="Calibri" w:hAnsi="Verdana" w:cs="Arial"/>
        </w:rPr>
        <w:t>en</w:t>
      </w:r>
      <w:r>
        <w:rPr>
          <w:rFonts w:ascii="Verdana" w:eastAsia="Calibri" w:hAnsi="Verdana" w:cs="Arial"/>
          <w:bCs/>
        </w:rPr>
        <w:t xml:space="preserve"> función del principio de selección objetiva consagrado en el </w:t>
      </w:r>
      <w:r w:rsidRPr="00D10E89">
        <w:rPr>
          <w:rFonts w:ascii="Verdana" w:eastAsia="Calibri" w:hAnsi="Verdana" w:cs="Arial"/>
          <w:bCs/>
        </w:rPr>
        <w:t>artículo 5 de la Ley 1150 de 2007</w:t>
      </w:r>
      <w:r>
        <w:rPr>
          <w:rFonts w:ascii="Verdana" w:eastAsia="Calibri" w:hAnsi="Verdana" w:cs="Arial"/>
          <w:bCs/>
        </w:rPr>
        <w:t xml:space="preserve">. Este principio exige que la selección del contratista se base en criterios </w:t>
      </w:r>
      <w:r w:rsidRPr="00D10E89">
        <w:rPr>
          <w:rFonts w:ascii="Verdana" w:eastAsia="Calibri" w:hAnsi="Verdana" w:cs="Arial"/>
          <w:bCs/>
        </w:rPr>
        <w:t>objetiv</w:t>
      </w:r>
      <w:r>
        <w:rPr>
          <w:rFonts w:ascii="Verdana" w:eastAsia="Calibri" w:hAnsi="Verdana" w:cs="Arial"/>
          <w:bCs/>
        </w:rPr>
        <w:t xml:space="preserve">os </w:t>
      </w:r>
      <w:r w:rsidRPr="00D10E89">
        <w:rPr>
          <w:rFonts w:ascii="Verdana" w:eastAsia="Calibri" w:hAnsi="Verdana" w:cs="Arial"/>
          <w:bCs/>
        </w:rPr>
        <w:t>para la entidad y los fines de la contratación</w:t>
      </w:r>
      <w:r>
        <w:rPr>
          <w:rFonts w:ascii="Verdana" w:eastAsia="Calibri" w:hAnsi="Verdana" w:cs="Arial"/>
          <w:bCs/>
        </w:rPr>
        <w:t>, excluyendo cualquier motivación subjetiva</w:t>
      </w:r>
      <w:r w:rsidRPr="00D10E89">
        <w:rPr>
          <w:rFonts w:ascii="Verdana" w:eastAsia="Calibri" w:hAnsi="Verdana" w:cs="Arial"/>
          <w:bCs/>
        </w:rPr>
        <w:t>.</w:t>
      </w:r>
    </w:p>
    <w:bookmarkEnd w:id="11"/>
    <w:bookmarkEnd w:id="12"/>
    <w:p w14:paraId="3167D119" w14:textId="77777777" w:rsidR="00BD480F" w:rsidRPr="000E093A" w:rsidRDefault="00BD480F" w:rsidP="00BD480F">
      <w:pPr>
        <w:spacing w:after="120" w:line="276" w:lineRule="auto"/>
        <w:jc w:val="both"/>
        <w:rPr>
          <w:rFonts w:ascii="Verdana" w:eastAsia="Calibri" w:hAnsi="Verdana" w:cs="Arial"/>
          <w:lang w:val="es-ES"/>
        </w:rPr>
      </w:pPr>
      <w:r w:rsidRPr="00D10E89">
        <w:rPr>
          <w:rFonts w:ascii="Verdana" w:eastAsia="Calibri" w:hAnsi="Verdana" w:cs="Arial"/>
          <w:bCs/>
        </w:rPr>
        <w:tab/>
      </w:r>
      <w:r w:rsidRPr="32F57079" w:rsidDel="004562AD">
        <w:rPr>
          <w:lang w:val="es-ES_tradnl"/>
        </w:rPr>
        <w:t>￼</w:t>
      </w:r>
      <w:r w:rsidRPr="000E093A">
        <w:rPr>
          <w:rFonts w:ascii="Verdana" w:eastAsia="Calibri" w:hAnsi="Verdana" w:cs="Arial"/>
          <w:lang w:val="es-ES"/>
        </w:rPr>
        <w:t>En tal sentido, la Corte Constitucional explica que</w:t>
      </w:r>
      <w:r>
        <w:rPr>
          <w:rFonts w:ascii="Verdana" w:eastAsia="Calibri" w:hAnsi="Verdana" w:cs="Arial"/>
          <w:lang w:val="es-ES"/>
        </w:rPr>
        <w:t>,</w:t>
      </w:r>
      <w:r w:rsidRPr="000E093A">
        <w:rPr>
          <w:rFonts w:ascii="Verdana" w:eastAsia="Calibri" w:hAnsi="Verdana" w:cs="Arial"/>
          <w:lang w:val="es-ES"/>
        </w:rPr>
        <w:t xml:space="preserve"> cuando la ley establece factores de desempate obligatorios, las entidades estatales no pueden </w:t>
      </w:r>
      <w:proofErr w:type="spellStart"/>
      <w:r w:rsidRPr="000E093A">
        <w:rPr>
          <w:rFonts w:ascii="Verdana" w:eastAsia="Calibri" w:hAnsi="Verdana" w:cs="Arial"/>
          <w:lang w:val="es-ES"/>
        </w:rPr>
        <w:t>inaplicarlos</w:t>
      </w:r>
      <w:proofErr w:type="spellEnd"/>
      <w:r w:rsidRPr="000E093A">
        <w:rPr>
          <w:rFonts w:ascii="Verdana" w:eastAsia="Calibri" w:hAnsi="Verdana" w:cs="Arial"/>
          <w:lang w:val="es-ES"/>
        </w:rPr>
        <w:t>, porque ello podría vulnerar el principio de igualdad, especialmente, cuando algunos de estos criterios surgen como acciones afirmativas para ciertos sectores de la población</w:t>
      </w:r>
      <w:r w:rsidRPr="000E093A">
        <w:rPr>
          <w:rFonts w:ascii="Verdana" w:eastAsia="Calibri" w:hAnsi="Verdana" w:cs="Arial"/>
          <w:vertAlign w:val="superscript"/>
          <w:lang w:val="es-ES"/>
        </w:rPr>
        <w:footnoteReference w:id="8"/>
      </w:r>
      <w:r w:rsidRPr="000E093A">
        <w:rPr>
          <w:rFonts w:ascii="Verdana" w:eastAsia="Calibri" w:hAnsi="Verdana" w:cs="Arial"/>
          <w:lang w:val="es-ES"/>
        </w:rPr>
        <w:t xml:space="preserve">. </w:t>
      </w:r>
      <w:r>
        <w:rPr>
          <w:rFonts w:ascii="Verdana" w:eastAsia="Calibri" w:hAnsi="Verdana" w:cs="Arial"/>
          <w:lang w:val="es-ES"/>
        </w:rPr>
        <w:t>En esta misma línea</w:t>
      </w:r>
      <w:r w:rsidRPr="000E093A">
        <w:rPr>
          <w:rFonts w:ascii="Verdana" w:eastAsia="Calibri" w:hAnsi="Verdana" w:cs="Arial"/>
          <w:lang w:val="es-ES"/>
        </w:rPr>
        <w:t>, el Consejo de Estado ha señalado que contrariar los factores de desempate genera la nulidad del contrato, conforme al artículo 44, inciso 1º de la Ley 80 de 1993</w:t>
      </w:r>
      <w:r w:rsidRPr="000E093A">
        <w:rPr>
          <w:rFonts w:ascii="Verdana" w:eastAsia="Calibri" w:hAnsi="Verdana" w:cs="Arial"/>
          <w:vertAlign w:val="superscript"/>
          <w:lang w:val="es-ES"/>
        </w:rPr>
        <w:footnoteReference w:id="9"/>
      </w:r>
      <w:r w:rsidRPr="000E093A">
        <w:rPr>
          <w:rFonts w:ascii="Verdana" w:eastAsia="Calibri" w:hAnsi="Verdana" w:cs="Arial"/>
          <w:lang w:val="es-ES"/>
        </w:rPr>
        <w:t>.</w:t>
      </w:r>
    </w:p>
    <w:p w14:paraId="76CD694C" w14:textId="77777777" w:rsidR="00BD480F" w:rsidRPr="00D10E89" w:rsidRDefault="00BD480F" w:rsidP="00BD480F">
      <w:pPr>
        <w:spacing w:after="120" w:line="276" w:lineRule="auto"/>
        <w:ind w:firstLine="709"/>
        <w:jc w:val="both"/>
        <w:rPr>
          <w:rFonts w:ascii="Verdana" w:eastAsia="Calibri" w:hAnsi="Verdana" w:cs="Arial"/>
          <w:lang w:val="es-ES"/>
        </w:rPr>
      </w:pPr>
      <w:r w:rsidRPr="32F57079">
        <w:rPr>
          <w:rFonts w:ascii="Verdana" w:eastAsia="Calibri" w:hAnsi="Verdana" w:cs="Arial"/>
          <w:lang w:val="es-ES"/>
        </w:rPr>
        <w:lastRenderedPageBreak/>
        <w:t xml:space="preserve">En gracia de discusión, asumir que los factores de desempate del artículo 35 de la Ley 2069 de 2020 únicamente son aplicables a los procesos de selección en los que se empleen sistemas de asignación de puntaje para determinar la oferta más favorable, conduciría a entender que estos no rigen en otros procedimientos de selección, como en aquellos en los cuales se ponderan condiciones técnicas y económicas mínimas y adicionales para escoger la oferta que represente la mejor relación costo beneficio, procedimientos en los que también es posible que se presenten empates. Esta interpretación permitiría </w:t>
      </w:r>
      <w:r w:rsidRPr="6CC6C521">
        <w:rPr>
          <w:rFonts w:ascii="Verdana" w:eastAsia="Calibri" w:hAnsi="Verdana" w:cs="Arial"/>
          <w:lang w:val="es-ES"/>
        </w:rPr>
        <w:t>a</w:t>
      </w:r>
      <w:r>
        <w:rPr>
          <w:rFonts w:ascii="Verdana" w:eastAsia="Calibri" w:hAnsi="Verdana" w:cs="Arial"/>
          <w:lang w:val="es-ES"/>
        </w:rPr>
        <w:t xml:space="preserve"> l</w:t>
      </w:r>
      <w:r w:rsidRPr="265336D7">
        <w:rPr>
          <w:rFonts w:ascii="Verdana" w:eastAsia="Calibri" w:hAnsi="Verdana" w:cs="Arial"/>
          <w:lang w:val="es-ES"/>
        </w:rPr>
        <w:t xml:space="preserve">as entidades estatales </w:t>
      </w:r>
      <w:r>
        <w:rPr>
          <w:rFonts w:ascii="Verdana" w:eastAsia="Calibri" w:hAnsi="Verdana" w:cs="Arial"/>
          <w:lang w:val="es-ES"/>
        </w:rPr>
        <w:t xml:space="preserve">decidir discrecionalmente </w:t>
      </w:r>
      <w:r w:rsidRPr="265336D7">
        <w:rPr>
          <w:rFonts w:ascii="Verdana" w:eastAsia="Calibri" w:hAnsi="Verdana" w:cs="Arial"/>
          <w:lang w:val="es-ES"/>
        </w:rPr>
        <w:t>si aplica</w:t>
      </w:r>
      <w:r>
        <w:rPr>
          <w:rFonts w:ascii="Verdana" w:eastAsia="Calibri" w:hAnsi="Verdana" w:cs="Arial"/>
          <w:lang w:val="es-ES"/>
        </w:rPr>
        <w:t>n</w:t>
      </w:r>
      <w:r w:rsidRPr="265336D7">
        <w:rPr>
          <w:rFonts w:ascii="Verdana" w:eastAsia="Calibri" w:hAnsi="Verdana" w:cs="Arial"/>
          <w:lang w:val="es-ES"/>
        </w:rPr>
        <w:t xml:space="preserve"> o no el artículo 35 de la Ley de Emprendimiento, </w:t>
      </w:r>
      <w:r w:rsidRPr="32F57079">
        <w:rPr>
          <w:rFonts w:ascii="Verdana" w:eastAsia="Calibri" w:hAnsi="Verdana" w:cs="Arial"/>
          <w:lang w:val="es-ES"/>
        </w:rPr>
        <w:t>dependiendo</w:t>
      </w:r>
      <w:r>
        <w:rPr>
          <w:rFonts w:ascii="Verdana" w:eastAsia="Calibri" w:hAnsi="Verdana" w:cs="Arial"/>
          <w:lang w:val="es-ES"/>
        </w:rPr>
        <w:t xml:space="preserve"> de si optan por usar o no puntajes en sus pliegos, lo cual desnaturaliza su carácter obligatorio y transversal</w:t>
      </w:r>
      <w:r w:rsidRPr="265336D7">
        <w:rPr>
          <w:rFonts w:ascii="Verdana" w:eastAsia="Calibri" w:hAnsi="Verdana" w:cs="Arial"/>
          <w:lang w:val="es-ES"/>
        </w:rPr>
        <w:t>. Esta consecuencia también se aprecia en el caso de las entidades exceptuadas, quienes, al no estar sujetas al artículo 5 de la Ley 1150 de 2007, tendrían la posibilidad de configurar procesos de selección en los que no se utilicen puntajes para escoger la oferta ganadora, inaplicando los factores de desempate del artículo 35 de la Ley 2069 de 2020.</w:t>
      </w:r>
    </w:p>
    <w:p w14:paraId="414D71CF" w14:textId="77777777" w:rsidR="00BD480F" w:rsidRPr="00D10E89" w:rsidRDefault="00BD480F" w:rsidP="00BD480F">
      <w:pPr>
        <w:spacing w:after="120" w:line="276" w:lineRule="auto"/>
        <w:jc w:val="both"/>
        <w:rPr>
          <w:rFonts w:ascii="Verdana" w:eastAsia="Calibri" w:hAnsi="Verdana" w:cs="Arial"/>
          <w:lang w:val="es-ES"/>
        </w:rPr>
      </w:pPr>
      <w:r w:rsidRPr="00D10E89">
        <w:rPr>
          <w:rFonts w:ascii="Verdana" w:eastAsia="Calibri" w:hAnsi="Verdana" w:cs="Arial"/>
          <w:bCs/>
          <w:lang w:val="es-ES_tradnl"/>
        </w:rPr>
        <w:tab/>
      </w:r>
      <w:r w:rsidRPr="32F57079">
        <w:rPr>
          <w:rFonts w:ascii="Verdana" w:eastAsia="Calibri" w:hAnsi="Verdana" w:cs="Arial"/>
          <w:lang w:val="es-ES"/>
        </w:rPr>
        <w:t xml:space="preserve">Conforme a las consideraciones expuestas en este concepto, una interpretación literal de la expresión </w:t>
      </w:r>
      <w:r w:rsidRPr="32F57079">
        <w:rPr>
          <w:rFonts w:ascii="Verdana" w:eastAsia="Calibri" w:hAnsi="Verdana" w:cs="Arial"/>
          <w:i/>
          <w:lang w:val="es-ES"/>
        </w:rPr>
        <w:t>puntaje total</w:t>
      </w:r>
      <w:r w:rsidRPr="32F57079">
        <w:rPr>
          <w:rFonts w:ascii="Verdana" w:eastAsia="Calibri" w:hAnsi="Verdana" w:cs="Arial"/>
          <w:lang w:val="es-ES"/>
        </w:rPr>
        <w:t xml:space="preserve"> contenida en el artículo 35 de la 2069 de 2020 se restringiría el alcance y los efectos de la norma referida, al permitir que los destinatarios eludan su aplicación. Esto implicaría que la finalidad transversal del artículo 35 de la Ley 2069 de 2020 quedaría cercenada por su interpretación exegética, generando consecuencias contrarias a su espíritu como las descritas en el párrafo precedente.  </w:t>
      </w:r>
    </w:p>
    <w:p w14:paraId="5313ECF0" w14:textId="77777777" w:rsidR="00BD480F" w:rsidRPr="00D10E89" w:rsidRDefault="00BD480F" w:rsidP="00BD480F">
      <w:pPr>
        <w:spacing w:after="120" w:line="276" w:lineRule="auto"/>
        <w:jc w:val="both"/>
        <w:rPr>
          <w:rFonts w:ascii="Verdana" w:hAnsi="Verdana" w:cs="Arial"/>
        </w:rPr>
      </w:pPr>
      <w:r w:rsidRPr="00D10E89">
        <w:rPr>
          <w:rFonts w:ascii="Verdana" w:eastAsia="Calibri" w:hAnsi="Verdana" w:cs="Arial"/>
          <w:bCs/>
          <w:lang w:val="es-ES_tradnl"/>
        </w:rPr>
        <w:tab/>
      </w:r>
      <w:r w:rsidRPr="32F57079">
        <w:rPr>
          <w:rFonts w:ascii="Verdana" w:eastAsia="Calibri" w:hAnsi="Verdana" w:cs="Arial"/>
          <w:lang w:val="es-ES"/>
        </w:rPr>
        <w:t xml:space="preserve">Por esta razón, es indispensable para esta Agencia aclarar la posición sostenida en los conceptos previamente emitidos, como el C-246 de 2025 al que se refiere en su solicitud, en el sentido de señalar que el artículo 35 de la Ley de Emprendimiento, que consagra los factores de desempate es aplicable a los procesos de contratación adelantados por la modalidad de mínima cuantía. </w:t>
      </w:r>
      <w:bookmarkStart w:id="13" w:name="_Hlk69752682"/>
      <w:r w:rsidRPr="32F57079">
        <w:rPr>
          <w:rFonts w:ascii="Verdana" w:eastAsia="Calibri" w:hAnsi="Verdana" w:cs="Arial"/>
          <w:lang w:val="es-ES"/>
        </w:rPr>
        <w:t xml:space="preserve">Conforme a esta interpretación, la expresión </w:t>
      </w:r>
      <w:r w:rsidRPr="00D10E89">
        <w:rPr>
          <w:rFonts w:ascii="Verdana" w:hAnsi="Verdana" w:cs="Arial"/>
          <w:i/>
          <w:iCs/>
        </w:rPr>
        <w:t>empate en el puntaje total</w:t>
      </w:r>
      <w:r w:rsidRPr="00D10E89">
        <w:rPr>
          <w:rFonts w:ascii="Verdana" w:hAnsi="Verdana" w:cs="Arial"/>
        </w:rPr>
        <w:t xml:space="preserve"> </w:t>
      </w:r>
      <w:r w:rsidRPr="001F22FB">
        <w:rPr>
          <w:rFonts w:ascii="Verdana" w:hAnsi="Verdana" w:cs="Arial"/>
        </w:rPr>
        <w:t xml:space="preserve">debe entenderse como la situación en la que, al finalizar la evaluación de las ofertas conforme a los criterios de calificación, ponderación o comparación establecidos en el procedimiento correspondiente, </w:t>
      </w:r>
      <w:r w:rsidRPr="00D10E89">
        <w:rPr>
          <w:rFonts w:ascii="Verdana" w:hAnsi="Verdana" w:cs="Arial"/>
        </w:rPr>
        <w:t xml:space="preserve">se presenta un empate entre dos o más propuestas. </w:t>
      </w:r>
    </w:p>
    <w:p w14:paraId="3E758BC1" w14:textId="77777777" w:rsidR="00BD480F" w:rsidRPr="00D10E89" w:rsidRDefault="00BD480F" w:rsidP="00BD480F">
      <w:pPr>
        <w:spacing w:after="120" w:line="276" w:lineRule="auto"/>
        <w:jc w:val="both"/>
        <w:rPr>
          <w:rFonts w:ascii="Verdana" w:hAnsi="Verdana" w:cs="Arial"/>
        </w:rPr>
      </w:pPr>
      <w:r w:rsidRPr="00D10E89">
        <w:rPr>
          <w:rFonts w:ascii="Verdana" w:hAnsi="Verdana" w:cs="Arial"/>
        </w:rPr>
        <w:tab/>
        <w:t xml:space="preserve">En </w:t>
      </w:r>
      <w:r>
        <w:rPr>
          <w:rFonts w:ascii="Verdana" w:hAnsi="Verdana" w:cs="Arial"/>
        </w:rPr>
        <w:t>consecuencia</w:t>
      </w:r>
      <w:r w:rsidRPr="00D10E89">
        <w:rPr>
          <w:rFonts w:ascii="Verdana" w:hAnsi="Verdana" w:cs="Arial"/>
        </w:rPr>
        <w:t xml:space="preserve">, con independencia de que la </w:t>
      </w:r>
      <w:r>
        <w:rPr>
          <w:rFonts w:ascii="Verdana" w:hAnsi="Verdana" w:cs="Arial"/>
        </w:rPr>
        <w:t>evaluación se base en</w:t>
      </w:r>
      <w:r w:rsidRPr="00D10E89">
        <w:rPr>
          <w:rFonts w:ascii="Verdana" w:hAnsi="Verdana" w:cs="Arial"/>
        </w:rPr>
        <w:t xml:space="preserve"> puntajes,  fórmulas, criterios de relación costo – beneficio o de que el único criterio de evaluación sea el menor precio, los factores de desempate del artículo </w:t>
      </w:r>
      <w:r w:rsidRPr="00D10E89">
        <w:rPr>
          <w:rFonts w:ascii="Verdana" w:hAnsi="Verdana" w:cs="Arial"/>
        </w:rPr>
        <w:lastRenderedPageBreak/>
        <w:t xml:space="preserve">35 de la Ley 2069 de 2020 </w:t>
      </w:r>
      <w:r>
        <w:rPr>
          <w:rFonts w:ascii="Verdana" w:hAnsi="Verdana" w:cs="Arial"/>
        </w:rPr>
        <w:t xml:space="preserve"> </w:t>
      </w:r>
      <w:r w:rsidRPr="00D10E89">
        <w:rPr>
          <w:rFonts w:ascii="Verdana" w:hAnsi="Verdana" w:cs="Arial"/>
        </w:rPr>
        <w:t>deben aplicarse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Pr>
          <w:rFonts w:ascii="Verdana" w:hAnsi="Verdana" w:cs="Arial"/>
        </w:rPr>
        <w:t xml:space="preserve"> </w:t>
      </w:r>
    </w:p>
    <w:bookmarkEnd w:id="13"/>
    <w:p w14:paraId="3E7F396A" w14:textId="77777777" w:rsidR="00BD480F" w:rsidRPr="00D10E89" w:rsidRDefault="00BD480F" w:rsidP="00BD480F">
      <w:pPr>
        <w:spacing w:after="120" w:line="276" w:lineRule="auto"/>
        <w:jc w:val="both"/>
        <w:rPr>
          <w:rFonts w:ascii="Verdana" w:eastAsia="Calibri" w:hAnsi="Verdana" w:cs="Arial"/>
          <w:b/>
          <w:lang w:val="es-ES"/>
        </w:rPr>
      </w:pPr>
      <w:r w:rsidRPr="00D10E89">
        <w:rPr>
          <w:rFonts w:ascii="Verdana" w:eastAsia="Calibri" w:hAnsi="Verdana" w:cs="Arial"/>
          <w:bCs/>
          <w:lang w:val="es-ES_tradnl"/>
        </w:rPr>
        <w:tab/>
      </w:r>
      <w:r w:rsidRPr="32F57079">
        <w:rPr>
          <w:rFonts w:ascii="Verdana" w:eastAsia="Calibri" w:hAnsi="Verdana" w:cs="Arial"/>
          <w:lang w:val="es-ES"/>
        </w:rPr>
        <w:t>Esta interpretación garantiza la efectividad del artículo 35 de la Ley 2069 de 2020 y su aplicación transversal dentro del sistema de compras y contratación pública, a diferencia de una lectura literal que restringiría su ámbito de aplicación. En ese sentido, la interpretación sistemática está respaldada por la aplicación del principio hermenéutico del</w:t>
      </w:r>
      <w:r w:rsidRPr="32F57079">
        <w:rPr>
          <w:rFonts w:ascii="Verdana" w:eastAsia="Calibri" w:hAnsi="Verdana" w:cs="Arial"/>
          <w:i/>
          <w:lang w:val="es-ES"/>
        </w:rPr>
        <w:t xml:space="preserve"> efecto útil de las normas</w:t>
      </w:r>
      <w:r w:rsidRPr="00D10E89">
        <w:rPr>
          <w:rStyle w:val="Refdenotaalpie"/>
          <w:rFonts w:ascii="Verdana" w:hAnsi="Verdana" w:cs="Arial"/>
        </w:rPr>
        <w:footnoteReference w:id="10"/>
      </w:r>
      <w:r w:rsidRPr="32F57079">
        <w:rPr>
          <w:rFonts w:ascii="Verdana" w:eastAsia="Calibri" w:hAnsi="Verdana" w:cs="Arial"/>
          <w:lang w:val="es-ES"/>
        </w:rPr>
        <w:t xml:space="preserve">, que </w:t>
      </w:r>
      <w:r>
        <w:rPr>
          <w:rFonts w:ascii="Verdana" w:hAnsi="Verdana" w:cs="Arial"/>
        </w:rPr>
        <w:t xml:space="preserve">exige </w:t>
      </w:r>
      <w:r w:rsidRPr="00DB33EB">
        <w:rPr>
          <w:rFonts w:ascii="Verdana" w:hAnsi="Verdana" w:cs="Arial"/>
        </w:rPr>
        <w:t>interpretar las disposiciones legales de forma que produzcan efectos jurídicos plenos y no resulten inocuas.</w:t>
      </w:r>
      <w:r w:rsidRPr="32F57079">
        <w:rPr>
          <w:rFonts w:ascii="Verdana" w:eastAsia="Calibri" w:hAnsi="Verdana" w:cs="Arial"/>
          <w:lang w:val="es-ES"/>
        </w:rPr>
        <w:t xml:space="preserve"> </w:t>
      </w:r>
    </w:p>
    <w:p w14:paraId="31CA6A3B" w14:textId="77777777" w:rsidR="00BD480F" w:rsidRPr="00D10E89" w:rsidRDefault="00BD480F" w:rsidP="00BD480F">
      <w:pPr>
        <w:spacing w:after="120" w:line="276" w:lineRule="auto"/>
        <w:ind w:firstLine="709"/>
        <w:jc w:val="both"/>
        <w:rPr>
          <w:rFonts w:ascii="Verdana" w:eastAsia="Calibri" w:hAnsi="Verdana" w:cs="Arial"/>
          <w:lang w:val="es-ES"/>
        </w:rPr>
      </w:pPr>
      <w:bookmarkStart w:id="14" w:name="_Hlk102388433"/>
      <w:r w:rsidRPr="265336D7">
        <w:rPr>
          <w:rFonts w:ascii="Verdana" w:eastAsia="Calibri" w:hAnsi="Verdana" w:cs="Arial"/>
          <w:lang w:val="es-ES"/>
        </w:rPr>
        <w:t>Sumado a los argumentos antes expuestos</w:t>
      </w:r>
      <w:r w:rsidRPr="00BA2A0E">
        <w:rPr>
          <w:rFonts w:ascii="Verdana" w:eastAsia="Calibri" w:hAnsi="Verdana" w:cs="Arial"/>
          <w:lang w:val="es-ES"/>
        </w:rPr>
        <w:t>, y en relación con el objeto de su consulta</w:t>
      </w:r>
      <w:r w:rsidRPr="265336D7">
        <w:rPr>
          <w:rFonts w:ascii="Verdana" w:eastAsia="Calibri" w:hAnsi="Verdana" w:cs="Arial"/>
          <w:lang w:val="es-ES"/>
        </w:rPr>
        <w:t>, se debe tener en cuenta que el Decreto 1860 de 2021, mediante el cual se reglamentó la Ley 2069 de 2020, dispuso de forma expresa la aplicación de los factores de desempate dispuesto</w:t>
      </w:r>
      <w:r>
        <w:rPr>
          <w:rFonts w:ascii="Verdana" w:eastAsia="Calibri" w:hAnsi="Verdana" w:cs="Arial"/>
          <w:lang w:val="es-ES"/>
        </w:rPr>
        <w:t>s</w:t>
      </w:r>
      <w:r w:rsidRPr="265336D7">
        <w:rPr>
          <w:rFonts w:ascii="Verdana" w:eastAsia="Calibri" w:hAnsi="Verdana" w:cs="Arial"/>
          <w:lang w:val="es-ES"/>
        </w:rPr>
        <w:t xml:space="preserve"> en el artículo 35 a los procedimientos de mínima cuantía. </w:t>
      </w:r>
      <w:r>
        <w:rPr>
          <w:rFonts w:ascii="Verdana" w:eastAsia="Calibri" w:hAnsi="Verdana" w:cs="Arial"/>
          <w:lang w:val="es-ES"/>
        </w:rPr>
        <w:t>En efecto</w:t>
      </w:r>
      <w:r w:rsidRPr="265336D7">
        <w:rPr>
          <w:rFonts w:ascii="Verdana" w:eastAsia="Calibri" w:hAnsi="Verdana" w:cs="Arial"/>
          <w:lang w:val="es-ES"/>
        </w:rPr>
        <w:t>, el artículo 2.2.1.2.1.5.2 del Decreto 1082 de 2015, modificado por el artículo 2 del Decreto 1860 de 2021, regula el procedimiento aplicable para la modalidad de mínima cuantía</w:t>
      </w:r>
      <w:r>
        <w:rPr>
          <w:rFonts w:ascii="Verdana" w:eastAsia="Calibri" w:hAnsi="Verdana" w:cs="Arial"/>
          <w:lang w:val="es-ES"/>
        </w:rPr>
        <w:t xml:space="preserve">. </w:t>
      </w:r>
      <w:r>
        <w:rPr>
          <w:rFonts w:ascii="Verdana" w:eastAsia="Calibri" w:hAnsi="Verdana" w:cs="Arial"/>
          <w:lang w:val="es-ES" w:eastAsia="es-CO"/>
        </w:rPr>
        <w:t>E</w:t>
      </w:r>
      <w:r w:rsidRPr="265336D7">
        <w:rPr>
          <w:rFonts w:ascii="Verdana" w:eastAsia="Calibri" w:hAnsi="Verdana" w:cs="Arial"/>
          <w:lang w:val="es-ES" w:eastAsia="es-CO"/>
        </w:rPr>
        <w:t>n su numeral 8</w:t>
      </w:r>
      <w:r w:rsidRPr="265336D7">
        <w:rPr>
          <w:rStyle w:val="Refdenotaalpie"/>
          <w:rFonts w:ascii="Verdana" w:eastAsia="Calibri" w:hAnsi="Verdana" w:cs="Arial"/>
          <w:lang w:val="es-ES" w:eastAsia="es-CO"/>
        </w:rPr>
        <w:footnoteReference w:id="11"/>
      </w:r>
      <w:r>
        <w:rPr>
          <w:rFonts w:ascii="Verdana" w:eastAsia="Calibri" w:hAnsi="Verdana" w:cs="Arial"/>
          <w:lang w:val="es-ES" w:eastAsia="es-CO"/>
        </w:rPr>
        <w:t xml:space="preserve"> </w:t>
      </w:r>
      <w:r w:rsidRPr="265336D7">
        <w:rPr>
          <w:rFonts w:ascii="Verdana" w:eastAsia="Calibri" w:hAnsi="Verdana" w:cs="Arial"/>
          <w:lang w:val="es-ES" w:eastAsia="es-CO"/>
        </w:rPr>
        <w:t>dispone</w:t>
      </w:r>
      <w:r>
        <w:rPr>
          <w:rFonts w:ascii="Verdana" w:eastAsia="Calibri" w:hAnsi="Verdana" w:cs="Arial"/>
          <w:lang w:val="es-ES" w:eastAsia="es-CO"/>
        </w:rPr>
        <w:t xml:space="preserve"> que</w:t>
      </w:r>
      <w:r>
        <w:rPr>
          <w:rFonts w:ascii="Verdana" w:eastAsia="Calibri" w:hAnsi="Verdana" w:cs="Arial"/>
          <w:lang w:val="es-ES"/>
        </w:rPr>
        <w:t>,</w:t>
      </w:r>
      <w:r w:rsidRPr="265336D7">
        <w:rPr>
          <w:rFonts w:ascii="Verdana" w:eastAsia="Calibri" w:hAnsi="Verdana" w:cs="Arial"/>
          <w:lang w:val="es-ES"/>
        </w:rPr>
        <w:t xml:space="preserve"> en caso de empate se aplicaran los criterios de que trata el artículo 35 de la Ley 2069 de 2020, conforme lo medios de acreditación dispuestos en el artículo 2.2.1.2.4.2.17. del mismo Decreto. </w:t>
      </w:r>
      <w:bookmarkEnd w:id="14"/>
    </w:p>
    <w:p w14:paraId="3D5A214A" w14:textId="77777777" w:rsidR="00BD480F" w:rsidRPr="00D10E89" w:rsidRDefault="00BD480F" w:rsidP="00BD480F">
      <w:pPr>
        <w:spacing w:after="120" w:line="276" w:lineRule="auto"/>
        <w:ind w:firstLine="709"/>
        <w:jc w:val="both"/>
        <w:rPr>
          <w:rFonts w:ascii="Verdana" w:hAnsi="Verdana" w:cs="Arial"/>
          <w:lang w:val="es-ES"/>
        </w:rPr>
      </w:pPr>
      <w:bookmarkStart w:id="15" w:name="_Hlk69487468"/>
      <w:bookmarkStart w:id="16" w:name="_Hlk79145750"/>
      <w:r w:rsidRPr="32F57079">
        <w:rPr>
          <w:rFonts w:ascii="Verdana" w:eastAsia="Calibri" w:hAnsi="Verdana" w:cs="Arial"/>
          <w:lang w:val="es-ES"/>
        </w:rPr>
        <w:t xml:space="preserve">En conclusión, el artículo 35 de la Ley 2069 de 2020, modificó el régimen de los factores de desempate en la contratación estatal, estableciendo criterios que deben aplicarse a todos los procesos de selección con cargo a recursos </w:t>
      </w:r>
      <w:proofErr w:type="gramStart"/>
      <w:r w:rsidRPr="32F57079">
        <w:rPr>
          <w:rFonts w:ascii="Verdana" w:eastAsia="Calibri" w:hAnsi="Verdana" w:cs="Arial"/>
          <w:lang w:val="es-ES"/>
        </w:rPr>
        <w:t xml:space="preserve">públicos,  </w:t>
      </w:r>
      <w:r w:rsidRPr="32F57079">
        <w:rPr>
          <w:rFonts w:ascii="Verdana" w:hAnsi="Verdana" w:cs="Arial"/>
          <w:lang w:val="es-ES"/>
        </w:rPr>
        <w:t>sin</w:t>
      </w:r>
      <w:proofErr w:type="gramEnd"/>
      <w:r w:rsidRPr="32F57079">
        <w:rPr>
          <w:rFonts w:ascii="Verdana" w:hAnsi="Verdana" w:cs="Arial"/>
          <w:lang w:val="es-ES"/>
        </w:rPr>
        <w:t xml:space="preserve"> distinguir entre modalidades de selección. </w:t>
      </w:r>
      <w:r w:rsidRPr="00E17F43">
        <w:rPr>
          <w:rFonts w:ascii="Verdana" w:hAnsi="Verdana" w:cs="Arial"/>
        </w:rPr>
        <w:t>Esta disposición regula de manera integral la institución de los factores de desempate, y por su carácter transversal, es plenamente aplicable a los procedimientos de mínima cuantía, incluso cuando en estos no se utilicen puntajes como mecanismo de evaluación.</w:t>
      </w:r>
    </w:p>
    <w:p w14:paraId="45BBF524" w14:textId="77777777" w:rsidR="00BD480F" w:rsidRDefault="00BD480F" w:rsidP="00BD480F">
      <w:pPr>
        <w:spacing w:after="120" w:line="276" w:lineRule="auto"/>
        <w:jc w:val="both"/>
        <w:rPr>
          <w:rFonts w:ascii="Verdana" w:hAnsi="Verdana" w:cs="Arial"/>
        </w:rPr>
      </w:pPr>
      <w:r w:rsidRPr="00D10E89">
        <w:rPr>
          <w:rFonts w:ascii="Verdana" w:eastAsia="Calibri" w:hAnsi="Verdana" w:cs="Arial"/>
          <w:bCs/>
        </w:rPr>
        <w:lastRenderedPageBreak/>
        <w:t xml:space="preserve">Así las cosas, esta Agencia considera que el alcance de la expresión </w:t>
      </w:r>
      <w:r w:rsidRPr="00D10E89">
        <w:rPr>
          <w:rFonts w:ascii="Verdana" w:eastAsia="Calibri" w:hAnsi="Verdana" w:cs="Arial"/>
          <w:bCs/>
          <w:i/>
          <w:iCs/>
        </w:rPr>
        <w:t xml:space="preserve">puntaje total, </w:t>
      </w:r>
      <w:r w:rsidRPr="00D10E89">
        <w:rPr>
          <w:rFonts w:ascii="Verdana" w:eastAsia="Calibri" w:hAnsi="Verdana" w:cs="Arial"/>
          <w:bCs/>
        </w:rPr>
        <w:t xml:space="preserve">contenida en el artículo 35 de la Ley 2069 de 2020, debe interpretarse sistemáticamente, propiciando una aplicación normativa coherente con otras disposiciones del sistema de compra pública y que satisfaga la finalidad transversal de la norma. </w:t>
      </w:r>
      <w:r w:rsidRPr="32F57079">
        <w:rPr>
          <w:rFonts w:ascii="Verdana" w:eastAsia="Calibri" w:hAnsi="Verdana" w:cs="Arial"/>
          <w:lang w:val="es-ES"/>
        </w:rPr>
        <w:t xml:space="preserve">Conforme a esta interpretación, la expresión </w:t>
      </w:r>
      <w:r w:rsidRPr="00D10E89">
        <w:rPr>
          <w:rFonts w:ascii="Verdana" w:hAnsi="Verdana" w:cs="Arial"/>
          <w:i/>
          <w:iCs/>
        </w:rPr>
        <w:t>empate en el puntaje total</w:t>
      </w:r>
      <w:r w:rsidRPr="00D10E89">
        <w:rPr>
          <w:rFonts w:ascii="Verdana" w:hAnsi="Verdana" w:cs="Arial"/>
        </w:rPr>
        <w:t xml:space="preserve"> apunta a las situaciones en la evaluación final de las ofertas, en las que, realizándose la comparación de acuerdo con los factores de calificación, evaluación o ponderación aplicables al respectivo procedimiento, se presenta un empate entre dos o más propuestas. </w:t>
      </w:r>
    </w:p>
    <w:p w14:paraId="56B83713" w14:textId="77777777" w:rsidR="00BD480F" w:rsidRPr="00D10E89" w:rsidRDefault="00BD480F" w:rsidP="00BD480F">
      <w:pPr>
        <w:spacing w:after="120" w:line="276" w:lineRule="auto"/>
        <w:jc w:val="both"/>
        <w:rPr>
          <w:rFonts w:ascii="Verdana" w:hAnsi="Verdana" w:cs="Arial"/>
        </w:rPr>
      </w:pPr>
      <w:r>
        <w:rPr>
          <w:rFonts w:ascii="Verdana" w:hAnsi="Verdana" w:cs="Arial"/>
        </w:rPr>
        <w:tab/>
      </w:r>
      <w:r w:rsidRPr="00D10E89">
        <w:rPr>
          <w:rFonts w:ascii="Verdana" w:hAnsi="Verdana" w:cs="Arial"/>
        </w:rPr>
        <w:t>En ese entendido, con independencia de que la ponderación emplee puntajes, fórmulas, criterios de relación costo – beneficio o de que el único criterio de evaluación sea el menor precio, deben aplicarse los factores de desempate del artículo 35 de la Ley 2069 de 2020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p>
    <w:p w14:paraId="7425BB4D" w14:textId="77777777" w:rsidR="00BD480F" w:rsidRPr="00D10E89" w:rsidRDefault="00BD480F" w:rsidP="00BD480F">
      <w:pPr>
        <w:spacing w:after="0" w:line="276" w:lineRule="auto"/>
        <w:ind w:firstLine="709"/>
        <w:jc w:val="both"/>
        <w:rPr>
          <w:rFonts w:ascii="Verdana" w:eastAsia="Calibri" w:hAnsi="Verdana" w:cs="Arial"/>
          <w:lang w:val="es-ES" w:eastAsia="es-CO"/>
        </w:rPr>
      </w:pPr>
      <w:r w:rsidRPr="32F57079">
        <w:rPr>
          <w:rFonts w:ascii="Verdana" w:eastAsia="Calibri" w:hAnsi="Verdana" w:cs="Arial"/>
          <w:lang w:val="es-ES"/>
        </w:rPr>
        <w:t xml:space="preserve">Finalmente, la remisión expresa contenida en el numeral 8 del artículo 2.2.1.2.1.5.2 del Decreto 1082 de 2015, modificado por el artículo 2 del Decreto 1860 de 2021, </w:t>
      </w:r>
      <w:r w:rsidRPr="32F57079">
        <w:rPr>
          <w:rFonts w:ascii="Verdana" w:eastAsia="Calibri" w:hAnsi="Verdana" w:cs="Arial"/>
          <w:lang w:val="es-ES" w:eastAsia="es-CO"/>
        </w:rPr>
        <w:t xml:space="preserve">reafirma que los factores de desempate consagrados en el artículo 35 de la Ley </w:t>
      </w:r>
      <w:r w:rsidRPr="32F57079">
        <w:rPr>
          <w:rFonts w:ascii="Verdana" w:eastAsia="Calibri" w:hAnsi="Verdana" w:cs="Arial"/>
          <w:lang w:val="es-ES"/>
        </w:rPr>
        <w:t xml:space="preserve">2069 de 2020 son aplicables a los procedimientos de mínima cuantía. </w:t>
      </w:r>
    </w:p>
    <w:bookmarkEnd w:id="15"/>
    <w:bookmarkEnd w:id="16"/>
    <w:p w14:paraId="668F6C49" w14:textId="77777777" w:rsidR="00BD480F" w:rsidRPr="00D10E89" w:rsidRDefault="00BD480F" w:rsidP="00BD480F">
      <w:pPr>
        <w:widowControl w:val="0"/>
        <w:autoSpaceDE w:val="0"/>
        <w:autoSpaceDN w:val="0"/>
        <w:spacing w:after="0" w:line="276" w:lineRule="auto"/>
        <w:jc w:val="both"/>
        <w:rPr>
          <w:rFonts w:ascii="Verdana" w:hAnsi="Verdana" w:cs="Arial"/>
          <w:color w:val="000000" w:themeColor="text1"/>
          <w:lang w:val="es-ES"/>
        </w:rPr>
      </w:pPr>
    </w:p>
    <w:p w14:paraId="273A1B57" w14:textId="77777777" w:rsidR="00BD480F" w:rsidRPr="00D10E89" w:rsidRDefault="00BD480F" w:rsidP="00BD480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D10E89">
        <w:rPr>
          <w:rFonts w:ascii="Verdana" w:eastAsia="Century Gothic" w:hAnsi="Verdana" w:cs="Century Gothic"/>
          <w:b/>
          <w:color w:val="000000" w:themeColor="text1"/>
        </w:rPr>
        <w:t>Referencias normativas, jurisprudenciales y otras fuentes:</w:t>
      </w:r>
    </w:p>
    <w:p w14:paraId="7B37A4E1" w14:textId="77777777" w:rsidR="00BD480F" w:rsidRPr="00D10E89" w:rsidRDefault="00BD480F" w:rsidP="00BD480F">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D480F" w:rsidRPr="00D10E89" w14:paraId="6572E2AE" w14:textId="77777777" w:rsidTr="003A363A">
        <w:trPr>
          <w:trHeight w:val="870"/>
        </w:trPr>
        <w:tc>
          <w:tcPr>
            <w:tcW w:w="8647" w:type="dxa"/>
          </w:tcPr>
          <w:p w14:paraId="20BD487F" w14:textId="77777777" w:rsidR="00BD480F" w:rsidRPr="00D10E89" w:rsidRDefault="00BD480F" w:rsidP="003A363A">
            <w:pPr>
              <w:pStyle w:val="Prrafodelista"/>
              <w:numPr>
                <w:ilvl w:val="0"/>
                <w:numId w:val="2"/>
              </w:numPr>
              <w:ind w:left="360"/>
              <w:jc w:val="both"/>
              <w:rPr>
                <w:rFonts w:ascii="Verdana" w:hAnsi="Verdana" w:cs="Arial"/>
              </w:rPr>
            </w:pPr>
            <w:r w:rsidRPr="00D10E89">
              <w:rPr>
                <w:rFonts w:ascii="Verdana" w:hAnsi="Verdana" w:cs="Arial"/>
              </w:rPr>
              <w:t>Ley 1150 de 2007: Artículo 2, numeral 5, literal d.</w:t>
            </w:r>
          </w:p>
          <w:p w14:paraId="1892F440" w14:textId="77777777" w:rsidR="00BD480F" w:rsidRPr="00D10E89" w:rsidRDefault="00BD480F" w:rsidP="003A363A">
            <w:pPr>
              <w:pStyle w:val="Prrafodelista"/>
              <w:numPr>
                <w:ilvl w:val="0"/>
                <w:numId w:val="2"/>
              </w:numPr>
              <w:ind w:left="360"/>
              <w:jc w:val="both"/>
              <w:rPr>
                <w:rFonts w:ascii="Verdana" w:hAnsi="Verdana" w:cs="Arial"/>
              </w:rPr>
            </w:pPr>
            <w:r w:rsidRPr="00D10E89">
              <w:rPr>
                <w:rFonts w:ascii="Verdana" w:hAnsi="Verdana" w:cs="Arial"/>
              </w:rPr>
              <w:t>Ley 2069 de 2020: Artículo 30</w:t>
            </w:r>
            <w:r w:rsidRPr="00BA2A0E">
              <w:rPr>
                <w:rFonts w:ascii="Verdana" w:hAnsi="Verdana" w:cs="Arial"/>
              </w:rPr>
              <w:t xml:space="preserve"> y 35.</w:t>
            </w:r>
          </w:p>
          <w:p w14:paraId="58B0F2FF" w14:textId="77777777" w:rsidR="00BD480F" w:rsidRPr="00BA2A0E" w:rsidRDefault="00BD480F" w:rsidP="003A363A">
            <w:pPr>
              <w:pStyle w:val="Prrafodelista"/>
              <w:numPr>
                <w:ilvl w:val="0"/>
                <w:numId w:val="2"/>
              </w:numPr>
              <w:ind w:left="360"/>
              <w:jc w:val="both"/>
              <w:rPr>
                <w:rFonts w:ascii="Verdana" w:hAnsi="Verdana" w:cs="Arial"/>
              </w:rPr>
            </w:pPr>
            <w:r w:rsidRPr="00D10E89">
              <w:rPr>
                <w:rFonts w:ascii="Verdana" w:hAnsi="Verdana" w:cs="Arial"/>
              </w:rPr>
              <w:t xml:space="preserve">Decreto 1082 del 2015: Artículos 2.2.1.2.1.5.1. al 2.2.1.2.1.5.4 y 2.2.1.2.3.1.6 </w:t>
            </w:r>
          </w:p>
          <w:p w14:paraId="1766FFE0" w14:textId="77777777" w:rsidR="00BD480F" w:rsidRPr="00D10E89" w:rsidRDefault="00BD480F" w:rsidP="003A363A">
            <w:pPr>
              <w:pStyle w:val="Prrafodelista"/>
              <w:numPr>
                <w:ilvl w:val="0"/>
                <w:numId w:val="2"/>
              </w:numPr>
              <w:ind w:left="360"/>
              <w:jc w:val="both"/>
              <w:rPr>
                <w:rFonts w:ascii="Verdana" w:hAnsi="Verdana" w:cs="Arial"/>
              </w:rPr>
            </w:pPr>
            <w:r w:rsidRPr="00BA2A0E">
              <w:rPr>
                <w:rFonts w:ascii="Verdana" w:hAnsi="Verdana" w:cs="Arial"/>
              </w:rPr>
              <w:t>Decreto 1860 de 2021: Artículo 2</w:t>
            </w:r>
            <w:r>
              <w:rPr>
                <w:rFonts w:ascii="Verdana" w:hAnsi="Verdana" w:cs="Arial"/>
              </w:rPr>
              <w:t xml:space="preserve"> y 3</w:t>
            </w:r>
            <w:r w:rsidRPr="00BA2A0E">
              <w:rPr>
                <w:rFonts w:ascii="Verdana" w:hAnsi="Verdana" w:cs="Arial"/>
              </w:rPr>
              <w:t xml:space="preserve">. </w:t>
            </w:r>
          </w:p>
        </w:tc>
      </w:tr>
    </w:tbl>
    <w:p w14:paraId="036F10CB" w14:textId="77777777" w:rsidR="00BD480F" w:rsidRPr="00D10E89" w:rsidRDefault="00BD480F" w:rsidP="00BD480F">
      <w:pPr>
        <w:widowControl w:val="0"/>
        <w:autoSpaceDE w:val="0"/>
        <w:autoSpaceDN w:val="0"/>
        <w:spacing w:after="0" w:line="276" w:lineRule="auto"/>
        <w:jc w:val="both"/>
        <w:rPr>
          <w:rFonts w:ascii="Verdana" w:hAnsi="Verdana" w:cs="Arial"/>
          <w:color w:val="000000" w:themeColor="text1"/>
        </w:rPr>
      </w:pPr>
    </w:p>
    <w:p w14:paraId="56E3FE95" w14:textId="77777777" w:rsidR="00BD480F" w:rsidRPr="00D10E89" w:rsidRDefault="00BD480F" w:rsidP="00BD480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D10E89">
        <w:rPr>
          <w:rFonts w:ascii="Verdana" w:eastAsia="Century Gothic" w:hAnsi="Verdana" w:cs="Century Gothic"/>
          <w:b/>
          <w:color w:val="000000" w:themeColor="text1"/>
        </w:rPr>
        <w:t>Doctrina de la Agencia Nacional de Contratación Pública:</w:t>
      </w:r>
    </w:p>
    <w:p w14:paraId="03AA74DF" w14:textId="77777777" w:rsidR="00BD480F" w:rsidRPr="00D10E89" w:rsidRDefault="00BD480F" w:rsidP="00BD480F">
      <w:pPr>
        <w:widowControl w:val="0"/>
        <w:autoSpaceDE w:val="0"/>
        <w:autoSpaceDN w:val="0"/>
        <w:spacing w:after="0" w:line="276" w:lineRule="auto"/>
        <w:jc w:val="both"/>
        <w:rPr>
          <w:rFonts w:ascii="Verdana" w:hAnsi="Verdana" w:cs="Arial"/>
          <w:color w:val="000000" w:themeColor="text1"/>
        </w:rPr>
      </w:pPr>
    </w:p>
    <w:p w14:paraId="3D524137" w14:textId="77777777" w:rsidR="00BD480F" w:rsidRPr="00D10E89" w:rsidRDefault="00BD480F" w:rsidP="00BD480F">
      <w:pPr>
        <w:spacing w:after="0" w:line="276" w:lineRule="auto"/>
        <w:contextualSpacing/>
        <w:jc w:val="both"/>
        <w:rPr>
          <w:rFonts w:ascii="Verdana" w:eastAsia="Calibri" w:hAnsi="Verdana" w:cs="Arial"/>
          <w:lang w:val="es-ES"/>
        </w:rPr>
      </w:pPr>
      <w:r w:rsidRPr="32F57079">
        <w:rPr>
          <w:rFonts w:ascii="Verdana" w:eastAsia="Calibri" w:hAnsi="Verdana" w:cs="Arial"/>
          <w:lang w:val="es-ES"/>
        </w:rPr>
        <w:t xml:space="preserve">Es importante destacar que esta Agencia ha estudiado, en términos generales, los factores de desempate en los procedimientos de contratación estatal, en los conceptos C-285 del 4 de mayo de 2020, C-481 del 27 de julio de 2020, C-514 y C-535 del 26 de agosto de 2020 y C-556 del 31 de agosto de 2020. De igual </w:t>
      </w:r>
      <w:r w:rsidRPr="32F57079">
        <w:rPr>
          <w:rFonts w:ascii="Verdana" w:eastAsia="Calibri" w:hAnsi="Verdana" w:cs="Arial"/>
          <w:lang w:val="es-ES"/>
        </w:rPr>
        <w:lastRenderedPageBreak/>
        <w:t>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C-514 del 10 de junio de 2025, entre otros.</w:t>
      </w:r>
      <w:r w:rsidRPr="00D10E89">
        <w:rPr>
          <w:rFonts w:ascii="Verdana" w:hAnsi="Verdana" w:cs="Arial"/>
          <w:shd w:val="clear" w:color="auto" w:fill="FFFFFF"/>
          <w:lang w:val="es-ES"/>
        </w:rPr>
        <w:t xml:space="preserve"> Estos</w:t>
      </w:r>
      <w:r w:rsidRPr="00D10E89">
        <w:rPr>
          <w:rFonts w:ascii="Verdana" w:hAnsi="Verdana"/>
        </w:rPr>
        <w:t xml:space="preserve"> y otros conceptos se encuentran disponibles para consulta en el Sistema de relatoría de la Agencia, al cual se puede acceder a través del siguiente enlace:</w:t>
      </w:r>
      <w:r w:rsidRPr="00D10E89">
        <w:rPr>
          <w:rFonts w:ascii="Verdana" w:hAnsi="Verdana" w:cs="Arial"/>
          <w:shd w:val="clear" w:color="auto" w:fill="FFFFFF"/>
          <w:lang w:val="es-ES"/>
        </w:rPr>
        <w:t xml:space="preserve"> </w:t>
      </w:r>
      <w:hyperlink r:id="rId12" w:history="1">
        <w:r w:rsidRPr="00D10E89">
          <w:rPr>
            <w:rFonts w:ascii="Verdana" w:hAnsi="Verdana" w:cs="Arial"/>
            <w:color w:val="467886" w:themeColor="hyperlink"/>
            <w:u w:val="single"/>
            <w:shd w:val="clear" w:color="auto" w:fill="FFFFFF"/>
            <w:lang w:val="es-ES"/>
          </w:rPr>
          <w:t>https://relatoria.colombiacompra.gov.co/busqueda/conceptos</w:t>
        </w:r>
      </w:hyperlink>
      <w:r w:rsidRPr="00D10E89">
        <w:rPr>
          <w:rFonts w:ascii="Verdana" w:hAnsi="Verdana" w:cs="Arial"/>
          <w:shd w:val="clear" w:color="auto" w:fill="FFFFFF"/>
          <w:lang w:val="es-ES"/>
        </w:rPr>
        <w:t>.</w:t>
      </w:r>
      <w:r w:rsidRPr="00D10E89">
        <w:rPr>
          <w:rFonts w:ascii="Verdana" w:hAnsi="Verdana" w:cs="Arial"/>
          <w:color w:val="FF0000"/>
          <w:shd w:val="clear" w:color="auto" w:fill="FFFFFF"/>
          <w:lang w:val="es-ES"/>
        </w:rPr>
        <w:t xml:space="preserve"> </w:t>
      </w:r>
      <w:r w:rsidRPr="00D10E89">
        <w:rPr>
          <w:rFonts w:ascii="Verdana" w:hAnsi="Verdana" w:cs="Arial"/>
          <w:color w:val="000000" w:themeColor="text1"/>
          <w:shd w:val="clear" w:color="auto" w:fill="FFFFFF"/>
        </w:rPr>
        <w:t>  </w:t>
      </w:r>
    </w:p>
    <w:p w14:paraId="179CA949" w14:textId="77777777" w:rsidR="00BD480F" w:rsidRPr="00D10E89" w:rsidRDefault="00BD480F" w:rsidP="00BD480F">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701701E0" w14:textId="77777777" w:rsidR="00BD480F" w:rsidRPr="00D10E89" w:rsidRDefault="00BD480F" w:rsidP="00BD480F">
      <w:pPr>
        <w:widowControl w:val="0"/>
        <w:autoSpaceDE w:val="0"/>
        <w:autoSpaceDN w:val="0"/>
        <w:spacing w:after="0" w:line="276" w:lineRule="auto"/>
        <w:jc w:val="both"/>
        <w:rPr>
          <w:rFonts w:ascii="Verdana" w:hAnsi="Verdana" w:cs="Arial"/>
          <w:color w:val="000000" w:themeColor="text1"/>
        </w:rPr>
      </w:pPr>
    </w:p>
    <w:p w14:paraId="3DAFDC98" w14:textId="77777777" w:rsidR="00BD480F" w:rsidRPr="00D10E89" w:rsidRDefault="00BD480F" w:rsidP="00BD480F">
      <w:pPr>
        <w:widowControl w:val="0"/>
        <w:autoSpaceDE w:val="0"/>
        <w:autoSpaceDN w:val="0"/>
        <w:spacing w:after="0" w:line="276" w:lineRule="auto"/>
        <w:jc w:val="both"/>
        <w:rPr>
          <w:rFonts w:ascii="Verdana" w:hAnsi="Verdana" w:cs="Arial"/>
          <w:color w:val="000000" w:themeColor="text1"/>
          <w:lang w:val="es-ES_tradnl"/>
        </w:rPr>
      </w:pPr>
      <w:r w:rsidRPr="00D10E89">
        <w:rPr>
          <w:rFonts w:ascii="Verdana" w:hAnsi="Verdana" w:cs="Arial"/>
          <w:color w:val="000000" w:themeColor="text1"/>
        </w:rPr>
        <w:t xml:space="preserve">Este concepto tiene el alcance previsto en el artículo 28 del Código de Procedimiento Administrativo y de lo Contencioso Administrativo </w:t>
      </w:r>
      <w:r w:rsidRPr="00D10E89">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EAE948E" w14:textId="6B200D2F" w:rsidR="00BD480F" w:rsidRPr="00D10E89" w:rsidRDefault="00BD480F" w:rsidP="00BD480F">
      <w:pPr>
        <w:widowControl w:val="0"/>
        <w:autoSpaceDE w:val="0"/>
        <w:autoSpaceDN w:val="0"/>
        <w:spacing w:after="0" w:line="276" w:lineRule="auto"/>
        <w:jc w:val="both"/>
        <w:rPr>
          <w:rFonts w:ascii="Verdana" w:hAnsi="Verdana" w:cs="Arial"/>
          <w:color w:val="000000" w:themeColor="text1"/>
        </w:rPr>
      </w:pPr>
    </w:p>
    <w:p w14:paraId="2A85BD31" w14:textId="52B0C106" w:rsidR="00BD480F" w:rsidRPr="00D10E89" w:rsidRDefault="00BD480F" w:rsidP="00BD480F">
      <w:pPr>
        <w:spacing w:after="0" w:line="276" w:lineRule="auto"/>
        <w:rPr>
          <w:rFonts w:ascii="Verdana" w:hAnsi="Verdana" w:cs="Arial"/>
          <w:color w:val="000000" w:themeColor="text1"/>
          <w:lang w:eastAsia="es-CO"/>
        </w:rPr>
      </w:pPr>
      <w:r w:rsidRPr="00D10E89">
        <w:rPr>
          <w:rFonts w:ascii="Verdana" w:eastAsia="Times New Roman" w:hAnsi="Verdana" w:cs="Arial"/>
          <w:color w:val="000000" w:themeColor="text1"/>
          <w:lang w:eastAsia="es-CO"/>
        </w:rPr>
        <w:t>Atentamente,</w:t>
      </w:r>
      <w:r w:rsidRPr="00D10E89">
        <w:rPr>
          <w:rFonts w:ascii="Verdana" w:hAnsi="Verdana" w:cs="Arial"/>
          <w:color w:val="000000" w:themeColor="text1"/>
          <w:lang w:eastAsia="es-CO"/>
        </w:rPr>
        <w:t xml:space="preserve"> </w:t>
      </w:r>
    </w:p>
    <w:p w14:paraId="0FCAA1D9" w14:textId="2710999A" w:rsidR="00BD480F" w:rsidRDefault="0078522F" w:rsidP="00BD480F">
      <w:pPr>
        <w:spacing w:after="0" w:line="276" w:lineRule="auto"/>
        <w:rPr>
          <w:sz w:val="28"/>
          <w:szCs w:val="28"/>
          <w:lang w:val="es-ES_tradnl" w:eastAsia="es-CO"/>
        </w:rPr>
      </w:pPr>
      <w:r>
        <w:rPr>
          <w:noProof/>
          <w:sz w:val="28"/>
          <w:szCs w:val="28"/>
          <w:lang w:val="es-ES_tradnl" w:eastAsia="es-CO"/>
          <w14:ligatures w14:val="standardContextual"/>
        </w:rPr>
        <w:drawing>
          <wp:anchor distT="0" distB="0" distL="114300" distR="114300" simplePos="0" relativeHeight="251658240" behindDoc="1" locked="0" layoutInCell="1" allowOverlap="1" wp14:anchorId="7AFDF4B7" wp14:editId="16ABFB46">
            <wp:simplePos x="0" y="0"/>
            <wp:positionH relativeFrom="column">
              <wp:posOffset>1091565</wp:posOffset>
            </wp:positionH>
            <wp:positionV relativeFrom="paragraph">
              <wp:posOffset>57150</wp:posOffset>
            </wp:positionV>
            <wp:extent cx="3532505" cy="1633220"/>
            <wp:effectExtent l="0" t="0" r="0" b="5080"/>
            <wp:wrapTight wrapText="bothSides">
              <wp:wrapPolygon edited="0">
                <wp:start x="0" y="0"/>
                <wp:lineTo x="0" y="21415"/>
                <wp:lineTo x="21433" y="21415"/>
                <wp:lineTo x="21433" y="0"/>
                <wp:lineTo x="0" y="0"/>
              </wp:wrapPolygon>
            </wp:wrapTight>
            <wp:docPr id="2091728253" name="Imagen 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28253" name="Imagen 2" descr="Texto, Carta&#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3532505" cy="1633220"/>
                    </a:xfrm>
                    <a:prstGeom prst="rect">
                      <a:avLst/>
                    </a:prstGeom>
                  </pic:spPr>
                </pic:pic>
              </a:graphicData>
            </a:graphic>
            <wp14:sizeRelH relativeFrom="margin">
              <wp14:pctWidth>0</wp14:pctWidth>
            </wp14:sizeRelH>
            <wp14:sizeRelV relativeFrom="margin">
              <wp14:pctHeight>0</wp14:pctHeight>
            </wp14:sizeRelV>
          </wp:anchor>
        </w:drawing>
      </w:r>
    </w:p>
    <w:p w14:paraId="2D675F24" w14:textId="1EB529C8" w:rsidR="00282FA1" w:rsidRDefault="00282FA1" w:rsidP="00BD480F">
      <w:pPr>
        <w:spacing w:after="0" w:line="276" w:lineRule="auto"/>
        <w:rPr>
          <w:sz w:val="28"/>
          <w:szCs w:val="28"/>
          <w:lang w:val="es-ES_tradnl" w:eastAsia="es-CO"/>
        </w:rPr>
      </w:pPr>
    </w:p>
    <w:p w14:paraId="21018BDE" w14:textId="4448B154" w:rsidR="00282FA1" w:rsidRDefault="00282FA1" w:rsidP="00BD480F">
      <w:pPr>
        <w:spacing w:after="0" w:line="276" w:lineRule="auto"/>
        <w:rPr>
          <w:sz w:val="28"/>
          <w:szCs w:val="28"/>
          <w:lang w:val="es-ES_tradnl" w:eastAsia="es-CO"/>
        </w:rPr>
      </w:pPr>
    </w:p>
    <w:p w14:paraId="1779298C" w14:textId="77777777" w:rsidR="00282FA1" w:rsidRDefault="00282FA1" w:rsidP="00BD480F">
      <w:pPr>
        <w:spacing w:after="0" w:line="276" w:lineRule="auto"/>
        <w:rPr>
          <w:sz w:val="28"/>
          <w:szCs w:val="28"/>
          <w:lang w:val="es-ES_tradnl" w:eastAsia="es-CO"/>
        </w:rPr>
      </w:pPr>
    </w:p>
    <w:p w14:paraId="7241D15D" w14:textId="77777777" w:rsidR="00282FA1" w:rsidRPr="00D10E89" w:rsidRDefault="00282FA1" w:rsidP="00BD480F">
      <w:pPr>
        <w:spacing w:after="0" w:line="276" w:lineRule="auto"/>
        <w:rPr>
          <w:sz w:val="28"/>
          <w:szCs w:val="28"/>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D480F" w:rsidRPr="00D10E89" w14:paraId="6059C683" w14:textId="77777777" w:rsidTr="003A363A">
        <w:trPr>
          <w:trHeight w:val="315"/>
        </w:trPr>
        <w:tc>
          <w:tcPr>
            <w:tcW w:w="893" w:type="dxa"/>
            <w:vAlign w:val="center"/>
            <w:hideMark/>
          </w:tcPr>
          <w:p w14:paraId="6BAFB288" w14:textId="77777777" w:rsidR="00BD480F" w:rsidRPr="00D10E89" w:rsidRDefault="00BD480F" w:rsidP="003A363A">
            <w:pPr>
              <w:contextualSpacing/>
              <w:rPr>
                <w:rFonts w:ascii="Verdana" w:hAnsi="Verdana" w:cs="Arial"/>
                <w:color w:val="000000" w:themeColor="text1"/>
                <w:sz w:val="14"/>
                <w:szCs w:val="14"/>
                <w:lang w:val="es-ES" w:eastAsia="es-ES"/>
              </w:rPr>
            </w:pPr>
            <w:r w:rsidRPr="00D10E89">
              <w:rPr>
                <w:rFonts w:ascii="Verdana" w:hAnsi="Verdana" w:cs="Arial"/>
                <w:color w:val="000000" w:themeColor="text1"/>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4E610E28" w14:textId="77777777" w:rsidR="00BD480F" w:rsidRPr="00D10E89" w:rsidRDefault="00BD480F" w:rsidP="003A363A">
            <w:pPr>
              <w:contextualSpacing/>
              <w:rPr>
                <w:rFonts w:ascii="Verdana" w:eastAsia="Arial" w:hAnsi="Verdana" w:cs="Arial"/>
                <w:color w:val="000000" w:themeColor="text1"/>
                <w:sz w:val="14"/>
                <w:szCs w:val="14"/>
              </w:rPr>
            </w:pPr>
            <w:r w:rsidRPr="00D10E89">
              <w:rPr>
                <w:rFonts w:ascii="Verdana" w:eastAsia="Arial" w:hAnsi="Verdana" w:cs="Arial"/>
                <w:color w:val="000000" w:themeColor="text1"/>
                <w:sz w:val="14"/>
                <w:szCs w:val="14"/>
              </w:rPr>
              <w:t>A</w:t>
            </w:r>
            <w:r w:rsidRPr="00D10E89">
              <w:rPr>
                <w:rFonts w:ascii="Verdana" w:eastAsia="Arial" w:hAnsi="Verdana" w:cs="Arial"/>
                <w:sz w:val="14"/>
                <w:szCs w:val="14"/>
              </w:rPr>
              <w:t xml:space="preserve">ndreina Cerpa Muñoz </w:t>
            </w:r>
          </w:p>
          <w:p w14:paraId="7C68ED05" w14:textId="77777777" w:rsidR="00BD480F" w:rsidRPr="00D10E89" w:rsidRDefault="00BD480F" w:rsidP="003A363A">
            <w:pPr>
              <w:contextualSpacing/>
              <w:rPr>
                <w:rFonts w:ascii="Verdana" w:eastAsia="Arial" w:hAnsi="Verdana" w:cs="Arial"/>
                <w:color w:val="000000" w:themeColor="text1"/>
                <w:sz w:val="14"/>
                <w:szCs w:val="14"/>
              </w:rPr>
            </w:pPr>
            <w:r w:rsidRPr="00D10E89">
              <w:rPr>
                <w:rStyle w:val="normaltextrun"/>
                <w:rFonts w:ascii="Verdana" w:eastAsia="Arial" w:hAnsi="Verdana" w:cs="Arial"/>
                <w:color w:val="000000" w:themeColor="text1"/>
                <w:sz w:val="14"/>
                <w:szCs w:val="14"/>
              </w:rPr>
              <w:t>Analista T2-02 de la Subdirección de Gestión Contractual</w:t>
            </w:r>
          </w:p>
        </w:tc>
      </w:tr>
      <w:tr w:rsidR="00BD480F" w:rsidRPr="00D10E89" w14:paraId="25F57275" w14:textId="77777777" w:rsidTr="003A363A">
        <w:trPr>
          <w:trHeight w:val="330"/>
        </w:trPr>
        <w:tc>
          <w:tcPr>
            <w:tcW w:w="893" w:type="dxa"/>
            <w:vAlign w:val="center"/>
            <w:hideMark/>
          </w:tcPr>
          <w:p w14:paraId="6F21666E" w14:textId="77777777" w:rsidR="00BD480F" w:rsidRPr="00D10E89" w:rsidRDefault="00BD480F" w:rsidP="003A363A">
            <w:pPr>
              <w:contextualSpacing/>
              <w:rPr>
                <w:rFonts w:ascii="Verdana" w:hAnsi="Verdana" w:cs="Arial"/>
                <w:color w:val="000000" w:themeColor="text1"/>
                <w:sz w:val="14"/>
                <w:szCs w:val="14"/>
                <w:lang w:val="es-ES" w:eastAsia="es-ES"/>
              </w:rPr>
            </w:pPr>
            <w:r w:rsidRPr="00D10E89">
              <w:rPr>
                <w:rFonts w:ascii="Verdana" w:hAnsi="Verdana" w:cs="Arial"/>
                <w:color w:val="000000" w:themeColor="text1"/>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6377CE" w14:textId="77777777" w:rsidR="00BD480F" w:rsidRPr="00D10E89" w:rsidRDefault="00BD480F" w:rsidP="003A363A">
            <w:pPr>
              <w:pStyle w:val="paragraph"/>
              <w:spacing w:before="0" w:beforeAutospacing="0" w:after="0" w:afterAutospacing="0"/>
              <w:contextualSpacing/>
              <w:textAlignment w:val="baseline"/>
              <w:rPr>
                <w:rFonts w:ascii="Verdana" w:hAnsi="Verdana" w:cs="Segoe UI"/>
                <w:color w:val="000000" w:themeColor="text1"/>
                <w:sz w:val="14"/>
                <w:szCs w:val="14"/>
              </w:rPr>
            </w:pPr>
            <w:r w:rsidRPr="00D10E89">
              <w:rPr>
                <w:rFonts w:ascii="Verdana" w:hAnsi="Verdana" w:cs="Segoe UI"/>
                <w:color w:val="000000" w:themeColor="text1"/>
                <w:sz w:val="14"/>
                <w:szCs w:val="14"/>
              </w:rPr>
              <w:t xml:space="preserve">Diana Lucia Saavedra Castañeda  </w:t>
            </w:r>
          </w:p>
          <w:p w14:paraId="55F7FEC3" w14:textId="77777777" w:rsidR="00BD480F" w:rsidRPr="00D10E89" w:rsidRDefault="00BD480F" w:rsidP="003A363A">
            <w:pPr>
              <w:pStyle w:val="paragraph"/>
              <w:spacing w:before="0" w:beforeAutospacing="0" w:after="0" w:afterAutospacing="0"/>
              <w:contextualSpacing/>
              <w:textAlignment w:val="baseline"/>
              <w:rPr>
                <w:rFonts w:ascii="Verdana" w:hAnsi="Verdana" w:cs="Segoe UI"/>
                <w:color w:val="000000" w:themeColor="text1"/>
                <w:sz w:val="14"/>
                <w:szCs w:val="14"/>
              </w:rPr>
            </w:pPr>
            <w:r w:rsidRPr="00D10E89">
              <w:rPr>
                <w:rStyle w:val="normaltextrun"/>
                <w:rFonts w:ascii="Verdana" w:hAnsi="Verdana" w:cs="Arial"/>
                <w:color w:val="000000" w:themeColor="text1"/>
                <w:sz w:val="14"/>
                <w:szCs w:val="14"/>
                <w:lang w:val="es-ES"/>
              </w:rPr>
              <w:t>Contratista de la Subdirección de Gestión Contractual</w:t>
            </w:r>
            <w:r w:rsidRPr="00D10E89">
              <w:rPr>
                <w:rStyle w:val="eop"/>
                <w:rFonts w:ascii="Verdana" w:hAnsi="Verdana" w:cs="Arial"/>
                <w:color w:val="000000" w:themeColor="text1"/>
                <w:sz w:val="14"/>
                <w:szCs w:val="14"/>
              </w:rPr>
              <w:t> </w:t>
            </w:r>
          </w:p>
        </w:tc>
      </w:tr>
      <w:tr w:rsidR="00BD480F" w:rsidRPr="00D10E89" w14:paraId="79311DAF" w14:textId="77777777" w:rsidTr="003A363A">
        <w:trPr>
          <w:trHeight w:val="300"/>
        </w:trPr>
        <w:tc>
          <w:tcPr>
            <w:tcW w:w="893" w:type="dxa"/>
            <w:vAlign w:val="center"/>
          </w:tcPr>
          <w:p w14:paraId="5434B065" w14:textId="77777777" w:rsidR="00BD480F" w:rsidRPr="00D10E89" w:rsidRDefault="00BD480F" w:rsidP="003A363A">
            <w:pPr>
              <w:contextualSpacing/>
              <w:rPr>
                <w:rFonts w:ascii="Verdana" w:hAnsi="Verdana" w:cs="Arial"/>
                <w:color w:val="000000" w:themeColor="text1"/>
                <w:sz w:val="14"/>
                <w:szCs w:val="14"/>
                <w:lang w:val="es-ES" w:eastAsia="es-ES"/>
              </w:rPr>
            </w:pPr>
            <w:r w:rsidRPr="00D10E89">
              <w:rPr>
                <w:rFonts w:ascii="Verdana" w:hAnsi="Verdana" w:cs="Arial"/>
                <w:color w:val="000000" w:themeColor="text1"/>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5FEDE2" w14:textId="77777777" w:rsidR="00BD480F" w:rsidRPr="00D10E89" w:rsidRDefault="00BD480F" w:rsidP="003A363A">
            <w:pPr>
              <w:contextualSpacing/>
              <w:rPr>
                <w:rFonts w:ascii="Verdana" w:eastAsia="Calibri" w:hAnsi="Verdana" w:cs="Arial"/>
                <w:color w:val="000000" w:themeColor="text1"/>
                <w:sz w:val="14"/>
                <w:szCs w:val="14"/>
                <w:lang w:val="pt-BR" w:eastAsia="es-ES"/>
              </w:rPr>
            </w:pPr>
            <w:r>
              <w:rPr>
                <w:rFonts w:ascii="Verdana" w:eastAsia="Calibri" w:hAnsi="Verdana" w:cs="Arial"/>
                <w:color w:val="000000" w:themeColor="text1"/>
                <w:sz w:val="14"/>
                <w:szCs w:val="14"/>
                <w:lang w:val="pt-BR" w:eastAsia="es-ES"/>
              </w:rPr>
              <w:t xml:space="preserve">Ana </w:t>
            </w:r>
            <w:proofErr w:type="spellStart"/>
            <w:r>
              <w:rPr>
                <w:rFonts w:ascii="Verdana" w:eastAsia="Calibri" w:hAnsi="Verdana" w:cs="Arial"/>
                <w:color w:val="000000" w:themeColor="text1"/>
                <w:sz w:val="14"/>
                <w:szCs w:val="14"/>
                <w:lang w:val="pt-BR" w:eastAsia="es-ES"/>
              </w:rPr>
              <w:t>María</w:t>
            </w:r>
            <w:proofErr w:type="spellEnd"/>
            <w:r>
              <w:rPr>
                <w:rFonts w:ascii="Verdana" w:eastAsia="Calibri" w:hAnsi="Verdana" w:cs="Arial"/>
                <w:color w:val="000000" w:themeColor="text1"/>
                <w:sz w:val="14"/>
                <w:szCs w:val="14"/>
                <w:lang w:val="pt-BR" w:eastAsia="es-ES"/>
              </w:rPr>
              <w:t xml:space="preserve"> Tolosa Rico </w:t>
            </w:r>
          </w:p>
          <w:p w14:paraId="6F35ACBF" w14:textId="77777777" w:rsidR="00BD480F" w:rsidRPr="00D10E89" w:rsidRDefault="00BD480F" w:rsidP="003A363A">
            <w:pPr>
              <w:contextualSpacing/>
              <w:rPr>
                <w:rFonts w:ascii="Verdana" w:eastAsia="Calibri" w:hAnsi="Verdana" w:cs="Arial"/>
                <w:color w:val="000000" w:themeColor="text1"/>
                <w:sz w:val="14"/>
                <w:szCs w:val="14"/>
                <w:lang w:val="pt-BR" w:eastAsia="es-ES"/>
              </w:rPr>
            </w:pPr>
            <w:r w:rsidRPr="00D10E89">
              <w:rPr>
                <w:rFonts w:ascii="Verdana" w:eastAsia="Calibri" w:hAnsi="Verdana" w:cs="Arial"/>
                <w:color w:val="000000" w:themeColor="text1"/>
                <w:sz w:val="14"/>
                <w:szCs w:val="14"/>
                <w:lang w:eastAsia="es-ES"/>
              </w:rPr>
              <w:t>Subdirectora</w:t>
            </w:r>
            <w:r w:rsidRPr="00D10E89">
              <w:rPr>
                <w:rFonts w:ascii="Verdana" w:eastAsia="Calibri" w:hAnsi="Verdana" w:cs="Arial"/>
                <w:color w:val="000000" w:themeColor="text1"/>
                <w:sz w:val="14"/>
                <w:szCs w:val="14"/>
                <w:lang w:val="pt-BR" w:eastAsia="es-ES"/>
              </w:rPr>
              <w:t xml:space="preserve"> de Gestión </w:t>
            </w:r>
            <w:proofErr w:type="spellStart"/>
            <w:r w:rsidRPr="00D10E89">
              <w:rPr>
                <w:rFonts w:ascii="Verdana" w:eastAsia="Calibri" w:hAnsi="Verdana" w:cs="Arial"/>
                <w:color w:val="000000" w:themeColor="text1"/>
                <w:sz w:val="14"/>
                <w:szCs w:val="14"/>
                <w:lang w:val="pt-BR" w:eastAsia="es-ES"/>
              </w:rPr>
              <w:t>Contractual</w:t>
            </w:r>
            <w:proofErr w:type="spellEnd"/>
            <w:r w:rsidRPr="00D10E89">
              <w:rPr>
                <w:rFonts w:ascii="Verdana" w:eastAsia="Calibri" w:hAnsi="Verdana" w:cs="Arial"/>
                <w:color w:val="000000" w:themeColor="text1"/>
                <w:sz w:val="14"/>
                <w:szCs w:val="14"/>
                <w:lang w:val="pt-BR" w:eastAsia="es-ES"/>
              </w:rPr>
              <w:t xml:space="preserve"> ANCP – CCE</w:t>
            </w:r>
            <w:r>
              <w:rPr>
                <w:rFonts w:ascii="Verdana" w:eastAsia="Calibri" w:hAnsi="Verdana" w:cs="Arial"/>
                <w:color w:val="000000" w:themeColor="text1"/>
                <w:sz w:val="14"/>
                <w:szCs w:val="14"/>
                <w:lang w:val="pt-BR" w:eastAsia="es-ES"/>
              </w:rPr>
              <w:t xml:space="preserve"> (E)</w:t>
            </w:r>
          </w:p>
        </w:tc>
      </w:tr>
    </w:tbl>
    <w:p w14:paraId="22635F49" w14:textId="77777777" w:rsidR="000F5A42" w:rsidRDefault="000F5A42"/>
    <w:sectPr w:rsidR="000F5A42" w:rsidSect="000A268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7D22C" w14:textId="77777777" w:rsidR="000A268F" w:rsidRDefault="000A268F" w:rsidP="000A268F">
      <w:pPr>
        <w:spacing w:after="0" w:line="240" w:lineRule="auto"/>
      </w:pPr>
      <w:r>
        <w:separator/>
      </w:r>
    </w:p>
  </w:endnote>
  <w:endnote w:type="continuationSeparator" w:id="0">
    <w:p w14:paraId="573EB446" w14:textId="77777777" w:rsidR="000A268F" w:rsidRDefault="000A268F" w:rsidP="000A2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1DDD" w14:textId="77777777" w:rsidR="007431BE" w:rsidRDefault="007431BE">
    <w:pPr>
      <w:pStyle w:val="Piedepgina"/>
    </w:pPr>
  </w:p>
  <w:p w14:paraId="0821918A" w14:textId="77777777" w:rsidR="007431BE" w:rsidRPr="00174B77" w:rsidRDefault="007431B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D8FE21" w14:textId="77777777" w:rsidR="007431BE" w:rsidRDefault="007431B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199E4CC" w14:textId="77777777" w:rsidR="007431BE" w:rsidRPr="00E41027" w:rsidRDefault="007431BE" w:rsidP="00D520D8">
    <w:pPr>
      <w:spacing w:after="0"/>
      <w:jc w:val="both"/>
      <w:rPr>
        <w:rFonts w:ascii="Verdana" w:hAnsi="Verdana"/>
        <w:sz w:val="18"/>
        <w:szCs w:val="18"/>
      </w:rPr>
    </w:pPr>
    <w:r w:rsidRPr="00E41027">
      <w:rPr>
        <w:rFonts w:ascii="Verdana" w:hAnsi="Verdana"/>
        <w:sz w:val="18"/>
        <w:szCs w:val="18"/>
      </w:rPr>
      <w:t>Mesa de servicio: (+57) 601 7456788</w:t>
    </w:r>
  </w:p>
  <w:p w14:paraId="47EB316A" w14:textId="77777777" w:rsidR="007431BE" w:rsidRDefault="007431B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88BD9" w14:textId="77777777" w:rsidR="000A268F" w:rsidRDefault="000A268F" w:rsidP="000A268F">
      <w:pPr>
        <w:spacing w:after="0" w:line="240" w:lineRule="auto"/>
      </w:pPr>
      <w:r>
        <w:separator/>
      </w:r>
    </w:p>
  </w:footnote>
  <w:footnote w:type="continuationSeparator" w:id="0">
    <w:p w14:paraId="1DFCF2B1" w14:textId="77777777" w:rsidR="000A268F" w:rsidRDefault="000A268F" w:rsidP="000A268F">
      <w:pPr>
        <w:spacing w:after="0" w:line="240" w:lineRule="auto"/>
      </w:pPr>
      <w:r>
        <w:continuationSeparator/>
      </w:r>
    </w:p>
  </w:footnote>
  <w:footnote w:id="1">
    <w:p w14:paraId="6512BE45" w14:textId="77777777" w:rsidR="00BD480F" w:rsidRPr="00DD1950" w:rsidRDefault="00BD480F" w:rsidP="00BD480F">
      <w:pPr>
        <w:pStyle w:val="Textonotapie"/>
        <w:jc w:val="both"/>
        <w:rPr>
          <w:rFonts w:ascii="Verdana" w:hAnsi="Verdana" w:cs="Arial"/>
          <w:sz w:val="14"/>
          <w:szCs w:val="14"/>
          <w:lang w:val="es-ES"/>
        </w:rPr>
      </w:pPr>
      <w:r w:rsidRPr="00DD1950">
        <w:rPr>
          <w:rStyle w:val="Refdenotaalpie"/>
          <w:rFonts w:ascii="Verdana" w:hAnsi="Verdana" w:cs="Arial"/>
          <w:sz w:val="14"/>
          <w:szCs w:val="14"/>
        </w:rPr>
        <w:footnoteRef/>
      </w:r>
      <w:r w:rsidRPr="00DD1950">
        <w:rPr>
          <w:rFonts w:ascii="Verdana" w:hAnsi="Verdana" w:cs="Arial"/>
          <w:sz w:val="14"/>
          <w:szCs w:val="14"/>
        </w:rPr>
        <w:t xml:space="preserve"> </w:t>
      </w:r>
      <w:r w:rsidRPr="00DD1950">
        <w:rPr>
          <w:rFonts w:ascii="Verdana" w:hAnsi="Verdana" w:cs="Arial"/>
          <w:sz w:val="14"/>
          <w:szCs w:val="14"/>
          <w:lang w:val="es-ES"/>
        </w:rPr>
        <w:t>Artículos 2 al 29.</w:t>
      </w:r>
    </w:p>
  </w:footnote>
  <w:footnote w:id="2">
    <w:p w14:paraId="1B1A46A5" w14:textId="77777777" w:rsidR="00BD480F" w:rsidRPr="00DD1950" w:rsidRDefault="00BD480F" w:rsidP="00BD480F">
      <w:pPr>
        <w:pStyle w:val="Textonotapie"/>
        <w:ind w:firstLine="709"/>
        <w:jc w:val="both"/>
        <w:rPr>
          <w:rFonts w:ascii="Verdana" w:hAnsi="Verdana" w:cs="Arial"/>
          <w:sz w:val="14"/>
          <w:szCs w:val="14"/>
          <w:lang w:val="es-ES"/>
        </w:rPr>
      </w:pPr>
      <w:r w:rsidRPr="00DD1950">
        <w:rPr>
          <w:rStyle w:val="Refdenotaalpie"/>
          <w:rFonts w:ascii="Verdana" w:hAnsi="Verdana" w:cs="Arial"/>
          <w:sz w:val="14"/>
          <w:szCs w:val="14"/>
        </w:rPr>
        <w:footnoteRef/>
      </w:r>
      <w:r w:rsidRPr="00DD1950">
        <w:rPr>
          <w:rFonts w:ascii="Verdana" w:hAnsi="Verdana" w:cs="Arial"/>
          <w:sz w:val="14"/>
          <w:szCs w:val="14"/>
        </w:rPr>
        <w:t xml:space="preserve"> </w:t>
      </w:r>
      <w:r w:rsidRPr="00DD1950">
        <w:rPr>
          <w:rFonts w:ascii="Verdana" w:hAnsi="Verdana" w:cs="Arial"/>
          <w:sz w:val="14"/>
          <w:szCs w:val="14"/>
          <w:lang w:val="es-ES"/>
        </w:rPr>
        <w:t>Artículos 30 al 36.</w:t>
      </w:r>
    </w:p>
  </w:footnote>
  <w:footnote w:id="3">
    <w:p w14:paraId="5A14D8CB" w14:textId="77777777" w:rsidR="00BD480F" w:rsidRPr="00DD1950" w:rsidRDefault="00BD480F" w:rsidP="00BD480F">
      <w:pPr>
        <w:pStyle w:val="Textonotapie"/>
        <w:ind w:firstLine="709"/>
        <w:jc w:val="both"/>
        <w:rPr>
          <w:rFonts w:ascii="Verdana" w:hAnsi="Verdana" w:cs="Arial"/>
          <w:sz w:val="14"/>
          <w:szCs w:val="14"/>
          <w:lang w:val="es-ES"/>
        </w:rPr>
      </w:pPr>
      <w:r w:rsidRPr="00DD1950">
        <w:rPr>
          <w:rStyle w:val="Refdenotaalpie"/>
          <w:rFonts w:ascii="Verdana" w:hAnsi="Verdana" w:cs="Arial"/>
          <w:sz w:val="14"/>
          <w:szCs w:val="14"/>
        </w:rPr>
        <w:footnoteRef/>
      </w:r>
      <w:r w:rsidRPr="00DD1950">
        <w:rPr>
          <w:rFonts w:ascii="Verdana" w:hAnsi="Verdana" w:cs="Arial"/>
          <w:sz w:val="14"/>
          <w:szCs w:val="14"/>
        </w:rPr>
        <w:t xml:space="preserve"> </w:t>
      </w:r>
      <w:r w:rsidRPr="00DD1950">
        <w:rPr>
          <w:rFonts w:ascii="Verdana" w:hAnsi="Verdana" w:cs="Arial"/>
          <w:sz w:val="14"/>
          <w:szCs w:val="14"/>
          <w:lang w:val="es-ES"/>
        </w:rPr>
        <w:t>Artículos 37 al 45.</w:t>
      </w:r>
    </w:p>
  </w:footnote>
  <w:footnote w:id="4">
    <w:p w14:paraId="6CCDCE11" w14:textId="77777777" w:rsidR="00BD480F" w:rsidRPr="00DD1950" w:rsidRDefault="00BD480F" w:rsidP="00BD480F">
      <w:pPr>
        <w:pStyle w:val="Textonotapie"/>
        <w:ind w:firstLine="709"/>
        <w:jc w:val="both"/>
        <w:rPr>
          <w:rFonts w:ascii="Verdana" w:hAnsi="Verdana" w:cs="Arial"/>
          <w:sz w:val="14"/>
          <w:szCs w:val="14"/>
          <w:lang w:val="es-ES"/>
        </w:rPr>
      </w:pPr>
      <w:r w:rsidRPr="00DD1950">
        <w:rPr>
          <w:rStyle w:val="Refdenotaalpie"/>
          <w:rFonts w:ascii="Verdana" w:hAnsi="Verdana" w:cs="Arial"/>
          <w:sz w:val="14"/>
          <w:szCs w:val="14"/>
        </w:rPr>
        <w:footnoteRef/>
      </w:r>
      <w:r w:rsidRPr="00DD1950">
        <w:rPr>
          <w:rFonts w:ascii="Verdana" w:hAnsi="Verdana" w:cs="Arial"/>
          <w:sz w:val="14"/>
          <w:szCs w:val="14"/>
        </w:rPr>
        <w:t xml:space="preserve"> </w:t>
      </w:r>
      <w:r w:rsidRPr="00DD1950">
        <w:rPr>
          <w:rFonts w:ascii="Verdana" w:hAnsi="Verdana" w:cs="Arial"/>
          <w:sz w:val="14"/>
          <w:szCs w:val="14"/>
          <w:lang w:val="es-ES"/>
        </w:rPr>
        <w:t>Artículos 46 al 73.</w:t>
      </w:r>
    </w:p>
  </w:footnote>
  <w:footnote w:id="5">
    <w:p w14:paraId="2E6758B7" w14:textId="77777777" w:rsidR="00BD480F" w:rsidRPr="00DD1950" w:rsidRDefault="00BD480F" w:rsidP="00BD480F">
      <w:pPr>
        <w:pStyle w:val="Textonotapie"/>
        <w:ind w:firstLine="709"/>
        <w:jc w:val="both"/>
        <w:rPr>
          <w:rFonts w:ascii="Verdana" w:hAnsi="Verdana" w:cs="Arial"/>
          <w:sz w:val="14"/>
          <w:szCs w:val="14"/>
          <w:lang w:val="es-ES"/>
        </w:rPr>
      </w:pPr>
      <w:r w:rsidRPr="00DD1950">
        <w:rPr>
          <w:rStyle w:val="Refdenotaalpie"/>
          <w:rFonts w:ascii="Verdana" w:hAnsi="Verdana" w:cs="Arial"/>
          <w:sz w:val="14"/>
          <w:szCs w:val="14"/>
        </w:rPr>
        <w:footnoteRef/>
      </w:r>
      <w:r w:rsidRPr="00DD1950">
        <w:rPr>
          <w:rFonts w:ascii="Verdana" w:hAnsi="Verdana" w:cs="Arial"/>
          <w:sz w:val="14"/>
          <w:szCs w:val="14"/>
        </w:rPr>
        <w:t xml:space="preserve"> </w:t>
      </w:r>
      <w:r w:rsidRPr="00DD1950">
        <w:rPr>
          <w:rFonts w:ascii="Verdana" w:hAnsi="Verdana" w:cs="Arial"/>
          <w:sz w:val="14"/>
          <w:szCs w:val="14"/>
          <w:lang w:val="es-ES"/>
        </w:rPr>
        <w:t>Artículos 74 al 83.</w:t>
      </w:r>
    </w:p>
  </w:footnote>
  <w:footnote w:id="6">
    <w:p w14:paraId="4DC325BE" w14:textId="77777777" w:rsidR="00BD480F" w:rsidRPr="007869B7" w:rsidRDefault="00BD480F" w:rsidP="00BD480F">
      <w:pPr>
        <w:pStyle w:val="Textonotapie"/>
        <w:ind w:firstLine="708"/>
        <w:jc w:val="both"/>
        <w:rPr>
          <w:rFonts w:ascii="Verdana" w:hAnsi="Verdana" w:cs="Arial"/>
          <w:bCs/>
          <w:color w:val="000000" w:themeColor="text1"/>
          <w:sz w:val="14"/>
          <w:szCs w:val="14"/>
        </w:rPr>
      </w:pPr>
      <w:r w:rsidRPr="00DD1950">
        <w:rPr>
          <w:rStyle w:val="Refdenotaalpie"/>
          <w:rFonts w:ascii="Verdana" w:hAnsi="Verdana" w:cs="Arial"/>
          <w:color w:val="000000" w:themeColor="text1"/>
          <w:sz w:val="14"/>
          <w:szCs w:val="14"/>
        </w:rPr>
        <w:footnoteRef/>
      </w:r>
      <w:r w:rsidRPr="00DD1950">
        <w:rPr>
          <w:rFonts w:ascii="Verdana" w:hAnsi="Verdana" w:cs="Arial"/>
          <w:color w:val="000000" w:themeColor="text1"/>
          <w:sz w:val="14"/>
          <w:szCs w:val="14"/>
        </w:rPr>
        <w:t xml:space="preserve"> </w:t>
      </w:r>
      <w:r w:rsidRPr="00DD1950">
        <w:rPr>
          <w:rFonts w:ascii="Verdana" w:hAnsi="Verdana" w:cs="Arial"/>
          <w:bCs/>
          <w:color w:val="000000" w:themeColor="text1"/>
          <w:sz w:val="14"/>
          <w:szCs w:val="14"/>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w:t>
      </w:r>
      <w:r w:rsidRPr="007869B7">
        <w:rPr>
          <w:rFonts w:ascii="Verdana" w:hAnsi="Verdana" w:cs="Arial"/>
          <w:bCs/>
          <w:color w:val="000000" w:themeColor="text1"/>
          <w:sz w:val="14"/>
          <w:szCs w:val="14"/>
        </w:rPr>
        <w:t xml:space="preserve">en que empresas informales evaden el control de los requisitos de formalidad es vía pagos ilegales” (Cfr. </w:t>
      </w:r>
      <w:r w:rsidRPr="007869B7">
        <w:rPr>
          <w:rFonts w:ascii="Verdana" w:hAnsi="Verdana" w:cs="Arial"/>
          <w:color w:val="000000" w:themeColor="text1"/>
          <w:sz w:val="14"/>
          <w:szCs w:val="14"/>
        </w:rPr>
        <w:t xml:space="preserve">CONSEJO NACIONAL DE POLÍTICA ECONÓMICA Y SOCIAL. Documento 3956 del 8 de enero de 2019: “Política de formalización empresarial”. Archivo consultado el 8 de febrero de 2021 en la página web </w:t>
      </w:r>
      <w:hyperlink r:id="rId1" w:history="1">
        <w:r w:rsidRPr="007869B7">
          <w:rPr>
            <w:rStyle w:val="Hipervnculo"/>
            <w:rFonts w:ascii="Verdana" w:hAnsi="Verdana" w:cs="Arial"/>
            <w:color w:val="000000" w:themeColor="text1"/>
            <w:sz w:val="14"/>
            <w:szCs w:val="14"/>
          </w:rPr>
          <w:t>https://colaboracion.dnp.gov.co/CDT/Conpes/Econ%C3%B3micos/3956.pdf</w:t>
        </w:r>
      </w:hyperlink>
      <w:r w:rsidRPr="007869B7">
        <w:rPr>
          <w:rFonts w:ascii="Verdana" w:hAnsi="Verdana" w:cs="Arial"/>
          <w:color w:val="000000" w:themeColor="text1"/>
          <w:sz w:val="14"/>
          <w:szCs w:val="14"/>
        </w:rPr>
        <w:t xml:space="preserve">).  </w:t>
      </w:r>
      <w:r w:rsidRPr="007869B7">
        <w:rPr>
          <w:rFonts w:ascii="Verdana" w:hAnsi="Verdana" w:cs="Arial"/>
          <w:bCs/>
          <w:color w:val="000000" w:themeColor="text1"/>
          <w:sz w:val="14"/>
          <w:szCs w:val="14"/>
        </w:rPr>
        <w:t xml:space="preserve"> </w:t>
      </w:r>
    </w:p>
  </w:footnote>
  <w:footnote w:id="7">
    <w:p w14:paraId="528BCBE1" w14:textId="77777777" w:rsidR="00BD480F" w:rsidRPr="007869B7" w:rsidRDefault="00BD480F" w:rsidP="00BD480F">
      <w:pPr>
        <w:pStyle w:val="Textonotapie"/>
        <w:ind w:firstLine="708"/>
        <w:jc w:val="both"/>
        <w:rPr>
          <w:rFonts w:ascii="Verdana" w:hAnsi="Verdana" w:cs="Arial"/>
          <w:sz w:val="14"/>
          <w:szCs w:val="14"/>
          <w:lang w:val="es-ES"/>
        </w:rPr>
      </w:pPr>
      <w:r w:rsidRPr="007869B7">
        <w:rPr>
          <w:rStyle w:val="Refdenotaalpie"/>
          <w:rFonts w:ascii="Verdana" w:hAnsi="Verdana" w:cs="Arial"/>
          <w:sz w:val="14"/>
          <w:szCs w:val="14"/>
        </w:rPr>
        <w:footnoteRef/>
      </w:r>
      <w:r w:rsidRPr="007869B7">
        <w:rPr>
          <w:rFonts w:ascii="Verdana" w:hAnsi="Verdana" w:cs="Arial"/>
          <w:sz w:val="14"/>
          <w:szCs w:val="14"/>
        </w:rPr>
        <w:t xml:space="preserve"> </w:t>
      </w:r>
      <w:bookmarkStart w:id="7" w:name="_Hlk63862868"/>
      <w:r w:rsidRPr="007869B7">
        <w:rPr>
          <w:rFonts w:ascii="Verdana" w:hAnsi="Verdana" w:cs="Arial"/>
          <w:sz w:val="14"/>
          <w:szCs w:val="14"/>
        </w:rPr>
        <w:t xml:space="preserve">CONGRESO DE LA REPÚBLICA. Gaceta No. 670 del 11 de agosto de 2020. Exposición de motivos del Proyecto de Ley No. 122 de 2020 Cámara. p. 13. </w:t>
      </w:r>
      <w:bookmarkEnd w:id="7"/>
    </w:p>
  </w:footnote>
  <w:footnote w:id="8">
    <w:p w14:paraId="5819591E" w14:textId="77777777" w:rsidR="00BD480F" w:rsidRPr="00C9441E" w:rsidRDefault="00BD480F" w:rsidP="00BD480F">
      <w:pPr>
        <w:pStyle w:val="Car1"/>
        <w:ind w:firstLine="709"/>
        <w:jc w:val="both"/>
        <w:rPr>
          <w:rFonts w:ascii="Verdana" w:hAnsi="Verdana" w:cs="Arial"/>
          <w:sz w:val="14"/>
          <w:szCs w:val="14"/>
          <w:lang w:val="es-ES"/>
        </w:rPr>
      </w:pPr>
      <w:r w:rsidRPr="00560ACF">
        <w:rPr>
          <w:rStyle w:val="Refdenotaalpie"/>
          <w:rFonts w:ascii="Verdana" w:hAnsi="Verdana" w:cs="Arial"/>
          <w:sz w:val="14"/>
          <w:szCs w:val="14"/>
        </w:rPr>
        <w:footnoteRef/>
      </w:r>
      <w:r w:rsidRPr="00560ACF">
        <w:rPr>
          <w:rFonts w:ascii="Verdana" w:hAnsi="Verdana" w:cs="Arial"/>
          <w:sz w:val="14"/>
          <w:szCs w:val="14"/>
        </w:rPr>
        <w:t xml:space="preserve"> </w:t>
      </w:r>
      <w:r w:rsidRPr="00560ACF">
        <w:rPr>
          <w:rFonts w:ascii="Verdana" w:hAnsi="Verdana" w:cs="Arial"/>
          <w:sz w:val="14"/>
          <w:szCs w:val="14"/>
          <w:lang w:val="es-ES"/>
        </w:rPr>
        <w:t>Corte Constitucional. Sentencia T-684A del 14 de septiembre de 2011. Magistrado Ponente: Mauricio González Cuervo.</w:t>
      </w:r>
    </w:p>
  </w:footnote>
  <w:footnote w:id="9">
    <w:p w14:paraId="5F7CC0B1" w14:textId="77777777" w:rsidR="00BD480F" w:rsidRPr="00486E4E" w:rsidRDefault="00BD480F" w:rsidP="00BD480F">
      <w:pPr>
        <w:pStyle w:val="Car1"/>
        <w:ind w:firstLine="709"/>
        <w:jc w:val="both"/>
        <w:rPr>
          <w:rFonts w:ascii="Verdana" w:hAnsi="Verdana" w:cs="Arial"/>
          <w:sz w:val="14"/>
          <w:szCs w:val="14"/>
          <w:lang w:val="es-ES"/>
        </w:rPr>
      </w:pPr>
      <w:r w:rsidRPr="00486E4E">
        <w:rPr>
          <w:rStyle w:val="Refdenotaalpie"/>
          <w:rFonts w:ascii="Verdana" w:hAnsi="Verdana" w:cs="Arial"/>
          <w:sz w:val="14"/>
          <w:szCs w:val="14"/>
        </w:rPr>
        <w:footnoteRef/>
      </w:r>
      <w:r w:rsidRPr="00486E4E">
        <w:rPr>
          <w:rFonts w:ascii="Verdana" w:hAnsi="Verdana" w:cs="Arial"/>
          <w:sz w:val="14"/>
          <w:szCs w:val="14"/>
        </w:rPr>
        <w:t xml:space="preserve"> </w:t>
      </w:r>
      <w:r w:rsidRPr="00486E4E">
        <w:rPr>
          <w:rFonts w:ascii="Verdana" w:hAnsi="Verdana" w:cs="Arial"/>
          <w:sz w:val="14"/>
          <w:szCs w:val="14"/>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w:t>
      </w:r>
      <w:r>
        <w:rPr>
          <w:rFonts w:ascii="Verdana" w:hAnsi="Verdana" w:cs="Arial"/>
          <w:sz w:val="14"/>
          <w:szCs w:val="14"/>
          <w:lang w:val="es-ES"/>
        </w:rPr>
        <w:t>“</w:t>
      </w:r>
      <w:r w:rsidRPr="00486E4E">
        <w:rPr>
          <w:rFonts w:ascii="Verdana" w:hAnsi="Verdana" w:cs="Arial"/>
          <w:sz w:val="14"/>
          <w:szCs w:val="14"/>
          <w:lang w:val="es-ES"/>
        </w:rPr>
        <w:t>objeto ilícito</w:t>
      </w:r>
      <w:r>
        <w:rPr>
          <w:rFonts w:ascii="Verdana" w:hAnsi="Verdana" w:cs="Arial"/>
          <w:sz w:val="14"/>
          <w:szCs w:val="14"/>
          <w:lang w:val="es-ES"/>
        </w:rPr>
        <w:t>”</w:t>
      </w:r>
      <w:r w:rsidRPr="00486E4E">
        <w:rPr>
          <w:rFonts w:ascii="Verdana" w:hAnsi="Verdana" w:cs="Arial"/>
          <w:sz w:val="14"/>
          <w:szCs w:val="14"/>
          <w:lang w:val="es-ES"/>
        </w:rPr>
        <w:t xml:space="preserve">, que se presenta cuando se contrarían las normas de orden público, de conformidad con el artículo 1.519 del Código Civil. </w:t>
      </w:r>
    </w:p>
  </w:footnote>
  <w:footnote w:id="10">
    <w:p w14:paraId="4FF93C9D" w14:textId="77777777" w:rsidR="00BD480F" w:rsidRPr="000619FA" w:rsidRDefault="00BD480F" w:rsidP="00BD480F">
      <w:pPr>
        <w:pStyle w:val="Textonotapie"/>
        <w:ind w:firstLine="708"/>
        <w:jc w:val="both"/>
        <w:rPr>
          <w:rFonts w:ascii="Verdana" w:hAnsi="Verdana" w:cs="Arial"/>
          <w:sz w:val="14"/>
          <w:szCs w:val="14"/>
          <w:lang w:val="es-CO"/>
        </w:rPr>
      </w:pPr>
      <w:r w:rsidRPr="000619FA">
        <w:rPr>
          <w:rStyle w:val="Refdenotaalpie"/>
          <w:rFonts w:ascii="Verdana" w:hAnsi="Verdana" w:cs="Arial"/>
          <w:sz w:val="14"/>
          <w:szCs w:val="14"/>
        </w:rPr>
        <w:footnoteRef/>
      </w:r>
      <w:r w:rsidRPr="000619FA">
        <w:rPr>
          <w:rFonts w:ascii="Verdana" w:hAnsi="Verdana" w:cs="Arial"/>
          <w:sz w:val="14"/>
          <w:szCs w:val="14"/>
        </w:rPr>
        <w:t xml:space="preserve"> Según este principio, “[…] en caso de perplejidades hermenéuticas, el operador jurídico debe preferir, entre las diversas interpretaciones de las disposiciones aplicables al caso, aquella que produzca efectos, sobre aquella que no, o sobre aquella que sea superflua o irrazonable […]” (</w:t>
      </w:r>
      <w:r w:rsidRPr="000619FA">
        <w:rPr>
          <w:rFonts w:ascii="Verdana" w:hAnsi="Verdana" w:cs="Arial"/>
          <w:sz w:val="14"/>
          <w:szCs w:val="14"/>
          <w:lang w:val="es-CO"/>
        </w:rPr>
        <w:t xml:space="preserve">CORTE CONSTITUCIONAL. Sentencia C-569 del 8 de junio de 2004. M.P. (E). </w:t>
      </w:r>
      <w:r w:rsidRPr="000619FA">
        <w:rPr>
          <w:rFonts w:ascii="Verdana" w:hAnsi="Verdana" w:cs="Arial"/>
          <w:sz w:val="14"/>
          <w:szCs w:val="14"/>
          <w:shd w:val="clear" w:color="auto" w:fill="FFFFFF"/>
        </w:rPr>
        <w:t>Rodrigo Uprimny Yepes).</w:t>
      </w:r>
    </w:p>
  </w:footnote>
  <w:footnote w:id="11">
    <w:p w14:paraId="2797259C" w14:textId="77777777" w:rsidR="00BD480F" w:rsidRPr="00C9441E" w:rsidRDefault="00BD480F" w:rsidP="00BD480F">
      <w:pPr>
        <w:pStyle w:val="NormalWeb"/>
        <w:spacing w:before="0" w:beforeAutospacing="0" w:after="0" w:afterAutospacing="0"/>
        <w:ind w:firstLine="708"/>
        <w:jc w:val="both"/>
        <w:rPr>
          <w:rFonts w:ascii="Verdana" w:hAnsi="Verdana" w:cs="Arial"/>
          <w:sz w:val="14"/>
          <w:szCs w:val="14"/>
        </w:rPr>
      </w:pPr>
      <w:r w:rsidRPr="00C9441E">
        <w:rPr>
          <w:rStyle w:val="Refdenotaalpie"/>
          <w:rFonts w:ascii="Verdana" w:eastAsiaTheme="minorHAnsi" w:hAnsi="Verdana" w:cs="Arial"/>
          <w:sz w:val="14"/>
          <w:szCs w:val="14"/>
          <w:lang w:val="es-MX" w:eastAsia="en-US"/>
        </w:rPr>
        <w:footnoteRef/>
      </w:r>
      <w:r w:rsidRPr="00C9441E">
        <w:rPr>
          <w:rFonts w:ascii="Verdana" w:hAnsi="Verdana" w:cs="Arial"/>
          <w:sz w:val="14"/>
          <w:szCs w:val="14"/>
        </w:rPr>
        <w:t xml:space="preserve"> Decreto 1082 de 2015, modificado por el Decreto 1860 de 2021: “Artículo 2.2.1.2.1.5.2. Procedimiento para la contratación de mínima cuantía. La Entidad Estatal debe elaborar unos estudios previos que deben contener, como mínimo, lo siguiente:</w:t>
      </w:r>
    </w:p>
    <w:p w14:paraId="6C8A8B97" w14:textId="77777777" w:rsidR="00BD480F" w:rsidRPr="00C9441E" w:rsidRDefault="00BD480F" w:rsidP="00BD480F">
      <w:pPr>
        <w:pStyle w:val="NormalWeb"/>
        <w:spacing w:before="0" w:beforeAutospacing="0" w:after="0" w:afterAutospacing="0"/>
        <w:ind w:firstLine="708"/>
        <w:jc w:val="both"/>
        <w:rPr>
          <w:rFonts w:ascii="Verdana" w:hAnsi="Verdana" w:cs="Arial"/>
          <w:sz w:val="14"/>
          <w:szCs w:val="14"/>
        </w:rPr>
      </w:pPr>
      <w:proofErr w:type="gramStart"/>
      <w:r w:rsidRPr="00C9441E">
        <w:rPr>
          <w:rFonts w:ascii="Verdana" w:hAnsi="Verdana" w:cs="Arial"/>
          <w:sz w:val="14"/>
          <w:szCs w:val="14"/>
        </w:rPr>
        <w:t>“ [</w:t>
      </w:r>
      <w:proofErr w:type="gramEnd"/>
      <w:r w:rsidRPr="00C9441E">
        <w:rPr>
          <w:rFonts w:ascii="Verdana" w:hAnsi="Verdana" w:cs="Arial"/>
          <w:sz w:val="14"/>
          <w:szCs w:val="14"/>
        </w:rPr>
        <w:t>…] 8. En caso de empate, la Entidad Estatal aplicará los criterios de que trata el artículo </w:t>
      </w:r>
      <w:hyperlink r:id="rId2" w:anchor="35" w:history="1">
        <w:r w:rsidRPr="00C9441E">
          <w:rPr>
            <w:rFonts w:ascii="Verdana" w:hAnsi="Verdana" w:cs="Arial"/>
            <w:sz w:val="14"/>
            <w:szCs w:val="14"/>
          </w:rPr>
          <w:t>35 </w:t>
        </w:r>
      </w:hyperlink>
      <w:r w:rsidRPr="00C9441E">
        <w:rPr>
          <w:rFonts w:ascii="Verdana" w:hAnsi="Verdana" w:cs="Arial"/>
          <w:sz w:val="14"/>
          <w:szCs w:val="14"/>
        </w:rPr>
        <w:t>de la Ley 2069 de 2020, conforme a los medíos de acreditación del artículo 2.2.1.2.4.2.17. del presente Decreto o las normas que los modifiquen, adicionen o sustituyan.”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F680" w14:textId="77777777" w:rsidR="007431BE" w:rsidRDefault="007431B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3726E39" wp14:editId="27FB362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6B587D62" wp14:editId="3CCEF9E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9996417" w14:textId="77777777" w:rsidR="007431BE" w:rsidRDefault="007431BE">
    <w:pPr>
      <w:pStyle w:val="Encabezado"/>
    </w:pPr>
  </w:p>
  <w:p w14:paraId="1CA1AD29" w14:textId="77777777" w:rsidR="007431BE" w:rsidRDefault="007431BE" w:rsidP="004A305D">
    <w:pPr>
      <w:spacing w:after="0"/>
      <w:rPr>
        <w:rFonts w:ascii="Verdana" w:hAnsi="Verdana"/>
        <w:b/>
        <w:bCs/>
      </w:rPr>
    </w:pPr>
  </w:p>
  <w:p w14:paraId="017CB977" w14:textId="77777777" w:rsidR="007431BE" w:rsidRPr="00DC39FC" w:rsidRDefault="007431BE" w:rsidP="004A305D">
    <w:pPr>
      <w:spacing w:after="0"/>
      <w:rPr>
        <w:rFonts w:ascii="Verdana" w:hAnsi="Verdana"/>
        <w:b/>
        <w:bCs/>
      </w:rPr>
    </w:pPr>
    <w:r w:rsidRPr="00DC39FC">
      <w:rPr>
        <w:rFonts w:ascii="Verdana" w:hAnsi="Verdana"/>
        <w:b/>
        <w:bCs/>
      </w:rPr>
      <w:t>FORMATO PQRSD</w:t>
    </w:r>
  </w:p>
  <w:p w14:paraId="28E3CD38" w14:textId="77777777" w:rsidR="007431BE" w:rsidRPr="004A305D" w:rsidRDefault="007431BE" w:rsidP="00B01B1A">
    <w:pPr>
      <w:spacing w:after="0" w:line="120" w:lineRule="auto"/>
      <w:rPr>
        <w:rFonts w:ascii="Century Gothic" w:eastAsia="Geo" w:hAnsi="Century Gothic" w:cs="Geo"/>
        <w:sz w:val="16"/>
        <w:szCs w:val="16"/>
        <w:lang w:eastAsia="es-CO"/>
      </w:rPr>
    </w:pPr>
  </w:p>
  <w:p w14:paraId="46449FA8" w14:textId="77777777" w:rsidR="007431BE" w:rsidRDefault="007431B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8F"/>
    <w:rsid w:val="000A268F"/>
    <w:rsid w:val="000F5A42"/>
    <w:rsid w:val="00127D43"/>
    <w:rsid w:val="001953A9"/>
    <w:rsid w:val="001E4DB4"/>
    <w:rsid w:val="00247470"/>
    <w:rsid w:val="00282FA1"/>
    <w:rsid w:val="00305BB2"/>
    <w:rsid w:val="00596AE1"/>
    <w:rsid w:val="006C2934"/>
    <w:rsid w:val="00725CFC"/>
    <w:rsid w:val="007431BE"/>
    <w:rsid w:val="00753D04"/>
    <w:rsid w:val="00765E4A"/>
    <w:rsid w:val="0078522F"/>
    <w:rsid w:val="007869B7"/>
    <w:rsid w:val="007F5D71"/>
    <w:rsid w:val="008B1D56"/>
    <w:rsid w:val="008D70B4"/>
    <w:rsid w:val="00971036"/>
    <w:rsid w:val="00A12218"/>
    <w:rsid w:val="00A272F7"/>
    <w:rsid w:val="00A90678"/>
    <w:rsid w:val="00AE700C"/>
    <w:rsid w:val="00B07C06"/>
    <w:rsid w:val="00B87D60"/>
    <w:rsid w:val="00BD480F"/>
    <w:rsid w:val="00C911CD"/>
    <w:rsid w:val="00CB2F83"/>
    <w:rsid w:val="00D33095"/>
    <w:rsid w:val="00DD1950"/>
    <w:rsid w:val="00EC4BE9"/>
    <w:rsid w:val="00FC6073"/>
    <w:rsid w:val="3E6C2D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62A82"/>
  <w15:chartTrackingRefBased/>
  <w15:docId w15:val="{B6F9DF8D-0E70-4011-938D-AE16542CB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68F"/>
    <w:rPr>
      <w:kern w:val="0"/>
      <w14:ligatures w14:val="none"/>
    </w:rPr>
  </w:style>
  <w:style w:type="paragraph" w:styleId="Ttulo1">
    <w:name w:val="heading 1"/>
    <w:basedOn w:val="Normal"/>
    <w:next w:val="Normal"/>
    <w:link w:val="Ttulo1Car"/>
    <w:uiPriority w:val="9"/>
    <w:qFormat/>
    <w:rsid w:val="000A2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2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26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26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26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26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26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26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26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26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26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26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26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26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26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26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26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268F"/>
    <w:rPr>
      <w:rFonts w:eastAsiaTheme="majorEastAsia" w:cstheme="majorBidi"/>
      <w:color w:val="272727" w:themeColor="text1" w:themeTint="D8"/>
    </w:rPr>
  </w:style>
  <w:style w:type="paragraph" w:styleId="Ttulo">
    <w:name w:val="Title"/>
    <w:basedOn w:val="Normal"/>
    <w:next w:val="Normal"/>
    <w:link w:val="TtuloCar"/>
    <w:uiPriority w:val="10"/>
    <w:qFormat/>
    <w:rsid w:val="000A2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26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26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26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268F"/>
    <w:pPr>
      <w:spacing w:before="160"/>
      <w:jc w:val="center"/>
    </w:pPr>
    <w:rPr>
      <w:i/>
      <w:iCs/>
      <w:color w:val="404040" w:themeColor="text1" w:themeTint="BF"/>
    </w:rPr>
  </w:style>
  <w:style w:type="character" w:customStyle="1" w:styleId="CitaCar">
    <w:name w:val="Cita Car"/>
    <w:basedOn w:val="Fuentedeprrafopredeter"/>
    <w:link w:val="Cita"/>
    <w:uiPriority w:val="29"/>
    <w:rsid w:val="000A268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A268F"/>
    <w:pPr>
      <w:ind w:left="720"/>
      <w:contextualSpacing/>
    </w:pPr>
  </w:style>
  <w:style w:type="character" w:styleId="nfasisintenso">
    <w:name w:val="Intense Emphasis"/>
    <w:basedOn w:val="Fuentedeprrafopredeter"/>
    <w:uiPriority w:val="21"/>
    <w:qFormat/>
    <w:rsid w:val="000A268F"/>
    <w:rPr>
      <w:i/>
      <w:iCs/>
      <w:color w:val="0F4761" w:themeColor="accent1" w:themeShade="BF"/>
    </w:rPr>
  </w:style>
  <w:style w:type="paragraph" w:styleId="Citadestacada">
    <w:name w:val="Intense Quote"/>
    <w:basedOn w:val="Normal"/>
    <w:next w:val="Normal"/>
    <w:link w:val="CitadestacadaCar"/>
    <w:uiPriority w:val="30"/>
    <w:qFormat/>
    <w:rsid w:val="000A2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268F"/>
    <w:rPr>
      <w:i/>
      <w:iCs/>
      <w:color w:val="0F4761" w:themeColor="accent1" w:themeShade="BF"/>
    </w:rPr>
  </w:style>
  <w:style w:type="character" w:styleId="Referenciaintensa">
    <w:name w:val="Intense Reference"/>
    <w:basedOn w:val="Fuentedeprrafopredeter"/>
    <w:uiPriority w:val="32"/>
    <w:qFormat/>
    <w:rsid w:val="000A268F"/>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A268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A268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A268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A268F"/>
    <w:rPr>
      <w:vertAlign w:val="superscript"/>
    </w:rPr>
  </w:style>
  <w:style w:type="paragraph" w:customStyle="1" w:styleId="Appelnotedebasde">
    <w:name w:val="Appel note de bas de..."/>
    <w:basedOn w:val="Normal"/>
    <w:link w:val="Refdenotaalpie"/>
    <w:uiPriority w:val="99"/>
    <w:rsid w:val="000A268F"/>
    <w:pPr>
      <w:spacing w:line="240" w:lineRule="exact"/>
    </w:pPr>
    <w:rPr>
      <w:kern w:val="2"/>
      <w:vertAlign w:val="superscript"/>
      <w14:ligatures w14:val="standardContextual"/>
    </w:rPr>
  </w:style>
  <w:style w:type="table" w:styleId="Tablaconcuadrcula">
    <w:name w:val="Table Grid"/>
    <w:basedOn w:val="Tablanormal"/>
    <w:uiPriority w:val="39"/>
    <w:qFormat/>
    <w:rsid w:val="000A268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A268F"/>
    <w:rPr>
      <w:color w:val="467886" w:themeColor="hyperlink"/>
      <w:u w:val="single"/>
    </w:rPr>
  </w:style>
  <w:style w:type="character" w:customStyle="1" w:styleId="normaltextrun">
    <w:name w:val="normaltextrun"/>
    <w:basedOn w:val="Fuentedeprrafopredeter"/>
    <w:rsid w:val="000A268F"/>
  </w:style>
  <w:style w:type="character" w:customStyle="1" w:styleId="eop">
    <w:name w:val="eop"/>
    <w:basedOn w:val="Fuentedeprrafopredeter"/>
    <w:rsid w:val="000A268F"/>
  </w:style>
  <w:style w:type="paragraph" w:customStyle="1" w:styleId="paragraph">
    <w:name w:val="paragraph"/>
    <w:basedOn w:val="Normal"/>
    <w:rsid w:val="000A268F"/>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A268F"/>
  </w:style>
  <w:style w:type="paragraph" w:styleId="NormalWeb">
    <w:name w:val="Normal (Web)"/>
    <w:basedOn w:val="Normal"/>
    <w:link w:val="NormalWebCar"/>
    <w:uiPriority w:val="99"/>
    <w:unhideWhenUsed/>
    <w:rsid w:val="000A268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0A268F"/>
    <w:rPr>
      <w:rFonts w:ascii="Times New Roman" w:eastAsia="Times New Roman" w:hAnsi="Times New Roman" w:cs="Times New Roman"/>
      <w:kern w:val="0"/>
      <w:sz w:val="24"/>
      <w:szCs w:val="24"/>
      <w:lang w:eastAsia="es-CO"/>
      <w14:ligatures w14:val="none"/>
    </w:rPr>
  </w:style>
  <w:style w:type="paragraph" w:customStyle="1" w:styleId="Car1">
    <w:name w:val="Car1"/>
    <w:basedOn w:val="Normal"/>
    <w:next w:val="Textonotapie"/>
    <w:uiPriority w:val="99"/>
    <w:unhideWhenUsed/>
    <w:qFormat/>
    <w:rsid w:val="000A268F"/>
    <w:pPr>
      <w:spacing w:after="0" w:line="240" w:lineRule="auto"/>
    </w:pPr>
    <w:rPr>
      <w:rFonts w:ascii="Calibri" w:eastAsia="Calibri" w:hAnsi="Calibri" w:cs="Times New Roman"/>
      <w:sz w:val="20"/>
      <w:szCs w:val="20"/>
      <w:lang w:val="es-MX"/>
    </w:rPr>
  </w:style>
  <w:style w:type="paragraph" w:styleId="Encabezado">
    <w:name w:val="header"/>
    <w:basedOn w:val="Normal"/>
    <w:link w:val="EncabezadoCar"/>
    <w:uiPriority w:val="99"/>
    <w:unhideWhenUsed/>
    <w:rsid w:val="000A26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268F"/>
    <w:rPr>
      <w:kern w:val="0"/>
      <w14:ligatures w14:val="none"/>
    </w:rPr>
  </w:style>
  <w:style w:type="paragraph" w:styleId="Piedepgina">
    <w:name w:val="footer"/>
    <w:basedOn w:val="Normal"/>
    <w:link w:val="PiedepginaCar"/>
    <w:uiPriority w:val="99"/>
    <w:unhideWhenUsed/>
    <w:rsid w:val="000A26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268F"/>
    <w:rPr>
      <w:kern w:val="0"/>
      <w14:ligatures w14:val="none"/>
    </w:rPr>
  </w:style>
  <w:style w:type="character" w:styleId="Mencinsinresolver">
    <w:name w:val="Unresolved Mention"/>
    <w:basedOn w:val="Fuentedeprrafopredeter"/>
    <w:uiPriority w:val="99"/>
    <w:semiHidden/>
    <w:unhideWhenUsed/>
    <w:rsid w:val="000A2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4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anagomezmeji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160966"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00A4B-1E30-45A0-A228-F12E9867C37C}">
  <ds:schemaRefs>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7C60C2F9-1940-4BD0-B504-66BD09A431BA}">
  <ds:schemaRefs>
    <ds:schemaRef ds:uri="http://schemas.microsoft.com/sharepoint/v3/contenttype/forms"/>
  </ds:schemaRefs>
</ds:datastoreItem>
</file>

<file path=customXml/itemProps3.xml><?xml version="1.0" encoding="utf-8"?>
<ds:datastoreItem xmlns:ds="http://schemas.openxmlformats.org/officeDocument/2006/customXml" ds:itemID="{5837782A-BA92-4EEB-B5F9-B6988DD03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5025</Words>
  <Characters>27640</Characters>
  <Application>Microsoft Office Word</Application>
  <DocSecurity>0</DocSecurity>
  <Lines>230</Lines>
  <Paragraphs>65</Paragraphs>
  <ScaleCrop>false</ScaleCrop>
  <Company/>
  <LinksUpToDate>false</LinksUpToDate>
  <CharactersWithSpaces>32600</CharactersWithSpaces>
  <SharedDoc>false</SharedDoc>
  <HLinks>
    <vt:vector size="24" baseType="variant">
      <vt:variant>
        <vt:i4>7471218</vt:i4>
      </vt:variant>
      <vt:variant>
        <vt:i4>3</vt:i4>
      </vt:variant>
      <vt:variant>
        <vt:i4>0</vt:i4>
      </vt:variant>
      <vt:variant>
        <vt:i4>5</vt:i4>
      </vt:variant>
      <vt:variant>
        <vt:lpwstr>https://relatoria.colombiacompra.gov.co/busqueda/conceptos</vt:lpwstr>
      </vt:variant>
      <vt:variant>
        <vt:lpwstr/>
      </vt:variant>
      <vt:variant>
        <vt:i4>7929923</vt:i4>
      </vt:variant>
      <vt:variant>
        <vt:i4>0</vt:i4>
      </vt:variant>
      <vt:variant>
        <vt:i4>0</vt:i4>
      </vt:variant>
      <vt:variant>
        <vt:i4>5</vt:i4>
      </vt:variant>
      <vt:variant>
        <vt:lpwstr>mailto:elianagomezmejia@gmail.com</vt:lpwstr>
      </vt:variant>
      <vt:variant>
        <vt:lpwstr/>
      </vt:variant>
      <vt:variant>
        <vt:i4>2687009</vt:i4>
      </vt:variant>
      <vt:variant>
        <vt:i4>3</vt:i4>
      </vt:variant>
      <vt:variant>
        <vt:i4>0</vt:i4>
      </vt:variant>
      <vt:variant>
        <vt:i4>5</vt:i4>
      </vt:variant>
      <vt:variant>
        <vt:lpwstr>https://www.funcionpublica.gov.co/eva/gestornormativo/norma.php?i=160966</vt:lpwstr>
      </vt:variant>
      <vt:variant>
        <vt:lpwstr>35</vt:lpwstr>
      </vt:variant>
      <vt:variant>
        <vt:i4>3604589</vt:i4>
      </vt:variant>
      <vt:variant>
        <vt:i4>0</vt:i4>
      </vt:variant>
      <vt:variant>
        <vt:i4>0</vt:i4>
      </vt:variant>
      <vt:variant>
        <vt:i4>5</vt:i4>
      </vt:variant>
      <vt:variant>
        <vt:lpwstr>https://colaboracion.dnp.gov.co/CDT/Conpes/Econ%C3%B3micos/3956.pdf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Sergio Andrés Rivera Cano</cp:lastModifiedBy>
  <cp:revision>2</cp:revision>
  <dcterms:created xsi:type="dcterms:W3CDTF">2025-07-24T16:24:00Z</dcterms:created>
  <dcterms:modified xsi:type="dcterms:W3CDTF">2025-07-24T16:24:00Z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