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C279B" w14:textId="77777777" w:rsidR="00857EFD" w:rsidRPr="00363ED4" w:rsidRDefault="00857EFD" w:rsidP="00857EFD">
      <w:pPr>
        <w:spacing w:line="276" w:lineRule="auto"/>
        <w:rPr>
          <w:rFonts w:ascii="Arial" w:hAnsi="Arial" w:cs="Arial"/>
          <w:b/>
          <w:color w:val="FF0000"/>
          <w:sz w:val="20"/>
          <w:szCs w:val="20"/>
          <w:lang w:eastAsia="es-ES"/>
        </w:rPr>
      </w:pPr>
      <w:r w:rsidRPr="004D160E">
        <w:rPr>
          <w:rFonts w:ascii="Arial" w:hAnsi="Arial" w:cs="Arial"/>
          <w:b/>
          <w:sz w:val="20"/>
          <w:szCs w:val="20"/>
        </w:rPr>
        <w:t>REGISTRO ÚNICO DE PROPONENTES</w:t>
      </w:r>
      <w:r w:rsidRPr="00363ED4">
        <w:rPr>
          <w:rFonts w:ascii="Arial" w:hAnsi="Arial" w:cs="Arial"/>
          <w:b/>
          <w:sz w:val="20"/>
          <w:szCs w:val="20"/>
        </w:rPr>
        <w:t xml:space="preserve"> – Finalidad</w:t>
      </w:r>
    </w:p>
    <w:p w14:paraId="03981125" w14:textId="77777777" w:rsidR="00857EFD" w:rsidRPr="00363ED4" w:rsidRDefault="00857EFD" w:rsidP="00857EFD">
      <w:pPr>
        <w:pStyle w:val="Textoindependiente"/>
        <w:ind w:right="107"/>
        <w:contextualSpacing/>
        <w:jc w:val="both"/>
        <w:rPr>
          <w:b/>
        </w:rPr>
      </w:pPr>
    </w:p>
    <w:p w14:paraId="7BD675E1" w14:textId="77777777" w:rsidR="00857EFD" w:rsidRPr="00363ED4" w:rsidRDefault="00857EFD" w:rsidP="00857EFD">
      <w:pPr>
        <w:contextualSpacing/>
        <w:jc w:val="both"/>
        <w:rPr>
          <w:rFonts w:ascii="Arial" w:hAnsi="Arial" w:cs="Arial"/>
          <w:color w:val="000000" w:themeColor="text1"/>
          <w:sz w:val="20"/>
          <w:szCs w:val="20"/>
        </w:rPr>
      </w:pPr>
      <w:r w:rsidRPr="00363ED4">
        <w:rPr>
          <w:rFonts w:ascii="Arial" w:hAnsi="Arial" w:cs="Arial"/>
          <w:color w:val="000000" w:themeColor="text1"/>
          <w:sz w:val="20"/>
          <w:szCs w:val="20"/>
        </w:rPr>
        <w:t>El Registro Único de Proponentes, en adelante RUP,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w:t>
      </w:r>
    </w:p>
    <w:p w14:paraId="6D7536D7" w14:textId="77777777" w:rsidR="00857EFD" w:rsidRPr="00363ED4" w:rsidRDefault="00857EFD" w:rsidP="00857EFD">
      <w:pPr>
        <w:contextualSpacing/>
        <w:jc w:val="both"/>
        <w:rPr>
          <w:rFonts w:ascii="Arial" w:hAnsi="Arial" w:cs="Arial"/>
          <w:color w:val="000000" w:themeColor="text1"/>
          <w:sz w:val="20"/>
          <w:szCs w:val="20"/>
        </w:rPr>
      </w:pPr>
    </w:p>
    <w:p w14:paraId="44C5CAEB" w14:textId="77777777" w:rsidR="00857EFD" w:rsidRPr="00363ED4" w:rsidRDefault="00857EFD" w:rsidP="00857EFD">
      <w:pPr>
        <w:contextualSpacing/>
        <w:jc w:val="both"/>
        <w:rPr>
          <w:rFonts w:ascii="Arial" w:hAnsi="Arial" w:cs="Arial"/>
          <w:color w:val="000000" w:themeColor="text1"/>
          <w:sz w:val="20"/>
          <w:szCs w:val="20"/>
        </w:rPr>
      </w:pPr>
      <w:r w:rsidRPr="00363ED4">
        <w:rPr>
          <w:rFonts w:ascii="Arial" w:hAnsi="Arial" w:cs="Arial"/>
          <w:color w:val="000000" w:themeColor="text1"/>
          <w:sz w:val="20"/>
          <w:szCs w:val="20"/>
        </w:rPr>
        <w:t>[…]</w:t>
      </w:r>
    </w:p>
    <w:p w14:paraId="73067A1A" w14:textId="77777777" w:rsidR="00857EFD" w:rsidRPr="00363ED4" w:rsidRDefault="00857EFD" w:rsidP="00857EFD">
      <w:pPr>
        <w:contextualSpacing/>
        <w:jc w:val="both"/>
        <w:rPr>
          <w:rFonts w:ascii="Arial" w:hAnsi="Arial" w:cs="Arial"/>
          <w:sz w:val="20"/>
          <w:szCs w:val="20"/>
        </w:rPr>
      </w:pPr>
    </w:p>
    <w:p w14:paraId="5A872464" w14:textId="77777777" w:rsidR="00857EFD" w:rsidRPr="00363ED4" w:rsidRDefault="00857EFD" w:rsidP="00857EFD">
      <w:pPr>
        <w:contextualSpacing/>
        <w:jc w:val="both"/>
        <w:rPr>
          <w:rFonts w:ascii="Arial" w:hAnsi="Arial" w:cs="Arial"/>
          <w:sz w:val="20"/>
          <w:szCs w:val="20"/>
        </w:rPr>
      </w:pPr>
      <w:r w:rsidRPr="00363ED4">
        <w:rPr>
          <w:rFonts w:ascii="Arial" w:hAnsi="Arial" w:cs="Arial"/>
          <w:color w:val="000000" w:themeColor="text1"/>
          <w:sz w:val="20"/>
          <w:szCs w:val="20"/>
        </w:rPr>
        <w:t>El artículo 6.1 de la Ley 1150 de 2007 dispone que el RUP es plena prueba de la información que contiene.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las entidades en los procedimientos de contratación en los que es exigible el RUP</w:t>
      </w:r>
      <w:r w:rsidRPr="00363ED4">
        <w:rPr>
          <w:rFonts w:ascii="Arial" w:hAnsi="Arial" w:cs="Arial"/>
          <w:sz w:val="20"/>
          <w:szCs w:val="20"/>
        </w:rPr>
        <w:t>. […]</w:t>
      </w:r>
    </w:p>
    <w:p w14:paraId="1D5F91BF" w14:textId="02F100D3" w:rsidR="00D1522E" w:rsidRPr="00363ED4" w:rsidRDefault="00D1522E" w:rsidP="00460695">
      <w:pPr>
        <w:spacing w:line="276" w:lineRule="auto"/>
        <w:jc w:val="both"/>
        <w:textAlignment w:val="baseline"/>
        <w:rPr>
          <w:rFonts w:ascii="Arial" w:hAnsi="Arial" w:cs="Arial"/>
          <w:bCs/>
          <w:color w:val="000000"/>
          <w:sz w:val="20"/>
          <w:szCs w:val="20"/>
          <w:lang w:eastAsia="es-CO"/>
        </w:rPr>
      </w:pPr>
    </w:p>
    <w:p w14:paraId="625BD47D" w14:textId="77777777" w:rsidR="00857EFD" w:rsidRPr="00363ED4" w:rsidRDefault="00857EFD" w:rsidP="00857EFD">
      <w:pPr>
        <w:contextualSpacing/>
        <w:jc w:val="both"/>
        <w:rPr>
          <w:rFonts w:ascii="Arial" w:eastAsia="Calibri" w:hAnsi="Arial" w:cs="Arial"/>
          <w:b/>
          <w:bCs/>
          <w:sz w:val="20"/>
          <w:szCs w:val="20"/>
        </w:rPr>
      </w:pPr>
      <w:r w:rsidRPr="00363ED4">
        <w:rPr>
          <w:rFonts w:ascii="Arial" w:eastAsia="Calibri" w:hAnsi="Arial" w:cs="Arial"/>
          <w:b/>
          <w:bCs/>
          <w:sz w:val="20"/>
          <w:szCs w:val="20"/>
        </w:rPr>
        <w:t>CLASIFICADOR DE BIENES Y SERVICIOS DE NACIONES UNIDAS – Función</w:t>
      </w:r>
    </w:p>
    <w:p w14:paraId="77F39EA4" w14:textId="77777777" w:rsidR="00857EFD" w:rsidRPr="00363ED4" w:rsidRDefault="00857EFD" w:rsidP="00857EFD">
      <w:pPr>
        <w:contextualSpacing/>
        <w:jc w:val="both"/>
        <w:rPr>
          <w:rFonts w:ascii="Arial" w:eastAsia="Calibri" w:hAnsi="Arial" w:cs="Arial"/>
          <w:sz w:val="20"/>
          <w:szCs w:val="20"/>
        </w:rPr>
      </w:pPr>
    </w:p>
    <w:p w14:paraId="5819F49C" w14:textId="77777777" w:rsidR="00857EFD" w:rsidRPr="00363ED4" w:rsidRDefault="00857EFD" w:rsidP="00857EFD">
      <w:pPr>
        <w:pStyle w:val="Textoindependiente"/>
        <w:ind w:right="102"/>
        <w:contextualSpacing/>
        <w:jc w:val="both"/>
      </w:pPr>
      <w:r w:rsidRPr="00363ED4">
        <w:rPr>
          <w:rFonts w:eastAsia="Calibri"/>
        </w:rPr>
        <w:t xml:space="preserve">[…] </w:t>
      </w:r>
      <w:r w:rsidRPr="00363ED4">
        <w:t>las normas de contratación estatal establecen que las personas naturales o jurídicas nacionales o extranjeras que deseen celebrar contratos estatales deberán estar inscritos en el RUP. De acuerdo con esto, el artículo 6 de la Ley 1150 de 2007, al determinar la información contenida en el RUP, dispone que en el registro constará la información relacionada con la experiencia, capacidad jurídica, financiera y de organización del proponente, así como su clasificación.</w:t>
      </w:r>
    </w:p>
    <w:p w14:paraId="76C9E866" w14:textId="77777777" w:rsidR="00857EFD" w:rsidRPr="00363ED4" w:rsidRDefault="00857EFD" w:rsidP="00857EFD">
      <w:pPr>
        <w:pStyle w:val="Textoindependiente"/>
        <w:ind w:right="102"/>
        <w:contextualSpacing/>
        <w:jc w:val="both"/>
      </w:pPr>
    </w:p>
    <w:p w14:paraId="3AE58831" w14:textId="77777777" w:rsidR="00857EFD" w:rsidRPr="00363ED4" w:rsidRDefault="00857EFD" w:rsidP="00857EFD">
      <w:pPr>
        <w:pStyle w:val="Textoindependiente"/>
        <w:ind w:right="102"/>
        <w:contextualSpacing/>
        <w:jc w:val="both"/>
      </w:pPr>
      <w:r w:rsidRPr="00363ED4">
        <w:t xml:space="preserve">La clasificación tiene que ver con los bienes y servicios con los que se relaciona la 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Decreto 1082 de 2015, al reglamentar la contratación pública, el RUP y la clasificación de la experiencia, implementó el Clasificador de Bienes y Servicios de las Naciones Unidas –UNSPSC–, lo cual se refleja en diferentes partes de su articulado. </w:t>
      </w:r>
    </w:p>
    <w:p w14:paraId="12A69273" w14:textId="77777777" w:rsidR="00857EFD" w:rsidRPr="00363ED4" w:rsidRDefault="00857EFD" w:rsidP="00857EFD">
      <w:pPr>
        <w:contextualSpacing/>
        <w:jc w:val="both"/>
        <w:rPr>
          <w:rFonts w:ascii="Arial" w:eastAsia="Calibri" w:hAnsi="Arial" w:cs="Arial"/>
          <w:sz w:val="20"/>
          <w:szCs w:val="20"/>
        </w:rPr>
      </w:pPr>
    </w:p>
    <w:p w14:paraId="1B4D06AB" w14:textId="77777777" w:rsidR="00857EFD" w:rsidRPr="00363ED4" w:rsidRDefault="00857EFD" w:rsidP="00857EFD">
      <w:pPr>
        <w:contextualSpacing/>
        <w:jc w:val="both"/>
        <w:rPr>
          <w:rFonts w:ascii="Arial" w:eastAsia="Calibri" w:hAnsi="Arial" w:cs="Arial"/>
          <w:sz w:val="20"/>
          <w:szCs w:val="20"/>
        </w:rPr>
      </w:pPr>
      <w:r w:rsidRPr="00363ED4">
        <w:rPr>
          <w:rFonts w:ascii="Arial" w:eastAsia="Calibri" w:hAnsi="Arial" w:cs="Arial"/>
          <w:b/>
          <w:bCs/>
          <w:sz w:val="20"/>
          <w:szCs w:val="20"/>
        </w:rPr>
        <w:t xml:space="preserve">CLASIFICADOR DE BIENES Y SERVICIOS DE NACIONES UNIDAS – Noción </w:t>
      </w:r>
    </w:p>
    <w:p w14:paraId="75058D22" w14:textId="77777777" w:rsidR="00857EFD" w:rsidRPr="00363ED4" w:rsidRDefault="00857EFD" w:rsidP="00857EFD">
      <w:pPr>
        <w:contextualSpacing/>
        <w:jc w:val="both"/>
        <w:rPr>
          <w:rFonts w:ascii="Arial" w:eastAsia="Calibri" w:hAnsi="Arial" w:cs="Arial"/>
          <w:sz w:val="20"/>
          <w:szCs w:val="20"/>
        </w:rPr>
      </w:pPr>
    </w:p>
    <w:p w14:paraId="71044856" w14:textId="77777777" w:rsidR="00857EFD" w:rsidRPr="00363ED4" w:rsidRDefault="00857EFD" w:rsidP="00857EFD">
      <w:pPr>
        <w:contextualSpacing/>
        <w:jc w:val="both"/>
        <w:rPr>
          <w:rFonts w:ascii="Arial" w:hAnsi="Arial" w:cs="Arial"/>
          <w:sz w:val="20"/>
          <w:szCs w:val="20"/>
          <w:bdr w:val="none" w:sz="0" w:space="0" w:color="auto" w:frame="1"/>
          <w:lang w:eastAsia="es-CO"/>
        </w:rPr>
      </w:pPr>
      <w:r w:rsidRPr="00363ED4">
        <w:rPr>
          <w:rFonts w:ascii="Arial" w:hAnsi="Arial" w:cs="Arial"/>
          <w:sz w:val="20"/>
          <w:szCs w:val="20"/>
          <w:bdr w:val="none" w:sz="0" w:space="0" w:color="auto" w:frame="1"/>
          <w:lang w:eastAsia="es-CO"/>
        </w:rPr>
        <w:t>El 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 establece que «</w:t>
      </w:r>
      <w:proofErr w:type="spellStart"/>
      <w:r w:rsidRPr="00363ED4">
        <w:rPr>
          <w:rFonts w:ascii="Arial" w:hAnsi="Arial" w:cs="Arial"/>
          <w:sz w:val="20"/>
          <w:szCs w:val="20"/>
          <w:bdr w:val="none" w:sz="0" w:space="0" w:color="auto" w:frame="1"/>
          <w:lang w:eastAsia="es-CO"/>
        </w:rPr>
        <w:t>The</w:t>
      </w:r>
      <w:proofErr w:type="spellEnd"/>
      <w:r w:rsidRPr="00363ED4">
        <w:rPr>
          <w:rFonts w:ascii="Arial" w:hAnsi="Arial" w:cs="Arial"/>
          <w:sz w:val="20"/>
          <w:szCs w:val="20"/>
          <w:bdr w:val="none" w:sz="0" w:space="0" w:color="auto" w:frame="1"/>
          <w:lang w:eastAsia="es-CO"/>
        </w:rPr>
        <w:t xml:space="preserve"> </w:t>
      </w:r>
      <w:proofErr w:type="spellStart"/>
      <w:r w:rsidRPr="00363ED4">
        <w:rPr>
          <w:rFonts w:ascii="Arial" w:hAnsi="Arial" w:cs="Arial"/>
          <w:sz w:val="20"/>
          <w:szCs w:val="20"/>
          <w:bdr w:val="none" w:sz="0" w:space="0" w:color="auto" w:frame="1"/>
          <w:lang w:eastAsia="es-CO"/>
        </w:rPr>
        <w:t>United</w:t>
      </w:r>
      <w:proofErr w:type="spellEnd"/>
      <w:r w:rsidRPr="00363ED4">
        <w:rPr>
          <w:rFonts w:ascii="Arial" w:hAnsi="Arial" w:cs="Arial"/>
          <w:sz w:val="20"/>
          <w:szCs w:val="20"/>
          <w:bdr w:val="none" w:sz="0" w:space="0" w:color="auto" w:frame="1"/>
          <w:lang w:eastAsia="es-CO"/>
        </w:rPr>
        <w:t xml:space="preserve"> </w:t>
      </w:r>
      <w:proofErr w:type="spellStart"/>
      <w:r w:rsidRPr="00363ED4">
        <w:rPr>
          <w:rFonts w:ascii="Arial" w:hAnsi="Arial" w:cs="Arial"/>
          <w:sz w:val="20"/>
          <w:szCs w:val="20"/>
          <w:bdr w:val="none" w:sz="0" w:space="0" w:color="auto" w:frame="1"/>
          <w:lang w:eastAsia="es-CO"/>
        </w:rPr>
        <w:t>Nations</w:t>
      </w:r>
      <w:proofErr w:type="spellEnd"/>
      <w:r w:rsidRPr="00363ED4">
        <w:rPr>
          <w:rFonts w:ascii="Arial" w:hAnsi="Arial" w:cs="Arial"/>
          <w:sz w:val="20"/>
          <w:szCs w:val="20"/>
          <w:bdr w:val="none" w:sz="0" w:space="0" w:color="auto" w:frame="1"/>
          <w:lang w:eastAsia="es-CO"/>
        </w:rPr>
        <w:t xml:space="preserve"> Standard </w:t>
      </w:r>
      <w:proofErr w:type="spellStart"/>
      <w:r w:rsidRPr="00363ED4">
        <w:rPr>
          <w:rFonts w:ascii="Arial" w:hAnsi="Arial" w:cs="Arial"/>
          <w:sz w:val="20"/>
          <w:szCs w:val="20"/>
          <w:bdr w:val="none" w:sz="0" w:space="0" w:color="auto" w:frame="1"/>
          <w:lang w:eastAsia="es-CO"/>
        </w:rPr>
        <w:t>Products</w:t>
      </w:r>
      <w:proofErr w:type="spellEnd"/>
      <w:r w:rsidRPr="00363ED4">
        <w:rPr>
          <w:rFonts w:ascii="Arial" w:hAnsi="Arial" w:cs="Arial"/>
          <w:sz w:val="20"/>
          <w:szCs w:val="20"/>
          <w:bdr w:val="none" w:sz="0" w:space="0" w:color="auto" w:frame="1"/>
          <w:lang w:eastAsia="es-CO"/>
        </w:rPr>
        <w:t xml:space="preserve"> and </w:t>
      </w:r>
      <w:proofErr w:type="spellStart"/>
      <w:r w:rsidRPr="00363ED4">
        <w:rPr>
          <w:rFonts w:ascii="Arial" w:hAnsi="Arial" w:cs="Arial"/>
          <w:sz w:val="20"/>
          <w:szCs w:val="20"/>
          <w:bdr w:val="none" w:sz="0" w:space="0" w:color="auto" w:frame="1"/>
          <w:lang w:eastAsia="es-CO"/>
        </w:rPr>
        <w:t>Services</w:t>
      </w:r>
      <w:proofErr w:type="spellEnd"/>
      <w:r w:rsidRPr="00363ED4">
        <w:rPr>
          <w:rFonts w:ascii="Arial" w:hAnsi="Arial" w:cs="Arial"/>
          <w:sz w:val="20"/>
          <w:szCs w:val="20"/>
          <w:bdr w:val="none" w:sz="0" w:space="0" w:color="auto" w:frame="1"/>
          <w:lang w:eastAsia="es-CO"/>
        </w:rPr>
        <w:t xml:space="preserve"> </w:t>
      </w:r>
      <w:proofErr w:type="spellStart"/>
      <w:r w:rsidRPr="00363ED4">
        <w:rPr>
          <w:rFonts w:ascii="Arial" w:hAnsi="Arial" w:cs="Arial"/>
          <w:sz w:val="20"/>
          <w:szCs w:val="20"/>
          <w:bdr w:val="none" w:sz="0" w:space="0" w:color="auto" w:frame="1"/>
          <w:lang w:eastAsia="es-CO"/>
        </w:rPr>
        <w:t>Code</w:t>
      </w:r>
      <w:proofErr w:type="spellEnd"/>
      <w:r w:rsidRPr="00363ED4">
        <w:rPr>
          <w:rFonts w:ascii="Arial" w:hAnsi="Arial" w:cs="Arial"/>
          <w:sz w:val="20"/>
          <w:szCs w:val="20"/>
          <w:bdr w:val="none" w:sz="0" w:space="0" w:color="auto" w:frame="1"/>
          <w:lang w:eastAsia="es-CO"/>
        </w:rPr>
        <w:t xml:space="preserve">® - UNSPSC - Código Estándar de Productos y Servicios de Naciones Unidas, es una metodología uniforme de codificación utilizada para clasificar 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 </w:t>
      </w:r>
    </w:p>
    <w:p w14:paraId="4C57F62A" w14:textId="77777777" w:rsidR="00857EFD" w:rsidRPr="00363ED4" w:rsidRDefault="00857EFD" w:rsidP="00857EFD">
      <w:pPr>
        <w:contextualSpacing/>
        <w:jc w:val="both"/>
        <w:rPr>
          <w:rFonts w:ascii="Arial" w:eastAsia="Calibri" w:hAnsi="Arial" w:cs="Arial"/>
          <w:sz w:val="20"/>
          <w:szCs w:val="20"/>
        </w:rPr>
      </w:pPr>
    </w:p>
    <w:p w14:paraId="658B8AE3" w14:textId="77777777" w:rsidR="00857EFD" w:rsidRPr="00363ED4" w:rsidRDefault="00857EFD" w:rsidP="00857EFD">
      <w:pPr>
        <w:contextualSpacing/>
        <w:jc w:val="both"/>
        <w:rPr>
          <w:rFonts w:ascii="Arial" w:eastAsia="Calibri" w:hAnsi="Arial" w:cs="Arial"/>
          <w:b/>
          <w:bCs/>
          <w:sz w:val="20"/>
          <w:szCs w:val="20"/>
        </w:rPr>
      </w:pPr>
      <w:r w:rsidRPr="00363ED4">
        <w:rPr>
          <w:rFonts w:ascii="Arial" w:eastAsia="Calibri" w:hAnsi="Arial" w:cs="Arial"/>
          <w:b/>
          <w:bCs/>
          <w:sz w:val="20"/>
          <w:szCs w:val="20"/>
        </w:rPr>
        <w:t xml:space="preserve">CLASIFICADOR DE BIENES Y SERVICIOS DE NACIONES UNIDAS – Normativa </w:t>
      </w:r>
    </w:p>
    <w:p w14:paraId="355C1A4E" w14:textId="77777777" w:rsidR="00857EFD" w:rsidRPr="00363ED4" w:rsidRDefault="00857EFD" w:rsidP="00857EFD">
      <w:pPr>
        <w:pStyle w:val="Textoindependiente"/>
        <w:ind w:right="102"/>
        <w:contextualSpacing/>
        <w:jc w:val="both"/>
        <w:rPr>
          <w:rFonts w:eastAsia="Calibri"/>
        </w:rPr>
      </w:pPr>
    </w:p>
    <w:p w14:paraId="2969F522" w14:textId="77777777" w:rsidR="00857EFD" w:rsidRPr="00363ED4" w:rsidRDefault="00857EFD" w:rsidP="00857EFD">
      <w:pPr>
        <w:pStyle w:val="Textoindependiente"/>
        <w:ind w:right="102"/>
        <w:contextualSpacing/>
        <w:jc w:val="both"/>
      </w:pPr>
      <w:r w:rsidRPr="00363ED4">
        <w:rPr>
          <w:rFonts w:eastAsia="Calibri"/>
        </w:rPr>
        <w:lastRenderedPageBreak/>
        <w:t xml:space="preserve">[…] </w:t>
      </w:r>
      <w:r w:rsidRPr="00363ED4">
        <w:t xml:space="preserve">el artículo 2.2.1.1.1.5.2 del Decreto 1082 de 2015, al desarrollar la información requerida para la inscripción, actualización y renovación del RUP, establece que los proponentes deben establecer los bienes y servicios que ofrecerán identificados Clasificador de Bienes y Servicios en el tercer nivel. Asimismo, los numerales 1.2 y 2.5 de este artículo establece que en los certificados de experiencia presentados para inscripción o actualización del RUP, los proponentes deben indicar en «cada certificado o en cada copia de los contratos, los bienes, obras y servicios a los cuales corresponde la experiencia que pretende acreditar, identificándolos con el Clasificador de Bienes y Servicios en el tercer nivel». </w:t>
      </w:r>
    </w:p>
    <w:p w14:paraId="3153DD6C" w14:textId="77777777" w:rsidR="00857EFD" w:rsidRPr="00363ED4" w:rsidRDefault="00857EFD" w:rsidP="00857EFD">
      <w:pPr>
        <w:contextualSpacing/>
        <w:jc w:val="both"/>
        <w:rPr>
          <w:rFonts w:ascii="Arial" w:eastAsia="Calibri" w:hAnsi="Arial" w:cs="Arial"/>
          <w:sz w:val="20"/>
          <w:szCs w:val="20"/>
        </w:rPr>
      </w:pPr>
    </w:p>
    <w:p w14:paraId="796235BF" w14:textId="77777777" w:rsidR="00857EFD" w:rsidRPr="00363ED4" w:rsidRDefault="00857EFD" w:rsidP="00857EFD">
      <w:pPr>
        <w:contextualSpacing/>
        <w:jc w:val="both"/>
        <w:rPr>
          <w:rFonts w:ascii="Arial" w:eastAsia="Calibri" w:hAnsi="Arial" w:cs="Arial"/>
          <w:sz w:val="20"/>
          <w:szCs w:val="20"/>
        </w:rPr>
      </w:pPr>
      <w:r w:rsidRPr="00363ED4">
        <w:rPr>
          <w:rFonts w:ascii="Arial" w:eastAsia="Calibri" w:hAnsi="Arial" w:cs="Arial"/>
          <w:b/>
          <w:bCs/>
          <w:sz w:val="20"/>
          <w:szCs w:val="20"/>
        </w:rPr>
        <w:t xml:space="preserve">CLASIFICADOR DE BIENES Y SERVICIOS DE NACIONES UNIDAS – Niveles – </w:t>
      </w:r>
      <w:r w:rsidRPr="008E1825">
        <w:rPr>
          <w:rFonts w:ascii="Arial" w:eastAsia="Calibri" w:hAnsi="Arial" w:cs="Arial"/>
          <w:b/>
          <w:bCs/>
          <w:sz w:val="20"/>
          <w:szCs w:val="20"/>
          <w:highlight w:val="yellow"/>
        </w:rPr>
        <w:t>Uso</w:t>
      </w:r>
    </w:p>
    <w:p w14:paraId="47B4E576" w14:textId="77777777" w:rsidR="00857EFD" w:rsidRPr="00363ED4" w:rsidRDefault="00857EFD" w:rsidP="00857EFD">
      <w:pPr>
        <w:contextualSpacing/>
        <w:jc w:val="both"/>
        <w:rPr>
          <w:rFonts w:ascii="Arial" w:eastAsia="Calibri" w:hAnsi="Arial" w:cs="Arial"/>
          <w:sz w:val="20"/>
          <w:szCs w:val="20"/>
        </w:rPr>
      </w:pPr>
    </w:p>
    <w:p w14:paraId="01D3AA20" w14:textId="77777777" w:rsidR="00857EFD" w:rsidRPr="00363ED4" w:rsidRDefault="00857EFD" w:rsidP="00857EFD">
      <w:pPr>
        <w:shd w:val="clear" w:color="auto" w:fill="FFFFFF"/>
        <w:contextualSpacing/>
        <w:jc w:val="both"/>
        <w:textAlignment w:val="baseline"/>
        <w:rPr>
          <w:rFonts w:ascii="Arial" w:hAnsi="Arial" w:cs="Arial"/>
          <w:sz w:val="20"/>
          <w:szCs w:val="20"/>
          <w:lang w:eastAsia="es-CO"/>
        </w:rPr>
      </w:pPr>
      <w:r w:rsidRPr="00363ED4">
        <w:rPr>
          <w:rFonts w:ascii="Arial" w:hAnsi="Arial" w:cs="Arial"/>
          <w:sz w:val="20"/>
          <w:szCs w:val="20"/>
          <w:bdr w:val="none" w:sz="0" w:space="0" w:color="auto" w:frame="1"/>
          <w:lang w:eastAsia="es-CO"/>
        </w:rPr>
        <w:t xml:space="preserve">El Clasificador de Bienes y Servicios consta de cinco niveles; no obstante, el último nivel, denominado Función de Negocio, no es muy utilizado. </w:t>
      </w:r>
      <w:proofErr w:type="gramStart"/>
      <w:r w:rsidRPr="00363ED4">
        <w:rPr>
          <w:rFonts w:ascii="Arial" w:hAnsi="Arial" w:cs="Arial"/>
          <w:sz w:val="20"/>
          <w:szCs w:val="20"/>
          <w:bdr w:val="none" w:sz="0" w:space="0" w:color="auto" w:frame="1"/>
          <w:lang w:eastAsia="es-CO"/>
        </w:rPr>
        <w:t>Los niveles jerárquicos a utilizar</w:t>
      </w:r>
      <w:proofErr w:type="gramEnd"/>
      <w:r w:rsidRPr="00363ED4">
        <w:rPr>
          <w:rFonts w:ascii="Arial" w:hAnsi="Arial" w:cs="Arial"/>
          <w:sz w:val="20"/>
          <w:szCs w:val="20"/>
          <w:bdr w:val="none" w:sz="0" w:space="0" w:color="auto" w:frame="1"/>
          <w:lang w:eastAsia="es-CO"/>
        </w:rPr>
        <w:t xml:space="preserve">, en su orden, son: i) segmento, agregación lógica de familias para propósitos analíticos; </w:t>
      </w:r>
      <w:proofErr w:type="spellStart"/>
      <w:r w:rsidRPr="00363ED4">
        <w:rPr>
          <w:rFonts w:ascii="Arial" w:hAnsi="Arial" w:cs="Arial"/>
          <w:sz w:val="20"/>
          <w:szCs w:val="20"/>
          <w:bdr w:val="none" w:sz="0" w:space="0" w:color="auto" w:frame="1"/>
          <w:lang w:eastAsia="es-CO"/>
        </w:rPr>
        <w:t>ii</w:t>
      </w:r>
      <w:proofErr w:type="spellEnd"/>
      <w:r w:rsidRPr="00363ED4">
        <w:rPr>
          <w:rFonts w:ascii="Arial" w:hAnsi="Arial" w:cs="Arial"/>
          <w:sz w:val="20"/>
          <w:szCs w:val="20"/>
          <w:bdr w:val="none" w:sz="0" w:space="0" w:color="auto" w:frame="1"/>
          <w:lang w:eastAsia="es-CO"/>
        </w:rPr>
        <w:t xml:space="preserve">) familia, un grupo de categorías de productos interrelacionadas; </w:t>
      </w:r>
      <w:proofErr w:type="spellStart"/>
      <w:r w:rsidRPr="00363ED4">
        <w:rPr>
          <w:rFonts w:ascii="Arial" w:hAnsi="Arial" w:cs="Arial"/>
          <w:sz w:val="20"/>
          <w:szCs w:val="20"/>
          <w:bdr w:val="none" w:sz="0" w:space="0" w:color="auto" w:frame="1"/>
          <w:lang w:eastAsia="es-CO"/>
        </w:rPr>
        <w:t>iii</w:t>
      </w:r>
      <w:proofErr w:type="spellEnd"/>
      <w:r w:rsidRPr="00363ED4">
        <w:rPr>
          <w:rFonts w:ascii="Arial" w:hAnsi="Arial" w:cs="Arial"/>
          <w:sz w:val="20"/>
          <w:szCs w:val="20"/>
          <w:bdr w:val="none" w:sz="0" w:space="0" w:color="auto" w:frame="1"/>
          <w:lang w:eastAsia="es-CO"/>
        </w:rPr>
        <w:t xml:space="preserve">) clase: un grupo de productos que comparten características comunes; y </w:t>
      </w:r>
      <w:proofErr w:type="spellStart"/>
      <w:r w:rsidRPr="00363ED4">
        <w:rPr>
          <w:rFonts w:ascii="Arial" w:hAnsi="Arial" w:cs="Arial"/>
          <w:sz w:val="20"/>
          <w:szCs w:val="20"/>
          <w:bdr w:val="none" w:sz="0" w:space="0" w:color="auto" w:frame="1"/>
          <w:lang w:eastAsia="es-CO"/>
        </w:rPr>
        <w:t>iv</w:t>
      </w:r>
      <w:proofErr w:type="spellEnd"/>
      <w:r w:rsidRPr="00363ED4">
        <w:rPr>
          <w:rFonts w:ascii="Arial" w:hAnsi="Arial" w:cs="Arial"/>
          <w:sz w:val="20"/>
          <w:szCs w:val="20"/>
          <w:bdr w:val="none" w:sz="0" w:space="0" w:color="auto" w:frame="1"/>
          <w:lang w:eastAsia="es-CO"/>
        </w:rPr>
        <w:t>) producto: un grupo de productos o servicios.  </w:t>
      </w:r>
    </w:p>
    <w:p w14:paraId="30324154" w14:textId="77777777" w:rsidR="00857EFD" w:rsidRPr="00363ED4" w:rsidRDefault="00857EFD" w:rsidP="00857EFD">
      <w:pPr>
        <w:shd w:val="clear" w:color="auto" w:fill="FFFFFF"/>
        <w:contextualSpacing/>
        <w:jc w:val="both"/>
        <w:textAlignment w:val="baseline"/>
        <w:rPr>
          <w:rFonts w:ascii="Arial" w:hAnsi="Arial" w:cs="Arial"/>
          <w:sz w:val="20"/>
          <w:szCs w:val="20"/>
          <w:bdr w:val="none" w:sz="0" w:space="0" w:color="auto" w:frame="1"/>
          <w:lang w:eastAsia="es-CO"/>
        </w:rPr>
      </w:pPr>
      <w:r w:rsidRPr="00363ED4">
        <w:rPr>
          <w:rFonts w:ascii="Arial" w:hAnsi="Arial" w:cs="Arial"/>
          <w:sz w:val="20"/>
          <w:szCs w:val="20"/>
          <w:bdr w:val="none" w:sz="0" w:space="0" w:color="auto" w:frame="1"/>
          <w:lang w:eastAsia="es-CO"/>
        </w:rPr>
        <w:t xml:space="preserve">Cada uno de estos niveles jerárquicos tiene distintos dígitos, asociados a los componentes que cada uno cobija y que se combinan con los dígitos de los otros niveles, de donde surge un código de 8 dígitos asociado a un bien o servicio en particular. De esta manera, el segmento determina los dos primeros dígitos, la familia el tercer y cuarto, la clase el quinto y sexto, mientras que el producto los dígitos séptimo y octavo.  Conforme a esto, los niveles jerárquicos van de lo general a lo particular, por lo que para determinar el código que corresponde a un bien o servicio, debe subsumirse este en cada uno de estos niveles partiendo del primero en adelante. De acuerdo con esto, cada bien o servicio está asociado a un código que surge de la subsunción de sus características y condiciones en los diferentes niveles del clasificador. Estos códigos son los que deben incluirse en el RUP para efectos de la experiencia. Estos mismos códigos son los que debe incluir las entidades estatales en los pliegos de condiciones al realizar la descripción del objeto contractual. </w:t>
      </w:r>
    </w:p>
    <w:p w14:paraId="72B9635C" w14:textId="4D25AFEB" w:rsidR="00857EFD" w:rsidRPr="00363ED4" w:rsidRDefault="00857EFD" w:rsidP="00460695">
      <w:pPr>
        <w:spacing w:line="276" w:lineRule="auto"/>
        <w:jc w:val="both"/>
        <w:textAlignment w:val="baseline"/>
        <w:rPr>
          <w:rFonts w:ascii="Arial" w:hAnsi="Arial" w:cs="Arial"/>
          <w:bCs/>
          <w:color w:val="000000"/>
          <w:sz w:val="20"/>
          <w:szCs w:val="20"/>
          <w:lang w:eastAsia="es-CO"/>
        </w:rPr>
      </w:pPr>
    </w:p>
    <w:p w14:paraId="39DA9FB7" w14:textId="132E050D" w:rsidR="00857EFD" w:rsidRPr="00363ED4" w:rsidRDefault="00857EFD" w:rsidP="00460695">
      <w:pPr>
        <w:spacing w:line="276" w:lineRule="auto"/>
        <w:jc w:val="both"/>
        <w:textAlignment w:val="baseline"/>
        <w:rPr>
          <w:rFonts w:ascii="Arial" w:hAnsi="Arial" w:cs="Arial"/>
          <w:bCs/>
          <w:color w:val="000000"/>
          <w:sz w:val="20"/>
          <w:szCs w:val="20"/>
          <w:lang w:eastAsia="es-CO"/>
        </w:rPr>
      </w:pPr>
    </w:p>
    <w:p w14:paraId="1248081D" w14:textId="77777777" w:rsidR="003B0D71" w:rsidRPr="00363ED4" w:rsidRDefault="003B0D71" w:rsidP="003B0D71">
      <w:pPr>
        <w:jc w:val="both"/>
        <w:rPr>
          <w:rFonts w:ascii="Arial" w:eastAsia="Calibri" w:hAnsi="Arial" w:cs="Arial"/>
          <w:b/>
          <w:bCs/>
          <w:color w:val="000000" w:themeColor="text1"/>
          <w:sz w:val="20"/>
          <w:szCs w:val="20"/>
        </w:rPr>
      </w:pPr>
      <w:r w:rsidRPr="00424955">
        <w:rPr>
          <w:rFonts w:ascii="Arial" w:eastAsia="Calibri" w:hAnsi="Arial" w:cs="Arial"/>
          <w:b/>
          <w:bCs/>
          <w:color w:val="000000" w:themeColor="text1"/>
          <w:sz w:val="20"/>
          <w:szCs w:val="20"/>
        </w:rPr>
        <w:t>PROPONENTE</w:t>
      </w:r>
      <w:r w:rsidRPr="00363ED4">
        <w:rPr>
          <w:rFonts w:ascii="Arial" w:eastAsia="Calibri" w:hAnsi="Arial" w:cs="Arial"/>
          <w:b/>
          <w:bCs/>
          <w:color w:val="000000" w:themeColor="text1"/>
          <w:sz w:val="20"/>
          <w:szCs w:val="20"/>
        </w:rPr>
        <w:t xml:space="preserve"> – Clasificación – No es requisito habilitante</w:t>
      </w:r>
    </w:p>
    <w:p w14:paraId="706BEE50" w14:textId="77777777" w:rsidR="003B0D71" w:rsidRPr="00363ED4" w:rsidRDefault="003B0D71" w:rsidP="003B0D71">
      <w:pPr>
        <w:jc w:val="both"/>
        <w:rPr>
          <w:rFonts w:ascii="Arial" w:eastAsia="Calibri" w:hAnsi="Arial" w:cs="Arial"/>
          <w:b/>
          <w:color w:val="000000" w:themeColor="text1"/>
          <w:sz w:val="20"/>
          <w:szCs w:val="20"/>
        </w:rPr>
      </w:pPr>
    </w:p>
    <w:p w14:paraId="77A27296" w14:textId="77777777" w:rsidR="003B0D71" w:rsidRPr="00363ED4" w:rsidRDefault="003B0D71" w:rsidP="003B0D71">
      <w:pPr>
        <w:jc w:val="both"/>
        <w:rPr>
          <w:rFonts w:ascii="Arial" w:hAnsi="Arial" w:cs="Arial"/>
          <w:color w:val="000000" w:themeColor="text1"/>
          <w:sz w:val="20"/>
          <w:szCs w:val="20"/>
        </w:rPr>
      </w:pPr>
      <w:r w:rsidRPr="00363ED4">
        <w:rPr>
          <w:rFonts w:ascii="Arial" w:hAnsi="Arial" w:cs="Arial"/>
          <w:color w:val="000000" w:themeColor="text1"/>
          <w:sz w:val="20"/>
          <w:szCs w:val="20"/>
        </w:rPr>
        <w:t>[…] De conformidad con Circular Única Externa, la «clasificación del proponente» […] no constituye un requisito habilitante en los procedimientos de selección, por lo que si un proponente acredita los demás requisitos exigidos en el pliego de condiciones, su oferta no puede ser rechazada o desestimada bajo el argumento de que el oferente no cuenta con la inscripción del código de los bienes, obras o servicios del objeto del proceso de contratación.</w:t>
      </w:r>
    </w:p>
    <w:p w14:paraId="2E12EAB1" w14:textId="77777777" w:rsidR="003B0D71" w:rsidRPr="00363ED4" w:rsidRDefault="003B0D71" w:rsidP="003B0D71">
      <w:pPr>
        <w:jc w:val="both"/>
        <w:rPr>
          <w:rFonts w:ascii="Arial" w:hAnsi="Arial" w:cs="Arial"/>
          <w:color w:val="000000" w:themeColor="text1"/>
          <w:sz w:val="20"/>
          <w:szCs w:val="20"/>
        </w:rPr>
      </w:pPr>
    </w:p>
    <w:p w14:paraId="26C24811" w14:textId="5B909970" w:rsidR="003B0D71" w:rsidRPr="00363ED4" w:rsidRDefault="003B0D71" w:rsidP="003B0D71">
      <w:pPr>
        <w:jc w:val="both"/>
        <w:rPr>
          <w:rFonts w:ascii="Arial" w:hAnsi="Arial" w:cs="Arial"/>
          <w:b/>
          <w:bCs/>
          <w:color w:val="000000" w:themeColor="text1"/>
          <w:sz w:val="20"/>
          <w:szCs w:val="20"/>
        </w:rPr>
      </w:pPr>
      <w:r w:rsidRPr="00424955">
        <w:rPr>
          <w:rFonts w:ascii="Arial" w:hAnsi="Arial" w:cs="Arial"/>
          <w:b/>
          <w:bCs/>
          <w:color w:val="000000" w:themeColor="text1"/>
          <w:sz w:val="20"/>
          <w:szCs w:val="20"/>
        </w:rPr>
        <w:t>EXPERIENCIA</w:t>
      </w:r>
      <w:r w:rsidRPr="00363ED4">
        <w:rPr>
          <w:rFonts w:ascii="Arial" w:hAnsi="Arial" w:cs="Arial"/>
          <w:b/>
          <w:bCs/>
          <w:color w:val="000000" w:themeColor="text1"/>
          <w:sz w:val="20"/>
          <w:szCs w:val="20"/>
        </w:rPr>
        <w:t xml:space="preserve"> </w:t>
      </w:r>
      <w:r w:rsidRPr="00363ED4">
        <w:rPr>
          <w:rFonts w:ascii="Arial" w:eastAsia="Calibri" w:hAnsi="Arial" w:cs="Arial"/>
          <w:b/>
          <w:bCs/>
          <w:color w:val="000000" w:themeColor="text1"/>
          <w:sz w:val="20"/>
          <w:szCs w:val="20"/>
        </w:rPr>
        <w:t>–</w:t>
      </w:r>
      <w:r w:rsidRPr="00363ED4">
        <w:rPr>
          <w:rFonts w:ascii="Arial" w:hAnsi="Arial" w:cs="Arial"/>
          <w:b/>
          <w:bCs/>
          <w:color w:val="000000" w:themeColor="text1"/>
          <w:sz w:val="20"/>
          <w:szCs w:val="20"/>
        </w:rPr>
        <w:t xml:space="preserve"> </w:t>
      </w:r>
      <w:r w:rsidR="007C3007">
        <w:rPr>
          <w:rFonts w:ascii="Arial" w:hAnsi="Arial" w:cs="Arial"/>
          <w:b/>
          <w:bCs/>
          <w:color w:val="000000" w:themeColor="text1"/>
          <w:sz w:val="20"/>
          <w:szCs w:val="20"/>
        </w:rPr>
        <w:t xml:space="preserve">Uso del </w:t>
      </w:r>
      <w:r w:rsidRPr="007C3007">
        <w:rPr>
          <w:rFonts w:ascii="Arial" w:hAnsi="Arial" w:cs="Arial"/>
          <w:b/>
          <w:bCs/>
          <w:color w:val="000000" w:themeColor="text1"/>
          <w:sz w:val="20"/>
          <w:szCs w:val="20"/>
        </w:rPr>
        <w:t>Clasificador de Bienes y Servicios –</w:t>
      </w:r>
      <w:r w:rsidRPr="00363ED4">
        <w:rPr>
          <w:rFonts w:ascii="Arial" w:hAnsi="Arial" w:cs="Arial"/>
          <w:b/>
          <w:bCs/>
          <w:color w:val="000000" w:themeColor="text1"/>
          <w:sz w:val="20"/>
          <w:szCs w:val="20"/>
        </w:rPr>
        <w:t xml:space="preserve"> Utilización</w:t>
      </w:r>
    </w:p>
    <w:p w14:paraId="06537DC2" w14:textId="77777777" w:rsidR="003B0D71" w:rsidRPr="00363ED4" w:rsidRDefault="003B0D71" w:rsidP="003B0D71">
      <w:pPr>
        <w:jc w:val="both"/>
        <w:rPr>
          <w:rFonts w:ascii="Arial" w:hAnsi="Arial" w:cs="Arial"/>
          <w:b/>
          <w:bCs/>
          <w:color w:val="000000" w:themeColor="text1"/>
          <w:sz w:val="20"/>
          <w:szCs w:val="20"/>
        </w:rPr>
      </w:pPr>
    </w:p>
    <w:p w14:paraId="4C0C3D30" w14:textId="77777777" w:rsidR="003B0D71" w:rsidRPr="00363ED4" w:rsidRDefault="003B0D71" w:rsidP="003B0D71">
      <w:pPr>
        <w:jc w:val="both"/>
        <w:rPr>
          <w:rFonts w:ascii="Arial" w:hAnsi="Arial" w:cs="Arial"/>
          <w:color w:val="000000" w:themeColor="text1"/>
          <w:sz w:val="20"/>
          <w:szCs w:val="20"/>
        </w:rPr>
      </w:pPr>
      <w:r w:rsidRPr="00363ED4">
        <w:rPr>
          <w:rFonts w:ascii="Arial" w:hAnsi="Arial" w:cs="Arial"/>
          <w:color w:val="000000" w:themeColor="text1"/>
          <w:sz w:val="20"/>
          <w:szCs w:val="20"/>
        </w:rPr>
        <w:t xml:space="preserve">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para exigir, por ejemplo, que solo se tendrá por valedera la experiencia inscrita por el proponente en el RUP, que sea de contratos ejecutados que coincidan con algún código en particular en el tercer nivel del clasificador. </w:t>
      </w:r>
    </w:p>
    <w:p w14:paraId="678487D5" w14:textId="78602D9C" w:rsidR="00857EFD" w:rsidRPr="00363ED4" w:rsidRDefault="00857EFD" w:rsidP="00460695">
      <w:pPr>
        <w:spacing w:line="276" w:lineRule="auto"/>
        <w:jc w:val="both"/>
        <w:textAlignment w:val="baseline"/>
        <w:rPr>
          <w:rFonts w:ascii="Arial" w:hAnsi="Arial" w:cs="Arial"/>
          <w:bCs/>
          <w:color w:val="000000"/>
          <w:sz w:val="20"/>
          <w:szCs w:val="20"/>
          <w:lang w:eastAsia="es-CO"/>
        </w:rPr>
      </w:pPr>
    </w:p>
    <w:p w14:paraId="1CC2ACFD" w14:textId="73732E5D" w:rsidR="00857EFD" w:rsidRPr="00363ED4" w:rsidRDefault="00857EFD" w:rsidP="00460695">
      <w:pPr>
        <w:spacing w:line="276" w:lineRule="auto"/>
        <w:jc w:val="both"/>
        <w:textAlignment w:val="baseline"/>
        <w:rPr>
          <w:rFonts w:ascii="Arial" w:hAnsi="Arial" w:cs="Arial"/>
          <w:bCs/>
          <w:color w:val="000000"/>
          <w:sz w:val="20"/>
          <w:szCs w:val="20"/>
          <w:lang w:eastAsia="es-CO"/>
        </w:rPr>
      </w:pPr>
    </w:p>
    <w:p w14:paraId="24C6986D" w14:textId="71D26423" w:rsidR="00857EFD" w:rsidRPr="00363ED4" w:rsidRDefault="00857EFD" w:rsidP="00460695">
      <w:pPr>
        <w:spacing w:line="276" w:lineRule="auto"/>
        <w:jc w:val="both"/>
        <w:textAlignment w:val="baseline"/>
        <w:rPr>
          <w:rFonts w:ascii="Arial" w:hAnsi="Arial" w:cs="Arial"/>
          <w:bCs/>
          <w:color w:val="000000"/>
          <w:sz w:val="20"/>
          <w:szCs w:val="20"/>
          <w:lang w:eastAsia="es-CO"/>
        </w:rPr>
      </w:pPr>
    </w:p>
    <w:p w14:paraId="4293BE86" w14:textId="36C10AA6" w:rsidR="00857EFD" w:rsidRDefault="00A46F07" w:rsidP="00A46F07">
      <w:pPr>
        <w:spacing w:line="276" w:lineRule="auto"/>
        <w:jc w:val="right"/>
        <w:textAlignment w:val="baseline"/>
        <w:rPr>
          <w:rFonts w:ascii="Arial" w:hAnsi="Arial" w:cs="Arial"/>
          <w:bCs/>
          <w:color w:val="000000"/>
          <w:sz w:val="20"/>
          <w:szCs w:val="20"/>
          <w:lang w:eastAsia="es-CO"/>
        </w:rPr>
      </w:pPr>
      <w:r w:rsidRPr="00A46F07">
        <w:rPr>
          <w:rFonts w:ascii="Arial" w:hAnsi="Arial" w:cs="Arial"/>
          <w:bCs/>
          <w:noProof/>
          <w:color w:val="000000"/>
          <w:sz w:val="20"/>
          <w:szCs w:val="20"/>
          <w:lang w:eastAsia="es-CO"/>
        </w:rPr>
        <w:lastRenderedPageBreak/>
        <w:drawing>
          <wp:inline distT="0" distB="0" distL="0" distR="0" wp14:anchorId="26C2545A" wp14:editId="6C6F5100">
            <wp:extent cx="3108960" cy="751840"/>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08960" cy="751840"/>
                    </a:xfrm>
                    <a:prstGeom prst="rect">
                      <a:avLst/>
                    </a:prstGeom>
                  </pic:spPr>
                </pic:pic>
              </a:graphicData>
            </a:graphic>
          </wp:inline>
        </w:drawing>
      </w:r>
    </w:p>
    <w:p w14:paraId="3602FBB8" w14:textId="2B7F8D13" w:rsidR="00A46F07" w:rsidRDefault="00A46F07" w:rsidP="00460695">
      <w:pPr>
        <w:spacing w:line="276" w:lineRule="auto"/>
        <w:jc w:val="both"/>
        <w:textAlignment w:val="baseline"/>
        <w:rPr>
          <w:rFonts w:ascii="Arial" w:hAnsi="Arial" w:cs="Arial"/>
          <w:bCs/>
          <w:color w:val="000000"/>
          <w:sz w:val="20"/>
          <w:szCs w:val="20"/>
          <w:lang w:eastAsia="es-CO"/>
        </w:rPr>
      </w:pPr>
    </w:p>
    <w:p w14:paraId="5753D377" w14:textId="77777777" w:rsidR="00A46F07" w:rsidRPr="00363ED4" w:rsidRDefault="00A46F07" w:rsidP="00460695">
      <w:pPr>
        <w:spacing w:line="276" w:lineRule="auto"/>
        <w:jc w:val="both"/>
        <w:textAlignment w:val="baseline"/>
        <w:rPr>
          <w:rFonts w:ascii="Arial" w:hAnsi="Arial" w:cs="Arial"/>
          <w:bCs/>
          <w:color w:val="000000"/>
          <w:sz w:val="20"/>
          <w:szCs w:val="20"/>
          <w:lang w:eastAsia="es-CO"/>
        </w:rPr>
      </w:pPr>
    </w:p>
    <w:p w14:paraId="7B93B4B2" w14:textId="77777777" w:rsidR="00460695" w:rsidRPr="00363ED4" w:rsidRDefault="00460695" w:rsidP="00460695">
      <w:pPr>
        <w:spacing w:line="276" w:lineRule="auto"/>
        <w:jc w:val="both"/>
        <w:rPr>
          <w:rFonts w:ascii="Arial" w:eastAsia="Arial" w:hAnsi="Arial" w:cs="Arial"/>
          <w:color w:val="000000"/>
          <w:sz w:val="22"/>
          <w:szCs w:val="22"/>
          <w:lang w:eastAsia="es-ES_tradnl"/>
        </w:rPr>
      </w:pPr>
      <w:r w:rsidRPr="00363ED4">
        <w:rPr>
          <w:rFonts w:ascii="Arial" w:eastAsia="Arial" w:hAnsi="Arial" w:cs="Arial"/>
          <w:color w:val="000000"/>
          <w:sz w:val="22"/>
          <w:szCs w:val="22"/>
          <w:lang w:eastAsia="es-ES_tradnl"/>
        </w:rPr>
        <w:t>Bogotá D.C</w:t>
      </w:r>
    </w:p>
    <w:p w14:paraId="6C880A1F" w14:textId="77777777" w:rsidR="00460695" w:rsidRPr="00363ED4" w:rsidRDefault="00460695" w:rsidP="00460695">
      <w:pPr>
        <w:spacing w:line="276" w:lineRule="auto"/>
        <w:jc w:val="both"/>
        <w:rPr>
          <w:rFonts w:ascii="Arial" w:eastAsia="Arial" w:hAnsi="Arial" w:cs="Arial"/>
          <w:color w:val="000000"/>
          <w:sz w:val="22"/>
          <w:szCs w:val="22"/>
          <w:lang w:eastAsia="es-ES_tradnl"/>
        </w:rPr>
      </w:pPr>
    </w:p>
    <w:p w14:paraId="2F3B0AAC" w14:textId="77777777" w:rsidR="00DD3CBA" w:rsidRPr="00363ED4" w:rsidRDefault="00DD3CBA" w:rsidP="00460695">
      <w:pPr>
        <w:spacing w:line="276" w:lineRule="auto"/>
        <w:jc w:val="both"/>
        <w:rPr>
          <w:rFonts w:ascii="Arial" w:eastAsia="Arial" w:hAnsi="Arial" w:cs="Arial"/>
          <w:color w:val="000000"/>
          <w:sz w:val="22"/>
          <w:szCs w:val="22"/>
          <w:lang w:eastAsia="es-ES_tradnl"/>
        </w:rPr>
      </w:pPr>
    </w:p>
    <w:p w14:paraId="39F93209" w14:textId="2DF80429" w:rsidR="00460695" w:rsidRPr="00363ED4" w:rsidRDefault="00460695" w:rsidP="00460695">
      <w:pPr>
        <w:spacing w:line="276" w:lineRule="auto"/>
        <w:jc w:val="both"/>
        <w:rPr>
          <w:rFonts w:ascii="Arial" w:eastAsia="Arial" w:hAnsi="Arial" w:cs="Arial"/>
          <w:color w:val="000000"/>
          <w:sz w:val="22"/>
          <w:szCs w:val="22"/>
          <w:lang w:eastAsia="es-ES_tradnl"/>
        </w:rPr>
      </w:pPr>
      <w:r w:rsidRPr="00363ED4">
        <w:rPr>
          <w:rFonts w:ascii="Arial" w:eastAsia="Arial" w:hAnsi="Arial" w:cs="Arial"/>
          <w:color w:val="000000"/>
          <w:sz w:val="22"/>
          <w:szCs w:val="22"/>
          <w:lang w:eastAsia="es-ES_tradnl"/>
        </w:rPr>
        <w:t>Señor</w:t>
      </w:r>
    </w:p>
    <w:p w14:paraId="64517CFC" w14:textId="0EC1B952" w:rsidR="00857678" w:rsidRPr="00363ED4" w:rsidRDefault="001C42F7" w:rsidP="00460695">
      <w:pPr>
        <w:spacing w:line="276" w:lineRule="auto"/>
        <w:jc w:val="both"/>
        <w:rPr>
          <w:rFonts w:ascii="Arial" w:eastAsia="Arial" w:hAnsi="Arial" w:cs="Arial"/>
          <w:b/>
          <w:bCs/>
          <w:color w:val="000000"/>
          <w:sz w:val="22"/>
          <w:szCs w:val="22"/>
          <w:lang w:eastAsia="es-ES_tradnl"/>
        </w:rPr>
      </w:pPr>
      <w:r w:rsidRPr="00363ED4">
        <w:rPr>
          <w:rFonts w:ascii="Arial" w:eastAsia="Arial" w:hAnsi="Arial" w:cs="Arial"/>
          <w:b/>
          <w:bCs/>
          <w:color w:val="000000"/>
          <w:sz w:val="22"/>
          <w:szCs w:val="22"/>
          <w:lang w:eastAsia="es-ES_tradnl"/>
        </w:rPr>
        <w:t xml:space="preserve">Rafael Hernando Hurtado </w:t>
      </w:r>
    </w:p>
    <w:p w14:paraId="4C8193CE" w14:textId="6174E036" w:rsidR="001C42F7" w:rsidRPr="00363ED4" w:rsidRDefault="00510147" w:rsidP="00460695">
      <w:pPr>
        <w:spacing w:line="276" w:lineRule="auto"/>
        <w:jc w:val="both"/>
        <w:rPr>
          <w:rFonts w:ascii="Arial" w:eastAsia="Arial" w:hAnsi="Arial" w:cs="Arial"/>
          <w:color w:val="000000"/>
          <w:sz w:val="22"/>
          <w:szCs w:val="22"/>
          <w:lang w:eastAsia="es-ES_tradnl"/>
        </w:rPr>
      </w:pPr>
      <w:r w:rsidRPr="001500B5">
        <w:rPr>
          <w:rFonts w:ascii="Arial" w:hAnsi="Arial" w:cs="Arial"/>
          <w:sz w:val="22"/>
          <w:szCs w:val="22"/>
        </w:rPr>
        <w:t>Tunja, Boyacá</w:t>
      </w:r>
    </w:p>
    <w:p w14:paraId="4F0F2718" w14:textId="1937ADC7" w:rsidR="00460695" w:rsidRPr="00363ED4" w:rsidRDefault="00460695" w:rsidP="00315CF6">
      <w:pPr>
        <w:spacing w:line="276" w:lineRule="auto"/>
        <w:ind w:left="2832"/>
        <w:rPr>
          <w:rFonts w:ascii="Arial" w:eastAsia="Calibri" w:hAnsi="Arial" w:cs="Arial"/>
          <w:b/>
          <w:sz w:val="22"/>
          <w:szCs w:val="22"/>
          <w:lang w:eastAsia="es-ES_tradnl"/>
        </w:rPr>
      </w:pPr>
      <w:r w:rsidRPr="00363ED4">
        <w:rPr>
          <w:rFonts w:ascii="Arial" w:eastAsia="Calibri" w:hAnsi="Arial" w:cs="Arial"/>
          <w:b/>
          <w:sz w:val="22"/>
          <w:szCs w:val="22"/>
          <w:lang w:eastAsia="es-ES_tradnl"/>
        </w:rPr>
        <w:t>Concepto C</w:t>
      </w:r>
      <w:r w:rsidR="00315CF6" w:rsidRPr="00363ED4">
        <w:rPr>
          <w:rFonts w:ascii="Arial" w:eastAsia="Calibri" w:hAnsi="Arial" w:cs="Arial"/>
          <w:b/>
          <w:sz w:val="22"/>
          <w:szCs w:val="22"/>
          <w:lang w:eastAsia="es-ES_tradnl"/>
        </w:rPr>
        <w:t>–</w:t>
      </w:r>
      <w:r w:rsidR="00946D59" w:rsidRPr="00363ED4">
        <w:rPr>
          <w:rFonts w:ascii="Arial" w:eastAsia="Calibri" w:hAnsi="Arial" w:cs="Arial"/>
          <w:b/>
          <w:sz w:val="22"/>
          <w:szCs w:val="22"/>
          <w:lang w:eastAsia="es-ES_tradnl"/>
        </w:rPr>
        <w:t>7</w:t>
      </w:r>
      <w:r w:rsidR="001C42F7" w:rsidRPr="00363ED4">
        <w:rPr>
          <w:rFonts w:ascii="Arial" w:eastAsia="Calibri" w:hAnsi="Arial" w:cs="Arial"/>
          <w:b/>
          <w:sz w:val="22"/>
          <w:szCs w:val="22"/>
          <w:lang w:eastAsia="es-ES_tradnl"/>
        </w:rPr>
        <w:t>62</w:t>
      </w:r>
      <w:r w:rsidR="00315CF6" w:rsidRPr="00363ED4">
        <w:rPr>
          <w:rFonts w:ascii="Arial" w:eastAsia="Calibri" w:hAnsi="Arial" w:cs="Arial"/>
          <w:b/>
          <w:sz w:val="22"/>
          <w:szCs w:val="22"/>
          <w:lang w:eastAsia="es-ES_tradnl"/>
        </w:rPr>
        <w:t xml:space="preserve"> de 2022</w:t>
      </w:r>
    </w:p>
    <w:p w14:paraId="135BB16B" w14:textId="77777777" w:rsidR="00460695" w:rsidRPr="00363ED4" w:rsidRDefault="00460695" w:rsidP="00460695">
      <w:pPr>
        <w:spacing w:line="276" w:lineRule="auto"/>
        <w:jc w:val="both"/>
        <w:rPr>
          <w:rFonts w:ascii="Arial" w:eastAsia="Arial" w:hAnsi="Arial" w:cs="Arial"/>
          <w:color w:val="000000"/>
          <w:sz w:val="22"/>
          <w:szCs w:val="22"/>
          <w:lang w:eastAsia="es-ES_tradnl"/>
        </w:rPr>
      </w:pPr>
      <w:r w:rsidRPr="00363ED4">
        <w:rPr>
          <w:rFonts w:ascii="Arial" w:eastAsia="Arial" w:hAnsi="Arial" w:cs="Arial"/>
          <w:color w:val="000000"/>
          <w:sz w:val="22"/>
          <w:szCs w:val="22"/>
          <w:lang w:eastAsia="es-ES_tradnl"/>
        </w:rPr>
        <w:t xml:space="preserve">                                            </w:t>
      </w: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460695" w:rsidRPr="00363ED4" w14:paraId="08636A3B" w14:textId="77777777" w:rsidTr="00D1522E">
        <w:trPr>
          <w:trHeight w:val="858"/>
        </w:trPr>
        <w:tc>
          <w:tcPr>
            <w:tcW w:w="2689" w:type="dxa"/>
          </w:tcPr>
          <w:p w14:paraId="3FB2065A" w14:textId="77777777" w:rsidR="00460695" w:rsidRPr="00363ED4" w:rsidRDefault="00460695" w:rsidP="00460695">
            <w:pPr>
              <w:spacing w:line="276" w:lineRule="auto"/>
              <w:jc w:val="both"/>
              <w:rPr>
                <w:rFonts w:ascii="Arial" w:eastAsia="Arial" w:hAnsi="Arial" w:cs="Arial"/>
                <w:color w:val="000000"/>
                <w:sz w:val="22"/>
                <w:szCs w:val="22"/>
                <w:lang w:eastAsia="es-ES_tradnl"/>
              </w:rPr>
            </w:pPr>
            <w:r w:rsidRPr="00363ED4">
              <w:rPr>
                <w:rFonts w:ascii="Arial" w:eastAsia="Arial" w:hAnsi="Arial" w:cs="Arial"/>
                <w:color w:val="000000"/>
                <w:sz w:val="22"/>
                <w:szCs w:val="22"/>
                <w:lang w:eastAsia="es-ES_tradnl"/>
              </w:rPr>
              <w:t xml:space="preserve">Temas:        </w:t>
            </w:r>
          </w:p>
        </w:tc>
        <w:tc>
          <w:tcPr>
            <w:tcW w:w="6237" w:type="dxa"/>
          </w:tcPr>
          <w:p w14:paraId="44EB0D20" w14:textId="713306AF" w:rsidR="00460695" w:rsidRPr="00363ED4" w:rsidRDefault="003B0D71" w:rsidP="003B0D71">
            <w:pPr>
              <w:jc w:val="both"/>
              <w:rPr>
                <w:rFonts w:ascii="Arial" w:hAnsi="Arial" w:cs="Arial"/>
                <w:bCs/>
                <w:color w:val="000000" w:themeColor="text1"/>
                <w:sz w:val="20"/>
                <w:szCs w:val="20"/>
              </w:rPr>
            </w:pPr>
            <w:r w:rsidRPr="00363ED4">
              <w:rPr>
                <w:rFonts w:ascii="Arial" w:hAnsi="Arial" w:cs="Arial"/>
                <w:bCs/>
                <w:sz w:val="20"/>
                <w:szCs w:val="20"/>
              </w:rPr>
              <w:t xml:space="preserve">REGISTRO ÚNICO DE PROPONENTES – Finalidad / </w:t>
            </w:r>
            <w:r w:rsidRPr="00363ED4">
              <w:rPr>
                <w:rFonts w:ascii="Arial" w:eastAsia="Calibri" w:hAnsi="Arial" w:cs="Arial"/>
                <w:bCs/>
                <w:sz w:val="20"/>
                <w:szCs w:val="20"/>
              </w:rPr>
              <w:t xml:space="preserve">CLASIFICADOR DE BIENES Y SERVICIOS DE NACIONES UNIDAS – Función / CLASIFICADOR DE BIENES Y SERVICIOS DE NACIONES UNIDAS – Noción / CLASIFICADOR DE BIENES Y SERVICIOS DE NACIONES UNIDAS – Normativa / CLASIFICADOR DE BIENES Y SERVICIOS DE NACIONES UNIDAS – Niveles – Uso / </w:t>
            </w:r>
            <w:r w:rsidRPr="00363ED4">
              <w:rPr>
                <w:rFonts w:ascii="Arial" w:eastAsia="Calibri" w:hAnsi="Arial" w:cs="Arial"/>
                <w:bCs/>
                <w:color w:val="000000" w:themeColor="text1"/>
                <w:sz w:val="20"/>
                <w:szCs w:val="20"/>
              </w:rPr>
              <w:t xml:space="preserve">PROPONENTE – Clasificación – No es requisito habilitante / </w:t>
            </w:r>
            <w:r w:rsidRPr="00363ED4">
              <w:rPr>
                <w:rFonts w:ascii="Arial" w:hAnsi="Arial" w:cs="Arial"/>
                <w:bCs/>
                <w:color w:val="000000" w:themeColor="text1"/>
                <w:sz w:val="20"/>
                <w:szCs w:val="20"/>
              </w:rPr>
              <w:t xml:space="preserve">EXPERIENCIA </w:t>
            </w:r>
            <w:r w:rsidRPr="00363ED4">
              <w:rPr>
                <w:rFonts w:ascii="Arial" w:eastAsia="Calibri" w:hAnsi="Arial" w:cs="Arial"/>
                <w:bCs/>
                <w:color w:val="000000" w:themeColor="text1"/>
                <w:sz w:val="20"/>
                <w:szCs w:val="20"/>
              </w:rPr>
              <w:t>–</w:t>
            </w:r>
            <w:r w:rsidRPr="00363ED4">
              <w:rPr>
                <w:rFonts w:ascii="Arial" w:hAnsi="Arial" w:cs="Arial"/>
                <w:bCs/>
                <w:color w:val="000000" w:themeColor="text1"/>
                <w:sz w:val="20"/>
                <w:szCs w:val="20"/>
              </w:rPr>
              <w:t xml:space="preserve"> Clasificador de Bienes y Servicios – Utilización</w:t>
            </w:r>
          </w:p>
        </w:tc>
      </w:tr>
      <w:tr w:rsidR="00460695" w:rsidRPr="00363ED4" w14:paraId="6D52D57B" w14:textId="77777777" w:rsidTr="007E2425">
        <w:tc>
          <w:tcPr>
            <w:tcW w:w="2689" w:type="dxa"/>
          </w:tcPr>
          <w:p w14:paraId="061432F5" w14:textId="77777777" w:rsidR="00BD73CF" w:rsidRPr="00363ED4" w:rsidRDefault="00BD73CF" w:rsidP="00BD73CF">
            <w:pPr>
              <w:spacing w:before="0" w:line="276" w:lineRule="auto"/>
              <w:rPr>
                <w:rFonts w:ascii="Arial" w:eastAsia="Arial" w:hAnsi="Arial" w:cs="Arial"/>
                <w:bCs/>
                <w:color w:val="000000"/>
                <w:sz w:val="22"/>
                <w:szCs w:val="22"/>
                <w:lang w:eastAsia="es-ES_tradnl"/>
              </w:rPr>
            </w:pPr>
          </w:p>
          <w:p w14:paraId="378F8424" w14:textId="3658FB9C" w:rsidR="00460695" w:rsidRPr="00363ED4" w:rsidRDefault="00460695" w:rsidP="00204EC8">
            <w:pPr>
              <w:spacing w:before="0" w:line="276" w:lineRule="auto"/>
              <w:rPr>
                <w:rFonts w:ascii="Arial" w:eastAsia="Arial" w:hAnsi="Arial" w:cs="Arial"/>
                <w:bCs/>
                <w:color w:val="000000"/>
                <w:sz w:val="22"/>
                <w:szCs w:val="22"/>
                <w:lang w:eastAsia="es-ES_tradnl"/>
              </w:rPr>
            </w:pPr>
            <w:r w:rsidRPr="00363ED4">
              <w:rPr>
                <w:rFonts w:ascii="Arial" w:eastAsia="Arial" w:hAnsi="Arial" w:cs="Arial"/>
                <w:bCs/>
                <w:color w:val="000000"/>
                <w:sz w:val="22"/>
                <w:szCs w:val="22"/>
                <w:lang w:eastAsia="es-ES_tradnl"/>
              </w:rPr>
              <w:t xml:space="preserve">Radicación:                            </w:t>
            </w:r>
          </w:p>
        </w:tc>
        <w:tc>
          <w:tcPr>
            <w:tcW w:w="6237" w:type="dxa"/>
          </w:tcPr>
          <w:p w14:paraId="17CD3BC3" w14:textId="77777777" w:rsidR="00460695" w:rsidRPr="00363ED4" w:rsidRDefault="00460695" w:rsidP="00204EC8">
            <w:pPr>
              <w:spacing w:before="0" w:line="276" w:lineRule="auto"/>
              <w:jc w:val="both"/>
              <w:rPr>
                <w:rFonts w:ascii="Arial" w:eastAsia="Arial" w:hAnsi="Arial" w:cs="Arial"/>
                <w:color w:val="000000"/>
                <w:sz w:val="22"/>
                <w:szCs w:val="22"/>
                <w:lang w:eastAsia="es-ES_tradnl"/>
              </w:rPr>
            </w:pPr>
          </w:p>
          <w:p w14:paraId="377A63C9" w14:textId="673FC99B" w:rsidR="00460695" w:rsidRPr="00363ED4" w:rsidRDefault="00460695" w:rsidP="00204EC8">
            <w:pPr>
              <w:spacing w:before="0" w:line="276" w:lineRule="auto"/>
              <w:jc w:val="both"/>
              <w:rPr>
                <w:rFonts w:ascii="Arial" w:eastAsia="Arial" w:hAnsi="Arial" w:cs="Arial"/>
                <w:color w:val="000000"/>
                <w:sz w:val="22"/>
                <w:szCs w:val="22"/>
                <w:lang w:eastAsia="es-ES_tradnl"/>
              </w:rPr>
            </w:pPr>
            <w:r w:rsidRPr="00363ED4">
              <w:rPr>
                <w:rFonts w:ascii="Arial" w:eastAsia="Arial" w:hAnsi="Arial" w:cs="Arial"/>
                <w:color w:val="000000"/>
                <w:sz w:val="22"/>
                <w:szCs w:val="22"/>
                <w:lang w:eastAsia="es-ES_tradnl"/>
              </w:rPr>
              <w:t xml:space="preserve">Respuesta a consulta </w:t>
            </w:r>
            <w:r w:rsidR="001C42F7" w:rsidRPr="00363ED4">
              <w:rPr>
                <w:rFonts w:ascii="Arial" w:eastAsia="Arial" w:hAnsi="Arial" w:cs="Arial"/>
                <w:color w:val="000000"/>
                <w:sz w:val="22"/>
                <w:szCs w:val="22"/>
                <w:lang w:eastAsia="es-ES_tradnl"/>
              </w:rPr>
              <w:t>P20221007010136</w:t>
            </w:r>
          </w:p>
        </w:tc>
      </w:tr>
      <w:tr w:rsidR="00460695" w:rsidRPr="00363ED4" w14:paraId="3D9B4344" w14:textId="77777777" w:rsidTr="007E2425">
        <w:tc>
          <w:tcPr>
            <w:tcW w:w="2689" w:type="dxa"/>
          </w:tcPr>
          <w:p w14:paraId="1DD4CA1E" w14:textId="77777777" w:rsidR="00460695" w:rsidRPr="00363ED4" w:rsidRDefault="00460695" w:rsidP="00460695">
            <w:pPr>
              <w:spacing w:line="276" w:lineRule="auto"/>
              <w:rPr>
                <w:rFonts w:ascii="Arial" w:eastAsia="Arial" w:hAnsi="Arial" w:cs="Arial"/>
                <w:b/>
                <w:color w:val="000000"/>
                <w:sz w:val="22"/>
                <w:szCs w:val="22"/>
                <w:lang w:eastAsia="es-ES_tradnl"/>
              </w:rPr>
            </w:pPr>
          </w:p>
        </w:tc>
        <w:tc>
          <w:tcPr>
            <w:tcW w:w="6237" w:type="dxa"/>
          </w:tcPr>
          <w:p w14:paraId="075AB340" w14:textId="77777777" w:rsidR="00460695" w:rsidRPr="00363ED4" w:rsidRDefault="00460695" w:rsidP="00460695">
            <w:pPr>
              <w:spacing w:line="276" w:lineRule="auto"/>
              <w:rPr>
                <w:rFonts w:ascii="Arial" w:eastAsia="Arial" w:hAnsi="Arial" w:cs="Arial"/>
                <w:color w:val="000000"/>
                <w:sz w:val="22"/>
                <w:szCs w:val="22"/>
                <w:lang w:eastAsia="es-ES_tradnl"/>
              </w:rPr>
            </w:pPr>
          </w:p>
        </w:tc>
      </w:tr>
    </w:tbl>
    <w:p w14:paraId="79D4AD19" w14:textId="17A05625" w:rsidR="00460695" w:rsidRPr="00363ED4" w:rsidRDefault="00460695" w:rsidP="00460695">
      <w:pPr>
        <w:spacing w:line="276" w:lineRule="auto"/>
        <w:jc w:val="both"/>
        <w:rPr>
          <w:rFonts w:ascii="Arial" w:eastAsia="Arial" w:hAnsi="Arial" w:cs="Arial"/>
          <w:color w:val="000000"/>
          <w:sz w:val="22"/>
          <w:szCs w:val="22"/>
          <w:lang w:eastAsia="es-ES_tradnl"/>
        </w:rPr>
      </w:pPr>
      <w:r w:rsidRPr="00363ED4">
        <w:rPr>
          <w:rFonts w:ascii="Arial" w:eastAsia="Arial" w:hAnsi="Arial" w:cs="Arial"/>
          <w:color w:val="000000"/>
          <w:sz w:val="22"/>
          <w:szCs w:val="22"/>
          <w:lang w:eastAsia="es-ES_tradnl"/>
        </w:rPr>
        <w:t>Estimad</w:t>
      </w:r>
      <w:r w:rsidR="00655914" w:rsidRPr="00363ED4">
        <w:rPr>
          <w:rFonts w:ascii="Arial" w:eastAsia="Arial" w:hAnsi="Arial" w:cs="Arial"/>
          <w:color w:val="000000"/>
          <w:sz w:val="22"/>
          <w:szCs w:val="22"/>
          <w:lang w:eastAsia="es-ES_tradnl"/>
        </w:rPr>
        <w:t>o</w:t>
      </w:r>
      <w:r w:rsidR="00946D59" w:rsidRPr="00363ED4">
        <w:rPr>
          <w:rFonts w:ascii="Arial" w:eastAsia="Arial" w:hAnsi="Arial" w:cs="Arial"/>
          <w:color w:val="000000"/>
          <w:sz w:val="22"/>
          <w:szCs w:val="22"/>
          <w:lang w:eastAsia="es-ES_tradnl"/>
        </w:rPr>
        <w:t xml:space="preserve"> señor</w:t>
      </w:r>
      <w:r w:rsidR="00655914" w:rsidRPr="00363ED4">
        <w:rPr>
          <w:rFonts w:ascii="Arial" w:eastAsia="Arial" w:hAnsi="Arial" w:cs="Arial"/>
          <w:color w:val="000000"/>
          <w:sz w:val="22"/>
          <w:szCs w:val="22"/>
          <w:lang w:eastAsia="es-ES_tradnl"/>
        </w:rPr>
        <w:t xml:space="preserve"> </w:t>
      </w:r>
      <w:r w:rsidR="001C42F7" w:rsidRPr="00363ED4">
        <w:rPr>
          <w:rFonts w:ascii="Arial" w:eastAsia="Arial" w:hAnsi="Arial" w:cs="Arial"/>
          <w:color w:val="000000"/>
          <w:sz w:val="22"/>
          <w:szCs w:val="22"/>
          <w:lang w:eastAsia="es-ES_tradnl"/>
        </w:rPr>
        <w:t>Hurtado</w:t>
      </w:r>
      <w:r w:rsidR="00946D59" w:rsidRPr="00363ED4">
        <w:rPr>
          <w:rFonts w:ascii="Arial" w:eastAsia="Arial" w:hAnsi="Arial" w:cs="Arial"/>
          <w:color w:val="000000"/>
          <w:sz w:val="22"/>
          <w:szCs w:val="22"/>
          <w:lang w:eastAsia="es-ES_tradnl"/>
        </w:rPr>
        <w:t xml:space="preserve">: </w:t>
      </w:r>
    </w:p>
    <w:p w14:paraId="6F017F55" w14:textId="77777777" w:rsidR="00460695" w:rsidRPr="00363ED4" w:rsidRDefault="00460695" w:rsidP="00460695">
      <w:pPr>
        <w:spacing w:line="276" w:lineRule="auto"/>
        <w:ind w:firstLine="709"/>
        <w:jc w:val="both"/>
        <w:rPr>
          <w:rFonts w:ascii="Arial" w:eastAsia="Arial" w:hAnsi="Arial" w:cs="Arial"/>
          <w:color w:val="000000"/>
          <w:sz w:val="22"/>
          <w:szCs w:val="22"/>
          <w:lang w:eastAsia="es-ES_tradnl"/>
        </w:rPr>
      </w:pPr>
    </w:p>
    <w:p w14:paraId="277EC569" w14:textId="06CB6586" w:rsidR="00460695" w:rsidRPr="00363ED4" w:rsidRDefault="00460695" w:rsidP="00460695">
      <w:pPr>
        <w:spacing w:line="276" w:lineRule="auto"/>
        <w:ind w:right="51"/>
        <w:jc w:val="both"/>
        <w:rPr>
          <w:rFonts w:ascii="Arial" w:eastAsia="Arial" w:hAnsi="Arial" w:cs="Arial"/>
          <w:color w:val="000000"/>
          <w:sz w:val="22"/>
          <w:szCs w:val="22"/>
          <w:lang w:eastAsia="es-ES_tradnl"/>
        </w:rPr>
      </w:pPr>
      <w:r w:rsidRPr="00363ED4">
        <w:rPr>
          <w:rFonts w:ascii="Arial" w:eastAsia="Arial" w:hAnsi="Arial" w:cs="Arial"/>
          <w:color w:val="000000"/>
          <w:sz w:val="22"/>
          <w:szCs w:val="22"/>
          <w:lang w:eastAsia="es-ES_tradnl"/>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00946D59" w:rsidRPr="00363ED4">
        <w:rPr>
          <w:rFonts w:ascii="Arial" w:eastAsia="Arial" w:hAnsi="Arial" w:cs="Arial"/>
          <w:color w:val="000000"/>
          <w:sz w:val="22"/>
          <w:szCs w:val="22"/>
          <w:lang w:eastAsia="es-ES_tradnl"/>
        </w:rPr>
        <w:t>22</w:t>
      </w:r>
      <w:r w:rsidR="00753925" w:rsidRPr="00363ED4">
        <w:rPr>
          <w:rFonts w:ascii="Arial" w:eastAsia="Arial" w:hAnsi="Arial" w:cs="Arial"/>
          <w:color w:val="000000"/>
          <w:sz w:val="22"/>
          <w:szCs w:val="22"/>
          <w:lang w:eastAsia="es-ES_tradnl"/>
        </w:rPr>
        <w:t xml:space="preserve"> </w:t>
      </w:r>
      <w:r w:rsidRPr="00363ED4">
        <w:rPr>
          <w:rFonts w:ascii="Arial" w:eastAsia="Arial" w:hAnsi="Arial" w:cs="Arial"/>
          <w:color w:val="000000"/>
          <w:sz w:val="22"/>
          <w:szCs w:val="22"/>
          <w:lang w:eastAsia="es-ES_tradnl"/>
        </w:rPr>
        <w:t xml:space="preserve">de septiembre de 2022. </w:t>
      </w:r>
    </w:p>
    <w:p w14:paraId="4568056A" w14:textId="77777777" w:rsidR="00460695" w:rsidRPr="00363ED4" w:rsidRDefault="00460695" w:rsidP="00460695">
      <w:pPr>
        <w:spacing w:line="276" w:lineRule="auto"/>
        <w:jc w:val="both"/>
        <w:rPr>
          <w:rFonts w:ascii="Arial" w:eastAsia="Arial" w:hAnsi="Arial" w:cs="Arial"/>
          <w:color w:val="000000"/>
          <w:sz w:val="22"/>
          <w:szCs w:val="22"/>
          <w:lang w:eastAsia="es-ES_tradnl"/>
        </w:rPr>
      </w:pPr>
    </w:p>
    <w:p w14:paraId="42A49D28" w14:textId="77777777" w:rsidR="00460695" w:rsidRPr="00363ED4" w:rsidRDefault="00460695" w:rsidP="00460695">
      <w:pPr>
        <w:tabs>
          <w:tab w:val="left" w:pos="284"/>
        </w:tabs>
        <w:spacing w:line="276" w:lineRule="auto"/>
        <w:jc w:val="both"/>
        <w:rPr>
          <w:rFonts w:ascii="Arial" w:eastAsia="Arial" w:hAnsi="Arial" w:cs="Arial"/>
          <w:b/>
          <w:color w:val="000000"/>
          <w:sz w:val="22"/>
          <w:szCs w:val="22"/>
          <w:lang w:eastAsia="es-ES_tradnl"/>
        </w:rPr>
      </w:pPr>
      <w:r w:rsidRPr="00363ED4">
        <w:rPr>
          <w:rFonts w:ascii="Arial" w:eastAsia="Arial" w:hAnsi="Arial" w:cs="Arial"/>
          <w:b/>
          <w:color w:val="000000"/>
          <w:sz w:val="22"/>
          <w:szCs w:val="22"/>
          <w:lang w:eastAsia="es-ES_tradnl"/>
        </w:rPr>
        <w:t xml:space="preserve">1. Problema planteado </w:t>
      </w:r>
    </w:p>
    <w:p w14:paraId="402DE5B7" w14:textId="77777777" w:rsidR="00460695" w:rsidRPr="00363ED4" w:rsidRDefault="00460695" w:rsidP="00460695">
      <w:pPr>
        <w:pBdr>
          <w:top w:val="nil"/>
          <w:left w:val="nil"/>
          <w:bottom w:val="nil"/>
          <w:right w:val="nil"/>
          <w:between w:val="nil"/>
        </w:pBdr>
        <w:spacing w:line="276" w:lineRule="auto"/>
        <w:jc w:val="both"/>
        <w:rPr>
          <w:rFonts w:ascii="Arial" w:eastAsia="Arial" w:hAnsi="Arial" w:cs="Arial"/>
          <w:color w:val="000000"/>
          <w:sz w:val="22"/>
          <w:szCs w:val="22"/>
          <w:lang w:eastAsia="es-ES_tradnl"/>
        </w:rPr>
      </w:pPr>
      <w:bookmarkStart w:id="0" w:name="_17dp8vu" w:colFirst="0" w:colLast="0"/>
      <w:bookmarkEnd w:id="0"/>
    </w:p>
    <w:p w14:paraId="10414FF3" w14:textId="77777777" w:rsidR="001C42F7" w:rsidRPr="00363ED4" w:rsidRDefault="00315CF6" w:rsidP="001C42F7">
      <w:pPr>
        <w:spacing w:line="276" w:lineRule="auto"/>
        <w:ind w:right="49"/>
        <w:jc w:val="both"/>
        <w:rPr>
          <w:rFonts w:ascii="Arial" w:hAnsi="Arial" w:cs="Arial"/>
          <w:bCs/>
          <w:sz w:val="22"/>
          <w:szCs w:val="22"/>
          <w:lang w:eastAsia="es-ES_tradnl"/>
        </w:rPr>
      </w:pPr>
      <w:r w:rsidRPr="00363ED4">
        <w:rPr>
          <w:rFonts w:ascii="Arial" w:hAnsi="Arial" w:cs="Arial"/>
          <w:bCs/>
          <w:sz w:val="22"/>
          <w:szCs w:val="22"/>
          <w:lang w:eastAsia="es-ES_tradnl"/>
        </w:rPr>
        <w:t xml:space="preserve">Usted realiza la siguiente consulta: </w:t>
      </w:r>
    </w:p>
    <w:p w14:paraId="32790752" w14:textId="77777777" w:rsidR="001C42F7" w:rsidRPr="00363ED4" w:rsidRDefault="001C42F7" w:rsidP="001C42F7">
      <w:pPr>
        <w:spacing w:line="276" w:lineRule="auto"/>
        <w:ind w:right="49"/>
        <w:jc w:val="both"/>
        <w:rPr>
          <w:rFonts w:ascii="Arial" w:hAnsi="Arial" w:cs="Arial"/>
          <w:bCs/>
          <w:sz w:val="22"/>
          <w:szCs w:val="22"/>
          <w:lang w:eastAsia="es-ES_tradnl"/>
        </w:rPr>
      </w:pPr>
    </w:p>
    <w:p w14:paraId="141537FE" w14:textId="34A4D480" w:rsidR="001C42F7" w:rsidRPr="00363ED4" w:rsidRDefault="00315CF6" w:rsidP="001500B5">
      <w:pPr>
        <w:ind w:left="709" w:right="709"/>
        <w:jc w:val="both"/>
        <w:rPr>
          <w:rFonts w:ascii="Arial" w:hAnsi="Arial" w:cs="Arial"/>
          <w:bCs/>
          <w:sz w:val="21"/>
          <w:szCs w:val="21"/>
          <w:lang w:val="es-MX" w:eastAsia="es-ES_tradnl"/>
        </w:rPr>
      </w:pPr>
      <w:r w:rsidRPr="00363ED4">
        <w:rPr>
          <w:rFonts w:ascii="Arial" w:hAnsi="Arial" w:cs="Arial"/>
          <w:bCs/>
          <w:sz w:val="21"/>
          <w:szCs w:val="21"/>
          <w:lang w:eastAsia="es-ES_tradnl"/>
        </w:rPr>
        <w:t>«</w:t>
      </w:r>
      <w:r w:rsidR="001C42F7" w:rsidRPr="00363ED4">
        <w:rPr>
          <w:rFonts w:ascii="Arial" w:hAnsi="Arial" w:cs="Arial"/>
          <w:bCs/>
          <w:sz w:val="21"/>
          <w:szCs w:val="21"/>
          <w:lang w:val="es-MX" w:eastAsia="es-ES_tradnl"/>
        </w:rPr>
        <w:t xml:space="preserve">Quisiera elevar la consulta, relacionada si en el Registro Único de proponentes se pueden inscribir o clasificar códigos en el clasificador de bienes y servicios UNSPSC, de bienes y o servicios que no se encuentran incluidos o suministrados dentro de un contrato con el cual yo estoy acreditando la experiencia y clasificándola en el RUP, como es el caso de incluir códigos en un </w:t>
      </w:r>
      <w:r w:rsidR="001C42F7" w:rsidRPr="00363ED4">
        <w:rPr>
          <w:rFonts w:ascii="Arial" w:hAnsi="Arial" w:cs="Arial"/>
          <w:bCs/>
          <w:sz w:val="21"/>
          <w:szCs w:val="21"/>
          <w:lang w:val="es-MX" w:eastAsia="es-ES_tradnl"/>
        </w:rPr>
        <w:lastRenderedPageBreak/>
        <w:t>contrato de suministro de mobiliario y que en el alcance o descripción de los bienes y/o servicios suministrados esta detallado y evidenciado lo que se suministro pero en el RUP se incluyen en el clasificador de bienes y servicios UNSPSC codigos que nada tienen que ver con los bienes o servicios como es el caso incluir codigos con otras actividades como son incluir códigos de animales, alimentos, combustible nuclear, ensambladoras, embarcaciones maritimas comerciales, embarcaciones militares, naves espaciales, satélites, equipos para reactores nucleares, componentes de robot, misiles y que en un contrato donde se suministran 20 bienes muebles por colocar un ejemplo suministrar 10 sillas y 10 meses y pueda incluir hasta en muchos casos evidenciados hasta 1.000 o 2.000 códigos con otros bienes o servicios diferentes a los suministrados.</w:t>
      </w:r>
    </w:p>
    <w:p w14:paraId="7C856B20" w14:textId="77777777" w:rsidR="001C42F7" w:rsidRPr="00363ED4" w:rsidRDefault="001C42F7" w:rsidP="001500B5">
      <w:pPr>
        <w:ind w:left="709" w:right="709"/>
        <w:jc w:val="both"/>
        <w:rPr>
          <w:rFonts w:ascii="Arial" w:hAnsi="Arial" w:cs="Arial"/>
          <w:bCs/>
          <w:sz w:val="21"/>
          <w:szCs w:val="21"/>
          <w:lang w:val="es-MX" w:eastAsia="es-ES_tradnl"/>
        </w:rPr>
      </w:pPr>
    </w:p>
    <w:p w14:paraId="3BD283AF" w14:textId="1E1F4B43" w:rsidR="00460695" w:rsidRPr="00363ED4" w:rsidRDefault="001C42F7" w:rsidP="001500B5">
      <w:pPr>
        <w:ind w:left="709" w:right="709"/>
        <w:jc w:val="both"/>
        <w:rPr>
          <w:rFonts w:ascii="Arial" w:hAnsi="Arial" w:cs="Arial"/>
          <w:bCs/>
          <w:sz w:val="21"/>
          <w:szCs w:val="21"/>
          <w:lang w:val="es-MX" w:eastAsia="es-ES_tradnl"/>
        </w:rPr>
      </w:pPr>
      <w:r w:rsidRPr="00363ED4">
        <w:rPr>
          <w:rFonts w:ascii="Arial" w:hAnsi="Arial" w:cs="Arial"/>
          <w:bCs/>
          <w:sz w:val="21"/>
          <w:szCs w:val="21"/>
          <w:lang w:val="es-MX" w:eastAsia="es-ES_tradnl"/>
        </w:rPr>
        <w:t xml:space="preserve">Teniendo en cuanto lo descrito en la SUBSECCIÓN 5 RESISTRO ÚNICO DE PROPONENTES (RUP) Artículo 2.2.1.1.1.5.2 Información para inscripción, renovación o actualización del Decreto 1082 de 2015, se solita claridad en este tema. </w:t>
      </w:r>
      <w:r w:rsidR="00315CF6" w:rsidRPr="00363ED4">
        <w:rPr>
          <w:rFonts w:ascii="Arial" w:hAnsi="Arial" w:cs="Arial"/>
          <w:bCs/>
          <w:sz w:val="21"/>
          <w:szCs w:val="21"/>
          <w:lang w:eastAsia="es-ES_tradnl"/>
        </w:rPr>
        <w:t>»</w:t>
      </w:r>
      <w:r w:rsidR="00E000F5">
        <w:rPr>
          <w:rFonts w:ascii="Arial" w:hAnsi="Arial" w:cs="Arial"/>
          <w:bCs/>
          <w:sz w:val="21"/>
          <w:szCs w:val="21"/>
          <w:lang w:eastAsia="es-ES_tradnl"/>
        </w:rPr>
        <w:t xml:space="preserve"> [SIC]</w:t>
      </w:r>
      <w:r w:rsidR="00315CF6" w:rsidRPr="00363ED4">
        <w:rPr>
          <w:rFonts w:ascii="Arial" w:hAnsi="Arial" w:cs="Arial"/>
          <w:bCs/>
          <w:sz w:val="21"/>
          <w:szCs w:val="21"/>
          <w:lang w:eastAsia="es-ES_tradnl"/>
        </w:rPr>
        <w:t xml:space="preserve"> </w:t>
      </w:r>
    </w:p>
    <w:p w14:paraId="1B3426D7" w14:textId="77777777" w:rsidR="0095024F" w:rsidRPr="00363ED4" w:rsidRDefault="0095024F" w:rsidP="0095024F">
      <w:pPr>
        <w:shd w:val="clear" w:color="auto" w:fill="FFFFFF"/>
        <w:spacing w:line="276" w:lineRule="auto"/>
        <w:ind w:left="709" w:right="709"/>
        <w:jc w:val="both"/>
        <w:rPr>
          <w:rFonts w:ascii="Arial" w:eastAsia="Calibri" w:hAnsi="Arial" w:cs="Arial"/>
          <w:color w:val="0D0D0D"/>
          <w:sz w:val="22"/>
          <w:szCs w:val="22"/>
          <w:bdr w:val="none" w:sz="0" w:space="0" w:color="auto" w:frame="1"/>
          <w:lang w:eastAsia="es-CO"/>
        </w:rPr>
      </w:pPr>
    </w:p>
    <w:p w14:paraId="7316A8E0" w14:textId="77777777" w:rsidR="00460695" w:rsidRPr="00363ED4" w:rsidRDefault="00460695" w:rsidP="00460695">
      <w:pPr>
        <w:spacing w:line="276" w:lineRule="auto"/>
        <w:ind w:right="709"/>
        <w:jc w:val="both"/>
        <w:rPr>
          <w:rFonts w:ascii="Arial" w:eastAsia="Arial" w:hAnsi="Arial" w:cs="Arial"/>
          <w:b/>
          <w:color w:val="000000"/>
          <w:sz w:val="22"/>
          <w:szCs w:val="22"/>
          <w:lang w:eastAsia="es-ES_tradnl"/>
        </w:rPr>
      </w:pPr>
      <w:r w:rsidRPr="00363ED4">
        <w:rPr>
          <w:rFonts w:ascii="Arial" w:eastAsia="Arial" w:hAnsi="Arial" w:cs="Arial"/>
          <w:b/>
          <w:color w:val="000000"/>
          <w:sz w:val="22"/>
          <w:szCs w:val="22"/>
          <w:lang w:eastAsia="es-ES_tradnl"/>
        </w:rPr>
        <w:t xml:space="preserve">2. Consideraciones: </w:t>
      </w:r>
    </w:p>
    <w:p w14:paraId="47597E9A" w14:textId="77777777" w:rsidR="00460695" w:rsidRPr="00363ED4" w:rsidRDefault="00460695" w:rsidP="00460695">
      <w:pPr>
        <w:spacing w:line="276" w:lineRule="auto"/>
        <w:ind w:right="709"/>
        <w:jc w:val="both"/>
        <w:rPr>
          <w:rFonts w:ascii="Arial" w:eastAsia="Arial" w:hAnsi="Arial" w:cs="Arial"/>
          <w:b/>
          <w:color w:val="000000"/>
          <w:sz w:val="22"/>
          <w:szCs w:val="22"/>
          <w:lang w:eastAsia="es-ES_tradnl"/>
        </w:rPr>
      </w:pPr>
    </w:p>
    <w:p w14:paraId="4F5AC312" w14:textId="77777777" w:rsidR="00460695" w:rsidRPr="00363ED4" w:rsidRDefault="00460695" w:rsidP="00204EC8">
      <w:pPr>
        <w:spacing w:after="120" w:line="276" w:lineRule="auto"/>
        <w:jc w:val="both"/>
        <w:rPr>
          <w:rFonts w:ascii="Arial" w:hAnsi="Arial" w:cs="Arial"/>
          <w:bCs/>
          <w:sz w:val="22"/>
          <w:szCs w:val="22"/>
          <w:lang w:eastAsia="es-ES_tradnl"/>
        </w:rPr>
      </w:pPr>
      <w:r w:rsidRPr="00363ED4">
        <w:rPr>
          <w:rFonts w:ascii="Arial" w:hAnsi="Arial" w:cs="Arial"/>
          <w:bCs/>
          <w:sz w:val="22"/>
          <w:szCs w:val="22"/>
          <w:lang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363ED4">
        <w:rPr>
          <w:rFonts w:ascii="Arial" w:hAnsi="Arial" w:cs="Arial"/>
          <w:bCs/>
          <w:sz w:val="22"/>
          <w:szCs w:val="22"/>
          <w:lang w:eastAsia="es-ES_tradnl"/>
        </w:rPr>
        <w:t xml:space="preserve"> </w:t>
      </w:r>
      <w:r w:rsidRPr="00363ED4">
        <w:rPr>
          <w:rFonts w:ascii="Arial" w:hAnsi="Arial" w:cs="Arial"/>
          <w:sz w:val="22"/>
          <w:szCs w:val="22"/>
          <w:lang w:eastAsia="es-ES_tradnl"/>
        </w:rPr>
        <w:t xml:space="preserve">Es necesario tener en cuenta que </w:t>
      </w:r>
      <w:bookmarkStart w:id="3" w:name="_Hlk61026958"/>
      <w:r w:rsidRPr="00363ED4">
        <w:rPr>
          <w:rFonts w:ascii="Arial" w:hAnsi="Arial" w:cs="Arial"/>
          <w:sz w:val="22"/>
          <w:szCs w:val="22"/>
          <w:lang w:eastAsia="es-ES_tradnl"/>
        </w:rPr>
        <w:t>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363ED4">
        <w:rPr>
          <w:rFonts w:ascii="Arial" w:hAnsi="Arial" w:cs="Arial"/>
          <w:bCs/>
          <w:sz w:val="22"/>
          <w:szCs w:val="22"/>
          <w:lang w:eastAsia="es-ES_tradnl"/>
        </w:rPr>
        <w:t xml:space="preserve"> de todos los partícipes de la contratación estatal.</w:t>
      </w:r>
    </w:p>
    <w:p w14:paraId="3964AC33" w14:textId="77777777" w:rsidR="00DB2209" w:rsidRPr="00363ED4" w:rsidRDefault="00DB2209" w:rsidP="00DB2209">
      <w:pPr>
        <w:spacing w:after="120" w:line="276" w:lineRule="auto"/>
        <w:ind w:firstLine="708"/>
        <w:jc w:val="both"/>
        <w:rPr>
          <w:rFonts w:ascii="Arial" w:hAnsi="Arial" w:cs="Arial"/>
          <w:sz w:val="22"/>
          <w:szCs w:val="22"/>
        </w:rPr>
      </w:pPr>
      <w:r w:rsidRPr="00363ED4">
        <w:rPr>
          <w:rFonts w:ascii="Arial" w:hAnsi="Arial" w:cs="Arial"/>
          <w:sz w:val="22"/>
          <w:szCs w:val="22"/>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363ED4">
        <w:rPr>
          <w:rFonts w:ascii="Arial" w:hAnsi="Arial" w:cs="Arial"/>
          <w:sz w:val="22"/>
          <w:szCs w:val="22"/>
          <w:vertAlign w:val="superscript"/>
        </w:rPr>
        <w:footnoteReference w:id="1"/>
      </w:r>
      <w:r w:rsidRPr="00363ED4">
        <w:rPr>
          <w:rFonts w:ascii="Arial" w:hAnsi="Arial" w:cs="Arial"/>
          <w:sz w:val="22"/>
          <w:szCs w:val="22"/>
        </w:rPr>
        <w:t xml:space="preserve">. Esta </w:t>
      </w:r>
      <w:r w:rsidRPr="00363ED4">
        <w:rPr>
          <w:rFonts w:ascii="Arial" w:hAnsi="Arial" w:cs="Arial"/>
          <w:sz w:val="22"/>
          <w:szCs w:val="22"/>
        </w:rPr>
        <w:lastRenderedPageBreak/>
        <w:t xml:space="preserve">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 </w:t>
      </w:r>
    </w:p>
    <w:bookmarkEnd w:id="1"/>
    <w:bookmarkEnd w:id="2"/>
    <w:bookmarkEnd w:id="3"/>
    <w:p w14:paraId="29FA162F" w14:textId="5BCA531A" w:rsidR="001C42F7" w:rsidRPr="00363ED4" w:rsidRDefault="001C42F7" w:rsidP="001C42F7">
      <w:pPr>
        <w:spacing w:after="120" w:line="276" w:lineRule="auto"/>
        <w:ind w:firstLine="708"/>
        <w:jc w:val="both"/>
        <w:rPr>
          <w:rFonts w:ascii="Arial" w:eastAsia="Calibri" w:hAnsi="Arial" w:cs="Arial"/>
          <w:sz w:val="22"/>
          <w:lang w:val="es-ES"/>
        </w:rPr>
      </w:pPr>
      <w:r w:rsidRPr="00363ED4">
        <w:rPr>
          <w:rFonts w:ascii="Arial" w:eastAsia="Calibri" w:hAnsi="Arial" w:cs="Arial"/>
          <w:sz w:val="22"/>
        </w:rPr>
        <w:t xml:space="preserve">Sin perjuicio de lo anterior, </w:t>
      </w:r>
      <w:r w:rsidRPr="00363ED4">
        <w:rPr>
          <w:rFonts w:ascii="Arial" w:eastAsia="Calibri" w:hAnsi="Arial" w:cs="Arial"/>
          <w:sz w:val="22"/>
          <w:lang w:val="es-ES"/>
        </w:rPr>
        <w:t>la entidad, dentro de los límites de sus atribuciones, resolverá la consulta de forma general conforme a las normas generales del sistema de compras y contratación pública. Con este objetivo se analizarán los siguientes temas: i) Definición y finalidad del Registro Único de Proponentes – RUP-;</w:t>
      </w:r>
      <w:r w:rsidR="00971E12">
        <w:rPr>
          <w:rFonts w:ascii="Arial" w:eastAsia="Calibri" w:hAnsi="Arial" w:cs="Arial"/>
          <w:sz w:val="22"/>
          <w:lang w:val="es-ES"/>
        </w:rPr>
        <w:t xml:space="preserve"> </w:t>
      </w:r>
      <w:proofErr w:type="gramStart"/>
      <w:r w:rsidR="00971E12">
        <w:rPr>
          <w:rFonts w:ascii="Arial" w:eastAsia="Calibri" w:hAnsi="Arial" w:cs="Arial"/>
          <w:sz w:val="22"/>
          <w:lang w:val="es-ES"/>
        </w:rPr>
        <w:t xml:space="preserve">y </w:t>
      </w:r>
      <w:r w:rsidRPr="00363ED4">
        <w:rPr>
          <w:rFonts w:ascii="Arial" w:eastAsia="Calibri" w:hAnsi="Arial" w:cs="Arial"/>
          <w:sz w:val="22"/>
          <w:lang w:val="es-ES"/>
        </w:rPr>
        <w:t xml:space="preserve"> </w:t>
      </w:r>
      <w:proofErr w:type="spellStart"/>
      <w:r w:rsidRPr="00363ED4">
        <w:rPr>
          <w:rFonts w:ascii="Arial" w:eastAsia="Calibri" w:hAnsi="Arial" w:cs="Arial"/>
          <w:sz w:val="22"/>
          <w:lang w:val="es-ES"/>
        </w:rPr>
        <w:t>ii</w:t>
      </w:r>
      <w:proofErr w:type="spellEnd"/>
      <w:proofErr w:type="gramEnd"/>
      <w:r w:rsidRPr="00363ED4">
        <w:rPr>
          <w:rFonts w:ascii="Arial" w:eastAsia="Calibri" w:hAnsi="Arial" w:cs="Arial"/>
          <w:sz w:val="22"/>
          <w:lang w:val="es-ES"/>
        </w:rPr>
        <w:t xml:space="preserve">) </w:t>
      </w:r>
      <w:r w:rsidR="00971E12" w:rsidRPr="00971E12">
        <w:rPr>
          <w:rFonts w:ascii="Arial" w:eastAsia="Calibri" w:hAnsi="Arial" w:cs="Arial"/>
          <w:sz w:val="22"/>
          <w:lang w:val="es-ES"/>
        </w:rPr>
        <w:t>Incorporación normativa y uso del Clasificador de Bienes y Servicios de las Naciones Unidas en la contratación pública</w:t>
      </w:r>
      <w:r w:rsidR="00971E12">
        <w:rPr>
          <w:rFonts w:ascii="Arial" w:eastAsia="Calibri" w:hAnsi="Arial" w:cs="Arial"/>
          <w:sz w:val="22"/>
          <w:lang w:val="es-ES"/>
        </w:rPr>
        <w:t>.</w:t>
      </w:r>
      <w:r w:rsidR="00971E12" w:rsidRPr="00971E12" w:rsidDel="00971E12">
        <w:rPr>
          <w:rFonts w:ascii="Arial" w:eastAsia="Calibri" w:hAnsi="Arial" w:cs="Arial"/>
          <w:sz w:val="22"/>
          <w:lang w:val="es-ES"/>
        </w:rPr>
        <w:t xml:space="preserve"> </w:t>
      </w:r>
    </w:p>
    <w:p w14:paraId="63F14D72" w14:textId="7BE30454" w:rsidR="00BA4F0B" w:rsidRPr="00363ED4" w:rsidRDefault="001C42F7" w:rsidP="001C42F7">
      <w:pPr>
        <w:spacing w:line="276" w:lineRule="auto"/>
        <w:jc w:val="both"/>
        <w:rPr>
          <w:rFonts w:ascii="Arial" w:eastAsia="Calibri" w:hAnsi="Arial" w:cs="Arial"/>
          <w:sz w:val="22"/>
        </w:rPr>
      </w:pPr>
      <w:r w:rsidRPr="00363ED4">
        <w:rPr>
          <w:rFonts w:ascii="Arial" w:hAnsi="Arial" w:cs="Arial"/>
          <w:color w:val="FF0000"/>
          <w:sz w:val="22"/>
          <w:shd w:val="clear" w:color="auto" w:fill="FFFFFF"/>
          <w:lang w:val="es-ES"/>
        </w:rPr>
        <w:tab/>
      </w:r>
      <w:r w:rsidRPr="00363ED4">
        <w:rPr>
          <w:rFonts w:ascii="Arial" w:eastAsia="Calibri" w:hAnsi="Arial" w:cs="Arial"/>
          <w:sz w:val="22"/>
        </w:rPr>
        <w:t xml:space="preserve">La </w:t>
      </w:r>
      <w:r w:rsidRPr="00363ED4">
        <w:rPr>
          <w:rFonts w:ascii="Arial" w:hAnsi="Arial" w:cs="Arial"/>
          <w:color w:val="000000" w:themeColor="text1"/>
          <w:sz w:val="22"/>
        </w:rPr>
        <w:t xml:space="preserve">Agencia Nacional de Contratación Pública – Colombia Compra Eficiente se ha pronunciado sobre </w:t>
      </w:r>
      <w:r w:rsidRPr="00363ED4">
        <w:rPr>
          <w:rFonts w:ascii="Arial" w:eastAsia="Calibri" w:hAnsi="Arial" w:cs="Arial"/>
          <w:sz w:val="22"/>
        </w:rPr>
        <w:t xml:space="preserve"> el RUP en los siguientes conceptos: 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C–576 del 31 de agosto de 2020, C–786 del 19 de enero de 2021, C-800 de 01 de febrero de 2021, C-329 de 8 de julio de 2021 y C-142 de 2022</w:t>
      </w:r>
      <w:r w:rsidRPr="00363ED4">
        <w:rPr>
          <w:rFonts w:ascii="Arial" w:hAnsi="Arial" w:cs="Arial"/>
          <w:color w:val="000000" w:themeColor="text1"/>
          <w:sz w:val="22"/>
        </w:rPr>
        <w:t xml:space="preserve">. </w:t>
      </w:r>
      <w:r w:rsidRPr="00363ED4">
        <w:rPr>
          <w:rFonts w:ascii="Arial" w:eastAsia="Calibri" w:hAnsi="Arial" w:cs="Arial"/>
          <w:sz w:val="22"/>
        </w:rPr>
        <w:t>Asimismo, Colombia Compra Eficiente se ha pronunciado en diferentes conceptos sobre uso del Clasificador de Bienes y Servicios de Naciones Unidas en los conceptos 2201913000006036 del 20 de agosto de 2019, 2201913000007322 del 2 de octubre de 2019, 2201913000007496 del 7 de octubre de 2020, 2201913000008870 del 2 de diciembre de 2019, 2201913000009643 del 26 de diciembre de 2019, C-052 del 18 de marzo de 2020,  C-017 del 22 de febrero de 2020, C- 522 del 1 de octubre de 2021, C-723 del 25 de abril de 2022.</w:t>
      </w:r>
      <w:r w:rsidR="00E000F5">
        <w:rPr>
          <w:rFonts w:ascii="Arial" w:eastAsia="Calibri" w:hAnsi="Arial" w:cs="Arial"/>
          <w:sz w:val="22"/>
        </w:rPr>
        <w:t xml:space="preserve"> </w:t>
      </w:r>
      <w:r w:rsidR="00991037">
        <w:rPr>
          <w:rFonts w:ascii="Arial" w:eastAsia="Calibri" w:hAnsi="Arial" w:cs="Arial"/>
          <w:sz w:val="22"/>
        </w:rPr>
        <w:t xml:space="preserve">Algunos argumentos expuestos en los mencionados conceptos se </w:t>
      </w:r>
      <w:r w:rsidR="00774416">
        <w:rPr>
          <w:rFonts w:ascii="Arial" w:eastAsia="Calibri" w:hAnsi="Arial" w:cs="Arial"/>
          <w:sz w:val="22"/>
        </w:rPr>
        <w:t xml:space="preserve">reiteran a continuación. </w:t>
      </w:r>
    </w:p>
    <w:p w14:paraId="0C97F710" w14:textId="77777777" w:rsidR="001C42F7" w:rsidRPr="00363ED4" w:rsidRDefault="001C42F7" w:rsidP="001C42F7">
      <w:pPr>
        <w:spacing w:line="276" w:lineRule="auto"/>
        <w:jc w:val="both"/>
        <w:rPr>
          <w:rFonts w:ascii="Arial" w:eastAsia="Calibri" w:hAnsi="Arial" w:cs="Arial"/>
          <w:color w:val="000000"/>
          <w:sz w:val="22"/>
          <w:szCs w:val="22"/>
          <w:lang w:eastAsia="es-ES_tradnl"/>
        </w:rPr>
      </w:pPr>
    </w:p>
    <w:p w14:paraId="3808E726" w14:textId="77777777" w:rsidR="001C42F7" w:rsidRPr="001500B5" w:rsidRDefault="001C42F7" w:rsidP="001C42F7">
      <w:pPr>
        <w:pStyle w:val="Textoindependiente"/>
        <w:spacing w:line="276" w:lineRule="auto"/>
        <w:contextualSpacing/>
        <w:jc w:val="both"/>
        <w:rPr>
          <w:rFonts w:eastAsia="Times New Roman"/>
          <w:b/>
          <w:bCs/>
          <w:sz w:val="22"/>
          <w:szCs w:val="22"/>
          <w:bdr w:val="none" w:sz="0" w:space="0" w:color="auto" w:frame="1"/>
          <w:lang w:eastAsia="es-ES_tradnl"/>
        </w:rPr>
      </w:pPr>
      <w:r w:rsidRPr="001500B5">
        <w:rPr>
          <w:rFonts w:eastAsia="Times New Roman"/>
          <w:b/>
          <w:bCs/>
          <w:sz w:val="22"/>
          <w:szCs w:val="22"/>
          <w:bdr w:val="none" w:sz="0" w:space="0" w:color="auto" w:frame="1"/>
          <w:lang w:eastAsia="es-ES_tradnl"/>
        </w:rPr>
        <w:t>2.1. El Registro Único de Proponentes (RUP)</w:t>
      </w:r>
    </w:p>
    <w:p w14:paraId="48988029" w14:textId="77777777" w:rsidR="001C42F7" w:rsidRPr="00363ED4" w:rsidRDefault="001C42F7" w:rsidP="001C42F7">
      <w:pPr>
        <w:pStyle w:val="Textoindependiente"/>
        <w:spacing w:line="276" w:lineRule="auto"/>
        <w:contextualSpacing/>
        <w:jc w:val="both"/>
        <w:rPr>
          <w:rFonts w:eastAsia="Times New Roman"/>
          <w:b/>
          <w:bCs/>
          <w:bdr w:val="none" w:sz="0" w:space="0" w:color="auto" w:frame="1"/>
          <w:lang w:eastAsia="es-ES_tradnl"/>
        </w:rPr>
      </w:pPr>
    </w:p>
    <w:p w14:paraId="1D797931" w14:textId="77777777" w:rsidR="001C42F7" w:rsidRPr="00363ED4" w:rsidRDefault="001C42F7" w:rsidP="001C42F7">
      <w:pPr>
        <w:spacing w:line="276" w:lineRule="auto"/>
        <w:jc w:val="both"/>
        <w:rPr>
          <w:rFonts w:ascii="Arial" w:hAnsi="Arial" w:cs="Arial"/>
          <w:color w:val="000000" w:themeColor="text1"/>
          <w:sz w:val="22"/>
          <w:lang w:val="es-ES"/>
        </w:rPr>
      </w:pPr>
      <w:bookmarkStart w:id="4" w:name="_Hlk101793140"/>
      <w:r w:rsidRPr="00363ED4">
        <w:rPr>
          <w:rFonts w:ascii="Arial" w:hAnsi="Arial" w:cs="Arial"/>
          <w:color w:val="000000" w:themeColor="text1"/>
          <w:sz w:val="22"/>
        </w:rPr>
        <w:t xml:space="preserve">El Registro Único de Proponentes, en adelante RUP,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w:t>
      </w:r>
      <w:r w:rsidRPr="00363ED4">
        <w:rPr>
          <w:rFonts w:ascii="Arial" w:hAnsi="Arial" w:cs="Arial"/>
          <w:color w:val="000000" w:themeColor="text1"/>
          <w:sz w:val="22"/>
        </w:rPr>
        <w:lastRenderedPageBreak/>
        <w:t xml:space="preserve">técnica, financiera y organizacional de los posibles proponentes. </w:t>
      </w:r>
      <w:bookmarkEnd w:id="4"/>
      <w:r w:rsidRPr="00363ED4">
        <w:rPr>
          <w:rFonts w:ascii="Arial" w:hAnsi="Arial" w:cs="Arial"/>
          <w:color w:val="000000" w:themeColor="text1"/>
          <w:sz w:val="22"/>
        </w:rPr>
        <w:t>El Consejo de Estado definió la naturaleza y finalidad del RUP de la siguiente forma:</w:t>
      </w:r>
    </w:p>
    <w:p w14:paraId="582B0D8A" w14:textId="77777777" w:rsidR="001C42F7" w:rsidRPr="00363ED4" w:rsidRDefault="001C42F7" w:rsidP="001C42F7">
      <w:pPr>
        <w:pStyle w:val="Textoindependiente"/>
        <w:spacing w:line="276" w:lineRule="auto"/>
        <w:contextualSpacing/>
      </w:pPr>
    </w:p>
    <w:p w14:paraId="06B33E94" w14:textId="77777777" w:rsidR="001C42F7" w:rsidRPr="00363ED4" w:rsidRDefault="001C42F7" w:rsidP="001C42F7">
      <w:pPr>
        <w:tabs>
          <w:tab w:val="left" w:pos="8505"/>
        </w:tabs>
        <w:ind w:left="709" w:right="709"/>
        <w:contextualSpacing/>
        <w:jc w:val="both"/>
        <w:rPr>
          <w:rFonts w:ascii="Arial" w:hAnsi="Arial" w:cs="Arial"/>
          <w:color w:val="000000" w:themeColor="text1"/>
          <w:sz w:val="21"/>
          <w:szCs w:val="21"/>
        </w:rPr>
      </w:pPr>
      <w:r w:rsidRPr="00363ED4">
        <w:rPr>
          <w:rFonts w:ascii="Arial" w:eastAsia="Calibri" w:hAnsi="Arial" w:cs="Arial"/>
          <w:sz w:val="21"/>
          <w:szCs w:val="21"/>
        </w:rPr>
        <w:t>«</w:t>
      </w:r>
      <w:r w:rsidRPr="00363ED4">
        <w:rPr>
          <w:rFonts w:ascii="Arial" w:hAnsi="Arial" w:cs="Arial"/>
          <w:color w:val="000000" w:themeColor="text1"/>
          <w:sz w:val="21"/>
          <w:szCs w:val="21"/>
        </w:rPr>
        <w:t xml:space="preserve">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w:t>
      </w:r>
      <w:proofErr w:type="gramStart"/>
      <w:r w:rsidRPr="00363ED4">
        <w:rPr>
          <w:rFonts w:ascii="Arial" w:hAnsi="Arial" w:cs="Arial"/>
          <w:color w:val="000000" w:themeColor="text1"/>
          <w:sz w:val="21"/>
          <w:szCs w:val="21"/>
        </w:rPr>
        <w:t>estatales,</w:t>
      </w:r>
      <w:proofErr w:type="gramEnd"/>
      <w:r w:rsidRPr="00363ED4">
        <w:rPr>
          <w:rFonts w:ascii="Arial" w:hAnsi="Arial" w:cs="Arial"/>
          <w:color w:val="000000" w:themeColor="text1"/>
          <w:sz w:val="21"/>
          <w:szCs w:val="21"/>
        </w:rPr>
        <w:t xml:space="preserve"> deberán inscribirse en el Registro de Proponentes de la Cámara de Comercio de su jurisdicción y deberán estar clasificadas y calificadas según lo dispuesto en esta norma</w:t>
      </w:r>
      <w:r w:rsidRPr="00363ED4">
        <w:rPr>
          <w:rFonts w:ascii="Arial" w:eastAsia="Calibri" w:hAnsi="Arial" w:cs="Arial"/>
          <w:sz w:val="21"/>
          <w:szCs w:val="21"/>
        </w:rPr>
        <w:t>»</w:t>
      </w:r>
      <w:r w:rsidRPr="00363ED4">
        <w:rPr>
          <w:rStyle w:val="Refdenotaalpie"/>
          <w:rFonts w:ascii="Arial" w:hAnsi="Arial" w:cs="Arial"/>
          <w:color w:val="000000" w:themeColor="text1"/>
          <w:sz w:val="21"/>
          <w:szCs w:val="21"/>
        </w:rPr>
        <w:footnoteReference w:id="2"/>
      </w:r>
      <w:r w:rsidRPr="00363ED4">
        <w:rPr>
          <w:rFonts w:ascii="Arial" w:hAnsi="Arial" w:cs="Arial"/>
          <w:color w:val="000000" w:themeColor="text1"/>
          <w:sz w:val="21"/>
          <w:szCs w:val="21"/>
        </w:rPr>
        <w:t>.</w:t>
      </w:r>
    </w:p>
    <w:p w14:paraId="25746645" w14:textId="77777777" w:rsidR="001C42F7" w:rsidRPr="001500B5" w:rsidRDefault="001C42F7" w:rsidP="001C42F7">
      <w:pPr>
        <w:pStyle w:val="Textoindependiente"/>
        <w:spacing w:line="276" w:lineRule="auto"/>
        <w:contextualSpacing/>
        <w:rPr>
          <w:sz w:val="22"/>
          <w:szCs w:val="22"/>
        </w:rPr>
      </w:pPr>
    </w:p>
    <w:p w14:paraId="7D8428E0" w14:textId="77777777" w:rsidR="001C42F7" w:rsidRPr="00E95AE0" w:rsidRDefault="001C42F7" w:rsidP="001C42F7">
      <w:pPr>
        <w:spacing w:after="120" w:line="276" w:lineRule="auto"/>
        <w:ind w:firstLine="708"/>
        <w:jc w:val="both"/>
        <w:rPr>
          <w:rFonts w:ascii="Arial" w:hAnsi="Arial" w:cs="Arial"/>
          <w:color w:val="000000" w:themeColor="text1"/>
          <w:sz w:val="22"/>
          <w:szCs w:val="22"/>
        </w:rPr>
      </w:pPr>
      <w:bookmarkStart w:id="5" w:name="_Hlk101793164"/>
      <w:r w:rsidRPr="00E95AE0">
        <w:rPr>
          <w:rFonts w:ascii="Arial" w:hAnsi="Arial" w:cs="Arial"/>
          <w:color w:val="000000" w:themeColor="text1"/>
          <w:sz w:val="22"/>
          <w:szCs w:val="22"/>
        </w:rPr>
        <w:t>El artículo 6.1 de la Ley 1150 de 2007 dispone que el RUP es plena prueba de la información que contiene</w:t>
      </w:r>
      <w:r w:rsidRPr="00E95AE0">
        <w:rPr>
          <w:rStyle w:val="Refdenotaalpie"/>
          <w:rFonts w:ascii="Arial" w:hAnsi="Arial" w:cs="Arial"/>
          <w:color w:val="000000" w:themeColor="text1"/>
          <w:sz w:val="22"/>
          <w:szCs w:val="22"/>
        </w:rPr>
        <w:footnoteReference w:id="3"/>
      </w:r>
      <w:r w:rsidRPr="00E95AE0">
        <w:rPr>
          <w:rFonts w:ascii="Arial" w:hAnsi="Arial" w:cs="Arial"/>
          <w:color w:val="000000" w:themeColor="text1"/>
          <w:sz w:val="22"/>
          <w:szCs w:val="22"/>
        </w:rPr>
        <w:t>.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las entidades en los procedimientos de contratación en los que es exigible el RUP</w:t>
      </w:r>
      <w:bookmarkEnd w:id="5"/>
      <w:r w:rsidRPr="00E95AE0">
        <w:rPr>
          <w:rStyle w:val="Refdenotaalpie"/>
          <w:rFonts w:ascii="Arial" w:hAnsi="Arial" w:cs="Arial"/>
          <w:color w:val="000000" w:themeColor="text1"/>
          <w:sz w:val="22"/>
          <w:szCs w:val="22"/>
        </w:rPr>
        <w:footnoteReference w:id="4"/>
      </w:r>
      <w:r w:rsidRPr="00E95AE0">
        <w:rPr>
          <w:rFonts w:ascii="Arial" w:hAnsi="Arial" w:cs="Arial"/>
          <w:color w:val="000000" w:themeColor="text1"/>
          <w:sz w:val="22"/>
          <w:szCs w:val="22"/>
        </w:rPr>
        <w:t xml:space="preserve">. De esta </w:t>
      </w:r>
      <w:r w:rsidRPr="00E95AE0">
        <w:rPr>
          <w:rFonts w:ascii="Arial" w:hAnsi="Arial" w:cs="Arial"/>
          <w:color w:val="000000" w:themeColor="text1"/>
          <w:sz w:val="22"/>
          <w:szCs w:val="22"/>
        </w:rPr>
        <w:lastRenderedPageBreak/>
        <w:t>forma, la capacidad jurídica y las condiciones de experiencia, capacidad financiera y de organización de los proponentes deberán ser verificadas exclusivamente a través del RUP, pues de acuerdo con lo expuesto, este documento es plena prueba de la información financiera, de experiencia y de capacidad acreditada por la persona natural o jurídica</w:t>
      </w:r>
      <w:r w:rsidRPr="00E95AE0">
        <w:rPr>
          <w:rStyle w:val="Refdenotaalpie"/>
          <w:rFonts w:ascii="Arial" w:hAnsi="Arial" w:cs="Arial"/>
          <w:color w:val="000000" w:themeColor="text1"/>
          <w:sz w:val="22"/>
          <w:szCs w:val="22"/>
        </w:rPr>
        <w:footnoteReference w:id="5"/>
      </w:r>
      <w:r w:rsidRPr="00E95AE0">
        <w:rPr>
          <w:rFonts w:ascii="Arial" w:hAnsi="Arial" w:cs="Arial"/>
          <w:color w:val="000000" w:themeColor="text1"/>
          <w:sz w:val="22"/>
          <w:szCs w:val="22"/>
        </w:rPr>
        <w:t xml:space="preserve">. </w:t>
      </w:r>
    </w:p>
    <w:p w14:paraId="522101F9" w14:textId="3A11B977" w:rsidR="001C42F7" w:rsidRPr="001500B5" w:rsidRDefault="001C42F7" w:rsidP="001C42F7">
      <w:pPr>
        <w:pStyle w:val="Textoindependiente"/>
        <w:spacing w:after="120" w:line="276" w:lineRule="auto"/>
        <w:ind w:left="102" w:right="49" w:firstLine="646"/>
        <w:jc w:val="both"/>
        <w:rPr>
          <w:sz w:val="22"/>
          <w:szCs w:val="22"/>
        </w:rPr>
      </w:pPr>
      <w:bookmarkStart w:id="6" w:name="_Hlk99548308"/>
      <w:bookmarkStart w:id="7" w:name="_Hlk101793225"/>
      <w:r w:rsidRPr="001500B5">
        <w:rPr>
          <w:sz w:val="22"/>
          <w:szCs w:val="22"/>
        </w:rPr>
        <w:t>No obstante, el RUP no es exigible en todos los procesos de selección. El segundo</w:t>
      </w:r>
      <w:r w:rsidRPr="001500B5">
        <w:rPr>
          <w:spacing w:val="1"/>
          <w:sz w:val="22"/>
          <w:szCs w:val="22"/>
        </w:rPr>
        <w:t xml:space="preserve"> </w:t>
      </w:r>
      <w:r w:rsidRPr="001500B5">
        <w:rPr>
          <w:sz w:val="22"/>
          <w:szCs w:val="22"/>
        </w:rPr>
        <w:t>inciso del artículo 6 de la Ley 1150 de 2007 señala los casos en los que no se requerirá el</w:t>
      </w:r>
      <w:r w:rsidRPr="001500B5">
        <w:rPr>
          <w:spacing w:val="1"/>
          <w:sz w:val="22"/>
          <w:szCs w:val="22"/>
        </w:rPr>
        <w:t xml:space="preserve"> </w:t>
      </w:r>
      <w:r w:rsidRPr="001500B5">
        <w:rPr>
          <w:sz w:val="22"/>
          <w:szCs w:val="22"/>
        </w:rPr>
        <w:t>RUP:</w:t>
      </w:r>
      <w:r w:rsidRPr="001500B5">
        <w:rPr>
          <w:spacing w:val="1"/>
          <w:sz w:val="22"/>
          <w:szCs w:val="22"/>
        </w:rPr>
        <w:t xml:space="preserve"> </w:t>
      </w:r>
      <w:r w:rsidRPr="001500B5">
        <w:rPr>
          <w:sz w:val="22"/>
          <w:szCs w:val="22"/>
        </w:rPr>
        <w:t>«[…]</w:t>
      </w:r>
      <w:r w:rsidRPr="001500B5">
        <w:rPr>
          <w:spacing w:val="1"/>
          <w:sz w:val="22"/>
          <w:szCs w:val="22"/>
        </w:rPr>
        <w:t xml:space="preserve"> </w:t>
      </w:r>
      <w:r w:rsidRPr="001500B5">
        <w:rPr>
          <w:sz w:val="22"/>
          <w:szCs w:val="22"/>
        </w:rPr>
        <w:t>casos</w:t>
      </w:r>
      <w:r w:rsidRPr="001500B5">
        <w:rPr>
          <w:spacing w:val="1"/>
          <w:sz w:val="22"/>
          <w:szCs w:val="22"/>
        </w:rPr>
        <w:t xml:space="preserve"> </w:t>
      </w:r>
      <w:r w:rsidRPr="001500B5">
        <w:rPr>
          <w:sz w:val="22"/>
          <w:szCs w:val="22"/>
        </w:rPr>
        <w:t>de</w:t>
      </w:r>
      <w:r w:rsidRPr="001500B5">
        <w:rPr>
          <w:spacing w:val="1"/>
          <w:sz w:val="22"/>
          <w:szCs w:val="22"/>
        </w:rPr>
        <w:t xml:space="preserve"> </w:t>
      </w:r>
      <w:r w:rsidRPr="001500B5">
        <w:rPr>
          <w:sz w:val="22"/>
          <w:szCs w:val="22"/>
        </w:rPr>
        <w:t>contratación</w:t>
      </w:r>
      <w:r w:rsidRPr="001500B5">
        <w:rPr>
          <w:spacing w:val="1"/>
          <w:sz w:val="22"/>
          <w:szCs w:val="22"/>
        </w:rPr>
        <w:t xml:space="preserve"> </w:t>
      </w:r>
      <w:r w:rsidRPr="001500B5">
        <w:rPr>
          <w:sz w:val="22"/>
          <w:szCs w:val="22"/>
        </w:rPr>
        <w:t>directa;</w:t>
      </w:r>
      <w:r w:rsidRPr="001500B5">
        <w:rPr>
          <w:spacing w:val="1"/>
          <w:sz w:val="22"/>
          <w:szCs w:val="22"/>
        </w:rPr>
        <w:t xml:space="preserve"> </w:t>
      </w:r>
      <w:r w:rsidRPr="001500B5">
        <w:rPr>
          <w:sz w:val="22"/>
          <w:szCs w:val="22"/>
        </w:rPr>
        <w:t>contratos</w:t>
      </w:r>
      <w:r w:rsidRPr="001500B5">
        <w:rPr>
          <w:spacing w:val="1"/>
          <w:sz w:val="22"/>
          <w:szCs w:val="22"/>
        </w:rPr>
        <w:t xml:space="preserve"> </w:t>
      </w:r>
      <w:r w:rsidRPr="001500B5">
        <w:rPr>
          <w:sz w:val="22"/>
          <w:szCs w:val="22"/>
        </w:rPr>
        <w:t>para</w:t>
      </w:r>
      <w:r w:rsidRPr="001500B5">
        <w:rPr>
          <w:spacing w:val="1"/>
          <w:sz w:val="22"/>
          <w:szCs w:val="22"/>
        </w:rPr>
        <w:t xml:space="preserve"> </w:t>
      </w:r>
      <w:r w:rsidRPr="001500B5">
        <w:rPr>
          <w:sz w:val="22"/>
          <w:szCs w:val="22"/>
        </w:rPr>
        <w:t>la</w:t>
      </w:r>
      <w:r w:rsidRPr="001500B5">
        <w:rPr>
          <w:spacing w:val="1"/>
          <w:sz w:val="22"/>
          <w:szCs w:val="22"/>
        </w:rPr>
        <w:t xml:space="preserve"> </w:t>
      </w:r>
      <w:r w:rsidRPr="001500B5">
        <w:rPr>
          <w:sz w:val="22"/>
          <w:szCs w:val="22"/>
        </w:rPr>
        <w:t xml:space="preserve">prestación de servicios de salud; </w:t>
      </w:r>
      <w:r w:rsidRPr="001500B5">
        <w:rPr>
          <w:iCs/>
          <w:sz w:val="22"/>
          <w:szCs w:val="22"/>
        </w:rPr>
        <w:t>contratos de mínima cuantía</w:t>
      </w:r>
      <w:r w:rsidRPr="001500B5">
        <w:rPr>
          <w:i/>
          <w:sz w:val="22"/>
          <w:szCs w:val="22"/>
          <w:u w:val="single"/>
        </w:rPr>
        <w:t>;</w:t>
      </w:r>
      <w:r w:rsidRPr="001500B5">
        <w:rPr>
          <w:i/>
          <w:sz w:val="22"/>
          <w:szCs w:val="22"/>
        </w:rPr>
        <w:t xml:space="preserve"> </w:t>
      </w:r>
      <w:r w:rsidRPr="001500B5">
        <w:rPr>
          <w:sz w:val="22"/>
          <w:szCs w:val="22"/>
        </w:rPr>
        <w:t>enajenación de bienes del</w:t>
      </w:r>
      <w:r w:rsidRPr="001500B5">
        <w:rPr>
          <w:spacing w:val="1"/>
          <w:sz w:val="22"/>
          <w:szCs w:val="22"/>
        </w:rPr>
        <w:t xml:space="preserve"> </w:t>
      </w:r>
      <w:r w:rsidRPr="001500B5">
        <w:rPr>
          <w:sz w:val="22"/>
          <w:szCs w:val="22"/>
        </w:rPr>
        <w:t>Estado; contratos que tengan por objeto la adquisición de productos de origen o destinación</w:t>
      </w:r>
      <w:r w:rsidRPr="001500B5">
        <w:rPr>
          <w:spacing w:val="1"/>
          <w:sz w:val="22"/>
          <w:szCs w:val="22"/>
        </w:rPr>
        <w:t xml:space="preserve"> </w:t>
      </w:r>
      <w:r w:rsidRPr="001500B5">
        <w:rPr>
          <w:sz w:val="22"/>
          <w:szCs w:val="22"/>
        </w:rPr>
        <w:t>agropecuaria que se ofrezcan en bolsas de productos legalmente constituidas; los actos y</w:t>
      </w:r>
      <w:r w:rsidRPr="001500B5">
        <w:rPr>
          <w:spacing w:val="1"/>
          <w:sz w:val="22"/>
          <w:szCs w:val="22"/>
        </w:rPr>
        <w:t xml:space="preserve"> </w:t>
      </w:r>
      <w:r w:rsidRPr="001500B5">
        <w:rPr>
          <w:sz w:val="22"/>
          <w:szCs w:val="22"/>
        </w:rPr>
        <w:t>contratos que tengan por objeto directo las actividades comerciales e industriales propias de</w:t>
      </w:r>
      <w:r w:rsidRPr="001500B5">
        <w:rPr>
          <w:spacing w:val="-59"/>
          <w:sz w:val="22"/>
          <w:szCs w:val="22"/>
        </w:rPr>
        <w:t xml:space="preserve"> </w:t>
      </w:r>
      <w:r w:rsidRPr="001500B5">
        <w:rPr>
          <w:sz w:val="22"/>
          <w:szCs w:val="22"/>
        </w:rPr>
        <w:t>las</w:t>
      </w:r>
      <w:r w:rsidRPr="001500B5">
        <w:rPr>
          <w:spacing w:val="-6"/>
          <w:sz w:val="22"/>
          <w:szCs w:val="22"/>
        </w:rPr>
        <w:t xml:space="preserve"> </w:t>
      </w:r>
      <w:r w:rsidRPr="001500B5">
        <w:rPr>
          <w:sz w:val="22"/>
          <w:szCs w:val="22"/>
        </w:rPr>
        <w:t>empresas</w:t>
      </w:r>
      <w:r w:rsidRPr="001500B5">
        <w:rPr>
          <w:spacing w:val="-6"/>
          <w:sz w:val="22"/>
          <w:szCs w:val="22"/>
        </w:rPr>
        <w:t xml:space="preserve"> </w:t>
      </w:r>
      <w:r w:rsidRPr="001500B5">
        <w:rPr>
          <w:sz w:val="22"/>
          <w:szCs w:val="22"/>
        </w:rPr>
        <w:t>industriales</w:t>
      </w:r>
      <w:r w:rsidRPr="001500B5">
        <w:rPr>
          <w:spacing w:val="-6"/>
          <w:sz w:val="22"/>
          <w:szCs w:val="22"/>
        </w:rPr>
        <w:t xml:space="preserve"> </w:t>
      </w:r>
      <w:r w:rsidRPr="001500B5">
        <w:rPr>
          <w:sz w:val="22"/>
          <w:szCs w:val="22"/>
        </w:rPr>
        <w:t>y</w:t>
      </w:r>
      <w:r w:rsidRPr="001500B5">
        <w:rPr>
          <w:spacing w:val="-5"/>
          <w:sz w:val="22"/>
          <w:szCs w:val="22"/>
        </w:rPr>
        <w:t xml:space="preserve"> </w:t>
      </w:r>
      <w:r w:rsidRPr="001500B5">
        <w:rPr>
          <w:sz w:val="22"/>
          <w:szCs w:val="22"/>
        </w:rPr>
        <w:t>comerciales</w:t>
      </w:r>
      <w:r w:rsidRPr="001500B5">
        <w:rPr>
          <w:spacing w:val="-6"/>
          <w:sz w:val="22"/>
          <w:szCs w:val="22"/>
        </w:rPr>
        <w:t xml:space="preserve"> </w:t>
      </w:r>
      <w:r w:rsidRPr="001500B5">
        <w:rPr>
          <w:sz w:val="22"/>
          <w:szCs w:val="22"/>
        </w:rPr>
        <w:t>del</w:t>
      </w:r>
      <w:r w:rsidRPr="001500B5">
        <w:rPr>
          <w:spacing w:val="-6"/>
          <w:sz w:val="22"/>
          <w:szCs w:val="22"/>
        </w:rPr>
        <w:t xml:space="preserve"> </w:t>
      </w:r>
      <w:r w:rsidRPr="001500B5">
        <w:rPr>
          <w:sz w:val="22"/>
          <w:szCs w:val="22"/>
        </w:rPr>
        <w:t>Estado</w:t>
      </w:r>
      <w:r w:rsidRPr="001500B5">
        <w:rPr>
          <w:spacing w:val="-4"/>
          <w:sz w:val="22"/>
          <w:szCs w:val="22"/>
        </w:rPr>
        <w:t xml:space="preserve"> </w:t>
      </w:r>
      <w:r w:rsidRPr="001500B5">
        <w:rPr>
          <w:sz w:val="22"/>
          <w:szCs w:val="22"/>
        </w:rPr>
        <w:t>y</w:t>
      </w:r>
      <w:r w:rsidRPr="001500B5">
        <w:rPr>
          <w:spacing w:val="-6"/>
          <w:sz w:val="22"/>
          <w:szCs w:val="22"/>
        </w:rPr>
        <w:t xml:space="preserve"> </w:t>
      </w:r>
      <w:r w:rsidRPr="001500B5">
        <w:rPr>
          <w:sz w:val="22"/>
          <w:szCs w:val="22"/>
        </w:rPr>
        <w:t>las</w:t>
      </w:r>
      <w:r w:rsidRPr="001500B5">
        <w:rPr>
          <w:spacing w:val="-6"/>
          <w:sz w:val="22"/>
          <w:szCs w:val="22"/>
        </w:rPr>
        <w:t xml:space="preserve"> </w:t>
      </w:r>
      <w:r w:rsidRPr="001500B5">
        <w:rPr>
          <w:sz w:val="22"/>
          <w:szCs w:val="22"/>
        </w:rPr>
        <w:t>sociedades</w:t>
      </w:r>
      <w:r w:rsidRPr="001500B5">
        <w:rPr>
          <w:spacing w:val="-6"/>
          <w:sz w:val="22"/>
          <w:szCs w:val="22"/>
        </w:rPr>
        <w:t xml:space="preserve"> </w:t>
      </w:r>
      <w:r w:rsidRPr="001500B5">
        <w:rPr>
          <w:sz w:val="22"/>
          <w:szCs w:val="22"/>
        </w:rPr>
        <w:t>de</w:t>
      </w:r>
      <w:r w:rsidRPr="001500B5">
        <w:rPr>
          <w:spacing w:val="-5"/>
          <w:sz w:val="22"/>
          <w:szCs w:val="22"/>
        </w:rPr>
        <w:t xml:space="preserve"> </w:t>
      </w:r>
      <w:r w:rsidRPr="001500B5">
        <w:rPr>
          <w:sz w:val="22"/>
          <w:szCs w:val="22"/>
        </w:rPr>
        <w:t>economía</w:t>
      </w:r>
      <w:r w:rsidRPr="001500B5">
        <w:rPr>
          <w:spacing w:val="-6"/>
          <w:sz w:val="22"/>
          <w:szCs w:val="22"/>
        </w:rPr>
        <w:t xml:space="preserve"> </w:t>
      </w:r>
      <w:r w:rsidRPr="001500B5">
        <w:rPr>
          <w:sz w:val="22"/>
          <w:szCs w:val="22"/>
        </w:rPr>
        <w:t>mixta</w:t>
      </w:r>
      <w:r w:rsidRPr="001500B5">
        <w:rPr>
          <w:spacing w:val="-6"/>
          <w:sz w:val="22"/>
          <w:szCs w:val="22"/>
        </w:rPr>
        <w:t xml:space="preserve"> </w:t>
      </w:r>
      <w:r w:rsidRPr="001500B5">
        <w:rPr>
          <w:sz w:val="22"/>
          <w:szCs w:val="22"/>
        </w:rPr>
        <w:t>y</w:t>
      </w:r>
      <w:r w:rsidRPr="001500B5">
        <w:rPr>
          <w:spacing w:val="-5"/>
          <w:sz w:val="22"/>
          <w:szCs w:val="22"/>
        </w:rPr>
        <w:t xml:space="preserve"> </w:t>
      </w:r>
      <w:r w:rsidRPr="001500B5">
        <w:rPr>
          <w:iCs/>
          <w:sz w:val="22"/>
          <w:szCs w:val="22"/>
        </w:rPr>
        <w:t xml:space="preserve">los </w:t>
      </w:r>
      <w:r w:rsidRPr="001500B5">
        <w:rPr>
          <w:iCs/>
          <w:spacing w:val="-1"/>
          <w:sz w:val="22"/>
          <w:szCs w:val="22"/>
        </w:rPr>
        <w:t>contratos de concesión de cualquier</w:t>
      </w:r>
      <w:r w:rsidRPr="001500B5">
        <w:rPr>
          <w:iCs/>
          <w:spacing w:val="-19"/>
          <w:sz w:val="22"/>
          <w:szCs w:val="22"/>
        </w:rPr>
        <w:t xml:space="preserve"> </w:t>
      </w:r>
      <w:r w:rsidRPr="001500B5">
        <w:rPr>
          <w:iCs/>
          <w:sz w:val="22"/>
          <w:szCs w:val="22"/>
        </w:rPr>
        <w:t>índole</w:t>
      </w:r>
      <w:r w:rsidRPr="001500B5">
        <w:rPr>
          <w:sz w:val="22"/>
          <w:szCs w:val="22"/>
        </w:rPr>
        <w:t>»</w:t>
      </w:r>
      <w:r w:rsidRPr="001500B5">
        <w:rPr>
          <w:spacing w:val="-1"/>
          <w:sz w:val="22"/>
          <w:szCs w:val="22"/>
        </w:rPr>
        <w:t xml:space="preserve"> </w:t>
      </w:r>
      <w:r w:rsidR="00E95AE0" w:rsidRPr="001500B5">
        <w:rPr>
          <w:spacing w:val="-1"/>
          <w:sz w:val="22"/>
          <w:szCs w:val="22"/>
        </w:rPr>
        <w:t>.</w:t>
      </w:r>
    </w:p>
    <w:p w14:paraId="57559D2D" w14:textId="77777777" w:rsidR="001C42F7" w:rsidRPr="001500B5" w:rsidRDefault="001C42F7" w:rsidP="001C42F7">
      <w:pPr>
        <w:pStyle w:val="Textoindependiente"/>
        <w:spacing w:after="120" w:line="276" w:lineRule="auto"/>
        <w:ind w:left="102" w:right="49" w:firstLine="646"/>
        <w:jc w:val="both"/>
        <w:rPr>
          <w:sz w:val="22"/>
          <w:szCs w:val="22"/>
        </w:rPr>
      </w:pPr>
      <w:r w:rsidRPr="001500B5">
        <w:rPr>
          <w:sz w:val="22"/>
          <w:szCs w:val="22"/>
        </w:rPr>
        <w:t>La norma dispone que, en estos eventos, las entidades contratantes tienen del deber</w:t>
      </w:r>
      <w:r w:rsidRPr="001500B5">
        <w:rPr>
          <w:spacing w:val="-6"/>
          <w:sz w:val="22"/>
          <w:szCs w:val="22"/>
        </w:rPr>
        <w:t xml:space="preserve"> </w:t>
      </w:r>
      <w:r w:rsidRPr="001500B5">
        <w:rPr>
          <w:sz w:val="22"/>
          <w:szCs w:val="22"/>
        </w:rPr>
        <w:t>de</w:t>
      </w:r>
      <w:r w:rsidRPr="001500B5">
        <w:rPr>
          <w:spacing w:val="-6"/>
          <w:sz w:val="22"/>
          <w:szCs w:val="22"/>
        </w:rPr>
        <w:t xml:space="preserve"> </w:t>
      </w:r>
      <w:r w:rsidRPr="001500B5">
        <w:rPr>
          <w:sz w:val="22"/>
          <w:szCs w:val="22"/>
        </w:rPr>
        <w:t>verificar</w:t>
      </w:r>
      <w:r w:rsidRPr="001500B5">
        <w:rPr>
          <w:spacing w:val="-6"/>
          <w:sz w:val="22"/>
          <w:szCs w:val="22"/>
        </w:rPr>
        <w:t xml:space="preserve"> </w:t>
      </w:r>
      <w:r w:rsidRPr="001500B5">
        <w:rPr>
          <w:sz w:val="22"/>
          <w:szCs w:val="22"/>
        </w:rPr>
        <w:t>el cumplimiento de los requisitos habilitantes</w:t>
      </w:r>
      <w:bookmarkEnd w:id="6"/>
      <w:r w:rsidRPr="001500B5">
        <w:rPr>
          <w:sz w:val="22"/>
          <w:szCs w:val="22"/>
        </w:rPr>
        <w:t xml:space="preserve"> o la Clasificación de Bienes y Servicios</w:t>
      </w:r>
      <w:r w:rsidRPr="001500B5">
        <w:rPr>
          <w:rStyle w:val="Refdenotaalpie"/>
          <w:sz w:val="22"/>
          <w:szCs w:val="22"/>
        </w:rPr>
        <w:footnoteReference w:id="6"/>
      </w:r>
      <w:r w:rsidRPr="001500B5">
        <w:rPr>
          <w:sz w:val="22"/>
          <w:szCs w:val="22"/>
        </w:rPr>
        <w:t>. Adicionalmente, el numeral 6.1. del artículo 6 de la Ley 1150 de 2007 establece que cuando sea necesario verificar requisitos o información que no reposa en RUP, la entidad podrá solicitar información adicional solo para complementar la información contenida en dicho Registro, y con el fin de verificar condiciones adicionales de experiencia del proponente. De esta forma, sólo en aquellos casos en los que por las</w:t>
      </w:r>
      <w:r w:rsidRPr="001500B5">
        <w:rPr>
          <w:spacing w:val="1"/>
          <w:sz w:val="22"/>
          <w:szCs w:val="22"/>
        </w:rPr>
        <w:t xml:space="preserve"> </w:t>
      </w:r>
      <w:r w:rsidRPr="001500B5">
        <w:rPr>
          <w:sz w:val="22"/>
          <w:szCs w:val="22"/>
        </w:rPr>
        <w:t>características</w:t>
      </w:r>
      <w:r w:rsidRPr="001500B5">
        <w:rPr>
          <w:spacing w:val="-3"/>
          <w:sz w:val="22"/>
          <w:szCs w:val="22"/>
        </w:rPr>
        <w:t xml:space="preserve"> </w:t>
      </w:r>
      <w:r w:rsidRPr="001500B5">
        <w:rPr>
          <w:sz w:val="22"/>
          <w:szCs w:val="22"/>
        </w:rPr>
        <w:t>del</w:t>
      </w:r>
      <w:r w:rsidRPr="001500B5">
        <w:rPr>
          <w:spacing w:val="-3"/>
          <w:sz w:val="22"/>
          <w:szCs w:val="22"/>
        </w:rPr>
        <w:t xml:space="preserve"> </w:t>
      </w:r>
      <w:r w:rsidRPr="001500B5">
        <w:rPr>
          <w:sz w:val="22"/>
          <w:szCs w:val="22"/>
        </w:rPr>
        <w:t>objeto</w:t>
      </w:r>
      <w:r w:rsidRPr="001500B5">
        <w:rPr>
          <w:spacing w:val="-3"/>
          <w:sz w:val="22"/>
          <w:szCs w:val="22"/>
        </w:rPr>
        <w:t xml:space="preserve"> </w:t>
      </w:r>
      <w:r w:rsidRPr="001500B5">
        <w:rPr>
          <w:sz w:val="22"/>
          <w:szCs w:val="22"/>
        </w:rPr>
        <w:t>a</w:t>
      </w:r>
      <w:r w:rsidRPr="001500B5">
        <w:rPr>
          <w:spacing w:val="-2"/>
          <w:sz w:val="22"/>
          <w:szCs w:val="22"/>
        </w:rPr>
        <w:t xml:space="preserve"> </w:t>
      </w:r>
      <w:r w:rsidRPr="001500B5">
        <w:rPr>
          <w:sz w:val="22"/>
          <w:szCs w:val="22"/>
        </w:rPr>
        <w:t>contratar</w:t>
      </w:r>
      <w:r w:rsidRPr="001500B5">
        <w:rPr>
          <w:spacing w:val="-3"/>
          <w:sz w:val="22"/>
          <w:szCs w:val="22"/>
        </w:rPr>
        <w:t xml:space="preserve"> </w:t>
      </w:r>
      <w:r w:rsidRPr="001500B5">
        <w:rPr>
          <w:sz w:val="22"/>
          <w:szCs w:val="22"/>
        </w:rPr>
        <w:t>se</w:t>
      </w:r>
      <w:r w:rsidRPr="001500B5">
        <w:rPr>
          <w:spacing w:val="-3"/>
          <w:sz w:val="22"/>
          <w:szCs w:val="22"/>
        </w:rPr>
        <w:t xml:space="preserve"> </w:t>
      </w:r>
      <w:r w:rsidRPr="001500B5">
        <w:rPr>
          <w:sz w:val="22"/>
          <w:szCs w:val="22"/>
        </w:rPr>
        <w:t>requiera</w:t>
      </w:r>
      <w:r w:rsidRPr="001500B5">
        <w:rPr>
          <w:spacing w:val="-2"/>
          <w:sz w:val="22"/>
          <w:szCs w:val="22"/>
        </w:rPr>
        <w:t xml:space="preserve"> </w:t>
      </w:r>
      <w:r w:rsidRPr="001500B5">
        <w:rPr>
          <w:sz w:val="22"/>
          <w:szCs w:val="22"/>
        </w:rPr>
        <w:t>la</w:t>
      </w:r>
      <w:r w:rsidRPr="001500B5">
        <w:rPr>
          <w:spacing w:val="-3"/>
          <w:sz w:val="22"/>
          <w:szCs w:val="22"/>
        </w:rPr>
        <w:t xml:space="preserve"> </w:t>
      </w:r>
      <w:r w:rsidRPr="001500B5">
        <w:rPr>
          <w:sz w:val="22"/>
          <w:szCs w:val="22"/>
        </w:rPr>
        <w:t>verificación</w:t>
      </w:r>
      <w:r w:rsidRPr="001500B5">
        <w:rPr>
          <w:spacing w:val="-3"/>
          <w:sz w:val="22"/>
          <w:szCs w:val="22"/>
        </w:rPr>
        <w:t xml:space="preserve"> </w:t>
      </w:r>
      <w:r w:rsidRPr="001500B5">
        <w:rPr>
          <w:sz w:val="22"/>
          <w:szCs w:val="22"/>
        </w:rPr>
        <w:t>de</w:t>
      </w:r>
      <w:r w:rsidRPr="001500B5">
        <w:rPr>
          <w:spacing w:val="-2"/>
          <w:sz w:val="22"/>
          <w:szCs w:val="22"/>
        </w:rPr>
        <w:t xml:space="preserve"> </w:t>
      </w:r>
      <w:r w:rsidRPr="001500B5">
        <w:rPr>
          <w:sz w:val="22"/>
          <w:szCs w:val="22"/>
        </w:rPr>
        <w:t>requisitos</w:t>
      </w:r>
      <w:r w:rsidRPr="001500B5">
        <w:rPr>
          <w:spacing w:val="-3"/>
          <w:sz w:val="22"/>
          <w:szCs w:val="22"/>
        </w:rPr>
        <w:t xml:space="preserve"> </w:t>
      </w:r>
      <w:r w:rsidRPr="001500B5">
        <w:rPr>
          <w:sz w:val="22"/>
          <w:szCs w:val="22"/>
        </w:rPr>
        <w:t>del</w:t>
      </w:r>
      <w:r w:rsidRPr="001500B5">
        <w:rPr>
          <w:spacing w:val="-3"/>
          <w:sz w:val="22"/>
          <w:szCs w:val="22"/>
        </w:rPr>
        <w:t xml:space="preserve"> </w:t>
      </w:r>
      <w:r w:rsidRPr="001500B5">
        <w:rPr>
          <w:sz w:val="22"/>
          <w:szCs w:val="22"/>
        </w:rPr>
        <w:t xml:space="preserve">proponente adicionales a los contenidos en el RUP, la entidad podrá hacer tal verificación </w:t>
      </w:r>
      <w:r w:rsidRPr="001500B5">
        <w:rPr>
          <w:sz w:val="22"/>
          <w:szCs w:val="22"/>
        </w:rPr>
        <w:lastRenderedPageBreak/>
        <w:t>en forma</w:t>
      </w:r>
      <w:r w:rsidRPr="001500B5">
        <w:rPr>
          <w:spacing w:val="1"/>
          <w:sz w:val="22"/>
          <w:szCs w:val="22"/>
        </w:rPr>
        <w:t xml:space="preserve"> </w:t>
      </w:r>
      <w:r w:rsidRPr="001500B5">
        <w:rPr>
          <w:sz w:val="22"/>
          <w:szCs w:val="22"/>
        </w:rPr>
        <w:t>directa</w:t>
      </w:r>
      <w:r w:rsidRPr="001500B5">
        <w:rPr>
          <w:spacing w:val="-2"/>
          <w:sz w:val="22"/>
          <w:szCs w:val="22"/>
        </w:rPr>
        <w:t xml:space="preserve"> </w:t>
      </w:r>
      <w:r w:rsidRPr="001500B5">
        <w:rPr>
          <w:sz w:val="22"/>
          <w:szCs w:val="22"/>
        </w:rPr>
        <w:t>y</w:t>
      </w:r>
      <w:r w:rsidRPr="001500B5">
        <w:rPr>
          <w:spacing w:val="-1"/>
          <w:sz w:val="22"/>
          <w:szCs w:val="22"/>
        </w:rPr>
        <w:t xml:space="preserve"> </w:t>
      </w:r>
      <w:r w:rsidRPr="001500B5">
        <w:rPr>
          <w:sz w:val="22"/>
          <w:szCs w:val="22"/>
        </w:rPr>
        <w:t>solicitar</w:t>
      </w:r>
      <w:r w:rsidRPr="001500B5">
        <w:rPr>
          <w:spacing w:val="-2"/>
          <w:sz w:val="22"/>
          <w:szCs w:val="22"/>
        </w:rPr>
        <w:t xml:space="preserve"> </w:t>
      </w:r>
      <w:r w:rsidRPr="001500B5">
        <w:rPr>
          <w:sz w:val="22"/>
          <w:szCs w:val="22"/>
        </w:rPr>
        <w:t>documentos</w:t>
      </w:r>
      <w:r w:rsidRPr="001500B5">
        <w:rPr>
          <w:spacing w:val="-1"/>
          <w:sz w:val="22"/>
          <w:szCs w:val="22"/>
        </w:rPr>
        <w:t xml:space="preserve"> </w:t>
      </w:r>
      <w:r w:rsidRPr="001500B5">
        <w:rPr>
          <w:sz w:val="22"/>
          <w:szCs w:val="22"/>
        </w:rPr>
        <w:t>diferentes</w:t>
      </w:r>
      <w:r w:rsidRPr="001500B5">
        <w:rPr>
          <w:spacing w:val="-1"/>
          <w:sz w:val="22"/>
          <w:szCs w:val="22"/>
        </w:rPr>
        <w:t xml:space="preserve"> </w:t>
      </w:r>
      <w:r w:rsidRPr="001500B5">
        <w:rPr>
          <w:sz w:val="22"/>
          <w:szCs w:val="22"/>
        </w:rPr>
        <w:t>al</w:t>
      </w:r>
      <w:r w:rsidRPr="001500B5">
        <w:rPr>
          <w:spacing w:val="-2"/>
          <w:sz w:val="22"/>
          <w:szCs w:val="22"/>
        </w:rPr>
        <w:t xml:space="preserve"> </w:t>
      </w:r>
      <w:r w:rsidRPr="001500B5">
        <w:rPr>
          <w:sz w:val="22"/>
          <w:szCs w:val="22"/>
        </w:rPr>
        <w:t>mismo</w:t>
      </w:r>
      <w:bookmarkEnd w:id="7"/>
      <w:r w:rsidRPr="001500B5">
        <w:rPr>
          <w:rStyle w:val="Refdenotaalpie"/>
          <w:sz w:val="22"/>
          <w:szCs w:val="22"/>
        </w:rPr>
        <w:footnoteReference w:id="7"/>
      </w:r>
      <w:r w:rsidRPr="001500B5">
        <w:rPr>
          <w:sz w:val="22"/>
          <w:szCs w:val="22"/>
        </w:rPr>
        <w:t>.</w:t>
      </w:r>
    </w:p>
    <w:p w14:paraId="0A7B9A86" w14:textId="77777777" w:rsidR="001C42F7" w:rsidRPr="00363ED4" w:rsidRDefault="001C42F7" w:rsidP="001C42F7">
      <w:pPr>
        <w:spacing w:before="120" w:after="120" w:line="276" w:lineRule="auto"/>
        <w:ind w:firstLine="708"/>
        <w:jc w:val="both"/>
        <w:rPr>
          <w:rFonts w:ascii="Arial" w:hAnsi="Arial" w:cs="Arial"/>
          <w:color w:val="000000" w:themeColor="text1"/>
          <w:sz w:val="22"/>
        </w:rPr>
      </w:pPr>
      <w:r w:rsidRPr="00363ED4">
        <w:rPr>
          <w:rFonts w:ascii="Arial" w:hAnsi="Arial" w:cs="Arial"/>
          <w:color w:val="000000" w:themeColor="text1"/>
          <w:sz w:val="22"/>
        </w:rPr>
        <w:t>Así las cosas, 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ratificado por el Consejo de Estado cuando enumeró las excepciones en las cuales las entidades tienen la obligación de verificar los requisitos habilitantes de los proponentes</w:t>
      </w:r>
      <w:r w:rsidRPr="00363ED4">
        <w:rPr>
          <w:rStyle w:val="Refdenotaalpie"/>
          <w:rFonts w:ascii="Arial" w:hAnsi="Arial" w:cs="Arial"/>
          <w:color w:val="000000" w:themeColor="text1"/>
          <w:sz w:val="22"/>
        </w:rPr>
        <w:footnoteReference w:id="8"/>
      </w:r>
      <w:r w:rsidRPr="00363ED4">
        <w:rPr>
          <w:rFonts w:ascii="Arial" w:hAnsi="Arial" w:cs="Arial"/>
          <w:color w:val="000000" w:themeColor="text1"/>
          <w:sz w:val="22"/>
        </w:rPr>
        <w:t xml:space="preserve">.  </w:t>
      </w:r>
    </w:p>
    <w:p w14:paraId="42E3AB9F" w14:textId="77777777" w:rsidR="001C42F7" w:rsidRPr="00363ED4" w:rsidRDefault="001C42F7" w:rsidP="001C42F7">
      <w:pPr>
        <w:spacing w:before="120" w:after="120" w:line="276" w:lineRule="auto"/>
        <w:ind w:firstLine="708"/>
        <w:jc w:val="both"/>
        <w:rPr>
          <w:rFonts w:ascii="Arial" w:hAnsi="Arial" w:cs="Arial"/>
          <w:color w:val="000000" w:themeColor="text1"/>
          <w:sz w:val="22"/>
        </w:rPr>
      </w:pPr>
      <w:r w:rsidRPr="00363ED4">
        <w:rPr>
          <w:rFonts w:ascii="Arial" w:hAnsi="Arial" w:cs="Arial"/>
          <w:color w:val="000000" w:themeColor="text1"/>
          <w:sz w:val="22"/>
        </w:rPr>
        <w:t>Ahora bien, el inciso 1 del artículo 6 de la Ley 1150 de 2007</w:t>
      </w:r>
      <w:r w:rsidRPr="00363ED4">
        <w:rPr>
          <w:rStyle w:val="Refdenotaalpie"/>
          <w:rFonts w:ascii="Arial" w:hAnsi="Arial" w:cs="Arial"/>
          <w:color w:val="000000" w:themeColor="text1"/>
          <w:sz w:val="22"/>
        </w:rPr>
        <w:footnoteReference w:id="9"/>
      </w:r>
      <w:r w:rsidRPr="00363ED4">
        <w:rPr>
          <w:rFonts w:ascii="Arial" w:hAnsi="Arial" w:cs="Arial"/>
          <w:color w:val="000000" w:themeColor="text1"/>
          <w:sz w:val="22"/>
        </w:rPr>
        <w:t>, que regula los sujetos que deben inscribirse en el RUP, señaló que deben hacerlo las personas, naturales o jurídicas, nacionales o extranjeras que tengan domicilio o sucursal en el país. Estas personas tienen la obligación de registrarse en el RUP, en dos casos: a) pretendan celebrar contratos estatales y b) el procedimiento de contratación sea de aquellos en los cuales no se exceptúa el RUP, de acuerdo con el inciso 2 del artículo 6 de la Ley 1150 de 2007</w:t>
      </w:r>
      <w:r w:rsidRPr="00363ED4">
        <w:rPr>
          <w:rStyle w:val="Refdenotaalpie"/>
          <w:rFonts w:ascii="Arial" w:hAnsi="Arial" w:cs="Arial"/>
          <w:color w:val="000000" w:themeColor="text1"/>
          <w:sz w:val="22"/>
        </w:rPr>
        <w:footnoteReference w:id="10"/>
      </w:r>
      <w:r w:rsidRPr="00363ED4">
        <w:rPr>
          <w:rFonts w:ascii="Arial" w:hAnsi="Arial" w:cs="Arial"/>
          <w:color w:val="000000" w:themeColor="text1"/>
          <w:sz w:val="22"/>
        </w:rPr>
        <w:t>. 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333BBB4B" w14:textId="51F794A3" w:rsidR="001C42F7" w:rsidRPr="00363ED4" w:rsidRDefault="001C42F7" w:rsidP="001C42F7">
      <w:pPr>
        <w:spacing w:before="120" w:after="120" w:line="276" w:lineRule="auto"/>
        <w:ind w:firstLine="708"/>
        <w:jc w:val="both"/>
        <w:rPr>
          <w:rFonts w:ascii="Arial" w:hAnsi="Arial" w:cs="Arial"/>
          <w:color w:val="000000" w:themeColor="text1"/>
          <w:sz w:val="22"/>
        </w:rPr>
      </w:pPr>
      <w:r w:rsidRPr="00363ED4">
        <w:rPr>
          <w:rFonts w:ascii="Arial" w:hAnsi="Arial" w:cs="Arial"/>
          <w:color w:val="000000" w:themeColor="text1"/>
          <w:sz w:val="22"/>
        </w:rPr>
        <w:t xml:space="preserve">En el mismo sentido, el Decreto 1082 de 2015 dispone quiénes deben inscribirse en el RUP, el momento de la renovación del registro, la información que puede actualizarse, y </w:t>
      </w:r>
      <w:r w:rsidRPr="00363ED4">
        <w:rPr>
          <w:rFonts w:ascii="Arial" w:hAnsi="Arial" w:cs="Arial"/>
          <w:color w:val="000000" w:themeColor="text1"/>
          <w:sz w:val="22"/>
        </w:rPr>
        <w:lastRenderedPageBreak/>
        <w:t>la posibilidad de solicitar la cancelación de la inscripción, en cualquier momento ante la Cámara de Comercio correspondiente</w:t>
      </w:r>
      <w:r w:rsidRPr="00363ED4">
        <w:rPr>
          <w:rStyle w:val="Refdenotaalpie"/>
          <w:rFonts w:ascii="Arial" w:hAnsi="Arial" w:cs="Arial"/>
          <w:color w:val="000000" w:themeColor="text1"/>
          <w:sz w:val="22"/>
        </w:rPr>
        <w:footnoteReference w:id="11"/>
      </w:r>
      <w:r w:rsidRPr="00363ED4">
        <w:rPr>
          <w:rFonts w:ascii="Arial" w:hAnsi="Arial" w:cs="Arial"/>
          <w:color w:val="000000" w:themeColor="text1"/>
          <w:sz w:val="22"/>
        </w:rPr>
        <w:t xml:space="preserve">. </w:t>
      </w:r>
    </w:p>
    <w:p w14:paraId="158CFF7F" w14:textId="77777777" w:rsidR="001C42F7" w:rsidRPr="00363ED4" w:rsidRDefault="001C42F7" w:rsidP="001C42F7">
      <w:pPr>
        <w:spacing w:line="276" w:lineRule="auto"/>
        <w:ind w:firstLine="708"/>
        <w:contextualSpacing/>
        <w:jc w:val="both"/>
        <w:rPr>
          <w:rFonts w:ascii="Arial" w:hAnsi="Arial" w:cs="Arial"/>
          <w:color w:val="000000" w:themeColor="text1"/>
          <w:sz w:val="22"/>
        </w:rPr>
      </w:pPr>
      <w:r w:rsidRPr="00363ED4">
        <w:rPr>
          <w:rFonts w:ascii="Arial" w:eastAsia="Calibri" w:hAnsi="Arial" w:cs="Arial"/>
          <w:sz w:val="22"/>
        </w:rPr>
        <w:t xml:space="preserve">Conforme a lo anterior, el RUP constituye </w:t>
      </w:r>
      <w:r w:rsidRPr="00363ED4">
        <w:rPr>
          <w:rFonts w:ascii="Arial" w:hAnsi="Arial" w:cs="Arial"/>
          <w:sz w:val="22"/>
        </w:rPr>
        <w:t xml:space="preserve">plena prueba de las circunstancias que consten en él y que hayan sido verificadas por las Cámaras de Comercio, por lo cual es a través de este documento, en los casos en que es exigible, que las entidades estatales deben verificar las condiciones establecidas en el numeral 1 del artículo 5 de la Ley 1150 de 2007. </w:t>
      </w:r>
      <w:r w:rsidRPr="00363ED4">
        <w:rPr>
          <w:rFonts w:ascii="Arial" w:hAnsi="Arial" w:cs="Arial"/>
          <w:color w:val="000000" w:themeColor="text1"/>
          <w:sz w:val="22"/>
        </w:rPr>
        <w:t xml:space="preserve">En contraste, </w:t>
      </w:r>
      <w:r w:rsidRPr="00363ED4">
        <w:rPr>
          <w:rFonts w:ascii="Arial" w:eastAsia="Calibri" w:hAnsi="Arial" w:cs="Arial"/>
          <w:sz w:val="22"/>
        </w:rPr>
        <w:t>cuando por las características del objeto a contratar y con la finalidad de acreditar los aspectos necesarios para la escogencia del proponente, se requieran verificar requisitos o información adicional a los contenidos en el RUP, las entidades deben hacer la verificación de forma directa. Esto también sucede en los procedimientos de selección en los cuales no es exigible el RUP, de acuerdo con lo establecido en el inciso segundo del artículo 6 de la Ley 1150 de 2007</w:t>
      </w:r>
      <w:r w:rsidRPr="00363ED4">
        <w:rPr>
          <w:rStyle w:val="Refdenotaalpie"/>
          <w:rFonts w:ascii="Arial" w:eastAsia="Calibri" w:hAnsi="Arial" w:cs="Arial"/>
          <w:sz w:val="22"/>
        </w:rPr>
        <w:footnoteReference w:id="12"/>
      </w:r>
      <w:r w:rsidRPr="00363ED4">
        <w:rPr>
          <w:rFonts w:ascii="Arial" w:eastAsia="Calibri" w:hAnsi="Arial" w:cs="Arial"/>
          <w:sz w:val="22"/>
        </w:rPr>
        <w:t xml:space="preserve">. En ambos supuestos, la entidad estatal, en el marco de la autonomía y la potestad de dirección que le asiste en los procesos de contratación que adelanta debe establecer en los Documentos del Proceso –particularmente en el pliego de condiciones o la invitación– los documentos o instrumentos que exigirá a los proponentes para acreditar las circunstancias necesarias. </w:t>
      </w:r>
    </w:p>
    <w:p w14:paraId="5D32570B" w14:textId="77777777" w:rsidR="001C42F7" w:rsidRPr="00363ED4" w:rsidRDefault="001C42F7" w:rsidP="001C42F7">
      <w:pPr>
        <w:spacing w:line="276" w:lineRule="auto"/>
        <w:contextualSpacing/>
        <w:jc w:val="both"/>
        <w:rPr>
          <w:rFonts w:ascii="Arial" w:eastAsia="Calibri" w:hAnsi="Arial" w:cs="Arial"/>
          <w:sz w:val="22"/>
        </w:rPr>
      </w:pPr>
    </w:p>
    <w:p w14:paraId="6F422BC4" w14:textId="256EDFC8" w:rsidR="001C42F7" w:rsidRPr="001500B5" w:rsidRDefault="001C42F7" w:rsidP="001C42F7">
      <w:pPr>
        <w:pStyle w:val="Textoindependiente"/>
        <w:spacing w:line="276" w:lineRule="auto"/>
        <w:ind w:right="104"/>
        <w:contextualSpacing/>
        <w:jc w:val="both"/>
        <w:rPr>
          <w:rFonts w:eastAsia="Times New Roman"/>
          <w:b/>
          <w:bCs/>
          <w:sz w:val="22"/>
          <w:szCs w:val="22"/>
          <w:bdr w:val="none" w:sz="0" w:space="0" w:color="auto" w:frame="1"/>
          <w:lang w:eastAsia="es-ES_tradnl"/>
        </w:rPr>
      </w:pPr>
      <w:r w:rsidRPr="001500B5">
        <w:rPr>
          <w:rFonts w:eastAsia="Times New Roman"/>
          <w:b/>
          <w:bCs/>
          <w:sz w:val="22"/>
          <w:szCs w:val="22"/>
          <w:bdr w:val="none" w:sz="0" w:space="0" w:color="auto" w:frame="1"/>
          <w:lang w:eastAsia="es-ES_tradnl"/>
        </w:rPr>
        <w:t xml:space="preserve">2.2. Incorporación normativa </w:t>
      </w:r>
      <w:r w:rsidR="00971E12">
        <w:rPr>
          <w:rFonts w:eastAsia="Times New Roman"/>
          <w:b/>
          <w:bCs/>
          <w:sz w:val="22"/>
          <w:szCs w:val="22"/>
          <w:bdr w:val="none" w:sz="0" w:space="0" w:color="auto" w:frame="1"/>
          <w:lang w:eastAsia="es-ES_tradnl"/>
        </w:rPr>
        <w:t xml:space="preserve">y uso </w:t>
      </w:r>
      <w:r w:rsidRPr="001500B5">
        <w:rPr>
          <w:rFonts w:eastAsia="Times New Roman"/>
          <w:b/>
          <w:bCs/>
          <w:sz w:val="22"/>
          <w:szCs w:val="22"/>
          <w:bdr w:val="none" w:sz="0" w:space="0" w:color="auto" w:frame="1"/>
          <w:lang w:eastAsia="es-ES_tradnl"/>
        </w:rPr>
        <w:t>del Clasificador de Bienes y Servicios de las Naciones Unidas en la contratación pública</w:t>
      </w:r>
    </w:p>
    <w:p w14:paraId="5895F82F" w14:textId="77777777" w:rsidR="001C42F7" w:rsidRPr="001500B5" w:rsidRDefault="001C42F7" w:rsidP="001C42F7">
      <w:pPr>
        <w:pStyle w:val="Textoindependiente"/>
        <w:spacing w:line="276" w:lineRule="auto"/>
        <w:ind w:left="100" w:right="104"/>
        <w:contextualSpacing/>
        <w:jc w:val="both"/>
        <w:rPr>
          <w:color w:val="FF0000"/>
          <w:sz w:val="22"/>
          <w:szCs w:val="22"/>
        </w:rPr>
      </w:pPr>
    </w:p>
    <w:p w14:paraId="0C5F1831" w14:textId="77777777" w:rsidR="001C42F7" w:rsidRPr="001500B5" w:rsidRDefault="001C42F7" w:rsidP="001C42F7">
      <w:pPr>
        <w:pStyle w:val="Textoindependiente"/>
        <w:spacing w:after="120" w:line="276" w:lineRule="auto"/>
        <w:ind w:right="102"/>
        <w:jc w:val="both"/>
        <w:rPr>
          <w:sz w:val="22"/>
          <w:szCs w:val="22"/>
        </w:rPr>
      </w:pPr>
      <w:r w:rsidRPr="001500B5">
        <w:rPr>
          <w:sz w:val="22"/>
          <w:szCs w:val="22"/>
        </w:rPr>
        <w:t xml:space="preserve">Como se mencionó en el numeral anterior, </w:t>
      </w:r>
      <w:bookmarkStart w:id="8" w:name="_Hlk101793419"/>
      <w:r w:rsidRPr="001500B5">
        <w:rPr>
          <w:sz w:val="22"/>
          <w:szCs w:val="22"/>
        </w:rPr>
        <w:t>las normas de contratación estatal establecen que las personas naturales o jurídicas nacionales o extranjeras que deseen celebrar contratos estatales deberán estar inscritos en el RUP</w:t>
      </w:r>
      <w:r w:rsidRPr="001500B5">
        <w:rPr>
          <w:rStyle w:val="Refdenotaalpie"/>
          <w:sz w:val="22"/>
          <w:szCs w:val="22"/>
        </w:rPr>
        <w:footnoteReference w:id="13"/>
      </w:r>
      <w:r w:rsidRPr="001500B5">
        <w:rPr>
          <w:sz w:val="22"/>
          <w:szCs w:val="22"/>
        </w:rPr>
        <w:t xml:space="preserve">. De acuerdo con esto, el artículo 6 </w:t>
      </w:r>
      <w:r w:rsidRPr="001500B5">
        <w:rPr>
          <w:sz w:val="22"/>
          <w:szCs w:val="22"/>
        </w:rPr>
        <w:lastRenderedPageBreak/>
        <w:t>de la Ley 1150 de 2007, al determinar la información contenida en el RUP, dispone que en el registro constará la información relacionada con la experiencia, capacidad jurídica, financiera y de organización del proponente, así como su clasificación</w:t>
      </w:r>
      <w:r w:rsidRPr="001500B5">
        <w:rPr>
          <w:rStyle w:val="Refdenotaalpie"/>
          <w:sz w:val="22"/>
          <w:szCs w:val="22"/>
        </w:rPr>
        <w:footnoteReference w:id="14"/>
      </w:r>
      <w:r w:rsidRPr="001500B5">
        <w:rPr>
          <w:sz w:val="22"/>
          <w:szCs w:val="22"/>
        </w:rPr>
        <w:t>.</w:t>
      </w:r>
    </w:p>
    <w:p w14:paraId="372FBF9B" w14:textId="77777777" w:rsidR="001C42F7" w:rsidRPr="001500B5" w:rsidRDefault="001C42F7" w:rsidP="00616A94">
      <w:pPr>
        <w:pStyle w:val="Textoindependiente"/>
        <w:spacing w:after="120" w:line="276" w:lineRule="auto"/>
        <w:ind w:right="102"/>
        <w:jc w:val="both"/>
        <w:rPr>
          <w:sz w:val="22"/>
          <w:szCs w:val="22"/>
        </w:rPr>
      </w:pPr>
      <w:r w:rsidRPr="001500B5">
        <w:rPr>
          <w:color w:val="FF0000"/>
          <w:sz w:val="22"/>
          <w:szCs w:val="22"/>
        </w:rPr>
        <w:tab/>
      </w:r>
      <w:r w:rsidRPr="001500B5">
        <w:rPr>
          <w:sz w:val="22"/>
          <w:szCs w:val="22"/>
        </w:rPr>
        <w:t xml:space="preserve">La clasificación tiene que ver con los bienes y servicios con los que se relaciona la 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Decreto 1082 de 2015, al reglamentar la contratación pública, el RUP y la clasificación de la experiencia, implementó el Clasificador de Bienes y Servicios de las Naciones Unidas –UNSPSC–, lo cual se refleja en diferentes partes de su articulado. </w:t>
      </w:r>
    </w:p>
    <w:p w14:paraId="3DD672CD" w14:textId="77777777" w:rsidR="001C42F7" w:rsidRPr="0087359A" w:rsidRDefault="001C42F7" w:rsidP="001C42F7">
      <w:pPr>
        <w:shd w:val="clear" w:color="auto" w:fill="FFFFFF"/>
        <w:spacing w:after="120" w:line="276" w:lineRule="auto"/>
        <w:ind w:firstLine="709"/>
        <w:jc w:val="both"/>
        <w:textAlignment w:val="baseline"/>
        <w:rPr>
          <w:rFonts w:ascii="Arial" w:hAnsi="Arial" w:cs="Arial"/>
          <w:sz w:val="22"/>
          <w:szCs w:val="22"/>
          <w:bdr w:val="none" w:sz="0" w:space="0" w:color="auto" w:frame="1"/>
          <w:lang w:eastAsia="es-CO"/>
        </w:rPr>
      </w:pPr>
      <w:bookmarkStart w:id="9" w:name="_Hlk101793468"/>
      <w:bookmarkEnd w:id="8"/>
      <w:r w:rsidRPr="0087359A">
        <w:rPr>
          <w:rFonts w:ascii="Arial" w:hAnsi="Arial" w:cs="Arial"/>
          <w:sz w:val="22"/>
          <w:szCs w:val="22"/>
          <w:bdr w:val="none" w:sz="0" w:space="0" w:color="auto" w:frame="1"/>
          <w:lang w:eastAsia="es-CO"/>
        </w:rPr>
        <w:t>El 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 establece que «</w:t>
      </w:r>
      <w:proofErr w:type="spellStart"/>
      <w:r w:rsidRPr="0087359A">
        <w:rPr>
          <w:rFonts w:ascii="Arial" w:hAnsi="Arial" w:cs="Arial"/>
          <w:sz w:val="22"/>
          <w:szCs w:val="22"/>
          <w:bdr w:val="none" w:sz="0" w:space="0" w:color="auto" w:frame="1"/>
          <w:lang w:eastAsia="es-CO"/>
        </w:rPr>
        <w:t>The</w:t>
      </w:r>
      <w:proofErr w:type="spellEnd"/>
      <w:r w:rsidRPr="0087359A">
        <w:rPr>
          <w:rFonts w:ascii="Arial" w:hAnsi="Arial" w:cs="Arial"/>
          <w:sz w:val="22"/>
          <w:szCs w:val="22"/>
          <w:bdr w:val="none" w:sz="0" w:space="0" w:color="auto" w:frame="1"/>
          <w:lang w:eastAsia="es-CO"/>
        </w:rPr>
        <w:t xml:space="preserve"> </w:t>
      </w:r>
      <w:proofErr w:type="spellStart"/>
      <w:r w:rsidRPr="0087359A">
        <w:rPr>
          <w:rFonts w:ascii="Arial" w:hAnsi="Arial" w:cs="Arial"/>
          <w:sz w:val="22"/>
          <w:szCs w:val="22"/>
          <w:bdr w:val="none" w:sz="0" w:space="0" w:color="auto" w:frame="1"/>
          <w:lang w:eastAsia="es-CO"/>
        </w:rPr>
        <w:t>United</w:t>
      </w:r>
      <w:proofErr w:type="spellEnd"/>
      <w:r w:rsidRPr="0087359A">
        <w:rPr>
          <w:rFonts w:ascii="Arial" w:hAnsi="Arial" w:cs="Arial"/>
          <w:sz w:val="22"/>
          <w:szCs w:val="22"/>
          <w:bdr w:val="none" w:sz="0" w:space="0" w:color="auto" w:frame="1"/>
          <w:lang w:eastAsia="es-CO"/>
        </w:rPr>
        <w:t xml:space="preserve"> </w:t>
      </w:r>
      <w:proofErr w:type="spellStart"/>
      <w:r w:rsidRPr="0087359A">
        <w:rPr>
          <w:rFonts w:ascii="Arial" w:hAnsi="Arial" w:cs="Arial"/>
          <w:sz w:val="22"/>
          <w:szCs w:val="22"/>
          <w:bdr w:val="none" w:sz="0" w:space="0" w:color="auto" w:frame="1"/>
          <w:lang w:eastAsia="es-CO"/>
        </w:rPr>
        <w:t>Nations</w:t>
      </w:r>
      <w:proofErr w:type="spellEnd"/>
      <w:r w:rsidRPr="0087359A">
        <w:rPr>
          <w:rFonts w:ascii="Arial" w:hAnsi="Arial" w:cs="Arial"/>
          <w:sz w:val="22"/>
          <w:szCs w:val="22"/>
          <w:bdr w:val="none" w:sz="0" w:space="0" w:color="auto" w:frame="1"/>
          <w:lang w:eastAsia="es-CO"/>
        </w:rPr>
        <w:t xml:space="preserve"> Standard </w:t>
      </w:r>
      <w:proofErr w:type="spellStart"/>
      <w:r w:rsidRPr="0087359A">
        <w:rPr>
          <w:rFonts w:ascii="Arial" w:hAnsi="Arial" w:cs="Arial"/>
          <w:sz w:val="22"/>
          <w:szCs w:val="22"/>
          <w:bdr w:val="none" w:sz="0" w:space="0" w:color="auto" w:frame="1"/>
          <w:lang w:eastAsia="es-CO"/>
        </w:rPr>
        <w:t>Products</w:t>
      </w:r>
      <w:proofErr w:type="spellEnd"/>
      <w:r w:rsidRPr="0087359A">
        <w:rPr>
          <w:rFonts w:ascii="Arial" w:hAnsi="Arial" w:cs="Arial"/>
          <w:sz w:val="22"/>
          <w:szCs w:val="22"/>
          <w:bdr w:val="none" w:sz="0" w:space="0" w:color="auto" w:frame="1"/>
          <w:lang w:eastAsia="es-CO"/>
        </w:rPr>
        <w:t xml:space="preserve"> and </w:t>
      </w:r>
      <w:proofErr w:type="spellStart"/>
      <w:r w:rsidRPr="0087359A">
        <w:rPr>
          <w:rFonts w:ascii="Arial" w:hAnsi="Arial" w:cs="Arial"/>
          <w:sz w:val="22"/>
          <w:szCs w:val="22"/>
          <w:bdr w:val="none" w:sz="0" w:space="0" w:color="auto" w:frame="1"/>
          <w:lang w:eastAsia="es-CO"/>
        </w:rPr>
        <w:t>Services</w:t>
      </w:r>
      <w:proofErr w:type="spellEnd"/>
      <w:r w:rsidRPr="0087359A">
        <w:rPr>
          <w:rFonts w:ascii="Arial" w:hAnsi="Arial" w:cs="Arial"/>
          <w:sz w:val="22"/>
          <w:szCs w:val="22"/>
          <w:bdr w:val="none" w:sz="0" w:space="0" w:color="auto" w:frame="1"/>
          <w:lang w:eastAsia="es-CO"/>
        </w:rPr>
        <w:t xml:space="preserve"> </w:t>
      </w:r>
      <w:proofErr w:type="spellStart"/>
      <w:r w:rsidRPr="0087359A">
        <w:rPr>
          <w:rFonts w:ascii="Arial" w:hAnsi="Arial" w:cs="Arial"/>
          <w:sz w:val="22"/>
          <w:szCs w:val="22"/>
          <w:bdr w:val="none" w:sz="0" w:space="0" w:color="auto" w:frame="1"/>
          <w:lang w:eastAsia="es-CO"/>
        </w:rPr>
        <w:t>Code</w:t>
      </w:r>
      <w:proofErr w:type="spellEnd"/>
      <w:r w:rsidRPr="0087359A">
        <w:rPr>
          <w:rFonts w:ascii="Arial" w:hAnsi="Arial" w:cs="Arial"/>
          <w:sz w:val="22"/>
          <w:szCs w:val="22"/>
          <w:bdr w:val="none" w:sz="0" w:space="0" w:color="auto" w:frame="1"/>
          <w:lang w:eastAsia="es-CO"/>
        </w:rPr>
        <w:t xml:space="preserve">® - UNSPSC - Código Estándar de Productos y Servicios de Naciones Unidas, es una metodología uniforme de codificación utilizada para clasificar </w:t>
      </w:r>
      <w:r w:rsidRPr="0087359A">
        <w:rPr>
          <w:rFonts w:ascii="Arial" w:hAnsi="Arial" w:cs="Arial"/>
          <w:sz w:val="22"/>
          <w:szCs w:val="22"/>
          <w:bdr w:val="none" w:sz="0" w:space="0" w:color="auto" w:frame="1"/>
          <w:lang w:eastAsia="es-CO"/>
        </w:rPr>
        <w:lastRenderedPageBreak/>
        <w:t>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w:t>
      </w:r>
      <w:bookmarkEnd w:id="9"/>
      <w:r w:rsidRPr="0087359A">
        <w:rPr>
          <w:rStyle w:val="Refdenotaalpie"/>
          <w:rFonts w:ascii="Arial" w:hAnsi="Arial" w:cs="Arial"/>
          <w:sz w:val="22"/>
          <w:szCs w:val="22"/>
          <w:bdr w:val="none" w:sz="0" w:space="0" w:color="auto" w:frame="1"/>
          <w:lang w:eastAsia="es-CO"/>
        </w:rPr>
        <w:footnoteReference w:id="15"/>
      </w:r>
      <w:r w:rsidRPr="0087359A">
        <w:rPr>
          <w:rFonts w:ascii="Arial" w:hAnsi="Arial" w:cs="Arial"/>
          <w:sz w:val="22"/>
          <w:szCs w:val="22"/>
          <w:bdr w:val="none" w:sz="0" w:space="0" w:color="auto" w:frame="1"/>
          <w:lang w:eastAsia="es-CO"/>
        </w:rPr>
        <w:t>.</w:t>
      </w:r>
    </w:p>
    <w:p w14:paraId="66FF05FA" w14:textId="77777777" w:rsidR="001C42F7" w:rsidRPr="001500B5" w:rsidRDefault="001C42F7" w:rsidP="001C42F7">
      <w:pPr>
        <w:pStyle w:val="Textoindependiente"/>
        <w:spacing w:after="120" w:line="276" w:lineRule="auto"/>
        <w:ind w:right="102" w:firstLine="607"/>
        <w:jc w:val="both"/>
        <w:rPr>
          <w:sz w:val="22"/>
          <w:szCs w:val="22"/>
        </w:rPr>
      </w:pPr>
      <w:r w:rsidRPr="001500B5">
        <w:rPr>
          <w:rFonts w:eastAsia="Times New Roman"/>
          <w:sz w:val="22"/>
          <w:szCs w:val="22"/>
          <w:bdr w:val="none" w:sz="0" w:space="0" w:color="auto" w:frame="1"/>
        </w:rPr>
        <w:t xml:space="preserve">Por otro lado, </w:t>
      </w:r>
      <w:bookmarkStart w:id="10" w:name="_Hlk101793509"/>
      <w:r w:rsidRPr="001500B5">
        <w:rPr>
          <w:sz w:val="22"/>
          <w:szCs w:val="22"/>
        </w:rPr>
        <w:t>el artículo 2.2.1.1.1.5.2 del Decreto 1082 de 2015, al desarrollar la información requerida para la inscripción, actualización y renovación del RUP, establece que los proponentes deben establecer los bienes y servicios que ofrecerán identificados Clasificador de Bienes y Servicios en el tercer nivel. Asimismo, los numerales 1.2 y 2.5 de este artículo establece que en los certificados de experiencia presentados para inscripción o actualización del RUP, los proponentes deben indicar en «cada certificado o en cada copia de los contratos, los bienes, obras y servicios a los cuales corresponde la experiencia que pretende acreditar, identificándolos con el Clasificador de Bienes y Servicios en el tercer nivel»</w:t>
      </w:r>
      <w:r w:rsidRPr="001500B5">
        <w:rPr>
          <w:rStyle w:val="Refdenotaalpie"/>
          <w:sz w:val="22"/>
          <w:szCs w:val="22"/>
        </w:rPr>
        <w:footnoteReference w:id="16"/>
      </w:r>
      <w:r w:rsidRPr="001500B5">
        <w:rPr>
          <w:sz w:val="22"/>
          <w:szCs w:val="22"/>
        </w:rPr>
        <w:t xml:space="preserve">. </w:t>
      </w:r>
    </w:p>
    <w:bookmarkEnd w:id="10"/>
    <w:p w14:paraId="557B1395" w14:textId="77777777" w:rsidR="001C42F7" w:rsidRPr="001500B5" w:rsidRDefault="001C42F7" w:rsidP="001C42F7">
      <w:pPr>
        <w:pStyle w:val="Textoindependiente"/>
        <w:spacing w:after="120" w:line="276" w:lineRule="auto"/>
        <w:ind w:right="104"/>
        <w:jc w:val="both"/>
        <w:rPr>
          <w:rFonts w:eastAsia="Times New Roman"/>
          <w:sz w:val="22"/>
          <w:szCs w:val="22"/>
          <w:bdr w:val="none" w:sz="0" w:space="0" w:color="auto" w:frame="1"/>
        </w:rPr>
      </w:pPr>
      <w:r w:rsidRPr="001500B5">
        <w:rPr>
          <w:sz w:val="22"/>
          <w:szCs w:val="22"/>
        </w:rPr>
        <w:tab/>
      </w:r>
      <w:r w:rsidRPr="001500B5">
        <w:rPr>
          <w:rFonts w:eastAsia="Times New Roman"/>
          <w:sz w:val="22"/>
          <w:szCs w:val="22"/>
          <w:bdr w:val="none" w:sz="0" w:space="0" w:color="auto" w:frame="1"/>
        </w:rPr>
        <w:t xml:space="preserve">De otro lado, el artículo 2.2.1.1.2.1.3 del Decreto 1082 de 2015, el cual regula de manera general el contenido de los pliegos de condiciones, establece como deber de las entidades estales el de realizar en dichos documentos una «descripción técnica, detallada y completa del bien o servicio objeto del contrato, identificado con el cuarto nivel del Clasificador de Bienes y Servicios, de ser posible o de lo contrario con el tercer nivel del </w:t>
      </w:r>
      <w:r w:rsidRPr="001500B5">
        <w:rPr>
          <w:rFonts w:eastAsia="Times New Roman"/>
          <w:sz w:val="22"/>
          <w:szCs w:val="22"/>
          <w:bdr w:val="none" w:sz="0" w:space="0" w:color="auto" w:frame="1"/>
        </w:rPr>
        <w:lastRenderedPageBreak/>
        <w:t>mismo»</w:t>
      </w:r>
      <w:r w:rsidRPr="001500B5">
        <w:rPr>
          <w:rStyle w:val="Refdenotaalpie"/>
          <w:rFonts w:eastAsia="Times New Roman"/>
          <w:sz w:val="22"/>
          <w:szCs w:val="22"/>
          <w:bdr w:val="none" w:sz="0" w:space="0" w:color="auto" w:frame="1"/>
        </w:rPr>
        <w:footnoteReference w:id="17"/>
      </w:r>
      <w:r w:rsidRPr="001500B5">
        <w:rPr>
          <w:rFonts w:eastAsia="Times New Roman"/>
          <w:sz w:val="22"/>
          <w:szCs w:val="22"/>
          <w:bdr w:val="none" w:sz="0" w:space="0" w:color="auto" w:frame="1"/>
        </w:rPr>
        <w:t>. </w:t>
      </w:r>
    </w:p>
    <w:p w14:paraId="6DAB1351" w14:textId="1F3583A7" w:rsidR="001C42F7" w:rsidRPr="001500B5" w:rsidRDefault="001C42F7" w:rsidP="001500B5">
      <w:pPr>
        <w:pStyle w:val="Textoindependiente"/>
        <w:spacing w:after="120" w:line="276" w:lineRule="auto"/>
        <w:ind w:firstLine="607"/>
        <w:jc w:val="both"/>
        <w:rPr>
          <w:rFonts w:eastAsia="Times New Roman"/>
          <w:sz w:val="22"/>
          <w:szCs w:val="22"/>
          <w:bdr w:val="none" w:sz="0" w:space="0" w:color="auto" w:frame="1"/>
        </w:rPr>
      </w:pPr>
      <w:r w:rsidRPr="001500B5">
        <w:rPr>
          <w:rFonts w:eastAsia="Times New Roman"/>
          <w:sz w:val="22"/>
          <w:szCs w:val="22"/>
          <w:bdr w:val="none" w:sz="0" w:space="0" w:color="auto" w:frame="1"/>
        </w:rPr>
        <w:t>Conforme a lo anterior, la inscripción en el RUP, la valoración de la experiencia de los proponentes y el desarrollo de los procesos de contratación son ámbitos de la contratación estatal en los que se incorpora el uso del Clasificador de Bienes y Servicios para la contratación estatal.  Es una medida que incrementa la eficiencia y la efectividad en procedimientos de selección y reduce los costos de crear y mantener un sistema de codificación individual, al estandarizar una codificación de amplia difusión y de generalizada aceptación, que permite a proveedores y compradores «hablar el mismo lenguaje» al integrar en un solo número el flujo total del proceso de adquisición</w:t>
      </w:r>
      <w:r w:rsidRPr="001500B5">
        <w:rPr>
          <w:rStyle w:val="Refdenotaalpie"/>
          <w:rFonts w:eastAsia="Times New Roman"/>
          <w:sz w:val="22"/>
          <w:szCs w:val="22"/>
          <w:bdr w:val="none" w:sz="0" w:space="0" w:color="auto" w:frame="1"/>
        </w:rPr>
        <w:footnoteReference w:id="18"/>
      </w:r>
      <w:r w:rsidRPr="001500B5">
        <w:rPr>
          <w:rFonts w:eastAsia="Times New Roman"/>
          <w:sz w:val="22"/>
          <w:szCs w:val="22"/>
          <w:bdr w:val="none" w:sz="0" w:space="0" w:color="auto" w:frame="1"/>
        </w:rPr>
        <w:t>. </w:t>
      </w:r>
    </w:p>
    <w:p w14:paraId="615F4E1C" w14:textId="43D264B8" w:rsidR="00453A24" w:rsidRPr="0087359A" w:rsidRDefault="00453A24" w:rsidP="001C42F7">
      <w:pPr>
        <w:pStyle w:val="Textoindependiente"/>
        <w:spacing w:line="276" w:lineRule="auto"/>
        <w:ind w:right="104" w:firstLine="608"/>
        <w:contextualSpacing/>
        <w:jc w:val="both"/>
        <w:rPr>
          <w:color w:val="000000" w:themeColor="text1"/>
          <w:sz w:val="22"/>
          <w:szCs w:val="22"/>
        </w:rPr>
      </w:pPr>
      <w:r w:rsidRPr="0087359A">
        <w:rPr>
          <w:rFonts w:eastAsia="Times New Roman"/>
          <w:sz w:val="22"/>
          <w:szCs w:val="22"/>
          <w:bdr w:val="none" w:sz="0" w:space="0" w:color="auto" w:frame="1"/>
        </w:rPr>
        <w:t xml:space="preserve">Es preciso tener en cuenta que </w:t>
      </w:r>
      <w:r w:rsidRPr="0087359A">
        <w:rPr>
          <w:color w:val="000000" w:themeColor="text1"/>
          <w:sz w:val="22"/>
          <w:szCs w:val="22"/>
        </w:rPr>
        <w:t xml:space="preserve">la Circular Externa Única proferida por la Agencia Nacional de Contratación Pública – Colombia Compra Eficiente, donde se incorporaron directrices relacionadas con el RUP y particularmente sobre el </w:t>
      </w:r>
      <w:r w:rsidRPr="0087359A">
        <w:rPr>
          <w:rFonts w:eastAsia="Calibri"/>
          <w:color w:val="000000" w:themeColor="text1"/>
          <w:sz w:val="22"/>
          <w:szCs w:val="22"/>
        </w:rPr>
        <w:t>«</w:t>
      </w:r>
      <w:r w:rsidRPr="0087359A">
        <w:rPr>
          <w:color w:val="000000" w:themeColor="text1"/>
          <w:sz w:val="22"/>
          <w:szCs w:val="22"/>
        </w:rPr>
        <w:t>uso del Clasificador de Bienes y Servicios en el Registro Único de Proponentes</w:t>
      </w:r>
      <w:r w:rsidRPr="0087359A">
        <w:rPr>
          <w:rFonts w:eastAsia="Calibri"/>
          <w:color w:val="000000" w:themeColor="text1"/>
          <w:sz w:val="22"/>
          <w:szCs w:val="22"/>
        </w:rPr>
        <w:t>»</w:t>
      </w:r>
      <w:r w:rsidRPr="0087359A">
        <w:rPr>
          <w:color w:val="000000" w:themeColor="text1"/>
          <w:sz w:val="22"/>
          <w:szCs w:val="22"/>
        </w:rPr>
        <w:t xml:space="preserve">, </w:t>
      </w:r>
      <w:r w:rsidR="003B2474" w:rsidRPr="0087359A">
        <w:rPr>
          <w:color w:val="000000" w:themeColor="text1"/>
          <w:sz w:val="22"/>
          <w:szCs w:val="22"/>
        </w:rPr>
        <w:t xml:space="preserve">donde se </w:t>
      </w:r>
      <w:r w:rsidRPr="0087359A">
        <w:rPr>
          <w:color w:val="000000" w:themeColor="text1"/>
          <w:sz w:val="22"/>
          <w:szCs w:val="22"/>
        </w:rPr>
        <w:t xml:space="preserve">estableció lo siguiente: </w:t>
      </w:r>
    </w:p>
    <w:p w14:paraId="269949D0" w14:textId="61B173EC" w:rsidR="00453A24" w:rsidRPr="00363ED4" w:rsidRDefault="00453A24" w:rsidP="001C42F7">
      <w:pPr>
        <w:pStyle w:val="Textoindependiente"/>
        <w:spacing w:line="276" w:lineRule="auto"/>
        <w:ind w:right="104" w:firstLine="608"/>
        <w:contextualSpacing/>
        <w:jc w:val="both"/>
        <w:rPr>
          <w:color w:val="000000" w:themeColor="text1"/>
          <w:sz w:val="22"/>
        </w:rPr>
      </w:pPr>
    </w:p>
    <w:p w14:paraId="026174E2" w14:textId="77777777" w:rsidR="002C2C4A" w:rsidRPr="001500B5" w:rsidRDefault="002C2C4A" w:rsidP="002C2C4A">
      <w:pPr>
        <w:pStyle w:val="Textoindependiente"/>
        <w:ind w:left="709" w:right="709"/>
        <w:jc w:val="both"/>
        <w:rPr>
          <w:sz w:val="21"/>
          <w:szCs w:val="21"/>
        </w:rPr>
      </w:pPr>
      <w:r w:rsidRPr="001500B5">
        <w:rPr>
          <w:sz w:val="21"/>
          <w:szCs w:val="21"/>
        </w:rPr>
        <w:t xml:space="preserve">Deben tenerse en cuenta las siguientes directrices sobre el uso del Clasificador de Bienes y Servicios en el Registro Único de Proponentes: </w:t>
      </w:r>
    </w:p>
    <w:p w14:paraId="1851AB4C" w14:textId="77777777" w:rsidR="002C2C4A" w:rsidRPr="001500B5" w:rsidRDefault="002C2C4A" w:rsidP="002C2C4A">
      <w:pPr>
        <w:pStyle w:val="Textoindependiente"/>
        <w:ind w:left="709" w:right="709"/>
        <w:jc w:val="both"/>
        <w:rPr>
          <w:sz w:val="21"/>
          <w:szCs w:val="21"/>
        </w:rPr>
      </w:pPr>
    </w:p>
    <w:p w14:paraId="4414791D" w14:textId="7D008740" w:rsidR="002C2C4A" w:rsidRPr="001500B5" w:rsidRDefault="002C2C4A" w:rsidP="002C2C4A">
      <w:pPr>
        <w:pStyle w:val="Textoindependiente"/>
        <w:ind w:left="709" w:right="709"/>
        <w:jc w:val="both"/>
        <w:rPr>
          <w:sz w:val="21"/>
          <w:szCs w:val="21"/>
        </w:rPr>
      </w:pPr>
      <w:r w:rsidRPr="001500B5">
        <w:rPr>
          <w:sz w:val="21"/>
          <w:szCs w:val="21"/>
        </w:rPr>
        <w:t xml:space="preserve">• No existe un límite en el número de bienes, obras o servicios que los proponentes pueden inscribir en el RUP. Las Cámaras de Comercio no pueden limitar la inscripción de los proponentes por no contar con experiencia certificada en el respectivo bien, obra o servicio. </w:t>
      </w:r>
    </w:p>
    <w:p w14:paraId="78CF1A1B" w14:textId="77777777" w:rsidR="002C2C4A" w:rsidRPr="001500B5" w:rsidRDefault="002C2C4A" w:rsidP="002C2C4A">
      <w:pPr>
        <w:pStyle w:val="Textoindependiente"/>
        <w:ind w:left="709" w:right="709"/>
        <w:jc w:val="both"/>
        <w:rPr>
          <w:sz w:val="21"/>
          <w:szCs w:val="21"/>
        </w:rPr>
      </w:pPr>
    </w:p>
    <w:p w14:paraId="6BBACA20" w14:textId="776E5B09" w:rsidR="002C2C4A" w:rsidRPr="001500B5" w:rsidRDefault="002C2C4A" w:rsidP="001500B5">
      <w:pPr>
        <w:pStyle w:val="Textoindependiente"/>
        <w:ind w:left="709" w:right="709"/>
        <w:jc w:val="both"/>
        <w:rPr>
          <w:rFonts w:eastAsia="Times New Roman"/>
          <w:sz w:val="21"/>
          <w:szCs w:val="21"/>
        </w:rPr>
      </w:pPr>
      <w:r w:rsidRPr="001500B5">
        <w:rPr>
          <w:sz w:val="21"/>
          <w:szCs w:val="21"/>
        </w:rPr>
        <w:t xml:space="preserve">• La clasificación del proponente no es un requisito habilitante sino un mecanismo para establecer un lenguaje común entre los partícipes del Sistema de Compra Pública. En consecuencia, las Entidades Estatales no pueden excluir a un proponente que ha acreditado los requisitos habilitantes exigidos en un Proceso de Contratación por no estar </w:t>
      </w:r>
      <w:proofErr w:type="spellStart"/>
      <w:r w:rsidRPr="001500B5">
        <w:rPr>
          <w:sz w:val="21"/>
          <w:szCs w:val="21"/>
        </w:rPr>
        <w:t>inscritoen</w:t>
      </w:r>
      <w:proofErr w:type="spellEnd"/>
      <w:r w:rsidRPr="001500B5">
        <w:rPr>
          <w:sz w:val="21"/>
          <w:szCs w:val="21"/>
        </w:rPr>
        <w:t xml:space="preserve"> el RUP con el código de los bienes, obras o servicios del objeto de tal Proceso de Contratación</w:t>
      </w:r>
      <w:r>
        <w:rPr>
          <w:rStyle w:val="Refdenotaalpie"/>
          <w:sz w:val="21"/>
          <w:szCs w:val="21"/>
        </w:rPr>
        <w:footnoteReference w:id="19"/>
      </w:r>
      <w:r w:rsidRPr="001500B5">
        <w:rPr>
          <w:sz w:val="21"/>
          <w:szCs w:val="21"/>
        </w:rPr>
        <w:t>.</w:t>
      </w:r>
      <w:r w:rsidRPr="002C2C4A" w:rsidDel="002C2C4A">
        <w:rPr>
          <w:rFonts w:eastAsia="Times New Roman"/>
          <w:sz w:val="21"/>
          <w:szCs w:val="21"/>
        </w:rPr>
        <w:t xml:space="preserve"> </w:t>
      </w:r>
    </w:p>
    <w:p w14:paraId="15FA1047" w14:textId="354F344F" w:rsidR="00453A24" w:rsidRPr="00363ED4" w:rsidRDefault="00453A24" w:rsidP="00453A24">
      <w:pPr>
        <w:pStyle w:val="Textoindependiente"/>
        <w:spacing w:line="276" w:lineRule="auto"/>
        <w:ind w:right="104"/>
        <w:contextualSpacing/>
        <w:jc w:val="both"/>
        <w:rPr>
          <w:rFonts w:eastAsia="Times New Roman"/>
        </w:rPr>
      </w:pPr>
    </w:p>
    <w:p w14:paraId="1C205457" w14:textId="0E6B39E8" w:rsidR="00E747A4" w:rsidRPr="00363ED4" w:rsidRDefault="00E747A4" w:rsidP="00E747A4">
      <w:pPr>
        <w:spacing w:after="120" w:line="276" w:lineRule="auto"/>
        <w:ind w:firstLine="709"/>
        <w:jc w:val="both"/>
        <w:rPr>
          <w:rFonts w:ascii="Arial" w:hAnsi="Arial" w:cs="Arial"/>
          <w:color w:val="000000" w:themeColor="text1"/>
          <w:sz w:val="22"/>
        </w:rPr>
      </w:pPr>
      <w:r w:rsidRPr="00363ED4">
        <w:rPr>
          <w:rFonts w:ascii="Arial" w:hAnsi="Arial" w:cs="Arial"/>
          <w:color w:val="000000" w:themeColor="text1"/>
          <w:sz w:val="22"/>
        </w:rPr>
        <w:t xml:space="preserve">De acuerdo con la postura adoptada en la Circular, la «clasificación del proponente», que corresponde a los listados señalados en los numerales 1.1. y 2.1. del artículo 2.2.1.1.1.5.2. del Decreto 1082 de 2015, no condiciona la capacidad ―jurídica, ni tampoco otra― de los proponentes, por lo </w:t>
      </w:r>
      <w:r w:rsidR="007B0F79" w:rsidRPr="00363ED4">
        <w:rPr>
          <w:rFonts w:ascii="Arial" w:hAnsi="Arial" w:cs="Arial"/>
          <w:color w:val="000000" w:themeColor="text1"/>
          <w:sz w:val="22"/>
        </w:rPr>
        <w:t>que,</w:t>
      </w:r>
      <w:r w:rsidRPr="00363ED4">
        <w:rPr>
          <w:rFonts w:ascii="Arial" w:hAnsi="Arial" w:cs="Arial"/>
          <w:color w:val="000000" w:themeColor="text1"/>
          <w:sz w:val="22"/>
        </w:rPr>
        <w:t xml:space="preserve"> si un proponente cumple los demás requisitos exigidos en el pliego de condiciones, su oferta no puede ser rechazada o desestimada bajo el argumento de que no cuenta con la inscripción del código de los bienes, obras o servicios del objeto del proceso de contratación.</w:t>
      </w:r>
    </w:p>
    <w:p w14:paraId="1F505CF5" w14:textId="77777777" w:rsidR="00E747A4" w:rsidRPr="00363ED4" w:rsidRDefault="00E747A4" w:rsidP="00E747A4">
      <w:pPr>
        <w:spacing w:line="276" w:lineRule="auto"/>
        <w:ind w:firstLine="709"/>
        <w:jc w:val="both"/>
        <w:rPr>
          <w:rFonts w:ascii="Arial" w:hAnsi="Arial" w:cs="Arial"/>
          <w:color w:val="000000" w:themeColor="text1"/>
          <w:sz w:val="22"/>
        </w:rPr>
      </w:pPr>
      <w:r w:rsidRPr="00363ED4">
        <w:rPr>
          <w:rFonts w:ascii="Arial" w:hAnsi="Arial" w:cs="Arial"/>
          <w:color w:val="000000" w:themeColor="text1"/>
          <w:sz w:val="22"/>
        </w:rPr>
        <w:t>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para exigir, por ejemplo, que solo se tendrá por valedera la experiencia inscrita por el proponente en el RUP, que sea de contratos ejecutados que coincidan con algún código del Clasificador del Bienes y Servicios, en particular, en el tercer nivel del clasificador. Esto se desprende del artículo 2.2.1.1.1.5.3. del Decreto 1082 de 2015, donde se señalan los requisitos habilitantes contenidos en el RUP, estableciendo frente a la experiencia lo siguiente:</w:t>
      </w:r>
    </w:p>
    <w:p w14:paraId="690AE430" w14:textId="77777777" w:rsidR="00E747A4" w:rsidRPr="00363ED4" w:rsidRDefault="00E747A4" w:rsidP="00E747A4">
      <w:pPr>
        <w:spacing w:line="276" w:lineRule="auto"/>
        <w:ind w:left="709" w:right="709"/>
        <w:jc w:val="both"/>
        <w:rPr>
          <w:rFonts w:ascii="Arial" w:hAnsi="Arial" w:cs="Arial"/>
          <w:color w:val="000000" w:themeColor="text1"/>
          <w:sz w:val="21"/>
          <w:szCs w:val="21"/>
        </w:rPr>
      </w:pPr>
    </w:p>
    <w:p w14:paraId="61E106B0" w14:textId="77777777" w:rsidR="00E747A4" w:rsidRPr="00363ED4" w:rsidRDefault="00E747A4" w:rsidP="00E747A4">
      <w:pPr>
        <w:spacing w:line="276" w:lineRule="auto"/>
        <w:ind w:left="709" w:right="709"/>
        <w:jc w:val="both"/>
        <w:rPr>
          <w:rFonts w:ascii="Arial" w:hAnsi="Arial" w:cs="Arial"/>
          <w:color w:val="000000" w:themeColor="text1"/>
          <w:sz w:val="21"/>
          <w:szCs w:val="21"/>
        </w:rPr>
      </w:pPr>
      <w:r w:rsidRPr="00363ED4">
        <w:rPr>
          <w:rFonts w:ascii="Arial" w:hAnsi="Arial" w:cs="Arial"/>
          <w:color w:val="000000" w:themeColor="text1"/>
          <w:sz w:val="21"/>
          <w:szCs w:val="21"/>
        </w:rPr>
        <w:t>Artículo 2.2.1.1.1.5.3. Requisitos habilitantes contenidos en el RUP. Las cámaras de comercio, con base en la información a la que hace referencia el artículo anterior, deben verificar y certificar los siguientes requisitos habilitantes:</w:t>
      </w:r>
    </w:p>
    <w:p w14:paraId="10CA7471" w14:textId="77777777" w:rsidR="00E747A4" w:rsidRPr="00363ED4" w:rsidRDefault="00E747A4" w:rsidP="00E747A4">
      <w:pPr>
        <w:spacing w:line="276" w:lineRule="auto"/>
        <w:ind w:left="709" w:right="709"/>
        <w:jc w:val="both"/>
        <w:rPr>
          <w:rFonts w:ascii="Arial" w:hAnsi="Arial" w:cs="Arial"/>
          <w:color w:val="000000" w:themeColor="text1"/>
          <w:sz w:val="21"/>
          <w:szCs w:val="21"/>
        </w:rPr>
      </w:pPr>
      <w:r w:rsidRPr="00363ED4">
        <w:rPr>
          <w:rFonts w:ascii="Arial" w:hAnsi="Arial" w:cs="Arial"/>
          <w:color w:val="000000" w:themeColor="text1"/>
          <w:sz w:val="21"/>
          <w:szCs w:val="21"/>
        </w:rPr>
        <w:t>[…]</w:t>
      </w:r>
    </w:p>
    <w:p w14:paraId="41E1D91C" w14:textId="77777777" w:rsidR="00E747A4" w:rsidRPr="00363ED4" w:rsidRDefault="00E747A4" w:rsidP="00E747A4">
      <w:pPr>
        <w:spacing w:line="276" w:lineRule="auto"/>
        <w:ind w:left="709" w:right="709"/>
        <w:jc w:val="both"/>
        <w:rPr>
          <w:rFonts w:ascii="Arial" w:hAnsi="Arial" w:cs="Arial"/>
          <w:color w:val="000000" w:themeColor="text1"/>
          <w:sz w:val="21"/>
          <w:szCs w:val="21"/>
        </w:rPr>
      </w:pPr>
      <w:r w:rsidRPr="00363ED4">
        <w:rPr>
          <w:rFonts w:ascii="Arial" w:hAnsi="Arial" w:cs="Arial"/>
          <w:color w:val="000000" w:themeColor="text1"/>
          <w:sz w:val="21"/>
          <w:szCs w:val="21"/>
        </w:rPr>
        <w:t xml:space="preserve">1.    Experiencia – Los contratos celebrados por el interesado para cada uno de los bienes, obras y servicios que ofrecerá a las Entidades Estatales, </w:t>
      </w:r>
      <w:r w:rsidRPr="00363ED4">
        <w:rPr>
          <w:rFonts w:ascii="Arial" w:hAnsi="Arial" w:cs="Arial"/>
          <w:i/>
          <w:iCs/>
          <w:color w:val="000000" w:themeColor="text1"/>
          <w:sz w:val="21"/>
          <w:szCs w:val="21"/>
        </w:rPr>
        <w:t xml:space="preserve">identificados con el Clasificador de Bienes y Servicios en el tercer nivel </w:t>
      </w:r>
      <w:r w:rsidRPr="00363ED4">
        <w:rPr>
          <w:rFonts w:ascii="Arial" w:hAnsi="Arial" w:cs="Arial"/>
          <w:color w:val="000000" w:themeColor="text1"/>
          <w:sz w:val="21"/>
          <w:szCs w:val="21"/>
        </w:rPr>
        <w:t>y su valor expresado en SMMLV.</w:t>
      </w:r>
    </w:p>
    <w:p w14:paraId="1052DAA5" w14:textId="77777777" w:rsidR="00E747A4" w:rsidRPr="00363ED4" w:rsidRDefault="00E747A4" w:rsidP="00E747A4">
      <w:pPr>
        <w:spacing w:line="276" w:lineRule="auto"/>
        <w:ind w:left="709" w:right="709"/>
        <w:jc w:val="both"/>
        <w:rPr>
          <w:rFonts w:ascii="Arial" w:hAnsi="Arial" w:cs="Arial"/>
          <w:color w:val="000000" w:themeColor="text1"/>
          <w:sz w:val="21"/>
          <w:szCs w:val="21"/>
        </w:rPr>
      </w:pPr>
    </w:p>
    <w:p w14:paraId="559AACC1" w14:textId="77777777" w:rsidR="00E747A4" w:rsidRPr="00363ED4" w:rsidRDefault="00E747A4" w:rsidP="00E747A4">
      <w:pPr>
        <w:spacing w:line="276" w:lineRule="auto"/>
        <w:ind w:left="709" w:right="709"/>
        <w:jc w:val="both"/>
        <w:rPr>
          <w:rFonts w:ascii="Arial" w:hAnsi="Arial" w:cs="Arial"/>
          <w:color w:val="000000" w:themeColor="text1"/>
          <w:sz w:val="21"/>
          <w:szCs w:val="21"/>
        </w:rPr>
      </w:pPr>
      <w:r w:rsidRPr="00363ED4">
        <w:rPr>
          <w:rFonts w:ascii="Arial" w:hAnsi="Arial" w:cs="Arial"/>
          <w:color w:val="000000" w:themeColor="text1"/>
          <w:sz w:val="21"/>
          <w:szCs w:val="21"/>
        </w:rPr>
        <w:t xml:space="preserve">Los contratos celebrados por consorcios, uniones temporales y sociedades en las cuales el interesado tenga o haya tenido participación, para cada uno de los bienes, obras y servicios que ofrecerá a las Entidades Estatales, </w:t>
      </w:r>
      <w:r w:rsidRPr="00363ED4">
        <w:rPr>
          <w:rFonts w:ascii="Arial" w:hAnsi="Arial" w:cs="Arial"/>
          <w:i/>
          <w:iCs/>
          <w:color w:val="000000" w:themeColor="text1"/>
          <w:sz w:val="21"/>
          <w:szCs w:val="21"/>
        </w:rPr>
        <w:t>identificados con el Clasificador de Bienes y Servicios en el tercer nivel</w:t>
      </w:r>
      <w:r w:rsidRPr="00363ED4">
        <w:rPr>
          <w:rFonts w:ascii="Arial" w:hAnsi="Arial" w:cs="Arial"/>
          <w:color w:val="000000" w:themeColor="text1"/>
          <w:sz w:val="21"/>
          <w:szCs w:val="21"/>
        </w:rPr>
        <w:t xml:space="preserve"> y su valor expresado en SMMLV. (Cursiva fuera de texto)</w:t>
      </w:r>
    </w:p>
    <w:p w14:paraId="29E24686" w14:textId="77777777" w:rsidR="00E747A4" w:rsidRPr="00363ED4" w:rsidRDefault="00E747A4" w:rsidP="00E747A4">
      <w:pPr>
        <w:spacing w:line="276" w:lineRule="auto"/>
        <w:ind w:right="709"/>
        <w:jc w:val="both"/>
        <w:rPr>
          <w:rFonts w:ascii="Arial" w:hAnsi="Arial" w:cs="Arial"/>
          <w:color w:val="000000" w:themeColor="text1"/>
          <w:sz w:val="21"/>
          <w:szCs w:val="21"/>
        </w:rPr>
      </w:pPr>
    </w:p>
    <w:p w14:paraId="68B8576C" w14:textId="77777777" w:rsidR="00E747A4" w:rsidRPr="00363ED4" w:rsidRDefault="00E747A4" w:rsidP="00E747A4">
      <w:pPr>
        <w:spacing w:line="276" w:lineRule="auto"/>
        <w:ind w:firstLine="708"/>
        <w:jc w:val="both"/>
        <w:rPr>
          <w:rFonts w:ascii="Arial" w:hAnsi="Arial" w:cs="Arial"/>
          <w:color w:val="000000" w:themeColor="text1"/>
          <w:sz w:val="22"/>
        </w:rPr>
      </w:pPr>
      <w:r w:rsidRPr="00363ED4">
        <w:rPr>
          <w:rFonts w:ascii="Arial" w:hAnsi="Arial" w:cs="Arial"/>
          <w:color w:val="000000" w:themeColor="text1"/>
          <w:sz w:val="21"/>
          <w:szCs w:val="21"/>
        </w:rPr>
        <w:t>En armonía con lo anterior,</w:t>
      </w:r>
      <w:r w:rsidRPr="00363ED4">
        <w:rPr>
          <w:rFonts w:ascii="Arial" w:hAnsi="Arial" w:cs="Arial"/>
          <w:color w:val="000000" w:themeColor="text1"/>
          <w:sz w:val="22"/>
        </w:rPr>
        <w:t xml:space="preserve"> la Circular Externa Única a que se hizo referencia previamente, en relación con el uso del Clasificador de Bienes y Servicios para efectos de acreditar la experiencia en los procedimientos de selección, estableció, en contraste con la «clasificación del proponente», que:</w:t>
      </w:r>
    </w:p>
    <w:p w14:paraId="02FEB4C9" w14:textId="77777777" w:rsidR="00E747A4" w:rsidRPr="00363ED4" w:rsidRDefault="00E747A4" w:rsidP="00E747A4">
      <w:pPr>
        <w:spacing w:line="276" w:lineRule="auto"/>
        <w:ind w:left="709" w:right="709"/>
        <w:jc w:val="both"/>
        <w:rPr>
          <w:rFonts w:ascii="Arial" w:hAnsi="Arial" w:cs="Arial"/>
          <w:color w:val="000000" w:themeColor="text1"/>
          <w:sz w:val="21"/>
          <w:szCs w:val="21"/>
        </w:rPr>
      </w:pPr>
    </w:p>
    <w:p w14:paraId="006A41BD" w14:textId="77777777" w:rsidR="00E747A4" w:rsidRPr="00363ED4" w:rsidRDefault="00E747A4" w:rsidP="00E747A4">
      <w:pPr>
        <w:spacing w:line="276" w:lineRule="auto"/>
        <w:ind w:left="709" w:right="709"/>
        <w:jc w:val="both"/>
        <w:rPr>
          <w:rFonts w:ascii="Arial" w:hAnsi="Arial" w:cs="Arial"/>
          <w:color w:val="000000" w:themeColor="text1"/>
          <w:sz w:val="21"/>
          <w:szCs w:val="21"/>
        </w:rPr>
      </w:pPr>
      <w:r w:rsidRPr="00363ED4">
        <w:rPr>
          <w:rFonts w:ascii="Arial" w:hAnsi="Arial" w:cs="Arial"/>
          <w:color w:val="000000" w:themeColor="text1"/>
          <w:sz w:val="21"/>
          <w:szCs w:val="21"/>
        </w:rPr>
        <w:lastRenderedPageBreak/>
        <w:t xml:space="preserve">La experiencia es un requisito habilitante. Los proponentes deben inscribir en el RUP su experiencia usando los códigos del Clasificador de Bienes y Servicios. </w:t>
      </w:r>
      <w:r w:rsidRPr="00363ED4">
        <w:rPr>
          <w:rFonts w:ascii="Arial" w:hAnsi="Arial" w:cs="Arial"/>
          <w:i/>
          <w:iCs/>
          <w:color w:val="000000" w:themeColor="text1"/>
          <w:sz w:val="21"/>
          <w:szCs w:val="21"/>
        </w:rPr>
        <w:t>Por su parte las Entidades Estatales al establecer el requisito habilitante de experiencia deben incluir los códigos específicos del objeto a contratar o el de bienes, obras o servicios afines al Proceso de Contratación respecto de los cuales los proponentes deben acreditar su experiencia</w:t>
      </w:r>
      <w:r w:rsidRPr="00363ED4">
        <w:rPr>
          <w:rFonts w:ascii="Arial" w:hAnsi="Arial" w:cs="Arial"/>
          <w:color w:val="000000" w:themeColor="text1"/>
          <w:sz w:val="21"/>
          <w:szCs w:val="21"/>
        </w:rPr>
        <w:t xml:space="preserve">. </w:t>
      </w:r>
    </w:p>
    <w:p w14:paraId="0768A46A" w14:textId="77777777" w:rsidR="00E747A4" w:rsidRPr="00363ED4" w:rsidRDefault="00E747A4" w:rsidP="00E747A4">
      <w:pPr>
        <w:spacing w:line="276" w:lineRule="auto"/>
        <w:ind w:right="709"/>
        <w:jc w:val="both"/>
        <w:rPr>
          <w:rFonts w:ascii="Arial" w:hAnsi="Arial" w:cs="Arial"/>
          <w:color w:val="000000" w:themeColor="text1"/>
          <w:sz w:val="16"/>
          <w:szCs w:val="16"/>
        </w:rPr>
      </w:pPr>
    </w:p>
    <w:p w14:paraId="54783C2F" w14:textId="77777777" w:rsidR="00E747A4" w:rsidRPr="00363ED4" w:rsidRDefault="00E747A4" w:rsidP="001500B5">
      <w:pPr>
        <w:spacing w:after="120" w:line="276" w:lineRule="auto"/>
        <w:ind w:firstLine="709"/>
        <w:jc w:val="both"/>
        <w:rPr>
          <w:rFonts w:ascii="Arial" w:hAnsi="Arial" w:cs="Arial"/>
          <w:color w:val="000000" w:themeColor="text1"/>
          <w:sz w:val="22"/>
        </w:rPr>
      </w:pPr>
      <w:r w:rsidRPr="00363ED4">
        <w:rPr>
          <w:rFonts w:ascii="Arial" w:hAnsi="Arial" w:cs="Arial"/>
          <w:color w:val="000000" w:themeColor="text1"/>
          <w:sz w:val="22"/>
        </w:rPr>
        <w:t>En conclusión, de conformidad con Circular Externa Única, la «clasificación del proponente», en los términos en que se desarrolló dicha noción en este concepto, no constituye un requisito habilitante en los procedimientos de selección, por lo que si un proponente acredita los demás requisitos exigidos en el pliego de condiciones, su oferta no puede ser rechazada o desestimada bajo el argumento de que el oferente no cuenta con la inscripción del código de los bienes, obras o servicios del objeto del proceso de contratación.</w:t>
      </w:r>
    </w:p>
    <w:p w14:paraId="479DB30C" w14:textId="77777777" w:rsidR="001C42F7" w:rsidRPr="00363ED4" w:rsidRDefault="001C42F7" w:rsidP="001500B5">
      <w:pPr>
        <w:shd w:val="clear" w:color="auto" w:fill="FFFFFF"/>
        <w:spacing w:after="120" w:line="276" w:lineRule="auto"/>
        <w:ind w:firstLine="708"/>
        <w:jc w:val="both"/>
        <w:textAlignment w:val="baseline"/>
        <w:rPr>
          <w:rFonts w:ascii="Arial" w:hAnsi="Arial" w:cs="Arial"/>
          <w:sz w:val="22"/>
          <w:lang w:eastAsia="es-CO"/>
        </w:rPr>
      </w:pPr>
      <w:bookmarkStart w:id="11" w:name="_Hlk101793579"/>
      <w:r w:rsidRPr="00363ED4">
        <w:rPr>
          <w:rFonts w:ascii="Arial" w:hAnsi="Arial" w:cs="Arial"/>
          <w:sz w:val="22"/>
          <w:bdr w:val="none" w:sz="0" w:space="0" w:color="auto" w:frame="1"/>
          <w:lang w:eastAsia="es-CO"/>
        </w:rPr>
        <w:t xml:space="preserve">El Clasificador de Bienes y Servicios consta de cinco niveles; no obstante, el último nivel, denominado Función de Negocio, no es muy utilizado. Los niveles jerárquicos a utilizar, en su orden, son: i) segmento, agregación lógica de familias para propósitos analíticos; </w:t>
      </w:r>
      <w:proofErr w:type="spellStart"/>
      <w:r w:rsidRPr="00363ED4">
        <w:rPr>
          <w:rFonts w:ascii="Arial" w:hAnsi="Arial" w:cs="Arial"/>
          <w:sz w:val="22"/>
          <w:bdr w:val="none" w:sz="0" w:space="0" w:color="auto" w:frame="1"/>
          <w:lang w:eastAsia="es-CO"/>
        </w:rPr>
        <w:t>ii</w:t>
      </w:r>
      <w:proofErr w:type="spellEnd"/>
      <w:r w:rsidRPr="00363ED4">
        <w:rPr>
          <w:rFonts w:ascii="Arial" w:hAnsi="Arial" w:cs="Arial"/>
          <w:sz w:val="22"/>
          <w:bdr w:val="none" w:sz="0" w:space="0" w:color="auto" w:frame="1"/>
          <w:lang w:eastAsia="es-CO"/>
        </w:rPr>
        <w:t xml:space="preserve">) familia, un grupo de categorías de productos interrelacionadas; </w:t>
      </w:r>
      <w:proofErr w:type="spellStart"/>
      <w:r w:rsidRPr="00363ED4">
        <w:rPr>
          <w:rFonts w:ascii="Arial" w:hAnsi="Arial" w:cs="Arial"/>
          <w:sz w:val="22"/>
          <w:bdr w:val="none" w:sz="0" w:space="0" w:color="auto" w:frame="1"/>
          <w:lang w:eastAsia="es-CO"/>
        </w:rPr>
        <w:t>iii</w:t>
      </w:r>
      <w:proofErr w:type="spellEnd"/>
      <w:r w:rsidRPr="00363ED4">
        <w:rPr>
          <w:rFonts w:ascii="Arial" w:hAnsi="Arial" w:cs="Arial"/>
          <w:sz w:val="22"/>
          <w:bdr w:val="none" w:sz="0" w:space="0" w:color="auto" w:frame="1"/>
          <w:lang w:eastAsia="es-CO"/>
        </w:rPr>
        <w:t xml:space="preserve">) clase: un grupo de productos que comparten características comunes; y </w:t>
      </w:r>
      <w:proofErr w:type="spellStart"/>
      <w:r w:rsidRPr="00363ED4">
        <w:rPr>
          <w:rFonts w:ascii="Arial" w:hAnsi="Arial" w:cs="Arial"/>
          <w:sz w:val="22"/>
          <w:bdr w:val="none" w:sz="0" w:space="0" w:color="auto" w:frame="1"/>
          <w:lang w:eastAsia="es-CO"/>
        </w:rPr>
        <w:t>iv</w:t>
      </w:r>
      <w:proofErr w:type="spellEnd"/>
      <w:r w:rsidRPr="00363ED4">
        <w:rPr>
          <w:rFonts w:ascii="Arial" w:hAnsi="Arial" w:cs="Arial"/>
          <w:sz w:val="22"/>
          <w:bdr w:val="none" w:sz="0" w:space="0" w:color="auto" w:frame="1"/>
          <w:lang w:eastAsia="es-CO"/>
        </w:rPr>
        <w:t>) producto: un grupo de productos o servicios</w:t>
      </w:r>
      <w:r w:rsidRPr="00363ED4">
        <w:rPr>
          <w:rStyle w:val="Refdenotaalpie"/>
          <w:rFonts w:ascii="Arial" w:hAnsi="Arial" w:cs="Arial"/>
          <w:sz w:val="22"/>
          <w:bdr w:val="none" w:sz="0" w:space="0" w:color="auto" w:frame="1"/>
          <w:lang w:eastAsia="es-CO"/>
        </w:rPr>
        <w:footnoteReference w:id="20"/>
      </w:r>
      <w:r w:rsidRPr="00363ED4">
        <w:rPr>
          <w:rFonts w:ascii="Arial" w:hAnsi="Arial" w:cs="Arial"/>
          <w:sz w:val="22"/>
          <w:bdr w:val="none" w:sz="0" w:space="0" w:color="auto" w:frame="1"/>
          <w:lang w:eastAsia="es-CO"/>
        </w:rPr>
        <w:t>.  </w:t>
      </w:r>
    </w:p>
    <w:p w14:paraId="07EABEA9" w14:textId="77777777" w:rsidR="001C42F7" w:rsidRPr="00363ED4" w:rsidRDefault="001C42F7" w:rsidP="001C42F7">
      <w:pPr>
        <w:shd w:val="clear" w:color="auto" w:fill="FFFFFF"/>
        <w:spacing w:after="120" w:line="276" w:lineRule="auto"/>
        <w:ind w:firstLine="709"/>
        <w:jc w:val="both"/>
        <w:textAlignment w:val="baseline"/>
        <w:rPr>
          <w:rFonts w:ascii="Arial" w:hAnsi="Arial" w:cs="Arial"/>
          <w:sz w:val="22"/>
          <w:bdr w:val="none" w:sz="0" w:space="0" w:color="auto" w:frame="1"/>
          <w:lang w:eastAsia="es-CO"/>
        </w:rPr>
      </w:pPr>
      <w:r w:rsidRPr="00363ED4">
        <w:rPr>
          <w:rFonts w:ascii="Arial" w:hAnsi="Arial" w:cs="Arial"/>
          <w:sz w:val="22"/>
          <w:bdr w:val="none" w:sz="0" w:space="0" w:color="auto" w:frame="1"/>
          <w:lang w:eastAsia="es-CO"/>
        </w:rPr>
        <w:t xml:space="preserve"> Cada uno de estos niveles jerárquicos tiene distintos dígitos, asociados a los componentes que cada uno cobija y que se combinan con los dígitos de los otros niveles, de donde surge un código de 8 dígitos asociado a un bien o servicio en particular. De esta manera, el segmento determina los dos primeros dígitos, la familia el tercer y cuarto, la clase el quinto y sexto, mientras que el producto los dígitos séptimo y octavo.  Conforme a esto, los niveles jerárquicos van de lo general a lo particular, por lo que para determinar el código que corresponde a un bien o servicio, debe subsumirse este en cada uno de estos niveles partiendo del primero en adelante. De acuerdo con esto, cada bien o servicio está asociado a un código que surge de la subsunción de sus características y condiciones en los diferentes niveles del clasificador. Estos códigos son los que deben incluirse en el RUP para efectos de la experiencia. Estos mismos códigos son los que debe incluir las entidades estatales en los pliegos de condiciones al realizar la descripción del objeto contractual. </w:t>
      </w:r>
    </w:p>
    <w:bookmarkEnd w:id="11"/>
    <w:p w14:paraId="53A11111" w14:textId="77777777" w:rsidR="001C42F7" w:rsidRPr="00363ED4" w:rsidRDefault="001C42F7" w:rsidP="001C42F7">
      <w:pPr>
        <w:shd w:val="clear" w:color="auto" w:fill="FFFFFF"/>
        <w:spacing w:after="120" w:line="276" w:lineRule="auto"/>
        <w:ind w:firstLine="709"/>
        <w:jc w:val="both"/>
        <w:textAlignment w:val="baseline"/>
        <w:rPr>
          <w:rFonts w:ascii="Arial" w:hAnsi="Arial" w:cs="Arial"/>
          <w:sz w:val="22"/>
          <w:bdr w:val="none" w:sz="0" w:space="0" w:color="auto" w:frame="1"/>
          <w:lang w:eastAsia="es-CO"/>
        </w:rPr>
      </w:pPr>
      <w:r w:rsidRPr="00363ED4">
        <w:rPr>
          <w:rFonts w:ascii="Arial" w:hAnsi="Arial" w:cs="Arial"/>
          <w:sz w:val="22"/>
          <w:bdr w:val="none" w:sz="0" w:space="0" w:color="auto" w:frame="1"/>
          <w:lang w:eastAsia="es-CO"/>
        </w:rPr>
        <w:t xml:space="preserve">De otra parte, debe mencionarse que en virtud de los dispuesto en el artículo 2.2.1.2.5.2 del Decreto 1082 de 2015, esta Agencia expidió la «Guía para la codificación de bienes y servicios de acuerdo con el código estándar de productos y servicios de Naciones Unidas, V.14.080». Este documento contiene una serie de instrucciones y nociones básicas </w:t>
      </w:r>
      <w:r w:rsidRPr="00363ED4">
        <w:rPr>
          <w:rFonts w:ascii="Arial" w:hAnsi="Arial" w:cs="Arial"/>
          <w:sz w:val="22"/>
          <w:bdr w:val="none" w:sz="0" w:space="0" w:color="auto" w:frame="1"/>
          <w:lang w:eastAsia="es-CO"/>
        </w:rPr>
        <w:lastRenderedPageBreak/>
        <w:t xml:space="preserve">para al uso del Clasificador de Bienes y Servicios por parte de las entidades estatales sus procesos de contratación. Esta se encuentra disponible para consulta en: </w:t>
      </w:r>
      <w:hyperlink r:id="rId12" w:history="1">
        <w:r w:rsidRPr="00363ED4">
          <w:rPr>
            <w:rStyle w:val="Hipervnculo"/>
            <w:rFonts w:ascii="Arial" w:hAnsi="Arial" w:cs="Arial"/>
            <w:sz w:val="22"/>
          </w:rPr>
          <w:t>https://www.colombiacompra.gov.co/sites/cce_public/files/cce_documents/cce_guia_codificacion_bienes.pdf</w:t>
        </w:r>
      </w:hyperlink>
      <w:r w:rsidRPr="00363ED4">
        <w:rPr>
          <w:rStyle w:val="Hipervnculo"/>
          <w:rFonts w:ascii="Arial" w:hAnsi="Arial" w:cs="Arial"/>
          <w:sz w:val="22"/>
        </w:rPr>
        <w:t xml:space="preserve"> </w:t>
      </w:r>
    </w:p>
    <w:p w14:paraId="65189170" w14:textId="2444BF73" w:rsidR="001C42F7" w:rsidRPr="00363ED4" w:rsidRDefault="001C42F7" w:rsidP="001C42F7">
      <w:pPr>
        <w:shd w:val="clear" w:color="auto" w:fill="FFFFFF"/>
        <w:spacing w:line="276" w:lineRule="auto"/>
        <w:jc w:val="both"/>
        <w:textAlignment w:val="baseline"/>
        <w:rPr>
          <w:rStyle w:val="Hipervnculo"/>
          <w:rFonts w:ascii="Arial" w:hAnsi="Arial" w:cs="Arial"/>
          <w:sz w:val="22"/>
          <w:bdr w:val="none" w:sz="0" w:space="0" w:color="auto" w:frame="1"/>
          <w:lang w:eastAsia="es-CO"/>
        </w:rPr>
      </w:pPr>
      <w:r w:rsidRPr="00363ED4">
        <w:rPr>
          <w:rFonts w:ascii="Arial" w:hAnsi="Arial" w:cs="Arial"/>
          <w:sz w:val="22"/>
          <w:bdr w:val="none" w:sz="0" w:space="0" w:color="auto" w:frame="1"/>
          <w:lang w:eastAsia="es-CO"/>
        </w:rPr>
        <w:t xml:space="preserve"> </w:t>
      </w:r>
      <w:r w:rsidRPr="00363ED4">
        <w:rPr>
          <w:rFonts w:ascii="Arial" w:hAnsi="Arial" w:cs="Arial"/>
          <w:sz w:val="22"/>
          <w:bdr w:val="none" w:sz="0" w:space="0" w:color="auto" w:frame="1"/>
          <w:lang w:eastAsia="es-CO"/>
        </w:rPr>
        <w:tab/>
        <w:t xml:space="preserve">Así mismo la Agencia Nacional de Contratación Pública – Colombia Compra Eficiente ha puesto a disposición de las entidades y la ciudadanía una herramienta web en la que se encuentran cada uno de los componentes de los distintos niveles de los que consta el clasificador, traducidos al español. Esta facilita la conformación de los correspondientes códigos, y puede consultarse en la página web: </w:t>
      </w:r>
      <w:hyperlink r:id="rId13" w:history="1">
        <w:r w:rsidRPr="00363ED4">
          <w:rPr>
            <w:rStyle w:val="Hipervnculo"/>
            <w:rFonts w:ascii="Arial" w:hAnsi="Arial" w:cs="Arial"/>
            <w:sz w:val="22"/>
            <w:bdr w:val="none" w:sz="0" w:space="0" w:color="auto" w:frame="1"/>
            <w:lang w:eastAsia="es-CO"/>
          </w:rPr>
          <w:t>https://www.colombiacompra.gov.co/clasificador-de-bienes-y-Servicios</w:t>
        </w:r>
      </w:hyperlink>
    </w:p>
    <w:p w14:paraId="7C7171B8" w14:textId="77777777" w:rsidR="001C42F7" w:rsidRPr="00363ED4" w:rsidRDefault="001C42F7" w:rsidP="001C42F7">
      <w:pPr>
        <w:shd w:val="clear" w:color="auto" w:fill="FFFFFF"/>
        <w:spacing w:line="276" w:lineRule="auto"/>
        <w:jc w:val="both"/>
        <w:textAlignment w:val="baseline"/>
        <w:rPr>
          <w:rStyle w:val="Hipervnculo"/>
          <w:rFonts w:ascii="Arial" w:hAnsi="Arial" w:cs="Arial"/>
          <w:sz w:val="22"/>
          <w:bdr w:val="none" w:sz="0" w:space="0" w:color="auto" w:frame="1"/>
          <w:lang w:eastAsia="es-CO"/>
        </w:rPr>
      </w:pPr>
    </w:p>
    <w:p w14:paraId="682A5643" w14:textId="2EE522D4" w:rsidR="00E401C0" w:rsidRPr="00363ED4" w:rsidRDefault="00E401C0" w:rsidP="00E401C0">
      <w:pPr>
        <w:spacing w:line="276" w:lineRule="auto"/>
        <w:ind w:right="49"/>
        <w:jc w:val="both"/>
        <w:rPr>
          <w:rFonts w:ascii="Arial" w:hAnsi="Arial" w:cs="Arial"/>
          <w:b/>
          <w:bCs/>
          <w:color w:val="000000" w:themeColor="text1"/>
          <w:sz w:val="22"/>
          <w:szCs w:val="22"/>
        </w:rPr>
      </w:pPr>
      <w:r w:rsidRPr="00363ED4">
        <w:rPr>
          <w:rFonts w:ascii="Arial" w:hAnsi="Arial" w:cs="Arial"/>
          <w:b/>
          <w:bCs/>
          <w:color w:val="000000" w:themeColor="text1"/>
          <w:sz w:val="22"/>
          <w:szCs w:val="22"/>
        </w:rPr>
        <w:t xml:space="preserve">3. Respuesta </w:t>
      </w:r>
    </w:p>
    <w:p w14:paraId="4FAB395F" w14:textId="0CDE806C" w:rsidR="00BA4F0B" w:rsidRPr="00363ED4" w:rsidRDefault="00BA4F0B" w:rsidP="00204EC8">
      <w:pPr>
        <w:jc w:val="both"/>
        <w:rPr>
          <w:rFonts w:ascii="Arial" w:hAnsi="Arial" w:cs="Arial"/>
          <w:color w:val="000000" w:themeColor="text1"/>
          <w:sz w:val="22"/>
        </w:rPr>
      </w:pPr>
    </w:p>
    <w:p w14:paraId="03DAC2D2" w14:textId="77777777" w:rsidR="001C42F7" w:rsidRPr="00363ED4" w:rsidRDefault="001C42F7" w:rsidP="001500B5">
      <w:pPr>
        <w:ind w:left="709" w:right="709"/>
        <w:jc w:val="both"/>
        <w:rPr>
          <w:rFonts w:ascii="Arial" w:hAnsi="Arial" w:cs="Arial"/>
          <w:bCs/>
          <w:sz w:val="21"/>
          <w:szCs w:val="21"/>
          <w:lang w:val="es-MX" w:eastAsia="es-ES_tradnl"/>
        </w:rPr>
      </w:pPr>
      <w:r w:rsidRPr="00363ED4">
        <w:rPr>
          <w:rFonts w:ascii="Arial" w:hAnsi="Arial" w:cs="Arial"/>
          <w:bCs/>
          <w:sz w:val="21"/>
          <w:szCs w:val="21"/>
          <w:lang w:eastAsia="es-ES_tradnl"/>
        </w:rPr>
        <w:t>«</w:t>
      </w:r>
      <w:r w:rsidRPr="00363ED4">
        <w:rPr>
          <w:rFonts w:ascii="Arial" w:hAnsi="Arial" w:cs="Arial"/>
          <w:bCs/>
          <w:sz w:val="21"/>
          <w:szCs w:val="21"/>
          <w:lang w:val="es-MX" w:eastAsia="es-ES_tradnl"/>
        </w:rPr>
        <w:t>Quisiera elevar la consulta, relacionada si en el Registro Único de proponentes se pueden inscribir o clasificar códigos en el clasificador de bienes y servicios UNSPSC, de bienes y o servicios que no se encuentran incluidos o suministrados dentro de un contrato con el cual yo estoy acreditando la experiencia y clasificándola en el RUP, como es el caso de incluir códigos en un contrato de suministro de mobiliario y que en el alcance o descripción de los bienes y/o servicios suministrados esta detallado y evidenciado lo que se suministro pero en el RUP se incluyen en el clasificador de bienes y servicios UNSPSC codigos que nada tienen que ver con los bienes o servicios como es el caso incluir codigos con otras actividades como son incluir códigos de animales, alimentos, combustible nuclear, ensambladoras, embarcaciones maritimas comerciales, embarcaciones militares, naves espaciales, satélites, equipos para reactores nucleares, componentes de robot, misiles y que en un contrato donde se suministran 20 bienes muebles por colocar un ejemplo suministrar 10 sillas y 10 meses y pueda incluir hasta en muchos casos evidenciados hasta 1.000 o 2.000 códigos con otros bienes o servicios diferentes a los suministrados.</w:t>
      </w:r>
    </w:p>
    <w:p w14:paraId="7A70A264" w14:textId="77777777" w:rsidR="001C42F7" w:rsidRPr="00363ED4" w:rsidRDefault="001C42F7" w:rsidP="001500B5">
      <w:pPr>
        <w:ind w:left="709" w:right="709"/>
        <w:jc w:val="both"/>
        <w:rPr>
          <w:rFonts w:ascii="Arial" w:hAnsi="Arial" w:cs="Arial"/>
          <w:bCs/>
          <w:sz w:val="21"/>
          <w:szCs w:val="21"/>
          <w:lang w:val="es-MX" w:eastAsia="es-ES_tradnl"/>
        </w:rPr>
      </w:pPr>
    </w:p>
    <w:p w14:paraId="5A5468AD" w14:textId="6097AEA3" w:rsidR="001C42F7" w:rsidRPr="00363ED4" w:rsidRDefault="001C42F7" w:rsidP="001500B5">
      <w:pPr>
        <w:ind w:left="709" w:right="709"/>
        <w:jc w:val="both"/>
        <w:rPr>
          <w:rFonts w:ascii="Arial" w:hAnsi="Arial" w:cs="Arial"/>
          <w:bCs/>
          <w:sz w:val="21"/>
          <w:szCs w:val="21"/>
          <w:lang w:val="es-MX" w:eastAsia="es-ES_tradnl"/>
        </w:rPr>
      </w:pPr>
      <w:r w:rsidRPr="00363ED4">
        <w:rPr>
          <w:rFonts w:ascii="Arial" w:hAnsi="Arial" w:cs="Arial"/>
          <w:bCs/>
          <w:sz w:val="21"/>
          <w:szCs w:val="21"/>
          <w:lang w:val="es-MX" w:eastAsia="es-ES_tradnl"/>
        </w:rPr>
        <w:t>Teniendo en cuanto lo descrito en la SUBSECCIÓN 5 RESISTRO ÚNICO DE PROPONENTES (RUP) Artículo 2.2.1.1.1.5.2 Información para inscripción, renovación o actualización del Decreto 1082 de 2015, se solita claridad en este tema</w:t>
      </w:r>
      <w:r w:rsidRPr="00363ED4">
        <w:rPr>
          <w:rFonts w:ascii="Arial" w:hAnsi="Arial" w:cs="Arial"/>
          <w:bCs/>
          <w:sz w:val="21"/>
          <w:szCs w:val="21"/>
          <w:lang w:eastAsia="es-ES_tradnl"/>
        </w:rPr>
        <w:t>»</w:t>
      </w:r>
      <w:r w:rsidR="00E601F3">
        <w:rPr>
          <w:rFonts w:ascii="Arial" w:hAnsi="Arial" w:cs="Arial"/>
          <w:bCs/>
          <w:sz w:val="21"/>
          <w:szCs w:val="21"/>
          <w:lang w:eastAsia="es-ES_tradnl"/>
        </w:rPr>
        <w:t xml:space="preserve"> </w:t>
      </w:r>
      <w:r w:rsidR="00E601F3" w:rsidRPr="00363ED4">
        <w:rPr>
          <w:rFonts w:ascii="Arial" w:hAnsi="Arial" w:cs="Arial"/>
          <w:bCs/>
          <w:sz w:val="21"/>
          <w:szCs w:val="21"/>
          <w:lang w:val="es-MX" w:eastAsia="es-ES_tradnl"/>
        </w:rPr>
        <w:t>[</w:t>
      </w:r>
      <w:r w:rsidR="00E601F3">
        <w:rPr>
          <w:rFonts w:ascii="Arial" w:hAnsi="Arial" w:cs="Arial"/>
          <w:bCs/>
          <w:sz w:val="21"/>
          <w:szCs w:val="21"/>
          <w:lang w:val="es-MX" w:eastAsia="es-ES_tradnl"/>
        </w:rPr>
        <w:t>S</w:t>
      </w:r>
      <w:r w:rsidR="00E601F3" w:rsidRPr="00363ED4">
        <w:rPr>
          <w:rFonts w:ascii="Arial" w:hAnsi="Arial" w:cs="Arial"/>
          <w:bCs/>
          <w:sz w:val="21"/>
          <w:szCs w:val="21"/>
          <w:lang w:val="es-MX" w:eastAsia="es-ES_tradnl"/>
        </w:rPr>
        <w:t>ic]</w:t>
      </w:r>
      <w:r w:rsidRPr="00363ED4">
        <w:rPr>
          <w:rFonts w:ascii="Arial" w:hAnsi="Arial" w:cs="Arial"/>
          <w:bCs/>
          <w:sz w:val="21"/>
          <w:szCs w:val="21"/>
          <w:lang w:eastAsia="es-ES_tradnl"/>
        </w:rPr>
        <w:t xml:space="preserve"> </w:t>
      </w:r>
      <w:bookmarkStart w:id="12" w:name="_2grqrue" w:colFirst="0" w:colLast="0"/>
      <w:bookmarkEnd w:id="12"/>
    </w:p>
    <w:p w14:paraId="1A617AC0" w14:textId="77777777" w:rsidR="009D22B5" w:rsidRPr="009968C3" w:rsidRDefault="003E0C20" w:rsidP="009D22B5">
      <w:pPr>
        <w:pStyle w:val="NormalWeb"/>
        <w:shd w:val="clear" w:color="auto" w:fill="FFFFFF"/>
        <w:spacing w:after="120" w:afterAutospacing="0" w:line="276" w:lineRule="auto"/>
        <w:jc w:val="both"/>
        <w:rPr>
          <w:rFonts w:ascii="Arial" w:eastAsia="Arial" w:hAnsi="Arial" w:cs="Arial"/>
          <w:color w:val="000000"/>
          <w:sz w:val="22"/>
          <w:szCs w:val="22"/>
          <w:lang w:eastAsia="es-ES_tradnl"/>
        </w:rPr>
      </w:pPr>
      <w:r w:rsidRPr="009968C3">
        <w:rPr>
          <w:rFonts w:ascii="Arial" w:eastAsia="Arial" w:hAnsi="Arial" w:cs="Arial"/>
          <w:color w:val="000000"/>
          <w:sz w:val="22"/>
          <w:szCs w:val="22"/>
          <w:lang w:eastAsia="es-ES_tradnl"/>
        </w:rPr>
        <w:t xml:space="preserve">De acuerdo con lo manifestado </w:t>
      </w:r>
      <w:r w:rsidRPr="001500B5">
        <w:rPr>
          <w:rFonts w:ascii="Arial" w:eastAsia="Arial" w:hAnsi="Arial" w:cs="Arial"/>
          <w:i/>
          <w:iCs/>
          <w:color w:val="000000"/>
          <w:sz w:val="22"/>
          <w:szCs w:val="22"/>
          <w:lang w:eastAsia="es-ES_tradnl"/>
        </w:rPr>
        <w:t>ut supra</w:t>
      </w:r>
      <w:r w:rsidRPr="009968C3">
        <w:rPr>
          <w:rFonts w:ascii="Arial" w:eastAsia="Arial" w:hAnsi="Arial" w:cs="Arial"/>
          <w:color w:val="000000"/>
          <w:sz w:val="22"/>
          <w:szCs w:val="22"/>
          <w:lang w:eastAsia="es-ES_tradnl"/>
        </w:rPr>
        <w:t>, se precisa que la Agencia Nacional de Contratación Pública tiene competencia para atender consultas relativas a temas contractuales, pero solo para absolver consultas sobre la aplicación de normas de carácter general. Por ello, resolver casos particulares</w:t>
      </w:r>
      <w:r w:rsidR="00FB6DCD" w:rsidRPr="009968C3">
        <w:rPr>
          <w:rFonts w:ascii="Arial" w:eastAsia="Arial" w:hAnsi="Arial" w:cs="Arial"/>
          <w:color w:val="000000"/>
          <w:sz w:val="22"/>
          <w:szCs w:val="22"/>
          <w:lang w:eastAsia="es-ES_tradnl"/>
        </w:rPr>
        <w:t>,</w:t>
      </w:r>
      <w:r w:rsidRPr="009968C3">
        <w:rPr>
          <w:rFonts w:ascii="Arial" w:eastAsia="Arial" w:hAnsi="Arial" w:cs="Arial"/>
          <w:color w:val="000000"/>
          <w:sz w:val="22"/>
          <w:szCs w:val="22"/>
          <w:lang w:eastAsia="es-ES_tradnl"/>
        </w:rPr>
        <w:t xml:space="preserve"> conceptuar sobre el alcance de normas ajenas a la contratación estatal</w:t>
      </w:r>
      <w:r w:rsidR="00FB6DCD" w:rsidRPr="009968C3">
        <w:rPr>
          <w:rFonts w:ascii="Arial" w:eastAsia="Arial" w:hAnsi="Arial" w:cs="Arial"/>
          <w:color w:val="000000"/>
          <w:sz w:val="22"/>
          <w:szCs w:val="22"/>
          <w:lang w:eastAsia="es-ES_tradnl"/>
        </w:rPr>
        <w:t xml:space="preserve"> o brindar asesorías sobre situaciones específicas</w:t>
      </w:r>
      <w:r w:rsidRPr="009968C3">
        <w:rPr>
          <w:rFonts w:ascii="Arial" w:eastAsia="Arial" w:hAnsi="Arial" w:cs="Arial"/>
          <w:color w:val="000000"/>
          <w:sz w:val="22"/>
          <w:szCs w:val="22"/>
          <w:lang w:eastAsia="es-ES_tradnl"/>
        </w:rPr>
        <w:t xml:space="preserve"> desborda las atribuciones asignadas por el legislador extraordinario, que no concibió a Colombia </w:t>
      </w:r>
      <w:r w:rsidRPr="009968C3">
        <w:rPr>
          <w:rFonts w:ascii="Arial" w:eastAsia="Arial" w:hAnsi="Arial" w:cs="Arial"/>
          <w:color w:val="000000"/>
          <w:sz w:val="22"/>
          <w:szCs w:val="22"/>
          <w:lang w:eastAsia="es-ES_tradnl"/>
        </w:rPr>
        <w:lastRenderedPageBreak/>
        <w:t>Compra Eficiente como una autoridad para solucionar problemas jurídicos particulares de todos los partícipes de la contratación estatal ni para interpretar el alcance de cualquier norma vigente en el ordenamiento jurídico.</w:t>
      </w:r>
    </w:p>
    <w:p w14:paraId="5B108A4B" w14:textId="27C21074" w:rsidR="00B02078" w:rsidRPr="001500B5" w:rsidRDefault="009D22B5" w:rsidP="001500B5">
      <w:pPr>
        <w:pStyle w:val="NormalWeb"/>
        <w:shd w:val="clear" w:color="auto" w:fill="FFFFFF"/>
        <w:spacing w:before="0" w:beforeAutospacing="0" w:after="120" w:afterAutospacing="0" w:line="276" w:lineRule="auto"/>
        <w:ind w:firstLine="708"/>
        <w:jc w:val="both"/>
        <w:rPr>
          <w:rFonts w:ascii="Arial" w:hAnsi="Arial" w:cs="Arial"/>
          <w:color w:val="333333"/>
          <w:sz w:val="22"/>
          <w:szCs w:val="22"/>
          <w:lang w:val="es-ES"/>
        </w:rPr>
      </w:pPr>
      <w:r w:rsidRPr="009968C3">
        <w:rPr>
          <w:rFonts w:ascii="Arial" w:eastAsia="Arial" w:hAnsi="Arial" w:cs="Arial"/>
          <w:color w:val="000000"/>
          <w:sz w:val="22"/>
          <w:szCs w:val="22"/>
          <w:lang w:eastAsia="es-ES_tradnl"/>
        </w:rPr>
        <w:t xml:space="preserve">Por demás, </w:t>
      </w:r>
      <w:r w:rsidR="00152152" w:rsidRPr="009968C3">
        <w:rPr>
          <w:rFonts w:ascii="Arial" w:eastAsia="Arial" w:hAnsi="Arial" w:cs="Arial"/>
          <w:color w:val="000000"/>
          <w:sz w:val="22"/>
          <w:szCs w:val="22"/>
          <w:lang w:eastAsia="es-ES_tradnl"/>
        </w:rPr>
        <w:t>de acuerdo con</w:t>
      </w:r>
      <w:r w:rsidR="00C113D9" w:rsidRPr="009968C3">
        <w:rPr>
          <w:rFonts w:ascii="Arial" w:eastAsia="Arial" w:hAnsi="Arial" w:cs="Arial"/>
          <w:color w:val="000000"/>
          <w:sz w:val="22"/>
          <w:szCs w:val="22"/>
          <w:lang w:eastAsia="es-ES_tradnl"/>
        </w:rPr>
        <w:t xml:space="preserve"> </w:t>
      </w:r>
      <w:r w:rsidR="00152152" w:rsidRPr="009968C3">
        <w:rPr>
          <w:rFonts w:ascii="Arial" w:eastAsia="Arial" w:hAnsi="Arial" w:cs="Arial"/>
          <w:color w:val="000000"/>
          <w:sz w:val="22"/>
          <w:szCs w:val="22"/>
          <w:lang w:eastAsia="es-ES_tradnl"/>
        </w:rPr>
        <w:t xml:space="preserve">las </w:t>
      </w:r>
      <w:r w:rsidR="00C113D9" w:rsidRPr="009968C3">
        <w:rPr>
          <w:rFonts w:ascii="Arial" w:eastAsia="Arial" w:hAnsi="Arial" w:cs="Arial"/>
          <w:color w:val="000000"/>
          <w:sz w:val="22"/>
          <w:szCs w:val="22"/>
          <w:lang w:eastAsia="es-ES_tradnl"/>
        </w:rPr>
        <w:t>consideraciones</w:t>
      </w:r>
      <w:r w:rsidR="00152152" w:rsidRPr="009968C3">
        <w:rPr>
          <w:rFonts w:ascii="Arial" w:eastAsia="Arial" w:hAnsi="Arial" w:cs="Arial"/>
          <w:color w:val="000000"/>
          <w:sz w:val="22"/>
          <w:szCs w:val="22"/>
          <w:lang w:eastAsia="es-ES_tradnl"/>
        </w:rPr>
        <w:t xml:space="preserve"> expuestas</w:t>
      </w:r>
      <w:r w:rsidR="00C113D9" w:rsidRPr="009968C3">
        <w:rPr>
          <w:rFonts w:ascii="Arial" w:eastAsia="Arial" w:hAnsi="Arial" w:cs="Arial"/>
          <w:color w:val="000000"/>
          <w:sz w:val="22"/>
          <w:szCs w:val="22"/>
          <w:lang w:eastAsia="es-ES_tradnl"/>
        </w:rPr>
        <w:t>,</w:t>
      </w:r>
      <w:r w:rsidR="00152152" w:rsidRPr="009968C3">
        <w:rPr>
          <w:rFonts w:ascii="Arial" w:eastAsia="Arial" w:hAnsi="Arial" w:cs="Arial"/>
          <w:color w:val="000000"/>
          <w:sz w:val="22"/>
          <w:szCs w:val="22"/>
          <w:lang w:eastAsia="es-ES_tradnl"/>
        </w:rPr>
        <w:t xml:space="preserve"> en relación con el tema objeto de consulta es posible afirmar que</w:t>
      </w:r>
      <w:r w:rsidR="00C113D9" w:rsidRPr="009968C3">
        <w:rPr>
          <w:rFonts w:ascii="Arial" w:eastAsia="Arial" w:hAnsi="Arial" w:cs="Arial"/>
          <w:color w:val="000000"/>
          <w:sz w:val="22"/>
          <w:szCs w:val="22"/>
          <w:lang w:eastAsia="es-ES_tradnl"/>
        </w:rPr>
        <w:t xml:space="preserve"> </w:t>
      </w:r>
      <w:r w:rsidR="00B02078" w:rsidRPr="009968C3">
        <w:rPr>
          <w:rFonts w:ascii="Arial" w:hAnsi="Arial" w:cs="Arial"/>
          <w:sz w:val="22"/>
          <w:szCs w:val="22"/>
        </w:rPr>
        <w:t>el Registro Único de Proponentes es un instrumento en el que consta la información</w:t>
      </w:r>
      <w:r w:rsidR="00B02078" w:rsidRPr="009968C3">
        <w:rPr>
          <w:rFonts w:ascii="Arial" w:hAnsi="Arial" w:cs="Arial"/>
          <w:spacing w:val="1"/>
          <w:sz w:val="22"/>
          <w:szCs w:val="22"/>
        </w:rPr>
        <w:t xml:space="preserve"> </w:t>
      </w:r>
      <w:r w:rsidR="00B02078" w:rsidRPr="009968C3">
        <w:rPr>
          <w:rFonts w:ascii="Arial" w:hAnsi="Arial" w:cs="Arial"/>
          <w:sz w:val="22"/>
          <w:szCs w:val="22"/>
        </w:rPr>
        <w:t>relacionada</w:t>
      </w:r>
      <w:r w:rsidR="00B02078" w:rsidRPr="009968C3">
        <w:rPr>
          <w:rFonts w:ascii="Arial" w:hAnsi="Arial" w:cs="Arial"/>
          <w:spacing w:val="-6"/>
          <w:sz w:val="22"/>
          <w:szCs w:val="22"/>
        </w:rPr>
        <w:t xml:space="preserve"> </w:t>
      </w:r>
      <w:r w:rsidR="00B02078" w:rsidRPr="009968C3">
        <w:rPr>
          <w:rFonts w:ascii="Arial" w:hAnsi="Arial" w:cs="Arial"/>
          <w:sz w:val="22"/>
          <w:szCs w:val="22"/>
        </w:rPr>
        <w:t>con</w:t>
      </w:r>
      <w:r w:rsidR="00B02078" w:rsidRPr="009968C3">
        <w:rPr>
          <w:rFonts w:ascii="Arial" w:hAnsi="Arial" w:cs="Arial"/>
          <w:spacing w:val="-5"/>
          <w:sz w:val="22"/>
          <w:szCs w:val="22"/>
        </w:rPr>
        <w:t xml:space="preserve"> </w:t>
      </w:r>
      <w:r w:rsidR="00B02078" w:rsidRPr="009968C3">
        <w:rPr>
          <w:rFonts w:ascii="Arial" w:hAnsi="Arial" w:cs="Arial"/>
          <w:sz w:val="22"/>
          <w:szCs w:val="22"/>
        </w:rPr>
        <w:t>las</w:t>
      </w:r>
      <w:r w:rsidR="00B02078" w:rsidRPr="009968C3">
        <w:rPr>
          <w:rFonts w:ascii="Arial" w:hAnsi="Arial" w:cs="Arial"/>
          <w:spacing w:val="-5"/>
          <w:sz w:val="22"/>
          <w:szCs w:val="22"/>
        </w:rPr>
        <w:t xml:space="preserve"> </w:t>
      </w:r>
      <w:r w:rsidR="00B02078" w:rsidRPr="009968C3">
        <w:rPr>
          <w:rFonts w:ascii="Arial" w:hAnsi="Arial" w:cs="Arial"/>
          <w:sz w:val="22"/>
          <w:szCs w:val="22"/>
        </w:rPr>
        <w:t>personas</w:t>
      </w:r>
      <w:r w:rsidR="00B02078" w:rsidRPr="009968C3">
        <w:rPr>
          <w:rFonts w:ascii="Arial" w:hAnsi="Arial" w:cs="Arial"/>
          <w:spacing w:val="-5"/>
          <w:sz w:val="22"/>
          <w:szCs w:val="22"/>
        </w:rPr>
        <w:t xml:space="preserve"> </w:t>
      </w:r>
      <w:r w:rsidR="00B02078" w:rsidRPr="009968C3">
        <w:rPr>
          <w:rFonts w:ascii="Arial" w:hAnsi="Arial" w:cs="Arial"/>
          <w:sz w:val="22"/>
          <w:szCs w:val="22"/>
        </w:rPr>
        <w:t>naturales</w:t>
      </w:r>
      <w:r w:rsidR="00B02078" w:rsidRPr="009968C3">
        <w:rPr>
          <w:rFonts w:ascii="Arial" w:hAnsi="Arial" w:cs="Arial"/>
          <w:spacing w:val="-5"/>
          <w:sz w:val="22"/>
          <w:szCs w:val="22"/>
        </w:rPr>
        <w:t xml:space="preserve"> </w:t>
      </w:r>
      <w:r w:rsidR="00B02078" w:rsidRPr="009968C3">
        <w:rPr>
          <w:rFonts w:ascii="Arial" w:hAnsi="Arial" w:cs="Arial"/>
          <w:sz w:val="22"/>
          <w:szCs w:val="22"/>
        </w:rPr>
        <w:t>y</w:t>
      </w:r>
      <w:r w:rsidR="00B02078" w:rsidRPr="009968C3">
        <w:rPr>
          <w:rFonts w:ascii="Arial" w:hAnsi="Arial" w:cs="Arial"/>
          <w:spacing w:val="-5"/>
          <w:sz w:val="22"/>
          <w:szCs w:val="22"/>
        </w:rPr>
        <w:t xml:space="preserve"> </w:t>
      </w:r>
      <w:r w:rsidR="00B02078" w:rsidRPr="009968C3">
        <w:rPr>
          <w:rFonts w:ascii="Arial" w:hAnsi="Arial" w:cs="Arial"/>
          <w:sz w:val="22"/>
          <w:szCs w:val="22"/>
        </w:rPr>
        <w:t>jurídicas</w:t>
      </w:r>
      <w:r w:rsidR="00B02078" w:rsidRPr="009968C3">
        <w:rPr>
          <w:rFonts w:ascii="Arial" w:hAnsi="Arial" w:cs="Arial"/>
          <w:spacing w:val="-5"/>
          <w:sz w:val="22"/>
          <w:szCs w:val="22"/>
        </w:rPr>
        <w:t xml:space="preserve"> </w:t>
      </w:r>
      <w:r w:rsidR="00B02078" w:rsidRPr="009968C3">
        <w:rPr>
          <w:rFonts w:ascii="Arial" w:hAnsi="Arial" w:cs="Arial"/>
          <w:sz w:val="22"/>
          <w:szCs w:val="22"/>
        </w:rPr>
        <w:t>con</w:t>
      </w:r>
      <w:r w:rsidR="00B02078" w:rsidRPr="009968C3">
        <w:rPr>
          <w:rFonts w:ascii="Arial" w:hAnsi="Arial" w:cs="Arial"/>
          <w:spacing w:val="-5"/>
          <w:sz w:val="22"/>
          <w:szCs w:val="22"/>
        </w:rPr>
        <w:t xml:space="preserve"> </w:t>
      </w:r>
      <w:r w:rsidR="00B02078" w:rsidRPr="009968C3">
        <w:rPr>
          <w:rFonts w:ascii="Arial" w:hAnsi="Arial" w:cs="Arial"/>
          <w:sz w:val="22"/>
          <w:szCs w:val="22"/>
        </w:rPr>
        <w:t>el</w:t>
      </w:r>
      <w:r w:rsidR="00B02078" w:rsidRPr="009968C3">
        <w:rPr>
          <w:rFonts w:ascii="Arial" w:hAnsi="Arial" w:cs="Arial"/>
          <w:spacing w:val="-5"/>
          <w:sz w:val="22"/>
          <w:szCs w:val="22"/>
        </w:rPr>
        <w:t xml:space="preserve"> </w:t>
      </w:r>
      <w:r w:rsidR="00B02078" w:rsidRPr="009968C3">
        <w:rPr>
          <w:rFonts w:ascii="Arial" w:hAnsi="Arial" w:cs="Arial"/>
          <w:sz w:val="22"/>
          <w:szCs w:val="22"/>
        </w:rPr>
        <w:t>fin</w:t>
      </w:r>
      <w:r w:rsidR="00B02078" w:rsidRPr="009968C3">
        <w:rPr>
          <w:rFonts w:ascii="Arial" w:hAnsi="Arial" w:cs="Arial"/>
          <w:spacing w:val="-5"/>
          <w:sz w:val="22"/>
          <w:szCs w:val="22"/>
        </w:rPr>
        <w:t xml:space="preserve"> </w:t>
      </w:r>
      <w:r w:rsidR="00B02078" w:rsidRPr="009968C3">
        <w:rPr>
          <w:rFonts w:ascii="Arial" w:hAnsi="Arial" w:cs="Arial"/>
          <w:sz w:val="22"/>
          <w:szCs w:val="22"/>
        </w:rPr>
        <w:t>de</w:t>
      </w:r>
      <w:r w:rsidR="00B02078" w:rsidRPr="009968C3">
        <w:rPr>
          <w:rFonts w:ascii="Arial" w:hAnsi="Arial" w:cs="Arial"/>
          <w:spacing w:val="-5"/>
          <w:sz w:val="22"/>
          <w:szCs w:val="22"/>
        </w:rPr>
        <w:t xml:space="preserve"> </w:t>
      </w:r>
      <w:r w:rsidR="00B02078" w:rsidRPr="009968C3">
        <w:rPr>
          <w:rFonts w:ascii="Arial" w:hAnsi="Arial" w:cs="Arial"/>
          <w:sz w:val="22"/>
          <w:szCs w:val="22"/>
        </w:rPr>
        <w:t>que</w:t>
      </w:r>
      <w:r w:rsidR="00B02078" w:rsidRPr="009968C3">
        <w:rPr>
          <w:rFonts w:ascii="Arial" w:hAnsi="Arial" w:cs="Arial"/>
          <w:spacing w:val="-5"/>
          <w:sz w:val="22"/>
          <w:szCs w:val="22"/>
        </w:rPr>
        <w:t xml:space="preserve"> </w:t>
      </w:r>
      <w:r w:rsidR="00B02078" w:rsidRPr="009968C3">
        <w:rPr>
          <w:rFonts w:ascii="Arial" w:hAnsi="Arial" w:cs="Arial"/>
          <w:sz w:val="22"/>
          <w:szCs w:val="22"/>
        </w:rPr>
        <w:t>puedan</w:t>
      </w:r>
      <w:r w:rsidR="00B02078" w:rsidRPr="009968C3">
        <w:rPr>
          <w:rFonts w:ascii="Arial" w:hAnsi="Arial" w:cs="Arial"/>
          <w:spacing w:val="-6"/>
          <w:sz w:val="22"/>
          <w:szCs w:val="22"/>
        </w:rPr>
        <w:t xml:space="preserve"> </w:t>
      </w:r>
      <w:r w:rsidR="00B02078" w:rsidRPr="009968C3">
        <w:rPr>
          <w:rFonts w:ascii="Arial" w:hAnsi="Arial" w:cs="Arial"/>
          <w:sz w:val="22"/>
          <w:szCs w:val="22"/>
        </w:rPr>
        <w:t>participar</w:t>
      </w:r>
      <w:r w:rsidR="00B02078" w:rsidRPr="009968C3">
        <w:rPr>
          <w:rFonts w:ascii="Arial" w:hAnsi="Arial" w:cs="Arial"/>
          <w:spacing w:val="-5"/>
          <w:sz w:val="22"/>
          <w:szCs w:val="22"/>
        </w:rPr>
        <w:t xml:space="preserve"> </w:t>
      </w:r>
      <w:r w:rsidR="00B02078" w:rsidRPr="009968C3">
        <w:rPr>
          <w:rFonts w:ascii="Arial" w:hAnsi="Arial" w:cs="Arial"/>
          <w:sz w:val="22"/>
          <w:szCs w:val="22"/>
        </w:rPr>
        <w:t>en</w:t>
      </w:r>
      <w:r w:rsidR="00B02078" w:rsidRPr="009968C3">
        <w:rPr>
          <w:rFonts w:ascii="Arial" w:hAnsi="Arial" w:cs="Arial"/>
          <w:spacing w:val="-5"/>
          <w:sz w:val="22"/>
          <w:szCs w:val="22"/>
        </w:rPr>
        <w:t xml:space="preserve"> </w:t>
      </w:r>
      <w:r w:rsidR="00B02078" w:rsidRPr="009968C3">
        <w:rPr>
          <w:rFonts w:ascii="Arial" w:hAnsi="Arial" w:cs="Arial"/>
          <w:sz w:val="22"/>
          <w:szCs w:val="22"/>
        </w:rPr>
        <w:t>los</w:t>
      </w:r>
      <w:r w:rsidR="00B02078" w:rsidRPr="009968C3">
        <w:rPr>
          <w:rFonts w:ascii="Arial" w:hAnsi="Arial" w:cs="Arial"/>
          <w:spacing w:val="-58"/>
          <w:sz w:val="22"/>
          <w:szCs w:val="22"/>
        </w:rPr>
        <w:t xml:space="preserve"> </w:t>
      </w:r>
      <w:r w:rsidR="00B02078" w:rsidRPr="009968C3">
        <w:rPr>
          <w:rFonts w:ascii="Arial" w:hAnsi="Arial" w:cs="Arial"/>
          <w:sz w:val="22"/>
          <w:szCs w:val="22"/>
        </w:rPr>
        <w:t>procesos</w:t>
      </w:r>
      <w:r w:rsidR="00B02078" w:rsidRPr="009968C3">
        <w:rPr>
          <w:rFonts w:ascii="Arial" w:hAnsi="Arial" w:cs="Arial"/>
          <w:spacing w:val="1"/>
          <w:sz w:val="22"/>
          <w:szCs w:val="22"/>
        </w:rPr>
        <w:t xml:space="preserve"> </w:t>
      </w:r>
      <w:r w:rsidR="00B02078" w:rsidRPr="009968C3">
        <w:rPr>
          <w:rFonts w:ascii="Arial" w:hAnsi="Arial" w:cs="Arial"/>
          <w:sz w:val="22"/>
          <w:szCs w:val="22"/>
        </w:rPr>
        <w:t>de</w:t>
      </w:r>
      <w:r w:rsidR="00B02078" w:rsidRPr="009968C3">
        <w:rPr>
          <w:rFonts w:ascii="Arial" w:hAnsi="Arial" w:cs="Arial"/>
          <w:spacing w:val="1"/>
          <w:sz w:val="22"/>
          <w:szCs w:val="22"/>
        </w:rPr>
        <w:t xml:space="preserve"> </w:t>
      </w:r>
      <w:r w:rsidR="00B02078" w:rsidRPr="009968C3">
        <w:rPr>
          <w:rFonts w:ascii="Arial" w:hAnsi="Arial" w:cs="Arial"/>
          <w:sz w:val="22"/>
          <w:szCs w:val="22"/>
        </w:rPr>
        <w:t>contratación</w:t>
      </w:r>
      <w:r w:rsidR="00B02078" w:rsidRPr="009968C3">
        <w:rPr>
          <w:rFonts w:ascii="Arial" w:hAnsi="Arial" w:cs="Arial"/>
          <w:spacing w:val="1"/>
          <w:sz w:val="22"/>
          <w:szCs w:val="22"/>
        </w:rPr>
        <w:t xml:space="preserve"> </w:t>
      </w:r>
      <w:r w:rsidR="00B02078" w:rsidRPr="009968C3">
        <w:rPr>
          <w:rFonts w:ascii="Arial" w:hAnsi="Arial" w:cs="Arial"/>
          <w:sz w:val="22"/>
          <w:szCs w:val="22"/>
        </w:rPr>
        <w:t>realizados</w:t>
      </w:r>
      <w:r w:rsidR="00B02078" w:rsidRPr="009968C3">
        <w:rPr>
          <w:rFonts w:ascii="Arial" w:hAnsi="Arial" w:cs="Arial"/>
          <w:spacing w:val="1"/>
          <w:sz w:val="22"/>
          <w:szCs w:val="22"/>
        </w:rPr>
        <w:t xml:space="preserve"> </w:t>
      </w:r>
      <w:r w:rsidR="00B02078" w:rsidRPr="009968C3">
        <w:rPr>
          <w:rFonts w:ascii="Arial" w:hAnsi="Arial" w:cs="Arial"/>
          <w:sz w:val="22"/>
          <w:szCs w:val="22"/>
        </w:rPr>
        <w:t>por</w:t>
      </w:r>
      <w:r w:rsidR="00B02078" w:rsidRPr="009968C3">
        <w:rPr>
          <w:rFonts w:ascii="Arial" w:hAnsi="Arial" w:cs="Arial"/>
          <w:spacing w:val="1"/>
          <w:sz w:val="22"/>
          <w:szCs w:val="22"/>
        </w:rPr>
        <w:t xml:space="preserve"> </w:t>
      </w:r>
      <w:r w:rsidR="00B02078" w:rsidRPr="009968C3">
        <w:rPr>
          <w:rFonts w:ascii="Arial" w:hAnsi="Arial" w:cs="Arial"/>
          <w:sz w:val="22"/>
          <w:szCs w:val="22"/>
        </w:rPr>
        <w:t>las</w:t>
      </w:r>
      <w:r w:rsidR="00B02078" w:rsidRPr="009968C3">
        <w:rPr>
          <w:rFonts w:ascii="Arial" w:hAnsi="Arial" w:cs="Arial"/>
          <w:spacing w:val="1"/>
          <w:sz w:val="22"/>
          <w:szCs w:val="22"/>
        </w:rPr>
        <w:t xml:space="preserve"> </w:t>
      </w:r>
      <w:r w:rsidR="00B02078" w:rsidRPr="009968C3">
        <w:rPr>
          <w:rFonts w:ascii="Arial" w:hAnsi="Arial" w:cs="Arial"/>
          <w:sz w:val="22"/>
          <w:szCs w:val="22"/>
        </w:rPr>
        <w:t>entidades</w:t>
      </w:r>
      <w:r w:rsidR="00B02078" w:rsidRPr="009968C3">
        <w:rPr>
          <w:rFonts w:ascii="Arial" w:hAnsi="Arial" w:cs="Arial"/>
          <w:spacing w:val="1"/>
          <w:sz w:val="22"/>
          <w:szCs w:val="22"/>
        </w:rPr>
        <w:t xml:space="preserve"> </w:t>
      </w:r>
      <w:r w:rsidR="00B02078" w:rsidRPr="009968C3">
        <w:rPr>
          <w:rFonts w:ascii="Arial" w:hAnsi="Arial" w:cs="Arial"/>
          <w:sz w:val="22"/>
          <w:szCs w:val="22"/>
        </w:rPr>
        <w:t>estatales,</w:t>
      </w:r>
      <w:r w:rsidR="00B02078" w:rsidRPr="009968C3">
        <w:rPr>
          <w:rFonts w:ascii="Arial" w:hAnsi="Arial" w:cs="Arial"/>
          <w:spacing w:val="1"/>
          <w:sz w:val="22"/>
          <w:szCs w:val="22"/>
        </w:rPr>
        <w:t xml:space="preserve"> </w:t>
      </w:r>
      <w:r w:rsidR="00B02078" w:rsidRPr="009968C3">
        <w:rPr>
          <w:rFonts w:ascii="Arial" w:hAnsi="Arial" w:cs="Arial"/>
          <w:sz w:val="22"/>
          <w:szCs w:val="22"/>
        </w:rPr>
        <w:t>y</w:t>
      </w:r>
      <w:r w:rsidR="00B02078" w:rsidRPr="009968C3">
        <w:rPr>
          <w:rFonts w:ascii="Arial" w:hAnsi="Arial" w:cs="Arial"/>
          <w:spacing w:val="1"/>
          <w:sz w:val="22"/>
          <w:szCs w:val="22"/>
        </w:rPr>
        <w:t xml:space="preserve"> </w:t>
      </w:r>
      <w:r w:rsidR="00B02078" w:rsidRPr="009968C3">
        <w:rPr>
          <w:rFonts w:ascii="Arial" w:hAnsi="Arial" w:cs="Arial"/>
          <w:sz w:val="22"/>
          <w:szCs w:val="22"/>
        </w:rPr>
        <w:t>tiene</w:t>
      </w:r>
      <w:r w:rsidR="00B02078" w:rsidRPr="009968C3">
        <w:rPr>
          <w:rFonts w:ascii="Arial" w:hAnsi="Arial" w:cs="Arial"/>
          <w:spacing w:val="1"/>
          <w:sz w:val="22"/>
          <w:szCs w:val="22"/>
        </w:rPr>
        <w:t xml:space="preserve"> </w:t>
      </w:r>
      <w:r w:rsidR="00B02078" w:rsidRPr="009968C3">
        <w:rPr>
          <w:rFonts w:ascii="Arial" w:hAnsi="Arial" w:cs="Arial"/>
          <w:sz w:val="22"/>
          <w:szCs w:val="22"/>
        </w:rPr>
        <w:t>por</w:t>
      </w:r>
      <w:r w:rsidR="00B02078" w:rsidRPr="009968C3">
        <w:rPr>
          <w:rFonts w:ascii="Arial" w:hAnsi="Arial" w:cs="Arial"/>
          <w:spacing w:val="1"/>
          <w:sz w:val="22"/>
          <w:szCs w:val="22"/>
        </w:rPr>
        <w:t xml:space="preserve"> </w:t>
      </w:r>
      <w:r w:rsidR="00B02078" w:rsidRPr="009968C3">
        <w:rPr>
          <w:rFonts w:ascii="Arial" w:hAnsi="Arial" w:cs="Arial"/>
          <w:sz w:val="22"/>
          <w:szCs w:val="22"/>
        </w:rPr>
        <w:t>objeto</w:t>
      </w:r>
      <w:r w:rsidR="00B02078" w:rsidRPr="009968C3">
        <w:rPr>
          <w:rFonts w:ascii="Arial" w:hAnsi="Arial" w:cs="Arial"/>
          <w:spacing w:val="1"/>
          <w:sz w:val="22"/>
          <w:szCs w:val="22"/>
        </w:rPr>
        <w:t xml:space="preserve"> </w:t>
      </w:r>
      <w:r w:rsidR="00B02078" w:rsidRPr="009968C3">
        <w:rPr>
          <w:rFonts w:ascii="Arial" w:hAnsi="Arial" w:cs="Arial"/>
          <w:sz w:val="22"/>
          <w:szCs w:val="22"/>
        </w:rPr>
        <w:t>contemplar en un único documento la información relativa a la capacidad jurídica, técnica,</w:t>
      </w:r>
      <w:r w:rsidR="00B02078" w:rsidRPr="009968C3">
        <w:rPr>
          <w:rFonts w:ascii="Arial" w:hAnsi="Arial" w:cs="Arial"/>
          <w:spacing w:val="1"/>
          <w:sz w:val="22"/>
          <w:szCs w:val="22"/>
        </w:rPr>
        <w:t xml:space="preserve"> </w:t>
      </w:r>
      <w:r w:rsidR="00B02078" w:rsidRPr="009968C3">
        <w:rPr>
          <w:rFonts w:ascii="Arial" w:hAnsi="Arial" w:cs="Arial"/>
          <w:sz w:val="22"/>
          <w:szCs w:val="22"/>
        </w:rPr>
        <w:t>financiera y organizacional de los posibles proponentes, entre otros aspectos. De acuerdo con el artículo</w:t>
      </w:r>
      <w:r w:rsidR="00B02078" w:rsidRPr="001500B5">
        <w:rPr>
          <w:rFonts w:ascii="Arial" w:hAnsi="Arial" w:cs="Arial"/>
          <w:b/>
          <w:bCs/>
          <w:sz w:val="22"/>
          <w:szCs w:val="22"/>
        </w:rPr>
        <w:t xml:space="preserve"> </w:t>
      </w:r>
      <w:r w:rsidR="00B02078" w:rsidRPr="001500B5">
        <w:rPr>
          <w:rStyle w:val="Textoennegrita"/>
          <w:rFonts w:ascii="Arial" w:eastAsia="Arial" w:hAnsi="Arial" w:cs="Arial"/>
          <w:b w:val="0"/>
          <w:color w:val="333333"/>
          <w:sz w:val="22"/>
          <w:szCs w:val="22"/>
        </w:rPr>
        <w:t>2.2.1.1.1.5.2 del Decreto 1082 de 2015 dentro de la información que debe presentarse antes la Cámara de Comercio para efectos de la</w:t>
      </w:r>
      <w:r w:rsidR="00B02078" w:rsidRPr="001500B5">
        <w:rPr>
          <w:rFonts w:ascii="Arial" w:hAnsi="Arial" w:cs="Arial"/>
          <w:b/>
          <w:bCs/>
          <w:color w:val="333333"/>
          <w:sz w:val="22"/>
          <w:szCs w:val="22"/>
        </w:rPr>
        <w:t xml:space="preserve"> i</w:t>
      </w:r>
      <w:r w:rsidR="00B02078" w:rsidRPr="009968C3">
        <w:rPr>
          <w:rFonts w:ascii="Arial" w:hAnsi="Arial" w:cs="Arial"/>
          <w:color w:val="333333"/>
          <w:sz w:val="22"/>
          <w:szCs w:val="22"/>
        </w:rPr>
        <w:t>nscripción, renovación o actualización del RUP se encuentran los Bienes, obras y servicios que ofrecerá a las entidades estatales, identificados con el Clasificador de Bienes y Servicios en el tercer nivel.</w:t>
      </w:r>
      <w:r w:rsidR="00857EFD" w:rsidRPr="009968C3">
        <w:rPr>
          <w:rFonts w:ascii="Arial" w:hAnsi="Arial" w:cs="Arial"/>
          <w:color w:val="333333"/>
          <w:sz w:val="22"/>
          <w:szCs w:val="22"/>
        </w:rPr>
        <w:t xml:space="preserve"> </w:t>
      </w:r>
      <w:r w:rsidR="00857EFD" w:rsidRPr="009968C3">
        <w:rPr>
          <w:rFonts w:ascii="Arial" w:hAnsi="Arial" w:cs="Arial"/>
          <w:color w:val="333333"/>
          <w:sz w:val="22"/>
          <w:szCs w:val="22"/>
          <w:lang w:val="es-ES"/>
        </w:rPr>
        <w:t xml:space="preserve">Asimismo, los numerales 1.2 y 2.5 de este artículo establece que en los certificados de experiencia presentados para inscripción o actualización del RUP, los proponentes deben indicar en «cada certificado o en cada copia de los contratos, los bienes, obras y servicios a los cuales corresponde la experiencia que pretende acreditar, identificándolos con el Clasificador de Bienes y Servicios en el tercer nivel». </w:t>
      </w:r>
    </w:p>
    <w:p w14:paraId="7D24B54D" w14:textId="27D3B4DD" w:rsidR="00971E12" w:rsidRPr="009968C3" w:rsidRDefault="00152152" w:rsidP="00152152">
      <w:pPr>
        <w:spacing w:after="120" w:line="276" w:lineRule="auto"/>
        <w:ind w:firstLine="709"/>
        <w:jc w:val="both"/>
        <w:rPr>
          <w:rFonts w:ascii="Arial" w:hAnsi="Arial" w:cs="Arial"/>
          <w:color w:val="000000" w:themeColor="text1"/>
          <w:sz w:val="22"/>
          <w:szCs w:val="22"/>
        </w:rPr>
      </w:pPr>
      <w:r w:rsidRPr="009968C3">
        <w:rPr>
          <w:rFonts w:ascii="Arial" w:hAnsi="Arial" w:cs="Arial"/>
          <w:color w:val="000000" w:themeColor="text1"/>
          <w:sz w:val="22"/>
          <w:szCs w:val="22"/>
        </w:rPr>
        <w:t xml:space="preserve">Con todo, </w:t>
      </w:r>
      <w:r w:rsidR="003B2474" w:rsidRPr="009968C3">
        <w:rPr>
          <w:rFonts w:ascii="Arial" w:hAnsi="Arial" w:cs="Arial"/>
          <w:color w:val="000000" w:themeColor="text1"/>
          <w:sz w:val="22"/>
          <w:szCs w:val="22"/>
        </w:rPr>
        <w:t xml:space="preserve">de acuerdo con la postura adoptada en la Circular Externa Única proferida por la Agencia de Contratación Pública – Colombia Compra Eficiente, la «clasificación del proponente», que corresponde a los listados señalados en los numerales 1.1. y 2.1. del artículo 2.2.1.1.1.5.2. del Decreto 1082 de 2015, no condiciona la capacidad ―jurídica, ni tampoco otra― de los proponentes, por lo </w:t>
      </w:r>
      <w:r w:rsidRPr="009968C3">
        <w:rPr>
          <w:rFonts w:ascii="Arial" w:hAnsi="Arial" w:cs="Arial"/>
          <w:color w:val="000000" w:themeColor="text1"/>
          <w:sz w:val="22"/>
          <w:szCs w:val="22"/>
        </w:rPr>
        <w:t>que,</w:t>
      </w:r>
      <w:r w:rsidR="003B2474" w:rsidRPr="009968C3">
        <w:rPr>
          <w:rFonts w:ascii="Arial" w:hAnsi="Arial" w:cs="Arial"/>
          <w:color w:val="000000" w:themeColor="text1"/>
          <w:sz w:val="22"/>
          <w:szCs w:val="22"/>
        </w:rPr>
        <w:t xml:space="preserve"> si un proponente cumple los demás requisitos exigidos en el pliego de condiciones, su oferta no puede ser rechazada o desestimada bajo el argumento de que no cuenta con la inscripción del código de los bienes, obras o servicios del objeto del proceso de contratación.</w:t>
      </w:r>
      <w:r w:rsidRPr="009968C3">
        <w:rPr>
          <w:rFonts w:ascii="Arial" w:hAnsi="Arial" w:cs="Arial"/>
          <w:color w:val="000000" w:themeColor="text1"/>
          <w:sz w:val="22"/>
          <w:szCs w:val="22"/>
        </w:rPr>
        <w:t xml:space="preserve"> </w:t>
      </w:r>
    </w:p>
    <w:p w14:paraId="320D532F" w14:textId="2ABC88C8" w:rsidR="00B02078" w:rsidRPr="009968C3" w:rsidRDefault="00152152" w:rsidP="001500B5">
      <w:pPr>
        <w:spacing w:line="276" w:lineRule="auto"/>
        <w:ind w:firstLine="709"/>
        <w:jc w:val="both"/>
        <w:rPr>
          <w:rFonts w:ascii="Arial" w:hAnsi="Arial" w:cs="Arial"/>
          <w:color w:val="000000" w:themeColor="text1"/>
          <w:sz w:val="22"/>
          <w:szCs w:val="22"/>
        </w:rPr>
      </w:pPr>
      <w:r w:rsidRPr="009968C3">
        <w:rPr>
          <w:rFonts w:ascii="Arial" w:hAnsi="Arial" w:cs="Arial"/>
          <w:color w:val="000000" w:themeColor="text1"/>
          <w:sz w:val="22"/>
          <w:szCs w:val="22"/>
        </w:rPr>
        <w:t xml:space="preserve">Esto </w:t>
      </w:r>
      <w:r w:rsidR="003B2474" w:rsidRPr="009968C3">
        <w:rPr>
          <w:rFonts w:ascii="Arial" w:hAnsi="Arial" w:cs="Arial"/>
          <w:color w:val="000000" w:themeColor="text1"/>
          <w:sz w:val="22"/>
          <w:szCs w:val="22"/>
        </w:rPr>
        <w:t xml:space="preserve">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w:t>
      </w:r>
      <w:r w:rsidR="00957D88" w:rsidRPr="009968C3">
        <w:rPr>
          <w:rFonts w:ascii="Arial" w:hAnsi="Arial" w:cs="Arial"/>
          <w:color w:val="000000" w:themeColor="text1"/>
          <w:sz w:val="22"/>
          <w:szCs w:val="22"/>
        </w:rPr>
        <w:t xml:space="preserve">Esto en </w:t>
      </w:r>
      <w:r w:rsidR="009B6853" w:rsidRPr="009968C3">
        <w:rPr>
          <w:rFonts w:ascii="Arial" w:hAnsi="Arial" w:cs="Arial"/>
          <w:color w:val="000000" w:themeColor="text1"/>
          <w:sz w:val="22"/>
          <w:szCs w:val="22"/>
        </w:rPr>
        <w:t>el entendido de que</w:t>
      </w:r>
      <w:r w:rsidR="00542F82" w:rsidRPr="009968C3">
        <w:rPr>
          <w:rFonts w:ascii="Arial" w:hAnsi="Arial" w:cs="Arial"/>
          <w:color w:val="000000" w:themeColor="text1"/>
          <w:sz w:val="22"/>
          <w:szCs w:val="22"/>
        </w:rPr>
        <w:t xml:space="preserve"> </w:t>
      </w:r>
      <w:r w:rsidR="00D64354" w:rsidRPr="009968C3">
        <w:rPr>
          <w:rFonts w:ascii="Arial" w:hAnsi="Arial" w:cs="Arial"/>
          <w:color w:val="000000" w:themeColor="text1"/>
          <w:sz w:val="22"/>
          <w:szCs w:val="22"/>
        </w:rPr>
        <w:t>los</w:t>
      </w:r>
      <w:r w:rsidR="00542F82" w:rsidRPr="009968C3">
        <w:rPr>
          <w:rFonts w:ascii="Arial" w:hAnsi="Arial" w:cs="Arial"/>
          <w:color w:val="000000" w:themeColor="text1"/>
          <w:sz w:val="22"/>
          <w:szCs w:val="22"/>
        </w:rPr>
        <w:t xml:space="preserve"> código</w:t>
      </w:r>
      <w:r w:rsidR="00D64354" w:rsidRPr="009968C3">
        <w:rPr>
          <w:rFonts w:ascii="Arial" w:hAnsi="Arial" w:cs="Arial"/>
          <w:color w:val="000000" w:themeColor="text1"/>
          <w:sz w:val="22"/>
          <w:szCs w:val="22"/>
        </w:rPr>
        <w:t>s</w:t>
      </w:r>
      <w:r w:rsidR="00542F82" w:rsidRPr="009968C3">
        <w:rPr>
          <w:rFonts w:ascii="Arial" w:hAnsi="Arial" w:cs="Arial"/>
          <w:color w:val="000000" w:themeColor="text1"/>
          <w:sz w:val="22"/>
          <w:szCs w:val="22"/>
        </w:rPr>
        <w:t xml:space="preserve"> </w:t>
      </w:r>
      <w:r w:rsidR="00D64354" w:rsidRPr="009968C3">
        <w:rPr>
          <w:rFonts w:ascii="Arial" w:hAnsi="Arial" w:cs="Arial"/>
          <w:color w:val="000000" w:themeColor="text1"/>
          <w:sz w:val="22"/>
          <w:szCs w:val="22"/>
        </w:rPr>
        <w:t>los que se encuentra asociada</w:t>
      </w:r>
      <w:r w:rsidR="009B6853" w:rsidRPr="009968C3">
        <w:rPr>
          <w:rFonts w:ascii="Arial" w:hAnsi="Arial" w:cs="Arial"/>
          <w:color w:val="000000" w:themeColor="text1"/>
          <w:sz w:val="22"/>
          <w:szCs w:val="22"/>
        </w:rPr>
        <w:t xml:space="preserve"> </w:t>
      </w:r>
      <w:r w:rsidR="00D64354" w:rsidRPr="009968C3">
        <w:rPr>
          <w:rFonts w:ascii="Arial" w:hAnsi="Arial" w:cs="Arial"/>
          <w:color w:val="000000" w:themeColor="text1"/>
          <w:sz w:val="22"/>
          <w:szCs w:val="22"/>
        </w:rPr>
        <w:t xml:space="preserve">la </w:t>
      </w:r>
      <w:r w:rsidR="009B6853" w:rsidRPr="009968C3">
        <w:rPr>
          <w:rFonts w:ascii="Arial" w:hAnsi="Arial" w:cs="Arial"/>
          <w:color w:val="000000" w:themeColor="text1"/>
          <w:sz w:val="22"/>
          <w:szCs w:val="22"/>
        </w:rPr>
        <w:t xml:space="preserve">experiencia adquirida e inscrita por el proponente en </w:t>
      </w:r>
      <w:r w:rsidR="001078A7" w:rsidRPr="009968C3">
        <w:rPr>
          <w:rFonts w:ascii="Arial" w:hAnsi="Arial" w:cs="Arial"/>
          <w:color w:val="000000" w:themeColor="text1"/>
          <w:sz w:val="22"/>
          <w:szCs w:val="22"/>
        </w:rPr>
        <w:t xml:space="preserve">el </w:t>
      </w:r>
      <w:r w:rsidR="009B6853" w:rsidRPr="009968C3">
        <w:rPr>
          <w:rFonts w:ascii="Arial" w:hAnsi="Arial" w:cs="Arial"/>
          <w:color w:val="000000" w:themeColor="text1"/>
          <w:sz w:val="22"/>
          <w:szCs w:val="22"/>
        </w:rPr>
        <w:t xml:space="preserve">RUP, brinda a la entidad un mecanismo para identificar </w:t>
      </w:r>
      <w:r w:rsidR="00605D91" w:rsidRPr="009968C3">
        <w:rPr>
          <w:rFonts w:ascii="Arial" w:hAnsi="Arial" w:cs="Arial"/>
          <w:color w:val="000000" w:themeColor="text1"/>
          <w:sz w:val="22"/>
          <w:szCs w:val="22"/>
        </w:rPr>
        <w:t>cuenta con la experiencia en los</w:t>
      </w:r>
      <w:r w:rsidR="009968C3" w:rsidRPr="009968C3">
        <w:rPr>
          <w:rFonts w:ascii="Arial" w:hAnsi="Arial" w:cs="Arial"/>
          <w:color w:val="000000" w:themeColor="text1"/>
          <w:sz w:val="22"/>
          <w:szCs w:val="22"/>
        </w:rPr>
        <w:t xml:space="preserve"> objetos subsumidos en los referidos niveles de la codificación.  </w:t>
      </w:r>
    </w:p>
    <w:p w14:paraId="4C27C36F" w14:textId="77777777" w:rsidR="00957D88" w:rsidRPr="009968C3" w:rsidRDefault="00957D88" w:rsidP="00460695">
      <w:pPr>
        <w:spacing w:line="276" w:lineRule="auto"/>
        <w:jc w:val="both"/>
        <w:rPr>
          <w:rFonts w:ascii="Arial" w:eastAsia="Arial" w:hAnsi="Arial" w:cs="Arial"/>
          <w:color w:val="000000"/>
          <w:sz w:val="22"/>
          <w:szCs w:val="22"/>
          <w:lang w:eastAsia="es-ES_tradnl"/>
        </w:rPr>
      </w:pPr>
    </w:p>
    <w:p w14:paraId="528921F8" w14:textId="42E7A813" w:rsidR="00460695" w:rsidRPr="009968C3" w:rsidRDefault="00460695" w:rsidP="00460695">
      <w:pPr>
        <w:spacing w:line="276" w:lineRule="auto"/>
        <w:jc w:val="both"/>
        <w:rPr>
          <w:rFonts w:ascii="Arial" w:eastAsia="Arial" w:hAnsi="Arial" w:cs="Arial"/>
          <w:color w:val="000000"/>
          <w:sz w:val="22"/>
          <w:szCs w:val="22"/>
          <w:lang w:eastAsia="es-ES_tradnl"/>
        </w:rPr>
      </w:pPr>
      <w:r w:rsidRPr="009968C3">
        <w:rPr>
          <w:rFonts w:ascii="Arial" w:eastAsia="Arial" w:hAnsi="Arial" w:cs="Arial"/>
          <w:color w:val="000000"/>
          <w:sz w:val="22"/>
          <w:szCs w:val="22"/>
          <w:lang w:eastAsia="es-ES_tradnl"/>
        </w:rPr>
        <w:t>Este concepto tiene el alcance previsto en el artículo 28 del Código de Procedimiento Administrativo y de lo Contencioso Administrativo.</w:t>
      </w:r>
    </w:p>
    <w:p w14:paraId="71E9147D" w14:textId="77777777" w:rsidR="00460695" w:rsidRPr="00363ED4" w:rsidRDefault="00460695" w:rsidP="00460695">
      <w:pPr>
        <w:spacing w:line="276" w:lineRule="auto"/>
        <w:jc w:val="both"/>
        <w:rPr>
          <w:rFonts w:ascii="Arial" w:eastAsia="Arial" w:hAnsi="Arial" w:cs="Arial"/>
          <w:color w:val="000000"/>
          <w:sz w:val="22"/>
          <w:szCs w:val="22"/>
          <w:lang w:eastAsia="es-ES_tradnl"/>
        </w:rPr>
      </w:pPr>
    </w:p>
    <w:p w14:paraId="15C3E0BF" w14:textId="7BE59AE7" w:rsidR="00460695" w:rsidRPr="00363ED4" w:rsidRDefault="00460695" w:rsidP="00460695">
      <w:pPr>
        <w:spacing w:line="276" w:lineRule="auto"/>
        <w:jc w:val="both"/>
        <w:rPr>
          <w:rFonts w:ascii="Arial" w:eastAsia="Arial" w:hAnsi="Arial" w:cs="Arial"/>
          <w:color w:val="000000"/>
          <w:sz w:val="22"/>
          <w:szCs w:val="22"/>
          <w:lang w:eastAsia="es-ES_tradnl"/>
        </w:rPr>
      </w:pPr>
      <w:r w:rsidRPr="00363ED4">
        <w:rPr>
          <w:rFonts w:ascii="Arial" w:eastAsia="Arial" w:hAnsi="Arial" w:cs="Arial"/>
          <w:color w:val="000000"/>
          <w:sz w:val="22"/>
          <w:szCs w:val="22"/>
          <w:lang w:eastAsia="es-ES_tradnl"/>
        </w:rPr>
        <w:t>Atentamente,</w:t>
      </w:r>
    </w:p>
    <w:p w14:paraId="043F13FF" w14:textId="0F4D50FA" w:rsidR="003976CD" w:rsidRPr="00363ED4" w:rsidRDefault="003976CD" w:rsidP="00460695">
      <w:pPr>
        <w:spacing w:line="276" w:lineRule="auto"/>
        <w:jc w:val="both"/>
        <w:rPr>
          <w:rFonts w:ascii="Arial" w:eastAsia="Arial" w:hAnsi="Arial" w:cs="Arial"/>
          <w:color w:val="000000"/>
          <w:sz w:val="22"/>
          <w:szCs w:val="22"/>
          <w:lang w:eastAsia="es-ES_tradnl"/>
        </w:rPr>
      </w:pPr>
    </w:p>
    <w:p w14:paraId="24283EA5" w14:textId="10C5A031" w:rsidR="00D1522E" w:rsidRDefault="00D1522E" w:rsidP="00D1522E">
      <w:pPr>
        <w:spacing w:line="276" w:lineRule="auto"/>
        <w:jc w:val="center"/>
        <w:rPr>
          <w:rFonts w:ascii="Arial" w:eastAsia="Arial" w:hAnsi="Arial" w:cs="Arial"/>
          <w:color w:val="000000"/>
          <w:sz w:val="22"/>
          <w:szCs w:val="22"/>
          <w:lang w:eastAsia="es-ES_tradnl"/>
        </w:rPr>
      </w:pPr>
    </w:p>
    <w:p w14:paraId="089F27E9" w14:textId="5CCABA48" w:rsidR="00A46F07" w:rsidRDefault="00A46F07" w:rsidP="00D1522E">
      <w:pPr>
        <w:spacing w:line="276" w:lineRule="auto"/>
        <w:jc w:val="center"/>
        <w:rPr>
          <w:rFonts w:ascii="Arial" w:eastAsia="Arial" w:hAnsi="Arial" w:cs="Arial"/>
          <w:color w:val="000000"/>
          <w:sz w:val="22"/>
          <w:szCs w:val="22"/>
          <w:lang w:eastAsia="es-ES_tradnl"/>
        </w:rPr>
      </w:pPr>
      <w:r>
        <w:rPr>
          <w:noProof/>
        </w:rPr>
        <w:drawing>
          <wp:inline distT="0" distB="0" distL="0" distR="0" wp14:anchorId="6859558A" wp14:editId="463372DD">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4"/>
                    <a:stretch>
                      <a:fillRect/>
                    </a:stretch>
                  </pic:blipFill>
                  <pic:spPr>
                    <a:xfrm>
                      <a:off x="0" y="0"/>
                      <a:ext cx="2785707" cy="1068836"/>
                    </a:xfrm>
                    <a:prstGeom prst="rect">
                      <a:avLst/>
                    </a:prstGeom>
                  </pic:spPr>
                </pic:pic>
              </a:graphicData>
            </a:graphic>
          </wp:inline>
        </w:drawing>
      </w:r>
    </w:p>
    <w:p w14:paraId="126FBD31" w14:textId="4059E7B6" w:rsidR="00A46F07" w:rsidRDefault="00A46F07" w:rsidP="00D1522E">
      <w:pPr>
        <w:spacing w:line="276" w:lineRule="auto"/>
        <w:jc w:val="center"/>
        <w:rPr>
          <w:rFonts w:ascii="Arial" w:eastAsia="Arial" w:hAnsi="Arial" w:cs="Arial"/>
          <w:color w:val="000000"/>
          <w:sz w:val="22"/>
          <w:szCs w:val="22"/>
          <w:lang w:eastAsia="es-ES_tradnl"/>
        </w:rPr>
      </w:pPr>
    </w:p>
    <w:p w14:paraId="541B09FB" w14:textId="77777777" w:rsidR="00A46F07" w:rsidRPr="00363ED4" w:rsidRDefault="00A46F07" w:rsidP="00D1522E">
      <w:pPr>
        <w:spacing w:line="276" w:lineRule="auto"/>
        <w:jc w:val="center"/>
        <w:rPr>
          <w:rFonts w:ascii="Arial" w:eastAsia="Arial" w:hAnsi="Arial" w:cs="Arial"/>
          <w:color w:val="000000"/>
          <w:sz w:val="22"/>
          <w:szCs w:val="22"/>
          <w:lang w:eastAsia="es-ES_tradnl"/>
        </w:rPr>
      </w:pPr>
    </w:p>
    <w:p w14:paraId="3E76BAB0" w14:textId="77777777" w:rsidR="00457483" w:rsidRPr="00363ED4" w:rsidRDefault="00457483" w:rsidP="00550397">
      <w:pPr>
        <w:spacing w:line="276" w:lineRule="auto"/>
        <w:jc w:val="center"/>
        <w:rPr>
          <w:rFonts w:ascii="Arial" w:hAnsi="Arial" w:cs="Arial"/>
          <w:sz w:val="22"/>
          <w:szCs w:val="22"/>
          <w:lang w:eastAsia="es-ES_tradnl"/>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C2D0D" w:rsidRPr="00363ED4" w14:paraId="510B33B6" w14:textId="77777777" w:rsidTr="00E8637E">
        <w:trPr>
          <w:trHeight w:val="315"/>
        </w:trPr>
        <w:tc>
          <w:tcPr>
            <w:tcW w:w="812" w:type="dxa"/>
            <w:vAlign w:val="center"/>
            <w:hideMark/>
          </w:tcPr>
          <w:p w14:paraId="636B85D4" w14:textId="77777777" w:rsidR="00AC2D0D" w:rsidRPr="00363ED4" w:rsidRDefault="00AC2D0D" w:rsidP="00E8637E">
            <w:pPr>
              <w:jc w:val="both"/>
              <w:rPr>
                <w:rFonts w:ascii="Arial" w:hAnsi="Arial" w:cs="Arial"/>
                <w:sz w:val="15"/>
                <w:szCs w:val="15"/>
                <w:lang w:eastAsia="es-ES"/>
              </w:rPr>
            </w:pPr>
            <w:r w:rsidRPr="00363ED4">
              <w:rPr>
                <w:rFonts w:ascii="Arial" w:hAnsi="Arial" w:cs="Arial"/>
                <w:sz w:val="15"/>
                <w:szCs w:val="15"/>
                <w:lang w:eastAsia="es-ES"/>
              </w:rPr>
              <w:t>Elaboró:</w:t>
            </w:r>
          </w:p>
        </w:tc>
        <w:tc>
          <w:tcPr>
            <w:tcW w:w="4413" w:type="dxa"/>
            <w:tcBorders>
              <w:top w:val="nil"/>
              <w:left w:val="nil"/>
              <w:bottom w:val="dotted" w:sz="4" w:space="0" w:color="7F7F7F" w:themeColor="text1" w:themeTint="80"/>
              <w:right w:val="nil"/>
            </w:tcBorders>
            <w:vAlign w:val="center"/>
            <w:hideMark/>
          </w:tcPr>
          <w:p w14:paraId="2EF9FF23" w14:textId="77777777" w:rsidR="00AC2D0D" w:rsidRPr="00363ED4" w:rsidRDefault="00AC2D0D" w:rsidP="00E8637E">
            <w:pPr>
              <w:rPr>
                <w:rFonts w:ascii="Arial" w:hAnsi="Arial" w:cs="Arial"/>
                <w:sz w:val="15"/>
                <w:szCs w:val="15"/>
                <w:lang w:eastAsia="es-ES"/>
              </w:rPr>
            </w:pPr>
            <w:r w:rsidRPr="00363ED4">
              <w:rPr>
                <w:rFonts w:ascii="Arial" w:hAnsi="Arial" w:cs="Arial"/>
                <w:sz w:val="15"/>
                <w:szCs w:val="15"/>
                <w:lang w:eastAsia="es-ES"/>
              </w:rPr>
              <w:t>Álvaro Namén Vargas</w:t>
            </w:r>
          </w:p>
          <w:p w14:paraId="47BDA261" w14:textId="77777777" w:rsidR="00AC2D0D" w:rsidRPr="00363ED4" w:rsidRDefault="00AC2D0D" w:rsidP="00E8637E">
            <w:pPr>
              <w:jc w:val="both"/>
              <w:rPr>
                <w:rFonts w:ascii="Arial" w:hAnsi="Arial" w:cs="Arial"/>
                <w:sz w:val="15"/>
                <w:szCs w:val="15"/>
                <w:lang w:eastAsia="es-ES"/>
              </w:rPr>
            </w:pPr>
            <w:r w:rsidRPr="00363ED4">
              <w:rPr>
                <w:rFonts w:ascii="Arial" w:hAnsi="Arial" w:cs="Arial"/>
                <w:sz w:val="15"/>
                <w:szCs w:val="15"/>
                <w:lang w:eastAsia="es-ES"/>
              </w:rPr>
              <w:t xml:space="preserve">Contratista de la Subdirección de Gestión Contractual  </w:t>
            </w:r>
          </w:p>
        </w:tc>
      </w:tr>
      <w:tr w:rsidR="00AC2D0D" w:rsidRPr="00363ED4" w14:paraId="200B0EE7" w14:textId="77777777" w:rsidTr="00E8637E">
        <w:trPr>
          <w:trHeight w:val="330"/>
        </w:trPr>
        <w:tc>
          <w:tcPr>
            <w:tcW w:w="812" w:type="dxa"/>
            <w:vAlign w:val="center"/>
            <w:hideMark/>
          </w:tcPr>
          <w:p w14:paraId="35CBAA1B" w14:textId="77777777" w:rsidR="00AC2D0D" w:rsidRPr="00363ED4" w:rsidRDefault="00AC2D0D" w:rsidP="00E8637E">
            <w:pPr>
              <w:jc w:val="both"/>
              <w:rPr>
                <w:rFonts w:ascii="Arial" w:hAnsi="Arial" w:cs="Arial"/>
                <w:sz w:val="15"/>
                <w:szCs w:val="15"/>
                <w:lang w:eastAsia="es-ES"/>
              </w:rPr>
            </w:pPr>
            <w:r w:rsidRPr="00363ED4">
              <w:rPr>
                <w:rFonts w:ascii="Arial" w:hAnsi="Arial" w:cs="Arial"/>
                <w:sz w:val="15"/>
                <w:szCs w:val="15"/>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149913E" w14:textId="77777777" w:rsidR="00AC2D0D" w:rsidRPr="00363ED4" w:rsidRDefault="00AC2D0D" w:rsidP="00E8637E">
            <w:pPr>
              <w:jc w:val="both"/>
              <w:rPr>
                <w:rFonts w:ascii="Arial" w:hAnsi="Arial" w:cs="Arial"/>
                <w:sz w:val="15"/>
                <w:szCs w:val="15"/>
                <w:lang w:eastAsia="es-ES"/>
              </w:rPr>
            </w:pPr>
            <w:r w:rsidRPr="00363ED4">
              <w:rPr>
                <w:rFonts w:ascii="Arial" w:hAnsi="Arial" w:cs="Arial"/>
                <w:sz w:val="15"/>
                <w:szCs w:val="15"/>
                <w:lang w:eastAsia="es-ES"/>
              </w:rPr>
              <w:t>Alejandro Sarmiento Cantillo</w:t>
            </w:r>
          </w:p>
          <w:p w14:paraId="5E55E3A5" w14:textId="77777777" w:rsidR="00AC2D0D" w:rsidRPr="00363ED4" w:rsidRDefault="00AC2D0D" w:rsidP="00E8637E">
            <w:pPr>
              <w:jc w:val="both"/>
              <w:rPr>
                <w:rFonts w:ascii="Arial" w:hAnsi="Arial" w:cs="Arial"/>
                <w:sz w:val="15"/>
                <w:szCs w:val="15"/>
                <w:lang w:eastAsia="es-ES"/>
              </w:rPr>
            </w:pPr>
            <w:r w:rsidRPr="00363ED4">
              <w:rPr>
                <w:rFonts w:ascii="Arial" w:hAnsi="Arial" w:cs="Arial"/>
                <w:sz w:val="15"/>
                <w:szCs w:val="15"/>
                <w:lang w:eastAsia="es-ES"/>
              </w:rPr>
              <w:t>Gestor T1-15 de la Subdirección de Gestión Contractual</w:t>
            </w:r>
          </w:p>
        </w:tc>
      </w:tr>
      <w:tr w:rsidR="00AC2D0D" w:rsidRPr="00790B08" w14:paraId="243CD947" w14:textId="77777777" w:rsidTr="00E8637E">
        <w:trPr>
          <w:trHeight w:val="300"/>
        </w:trPr>
        <w:tc>
          <w:tcPr>
            <w:tcW w:w="812" w:type="dxa"/>
            <w:vAlign w:val="center"/>
            <w:hideMark/>
          </w:tcPr>
          <w:p w14:paraId="63478537" w14:textId="77777777" w:rsidR="00AC2D0D" w:rsidRPr="00363ED4" w:rsidRDefault="00AC2D0D" w:rsidP="00E8637E">
            <w:pPr>
              <w:jc w:val="both"/>
              <w:rPr>
                <w:rFonts w:ascii="Arial" w:hAnsi="Arial" w:cs="Arial"/>
                <w:sz w:val="15"/>
                <w:szCs w:val="15"/>
                <w:lang w:eastAsia="es-ES"/>
              </w:rPr>
            </w:pPr>
            <w:r w:rsidRPr="00363ED4">
              <w:rPr>
                <w:rFonts w:ascii="Arial" w:hAnsi="Arial" w:cs="Arial"/>
                <w:sz w:val="15"/>
                <w:szCs w:val="15"/>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9CE6BE4" w14:textId="1003F960" w:rsidR="00AC2D0D" w:rsidRPr="00363ED4" w:rsidRDefault="00D1522E" w:rsidP="00E8637E">
            <w:pPr>
              <w:jc w:val="both"/>
              <w:rPr>
                <w:rFonts w:ascii="Arial" w:hAnsi="Arial" w:cs="Arial"/>
                <w:sz w:val="15"/>
                <w:szCs w:val="15"/>
                <w:lang w:eastAsia="es-ES"/>
              </w:rPr>
            </w:pPr>
            <w:r w:rsidRPr="00363ED4">
              <w:rPr>
                <w:rFonts w:ascii="Arial" w:hAnsi="Arial" w:cs="Arial"/>
                <w:sz w:val="15"/>
                <w:szCs w:val="15"/>
                <w:lang w:eastAsia="es-ES"/>
              </w:rPr>
              <w:t xml:space="preserve">Nohelia del Carmen Zawady Palacio </w:t>
            </w:r>
          </w:p>
          <w:p w14:paraId="0F0DECA9" w14:textId="5D689A0F" w:rsidR="00AC2D0D" w:rsidRPr="00790B08" w:rsidRDefault="00AC2D0D" w:rsidP="00E8637E">
            <w:pPr>
              <w:jc w:val="both"/>
              <w:rPr>
                <w:rFonts w:ascii="Arial" w:hAnsi="Arial" w:cs="Arial"/>
                <w:sz w:val="15"/>
                <w:szCs w:val="15"/>
                <w:lang w:eastAsia="es-ES"/>
              </w:rPr>
            </w:pPr>
            <w:r w:rsidRPr="00363ED4">
              <w:rPr>
                <w:rFonts w:ascii="Arial" w:hAnsi="Arial" w:cs="Arial"/>
                <w:sz w:val="15"/>
                <w:szCs w:val="15"/>
                <w:lang w:eastAsia="es-ES"/>
              </w:rPr>
              <w:t>Subdirector</w:t>
            </w:r>
            <w:r w:rsidR="00D1522E" w:rsidRPr="00363ED4">
              <w:rPr>
                <w:rFonts w:ascii="Arial" w:hAnsi="Arial" w:cs="Arial"/>
                <w:sz w:val="15"/>
                <w:szCs w:val="15"/>
                <w:lang w:eastAsia="es-ES"/>
              </w:rPr>
              <w:t xml:space="preserve">a </w:t>
            </w:r>
            <w:r w:rsidRPr="00363ED4">
              <w:rPr>
                <w:rFonts w:ascii="Arial" w:hAnsi="Arial" w:cs="Arial"/>
                <w:sz w:val="15"/>
                <w:szCs w:val="15"/>
                <w:lang w:eastAsia="es-ES"/>
              </w:rPr>
              <w:t>de Gestión Contractual</w:t>
            </w:r>
            <w:r w:rsidRPr="00790B08">
              <w:rPr>
                <w:rFonts w:ascii="Arial" w:hAnsi="Arial" w:cs="Arial"/>
                <w:sz w:val="15"/>
                <w:szCs w:val="15"/>
                <w:lang w:eastAsia="es-ES"/>
              </w:rPr>
              <w:t xml:space="preserve"> </w:t>
            </w:r>
          </w:p>
        </w:tc>
      </w:tr>
    </w:tbl>
    <w:p w14:paraId="019B7BEC" w14:textId="2669F477" w:rsidR="003C7067" w:rsidRPr="00790B08" w:rsidRDefault="003C7067" w:rsidP="00550397">
      <w:pPr>
        <w:spacing w:after="120" w:line="276" w:lineRule="auto"/>
        <w:jc w:val="both"/>
        <w:rPr>
          <w:rFonts w:ascii="Arial" w:hAnsi="Arial" w:cs="Arial"/>
        </w:rPr>
      </w:pPr>
    </w:p>
    <w:p w14:paraId="49D4532E" w14:textId="7187FB04" w:rsidR="00560087" w:rsidRPr="00790B08" w:rsidRDefault="00560087" w:rsidP="00550397">
      <w:pPr>
        <w:spacing w:after="120" w:line="276" w:lineRule="auto"/>
        <w:jc w:val="both"/>
        <w:rPr>
          <w:rFonts w:ascii="Arial" w:hAnsi="Arial" w:cs="Arial"/>
        </w:rPr>
      </w:pPr>
    </w:p>
    <w:sectPr w:rsidR="00560087" w:rsidRPr="00790B08" w:rsidSect="001500B5">
      <w:headerReference w:type="default" r:id="rId15"/>
      <w:footerReference w:type="default" r:id="rId16"/>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518DD" w14:textId="77777777" w:rsidR="000971FE" w:rsidRDefault="000971FE" w:rsidP="003C7067">
      <w:r>
        <w:separator/>
      </w:r>
    </w:p>
  </w:endnote>
  <w:endnote w:type="continuationSeparator" w:id="0">
    <w:p w14:paraId="1D3F8E47" w14:textId="77777777" w:rsidR="000971FE" w:rsidRDefault="000971FE"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D81E5B" w:rsidRDefault="00D81E5B" w:rsidP="00D81E5B">
    <w:pPr>
      <w:pStyle w:val="Sinespaciado"/>
      <w:jc w:val="right"/>
      <w:rPr>
        <w:rFonts w:ascii="Arial" w:hAnsi="Arial" w:cs="Arial"/>
        <w:sz w:val="18"/>
        <w:szCs w:val="18"/>
      </w:rPr>
    </w:pPr>
  </w:p>
  <w:p w14:paraId="14B5D1D1" w14:textId="77777777" w:rsidR="00FF547A" w:rsidRDefault="00FF547A" w:rsidP="00FF547A">
    <w:pPr>
      <w:pStyle w:val="Piedepgina"/>
    </w:pPr>
    <w:r>
      <w:rPr>
        <w:noProof/>
        <w:lang w:val="es-CO" w:eastAsia="es-CO"/>
      </w:rPr>
      <w:drawing>
        <wp:inline distT="0" distB="0" distL="0" distR="0" wp14:anchorId="6A306E23" wp14:editId="5EFE2315">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460695" w:rsidRPr="00080DA3" w14:paraId="27B94BCF" w14:textId="77777777" w:rsidTr="00460695">
      <w:trPr>
        <w:trHeight w:val="198"/>
        <w:jc w:val="center"/>
      </w:trPr>
      <w:tc>
        <w:tcPr>
          <w:tcW w:w="838" w:type="dxa"/>
          <w:tcBorders>
            <w:top w:val="dotted" w:sz="4" w:space="0" w:color="808080"/>
            <w:left w:val="dotted" w:sz="4" w:space="0" w:color="808080"/>
            <w:bottom w:val="dotted" w:sz="4" w:space="0" w:color="808080"/>
          </w:tcBorders>
          <w:shd w:val="clear" w:color="auto" w:fill="auto"/>
        </w:tcPr>
        <w:p w14:paraId="1E3EFA1F"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bottom w:val="dotted" w:sz="4" w:space="0" w:color="808080"/>
            <w:right w:val="dotted" w:sz="4" w:space="0" w:color="808080"/>
          </w:tcBorders>
          <w:shd w:val="clear" w:color="auto" w:fill="auto"/>
        </w:tcPr>
        <w:p w14:paraId="710E3DC4"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left w:val="dotted" w:sz="4" w:space="0" w:color="808080"/>
            <w:bottom w:val="dotted" w:sz="4" w:space="0" w:color="808080"/>
          </w:tcBorders>
          <w:shd w:val="clear" w:color="auto" w:fill="auto"/>
        </w:tcPr>
        <w:p w14:paraId="4A64857C"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bottom w:val="dotted" w:sz="4" w:space="0" w:color="808080"/>
            <w:right w:val="dotted" w:sz="4" w:space="0" w:color="808080"/>
          </w:tcBorders>
          <w:shd w:val="clear" w:color="auto" w:fill="auto"/>
          <w:vAlign w:val="center"/>
        </w:tcPr>
        <w:p w14:paraId="0D61B480" w14:textId="77777777" w:rsidR="00FF547A" w:rsidRPr="004B6B0E" w:rsidRDefault="00FF547A" w:rsidP="00FF547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left w:val="dotted" w:sz="4" w:space="0" w:color="808080"/>
            <w:bottom w:val="dotted" w:sz="4" w:space="0" w:color="808080"/>
          </w:tcBorders>
          <w:shd w:val="clear" w:color="auto" w:fill="auto"/>
        </w:tcPr>
        <w:p w14:paraId="78564CCB"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bottom w:val="dotted" w:sz="4" w:space="0" w:color="808080"/>
            <w:right w:val="dotted" w:sz="4" w:space="0" w:color="808080"/>
          </w:tcBorders>
          <w:shd w:val="clear" w:color="auto" w:fill="auto"/>
        </w:tcPr>
        <w:p w14:paraId="21CCEDBA" w14:textId="77777777" w:rsidR="00FF547A" w:rsidRPr="00080DA3" w:rsidRDefault="00FF547A" w:rsidP="00FF547A">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left w:val="dotted" w:sz="4" w:space="0" w:color="808080"/>
            <w:bottom w:val="dotted" w:sz="4" w:space="0" w:color="808080"/>
            <w:right w:val="dotted" w:sz="4" w:space="0" w:color="808080"/>
          </w:tcBorders>
          <w:shd w:val="clear" w:color="auto" w:fill="auto"/>
        </w:tcPr>
        <w:p w14:paraId="4DC8B44A"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460695">
            <w:rPr>
              <w:rFonts w:ascii="Geomanist Light" w:hAnsi="Geomanist Light"/>
              <w:b/>
              <w:bCs/>
              <w:noProof/>
              <w:sz w:val="18"/>
              <w:szCs w:val="18"/>
            </w:rPr>
            <w:t>21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460695">
            <w:rPr>
              <w:rFonts w:ascii="Geomanist Light" w:hAnsi="Geomanist Light"/>
              <w:b/>
              <w:bCs/>
              <w:noProof/>
              <w:sz w:val="18"/>
              <w:szCs w:val="18"/>
            </w:rPr>
            <w:t>22</w:t>
          </w:r>
          <w:r w:rsidRPr="00080DA3">
            <w:rPr>
              <w:rFonts w:ascii="Geomanist Light" w:hAnsi="Geomanist Light"/>
              <w:b/>
              <w:bCs/>
              <w:sz w:val="18"/>
              <w:szCs w:val="18"/>
            </w:rPr>
            <w:fldChar w:fldCharType="end"/>
          </w:r>
        </w:p>
      </w:tc>
    </w:tr>
  </w:tbl>
  <w:p w14:paraId="0A9DFE46" w14:textId="77777777" w:rsidR="00FF547A" w:rsidRDefault="00FF547A" w:rsidP="00FF547A">
    <w:pPr>
      <w:pStyle w:val="Piedepgina"/>
      <w:jc w:val="center"/>
    </w:pPr>
  </w:p>
  <w:p w14:paraId="1CBE747A" w14:textId="77777777" w:rsidR="00D81E5B" w:rsidRPr="00E756AC" w:rsidRDefault="00D81E5B" w:rsidP="00FF547A">
    <w:pPr>
      <w:pStyle w:val="Sinespaciado"/>
      <w:jc w:val="right"/>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E9700" w14:textId="77777777" w:rsidR="000971FE" w:rsidRDefault="000971FE" w:rsidP="003C7067">
      <w:r>
        <w:separator/>
      </w:r>
    </w:p>
  </w:footnote>
  <w:footnote w:type="continuationSeparator" w:id="0">
    <w:p w14:paraId="389E2465" w14:textId="77777777" w:rsidR="000971FE" w:rsidRDefault="000971FE" w:rsidP="003C7067">
      <w:r>
        <w:continuationSeparator/>
      </w:r>
    </w:p>
  </w:footnote>
  <w:footnote w:id="1">
    <w:p w14:paraId="662EEA08" w14:textId="77777777" w:rsidR="00DB2209" w:rsidRPr="001500B5" w:rsidRDefault="00DB2209" w:rsidP="00DB2209">
      <w:pPr>
        <w:pStyle w:val="Textonotapie"/>
        <w:ind w:firstLine="708"/>
        <w:jc w:val="both"/>
        <w:rPr>
          <w:rFonts w:ascii="Arial" w:hAnsi="Arial" w:cs="Arial"/>
          <w:sz w:val="18"/>
          <w:szCs w:val="18"/>
          <w:lang w:val="es-ES"/>
        </w:rPr>
      </w:pPr>
      <w:r w:rsidRPr="001500B5">
        <w:rPr>
          <w:rStyle w:val="Refdenotaalpie"/>
          <w:rFonts w:ascii="Arial" w:hAnsi="Arial" w:cs="Arial"/>
          <w:sz w:val="18"/>
          <w:szCs w:val="18"/>
        </w:rPr>
        <w:footnoteRef/>
      </w:r>
      <w:r w:rsidRPr="001500B5">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1500B5">
        <w:rPr>
          <w:rFonts w:ascii="Arial" w:hAnsi="Arial" w:cs="Arial"/>
          <w:i/>
          <w:iCs/>
          <w:sz w:val="18"/>
          <w:szCs w:val="18"/>
        </w:rPr>
        <w:t xml:space="preserve">ibidem </w:t>
      </w:r>
      <w:r w:rsidRPr="001500B5">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7A9074D6" w14:textId="21F5FC98" w:rsidR="001C42F7" w:rsidRPr="001500B5" w:rsidRDefault="001C42F7" w:rsidP="001C42F7">
      <w:pPr>
        <w:pStyle w:val="Textonotapie"/>
        <w:ind w:firstLine="709"/>
        <w:contextualSpacing/>
        <w:jc w:val="both"/>
        <w:rPr>
          <w:rFonts w:ascii="Arial" w:hAnsi="Arial" w:cs="Arial"/>
          <w:sz w:val="18"/>
          <w:szCs w:val="18"/>
        </w:rPr>
      </w:pPr>
      <w:r w:rsidRPr="001500B5">
        <w:rPr>
          <w:rStyle w:val="Refdenotaalpie"/>
          <w:rFonts w:ascii="Arial" w:hAnsi="Arial" w:cs="Arial"/>
          <w:sz w:val="18"/>
          <w:szCs w:val="18"/>
        </w:rPr>
        <w:footnoteRef/>
      </w:r>
      <w:r w:rsidRPr="001500B5">
        <w:rPr>
          <w:rStyle w:val="Refdenotaalpie"/>
          <w:rFonts w:ascii="Arial" w:hAnsi="Arial" w:cs="Arial"/>
          <w:sz w:val="18"/>
          <w:szCs w:val="18"/>
        </w:rPr>
        <w:t xml:space="preserve"> </w:t>
      </w:r>
      <w:r w:rsidR="00A25478" w:rsidRPr="001500B5">
        <w:rPr>
          <w:rFonts w:ascii="Arial" w:hAnsi="Arial" w:cs="Arial"/>
          <w:sz w:val="18"/>
          <w:szCs w:val="18"/>
        </w:rPr>
        <w:t xml:space="preserve">CONSEJO DE ESTADO. </w:t>
      </w:r>
      <w:r w:rsidRPr="001500B5">
        <w:rPr>
          <w:rFonts w:ascii="Arial" w:hAnsi="Arial" w:cs="Arial"/>
          <w:sz w:val="18"/>
          <w:szCs w:val="18"/>
        </w:rPr>
        <w:t>Sección Tercera. Subsección B. Sentencia del 6 de junio de 2013. Exp. 25151. C.P. Stella Conto Díaz del Castillo.</w:t>
      </w:r>
    </w:p>
    <w:p w14:paraId="37D0ABCC" w14:textId="77777777" w:rsidR="00A25478" w:rsidRPr="001500B5" w:rsidRDefault="00A25478" w:rsidP="001C42F7">
      <w:pPr>
        <w:pStyle w:val="Textonotapie"/>
        <w:ind w:firstLine="709"/>
        <w:contextualSpacing/>
        <w:jc w:val="both"/>
        <w:rPr>
          <w:rFonts w:ascii="Arial" w:hAnsi="Arial" w:cs="Arial"/>
          <w:sz w:val="18"/>
          <w:szCs w:val="18"/>
        </w:rPr>
      </w:pPr>
    </w:p>
  </w:footnote>
  <w:footnote w:id="3">
    <w:p w14:paraId="12DF3F50" w14:textId="77777777" w:rsidR="001C42F7" w:rsidRPr="001500B5" w:rsidRDefault="001C42F7" w:rsidP="001C42F7">
      <w:pPr>
        <w:pStyle w:val="Textonotapie"/>
        <w:ind w:firstLine="709"/>
        <w:contextualSpacing/>
        <w:jc w:val="both"/>
        <w:rPr>
          <w:rFonts w:ascii="Arial" w:hAnsi="Arial" w:cs="Arial"/>
          <w:color w:val="000000" w:themeColor="text1"/>
          <w:sz w:val="18"/>
          <w:szCs w:val="18"/>
        </w:rPr>
      </w:pPr>
      <w:r w:rsidRPr="001500B5">
        <w:rPr>
          <w:rStyle w:val="Refdenotaalpie"/>
          <w:rFonts w:ascii="Arial" w:hAnsi="Arial" w:cs="Arial"/>
          <w:color w:val="000000" w:themeColor="text1"/>
          <w:sz w:val="18"/>
          <w:szCs w:val="18"/>
        </w:rPr>
        <w:footnoteRef/>
      </w:r>
      <w:r w:rsidRPr="001500B5">
        <w:rPr>
          <w:rFonts w:ascii="Arial" w:hAnsi="Arial" w:cs="Arial"/>
          <w:color w:val="000000" w:themeColor="text1"/>
          <w:sz w:val="18"/>
          <w:szCs w:val="18"/>
        </w:rPr>
        <w:t xml:space="preserve"> Ley 1150 de 2007: «Artículo 6. De la verificación de las condiciones de los proponentes.</w:t>
      </w:r>
    </w:p>
    <w:p w14:paraId="198CA66C" w14:textId="77777777" w:rsidR="001C42F7" w:rsidRPr="001500B5" w:rsidRDefault="001C42F7" w:rsidP="001C42F7">
      <w:pPr>
        <w:pStyle w:val="Textonotapie"/>
        <w:ind w:firstLine="709"/>
        <w:contextualSpacing/>
        <w:jc w:val="both"/>
        <w:rPr>
          <w:rFonts w:ascii="Arial" w:hAnsi="Arial" w:cs="Arial"/>
          <w:color w:val="000000" w:themeColor="text1"/>
          <w:sz w:val="18"/>
          <w:szCs w:val="18"/>
          <w:lang w:eastAsia="es-CO"/>
        </w:rPr>
      </w:pPr>
      <w:r w:rsidRPr="001500B5">
        <w:rPr>
          <w:rFonts w:ascii="Arial" w:hAnsi="Arial" w:cs="Arial"/>
          <w:color w:val="000000" w:themeColor="text1"/>
          <w:sz w:val="18"/>
          <w:szCs w:val="18"/>
          <w:lang w:eastAsia="es-CO"/>
        </w:rPr>
        <w:t>[…]</w:t>
      </w:r>
    </w:p>
    <w:p w14:paraId="43D94637" w14:textId="77777777" w:rsidR="001C42F7" w:rsidRPr="001500B5" w:rsidRDefault="001C42F7" w:rsidP="001C42F7">
      <w:pPr>
        <w:pStyle w:val="Textonotapie"/>
        <w:ind w:firstLine="709"/>
        <w:contextualSpacing/>
        <w:jc w:val="both"/>
        <w:rPr>
          <w:rFonts w:ascii="Arial" w:hAnsi="Arial" w:cs="Arial"/>
          <w:color w:val="000000" w:themeColor="text1"/>
          <w:sz w:val="18"/>
          <w:szCs w:val="18"/>
          <w:lang w:eastAsia="es-CO"/>
        </w:rPr>
      </w:pPr>
      <w:r w:rsidRPr="001500B5">
        <w:rPr>
          <w:rFonts w:ascii="Arial" w:hAnsi="Arial" w:cs="Arial"/>
          <w:color w:val="000000" w:themeColor="text1"/>
          <w:sz w:val="18"/>
          <w:szCs w:val="18"/>
          <w:lang w:eastAsia="es-CO"/>
        </w:rPr>
        <w:t>»6.1. […]</w:t>
      </w:r>
    </w:p>
    <w:p w14:paraId="016782AD" w14:textId="77777777" w:rsidR="001C42F7" w:rsidRPr="001500B5" w:rsidRDefault="001C42F7" w:rsidP="001C42F7">
      <w:pPr>
        <w:pStyle w:val="Textonotapie"/>
        <w:ind w:firstLine="709"/>
        <w:contextualSpacing/>
        <w:jc w:val="both"/>
        <w:rPr>
          <w:rFonts w:ascii="Arial" w:hAnsi="Arial" w:cs="Arial"/>
          <w:color w:val="000000" w:themeColor="text1"/>
          <w:sz w:val="18"/>
          <w:szCs w:val="18"/>
          <w:lang w:eastAsia="es-CO"/>
        </w:rPr>
      </w:pPr>
      <w:r w:rsidRPr="001500B5">
        <w:rPr>
          <w:rFonts w:ascii="Arial" w:hAnsi="Arial" w:cs="Arial"/>
          <w:color w:val="000000" w:themeColor="text1"/>
          <w:sz w:val="18"/>
          <w:szCs w:val="18"/>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7B0CE064" w14:textId="77777777" w:rsidR="001C42F7" w:rsidRPr="001500B5" w:rsidRDefault="001C42F7" w:rsidP="001C42F7">
      <w:pPr>
        <w:pStyle w:val="Textonotapie"/>
        <w:ind w:firstLine="709"/>
        <w:contextualSpacing/>
        <w:jc w:val="both"/>
        <w:rPr>
          <w:rFonts w:ascii="Arial" w:hAnsi="Arial" w:cs="Arial"/>
          <w:color w:val="000000" w:themeColor="text1"/>
          <w:sz w:val="18"/>
          <w:szCs w:val="18"/>
          <w:lang w:eastAsia="es-CO"/>
        </w:rPr>
      </w:pPr>
      <w:r w:rsidRPr="001500B5">
        <w:rPr>
          <w:rFonts w:ascii="Arial" w:hAnsi="Arial" w:cs="Arial"/>
          <w:color w:val="000000" w:themeColor="text1"/>
          <w:sz w:val="18"/>
          <w:szCs w:val="18"/>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809495A" w14:textId="77777777" w:rsidR="001C42F7" w:rsidRPr="001500B5" w:rsidRDefault="001C42F7" w:rsidP="001C42F7">
      <w:pPr>
        <w:pStyle w:val="Textonotapie"/>
        <w:ind w:firstLine="709"/>
        <w:contextualSpacing/>
        <w:jc w:val="both"/>
        <w:rPr>
          <w:rFonts w:ascii="Arial" w:hAnsi="Arial" w:cs="Arial"/>
          <w:color w:val="000000" w:themeColor="text1"/>
          <w:sz w:val="18"/>
          <w:szCs w:val="18"/>
          <w:lang w:eastAsia="es-CO"/>
        </w:rPr>
      </w:pPr>
      <w:r w:rsidRPr="001500B5">
        <w:rPr>
          <w:rFonts w:ascii="Arial" w:hAnsi="Arial" w:cs="Arial"/>
          <w:color w:val="000000" w:themeColor="text1"/>
          <w:sz w:val="18"/>
          <w:szCs w:val="18"/>
          <w:lang w:eastAsia="es-CO"/>
        </w:rPr>
        <w:t>[…]».</w:t>
      </w:r>
    </w:p>
  </w:footnote>
  <w:footnote w:id="4">
    <w:p w14:paraId="574FCBCC" w14:textId="77777777" w:rsidR="001C42F7" w:rsidRPr="001500B5" w:rsidRDefault="001C42F7" w:rsidP="001C42F7">
      <w:pPr>
        <w:pStyle w:val="Textonotapie"/>
        <w:ind w:firstLine="709"/>
        <w:contextualSpacing/>
        <w:jc w:val="both"/>
        <w:rPr>
          <w:rFonts w:ascii="Arial" w:hAnsi="Arial" w:cs="Arial"/>
          <w:color w:val="000000" w:themeColor="text1"/>
          <w:sz w:val="18"/>
          <w:szCs w:val="18"/>
          <w:lang w:eastAsia="es-CO"/>
        </w:rPr>
      </w:pPr>
      <w:r w:rsidRPr="001500B5">
        <w:rPr>
          <w:rStyle w:val="Refdenotaalpie"/>
          <w:rFonts w:ascii="Arial" w:hAnsi="Arial" w:cs="Arial"/>
          <w:color w:val="000000" w:themeColor="text1"/>
          <w:sz w:val="18"/>
          <w:szCs w:val="18"/>
        </w:rPr>
        <w:footnoteRef/>
      </w:r>
      <w:r w:rsidRPr="001500B5">
        <w:rPr>
          <w:rFonts w:ascii="Arial" w:hAnsi="Arial" w:cs="Arial"/>
          <w:color w:val="000000" w:themeColor="text1"/>
          <w:sz w:val="18"/>
          <w:szCs w:val="18"/>
        </w:rPr>
        <w:t xml:space="preserve"> Ley 1150 de 2007: «Artículo 5. De la selección objetiva.</w:t>
      </w:r>
      <w:r w:rsidRPr="001500B5">
        <w:rPr>
          <w:rFonts w:ascii="Arial" w:hAnsi="Arial" w:cs="Arial"/>
          <w:color w:val="000000" w:themeColor="text1"/>
          <w:sz w:val="18"/>
          <w:szCs w:val="18"/>
          <w:lang w:eastAsia="es-CO"/>
        </w:rPr>
        <w:t xml:space="preserve"> </w:t>
      </w:r>
    </w:p>
    <w:p w14:paraId="2B4A439A" w14:textId="77777777" w:rsidR="001C42F7" w:rsidRPr="001500B5" w:rsidRDefault="001C42F7" w:rsidP="001C42F7">
      <w:pPr>
        <w:pStyle w:val="Textonotapie"/>
        <w:ind w:firstLine="709"/>
        <w:contextualSpacing/>
        <w:jc w:val="both"/>
        <w:rPr>
          <w:rFonts w:ascii="Arial" w:hAnsi="Arial" w:cs="Arial"/>
          <w:color w:val="000000" w:themeColor="text1"/>
          <w:sz w:val="18"/>
          <w:szCs w:val="18"/>
          <w:lang w:eastAsia="es-CO"/>
        </w:rPr>
      </w:pPr>
      <w:r w:rsidRPr="001500B5">
        <w:rPr>
          <w:rFonts w:ascii="Arial" w:hAnsi="Arial" w:cs="Arial"/>
          <w:color w:val="000000" w:themeColor="text1"/>
          <w:sz w:val="18"/>
          <w:szCs w:val="18"/>
          <w:lang w:eastAsia="es-CO"/>
        </w:rPr>
        <w:t>[…]</w:t>
      </w:r>
    </w:p>
    <w:p w14:paraId="5B103366" w14:textId="77777777" w:rsidR="001C42F7" w:rsidRPr="001500B5" w:rsidRDefault="001C42F7" w:rsidP="001C42F7">
      <w:pPr>
        <w:pStyle w:val="Textonotapie"/>
        <w:ind w:firstLine="709"/>
        <w:contextualSpacing/>
        <w:jc w:val="both"/>
        <w:rPr>
          <w:rFonts w:ascii="Arial" w:hAnsi="Arial" w:cs="Arial"/>
          <w:color w:val="000000" w:themeColor="text1"/>
          <w:sz w:val="18"/>
          <w:szCs w:val="18"/>
          <w:lang w:eastAsia="es-CO"/>
        </w:rPr>
      </w:pPr>
      <w:r w:rsidRPr="001500B5">
        <w:rPr>
          <w:rFonts w:ascii="Arial" w:hAnsi="Arial" w:cs="Arial"/>
          <w:color w:val="000000" w:themeColor="text1"/>
          <w:sz w:val="18"/>
          <w:szCs w:val="18"/>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790C2B3" w14:textId="77777777" w:rsidR="001C42F7" w:rsidRPr="001500B5" w:rsidRDefault="001C42F7" w:rsidP="001C42F7">
      <w:pPr>
        <w:pStyle w:val="Textonotapie"/>
        <w:ind w:firstLine="709"/>
        <w:contextualSpacing/>
        <w:jc w:val="both"/>
        <w:rPr>
          <w:rFonts w:ascii="Arial" w:hAnsi="Arial" w:cs="Arial"/>
          <w:color w:val="000000" w:themeColor="text1"/>
          <w:sz w:val="18"/>
          <w:szCs w:val="18"/>
          <w:lang w:eastAsia="es-CO"/>
        </w:rPr>
      </w:pPr>
      <w:r w:rsidRPr="001500B5">
        <w:rPr>
          <w:rFonts w:ascii="Arial" w:hAnsi="Arial" w:cs="Arial"/>
          <w:color w:val="000000" w:themeColor="text1"/>
          <w:sz w:val="18"/>
          <w:szCs w:val="18"/>
          <w:lang w:eastAsia="es-CO"/>
        </w:rPr>
        <w:t>[…]».</w:t>
      </w:r>
    </w:p>
    <w:p w14:paraId="7A28BF6D" w14:textId="77777777" w:rsidR="00E95AE0" w:rsidRPr="001500B5" w:rsidRDefault="00E95AE0" w:rsidP="001C42F7">
      <w:pPr>
        <w:pStyle w:val="Textonotapie"/>
        <w:ind w:firstLine="709"/>
        <w:contextualSpacing/>
        <w:jc w:val="both"/>
        <w:rPr>
          <w:rFonts w:ascii="Arial" w:hAnsi="Arial" w:cs="Arial"/>
          <w:color w:val="000000" w:themeColor="text1"/>
          <w:sz w:val="18"/>
          <w:szCs w:val="18"/>
          <w:lang w:eastAsia="es-CO"/>
        </w:rPr>
      </w:pPr>
    </w:p>
  </w:footnote>
  <w:footnote w:id="5">
    <w:p w14:paraId="2789FD0F" w14:textId="1BDD3A9A" w:rsidR="001C42F7" w:rsidRPr="001500B5" w:rsidRDefault="001C42F7" w:rsidP="001C42F7">
      <w:pPr>
        <w:pStyle w:val="Textonotapie"/>
        <w:ind w:firstLine="709"/>
        <w:contextualSpacing/>
        <w:jc w:val="both"/>
        <w:rPr>
          <w:rFonts w:ascii="Arial" w:hAnsi="Arial" w:cs="Arial"/>
          <w:color w:val="000000" w:themeColor="text1"/>
          <w:sz w:val="18"/>
          <w:szCs w:val="18"/>
        </w:rPr>
      </w:pPr>
      <w:r w:rsidRPr="001500B5">
        <w:rPr>
          <w:rStyle w:val="Refdenotaalpie"/>
          <w:rFonts w:ascii="Arial" w:hAnsi="Arial" w:cs="Arial"/>
          <w:color w:val="000000" w:themeColor="text1"/>
          <w:sz w:val="18"/>
          <w:szCs w:val="18"/>
        </w:rPr>
        <w:footnoteRef/>
      </w:r>
      <w:r w:rsidRPr="001500B5">
        <w:rPr>
          <w:rFonts w:ascii="Arial" w:hAnsi="Arial" w:cs="Arial"/>
          <w:color w:val="000000" w:themeColor="text1"/>
          <w:sz w:val="18"/>
          <w:szCs w:val="18"/>
        </w:rPr>
        <w:t xml:space="preserve"> </w:t>
      </w:r>
      <w:r w:rsidR="00E95AE0" w:rsidRPr="001500B5">
        <w:rPr>
          <w:rFonts w:ascii="Arial" w:hAnsi="Arial" w:cs="Arial"/>
          <w:color w:val="000000" w:themeColor="text1"/>
          <w:sz w:val="18"/>
          <w:szCs w:val="18"/>
          <w:lang w:eastAsia="es-CO"/>
        </w:rPr>
        <w:t>CONSEJO DE ESTADO</w:t>
      </w:r>
      <w:r w:rsidRPr="001500B5">
        <w:rPr>
          <w:rFonts w:ascii="Arial" w:hAnsi="Arial" w:cs="Arial"/>
          <w:color w:val="000000" w:themeColor="text1"/>
          <w:sz w:val="18"/>
          <w:szCs w:val="18"/>
          <w:lang w:eastAsia="es-CO"/>
        </w:rPr>
        <w:t>. Sección Tercera. Subsección A. Sentencia del 12 de febrero de 2014. Exp.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footnote>
  <w:footnote w:id="6">
    <w:p w14:paraId="49EF20DA" w14:textId="77777777" w:rsidR="00E95AE0" w:rsidRPr="001500B5" w:rsidRDefault="00E95AE0" w:rsidP="001C42F7">
      <w:pPr>
        <w:pStyle w:val="Textonotapie"/>
        <w:ind w:firstLine="709"/>
        <w:contextualSpacing/>
        <w:jc w:val="both"/>
        <w:rPr>
          <w:rFonts w:ascii="Arial" w:hAnsi="Arial" w:cs="Arial"/>
          <w:sz w:val="18"/>
          <w:szCs w:val="18"/>
        </w:rPr>
      </w:pPr>
    </w:p>
    <w:p w14:paraId="73BDEC7B" w14:textId="182120AC" w:rsidR="001C42F7" w:rsidRPr="001500B5" w:rsidRDefault="001C42F7" w:rsidP="001C42F7">
      <w:pPr>
        <w:pStyle w:val="Textonotapie"/>
        <w:ind w:firstLine="709"/>
        <w:contextualSpacing/>
        <w:jc w:val="both"/>
        <w:rPr>
          <w:rFonts w:ascii="Arial" w:hAnsi="Arial" w:cs="Arial"/>
          <w:sz w:val="18"/>
          <w:szCs w:val="18"/>
          <w:lang w:eastAsia="es-CO"/>
        </w:rPr>
      </w:pPr>
      <w:r w:rsidRPr="001500B5">
        <w:rPr>
          <w:rStyle w:val="Refdenotaalpie"/>
          <w:rFonts w:ascii="Arial" w:hAnsi="Arial" w:cs="Arial"/>
          <w:sz w:val="18"/>
          <w:szCs w:val="18"/>
        </w:rPr>
        <w:footnoteRef/>
      </w:r>
      <w:r w:rsidRPr="001500B5">
        <w:rPr>
          <w:rFonts w:ascii="Arial" w:hAnsi="Arial" w:cs="Arial"/>
          <w:sz w:val="18"/>
          <w:szCs w:val="18"/>
        </w:rPr>
        <w:t xml:space="preserve"> </w:t>
      </w:r>
      <w:r w:rsidRPr="001500B5">
        <w:rPr>
          <w:rFonts w:ascii="Arial" w:hAnsi="Arial" w:cs="Arial"/>
          <w:sz w:val="18"/>
          <w:szCs w:val="18"/>
          <w:lang w:eastAsia="es-CO"/>
        </w:rPr>
        <w:t xml:space="preserve">Ley 1150 de 2007: «Artículo 6.  De la verificación de las condiciones de los proponentes. </w:t>
      </w:r>
    </w:p>
    <w:p w14:paraId="58262830" w14:textId="77777777" w:rsidR="001C42F7" w:rsidRPr="001500B5" w:rsidRDefault="001C42F7" w:rsidP="001C42F7">
      <w:pPr>
        <w:pStyle w:val="Textonotapie"/>
        <w:ind w:firstLine="709"/>
        <w:contextualSpacing/>
        <w:jc w:val="both"/>
        <w:rPr>
          <w:rFonts w:ascii="Arial" w:hAnsi="Arial" w:cs="Arial"/>
          <w:sz w:val="18"/>
          <w:szCs w:val="18"/>
          <w:lang w:eastAsia="es-CO"/>
        </w:rPr>
      </w:pPr>
      <w:r w:rsidRPr="001500B5">
        <w:rPr>
          <w:rFonts w:ascii="Arial" w:hAnsi="Arial" w:cs="Arial"/>
          <w:sz w:val="18"/>
          <w:szCs w:val="18"/>
          <w:lang w:eastAsia="es-CO"/>
        </w:rPr>
        <w:t xml:space="preserve">[...] </w:t>
      </w:r>
    </w:p>
    <w:p w14:paraId="4AE09CDE" w14:textId="77777777" w:rsidR="001C42F7" w:rsidRPr="001500B5" w:rsidRDefault="001C42F7" w:rsidP="001C42F7">
      <w:pPr>
        <w:pStyle w:val="Textonotapie"/>
        <w:ind w:firstLine="709"/>
        <w:contextualSpacing/>
        <w:jc w:val="both"/>
        <w:rPr>
          <w:rFonts w:ascii="Arial" w:hAnsi="Arial" w:cs="Arial"/>
          <w:sz w:val="18"/>
          <w:szCs w:val="18"/>
          <w:lang w:eastAsia="es-CO"/>
        </w:rPr>
      </w:pPr>
      <w:r w:rsidRPr="001500B5">
        <w:rPr>
          <w:rFonts w:ascii="Arial" w:hAnsi="Arial" w:cs="Arial"/>
          <w:sz w:val="18"/>
          <w:szCs w:val="18"/>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5EECBEA" w14:textId="77777777" w:rsidR="001C42F7" w:rsidRPr="001500B5" w:rsidRDefault="001C42F7" w:rsidP="001C42F7">
      <w:pPr>
        <w:pStyle w:val="Textonotapie"/>
        <w:ind w:firstLine="709"/>
        <w:contextualSpacing/>
        <w:jc w:val="both"/>
        <w:rPr>
          <w:rFonts w:ascii="Arial" w:hAnsi="Arial" w:cs="Arial"/>
          <w:sz w:val="18"/>
          <w:szCs w:val="18"/>
          <w:lang w:eastAsia="es-CO"/>
        </w:rPr>
      </w:pPr>
      <w:r w:rsidRPr="001500B5">
        <w:rPr>
          <w:rFonts w:ascii="Arial" w:hAnsi="Arial" w:cs="Arial"/>
          <w:sz w:val="18"/>
          <w:szCs w:val="18"/>
          <w:lang w:eastAsia="es-CO"/>
        </w:rPr>
        <w:t xml:space="preserve">[...]». </w:t>
      </w:r>
    </w:p>
  </w:footnote>
  <w:footnote w:id="7">
    <w:p w14:paraId="65B1241C" w14:textId="77777777" w:rsidR="001D7E2D" w:rsidRPr="001500B5" w:rsidRDefault="001D7E2D" w:rsidP="001C42F7">
      <w:pPr>
        <w:pStyle w:val="Textonotapie"/>
        <w:ind w:firstLine="709"/>
        <w:contextualSpacing/>
        <w:jc w:val="both"/>
        <w:rPr>
          <w:rFonts w:ascii="Arial" w:hAnsi="Arial" w:cs="Arial"/>
          <w:sz w:val="18"/>
          <w:szCs w:val="18"/>
        </w:rPr>
      </w:pPr>
    </w:p>
    <w:p w14:paraId="55118CA0" w14:textId="39FCC0D3" w:rsidR="001C42F7" w:rsidRPr="001500B5" w:rsidRDefault="001C42F7" w:rsidP="001C42F7">
      <w:pPr>
        <w:pStyle w:val="Textonotapie"/>
        <w:ind w:firstLine="709"/>
        <w:contextualSpacing/>
        <w:jc w:val="both"/>
        <w:rPr>
          <w:rFonts w:ascii="Arial" w:hAnsi="Arial" w:cs="Arial"/>
          <w:sz w:val="18"/>
          <w:szCs w:val="18"/>
          <w:lang w:eastAsia="es-CO"/>
        </w:rPr>
      </w:pPr>
      <w:r w:rsidRPr="001500B5">
        <w:rPr>
          <w:rStyle w:val="Refdenotaalpie"/>
          <w:rFonts w:ascii="Arial" w:hAnsi="Arial" w:cs="Arial"/>
          <w:sz w:val="18"/>
          <w:szCs w:val="18"/>
        </w:rPr>
        <w:footnoteRef/>
      </w:r>
      <w:r w:rsidRPr="001500B5">
        <w:rPr>
          <w:rFonts w:ascii="Arial" w:hAnsi="Arial" w:cs="Arial"/>
          <w:sz w:val="18"/>
          <w:szCs w:val="18"/>
        </w:rPr>
        <w:t xml:space="preserve"> </w:t>
      </w:r>
      <w:r w:rsidR="001D7E2D" w:rsidRPr="001500B5">
        <w:rPr>
          <w:rFonts w:ascii="Arial" w:hAnsi="Arial" w:cs="Arial"/>
          <w:sz w:val="18"/>
          <w:szCs w:val="18"/>
        </w:rPr>
        <w:t>Ley 1150 de 2007:</w:t>
      </w:r>
      <w:r w:rsidRPr="001500B5">
        <w:rPr>
          <w:rFonts w:ascii="Arial" w:hAnsi="Arial" w:cs="Arial"/>
          <w:sz w:val="18"/>
          <w:szCs w:val="18"/>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8">
    <w:p w14:paraId="1D4CADF2" w14:textId="77777777" w:rsidR="001C42F7" w:rsidRPr="001500B5" w:rsidRDefault="001C42F7" w:rsidP="001C42F7">
      <w:pPr>
        <w:pStyle w:val="Textonotapie"/>
        <w:ind w:firstLine="709"/>
        <w:contextualSpacing/>
        <w:jc w:val="both"/>
        <w:rPr>
          <w:rFonts w:ascii="Arial" w:hAnsi="Arial" w:cs="Arial"/>
          <w:color w:val="000000" w:themeColor="text1"/>
          <w:sz w:val="18"/>
          <w:szCs w:val="18"/>
        </w:rPr>
      </w:pPr>
      <w:r w:rsidRPr="001500B5">
        <w:rPr>
          <w:rStyle w:val="Refdenotaalpie"/>
          <w:rFonts w:ascii="Arial" w:hAnsi="Arial" w:cs="Arial"/>
          <w:color w:val="000000" w:themeColor="text1"/>
          <w:sz w:val="18"/>
          <w:szCs w:val="18"/>
        </w:rPr>
        <w:footnoteRef/>
      </w:r>
      <w:r w:rsidRPr="001500B5">
        <w:rPr>
          <w:rFonts w:ascii="Arial" w:hAnsi="Arial" w:cs="Arial"/>
          <w:color w:val="000000" w:themeColor="text1"/>
          <w:sz w:val="18"/>
          <w:szCs w:val="18"/>
        </w:rPr>
        <w:t xml:space="preserve"> </w:t>
      </w:r>
      <w:r w:rsidRPr="001500B5">
        <w:rPr>
          <w:rFonts w:ascii="Arial" w:hAnsi="Arial" w:cs="Arial"/>
          <w:color w:val="000000" w:themeColor="text1"/>
          <w:sz w:val="18"/>
          <w:szCs w:val="18"/>
          <w:lang w:eastAsia="es-CO"/>
        </w:rPr>
        <w:t>Consejo de Estado. Sala de Consulta y Servicio Civil. Consulta del 20 de mayo de 2010. Exp.1992. C. P. Enrique José Arboleda Perdomo.</w:t>
      </w:r>
    </w:p>
  </w:footnote>
  <w:footnote w:id="9">
    <w:p w14:paraId="21B9CBE5" w14:textId="77777777" w:rsidR="001C42F7" w:rsidRPr="001500B5" w:rsidRDefault="001C42F7" w:rsidP="001C42F7">
      <w:pPr>
        <w:pStyle w:val="Textonotapie"/>
        <w:ind w:firstLine="709"/>
        <w:contextualSpacing/>
        <w:jc w:val="both"/>
        <w:rPr>
          <w:rFonts w:ascii="Arial" w:hAnsi="Arial" w:cs="Arial"/>
          <w:color w:val="000000" w:themeColor="text1"/>
          <w:sz w:val="18"/>
          <w:szCs w:val="18"/>
          <w:lang w:eastAsia="es-CO"/>
        </w:rPr>
      </w:pPr>
      <w:r w:rsidRPr="001500B5">
        <w:rPr>
          <w:rStyle w:val="Refdenotaalpie"/>
          <w:rFonts w:ascii="Arial" w:hAnsi="Arial" w:cs="Arial"/>
          <w:color w:val="000000" w:themeColor="text1"/>
          <w:sz w:val="18"/>
          <w:szCs w:val="18"/>
        </w:rPr>
        <w:footnoteRef/>
      </w:r>
      <w:r w:rsidRPr="001500B5">
        <w:rPr>
          <w:rFonts w:ascii="Arial" w:hAnsi="Arial" w:cs="Arial"/>
          <w:color w:val="000000" w:themeColor="text1"/>
          <w:sz w:val="18"/>
          <w:szCs w:val="18"/>
          <w:lang w:eastAsia="es-CO"/>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FCFE5C2" w14:textId="77777777" w:rsidR="001C42F7" w:rsidRDefault="001C42F7" w:rsidP="001C42F7">
      <w:pPr>
        <w:pStyle w:val="Textonotapie"/>
        <w:ind w:firstLine="708"/>
        <w:contextualSpacing/>
        <w:jc w:val="both"/>
        <w:rPr>
          <w:rFonts w:ascii="Arial" w:hAnsi="Arial" w:cs="Arial"/>
          <w:color w:val="000000" w:themeColor="text1"/>
          <w:sz w:val="18"/>
          <w:szCs w:val="18"/>
        </w:rPr>
      </w:pPr>
      <w:r w:rsidRPr="001500B5">
        <w:rPr>
          <w:rFonts w:ascii="Arial" w:hAnsi="Arial" w:cs="Arial"/>
          <w:color w:val="000000" w:themeColor="text1"/>
          <w:sz w:val="18"/>
          <w:szCs w:val="18"/>
          <w:lang w:eastAsia="es-CO"/>
        </w:rPr>
        <w:t xml:space="preserve">[...]». </w:t>
      </w:r>
      <w:r w:rsidRPr="001500B5">
        <w:rPr>
          <w:rFonts w:ascii="Arial" w:hAnsi="Arial" w:cs="Arial"/>
          <w:color w:val="000000" w:themeColor="text1"/>
          <w:sz w:val="18"/>
          <w:szCs w:val="18"/>
        </w:rPr>
        <w:t xml:space="preserve"> </w:t>
      </w:r>
    </w:p>
    <w:p w14:paraId="4735CA66" w14:textId="77777777" w:rsidR="00971E12" w:rsidRPr="001500B5" w:rsidRDefault="00971E12" w:rsidP="001C42F7">
      <w:pPr>
        <w:pStyle w:val="Textonotapie"/>
        <w:ind w:firstLine="708"/>
        <w:contextualSpacing/>
        <w:jc w:val="both"/>
        <w:rPr>
          <w:rFonts w:ascii="Arial" w:hAnsi="Arial" w:cs="Arial"/>
          <w:color w:val="000000" w:themeColor="text1"/>
          <w:sz w:val="18"/>
          <w:szCs w:val="18"/>
        </w:rPr>
      </w:pPr>
    </w:p>
  </w:footnote>
  <w:footnote w:id="10">
    <w:p w14:paraId="15AE2DF4" w14:textId="77777777" w:rsidR="001C42F7" w:rsidRDefault="001C42F7" w:rsidP="001C42F7">
      <w:pPr>
        <w:pStyle w:val="Textonotapie"/>
        <w:ind w:firstLine="708"/>
        <w:contextualSpacing/>
        <w:jc w:val="both"/>
        <w:rPr>
          <w:rFonts w:ascii="Arial" w:hAnsi="Arial" w:cs="Arial"/>
          <w:color w:val="000000" w:themeColor="text1"/>
          <w:sz w:val="18"/>
          <w:szCs w:val="18"/>
        </w:rPr>
      </w:pPr>
      <w:r w:rsidRPr="001500B5">
        <w:rPr>
          <w:rStyle w:val="Refdenotaalpie"/>
          <w:rFonts w:ascii="Arial" w:hAnsi="Arial" w:cs="Arial"/>
          <w:color w:val="000000" w:themeColor="text1"/>
          <w:sz w:val="18"/>
          <w:szCs w:val="18"/>
        </w:rPr>
        <w:footnoteRef/>
      </w:r>
      <w:r w:rsidRPr="001500B5">
        <w:rPr>
          <w:rFonts w:ascii="Arial" w:hAnsi="Arial" w:cs="Arial"/>
          <w:color w:val="000000" w:themeColor="text1"/>
          <w:sz w:val="18"/>
          <w:szCs w:val="18"/>
          <w:lang w:eastAsia="es-CO"/>
        </w:rPr>
        <w:t>«¨[...]</w:t>
      </w:r>
      <w:r w:rsidRPr="001500B5">
        <w:rPr>
          <w:rFonts w:ascii="Arial" w:hAnsi="Arial" w:cs="Arial"/>
          <w:color w:val="000000" w:themeColor="text1"/>
          <w:sz w:val="18"/>
          <w:szCs w:val="18"/>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1500B5">
        <w:rPr>
          <w:rFonts w:ascii="Arial" w:hAnsi="Arial" w:cs="Arial"/>
          <w:color w:val="000000" w:themeColor="text1"/>
          <w:sz w:val="18"/>
          <w:szCs w:val="18"/>
          <w:lang w:eastAsia="es-CO"/>
        </w:rPr>
        <w:t xml:space="preserve">[...]». </w:t>
      </w:r>
      <w:r w:rsidRPr="001500B5">
        <w:rPr>
          <w:rFonts w:ascii="Arial" w:hAnsi="Arial" w:cs="Arial"/>
          <w:color w:val="000000" w:themeColor="text1"/>
          <w:sz w:val="18"/>
          <w:szCs w:val="18"/>
        </w:rPr>
        <w:t xml:space="preserve"> </w:t>
      </w:r>
    </w:p>
    <w:p w14:paraId="0C823B4F" w14:textId="77777777" w:rsidR="00971E12" w:rsidRPr="001500B5" w:rsidRDefault="00971E12" w:rsidP="001C42F7">
      <w:pPr>
        <w:pStyle w:val="Textonotapie"/>
        <w:ind w:firstLine="708"/>
        <w:contextualSpacing/>
        <w:jc w:val="both"/>
        <w:rPr>
          <w:rFonts w:ascii="Arial" w:hAnsi="Arial" w:cs="Arial"/>
          <w:color w:val="000000" w:themeColor="text1"/>
          <w:sz w:val="18"/>
          <w:szCs w:val="18"/>
          <w:lang w:val="es-CO"/>
        </w:rPr>
      </w:pPr>
    </w:p>
  </w:footnote>
  <w:footnote w:id="11">
    <w:p w14:paraId="7CB01211" w14:textId="77777777" w:rsidR="001C42F7" w:rsidRPr="001500B5" w:rsidRDefault="001C42F7" w:rsidP="001C42F7">
      <w:pPr>
        <w:pStyle w:val="Textonotapie"/>
        <w:ind w:firstLine="709"/>
        <w:contextualSpacing/>
        <w:jc w:val="both"/>
        <w:rPr>
          <w:rFonts w:ascii="Arial" w:hAnsi="Arial" w:cs="Arial"/>
          <w:color w:val="000000" w:themeColor="text1"/>
          <w:sz w:val="18"/>
          <w:szCs w:val="18"/>
          <w:lang w:eastAsia="es-CO"/>
        </w:rPr>
      </w:pPr>
      <w:r w:rsidRPr="001500B5">
        <w:rPr>
          <w:rStyle w:val="Refdenotaalpie"/>
          <w:rFonts w:ascii="Arial" w:hAnsi="Arial" w:cs="Arial"/>
          <w:color w:val="000000" w:themeColor="text1"/>
          <w:sz w:val="18"/>
          <w:szCs w:val="18"/>
        </w:rPr>
        <w:footnoteRef/>
      </w:r>
      <w:r w:rsidRPr="001500B5">
        <w:rPr>
          <w:rFonts w:ascii="Arial" w:hAnsi="Arial" w:cs="Arial"/>
          <w:color w:val="000000" w:themeColor="text1"/>
          <w:sz w:val="18"/>
          <w:szCs w:val="18"/>
        </w:rPr>
        <w:t xml:space="preserve"> </w:t>
      </w:r>
      <w:r w:rsidRPr="001500B5">
        <w:rPr>
          <w:rFonts w:ascii="Arial" w:hAnsi="Arial" w:cs="Arial"/>
          <w:color w:val="000000" w:themeColor="text1"/>
          <w:sz w:val="18"/>
          <w:szCs w:val="18"/>
          <w:lang w:eastAsia="es-CO"/>
        </w:rPr>
        <w:t>Decreto 1082 de 2015:</w:t>
      </w:r>
      <w:r w:rsidRPr="001500B5">
        <w:rPr>
          <w:rFonts w:ascii="Arial" w:hAnsi="Arial" w:cs="Arial"/>
          <w:color w:val="000000" w:themeColor="text1"/>
          <w:sz w:val="18"/>
          <w:szCs w:val="18"/>
        </w:rPr>
        <w:t xml:space="preserve"> </w:t>
      </w:r>
      <w:r w:rsidRPr="001500B5">
        <w:rPr>
          <w:rFonts w:ascii="Arial" w:hAnsi="Arial" w:cs="Arial"/>
          <w:color w:val="000000" w:themeColor="text1"/>
          <w:sz w:val="18"/>
          <w:szCs w:val="18"/>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09B20D17" w14:textId="77777777" w:rsidR="001C42F7" w:rsidRPr="001500B5" w:rsidRDefault="001C42F7" w:rsidP="001C42F7">
      <w:pPr>
        <w:pStyle w:val="Textonotapie"/>
        <w:ind w:firstLine="709"/>
        <w:contextualSpacing/>
        <w:jc w:val="both"/>
        <w:rPr>
          <w:rFonts w:ascii="Arial" w:hAnsi="Arial" w:cs="Arial"/>
          <w:color w:val="000000" w:themeColor="text1"/>
          <w:sz w:val="18"/>
          <w:szCs w:val="18"/>
          <w:lang w:eastAsia="es-CO"/>
        </w:rPr>
      </w:pPr>
      <w:r w:rsidRPr="001500B5">
        <w:rPr>
          <w:rFonts w:ascii="Arial" w:hAnsi="Arial" w:cs="Arial"/>
          <w:color w:val="000000" w:themeColor="text1"/>
          <w:sz w:val="18"/>
          <w:szCs w:val="18"/>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0EACE906" w14:textId="77777777" w:rsidR="001C42F7" w:rsidRPr="001500B5" w:rsidRDefault="001C42F7" w:rsidP="001C42F7">
      <w:pPr>
        <w:pStyle w:val="Textonotapie"/>
        <w:ind w:firstLine="709"/>
        <w:contextualSpacing/>
        <w:jc w:val="both"/>
        <w:rPr>
          <w:rFonts w:ascii="Arial" w:hAnsi="Arial" w:cs="Arial"/>
          <w:color w:val="000000" w:themeColor="text1"/>
          <w:sz w:val="18"/>
          <w:szCs w:val="18"/>
          <w:lang w:eastAsia="es-CO"/>
        </w:rPr>
      </w:pPr>
      <w:r w:rsidRPr="001500B5">
        <w:rPr>
          <w:rFonts w:ascii="Arial" w:hAnsi="Arial" w:cs="Arial"/>
          <w:color w:val="000000" w:themeColor="text1"/>
          <w:sz w:val="18"/>
          <w:szCs w:val="18"/>
          <w:lang w:eastAsia="es-CO"/>
        </w:rPr>
        <w:t>»Los inscritos en el RUP pueden en cualquier momento solicitar a la cámara de comercio cancelar su inscripción».</w:t>
      </w:r>
    </w:p>
  </w:footnote>
  <w:footnote w:id="12">
    <w:p w14:paraId="1A745177" w14:textId="77777777" w:rsidR="001C42F7" w:rsidRPr="001500B5" w:rsidRDefault="001C42F7" w:rsidP="001C42F7">
      <w:pPr>
        <w:pStyle w:val="Textonotapie"/>
        <w:ind w:firstLine="708"/>
        <w:contextualSpacing/>
        <w:jc w:val="both"/>
        <w:rPr>
          <w:rFonts w:ascii="Arial" w:hAnsi="Arial" w:cs="Arial"/>
          <w:sz w:val="18"/>
          <w:szCs w:val="18"/>
        </w:rPr>
      </w:pPr>
      <w:r w:rsidRPr="001500B5">
        <w:rPr>
          <w:rStyle w:val="Refdenotaalpie"/>
          <w:rFonts w:ascii="Arial" w:hAnsi="Arial" w:cs="Arial"/>
          <w:sz w:val="18"/>
          <w:szCs w:val="18"/>
        </w:rPr>
        <w:footnoteRef/>
      </w:r>
      <w:r w:rsidRPr="001500B5">
        <w:rPr>
          <w:rFonts w:ascii="Arial" w:hAnsi="Arial" w:cs="Arial"/>
          <w:sz w:val="18"/>
          <w:szCs w:val="18"/>
        </w:rPr>
        <w:t xml:space="preserve"> Como se señaló, el artículo 6 de la Ley 1150 de 2007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footnote>
  <w:footnote w:id="13">
    <w:p w14:paraId="7B66043D" w14:textId="77777777" w:rsidR="001C42F7" w:rsidRPr="001500B5" w:rsidRDefault="001C42F7" w:rsidP="001C42F7">
      <w:pPr>
        <w:pStyle w:val="NormalWeb"/>
        <w:spacing w:before="0" w:beforeAutospacing="0" w:after="0" w:afterAutospacing="0"/>
        <w:ind w:firstLine="708"/>
        <w:contextualSpacing/>
        <w:jc w:val="both"/>
        <w:rPr>
          <w:rFonts w:ascii="Arial" w:hAnsi="Arial" w:cs="Arial"/>
          <w:sz w:val="18"/>
          <w:szCs w:val="18"/>
        </w:rPr>
      </w:pPr>
      <w:r w:rsidRPr="001500B5">
        <w:rPr>
          <w:rStyle w:val="Refdenotaalpie"/>
          <w:rFonts w:ascii="Arial" w:hAnsi="Arial" w:cs="Arial"/>
          <w:sz w:val="18"/>
          <w:szCs w:val="18"/>
        </w:rPr>
        <w:footnoteRef/>
      </w:r>
      <w:r w:rsidRPr="001500B5">
        <w:rPr>
          <w:rFonts w:ascii="Arial" w:hAnsi="Arial" w:cs="Arial"/>
          <w:sz w:val="18"/>
          <w:szCs w:val="18"/>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w:t>
      </w:r>
      <w:proofErr w:type="spellStart"/>
      <w:r w:rsidRPr="001500B5">
        <w:rPr>
          <w:rFonts w:ascii="Arial" w:hAnsi="Arial" w:cs="Arial"/>
          <w:sz w:val="18"/>
          <w:szCs w:val="18"/>
        </w:rPr>
        <w:t>Unico</w:t>
      </w:r>
      <w:proofErr w:type="spellEnd"/>
      <w:r w:rsidRPr="001500B5">
        <w:rPr>
          <w:rFonts w:ascii="Arial" w:hAnsi="Arial" w:cs="Arial"/>
          <w:sz w:val="18"/>
          <w:szCs w:val="18"/>
        </w:rPr>
        <w:t xml:space="preserve"> de Proponentes del Registro Único Empresarial de la Cámara de Comercio con jurisdicción en su domicilio principal.  </w:t>
      </w:r>
    </w:p>
    <w:p w14:paraId="13BD9957" w14:textId="77777777" w:rsidR="001C42F7" w:rsidRPr="001500B5" w:rsidRDefault="001C42F7" w:rsidP="001C42F7">
      <w:pPr>
        <w:contextualSpacing/>
        <w:jc w:val="both"/>
        <w:rPr>
          <w:rFonts w:ascii="Arial" w:hAnsi="Arial" w:cs="Arial"/>
          <w:sz w:val="18"/>
          <w:szCs w:val="18"/>
          <w:lang w:val="es-CO" w:eastAsia="es-CO"/>
        </w:rPr>
      </w:pPr>
      <w:r w:rsidRPr="001500B5">
        <w:rPr>
          <w:rFonts w:ascii="Arial" w:hAnsi="Arial" w:cs="Arial"/>
          <w:sz w:val="18"/>
          <w:szCs w:val="18"/>
          <w:lang w:val="es-CO" w:eastAsia="es-CO"/>
        </w:rPr>
        <w:t> </w:t>
      </w:r>
      <w:r w:rsidRPr="001500B5">
        <w:rPr>
          <w:rFonts w:ascii="Arial" w:hAnsi="Arial" w:cs="Arial"/>
          <w:sz w:val="18"/>
          <w:szCs w:val="18"/>
          <w:lang w:val="es-CO" w:eastAsia="es-CO"/>
        </w:rPr>
        <w:tab/>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6BB057C6" w14:textId="77777777" w:rsidR="001C42F7" w:rsidRPr="001500B5" w:rsidRDefault="001C42F7" w:rsidP="001C42F7">
      <w:pPr>
        <w:ind w:firstLine="708"/>
        <w:contextualSpacing/>
        <w:jc w:val="both"/>
        <w:rPr>
          <w:rFonts w:ascii="Arial" w:hAnsi="Arial" w:cs="Arial"/>
          <w:sz w:val="18"/>
          <w:szCs w:val="18"/>
          <w:lang w:val="es-CO" w:eastAsia="es-CO"/>
        </w:rPr>
      </w:pPr>
      <w:r w:rsidRPr="001500B5">
        <w:rPr>
          <w:rFonts w:ascii="Arial" w:hAnsi="Arial" w:cs="Arial"/>
          <w:sz w:val="18"/>
          <w:szCs w:val="18"/>
          <w:lang w:val="es-CO" w:eastAsia="es-CO"/>
        </w:rPr>
        <w:t>»</w:t>
      </w:r>
      <w:r w:rsidRPr="001500B5">
        <w:rPr>
          <w:rFonts w:ascii="Arial" w:hAnsi="Arial" w:cs="Arial"/>
          <w:sz w:val="18"/>
          <w:szCs w:val="18"/>
          <w:u w:val="single"/>
          <w:lang w:val="es-CO" w:eastAsia="es-CO"/>
        </w:rPr>
        <w:t>En dicho registro constará la información relacionada con la experiencia, capacidad jurídica, financiera y de organización del proponente y su clasificación</w:t>
      </w:r>
      <w:r w:rsidRPr="001500B5">
        <w:rPr>
          <w:rFonts w:ascii="Arial" w:hAnsi="Arial" w:cs="Arial"/>
          <w:sz w:val="18"/>
          <w:szCs w:val="18"/>
          <w:lang w:val="es-CO" w:eastAsia="es-CO"/>
        </w:rPr>
        <w:t>[…]». (Subrayas fuera del texto).</w:t>
      </w:r>
    </w:p>
    <w:p w14:paraId="41732AE9" w14:textId="77777777" w:rsidR="0087359A" w:rsidRPr="001500B5" w:rsidRDefault="0087359A" w:rsidP="001C42F7">
      <w:pPr>
        <w:ind w:firstLine="708"/>
        <w:contextualSpacing/>
        <w:jc w:val="both"/>
        <w:rPr>
          <w:rFonts w:ascii="Arial" w:hAnsi="Arial" w:cs="Arial"/>
          <w:sz w:val="18"/>
          <w:szCs w:val="18"/>
          <w:lang w:val="es-CO" w:eastAsia="es-CO"/>
        </w:rPr>
      </w:pPr>
    </w:p>
  </w:footnote>
  <w:footnote w:id="14">
    <w:p w14:paraId="67243778" w14:textId="77777777" w:rsidR="001C42F7" w:rsidRPr="001500B5" w:rsidRDefault="001C42F7" w:rsidP="001C42F7">
      <w:pPr>
        <w:pStyle w:val="Textonotapie"/>
        <w:ind w:firstLine="708"/>
        <w:contextualSpacing/>
        <w:jc w:val="both"/>
        <w:rPr>
          <w:rFonts w:ascii="Arial" w:hAnsi="Arial" w:cs="Arial"/>
          <w:sz w:val="18"/>
          <w:szCs w:val="18"/>
        </w:rPr>
      </w:pPr>
      <w:r w:rsidRPr="001500B5">
        <w:rPr>
          <w:rStyle w:val="Refdenotaalpie"/>
          <w:rFonts w:ascii="Arial" w:hAnsi="Arial" w:cs="Arial"/>
          <w:sz w:val="18"/>
          <w:szCs w:val="18"/>
        </w:rPr>
        <w:footnoteRef/>
      </w:r>
      <w:r w:rsidRPr="001500B5">
        <w:rPr>
          <w:rFonts w:ascii="Arial" w:hAnsi="Arial" w:cs="Arial"/>
          <w:sz w:val="18"/>
          <w:szCs w:val="18"/>
        </w:rPr>
        <w:t xml:space="preserve"> Debe precisarse que, a pesar de que el RUP es la regla general, de conformidad con el segundo inciso del artículo 6 de la Ley 1150 de 2007, este no es exigible en todos los procesos de contratación. Al respecto ha manifestado esta Subdirección: «No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 Agencia Nacional de Contratación Pública – Colombia Compra Eficiente. Concepto C-052 del 18 de marzo de 2020. Radicado de entrada No. 4202012000000208. Radicado de salida No. 2202013000002051.</w:t>
      </w:r>
    </w:p>
    <w:p w14:paraId="7370F033" w14:textId="77777777" w:rsidR="001C42F7" w:rsidRPr="001500B5" w:rsidRDefault="001C42F7" w:rsidP="001C42F7">
      <w:pPr>
        <w:pStyle w:val="Textonotapie"/>
        <w:ind w:firstLine="708"/>
        <w:contextualSpacing/>
        <w:jc w:val="both"/>
        <w:rPr>
          <w:rFonts w:ascii="Arial" w:hAnsi="Arial" w:cs="Arial"/>
          <w:sz w:val="18"/>
          <w:szCs w:val="18"/>
        </w:rPr>
      </w:pPr>
    </w:p>
  </w:footnote>
  <w:footnote w:id="15">
    <w:p w14:paraId="4EBBCD29" w14:textId="77777777" w:rsidR="001C42F7" w:rsidRPr="001500B5" w:rsidRDefault="001C42F7" w:rsidP="001C42F7">
      <w:pPr>
        <w:pStyle w:val="Textonotapie"/>
        <w:ind w:firstLine="708"/>
        <w:contextualSpacing/>
        <w:jc w:val="both"/>
        <w:rPr>
          <w:rFonts w:ascii="Arial" w:hAnsi="Arial" w:cs="Arial"/>
          <w:sz w:val="18"/>
          <w:szCs w:val="18"/>
          <w:u w:val="single"/>
        </w:rPr>
      </w:pPr>
      <w:r w:rsidRPr="001500B5">
        <w:rPr>
          <w:rStyle w:val="Refdenotaalpie"/>
          <w:rFonts w:ascii="Arial" w:hAnsi="Arial" w:cs="Arial"/>
          <w:sz w:val="18"/>
          <w:szCs w:val="18"/>
        </w:rPr>
        <w:footnoteRef/>
      </w:r>
      <w:r w:rsidRPr="001500B5">
        <w:rPr>
          <w:rFonts w:ascii="Arial" w:hAnsi="Arial" w:cs="Arial"/>
          <w:sz w:val="18"/>
          <w:szCs w:val="18"/>
        </w:rPr>
        <w:t xml:space="preserve"> Agencia Nacional de Contratación Pública – Colombia Compra Eficiente. Guía para la codificación de bienes y servicios de acuerdo con el código estándar de productos y servicios de Naciones Unidas, V.14.080. Disponible en: </w:t>
      </w:r>
      <w:hyperlink r:id="rId1" w:history="1">
        <w:r w:rsidRPr="001500B5">
          <w:rPr>
            <w:rStyle w:val="Hipervnculo"/>
            <w:rFonts w:ascii="Arial" w:hAnsi="Arial" w:cs="Arial"/>
            <w:sz w:val="18"/>
            <w:szCs w:val="18"/>
          </w:rPr>
          <w:t>https://www.colombiacompra.gov.co/sites/cce_public/files/cce_documents/cce_guia_codificacion_bienes.pdf</w:t>
        </w:r>
      </w:hyperlink>
    </w:p>
  </w:footnote>
  <w:footnote w:id="16">
    <w:p w14:paraId="15BA88D2" w14:textId="77777777" w:rsidR="001C42F7" w:rsidRPr="001500B5" w:rsidRDefault="001C42F7" w:rsidP="001C42F7">
      <w:pPr>
        <w:pStyle w:val="NormalWeb"/>
        <w:spacing w:before="0" w:beforeAutospacing="0" w:after="0" w:afterAutospacing="0"/>
        <w:ind w:firstLine="708"/>
        <w:contextualSpacing/>
        <w:jc w:val="both"/>
        <w:rPr>
          <w:rFonts w:ascii="Arial" w:hAnsi="Arial" w:cs="Arial"/>
          <w:color w:val="000000"/>
          <w:sz w:val="18"/>
          <w:szCs w:val="18"/>
        </w:rPr>
      </w:pPr>
      <w:r w:rsidRPr="001500B5">
        <w:rPr>
          <w:rStyle w:val="Refdenotaalpie"/>
          <w:rFonts w:ascii="Arial" w:hAnsi="Arial" w:cs="Arial"/>
          <w:sz w:val="18"/>
          <w:szCs w:val="18"/>
        </w:rPr>
        <w:footnoteRef/>
      </w:r>
      <w:r w:rsidRPr="001500B5">
        <w:rPr>
          <w:rFonts w:ascii="Arial" w:hAnsi="Arial" w:cs="Arial"/>
          <w:sz w:val="18"/>
          <w:szCs w:val="18"/>
        </w:rPr>
        <w:t xml:space="preserve"> Decreto 1082 de 2015: «</w:t>
      </w:r>
      <w:r w:rsidRPr="001500B5">
        <w:rPr>
          <w:rFonts w:ascii="Arial" w:hAnsi="Arial" w:cs="Arial"/>
          <w:color w:val="000000"/>
          <w:sz w:val="18"/>
          <w:szCs w:val="18"/>
        </w:rPr>
        <w:t>Artículo 2.2.1.1.1.5.2. Información para inscripción, renovación o actualización</w:t>
      </w:r>
      <w:r w:rsidRPr="001500B5">
        <w:rPr>
          <w:rFonts w:ascii="Arial" w:hAnsi="Arial" w:cs="Arial"/>
          <w:b/>
          <w:bCs/>
          <w:color w:val="000000"/>
          <w:sz w:val="18"/>
          <w:szCs w:val="18"/>
        </w:rPr>
        <w:t>.</w:t>
      </w:r>
      <w:r w:rsidRPr="001500B5">
        <w:rPr>
          <w:rFonts w:ascii="Arial" w:hAnsi="Arial" w:cs="Arial"/>
          <w:b/>
          <w:bCs/>
          <w:i/>
          <w:iCs/>
          <w:color w:val="000000"/>
          <w:sz w:val="18"/>
          <w:szCs w:val="18"/>
        </w:rPr>
        <w:t> </w:t>
      </w:r>
      <w:r w:rsidRPr="001500B5">
        <w:rPr>
          <w:rFonts w:ascii="Arial" w:hAnsi="Arial" w:cs="Arial"/>
          <w:color w:val="000000"/>
          <w:sz w:val="18"/>
          <w:szCs w:val="18"/>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301F9B7C" w14:textId="77777777" w:rsidR="001C42F7" w:rsidRPr="001500B5" w:rsidRDefault="001C42F7" w:rsidP="001C42F7">
      <w:pPr>
        <w:contextualSpacing/>
        <w:jc w:val="both"/>
        <w:rPr>
          <w:rFonts w:ascii="Arial" w:hAnsi="Arial" w:cs="Arial"/>
          <w:color w:val="000000"/>
          <w:sz w:val="18"/>
          <w:szCs w:val="18"/>
          <w:lang w:val="es-CO" w:eastAsia="es-CO"/>
        </w:rPr>
      </w:pPr>
      <w:r w:rsidRPr="001500B5">
        <w:rPr>
          <w:rFonts w:ascii="Arial" w:hAnsi="Arial" w:cs="Arial"/>
          <w:color w:val="000000"/>
          <w:sz w:val="18"/>
          <w:szCs w:val="18"/>
          <w:lang w:val="es-CO" w:eastAsia="es-CO"/>
        </w:rPr>
        <w:t>  </w:t>
      </w:r>
      <w:r w:rsidRPr="001500B5">
        <w:rPr>
          <w:rFonts w:ascii="Arial" w:hAnsi="Arial" w:cs="Arial"/>
          <w:color w:val="000000"/>
          <w:sz w:val="18"/>
          <w:szCs w:val="18"/>
          <w:lang w:val="es-CO" w:eastAsia="es-CO"/>
        </w:rPr>
        <w:tab/>
        <w:t>»1. Si es una persona natural: </w:t>
      </w:r>
    </w:p>
    <w:p w14:paraId="479CAA8E" w14:textId="77777777" w:rsidR="001C42F7" w:rsidRPr="001500B5" w:rsidRDefault="001C42F7" w:rsidP="001C42F7">
      <w:pPr>
        <w:contextualSpacing/>
        <w:jc w:val="both"/>
        <w:rPr>
          <w:rFonts w:ascii="Arial" w:hAnsi="Arial" w:cs="Arial"/>
          <w:color w:val="000000"/>
          <w:sz w:val="18"/>
          <w:szCs w:val="18"/>
          <w:lang w:val="es-CO" w:eastAsia="es-CO"/>
        </w:rPr>
      </w:pPr>
      <w:r w:rsidRPr="001500B5">
        <w:rPr>
          <w:rFonts w:ascii="Arial" w:hAnsi="Arial" w:cs="Arial"/>
          <w:color w:val="000000"/>
          <w:sz w:val="18"/>
          <w:szCs w:val="18"/>
          <w:lang w:val="es-CO" w:eastAsia="es-CO"/>
        </w:rPr>
        <w:t>  </w:t>
      </w:r>
      <w:r w:rsidRPr="001500B5">
        <w:rPr>
          <w:rFonts w:ascii="Arial" w:hAnsi="Arial" w:cs="Arial"/>
          <w:color w:val="000000"/>
          <w:sz w:val="18"/>
          <w:szCs w:val="18"/>
          <w:lang w:val="es-CO" w:eastAsia="es-CO"/>
        </w:rPr>
        <w:tab/>
        <w:t>»1.1. Bienes, obras y servicios que ofrecerá a las Entidades Estatales, identificados con el Clasificador de Bienes y Servicios en el tercer nivel. </w:t>
      </w:r>
    </w:p>
    <w:p w14:paraId="6047E080" w14:textId="77777777" w:rsidR="001C42F7" w:rsidRPr="001500B5" w:rsidRDefault="001C42F7" w:rsidP="001C42F7">
      <w:pPr>
        <w:contextualSpacing/>
        <w:jc w:val="both"/>
        <w:rPr>
          <w:rFonts w:ascii="Arial" w:hAnsi="Arial" w:cs="Arial"/>
          <w:color w:val="000000"/>
          <w:sz w:val="18"/>
          <w:szCs w:val="18"/>
          <w:lang w:val="es-CO" w:eastAsia="es-CO"/>
        </w:rPr>
      </w:pPr>
      <w:r w:rsidRPr="001500B5">
        <w:rPr>
          <w:rFonts w:ascii="Arial" w:hAnsi="Arial" w:cs="Arial"/>
          <w:color w:val="000000"/>
          <w:sz w:val="18"/>
          <w:szCs w:val="18"/>
          <w:lang w:val="es-CO" w:eastAsia="es-CO"/>
        </w:rPr>
        <w:t>  </w:t>
      </w:r>
      <w:r w:rsidRPr="001500B5">
        <w:rPr>
          <w:rFonts w:ascii="Arial" w:hAnsi="Arial" w:cs="Arial"/>
          <w:color w:val="000000"/>
          <w:sz w:val="18"/>
          <w:szCs w:val="18"/>
          <w:lang w:val="es-CO" w:eastAsia="es-CO"/>
        </w:rPr>
        <w:tab/>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p>
    <w:p w14:paraId="407C8350" w14:textId="77777777" w:rsidR="001C42F7" w:rsidRPr="001500B5" w:rsidRDefault="001C42F7" w:rsidP="001C42F7">
      <w:pPr>
        <w:pStyle w:val="Textonotapie"/>
        <w:ind w:firstLine="708"/>
        <w:contextualSpacing/>
        <w:jc w:val="both"/>
        <w:rPr>
          <w:rFonts w:ascii="Arial" w:hAnsi="Arial" w:cs="Arial"/>
          <w:sz w:val="18"/>
          <w:szCs w:val="18"/>
        </w:rPr>
      </w:pPr>
      <w:r w:rsidRPr="001500B5">
        <w:rPr>
          <w:rFonts w:ascii="Arial" w:hAnsi="Arial" w:cs="Arial"/>
          <w:sz w:val="18"/>
          <w:szCs w:val="18"/>
        </w:rPr>
        <w:t xml:space="preserve"> […]</w:t>
      </w:r>
    </w:p>
    <w:p w14:paraId="03C674B9" w14:textId="77777777" w:rsidR="001C42F7" w:rsidRPr="001500B5" w:rsidRDefault="001C42F7" w:rsidP="001C42F7">
      <w:pPr>
        <w:pStyle w:val="Textonotapie"/>
        <w:ind w:firstLine="708"/>
        <w:contextualSpacing/>
        <w:jc w:val="both"/>
        <w:rPr>
          <w:rFonts w:ascii="Arial" w:hAnsi="Arial" w:cs="Arial"/>
          <w:color w:val="000000"/>
          <w:sz w:val="18"/>
          <w:szCs w:val="18"/>
        </w:rPr>
      </w:pPr>
      <w:r w:rsidRPr="001500B5">
        <w:rPr>
          <w:rFonts w:ascii="Arial" w:hAnsi="Arial" w:cs="Arial"/>
          <w:sz w:val="18"/>
          <w:szCs w:val="18"/>
        </w:rPr>
        <w:t>»</w:t>
      </w:r>
      <w:r w:rsidRPr="001500B5">
        <w:rPr>
          <w:rFonts w:ascii="Arial" w:hAnsi="Arial" w:cs="Arial"/>
          <w:color w:val="000000"/>
          <w:sz w:val="18"/>
          <w:szCs w:val="18"/>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 […]».</w:t>
      </w:r>
    </w:p>
    <w:p w14:paraId="14570439" w14:textId="77777777" w:rsidR="003B370B" w:rsidRPr="001500B5" w:rsidRDefault="003B370B" w:rsidP="001C42F7">
      <w:pPr>
        <w:pStyle w:val="Textonotapie"/>
        <w:ind w:firstLine="708"/>
        <w:contextualSpacing/>
        <w:jc w:val="both"/>
        <w:rPr>
          <w:rFonts w:ascii="Arial" w:hAnsi="Arial" w:cs="Arial"/>
          <w:color w:val="000000"/>
          <w:sz w:val="18"/>
          <w:szCs w:val="18"/>
        </w:rPr>
      </w:pPr>
    </w:p>
  </w:footnote>
  <w:footnote w:id="17">
    <w:p w14:paraId="2B212BD8" w14:textId="77777777" w:rsidR="001C42F7" w:rsidRPr="001500B5" w:rsidRDefault="001C42F7" w:rsidP="001500B5">
      <w:pPr>
        <w:pStyle w:val="Textonotapie"/>
        <w:spacing w:after="120"/>
        <w:ind w:firstLine="709"/>
        <w:jc w:val="both"/>
        <w:rPr>
          <w:rFonts w:ascii="Arial" w:hAnsi="Arial" w:cs="Arial"/>
          <w:sz w:val="18"/>
          <w:szCs w:val="18"/>
        </w:rPr>
      </w:pPr>
      <w:r w:rsidRPr="001500B5">
        <w:rPr>
          <w:rStyle w:val="Refdenotaalpie"/>
          <w:rFonts w:ascii="Arial" w:hAnsi="Arial" w:cs="Arial"/>
          <w:sz w:val="18"/>
          <w:szCs w:val="18"/>
        </w:rPr>
        <w:footnoteRef/>
      </w:r>
      <w:r w:rsidRPr="001500B5">
        <w:rPr>
          <w:rFonts w:ascii="Arial" w:hAnsi="Arial" w:cs="Arial"/>
          <w:sz w:val="18"/>
          <w:szCs w:val="18"/>
        </w:rPr>
        <w:t xml:space="preserve"> Decreto 1082 de 2015: «Artículo 2.2.1.1.2.1.3. Pliegos de condiciones. Los pliegos de condiciones deben contener por lo menos la siguiente información:  </w:t>
      </w:r>
    </w:p>
    <w:p w14:paraId="329BD00A" w14:textId="77777777" w:rsidR="001C42F7" w:rsidRPr="001500B5" w:rsidRDefault="001C42F7" w:rsidP="001C42F7">
      <w:pPr>
        <w:pStyle w:val="Textonotapie"/>
        <w:ind w:firstLine="708"/>
        <w:contextualSpacing/>
        <w:jc w:val="both"/>
        <w:rPr>
          <w:rFonts w:ascii="Arial" w:hAnsi="Arial" w:cs="Arial"/>
          <w:sz w:val="18"/>
          <w:szCs w:val="18"/>
        </w:rPr>
      </w:pPr>
      <w:r w:rsidRPr="001500B5">
        <w:rPr>
          <w:rFonts w:ascii="Arial" w:hAnsi="Arial" w:cs="Arial"/>
          <w:sz w:val="18"/>
          <w:szCs w:val="18"/>
        </w:rPr>
        <w:t>»1. La descripción técnica, detallada y completa del bien o servicio objeto del contrato, identificado con el cuarto nivel del Clasificador de Bienes y Servicios, de ser posible o de lo contrario con el tercer nivel del mismo […]».</w:t>
      </w:r>
    </w:p>
    <w:p w14:paraId="1E88EFEB" w14:textId="77777777" w:rsidR="001C42F7" w:rsidRPr="001500B5" w:rsidRDefault="001C42F7" w:rsidP="001C42F7">
      <w:pPr>
        <w:pStyle w:val="Textonotapie"/>
        <w:ind w:firstLine="708"/>
        <w:contextualSpacing/>
        <w:jc w:val="both"/>
        <w:rPr>
          <w:rFonts w:ascii="Arial" w:hAnsi="Arial" w:cs="Arial"/>
          <w:sz w:val="18"/>
          <w:szCs w:val="18"/>
        </w:rPr>
      </w:pPr>
    </w:p>
  </w:footnote>
  <w:footnote w:id="18">
    <w:p w14:paraId="0668CD83" w14:textId="77777777" w:rsidR="001C42F7" w:rsidRPr="001500B5" w:rsidRDefault="001C42F7" w:rsidP="001C42F7">
      <w:pPr>
        <w:pStyle w:val="Textonotapie"/>
        <w:ind w:firstLine="708"/>
        <w:contextualSpacing/>
        <w:jc w:val="both"/>
        <w:rPr>
          <w:rFonts w:ascii="Arial" w:hAnsi="Arial" w:cs="Arial"/>
          <w:sz w:val="18"/>
          <w:szCs w:val="18"/>
          <w:u w:val="single"/>
        </w:rPr>
      </w:pPr>
      <w:r w:rsidRPr="001500B5">
        <w:rPr>
          <w:rStyle w:val="Refdenotaalpie"/>
          <w:rFonts w:ascii="Arial" w:hAnsi="Arial" w:cs="Arial"/>
          <w:sz w:val="18"/>
          <w:szCs w:val="18"/>
        </w:rPr>
        <w:footnoteRef/>
      </w:r>
      <w:r w:rsidRPr="001500B5">
        <w:rPr>
          <w:rFonts w:ascii="Arial" w:hAnsi="Arial" w:cs="Arial"/>
          <w:sz w:val="18"/>
          <w:szCs w:val="18"/>
        </w:rPr>
        <w:t xml:space="preserve"> Agencia Nacional de Contratación Pública – Colombia Compra Eficiente. Guía para la codificación de bienes y servicios de acuerdo con el código estándar de productos y servicios de Naciones Unidas, V.14.080. Disponible en: </w:t>
      </w:r>
      <w:hyperlink r:id="rId2" w:history="1">
        <w:r w:rsidRPr="001500B5">
          <w:rPr>
            <w:rStyle w:val="Hipervnculo"/>
            <w:rFonts w:ascii="Arial" w:hAnsi="Arial" w:cs="Arial"/>
            <w:sz w:val="18"/>
            <w:szCs w:val="18"/>
          </w:rPr>
          <w:t>https://www.colombiacompra.gov.co/sites/cce_public/files/cce_documents/cce_guia_codificacion_bienes.pdf</w:t>
        </w:r>
      </w:hyperlink>
    </w:p>
  </w:footnote>
  <w:footnote w:id="19">
    <w:p w14:paraId="749651E1" w14:textId="6E03229E" w:rsidR="002C2C4A" w:rsidRPr="001500B5" w:rsidRDefault="002C2C4A" w:rsidP="001500B5">
      <w:pPr>
        <w:pStyle w:val="Textonotapie"/>
        <w:ind w:firstLine="708"/>
        <w:jc w:val="both"/>
        <w:rPr>
          <w:rFonts w:ascii="Arial" w:hAnsi="Arial" w:cs="Arial"/>
          <w:sz w:val="18"/>
          <w:szCs w:val="18"/>
        </w:rPr>
      </w:pPr>
      <w:r w:rsidRPr="001500B5">
        <w:rPr>
          <w:rStyle w:val="Refdenotaalpie"/>
          <w:rFonts w:ascii="Arial" w:hAnsi="Arial" w:cs="Arial"/>
          <w:sz w:val="18"/>
          <w:szCs w:val="18"/>
        </w:rPr>
        <w:footnoteRef/>
      </w:r>
      <w:r w:rsidRPr="001500B5">
        <w:rPr>
          <w:rFonts w:ascii="Arial" w:hAnsi="Arial" w:cs="Arial"/>
          <w:sz w:val="18"/>
          <w:szCs w:val="18"/>
        </w:rPr>
        <w:t xml:space="preserve">  Agencia Nacional de Contratación Pública – Colombia Compra Eficiente, Circular Externa Única</w:t>
      </w:r>
      <w:r w:rsidR="00586B1C" w:rsidRPr="001500B5">
        <w:rPr>
          <w:rFonts w:ascii="Arial" w:hAnsi="Arial" w:cs="Arial"/>
          <w:sz w:val="18"/>
          <w:szCs w:val="18"/>
        </w:rPr>
        <w:t xml:space="preserve">. Expedida el 15 de julio de 2022. Disponible en: </w:t>
      </w:r>
      <w:hyperlink r:id="rId3" w:history="1">
        <w:r w:rsidR="007B0F79" w:rsidRPr="001500B5">
          <w:rPr>
            <w:rStyle w:val="Hipervnculo"/>
            <w:rFonts w:ascii="Arial" w:hAnsi="Arial" w:cs="Arial"/>
            <w:sz w:val="18"/>
            <w:szCs w:val="18"/>
          </w:rPr>
          <w:t>https://www.colombiacompra.gov.co/sites/cce_public/files/cce_circulares/cce-eicp-ma-06_circular_externa_con_comentarios_de_ciudadanos-_v2f_002.pdf</w:t>
        </w:r>
      </w:hyperlink>
    </w:p>
  </w:footnote>
  <w:footnote w:id="20">
    <w:p w14:paraId="7DA0C479" w14:textId="77777777" w:rsidR="001C42F7" w:rsidRPr="001500B5" w:rsidRDefault="001C42F7" w:rsidP="001C42F7">
      <w:pPr>
        <w:pStyle w:val="Textonotapie"/>
        <w:ind w:firstLine="708"/>
        <w:contextualSpacing/>
        <w:jc w:val="both"/>
        <w:rPr>
          <w:rFonts w:ascii="Arial" w:hAnsi="Arial" w:cs="Arial"/>
          <w:sz w:val="18"/>
          <w:szCs w:val="18"/>
        </w:rPr>
      </w:pPr>
      <w:r w:rsidRPr="001500B5">
        <w:rPr>
          <w:rStyle w:val="Refdenotaalpie"/>
          <w:rFonts w:ascii="Arial" w:hAnsi="Arial" w:cs="Arial"/>
          <w:sz w:val="18"/>
          <w:szCs w:val="18"/>
        </w:rPr>
        <w:footnoteRef/>
      </w:r>
      <w:r w:rsidRPr="001500B5">
        <w:rPr>
          <w:rFonts w:ascii="Arial" w:hAnsi="Arial" w:cs="Arial"/>
          <w:sz w:val="18"/>
          <w:szCs w:val="18"/>
        </w:rPr>
        <w:t xml:space="preserve"> </w:t>
      </w:r>
      <w:r w:rsidRPr="001500B5">
        <w:rPr>
          <w:rFonts w:ascii="Arial" w:hAnsi="Arial" w:cs="Arial"/>
          <w:i/>
          <w:iCs/>
          <w:sz w:val="18"/>
          <w:szCs w:val="18"/>
        </w:rPr>
        <w:t>Ibíd.</w:t>
      </w:r>
      <w:r w:rsidRPr="001500B5">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F70B2" w14:textId="77777777" w:rsidR="00FF547A" w:rsidRPr="003F58A1" w:rsidRDefault="00FF547A" w:rsidP="00FF547A">
    <w:pPr>
      <w:rPr>
        <w:rFonts w:ascii="Geomanist Bold" w:hAnsi="Geomanist Bold"/>
        <w:color w:val="002060"/>
      </w:rPr>
    </w:pPr>
    <w:r w:rsidRPr="008614E5">
      <w:rPr>
        <w:rFonts w:eastAsia="Arial Nova" w:cs="Arial Nova"/>
        <w:noProof/>
        <w:lang w:val="es-CO" w:eastAsia="es-CO"/>
      </w:rPr>
      <w:drawing>
        <wp:anchor distT="0" distB="0" distL="0" distR="0" simplePos="0" relativeHeight="251659264" behindDoc="1" locked="0" layoutInCell="1" hidden="0" allowOverlap="1" wp14:anchorId="5874DB57" wp14:editId="160F8ED8">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FF547A" w:rsidRPr="00367110" w14:paraId="5ED9DEE1" w14:textId="77777777" w:rsidTr="005C12A3">
      <w:tc>
        <w:tcPr>
          <w:tcW w:w="6756" w:type="dxa"/>
        </w:tcPr>
        <w:p w14:paraId="0A134E09" w14:textId="77777777" w:rsidR="00FF547A" w:rsidRPr="006478E3" w:rsidRDefault="00FF547A" w:rsidP="00FF547A">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1A55BEE" w14:textId="77777777" w:rsidR="00FF547A" w:rsidRPr="0057618A" w:rsidRDefault="00FF547A" w:rsidP="00FF547A">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FC476D3" w14:textId="77777777" w:rsidR="00FF547A" w:rsidRPr="00367110" w:rsidRDefault="00FF547A" w:rsidP="00FF547A">
          <w:pPr>
            <w:jc w:val="right"/>
            <w:rPr>
              <w:rFonts w:eastAsia="Arial Nova" w:cs="Arial Nova"/>
              <w:lang w:eastAsia="es-CO"/>
            </w:rPr>
          </w:pPr>
        </w:p>
      </w:tc>
      <w:tc>
        <w:tcPr>
          <w:tcW w:w="1324" w:type="dxa"/>
        </w:tcPr>
        <w:p w14:paraId="0F0F73CB" w14:textId="77777777" w:rsidR="00FF547A" w:rsidRPr="00367110" w:rsidRDefault="00FF547A" w:rsidP="00FF547A">
          <w:pPr>
            <w:jc w:val="right"/>
            <w:rPr>
              <w:rFonts w:eastAsia="Arial Nova" w:cs="Arial Nova"/>
              <w:lang w:eastAsia="es-CO"/>
            </w:rPr>
          </w:pPr>
        </w:p>
      </w:tc>
    </w:tr>
  </w:tbl>
  <w:p w14:paraId="6748370D" w14:textId="77777777" w:rsidR="00FF547A" w:rsidRPr="00460695" w:rsidRDefault="00FF547A" w:rsidP="00FF547A">
    <w:pPr>
      <w:pStyle w:val="Encabezado"/>
      <w:ind w:left="3545" w:firstLine="709"/>
      <w:rPr>
        <w:b/>
        <w:bCs/>
        <w:color w:val="9BBB59"/>
        <w:sz w:val="18"/>
        <w:szCs w:val="18"/>
      </w:rPr>
    </w:pPr>
    <w:r w:rsidRPr="00367110">
      <w:rPr>
        <w:rFonts w:eastAsia="Arial Nova" w:cs="Arial Nova"/>
        <w:noProof/>
        <w:color w:val="000000"/>
        <w:lang w:val="es-CO" w:eastAsia="es-CO"/>
      </w:rPr>
      <w:drawing>
        <wp:anchor distT="0" distB="0" distL="114300" distR="114300" simplePos="0" relativeHeight="251660288" behindDoc="1" locked="0" layoutInCell="1" allowOverlap="1" wp14:anchorId="6DE7C012" wp14:editId="6EC056F1">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96DAC93" w14:textId="5AAD8977" w:rsidR="00D81E5B" w:rsidRDefault="00D81E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33D57"/>
    <w:multiLevelType w:val="hybridMultilevel"/>
    <w:tmpl w:val="F4BEBEDE"/>
    <w:lvl w:ilvl="0" w:tplc="FFFFFFFF">
      <w:start w:val="1"/>
      <w:numFmt w:val="decimal"/>
      <w:lvlText w:val="%1."/>
      <w:lvlJc w:val="left"/>
      <w:pPr>
        <w:ind w:left="720" w:hanging="360"/>
      </w:pPr>
      <w:rPr>
        <w:rFonts w:eastAsia="Calibri"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FB360E5"/>
    <w:multiLevelType w:val="hybridMultilevel"/>
    <w:tmpl w:val="D39C906C"/>
    <w:lvl w:ilvl="0" w:tplc="D5F84DD2">
      <w:start w:val="3"/>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4592630"/>
    <w:multiLevelType w:val="hybridMultilevel"/>
    <w:tmpl w:val="7A7411D8"/>
    <w:lvl w:ilvl="0" w:tplc="0A1C59BA">
      <w:start w:val="1"/>
      <w:numFmt w:val="lowerLetter"/>
      <w:lvlText w:val="%1)"/>
      <w:lvlJc w:val="left"/>
      <w:pPr>
        <w:ind w:left="1008" w:hanging="330"/>
      </w:pPr>
      <w:rPr>
        <w:rFonts w:ascii="Arial" w:eastAsia="Arial" w:hAnsi="Arial" w:cs="Arial" w:hint="default"/>
        <w:color w:val="4E4D4D"/>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3"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491D27D0"/>
    <w:multiLevelType w:val="multilevel"/>
    <w:tmpl w:val="D47AE904"/>
    <w:lvl w:ilvl="0">
      <w:start w:val="1"/>
      <w:numFmt w:val="decimal"/>
      <w:lvlText w:val="%1"/>
      <w:lvlJc w:val="left"/>
      <w:pPr>
        <w:ind w:left="725" w:hanging="425"/>
      </w:pPr>
      <w:rPr>
        <w:rFonts w:hint="default"/>
        <w:lang w:val="es-ES" w:eastAsia="en-US" w:bidi="ar-SA"/>
      </w:rPr>
    </w:lvl>
    <w:lvl w:ilvl="1">
      <w:start w:val="1"/>
      <w:numFmt w:val="decimal"/>
      <w:lvlText w:val="%1.%2."/>
      <w:lvlJc w:val="left"/>
      <w:pPr>
        <w:ind w:left="725" w:hanging="425"/>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5" w15:restartNumberingAfterBreak="0">
    <w:nsid w:val="4C5A58BD"/>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D5F44E0"/>
    <w:multiLevelType w:val="hybridMultilevel"/>
    <w:tmpl w:val="F4BEBEDE"/>
    <w:lvl w:ilvl="0" w:tplc="EC40D58E">
      <w:start w:val="1"/>
      <w:numFmt w:val="decimal"/>
      <w:lvlText w:val="%1."/>
      <w:lvlJc w:val="left"/>
      <w:pPr>
        <w:ind w:left="720" w:hanging="360"/>
      </w:pPr>
      <w:rPr>
        <w:rFonts w:eastAsia="Calibri" w:hint="default"/>
        <w:sz w:val="21"/>
        <w:szCs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1857FE1"/>
    <w:multiLevelType w:val="hybridMultilevel"/>
    <w:tmpl w:val="22081502"/>
    <w:lvl w:ilvl="0" w:tplc="01C08F3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79050F22"/>
    <w:multiLevelType w:val="hybridMultilevel"/>
    <w:tmpl w:val="775CA8A8"/>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142574823">
    <w:abstractNumId w:val="3"/>
  </w:num>
  <w:num w:numId="2" w16cid:durableId="65035669">
    <w:abstractNumId w:val="8"/>
  </w:num>
  <w:num w:numId="3" w16cid:durableId="1981837625">
    <w:abstractNumId w:val="2"/>
  </w:num>
  <w:num w:numId="4" w16cid:durableId="2016421018">
    <w:abstractNumId w:val="4"/>
  </w:num>
  <w:num w:numId="5" w16cid:durableId="1591770257">
    <w:abstractNumId w:val="6"/>
  </w:num>
  <w:num w:numId="6" w16cid:durableId="2088962858">
    <w:abstractNumId w:val="0"/>
  </w:num>
  <w:num w:numId="7" w16cid:durableId="1670130527">
    <w:abstractNumId w:val="1"/>
  </w:num>
  <w:num w:numId="8" w16cid:durableId="102699815">
    <w:abstractNumId w:val="7"/>
  </w:num>
  <w:num w:numId="9" w16cid:durableId="219436960">
    <w:abstractNumId w:val="5"/>
  </w:num>
  <w:num w:numId="10" w16cid:durableId="17063674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067"/>
    <w:rsid w:val="0000246D"/>
    <w:rsid w:val="000027AC"/>
    <w:rsid w:val="0000290E"/>
    <w:rsid w:val="0001350A"/>
    <w:rsid w:val="00013A32"/>
    <w:rsid w:val="00015285"/>
    <w:rsid w:val="000160CE"/>
    <w:rsid w:val="00027E00"/>
    <w:rsid w:val="0003002F"/>
    <w:rsid w:val="00034765"/>
    <w:rsid w:val="00040A69"/>
    <w:rsid w:val="00041D4B"/>
    <w:rsid w:val="0004470C"/>
    <w:rsid w:val="00047939"/>
    <w:rsid w:val="00051DF9"/>
    <w:rsid w:val="00061670"/>
    <w:rsid w:val="00063E22"/>
    <w:rsid w:val="00064617"/>
    <w:rsid w:val="00065604"/>
    <w:rsid w:val="00066403"/>
    <w:rsid w:val="000714BA"/>
    <w:rsid w:val="00074955"/>
    <w:rsid w:val="000770A6"/>
    <w:rsid w:val="000801E4"/>
    <w:rsid w:val="00081366"/>
    <w:rsid w:val="000815BD"/>
    <w:rsid w:val="00093ECC"/>
    <w:rsid w:val="000965D3"/>
    <w:rsid w:val="000971FE"/>
    <w:rsid w:val="000A1A65"/>
    <w:rsid w:val="000A22E0"/>
    <w:rsid w:val="000A2429"/>
    <w:rsid w:val="000A2922"/>
    <w:rsid w:val="000A6950"/>
    <w:rsid w:val="000A71F8"/>
    <w:rsid w:val="000B322A"/>
    <w:rsid w:val="000B38F9"/>
    <w:rsid w:val="000B6B23"/>
    <w:rsid w:val="000B7A2F"/>
    <w:rsid w:val="000C0C5A"/>
    <w:rsid w:val="000C176A"/>
    <w:rsid w:val="000C232E"/>
    <w:rsid w:val="000C2E65"/>
    <w:rsid w:val="000C41FF"/>
    <w:rsid w:val="000C7DC5"/>
    <w:rsid w:val="000D17CE"/>
    <w:rsid w:val="000D31AF"/>
    <w:rsid w:val="000E22E1"/>
    <w:rsid w:val="000E3E74"/>
    <w:rsid w:val="000E4BCC"/>
    <w:rsid w:val="000E6606"/>
    <w:rsid w:val="000F1274"/>
    <w:rsid w:val="000F16C3"/>
    <w:rsid w:val="000F20D6"/>
    <w:rsid w:val="000F2455"/>
    <w:rsid w:val="000F299B"/>
    <w:rsid w:val="000F416D"/>
    <w:rsid w:val="001005DA"/>
    <w:rsid w:val="00100AC8"/>
    <w:rsid w:val="0010115C"/>
    <w:rsid w:val="0010340C"/>
    <w:rsid w:val="00103ECD"/>
    <w:rsid w:val="001048AE"/>
    <w:rsid w:val="001078A7"/>
    <w:rsid w:val="00110547"/>
    <w:rsid w:val="00121A6C"/>
    <w:rsid w:val="001221E5"/>
    <w:rsid w:val="00122D5C"/>
    <w:rsid w:val="00130B50"/>
    <w:rsid w:val="00132DAD"/>
    <w:rsid w:val="0014048E"/>
    <w:rsid w:val="00140BF5"/>
    <w:rsid w:val="0014294A"/>
    <w:rsid w:val="0014312B"/>
    <w:rsid w:val="00144885"/>
    <w:rsid w:val="00145CEA"/>
    <w:rsid w:val="001500B5"/>
    <w:rsid w:val="0015100A"/>
    <w:rsid w:val="00152152"/>
    <w:rsid w:val="001542F1"/>
    <w:rsid w:val="00155176"/>
    <w:rsid w:val="00155A6A"/>
    <w:rsid w:val="00156332"/>
    <w:rsid w:val="00156426"/>
    <w:rsid w:val="00160025"/>
    <w:rsid w:val="00160EA4"/>
    <w:rsid w:val="0016321F"/>
    <w:rsid w:val="00166895"/>
    <w:rsid w:val="001701CA"/>
    <w:rsid w:val="00172E23"/>
    <w:rsid w:val="0017361B"/>
    <w:rsid w:val="00177317"/>
    <w:rsid w:val="00181D50"/>
    <w:rsid w:val="00192273"/>
    <w:rsid w:val="0019286E"/>
    <w:rsid w:val="0019347C"/>
    <w:rsid w:val="0019577D"/>
    <w:rsid w:val="00196387"/>
    <w:rsid w:val="00197239"/>
    <w:rsid w:val="001973D3"/>
    <w:rsid w:val="001A1FE0"/>
    <w:rsid w:val="001A3646"/>
    <w:rsid w:val="001A7515"/>
    <w:rsid w:val="001B1ED3"/>
    <w:rsid w:val="001B5043"/>
    <w:rsid w:val="001C42F7"/>
    <w:rsid w:val="001C668B"/>
    <w:rsid w:val="001C7F1C"/>
    <w:rsid w:val="001D014E"/>
    <w:rsid w:val="001D169F"/>
    <w:rsid w:val="001D579D"/>
    <w:rsid w:val="001D7E2D"/>
    <w:rsid w:val="001E00A3"/>
    <w:rsid w:val="001E0D8E"/>
    <w:rsid w:val="001E3285"/>
    <w:rsid w:val="001E51C7"/>
    <w:rsid w:val="001E55F8"/>
    <w:rsid w:val="001F0BA1"/>
    <w:rsid w:val="001F1036"/>
    <w:rsid w:val="001F1F9F"/>
    <w:rsid w:val="001F2112"/>
    <w:rsid w:val="001F21CD"/>
    <w:rsid w:val="001F2FE7"/>
    <w:rsid w:val="001F4A87"/>
    <w:rsid w:val="0020413F"/>
    <w:rsid w:val="00204EC8"/>
    <w:rsid w:val="0020666F"/>
    <w:rsid w:val="00206E4E"/>
    <w:rsid w:val="0022027A"/>
    <w:rsid w:val="002203D9"/>
    <w:rsid w:val="00222FE7"/>
    <w:rsid w:val="0023114E"/>
    <w:rsid w:val="00231D1A"/>
    <w:rsid w:val="00234C96"/>
    <w:rsid w:val="00236169"/>
    <w:rsid w:val="002370E0"/>
    <w:rsid w:val="002410B7"/>
    <w:rsid w:val="00244285"/>
    <w:rsid w:val="00244D23"/>
    <w:rsid w:val="002465BD"/>
    <w:rsid w:val="00247860"/>
    <w:rsid w:val="002546FB"/>
    <w:rsid w:val="0025649D"/>
    <w:rsid w:val="0025667C"/>
    <w:rsid w:val="002621C0"/>
    <w:rsid w:val="00262A58"/>
    <w:rsid w:val="0026380C"/>
    <w:rsid w:val="002650A2"/>
    <w:rsid w:val="00266469"/>
    <w:rsid w:val="00266CCA"/>
    <w:rsid w:val="00267994"/>
    <w:rsid w:val="00273DB1"/>
    <w:rsid w:val="00274FF8"/>
    <w:rsid w:val="00276E87"/>
    <w:rsid w:val="00276F1D"/>
    <w:rsid w:val="0027789E"/>
    <w:rsid w:val="002835D0"/>
    <w:rsid w:val="0028433E"/>
    <w:rsid w:val="002867FC"/>
    <w:rsid w:val="00290872"/>
    <w:rsid w:val="00292A75"/>
    <w:rsid w:val="00294A56"/>
    <w:rsid w:val="002A092A"/>
    <w:rsid w:val="002A471D"/>
    <w:rsid w:val="002A75C7"/>
    <w:rsid w:val="002B2085"/>
    <w:rsid w:val="002B5D94"/>
    <w:rsid w:val="002B6EDD"/>
    <w:rsid w:val="002B7D31"/>
    <w:rsid w:val="002C18C8"/>
    <w:rsid w:val="002C2C4A"/>
    <w:rsid w:val="002C3DC8"/>
    <w:rsid w:val="002C6B0D"/>
    <w:rsid w:val="002D55E0"/>
    <w:rsid w:val="002D6662"/>
    <w:rsid w:val="002D6DB8"/>
    <w:rsid w:val="002D7CBD"/>
    <w:rsid w:val="002E0539"/>
    <w:rsid w:val="002E4878"/>
    <w:rsid w:val="002F1D1C"/>
    <w:rsid w:val="002F339A"/>
    <w:rsid w:val="002F3B48"/>
    <w:rsid w:val="002F5437"/>
    <w:rsid w:val="002F5CAB"/>
    <w:rsid w:val="002F7C27"/>
    <w:rsid w:val="00303F37"/>
    <w:rsid w:val="00305DDD"/>
    <w:rsid w:val="00306093"/>
    <w:rsid w:val="0030614C"/>
    <w:rsid w:val="00307D38"/>
    <w:rsid w:val="003104CB"/>
    <w:rsid w:val="00311E48"/>
    <w:rsid w:val="00313EFB"/>
    <w:rsid w:val="003142AF"/>
    <w:rsid w:val="00315CF6"/>
    <w:rsid w:val="00316157"/>
    <w:rsid w:val="0031755A"/>
    <w:rsid w:val="00320859"/>
    <w:rsid w:val="003210B5"/>
    <w:rsid w:val="003258E3"/>
    <w:rsid w:val="00325CA9"/>
    <w:rsid w:val="00326110"/>
    <w:rsid w:val="00326F82"/>
    <w:rsid w:val="00332D6E"/>
    <w:rsid w:val="00333088"/>
    <w:rsid w:val="00333656"/>
    <w:rsid w:val="00334B19"/>
    <w:rsid w:val="003362C8"/>
    <w:rsid w:val="00337918"/>
    <w:rsid w:val="00341302"/>
    <w:rsid w:val="003415D7"/>
    <w:rsid w:val="0034176C"/>
    <w:rsid w:val="0035088F"/>
    <w:rsid w:val="0035241D"/>
    <w:rsid w:val="0035529C"/>
    <w:rsid w:val="00355937"/>
    <w:rsid w:val="00356696"/>
    <w:rsid w:val="003610F4"/>
    <w:rsid w:val="00363ED4"/>
    <w:rsid w:val="00364D51"/>
    <w:rsid w:val="003702AD"/>
    <w:rsid w:val="0037154B"/>
    <w:rsid w:val="00371626"/>
    <w:rsid w:val="00372146"/>
    <w:rsid w:val="0037367E"/>
    <w:rsid w:val="00375559"/>
    <w:rsid w:val="00375947"/>
    <w:rsid w:val="00377837"/>
    <w:rsid w:val="00382463"/>
    <w:rsid w:val="0038422A"/>
    <w:rsid w:val="00385A96"/>
    <w:rsid w:val="00385B3E"/>
    <w:rsid w:val="003867C5"/>
    <w:rsid w:val="003870E4"/>
    <w:rsid w:val="00391B62"/>
    <w:rsid w:val="00393B89"/>
    <w:rsid w:val="00395260"/>
    <w:rsid w:val="003953A4"/>
    <w:rsid w:val="00396BF2"/>
    <w:rsid w:val="003976CD"/>
    <w:rsid w:val="003A235D"/>
    <w:rsid w:val="003A279E"/>
    <w:rsid w:val="003A509D"/>
    <w:rsid w:val="003A6173"/>
    <w:rsid w:val="003A7C69"/>
    <w:rsid w:val="003B0D71"/>
    <w:rsid w:val="003B2474"/>
    <w:rsid w:val="003B370B"/>
    <w:rsid w:val="003B42A6"/>
    <w:rsid w:val="003B76F3"/>
    <w:rsid w:val="003C0050"/>
    <w:rsid w:val="003C172F"/>
    <w:rsid w:val="003C1B39"/>
    <w:rsid w:val="003C1C87"/>
    <w:rsid w:val="003C350F"/>
    <w:rsid w:val="003C4644"/>
    <w:rsid w:val="003C6B38"/>
    <w:rsid w:val="003C7067"/>
    <w:rsid w:val="003D01B8"/>
    <w:rsid w:val="003D24F8"/>
    <w:rsid w:val="003E023D"/>
    <w:rsid w:val="003E060B"/>
    <w:rsid w:val="003E0862"/>
    <w:rsid w:val="003E0C20"/>
    <w:rsid w:val="003E4620"/>
    <w:rsid w:val="003E5A1A"/>
    <w:rsid w:val="003F0A0C"/>
    <w:rsid w:val="003F0A31"/>
    <w:rsid w:val="003F1077"/>
    <w:rsid w:val="003F1CF4"/>
    <w:rsid w:val="003F2CA6"/>
    <w:rsid w:val="004007FB"/>
    <w:rsid w:val="00400B3F"/>
    <w:rsid w:val="00400C77"/>
    <w:rsid w:val="0040411F"/>
    <w:rsid w:val="004073F3"/>
    <w:rsid w:val="00407B88"/>
    <w:rsid w:val="00410D7B"/>
    <w:rsid w:val="004116D9"/>
    <w:rsid w:val="00412728"/>
    <w:rsid w:val="004137EC"/>
    <w:rsid w:val="00413C3B"/>
    <w:rsid w:val="00424955"/>
    <w:rsid w:val="00425CA0"/>
    <w:rsid w:val="00427639"/>
    <w:rsid w:val="004317CE"/>
    <w:rsid w:val="0043199D"/>
    <w:rsid w:val="00433947"/>
    <w:rsid w:val="0043465F"/>
    <w:rsid w:val="004449CC"/>
    <w:rsid w:val="00450297"/>
    <w:rsid w:val="00450F52"/>
    <w:rsid w:val="004514C3"/>
    <w:rsid w:val="004515DC"/>
    <w:rsid w:val="00452B6D"/>
    <w:rsid w:val="00452C65"/>
    <w:rsid w:val="004530B5"/>
    <w:rsid w:val="004530DC"/>
    <w:rsid w:val="00453A24"/>
    <w:rsid w:val="004541BB"/>
    <w:rsid w:val="00454C1E"/>
    <w:rsid w:val="00457483"/>
    <w:rsid w:val="00460695"/>
    <w:rsid w:val="00461578"/>
    <w:rsid w:val="004636E0"/>
    <w:rsid w:val="00465A53"/>
    <w:rsid w:val="004662C1"/>
    <w:rsid w:val="00466509"/>
    <w:rsid w:val="004665D9"/>
    <w:rsid w:val="004708A3"/>
    <w:rsid w:val="00472517"/>
    <w:rsid w:val="00474FA1"/>
    <w:rsid w:val="00481474"/>
    <w:rsid w:val="0049162E"/>
    <w:rsid w:val="004963B0"/>
    <w:rsid w:val="004A0C2B"/>
    <w:rsid w:val="004A2FA1"/>
    <w:rsid w:val="004A33E3"/>
    <w:rsid w:val="004A6DF7"/>
    <w:rsid w:val="004B2DEB"/>
    <w:rsid w:val="004B3167"/>
    <w:rsid w:val="004B3476"/>
    <w:rsid w:val="004B569C"/>
    <w:rsid w:val="004B7BD5"/>
    <w:rsid w:val="004C1C33"/>
    <w:rsid w:val="004C27EC"/>
    <w:rsid w:val="004C4C02"/>
    <w:rsid w:val="004C59A9"/>
    <w:rsid w:val="004D160E"/>
    <w:rsid w:val="004D4519"/>
    <w:rsid w:val="004D76E8"/>
    <w:rsid w:val="004E3799"/>
    <w:rsid w:val="004E43C1"/>
    <w:rsid w:val="004E5663"/>
    <w:rsid w:val="004E587A"/>
    <w:rsid w:val="004E76CB"/>
    <w:rsid w:val="004F1086"/>
    <w:rsid w:val="004F507C"/>
    <w:rsid w:val="004F654F"/>
    <w:rsid w:val="005058EF"/>
    <w:rsid w:val="005069B7"/>
    <w:rsid w:val="0051003B"/>
    <w:rsid w:val="00510147"/>
    <w:rsid w:val="005121D0"/>
    <w:rsid w:val="005134AE"/>
    <w:rsid w:val="00513F21"/>
    <w:rsid w:val="00517622"/>
    <w:rsid w:val="00521AC0"/>
    <w:rsid w:val="00524D5F"/>
    <w:rsid w:val="00525649"/>
    <w:rsid w:val="005278E3"/>
    <w:rsid w:val="0053012B"/>
    <w:rsid w:val="005313ED"/>
    <w:rsid w:val="005334E6"/>
    <w:rsid w:val="00542EF3"/>
    <w:rsid w:val="00542F82"/>
    <w:rsid w:val="00543797"/>
    <w:rsid w:val="00545362"/>
    <w:rsid w:val="005463B4"/>
    <w:rsid w:val="00546A01"/>
    <w:rsid w:val="00546BD3"/>
    <w:rsid w:val="00550397"/>
    <w:rsid w:val="005537BE"/>
    <w:rsid w:val="00554FCF"/>
    <w:rsid w:val="00556AB7"/>
    <w:rsid w:val="00560087"/>
    <w:rsid w:val="00562968"/>
    <w:rsid w:val="00564FB9"/>
    <w:rsid w:val="005728E1"/>
    <w:rsid w:val="00573E27"/>
    <w:rsid w:val="005745BF"/>
    <w:rsid w:val="005752B3"/>
    <w:rsid w:val="00584231"/>
    <w:rsid w:val="005867C9"/>
    <w:rsid w:val="00586B1C"/>
    <w:rsid w:val="00594698"/>
    <w:rsid w:val="00596212"/>
    <w:rsid w:val="005A1C22"/>
    <w:rsid w:val="005A43E5"/>
    <w:rsid w:val="005B14B2"/>
    <w:rsid w:val="005B384E"/>
    <w:rsid w:val="005B39BF"/>
    <w:rsid w:val="005B3CB1"/>
    <w:rsid w:val="005B441F"/>
    <w:rsid w:val="005C00F9"/>
    <w:rsid w:val="005C100F"/>
    <w:rsid w:val="005C4B14"/>
    <w:rsid w:val="005C6135"/>
    <w:rsid w:val="005C76B4"/>
    <w:rsid w:val="005D2019"/>
    <w:rsid w:val="005D20C7"/>
    <w:rsid w:val="005D539E"/>
    <w:rsid w:val="005E57D6"/>
    <w:rsid w:val="005F3331"/>
    <w:rsid w:val="005F6CC9"/>
    <w:rsid w:val="00604DB8"/>
    <w:rsid w:val="00605D91"/>
    <w:rsid w:val="00607049"/>
    <w:rsid w:val="00611C84"/>
    <w:rsid w:val="00614569"/>
    <w:rsid w:val="0061555F"/>
    <w:rsid w:val="006169DA"/>
    <w:rsid w:val="00616A94"/>
    <w:rsid w:val="00625F3D"/>
    <w:rsid w:val="00626DC2"/>
    <w:rsid w:val="00634079"/>
    <w:rsid w:val="00643074"/>
    <w:rsid w:val="00644AD1"/>
    <w:rsid w:val="00645FB0"/>
    <w:rsid w:val="006465AC"/>
    <w:rsid w:val="00646C99"/>
    <w:rsid w:val="0064789F"/>
    <w:rsid w:val="00647DF1"/>
    <w:rsid w:val="00652125"/>
    <w:rsid w:val="006534EE"/>
    <w:rsid w:val="00655914"/>
    <w:rsid w:val="00657CB5"/>
    <w:rsid w:val="00660C19"/>
    <w:rsid w:val="006610BD"/>
    <w:rsid w:val="00663EA4"/>
    <w:rsid w:val="00664E56"/>
    <w:rsid w:val="00676C2D"/>
    <w:rsid w:val="00677721"/>
    <w:rsid w:val="006908AF"/>
    <w:rsid w:val="006944A9"/>
    <w:rsid w:val="00696C59"/>
    <w:rsid w:val="0069743E"/>
    <w:rsid w:val="00697780"/>
    <w:rsid w:val="006A2383"/>
    <w:rsid w:val="006B040D"/>
    <w:rsid w:val="006B0534"/>
    <w:rsid w:val="006B06C7"/>
    <w:rsid w:val="006B205F"/>
    <w:rsid w:val="006B2DE3"/>
    <w:rsid w:val="006B5BAD"/>
    <w:rsid w:val="006B698E"/>
    <w:rsid w:val="006C0631"/>
    <w:rsid w:val="006C16B7"/>
    <w:rsid w:val="006C25DE"/>
    <w:rsid w:val="006C67CE"/>
    <w:rsid w:val="006C730C"/>
    <w:rsid w:val="006D1233"/>
    <w:rsid w:val="006D16C0"/>
    <w:rsid w:val="006D1DF5"/>
    <w:rsid w:val="006D42CA"/>
    <w:rsid w:val="006D43D6"/>
    <w:rsid w:val="006D4B52"/>
    <w:rsid w:val="006D4E4D"/>
    <w:rsid w:val="006D66D3"/>
    <w:rsid w:val="006D7111"/>
    <w:rsid w:val="006E01E2"/>
    <w:rsid w:val="006E0A1E"/>
    <w:rsid w:val="006E280E"/>
    <w:rsid w:val="006E2E59"/>
    <w:rsid w:val="006E3684"/>
    <w:rsid w:val="006E599A"/>
    <w:rsid w:val="006E6B7C"/>
    <w:rsid w:val="006E716B"/>
    <w:rsid w:val="006F12B4"/>
    <w:rsid w:val="006F628A"/>
    <w:rsid w:val="006F6C29"/>
    <w:rsid w:val="007007D0"/>
    <w:rsid w:val="00701FF2"/>
    <w:rsid w:val="0070319B"/>
    <w:rsid w:val="00703305"/>
    <w:rsid w:val="00703E2A"/>
    <w:rsid w:val="007101DE"/>
    <w:rsid w:val="0071057D"/>
    <w:rsid w:val="007135B5"/>
    <w:rsid w:val="00714D49"/>
    <w:rsid w:val="00715151"/>
    <w:rsid w:val="0071587F"/>
    <w:rsid w:val="00716EA5"/>
    <w:rsid w:val="00717176"/>
    <w:rsid w:val="00717AA6"/>
    <w:rsid w:val="00724E3B"/>
    <w:rsid w:val="00726BB2"/>
    <w:rsid w:val="00727BAA"/>
    <w:rsid w:val="007301A5"/>
    <w:rsid w:val="00731374"/>
    <w:rsid w:val="00734358"/>
    <w:rsid w:val="00736654"/>
    <w:rsid w:val="007374F5"/>
    <w:rsid w:val="007402D6"/>
    <w:rsid w:val="0074401A"/>
    <w:rsid w:val="007444BB"/>
    <w:rsid w:val="007477FE"/>
    <w:rsid w:val="007533F2"/>
    <w:rsid w:val="00753925"/>
    <w:rsid w:val="007566AD"/>
    <w:rsid w:val="007568B5"/>
    <w:rsid w:val="00761EE2"/>
    <w:rsid w:val="007620D3"/>
    <w:rsid w:val="00763584"/>
    <w:rsid w:val="00766606"/>
    <w:rsid w:val="007704C1"/>
    <w:rsid w:val="00771994"/>
    <w:rsid w:val="00774416"/>
    <w:rsid w:val="00774750"/>
    <w:rsid w:val="007748BD"/>
    <w:rsid w:val="00774EA0"/>
    <w:rsid w:val="00780EF8"/>
    <w:rsid w:val="00781A67"/>
    <w:rsid w:val="00790B08"/>
    <w:rsid w:val="0079555C"/>
    <w:rsid w:val="007A07E6"/>
    <w:rsid w:val="007A09E8"/>
    <w:rsid w:val="007A13A0"/>
    <w:rsid w:val="007A48A1"/>
    <w:rsid w:val="007A52B4"/>
    <w:rsid w:val="007A5F2D"/>
    <w:rsid w:val="007A6F08"/>
    <w:rsid w:val="007A7DDB"/>
    <w:rsid w:val="007B017F"/>
    <w:rsid w:val="007B0517"/>
    <w:rsid w:val="007B0F79"/>
    <w:rsid w:val="007B4AAC"/>
    <w:rsid w:val="007B4CC3"/>
    <w:rsid w:val="007B6D7A"/>
    <w:rsid w:val="007C14A7"/>
    <w:rsid w:val="007C18F9"/>
    <w:rsid w:val="007C285C"/>
    <w:rsid w:val="007C3007"/>
    <w:rsid w:val="007D476C"/>
    <w:rsid w:val="007D5580"/>
    <w:rsid w:val="007D648E"/>
    <w:rsid w:val="007E3FC4"/>
    <w:rsid w:val="007E48AE"/>
    <w:rsid w:val="007E5291"/>
    <w:rsid w:val="007E52AC"/>
    <w:rsid w:val="007E714B"/>
    <w:rsid w:val="007E7488"/>
    <w:rsid w:val="007F1DEE"/>
    <w:rsid w:val="007F22B5"/>
    <w:rsid w:val="007F3872"/>
    <w:rsid w:val="007F4036"/>
    <w:rsid w:val="007F55F8"/>
    <w:rsid w:val="007F6F80"/>
    <w:rsid w:val="007F737A"/>
    <w:rsid w:val="00802CD1"/>
    <w:rsid w:val="00806F7D"/>
    <w:rsid w:val="00812BB2"/>
    <w:rsid w:val="00814E8F"/>
    <w:rsid w:val="00817CCE"/>
    <w:rsid w:val="00821B1D"/>
    <w:rsid w:val="00823B9F"/>
    <w:rsid w:val="00826A17"/>
    <w:rsid w:val="0082778E"/>
    <w:rsid w:val="0083524B"/>
    <w:rsid w:val="008353CA"/>
    <w:rsid w:val="008402CD"/>
    <w:rsid w:val="00841BDF"/>
    <w:rsid w:val="00843CDF"/>
    <w:rsid w:val="00844316"/>
    <w:rsid w:val="008443B3"/>
    <w:rsid w:val="00847A78"/>
    <w:rsid w:val="008541B6"/>
    <w:rsid w:val="008542DD"/>
    <w:rsid w:val="00854A55"/>
    <w:rsid w:val="008559E5"/>
    <w:rsid w:val="00857678"/>
    <w:rsid w:val="00857EFD"/>
    <w:rsid w:val="00860639"/>
    <w:rsid w:val="00862579"/>
    <w:rsid w:val="00863607"/>
    <w:rsid w:val="00866190"/>
    <w:rsid w:val="0087011C"/>
    <w:rsid w:val="008702BA"/>
    <w:rsid w:val="008708B7"/>
    <w:rsid w:val="00872D96"/>
    <w:rsid w:val="0087359A"/>
    <w:rsid w:val="008735D0"/>
    <w:rsid w:val="0087674C"/>
    <w:rsid w:val="00876B78"/>
    <w:rsid w:val="00880E37"/>
    <w:rsid w:val="00887EAD"/>
    <w:rsid w:val="00890AB8"/>
    <w:rsid w:val="00890D5F"/>
    <w:rsid w:val="0089254A"/>
    <w:rsid w:val="00893807"/>
    <w:rsid w:val="00893FDF"/>
    <w:rsid w:val="008951CE"/>
    <w:rsid w:val="008958AC"/>
    <w:rsid w:val="00896007"/>
    <w:rsid w:val="00897990"/>
    <w:rsid w:val="00897B51"/>
    <w:rsid w:val="008A0C05"/>
    <w:rsid w:val="008A2551"/>
    <w:rsid w:val="008A2F7B"/>
    <w:rsid w:val="008A3050"/>
    <w:rsid w:val="008A5F02"/>
    <w:rsid w:val="008A6295"/>
    <w:rsid w:val="008B0F92"/>
    <w:rsid w:val="008C1D44"/>
    <w:rsid w:val="008C34D4"/>
    <w:rsid w:val="008C368A"/>
    <w:rsid w:val="008D2933"/>
    <w:rsid w:val="008D35A4"/>
    <w:rsid w:val="008D6FD8"/>
    <w:rsid w:val="008E1825"/>
    <w:rsid w:val="008E33F5"/>
    <w:rsid w:val="008E4FC5"/>
    <w:rsid w:val="008E518E"/>
    <w:rsid w:val="008E6740"/>
    <w:rsid w:val="008F10C7"/>
    <w:rsid w:val="008F6E0C"/>
    <w:rsid w:val="00900252"/>
    <w:rsid w:val="009040A2"/>
    <w:rsid w:val="0090501B"/>
    <w:rsid w:val="009054DD"/>
    <w:rsid w:val="0090557C"/>
    <w:rsid w:val="00913406"/>
    <w:rsid w:val="0091442D"/>
    <w:rsid w:val="0091503C"/>
    <w:rsid w:val="00915041"/>
    <w:rsid w:val="00920086"/>
    <w:rsid w:val="0092073B"/>
    <w:rsid w:val="0092111A"/>
    <w:rsid w:val="009212E1"/>
    <w:rsid w:val="00924576"/>
    <w:rsid w:val="00926BCC"/>
    <w:rsid w:val="00931650"/>
    <w:rsid w:val="009346BA"/>
    <w:rsid w:val="009365AC"/>
    <w:rsid w:val="009418A5"/>
    <w:rsid w:val="0094506A"/>
    <w:rsid w:val="00946D59"/>
    <w:rsid w:val="009470FC"/>
    <w:rsid w:val="0095024F"/>
    <w:rsid w:val="009527E4"/>
    <w:rsid w:val="00952E49"/>
    <w:rsid w:val="009540D3"/>
    <w:rsid w:val="00957674"/>
    <w:rsid w:val="00957D88"/>
    <w:rsid w:val="00961511"/>
    <w:rsid w:val="00962D13"/>
    <w:rsid w:val="00965B3A"/>
    <w:rsid w:val="009705BB"/>
    <w:rsid w:val="00971E12"/>
    <w:rsid w:val="00973B51"/>
    <w:rsid w:val="00975452"/>
    <w:rsid w:val="00977BC1"/>
    <w:rsid w:val="009805DC"/>
    <w:rsid w:val="0098129C"/>
    <w:rsid w:val="00984D8B"/>
    <w:rsid w:val="00987493"/>
    <w:rsid w:val="00987861"/>
    <w:rsid w:val="0098798B"/>
    <w:rsid w:val="00991037"/>
    <w:rsid w:val="009916A6"/>
    <w:rsid w:val="0099278D"/>
    <w:rsid w:val="009930E3"/>
    <w:rsid w:val="0099407E"/>
    <w:rsid w:val="00994D39"/>
    <w:rsid w:val="00995CAD"/>
    <w:rsid w:val="00996366"/>
    <w:rsid w:val="009968C3"/>
    <w:rsid w:val="0099787B"/>
    <w:rsid w:val="009A246D"/>
    <w:rsid w:val="009A4017"/>
    <w:rsid w:val="009A4188"/>
    <w:rsid w:val="009B1112"/>
    <w:rsid w:val="009B20DB"/>
    <w:rsid w:val="009B2C35"/>
    <w:rsid w:val="009B5641"/>
    <w:rsid w:val="009B5F97"/>
    <w:rsid w:val="009B6276"/>
    <w:rsid w:val="009B6853"/>
    <w:rsid w:val="009C0BE5"/>
    <w:rsid w:val="009C0DBA"/>
    <w:rsid w:val="009C1414"/>
    <w:rsid w:val="009C16B3"/>
    <w:rsid w:val="009C38C7"/>
    <w:rsid w:val="009C3E55"/>
    <w:rsid w:val="009C5E1C"/>
    <w:rsid w:val="009C5E76"/>
    <w:rsid w:val="009C7BBC"/>
    <w:rsid w:val="009D22B5"/>
    <w:rsid w:val="009D408A"/>
    <w:rsid w:val="009D66B9"/>
    <w:rsid w:val="009D6BD7"/>
    <w:rsid w:val="009F0A44"/>
    <w:rsid w:val="009F4002"/>
    <w:rsid w:val="009F4296"/>
    <w:rsid w:val="009F532D"/>
    <w:rsid w:val="009F5860"/>
    <w:rsid w:val="009F5A81"/>
    <w:rsid w:val="009F5CFA"/>
    <w:rsid w:val="009F6AF3"/>
    <w:rsid w:val="009F7627"/>
    <w:rsid w:val="00A0046D"/>
    <w:rsid w:val="00A007E0"/>
    <w:rsid w:val="00A009D4"/>
    <w:rsid w:val="00A00FCB"/>
    <w:rsid w:val="00A0194F"/>
    <w:rsid w:val="00A02727"/>
    <w:rsid w:val="00A03998"/>
    <w:rsid w:val="00A04819"/>
    <w:rsid w:val="00A053C7"/>
    <w:rsid w:val="00A061EC"/>
    <w:rsid w:val="00A10CAC"/>
    <w:rsid w:val="00A1657C"/>
    <w:rsid w:val="00A16F59"/>
    <w:rsid w:val="00A201B3"/>
    <w:rsid w:val="00A21241"/>
    <w:rsid w:val="00A21B3D"/>
    <w:rsid w:val="00A231B6"/>
    <w:rsid w:val="00A2369A"/>
    <w:rsid w:val="00A23905"/>
    <w:rsid w:val="00A25478"/>
    <w:rsid w:val="00A304AD"/>
    <w:rsid w:val="00A412E5"/>
    <w:rsid w:val="00A46F07"/>
    <w:rsid w:val="00A55358"/>
    <w:rsid w:val="00A55366"/>
    <w:rsid w:val="00A55B79"/>
    <w:rsid w:val="00A56676"/>
    <w:rsid w:val="00A57C30"/>
    <w:rsid w:val="00A57E21"/>
    <w:rsid w:val="00A62877"/>
    <w:rsid w:val="00A63A0E"/>
    <w:rsid w:val="00A63DA3"/>
    <w:rsid w:val="00A66454"/>
    <w:rsid w:val="00A72632"/>
    <w:rsid w:val="00A83C01"/>
    <w:rsid w:val="00A844C4"/>
    <w:rsid w:val="00A86314"/>
    <w:rsid w:val="00A9003D"/>
    <w:rsid w:val="00A9127E"/>
    <w:rsid w:val="00A94591"/>
    <w:rsid w:val="00A95337"/>
    <w:rsid w:val="00A96B78"/>
    <w:rsid w:val="00A977C8"/>
    <w:rsid w:val="00AB36B6"/>
    <w:rsid w:val="00AB60D9"/>
    <w:rsid w:val="00AC2D0D"/>
    <w:rsid w:val="00AC4174"/>
    <w:rsid w:val="00AC4FE9"/>
    <w:rsid w:val="00AC5A39"/>
    <w:rsid w:val="00AD027E"/>
    <w:rsid w:val="00AD17DB"/>
    <w:rsid w:val="00AD1AB6"/>
    <w:rsid w:val="00AD41E4"/>
    <w:rsid w:val="00AE28AE"/>
    <w:rsid w:val="00AE3552"/>
    <w:rsid w:val="00AE3B13"/>
    <w:rsid w:val="00AE485F"/>
    <w:rsid w:val="00AF0143"/>
    <w:rsid w:val="00AF2BAE"/>
    <w:rsid w:val="00AF4235"/>
    <w:rsid w:val="00AF52E6"/>
    <w:rsid w:val="00AF632D"/>
    <w:rsid w:val="00AF664B"/>
    <w:rsid w:val="00B0166A"/>
    <w:rsid w:val="00B01A3E"/>
    <w:rsid w:val="00B02078"/>
    <w:rsid w:val="00B0338C"/>
    <w:rsid w:val="00B036EA"/>
    <w:rsid w:val="00B05ACC"/>
    <w:rsid w:val="00B12676"/>
    <w:rsid w:val="00B139B2"/>
    <w:rsid w:val="00B203A3"/>
    <w:rsid w:val="00B204B3"/>
    <w:rsid w:val="00B213A1"/>
    <w:rsid w:val="00B24B11"/>
    <w:rsid w:val="00B25090"/>
    <w:rsid w:val="00B3174A"/>
    <w:rsid w:val="00B325AF"/>
    <w:rsid w:val="00B32CC3"/>
    <w:rsid w:val="00B347CE"/>
    <w:rsid w:val="00B40B39"/>
    <w:rsid w:val="00B41C7A"/>
    <w:rsid w:val="00B44948"/>
    <w:rsid w:val="00B44A82"/>
    <w:rsid w:val="00B44C63"/>
    <w:rsid w:val="00B44D99"/>
    <w:rsid w:val="00B46CB5"/>
    <w:rsid w:val="00B470BB"/>
    <w:rsid w:val="00B621A5"/>
    <w:rsid w:val="00B67F77"/>
    <w:rsid w:val="00B70E91"/>
    <w:rsid w:val="00B71F0A"/>
    <w:rsid w:val="00B726EB"/>
    <w:rsid w:val="00B742C2"/>
    <w:rsid w:val="00B74E3B"/>
    <w:rsid w:val="00B76F53"/>
    <w:rsid w:val="00B82D1D"/>
    <w:rsid w:val="00B84E03"/>
    <w:rsid w:val="00B864D6"/>
    <w:rsid w:val="00B930C5"/>
    <w:rsid w:val="00B93A8D"/>
    <w:rsid w:val="00B97CE2"/>
    <w:rsid w:val="00BA0AE4"/>
    <w:rsid w:val="00BA187E"/>
    <w:rsid w:val="00BA4004"/>
    <w:rsid w:val="00BA4F0B"/>
    <w:rsid w:val="00BA6801"/>
    <w:rsid w:val="00BA6AA2"/>
    <w:rsid w:val="00BA6CA4"/>
    <w:rsid w:val="00BB32B1"/>
    <w:rsid w:val="00BB5FFC"/>
    <w:rsid w:val="00BC51F1"/>
    <w:rsid w:val="00BD5A6F"/>
    <w:rsid w:val="00BD5ED5"/>
    <w:rsid w:val="00BD6A2B"/>
    <w:rsid w:val="00BD73CF"/>
    <w:rsid w:val="00BD777F"/>
    <w:rsid w:val="00BD7B31"/>
    <w:rsid w:val="00BE065B"/>
    <w:rsid w:val="00BE260D"/>
    <w:rsid w:val="00BF021D"/>
    <w:rsid w:val="00BF25F4"/>
    <w:rsid w:val="00BF4336"/>
    <w:rsid w:val="00C007D7"/>
    <w:rsid w:val="00C01A8D"/>
    <w:rsid w:val="00C032FA"/>
    <w:rsid w:val="00C04F58"/>
    <w:rsid w:val="00C06297"/>
    <w:rsid w:val="00C06BA2"/>
    <w:rsid w:val="00C06CEC"/>
    <w:rsid w:val="00C1122A"/>
    <w:rsid w:val="00C113D9"/>
    <w:rsid w:val="00C12608"/>
    <w:rsid w:val="00C15092"/>
    <w:rsid w:val="00C15870"/>
    <w:rsid w:val="00C167F8"/>
    <w:rsid w:val="00C20A90"/>
    <w:rsid w:val="00C21998"/>
    <w:rsid w:val="00C24E6D"/>
    <w:rsid w:val="00C30F2F"/>
    <w:rsid w:val="00C37069"/>
    <w:rsid w:val="00C43F7C"/>
    <w:rsid w:val="00C45EFF"/>
    <w:rsid w:val="00C46B18"/>
    <w:rsid w:val="00C5071C"/>
    <w:rsid w:val="00C52029"/>
    <w:rsid w:val="00C52A57"/>
    <w:rsid w:val="00C52F53"/>
    <w:rsid w:val="00C559FC"/>
    <w:rsid w:val="00C55E13"/>
    <w:rsid w:val="00C602CB"/>
    <w:rsid w:val="00C60930"/>
    <w:rsid w:val="00C63119"/>
    <w:rsid w:val="00C63632"/>
    <w:rsid w:val="00C667F5"/>
    <w:rsid w:val="00C67F8C"/>
    <w:rsid w:val="00C71F83"/>
    <w:rsid w:val="00C756E0"/>
    <w:rsid w:val="00C76716"/>
    <w:rsid w:val="00C807B0"/>
    <w:rsid w:val="00C81076"/>
    <w:rsid w:val="00C81CF0"/>
    <w:rsid w:val="00C85E83"/>
    <w:rsid w:val="00C9043C"/>
    <w:rsid w:val="00C93063"/>
    <w:rsid w:val="00C9506B"/>
    <w:rsid w:val="00C95355"/>
    <w:rsid w:val="00C967B4"/>
    <w:rsid w:val="00C97555"/>
    <w:rsid w:val="00CB0C0E"/>
    <w:rsid w:val="00CB0E51"/>
    <w:rsid w:val="00CB1595"/>
    <w:rsid w:val="00CB4278"/>
    <w:rsid w:val="00CC3129"/>
    <w:rsid w:val="00CC4815"/>
    <w:rsid w:val="00CC714B"/>
    <w:rsid w:val="00CC747F"/>
    <w:rsid w:val="00CD1FFB"/>
    <w:rsid w:val="00CD23C7"/>
    <w:rsid w:val="00CD5952"/>
    <w:rsid w:val="00CD683B"/>
    <w:rsid w:val="00CE0DA6"/>
    <w:rsid w:val="00CF21BD"/>
    <w:rsid w:val="00CF4D94"/>
    <w:rsid w:val="00CF7CB0"/>
    <w:rsid w:val="00D025EC"/>
    <w:rsid w:val="00D05326"/>
    <w:rsid w:val="00D05D53"/>
    <w:rsid w:val="00D06B51"/>
    <w:rsid w:val="00D13E49"/>
    <w:rsid w:val="00D14584"/>
    <w:rsid w:val="00D14CB4"/>
    <w:rsid w:val="00D1522E"/>
    <w:rsid w:val="00D17F43"/>
    <w:rsid w:val="00D20437"/>
    <w:rsid w:val="00D2190E"/>
    <w:rsid w:val="00D21B76"/>
    <w:rsid w:val="00D222C0"/>
    <w:rsid w:val="00D22F88"/>
    <w:rsid w:val="00D26A0D"/>
    <w:rsid w:val="00D34A5D"/>
    <w:rsid w:val="00D354FA"/>
    <w:rsid w:val="00D371F4"/>
    <w:rsid w:val="00D419AF"/>
    <w:rsid w:val="00D43237"/>
    <w:rsid w:val="00D4411E"/>
    <w:rsid w:val="00D45FFD"/>
    <w:rsid w:val="00D50AFB"/>
    <w:rsid w:val="00D52BF4"/>
    <w:rsid w:val="00D5474B"/>
    <w:rsid w:val="00D5574A"/>
    <w:rsid w:val="00D56CA2"/>
    <w:rsid w:val="00D6088A"/>
    <w:rsid w:val="00D62647"/>
    <w:rsid w:val="00D62C94"/>
    <w:rsid w:val="00D64354"/>
    <w:rsid w:val="00D73FBC"/>
    <w:rsid w:val="00D7400F"/>
    <w:rsid w:val="00D74DB3"/>
    <w:rsid w:val="00D813CA"/>
    <w:rsid w:val="00D81E5B"/>
    <w:rsid w:val="00D8604C"/>
    <w:rsid w:val="00D95F6B"/>
    <w:rsid w:val="00D97105"/>
    <w:rsid w:val="00D97FF7"/>
    <w:rsid w:val="00DA07F3"/>
    <w:rsid w:val="00DA13D9"/>
    <w:rsid w:val="00DA318B"/>
    <w:rsid w:val="00DA5241"/>
    <w:rsid w:val="00DA69A6"/>
    <w:rsid w:val="00DB16A5"/>
    <w:rsid w:val="00DB2209"/>
    <w:rsid w:val="00DB29CF"/>
    <w:rsid w:val="00DB37DA"/>
    <w:rsid w:val="00DB45DC"/>
    <w:rsid w:val="00DB51CA"/>
    <w:rsid w:val="00DB5576"/>
    <w:rsid w:val="00DB587E"/>
    <w:rsid w:val="00DC1453"/>
    <w:rsid w:val="00DC7CC6"/>
    <w:rsid w:val="00DD3CBA"/>
    <w:rsid w:val="00DD50DE"/>
    <w:rsid w:val="00DD686B"/>
    <w:rsid w:val="00DD7FCA"/>
    <w:rsid w:val="00DE1D4C"/>
    <w:rsid w:val="00DE29EB"/>
    <w:rsid w:val="00DE6D2B"/>
    <w:rsid w:val="00DE7249"/>
    <w:rsid w:val="00DF02C5"/>
    <w:rsid w:val="00DF3130"/>
    <w:rsid w:val="00DF4665"/>
    <w:rsid w:val="00DF5BB0"/>
    <w:rsid w:val="00DF6DE0"/>
    <w:rsid w:val="00E000F5"/>
    <w:rsid w:val="00E006F1"/>
    <w:rsid w:val="00E02864"/>
    <w:rsid w:val="00E06A3D"/>
    <w:rsid w:val="00E073F4"/>
    <w:rsid w:val="00E07540"/>
    <w:rsid w:val="00E148E7"/>
    <w:rsid w:val="00E14B0C"/>
    <w:rsid w:val="00E1744A"/>
    <w:rsid w:val="00E17DD1"/>
    <w:rsid w:val="00E213E1"/>
    <w:rsid w:val="00E21B50"/>
    <w:rsid w:val="00E21CB4"/>
    <w:rsid w:val="00E22184"/>
    <w:rsid w:val="00E23067"/>
    <w:rsid w:val="00E23264"/>
    <w:rsid w:val="00E2364B"/>
    <w:rsid w:val="00E2370B"/>
    <w:rsid w:val="00E30F24"/>
    <w:rsid w:val="00E36420"/>
    <w:rsid w:val="00E401C0"/>
    <w:rsid w:val="00E432E8"/>
    <w:rsid w:val="00E457BB"/>
    <w:rsid w:val="00E5054B"/>
    <w:rsid w:val="00E5158E"/>
    <w:rsid w:val="00E5202C"/>
    <w:rsid w:val="00E522CD"/>
    <w:rsid w:val="00E534BB"/>
    <w:rsid w:val="00E55AA2"/>
    <w:rsid w:val="00E56A40"/>
    <w:rsid w:val="00E601F3"/>
    <w:rsid w:val="00E60868"/>
    <w:rsid w:val="00E62B07"/>
    <w:rsid w:val="00E63A0E"/>
    <w:rsid w:val="00E63B8B"/>
    <w:rsid w:val="00E6439F"/>
    <w:rsid w:val="00E667D8"/>
    <w:rsid w:val="00E6723D"/>
    <w:rsid w:val="00E74412"/>
    <w:rsid w:val="00E747A4"/>
    <w:rsid w:val="00E75A92"/>
    <w:rsid w:val="00E76F02"/>
    <w:rsid w:val="00E84094"/>
    <w:rsid w:val="00E93DD3"/>
    <w:rsid w:val="00E94838"/>
    <w:rsid w:val="00E94A99"/>
    <w:rsid w:val="00E95AE0"/>
    <w:rsid w:val="00E9754D"/>
    <w:rsid w:val="00EA003C"/>
    <w:rsid w:val="00EA575F"/>
    <w:rsid w:val="00EB161C"/>
    <w:rsid w:val="00EB1DBF"/>
    <w:rsid w:val="00EB2411"/>
    <w:rsid w:val="00EB32BF"/>
    <w:rsid w:val="00EB66C4"/>
    <w:rsid w:val="00EC0083"/>
    <w:rsid w:val="00EC11DC"/>
    <w:rsid w:val="00EC1C52"/>
    <w:rsid w:val="00EC429E"/>
    <w:rsid w:val="00EC5476"/>
    <w:rsid w:val="00ED2577"/>
    <w:rsid w:val="00ED2E50"/>
    <w:rsid w:val="00ED55F2"/>
    <w:rsid w:val="00ED64C8"/>
    <w:rsid w:val="00EE1EA1"/>
    <w:rsid w:val="00EE6D46"/>
    <w:rsid w:val="00EE7141"/>
    <w:rsid w:val="00EE7B49"/>
    <w:rsid w:val="00EF19AD"/>
    <w:rsid w:val="00EF2C3C"/>
    <w:rsid w:val="00EF432A"/>
    <w:rsid w:val="00EF57A8"/>
    <w:rsid w:val="00F00588"/>
    <w:rsid w:val="00F05314"/>
    <w:rsid w:val="00F06CDD"/>
    <w:rsid w:val="00F128A6"/>
    <w:rsid w:val="00F13E1E"/>
    <w:rsid w:val="00F14E3E"/>
    <w:rsid w:val="00F16C48"/>
    <w:rsid w:val="00F17E55"/>
    <w:rsid w:val="00F21F79"/>
    <w:rsid w:val="00F2234C"/>
    <w:rsid w:val="00F22795"/>
    <w:rsid w:val="00F2691F"/>
    <w:rsid w:val="00F2752E"/>
    <w:rsid w:val="00F27A54"/>
    <w:rsid w:val="00F30C0A"/>
    <w:rsid w:val="00F33EBD"/>
    <w:rsid w:val="00F37E69"/>
    <w:rsid w:val="00F37FFA"/>
    <w:rsid w:val="00F40435"/>
    <w:rsid w:val="00F4282D"/>
    <w:rsid w:val="00F42A6F"/>
    <w:rsid w:val="00F44924"/>
    <w:rsid w:val="00F44EDE"/>
    <w:rsid w:val="00F45AD0"/>
    <w:rsid w:val="00F4666D"/>
    <w:rsid w:val="00F46AE1"/>
    <w:rsid w:val="00F52583"/>
    <w:rsid w:val="00F53387"/>
    <w:rsid w:val="00F537D7"/>
    <w:rsid w:val="00F646A8"/>
    <w:rsid w:val="00F66F1C"/>
    <w:rsid w:val="00F71872"/>
    <w:rsid w:val="00F7482E"/>
    <w:rsid w:val="00F90F70"/>
    <w:rsid w:val="00F967CA"/>
    <w:rsid w:val="00FA06C3"/>
    <w:rsid w:val="00FA1A45"/>
    <w:rsid w:val="00FA1DEA"/>
    <w:rsid w:val="00FA3596"/>
    <w:rsid w:val="00FA4397"/>
    <w:rsid w:val="00FA6BCA"/>
    <w:rsid w:val="00FB1ED8"/>
    <w:rsid w:val="00FB2D69"/>
    <w:rsid w:val="00FB3415"/>
    <w:rsid w:val="00FB4302"/>
    <w:rsid w:val="00FB4A99"/>
    <w:rsid w:val="00FB59B1"/>
    <w:rsid w:val="00FB5F56"/>
    <w:rsid w:val="00FB60B0"/>
    <w:rsid w:val="00FB6DCD"/>
    <w:rsid w:val="00FC0382"/>
    <w:rsid w:val="00FC0CA5"/>
    <w:rsid w:val="00FC460F"/>
    <w:rsid w:val="00FC52E5"/>
    <w:rsid w:val="00FC53A0"/>
    <w:rsid w:val="00FC76EE"/>
    <w:rsid w:val="00FD17C1"/>
    <w:rsid w:val="00FD29DC"/>
    <w:rsid w:val="00FD2E94"/>
    <w:rsid w:val="00FD300E"/>
    <w:rsid w:val="00FD3F49"/>
    <w:rsid w:val="00FE0A37"/>
    <w:rsid w:val="00FE1E54"/>
    <w:rsid w:val="00FE3D9D"/>
    <w:rsid w:val="00FF2096"/>
    <w:rsid w:val="00FF236A"/>
    <w:rsid w:val="00FF4B2A"/>
    <w:rsid w:val="00FF547A"/>
    <w:rsid w:val="00FF5495"/>
    <w:rsid w:val="449DBD2C"/>
    <w:rsid w:val="52A326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docId w15:val="{354CF7AC-156D-484E-9A1E-F0FA0D7F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119"/>
    <w:rPr>
      <w:rFonts w:ascii="Times New Roman" w:eastAsia="Times New Roman" w:hAnsi="Times New Roman" w:cs="Times New Roman"/>
      <w:lang w:val="es-ES_tradnl" w:eastAsia="es-MX"/>
    </w:rPr>
  </w:style>
  <w:style w:type="paragraph" w:styleId="Ttulo1">
    <w:name w:val="heading 1"/>
    <w:basedOn w:val="Normal"/>
    <w:link w:val="Ttulo1Car"/>
    <w:uiPriority w:val="9"/>
    <w:qFormat/>
    <w:rsid w:val="00F128A6"/>
    <w:pPr>
      <w:widowControl w:val="0"/>
      <w:autoSpaceDE w:val="0"/>
      <w:autoSpaceDN w:val="0"/>
      <w:ind w:left="543"/>
      <w:outlineLvl w:val="0"/>
    </w:pPr>
    <w:rPr>
      <w:rFonts w:ascii="Arial" w:eastAsia="Arial" w:hAnsi="Arial" w:cs="Arial"/>
      <w:b/>
      <w:bCs/>
      <w:sz w:val="22"/>
      <w:szCs w:val="22"/>
      <w:lang w:val="es-ES" w:eastAsia="en-US"/>
    </w:rPr>
  </w:style>
  <w:style w:type="paragraph" w:styleId="Ttulo4">
    <w:name w:val="heading 4"/>
    <w:basedOn w:val="Normal"/>
    <w:next w:val="Normal"/>
    <w:link w:val="Ttulo4Car"/>
    <w:uiPriority w:val="9"/>
    <w:semiHidden/>
    <w:unhideWhenUsed/>
    <w:qFormat/>
    <w:rsid w:val="00A0272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customStyle="1" w:styleId="AsuntodelcomentarioCar">
    <w:name w:val="Asunto del comentario Car"/>
    <w:basedOn w:val="TextocomentarioCar"/>
    <w:link w:val="Asuntodelcomentario"/>
    <w:uiPriority w:val="99"/>
    <w:semiHidden/>
    <w:rsid w:val="0016321F"/>
    <w:rPr>
      <w:rFonts w:ascii="Times New Roman" w:eastAsia="Times New Roman" w:hAnsi="Times New Roman" w:cs="Times New Roman"/>
      <w:b/>
      <w:bCs/>
      <w:sz w:val="20"/>
      <w:szCs w:val="20"/>
      <w:lang w:eastAsia="es-MX"/>
    </w:rPr>
  </w:style>
  <w:style w:type="paragraph" w:styleId="Revisin">
    <w:name w:val="Revision"/>
    <w:hidden/>
    <w:uiPriority w:val="99"/>
    <w:semiHidden/>
    <w:rsid w:val="001B1ED3"/>
    <w:rPr>
      <w:rFonts w:ascii="Times New Roman" w:eastAsia="Times New Roman" w:hAnsi="Times New Roman" w:cs="Times New Roman"/>
      <w:lang w:eastAsia="es-MX"/>
    </w:rPr>
  </w:style>
  <w:style w:type="paragraph" w:customStyle="1" w:styleId="Normal11pt">
    <w:name w:val="Normal + 11 pt"/>
    <w:aliases w:val="Negro,Justificado,Izquierda:  -0,95 cm,Derecha:  0,04 cm"/>
    <w:basedOn w:val="Normal"/>
    <w:uiPriority w:val="99"/>
    <w:rsid w:val="00236169"/>
    <w:pPr>
      <w:ind w:left="-540"/>
      <w:jc w:val="both"/>
    </w:pPr>
    <w:rPr>
      <w:rFonts w:ascii="Arial" w:hAnsi="Arial" w:cs="Arial"/>
      <w:color w:val="000000"/>
      <w:sz w:val="22"/>
      <w:szCs w:val="22"/>
      <w:lang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customStyle="1" w:styleId="Mencinsinresolver1">
    <w:name w:val="Mención sin resolver1"/>
    <w:basedOn w:val="Fuentedeprrafopredeter"/>
    <w:uiPriority w:val="99"/>
    <w:semiHidden/>
    <w:unhideWhenUsed/>
    <w:rsid w:val="001F0BA1"/>
    <w:rPr>
      <w:color w:val="605E5C"/>
      <w:shd w:val="clear" w:color="auto" w:fill="E1DFDD"/>
    </w:rPr>
  </w:style>
  <w:style w:type="table" w:customStyle="1" w:styleId="Tablaconcuadrcula2">
    <w:name w:val="Tabla con cuadrícula2"/>
    <w:basedOn w:val="Tablanormal"/>
    <w:next w:val="Tablaconcuadrcula"/>
    <w:uiPriority w:val="39"/>
    <w:rsid w:val="00826A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826A17"/>
    <w:rPr>
      <w:rFonts w:ascii="Times New Roman" w:eastAsia="Times New Roman" w:hAnsi="Times New Roman" w:cs="Times New Roman"/>
      <w:lang w:eastAsia="es-MX"/>
    </w:rPr>
  </w:style>
  <w:style w:type="character" w:customStyle="1" w:styleId="Ttulo1Car">
    <w:name w:val="Título 1 Car"/>
    <w:basedOn w:val="Fuentedeprrafopredeter"/>
    <w:link w:val="Ttulo1"/>
    <w:uiPriority w:val="9"/>
    <w:rsid w:val="00F128A6"/>
    <w:rPr>
      <w:rFonts w:ascii="Arial" w:eastAsia="Arial" w:hAnsi="Arial" w:cs="Arial"/>
      <w:b/>
      <w:bCs/>
      <w:sz w:val="22"/>
      <w:szCs w:val="22"/>
      <w:lang w:val="es-ES"/>
    </w:rPr>
  </w:style>
  <w:style w:type="paragraph" w:customStyle="1" w:styleId="gmail-msonospacing">
    <w:name w:val="gmail-msonospacing"/>
    <w:basedOn w:val="Normal"/>
    <w:rsid w:val="00731374"/>
    <w:pPr>
      <w:spacing w:before="100" w:beforeAutospacing="1" w:after="100" w:afterAutospacing="1"/>
    </w:pPr>
    <w:rPr>
      <w:rFonts w:ascii="Calibri" w:eastAsiaTheme="minorHAnsi" w:hAnsi="Calibri" w:cs="Calibri"/>
      <w:sz w:val="22"/>
      <w:szCs w:val="22"/>
      <w:lang w:val="es-ES" w:eastAsia="es-ES"/>
    </w:rPr>
  </w:style>
  <w:style w:type="paragraph" w:customStyle="1" w:styleId="Textocomentario1">
    <w:name w:val="Texto comentario1"/>
    <w:basedOn w:val="Normal"/>
    <w:next w:val="Textocomentario"/>
    <w:uiPriority w:val="99"/>
    <w:unhideWhenUsed/>
    <w:rsid w:val="009F4296"/>
    <w:rPr>
      <w:rFonts w:asciiTheme="minorHAnsi" w:eastAsiaTheme="minorHAnsi" w:hAnsiTheme="minorHAnsi" w:cstheme="minorBidi"/>
      <w:sz w:val="20"/>
      <w:szCs w:val="20"/>
      <w:lang w:val="es-MX" w:eastAsia="en-US"/>
    </w:rPr>
  </w:style>
  <w:style w:type="paragraph" w:customStyle="1" w:styleId="Car1">
    <w:name w:val="Car1"/>
    <w:basedOn w:val="Normal"/>
    <w:next w:val="Textonotapie"/>
    <w:uiPriority w:val="99"/>
    <w:unhideWhenUsed/>
    <w:qFormat/>
    <w:rsid w:val="009F4296"/>
    <w:rPr>
      <w:rFonts w:asciiTheme="minorHAnsi" w:eastAsiaTheme="minorHAnsi" w:hAnsiTheme="minorHAnsi" w:cstheme="minorBidi"/>
      <w:sz w:val="20"/>
      <w:szCs w:val="20"/>
      <w:lang w:val="es-MX" w:eastAsia="en-US"/>
    </w:rPr>
  </w:style>
  <w:style w:type="paragraph" w:customStyle="1" w:styleId="paragraph">
    <w:name w:val="paragraph"/>
    <w:basedOn w:val="Normal"/>
    <w:rsid w:val="002835D0"/>
    <w:pPr>
      <w:spacing w:before="100" w:beforeAutospacing="1" w:after="100" w:afterAutospacing="1"/>
    </w:pPr>
    <w:rPr>
      <w:lang w:eastAsia="es-CO"/>
    </w:rPr>
  </w:style>
  <w:style w:type="table" w:customStyle="1" w:styleId="Tablaconcuadrcula1">
    <w:name w:val="Tabla con cuadrícula1"/>
    <w:basedOn w:val="Tablanormal"/>
    <w:next w:val="Tablaconcuadrcula"/>
    <w:uiPriority w:val="59"/>
    <w:rsid w:val="00DF31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303F37"/>
  </w:style>
  <w:style w:type="character" w:customStyle="1" w:styleId="Ttulo4Car">
    <w:name w:val="Título 4 Car"/>
    <w:basedOn w:val="Fuentedeprrafopredeter"/>
    <w:link w:val="Ttulo4"/>
    <w:uiPriority w:val="9"/>
    <w:semiHidden/>
    <w:rsid w:val="00A02727"/>
    <w:rPr>
      <w:rFonts w:asciiTheme="majorHAnsi" w:eastAsiaTheme="majorEastAsia" w:hAnsiTheme="majorHAnsi" w:cstheme="majorBidi"/>
      <w:i/>
      <w:iCs/>
      <w:color w:val="2F5496" w:themeColor="accent1" w:themeShade="BF"/>
      <w:lang w:val="es-ES_tradnl" w:eastAsia="es-MX"/>
    </w:rPr>
  </w:style>
  <w:style w:type="character" w:styleId="Hipervnculovisitado">
    <w:name w:val="FollowedHyperlink"/>
    <w:basedOn w:val="Fuentedeprrafopredeter"/>
    <w:uiPriority w:val="99"/>
    <w:semiHidden/>
    <w:unhideWhenUsed/>
    <w:rsid w:val="00C63632"/>
    <w:rPr>
      <w:color w:val="954F72" w:themeColor="followedHyperlink"/>
      <w:u w:val="single"/>
    </w:rPr>
  </w:style>
  <w:style w:type="paragraph" w:customStyle="1" w:styleId="Default">
    <w:name w:val="Default"/>
    <w:rsid w:val="00D26A0D"/>
    <w:pPr>
      <w:autoSpaceDE w:val="0"/>
      <w:autoSpaceDN w:val="0"/>
      <w:adjustRightInd w:val="0"/>
    </w:pPr>
    <w:rPr>
      <w:rFonts w:ascii="Arial" w:hAnsi="Arial" w:cs="Arial"/>
      <w:color w:val="000000"/>
      <w:lang w:val="es-MX"/>
    </w:rPr>
  </w:style>
  <w:style w:type="table" w:customStyle="1" w:styleId="2">
    <w:name w:val="2"/>
    <w:basedOn w:val="Tablanormal"/>
    <w:rsid w:val="00460695"/>
    <w:pPr>
      <w:spacing w:before="120"/>
    </w:pPr>
    <w:rPr>
      <w:rFonts w:ascii="Calibri" w:eastAsia="Calibri" w:hAnsi="Calibri" w:cs="Calibri"/>
      <w:lang w:val="es-MX" w:eastAsia="es-ES_tradnl"/>
    </w:rPr>
    <w:tblPr>
      <w:tblStyleRowBandSize w:val="1"/>
      <w:tblStyleColBandSize w:val="1"/>
      <w:tblInd w:w="0" w:type="nil"/>
    </w:tblPr>
  </w:style>
  <w:style w:type="character" w:styleId="Mencinsinresolver">
    <w:name w:val="Unresolved Mention"/>
    <w:basedOn w:val="Fuentedeprrafopredeter"/>
    <w:uiPriority w:val="99"/>
    <w:semiHidden/>
    <w:unhideWhenUsed/>
    <w:rsid w:val="00950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698">
      <w:bodyDiv w:val="1"/>
      <w:marLeft w:val="0"/>
      <w:marRight w:val="0"/>
      <w:marTop w:val="0"/>
      <w:marBottom w:val="0"/>
      <w:divBdr>
        <w:top w:val="none" w:sz="0" w:space="0" w:color="auto"/>
        <w:left w:val="none" w:sz="0" w:space="0" w:color="auto"/>
        <w:bottom w:val="none" w:sz="0" w:space="0" w:color="auto"/>
        <w:right w:val="none" w:sz="0" w:space="0" w:color="auto"/>
      </w:divBdr>
    </w:div>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108859970">
      <w:bodyDiv w:val="1"/>
      <w:marLeft w:val="0"/>
      <w:marRight w:val="0"/>
      <w:marTop w:val="0"/>
      <w:marBottom w:val="0"/>
      <w:divBdr>
        <w:top w:val="none" w:sz="0" w:space="0" w:color="auto"/>
        <w:left w:val="none" w:sz="0" w:space="0" w:color="auto"/>
        <w:bottom w:val="none" w:sz="0" w:space="0" w:color="auto"/>
        <w:right w:val="none" w:sz="0" w:space="0" w:color="auto"/>
      </w:divBdr>
    </w:div>
    <w:div w:id="146285508">
      <w:bodyDiv w:val="1"/>
      <w:marLeft w:val="0"/>
      <w:marRight w:val="0"/>
      <w:marTop w:val="0"/>
      <w:marBottom w:val="0"/>
      <w:divBdr>
        <w:top w:val="none" w:sz="0" w:space="0" w:color="auto"/>
        <w:left w:val="none" w:sz="0" w:space="0" w:color="auto"/>
        <w:bottom w:val="none" w:sz="0" w:space="0" w:color="auto"/>
        <w:right w:val="none" w:sz="0" w:space="0" w:color="auto"/>
      </w:divBdr>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37074326">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433718327">
      <w:bodyDiv w:val="1"/>
      <w:marLeft w:val="0"/>
      <w:marRight w:val="0"/>
      <w:marTop w:val="0"/>
      <w:marBottom w:val="0"/>
      <w:divBdr>
        <w:top w:val="none" w:sz="0" w:space="0" w:color="auto"/>
        <w:left w:val="none" w:sz="0" w:space="0" w:color="auto"/>
        <w:bottom w:val="none" w:sz="0" w:space="0" w:color="auto"/>
        <w:right w:val="none" w:sz="0" w:space="0" w:color="auto"/>
      </w:divBdr>
      <w:divsChild>
        <w:div w:id="1906069724">
          <w:marLeft w:val="0"/>
          <w:marRight w:val="0"/>
          <w:marTop w:val="0"/>
          <w:marBottom w:val="0"/>
          <w:divBdr>
            <w:top w:val="none" w:sz="0" w:space="0" w:color="auto"/>
            <w:left w:val="none" w:sz="0" w:space="0" w:color="auto"/>
            <w:bottom w:val="none" w:sz="0" w:space="0" w:color="auto"/>
            <w:right w:val="none" w:sz="0" w:space="0" w:color="auto"/>
          </w:divBdr>
          <w:divsChild>
            <w:div w:id="976883789">
              <w:marLeft w:val="0"/>
              <w:marRight w:val="0"/>
              <w:marTop w:val="0"/>
              <w:marBottom w:val="0"/>
              <w:divBdr>
                <w:top w:val="none" w:sz="0" w:space="0" w:color="auto"/>
                <w:left w:val="none" w:sz="0" w:space="0" w:color="auto"/>
                <w:bottom w:val="none" w:sz="0" w:space="0" w:color="auto"/>
                <w:right w:val="none" w:sz="0" w:space="0" w:color="auto"/>
              </w:divBdr>
              <w:divsChild>
                <w:div w:id="38491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587084021">
      <w:bodyDiv w:val="1"/>
      <w:marLeft w:val="0"/>
      <w:marRight w:val="0"/>
      <w:marTop w:val="0"/>
      <w:marBottom w:val="0"/>
      <w:divBdr>
        <w:top w:val="none" w:sz="0" w:space="0" w:color="auto"/>
        <w:left w:val="none" w:sz="0" w:space="0" w:color="auto"/>
        <w:bottom w:val="none" w:sz="0" w:space="0" w:color="auto"/>
        <w:right w:val="none" w:sz="0" w:space="0" w:color="auto"/>
      </w:divBdr>
    </w:div>
    <w:div w:id="609052755">
      <w:bodyDiv w:val="1"/>
      <w:marLeft w:val="0"/>
      <w:marRight w:val="0"/>
      <w:marTop w:val="0"/>
      <w:marBottom w:val="0"/>
      <w:divBdr>
        <w:top w:val="none" w:sz="0" w:space="0" w:color="auto"/>
        <w:left w:val="none" w:sz="0" w:space="0" w:color="auto"/>
        <w:bottom w:val="none" w:sz="0" w:space="0" w:color="auto"/>
        <w:right w:val="none" w:sz="0" w:space="0" w:color="auto"/>
      </w:divBdr>
      <w:divsChild>
        <w:div w:id="632098825">
          <w:marLeft w:val="0"/>
          <w:marRight w:val="0"/>
          <w:marTop w:val="0"/>
          <w:marBottom w:val="0"/>
          <w:divBdr>
            <w:top w:val="none" w:sz="0" w:space="0" w:color="auto"/>
            <w:left w:val="none" w:sz="0" w:space="0" w:color="auto"/>
            <w:bottom w:val="none" w:sz="0" w:space="0" w:color="auto"/>
            <w:right w:val="none" w:sz="0" w:space="0" w:color="auto"/>
          </w:divBdr>
          <w:divsChild>
            <w:div w:id="1516073896">
              <w:marLeft w:val="0"/>
              <w:marRight w:val="0"/>
              <w:marTop w:val="0"/>
              <w:marBottom w:val="0"/>
              <w:divBdr>
                <w:top w:val="none" w:sz="0" w:space="0" w:color="auto"/>
                <w:left w:val="none" w:sz="0" w:space="0" w:color="auto"/>
                <w:bottom w:val="none" w:sz="0" w:space="0" w:color="auto"/>
                <w:right w:val="none" w:sz="0" w:space="0" w:color="auto"/>
              </w:divBdr>
              <w:divsChild>
                <w:div w:id="187650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39077">
      <w:bodyDiv w:val="1"/>
      <w:marLeft w:val="0"/>
      <w:marRight w:val="0"/>
      <w:marTop w:val="0"/>
      <w:marBottom w:val="0"/>
      <w:divBdr>
        <w:top w:val="none" w:sz="0" w:space="0" w:color="auto"/>
        <w:left w:val="none" w:sz="0" w:space="0" w:color="auto"/>
        <w:bottom w:val="none" w:sz="0" w:space="0" w:color="auto"/>
        <w:right w:val="none" w:sz="0" w:space="0" w:color="auto"/>
      </w:divBdr>
    </w:div>
    <w:div w:id="651183442">
      <w:bodyDiv w:val="1"/>
      <w:marLeft w:val="0"/>
      <w:marRight w:val="0"/>
      <w:marTop w:val="0"/>
      <w:marBottom w:val="0"/>
      <w:divBdr>
        <w:top w:val="none" w:sz="0" w:space="0" w:color="auto"/>
        <w:left w:val="none" w:sz="0" w:space="0" w:color="auto"/>
        <w:bottom w:val="none" w:sz="0" w:space="0" w:color="auto"/>
        <w:right w:val="none" w:sz="0" w:space="0" w:color="auto"/>
      </w:divBdr>
      <w:divsChild>
        <w:div w:id="347830034">
          <w:marLeft w:val="0"/>
          <w:marRight w:val="0"/>
          <w:marTop w:val="0"/>
          <w:marBottom w:val="0"/>
          <w:divBdr>
            <w:top w:val="none" w:sz="0" w:space="0" w:color="auto"/>
            <w:left w:val="none" w:sz="0" w:space="0" w:color="auto"/>
            <w:bottom w:val="none" w:sz="0" w:space="0" w:color="auto"/>
            <w:right w:val="none" w:sz="0" w:space="0" w:color="auto"/>
          </w:divBdr>
          <w:divsChild>
            <w:div w:id="1119496435">
              <w:marLeft w:val="0"/>
              <w:marRight w:val="0"/>
              <w:marTop w:val="0"/>
              <w:marBottom w:val="0"/>
              <w:divBdr>
                <w:top w:val="none" w:sz="0" w:space="0" w:color="auto"/>
                <w:left w:val="none" w:sz="0" w:space="0" w:color="auto"/>
                <w:bottom w:val="none" w:sz="0" w:space="0" w:color="auto"/>
                <w:right w:val="none" w:sz="0" w:space="0" w:color="auto"/>
              </w:divBdr>
              <w:divsChild>
                <w:div w:id="122317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855812">
      <w:bodyDiv w:val="1"/>
      <w:marLeft w:val="0"/>
      <w:marRight w:val="0"/>
      <w:marTop w:val="0"/>
      <w:marBottom w:val="0"/>
      <w:divBdr>
        <w:top w:val="none" w:sz="0" w:space="0" w:color="auto"/>
        <w:left w:val="none" w:sz="0" w:space="0" w:color="auto"/>
        <w:bottom w:val="none" w:sz="0" w:space="0" w:color="auto"/>
        <w:right w:val="none" w:sz="0" w:space="0" w:color="auto"/>
      </w:divBdr>
      <w:divsChild>
        <w:div w:id="540170377">
          <w:marLeft w:val="0"/>
          <w:marRight w:val="0"/>
          <w:marTop w:val="0"/>
          <w:marBottom w:val="0"/>
          <w:divBdr>
            <w:top w:val="none" w:sz="0" w:space="0" w:color="auto"/>
            <w:left w:val="none" w:sz="0" w:space="0" w:color="auto"/>
            <w:bottom w:val="none" w:sz="0" w:space="0" w:color="auto"/>
            <w:right w:val="none" w:sz="0" w:space="0" w:color="auto"/>
          </w:divBdr>
        </w:div>
      </w:divsChild>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886841932">
      <w:bodyDiv w:val="1"/>
      <w:marLeft w:val="0"/>
      <w:marRight w:val="0"/>
      <w:marTop w:val="0"/>
      <w:marBottom w:val="0"/>
      <w:divBdr>
        <w:top w:val="none" w:sz="0" w:space="0" w:color="auto"/>
        <w:left w:val="none" w:sz="0" w:space="0" w:color="auto"/>
        <w:bottom w:val="none" w:sz="0" w:space="0" w:color="auto"/>
        <w:right w:val="none" w:sz="0" w:space="0" w:color="auto"/>
      </w:divBdr>
      <w:divsChild>
        <w:div w:id="659425936">
          <w:marLeft w:val="0"/>
          <w:marRight w:val="0"/>
          <w:marTop w:val="0"/>
          <w:marBottom w:val="0"/>
          <w:divBdr>
            <w:top w:val="none" w:sz="0" w:space="0" w:color="auto"/>
            <w:left w:val="none" w:sz="0" w:space="0" w:color="auto"/>
            <w:bottom w:val="none" w:sz="0" w:space="0" w:color="auto"/>
            <w:right w:val="none" w:sz="0" w:space="0" w:color="auto"/>
          </w:divBdr>
          <w:divsChild>
            <w:div w:id="1237932363">
              <w:marLeft w:val="0"/>
              <w:marRight w:val="0"/>
              <w:marTop w:val="0"/>
              <w:marBottom w:val="0"/>
              <w:divBdr>
                <w:top w:val="none" w:sz="0" w:space="0" w:color="auto"/>
                <w:left w:val="none" w:sz="0" w:space="0" w:color="auto"/>
                <w:bottom w:val="none" w:sz="0" w:space="0" w:color="auto"/>
                <w:right w:val="none" w:sz="0" w:space="0" w:color="auto"/>
              </w:divBdr>
              <w:divsChild>
                <w:div w:id="197941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914450">
      <w:bodyDiv w:val="1"/>
      <w:marLeft w:val="0"/>
      <w:marRight w:val="0"/>
      <w:marTop w:val="0"/>
      <w:marBottom w:val="0"/>
      <w:divBdr>
        <w:top w:val="none" w:sz="0" w:space="0" w:color="auto"/>
        <w:left w:val="none" w:sz="0" w:space="0" w:color="auto"/>
        <w:bottom w:val="none" w:sz="0" w:space="0" w:color="auto"/>
        <w:right w:val="none" w:sz="0" w:space="0" w:color="auto"/>
      </w:divBdr>
    </w:div>
    <w:div w:id="951012285">
      <w:bodyDiv w:val="1"/>
      <w:marLeft w:val="0"/>
      <w:marRight w:val="0"/>
      <w:marTop w:val="0"/>
      <w:marBottom w:val="0"/>
      <w:divBdr>
        <w:top w:val="none" w:sz="0" w:space="0" w:color="auto"/>
        <w:left w:val="none" w:sz="0" w:space="0" w:color="auto"/>
        <w:bottom w:val="none" w:sz="0" w:space="0" w:color="auto"/>
        <w:right w:val="none" w:sz="0" w:space="0" w:color="auto"/>
      </w:divBdr>
    </w:div>
    <w:div w:id="994911990">
      <w:bodyDiv w:val="1"/>
      <w:marLeft w:val="0"/>
      <w:marRight w:val="0"/>
      <w:marTop w:val="0"/>
      <w:marBottom w:val="0"/>
      <w:divBdr>
        <w:top w:val="none" w:sz="0" w:space="0" w:color="auto"/>
        <w:left w:val="none" w:sz="0" w:space="0" w:color="auto"/>
        <w:bottom w:val="none" w:sz="0" w:space="0" w:color="auto"/>
        <w:right w:val="none" w:sz="0" w:space="0" w:color="auto"/>
      </w:divBdr>
      <w:divsChild>
        <w:div w:id="724837066">
          <w:marLeft w:val="0"/>
          <w:marRight w:val="0"/>
          <w:marTop w:val="0"/>
          <w:marBottom w:val="0"/>
          <w:divBdr>
            <w:top w:val="none" w:sz="0" w:space="0" w:color="auto"/>
            <w:left w:val="none" w:sz="0" w:space="0" w:color="auto"/>
            <w:bottom w:val="none" w:sz="0" w:space="0" w:color="auto"/>
            <w:right w:val="none" w:sz="0" w:space="0" w:color="auto"/>
          </w:divBdr>
          <w:divsChild>
            <w:div w:id="519853884">
              <w:marLeft w:val="0"/>
              <w:marRight w:val="0"/>
              <w:marTop w:val="0"/>
              <w:marBottom w:val="0"/>
              <w:divBdr>
                <w:top w:val="none" w:sz="0" w:space="0" w:color="auto"/>
                <w:left w:val="none" w:sz="0" w:space="0" w:color="auto"/>
                <w:bottom w:val="none" w:sz="0" w:space="0" w:color="auto"/>
                <w:right w:val="none" w:sz="0" w:space="0" w:color="auto"/>
              </w:divBdr>
              <w:divsChild>
                <w:div w:id="92762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645984">
      <w:bodyDiv w:val="1"/>
      <w:marLeft w:val="0"/>
      <w:marRight w:val="0"/>
      <w:marTop w:val="0"/>
      <w:marBottom w:val="0"/>
      <w:divBdr>
        <w:top w:val="none" w:sz="0" w:space="0" w:color="auto"/>
        <w:left w:val="none" w:sz="0" w:space="0" w:color="auto"/>
        <w:bottom w:val="none" w:sz="0" w:space="0" w:color="auto"/>
        <w:right w:val="none" w:sz="0" w:space="0" w:color="auto"/>
      </w:divBdr>
    </w:div>
    <w:div w:id="1158957361">
      <w:bodyDiv w:val="1"/>
      <w:marLeft w:val="0"/>
      <w:marRight w:val="0"/>
      <w:marTop w:val="0"/>
      <w:marBottom w:val="0"/>
      <w:divBdr>
        <w:top w:val="none" w:sz="0" w:space="0" w:color="auto"/>
        <w:left w:val="none" w:sz="0" w:space="0" w:color="auto"/>
        <w:bottom w:val="none" w:sz="0" w:space="0" w:color="auto"/>
        <w:right w:val="none" w:sz="0" w:space="0" w:color="auto"/>
      </w:divBdr>
      <w:divsChild>
        <w:div w:id="370500300">
          <w:marLeft w:val="0"/>
          <w:marRight w:val="0"/>
          <w:marTop w:val="0"/>
          <w:marBottom w:val="0"/>
          <w:divBdr>
            <w:top w:val="none" w:sz="0" w:space="0" w:color="auto"/>
            <w:left w:val="none" w:sz="0" w:space="0" w:color="auto"/>
            <w:bottom w:val="none" w:sz="0" w:space="0" w:color="auto"/>
            <w:right w:val="none" w:sz="0" w:space="0" w:color="auto"/>
          </w:divBdr>
          <w:divsChild>
            <w:div w:id="381832082">
              <w:marLeft w:val="0"/>
              <w:marRight w:val="0"/>
              <w:marTop w:val="0"/>
              <w:marBottom w:val="0"/>
              <w:divBdr>
                <w:top w:val="none" w:sz="0" w:space="0" w:color="auto"/>
                <w:left w:val="none" w:sz="0" w:space="0" w:color="auto"/>
                <w:bottom w:val="none" w:sz="0" w:space="0" w:color="auto"/>
                <w:right w:val="none" w:sz="0" w:space="0" w:color="auto"/>
              </w:divBdr>
            </w:div>
            <w:div w:id="1333412044">
              <w:marLeft w:val="0"/>
              <w:marRight w:val="0"/>
              <w:marTop w:val="0"/>
              <w:marBottom w:val="0"/>
              <w:divBdr>
                <w:top w:val="none" w:sz="0" w:space="0" w:color="auto"/>
                <w:left w:val="none" w:sz="0" w:space="0" w:color="auto"/>
                <w:bottom w:val="none" w:sz="0" w:space="0" w:color="auto"/>
                <w:right w:val="none" w:sz="0" w:space="0" w:color="auto"/>
              </w:divBdr>
            </w:div>
            <w:div w:id="1901859729">
              <w:marLeft w:val="0"/>
              <w:marRight w:val="0"/>
              <w:marTop w:val="0"/>
              <w:marBottom w:val="0"/>
              <w:divBdr>
                <w:top w:val="none" w:sz="0" w:space="0" w:color="auto"/>
                <w:left w:val="none" w:sz="0" w:space="0" w:color="auto"/>
                <w:bottom w:val="none" w:sz="0" w:space="0" w:color="auto"/>
                <w:right w:val="none" w:sz="0" w:space="0" w:color="auto"/>
              </w:divBdr>
            </w:div>
            <w:div w:id="863711006">
              <w:marLeft w:val="0"/>
              <w:marRight w:val="0"/>
              <w:marTop w:val="0"/>
              <w:marBottom w:val="0"/>
              <w:divBdr>
                <w:top w:val="none" w:sz="0" w:space="0" w:color="auto"/>
                <w:left w:val="none" w:sz="0" w:space="0" w:color="auto"/>
                <w:bottom w:val="none" w:sz="0" w:space="0" w:color="auto"/>
                <w:right w:val="none" w:sz="0" w:space="0" w:color="auto"/>
              </w:divBdr>
            </w:div>
            <w:div w:id="385295333">
              <w:marLeft w:val="0"/>
              <w:marRight w:val="0"/>
              <w:marTop w:val="0"/>
              <w:marBottom w:val="0"/>
              <w:divBdr>
                <w:top w:val="none" w:sz="0" w:space="0" w:color="auto"/>
                <w:left w:val="none" w:sz="0" w:space="0" w:color="auto"/>
                <w:bottom w:val="none" w:sz="0" w:space="0" w:color="auto"/>
                <w:right w:val="none" w:sz="0" w:space="0" w:color="auto"/>
              </w:divBdr>
            </w:div>
            <w:div w:id="394662775">
              <w:marLeft w:val="0"/>
              <w:marRight w:val="0"/>
              <w:marTop w:val="0"/>
              <w:marBottom w:val="0"/>
              <w:divBdr>
                <w:top w:val="none" w:sz="0" w:space="0" w:color="auto"/>
                <w:left w:val="none" w:sz="0" w:space="0" w:color="auto"/>
                <w:bottom w:val="none" w:sz="0" w:space="0" w:color="auto"/>
                <w:right w:val="none" w:sz="0" w:space="0" w:color="auto"/>
              </w:divBdr>
            </w:div>
            <w:div w:id="1114133781">
              <w:marLeft w:val="0"/>
              <w:marRight w:val="0"/>
              <w:marTop w:val="0"/>
              <w:marBottom w:val="0"/>
              <w:divBdr>
                <w:top w:val="none" w:sz="0" w:space="0" w:color="auto"/>
                <w:left w:val="none" w:sz="0" w:space="0" w:color="auto"/>
                <w:bottom w:val="none" w:sz="0" w:space="0" w:color="auto"/>
                <w:right w:val="none" w:sz="0" w:space="0" w:color="auto"/>
              </w:divBdr>
            </w:div>
            <w:div w:id="842359195">
              <w:marLeft w:val="0"/>
              <w:marRight w:val="0"/>
              <w:marTop w:val="0"/>
              <w:marBottom w:val="0"/>
              <w:divBdr>
                <w:top w:val="none" w:sz="0" w:space="0" w:color="auto"/>
                <w:left w:val="none" w:sz="0" w:space="0" w:color="auto"/>
                <w:bottom w:val="none" w:sz="0" w:space="0" w:color="auto"/>
                <w:right w:val="none" w:sz="0" w:space="0" w:color="auto"/>
              </w:divBdr>
            </w:div>
            <w:div w:id="776799276">
              <w:marLeft w:val="0"/>
              <w:marRight w:val="0"/>
              <w:marTop w:val="0"/>
              <w:marBottom w:val="0"/>
              <w:divBdr>
                <w:top w:val="none" w:sz="0" w:space="0" w:color="auto"/>
                <w:left w:val="none" w:sz="0" w:space="0" w:color="auto"/>
                <w:bottom w:val="none" w:sz="0" w:space="0" w:color="auto"/>
                <w:right w:val="none" w:sz="0" w:space="0" w:color="auto"/>
              </w:divBdr>
            </w:div>
            <w:div w:id="151066584">
              <w:marLeft w:val="0"/>
              <w:marRight w:val="0"/>
              <w:marTop w:val="0"/>
              <w:marBottom w:val="0"/>
              <w:divBdr>
                <w:top w:val="none" w:sz="0" w:space="0" w:color="auto"/>
                <w:left w:val="none" w:sz="0" w:space="0" w:color="auto"/>
                <w:bottom w:val="none" w:sz="0" w:space="0" w:color="auto"/>
                <w:right w:val="none" w:sz="0" w:space="0" w:color="auto"/>
              </w:divBdr>
            </w:div>
            <w:div w:id="1115979721">
              <w:marLeft w:val="0"/>
              <w:marRight w:val="0"/>
              <w:marTop w:val="0"/>
              <w:marBottom w:val="0"/>
              <w:divBdr>
                <w:top w:val="none" w:sz="0" w:space="0" w:color="auto"/>
                <w:left w:val="none" w:sz="0" w:space="0" w:color="auto"/>
                <w:bottom w:val="none" w:sz="0" w:space="0" w:color="auto"/>
                <w:right w:val="none" w:sz="0" w:space="0" w:color="auto"/>
              </w:divBdr>
            </w:div>
            <w:div w:id="1664628624">
              <w:marLeft w:val="0"/>
              <w:marRight w:val="0"/>
              <w:marTop w:val="0"/>
              <w:marBottom w:val="0"/>
              <w:divBdr>
                <w:top w:val="none" w:sz="0" w:space="0" w:color="auto"/>
                <w:left w:val="none" w:sz="0" w:space="0" w:color="auto"/>
                <w:bottom w:val="none" w:sz="0" w:space="0" w:color="auto"/>
                <w:right w:val="none" w:sz="0" w:space="0" w:color="auto"/>
              </w:divBdr>
            </w:div>
            <w:div w:id="527062691">
              <w:marLeft w:val="0"/>
              <w:marRight w:val="0"/>
              <w:marTop w:val="0"/>
              <w:marBottom w:val="0"/>
              <w:divBdr>
                <w:top w:val="none" w:sz="0" w:space="0" w:color="auto"/>
                <w:left w:val="none" w:sz="0" w:space="0" w:color="auto"/>
                <w:bottom w:val="none" w:sz="0" w:space="0" w:color="auto"/>
                <w:right w:val="none" w:sz="0" w:space="0" w:color="auto"/>
              </w:divBdr>
            </w:div>
            <w:div w:id="1474448764">
              <w:marLeft w:val="0"/>
              <w:marRight w:val="0"/>
              <w:marTop w:val="0"/>
              <w:marBottom w:val="0"/>
              <w:divBdr>
                <w:top w:val="none" w:sz="0" w:space="0" w:color="auto"/>
                <w:left w:val="none" w:sz="0" w:space="0" w:color="auto"/>
                <w:bottom w:val="none" w:sz="0" w:space="0" w:color="auto"/>
                <w:right w:val="none" w:sz="0" w:space="0" w:color="auto"/>
              </w:divBdr>
            </w:div>
            <w:div w:id="959459261">
              <w:marLeft w:val="0"/>
              <w:marRight w:val="0"/>
              <w:marTop w:val="0"/>
              <w:marBottom w:val="0"/>
              <w:divBdr>
                <w:top w:val="none" w:sz="0" w:space="0" w:color="auto"/>
                <w:left w:val="none" w:sz="0" w:space="0" w:color="auto"/>
                <w:bottom w:val="none" w:sz="0" w:space="0" w:color="auto"/>
                <w:right w:val="none" w:sz="0" w:space="0" w:color="auto"/>
              </w:divBdr>
            </w:div>
            <w:div w:id="1858421292">
              <w:marLeft w:val="0"/>
              <w:marRight w:val="0"/>
              <w:marTop w:val="0"/>
              <w:marBottom w:val="0"/>
              <w:divBdr>
                <w:top w:val="none" w:sz="0" w:space="0" w:color="auto"/>
                <w:left w:val="none" w:sz="0" w:space="0" w:color="auto"/>
                <w:bottom w:val="none" w:sz="0" w:space="0" w:color="auto"/>
                <w:right w:val="none" w:sz="0" w:space="0" w:color="auto"/>
              </w:divBdr>
            </w:div>
            <w:div w:id="932393527">
              <w:marLeft w:val="0"/>
              <w:marRight w:val="0"/>
              <w:marTop w:val="0"/>
              <w:marBottom w:val="0"/>
              <w:divBdr>
                <w:top w:val="none" w:sz="0" w:space="0" w:color="auto"/>
                <w:left w:val="none" w:sz="0" w:space="0" w:color="auto"/>
                <w:bottom w:val="none" w:sz="0" w:space="0" w:color="auto"/>
                <w:right w:val="none" w:sz="0" w:space="0" w:color="auto"/>
              </w:divBdr>
            </w:div>
            <w:div w:id="2000965068">
              <w:marLeft w:val="0"/>
              <w:marRight w:val="0"/>
              <w:marTop w:val="0"/>
              <w:marBottom w:val="0"/>
              <w:divBdr>
                <w:top w:val="none" w:sz="0" w:space="0" w:color="auto"/>
                <w:left w:val="none" w:sz="0" w:space="0" w:color="auto"/>
                <w:bottom w:val="none" w:sz="0" w:space="0" w:color="auto"/>
                <w:right w:val="none" w:sz="0" w:space="0" w:color="auto"/>
              </w:divBdr>
            </w:div>
            <w:div w:id="392121971">
              <w:marLeft w:val="0"/>
              <w:marRight w:val="0"/>
              <w:marTop w:val="0"/>
              <w:marBottom w:val="0"/>
              <w:divBdr>
                <w:top w:val="none" w:sz="0" w:space="0" w:color="auto"/>
                <w:left w:val="none" w:sz="0" w:space="0" w:color="auto"/>
                <w:bottom w:val="none" w:sz="0" w:space="0" w:color="auto"/>
                <w:right w:val="none" w:sz="0" w:space="0" w:color="auto"/>
              </w:divBdr>
            </w:div>
            <w:div w:id="736972137">
              <w:marLeft w:val="0"/>
              <w:marRight w:val="0"/>
              <w:marTop w:val="0"/>
              <w:marBottom w:val="0"/>
              <w:divBdr>
                <w:top w:val="none" w:sz="0" w:space="0" w:color="auto"/>
                <w:left w:val="none" w:sz="0" w:space="0" w:color="auto"/>
                <w:bottom w:val="none" w:sz="0" w:space="0" w:color="auto"/>
                <w:right w:val="none" w:sz="0" w:space="0" w:color="auto"/>
              </w:divBdr>
            </w:div>
            <w:div w:id="1590693338">
              <w:marLeft w:val="0"/>
              <w:marRight w:val="0"/>
              <w:marTop w:val="0"/>
              <w:marBottom w:val="0"/>
              <w:divBdr>
                <w:top w:val="none" w:sz="0" w:space="0" w:color="auto"/>
                <w:left w:val="none" w:sz="0" w:space="0" w:color="auto"/>
                <w:bottom w:val="none" w:sz="0" w:space="0" w:color="auto"/>
                <w:right w:val="none" w:sz="0" w:space="0" w:color="auto"/>
              </w:divBdr>
            </w:div>
            <w:div w:id="2098090144">
              <w:marLeft w:val="0"/>
              <w:marRight w:val="0"/>
              <w:marTop w:val="0"/>
              <w:marBottom w:val="0"/>
              <w:divBdr>
                <w:top w:val="none" w:sz="0" w:space="0" w:color="auto"/>
                <w:left w:val="none" w:sz="0" w:space="0" w:color="auto"/>
                <w:bottom w:val="none" w:sz="0" w:space="0" w:color="auto"/>
                <w:right w:val="none" w:sz="0" w:space="0" w:color="auto"/>
              </w:divBdr>
            </w:div>
            <w:div w:id="514149318">
              <w:marLeft w:val="0"/>
              <w:marRight w:val="0"/>
              <w:marTop w:val="0"/>
              <w:marBottom w:val="0"/>
              <w:divBdr>
                <w:top w:val="none" w:sz="0" w:space="0" w:color="auto"/>
                <w:left w:val="none" w:sz="0" w:space="0" w:color="auto"/>
                <w:bottom w:val="none" w:sz="0" w:space="0" w:color="auto"/>
                <w:right w:val="none" w:sz="0" w:space="0" w:color="auto"/>
              </w:divBdr>
            </w:div>
            <w:div w:id="2068843972">
              <w:marLeft w:val="0"/>
              <w:marRight w:val="0"/>
              <w:marTop w:val="0"/>
              <w:marBottom w:val="0"/>
              <w:divBdr>
                <w:top w:val="none" w:sz="0" w:space="0" w:color="auto"/>
                <w:left w:val="none" w:sz="0" w:space="0" w:color="auto"/>
                <w:bottom w:val="none" w:sz="0" w:space="0" w:color="auto"/>
                <w:right w:val="none" w:sz="0" w:space="0" w:color="auto"/>
              </w:divBdr>
            </w:div>
            <w:div w:id="780957430">
              <w:marLeft w:val="0"/>
              <w:marRight w:val="0"/>
              <w:marTop w:val="0"/>
              <w:marBottom w:val="0"/>
              <w:divBdr>
                <w:top w:val="none" w:sz="0" w:space="0" w:color="auto"/>
                <w:left w:val="none" w:sz="0" w:space="0" w:color="auto"/>
                <w:bottom w:val="none" w:sz="0" w:space="0" w:color="auto"/>
                <w:right w:val="none" w:sz="0" w:space="0" w:color="auto"/>
              </w:divBdr>
            </w:div>
            <w:div w:id="1450011094">
              <w:marLeft w:val="0"/>
              <w:marRight w:val="0"/>
              <w:marTop w:val="0"/>
              <w:marBottom w:val="0"/>
              <w:divBdr>
                <w:top w:val="none" w:sz="0" w:space="0" w:color="auto"/>
                <w:left w:val="none" w:sz="0" w:space="0" w:color="auto"/>
                <w:bottom w:val="none" w:sz="0" w:space="0" w:color="auto"/>
                <w:right w:val="none" w:sz="0" w:space="0" w:color="auto"/>
              </w:divBdr>
            </w:div>
            <w:div w:id="185369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5248">
      <w:bodyDiv w:val="1"/>
      <w:marLeft w:val="0"/>
      <w:marRight w:val="0"/>
      <w:marTop w:val="0"/>
      <w:marBottom w:val="0"/>
      <w:divBdr>
        <w:top w:val="none" w:sz="0" w:space="0" w:color="auto"/>
        <w:left w:val="none" w:sz="0" w:space="0" w:color="auto"/>
        <w:bottom w:val="none" w:sz="0" w:space="0" w:color="auto"/>
        <w:right w:val="none" w:sz="0" w:space="0" w:color="auto"/>
      </w:divBdr>
      <w:divsChild>
        <w:div w:id="1541093712">
          <w:marLeft w:val="0"/>
          <w:marRight w:val="0"/>
          <w:marTop w:val="0"/>
          <w:marBottom w:val="0"/>
          <w:divBdr>
            <w:top w:val="none" w:sz="0" w:space="0" w:color="auto"/>
            <w:left w:val="none" w:sz="0" w:space="0" w:color="auto"/>
            <w:bottom w:val="none" w:sz="0" w:space="0" w:color="auto"/>
            <w:right w:val="none" w:sz="0" w:space="0" w:color="auto"/>
          </w:divBdr>
          <w:divsChild>
            <w:div w:id="928268909">
              <w:marLeft w:val="0"/>
              <w:marRight w:val="0"/>
              <w:marTop w:val="0"/>
              <w:marBottom w:val="0"/>
              <w:divBdr>
                <w:top w:val="none" w:sz="0" w:space="0" w:color="auto"/>
                <w:left w:val="none" w:sz="0" w:space="0" w:color="auto"/>
                <w:bottom w:val="none" w:sz="0" w:space="0" w:color="auto"/>
                <w:right w:val="none" w:sz="0" w:space="0" w:color="auto"/>
              </w:divBdr>
              <w:divsChild>
                <w:div w:id="581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031244">
      <w:bodyDiv w:val="1"/>
      <w:marLeft w:val="0"/>
      <w:marRight w:val="0"/>
      <w:marTop w:val="0"/>
      <w:marBottom w:val="0"/>
      <w:divBdr>
        <w:top w:val="none" w:sz="0" w:space="0" w:color="auto"/>
        <w:left w:val="none" w:sz="0" w:space="0" w:color="auto"/>
        <w:bottom w:val="none" w:sz="0" w:space="0" w:color="auto"/>
        <w:right w:val="none" w:sz="0" w:space="0" w:color="auto"/>
      </w:divBdr>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861137">
      <w:bodyDiv w:val="1"/>
      <w:marLeft w:val="0"/>
      <w:marRight w:val="0"/>
      <w:marTop w:val="0"/>
      <w:marBottom w:val="0"/>
      <w:divBdr>
        <w:top w:val="none" w:sz="0" w:space="0" w:color="auto"/>
        <w:left w:val="none" w:sz="0" w:space="0" w:color="auto"/>
        <w:bottom w:val="none" w:sz="0" w:space="0" w:color="auto"/>
        <w:right w:val="none" w:sz="0" w:space="0" w:color="auto"/>
      </w:divBdr>
    </w:div>
    <w:div w:id="1554535866">
      <w:bodyDiv w:val="1"/>
      <w:marLeft w:val="0"/>
      <w:marRight w:val="0"/>
      <w:marTop w:val="0"/>
      <w:marBottom w:val="0"/>
      <w:divBdr>
        <w:top w:val="none" w:sz="0" w:space="0" w:color="auto"/>
        <w:left w:val="none" w:sz="0" w:space="0" w:color="auto"/>
        <w:bottom w:val="none" w:sz="0" w:space="0" w:color="auto"/>
        <w:right w:val="none" w:sz="0" w:space="0" w:color="auto"/>
      </w:divBdr>
      <w:divsChild>
        <w:div w:id="117649283">
          <w:marLeft w:val="0"/>
          <w:marRight w:val="0"/>
          <w:marTop w:val="0"/>
          <w:marBottom w:val="0"/>
          <w:divBdr>
            <w:top w:val="none" w:sz="0" w:space="0" w:color="auto"/>
            <w:left w:val="none" w:sz="0" w:space="0" w:color="auto"/>
            <w:bottom w:val="none" w:sz="0" w:space="0" w:color="auto"/>
            <w:right w:val="none" w:sz="0" w:space="0" w:color="auto"/>
          </w:divBdr>
        </w:div>
      </w:divsChild>
    </w:div>
    <w:div w:id="1560088786">
      <w:bodyDiv w:val="1"/>
      <w:marLeft w:val="0"/>
      <w:marRight w:val="0"/>
      <w:marTop w:val="0"/>
      <w:marBottom w:val="0"/>
      <w:divBdr>
        <w:top w:val="none" w:sz="0" w:space="0" w:color="auto"/>
        <w:left w:val="none" w:sz="0" w:space="0" w:color="auto"/>
        <w:bottom w:val="none" w:sz="0" w:space="0" w:color="auto"/>
        <w:right w:val="none" w:sz="0" w:space="0" w:color="auto"/>
      </w:divBdr>
      <w:divsChild>
        <w:div w:id="526336664">
          <w:marLeft w:val="0"/>
          <w:marRight w:val="0"/>
          <w:marTop w:val="0"/>
          <w:marBottom w:val="0"/>
          <w:divBdr>
            <w:top w:val="none" w:sz="0" w:space="0" w:color="auto"/>
            <w:left w:val="none" w:sz="0" w:space="0" w:color="auto"/>
            <w:bottom w:val="none" w:sz="0" w:space="0" w:color="auto"/>
            <w:right w:val="none" w:sz="0" w:space="0" w:color="auto"/>
          </w:divBdr>
          <w:divsChild>
            <w:div w:id="2057464757">
              <w:marLeft w:val="0"/>
              <w:marRight w:val="0"/>
              <w:marTop w:val="0"/>
              <w:marBottom w:val="0"/>
              <w:divBdr>
                <w:top w:val="none" w:sz="0" w:space="0" w:color="auto"/>
                <w:left w:val="none" w:sz="0" w:space="0" w:color="auto"/>
                <w:bottom w:val="none" w:sz="0" w:space="0" w:color="auto"/>
                <w:right w:val="none" w:sz="0" w:space="0" w:color="auto"/>
              </w:divBdr>
              <w:divsChild>
                <w:div w:id="90795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650090261">
      <w:bodyDiv w:val="1"/>
      <w:marLeft w:val="0"/>
      <w:marRight w:val="0"/>
      <w:marTop w:val="0"/>
      <w:marBottom w:val="0"/>
      <w:divBdr>
        <w:top w:val="none" w:sz="0" w:space="0" w:color="auto"/>
        <w:left w:val="none" w:sz="0" w:space="0" w:color="auto"/>
        <w:bottom w:val="none" w:sz="0" w:space="0" w:color="auto"/>
        <w:right w:val="none" w:sz="0" w:space="0" w:color="auto"/>
      </w:divBdr>
      <w:divsChild>
        <w:div w:id="228663037">
          <w:marLeft w:val="0"/>
          <w:marRight w:val="0"/>
          <w:marTop w:val="0"/>
          <w:marBottom w:val="0"/>
          <w:divBdr>
            <w:top w:val="none" w:sz="0" w:space="0" w:color="auto"/>
            <w:left w:val="none" w:sz="0" w:space="0" w:color="auto"/>
            <w:bottom w:val="none" w:sz="0" w:space="0" w:color="auto"/>
            <w:right w:val="none" w:sz="0" w:space="0" w:color="auto"/>
          </w:divBdr>
          <w:divsChild>
            <w:div w:id="997659273">
              <w:marLeft w:val="0"/>
              <w:marRight w:val="0"/>
              <w:marTop w:val="0"/>
              <w:marBottom w:val="0"/>
              <w:divBdr>
                <w:top w:val="none" w:sz="0" w:space="0" w:color="auto"/>
                <w:left w:val="none" w:sz="0" w:space="0" w:color="auto"/>
                <w:bottom w:val="none" w:sz="0" w:space="0" w:color="auto"/>
                <w:right w:val="none" w:sz="0" w:space="0" w:color="auto"/>
              </w:divBdr>
              <w:divsChild>
                <w:div w:id="7747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236345">
      <w:bodyDiv w:val="1"/>
      <w:marLeft w:val="0"/>
      <w:marRight w:val="0"/>
      <w:marTop w:val="0"/>
      <w:marBottom w:val="0"/>
      <w:divBdr>
        <w:top w:val="none" w:sz="0" w:space="0" w:color="auto"/>
        <w:left w:val="none" w:sz="0" w:space="0" w:color="auto"/>
        <w:bottom w:val="none" w:sz="0" w:space="0" w:color="auto"/>
        <w:right w:val="none" w:sz="0" w:space="0" w:color="auto"/>
      </w:divBdr>
    </w:div>
    <w:div w:id="1705908602">
      <w:bodyDiv w:val="1"/>
      <w:marLeft w:val="0"/>
      <w:marRight w:val="0"/>
      <w:marTop w:val="0"/>
      <w:marBottom w:val="0"/>
      <w:divBdr>
        <w:top w:val="none" w:sz="0" w:space="0" w:color="auto"/>
        <w:left w:val="none" w:sz="0" w:space="0" w:color="auto"/>
        <w:bottom w:val="none" w:sz="0" w:space="0" w:color="auto"/>
        <w:right w:val="none" w:sz="0" w:space="0" w:color="auto"/>
      </w:divBdr>
    </w:div>
    <w:div w:id="1730685673">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1780875609">
      <w:bodyDiv w:val="1"/>
      <w:marLeft w:val="0"/>
      <w:marRight w:val="0"/>
      <w:marTop w:val="0"/>
      <w:marBottom w:val="0"/>
      <w:divBdr>
        <w:top w:val="none" w:sz="0" w:space="0" w:color="auto"/>
        <w:left w:val="none" w:sz="0" w:space="0" w:color="auto"/>
        <w:bottom w:val="none" w:sz="0" w:space="0" w:color="auto"/>
        <w:right w:val="none" w:sz="0" w:space="0" w:color="auto"/>
      </w:divBdr>
    </w:div>
    <w:div w:id="1787656124">
      <w:bodyDiv w:val="1"/>
      <w:marLeft w:val="0"/>
      <w:marRight w:val="0"/>
      <w:marTop w:val="0"/>
      <w:marBottom w:val="0"/>
      <w:divBdr>
        <w:top w:val="none" w:sz="0" w:space="0" w:color="auto"/>
        <w:left w:val="none" w:sz="0" w:space="0" w:color="auto"/>
        <w:bottom w:val="none" w:sz="0" w:space="0" w:color="auto"/>
        <w:right w:val="none" w:sz="0" w:space="0" w:color="auto"/>
      </w:divBdr>
    </w:div>
    <w:div w:id="2018271483">
      <w:bodyDiv w:val="1"/>
      <w:marLeft w:val="0"/>
      <w:marRight w:val="0"/>
      <w:marTop w:val="0"/>
      <w:marBottom w:val="0"/>
      <w:divBdr>
        <w:top w:val="none" w:sz="0" w:space="0" w:color="auto"/>
        <w:left w:val="none" w:sz="0" w:space="0" w:color="auto"/>
        <w:bottom w:val="none" w:sz="0" w:space="0" w:color="auto"/>
        <w:right w:val="none" w:sz="0" w:space="0" w:color="auto"/>
      </w:divBdr>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 w:id="2092847234">
      <w:bodyDiv w:val="1"/>
      <w:marLeft w:val="0"/>
      <w:marRight w:val="0"/>
      <w:marTop w:val="0"/>
      <w:marBottom w:val="0"/>
      <w:divBdr>
        <w:top w:val="none" w:sz="0" w:space="0" w:color="auto"/>
        <w:left w:val="none" w:sz="0" w:space="0" w:color="auto"/>
        <w:bottom w:val="none" w:sz="0" w:space="0" w:color="auto"/>
        <w:right w:val="none" w:sz="0" w:space="0" w:color="auto"/>
      </w:divBdr>
      <w:divsChild>
        <w:div w:id="1374696518">
          <w:marLeft w:val="0"/>
          <w:marRight w:val="0"/>
          <w:marTop w:val="0"/>
          <w:marBottom w:val="0"/>
          <w:divBdr>
            <w:top w:val="none" w:sz="0" w:space="0" w:color="auto"/>
            <w:left w:val="none" w:sz="0" w:space="0" w:color="auto"/>
            <w:bottom w:val="none" w:sz="0" w:space="0" w:color="auto"/>
            <w:right w:val="none" w:sz="0" w:space="0" w:color="auto"/>
          </w:divBdr>
          <w:divsChild>
            <w:div w:id="966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clasificador-de-bienes-y-Servici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sites/cce_public/files/cce_documents/cce_guia_codificacion_bienes.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circulares/cce-eicp-ma-06_circular_externa_con_comentarios_de_ciudadanos-_v2f_002.pdf" TargetMode="External"/><Relationship Id="rId2" Type="http://schemas.openxmlformats.org/officeDocument/2006/relationships/hyperlink" Target="https://www.colombiacompra.gov.co/sites/cce_public/files/cce_documents/cce_guia_codificacion_bienes.pdf" TargetMode="External"/><Relationship Id="rId1" Type="http://schemas.openxmlformats.org/officeDocument/2006/relationships/hyperlink" Target="https://www.colombiacompra.gov.co/sites/cce_public/files/cce_documents/cce_guia_codificacion_biene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CFA380-6E12-4B69-B07B-03C3922864D5}">
  <ds:schemaRefs>
    <ds:schemaRef ds:uri="http://schemas.openxmlformats.org/officeDocument/2006/bibliography"/>
  </ds:schemaRefs>
</ds:datastoreItem>
</file>

<file path=customXml/itemProps2.xml><?xml version="1.0" encoding="utf-8"?>
<ds:datastoreItem xmlns:ds="http://schemas.openxmlformats.org/officeDocument/2006/customXml" ds:itemID="{D91C509D-0285-439D-BD13-859167D23B6F}">
  <ds:schemaRefs>
    <ds:schemaRef ds:uri="9d85dbaf-23eb-4e57-a637-93dcacc8b1a1"/>
    <ds:schemaRef ds:uri="http://schemas.microsoft.com/office/2006/metadata/properties"/>
    <ds:schemaRef ds:uri="http://purl.org/dc/terms/"/>
    <ds:schemaRef ds:uri="http://purl.org/dc/elements/1.1/"/>
    <ds:schemaRef ds:uri="a6cb9e4b-f1d1-4245-83ec-6cad768d538a"/>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4BD911F3-97D7-498F-A10C-0330E8F711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B7F1C0-1756-4140-9A45-94FD109DB4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17</Pages>
  <Words>5585</Words>
  <Characters>30723</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Ana Maria Velez Arteaga</cp:lastModifiedBy>
  <cp:revision>7</cp:revision>
  <cp:lastPrinted>2022-09-23T06:38:00Z</cp:lastPrinted>
  <dcterms:created xsi:type="dcterms:W3CDTF">2023-03-01T22:13:00Z</dcterms:created>
  <dcterms:modified xsi:type="dcterms:W3CDTF">2023-03-01T22:33:00Z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