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AF3470" w14:textId="77777777" w:rsidR="009F50A3" w:rsidRPr="00C94F95" w:rsidRDefault="009F50A3" w:rsidP="009F50A3">
      <w:pPr>
        <w:spacing w:after="0" w:line="240" w:lineRule="auto"/>
        <w:jc w:val="both"/>
        <w:rPr>
          <w:rFonts w:ascii="Arial" w:hAnsi="Arial" w:cs="Arial"/>
          <w:b/>
          <w:szCs w:val="24"/>
          <w:lang w:val="es-ES_tradnl" w:eastAsia="es-ES_tradnl"/>
        </w:rPr>
      </w:pPr>
      <w:bookmarkStart w:id="0" w:name="_Hlk103947551"/>
      <w:r w:rsidRPr="00C94F95">
        <w:rPr>
          <w:rFonts w:ascii="Arial" w:hAnsi="Arial" w:cs="Arial"/>
          <w:b/>
          <w:szCs w:val="24"/>
          <w:lang w:val="es-ES_tradnl" w:eastAsia="es-ES_tradnl"/>
        </w:rPr>
        <w:t>PLAN ANUAL DE ADQUISICIONES – Plan de acción</w:t>
      </w:r>
    </w:p>
    <w:p w14:paraId="547B8BEC" w14:textId="77777777" w:rsidR="009F50A3" w:rsidRPr="00E65CA2" w:rsidRDefault="009F50A3" w:rsidP="009F50A3">
      <w:pPr>
        <w:spacing w:after="0" w:line="240" w:lineRule="auto"/>
        <w:jc w:val="both"/>
        <w:rPr>
          <w:rFonts w:ascii="Arial" w:hAnsi="Arial" w:cs="Arial"/>
          <w:bCs/>
          <w:lang w:val="es-MX" w:eastAsia="en-GB"/>
        </w:rPr>
      </w:pPr>
    </w:p>
    <w:p w14:paraId="22B3B168" w14:textId="6A249DC0" w:rsidR="009F50A3" w:rsidRPr="00C94F95" w:rsidRDefault="009F50A3" w:rsidP="009F50A3">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 xml:space="preserve">El artículo 74 de la Ley 1474 </w:t>
      </w:r>
      <w:r w:rsidR="00EE56BD" w:rsidRPr="00C94F95">
        <w:rPr>
          <w:rFonts w:ascii="Arial" w:hAnsi="Arial" w:cs="Arial"/>
          <w:sz w:val="20"/>
          <w:szCs w:val="20"/>
          <w:lang w:val="es-ES_tradnl" w:eastAsia="es-ES_tradnl"/>
        </w:rPr>
        <w:t>dispone</w:t>
      </w:r>
      <w:r w:rsidRPr="00C94F95">
        <w:rPr>
          <w:rFonts w:ascii="Arial" w:hAnsi="Arial" w:cs="Arial"/>
          <w:sz w:val="20"/>
          <w:szCs w:val="20"/>
          <w:lang w:val="es-ES_tradnl" w:eastAsia="es-ES_tradnl"/>
        </w:rPr>
        <w:t>, que «todas las entidades del Estado» deben publicar, a más tardar el 31 de enero de cada año, en su respectiva página web, el plan de acción, en el cual se incluye el plan general de compras. El plan general de compras para el ordenamiento vigente corresponde con el concepto de plan anual de adquisiciones como lo establece el artículo 2.2.1.1.1.3.1. del Decreto 1082 de 2015.</w:t>
      </w:r>
    </w:p>
    <w:p w14:paraId="62A99FFF" w14:textId="77777777" w:rsidR="009F50A3" w:rsidRPr="00C94F95" w:rsidRDefault="009F50A3" w:rsidP="009F50A3">
      <w:pPr>
        <w:widowControl w:val="0"/>
        <w:autoSpaceDE w:val="0"/>
        <w:autoSpaceDN w:val="0"/>
        <w:spacing w:before="94" w:after="0" w:line="240" w:lineRule="auto"/>
        <w:ind w:right="533"/>
        <w:jc w:val="both"/>
        <w:rPr>
          <w:rFonts w:ascii="Arial" w:eastAsia="Arial MT" w:hAnsi="Arial" w:cs="Arial"/>
          <w:b/>
          <w:color w:val="585858"/>
          <w:sz w:val="18"/>
          <w:lang w:val="es-ES"/>
        </w:rPr>
      </w:pPr>
    </w:p>
    <w:p w14:paraId="206BE2D7" w14:textId="77777777" w:rsidR="009F50A3" w:rsidRPr="00C94F95" w:rsidRDefault="009F50A3" w:rsidP="009F50A3">
      <w:pPr>
        <w:spacing w:after="0" w:line="240" w:lineRule="auto"/>
        <w:jc w:val="both"/>
        <w:rPr>
          <w:rFonts w:ascii="Arial" w:hAnsi="Arial" w:cs="Arial"/>
          <w:b/>
          <w:szCs w:val="24"/>
          <w:lang w:val="es-ES_tradnl" w:eastAsia="es-ES_tradnl"/>
        </w:rPr>
      </w:pPr>
      <w:r w:rsidRPr="00C94F95">
        <w:rPr>
          <w:rFonts w:ascii="Arial" w:hAnsi="Arial" w:cs="Arial"/>
          <w:b/>
          <w:szCs w:val="24"/>
          <w:lang w:val="es-ES_tradnl" w:eastAsia="es-ES_tradnl"/>
        </w:rPr>
        <w:t>PLAN ANUAL DE ADQUISICIONES – Publicidad – Entidades estatales obligadas</w:t>
      </w:r>
    </w:p>
    <w:p w14:paraId="65EA067A" w14:textId="77777777" w:rsidR="009F50A3" w:rsidRPr="00E65CA2" w:rsidRDefault="009F50A3" w:rsidP="009F50A3">
      <w:pPr>
        <w:spacing w:after="0" w:line="240" w:lineRule="auto"/>
        <w:jc w:val="both"/>
        <w:rPr>
          <w:rFonts w:ascii="Arial" w:hAnsi="Arial" w:cs="Arial"/>
          <w:lang w:val="es-ES" w:eastAsia="en-GB"/>
        </w:rPr>
      </w:pPr>
    </w:p>
    <w:p w14:paraId="5E07753F" w14:textId="77777777" w:rsidR="009F50A3" w:rsidRPr="00C94F95" w:rsidRDefault="009F50A3" w:rsidP="009F50A3">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 xml:space="preserve">El artículo 9, literal e), prescribe que todo sujeto obligado deberá publicar, en los sistemas de información del Estado o herramientas que lo sustituyan, su respectivo plan de compras anual. Para determinar los sujetos obligados a publicarlo es necesario remitirse al artículo 5 de la Ley 1712 de 2014. </w:t>
      </w:r>
    </w:p>
    <w:p w14:paraId="5F29E68C" w14:textId="77777777" w:rsidR="009F50A3" w:rsidRPr="00C94F95" w:rsidRDefault="009F50A3" w:rsidP="009F50A3">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w:t>
      </w:r>
    </w:p>
    <w:p w14:paraId="657E81F1" w14:textId="77777777" w:rsidR="009F50A3" w:rsidRPr="00C94F95" w:rsidRDefault="009F50A3" w:rsidP="009F50A3">
      <w:pPr>
        <w:spacing w:after="0" w:line="240" w:lineRule="auto"/>
        <w:jc w:val="both"/>
        <w:rPr>
          <w:rFonts w:ascii="Arial" w:hAnsi="Arial" w:cs="Arial"/>
          <w:sz w:val="20"/>
          <w:szCs w:val="20"/>
          <w:lang w:val="es-ES_tradnl" w:eastAsia="es-ES_tradnl"/>
        </w:rPr>
      </w:pPr>
    </w:p>
    <w:p w14:paraId="414BE8C5" w14:textId="77777777" w:rsidR="009F50A3" w:rsidRPr="00C94F95" w:rsidRDefault="009F50A3" w:rsidP="009F50A3">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por servicios. También están incluidos todos los órganos con competencia para contratar, como los concejos municipales.</w:t>
      </w:r>
    </w:p>
    <w:p w14:paraId="182DAED3" w14:textId="77777777" w:rsidR="009F50A3" w:rsidRPr="00E65CA2" w:rsidRDefault="009F50A3" w:rsidP="009F50A3">
      <w:pPr>
        <w:spacing w:after="0" w:line="240" w:lineRule="auto"/>
        <w:jc w:val="both"/>
        <w:rPr>
          <w:rFonts w:ascii="Arial" w:hAnsi="Arial" w:cs="Arial"/>
          <w:sz w:val="20"/>
          <w:szCs w:val="20"/>
          <w:lang w:val="es-ES" w:eastAsia="en-GB"/>
        </w:rPr>
      </w:pPr>
    </w:p>
    <w:p w14:paraId="2B98A5A7" w14:textId="77777777" w:rsidR="009F50A3" w:rsidRPr="00C94F95" w:rsidRDefault="009F50A3" w:rsidP="009F50A3">
      <w:pPr>
        <w:spacing w:after="0" w:line="240" w:lineRule="auto"/>
        <w:jc w:val="both"/>
        <w:rPr>
          <w:rFonts w:ascii="Arial" w:hAnsi="Arial" w:cs="Arial"/>
          <w:b/>
          <w:szCs w:val="24"/>
          <w:lang w:val="es-ES_tradnl" w:eastAsia="es-ES_tradnl"/>
        </w:rPr>
      </w:pPr>
      <w:r w:rsidRPr="00C94F95">
        <w:rPr>
          <w:rFonts w:ascii="Arial" w:hAnsi="Arial" w:cs="Arial"/>
          <w:b/>
          <w:szCs w:val="24"/>
          <w:lang w:val="es-ES_tradnl" w:eastAsia="es-ES_tradnl"/>
        </w:rPr>
        <w:t xml:space="preserve">PLAN ANUAL DE ADQUISICIONES – Contenido </w:t>
      </w:r>
    </w:p>
    <w:p w14:paraId="1A17B8B5" w14:textId="77777777" w:rsidR="009F50A3" w:rsidRPr="00E65CA2" w:rsidRDefault="009F50A3" w:rsidP="009F50A3">
      <w:pPr>
        <w:spacing w:after="0" w:line="276" w:lineRule="auto"/>
        <w:jc w:val="both"/>
        <w:rPr>
          <w:rFonts w:ascii="Arial" w:hAnsi="Arial" w:cs="Arial"/>
          <w:b/>
          <w:sz w:val="20"/>
          <w:szCs w:val="20"/>
          <w:lang w:val="es-ES"/>
        </w:rPr>
      </w:pPr>
    </w:p>
    <w:p w14:paraId="0686769C" w14:textId="179BD327" w:rsidR="00EE56BD" w:rsidRPr="00C94F95" w:rsidRDefault="00EE56BD" w:rsidP="00EE56BD">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 xml:space="preserve">Precisar el grado de vinculatoriedad del plan anual de adquisiciones supone el análisis de lo dispuesto en los artículos 2.2.1.1.1.4.1, 2.2.1.1.1.4.3 y 2.2.1.1.1.4.4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 </w:t>
      </w:r>
    </w:p>
    <w:p w14:paraId="2D281C23" w14:textId="77777777" w:rsidR="009F50A3" w:rsidRPr="00C94F95" w:rsidRDefault="009F50A3" w:rsidP="009F50A3">
      <w:pPr>
        <w:spacing w:after="0" w:line="240" w:lineRule="auto"/>
        <w:jc w:val="both"/>
        <w:rPr>
          <w:rFonts w:ascii="Arial" w:hAnsi="Arial" w:cs="Arial"/>
          <w:b/>
          <w:szCs w:val="24"/>
          <w:lang w:val="es-ES_tradnl" w:eastAsia="es-ES_tradnl"/>
        </w:rPr>
      </w:pPr>
    </w:p>
    <w:p w14:paraId="76CC3005" w14:textId="77777777" w:rsidR="009F50A3" w:rsidRPr="00C94F95" w:rsidRDefault="009F50A3" w:rsidP="009F50A3">
      <w:pPr>
        <w:spacing w:after="0" w:line="240" w:lineRule="auto"/>
        <w:jc w:val="both"/>
        <w:rPr>
          <w:rFonts w:ascii="Arial" w:hAnsi="Arial" w:cs="Arial"/>
          <w:b/>
          <w:szCs w:val="24"/>
          <w:lang w:val="es-ES_tradnl" w:eastAsia="es-ES_tradnl"/>
        </w:rPr>
      </w:pPr>
      <w:r w:rsidRPr="00C94F95">
        <w:rPr>
          <w:rFonts w:ascii="Arial" w:hAnsi="Arial" w:cs="Arial"/>
          <w:b/>
          <w:szCs w:val="24"/>
          <w:lang w:val="es-ES_tradnl" w:eastAsia="es-ES_tradnl"/>
        </w:rPr>
        <w:t xml:space="preserve">PLAN ANUAL DE ADQUISICIONES – Carácter estimativo </w:t>
      </w:r>
    </w:p>
    <w:p w14:paraId="125B30B2" w14:textId="77777777" w:rsidR="009F50A3" w:rsidRPr="00E65CA2" w:rsidRDefault="009F50A3" w:rsidP="009F50A3">
      <w:pPr>
        <w:spacing w:after="0" w:line="240" w:lineRule="auto"/>
        <w:jc w:val="both"/>
        <w:rPr>
          <w:rFonts w:ascii="Arial" w:hAnsi="Arial" w:cs="Arial"/>
          <w:sz w:val="20"/>
          <w:szCs w:val="20"/>
          <w:lang w:val="es-ES"/>
        </w:rPr>
      </w:pPr>
    </w:p>
    <w:p w14:paraId="4F67E053" w14:textId="77777777" w:rsidR="009F50A3" w:rsidRPr="00C94F95" w:rsidRDefault="009F50A3" w:rsidP="009F50A3">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 xml:space="preserve">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w:t>
      </w:r>
      <w:r w:rsidRPr="00C94F95">
        <w:rPr>
          <w:rFonts w:ascii="Arial" w:hAnsi="Arial" w:cs="Arial" w:hint="eastAsia"/>
          <w:sz w:val="20"/>
          <w:szCs w:val="20"/>
          <w:lang w:val="es-ES_tradnl" w:eastAsia="es-ES_tradnl"/>
        </w:rPr>
        <w:t>―</w:t>
      </w:r>
      <w:r w:rsidRPr="00C94F95">
        <w:rPr>
          <w:rFonts w:ascii="Arial" w:hAnsi="Arial" w:cs="Arial"/>
          <w:sz w:val="20"/>
          <w:szCs w:val="20"/>
          <w:lang w:val="es-ES_tradnl" w:eastAsia="es-ES_tradnl"/>
        </w:rPr>
        <w:t xml:space="preserve"> Colombia Compra Eficiente, en la guía para elaborar el plan anual de adquisiciones, donde precisó, como uno de sus usos, «servir como referente inicial para evaluar la ejecución de presupuesto y pronosticar la demanda de bienes y servicios de la entidad durante el año referido del plan».</w:t>
      </w:r>
    </w:p>
    <w:p w14:paraId="5F15AAD0" w14:textId="77777777" w:rsidR="009F50A3" w:rsidRPr="00C94F95" w:rsidRDefault="009F50A3" w:rsidP="009F50A3">
      <w:pPr>
        <w:spacing w:after="0" w:line="240" w:lineRule="auto"/>
        <w:jc w:val="both"/>
        <w:rPr>
          <w:rFonts w:ascii="Arial" w:hAnsi="Arial" w:cs="Arial"/>
          <w:b/>
          <w:szCs w:val="24"/>
          <w:lang w:val="es-ES_tradnl" w:eastAsia="es-ES_tradnl"/>
        </w:rPr>
      </w:pPr>
    </w:p>
    <w:p w14:paraId="5D46E585" w14:textId="77777777" w:rsidR="009F50A3" w:rsidRPr="00E65CA2" w:rsidRDefault="009F50A3" w:rsidP="009F50A3">
      <w:pPr>
        <w:spacing w:after="0" w:line="240" w:lineRule="auto"/>
        <w:jc w:val="both"/>
        <w:rPr>
          <w:rFonts w:ascii="Arial" w:hAnsi="Arial" w:cs="Arial"/>
          <w:b/>
          <w:sz w:val="21"/>
          <w:szCs w:val="21"/>
          <w:lang w:val="es-MX"/>
        </w:rPr>
      </w:pPr>
      <w:r w:rsidRPr="00C94F95">
        <w:rPr>
          <w:rFonts w:ascii="Arial" w:hAnsi="Arial" w:cs="Arial"/>
          <w:b/>
          <w:szCs w:val="24"/>
          <w:lang w:val="es-ES_tradnl" w:eastAsia="es-ES_tradnl"/>
        </w:rPr>
        <w:t xml:space="preserve">SECOP – Publicación – Contratos sin erogación presupuestal </w:t>
      </w:r>
    </w:p>
    <w:p w14:paraId="03E0181B" w14:textId="77777777" w:rsidR="009F50A3" w:rsidRPr="00C94F95" w:rsidRDefault="009F50A3" w:rsidP="009F50A3">
      <w:pPr>
        <w:spacing w:after="0" w:line="240" w:lineRule="auto"/>
        <w:jc w:val="both"/>
        <w:rPr>
          <w:rFonts w:ascii="Arial" w:hAnsi="Arial" w:cs="Arial"/>
          <w:sz w:val="20"/>
          <w:szCs w:val="20"/>
          <w:lang w:val="es-ES_tradnl" w:eastAsia="es-ES_tradnl"/>
        </w:rPr>
      </w:pPr>
    </w:p>
    <w:p w14:paraId="47096FCB" w14:textId="77777777" w:rsidR="009F50A3" w:rsidRPr="00C94F95" w:rsidRDefault="009F50A3" w:rsidP="009F50A3">
      <w:pPr>
        <w:spacing w:after="12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La norma citada genera un cambio en la contratación pública, donde las actuaciones de las entidades se realizaban por escrito y en papel, y ahora se crea un mecanismo eficiente que reduce costos para que se cumpla el principio de publicidad, como un deber de las autoridades públicas en el ejercicio de las funciones administrativas que la ley les otorga. No obstante, es necesario aclarar que la norma no impone como requisito que se deba publicar en el SECOP, únicamente cuando se ejecuten recursos públicos, ya que el deber de publicidad es amplio teniendo en cuenta que está consagrado en una norma que aplica a las entidades, esto es, que son ellas quienes deben publicar las actuaciones relacionadas con su actividad contractual, sin que sea relevante en el cumplimiento de este deber la ejecución o no de recursos públicos, a pesar de que cuando se ejecutan cobra mayor importancia que se cumpla el principio de publicidad por involucrar un interés principal de la ciudadanía.</w:t>
      </w:r>
    </w:p>
    <w:p w14:paraId="50128A20" w14:textId="77777777" w:rsidR="009F50A3" w:rsidRPr="00C94F95" w:rsidRDefault="009F50A3" w:rsidP="009F50A3">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 xml:space="preserve">Además, es preciso analizar en detalle el artículo 3 de la Ley 1150 de 2007 citado, ya que al observar la literalidad de la norma se señala la obligación de que la actividad contractual de las entidades se publique en el SECOP, sin que esta, necesariamente,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 Así, analizando las normas sobre publicidad en el SECOP, se concluye que no existen disposiciones de las que se pueda inferir el interés de la ley en exigir la publicación de los actos que evidencien la ejecución de recursos públicos, puesto que su objetivo es general y se refiere a la actividad precontractual, contractual y poscontractual de las entidades, sin que pueda existir una interpretación diferente, debido a la finalidad de la ley respecto de la ciudadanía y su derecho a conocer las decisiones de la Administración pública. </w:t>
      </w:r>
    </w:p>
    <w:p w14:paraId="7249BD1F" w14:textId="77777777" w:rsidR="009F50A3" w:rsidRPr="00C94F95" w:rsidRDefault="009F50A3" w:rsidP="009F50A3">
      <w:pPr>
        <w:spacing w:after="0" w:line="240" w:lineRule="auto"/>
        <w:jc w:val="both"/>
        <w:rPr>
          <w:rFonts w:ascii="Arial" w:hAnsi="Arial" w:cs="Arial"/>
          <w:b/>
          <w:szCs w:val="24"/>
          <w:lang w:val="es-ES_tradnl" w:eastAsia="es-ES_tradnl"/>
        </w:rPr>
      </w:pPr>
    </w:p>
    <w:p w14:paraId="3CD8EF65" w14:textId="0BD5FA00" w:rsidR="009F50A3" w:rsidRPr="00C94F95" w:rsidRDefault="009F50A3" w:rsidP="009F50A3">
      <w:pPr>
        <w:spacing w:after="0" w:line="240" w:lineRule="auto"/>
        <w:jc w:val="both"/>
        <w:rPr>
          <w:rFonts w:ascii="Arial" w:hAnsi="Arial" w:cs="Arial"/>
          <w:b/>
          <w:szCs w:val="24"/>
          <w:lang w:val="es-ES_tradnl" w:eastAsia="es-ES_tradnl"/>
        </w:rPr>
      </w:pPr>
      <w:r w:rsidRPr="00C94F95">
        <w:rPr>
          <w:rFonts w:ascii="Arial" w:hAnsi="Arial" w:cs="Arial"/>
          <w:b/>
          <w:szCs w:val="24"/>
          <w:lang w:val="es-ES_tradnl" w:eastAsia="es-ES_tradnl"/>
        </w:rPr>
        <w:t xml:space="preserve">SECOP – Publicación – Régimen aplicable – Contratos </w:t>
      </w:r>
      <w:r w:rsidR="005C305F" w:rsidRPr="00C94F95">
        <w:rPr>
          <w:rFonts w:ascii="Arial" w:hAnsi="Arial" w:cs="Arial"/>
          <w:b/>
          <w:szCs w:val="24"/>
          <w:lang w:val="es-ES_tradnl" w:eastAsia="es-ES_tradnl"/>
        </w:rPr>
        <w:t>–</w:t>
      </w:r>
      <w:r w:rsidRPr="00C94F95">
        <w:rPr>
          <w:rFonts w:ascii="Arial" w:hAnsi="Arial" w:cs="Arial"/>
          <w:b/>
          <w:szCs w:val="24"/>
          <w:lang w:val="es-ES_tradnl" w:eastAsia="es-ES_tradnl"/>
        </w:rPr>
        <w:t xml:space="preserve"> donación – Circular Externa</w:t>
      </w:r>
      <w:r w:rsidR="00291AAD" w:rsidRPr="00C94F95">
        <w:rPr>
          <w:rFonts w:ascii="Arial" w:hAnsi="Arial" w:cs="Arial"/>
          <w:b/>
          <w:szCs w:val="24"/>
          <w:lang w:val="es-ES_tradnl" w:eastAsia="es-ES_tradnl"/>
        </w:rPr>
        <w:t xml:space="preserve"> Única </w:t>
      </w:r>
    </w:p>
    <w:p w14:paraId="5325F5B4" w14:textId="77777777" w:rsidR="009F50A3" w:rsidRPr="00C94F95" w:rsidRDefault="009F50A3" w:rsidP="009F50A3">
      <w:pPr>
        <w:spacing w:after="0" w:line="240" w:lineRule="auto"/>
        <w:jc w:val="both"/>
        <w:rPr>
          <w:rFonts w:ascii="Arial" w:hAnsi="Arial" w:cs="Arial"/>
          <w:b/>
          <w:szCs w:val="24"/>
          <w:lang w:val="es-ES_tradnl" w:eastAsia="es-ES_tradnl"/>
        </w:rPr>
      </w:pPr>
    </w:p>
    <w:p w14:paraId="4B941174" w14:textId="3F0073F1" w:rsidR="00EE56BD" w:rsidRPr="00C94F95" w:rsidRDefault="00EE56BD" w:rsidP="00EE56BD">
      <w:pPr>
        <w:spacing w:after="0" w:line="240" w:lineRule="auto"/>
        <w:jc w:val="both"/>
        <w:rPr>
          <w:rFonts w:ascii="Arial" w:hAnsi="Arial" w:cs="Arial"/>
          <w:sz w:val="20"/>
          <w:szCs w:val="20"/>
          <w:lang w:val="es-ES_tradnl" w:eastAsia="es-ES_tradnl"/>
        </w:rPr>
      </w:pPr>
      <w:r w:rsidRPr="00C94F95">
        <w:rPr>
          <w:rFonts w:ascii="Arial" w:hAnsi="Arial" w:cs="Arial"/>
          <w:bCs/>
          <w:sz w:val="20"/>
          <w:szCs w:val="20"/>
          <w:lang w:val="es-MX" w:eastAsia="es-ES_tradnl"/>
        </w:rPr>
        <w:t xml:space="preserve">El numeral 1.1. </w:t>
      </w:r>
      <w:r w:rsidRPr="00C94F95">
        <w:rPr>
          <w:rFonts w:ascii="Arial" w:hAnsi="Arial" w:cs="Arial"/>
          <w:bCs/>
          <w:sz w:val="20"/>
          <w:szCs w:val="20"/>
          <w:lang w:eastAsia="es-ES_tradnl"/>
        </w:rPr>
        <w:t>«</w:t>
      </w:r>
      <w:r w:rsidRPr="00C94F95">
        <w:rPr>
          <w:rFonts w:ascii="Arial" w:hAnsi="Arial" w:cs="Arial"/>
          <w:bCs/>
          <w:sz w:val="20"/>
          <w:szCs w:val="20"/>
          <w:lang w:val="es-MX" w:eastAsia="es-ES_tradnl"/>
        </w:rPr>
        <w:t>Quienes deben publicar la actividad contractual en el SECOP</w:t>
      </w:r>
      <w:r w:rsidRPr="00C94F95">
        <w:rPr>
          <w:rFonts w:ascii="Arial" w:hAnsi="Arial" w:cs="Arial"/>
          <w:sz w:val="20"/>
          <w:szCs w:val="20"/>
          <w:lang w:val="es-ES_tradnl" w:eastAsia="es-ES_tradnl"/>
        </w:rPr>
        <w:t>»</w:t>
      </w:r>
      <w:r w:rsidRPr="00C94F95">
        <w:rPr>
          <w:rFonts w:ascii="Arial" w:hAnsi="Arial" w:cs="Arial"/>
          <w:bCs/>
          <w:sz w:val="20"/>
          <w:szCs w:val="20"/>
          <w:lang w:val="es-MX" w:eastAsia="es-ES_tradnl"/>
        </w:rPr>
        <w:t xml:space="preserve"> de la Circular Externa</w:t>
      </w:r>
      <w:r w:rsidR="00291AAD" w:rsidRPr="00C94F95">
        <w:rPr>
          <w:rFonts w:ascii="Arial" w:hAnsi="Arial" w:cs="Arial"/>
          <w:bCs/>
          <w:sz w:val="20"/>
          <w:szCs w:val="20"/>
          <w:lang w:val="es-MX" w:eastAsia="es-ES_tradnl"/>
        </w:rPr>
        <w:t xml:space="preserve"> Única</w:t>
      </w:r>
      <w:r w:rsidRPr="00C94F95">
        <w:rPr>
          <w:rFonts w:ascii="Arial" w:hAnsi="Arial" w:cs="Arial"/>
          <w:bCs/>
          <w:sz w:val="20"/>
          <w:szCs w:val="20"/>
          <w:lang w:val="es-MX" w:eastAsia="es-ES_tradnl"/>
        </w:rPr>
        <w:t xml:space="preserve"> expedida por esta Agencia indica que </w:t>
      </w:r>
      <w:r w:rsidRPr="00C94F95">
        <w:rPr>
          <w:rFonts w:ascii="Arial" w:hAnsi="Arial" w:cs="Arial"/>
          <w:bCs/>
          <w:sz w:val="20"/>
          <w:szCs w:val="20"/>
          <w:lang w:eastAsia="es-ES_tradnl"/>
        </w:rPr>
        <w:t>«</w:t>
      </w:r>
      <w:r w:rsidRPr="00C94F95">
        <w:rPr>
          <w:rFonts w:ascii="Arial" w:hAnsi="Arial" w:cs="Arial"/>
          <w:bCs/>
          <w:sz w:val="20"/>
          <w:szCs w:val="20"/>
          <w:lang w:val="es-ES_tradnl" w:eastAsia="es-ES_tradnl"/>
        </w:rPr>
        <w:t>Las Entidades Estatales que contratan con cargo a recursos públicos están obligadas a publicar oportunamente su actividad contractual en el SECOP, sin que sea relevante, para la exigencia de esta obligación, su régimen jurídico, naturaleza de pública o privada o la pertenencia a una u otra rama del poder público</w:t>
      </w:r>
      <w:r w:rsidRPr="00C94F95">
        <w:rPr>
          <w:rFonts w:ascii="Arial" w:hAnsi="Arial" w:cs="Arial"/>
          <w:bCs/>
          <w:i/>
          <w:iCs/>
          <w:sz w:val="20"/>
          <w:szCs w:val="20"/>
          <w:lang w:val="es-ES_tradnl" w:eastAsia="es-ES_tradnl"/>
        </w:rPr>
        <w:t>. Esta obligación deberá cumplirse, inclusive, si la ejecución del contrato no implica erogación presupuestal</w:t>
      </w:r>
      <w:r w:rsidRPr="00C94F95">
        <w:rPr>
          <w:rFonts w:ascii="Arial" w:hAnsi="Arial" w:cs="Arial"/>
          <w:sz w:val="20"/>
          <w:szCs w:val="20"/>
          <w:lang w:val="es-ES_tradnl" w:eastAsia="es-ES_tradnl"/>
        </w:rPr>
        <w:t>» (Énfasis por fuera de texto).</w:t>
      </w:r>
    </w:p>
    <w:p w14:paraId="3FCCC8C4" w14:textId="77777777" w:rsidR="00EE56BD" w:rsidRPr="00C94F95" w:rsidRDefault="00EE56BD" w:rsidP="00EE56BD">
      <w:pPr>
        <w:spacing w:after="0" w:line="240" w:lineRule="auto"/>
        <w:jc w:val="both"/>
        <w:rPr>
          <w:rFonts w:ascii="Arial" w:hAnsi="Arial" w:cs="Arial"/>
          <w:sz w:val="20"/>
          <w:szCs w:val="20"/>
          <w:lang w:val="es-ES_tradnl" w:eastAsia="es-ES_tradnl"/>
        </w:rPr>
      </w:pPr>
    </w:p>
    <w:p w14:paraId="1A3179BA" w14:textId="2C2A0F65" w:rsidR="00CF405E" w:rsidRPr="00CF405E" w:rsidRDefault="00EE56BD" w:rsidP="00CF405E">
      <w:pPr>
        <w:spacing w:after="0" w:line="240" w:lineRule="auto"/>
        <w:jc w:val="both"/>
        <w:rPr>
          <w:rFonts w:ascii="Arial" w:hAnsi="Arial" w:cs="Arial"/>
          <w:sz w:val="20"/>
          <w:szCs w:val="20"/>
          <w:lang w:val="es-ES_tradnl" w:eastAsia="es-ES_tradnl"/>
        </w:rPr>
      </w:pPr>
      <w:r w:rsidRPr="00C94F95">
        <w:rPr>
          <w:rFonts w:ascii="Arial" w:hAnsi="Arial" w:cs="Arial"/>
          <w:sz w:val="20"/>
          <w:szCs w:val="20"/>
          <w:lang w:val="es-ES_tradnl" w:eastAsia="es-ES_tradnl"/>
        </w:rPr>
        <w:t xml:space="preserve">Así las cosas, </w:t>
      </w:r>
      <w:r w:rsidRPr="00C94F95">
        <w:rPr>
          <w:rFonts w:ascii="Arial" w:hAnsi="Arial" w:cs="Arial"/>
          <w:bCs/>
          <w:sz w:val="20"/>
          <w:szCs w:val="20"/>
          <w:lang w:val="es-MX" w:eastAsia="es-ES_tradnl"/>
        </w:rPr>
        <w:t>la publicidad de los contratos estatales debe realizarse a través de SECOP, independientemente del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de donación que tengan como parte a una entidad estatal, deberán publicarse en el SECOP independientemente del régimen aplicable o que impliquen o no erogación de recursos públicos.</w:t>
      </w:r>
      <w:bookmarkStart w:id="1" w:name="_Hlk100051121"/>
    </w:p>
    <w:p w14:paraId="5C638AB0" w14:textId="77777777" w:rsidR="00CF405E" w:rsidRDefault="00CF405E" w:rsidP="00B7240D">
      <w:pPr>
        <w:spacing w:after="0" w:line="276" w:lineRule="auto"/>
        <w:jc w:val="both"/>
        <w:rPr>
          <w:rFonts w:ascii="Arial" w:hAnsi="Arial" w:cs="Arial"/>
          <w:color w:val="000000" w:themeColor="text1"/>
        </w:rPr>
      </w:pPr>
    </w:p>
    <w:p w14:paraId="471ABC47" w14:textId="1A3A1C97" w:rsidR="00CF405E" w:rsidRDefault="00CF405E" w:rsidP="00CF405E">
      <w:pPr>
        <w:spacing w:after="0" w:line="276" w:lineRule="auto"/>
        <w:jc w:val="right"/>
        <w:rPr>
          <w:rFonts w:ascii="Arial" w:hAnsi="Arial" w:cs="Arial"/>
          <w:color w:val="000000" w:themeColor="text1"/>
        </w:rPr>
      </w:pPr>
      <w:r w:rsidRPr="00CF405E">
        <w:rPr>
          <w:rFonts w:ascii="Arial" w:hAnsi="Arial" w:cs="Arial"/>
          <w:noProof/>
          <w:color w:val="000000" w:themeColor="text1"/>
        </w:rPr>
        <w:drawing>
          <wp:inline distT="0" distB="0" distL="0" distR="0" wp14:anchorId="76EA0114" wp14:editId="5CA468A7">
            <wp:extent cx="2619375" cy="81915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19375" cy="819150"/>
                    </a:xfrm>
                    <a:prstGeom prst="rect">
                      <a:avLst/>
                    </a:prstGeom>
                    <a:noFill/>
                    <a:ln>
                      <a:noFill/>
                    </a:ln>
                  </pic:spPr>
                </pic:pic>
              </a:graphicData>
            </a:graphic>
          </wp:inline>
        </w:drawing>
      </w:r>
    </w:p>
    <w:p w14:paraId="4272AFA1" w14:textId="77777777" w:rsidR="00CF405E" w:rsidRDefault="00CF405E" w:rsidP="00B7240D">
      <w:pPr>
        <w:spacing w:after="0" w:line="276" w:lineRule="auto"/>
        <w:jc w:val="both"/>
        <w:rPr>
          <w:rFonts w:ascii="Arial" w:hAnsi="Arial" w:cs="Arial"/>
          <w:color w:val="000000" w:themeColor="text1"/>
        </w:rPr>
      </w:pPr>
    </w:p>
    <w:p w14:paraId="6D37158B" w14:textId="67B5BF24" w:rsidR="00CF405E" w:rsidRDefault="00CF405E" w:rsidP="00B7240D">
      <w:pPr>
        <w:spacing w:after="0" w:line="276" w:lineRule="auto"/>
        <w:jc w:val="both"/>
        <w:rPr>
          <w:rFonts w:ascii="Arial" w:hAnsi="Arial" w:cs="Arial"/>
          <w:color w:val="000000" w:themeColor="text1"/>
        </w:rPr>
      </w:pPr>
      <w:r>
        <w:rPr>
          <w:rFonts w:ascii="Arial" w:hAnsi="Arial" w:cs="Arial"/>
          <w:color w:val="000000" w:themeColor="text1"/>
        </w:rPr>
        <w:t>Bogotá D.C., 15 de noviembre de 2022</w:t>
      </w:r>
    </w:p>
    <w:p w14:paraId="0D5D373C" w14:textId="77777777" w:rsidR="00CF405E" w:rsidRDefault="00CF405E" w:rsidP="00B7240D">
      <w:pPr>
        <w:spacing w:after="0" w:line="276" w:lineRule="auto"/>
        <w:jc w:val="both"/>
        <w:rPr>
          <w:rFonts w:ascii="Arial" w:hAnsi="Arial" w:cs="Arial"/>
          <w:color w:val="000000" w:themeColor="text1"/>
        </w:rPr>
      </w:pPr>
    </w:p>
    <w:p w14:paraId="5F5AE9EF" w14:textId="754258FF" w:rsidR="00B95C30" w:rsidRPr="00C94F95" w:rsidRDefault="00B95C30" w:rsidP="00B7240D">
      <w:pPr>
        <w:spacing w:after="0" w:line="276" w:lineRule="auto"/>
        <w:jc w:val="both"/>
        <w:rPr>
          <w:rFonts w:ascii="Arial" w:hAnsi="Arial" w:cs="Arial"/>
          <w:color w:val="000000" w:themeColor="text1"/>
        </w:rPr>
      </w:pPr>
      <w:r w:rsidRPr="00C94F95">
        <w:rPr>
          <w:rFonts w:ascii="Arial" w:hAnsi="Arial" w:cs="Arial"/>
          <w:color w:val="000000" w:themeColor="text1"/>
        </w:rPr>
        <w:t>Señor</w:t>
      </w:r>
      <w:r w:rsidR="006149AF" w:rsidRPr="00C94F95">
        <w:rPr>
          <w:rFonts w:ascii="Arial" w:hAnsi="Arial" w:cs="Arial"/>
          <w:color w:val="000000" w:themeColor="text1"/>
        </w:rPr>
        <w:t>a</w:t>
      </w:r>
    </w:p>
    <w:p w14:paraId="798A20AC" w14:textId="000296AE" w:rsidR="005F5F37" w:rsidRPr="00C94F95" w:rsidRDefault="006149AF" w:rsidP="00B7240D">
      <w:pPr>
        <w:tabs>
          <w:tab w:val="center" w:pos="4394"/>
        </w:tabs>
        <w:spacing w:after="0" w:line="276" w:lineRule="auto"/>
        <w:jc w:val="both"/>
        <w:rPr>
          <w:rFonts w:ascii="Arial" w:hAnsi="Arial" w:cs="Arial"/>
          <w:b/>
          <w:color w:val="000000" w:themeColor="text1"/>
        </w:rPr>
      </w:pPr>
      <w:r w:rsidRPr="00C94F95">
        <w:rPr>
          <w:rFonts w:ascii="Arial" w:hAnsi="Arial" w:cs="Arial"/>
          <w:b/>
          <w:color w:val="000000" w:themeColor="text1"/>
        </w:rPr>
        <w:t>Sandra Milena Girón Maldonado</w:t>
      </w:r>
      <w:r w:rsidR="00F650A2" w:rsidRPr="00C94F95">
        <w:rPr>
          <w:rFonts w:ascii="Arial" w:hAnsi="Arial" w:cs="Arial"/>
          <w:b/>
          <w:color w:val="000000" w:themeColor="text1"/>
        </w:rPr>
        <w:tab/>
      </w:r>
    </w:p>
    <w:p w14:paraId="4A1C8FFE" w14:textId="40550068" w:rsidR="008120C4" w:rsidRPr="00C94F95" w:rsidRDefault="006149AF" w:rsidP="00B7240D">
      <w:pPr>
        <w:spacing w:after="0" w:line="276" w:lineRule="auto"/>
        <w:rPr>
          <w:rFonts w:ascii="Arial" w:hAnsi="Arial" w:cs="Arial"/>
          <w:b/>
          <w:bCs/>
          <w:color w:val="000000" w:themeColor="text1"/>
        </w:rPr>
      </w:pPr>
      <w:r w:rsidRPr="00C94F95">
        <w:rPr>
          <w:rFonts w:ascii="Arial" w:hAnsi="Arial" w:cs="Arial"/>
          <w:bCs/>
          <w:color w:val="000000" w:themeColor="text1"/>
        </w:rPr>
        <w:t>Yopal, Casanare</w:t>
      </w:r>
    </w:p>
    <w:p w14:paraId="122205C3" w14:textId="77777777" w:rsidR="000277A2" w:rsidRPr="00C94F95" w:rsidRDefault="000277A2" w:rsidP="00B7240D">
      <w:pPr>
        <w:spacing w:after="0" w:line="276" w:lineRule="auto"/>
        <w:rPr>
          <w:rFonts w:ascii="Arial" w:hAnsi="Arial" w:cs="Arial"/>
          <w:b/>
          <w:bCs/>
          <w:color w:val="000000" w:themeColor="text1"/>
        </w:rPr>
      </w:pPr>
    </w:p>
    <w:p w14:paraId="1BD594F9" w14:textId="5F9DD24F" w:rsidR="00B95C30" w:rsidRPr="00C94F95" w:rsidRDefault="005B1504" w:rsidP="00B7240D">
      <w:pPr>
        <w:spacing w:after="0" w:line="276" w:lineRule="auto"/>
        <w:rPr>
          <w:rFonts w:ascii="Arial" w:hAnsi="Arial" w:cs="Arial"/>
          <w:b/>
          <w:bCs/>
          <w:color w:val="000000" w:themeColor="text1"/>
          <w:lang w:val="pt-BR"/>
        </w:rPr>
      </w:pPr>
      <w:r w:rsidRPr="00C94F95">
        <w:rPr>
          <w:rFonts w:ascii="Arial" w:hAnsi="Arial" w:cs="Arial"/>
          <w:b/>
          <w:bCs/>
          <w:color w:val="000000" w:themeColor="text1"/>
        </w:rPr>
        <w:t xml:space="preserve">                     </w:t>
      </w:r>
      <w:r w:rsidR="00923FA6" w:rsidRPr="00C94F95">
        <w:rPr>
          <w:rFonts w:ascii="Arial" w:hAnsi="Arial" w:cs="Arial"/>
          <w:b/>
          <w:bCs/>
          <w:color w:val="000000" w:themeColor="text1"/>
        </w:rPr>
        <w:t xml:space="preserve">                      </w:t>
      </w:r>
      <w:r w:rsidRPr="00C94F95">
        <w:rPr>
          <w:rFonts w:ascii="Arial" w:hAnsi="Arial" w:cs="Arial"/>
          <w:b/>
          <w:bCs/>
          <w:color w:val="000000" w:themeColor="text1"/>
        </w:rPr>
        <w:t xml:space="preserve"> </w:t>
      </w:r>
      <w:r w:rsidR="00023FA5" w:rsidRPr="00C94F95">
        <w:rPr>
          <w:rFonts w:ascii="Arial" w:hAnsi="Arial" w:cs="Arial"/>
          <w:b/>
          <w:bCs/>
          <w:color w:val="000000" w:themeColor="text1"/>
          <w:lang w:val="pt-BR"/>
        </w:rPr>
        <w:t>Concepto C</w:t>
      </w:r>
      <w:r w:rsidR="00AE0F7E" w:rsidRPr="00C94F95">
        <w:rPr>
          <w:rFonts w:ascii="Arial" w:hAnsi="Arial" w:cs="Arial"/>
          <w:b/>
          <w:bCs/>
          <w:color w:val="000000" w:themeColor="text1"/>
          <w:lang w:val="pt-BR"/>
        </w:rPr>
        <w:t>-</w:t>
      </w:r>
      <w:r w:rsidR="006149AF" w:rsidRPr="00C94F95">
        <w:rPr>
          <w:rFonts w:ascii="Arial" w:hAnsi="Arial" w:cs="Arial"/>
          <w:b/>
          <w:bCs/>
          <w:color w:val="000000" w:themeColor="text1"/>
          <w:lang w:val="pt-BR"/>
        </w:rPr>
        <w:t>763</w:t>
      </w:r>
      <w:r w:rsidR="000277A2" w:rsidRPr="00C94F95">
        <w:rPr>
          <w:rFonts w:ascii="Arial" w:hAnsi="Arial" w:cs="Arial"/>
          <w:b/>
          <w:bCs/>
          <w:color w:val="000000" w:themeColor="text1"/>
          <w:lang w:val="pt-BR"/>
        </w:rPr>
        <w:t xml:space="preserve"> </w:t>
      </w:r>
      <w:r w:rsidR="00275FBF" w:rsidRPr="00C94F95">
        <w:rPr>
          <w:rFonts w:ascii="Arial" w:hAnsi="Arial" w:cs="Arial"/>
          <w:b/>
          <w:bCs/>
          <w:color w:val="000000" w:themeColor="text1"/>
          <w:lang w:val="pt-BR"/>
        </w:rPr>
        <w:t>de 202</w:t>
      </w:r>
      <w:r w:rsidR="00BF4EC5" w:rsidRPr="00C94F95">
        <w:rPr>
          <w:rFonts w:ascii="Arial" w:hAnsi="Arial" w:cs="Arial"/>
          <w:b/>
          <w:bCs/>
          <w:color w:val="000000" w:themeColor="text1"/>
          <w:lang w:val="pt-BR"/>
        </w:rPr>
        <w:t>2</w:t>
      </w:r>
    </w:p>
    <w:p w14:paraId="7063750E" w14:textId="77777777" w:rsidR="005F5F37" w:rsidRPr="00C94F95" w:rsidRDefault="005F5F37" w:rsidP="006A3704">
      <w:pPr>
        <w:spacing w:after="0" w:line="240" w:lineRule="auto"/>
        <w:rPr>
          <w:rFonts w:ascii="Arial" w:hAnsi="Arial" w:cs="Arial"/>
          <w:b/>
          <w:bCs/>
          <w:color w:val="000000" w:themeColor="text1"/>
          <w:lang w:val="pt-BR"/>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65CA2" w14:paraId="19DFC051" w14:textId="77777777" w:rsidTr="00C06955">
        <w:trPr>
          <w:trHeight w:val="884"/>
        </w:trPr>
        <w:tc>
          <w:tcPr>
            <w:tcW w:w="2689" w:type="dxa"/>
          </w:tcPr>
          <w:p w14:paraId="6BC0D1AC" w14:textId="569BAEB9" w:rsidR="00B95C30" w:rsidRPr="00C94F95" w:rsidRDefault="00B95C30" w:rsidP="006A3704">
            <w:pPr>
              <w:spacing w:after="0" w:line="240" w:lineRule="auto"/>
              <w:jc w:val="both"/>
              <w:rPr>
                <w:rFonts w:ascii="Arial" w:hAnsi="Arial" w:cs="Arial"/>
                <w:b/>
                <w:color w:val="000000" w:themeColor="text1"/>
                <w:szCs w:val="24"/>
                <w:lang w:val="es-ES_tradnl" w:eastAsia="es-ES_tradnl"/>
              </w:rPr>
            </w:pPr>
            <w:r w:rsidRPr="00C94F95">
              <w:rPr>
                <w:rFonts w:ascii="Arial" w:hAnsi="Arial" w:cs="Arial"/>
                <w:b/>
                <w:color w:val="000000" w:themeColor="text1"/>
                <w:szCs w:val="24"/>
                <w:lang w:val="es-ES_tradnl" w:eastAsia="es-ES_tradnl"/>
              </w:rPr>
              <w:t>Temas:</w:t>
            </w:r>
            <w:r w:rsidR="005B1504" w:rsidRPr="00C94F95">
              <w:rPr>
                <w:rFonts w:ascii="Arial" w:hAnsi="Arial" w:cs="Arial"/>
                <w:b/>
                <w:color w:val="000000" w:themeColor="text1"/>
                <w:szCs w:val="24"/>
                <w:lang w:val="es-ES_tradnl" w:eastAsia="es-ES_tradnl"/>
              </w:rPr>
              <w:t xml:space="preserve">                   </w:t>
            </w:r>
          </w:p>
        </w:tc>
        <w:tc>
          <w:tcPr>
            <w:tcW w:w="6237" w:type="dxa"/>
          </w:tcPr>
          <w:p w14:paraId="5D049E9C" w14:textId="6CC91390" w:rsidR="006A3704" w:rsidRPr="00C94F95" w:rsidRDefault="002A68BF" w:rsidP="004F0538">
            <w:pPr>
              <w:spacing w:after="0" w:line="240" w:lineRule="auto"/>
              <w:jc w:val="both"/>
              <w:rPr>
                <w:rFonts w:ascii="Arial" w:hAnsi="Arial" w:cs="Arial"/>
                <w:bCs/>
                <w:sz w:val="20"/>
                <w:szCs w:val="20"/>
                <w:lang w:val="es-ES"/>
              </w:rPr>
            </w:pPr>
            <w:r w:rsidRPr="00C94F95">
              <w:rPr>
                <w:rFonts w:ascii="Arial" w:hAnsi="Arial" w:cs="Arial"/>
                <w:bCs/>
                <w:color w:val="000000" w:themeColor="text1"/>
                <w:szCs w:val="24"/>
                <w:lang w:eastAsia="es-ES_tradnl"/>
              </w:rPr>
              <w:t>PLAN ANUAL DE ADQUISICIONES – Plan de acción/ PLAN ANUAL DE ADQUISICIONES – Publicidad – Entidades estatales obligadas/ PLAN ANUAL DE ADQUISICIONES – Contenido/ PLAN ANUAL DE ADQUISICIONES – Carácter estimativo/ SECOP – Publicación – Contratos sin erogación presupuestal / SECOP – Publicación – Régimen aplicable – Contratos – Donación – Circular Externa</w:t>
            </w:r>
            <w:r w:rsidR="00291AAD" w:rsidRPr="00C94F95">
              <w:rPr>
                <w:rFonts w:ascii="Arial" w:hAnsi="Arial" w:cs="Arial"/>
                <w:bCs/>
                <w:color w:val="000000" w:themeColor="text1"/>
                <w:szCs w:val="24"/>
                <w:lang w:eastAsia="es-ES_tradnl"/>
              </w:rPr>
              <w:t xml:space="preserve"> Única </w:t>
            </w:r>
          </w:p>
          <w:p w14:paraId="5F389CAF" w14:textId="053BAA65" w:rsidR="004F0538" w:rsidRPr="00C94F95" w:rsidRDefault="004F0538" w:rsidP="004F0538">
            <w:pPr>
              <w:tabs>
                <w:tab w:val="left" w:pos="6551"/>
              </w:tabs>
              <w:spacing w:after="0" w:line="240" w:lineRule="auto"/>
              <w:jc w:val="both"/>
              <w:rPr>
                <w:rFonts w:ascii="Arial" w:hAnsi="Arial" w:cs="Arial"/>
                <w:b/>
                <w:color w:val="000000" w:themeColor="text1"/>
                <w:lang w:val="es-ES_tradnl"/>
              </w:rPr>
            </w:pPr>
          </w:p>
        </w:tc>
      </w:tr>
      <w:tr w:rsidR="00B95C30" w:rsidRPr="00E65CA2" w14:paraId="27CD52AB" w14:textId="77777777" w:rsidTr="00D15356">
        <w:tc>
          <w:tcPr>
            <w:tcW w:w="2689" w:type="dxa"/>
          </w:tcPr>
          <w:p w14:paraId="37E195A1" w14:textId="017D9507" w:rsidR="00B95C30" w:rsidRPr="00C94F95" w:rsidRDefault="00B95C30" w:rsidP="006A3704">
            <w:pPr>
              <w:spacing w:after="0" w:line="240" w:lineRule="auto"/>
              <w:jc w:val="both"/>
              <w:rPr>
                <w:rFonts w:ascii="Arial" w:hAnsi="Arial" w:cs="Arial"/>
                <w:b/>
                <w:color w:val="000000" w:themeColor="text1"/>
                <w:szCs w:val="24"/>
                <w:lang w:val="es-ES_tradnl" w:eastAsia="es-ES_tradnl"/>
              </w:rPr>
            </w:pPr>
            <w:r w:rsidRPr="00C94F95">
              <w:rPr>
                <w:rFonts w:ascii="Arial" w:hAnsi="Arial" w:cs="Arial"/>
                <w:b/>
                <w:color w:val="000000" w:themeColor="text1"/>
                <w:szCs w:val="24"/>
                <w:lang w:val="es-ES_tradnl" w:eastAsia="es-ES_tradnl"/>
              </w:rPr>
              <w:t>Radicación:</w:t>
            </w:r>
            <w:r w:rsidR="005B1504" w:rsidRPr="00C94F95">
              <w:rPr>
                <w:rFonts w:ascii="Arial" w:hAnsi="Arial" w:cs="Arial"/>
                <w:b/>
                <w:color w:val="000000" w:themeColor="text1"/>
                <w:szCs w:val="24"/>
                <w:lang w:val="es-ES_tradnl" w:eastAsia="es-ES_tradnl"/>
              </w:rPr>
              <w:t xml:space="preserve">               </w:t>
            </w:r>
          </w:p>
        </w:tc>
        <w:tc>
          <w:tcPr>
            <w:tcW w:w="6237" w:type="dxa"/>
          </w:tcPr>
          <w:p w14:paraId="09088B1B" w14:textId="63E8D05B" w:rsidR="00B95C30" w:rsidRPr="00C94F95" w:rsidRDefault="00B95C30" w:rsidP="006A3704">
            <w:pPr>
              <w:spacing w:after="0" w:line="240" w:lineRule="auto"/>
              <w:jc w:val="both"/>
              <w:rPr>
                <w:rFonts w:ascii="Arial" w:hAnsi="Arial" w:cs="Arial"/>
                <w:bCs/>
                <w:color w:val="000000" w:themeColor="text1"/>
                <w:szCs w:val="24"/>
                <w:lang w:val="es-ES_tradnl" w:eastAsia="es-ES_tradnl"/>
              </w:rPr>
            </w:pPr>
            <w:r w:rsidRPr="00C94F95">
              <w:rPr>
                <w:rFonts w:ascii="Arial" w:hAnsi="Arial" w:cs="Arial"/>
                <w:bCs/>
                <w:color w:val="000000" w:themeColor="text1"/>
                <w:szCs w:val="24"/>
                <w:lang w:val="es-ES_tradnl" w:eastAsia="es-ES_tradnl"/>
              </w:rPr>
              <w:t>Respuesta a consulta</w:t>
            </w:r>
            <w:r w:rsidR="000D0CC7" w:rsidRPr="00C94F95">
              <w:rPr>
                <w:rFonts w:ascii="Arial" w:hAnsi="Arial" w:cs="Arial"/>
                <w:bCs/>
                <w:color w:val="000000" w:themeColor="text1"/>
                <w:szCs w:val="24"/>
                <w:lang w:val="es-ES_tradnl" w:eastAsia="es-ES_tradnl"/>
              </w:rPr>
              <w:t xml:space="preserve"> </w:t>
            </w:r>
            <w:r w:rsidR="006149AF" w:rsidRPr="00C94F95">
              <w:rPr>
                <w:rFonts w:ascii="Arial" w:hAnsi="Arial" w:cs="Arial"/>
                <w:bCs/>
                <w:color w:val="000000" w:themeColor="text1"/>
                <w:szCs w:val="24"/>
                <w:lang w:val="es-ES_tradnl" w:eastAsia="es-ES_tradnl"/>
              </w:rPr>
              <w:t>P20220929009814</w:t>
            </w:r>
          </w:p>
        </w:tc>
      </w:tr>
    </w:tbl>
    <w:p w14:paraId="234C0002" w14:textId="62B39031" w:rsidR="005F5F37" w:rsidRPr="00C94F95" w:rsidRDefault="005F5F37" w:rsidP="00B7240D">
      <w:pPr>
        <w:spacing w:after="0" w:line="274" w:lineRule="auto"/>
        <w:jc w:val="both"/>
        <w:rPr>
          <w:rFonts w:ascii="Arial" w:hAnsi="Arial" w:cs="Arial"/>
          <w:color w:val="000000" w:themeColor="text1"/>
          <w:lang w:val="es-ES_tradnl"/>
        </w:rPr>
      </w:pPr>
    </w:p>
    <w:p w14:paraId="1DAF8FE2" w14:textId="77777777" w:rsidR="006A3704" w:rsidRPr="00C94F95" w:rsidRDefault="006A3704" w:rsidP="00B7240D">
      <w:pPr>
        <w:spacing w:after="0" w:line="274" w:lineRule="auto"/>
        <w:jc w:val="both"/>
        <w:rPr>
          <w:rFonts w:ascii="Arial" w:hAnsi="Arial" w:cs="Arial"/>
          <w:color w:val="000000" w:themeColor="text1"/>
          <w:lang w:val="es-ES_tradnl"/>
        </w:rPr>
      </w:pPr>
    </w:p>
    <w:p w14:paraId="1CF4AEA0" w14:textId="31BA56FB" w:rsidR="003C3339" w:rsidRPr="00C94F95" w:rsidRDefault="003C3339" w:rsidP="00B7240D">
      <w:pPr>
        <w:spacing w:after="0" w:line="274" w:lineRule="auto"/>
        <w:jc w:val="both"/>
        <w:rPr>
          <w:rFonts w:ascii="Arial" w:hAnsi="Arial" w:cs="Arial"/>
          <w:color w:val="000000" w:themeColor="text1"/>
          <w:lang w:val="es-ES_tradnl"/>
        </w:rPr>
      </w:pPr>
      <w:r w:rsidRPr="00C94F95">
        <w:rPr>
          <w:rFonts w:ascii="Arial" w:hAnsi="Arial" w:cs="Arial"/>
          <w:color w:val="000000" w:themeColor="text1"/>
          <w:lang w:val="es-ES_tradnl"/>
        </w:rPr>
        <w:t>Estimad</w:t>
      </w:r>
      <w:r w:rsidR="006149AF" w:rsidRPr="00C94F95">
        <w:rPr>
          <w:rFonts w:ascii="Arial" w:hAnsi="Arial" w:cs="Arial"/>
          <w:color w:val="000000" w:themeColor="text1"/>
          <w:lang w:val="es-ES_tradnl"/>
        </w:rPr>
        <w:t xml:space="preserve">a </w:t>
      </w:r>
      <w:r w:rsidRPr="00C94F95">
        <w:rPr>
          <w:rFonts w:ascii="Arial" w:hAnsi="Arial" w:cs="Arial"/>
          <w:color w:val="000000" w:themeColor="text1"/>
          <w:lang w:val="es-ES_tradnl"/>
        </w:rPr>
        <w:t>señor</w:t>
      </w:r>
      <w:r w:rsidR="006149AF" w:rsidRPr="00C94F95">
        <w:rPr>
          <w:rFonts w:ascii="Arial" w:hAnsi="Arial" w:cs="Arial"/>
          <w:color w:val="000000" w:themeColor="text1"/>
          <w:lang w:val="es-ES_tradnl"/>
        </w:rPr>
        <w:t>a Girón</w:t>
      </w:r>
      <w:r w:rsidR="008C3FFC" w:rsidRPr="00C94F95">
        <w:rPr>
          <w:rFonts w:ascii="Arial" w:hAnsi="Arial" w:cs="Arial"/>
          <w:color w:val="000000" w:themeColor="text1"/>
          <w:lang w:val="es-ES_tradnl"/>
        </w:rPr>
        <w:t xml:space="preserve">: </w:t>
      </w:r>
    </w:p>
    <w:p w14:paraId="1EAE5543" w14:textId="37990AD8" w:rsidR="00DD5B04" w:rsidRPr="00C94F95" w:rsidRDefault="00DD5B04" w:rsidP="00B7240D">
      <w:pPr>
        <w:spacing w:after="0" w:line="274" w:lineRule="auto"/>
        <w:jc w:val="both"/>
        <w:rPr>
          <w:rFonts w:ascii="Arial" w:hAnsi="Arial" w:cs="Arial"/>
          <w:color w:val="000000" w:themeColor="text1"/>
          <w:lang w:val="es-ES_tradnl"/>
        </w:rPr>
      </w:pPr>
    </w:p>
    <w:p w14:paraId="2109B2D3" w14:textId="5D98ECE8" w:rsidR="00DD5B04" w:rsidRPr="00C94F95" w:rsidRDefault="00DD5B04" w:rsidP="00B7240D">
      <w:pPr>
        <w:spacing w:after="0" w:line="274" w:lineRule="auto"/>
        <w:jc w:val="both"/>
        <w:rPr>
          <w:rFonts w:ascii="Arial" w:hAnsi="Arial" w:cs="Arial"/>
          <w:color w:val="000000" w:themeColor="text1"/>
          <w:lang w:val="es-ES_tradnl"/>
        </w:rPr>
      </w:pPr>
      <w:r w:rsidRPr="00C94F95">
        <w:rPr>
          <w:rFonts w:ascii="Arial" w:hAnsi="Arial" w:cs="Arial"/>
          <w:color w:val="000000" w:themeColor="text1"/>
          <w:lang w:val="es-ES_tradnl"/>
        </w:rPr>
        <w:t>En ejercicio de la competencia otorgada por el numeral 8 del artículo 11 y el numeral 5 del artículo 3 del Decreto Ley 4170 de 2011,</w:t>
      </w:r>
      <w:r w:rsidR="00B24D49" w:rsidRPr="00C94F95">
        <w:rPr>
          <w:rFonts w:ascii="Arial" w:eastAsia="Arial MT" w:hAnsi="Arial" w:cs="Arial"/>
          <w:lang w:val="es-ES"/>
        </w:rPr>
        <w:t xml:space="preserve"> </w:t>
      </w:r>
      <w:r w:rsidRPr="00C94F95">
        <w:rPr>
          <w:rFonts w:ascii="Arial" w:hAnsi="Arial" w:cs="Arial"/>
          <w:color w:val="000000" w:themeColor="text1"/>
          <w:lang w:val="es-ES_tradnl"/>
        </w:rPr>
        <w:t xml:space="preserve">la Agencia Nacional de Contratación Pública </w:t>
      </w:r>
      <w:r w:rsidR="00C31846" w:rsidRPr="00C94F95">
        <w:rPr>
          <w:rFonts w:ascii="Arial" w:hAnsi="Arial" w:cs="Arial"/>
          <w:color w:val="000000" w:themeColor="text1"/>
          <w:lang w:val="es-ES_tradnl"/>
        </w:rPr>
        <w:t>–</w:t>
      </w:r>
      <w:r w:rsidRPr="00C94F95">
        <w:rPr>
          <w:rFonts w:ascii="Arial" w:hAnsi="Arial" w:cs="Arial"/>
          <w:color w:val="000000" w:themeColor="text1"/>
          <w:lang w:val="es-ES_tradnl"/>
        </w:rPr>
        <w:t xml:space="preserve"> Colombia Compra Eficiente</w:t>
      </w:r>
      <w:r w:rsidR="00CE69CC" w:rsidRPr="00C94F95">
        <w:rPr>
          <w:rFonts w:ascii="Arial" w:hAnsi="Arial" w:cs="Arial"/>
          <w:color w:val="000000" w:themeColor="text1"/>
          <w:lang w:val="es-ES_tradnl"/>
        </w:rPr>
        <w:t xml:space="preserve">, </w:t>
      </w:r>
      <w:r w:rsidRPr="00C94F95">
        <w:rPr>
          <w:rFonts w:ascii="Arial" w:hAnsi="Arial" w:cs="Arial"/>
          <w:color w:val="000000" w:themeColor="text1"/>
          <w:lang w:val="es-ES_tradnl"/>
        </w:rPr>
        <w:t xml:space="preserve">responde </w:t>
      </w:r>
      <w:r w:rsidR="00F14618" w:rsidRPr="00C94F95">
        <w:rPr>
          <w:rFonts w:ascii="Arial" w:hAnsi="Arial" w:cs="Arial"/>
          <w:color w:val="000000" w:themeColor="text1"/>
          <w:lang w:val="es-ES_tradnl"/>
        </w:rPr>
        <w:t>su</w:t>
      </w:r>
      <w:r w:rsidR="003902B1" w:rsidRPr="00C94F95">
        <w:rPr>
          <w:rFonts w:ascii="Arial" w:hAnsi="Arial" w:cs="Arial"/>
          <w:color w:val="000000" w:themeColor="text1"/>
          <w:lang w:val="es-ES_tradnl"/>
        </w:rPr>
        <w:t xml:space="preserve"> </w:t>
      </w:r>
      <w:r w:rsidR="00F14618" w:rsidRPr="00C94F95">
        <w:rPr>
          <w:rFonts w:ascii="Arial" w:hAnsi="Arial" w:cs="Arial"/>
          <w:color w:val="000000" w:themeColor="text1"/>
          <w:lang w:val="es-ES_tradnl"/>
        </w:rPr>
        <w:t>consulta</w:t>
      </w:r>
      <w:r w:rsidR="00150A17" w:rsidRPr="00C94F95">
        <w:rPr>
          <w:rFonts w:ascii="Arial" w:hAnsi="Arial" w:cs="Arial"/>
          <w:color w:val="000000" w:themeColor="text1"/>
          <w:lang w:val="es-ES_tradnl"/>
        </w:rPr>
        <w:t xml:space="preserve"> </w:t>
      </w:r>
      <w:r w:rsidR="000D0CC7" w:rsidRPr="00C94F95">
        <w:rPr>
          <w:rFonts w:ascii="Arial" w:hAnsi="Arial" w:cs="Arial"/>
          <w:color w:val="000000" w:themeColor="text1"/>
          <w:lang w:val="es-ES_tradnl"/>
        </w:rPr>
        <w:t>d</w:t>
      </w:r>
      <w:r w:rsidR="00F14618" w:rsidRPr="00C94F95">
        <w:rPr>
          <w:rFonts w:ascii="Arial" w:hAnsi="Arial" w:cs="Arial"/>
          <w:color w:val="000000" w:themeColor="text1"/>
          <w:lang w:val="es-ES_tradnl"/>
        </w:rPr>
        <w:t xml:space="preserve">el </w:t>
      </w:r>
      <w:r w:rsidR="006149AF" w:rsidRPr="00C94F95">
        <w:rPr>
          <w:rFonts w:ascii="Arial" w:hAnsi="Arial" w:cs="Arial"/>
          <w:color w:val="000000" w:themeColor="text1"/>
          <w:lang w:val="es-ES_tradnl"/>
        </w:rPr>
        <w:t>29</w:t>
      </w:r>
      <w:r w:rsidR="00150A17" w:rsidRPr="00C94F95">
        <w:rPr>
          <w:rFonts w:ascii="Arial" w:hAnsi="Arial" w:cs="Arial"/>
          <w:color w:val="000000" w:themeColor="text1"/>
          <w:lang w:val="es-ES_tradnl"/>
        </w:rPr>
        <w:t xml:space="preserve"> </w:t>
      </w:r>
      <w:r w:rsidR="00F14618" w:rsidRPr="00C94F95">
        <w:rPr>
          <w:rFonts w:ascii="Arial" w:hAnsi="Arial" w:cs="Arial"/>
          <w:color w:val="000000" w:themeColor="text1"/>
          <w:lang w:val="es-ES_tradnl"/>
        </w:rPr>
        <w:t xml:space="preserve">de </w:t>
      </w:r>
      <w:r w:rsidR="00DA371B" w:rsidRPr="00C94F95">
        <w:rPr>
          <w:rFonts w:ascii="Arial" w:hAnsi="Arial" w:cs="Arial"/>
          <w:color w:val="000000" w:themeColor="text1"/>
          <w:lang w:val="es-ES_tradnl"/>
        </w:rPr>
        <w:t>septiembre</w:t>
      </w:r>
      <w:r w:rsidR="00F14618" w:rsidRPr="00C94F95">
        <w:rPr>
          <w:rFonts w:ascii="Arial" w:hAnsi="Arial" w:cs="Arial"/>
          <w:color w:val="000000" w:themeColor="text1"/>
          <w:lang w:val="es-ES_tradnl"/>
        </w:rPr>
        <w:t xml:space="preserve"> de 202</w:t>
      </w:r>
      <w:r w:rsidR="00782354" w:rsidRPr="00C94F95">
        <w:rPr>
          <w:rFonts w:ascii="Arial" w:hAnsi="Arial" w:cs="Arial"/>
          <w:color w:val="000000" w:themeColor="text1"/>
          <w:lang w:val="es-ES_tradnl"/>
        </w:rPr>
        <w:t>2</w:t>
      </w:r>
      <w:r w:rsidR="00F14618" w:rsidRPr="00C94F95">
        <w:rPr>
          <w:rFonts w:ascii="Arial" w:hAnsi="Arial" w:cs="Arial"/>
          <w:color w:val="000000" w:themeColor="text1"/>
          <w:lang w:val="es-ES_tradnl"/>
        </w:rPr>
        <w:t>.</w:t>
      </w:r>
    </w:p>
    <w:p w14:paraId="0C1E0712" w14:textId="77777777" w:rsidR="00DD5B04" w:rsidRPr="00C94F95" w:rsidRDefault="00DD5B04" w:rsidP="00443945">
      <w:pPr>
        <w:spacing w:after="0" w:line="276" w:lineRule="auto"/>
        <w:jc w:val="both"/>
        <w:rPr>
          <w:rFonts w:ascii="Arial" w:hAnsi="Arial" w:cs="Arial"/>
          <w:b/>
          <w:color w:val="000000" w:themeColor="text1"/>
          <w:lang w:val="es-ES_tradnl"/>
        </w:rPr>
      </w:pPr>
    </w:p>
    <w:p w14:paraId="7701FCC7" w14:textId="77777777" w:rsidR="00DD5B04" w:rsidRPr="00C94F95"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C94F95">
        <w:rPr>
          <w:rFonts w:ascii="Arial" w:eastAsia="Calibri" w:hAnsi="Arial" w:cs="Arial"/>
          <w:b/>
          <w:color w:val="000000" w:themeColor="text1"/>
          <w:sz w:val="22"/>
          <w:lang w:val="es-ES_tradnl"/>
        </w:rPr>
        <w:t xml:space="preserve">Problema planteado </w:t>
      </w:r>
    </w:p>
    <w:p w14:paraId="224B43D3" w14:textId="23DC0BDF" w:rsidR="00DD5B04" w:rsidRPr="00C94F95" w:rsidRDefault="00DD5B04" w:rsidP="00B7240D">
      <w:pPr>
        <w:tabs>
          <w:tab w:val="left" w:pos="426"/>
        </w:tabs>
        <w:spacing w:after="0" w:line="276" w:lineRule="auto"/>
        <w:jc w:val="both"/>
        <w:rPr>
          <w:rFonts w:ascii="Arial" w:hAnsi="Arial" w:cs="Arial"/>
          <w:b/>
          <w:color w:val="000000" w:themeColor="text1"/>
          <w:lang w:val="es-ES_tradnl"/>
        </w:rPr>
      </w:pPr>
    </w:p>
    <w:p w14:paraId="5845D8EE" w14:textId="6B5D0532" w:rsidR="000D0CC7" w:rsidRPr="00C94F95" w:rsidRDefault="000D0CC7" w:rsidP="00B7240D">
      <w:pPr>
        <w:spacing w:after="0" w:line="276" w:lineRule="auto"/>
        <w:jc w:val="both"/>
        <w:rPr>
          <w:rFonts w:ascii="Arial" w:hAnsi="Arial" w:cs="Arial"/>
          <w:bCs/>
        </w:rPr>
      </w:pPr>
      <w:r w:rsidRPr="00C94F95">
        <w:rPr>
          <w:rFonts w:ascii="Arial" w:hAnsi="Arial" w:cs="Arial"/>
          <w:bCs/>
        </w:rPr>
        <w:t xml:space="preserve">Usted realiza la siguiente pregunta: </w:t>
      </w:r>
      <w:r w:rsidR="00DA371B" w:rsidRPr="00C94F95">
        <w:rPr>
          <w:rFonts w:ascii="Arial" w:hAnsi="Arial" w:cs="Arial"/>
          <w:bCs/>
        </w:rPr>
        <w:t>«</w:t>
      </w:r>
      <w:r w:rsidR="006149AF" w:rsidRPr="00C94F95">
        <w:rPr>
          <w:rFonts w:ascii="Arial" w:hAnsi="Arial" w:cs="Arial"/>
          <w:bCs/>
        </w:rPr>
        <w:t>Teniendo en cuenta que se reciben por parte de la entidad donaciones por parte de particulares y/ o entidades, que no generan gasto para la entidad, y como resultado es un contrato de donación en su mayoría de estudios y diseños. Se solicita informar si dichos contratos de donación deben estar incluidos en el Plan anual de adquisiciones (teniendo en cuenta que son donaciones a la entidad no viceversa) y si este contrato de donación debe publicarse en SECOP II</w:t>
      </w:r>
      <w:r w:rsidR="00DA371B" w:rsidRPr="00C94F95">
        <w:rPr>
          <w:rFonts w:ascii="Arial" w:hAnsi="Arial" w:cs="Arial"/>
          <w:bCs/>
        </w:rPr>
        <w:t>».</w:t>
      </w:r>
    </w:p>
    <w:p w14:paraId="3875CC47" w14:textId="77777777" w:rsidR="00DA371B" w:rsidRPr="00C94F95" w:rsidRDefault="00DA371B" w:rsidP="00B7240D">
      <w:pPr>
        <w:spacing w:after="0" w:line="276" w:lineRule="auto"/>
        <w:jc w:val="both"/>
        <w:rPr>
          <w:rFonts w:ascii="Arial" w:hAnsi="Arial" w:cs="Arial"/>
          <w:bCs/>
        </w:rPr>
      </w:pPr>
    </w:p>
    <w:p w14:paraId="124D2DCA" w14:textId="77777777" w:rsidR="00DD5B04" w:rsidRPr="00C94F95"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C94F95">
        <w:rPr>
          <w:rFonts w:ascii="Arial" w:eastAsia="Calibri" w:hAnsi="Arial" w:cs="Arial"/>
          <w:b/>
          <w:color w:val="000000" w:themeColor="text1"/>
          <w:sz w:val="22"/>
          <w:lang w:val="es-ES_tradnl"/>
        </w:rPr>
        <w:t>Consideraciones</w:t>
      </w:r>
    </w:p>
    <w:p w14:paraId="395997FF" w14:textId="77777777" w:rsidR="00621981" w:rsidRPr="00C94F95" w:rsidRDefault="00621981" w:rsidP="00B7240D">
      <w:pPr>
        <w:spacing w:after="0" w:line="276" w:lineRule="auto"/>
        <w:jc w:val="both"/>
        <w:rPr>
          <w:rFonts w:ascii="Arial" w:hAnsi="Arial" w:cs="Arial"/>
          <w:color w:val="000000" w:themeColor="text1"/>
        </w:rPr>
      </w:pPr>
    </w:p>
    <w:p w14:paraId="6270D7BD" w14:textId="77777777" w:rsidR="006149AF" w:rsidRPr="00C94F95" w:rsidRDefault="006149AF" w:rsidP="006149AF">
      <w:pPr>
        <w:spacing w:after="0" w:line="276" w:lineRule="auto"/>
        <w:jc w:val="both"/>
        <w:rPr>
          <w:rFonts w:ascii="Arial" w:hAnsi="Arial" w:cs="Arial"/>
          <w:b/>
          <w:bCs/>
          <w:lang w:val="es-MX"/>
        </w:rPr>
      </w:pPr>
      <w:r w:rsidRPr="00C94F95">
        <w:rPr>
          <w:rFonts w:ascii="Arial" w:hAnsi="Arial" w:cs="Arial"/>
          <w:bCs/>
        </w:rPr>
        <w:t xml:space="preserve">Para resolver la pregunta planteada se estudiarán los siguientes temas: i) Sujetos obligados a publicar el plan anual de adquisiciones, ii) </w:t>
      </w:r>
      <w:r w:rsidRPr="00C94F95">
        <w:rPr>
          <w:rFonts w:ascii="Arial" w:hAnsi="Arial" w:cs="Arial"/>
          <w:bCs/>
          <w:lang w:val="es-ES"/>
        </w:rPr>
        <w:t>Carácter estimativo del plan anual de adquisiciones respecto al régimen jurídico para su expedición y publicación, y,</w:t>
      </w:r>
      <w:r w:rsidRPr="00C94F95">
        <w:rPr>
          <w:rFonts w:ascii="Arial" w:hAnsi="Arial" w:cs="Arial"/>
          <w:bCs/>
        </w:rPr>
        <w:t xml:space="preserve"> iii) el SECOP como mecanismo para garantizar el principio de publicidad en la contratación estatal.</w:t>
      </w:r>
    </w:p>
    <w:p w14:paraId="74430BFD" w14:textId="09E5F4E9" w:rsidR="006149AF" w:rsidRPr="00C94F95" w:rsidRDefault="006149AF" w:rsidP="0057336A">
      <w:pPr>
        <w:spacing w:before="120" w:after="0" w:line="276" w:lineRule="auto"/>
        <w:ind w:firstLine="709"/>
        <w:jc w:val="both"/>
        <w:rPr>
          <w:rFonts w:ascii="Arial" w:hAnsi="Arial" w:cs="Arial"/>
          <w:b/>
          <w:bCs/>
          <w:lang w:val="es-MX"/>
        </w:rPr>
      </w:pPr>
      <w:r w:rsidRPr="00C94F95">
        <w:rPr>
          <w:rFonts w:ascii="Arial" w:eastAsia="Times New Roman" w:hAnsi="Arial" w:cs="Arial"/>
          <w:szCs w:val="24"/>
          <w:lang w:eastAsia="es-ES_tradnl"/>
        </w:rPr>
        <w:t xml:space="preserve">La Agencia Nacional de Contratación Pública – Colombia Compra Eficiente </w:t>
      </w:r>
      <w:r w:rsidRPr="00C94F95">
        <w:rPr>
          <w:rFonts w:ascii="Arial" w:eastAsia="Times New Roman" w:hAnsi="Arial" w:cs="Arial"/>
          <w:szCs w:val="24"/>
          <w:lang w:val="es-ES_tradnl" w:eastAsia="es-ES_tradnl"/>
        </w:rPr>
        <w:t xml:space="preserve">analizó el plan anual de </w:t>
      </w:r>
      <w:r w:rsidRPr="00C94F95">
        <w:rPr>
          <w:rFonts w:ascii="Arial" w:eastAsia="Times New Roman" w:hAnsi="Arial" w:cs="Arial"/>
          <w:bCs/>
          <w:szCs w:val="24"/>
          <w:lang w:val="es-ES_tradnl" w:eastAsia="es-ES_tradnl"/>
        </w:rPr>
        <w:t>adquisiciones en los siguientes conceptos</w:t>
      </w:r>
      <w:r w:rsidRPr="00C94F95">
        <w:rPr>
          <w:rFonts w:ascii="Arial" w:eastAsia="Times New Roman" w:hAnsi="Arial" w:cs="Arial"/>
          <w:szCs w:val="24"/>
          <w:lang w:val="es-ES_tradnl" w:eastAsia="es-ES_tradnl"/>
        </w:rPr>
        <w:t xml:space="preserve"> 4201913000006571 del 8 de noviembre de 2019, reiterado y desarrollado en los conceptos 4201912000007258 del 4 de diciembre de 2019, C-048 del 13 de enero de 2020, C</w:t>
      </w:r>
      <w:r w:rsidRPr="00C94F95">
        <w:rPr>
          <w:rFonts w:ascii="Arial" w:eastAsia="Times New Roman" w:hAnsi="Arial" w:cs="Arial"/>
          <w:bCs/>
          <w:szCs w:val="24"/>
          <w:lang w:val="es-ES_tradnl" w:eastAsia="es-ES_tradnl"/>
        </w:rPr>
        <w:t>-</w:t>
      </w:r>
      <w:r w:rsidRPr="00C94F95">
        <w:rPr>
          <w:rFonts w:ascii="Arial" w:eastAsia="Times New Roman" w:hAnsi="Arial" w:cs="Arial"/>
          <w:szCs w:val="24"/>
          <w:lang w:val="es-ES_tradnl" w:eastAsia="es-ES_tradnl"/>
        </w:rPr>
        <w:t>106 del 20 de marzo de 2020, C-109 del 25 de marzo de 2020, C-177 del 31 de marzo de 2020, C- 158 del 03 de abril de 2020, C-237 del 27 de abril de 2020, C-266 del 21 de mayo de 2020, C- 329 del 16 de junio de 2020, C-390 del 23 de junio de 2020, C-331 del 25 de junio de 2020, C-428 del 07 de julio de 2020, C-467 del 31 de julio de 2020, C-638 del 14 de octubre de 2020, C-648 del 25 de octubre de 2020 y C-686 del 01 de diciembre de 2020, C-131 de 6 de abril de 2021, C-257 de 3 de junio de 2021, C-258 de 3 de junio de 2021, C-345 de 13 de julio de 2021, C-376 de 26 de julio de 2021, C-489 de 13 de septiembre de 2021, C-637 del 7 de diciembre de 2021</w:t>
      </w:r>
      <w:r w:rsidR="00363CB3" w:rsidRPr="00C94F95">
        <w:rPr>
          <w:rFonts w:ascii="Arial" w:eastAsia="Times New Roman" w:hAnsi="Arial" w:cs="Arial"/>
          <w:szCs w:val="24"/>
          <w:lang w:val="es-ES_tradnl" w:eastAsia="es-ES_tradnl"/>
        </w:rPr>
        <w:t>,</w:t>
      </w:r>
      <w:r w:rsidRPr="00C94F95">
        <w:rPr>
          <w:rFonts w:ascii="Arial" w:eastAsia="Times New Roman" w:hAnsi="Arial" w:cs="Arial"/>
          <w:szCs w:val="24"/>
          <w:lang w:val="es-ES_tradnl" w:eastAsia="es-ES_tradnl"/>
        </w:rPr>
        <w:t xml:space="preserve"> C-733 del 13 de enero de 2022</w:t>
      </w:r>
      <w:r w:rsidR="00363CB3" w:rsidRPr="00C94F95">
        <w:rPr>
          <w:rFonts w:ascii="Arial" w:eastAsia="Times New Roman" w:hAnsi="Arial" w:cs="Arial"/>
          <w:szCs w:val="24"/>
          <w:lang w:val="es-ES_tradnl" w:eastAsia="es-ES_tradnl"/>
        </w:rPr>
        <w:t xml:space="preserve"> y C-</w:t>
      </w:r>
      <w:r w:rsidR="006B3BA7" w:rsidRPr="00C94F95">
        <w:rPr>
          <w:rFonts w:ascii="Arial" w:eastAsia="Times New Roman" w:hAnsi="Arial" w:cs="Arial"/>
          <w:szCs w:val="24"/>
          <w:lang w:val="es-ES_tradnl" w:eastAsia="es-ES_tradnl"/>
        </w:rPr>
        <w:t xml:space="preserve">026 del 18 de febrero de 2022. </w:t>
      </w:r>
    </w:p>
    <w:p w14:paraId="445B1898" w14:textId="12DC1BD9" w:rsidR="006149AF" w:rsidRPr="00C94F95" w:rsidRDefault="006149AF" w:rsidP="006149AF">
      <w:pPr>
        <w:spacing w:before="120" w:after="0" w:line="276" w:lineRule="auto"/>
        <w:ind w:firstLine="708"/>
        <w:jc w:val="both"/>
        <w:rPr>
          <w:rFonts w:ascii="Arial" w:eastAsia="Times New Roman" w:hAnsi="Arial" w:cs="Arial"/>
          <w:szCs w:val="24"/>
          <w:lang w:val="es-ES_tradnl" w:eastAsia="es-ES_tradnl"/>
        </w:rPr>
      </w:pPr>
      <w:r w:rsidRPr="00C94F95">
        <w:rPr>
          <w:rFonts w:ascii="Arial" w:eastAsia="Times New Roman" w:hAnsi="Arial" w:cs="Arial"/>
          <w:szCs w:val="24"/>
          <w:lang w:val="es-MX" w:eastAsia="es-ES_tradnl"/>
        </w:rPr>
        <w:t xml:space="preserve">De otra parte, en </w:t>
      </w:r>
      <w:r w:rsidRPr="00C94F95">
        <w:rPr>
          <w:rFonts w:ascii="Arial" w:eastAsia="Times New Roman" w:hAnsi="Arial" w:cs="Arial"/>
          <w:szCs w:val="24"/>
          <w:lang w:val="es-ES" w:eastAsia="es-ES_tradnl"/>
        </w:rPr>
        <w:t xml:space="preserve">los conceptos C-046 del 19 de febrero de 2020, C-095 del 16 de marzo de 2020, C-197 del 26 de marzo de 2020, C-170 del 6 de abril de 2020, C-172 del 6 de abril de 2020, C-176  del 6 de abril de 2020, C-009 del 27 de abril de 2020, y C-015 del 29 de abril de 2020, se estudiaron temas como el SECOP I como medio de publicidad de las actuaciones contractuales, la naturaleza transaccional y obligatoriedad de SECOP II, así como los documentos que deben publicarse en estas plataformas. En los conceptos con radicados Nos. 4201912000007253 del 4 de diciembre de 2019, reiterado en el concepto con radicado No. 4201912000007289 de la misma fecha, así como en el C-336 del 2 de junio de 2020, se realizaron consideraciones relativas a la publicidad en SECOP en lo concerniente a las entidades regidas por el Estatuto General de Contratación de la Administración Pública. Todos estos conceptos fueron unificados en el concepto CU-367 del </w:t>
      </w:r>
      <w:r w:rsidRPr="00C94F95">
        <w:rPr>
          <w:rFonts w:ascii="Arial" w:eastAsia="Times New Roman" w:hAnsi="Arial" w:cs="Arial"/>
          <w:szCs w:val="24"/>
          <w:lang w:val="es-MX" w:eastAsia="es-ES_tradnl"/>
        </w:rPr>
        <w:t xml:space="preserve">23 de julio de 2020,  el cual fue reiterado en los conceptos C-433 del 24 de julio de 2020, C-474 del 24 de julio de 2020, C-504 del 31 de julio de 2020, C-508 del 31 de julio de 2020, C-521 del 11 de agosto de 2020, C-543 del 19 de agosto de 2020, C-544 del 21 de agosto de 2020, C-604 del 9 de septiembre de 2020, C-554 del 17 de septiembre de 2020, C-672 del 11 de noviembre de 2020, C-661 del 17 de noviembre de 2020, C-680 del </w:t>
      </w:r>
      <w:r w:rsidRPr="00C94F95">
        <w:rPr>
          <w:rFonts w:ascii="Arial" w:eastAsia="Times New Roman" w:hAnsi="Arial" w:cs="Arial"/>
          <w:szCs w:val="24"/>
          <w:lang w:val="es-MX" w:eastAsia="es-ES_tradnl"/>
        </w:rPr>
        <w:lastRenderedPageBreak/>
        <w:t>18 de noviembre de 2020</w:t>
      </w:r>
      <w:r w:rsidR="007D32E6" w:rsidRPr="00C94F95">
        <w:rPr>
          <w:rFonts w:ascii="Arial" w:eastAsia="Times New Roman" w:hAnsi="Arial" w:cs="Arial"/>
          <w:szCs w:val="24"/>
          <w:lang w:val="es-MX" w:eastAsia="es-ES_tradnl"/>
        </w:rPr>
        <w:t xml:space="preserve">, </w:t>
      </w:r>
      <w:r w:rsidRPr="00C94F95">
        <w:rPr>
          <w:rFonts w:ascii="Arial" w:eastAsia="Times New Roman" w:hAnsi="Arial" w:cs="Arial"/>
          <w:szCs w:val="24"/>
          <w:lang w:val="es-MX" w:eastAsia="es-ES_tradnl"/>
        </w:rPr>
        <w:t>C-780 del 18 de enero de 2021</w:t>
      </w:r>
      <w:r w:rsidR="0057336A" w:rsidRPr="00C94F95">
        <w:rPr>
          <w:rFonts w:ascii="Arial" w:eastAsia="Times New Roman" w:hAnsi="Arial" w:cs="Arial"/>
          <w:szCs w:val="24"/>
          <w:lang w:val="es-MX" w:eastAsia="es-ES_tradnl"/>
        </w:rPr>
        <w:t xml:space="preserve">, </w:t>
      </w:r>
      <w:r w:rsidR="008F5813" w:rsidRPr="00C94F95">
        <w:rPr>
          <w:rFonts w:ascii="Arial" w:eastAsia="Times New Roman" w:hAnsi="Arial" w:cs="Arial"/>
          <w:szCs w:val="24"/>
          <w:lang w:val="es-MX" w:eastAsia="es-ES_tradnl"/>
        </w:rPr>
        <w:t>C</w:t>
      </w:r>
      <w:r w:rsidR="008F5813" w:rsidRPr="00C94F95">
        <w:rPr>
          <w:rFonts w:ascii="Arial" w:eastAsia="Times New Roman" w:hAnsi="Arial" w:cs="Arial"/>
          <w:szCs w:val="24"/>
          <w:lang w:val="es-ES_tradnl" w:eastAsia="es-ES_tradnl"/>
        </w:rPr>
        <w:t xml:space="preserve">-026 del 18 de febrero de 2022, </w:t>
      </w:r>
      <w:r w:rsidR="0057336A" w:rsidRPr="00C94F95">
        <w:rPr>
          <w:rFonts w:ascii="Arial" w:eastAsia="Times New Roman" w:hAnsi="Arial" w:cs="Arial"/>
          <w:szCs w:val="24"/>
          <w:lang w:val="es-MX" w:eastAsia="es-ES_tradnl"/>
        </w:rPr>
        <w:t>entre otros</w:t>
      </w:r>
      <w:r w:rsidR="006B3BA7" w:rsidRPr="00C94F95">
        <w:rPr>
          <w:rStyle w:val="Refdenotaalpie"/>
          <w:rFonts w:ascii="Arial" w:eastAsia="Times New Roman" w:hAnsi="Arial" w:cs="Arial"/>
          <w:szCs w:val="24"/>
          <w:lang w:val="es-MX" w:eastAsia="es-ES_tradnl"/>
        </w:rPr>
        <w:footnoteReference w:id="2"/>
      </w:r>
      <w:r w:rsidRPr="00C94F95">
        <w:rPr>
          <w:rFonts w:ascii="Arial" w:eastAsia="Times New Roman" w:hAnsi="Arial" w:cs="Arial"/>
          <w:szCs w:val="24"/>
          <w:lang w:val="es-MX" w:eastAsia="es-ES_tradnl"/>
        </w:rPr>
        <w:t>. La tesis desarrollada en estos conceptos se reitera a continuación:</w:t>
      </w:r>
    </w:p>
    <w:p w14:paraId="68429C48" w14:textId="77777777" w:rsidR="003208AB" w:rsidRPr="00C94F95" w:rsidRDefault="003208AB" w:rsidP="003208AB">
      <w:pPr>
        <w:spacing w:after="0" w:line="276" w:lineRule="auto"/>
        <w:rPr>
          <w:rFonts w:ascii="Arial" w:eastAsia="Times New Roman" w:hAnsi="Arial" w:cs="Arial"/>
          <w:b/>
          <w:bCs/>
          <w:szCs w:val="24"/>
          <w:lang w:val="es-MX" w:eastAsia="es-ES_tradnl"/>
        </w:rPr>
      </w:pPr>
    </w:p>
    <w:p w14:paraId="2284249A" w14:textId="55FB94CC" w:rsidR="003208AB" w:rsidRPr="00C94F95" w:rsidRDefault="003208AB" w:rsidP="003208AB">
      <w:pPr>
        <w:spacing w:after="0" w:line="276" w:lineRule="auto"/>
        <w:rPr>
          <w:rFonts w:ascii="Arial" w:eastAsia="Times New Roman" w:hAnsi="Arial" w:cs="Arial"/>
          <w:b/>
          <w:bCs/>
          <w:szCs w:val="24"/>
          <w:lang w:val="es-MX" w:eastAsia="es-ES_tradnl"/>
        </w:rPr>
      </w:pPr>
      <w:r w:rsidRPr="00C94F95">
        <w:rPr>
          <w:rFonts w:ascii="Arial" w:eastAsia="Times New Roman" w:hAnsi="Arial" w:cs="Arial"/>
          <w:b/>
          <w:bCs/>
          <w:szCs w:val="24"/>
          <w:lang w:val="es-MX" w:eastAsia="es-ES_tradnl"/>
        </w:rPr>
        <w:t xml:space="preserve">2.1. </w:t>
      </w:r>
      <w:bookmarkStart w:id="2" w:name="_Hlk93995318"/>
      <w:r w:rsidRPr="00C94F95">
        <w:rPr>
          <w:rFonts w:ascii="Arial" w:eastAsia="Times New Roman" w:hAnsi="Arial" w:cs="Arial"/>
          <w:b/>
          <w:bCs/>
          <w:szCs w:val="24"/>
          <w:lang w:val="es-MX" w:eastAsia="es-ES_tradnl"/>
        </w:rPr>
        <w:t xml:space="preserve">Sujetos obligados a publicar el plan anual de adquisiciones </w:t>
      </w:r>
      <w:bookmarkEnd w:id="2"/>
    </w:p>
    <w:p w14:paraId="2F884587" w14:textId="77777777" w:rsidR="003208AB" w:rsidRPr="00E65CA2" w:rsidRDefault="003208AB" w:rsidP="003208AB">
      <w:pPr>
        <w:spacing w:after="0" w:line="276" w:lineRule="auto"/>
        <w:rPr>
          <w:rFonts w:ascii="Arial" w:hAnsi="Arial" w:cs="Arial"/>
          <w:b/>
          <w:color w:val="000000"/>
          <w:lang w:val="es-ES"/>
        </w:rPr>
      </w:pPr>
    </w:p>
    <w:p w14:paraId="427CE383" w14:textId="77777777" w:rsidR="003208AB" w:rsidRPr="00C94F95" w:rsidRDefault="003208AB" w:rsidP="003208AB">
      <w:pPr>
        <w:spacing w:line="276" w:lineRule="auto"/>
        <w:jc w:val="both"/>
        <w:rPr>
          <w:rFonts w:ascii="Arial" w:hAnsi="Arial" w:cs="Arial"/>
          <w:szCs w:val="24"/>
          <w:lang w:val="es-ES_tradnl" w:eastAsia="es-ES_tradnl"/>
        </w:rPr>
      </w:pPr>
      <w:r w:rsidRPr="00C94F95">
        <w:rPr>
          <w:rFonts w:ascii="Arial" w:hAnsi="Arial" w:cs="Arial"/>
          <w:szCs w:val="24"/>
          <w:lang w:val="es-ES_tradnl" w:eastAsia="es-ES_tradnl"/>
        </w:rPr>
        <w:t>El artículo 74 de la Ley 1474 dispone que «todas las entidades del Estado» deben publicar, a más tardar el 31 de enero de cada año, en su respectiva página web, el plan de acción, en el cual se incluye el plan general de compras</w:t>
      </w:r>
      <w:r w:rsidRPr="00C94F95">
        <w:rPr>
          <w:rFonts w:ascii="Arial" w:hAnsi="Arial" w:cs="Arial"/>
          <w:szCs w:val="24"/>
          <w:vertAlign w:val="superscript"/>
          <w:lang w:val="es-ES_tradnl" w:eastAsia="es-ES_tradnl"/>
        </w:rPr>
        <w:footnoteReference w:id="3"/>
      </w:r>
      <w:r w:rsidRPr="00C94F95">
        <w:rPr>
          <w:rFonts w:ascii="Arial" w:hAnsi="Arial" w:cs="Arial"/>
          <w:szCs w:val="24"/>
          <w:lang w:val="es-ES_tradnl" w:eastAsia="es-ES_tradnl"/>
        </w:rPr>
        <w:t>. El plan general de compras para el ordenamiento vigente corresponde con el concepto de plan anual de adquisiciones como lo establece el artículo 2.2.1.1.1.3.1. del Decreto 1082 de 2015</w:t>
      </w:r>
      <w:r w:rsidRPr="00C94F95">
        <w:rPr>
          <w:rFonts w:ascii="Arial" w:hAnsi="Arial" w:cs="Arial"/>
          <w:szCs w:val="24"/>
          <w:vertAlign w:val="superscript"/>
          <w:lang w:val="es-ES_tradnl" w:eastAsia="es-ES_tradnl"/>
        </w:rPr>
        <w:footnoteReference w:id="4"/>
      </w:r>
      <w:r w:rsidRPr="00C94F95">
        <w:rPr>
          <w:rFonts w:ascii="Arial" w:hAnsi="Arial" w:cs="Arial"/>
          <w:szCs w:val="24"/>
          <w:lang w:val="es-ES_tradnl" w:eastAsia="es-ES_tradnl"/>
        </w:rPr>
        <w:t xml:space="preserve">.  </w:t>
      </w:r>
    </w:p>
    <w:p w14:paraId="0F243CDE" w14:textId="6E4309F9" w:rsidR="003208AB" w:rsidRPr="00C94F95" w:rsidRDefault="003208AB" w:rsidP="00CD4A24">
      <w:pPr>
        <w:spacing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Para continuar con las normas generales sobre la publicidad del plan de compras, debe analizarse la Ley 1712 de 2014. El artículo 9, literal e), prescribe que todo sujeto obligado deberá publicar, en los sistemas de información del Estado o herramientas que lo sustituyan, su respectivo plan de compras anual</w:t>
      </w:r>
      <w:r w:rsidRPr="00C94F95">
        <w:rPr>
          <w:rFonts w:ascii="Arial" w:hAnsi="Arial" w:cs="Arial"/>
          <w:szCs w:val="24"/>
          <w:vertAlign w:val="superscript"/>
          <w:lang w:val="es-ES_tradnl" w:eastAsia="es-ES_tradnl"/>
        </w:rPr>
        <w:footnoteReference w:id="5"/>
      </w:r>
      <w:r w:rsidRPr="00C94F95">
        <w:rPr>
          <w:rFonts w:ascii="Arial" w:hAnsi="Arial" w:cs="Arial"/>
          <w:szCs w:val="24"/>
          <w:lang w:val="es-ES_tradnl" w:eastAsia="es-ES_tradnl"/>
        </w:rPr>
        <w:t xml:space="preserve">. Para determinar los sujetos obligados a </w:t>
      </w:r>
      <w:r w:rsidRPr="00C94F95">
        <w:rPr>
          <w:rFonts w:ascii="Arial" w:hAnsi="Arial" w:cs="Arial"/>
          <w:szCs w:val="24"/>
          <w:lang w:val="es-ES_tradnl" w:eastAsia="es-ES_tradnl"/>
        </w:rPr>
        <w:lastRenderedPageBreak/>
        <w:t xml:space="preserve">publicarlo es necesario remitirse al artículo 5 de la Ley 1712 de 2014. Esta norma prescribe lo siguiente: </w:t>
      </w:r>
    </w:p>
    <w:p w14:paraId="3A6C3363" w14:textId="77777777" w:rsidR="00CD4A24" w:rsidRPr="00C94F95" w:rsidRDefault="00CD4A24" w:rsidP="00CD4A24">
      <w:pPr>
        <w:tabs>
          <w:tab w:val="left" w:pos="709"/>
        </w:tabs>
        <w:spacing w:after="0" w:line="276" w:lineRule="auto"/>
        <w:ind w:left="709" w:right="760"/>
        <w:jc w:val="both"/>
        <w:rPr>
          <w:rFonts w:ascii="Arial" w:hAnsi="Arial" w:cs="Arial"/>
          <w:szCs w:val="24"/>
          <w:lang w:val="es-ES_tradnl" w:eastAsia="es-ES_tradnl"/>
        </w:rPr>
      </w:pPr>
    </w:p>
    <w:p w14:paraId="7C3FBA9B" w14:textId="1CE28DF2" w:rsidR="003208AB" w:rsidRPr="00C94F95" w:rsidRDefault="003208AB" w:rsidP="00420A6C">
      <w:pPr>
        <w:tabs>
          <w:tab w:val="left" w:pos="709"/>
        </w:tabs>
        <w:spacing w:after="0" w:line="240" w:lineRule="auto"/>
        <w:ind w:left="709" w:right="760"/>
        <w:jc w:val="both"/>
        <w:rPr>
          <w:rFonts w:ascii="Arial" w:hAnsi="Arial" w:cs="Arial"/>
          <w:sz w:val="21"/>
          <w:szCs w:val="21"/>
          <w:lang w:val="es-ES_tradnl" w:eastAsia="es-ES_tradnl"/>
        </w:rPr>
      </w:pPr>
      <w:r w:rsidRPr="00C94F95">
        <w:rPr>
          <w:rFonts w:ascii="Arial" w:hAnsi="Arial" w:cs="Arial"/>
          <w:sz w:val="21"/>
          <w:szCs w:val="21"/>
          <w:lang w:val="es-ES_tradnl" w:eastAsia="es-ES_tradnl"/>
        </w:rPr>
        <w:t>Artículo 5. Las disposiciones de esta ley serán aplicables a las siguientes personas en calidad de sujetos obligados:</w:t>
      </w:r>
    </w:p>
    <w:p w14:paraId="33E6C1B9"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36A2A1F6"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b) Los órganos, organismos y entidades estatales independientes o autónomos y de control.</w:t>
      </w:r>
    </w:p>
    <w:p w14:paraId="182C2659"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c) Las personas naturales y jurídicas, públicas o privadas, que presten función pública, que presten servicios públicos respecto de la información directamente relacionada con la prestación del servicio público.</w:t>
      </w:r>
    </w:p>
    <w:p w14:paraId="70C7DED9"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d) Cualquier persona natural, jurídica o dependencia de persona jurídica que desempeñe función pública o de autoridad pública, respecto de la información directamente relacionada con el desempeño de su función</w:t>
      </w:r>
    </w:p>
    <w:p w14:paraId="3EBD25B7"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e)  Las empresas públicas creadas por ley, las empresas del Estado y sociedades en que este tenga participación.</w:t>
      </w:r>
    </w:p>
    <w:p w14:paraId="795CB31F"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f) Los partidos o movimientos políticos y los grupos significativos de ciudadanos.</w:t>
      </w:r>
    </w:p>
    <w:p w14:paraId="74509DB3"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g) Las entidades que administren instituciones parafiscales, fondos o recursos de naturaleza u origen público.</w:t>
      </w:r>
    </w:p>
    <w:p w14:paraId="53BEDC87" w14:textId="77777777" w:rsidR="003208AB" w:rsidRPr="00C94F95" w:rsidRDefault="003208AB" w:rsidP="00C94F95">
      <w:pPr>
        <w:tabs>
          <w:tab w:val="left" w:pos="709"/>
        </w:tabs>
        <w:spacing w:after="120" w:line="240" w:lineRule="auto"/>
        <w:ind w:left="709" w:right="758"/>
        <w:jc w:val="both"/>
        <w:rPr>
          <w:rFonts w:ascii="Arial" w:hAnsi="Arial" w:cs="Arial"/>
          <w:sz w:val="21"/>
          <w:szCs w:val="21"/>
          <w:lang w:val="es-ES_tradnl" w:eastAsia="es-ES_tradnl"/>
        </w:rPr>
      </w:pPr>
      <w:r w:rsidRPr="00C94F95">
        <w:rPr>
          <w:rFonts w:ascii="Arial" w:hAnsi="Arial" w:cs="Arial"/>
          <w:sz w:val="21"/>
          <w:szCs w:val="21"/>
          <w:lang w:val="es-ES_tradnl" w:eastAsia="es-ES_tradnl"/>
        </w:rPr>
        <w:t>Las personas naturales o jurídicas que reciban o intermedien fondos o beneficios públicos territoriales y nacionales y no cumplan ninguno de los otros requisitos para ser considerados sujetos obligados, solo deberán cumplir con la presente ley respecto de aquella información que se produzca en relación con fondos públicos que reciban o intermedien.</w:t>
      </w:r>
    </w:p>
    <w:p w14:paraId="5C1F14A9" w14:textId="77777777" w:rsidR="003208AB" w:rsidRPr="00C94F95" w:rsidRDefault="003208AB" w:rsidP="00C94F95">
      <w:pPr>
        <w:tabs>
          <w:tab w:val="left" w:pos="709"/>
        </w:tabs>
        <w:spacing w:after="0" w:line="240" w:lineRule="auto"/>
        <w:ind w:left="709" w:right="760"/>
        <w:jc w:val="both"/>
        <w:rPr>
          <w:rFonts w:ascii="Arial" w:hAnsi="Arial" w:cs="Arial"/>
          <w:sz w:val="21"/>
          <w:szCs w:val="21"/>
          <w:lang w:val="es-ES_tradnl" w:eastAsia="es-ES_tradnl"/>
        </w:rPr>
      </w:pPr>
      <w:r w:rsidRPr="00C94F95">
        <w:rPr>
          <w:rFonts w:ascii="Arial" w:hAnsi="Arial" w:cs="Arial"/>
          <w:sz w:val="21"/>
          <w:szCs w:val="21"/>
          <w:lang w:val="es-ES_tradnl" w:eastAsia="es-ES_tradnl"/>
        </w:rPr>
        <w:t>PARÁGRAFO 1o. No serán sujetos obligados aquellas personas naturales o jurídicas de carácter privado que sean usuarios de información pública.</w:t>
      </w:r>
    </w:p>
    <w:p w14:paraId="2F688DA2" w14:textId="77777777" w:rsidR="003208AB" w:rsidRPr="00E65CA2" w:rsidRDefault="003208AB" w:rsidP="00CD4A24">
      <w:pPr>
        <w:tabs>
          <w:tab w:val="left" w:pos="426"/>
        </w:tabs>
        <w:spacing w:after="0" w:line="276" w:lineRule="auto"/>
        <w:ind w:right="760"/>
        <w:jc w:val="both"/>
        <w:rPr>
          <w:rFonts w:ascii="Arial" w:hAnsi="Arial" w:cs="Arial"/>
          <w:color w:val="000000" w:themeColor="text1"/>
          <w:lang w:val="es-ES"/>
        </w:rPr>
      </w:pPr>
    </w:p>
    <w:p w14:paraId="590E4B74" w14:textId="77777777" w:rsidR="003208AB" w:rsidRPr="00C94F95" w:rsidRDefault="003208AB" w:rsidP="00CD4A24">
      <w:pPr>
        <w:spacing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La norma citada contiene una lista cuyo propósito es incluir a cualquier entidad, órgano, organismo, o persona natural que desempeñe funciones públicas o administre recursos públicos. De hecho, esta Agencia ha aclarado, en relación con el plan anual de adquisiciones, que se encuentran obligadas todas las entidades del Estado sin importar la rama a la cual pertenecen, o si se trata de entidades descentralizadas territorialmente o </w:t>
      </w:r>
      <w:r w:rsidRPr="00C94F95">
        <w:rPr>
          <w:rFonts w:ascii="Arial" w:hAnsi="Arial" w:cs="Arial"/>
          <w:szCs w:val="24"/>
          <w:lang w:val="es-ES_tradnl" w:eastAsia="es-ES_tradnl"/>
        </w:rPr>
        <w:lastRenderedPageBreak/>
        <w:t xml:space="preserve">por servicios. También están incluidos todos los órganos con competencia para contratar, como los concejos municipales. Adicionalmente, la Agencia ha señalado que son sujetos obligados las empresas públicas, las empresas del Estado y las sociedades en las que el Estado tenga participación, sin que importe su monto. Esta obligación de origen legal tiene desarrollo reglamentario en el Decreto 103 de 2015, compilado por el Decreto 1081 de 2015. El artículo 2.1.1.2.1.10 del Decreto 1082 de 2015 dispone que: </w:t>
      </w:r>
    </w:p>
    <w:p w14:paraId="1471858C" w14:textId="77777777" w:rsidR="003208AB" w:rsidRPr="00C94F95" w:rsidRDefault="003208AB" w:rsidP="00932C0F">
      <w:pPr>
        <w:tabs>
          <w:tab w:val="left" w:pos="709"/>
          <w:tab w:val="left" w:pos="7938"/>
        </w:tabs>
        <w:spacing w:after="0" w:line="240" w:lineRule="auto"/>
        <w:ind w:left="709" w:right="760"/>
        <w:jc w:val="both"/>
        <w:rPr>
          <w:rFonts w:ascii="Arial" w:hAnsi="Arial" w:cs="Arial"/>
          <w:szCs w:val="24"/>
          <w:lang w:val="es-ES_tradnl" w:eastAsia="es-ES_tradnl"/>
        </w:rPr>
      </w:pPr>
    </w:p>
    <w:p w14:paraId="621D0E9E" w14:textId="18BEC098" w:rsidR="003208AB" w:rsidRPr="00C94F95" w:rsidRDefault="003208AB" w:rsidP="00793187">
      <w:pPr>
        <w:tabs>
          <w:tab w:val="left" w:pos="709"/>
          <w:tab w:val="left" w:pos="7938"/>
        </w:tabs>
        <w:spacing w:after="0" w:line="240" w:lineRule="auto"/>
        <w:ind w:left="709" w:right="760"/>
        <w:jc w:val="both"/>
        <w:rPr>
          <w:rFonts w:ascii="Arial" w:hAnsi="Arial" w:cs="Arial"/>
          <w:sz w:val="21"/>
          <w:szCs w:val="21"/>
          <w:lang w:val="es-ES_tradnl" w:eastAsia="es-ES_tradnl"/>
        </w:rPr>
      </w:pPr>
      <w:r w:rsidRPr="00C94F95">
        <w:rPr>
          <w:rFonts w:ascii="Arial" w:hAnsi="Arial" w:cs="Arial"/>
          <w:sz w:val="21"/>
          <w:szCs w:val="21"/>
          <w:lang w:val="es-ES_tradnl" w:eastAsia="es-ES_tradnl"/>
        </w:rPr>
        <w:t>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68EF4987" w14:textId="77777777" w:rsidR="00932C0F" w:rsidRPr="00C94F95" w:rsidRDefault="00932C0F" w:rsidP="00793187">
      <w:pPr>
        <w:tabs>
          <w:tab w:val="left" w:pos="709"/>
          <w:tab w:val="left" w:pos="7938"/>
        </w:tabs>
        <w:spacing w:after="0" w:line="240" w:lineRule="auto"/>
        <w:ind w:left="709" w:right="760"/>
        <w:jc w:val="both"/>
        <w:rPr>
          <w:rFonts w:ascii="Arial" w:hAnsi="Arial" w:cs="Arial"/>
          <w:sz w:val="21"/>
          <w:szCs w:val="21"/>
          <w:lang w:val="es-ES_tradnl" w:eastAsia="es-ES_tradnl"/>
        </w:rPr>
      </w:pPr>
    </w:p>
    <w:p w14:paraId="0FC6BD89" w14:textId="2B3B3589" w:rsidR="003208AB" w:rsidRPr="00C94F95" w:rsidRDefault="003208AB" w:rsidP="00793187">
      <w:pPr>
        <w:tabs>
          <w:tab w:val="left" w:pos="709"/>
          <w:tab w:val="left" w:pos="7938"/>
        </w:tabs>
        <w:spacing w:after="0" w:line="240" w:lineRule="auto"/>
        <w:ind w:left="709" w:right="760"/>
        <w:jc w:val="both"/>
        <w:rPr>
          <w:rFonts w:ascii="Arial" w:hAnsi="Arial" w:cs="Arial"/>
          <w:sz w:val="21"/>
          <w:szCs w:val="21"/>
          <w:lang w:val="es-ES_tradnl" w:eastAsia="es-ES_tradnl"/>
        </w:rPr>
      </w:pPr>
      <w:r w:rsidRPr="00C94F95">
        <w:rPr>
          <w:rFonts w:ascii="Arial" w:hAnsi="Arial" w:cs="Arial"/>
          <w:sz w:val="21"/>
          <w:szCs w:val="21"/>
          <w:lang w:val="es-ES_tradnl" w:eastAsia="es-ES_tradnl"/>
        </w:rPr>
        <w:t xml:space="preserve">Los sujetos obligados que no contratan con cargo a recursos públicos no están obligados a publicar su Plan Anual de Adquisiciones. </w:t>
      </w:r>
    </w:p>
    <w:p w14:paraId="19818457" w14:textId="77777777" w:rsidR="00932C0F" w:rsidRPr="00C94F95" w:rsidRDefault="00932C0F" w:rsidP="00793187">
      <w:pPr>
        <w:tabs>
          <w:tab w:val="left" w:pos="709"/>
          <w:tab w:val="left" w:pos="7938"/>
        </w:tabs>
        <w:spacing w:after="0" w:line="240" w:lineRule="auto"/>
        <w:ind w:left="709" w:right="760"/>
        <w:jc w:val="both"/>
        <w:rPr>
          <w:rFonts w:ascii="Arial" w:hAnsi="Arial" w:cs="Arial"/>
          <w:sz w:val="21"/>
          <w:szCs w:val="21"/>
          <w:lang w:val="es-ES_tradnl" w:eastAsia="es-ES_tradnl"/>
        </w:rPr>
      </w:pPr>
    </w:p>
    <w:p w14:paraId="5661E717" w14:textId="3EE4B6BB" w:rsidR="003208AB" w:rsidRPr="00C94F95" w:rsidRDefault="003208AB" w:rsidP="00793187">
      <w:pPr>
        <w:tabs>
          <w:tab w:val="left" w:pos="709"/>
          <w:tab w:val="left" w:pos="7938"/>
        </w:tabs>
        <w:spacing w:after="0" w:line="240" w:lineRule="auto"/>
        <w:ind w:left="709" w:right="760"/>
        <w:jc w:val="both"/>
        <w:rPr>
          <w:rFonts w:ascii="Arial" w:hAnsi="Arial" w:cs="Arial"/>
          <w:sz w:val="21"/>
          <w:szCs w:val="21"/>
          <w:lang w:val="es-ES_tradnl" w:eastAsia="es-ES_tradnl"/>
        </w:rPr>
      </w:pPr>
      <w:r w:rsidRPr="00C94F95">
        <w:rPr>
          <w:rFonts w:ascii="Arial" w:hAnsi="Arial" w:cs="Arial"/>
          <w:sz w:val="21"/>
          <w:szCs w:val="21"/>
          <w:lang w:val="es-ES_tradnl" w:eastAsia="es-ES_tradnl"/>
        </w:rPr>
        <w:t xml:space="preserve">Los sujetos obligados que contratan con cargo a recursos públicos y recursos privados, deben publicar en su página web y en el Secop el Plan Anual de Adquisiciones para los recursos de carácter público que ejecutarán en el año. </w:t>
      </w:r>
    </w:p>
    <w:p w14:paraId="6742F2FB" w14:textId="77777777" w:rsidR="00932C0F" w:rsidRPr="00C94F95" w:rsidRDefault="00932C0F" w:rsidP="00793187">
      <w:pPr>
        <w:tabs>
          <w:tab w:val="left" w:pos="709"/>
          <w:tab w:val="left" w:pos="7938"/>
        </w:tabs>
        <w:spacing w:after="0" w:line="240" w:lineRule="auto"/>
        <w:ind w:left="709" w:right="760"/>
        <w:jc w:val="both"/>
        <w:rPr>
          <w:rFonts w:ascii="Arial" w:hAnsi="Arial" w:cs="Arial"/>
          <w:sz w:val="21"/>
          <w:szCs w:val="21"/>
          <w:lang w:val="es-ES_tradnl" w:eastAsia="es-ES_tradnl"/>
        </w:rPr>
      </w:pPr>
    </w:p>
    <w:p w14:paraId="04EB51A6" w14:textId="77777777" w:rsidR="003208AB" w:rsidRPr="00C94F95" w:rsidRDefault="003208AB" w:rsidP="00793187">
      <w:pPr>
        <w:tabs>
          <w:tab w:val="left" w:pos="709"/>
          <w:tab w:val="left" w:pos="7938"/>
        </w:tabs>
        <w:spacing w:after="0" w:line="240" w:lineRule="auto"/>
        <w:ind w:left="709" w:right="760"/>
        <w:jc w:val="both"/>
        <w:rPr>
          <w:rFonts w:ascii="Arial" w:hAnsi="Arial" w:cs="Arial"/>
          <w:sz w:val="21"/>
          <w:szCs w:val="21"/>
          <w:lang w:val="es-ES_tradnl" w:eastAsia="es-ES_tradnl"/>
        </w:rPr>
      </w:pPr>
      <w:r w:rsidRPr="00C94F95">
        <w:rPr>
          <w:rFonts w:ascii="Arial" w:hAnsi="Arial" w:cs="Arial"/>
          <w:sz w:val="21"/>
          <w:szCs w:val="21"/>
          <w:lang w:val="es-ES_tradnl" w:eastAsia="es-ES_tradnl"/>
        </w:rPr>
        <w:t xml:space="preserve">Se entenderá como definición de Plan Anual de Adquisiciones respecto a todos los sujetos obligados que contratan con recursos públicos, la prevista en el artículo 3° del Decreto 1510 de 2013, o el que lo modifique, sustituya o adicione. </w:t>
      </w:r>
    </w:p>
    <w:p w14:paraId="52A7FD2F" w14:textId="77777777" w:rsidR="003208AB" w:rsidRPr="00E65CA2" w:rsidRDefault="003208AB" w:rsidP="005C6260">
      <w:pPr>
        <w:tabs>
          <w:tab w:val="left" w:pos="8505"/>
        </w:tabs>
        <w:spacing w:after="0" w:line="276" w:lineRule="auto"/>
        <w:ind w:rightChars="709" w:right="1560"/>
        <w:rPr>
          <w:rFonts w:ascii="Arial" w:hAnsi="Arial" w:cs="Arial"/>
          <w:lang w:val="es-ES"/>
        </w:rPr>
      </w:pPr>
    </w:p>
    <w:p w14:paraId="497ECD1A" w14:textId="5A6B60A0" w:rsidR="002A68BF" w:rsidRPr="00C94F95" w:rsidRDefault="003208AB" w:rsidP="00A61013">
      <w:pPr>
        <w:spacing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El artículo citado prescribe que los sujetos obligados que contraten con cargo a recursos públicos tienen la obligación de publicar el plan anual de adquisiciones en el SECOP. Los sujetos que no contratan con cargo a recursos públicos no están obligados a publicarlo, mientras que aquellos que contratan tanto con cargo a recursos públicos como recursos que no tienen esta naturaleza, solamente están obligados a publicar el plan anual de adquisiciones para los recursos de carácter público que se ejecutarán durante la vigencia fiscal. </w:t>
      </w:r>
    </w:p>
    <w:p w14:paraId="6466C100" w14:textId="77777777" w:rsidR="002A68BF" w:rsidRPr="00C94F95" w:rsidRDefault="002A68BF" w:rsidP="002A68BF">
      <w:pPr>
        <w:spacing w:after="0" w:line="276" w:lineRule="auto"/>
        <w:ind w:firstLine="709"/>
        <w:jc w:val="both"/>
        <w:rPr>
          <w:rFonts w:ascii="Arial" w:hAnsi="Arial" w:cs="Arial"/>
          <w:szCs w:val="24"/>
          <w:lang w:val="es-ES_tradnl" w:eastAsia="es-ES_tradnl"/>
        </w:rPr>
      </w:pPr>
    </w:p>
    <w:p w14:paraId="4418CE7E" w14:textId="32E1E982" w:rsidR="00CD4A24" w:rsidRPr="00C94F95" w:rsidRDefault="00CD4A24" w:rsidP="002A68BF">
      <w:pPr>
        <w:spacing w:after="0" w:line="276" w:lineRule="auto"/>
        <w:jc w:val="both"/>
        <w:rPr>
          <w:rFonts w:ascii="Arial" w:hAnsi="Arial" w:cs="Arial"/>
          <w:b/>
          <w:szCs w:val="24"/>
          <w:lang w:val="es-ES_tradnl" w:eastAsia="es-ES_tradnl"/>
        </w:rPr>
      </w:pPr>
      <w:r w:rsidRPr="00C94F95">
        <w:rPr>
          <w:rFonts w:ascii="Arial" w:hAnsi="Arial" w:cs="Arial"/>
          <w:b/>
        </w:rPr>
        <w:t xml:space="preserve">2.2. </w:t>
      </w:r>
      <w:bookmarkStart w:id="3" w:name="_Hlk93995371"/>
      <w:r w:rsidRPr="00C94F95">
        <w:rPr>
          <w:rFonts w:ascii="Arial" w:hAnsi="Arial" w:cs="Arial"/>
          <w:b/>
        </w:rPr>
        <w:t>Carácter estimativo del plan anual de adquisiciones respecto al régimen jurídic</w:t>
      </w:r>
      <w:r w:rsidRPr="00C94F95">
        <w:rPr>
          <w:rFonts w:ascii="Arial" w:hAnsi="Arial" w:cs="Arial"/>
          <w:b/>
          <w:szCs w:val="24"/>
          <w:lang w:val="es-ES_tradnl" w:eastAsia="es-ES_tradnl"/>
        </w:rPr>
        <w:t>o para su expedición y publicación</w:t>
      </w:r>
      <w:bookmarkEnd w:id="3"/>
    </w:p>
    <w:p w14:paraId="1FC7FF17" w14:textId="77777777" w:rsidR="002A68BF" w:rsidRPr="00C94F95" w:rsidRDefault="002A68BF" w:rsidP="002A68BF">
      <w:pPr>
        <w:spacing w:after="0" w:line="276" w:lineRule="auto"/>
        <w:jc w:val="both"/>
        <w:rPr>
          <w:rFonts w:ascii="Arial" w:hAnsi="Arial" w:cs="Arial"/>
          <w:b/>
          <w:szCs w:val="24"/>
          <w:lang w:val="es-ES_tradnl" w:eastAsia="es-ES_tradnl"/>
        </w:rPr>
      </w:pPr>
    </w:p>
    <w:p w14:paraId="06B68374" w14:textId="77777777" w:rsidR="00CD4A24" w:rsidRPr="00C94F95" w:rsidRDefault="00CD4A24" w:rsidP="00CD4A24">
      <w:pPr>
        <w:spacing w:after="0" w:line="276" w:lineRule="auto"/>
        <w:jc w:val="both"/>
        <w:rPr>
          <w:rFonts w:ascii="Arial" w:hAnsi="Arial" w:cs="Arial"/>
          <w:szCs w:val="24"/>
          <w:lang w:val="es-ES_tradnl" w:eastAsia="es-ES_tradnl"/>
        </w:rPr>
      </w:pPr>
      <w:r w:rsidRPr="00C94F95">
        <w:rPr>
          <w:rFonts w:ascii="Arial" w:hAnsi="Arial" w:cs="Arial"/>
          <w:szCs w:val="24"/>
          <w:lang w:val="es-ES_tradnl" w:eastAsia="es-ES_tradnl"/>
        </w:rPr>
        <w:lastRenderedPageBreak/>
        <w:t>Precisar el grado de vinculatoriedad del plan anual de adquisiciones supone el análisis de lo dispuesto en los artículos 2.2.1.1.1.4.1, 2.2.1.1.1.4.3</w:t>
      </w:r>
      <w:r w:rsidRPr="00C94F95">
        <w:rPr>
          <w:rFonts w:ascii="Arial" w:hAnsi="Arial" w:cs="Arial"/>
          <w:szCs w:val="24"/>
          <w:vertAlign w:val="superscript"/>
          <w:lang w:val="es-ES_tradnl" w:eastAsia="es-ES_tradnl"/>
        </w:rPr>
        <w:footnoteReference w:id="6"/>
      </w:r>
      <w:r w:rsidRPr="00C94F95">
        <w:rPr>
          <w:rFonts w:ascii="Arial" w:hAnsi="Arial" w:cs="Arial"/>
          <w:szCs w:val="24"/>
          <w:lang w:val="es-ES_tradnl" w:eastAsia="es-ES_tradnl"/>
        </w:rPr>
        <w:t xml:space="preserve"> y 2.2.1.1.1.4.4</w:t>
      </w:r>
      <w:r w:rsidRPr="00C94F95">
        <w:rPr>
          <w:rFonts w:ascii="Arial" w:hAnsi="Arial" w:cs="Arial"/>
          <w:szCs w:val="24"/>
          <w:vertAlign w:val="superscript"/>
          <w:lang w:val="es-ES_tradnl" w:eastAsia="es-ES_tradnl"/>
        </w:rPr>
        <w:footnoteReference w:id="7"/>
      </w:r>
      <w:r w:rsidRPr="00C94F95">
        <w:rPr>
          <w:rFonts w:ascii="Arial" w:hAnsi="Arial" w:cs="Arial"/>
          <w:szCs w:val="24"/>
          <w:lang w:val="es-ES_tradnl" w:eastAsia="es-ES_tradnl"/>
        </w:rPr>
        <w:t xml:space="preserve"> del Decreto 1082 de 2015. El primer artículo establece el deber de las entidades de «elaborar el plan anual de adquisiciones, el cual debe contener la lista de bienes, obras y servicios que pretenden adquirir durante el año». El aparte trascrito permite inferir que se trata de un documento estimativo, pues contiene un listado de bienes, obras o servicios que, producto del ejercicio de planeación de la entidad, esta pretende adquirir dentro de la vigencia correspondiente. Esta redacción advierte la naturaleza estimativa del documento, pues contiene los siguientes aspectos: i) la necesidad; ii) la identificación en el clasificador si la entidad conoce el bien, obra o servicio que satisface la necesidad; iii) el valor estimado del contrato; iv) el tipo de recursos con cargo a los cuales la entidad pagará el bien, obra o servicio; v) la modalidad de selección del contratista y vi) la fecha aproximada en la cual la entidad indicará el procedimiento de selección. </w:t>
      </w:r>
    </w:p>
    <w:p w14:paraId="22DDBE27"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La norma referida establece la obligación de enunciar la información de manera indicativa, y no impone determinar valores precisos, tiempos, bienes, obras o servicios de manera exacta; todo lo contrario, permite realizar un pronóstico indicativo de las necesidades que debe contratar. Este carácter estimativo del plan anual de adquisiciones fue reconocido por la Agencia Nacional de Contratación Pública – Colombia Compra Eficiente en la guía sobre el tema, donde precisó, como una de sus finalidades, «servir como referente inicial para evaluar la ejecución de presupuesto y pronosticar la demanda de bienes y servicios de la entidad durante el año referido del plan»</w:t>
      </w:r>
      <w:r w:rsidRPr="00C94F95">
        <w:rPr>
          <w:rFonts w:ascii="Arial" w:hAnsi="Arial" w:cs="Arial"/>
          <w:szCs w:val="24"/>
          <w:vertAlign w:val="superscript"/>
          <w:lang w:val="es-ES_tradnl" w:eastAsia="es-ES_tradnl"/>
        </w:rPr>
        <w:footnoteReference w:id="8"/>
      </w:r>
      <w:r w:rsidRPr="00C94F95">
        <w:rPr>
          <w:rFonts w:ascii="Arial" w:hAnsi="Arial" w:cs="Arial"/>
          <w:szCs w:val="24"/>
          <w:vertAlign w:val="superscript"/>
          <w:lang w:val="es-ES_tradnl" w:eastAsia="es-ES_tradnl"/>
        </w:rPr>
        <w:t>.</w:t>
      </w:r>
      <w:r w:rsidRPr="00C94F95">
        <w:rPr>
          <w:rFonts w:ascii="Arial" w:hAnsi="Arial" w:cs="Arial"/>
          <w:szCs w:val="24"/>
          <w:lang w:val="es-ES_tradnl" w:eastAsia="es-ES_tradnl"/>
        </w:rPr>
        <w:t xml:space="preserve"> </w:t>
      </w:r>
    </w:p>
    <w:p w14:paraId="2FD49CCF"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La segunda disposición relevante –esto es, el artículo 2.2.1.1.1.4.3 del Decreto 1082 de 2015– establece el deber de publicidad de las entidades públicas del plan anual de adquisiciones, en sus páginas web y en el SECOP II, con la información mínima señalada en </w:t>
      </w:r>
      <w:bookmarkStart w:id="4" w:name="_Hlk117519770"/>
      <w:r w:rsidRPr="00C94F95">
        <w:rPr>
          <w:rFonts w:ascii="Arial" w:hAnsi="Arial" w:cs="Arial"/>
          <w:szCs w:val="24"/>
          <w:lang w:val="es-ES_tradnl" w:eastAsia="es-ES_tradnl"/>
        </w:rPr>
        <w:t xml:space="preserve">el artículo 2.2.1.1.1.4.1. del Decreto 1082 de 2015. La norma impone a las entidades el deber de publicar las actualizaciones que realicen al plan anual. De esta manera, se faculta a la Administración para realizar cambios y modificaciones, por lo que no es un documento rígido que vincule la contratación sino que, por el contrario, se trata </w:t>
      </w:r>
      <w:r w:rsidRPr="00C94F95">
        <w:rPr>
          <w:rFonts w:ascii="Arial" w:hAnsi="Arial" w:cs="Arial"/>
          <w:szCs w:val="24"/>
          <w:lang w:val="es-ES_tradnl" w:eastAsia="es-ES_tradnl"/>
        </w:rPr>
        <w:lastRenderedPageBreak/>
        <w:t xml:space="preserve">de un instrumento de planificación que orienta y permite tener un referente de las necesidades de bienes, obras y servicio que debe contratar para la respectiva anualidad, y que además puede ser actualizado. </w:t>
      </w:r>
    </w:p>
    <w:bookmarkEnd w:id="4"/>
    <w:p w14:paraId="0A908559"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La tercera norma mencionada, el artículo 2.2.1.1.1.4.4. del Decreto 1082 de 2015, en el inciso 1, fijó, en criterio de esta Subdirección, el alcance de la facultad otorgada a las entidades para actualizar el plan anual de adquisiciones. Por ello es pertinente consultar el significado natural del verbo rector de la disposición y luego establecer los límites establecidos en la norma. </w:t>
      </w:r>
    </w:p>
    <w:p w14:paraId="65585A22"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El Diccionario de la Lengua Española define «actualizar» como «hacer actual algo, darle actualidad» o «poner al día datos, normas, precios rentas, salarios». Es decir, «actualizar» se puede asociar con la acción de traer al presente un dato establecido en el pasado. Aplicada esta definición a la norma citada, se tendría que el reglamento facultó a las entidades públicas para poner al día la información contenida en el documento del plan anual de adquisiciones.</w:t>
      </w:r>
    </w:p>
    <w:p w14:paraId="0986AA0A" w14:textId="61A71C8D"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El numeral </w:t>
      </w:r>
      <w:r w:rsidR="00135CB4" w:rsidRPr="00C94F95">
        <w:rPr>
          <w:rFonts w:ascii="Arial" w:hAnsi="Arial" w:cs="Arial"/>
          <w:szCs w:val="24"/>
          <w:lang w:val="es-ES_tradnl" w:eastAsia="es-ES_tradnl"/>
        </w:rPr>
        <w:t>5.7</w:t>
      </w:r>
      <w:r w:rsidRPr="00C94F95">
        <w:rPr>
          <w:rFonts w:ascii="Arial" w:hAnsi="Arial" w:cs="Arial"/>
          <w:szCs w:val="24"/>
          <w:lang w:val="es-ES_tradnl" w:eastAsia="es-ES_tradnl"/>
        </w:rPr>
        <w:t xml:space="preserve"> de la Circular Externa Única</w:t>
      </w:r>
      <w:r w:rsidR="00135CB4" w:rsidRPr="00C94F95">
        <w:rPr>
          <w:rFonts w:ascii="Arial" w:hAnsi="Arial" w:cs="Arial"/>
          <w:szCs w:val="24"/>
          <w:lang w:val="es-ES_tradnl" w:eastAsia="es-ES_tradnl"/>
        </w:rPr>
        <w:t xml:space="preserve"> «Formas y oportunidades para actualizar el Plan Anual de Adquisiciones»</w:t>
      </w:r>
      <w:r w:rsidR="007700C6" w:rsidRPr="00C94F95">
        <w:rPr>
          <w:rStyle w:val="Refdenotaalpie"/>
          <w:rFonts w:ascii="Arial" w:hAnsi="Arial" w:cs="Arial"/>
          <w:szCs w:val="24"/>
          <w:lang w:val="es-ES_tradnl" w:eastAsia="es-ES_tradnl"/>
        </w:rPr>
        <w:footnoteReference w:id="9"/>
      </w:r>
      <w:r w:rsidRPr="00C94F95">
        <w:rPr>
          <w:rFonts w:ascii="Arial" w:hAnsi="Arial" w:cs="Arial"/>
          <w:szCs w:val="24"/>
          <w:lang w:val="es-ES_tradnl" w:eastAsia="es-ES_tradnl"/>
        </w:rPr>
        <w:t xml:space="preserve">, expedida por Agencia Nacional de Contratación Pública – Colombia Compra Eficiente, dispone que las Entidades Estatales deben actualizar su Plan Anual de Adquisiciones </w:t>
      </w:r>
      <w:r w:rsidR="007700C6" w:rsidRPr="00C94F95">
        <w:rPr>
          <w:rFonts w:ascii="Arial" w:hAnsi="Arial" w:cs="Arial"/>
        </w:rPr>
        <w:t>cada vez que lo requieran utilizando el formato al que se refieren los numerales 6.4 o 6.5 de dicha Circular, según el caso. La actualización debe publicarse en la página web de la Entidad y en el SECOP, de tal manera que solo será visible el Plan Anual de Adquisiciones actualizado. En todo caso, las Entidades Estatales deben actualizarlo al menos una vez durante su vigencia</w:t>
      </w:r>
      <w:r w:rsidRPr="00C94F95">
        <w:rPr>
          <w:rFonts w:ascii="Arial" w:hAnsi="Arial" w:cs="Arial"/>
          <w:szCs w:val="24"/>
          <w:lang w:val="es-ES_tradnl" w:eastAsia="es-ES_tradnl"/>
        </w:rPr>
        <w:t>. Esto en concordancia con el artículo 2.2.1.1.1.4.4 del Decreto 1082 de 2015, el cual señala que la Entidad Estatal debe actualizar el Plan Anual de Adquisiciones por lo menos una vez durante su vigencia, en la forma y la oportunidad que para el efecto disponga Colombia Compra Eficiente.</w:t>
      </w:r>
    </w:p>
    <w:p w14:paraId="0E35F363"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Con el deber de actualizar el plan, una vez al año cuando menos, implícitamente se señala que el contenido inicial no es rígido ni inmodificable y, en consecuencia, por la misma dinámica de la actividad contractual de la Administración, estos datos necesariamente tendrán que modificarse. Además, la norma no limita la actualización del plan a un tope máximo, pero estableció un número mínimo, pues indicó que debían actualizarlo por lo menos una vez durante su vigencia. </w:t>
      </w:r>
    </w:p>
    <w:p w14:paraId="46C6E7D1"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El inciso 2 del artículo citado estableció cuatro (4) eventos en los que procede actualizar el plan anual de adquisiciones: i) ajustes en los cronogramas de adquisición, </w:t>
      </w:r>
      <w:r w:rsidRPr="00C94F95">
        <w:rPr>
          <w:rFonts w:ascii="Arial" w:hAnsi="Arial" w:cs="Arial"/>
          <w:szCs w:val="24"/>
          <w:lang w:val="es-ES_tradnl" w:eastAsia="es-ES_tradnl"/>
        </w:rPr>
        <w:lastRenderedPageBreak/>
        <w:t xml:space="preserve">valores, modalidad de selección y origen de los recursos; ii) para incluir nuevas obras, bienes o servicios; iii) excluir obras, bienes o servicios y iv) modificar el presupuesto anual de adquisiciones. El inciso citado solo estableció los eventos en los que tiene que actualizarse, sin limitar la modificación a ciertos topes, como, por ejemplo, aumentar o disminuir valores. La norma no enfatizó en este punto, por lo cual, en principio, podrá modificarse. </w:t>
      </w:r>
    </w:p>
    <w:p w14:paraId="57B8285F"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Así las cosas, la Subdirección de Gestión Contractual considera que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 </w:t>
      </w:r>
    </w:p>
    <w:p w14:paraId="4EF1B07C"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Las normas citadas permiten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w:t>
      </w:r>
    </w:p>
    <w:p w14:paraId="290C5512" w14:textId="77777777" w:rsidR="00CD4A24" w:rsidRPr="00C94F95" w:rsidRDefault="00CD4A24" w:rsidP="00A61013">
      <w:pPr>
        <w:spacing w:before="120" w:after="0" w:line="276" w:lineRule="auto"/>
        <w:ind w:firstLine="703"/>
        <w:jc w:val="both"/>
        <w:textAlignment w:val="baseline"/>
        <w:rPr>
          <w:rFonts w:ascii="Arial" w:hAnsi="Arial" w:cs="Arial"/>
          <w:szCs w:val="24"/>
          <w:lang w:val="es-ES_tradnl" w:eastAsia="es-ES_tradnl"/>
        </w:rPr>
      </w:pPr>
      <w:r w:rsidRPr="00C94F95">
        <w:rPr>
          <w:rFonts w:ascii="Arial" w:hAnsi="Arial" w:cs="Arial"/>
          <w:szCs w:val="24"/>
          <w:lang w:val="es-ES_tradnl" w:eastAsia="es-ES_tradnl"/>
        </w:rPr>
        <w:t>Un interrogante surge de lo anterior: ¿cómo la entidad puede definir si debe o no incluir un bien, obra o servicio en el plan? Basta consultar el artículo 2.2.1.1.1.4.1. del Decreto 1082 de 2015, donde señala que «las entidades deben elaborar un plan anual de adquisiciones, el cual debe contener la lista de bienes, obras y servicios que pretenden adquirir durante el año». Este aparte permite extraer el contenido esencialísimo del mismo, pues los enlista como requisitos mínimos del plan. Luego, la norma establece el deber de incluir otra información:  «la Entidad Estatal debe señalar la necesidad y cuando conoce el bien, obra o servicio que satisface esa necesidad debe identificarlo utilizando el Clasificador de Bienes y Servicios, e indicar el valor estimado del contrato, el tipo de recursos con cargo a los cuales la Entidad Estatal pagará el bien, obra o servicio, la modalidad de selección del contratista, y la fecha aproximada en la cual la Entidad Estatal iniciará el Proceso de Contratación», que no siendo menos importante es complementaria y descriptiva de la información esencialísima del plan, como se explicará a continuación.  </w:t>
      </w:r>
    </w:p>
    <w:p w14:paraId="59286D14" w14:textId="77777777" w:rsidR="00CD4A24" w:rsidRPr="00C94F95" w:rsidRDefault="00CD4A24" w:rsidP="00A61013">
      <w:pPr>
        <w:spacing w:before="120" w:after="0" w:line="276" w:lineRule="auto"/>
        <w:ind w:firstLine="703"/>
        <w:jc w:val="both"/>
        <w:textAlignment w:val="baseline"/>
        <w:rPr>
          <w:rFonts w:ascii="Arial" w:hAnsi="Arial" w:cs="Arial"/>
          <w:szCs w:val="24"/>
          <w:lang w:val="es-ES_tradnl" w:eastAsia="es-ES_tradnl"/>
        </w:rPr>
      </w:pPr>
      <w:r w:rsidRPr="00C94F95">
        <w:rPr>
          <w:rFonts w:ascii="Arial" w:hAnsi="Arial" w:cs="Arial"/>
          <w:szCs w:val="24"/>
          <w:lang w:val="es-ES_tradnl" w:eastAsia="es-ES_tradnl"/>
        </w:rPr>
        <w:t>La norma citada en el párrafo precedente dispone que el plan tiene un contenido esencial –la lista de bienes, obras y servicios que pretenda adquirir la entidad– y otro que es obligatorio incluirlo pero que es complementario y descriptivo de lo esencial –valor del contrato, modalidad de selección, tipo de recursos, etc.–. A partir de esta clasificación se infiere su finalidad y el criterio rector para que, en cada caso, la entidad resuelva cómo se define si un bien, obra o servicio se incluye o no en el plan.  </w:t>
      </w:r>
    </w:p>
    <w:p w14:paraId="7EED746D" w14:textId="77777777" w:rsidR="00CD4A24" w:rsidRPr="00C94F95" w:rsidRDefault="00CD4A24" w:rsidP="00A61013">
      <w:pPr>
        <w:spacing w:before="120" w:after="0" w:line="276" w:lineRule="auto"/>
        <w:ind w:firstLine="703"/>
        <w:jc w:val="both"/>
        <w:textAlignment w:val="baseline"/>
        <w:rPr>
          <w:rFonts w:ascii="Arial" w:hAnsi="Arial" w:cs="Arial"/>
          <w:szCs w:val="24"/>
          <w:lang w:val="es-ES_tradnl" w:eastAsia="es-ES_tradnl"/>
        </w:rPr>
      </w:pPr>
      <w:r w:rsidRPr="00C94F95">
        <w:rPr>
          <w:rFonts w:ascii="Arial" w:hAnsi="Arial" w:cs="Arial"/>
          <w:szCs w:val="24"/>
          <w:lang w:val="es-ES_tradnl" w:eastAsia="es-ES_tradnl"/>
        </w:rPr>
        <w:lastRenderedPageBreak/>
        <w:t>Del primer aparte de la norma, se observa que su finalidad es clara: todo los bienes, obras o servicios que la entidad tenga intención de adquirir deben incluirse en el plan. Es decir, la obligación de incluir un contenido específico en el plan se fundamenta únicamente en que se trate de un bien, obra o servicio que la entidad pretenda adquirir.  De manera que, para responder a la pregunta de si una entidad está o no obligada a incluir un contenido en particular dentro del plan anual de adquisiciones, bastará con tener claro que aquellos sean objeto de adquisición, sin consideración a la forma en que la entidad planee obtenerlos.  </w:t>
      </w:r>
    </w:p>
    <w:p w14:paraId="76986378" w14:textId="77777777" w:rsidR="00CD4A24" w:rsidRPr="00C94F95" w:rsidRDefault="00CD4A24" w:rsidP="00A61013">
      <w:pPr>
        <w:spacing w:before="120" w:after="0" w:line="276" w:lineRule="auto"/>
        <w:ind w:firstLine="703"/>
        <w:jc w:val="both"/>
        <w:textAlignment w:val="baseline"/>
        <w:rPr>
          <w:rFonts w:ascii="Arial" w:hAnsi="Arial" w:cs="Arial"/>
          <w:szCs w:val="24"/>
          <w:lang w:val="es-ES_tradnl" w:eastAsia="es-ES_tradnl"/>
        </w:rPr>
      </w:pPr>
      <w:r w:rsidRPr="00C94F95">
        <w:rPr>
          <w:rFonts w:ascii="Arial" w:hAnsi="Arial" w:cs="Arial"/>
          <w:szCs w:val="24"/>
          <w:lang w:val="es-ES_tradnl" w:eastAsia="es-ES_tradnl"/>
        </w:rPr>
        <w:t>Lo anterior, también permite entender que la actividad de «adquirir», como el criterio rector para determinar el alcance de la obligatoriedad de incluir en el plan una información específica. Cuando el primer aparte señala que el plan «[…] deberá contener la lista de bienes, obras y servicios que pretenden adquirir durante un año», es claro que adquirir es el elemento determinante para concluir qué se debe enlistar un bien, obra o servicio en el plan. Esto, muy a pesar de que la misma disposición establezca otra información adicional que debe incluir este documento –modalidad, valor estimado–, pero que para esta Subdirección es complementaria o descriptiva a la señalada como información mínima o esencialísima del plan.  </w:t>
      </w:r>
    </w:p>
    <w:p w14:paraId="4F2CE5C2" w14:textId="77777777" w:rsidR="00CD4A24" w:rsidRPr="00C94F95" w:rsidRDefault="00CD4A24" w:rsidP="00A61013">
      <w:pPr>
        <w:spacing w:before="120" w:after="0" w:line="276" w:lineRule="auto"/>
        <w:ind w:firstLine="703"/>
        <w:jc w:val="both"/>
        <w:textAlignment w:val="baseline"/>
        <w:rPr>
          <w:rFonts w:ascii="Arial" w:hAnsi="Arial" w:cs="Arial"/>
          <w:szCs w:val="24"/>
          <w:lang w:val="es-ES_tradnl" w:eastAsia="es-ES_tradnl"/>
        </w:rPr>
      </w:pPr>
      <w:r w:rsidRPr="00C94F95">
        <w:rPr>
          <w:rFonts w:ascii="Arial" w:hAnsi="Arial" w:cs="Arial"/>
          <w:szCs w:val="24"/>
          <w:lang w:val="es-ES_tradnl" w:eastAsia="es-ES_tradnl"/>
        </w:rPr>
        <w:t>Así las cosas,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bienes, obras o servicios a adquirir, y no respecto de los procesos de contratación, lo cual otorga cierta importancia a ese primer aspecto, más que a su forma de contratación.   </w:t>
      </w:r>
    </w:p>
    <w:p w14:paraId="0877245D" w14:textId="77777777" w:rsidR="00CD4A24" w:rsidRPr="00C94F95" w:rsidRDefault="00CD4A24" w:rsidP="00A61013">
      <w:pPr>
        <w:spacing w:before="120" w:after="0" w:line="276" w:lineRule="auto"/>
        <w:ind w:firstLine="703"/>
        <w:jc w:val="both"/>
        <w:textAlignment w:val="baseline"/>
        <w:rPr>
          <w:rFonts w:ascii="Arial" w:hAnsi="Arial" w:cs="Arial"/>
          <w:szCs w:val="24"/>
          <w:lang w:val="es-ES_tradnl" w:eastAsia="es-ES_tradnl"/>
        </w:rPr>
      </w:pPr>
      <w:r w:rsidRPr="00C94F95">
        <w:rPr>
          <w:rFonts w:ascii="Arial" w:hAnsi="Arial" w:cs="Arial"/>
          <w:szCs w:val="24"/>
          <w:lang w:val="es-ES_tradnl" w:eastAsia="es-ES_tradnl"/>
        </w:rPr>
        <w:t>La norma es categórica en señalar que en el plan debe enlistarse todo bien, obra o servicio que se pretenda adquirir, y en este sentido las entidades deben cumplir la obligación, sin consideración a las condiciones en que planee hacerlo, pues el deber de inclusión en el plan es independiente de la clase o modalidad de contratación o de la forma en que se pagará el valor estimado, etc. Basta con que se trate de un bien obra o servicio que la entidad quiere adquirir para que surja la obligación de relacionarlo.  </w:t>
      </w:r>
    </w:p>
    <w:p w14:paraId="5DBAB1F1" w14:textId="77777777" w:rsidR="00CD4A24" w:rsidRPr="00C94F95" w:rsidRDefault="00CD4A24" w:rsidP="00A61013">
      <w:pPr>
        <w:spacing w:before="120" w:after="0" w:line="276" w:lineRule="auto"/>
        <w:ind w:firstLine="703"/>
        <w:jc w:val="both"/>
        <w:textAlignment w:val="baseline"/>
        <w:rPr>
          <w:rFonts w:ascii="Arial" w:hAnsi="Arial" w:cs="Arial"/>
          <w:szCs w:val="24"/>
          <w:lang w:val="es-ES_tradnl" w:eastAsia="es-ES_tradnl"/>
        </w:rPr>
      </w:pPr>
      <w:r w:rsidRPr="00C94F95">
        <w:rPr>
          <w:rFonts w:ascii="Arial" w:hAnsi="Arial" w:cs="Arial"/>
          <w:szCs w:val="24"/>
          <w:lang w:val="es-ES_tradnl" w:eastAsia="es-ES_tradnl"/>
        </w:rPr>
        <w:t xml:space="preserve">De modo que el elemento rector para anunciar la posible contratación en el plan anual de adquisiciones es la intención de adquirir el bien, obra o servicio, independientemente de la forma en que la entidad pretenda hacerlo, es decir, para el reglamento es irrelevante si el bien será comprado o si la contraprestación por este será en especie. Lo importante es que en el plan se reporte la estimación del valor que la entidad deberá pagar como contraprestación para la obtención de dicho bien, obra o servicio. Por </w:t>
      </w:r>
      <w:r w:rsidRPr="00C94F95">
        <w:rPr>
          <w:rFonts w:ascii="Arial" w:hAnsi="Arial" w:cs="Arial"/>
          <w:szCs w:val="24"/>
          <w:lang w:val="es-ES_tradnl" w:eastAsia="es-ES_tradnl"/>
        </w:rPr>
        <w:lastRenderedPageBreak/>
        <w:t>tanto, las entidades deben incluir en su plan anual de adquisición todos los convenios o cualquier otra modalidad de contratación, a través de los que la entidad podrá adquirir bienes, obras y servicios para satisfacer sus necesidades, pues la finalidad del artículo 2.2.1.1.1.4.1. del Decreto 1082 de 2015 es que en este documento se enuncien todas las necesidades de contratación de las entidades públicas.  </w:t>
      </w:r>
    </w:p>
    <w:p w14:paraId="5E494031"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Asimismo, aunque –por expresa disposición del reglamento– exista el deber de mantener actualizado el Plan Anual de Adquisiciones, no es necesario incorporar en él todas las modificaciones que efectúe la entidad, por dos (2) razones fundamentales: i) el reglamento no impone la obligación de modificarlo cada vez que se adopte una variación en la contratación prevista en él; y ii) el reglamento autorizó incluir en el plan información estimativa, como cuando en el artículo 2.2.1.1.1.4.1. utiliza expresiones como: «indicar el valor estimado del contrato». </w:t>
      </w:r>
    </w:p>
    <w:p w14:paraId="3B30893E"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De manera que la norma no señaló un número máximo de oportunidades para actualizar el plan anual de adquisiciones, por lo cual la entidad podrá modificarlo las veces que considere pertinente. Pero el reglamento, al establecer cierto margen de laxitud en relación con la información incluida en el plan anual de adquisiciones, se colige también que la descripción del plan anual de adquisiciones no necesariamente tiene que ser idéntica a la minuta contractual o a los pliegos de condiciones. Solo las modificaciones sustanciales al contenido inicial del plan deben incluirse en éste, por lo cual no es necesaria la identidad absoluta entre la información contenida en el plan y el contenido del pliego de condiciones o las minutas contractuales.  </w:t>
      </w:r>
    </w:p>
    <w:p w14:paraId="500DE983" w14:textId="25C3FAAE"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Tampoco tiene que existir necesariamente identidad entre el valor del contrato previsto en el plan y el de cada procedimiento de contratación, porque la norma señaló que el valor del contrato, señalado en el plan, es «estimado». La misma conclusión aplica para todas las modalidades de contratación que deberán ser incluidas en el Plan Anual de Adquisiciones, porque la norma señala que deben incluirse todas las necesidades de contratación, sin importar que generen o no erogación, la fecha aproximada en que se iniciará el proceso de contratación y, en general, para todo el contenido del plan. Incluso, por esta misma razón, es innecesaria la identidad entre el valor señalado en el plan y el monto por el cual finalmente se suscribe el contrato, pues lo usual es que luego de realizar el procedimiento de selección, el valor del ofrecimiento beneficiado con la adjudicación sea el valor por el que finalmente se suscribe el contrato.</w:t>
      </w:r>
    </w:p>
    <w:p w14:paraId="2115D43A" w14:textId="7EE8D550" w:rsidR="00661BFB" w:rsidRPr="00C94F95" w:rsidRDefault="00B05279" w:rsidP="00A61013">
      <w:pPr>
        <w:spacing w:before="120" w:after="0" w:line="276" w:lineRule="auto"/>
        <w:ind w:firstLine="709"/>
        <w:jc w:val="both"/>
        <w:rPr>
          <w:rFonts w:ascii="Arial" w:hAnsi="Arial" w:cs="Arial"/>
          <w:szCs w:val="24"/>
          <w:lang w:val="es-MX" w:eastAsia="es-ES_tradnl"/>
        </w:rPr>
      </w:pPr>
      <w:r w:rsidRPr="00C94F95">
        <w:rPr>
          <w:rFonts w:ascii="Arial" w:hAnsi="Arial" w:cs="Arial"/>
          <w:szCs w:val="24"/>
          <w:lang w:val="es-MX" w:eastAsia="es-ES_tradnl"/>
        </w:rPr>
        <w:t>De este modo</w:t>
      </w:r>
      <w:r w:rsidR="00661BFB" w:rsidRPr="00C94F95">
        <w:rPr>
          <w:rFonts w:ascii="Arial" w:hAnsi="Arial" w:cs="Arial"/>
          <w:szCs w:val="24"/>
          <w:lang w:val="es-MX" w:eastAsia="es-ES_tradnl"/>
        </w:rPr>
        <w:t xml:space="preserve">, la obligación de incluir información en el plan se fundamenta en que se trate de la adquisición de bienes, obras o servicios por parte de la entidad, y no se encuentra condicionada por la naturaleza de la información complementaria ─modalidad de contratación, valor, forma de pago etc.─ relacionada con la información principal. Máxime cuando la obligación de enlistar está consagrada en la norma respecto de los </w:t>
      </w:r>
      <w:r w:rsidR="00661BFB" w:rsidRPr="00C94F95">
        <w:rPr>
          <w:rFonts w:ascii="Arial" w:hAnsi="Arial" w:cs="Arial"/>
          <w:szCs w:val="24"/>
          <w:lang w:val="es-MX" w:eastAsia="es-ES_tradnl"/>
        </w:rPr>
        <w:lastRenderedPageBreak/>
        <w:t>bienes, obras o servicios a adquirir, y no respecto de los procesos de contratación, lo cual otorga cierta importancia a este primer aspecto para determinar si debe o no inscribirse, más que a su modalidad de selección o erogación presupuestal.</w:t>
      </w:r>
    </w:p>
    <w:p w14:paraId="5D7B8265" w14:textId="77777777" w:rsidR="00661BFB" w:rsidRPr="00C94F95" w:rsidRDefault="00661BFB" w:rsidP="00A61013">
      <w:pPr>
        <w:spacing w:before="120" w:after="0" w:line="276" w:lineRule="auto"/>
        <w:ind w:firstLine="709"/>
        <w:jc w:val="both"/>
        <w:rPr>
          <w:rFonts w:ascii="Arial" w:hAnsi="Arial" w:cs="Arial"/>
          <w:szCs w:val="24"/>
          <w:lang w:val="es-MX" w:eastAsia="es-ES_tradnl"/>
        </w:rPr>
      </w:pPr>
      <w:r w:rsidRPr="00C94F95">
        <w:rPr>
          <w:rFonts w:ascii="Arial" w:hAnsi="Arial" w:cs="Arial"/>
          <w:szCs w:val="24"/>
          <w:lang w:val="es-MX" w:eastAsia="es-ES_tradnl"/>
        </w:rPr>
        <w:t xml:space="preserve">En virtud de lo anterior se colige que es obligación de las entidades estatales enlistar todos y cada uno de los bienes, obras y servicios que pretende adquirir de acuerdo a sus necesidades, independientemente de la información complementaria que puede estar relacionada con la modalidad de selección del contratista, el valor, la forma de pago, etc. </w:t>
      </w:r>
    </w:p>
    <w:p w14:paraId="664647E9" w14:textId="4756A543" w:rsidR="00661BFB" w:rsidRPr="00C94F95" w:rsidRDefault="00B05279" w:rsidP="00E05E1F">
      <w:pPr>
        <w:spacing w:before="120" w:after="0" w:line="276" w:lineRule="auto"/>
        <w:ind w:firstLine="709"/>
        <w:jc w:val="both"/>
        <w:rPr>
          <w:rFonts w:ascii="Arial" w:hAnsi="Arial" w:cs="Arial"/>
          <w:bCs/>
          <w:szCs w:val="24"/>
          <w:lang w:val="es-MX" w:eastAsia="es-ES_tradnl"/>
        </w:rPr>
      </w:pPr>
      <w:r w:rsidRPr="00C94F95">
        <w:rPr>
          <w:rFonts w:ascii="Arial" w:hAnsi="Arial" w:cs="Arial"/>
          <w:bCs/>
          <w:szCs w:val="24"/>
          <w:lang w:val="es-MX" w:eastAsia="es-ES_tradnl"/>
        </w:rPr>
        <w:t>Así las cosas, t</w:t>
      </w:r>
      <w:r w:rsidR="00661BFB" w:rsidRPr="00C94F95">
        <w:rPr>
          <w:rFonts w:ascii="Arial" w:hAnsi="Arial" w:cs="Arial"/>
          <w:bCs/>
          <w:szCs w:val="24"/>
          <w:lang w:val="es-MX" w:eastAsia="es-ES_tradnl"/>
        </w:rPr>
        <w:t xml:space="preserve">ratándose de contratos que no impliquen erogación presupuestal, como pueden ser los contratos o convenios que involucran una donación, ya sea que la entidad estatal sea donante o donataria, si estos tienen por objeto la adquisición de bienes, obras y/o servicios deben estar contemplados en el </w:t>
      </w:r>
      <w:r w:rsidR="004A7577" w:rsidRPr="00C94F95">
        <w:rPr>
          <w:rFonts w:ascii="Arial" w:hAnsi="Arial" w:cs="Arial"/>
          <w:bCs/>
          <w:szCs w:val="24"/>
          <w:lang w:val="es-MX" w:eastAsia="es-ES_tradnl"/>
        </w:rPr>
        <w:t>P</w:t>
      </w:r>
      <w:r w:rsidR="00661BFB" w:rsidRPr="00C94F95">
        <w:rPr>
          <w:rFonts w:ascii="Arial" w:hAnsi="Arial" w:cs="Arial"/>
          <w:bCs/>
          <w:szCs w:val="24"/>
          <w:lang w:val="es-MX" w:eastAsia="es-ES_tradnl"/>
        </w:rPr>
        <w:t xml:space="preserve">lan </w:t>
      </w:r>
      <w:r w:rsidR="004A7577" w:rsidRPr="00C94F95">
        <w:rPr>
          <w:rFonts w:ascii="Arial" w:hAnsi="Arial" w:cs="Arial"/>
          <w:bCs/>
          <w:szCs w:val="24"/>
          <w:lang w:val="es-MX" w:eastAsia="es-ES_tradnl"/>
        </w:rPr>
        <w:t>A</w:t>
      </w:r>
      <w:r w:rsidR="00661BFB" w:rsidRPr="00C94F95">
        <w:rPr>
          <w:rFonts w:ascii="Arial" w:hAnsi="Arial" w:cs="Arial"/>
          <w:bCs/>
          <w:szCs w:val="24"/>
          <w:lang w:val="es-MX" w:eastAsia="es-ES_tradnl"/>
        </w:rPr>
        <w:t xml:space="preserve">nual de </w:t>
      </w:r>
      <w:r w:rsidR="004A7577" w:rsidRPr="00C94F95">
        <w:rPr>
          <w:rFonts w:ascii="Arial" w:hAnsi="Arial" w:cs="Arial"/>
          <w:bCs/>
          <w:szCs w:val="24"/>
          <w:lang w:val="es-MX" w:eastAsia="es-ES_tradnl"/>
        </w:rPr>
        <w:t>A</w:t>
      </w:r>
      <w:r w:rsidR="00661BFB" w:rsidRPr="00C94F95">
        <w:rPr>
          <w:rFonts w:ascii="Arial" w:hAnsi="Arial" w:cs="Arial"/>
          <w:bCs/>
          <w:szCs w:val="24"/>
          <w:lang w:val="es-MX" w:eastAsia="es-ES_tradnl"/>
        </w:rPr>
        <w:t>dquisiciones de la entidad. Como se advirtió, el Plan anual de adquisiciones es un documento de planeación que permite a las entidades estatales identificar las necesidades que debe satisfacer durante la respectiva anualidad a través de la contratación e incorporarlas dentro del mismo, independientemente si la necesidad de adquisición de esos bienes, obras o servicios implique o no una erogación presupuestal. En este sentido, si en el contrato o convenio de donación se identifica la necesidad de adquirir bien</w:t>
      </w:r>
      <w:r w:rsidR="00E05E1F" w:rsidRPr="00C94F95">
        <w:rPr>
          <w:rFonts w:ascii="Arial" w:hAnsi="Arial" w:cs="Arial"/>
          <w:bCs/>
          <w:szCs w:val="24"/>
          <w:lang w:val="es-MX" w:eastAsia="es-ES_tradnl"/>
        </w:rPr>
        <w:t>es, obras y/o servicio</w:t>
      </w:r>
      <w:r w:rsidR="000A21ED" w:rsidRPr="00C94F95">
        <w:rPr>
          <w:rFonts w:ascii="Arial" w:hAnsi="Arial" w:cs="Arial"/>
          <w:bCs/>
          <w:szCs w:val="24"/>
          <w:lang w:val="es-MX" w:eastAsia="es-ES_tradnl"/>
        </w:rPr>
        <w:t xml:space="preserve">, </w:t>
      </w:r>
      <w:r w:rsidR="00661BFB" w:rsidRPr="00C94F95">
        <w:rPr>
          <w:rFonts w:ascii="Arial" w:hAnsi="Arial" w:cs="Arial"/>
          <w:bCs/>
          <w:szCs w:val="24"/>
          <w:lang w:val="es-MX" w:eastAsia="es-ES_tradnl"/>
        </w:rPr>
        <w:t xml:space="preserve">deberá incluirse en el </w:t>
      </w:r>
      <w:r w:rsidRPr="00C94F95">
        <w:rPr>
          <w:rFonts w:ascii="Arial" w:hAnsi="Arial" w:cs="Arial"/>
          <w:bCs/>
          <w:szCs w:val="24"/>
          <w:lang w:val="es-MX" w:eastAsia="es-ES_tradnl"/>
        </w:rPr>
        <w:t xml:space="preserve">Plan Anual de Adquisiciones </w:t>
      </w:r>
      <w:r w:rsidR="00E05E1F" w:rsidRPr="00C94F95">
        <w:rPr>
          <w:rFonts w:ascii="Arial" w:hAnsi="Arial" w:cs="Arial"/>
          <w:bCs/>
          <w:szCs w:val="24"/>
          <w:lang w:val="es-MX" w:eastAsia="es-ES_tradnl"/>
        </w:rPr>
        <w:t>aun</w:t>
      </w:r>
      <w:r w:rsidR="004A7577" w:rsidRPr="00C94F95">
        <w:rPr>
          <w:rFonts w:ascii="Arial" w:hAnsi="Arial" w:cs="Arial"/>
          <w:bCs/>
          <w:szCs w:val="24"/>
          <w:lang w:val="es-MX" w:eastAsia="es-ES_tradnl"/>
        </w:rPr>
        <w:t xml:space="preserve"> </w:t>
      </w:r>
      <w:r w:rsidR="00E05E1F" w:rsidRPr="00C94F95">
        <w:rPr>
          <w:rFonts w:ascii="Arial" w:hAnsi="Arial" w:cs="Arial"/>
          <w:bCs/>
          <w:szCs w:val="24"/>
          <w:lang w:val="es-MX" w:eastAsia="es-ES_tradnl"/>
        </w:rPr>
        <w:t>cuando</w:t>
      </w:r>
      <w:r w:rsidR="004A7577" w:rsidRPr="00C94F95">
        <w:rPr>
          <w:rFonts w:ascii="Arial" w:hAnsi="Arial" w:cs="Arial"/>
          <w:bCs/>
          <w:szCs w:val="24"/>
          <w:lang w:val="es-MX" w:eastAsia="es-ES_tradnl"/>
        </w:rPr>
        <w:t xml:space="preserve"> </w:t>
      </w:r>
      <w:r w:rsidRPr="00C94F95">
        <w:rPr>
          <w:rFonts w:ascii="Arial" w:hAnsi="Arial" w:cs="Arial"/>
          <w:bCs/>
          <w:szCs w:val="24"/>
          <w:lang w:val="es-MX" w:eastAsia="es-ES_tradnl"/>
        </w:rPr>
        <w:t xml:space="preserve">este </w:t>
      </w:r>
      <w:r w:rsidR="004A7577" w:rsidRPr="00C94F95">
        <w:rPr>
          <w:rFonts w:ascii="Arial" w:hAnsi="Arial" w:cs="Arial"/>
          <w:bCs/>
          <w:szCs w:val="24"/>
          <w:lang w:val="es-MX" w:eastAsia="es-ES_tradnl"/>
        </w:rPr>
        <w:t xml:space="preserve">no </w:t>
      </w:r>
      <w:r w:rsidRPr="00C94F95">
        <w:rPr>
          <w:rFonts w:ascii="Arial" w:hAnsi="Arial" w:cs="Arial"/>
          <w:bCs/>
          <w:szCs w:val="24"/>
          <w:lang w:val="es-MX" w:eastAsia="es-ES_tradnl"/>
        </w:rPr>
        <w:t>impli</w:t>
      </w:r>
      <w:r w:rsidR="00E05E1F" w:rsidRPr="00C94F95">
        <w:rPr>
          <w:rFonts w:ascii="Arial" w:hAnsi="Arial" w:cs="Arial"/>
          <w:bCs/>
          <w:szCs w:val="24"/>
          <w:lang w:val="es-MX" w:eastAsia="es-ES_tradnl"/>
        </w:rPr>
        <w:t>que</w:t>
      </w:r>
      <w:r w:rsidRPr="00C94F95">
        <w:rPr>
          <w:rFonts w:ascii="Arial" w:hAnsi="Arial" w:cs="Arial"/>
          <w:bCs/>
          <w:szCs w:val="24"/>
          <w:lang w:val="es-MX" w:eastAsia="es-ES_tradnl"/>
        </w:rPr>
        <w:t xml:space="preserve"> </w:t>
      </w:r>
      <w:r w:rsidR="00661BFB" w:rsidRPr="00C94F95">
        <w:rPr>
          <w:rFonts w:ascii="Arial" w:hAnsi="Arial" w:cs="Arial"/>
          <w:bCs/>
          <w:szCs w:val="24"/>
          <w:lang w:val="es-MX" w:eastAsia="es-ES_tradnl"/>
        </w:rPr>
        <w:t>erogación de recursos</w:t>
      </w:r>
      <w:r w:rsidR="00F2135C" w:rsidRPr="00C94F95">
        <w:rPr>
          <w:rFonts w:ascii="Arial" w:hAnsi="Arial" w:cs="Arial"/>
          <w:bCs/>
          <w:szCs w:val="24"/>
          <w:lang w:val="es-MX" w:eastAsia="es-ES_tradnl"/>
        </w:rPr>
        <w:t>.</w:t>
      </w:r>
    </w:p>
    <w:p w14:paraId="40C42633" w14:textId="77777777" w:rsidR="00CD4A24" w:rsidRPr="00C94F95" w:rsidRDefault="00CD4A24" w:rsidP="004A7577">
      <w:pPr>
        <w:spacing w:after="0" w:line="276" w:lineRule="auto"/>
        <w:rPr>
          <w:rFonts w:ascii="Arial" w:hAnsi="Arial" w:cs="Arial"/>
          <w:szCs w:val="24"/>
          <w:lang w:val="es-ES_tradnl" w:eastAsia="es-ES_tradnl"/>
        </w:rPr>
      </w:pPr>
    </w:p>
    <w:p w14:paraId="3FFA43AD" w14:textId="5C393D7B" w:rsidR="00CD4A24" w:rsidRPr="00C94F95" w:rsidRDefault="00291AAD" w:rsidP="00CD4A24">
      <w:pPr>
        <w:tabs>
          <w:tab w:val="left" w:pos="426"/>
        </w:tabs>
        <w:spacing w:after="0" w:line="276" w:lineRule="auto"/>
        <w:jc w:val="both"/>
        <w:rPr>
          <w:rFonts w:ascii="Arial" w:hAnsi="Arial" w:cs="Arial"/>
          <w:b/>
          <w:bCs/>
          <w:szCs w:val="24"/>
          <w:lang w:val="es-ES_tradnl" w:eastAsia="es-ES_tradnl"/>
        </w:rPr>
      </w:pPr>
      <w:r w:rsidRPr="00C94F95">
        <w:rPr>
          <w:rFonts w:ascii="Arial" w:hAnsi="Arial" w:cs="Arial"/>
          <w:b/>
          <w:bCs/>
          <w:szCs w:val="24"/>
          <w:lang w:val="es-ES_tradnl" w:eastAsia="es-ES_tradnl"/>
        </w:rPr>
        <w:t>2.</w:t>
      </w:r>
      <w:r w:rsidR="00CD4A24" w:rsidRPr="00C94F95">
        <w:rPr>
          <w:rFonts w:ascii="Arial" w:hAnsi="Arial" w:cs="Arial"/>
          <w:b/>
          <w:bCs/>
          <w:szCs w:val="24"/>
          <w:lang w:val="es-ES_tradnl" w:eastAsia="es-ES_tradnl"/>
        </w:rPr>
        <w:t xml:space="preserve">3. El SECOP como mecanismo para garantizar el principio de publicidad en la contratación estatal </w:t>
      </w:r>
    </w:p>
    <w:p w14:paraId="7F0312D2" w14:textId="77777777" w:rsidR="00CD4A24" w:rsidRPr="00C94F95" w:rsidRDefault="00CD4A24" w:rsidP="00CD4A24">
      <w:pPr>
        <w:spacing w:after="0" w:line="276" w:lineRule="auto"/>
        <w:jc w:val="both"/>
        <w:rPr>
          <w:rFonts w:ascii="Arial" w:hAnsi="Arial" w:cs="Arial"/>
          <w:szCs w:val="24"/>
          <w:lang w:val="es-ES_tradnl" w:eastAsia="es-ES_tradnl"/>
        </w:rPr>
      </w:pPr>
    </w:p>
    <w:p w14:paraId="33F5ED5D" w14:textId="77777777" w:rsidR="00CD4A24" w:rsidRPr="00C94F95" w:rsidRDefault="00CD4A24" w:rsidP="00A61013">
      <w:pPr>
        <w:spacing w:after="0" w:line="276" w:lineRule="auto"/>
        <w:jc w:val="both"/>
        <w:rPr>
          <w:rFonts w:ascii="Arial" w:hAnsi="Arial" w:cs="Arial"/>
          <w:szCs w:val="24"/>
          <w:lang w:val="es-ES_tradnl" w:eastAsia="es-ES_tradnl"/>
        </w:rPr>
      </w:pPr>
      <w:r w:rsidRPr="00C94F95">
        <w:rPr>
          <w:rFonts w:ascii="Arial" w:hAnsi="Arial" w:cs="Arial"/>
          <w:szCs w:val="24"/>
          <w:lang w:val="es-ES_tradnl" w:eastAsia="es-ES_tradnl"/>
        </w:rPr>
        <w:t>El artículo 3 de la Ley 1150 de 2007 señala que los actos relacionados con los procedimientos de contratación de las entidades estatales pueden ser electrónicos, al igual que su publicidad, por lo que el Gobierno nacional debe definir los medios para llevarlo a cabo, y tiene la obligación de desarrollar el SECOP</w:t>
      </w:r>
      <w:r w:rsidRPr="00C94F95">
        <w:rPr>
          <w:rFonts w:ascii="Arial" w:hAnsi="Arial" w:cs="Arial"/>
          <w:szCs w:val="24"/>
          <w:vertAlign w:val="superscript"/>
          <w:lang w:val="es-ES_tradnl" w:eastAsia="es-ES_tradnl"/>
        </w:rPr>
        <w:footnoteReference w:id="10"/>
      </w:r>
      <w:r w:rsidRPr="00C94F95">
        <w:rPr>
          <w:rFonts w:ascii="Arial" w:hAnsi="Arial" w:cs="Arial"/>
          <w:szCs w:val="24"/>
          <w:lang w:val="es-ES_tradnl" w:eastAsia="es-ES_tradnl"/>
        </w:rPr>
        <w:t xml:space="preserve">. Este sistema debe contar con la </w:t>
      </w:r>
      <w:r w:rsidRPr="00C94F95">
        <w:rPr>
          <w:rFonts w:ascii="Arial" w:hAnsi="Arial" w:cs="Arial"/>
          <w:szCs w:val="24"/>
          <w:lang w:val="es-ES_tradnl" w:eastAsia="es-ES_tradnl"/>
        </w:rPr>
        <w:lastRenderedPageBreak/>
        <w:t>información oficial de los procedimientos contractuales de las entidades, de lo cual será la única fuente, teniendo en cuenta que se ejecutan recursos públicos y por ende la ciudadanía tiene derecho a conocer cómo se invierten, y controlar que el objetivo sea la satisfacción de sus necesidades.</w:t>
      </w:r>
    </w:p>
    <w:p w14:paraId="7C9FD1FD" w14:textId="77777777" w:rsidR="00CD4A24" w:rsidRPr="00C94F95" w:rsidRDefault="00CD4A24" w:rsidP="00A61013">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La norma citada genera un cambio en la contratación pública, donde las actuaciones de las entidades se realizaban por escrito y en papel, y ahora se cuenta con un mecanismo eficiente que reduce costos para que se cumpla el principio de publicidad, como un deber de las autoridades públicas en el ejercicio de las funciones administrativas que la ley les otorga. No obstante, es necesario aclarar que la norma no impone como requisito que únicamente se deba publicar en el SECOP cuando se ejecuten recursos públicos, ya que el deber de publicidad es amplio. Esto teniendo en cuenta que la obligación está prevista en una norma que aplica a las entidades, sin que sea relevante en el cumplimiento de este deber la ejecución o no de recursos públicos.</w:t>
      </w:r>
    </w:p>
    <w:p w14:paraId="1A47C283" w14:textId="77777777" w:rsidR="00CD4A24" w:rsidRPr="00C94F95" w:rsidRDefault="00CD4A24" w:rsidP="00A61013">
      <w:pPr>
        <w:spacing w:before="120" w:after="0" w:line="276" w:lineRule="auto"/>
        <w:ind w:firstLine="708"/>
        <w:jc w:val="both"/>
        <w:rPr>
          <w:rFonts w:ascii="Arial" w:hAnsi="Arial" w:cs="Arial"/>
          <w:szCs w:val="24"/>
          <w:lang w:val="es-ES_tradnl" w:eastAsia="es-ES_tradnl"/>
        </w:rPr>
      </w:pPr>
      <w:r w:rsidRPr="00C94F95">
        <w:rPr>
          <w:rFonts w:ascii="Arial" w:hAnsi="Arial" w:cs="Arial"/>
          <w:szCs w:val="24"/>
          <w:lang w:val="es-ES_tradnl" w:eastAsia="es-ES_tradnl"/>
        </w:rPr>
        <w:t xml:space="preserve">Además, es preciso analizar en detalle el artículo 3 de la Ley 1150 de 2007, ya que prescribe la obligación de que la actividad contractual de las entidades se publique en el SECOP, sin que esta, necesaria y exclusivamente, involucre recursos públicos. Por el contrario, la norma es general al referirse a los actos derivados de las etapas de un procedimiento contractual, lo cual hace énfasis en que el objetivo de la ley es la contratación que realizan las entidades, y no únicamente los recursos públicos que se ejecuten para la satisfacción de las necesidades. Esto debe armonizarse con el artículo 2.2.1.1.1.7.1. del Decreto 1082 de 2015, que relacionan los documentos que se deben publicar en el SECOP, sin que se haga referencia a aquellos actos que ejecuten recursos públicos. </w:t>
      </w:r>
    </w:p>
    <w:p w14:paraId="4DFDC8C5" w14:textId="77777777" w:rsidR="00CD4A24" w:rsidRPr="00C94F95" w:rsidRDefault="00CD4A24" w:rsidP="00A61013">
      <w:pPr>
        <w:spacing w:before="120" w:after="0" w:line="276" w:lineRule="auto"/>
        <w:ind w:firstLine="708"/>
        <w:jc w:val="both"/>
        <w:rPr>
          <w:rFonts w:ascii="Arial" w:hAnsi="Arial" w:cs="Arial"/>
          <w:szCs w:val="24"/>
          <w:lang w:val="es-ES_tradnl" w:eastAsia="es-ES_tradnl"/>
        </w:rPr>
      </w:pPr>
      <w:r w:rsidRPr="00C94F95">
        <w:rPr>
          <w:rFonts w:ascii="Arial" w:hAnsi="Arial" w:cs="Arial"/>
          <w:szCs w:val="24"/>
          <w:lang w:val="es-ES_tradnl" w:eastAsia="es-ES_tradnl"/>
        </w:rPr>
        <w:t xml:space="preserve">Así, analizando las normas sobre publicidad en el SECOP, se concluye que no existen disposiciones de las que se pueda inferir el interés de la ley en exigir la publicación exclusiva de los actos que comprometan la ejecución de recursos públicos, puesto que su objetivo es general y se refiere a la actividad precontractual, contractual y poscontractual de las entidades, sin que quepa interpretación diferente, debido a la finalidad de la ley </w:t>
      </w:r>
      <w:r w:rsidRPr="00C94F95">
        <w:rPr>
          <w:rFonts w:ascii="Arial" w:hAnsi="Arial" w:cs="Arial"/>
          <w:szCs w:val="24"/>
          <w:lang w:val="es-ES_tradnl" w:eastAsia="es-ES_tradnl"/>
        </w:rPr>
        <w:lastRenderedPageBreak/>
        <w:t>respecto de la ciudadanía y su derecho a conocer las decisiones de la Administración pública.</w:t>
      </w:r>
    </w:p>
    <w:p w14:paraId="1C0C1BB7" w14:textId="77777777" w:rsidR="00CD4A24" w:rsidRPr="00C94F95" w:rsidRDefault="00CD4A24" w:rsidP="00A61013">
      <w:pPr>
        <w:spacing w:before="120" w:after="0" w:line="276" w:lineRule="auto"/>
        <w:ind w:firstLine="708"/>
        <w:jc w:val="both"/>
        <w:rPr>
          <w:rFonts w:ascii="Arial" w:hAnsi="Arial" w:cs="Arial"/>
          <w:szCs w:val="24"/>
          <w:lang w:val="es-ES_tradnl" w:eastAsia="es-ES_tradnl"/>
        </w:rPr>
      </w:pPr>
      <w:r w:rsidRPr="00C94F95">
        <w:rPr>
          <w:rFonts w:ascii="Arial" w:hAnsi="Arial" w:cs="Arial"/>
          <w:szCs w:val="24"/>
          <w:lang w:val="es-ES_tradnl" w:eastAsia="es-ES_tradnl"/>
        </w:rPr>
        <w:t>La Corte Constitucional hizo énfasis en la transición de la actividad contractual impresa, que se publicaba en el Diario Único de Contratación, a una contratación pública electrónica desarrollada mediante el SECOP:</w:t>
      </w:r>
    </w:p>
    <w:p w14:paraId="178FEF69" w14:textId="77777777" w:rsidR="00CD4A24" w:rsidRPr="00E65CA2" w:rsidRDefault="00CD4A24" w:rsidP="00932C0F">
      <w:pPr>
        <w:spacing w:after="0" w:line="276" w:lineRule="auto"/>
        <w:jc w:val="both"/>
        <w:rPr>
          <w:rFonts w:ascii="Arial" w:hAnsi="Arial" w:cs="Arial"/>
          <w:lang w:val="es-MX"/>
        </w:rPr>
      </w:pPr>
    </w:p>
    <w:p w14:paraId="40B38795" w14:textId="7800EB0F" w:rsidR="00CD4A24" w:rsidRPr="00C94F95" w:rsidRDefault="00CD4A24" w:rsidP="00932C0F">
      <w:pPr>
        <w:spacing w:after="0" w:line="240" w:lineRule="auto"/>
        <w:ind w:left="709" w:right="709"/>
        <w:jc w:val="both"/>
        <w:rPr>
          <w:rFonts w:ascii="Arial" w:hAnsi="Arial" w:cs="Arial"/>
          <w:szCs w:val="24"/>
          <w:lang w:val="es-ES_tradnl" w:eastAsia="es-ES_tradnl"/>
        </w:rPr>
      </w:pPr>
      <w:r w:rsidRPr="00C94F95">
        <w:rPr>
          <w:rFonts w:ascii="Arial" w:hAnsi="Arial" w:cs="Arial"/>
          <w:szCs w:val="24"/>
          <w:lang w:val="es-ES_tradnl" w:eastAsia="es-ES_tradnl"/>
        </w:rPr>
        <w:t>En cuanto a que la supresión de la publicación en el Diario Único de Contratación fuese necesaria, y en consecuencia ajena al ámbito de las facultades extraordinarias conferidas, se concluye que, si bien la publicación de los contratos estatales puede tenerse como requisito esencial para la ejecución y control público de los contratos oficiales, no así su inclusión en una forma específica de divulgación, como el DUC. Por el contrario, al disponerse que sea publicado en un medio electrónico, al cargo y cuidado de la Agencia Nacional de Contratación Pública —Colombia Compra Eficiente—, se asegura la regularidad de este tipo de trámite, en manos de una entidad responsable de realizarlo; y, simultáneamente, se cumple la finalidad de la publicación, que no otra distinta de brindarle al público la posibilidad de acceso fácil, oportuno, idóneo y eficaz a los términos de la contratación estatal.</w:t>
      </w:r>
    </w:p>
    <w:p w14:paraId="5646894C" w14:textId="77777777" w:rsidR="00932C0F" w:rsidRPr="00C94F95" w:rsidRDefault="00932C0F" w:rsidP="00932C0F">
      <w:pPr>
        <w:spacing w:after="0" w:line="240" w:lineRule="auto"/>
        <w:ind w:left="709" w:right="709"/>
        <w:jc w:val="both"/>
        <w:rPr>
          <w:rFonts w:ascii="Arial" w:hAnsi="Arial" w:cs="Arial"/>
          <w:szCs w:val="24"/>
          <w:lang w:val="es-ES_tradnl" w:eastAsia="es-ES_tradnl"/>
        </w:rPr>
      </w:pPr>
    </w:p>
    <w:p w14:paraId="42652F9A" w14:textId="77777777" w:rsidR="00CD4A24" w:rsidRPr="00E65CA2" w:rsidRDefault="00CD4A24" w:rsidP="00932C0F">
      <w:pPr>
        <w:spacing w:after="0" w:line="240" w:lineRule="auto"/>
        <w:ind w:left="709" w:right="709"/>
        <w:jc w:val="both"/>
        <w:rPr>
          <w:rFonts w:ascii="Arial" w:hAnsi="Arial" w:cs="Arial"/>
          <w:sz w:val="21"/>
          <w:szCs w:val="21"/>
          <w:lang w:val="es-MX"/>
        </w:rPr>
      </w:pPr>
      <w:r w:rsidRPr="00C94F95">
        <w:rPr>
          <w:rFonts w:ascii="Arial" w:hAnsi="Arial" w:cs="Arial"/>
          <w:szCs w:val="24"/>
          <w:lang w:val="es-ES_tradnl" w:eastAsia="es-ES_tradnl"/>
        </w:rPr>
        <w:t>Para la Corte, la publicación de los contratos estatales en el SECOP cumple cabalmente con las exigencias constitucionales de publicidad administrativa. En efecto, permite la presentación de la totalidad del contenido aludido, en un medio al que puede tener acceso al público en general, facilitando a los ciudadanos el conocimiento de las actuaciones de la administración y de los particulares en los procesos de contratación estatal y facilitando su participación en las decisiones que les afectan. Y, de conteras, suple algunas de las limitaciones de las que adolecía el Diario Único de Contratación, en términos de cobertura geográfica, de cantidad de ejemplares y de posibilidad de acceso por parte de la ciudadanía</w:t>
      </w:r>
      <w:r w:rsidRPr="00E65CA2">
        <w:rPr>
          <w:rFonts w:ascii="Arial" w:hAnsi="Arial" w:cs="Arial"/>
          <w:vertAlign w:val="superscript"/>
          <w:lang w:val="es-MX"/>
        </w:rPr>
        <w:footnoteReference w:id="11"/>
      </w:r>
      <w:r w:rsidRPr="00E65CA2">
        <w:rPr>
          <w:rFonts w:ascii="Arial" w:hAnsi="Arial" w:cs="Arial"/>
          <w:sz w:val="21"/>
          <w:szCs w:val="21"/>
          <w:lang w:val="es-MX"/>
        </w:rPr>
        <w:t>.</w:t>
      </w:r>
    </w:p>
    <w:p w14:paraId="3EE003EF" w14:textId="77777777" w:rsidR="00CD4A24" w:rsidRPr="00E65CA2" w:rsidRDefault="00CD4A24" w:rsidP="00932C0F">
      <w:pPr>
        <w:spacing w:after="0" w:line="276" w:lineRule="auto"/>
        <w:ind w:left="709" w:right="680"/>
        <w:jc w:val="both"/>
        <w:rPr>
          <w:rFonts w:ascii="Arial" w:hAnsi="Arial" w:cs="Arial"/>
          <w:sz w:val="21"/>
          <w:szCs w:val="21"/>
          <w:lang w:val="es-MX"/>
        </w:rPr>
      </w:pPr>
    </w:p>
    <w:p w14:paraId="0189274C" w14:textId="2C4F3D3F" w:rsidR="00CD4A24" w:rsidRPr="00C94F95" w:rsidRDefault="00CD4A24" w:rsidP="00932C0F">
      <w:pPr>
        <w:spacing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 xml:space="preserve">De acuerdo con lo anterior, sobre la obligatoriedad de publicar en el SECOP </w:t>
      </w:r>
      <w:r w:rsidR="00932C0F" w:rsidRPr="00C94F95">
        <w:rPr>
          <w:rFonts w:ascii="Arial" w:hAnsi="Arial" w:cs="Arial"/>
          <w:szCs w:val="24"/>
          <w:lang w:val="es-ES_tradnl" w:eastAsia="es-ES_tradnl"/>
        </w:rPr>
        <w:t xml:space="preserve">en los contratos </w:t>
      </w:r>
      <w:r w:rsidR="00545D21" w:rsidRPr="00C94F95">
        <w:rPr>
          <w:rFonts w:ascii="Arial" w:hAnsi="Arial" w:cs="Arial"/>
          <w:szCs w:val="24"/>
          <w:lang w:val="es-ES_tradnl" w:eastAsia="es-ES_tradnl"/>
        </w:rPr>
        <w:t>sin erogación presupuestal</w:t>
      </w:r>
      <w:r w:rsidR="00932C0F" w:rsidRPr="00C94F95">
        <w:rPr>
          <w:rFonts w:ascii="Arial" w:hAnsi="Arial" w:cs="Arial"/>
          <w:szCs w:val="24"/>
          <w:lang w:val="es-ES_tradnl" w:eastAsia="es-ES_tradnl"/>
        </w:rPr>
        <w:t>, esta</w:t>
      </w:r>
      <w:r w:rsidRPr="00C94F95">
        <w:rPr>
          <w:rFonts w:ascii="Arial" w:hAnsi="Arial" w:cs="Arial"/>
          <w:szCs w:val="24"/>
          <w:lang w:val="es-ES_tradnl" w:eastAsia="es-ES_tradnl"/>
        </w:rPr>
        <w:t xml:space="preserve"> Agencia en el concepto C-087 del 4 marzo de 2020 consideró que</w:t>
      </w:r>
      <w:r w:rsidR="00932C0F" w:rsidRPr="00C94F95">
        <w:rPr>
          <w:rFonts w:ascii="Arial" w:hAnsi="Arial" w:cs="Arial"/>
          <w:szCs w:val="24"/>
          <w:lang w:val="es-ES_tradnl" w:eastAsia="es-ES_tradnl"/>
        </w:rPr>
        <w:t xml:space="preserve"> </w:t>
      </w:r>
      <w:r w:rsidR="00932C0F" w:rsidRPr="00C94F95">
        <w:rPr>
          <w:rFonts w:ascii="Arial" w:hAnsi="Arial" w:cs="Arial"/>
          <w:bCs/>
        </w:rPr>
        <w:t>«</w:t>
      </w:r>
      <w:r w:rsidRPr="00C94F95">
        <w:rPr>
          <w:rFonts w:ascii="Arial" w:hAnsi="Arial" w:cs="Arial"/>
          <w:lang w:val="es-ES_tradnl" w:eastAsia="es-ES_tradnl"/>
        </w:rPr>
        <w:t xml:space="preserve">la obligatoriedad de publicar las actuaciones contractuales de las entidades no está sujeta a la ejecución de recursos públicos, por ende, las entidades deben publicar los documentos relacionados con sus procedimientos contractuales, que según el </w:t>
      </w:r>
      <w:r w:rsidRPr="00C94F95">
        <w:rPr>
          <w:rFonts w:ascii="Arial" w:hAnsi="Arial" w:cs="Arial"/>
          <w:lang w:val="es-ES_tradnl" w:eastAsia="es-ES_tradnl"/>
        </w:rPr>
        <w:lastRenderedPageBreak/>
        <w:t>artículo 2.2.1.1.1.3.1. del Decreto 1082 de 2015, incluyen el contrato y cualquier otro documento expedido por la entidad en el desarrollo de esa actividad</w:t>
      </w:r>
      <w:r w:rsidR="00932C0F" w:rsidRPr="00C94F95">
        <w:rPr>
          <w:rFonts w:ascii="Arial" w:hAnsi="Arial" w:cs="Arial"/>
          <w:szCs w:val="24"/>
          <w:lang w:val="es-ES_tradnl" w:eastAsia="es-ES_tradnl"/>
        </w:rPr>
        <w:t>»</w:t>
      </w:r>
      <w:r w:rsidRPr="00C94F95">
        <w:rPr>
          <w:rFonts w:ascii="Arial" w:hAnsi="Arial" w:cs="Arial"/>
          <w:szCs w:val="24"/>
          <w:vertAlign w:val="superscript"/>
          <w:lang w:val="es-ES_tradnl" w:eastAsia="es-ES_tradnl"/>
        </w:rPr>
        <w:footnoteReference w:id="12"/>
      </w:r>
      <w:r w:rsidRPr="00C94F95">
        <w:rPr>
          <w:rFonts w:ascii="Arial" w:hAnsi="Arial" w:cs="Arial"/>
          <w:szCs w:val="24"/>
          <w:vertAlign w:val="superscript"/>
          <w:lang w:val="es-ES_tradnl" w:eastAsia="es-ES_tradnl"/>
        </w:rPr>
        <w:t>.</w:t>
      </w:r>
    </w:p>
    <w:p w14:paraId="05B54529" w14:textId="1703BE7F" w:rsidR="00CD4A24" w:rsidRPr="00C94F95" w:rsidRDefault="00CD4A24" w:rsidP="00291AAD">
      <w:pPr>
        <w:spacing w:before="120" w:after="0" w:line="276" w:lineRule="auto"/>
        <w:ind w:firstLine="709"/>
        <w:jc w:val="both"/>
        <w:rPr>
          <w:rFonts w:ascii="Arial" w:hAnsi="Arial" w:cs="Arial"/>
          <w:szCs w:val="24"/>
          <w:lang w:val="es-ES_tradnl" w:eastAsia="es-ES_tradnl"/>
        </w:rPr>
      </w:pPr>
      <w:r w:rsidRPr="00C94F95">
        <w:rPr>
          <w:rFonts w:ascii="Arial" w:hAnsi="Arial" w:cs="Arial"/>
          <w:szCs w:val="24"/>
          <w:lang w:val="es-ES_tradnl" w:eastAsia="es-ES_tradnl"/>
        </w:rPr>
        <w:t>Debe precisarse que la calidad de contrato estatal obedece a un criterio eminentemente orgánico</w:t>
      </w:r>
      <w:r w:rsidRPr="00C94F95">
        <w:rPr>
          <w:rFonts w:ascii="Arial" w:hAnsi="Arial" w:cs="Arial"/>
          <w:szCs w:val="24"/>
          <w:vertAlign w:val="superscript"/>
          <w:lang w:val="es-ES_tradnl" w:eastAsia="es-ES_tradnl"/>
        </w:rPr>
        <w:footnoteReference w:id="13"/>
      </w:r>
      <w:r w:rsidRPr="00C94F95">
        <w:rPr>
          <w:rFonts w:ascii="Arial" w:hAnsi="Arial" w:cs="Arial"/>
          <w:szCs w:val="24"/>
          <w:vertAlign w:val="superscript"/>
          <w:lang w:val="es-ES_tradnl" w:eastAsia="es-ES_tradnl"/>
        </w:rPr>
        <w:t>,</w:t>
      </w:r>
      <w:r w:rsidRPr="00C94F95">
        <w:rPr>
          <w:rFonts w:ascii="Arial" w:hAnsi="Arial" w:cs="Arial"/>
          <w:szCs w:val="24"/>
          <w:lang w:val="es-ES_tradnl" w:eastAsia="es-ES_tradnl"/>
        </w:rPr>
        <w:t xml:space="preserve"> por lo que son todos aquellos celebrados por alguna de entidad estatal, de las cuales, las enlistadas en el artículo 2 de la Ley 80 de 1993, están obligadas a aplicar las normas contenidas en dicha ley. No obstante, la Ley 80 de 1993, la Ley 1150 de 1993 y su reglamentación, no constituyen un conjunto de normas que por sí solas gobiernen el grueso de las relaciones contractuales de las entidades estatales –de acuerdo con el artículo 2 </w:t>
      </w:r>
      <w:r w:rsidR="00932C0F" w:rsidRPr="00C94F95">
        <w:rPr>
          <w:rFonts w:ascii="Arial" w:hAnsi="Arial" w:cs="Arial"/>
          <w:szCs w:val="24"/>
          <w:lang w:val="es-ES_tradnl" w:eastAsia="es-ES_tradnl"/>
        </w:rPr>
        <w:t>Ibidem</w:t>
      </w:r>
      <w:r w:rsidRPr="00C94F95">
        <w:rPr>
          <w:rFonts w:ascii="Arial" w:hAnsi="Arial" w:cs="Arial"/>
          <w:szCs w:val="24"/>
          <w:lang w:val="es-ES_tradnl" w:eastAsia="es-ES_tradnl"/>
        </w:rPr>
        <w:t>–. Por el contrario, constituyen una serie de reglas y principios que deben aplicarse de manera prevalente en los contratos que celebren dichos entes, pero que deben complementarse con el derecho privado, –tal como se desprende de los artículos 13 y 40 de la Ley 80 de 1993</w:t>
      </w:r>
      <w:r w:rsidRPr="00C94F95">
        <w:rPr>
          <w:rFonts w:ascii="Arial" w:hAnsi="Arial" w:cs="Arial"/>
          <w:szCs w:val="24"/>
          <w:vertAlign w:val="superscript"/>
          <w:lang w:val="es-ES_tradnl" w:eastAsia="es-ES_tradnl"/>
        </w:rPr>
        <w:footnoteReference w:id="14"/>
      </w:r>
      <w:r w:rsidRPr="00C94F95">
        <w:rPr>
          <w:rFonts w:ascii="Arial" w:hAnsi="Arial" w:cs="Arial"/>
          <w:szCs w:val="24"/>
          <w:lang w:val="es-ES_tradnl" w:eastAsia="es-ES_tradnl"/>
        </w:rPr>
        <w:t>– ámbito jurídico del que surgen la gran mayoría de tipologías contractuales celebradas por las entidades públicas.</w:t>
      </w:r>
    </w:p>
    <w:p w14:paraId="162AF25E" w14:textId="44305E8C" w:rsidR="00CD4A24" w:rsidRPr="00C94F95" w:rsidRDefault="00CD4A24" w:rsidP="00291AAD">
      <w:pPr>
        <w:spacing w:before="120" w:after="0" w:line="276" w:lineRule="auto"/>
        <w:ind w:firstLine="708"/>
        <w:jc w:val="both"/>
        <w:rPr>
          <w:rFonts w:ascii="Arial" w:hAnsi="Arial" w:cs="Arial"/>
          <w:szCs w:val="24"/>
          <w:lang w:val="es-ES_tradnl" w:eastAsia="es-ES_tradnl"/>
        </w:rPr>
      </w:pPr>
      <w:r w:rsidRPr="00C94F95">
        <w:rPr>
          <w:rFonts w:ascii="Arial" w:hAnsi="Arial" w:cs="Arial"/>
          <w:szCs w:val="24"/>
          <w:lang w:val="es-ES_tradnl" w:eastAsia="es-ES_tradnl"/>
        </w:rPr>
        <w:t xml:space="preserve">De acuerdo con esto, las entidades estatales regidas por el EGCAP están habilitadas para celebrar los contratos que suelen celebrar los particulares entre sí, en ejercicio de la autonomía de la voluntad privada. En ese sentido, puede ocurrir que dentro de la gestión ordinaria de sus competencias las entidades tengan necesidades que deban </w:t>
      </w:r>
      <w:r w:rsidRPr="00C94F95">
        <w:rPr>
          <w:rFonts w:ascii="Arial" w:hAnsi="Arial" w:cs="Arial"/>
          <w:szCs w:val="24"/>
          <w:lang w:val="es-ES_tradnl" w:eastAsia="es-ES_tradnl"/>
        </w:rPr>
        <w:lastRenderedPageBreak/>
        <w:t>ser satisfechas a través de contratos</w:t>
      </w:r>
      <w:r w:rsidR="000B5C97" w:rsidRPr="00C94F95">
        <w:rPr>
          <w:rFonts w:ascii="Arial" w:hAnsi="Arial" w:cs="Arial"/>
          <w:szCs w:val="24"/>
          <w:lang w:val="es-ES_tradnl" w:eastAsia="es-ES_tradnl"/>
        </w:rPr>
        <w:t xml:space="preserve"> como</w:t>
      </w:r>
      <w:r w:rsidR="00FB0D2A" w:rsidRPr="00C94F95">
        <w:rPr>
          <w:rFonts w:ascii="Arial" w:hAnsi="Arial" w:cs="Arial"/>
          <w:szCs w:val="24"/>
          <w:lang w:val="es-ES_tradnl" w:eastAsia="es-ES_tradnl"/>
        </w:rPr>
        <w:t xml:space="preserve"> el</w:t>
      </w:r>
      <w:r w:rsidR="000B5C97" w:rsidRPr="00C94F95">
        <w:rPr>
          <w:rFonts w:ascii="Arial" w:hAnsi="Arial" w:cs="Arial"/>
          <w:szCs w:val="24"/>
          <w:lang w:val="es-ES_tradnl" w:eastAsia="es-ES_tradnl"/>
        </w:rPr>
        <w:t xml:space="preserve"> donación</w:t>
      </w:r>
      <w:r w:rsidRPr="00C94F95">
        <w:rPr>
          <w:rFonts w:ascii="Arial" w:hAnsi="Arial" w:cs="Arial"/>
          <w:szCs w:val="24"/>
          <w:lang w:val="es-ES_tradnl" w:eastAsia="es-ES_tradnl"/>
        </w:rPr>
        <w:t xml:space="preserve">, en los que además de las disposiciones del EGCAP deberán aplicarse en su mayoría normas de derecho privado, lo que de ninguna manera desvirtúa la calidad de estatal de dichos contratos. </w:t>
      </w:r>
    </w:p>
    <w:p w14:paraId="01E776E1" w14:textId="36C7C382" w:rsidR="000B5C97" w:rsidRPr="00C94F95" w:rsidRDefault="00CD4A24" w:rsidP="00291AAD">
      <w:pPr>
        <w:spacing w:before="120" w:after="0" w:line="276" w:lineRule="auto"/>
        <w:ind w:firstLine="708"/>
        <w:jc w:val="both"/>
        <w:rPr>
          <w:rFonts w:ascii="Arial" w:hAnsi="Arial" w:cs="Arial"/>
          <w:szCs w:val="24"/>
          <w:lang w:val="es-ES_tradnl" w:eastAsia="es-ES_tradnl"/>
        </w:rPr>
      </w:pPr>
      <w:r w:rsidRPr="00C94F95">
        <w:rPr>
          <w:rFonts w:ascii="Arial" w:hAnsi="Arial" w:cs="Arial"/>
          <w:szCs w:val="24"/>
          <w:lang w:val="es-ES_tradnl" w:eastAsia="es-ES_tradnl"/>
        </w:rPr>
        <w:t>Dicha calidad de contrato estatal tampoco depende de que la relación contractual implique o no la erogación de recursos públicos, pues se reitera, ello obedece a un criterio eminentemente orgánico. De acuerdo con esto, independientemente de que las entidades estatales realicen o no desembolsos de dinero a título de contraprestación, los contratos estatales, en tanto son celebrados para satisfacer necesidades de las entidades estatales, las cuales están asociadas al cumplimiento de sus funciones administrativas y cometidos misionales, involucran un interés público. En razón a dicho interés, el legislador mediante el artículo 3 de la Ley 1150 de 2007 y la normativa de la transparencia y el acceso a la información pública, materializa los principios de publicidad y transparencia en el ámbito de la contratación estatal, estableciendo el SECOP como medio de publicidad principal de las actuaciones contractuales públicas.</w:t>
      </w:r>
    </w:p>
    <w:p w14:paraId="28A41EF4" w14:textId="44F4A491" w:rsidR="007525CC" w:rsidRPr="00C94F95" w:rsidRDefault="007525CC" w:rsidP="00291AAD">
      <w:pPr>
        <w:spacing w:before="120" w:after="0" w:line="276" w:lineRule="auto"/>
        <w:ind w:firstLine="708"/>
        <w:jc w:val="both"/>
        <w:rPr>
          <w:rFonts w:ascii="Arial" w:hAnsi="Arial" w:cs="Arial"/>
          <w:szCs w:val="24"/>
          <w:lang w:val="es-ES_tradnl" w:eastAsia="es-ES_tradnl"/>
        </w:rPr>
      </w:pPr>
      <w:r w:rsidRPr="00C94F95">
        <w:rPr>
          <w:rFonts w:ascii="Arial" w:hAnsi="Arial" w:cs="Arial"/>
          <w:bCs/>
          <w:lang w:val="es-MX"/>
        </w:rPr>
        <w:t xml:space="preserve">El numeral 1.1. </w:t>
      </w:r>
      <w:r w:rsidRPr="00C94F95">
        <w:rPr>
          <w:rFonts w:ascii="Arial" w:hAnsi="Arial" w:cs="Arial"/>
          <w:bCs/>
        </w:rPr>
        <w:t>«</w:t>
      </w:r>
      <w:r w:rsidRPr="00C94F95">
        <w:rPr>
          <w:rFonts w:ascii="Arial" w:hAnsi="Arial" w:cs="Arial"/>
          <w:bCs/>
          <w:lang w:val="es-MX"/>
        </w:rPr>
        <w:t>Quienes deben publicar la actividad contractual en el SECOP</w:t>
      </w:r>
      <w:r w:rsidRPr="00C94F95">
        <w:rPr>
          <w:rFonts w:ascii="Arial" w:hAnsi="Arial" w:cs="Arial"/>
          <w:szCs w:val="24"/>
          <w:lang w:val="es-ES_tradnl" w:eastAsia="es-ES_tradnl"/>
        </w:rPr>
        <w:t>»</w:t>
      </w:r>
      <w:r w:rsidRPr="00C94F95">
        <w:rPr>
          <w:rFonts w:ascii="Arial" w:hAnsi="Arial" w:cs="Arial"/>
          <w:bCs/>
          <w:lang w:val="es-MX"/>
        </w:rPr>
        <w:t xml:space="preserve"> de la Circular Externa </w:t>
      </w:r>
      <w:r w:rsidR="00291AAD" w:rsidRPr="00C94F95">
        <w:rPr>
          <w:rFonts w:ascii="Arial" w:hAnsi="Arial" w:cs="Arial"/>
          <w:bCs/>
          <w:lang w:val="es-MX"/>
        </w:rPr>
        <w:t xml:space="preserve">Única </w:t>
      </w:r>
      <w:r w:rsidRPr="00C94F95">
        <w:rPr>
          <w:rFonts w:ascii="Arial" w:hAnsi="Arial" w:cs="Arial"/>
          <w:bCs/>
          <w:lang w:val="es-MX"/>
        </w:rPr>
        <w:t xml:space="preserve">expedida por esta Agencia indica que </w:t>
      </w:r>
      <w:bookmarkStart w:id="5" w:name="_Hlk116657063"/>
      <w:r w:rsidRPr="00C94F95">
        <w:rPr>
          <w:rFonts w:ascii="Arial" w:hAnsi="Arial" w:cs="Arial"/>
          <w:bCs/>
        </w:rPr>
        <w:t>«</w:t>
      </w:r>
      <w:bookmarkEnd w:id="5"/>
      <w:r w:rsidRPr="00C94F95">
        <w:rPr>
          <w:rFonts w:ascii="Arial" w:hAnsi="Arial" w:cs="Arial"/>
          <w:bCs/>
          <w:lang w:val="es-ES_tradnl"/>
        </w:rPr>
        <w:t>Las Entidades Estatales que contratan con cargo a recursos públicos están obligadas a publicar oportunamente su actividad contractual en el SECOP, sin que sea relevante, para la exigencia de esta obligación, su régimen jurídico, naturaleza de pública o privada o la pertenencia a una u otra rama del poder público</w:t>
      </w:r>
      <w:r w:rsidRPr="00C94F95">
        <w:rPr>
          <w:rFonts w:ascii="Arial" w:hAnsi="Arial" w:cs="Arial"/>
          <w:bCs/>
          <w:i/>
          <w:iCs/>
          <w:lang w:val="es-ES_tradnl"/>
        </w:rPr>
        <w:t>. Esta obligación deberá cumplirse, inclusive, si la ejecución del contrato no implica erogación presupuestal</w:t>
      </w:r>
      <w:r w:rsidRPr="00C94F95">
        <w:rPr>
          <w:rFonts w:ascii="Arial" w:hAnsi="Arial" w:cs="Arial"/>
          <w:szCs w:val="24"/>
          <w:lang w:val="es-ES_tradnl" w:eastAsia="es-ES_tradnl"/>
        </w:rPr>
        <w:t>»</w:t>
      </w:r>
      <w:r w:rsidRPr="00C94F95">
        <w:rPr>
          <w:rStyle w:val="Refdenotaalpie"/>
          <w:rFonts w:ascii="Arial" w:hAnsi="Arial" w:cs="Arial"/>
          <w:szCs w:val="24"/>
          <w:lang w:val="es-ES_tradnl" w:eastAsia="es-ES_tradnl"/>
        </w:rPr>
        <w:footnoteReference w:id="15"/>
      </w:r>
      <w:r w:rsidRPr="00C94F95">
        <w:rPr>
          <w:rFonts w:ascii="Arial" w:hAnsi="Arial" w:cs="Arial"/>
          <w:szCs w:val="24"/>
          <w:lang w:val="es-ES_tradnl" w:eastAsia="es-ES_tradnl"/>
        </w:rPr>
        <w:t xml:space="preserve"> (Énfasis por fuera de texto).</w:t>
      </w:r>
    </w:p>
    <w:p w14:paraId="52593645" w14:textId="59E9EA57" w:rsidR="000B5C97" w:rsidRPr="00C94F95" w:rsidRDefault="00EE29D9" w:rsidP="00291AAD">
      <w:pPr>
        <w:spacing w:before="120" w:after="0" w:line="276" w:lineRule="auto"/>
        <w:ind w:firstLine="709"/>
        <w:jc w:val="both"/>
        <w:rPr>
          <w:rFonts w:ascii="Arial" w:hAnsi="Arial" w:cs="Arial"/>
          <w:szCs w:val="24"/>
          <w:lang w:val="es-ES_tradnl" w:eastAsia="es-ES_tradnl"/>
        </w:rPr>
      </w:pPr>
      <w:r>
        <w:rPr>
          <w:rFonts w:ascii="Arial" w:hAnsi="Arial" w:cs="Arial"/>
          <w:szCs w:val="24"/>
          <w:lang w:val="es-ES_tradnl" w:eastAsia="es-ES_tradnl"/>
        </w:rPr>
        <w:t>En conclusión</w:t>
      </w:r>
      <w:r w:rsidR="000B5C97" w:rsidRPr="00C94F95">
        <w:rPr>
          <w:rFonts w:ascii="Arial" w:hAnsi="Arial" w:cs="Arial"/>
          <w:szCs w:val="24"/>
          <w:lang w:val="es-ES_tradnl" w:eastAsia="es-ES_tradnl"/>
        </w:rPr>
        <w:t xml:space="preserve">, </w:t>
      </w:r>
      <w:r w:rsidR="000B5C97" w:rsidRPr="00C94F95">
        <w:rPr>
          <w:rFonts w:ascii="Arial" w:hAnsi="Arial" w:cs="Arial"/>
          <w:bCs/>
          <w:lang w:val="es-MX"/>
        </w:rPr>
        <w:t>la publicidad de los contratos estatales debe realizarse a través de SECOP, independientemente del régimen aplicable al contrato o que este implique o no la erogación de recursos públicos, comoquiera que las referidas normas 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de donación que tengan como parte a una entidad estatal, deberán publicarse en el SECOP independientemente del régimen aplicable o que impliquen o no erogación de recursos públicos.</w:t>
      </w:r>
    </w:p>
    <w:p w14:paraId="4C055FC7" w14:textId="6912FA97" w:rsidR="00DE3B48" w:rsidRPr="00C94F95" w:rsidRDefault="00DE3B48" w:rsidP="002A68BF">
      <w:pPr>
        <w:spacing w:after="0" w:line="276" w:lineRule="auto"/>
        <w:ind w:firstLine="709"/>
        <w:jc w:val="both"/>
        <w:rPr>
          <w:rFonts w:ascii="Arial" w:hAnsi="Arial" w:cs="Arial"/>
          <w:szCs w:val="24"/>
          <w:lang w:val="es-ES_tradnl" w:eastAsia="es-ES_tradnl"/>
        </w:rPr>
      </w:pPr>
    </w:p>
    <w:p w14:paraId="01C0F502" w14:textId="5CEEEEEC" w:rsidR="00F9574A" w:rsidRPr="00C94F95" w:rsidRDefault="004177A6" w:rsidP="002A68BF">
      <w:pPr>
        <w:tabs>
          <w:tab w:val="left" w:pos="0"/>
        </w:tabs>
        <w:spacing w:after="0" w:line="276" w:lineRule="auto"/>
        <w:jc w:val="both"/>
        <w:rPr>
          <w:rFonts w:ascii="Arial" w:hAnsi="Arial" w:cs="Arial"/>
          <w:b/>
          <w:color w:val="000000" w:themeColor="text1"/>
          <w:lang w:val="es-ES_tradnl"/>
        </w:rPr>
      </w:pPr>
      <w:r w:rsidRPr="00C94F95">
        <w:rPr>
          <w:rFonts w:ascii="Arial" w:hAnsi="Arial" w:cs="Arial"/>
          <w:b/>
          <w:color w:val="000000" w:themeColor="text1"/>
          <w:lang w:val="es-ES_tradnl"/>
        </w:rPr>
        <w:t>3</w:t>
      </w:r>
      <w:r w:rsidR="00B011A9" w:rsidRPr="00C94F95">
        <w:rPr>
          <w:rFonts w:ascii="Arial" w:hAnsi="Arial" w:cs="Arial"/>
          <w:b/>
          <w:color w:val="000000" w:themeColor="text1"/>
          <w:lang w:val="es-ES_tradnl"/>
        </w:rPr>
        <w:t xml:space="preserve">. </w:t>
      </w:r>
      <w:r w:rsidR="00DD5B04" w:rsidRPr="00C94F95">
        <w:rPr>
          <w:rFonts w:ascii="Arial" w:hAnsi="Arial" w:cs="Arial"/>
          <w:b/>
          <w:color w:val="000000" w:themeColor="text1"/>
          <w:lang w:val="es-ES_tradnl"/>
        </w:rPr>
        <w:t>Respuesta</w:t>
      </w:r>
    </w:p>
    <w:p w14:paraId="5550B511" w14:textId="77777777" w:rsidR="00E41229" w:rsidRPr="00C94F95" w:rsidRDefault="00E41229" w:rsidP="002A68BF">
      <w:pPr>
        <w:tabs>
          <w:tab w:val="left" w:pos="0"/>
        </w:tabs>
        <w:spacing w:after="0" w:line="276" w:lineRule="auto"/>
        <w:jc w:val="both"/>
        <w:rPr>
          <w:rFonts w:ascii="Arial" w:hAnsi="Arial" w:cs="Arial"/>
          <w:b/>
          <w:color w:val="000000" w:themeColor="text1"/>
          <w:lang w:val="es-ES_tradnl"/>
        </w:rPr>
      </w:pPr>
    </w:p>
    <w:p w14:paraId="29D25DF5" w14:textId="71FCC726" w:rsidR="006F5D91" w:rsidRPr="00C94F95" w:rsidRDefault="006F5D91" w:rsidP="00654B63">
      <w:pPr>
        <w:autoSpaceDE w:val="0"/>
        <w:autoSpaceDN w:val="0"/>
        <w:adjustRightInd w:val="0"/>
        <w:spacing w:after="0" w:line="240" w:lineRule="auto"/>
        <w:ind w:left="709" w:right="709"/>
        <w:jc w:val="both"/>
        <w:rPr>
          <w:rFonts w:ascii="Arial" w:hAnsi="Arial" w:cs="Arial"/>
          <w:bCs/>
        </w:rPr>
      </w:pPr>
      <w:r w:rsidRPr="00C94F95">
        <w:rPr>
          <w:rFonts w:ascii="Arial" w:hAnsi="Arial" w:cs="Arial"/>
          <w:bCs/>
        </w:rPr>
        <w:lastRenderedPageBreak/>
        <w:t>«Teniendo en cuenta que se reciben por parte de la entidad donaciones por parte de particulares y/ o entidades, que no generan gasto para la entidad, y como resultado es un contrato de donación en su mayoría de estudios y diseños. Se solicita informar si dichos contratos de donación deben estar incluidos en el Plan anual de adquisiciones (teniendo en cuenta que son donaciones a la entidad no viceversa) y si este contrato de donación debe publicarse en SECOP II»</w:t>
      </w:r>
    </w:p>
    <w:p w14:paraId="1D7A26F8" w14:textId="5D827ABD" w:rsidR="007F1C15" w:rsidRPr="00C94F95" w:rsidRDefault="007F1C15" w:rsidP="000B5C97">
      <w:pPr>
        <w:autoSpaceDE w:val="0"/>
        <w:autoSpaceDN w:val="0"/>
        <w:adjustRightInd w:val="0"/>
        <w:spacing w:after="0" w:line="276" w:lineRule="auto"/>
        <w:ind w:right="709"/>
        <w:jc w:val="both"/>
        <w:rPr>
          <w:rFonts w:ascii="Arial" w:hAnsi="Arial" w:cs="Arial"/>
          <w:sz w:val="21"/>
          <w:szCs w:val="21"/>
        </w:rPr>
      </w:pPr>
    </w:p>
    <w:p w14:paraId="22218F9F" w14:textId="77777777" w:rsidR="006F5D91" w:rsidRPr="00C94F95" w:rsidRDefault="006F5D91" w:rsidP="006F5D91">
      <w:pPr>
        <w:spacing w:after="0" w:line="276" w:lineRule="auto"/>
        <w:jc w:val="both"/>
        <w:rPr>
          <w:rFonts w:ascii="Arial" w:hAnsi="Arial" w:cs="Arial"/>
          <w:lang w:val="es-ES"/>
        </w:rPr>
      </w:pPr>
      <w:r w:rsidRPr="00C94F95">
        <w:rPr>
          <w:rFonts w:ascii="Arial" w:hAnsi="Arial" w:cs="Arial"/>
          <w:lang w:val="es-ES"/>
        </w:rPr>
        <w:t>De acuerdo con la explicación precedente, el plan anual de adquisiciones es un instrumento de planificación y orientación de la contratación de las entidades públicas, establecido para identificar las necesidades de contratación, en el que se incluyen, de manera estimativa, los bienes, obras y servicios que la Administración está interesada en adquirir, pero que de ninguna manera restringe las decisiones en la contratación, que habrán de adoptarse dentro de la anualidad respectiva.</w:t>
      </w:r>
    </w:p>
    <w:p w14:paraId="7C8F864C" w14:textId="0FF67B2D" w:rsidR="006F5D91" w:rsidRPr="00C94F95" w:rsidRDefault="006F5D91" w:rsidP="006F5D91">
      <w:pPr>
        <w:spacing w:before="120" w:after="0" w:line="276" w:lineRule="auto"/>
        <w:ind w:firstLine="709"/>
        <w:jc w:val="both"/>
        <w:rPr>
          <w:rFonts w:ascii="Arial" w:hAnsi="Arial" w:cs="Arial"/>
        </w:rPr>
      </w:pPr>
      <w:r w:rsidRPr="00C94F95">
        <w:rPr>
          <w:rFonts w:ascii="Arial" w:hAnsi="Arial" w:cs="Arial"/>
          <w:lang w:val="es-ES"/>
        </w:rPr>
        <w:t xml:space="preserve">El marco normativo expuesto en el </w:t>
      </w:r>
      <w:r w:rsidR="00291AAD" w:rsidRPr="00C94F95">
        <w:rPr>
          <w:rFonts w:ascii="Arial" w:hAnsi="Arial" w:cs="Arial"/>
          <w:lang w:val="es-ES"/>
        </w:rPr>
        <w:t>numeral</w:t>
      </w:r>
      <w:r w:rsidRPr="00C94F95">
        <w:rPr>
          <w:rFonts w:ascii="Arial" w:hAnsi="Arial" w:cs="Arial"/>
          <w:lang w:val="es-ES"/>
        </w:rPr>
        <w:t xml:space="preserve"> 2.2 de este concepto permite concluir que el objetivo del plan anual de adquisiciones es indicar los bienes, obras y servicios que la entidad pretende adquirir, sin consideración a la forma en que estos deberán obtenerse, pues es el criterio de necesidad de aquellos el que fundamenta la inclusión o no en la lista del plan y no el carácter pecuniario de este ni su modalidad de contratación. Por tanto, bastará con que la entidad identifique la necesidad contractual para que deba incluirlo en el listado. En ese sentido, todos los bienes, obras o servicios que la entidad tenga intención de </w:t>
      </w:r>
      <w:r w:rsidRPr="00C94F95">
        <w:rPr>
          <w:rFonts w:ascii="Arial" w:hAnsi="Arial" w:cs="Arial"/>
          <w:i/>
          <w:iCs/>
          <w:lang w:val="es-ES"/>
        </w:rPr>
        <w:t>adquirir</w:t>
      </w:r>
      <w:r w:rsidRPr="00C94F95">
        <w:rPr>
          <w:rFonts w:ascii="Arial" w:hAnsi="Arial" w:cs="Arial"/>
          <w:lang w:val="es-ES"/>
        </w:rPr>
        <w:t> deben incluirse en el plan. Es decir, la obligación de incluir un contenido específico en el plan se fundamenta únicamente en que se trate de un bien, obra o servicio que la entidad pretenda </w:t>
      </w:r>
      <w:r w:rsidRPr="00C94F95">
        <w:rPr>
          <w:rFonts w:ascii="Arial" w:hAnsi="Arial" w:cs="Arial"/>
          <w:i/>
          <w:iCs/>
          <w:lang w:val="es-ES"/>
        </w:rPr>
        <w:t>adquirir. </w:t>
      </w:r>
      <w:r w:rsidRPr="00C94F95">
        <w:rPr>
          <w:rFonts w:ascii="Arial" w:hAnsi="Arial" w:cs="Arial"/>
          <w:lang w:val="es-ES"/>
        </w:rPr>
        <w:t> De manera que, para definir si una entidad está o no obligada a incluir un contenido en particular dentro del plan anual de adquisiciones, bastará con tener claro que aquellos sean objeto de adquisición, sin consideración a la forma en que la entidad planee obtenerlos. </w:t>
      </w:r>
      <w:r w:rsidRPr="00C94F95">
        <w:rPr>
          <w:rFonts w:ascii="Arial" w:hAnsi="Arial" w:cs="Arial"/>
        </w:rPr>
        <w:t> </w:t>
      </w:r>
    </w:p>
    <w:p w14:paraId="0FBFEBC9" w14:textId="4D2C4193" w:rsidR="00F2135C" w:rsidRPr="00C94F95" w:rsidRDefault="006F5D91" w:rsidP="00F2135C">
      <w:pPr>
        <w:spacing w:before="120" w:after="0" w:line="276" w:lineRule="auto"/>
        <w:ind w:firstLine="709"/>
        <w:jc w:val="both"/>
        <w:rPr>
          <w:rFonts w:ascii="Arial" w:hAnsi="Arial" w:cs="Arial"/>
          <w:bCs/>
          <w:szCs w:val="24"/>
          <w:lang w:val="es-MX" w:eastAsia="es-ES_tradnl"/>
        </w:rPr>
      </w:pPr>
      <w:r w:rsidRPr="00C94F95">
        <w:rPr>
          <w:rFonts w:ascii="Arial" w:hAnsi="Arial" w:cs="Arial"/>
          <w:bCs/>
          <w:szCs w:val="24"/>
          <w:lang w:val="es-MX" w:eastAsia="es-ES_tradnl"/>
        </w:rPr>
        <w:t xml:space="preserve">En este contexto, tratándose de contratos que no impliquen erogación presupuestal, como pueden ser los contratos o convenios que involucran una donación, ya sea que la entidad estatal sea donante o donataria, si estos tienen por objeto la adquisición de bienes, obras y/o servicios deben estar contemplados en el plan anual de adquisiciones de la entidad. Como se advirtió, el </w:t>
      </w:r>
      <w:r w:rsidR="00F2135C" w:rsidRPr="00C94F95">
        <w:rPr>
          <w:rFonts w:ascii="Arial" w:hAnsi="Arial" w:cs="Arial"/>
          <w:bCs/>
          <w:szCs w:val="24"/>
          <w:lang w:val="es-MX" w:eastAsia="es-ES_tradnl"/>
        </w:rPr>
        <w:t>p</w:t>
      </w:r>
      <w:r w:rsidRPr="00C94F95">
        <w:rPr>
          <w:rFonts w:ascii="Arial" w:hAnsi="Arial" w:cs="Arial"/>
          <w:bCs/>
          <w:szCs w:val="24"/>
          <w:lang w:val="es-MX" w:eastAsia="es-ES_tradnl"/>
        </w:rPr>
        <w:t xml:space="preserve">lan anual de adquisiciones es un documento de planeación que permite a las entidades estatales identificar las necesidades que debe satisfacer durante la respectiva anualidad a través de la contratación e incorporarlas dentro del mismo, independientemente si la necesidad de adquisición de esos bienes, obras o servicios implique o no una erogación presupuestal. </w:t>
      </w:r>
      <w:r w:rsidR="00F2135C" w:rsidRPr="00C94F95">
        <w:rPr>
          <w:rFonts w:ascii="Arial" w:hAnsi="Arial" w:cs="Arial"/>
          <w:bCs/>
          <w:szCs w:val="24"/>
          <w:lang w:val="es-MX" w:eastAsia="es-ES_tradnl"/>
        </w:rPr>
        <w:t>En este sentido, si en el contrato o convenio de donación se identifica la necesidad de adquirir bienes, obras y/o servicio, deberá incluirse en el Plan Anual de Adquisiciones aun cuando este no implique erogación de recursos.</w:t>
      </w:r>
    </w:p>
    <w:p w14:paraId="1AC61EF0" w14:textId="276F5BE7" w:rsidR="006F5D91" w:rsidRPr="00C94F95" w:rsidRDefault="006F5D91" w:rsidP="006F5D91">
      <w:pPr>
        <w:spacing w:before="120" w:after="0" w:line="276" w:lineRule="auto"/>
        <w:ind w:firstLine="709"/>
        <w:jc w:val="both"/>
        <w:rPr>
          <w:rFonts w:ascii="Arial" w:hAnsi="Arial" w:cs="Arial"/>
          <w:bCs/>
          <w:lang w:val="es-MX"/>
        </w:rPr>
      </w:pPr>
      <w:r w:rsidRPr="00C94F95">
        <w:rPr>
          <w:rFonts w:ascii="Arial" w:hAnsi="Arial" w:cs="Arial"/>
          <w:bCs/>
        </w:rPr>
        <w:lastRenderedPageBreak/>
        <w:t xml:space="preserve">Por otro lado, </w:t>
      </w:r>
      <w:r w:rsidRPr="00C94F95">
        <w:rPr>
          <w:rFonts w:ascii="Arial" w:hAnsi="Arial" w:cs="Arial"/>
          <w:bCs/>
          <w:lang w:val="es-MX"/>
        </w:rPr>
        <w:t>la publicidad de los contratos estatales debe realizarse a través de SECOP, independientemente del régimen aplicable al contrato o que este implique o no la erogación de recursos públicos, comoquiera que las normas</w:t>
      </w:r>
      <w:r w:rsidR="00F2135C" w:rsidRPr="00C94F95">
        <w:rPr>
          <w:rFonts w:ascii="Arial" w:hAnsi="Arial" w:cs="Arial"/>
          <w:bCs/>
          <w:lang w:val="es-MX"/>
        </w:rPr>
        <w:t xml:space="preserve"> que lo reglamentan </w:t>
      </w:r>
      <w:r w:rsidRPr="00C94F95">
        <w:rPr>
          <w:rFonts w:ascii="Arial" w:hAnsi="Arial" w:cs="Arial"/>
          <w:bCs/>
          <w:lang w:val="es-MX"/>
        </w:rPr>
        <w:t>no sujetan la obligación de publicar en dicha plataforma a tales condiciones. Esto en la medida en que, independientemente de que se realice alguna erogación o se apliquen normas de derecho privado, los contratos estatales involucran un interés público, por lo que deben publicarse en el SECOP que fue el mecanismo establecido por el legislador y el reglamento para garantizar que se cumplan los principios de publicidad y transparencia respecto de los estos. En consecuencia, los contratos de donación que tengan como parte a una entidad estatal, deberán publicarse en el SECOP independientemente del régimen aplicable o que impliquen o no erogación de recursos públicos.</w:t>
      </w:r>
    </w:p>
    <w:p w14:paraId="581FFE66" w14:textId="77777777" w:rsidR="00025065" w:rsidRPr="00C94F95" w:rsidRDefault="00025065" w:rsidP="00BD020C">
      <w:pPr>
        <w:spacing w:after="0" w:line="276" w:lineRule="auto"/>
        <w:jc w:val="both"/>
        <w:rPr>
          <w:rFonts w:ascii="Arial" w:hAnsi="Arial" w:cs="Arial"/>
          <w:lang w:val="es-MX"/>
        </w:rPr>
      </w:pPr>
    </w:p>
    <w:p w14:paraId="056816F7" w14:textId="36C087E7" w:rsidR="00D40F8B" w:rsidRPr="00C94F95" w:rsidRDefault="00DD5B04" w:rsidP="00B21AD4">
      <w:pPr>
        <w:widowControl w:val="0"/>
        <w:autoSpaceDE w:val="0"/>
        <w:autoSpaceDN w:val="0"/>
        <w:spacing w:line="276" w:lineRule="auto"/>
        <w:jc w:val="both"/>
        <w:rPr>
          <w:rFonts w:ascii="Arial" w:hAnsi="Arial" w:cs="Arial"/>
          <w:lang w:val="es-ES_tradnl" w:bidi="es-ES"/>
        </w:rPr>
      </w:pPr>
      <w:r w:rsidRPr="00C94F95">
        <w:rPr>
          <w:rFonts w:ascii="Arial" w:hAnsi="Arial" w:cs="Arial"/>
          <w:color w:val="000000" w:themeColor="text1"/>
          <w:lang w:val="es-ES_tradnl"/>
        </w:rPr>
        <w:t>Este concepto tiene el alcance previsto en el artículo 28 del Código de Procedimiento Administrativo y de</w:t>
      </w:r>
      <w:r w:rsidR="00D40F8B" w:rsidRPr="00C94F95">
        <w:rPr>
          <w:rFonts w:ascii="Arial" w:hAnsi="Arial" w:cs="Arial"/>
          <w:color w:val="000000" w:themeColor="text1"/>
          <w:lang w:val="es-ES_tradnl"/>
        </w:rPr>
        <w:t xml:space="preserve"> lo Contencioso Administrativo.</w:t>
      </w:r>
    </w:p>
    <w:p w14:paraId="6F54E9C9" w14:textId="77777777" w:rsidR="00003233" w:rsidRPr="00C94F95" w:rsidRDefault="00003233" w:rsidP="00D40F8B">
      <w:pPr>
        <w:spacing w:before="120" w:line="276" w:lineRule="auto"/>
        <w:jc w:val="both"/>
        <w:rPr>
          <w:rFonts w:ascii="Arial" w:hAnsi="Arial" w:cs="Arial"/>
          <w:color w:val="000000" w:themeColor="text1"/>
          <w:lang w:val="es-ES_tradnl"/>
        </w:rPr>
      </w:pPr>
    </w:p>
    <w:p w14:paraId="349855C9" w14:textId="4E2C915B" w:rsidR="00D40F8B" w:rsidRPr="00C94F95"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C94F95">
        <w:rPr>
          <w:rFonts w:ascii="Arial" w:hAnsi="Arial" w:cs="Arial"/>
          <w:color w:val="000000" w:themeColor="text1"/>
          <w:sz w:val="22"/>
          <w:szCs w:val="22"/>
          <w:lang w:val="es-ES_tradnl"/>
        </w:rPr>
        <w:t>Atentamente,</w:t>
      </w:r>
    </w:p>
    <w:p w14:paraId="10A1E411" w14:textId="1FEA74A6" w:rsidR="00D40F8B" w:rsidRPr="00C94F95" w:rsidRDefault="00CF405E" w:rsidP="00003233">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0089DA1A" wp14:editId="4380CA19">
            <wp:extent cx="2774950" cy="106426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stretch>
                      <a:fillRect/>
                    </a:stretch>
                  </pic:blipFill>
                  <pic:spPr>
                    <a:xfrm>
                      <a:off x="0" y="0"/>
                      <a:ext cx="2774950" cy="1064260"/>
                    </a:xfrm>
                    <a:prstGeom prst="rect">
                      <a:avLst/>
                    </a:prstGeom>
                  </pic:spPr>
                </pic:pic>
              </a:graphicData>
            </a:graphic>
          </wp:inline>
        </w:drawing>
      </w:r>
    </w:p>
    <w:p w14:paraId="1ED13883" w14:textId="77777777" w:rsidR="00003233" w:rsidRPr="00C94F95" w:rsidRDefault="00003233" w:rsidP="00AD4A51">
      <w:pPr>
        <w:pStyle w:val="NormalWeb"/>
        <w:spacing w:before="0" w:beforeAutospacing="0" w:after="0" w:afterAutospacing="0"/>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5B04" w:rsidRPr="00E65CA2" w14:paraId="0C7DC5F7" w14:textId="77777777" w:rsidTr="00D40F8B">
        <w:trPr>
          <w:trHeight w:val="160"/>
        </w:trPr>
        <w:tc>
          <w:tcPr>
            <w:tcW w:w="812" w:type="dxa"/>
            <w:vAlign w:val="center"/>
            <w:hideMark/>
          </w:tcPr>
          <w:p w14:paraId="5BDB1AC9" w14:textId="77777777" w:rsidR="00DD5B04" w:rsidRPr="00C94F95" w:rsidRDefault="00DD5B04" w:rsidP="00AD4A51">
            <w:pPr>
              <w:spacing w:after="0" w:line="240" w:lineRule="auto"/>
              <w:jc w:val="both"/>
              <w:rPr>
                <w:rFonts w:ascii="Arial" w:hAnsi="Arial" w:cs="Arial"/>
                <w:color w:val="000000" w:themeColor="text1"/>
                <w:sz w:val="16"/>
                <w:szCs w:val="16"/>
                <w:lang w:val="es-ES_tradnl" w:eastAsia="es-ES"/>
              </w:rPr>
            </w:pPr>
            <w:r w:rsidRPr="00C94F9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6E181913" w:rsidR="00DD5B04" w:rsidRPr="00C94F95" w:rsidRDefault="00F412DF" w:rsidP="00AD4A51">
            <w:pPr>
              <w:spacing w:after="0" w:line="240" w:lineRule="auto"/>
              <w:jc w:val="both"/>
              <w:rPr>
                <w:rFonts w:ascii="Arial" w:hAnsi="Arial" w:cs="Arial"/>
                <w:color w:val="000000" w:themeColor="text1"/>
                <w:sz w:val="16"/>
                <w:szCs w:val="16"/>
                <w:lang w:val="es-ES_tradnl" w:eastAsia="es-ES"/>
              </w:rPr>
            </w:pPr>
            <w:r w:rsidRPr="00C94F95">
              <w:rPr>
                <w:rFonts w:ascii="Arial" w:hAnsi="Arial" w:cs="Arial"/>
                <w:color w:val="000000" w:themeColor="text1"/>
                <w:sz w:val="16"/>
                <w:szCs w:val="16"/>
                <w:lang w:val="es-ES_tradnl" w:eastAsia="es-ES"/>
              </w:rPr>
              <w:t>Tatiana Baquero Iguarán</w:t>
            </w:r>
          </w:p>
          <w:p w14:paraId="240C71FD" w14:textId="31312C95" w:rsidR="00DD5B04" w:rsidRPr="00C94F95" w:rsidRDefault="00DD5B04" w:rsidP="00AD4A51">
            <w:pPr>
              <w:spacing w:after="0" w:line="240" w:lineRule="auto"/>
              <w:jc w:val="both"/>
              <w:rPr>
                <w:rFonts w:ascii="Arial" w:hAnsi="Arial" w:cs="Arial"/>
                <w:color w:val="000000" w:themeColor="text1"/>
                <w:sz w:val="16"/>
                <w:szCs w:val="16"/>
                <w:lang w:val="es-ES_tradnl" w:eastAsia="es-ES"/>
              </w:rPr>
            </w:pPr>
            <w:r w:rsidRPr="00C94F95">
              <w:rPr>
                <w:rFonts w:ascii="Arial" w:hAnsi="Arial" w:cs="Arial"/>
                <w:color w:val="000000" w:themeColor="text1"/>
                <w:sz w:val="16"/>
                <w:szCs w:val="16"/>
                <w:lang w:val="es-ES_tradnl" w:eastAsia="es-ES"/>
              </w:rPr>
              <w:t>Contratista</w:t>
            </w:r>
            <w:r w:rsidR="00FF0050" w:rsidRPr="00C94F95">
              <w:rPr>
                <w:rFonts w:ascii="Arial" w:hAnsi="Arial" w:cs="Arial"/>
                <w:color w:val="000000" w:themeColor="text1"/>
                <w:sz w:val="16"/>
                <w:szCs w:val="16"/>
                <w:lang w:val="es-ES_tradnl" w:eastAsia="es-ES"/>
              </w:rPr>
              <w:t xml:space="preserve"> de la </w:t>
            </w:r>
            <w:r w:rsidRPr="00C94F95">
              <w:rPr>
                <w:rFonts w:ascii="Arial" w:hAnsi="Arial" w:cs="Arial"/>
                <w:color w:val="000000" w:themeColor="text1"/>
                <w:sz w:val="16"/>
                <w:szCs w:val="16"/>
                <w:lang w:val="es-ES_tradnl" w:eastAsia="es-ES"/>
              </w:rPr>
              <w:t>Subdirección de Gestión Contractual</w:t>
            </w:r>
          </w:p>
        </w:tc>
      </w:tr>
      <w:tr w:rsidR="00DD5B04" w:rsidRPr="00E65CA2" w14:paraId="2F8FD650" w14:textId="77777777" w:rsidTr="00D15356">
        <w:trPr>
          <w:trHeight w:val="330"/>
        </w:trPr>
        <w:tc>
          <w:tcPr>
            <w:tcW w:w="812" w:type="dxa"/>
            <w:vAlign w:val="center"/>
            <w:hideMark/>
          </w:tcPr>
          <w:p w14:paraId="50203A0B" w14:textId="77777777" w:rsidR="00DD5B04" w:rsidRPr="00C94F95" w:rsidRDefault="00DD5B04" w:rsidP="00AD4A51">
            <w:pPr>
              <w:spacing w:after="0" w:line="240" w:lineRule="auto"/>
              <w:jc w:val="both"/>
              <w:rPr>
                <w:rFonts w:ascii="Arial" w:hAnsi="Arial" w:cs="Arial"/>
                <w:color w:val="000000" w:themeColor="text1"/>
                <w:sz w:val="16"/>
                <w:szCs w:val="16"/>
                <w:lang w:val="es-ES_tradnl" w:eastAsia="es-ES"/>
              </w:rPr>
            </w:pPr>
            <w:r w:rsidRPr="00C94F9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21A4DC18" w14:textId="7A62242E" w:rsidR="003A07D9" w:rsidRPr="00C94F95" w:rsidRDefault="0037195B" w:rsidP="00AD4A51">
            <w:pPr>
              <w:spacing w:after="0" w:line="240" w:lineRule="auto"/>
              <w:jc w:val="both"/>
              <w:rPr>
                <w:rFonts w:ascii="Arial" w:hAnsi="Arial" w:cs="Arial"/>
                <w:color w:val="000000" w:themeColor="text1"/>
                <w:sz w:val="16"/>
                <w:szCs w:val="16"/>
                <w:lang w:eastAsia="es-ES"/>
              </w:rPr>
            </w:pPr>
            <w:r w:rsidRPr="00C94F95">
              <w:rPr>
                <w:rFonts w:ascii="Arial" w:hAnsi="Arial" w:cs="Arial"/>
                <w:color w:val="000000" w:themeColor="text1"/>
                <w:sz w:val="16"/>
                <w:szCs w:val="16"/>
                <w:lang w:eastAsia="es-ES"/>
              </w:rPr>
              <w:t xml:space="preserve">Alejandro Sarmiento Cantillo </w:t>
            </w:r>
          </w:p>
          <w:p w14:paraId="130B3228" w14:textId="7B765391" w:rsidR="00DD5B04" w:rsidRPr="00C94F95" w:rsidRDefault="003A07D9" w:rsidP="00AD4A51">
            <w:pPr>
              <w:spacing w:after="0" w:line="240" w:lineRule="auto"/>
              <w:jc w:val="both"/>
              <w:rPr>
                <w:rFonts w:ascii="Arial" w:hAnsi="Arial" w:cs="Arial"/>
                <w:color w:val="000000" w:themeColor="text1"/>
                <w:sz w:val="16"/>
                <w:szCs w:val="16"/>
                <w:lang w:eastAsia="es-ES"/>
              </w:rPr>
            </w:pPr>
            <w:r w:rsidRPr="00C94F95">
              <w:rPr>
                <w:rFonts w:ascii="Arial" w:hAnsi="Arial" w:cs="Arial"/>
                <w:color w:val="000000" w:themeColor="text1"/>
                <w:sz w:val="16"/>
                <w:szCs w:val="16"/>
                <w:lang w:eastAsia="es-ES"/>
              </w:rPr>
              <w:t>Gestor T1-15 de la Subdirección de Gestión Contractual</w:t>
            </w:r>
          </w:p>
        </w:tc>
      </w:tr>
      <w:tr w:rsidR="00DD5B04" w:rsidRPr="00E65CA2" w14:paraId="0FCBCA4A" w14:textId="77777777" w:rsidTr="00D15356">
        <w:trPr>
          <w:trHeight w:val="300"/>
        </w:trPr>
        <w:tc>
          <w:tcPr>
            <w:tcW w:w="812" w:type="dxa"/>
            <w:vAlign w:val="center"/>
            <w:hideMark/>
          </w:tcPr>
          <w:p w14:paraId="3C1D943A" w14:textId="77777777" w:rsidR="00DD5B04" w:rsidRPr="00C94F95" w:rsidRDefault="00DD5B04" w:rsidP="00AD4A51">
            <w:pPr>
              <w:spacing w:after="0" w:line="240" w:lineRule="auto"/>
              <w:jc w:val="both"/>
              <w:rPr>
                <w:rFonts w:ascii="Arial" w:hAnsi="Arial" w:cs="Arial"/>
                <w:color w:val="000000" w:themeColor="text1"/>
                <w:sz w:val="16"/>
                <w:szCs w:val="16"/>
                <w:lang w:val="es-ES_tradnl" w:eastAsia="es-ES"/>
              </w:rPr>
            </w:pPr>
            <w:r w:rsidRPr="00C94F9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2D5C075" w14:textId="77777777" w:rsidR="00F32385" w:rsidRPr="00F32385" w:rsidRDefault="00F32385" w:rsidP="00F32385">
            <w:pPr>
              <w:spacing w:after="0" w:line="240" w:lineRule="auto"/>
              <w:rPr>
                <w:rFonts w:ascii="Arial" w:eastAsia="Arial" w:hAnsi="Arial" w:cs="Arial"/>
                <w:color w:val="000000"/>
                <w:sz w:val="16"/>
                <w:szCs w:val="16"/>
              </w:rPr>
            </w:pPr>
            <w:r w:rsidRPr="00F32385">
              <w:rPr>
                <w:rFonts w:ascii="Arial" w:eastAsia="Arial" w:hAnsi="Arial" w:cs="Arial"/>
                <w:color w:val="000000"/>
                <w:sz w:val="16"/>
                <w:szCs w:val="16"/>
              </w:rPr>
              <w:t>Nohelia del Carmen Zawady Palacio</w:t>
            </w:r>
          </w:p>
          <w:p w14:paraId="1ADC483B" w14:textId="4B3438C8" w:rsidR="00DD5B04" w:rsidRPr="00C94F95" w:rsidRDefault="00F32385" w:rsidP="00AD4A51">
            <w:pPr>
              <w:spacing w:after="0" w:line="240" w:lineRule="auto"/>
              <w:jc w:val="both"/>
              <w:rPr>
                <w:rFonts w:ascii="Arial" w:hAnsi="Arial" w:cs="Arial"/>
                <w:color w:val="000000" w:themeColor="text1"/>
                <w:sz w:val="16"/>
                <w:szCs w:val="16"/>
                <w:lang w:val="es-ES_tradnl" w:eastAsia="es-ES"/>
              </w:rPr>
            </w:pPr>
            <w:r w:rsidRPr="00F32385">
              <w:rPr>
                <w:rFonts w:ascii="Arial" w:eastAsia="Arial" w:hAnsi="Arial" w:cs="Arial"/>
                <w:color w:val="000000"/>
                <w:sz w:val="16"/>
                <w:szCs w:val="16"/>
              </w:rPr>
              <w:t>Subdirectora de Gestión Contractual ANCP-CCE</w:t>
            </w:r>
          </w:p>
        </w:tc>
      </w:tr>
      <w:bookmarkEnd w:id="0"/>
      <w:bookmarkEnd w:id="1"/>
    </w:tbl>
    <w:p w14:paraId="575AF8D6" w14:textId="503E82EC" w:rsidR="003A07D9" w:rsidRPr="00C94F95" w:rsidRDefault="003A07D9" w:rsidP="003A07D9">
      <w:pPr>
        <w:tabs>
          <w:tab w:val="left" w:pos="3570"/>
        </w:tabs>
        <w:rPr>
          <w:rFonts w:ascii="Arial" w:hAnsi="Arial" w:cs="Arial"/>
          <w:lang w:val="es-ES_tradnl"/>
        </w:rPr>
      </w:pPr>
    </w:p>
    <w:sectPr w:rsidR="003A07D9" w:rsidRPr="00C94F95" w:rsidSect="00C531AD">
      <w:headerReference w:type="default" r:id="rId13"/>
      <w:footerReference w:type="default" r:id="rId14"/>
      <w:pgSz w:w="12240" w:h="15840"/>
      <w:pgMar w:top="2041" w:right="1750" w:bottom="1418" w:left="1701" w:header="340" w:footer="22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4BA440" w14:textId="77777777" w:rsidR="00A4593D" w:rsidRDefault="00A4593D">
      <w:r>
        <w:separator/>
      </w:r>
    </w:p>
  </w:endnote>
  <w:endnote w:type="continuationSeparator" w:id="0">
    <w:p w14:paraId="67A0B59E" w14:textId="77777777" w:rsidR="00A4593D" w:rsidRDefault="00A4593D">
      <w:r>
        <w:continuationSeparator/>
      </w:r>
    </w:p>
  </w:endnote>
  <w:endnote w:type="continuationNotice" w:id="1">
    <w:p w14:paraId="718A59F3" w14:textId="77777777" w:rsidR="00A4593D" w:rsidRDefault="00A459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C6A04" w14:textId="7C6D95CC" w:rsidR="00E2520A" w:rsidRPr="0020796E" w:rsidRDefault="0020796E" w:rsidP="0020796E">
    <w:pPr>
      <w:pStyle w:val="Piedepgina"/>
      <w:rPr>
        <w:rFonts w:ascii="Arial" w:hAnsi="Arial" w:cs="Arial"/>
        <w:color w:val="7F7F7F"/>
        <w:sz w:val="16"/>
        <w:szCs w:val="16"/>
      </w:rPr>
    </w:pPr>
    <w:r>
      <w:rPr>
        <w:noProof/>
      </w:rPr>
      <w:drawing>
        <wp:inline distT="0" distB="0" distL="0" distR="0" wp14:anchorId="4EE241A6" wp14:editId="327EECCF">
          <wp:extent cx="5553075" cy="866719"/>
          <wp:effectExtent l="0" t="0" r="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595787" cy="873385"/>
                  </a:xfrm>
                  <a:prstGeom prst="rect">
                    <a:avLst/>
                  </a:prstGeom>
                </pic:spPr>
              </pic:pic>
            </a:graphicData>
          </a:graphic>
        </wp:inline>
      </w:drawing>
    </w:r>
  </w:p>
  <w:tbl>
    <w:tblPr>
      <w:tblStyle w:val="Tablaconcuadrcula"/>
      <w:tblW w:w="864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0"/>
      <w:gridCol w:w="642"/>
      <w:gridCol w:w="835"/>
      <w:gridCol w:w="1659"/>
      <w:gridCol w:w="717"/>
      <w:gridCol w:w="2551"/>
      <w:gridCol w:w="1423"/>
    </w:tblGrid>
    <w:tr w:rsidR="0020796E" w:rsidRPr="00080DA3" w14:paraId="68BC7901" w14:textId="77777777" w:rsidTr="0020796E">
      <w:trPr>
        <w:trHeight w:val="198"/>
        <w:jc w:val="center"/>
      </w:trPr>
      <w:tc>
        <w:tcPr>
          <w:tcW w:w="276"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708FF6F4"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5E01DE96"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1</w:t>
          </w:r>
        </w:p>
      </w:tc>
      <w:tc>
        <w:tcPr>
          <w:tcW w:w="844"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8C4F949"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vAlign w:val="center"/>
        </w:tcPr>
        <w:p w14:paraId="079C225D" w14:textId="77777777" w:rsidR="0020796E" w:rsidRPr="004B6B0E" w:rsidRDefault="0020796E" w:rsidP="00C94F95">
          <w:pPr>
            <w:pBdr>
              <w:top w:val="nil"/>
              <w:left w:val="nil"/>
              <w:bottom w:val="nil"/>
              <w:right w:val="nil"/>
              <w:between w:val="nil"/>
            </w:pBdr>
            <w:tabs>
              <w:tab w:val="center" w:pos="4419"/>
              <w:tab w:val="right" w:pos="8838"/>
              <w:tab w:val="center" w:pos="5400"/>
            </w:tabs>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08</w:t>
          </w:r>
        </w:p>
      </w:tc>
      <w:tc>
        <w:tcPr>
          <w:tcW w:w="720" w:type="dxa"/>
          <w:tcBorders>
            <w:top w:val="dotted" w:sz="4" w:space="0" w:color="6D6D6D" w:themeColor="background1" w:themeShade="80"/>
            <w:left w:val="dotted" w:sz="4" w:space="0" w:color="6D6D6D" w:themeColor="background1" w:themeShade="80"/>
            <w:bottom w:val="dotted" w:sz="4" w:space="0" w:color="6D6D6D" w:themeColor="background1" w:themeShade="80"/>
          </w:tcBorders>
          <w:shd w:val="clear" w:color="auto" w:fill="auto"/>
        </w:tcPr>
        <w:p w14:paraId="0BDF1025"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077B246D" w14:textId="77777777" w:rsidR="0020796E" w:rsidRPr="00080DA3" w:rsidRDefault="0020796E" w:rsidP="0020796E">
          <w:pPr>
            <w:pStyle w:val="Piedepgina"/>
            <w:jc w:val="center"/>
            <w:rPr>
              <w:rFonts w:ascii="Geomanist Light" w:hAnsi="Geomanist Light"/>
              <w:sz w:val="18"/>
              <w:szCs w:val="18"/>
            </w:rPr>
          </w:pPr>
          <w:r>
            <w:rPr>
              <w:rFonts w:ascii="Geomanist Light" w:hAnsi="Geomanist Light"/>
              <w:sz w:val="18"/>
              <w:szCs w:val="18"/>
            </w:rPr>
            <w:t>30</w:t>
          </w:r>
          <w:r w:rsidRPr="00080DA3">
            <w:rPr>
              <w:rFonts w:ascii="Geomanist Light" w:hAnsi="Geomanist Light"/>
              <w:sz w:val="18"/>
              <w:szCs w:val="18"/>
            </w:rPr>
            <w:t xml:space="preserve"> de </w:t>
          </w:r>
          <w:r>
            <w:rPr>
              <w:rFonts w:ascii="Geomanist Light" w:hAnsi="Geomanist Light"/>
              <w:sz w:val="18"/>
              <w:szCs w:val="18"/>
            </w:rPr>
            <w:t>agosto</w:t>
          </w:r>
          <w:r w:rsidRPr="00080DA3">
            <w:rPr>
              <w:rFonts w:ascii="Geomanist Light" w:hAnsi="Geomanist Light"/>
              <w:sz w:val="18"/>
              <w:szCs w:val="18"/>
            </w:rPr>
            <w:t xml:space="preserve"> de 202</w:t>
          </w:r>
          <w:r>
            <w:rPr>
              <w:rFonts w:ascii="Geomanist Light" w:hAnsi="Geomanist Light"/>
              <w:sz w:val="18"/>
              <w:szCs w:val="18"/>
            </w:rPr>
            <w:t>2</w:t>
          </w:r>
        </w:p>
      </w:tc>
      <w:tc>
        <w:tcPr>
          <w:tcW w:w="1527" w:type="dxa"/>
          <w:tcBorders>
            <w:top w:val="dotted" w:sz="4" w:space="0" w:color="6D6D6D" w:themeColor="background1" w:themeShade="80"/>
            <w:left w:val="dotted" w:sz="4" w:space="0" w:color="6D6D6D" w:themeColor="background1" w:themeShade="80"/>
            <w:bottom w:val="dotted" w:sz="4" w:space="0" w:color="6D6D6D" w:themeColor="background1" w:themeShade="80"/>
            <w:right w:val="dotted" w:sz="4" w:space="0" w:color="6D6D6D" w:themeColor="background1" w:themeShade="80"/>
          </w:tcBorders>
          <w:shd w:val="clear" w:color="auto" w:fill="auto"/>
        </w:tcPr>
        <w:p w14:paraId="1A3119EE" w14:textId="77777777" w:rsidR="0020796E" w:rsidRPr="00080DA3" w:rsidRDefault="0020796E" w:rsidP="0020796E">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8C7C9C" w14:textId="77777777" w:rsidR="00A4593D" w:rsidRDefault="00A4593D">
      <w:r>
        <w:separator/>
      </w:r>
    </w:p>
  </w:footnote>
  <w:footnote w:type="continuationSeparator" w:id="0">
    <w:p w14:paraId="1C6E0DDE" w14:textId="77777777" w:rsidR="00A4593D" w:rsidRDefault="00A4593D">
      <w:r>
        <w:continuationSeparator/>
      </w:r>
    </w:p>
  </w:footnote>
  <w:footnote w:type="continuationNotice" w:id="1">
    <w:p w14:paraId="11DDF294" w14:textId="77777777" w:rsidR="00A4593D" w:rsidRDefault="00A4593D"/>
  </w:footnote>
  <w:footnote w:id="2">
    <w:p w14:paraId="2309CD5C" w14:textId="6B9E0F05" w:rsidR="006B3BA7" w:rsidRPr="00C94F95" w:rsidRDefault="006B3BA7" w:rsidP="00CD4A24">
      <w:pPr>
        <w:pStyle w:val="Textonotapie"/>
        <w:ind w:firstLine="709"/>
        <w:jc w:val="both"/>
        <w:rPr>
          <w:rFonts w:ascii="Arial" w:hAnsi="Arial" w:cs="Arial"/>
          <w:sz w:val="18"/>
          <w:szCs w:val="18"/>
          <w:lang w:val="es-CO"/>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Times New Roman" w:hAnsi="Arial" w:cs="Arial"/>
          <w:sz w:val="18"/>
          <w:szCs w:val="18"/>
          <w:lang w:eastAsia="es-ES_tradnl"/>
        </w:rPr>
        <w:t xml:space="preserve">Estos conceptos pueden ser consultados en la Relatoría de esta Agencia en el siguiente Link: </w:t>
      </w:r>
      <w:r w:rsidR="003208AB" w:rsidRPr="00C94F95">
        <w:rPr>
          <w:rFonts w:ascii="Arial" w:eastAsia="Times New Roman" w:hAnsi="Arial" w:cs="Arial"/>
          <w:sz w:val="18"/>
          <w:szCs w:val="18"/>
          <w:lang w:eastAsia="es-ES_tradnl"/>
        </w:rPr>
        <w:t>https://relatoria.colombiacompra.gov.co/busqueda/conceptos</w:t>
      </w:r>
    </w:p>
  </w:footnote>
  <w:footnote w:id="3">
    <w:p w14:paraId="1454F728"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sz w:val="18"/>
          <w:szCs w:val="18"/>
          <w:lang w:val="es-ES_tradnl" w:eastAsia="es-ES_tradnl"/>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Calibri" w:hAnsi="Arial" w:cs="Arial"/>
          <w:sz w:val="18"/>
          <w:szCs w:val="18"/>
          <w:lang w:val="es-ES_tradnl" w:eastAsia="es-ES_tradnl"/>
        </w:rPr>
        <w:t>El artículo 74 de la Ley 1474 prescribe: «A partir de la vigencia de la presente ley, todas las entidades del Estado a más tardar el 31 de enero de cada año, deberán publicar en su respectiva página web el Plan de Acción para el año siguiente, en el cual se especificarán los objetivos, las estrategias, los proyectos, las metas, los responsables, los planes generales de compras y la distribución presupuestal de sus proyectos de inversión junto a los indicadores de gestión.</w:t>
      </w:r>
    </w:p>
    <w:p w14:paraId="1A9A75C7"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»A partir del año siguiente, el Plan de Acción deberá estar acompañado del informe de gestión del año inmediatamente anterior.</w:t>
      </w:r>
    </w:p>
    <w:p w14:paraId="32A50845"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»Igualmente publicarán por dicho medio su presupuesto debidamente desagregado, así como las modificaciones a este o a su desagregación.</w:t>
      </w:r>
      <w:r w:rsidRPr="00C94F95">
        <w:rPr>
          <w:rFonts w:ascii="Arial" w:eastAsia="Calibri" w:hAnsi="Arial" w:cs="Arial"/>
          <w:sz w:val="18"/>
          <w:szCs w:val="18"/>
          <w:lang w:val="es-ES_tradnl" w:eastAsia="es-ES_tradnl"/>
        </w:rPr>
        <w:tab/>
      </w:r>
    </w:p>
    <w:p w14:paraId="003B02A8"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i/>
          <w:iCs/>
          <w:sz w:val="18"/>
          <w:szCs w:val="18"/>
          <w:lang w:val="es-ES_tradnl" w:eastAsia="es-ES_tradnl"/>
        </w:rPr>
      </w:pPr>
      <w:r w:rsidRPr="00C94F95">
        <w:rPr>
          <w:rFonts w:ascii="Arial" w:eastAsia="Calibri" w:hAnsi="Arial" w:cs="Arial"/>
          <w:sz w:val="18"/>
          <w:szCs w:val="18"/>
          <w:lang w:val="es-ES_tradnl" w:eastAsia="es-ES_tradnl"/>
        </w:rPr>
        <w:t>»Parágrafo. Las empresas industriales y comerciales del Estado y las Sociedades de Economía Mixta estarán exentas de publicar la información relacionada con sus proyectos de inversión».</w:t>
      </w:r>
    </w:p>
  </w:footnote>
  <w:footnote w:id="4">
    <w:p w14:paraId="72E1945C"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sz w:val="18"/>
          <w:szCs w:val="18"/>
          <w:lang w:val="es-ES_tradnl" w:eastAsia="es-ES_tradnl"/>
        </w:rPr>
      </w:pPr>
      <w:r w:rsidRPr="00C94F95">
        <w:rPr>
          <w:rFonts w:ascii="Arial" w:eastAsia="Calibri" w:hAnsi="Arial" w:cs="Arial"/>
          <w:i/>
          <w:iCs/>
          <w:sz w:val="18"/>
          <w:szCs w:val="18"/>
          <w:vertAlign w:val="superscript"/>
          <w:lang w:val="es-ES_tradnl" w:eastAsia="es-ES_tradnl"/>
        </w:rPr>
        <w:footnoteRef/>
      </w:r>
      <w:r w:rsidRPr="00C94F95">
        <w:rPr>
          <w:rFonts w:ascii="Arial" w:eastAsia="Calibri" w:hAnsi="Arial" w:cs="Arial"/>
          <w:i/>
          <w:iCs/>
          <w:sz w:val="18"/>
          <w:szCs w:val="18"/>
          <w:lang w:val="es-ES_tradnl" w:eastAsia="es-ES_tradnl"/>
        </w:rPr>
        <w:t xml:space="preserve"> </w:t>
      </w:r>
      <w:r w:rsidRPr="00C94F95">
        <w:rPr>
          <w:rFonts w:ascii="Arial" w:eastAsia="Calibri" w:hAnsi="Arial" w:cs="Arial"/>
          <w:sz w:val="18"/>
          <w:szCs w:val="18"/>
          <w:lang w:val="es-ES_tradnl" w:eastAsia="es-ES_tradnl"/>
        </w:rPr>
        <w:t>«Artículo 2.2.1.1.1.3.1.</w:t>
      </w:r>
      <w:r w:rsidRPr="00C94F95">
        <w:rPr>
          <w:rFonts w:ascii="Arial" w:eastAsia="Calibri" w:hAnsi="Arial" w:cs="Arial"/>
          <w:b/>
          <w:bCs/>
          <w:sz w:val="18"/>
          <w:szCs w:val="18"/>
          <w:lang w:val="es-ES_tradnl" w:eastAsia="es-ES_tradnl"/>
        </w:rPr>
        <w:t> </w:t>
      </w:r>
      <w:r w:rsidRPr="00C94F95">
        <w:rPr>
          <w:rFonts w:ascii="Arial" w:eastAsia="Calibri" w:hAnsi="Arial" w:cs="Arial"/>
          <w:sz w:val="18"/>
          <w:szCs w:val="18"/>
          <w:lang w:val="es-ES_tradnl" w:eastAsia="es-ES_tradnl"/>
        </w:rPr>
        <w:t>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w:t>
      </w:r>
    </w:p>
    <w:p w14:paraId="53058981"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w:t>
      </w:r>
    </w:p>
    <w:p w14:paraId="1678FA4D" w14:textId="77777777" w:rsidR="003208AB" w:rsidRPr="00C94F95" w:rsidRDefault="003208AB" w:rsidP="00CD4A24">
      <w:pPr>
        <w:pStyle w:val="NormalWeb"/>
        <w:shd w:val="clear" w:color="auto" w:fill="FFFFFF"/>
        <w:spacing w:before="0" w:beforeAutospacing="0" w:after="0" w:afterAutospacing="0"/>
        <w:ind w:firstLine="709"/>
        <w:jc w:val="both"/>
        <w:rPr>
          <w:rFonts w:ascii="Arial" w:hAnsi="Arial" w:cs="Arial"/>
          <w:color w:val="000000" w:themeColor="text1"/>
          <w:sz w:val="18"/>
          <w:szCs w:val="18"/>
        </w:rPr>
      </w:pPr>
      <w:proofErr w:type="gramStart"/>
      <w:r w:rsidRPr="00C94F95">
        <w:rPr>
          <w:rFonts w:ascii="Arial" w:eastAsia="Calibri" w:hAnsi="Arial" w:cs="Arial"/>
          <w:sz w:val="18"/>
          <w:szCs w:val="18"/>
          <w:lang w:val="es-ES_tradnl" w:eastAsia="es-ES_tradnl"/>
        </w:rPr>
        <w:t>»Plan</w:t>
      </w:r>
      <w:proofErr w:type="gramEnd"/>
      <w:r w:rsidRPr="00C94F95">
        <w:rPr>
          <w:rFonts w:ascii="Arial" w:eastAsia="Calibri" w:hAnsi="Arial" w:cs="Arial"/>
          <w:sz w:val="18"/>
          <w:szCs w:val="18"/>
          <w:lang w:val="es-ES_tradnl" w:eastAsia="es-ES_tradnl"/>
        </w:rPr>
        <w:t xml:space="preserve"> Anual de Adquisiciones: Plan general de compras al que se refiere el </w:t>
      </w:r>
      <w:hyperlink r:id="rId1" w:history="1">
        <w:r w:rsidRPr="00C94F95">
          <w:rPr>
            <w:rFonts w:ascii="Arial" w:eastAsia="Calibri" w:hAnsi="Arial" w:cs="Arial"/>
            <w:sz w:val="18"/>
            <w:szCs w:val="18"/>
            <w:lang w:val="es-ES_tradnl" w:eastAsia="es-ES_tradnl"/>
          </w:rPr>
          <w:t>artículo 74 de la Ley 1474 de 2011</w:t>
        </w:r>
      </w:hyperlink>
      <w:r w:rsidRPr="00C94F95">
        <w:rPr>
          <w:rFonts w:ascii="Arial" w:eastAsia="Calibri" w:hAnsi="Arial" w:cs="Arial"/>
          <w:sz w:val="18"/>
          <w:szCs w:val="18"/>
          <w:lang w:val="es-ES_tradnl" w:eastAsia="es-ES_tradnl"/>
        </w:rPr>
        <w:t> y el plan de compras al que se refiere la Ley Anual de Presupuesto. Es un instrumento de planeación contractual que las Entidades Estatales deben diligenciar, publicar y actualizar en los términos del presente título».</w:t>
      </w:r>
    </w:p>
  </w:footnote>
  <w:footnote w:id="5">
    <w:p w14:paraId="3A2706AF"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sz w:val="18"/>
          <w:szCs w:val="18"/>
          <w:lang w:val="es-ES_tradnl" w:eastAsia="es-ES_tradnl"/>
        </w:rPr>
      </w:pPr>
      <w:r w:rsidRPr="00C94F95">
        <w:rPr>
          <w:rStyle w:val="Refdenotaalpie"/>
          <w:rFonts w:ascii="Arial" w:hAnsi="Arial" w:cs="Arial"/>
          <w:color w:val="000000" w:themeColor="text1"/>
          <w:sz w:val="18"/>
          <w:szCs w:val="18"/>
        </w:rPr>
        <w:footnoteRef/>
      </w:r>
      <w:r w:rsidRPr="00C94F95">
        <w:rPr>
          <w:rFonts w:ascii="Arial" w:hAnsi="Arial" w:cs="Arial"/>
          <w:color w:val="000000" w:themeColor="text1"/>
          <w:sz w:val="18"/>
          <w:szCs w:val="18"/>
        </w:rPr>
        <w:t xml:space="preserve"> </w:t>
      </w:r>
      <w:r w:rsidRPr="00C94F95">
        <w:rPr>
          <w:rFonts w:ascii="Arial" w:hAnsi="Arial" w:cs="Arial"/>
          <w:b/>
          <w:color w:val="000000" w:themeColor="text1"/>
          <w:sz w:val="18"/>
          <w:szCs w:val="18"/>
        </w:rPr>
        <w:t>«</w:t>
      </w:r>
      <w:r w:rsidRPr="00C94F95">
        <w:rPr>
          <w:rFonts w:ascii="Arial" w:eastAsia="Calibri" w:hAnsi="Arial" w:cs="Arial"/>
          <w:sz w:val="18"/>
          <w:szCs w:val="18"/>
          <w:lang w:val="es-ES_tradnl" w:eastAsia="es-ES_tradnl"/>
        </w:rPr>
        <w:t>Todo sujeto obligado deberá publicar la siguiente información mínima obligatoria de manera proactiva en los sistemas de información del Estado o herramientas que lo sustituyan:</w:t>
      </w:r>
    </w:p>
    <w:p w14:paraId="06382F96" w14:textId="77777777" w:rsidR="003208AB" w:rsidRPr="00C94F95" w:rsidRDefault="003208AB" w:rsidP="00CD4A24">
      <w:pPr>
        <w:pStyle w:val="NormalWeb"/>
        <w:shd w:val="clear" w:color="auto" w:fill="FFFFFF"/>
        <w:spacing w:before="0" w:beforeAutospacing="0" w:after="0" w:afterAutospacing="0"/>
        <w:ind w:firstLine="709"/>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w:t>
      </w:r>
    </w:p>
    <w:p w14:paraId="34862FF6" w14:textId="77777777" w:rsidR="003208AB" w:rsidRPr="00C94F95" w:rsidRDefault="003208AB" w:rsidP="00CD4A24">
      <w:pPr>
        <w:pStyle w:val="NormalWeb"/>
        <w:shd w:val="clear" w:color="auto" w:fill="FFFFFF"/>
        <w:spacing w:before="0" w:beforeAutospacing="0" w:after="0" w:afterAutospacing="0"/>
        <w:ind w:firstLine="709"/>
        <w:jc w:val="both"/>
        <w:rPr>
          <w:rStyle w:val="nfasis"/>
          <w:rFonts w:ascii="Arial" w:hAnsi="Arial" w:cs="Arial"/>
          <w:color w:val="000000" w:themeColor="text1"/>
          <w:sz w:val="18"/>
          <w:szCs w:val="18"/>
        </w:rPr>
      </w:pPr>
      <w:r w:rsidRPr="00C94F95">
        <w:rPr>
          <w:rFonts w:ascii="Arial" w:eastAsia="Calibri" w:hAnsi="Arial" w:cs="Arial"/>
          <w:sz w:val="18"/>
          <w:szCs w:val="18"/>
          <w:lang w:val="es-ES_tradnl" w:eastAsia="es-ES_tradnl"/>
        </w:rPr>
        <w:t>»e) Su respectivo plan de compras anual, así como las contrataciones adjudicadas para la correspondiente vigencia en lo relacionado con funcionamiento e inversión, las obras públicas, los bienes adquiridos, arrendados y en caso de los servicios de estudios o investigaciones deberá señalarse el tema específico, de conformidad con el artículo 74 de la Ley 1474 de 2011. En el caso de las personas naturales con contratos de prestación de servicios, deberá publicarse el objeto del contrato, monto de los honorarios y direcciones de correo electrónico, de conformidad con el formato de información de servidores públicos y contratistas […]».</w:t>
      </w:r>
    </w:p>
  </w:footnote>
  <w:footnote w:id="6">
    <w:p w14:paraId="176C9C82" w14:textId="77777777" w:rsidR="00CD4A24" w:rsidRPr="00C94F95" w:rsidRDefault="00CD4A24" w:rsidP="00CD4A24">
      <w:pPr>
        <w:pStyle w:val="Textonotapie"/>
        <w:ind w:firstLine="708"/>
        <w:jc w:val="both"/>
        <w:rPr>
          <w:rFonts w:ascii="Arial" w:hAnsi="Arial" w:cs="Arial"/>
          <w:sz w:val="18"/>
          <w:szCs w:val="18"/>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Calibri" w:hAnsi="Arial" w:cs="Arial"/>
          <w:sz w:val="18"/>
          <w:szCs w:val="18"/>
          <w:lang w:val="es-ES_tradnl" w:eastAsia="es-ES_tradnl"/>
        </w:rPr>
        <w:t>Decreto 1082 de 2015: «Artículo 2.2.1.1.1.4.3. Publicación del Plan Anual de Adquisiciones. La Entidad Estatal debe publicar su Plan Anual de Adquisiciones y las actualizaciones del mismo en su página web y en el SECOP, en la forma que para el efecto disponga Colombia Compra Eficiente».</w:t>
      </w:r>
    </w:p>
  </w:footnote>
  <w:footnote w:id="7">
    <w:p w14:paraId="3CBCE061" w14:textId="77777777" w:rsidR="00CD4A24" w:rsidRPr="00C94F95" w:rsidRDefault="00CD4A24" w:rsidP="00CD4A24">
      <w:pPr>
        <w:pStyle w:val="NormalWeb"/>
        <w:shd w:val="clear" w:color="auto" w:fill="FFFFFF"/>
        <w:spacing w:before="0" w:beforeAutospacing="0" w:after="0" w:afterAutospacing="0"/>
        <w:ind w:firstLine="708"/>
        <w:jc w:val="both"/>
        <w:rPr>
          <w:rFonts w:ascii="Arial" w:eastAsia="Calibri" w:hAnsi="Arial" w:cs="Arial"/>
          <w:sz w:val="18"/>
          <w:szCs w:val="18"/>
          <w:lang w:val="es-ES_tradnl" w:eastAsia="es-ES_tradnl"/>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Calibri" w:hAnsi="Arial" w:cs="Arial"/>
          <w:sz w:val="18"/>
          <w:szCs w:val="18"/>
          <w:lang w:val="es-ES_tradnl" w:eastAsia="es-ES_tradnl"/>
        </w:rPr>
        <w:t>Decreto 1082 de 2015: «Artículo 2.2.1.1.1.4.4. Actualización del Plan Anual de Adquisiciones. La Entidad Estatal debe actualizar el Plan Anual de Adquisiciones por lo menos una vez durante su vigencia, en la forma y la oportunidad que para el efecto disponga Colombia Compra Eficiente.</w:t>
      </w:r>
    </w:p>
    <w:p w14:paraId="34F8BB44" w14:textId="77777777" w:rsidR="00CD4A24" w:rsidRPr="00C94F95" w:rsidRDefault="00CD4A24" w:rsidP="00CD4A24">
      <w:pPr>
        <w:pStyle w:val="NormalWeb"/>
        <w:shd w:val="clear" w:color="auto" w:fill="FFFFFF"/>
        <w:spacing w:before="0" w:beforeAutospacing="0" w:after="0" w:afterAutospacing="0"/>
        <w:ind w:firstLine="708"/>
        <w:jc w:val="both"/>
        <w:rPr>
          <w:rFonts w:ascii="Arial" w:eastAsia="Calibri" w:hAnsi="Arial" w:cs="Arial"/>
          <w:sz w:val="18"/>
          <w:szCs w:val="18"/>
          <w:lang w:val="es-MX" w:eastAsia="en-US"/>
        </w:rPr>
      </w:pPr>
      <w:r w:rsidRPr="00C94F95">
        <w:rPr>
          <w:rFonts w:ascii="Arial" w:eastAsia="Calibri" w:hAnsi="Arial" w:cs="Arial"/>
          <w:sz w:val="18"/>
          <w:szCs w:val="18"/>
          <w:lang w:val="es-ES_tradnl" w:eastAsia="es-ES_tradnl"/>
        </w:rPr>
        <w:t>»La Entidad Estatal debe actualizar el Plan Anual de Adquisiciones cuando: (i) haya ajustes en los cronogramas de adquisición, valores, modalidad de selección, origen de los recursos; (ii) para incluir nuevas obras, bienes y/o servicios; (iii) excluir obras, bienes y/o servicios; o (iv) modificar el presupuesto anual de adquisiciones».</w:t>
      </w:r>
    </w:p>
  </w:footnote>
  <w:footnote w:id="8">
    <w:p w14:paraId="4534FD70" w14:textId="2FDD039A" w:rsidR="00CD4A24" w:rsidRPr="00C94F95" w:rsidRDefault="00CD4A24" w:rsidP="00CD4A24">
      <w:pPr>
        <w:pStyle w:val="Textonotapie"/>
        <w:ind w:firstLine="708"/>
        <w:jc w:val="both"/>
        <w:rPr>
          <w:rFonts w:ascii="Arial" w:hAnsi="Arial" w:cs="Arial"/>
          <w:sz w:val="18"/>
          <w:szCs w:val="18"/>
          <w:lang w:val="es-CO"/>
        </w:rPr>
      </w:pPr>
      <w:r w:rsidRPr="00C94F95">
        <w:rPr>
          <w:rStyle w:val="Refdenotaalpie"/>
          <w:rFonts w:ascii="Arial" w:hAnsi="Arial" w:cs="Arial"/>
          <w:sz w:val="18"/>
          <w:szCs w:val="18"/>
        </w:rPr>
        <w:footnoteRef/>
      </w:r>
      <w:r w:rsidRPr="00C94F95">
        <w:rPr>
          <w:rFonts w:ascii="Arial" w:eastAsia="Calibri" w:hAnsi="Arial" w:cs="Arial"/>
          <w:sz w:val="18"/>
          <w:szCs w:val="18"/>
        </w:rPr>
        <w:t xml:space="preserve"> </w:t>
      </w:r>
      <w:r w:rsidRPr="00C94F95">
        <w:rPr>
          <w:rFonts w:ascii="Arial" w:eastAsia="Calibri" w:hAnsi="Arial" w:cs="Arial"/>
          <w:sz w:val="18"/>
          <w:szCs w:val="18"/>
          <w:lang w:val="es-ES_tradnl" w:eastAsia="es-ES_tradnl"/>
        </w:rPr>
        <w:t xml:space="preserve">Agencia Nacional de Contratación Pública </w:t>
      </w:r>
      <w:r w:rsidRPr="00C94F95">
        <w:rPr>
          <w:rFonts w:ascii="Arial" w:eastAsia="Calibri" w:hAnsi="Arial" w:cs="Arial" w:hint="eastAsia"/>
          <w:sz w:val="18"/>
          <w:szCs w:val="18"/>
          <w:lang w:val="es-ES_tradnl" w:eastAsia="es-ES_tradnl"/>
        </w:rPr>
        <w:t>―</w:t>
      </w:r>
      <w:r w:rsidRPr="00C94F95">
        <w:rPr>
          <w:rFonts w:ascii="Arial" w:eastAsia="Calibri" w:hAnsi="Arial" w:cs="Arial"/>
          <w:sz w:val="18"/>
          <w:szCs w:val="18"/>
          <w:lang w:val="es-ES_tradnl" w:eastAsia="es-ES_tradnl"/>
        </w:rPr>
        <w:t>Colombia Compra Eficiente</w:t>
      </w:r>
      <w:r w:rsidR="007D4D92">
        <w:rPr>
          <w:rFonts w:ascii="Arial" w:eastAsia="Calibri" w:hAnsi="Arial" w:cs="Arial"/>
          <w:sz w:val="18"/>
          <w:szCs w:val="18"/>
          <w:lang w:val="es-ES_tradnl" w:eastAsia="es-ES_tradnl"/>
        </w:rPr>
        <w:t>.</w:t>
      </w:r>
      <w:r w:rsidRPr="00C94F95">
        <w:rPr>
          <w:rFonts w:ascii="Arial" w:eastAsia="Calibri" w:hAnsi="Arial" w:cs="Arial"/>
          <w:sz w:val="18"/>
          <w:szCs w:val="18"/>
          <w:lang w:val="es-ES_tradnl" w:eastAsia="es-ES_tradnl"/>
        </w:rPr>
        <w:t xml:space="preserve"> Guía para elaborar el plan anual de adquisiciones. Página 3.</w:t>
      </w:r>
      <w:r w:rsidRPr="00C94F95">
        <w:rPr>
          <w:rFonts w:ascii="Arial" w:hAnsi="Arial" w:cs="Arial"/>
          <w:sz w:val="18"/>
          <w:szCs w:val="18"/>
          <w:lang w:val="es-CO"/>
        </w:rPr>
        <w:t xml:space="preserve"> </w:t>
      </w:r>
    </w:p>
  </w:footnote>
  <w:footnote w:id="9">
    <w:p w14:paraId="62FF4628" w14:textId="72C15DE3" w:rsidR="007700C6" w:rsidRPr="00C94F95" w:rsidRDefault="007700C6" w:rsidP="00291AAD">
      <w:pPr>
        <w:pStyle w:val="Textonotapie"/>
        <w:ind w:firstLine="709"/>
        <w:rPr>
          <w:rFonts w:ascii="Arial" w:hAnsi="Arial" w:cs="Arial"/>
          <w:sz w:val="18"/>
          <w:szCs w:val="18"/>
          <w:lang w:val="es-CO"/>
        </w:rPr>
      </w:pPr>
      <w:r w:rsidRPr="00C94F95">
        <w:rPr>
          <w:rStyle w:val="Refdenotaalpie"/>
          <w:rFonts w:ascii="Arial" w:hAnsi="Arial" w:cs="Arial"/>
          <w:sz w:val="18"/>
          <w:szCs w:val="18"/>
        </w:rPr>
        <w:footnoteRef/>
      </w:r>
      <w:r w:rsidRPr="00C94F95">
        <w:rPr>
          <w:rFonts w:ascii="Arial" w:hAnsi="Arial" w:cs="Arial"/>
          <w:sz w:val="18"/>
          <w:szCs w:val="18"/>
        </w:rPr>
        <w:t xml:space="preserve"> </w:t>
      </w:r>
      <w:r w:rsidR="006E6570" w:rsidRPr="00C94F95">
        <w:rPr>
          <w:rFonts w:ascii="Arial" w:hAnsi="Arial" w:cs="Arial"/>
          <w:sz w:val="18"/>
          <w:szCs w:val="18"/>
        </w:rPr>
        <w:t xml:space="preserve">Circular Externa única actualizada </w:t>
      </w:r>
      <w:r w:rsidR="006E6570" w:rsidRPr="00C94F95">
        <w:rPr>
          <w:rFonts w:ascii="Arial" w:eastAsia="Calibri" w:hAnsi="Arial" w:cs="Arial"/>
          <w:sz w:val="18"/>
          <w:szCs w:val="18"/>
          <w:lang w:val="es-ES"/>
        </w:rPr>
        <w:t>Disponible en:  https://www.colombiacompra.gov.co/circulares</w:t>
      </w:r>
    </w:p>
  </w:footnote>
  <w:footnote w:id="10">
    <w:p w14:paraId="1CEB9472" w14:textId="77777777" w:rsidR="00CD4A24" w:rsidRPr="00C94F95" w:rsidRDefault="00CD4A24" w:rsidP="00CD4A24">
      <w:pPr>
        <w:pStyle w:val="Textonotapie"/>
        <w:ind w:firstLine="708"/>
        <w:jc w:val="both"/>
        <w:rPr>
          <w:rFonts w:ascii="Arial" w:eastAsia="Calibri" w:hAnsi="Arial" w:cs="Arial"/>
          <w:sz w:val="18"/>
          <w:szCs w:val="18"/>
          <w:lang w:val="es-ES_tradnl" w:eastAsia="es-ES_tradnl"/>
        </w:rPr>
      </w:pPr>
      <w:r w:rsidRPr="00C94F95">
        <w:rPr>
          <w:rStyle w:val="Refdenotaalpie"/>
          <w:rFonts w:ascii="Arial" w:hAnsi="Arial" w:cs="Arial"/>
          <w:color w:val="000000"/>
          <w:sz w:val="18"/>
          <w:szCs w:val="18"/>
        </w:rPr>
        <w:footnoteRef/>
      </w:r>
      <w:r w:rsidRPr="00C94F95">
        <w:rPr>
          <w:rFonts w:ascii="Arial" w:hAnsi="Arial" w:cs="Arial"/>
          <w:color w:val="000000"/>
          <w:sz w:val="18"/>
          <w:szCs w:val="18"/>
        </w:rPr>
        <w:t xml:space="preserve"> </w:t>
      </w:r>
      <w:r w:rsidRPr="00C94F95">
        <w:rPr>
          <w:rFonts w:ascii="Arial" w:eastAsia="Calibri" w:hAnsi="Arial" w:cs="Arial"/>
          <w:sz w:val="18"/>
          <w:szCs w:val="18"/>
          <w:lang w:val="es-ES_tradnl" w:eastAsia="es-ES_tradnl"/>
        </w:rPr>
        <w:t>Ley 1150 de 2007: «Artículo 3. De la contratación pública electrónica.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14AA9C54" w14:textId="77777777" w:rsidR="00CD4A24" w:rsidRPr="00C94F95" w:rsidRDefault="00CD4A24" w:rsidP="00CD4A24">
      <w:pPr>
        <w:spacing w:after="0" w:line="240" w:lineRule="auto"/>
        <w:ind w:firstLine="708"/>
        <w:jc w:val="both"/>
        <w:rPr>
          <w:rFonts w:ascii="Arial" w:hAnsi="Arial" w:cs="Arial"/>
          <w:sz w:val="18"/>
          <w:szCs w:val="18"/>
          <w:lang w:val="es-ES_tradnl" w:eastAsia="es-ES_tradnl"/>
        </w:rPr>
      </w:pPr>
      <w:r w:rsidRPr="00C94F95">
        <w:rPr>
          <w:rFonts w:ascii="Arial" w:hAnsi="Arial" w:cs="Arial"/>
          <w:sz w:val="18"/>
          <w:szCs w:val="18"/>
          <w:lang w:val="es-ES_tradnl" w:eastAsia="es-ES_tradnl"/>
        </w:rPr>
        <w:t>»Lo anterior, sin perjuicio de las publicaciones previstas en el numeral 3 del artículo 30 de la Ley 80 de 1993.</w:t>
      </w:r>
    </w:p>
    <w:p w14:paraId="703BFDDB" w14:textId="77777777" w:rsidR="00CD4A24" w:rsidRPr="00C94F95" w:rsidRDefault="00CD4A24" w:rsidP="00CD4A24">
      <w:pPr>
        <w:pStyle w:val="Textonotapie"/>
        <w:ind w:firstLine="708"/>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»Con el fin de materializar los objetivos a que se refiere el inciso anterior, el Gobierno Nacional desarrollará el Sistema Electrónico para la Contratación Pública, Secop, el cual:</w:t>
      </w:r>
    </w:p>
    <w:p w14:paraId="4886B55E" w14:textId="77777777" w:rsidR="00CD4A24" w:rsidRPr="00C94F95" w:rsidRDefault="00CD4A24" w:rsidP="00CD4A24">
      <w:pPr>
        <w:pStyle w:val="Textonotapie"/>
        <w:ind w:firstLine="708"/>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»a) Dispondrá de las funcionalidades tecnológicas para realizar procesos de contratación electrónicos bajo los métodos de selección señalados en el artículo 2o de la presente ley según lo defina el reglamento;</w:t>
      </w:r>
    </w:p>
    <w:p w14:paraId="72E8A5E5" w14:textId="77777777" w:rsidR="00CD4A24" w:rsidRPr="00C94F95" w:rsidRDefault="00CD4A24" w:rsidP="00CD4A24">
      <w:pPr>
        <w:pStyle w:val="Textonotapie"/>
        <w:ind w:firstLine="708"/>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»b) Servirá de punto único de ingreso de información y de generación de reportes para las entidades estatales y la ciudadanía;</w:t>
      </w:r>
    </w:p>
    <w:p w14:paraId="62313EB8" w14:textId="77777777" w:rsidR="00CD4A24" w:rsidRPr="00C94F95" w:rsidRDefault="00CD4A24" w:rsidP="00CD4A24">
      <w:pPr>
        <w:pStyle w:val="Textonotapie"/>
        <w:ind w:firstLine="708"/>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»c) Contará con la información oficial de la contratación realizada con dineros públicos, para lo cual establecerá los patrones a que haya lugar y se encargará de su difusión a través de canales electrónicos y;</w:t>
      </w:r>
    </w:p>
    <w:p w14:paraId="164014DA" w14:textId="77777777" w:rsidR="00CD4A24" w:rsidRPr="00C94F95" w:rsidRDefault="00CD4A24" w:rsidP="00CD4A24">
      <w:pPr>
        <w:pStyle w:val="Textonotapie"/>
        <w:ind w:firstLine="708"/>
        <w:jc w:val="both"/>
        <w:rPr>
          <w:rFonts w:ascii="Arial" w:eastAsia="Calibri" w:hAnsi="Arial" w:cs="Arial"/>
          <w:sz w:val="18"/>
          <w:szCs w:val="18"/>
          <w:lang w:val="es-ES_tradnl" w:eastAsia="es-ES_tradnl"/>
        </w:rPr>
      </w:pPr>
      <w:r w:rsidRPr="00C94F95">
        <w:rPr>
          <w:rFonts w:ascii="Arial" w:eastAsia="Calibri" w:hAnsi="Arial" w:cs="Arial"/>
          <w:sz w:val="18"/>
          <w:szCs w:val="18"/>
          <w:lang w:val="es-ES_tradnl" w:eastAsia="es-ES_tradnl"/>
        </w:rPr>
        <w:t>»d) Integrará el Registro Único Empresarial de las Cámaras de Comercio, el Diario Único de Contratación Estatal y los demás sistemas que involucren la gestión contractual pública. Así mismo, se articulará con el Sistema de Información para la Vigilancia de la Contratación Estatal, SICE, creado por la Ley 598 de 2000, sin que este pierda su autonomía para el ejercicio del control fiscal a la contratación pública».</w:t>
      </w:r>
    </w:p>
    <w:p w14:paraId="336CBA46" w14:textId="77777777" w:rsidR="00CD4A24" w:rsidRPr="00C94F95" w:rsidRDefault="00CD4A24" w:rsidP="00CD4A24">
      <w:pPr>
        <w:pStyle w:val="Textonotapie"/>
        <w:jc w:val="both"/>
        <w:rPr>
          <w:rFonts w:ascii="Arial" w:hAnsi="Arial" w:cs="Arial"/>
          <w:color w:val="000000"/>
          <w:sz w:val="18"/>
          <w:szCs w:val="18"/>
        </w:rPr>
      </w:pPr>
    </w:p>
  </w:footnote>
  <w:footnote w:id="11">
    <w:p w14:paraId="6D32E96B" w14:textId="77777777" w:rsidR="00CD4A24" w:rsidRPr="00C94F95" w:rsidRDefault="00CD4A24" w:rsidP="00CD4A24">
      <w:pPr>
        <w:pStyle w:val="Textonotapie"/>
        <w:ind w:firstLine="708"/>
        <w:jc w:val="both"/>
        <w:rPr>
          <w:rFonts w:ascii="Arial" w:hAnsi="Arial" w:cs="Arial"/>
          <w:color w:val="000000"/>
          <w:sz w:val="18"/>
          <w:szCs w:val="18"/>
          <w:lang w:val="es-CO"/>
        </w:rPr>
      </w:pPr>
      <w:r w:rsidRPr="00C94F95">
        <w:rPr>
          <w:rStyle w:val="Refdenotaalpie"/>
          <w:rFonts w:ascii="Arial" w:hAnsi="Arial" w:cs="Arial"/>
          <w:color w:val="000000"/>
          <w:sz w:val="18"/>
          <w:szCs w:val="18"/>
        </w:rPr>
        <w:footnoteRef/>
      </w:r>
      <w:r w:rsidRPr="00C94F95">
        <w:rPr>
          <w:rFonts w:ascii="Arial" w:hAnsi="Arial" w:cs="Arial"/>
          <w:color w:val="000000"/>
          <w:sz w:val="18"/>
          <w:szCs w:val="18"/>
        </w:rPr>
        <w:t xml:space="preserve"> </w:t>
      </w:r>
      <w:r w:rsidRPr="00C94F95">
        <w:rPr>
          <w:rFonts w:ascii="Arial" w:eastAsia="Calibri" w:hAnsi="Arial" w:cs="Arial"/>
          <w:sz w:val="18"/>
          <w:szCs w:val="18"/>
          <w:lang w:val="es-ES_tradnl" w:eastAsia="es-ES_tradnl"/>
        </w:rPr>
        <w:t>Corte Constitucional. Sentencia C 711 del 11 de marzo de 2011. M.P. Mauricio González Cuervo.</w:t>
      </w:r>
      <w:r w:rsidRPr="00C94F95">
        <w:rPr>
          <w:rFonts w:ascii="Arial" w:hAnsi="Arial" w:cs="Arial"/>
          <w:color w:val="000000"/>
          <w:sz w:val="18"/>
          <w:szCs w:val="18"/>
          <w:lang w:val="es-CO"/>
        </w:rPr>
        <w:t xml:space="preserve"> </w:t>
      </w:r>
    </w:p>
    <w:p w14:paraId="55318D7B" w14:textId="77777777" w:rsidR="00CD4A24" w:rsidRPr="00C94F95" w:rsidRDefault="00CD4A24" w:rsidP="00CD4A24">
      <w:pPr>
        <w:pStyle w:val="Textonotapie"/>
        <w:ind w:firstLine="708"/>
        <w:jc w:val="both"/>
        <w:rPr>
          <w:rFonts w:ascii="Arial" w:hAnsi="Arial" w:cs="Arial"/>
          <w:color w:val="000000"/>
          <w:sz w:val="18"/>
          <w:szCs w:val="18"/>
          <w:lang w:val="es-CO"/>
        </w:rPr>
      </w:pPr>
    </w:p>
  </w:footnote>
  <w:footnote w:id="12">
    <w:p w14:paraId="690D78D4" w14:textId="77777777" w:rsidR="00CD4A24" w:rsidRPr="00C94F95" w:rsidRDefault="00CD4A24" w:rsidP="00CD4A24">
      <w:pPr>
        <w:pStyle w:val="Textonotapie"/>
        <w:ind w:firstLine="708"/>
        <w:jc w:val="both"/>
        <w:rPr>
          <w:rFonts w:ascii="Arial" w:hAnsi="Arial" w:cs="Arial"/>
          <w:sz w:val="18"/>
          <w:szCs w:val="18"/>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Calibri" w:hAnsi="Arial" w:cs="Arial"/>
          <w:sz w:val="18"/>
          <w:szCs w:val="18"/>
          <w:lang w:val="es-ES_tradnl" w:eastAsia="es-ES_tradnl"/>
        </w:rPr>
        <w:t>Agencia Nacional de Contratación Pública – Colombia Compra Eficiente. Concepto C-087 del del 4 de marzo de 2020. Radicado de entrada No. 4202012000000579. Radicado de salida No. 2202013000001598.</w:t>
      </w:r>
    </w:p>
  </w:footnote>
  <w:footnote w:id="13">
    <w:p w14:paraId="132131C5" w14:textId="77777777" w:rsidR="00CD4A24" w:rsidRPr="00C94F95" w:rsidRDefault="00CD4A24" w:rsidP="00CD4A24">
      <w:pPr>
        <w:pStyle w:val="Textonotapie"/>
        <w:ind w:firstLine="708"/>
        <w:jc w:val="both"/>
        <w:rPr>
          <w:rFonts w:ascii="Arial" w:hAnsi="Arial" w:cs="Arial"/>
          <w:sz w:val="18"/>
          <w:szCs w:val="18"/>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Calibri" w:hAnsi="Arial" w:cs="Arial"/>
          <w:sz w:val="18"/>
          <w:szCs w:val="18"/>
          <w:lang w:val="es-ES_tradnl" w:eastAsia="es-ES_tradnl"/>
        </w:rPr>
        <w:t>Ley 80 de 1993 «Articulo 32. De los contratos estatales.</w:t>
      </w:r>
      <w:r w:rsidRPr="00C94F95">
        <w:rPr>
          <w:rFonts w:ascii="Arial" w:eastAsia="Calibri" w:hAnsi="Arial" w:cs="Arial"/>
          <w:b/>
          <w:bCs/>
          <w:sz w:val="18"/>
          <w:szCs w:val="18"/>
          <w:lang w:val="es-ES_tradnl" w:eastAsia="es-ES_tradnl"/>
        </w:rPr>
        <w:t> </w:t>
      </w:r>
      <w:r w:rsidRPr="00C94F95">
        <w:rPr>
          <w:rFonts w:ascii="Arial" w:eastAsia="Calibri" w:hAnsi="Arial" w:cs="Arial"/>
          <w:sz w:val="18"/>
          <w:szCs w:val="18"/>
          <w:lang w:val="es-ES_tradnl" w:eastAsia="es-ES_tradnl"/>
        </w:rPr>
        <w:t>Son contratos estatales todos los actos jurídicos generadores de obligaciones que celebren las entidades a que se refiere el presente estatuto, previstos en el derecho privado o en disposiciones especiales, o derivados del ejercicio de la autonomía de la voluntad […]».</w:t>
      </w:r>
    </w:p>
  </w:footnote>
  <w:footnote w:id="14">
    <w:p w14:paraId="7B7F1BB1" w14:textId="77777777" w:rsidR="00CD4A24" w:rsidRPr="00C94F95" w:rsidRDefault="00CD4A24" w:rsidP="00CD4A24">
      <w:pPr>
        <w:pStyle w:val="NormalWeb"/>
        <w:spacing w:before="0" w:beforeAutospacing="0" w:after="0" w:afterAutospacing="0"/>
        <w:ind w:firstLine="708"/>
        <w:jc w:val="both"/>
        <w:rPr>
          <w:rFonts w:ascii="Arial" w:eastAsia="Calibri" w:hAnsi="Arial" w:cs="Arial"/>
          <w:sz w:val="18"/>
          <w:szCs w:val="18"/>
          <w:lang w:val="es-ES_tradnl" w:eastAsia="es-ES_tradnl"/>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Calibri" w:hAnsi="Arial" w:cs="Arial"/>
          <w:sz w:val="18"/>
          <w:szCs w:val="18"/>
          <w:lang w:val="es-ES_tradnl" w:eastAsia="es-ES_tradnl"/>
        </w:rPr>
        <w:t>Ley 80 de 1993 «Artículo 13. De la normatividad aplicable a los contratos estatales. Los contratos que celebren las entidades a que se refiere el artículo 2o. del presente estatuto se regirán por las disposiciones comerciales y civiles pertinentes, salvo en las materias particularmente reguladas en esta ley. </w:t>
      </w:r>
    </w:p>
    <w:p w14:paraId="5656604B" w14:textId="77777777" w:rsidR="00CD4A24" w:rsidRPr="00C94F95" w:rsidRDefault="00CD4A24" w:rsidP="00CD4A24">
      <w:pPr>
        <w:spacing w:after="0" w:line="240" w:lineRule="auto"/>
        <w:jc w:val="both"/>
        <w:rPr>
          <w:rFonts w:ascii="Arial" w:hAnsi="Arial" w:cs="Arial"/>
          <w:sz w:val="18"/>
          <w:szCs w:val="18"/>
          <w:lang w:val="es-ES_tradnl" w:eastAsia="es-ES_tradnl"/>
        </w:rPr>
      </w:pPr>
      <w:r w:rsidRPr="00C94F95">
        <w:rPr>
          <w:rFonts w:ascii="Arial" w:hAnsi="Arial" w:cs="Arial"/>
          <w:sz w:val="18"/>
          <w:szCs w:val="18"/>
          <w:lang w:val="es-ES_tradnl" w:eastAsia="es-ES_tradnl"/>
        </w:rPr>
        <w:t> </w:t>
      </w:r>
      <w:r w:rsidRPr="00C94F95">
        <w:rPr>
          <w:rFonts w:ascii="Arial" w:hAnsi="Arial" w:cs="Arial"/>
          <w:sz w:val="18"/>
          <w:szCs w:val="18"/>
          <w:lang w:val="es-ES_tradnl" w:eastAsia="es-ES_tradnl"/>
        </w:rPr>
        <w:tab/>
        <w:t>»Los contratos celebrados en el exterior se podrán regir en su ejecución por las reglas del país en donde se hayan suscrito, a menos que deban cumplirse en Colombia. </w:t>
      </w:r>
    </w:p>
    <w:p w14:paraId="4AB8F4FD" w14:textId="77777777" w:rsidR="00CD4A24" w:rsidRPr="00C94F95" w:rsidRDefault="00CD4A24" w:rsidP="00CD4A24">
      <w:pPr>
        <w:spacing w:after="0" w:line="240" w:lineRule="auto"/>
        <w:jc w:val="both"/>
        <w:rPr>
          <w:rFonts w:ascii="Arial" w:hAnsi="Arial" w:cs="Arial"/>
          <w:sz w:val="18"/>
          <w:szCs w:val="18"/>
          <w:lang w:val="es-ES_tradnl" w:eastAsia="es-ES_tradnl"/>
        </w:rPr>
      </w:pPr>
      <w:r w:rsidRPr="00C94F95">
        <w:rPr>
          <w:rFonts w:ascii="Arial" w:hAnsi="Arial" w:cs="Arial"/>
          <w:sz w:val="18"/>
          <w:szCs w:val="18"/>
          <w:lang w:val="es-ES_tradnl" w:eastAsia="es-ES_tradnl"/>
        </w:rPr>
        <w:t>  </w:t>
      </w:r>
      <w:r w:rsidRPr="00C94F95">
        <w:rPr>
          <w:rFonts w:ascii="Arial" w:hAnsi="Arial" w:cs="Arial"/>
          <w:sz w:val="18"/>
          <w:szCs w:val="18"/>
          <w:lang w:val="es-ES_tradnl" w:eastAsia="es-ES_tradnl"/>
        </w:rPr>
        <w:tab/>
        <w:t>»Los contratos que se celebren en Colombia y deban ejecutarse o cumplirse en el extranjero, podrán someterse a la ley extranjera. </w:t>
      </w:r>
    </w:p>
    <w:p w14:paraId="349B5C49" w14:textId="77777777" w:rsidR="00CD4A24" w:rsidRPr="00C94F95" w:rsidRDefault="00CD4A24" w:rsidP="00A85CC1">
      <w:pPr>
        <w:spacing w:after="0" w:line="240" w:lineRule="auto"/>
        <w:ind w:firstLine="709"/>
        <w:jc w:val="both"/>
        <w:rPr>
          <w:rFonts w:ascii="Arial" w:hAnsi="Arial" w:cs="Arial"/>
          <w:sz w:val="18"/>
          <w:szCs w:val="18"/>
          <w:lang w:val="es-ES_tradnl" w:eastAsia="es-ES_tradnl"/>
        </w:rPr>
      </w:pPr>
      <w:r w:rsidRPr="00C94F95">
        <w:rPr>
          <w:rFonts w:ascii="Arial" w:hAnsi="Arial" w:cs="Arial"/>
          <w:sz w:val="18"/>
          <w:szCs w:val="18"/>
          <w:lang w:val="es-ES_tradnl" w:eastAsia="es-ES_tradnl"/>
        </w:rPr>
        <w:t>[…]</w:t>
      </w:r>
    </w:p>
    <w:p w14:paraId="47303635" w14:textId="77777777" w:rsidR="00CD4A24" w:rsidRPr="00C94F95" w:rsidRDefault="00CD4A24" w:rsidP="00A85CC1">
      <w:pPr>
        <w:spacing w:after="0" w:line="240" w:lineRule="auto"/>
        <w:ind w:firstLine="709"/>
        <w:jc w:val="both"/>
        <w:rPr>
          <w:rFonts w:ascii="Arial" w:hAnsi="Arial" w:cs="Arial"/>
          <w:sz w:val="18"/>
          <w:szCs w:val="18"/>
          <w:lang w:val="es-ES_tradnl" w:eastAsia="es-ES_tradnl"/>
        </w:rPr>
      </w:pPr>
      <w:r w:rsidRPr="00C94F95">
        <w:rPr>
          <w:rFonts w:ascii="Arial" w:hAnsi="Arial" w:cs="Arial"/>
          <w:sz w:val="18"/>
          <w:szCs w:val="18"/>
          <w:lang w:val="es-ES_tradnl" w:eastAsia="es-ES_tradnl"/>
        </w:rPr>
        <w:t>»Artículo 40. Del contenido del contrato estatal. Las estipulaciones de los contratos serán las que de acuerdo con las normas civiles, comerciales y las previstas en esta ley, correspondan a su esencia y naturaleza. </w:t>
      </w:r>
    </w:p>
    <w:p w14:paraId="1F9C795B" w14:textId="77777777" w:rsidR="00CD4A24" w:rsidRPr="00C94F95" w:rsidRDefault="00CD4A24" w:rsidP="00CD4A24">
      <w:pPr>
        <w:spacing w:after="0" w:line="240" w:lineRule="auto"/>
        <w:jc w:val="both"/>
        <w:rPr>
          <w:rFonts w:ascii="Arial" w:hAnsi="Arial" w:cs="Arial"/>
          <w:sz w:val="18"/>
          <w:szCs w:val="18"/>
          <w:lang w:val="es-ES_tradnl" w:eastAsia="es-ES_tradnl"/>
        </w:rPr>
      </w:pPr>
      <w:r w:rsidRPr="00C94F95">
        <w:rPr>
          <w:rFonts w:ascii="Arial" w:hAnsi="Arial" w:cs="Arial"/>
          <w:sz w:val="18"/>
          <w:szCs w:val="18"/>
          <w:lang w:val="es-ES_tradnl" w:eastAsia="es-ES_tradnl"/>
        </w:rPr>
        <w:t>  </w:t>
      </w:r>
      <w:r w:rsidRPr="00C94F95">
        <w:rPr>
          <w:rFonts w:ascii="Arial" w:hAnsi="Arial" w:cs="Arial"/>
          <w:sz w:val="18"/>
          <w:szCs w:val="18"/>
          <w:lang w:val="es-ES_tradnl" w:eastAsia="es-ES_tradnl"/>
        </w:rPr>
        <w:tab/>
        <w:t>»Las entidades podrán celebrar los contratos y acuerdos que permitan la autonomía de la voluntad y requieran el cumplimiento de los fines estatales. </w:t>
      </w:r>
    </w:p>
    <w:p w14:paraId="50E85353" w14:textId="77777777" w:rsidR="00CD4A24" w:rsidRPr="00C94F95" w:rsidRDefault="00CD4A24" w:rsidP="00CD4A24">
      <w:pPr>
        <w:spacing w:after="0" w:line="240" w:lineRule="auto"/>
        <w:jc w:val="both"/>
        <w:rPr>
          <w:rFonts w:ascii="Arial" w:hAnsi="Arial" w:cs="Arial"/>
          <w:sz w:val="18"/>
          <w:szCs w:val="18"/>
          <w:lang w:val="es-ES_tradnl" w:eastAsia="es-ES_tradnl"/>
        </w:rPr>
      </w:pPr>
      <w:r w:rsidRPr="00C94F95">
        <w:rPr>
          <w:rFonts w:ascii="Arial" w:hAnsi="Arial" w:cs="Arial"/>
          <w:sz w:val="18"/>
          <w:szCs w:val="18"/>
          <w:lang w:val="es-ES_tradnl" w:eastAsia="es-ES_tradnl"/>
        </w:rPr>
        <w:t xml:space="preserve">   </w:t>
      </w:r>
      <w:r w:rsidRPr="00C94F95">
        <w:rPr>
          <w:rFonts w:ascii="Arial" w:hAnsi="Arial" w:cs="Arial"/>
          <w:sz w:val="18"/>
          <w:szCs w:val="18"/>
          <w:lang w:val="es-ES_tradnl" w:eastAsia="es-ES_tradnl"/>
        </w:rPr>
        <w:tab/>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 </w:t>
      </w:r>
    </w:p>
    <w:p w14:paraId="7BD18AFD" w14:textId="77777777" w:rsidR="00CD4A24" w:rsidRPr="00C94F95" w:rsidRDefault="00CD4A24" w:rsidP="00CD4A24">
      <w:pPr>
        <w:spacing w:after="0" w:line="240" w:lineRule="auto"/>
        <w:jc w:val="both"/>
        <w:rPr>
          <w:rFonts w:ascii="Arial" w:hAnsi="Arial" w:cs="Arial"/>
          <w:sz w:val="18"/>
          <w:szCs w:val="18"/>
          <w:lang w:val="es-ES_tradnl" w:eastAsia="es-ES_tradnl"/>
        </w:rPr>
      </w:pPr>
      <w:r w:rsidRPr="00C94F95">
        <w:rPr>
          <w:rFonts w:ascii="Arial" w:hAnsi="Arial" w:cs="Arial"/>
          <w:sz w:val="18"/>
          <w:szCs w:val="18"/>
          <w:lang w:val="es-ES_tradnl" w:eastAsia="es-ES_tradnl"/>
        </w:rPr>
        <w:t>  </w:t>
      </w:r>
      <w:r w:rsidRPr="00C94F95">
        <w:rPr>
          <w:rFonts w:ascii="Arial" w:hAnsi="Arial" w:cs="Arial"/>
          <w:sz w:val="18"/>
          <w:szCs w:val="18"/>
          <w:lang w:val="es-ES_tradnl" w:eastAsia="es-ES_tradnl"/>
        </w:rPr>
        <w:tab/>
        <w:t>»En los contratos de empréstito o cualquier otra forma de financiación de organismos multilaterales, podrán incluirse las previsiones y particularidades contempladas en los reglamentos de tales entidades, que no sean contrarias a la Constitución o a la ley […]». </w:t>
      </w:r>
    </w:p>
    <w:p w14:paraId="30CE0512" w14:textId="77777777" w:rsidR="00CD4A24" w:rsidRPr="00C94F95" w:rsidRDefault="00CD4A24" w:rsidP="00A85CC1">
      <w:pPr>
        <w:spacing w:after="0" w:line="240" w:lineRule="auto"/>
        <w:jc w:val="both"/>
        <w:rPr>
          <w:rFonts w:ascii="Arial" w:hAnsi="Arial" w:cs="Arial"/>
          <w:sz w:val="18"/>
          <w:szCs w:val="18"/>
          <w:lang w:val="es-ES_tradnl" w:eastAsia="es-ES_tradnl"/>
        </w:rPr>
      </w:pPr>
    </w:p>
  </w:footnote>
  <w:footnote w:id="15">
    <w:p w14:paraId="46D0505B" w14:textId="77777777" w:rsidR="007525CC" w:rsidRPr="00C94F95" w:rsidRDefault="007525CC" w:rsidP="007525CC">
      <w:pPr>
        <w:pStyle w:val="Textonotapie"/>
        <w:tabs>
          <w:tab w:val="left" w:pos="426"/>
        </w:tabs>
        <w:ind w:firstLine="709"/>
        <w:rPr>
          <w:rFonts w:ascii="Arial" w:hAnsi="Arial" w:cs="Arial"/>
          <w:sz w:val="18"/>
          <w:szCs w:val="18"/>
          <w:lang w:val="es-CO"/>
        </w:rPr>
      </w:pPr>
      <w:r w:rsidRPr="00C94F95">
        <w:rPr>
          <w:rStyle w:val="Refdenotaalpie"/>
          <w:rFonts w:ascii="Arial" w:hAnsi="Arial" w:cs="Arial"/>
          <w:sz w:val="18"/>
          <w:szCs w:val="18"/>
        </w:rPr>
        <w:footnoteRef/>
      </w:r>
      <w:r w:rsidRPr="00C94F95">
        <w:rPr>
          <w:rFonts w:ascii="Arial" w:hAnsi="Arial" w:cs="Arial"/>
          <w:sz w:val="18"/>
          <w:szCs w:val="18"/>
        </w:rPr>
        <w:t xml:space="preserve"> </w:t>
      </w:r>
      <w:r w:rsidRPr="00C94F95">
        <w:rPr>
          <w:rFonts w:ascii="Arial" w:eastAsia="Calibri" w:hAnsi="Arial" w:cs="Arial"/>
          <w:sz w:val="18"/>
          <w:szCs w:val="18"/>
          <w:lang w:val="es-ES"/>
        </w:rPr>
        <w:t>Disponible en:  https://www.colombiacompra.gov.co/circulares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0E31D" w14:textId="6E2810A5" w:rsidR="00E2520A" w:rsidRDefault="00E2520A" w:rsidP="006A3704">
    <w:pPr>
      <w:spacing w:after="0" w:line="240" w:lineRule="auto"/>
    </w:pPr>
  </w:p>
  <w:p w14:paraId="603D9E86" w14:textId="61607A32" w:rsidR="0020796E" w:rsidRDefault="0020796E" w:rsidP="006A3704">
    <w:pPr>
      <w:spacing w:after="0" w:line="240" w:lineRule="auto"/>
      <w:rPr>
        <w:rFonts w:ascii="Geomanist Bold" w:hAnsi="Geomanist Bold"/>
        <w:color w:val="002060"/>
      </w:rPr>
    </w:pPr>
    <w:r>
      <w:rPr>
        <w:noProof/>
      </w:rPr>
      <w:drawing>
        <wp:anchor distT="0" distB="0" distL="0" distR="0" simplePos="0" relativeHeight="251659264" behindDoc="1" locked="0" layoutInCell="1" allowOverlap="1" wp14:anchorId="2298F00B" wp14:editId="691EE5BD">
          <wp:simplePos x="0" y="0"/>
          <wp:positionH relativeFrom="margin">
            <wp:align>right</wp:align>
          </wp:positionH>
          <wp:positionV relativeFrom="paragraph">
            <wp:posOffset>6985</wp:posOffset>
          </wp:positionV>
          <wp:extent cx="1657350" cy="676275"/>
          <wp:effectExtent l="0" t="0" r="0" b="9525"/>
          <wp:wrapNone/>
          <wp:docPr id="3" name="Imagen 3" descr="Ico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350" cy="676275"/>
                  </a:xfrm>
                  <a:prstGeom prst="rect">
                    <a:avLst/>
                  </a:prstGeom>
                  <a:noFill/>
                </pic:spPr>
              </pic:pic>
            </a:graphicData>
          </a:graphic>
          <wp14:sizeRelH relativeFrom="margin">
            <wp14:pctWidth>0</wp14:pctWidth>
          </wp14:sizeRelH>
          <wp14:sizeRelV relativeFrom="margin">
            <wp14:pctHeight>0</wp14:pctHeight>
          </wp14:sizeRelV>
        </wp:anchor>
      </w:drawing>
    </w:r>
    <w:r>
      <w:rPr>
        <w:rFonts w:ascii="Geomanist Bold" w:hAnsi="Geomanist Bold"/>
        <w:color w:val="002060"/>
      </w:rPr>
      <w:t xml:space="preserve">FORMATO PQRSD </w:t>
    </w:r>
  </w:p>
  <w:tbl>
    <w:tblPr>
      <w:tblW w:w="9405" w:type="dxa"/>
      <w:tblBorders>
        <w:insideH w:val="nil"/>
        <w:insideV w:val="nil"/>
      </w:tblBorders>
      <w:tblLayout w:type="fixed"/>
      <w:tblLook w:val="0400" w:firstRow="0" w:lastRow="0" w:firstColumn="0" w:lastColumn="0" w:noHBand="0" w:noVBand="1"/>
    </w:tblPr>
    <w:tblGrid>
      <w:gridCol w:w="6757"/>
      <w:gridCol w:w="1324"/>
      <w:gridCol w:w="1324"/>
    </w:tblGrid>
    <w:tr w:rsidR="0020796E" w14:paraId="48C686BC" w14:textId="77777777" w:rsidTr="0020796E">
      <w:tc>
        <w:tcPr>
          <w:tcW w:w="6757" w:type="dxa"/>
          <w:tcBorders>
            <w:top w:val="nil"/>
            <w:left w:val="nil"/>
            <w:bottom w:val="nil"/>
            <w:right w:val="nil"/>
          </w:tcBorders>
          <w:hideMark/>
        </w:tcPr>
        <w:p w14:paraId="36F7744A" w14:textId="77777777" w:rsidR="0020796E" w:rsidRDefault="0020796E" w:rsidP="006A3704">
          <w:pPr>
            <w:tabs>
              <w:tab w:val="center" w:pos="4419"/>
              <w:tab w:val="center" w:pos="5400"/>
              <w:tab w:val="right" w:pos="8838"/>
            </w:tabs>
            <w:spacing w:after="0" w:line="240" w:lineRule="auto"/>
            <w:rPr>
              <w:rFonts w:ascii="Geomanist Bold" w:eastAsia="Geo" w:hAnsi="Geomanist Bold" w:cs="Geo"/>
              <w:b/>
              <w:color w:val="002060"/>
              <w:lang w:eastAsia="es-CO"/>
            </w:rPr>
          </w:pPr>
          <w:r>
            <w:rPr>
              <w:rFonts w:ascii="Geomanist Bold" w:eastAsia="Geo" w:hAnsi="Geomanist Bold" w:cs="Geo"/>
              <w:b/>
              <w:color w:val="000000"/>
              <w:sz w:val="20"/>
              <w:szCs w:val="20"/>
              <w:lang w:eastAsia="es-CO"/>
            </w:rPr>
            <w:t xml:space="preserve">Código: </w:t>
          </w:r>
          <w:r>
            <w:rPr>
              <w:rFonts w:ascii="Geomanist Light" w:eastAsia="Geo" w:hAnsi="Geomanist Light" w:cs="Geo"/>
              <w:b/>
              <w:color w:val="000000"/>
              <w:sz w:val="18"/>
              <w:szCs w:val="18"/>
              <w:lang w:eastAsia="es-CO"/>
            </w:rPr>
            <w:t>CCE-PQRSD-FM-08</w:t>
          </w:r>
        </w:p>
        <w:p w14:paraId="4E350D27" w14:textId="77777777" w:rsidR="0020796E" w:rsidRDefault="0020796E" w:rsidP="006A3704">
          <w:pPr>
            <w:tabs>
              <w:tab w:val="center" w:pos="4419"/>
              <w:tab w:val="center" w:pos="5400"/>
              <w:tab w:val="right" w:pos="8838"/>
            </w:tabs>
            <w:spacing w:after="0" w:line="240" w:lineRule="auto"/>
            <w:rPr>
              <w:rFonts w:asciiTheme="minorHAnsi" w:eastAsia="Arial Nova" w:hAnsiTheme="minorHAnsi" w:cs="Arial Nova"/>
              <w:color w:val="000000"/>
              <w:sz w:val="18"/>
              <w:szCs w:val="18"/>
              <w:lang w:eastAsia="es-CO"/>
            </w:rPr>
          </w:pPr>
          <w:r>
            <w:rPr>
              <w:rFonts w:ascii="Geomanist Bold" w:eastAsia="Geo" w:hAnsi="Geomanist Bold" w:cs="Geo"/>
              <w:b/>
              <w:color w:val="000000"/>
              <w:sz w:val="20"/>
              <w:szCs w:val="20"/>
              <w:lang w:eastAsia="es-CO"/>
            </w:rPr>
            <w:t>Versión</w:t>
          </w:r>
          <w:r>
            <w:rPr>
              <w:rFonts w:ascii="Geomanist Bold" w:eastAsia="Arial Nova" w:hAnsi="Geomanist Bold" w:cs="Arial Nova"/>
              <w:b/>
              <w:color w:val="000000"/>
              <w:sz w:val="20"/>
              <w:szCs w:val="20"/>
              <w:lang w:eastAsia="es-CO"/>
            </w:rPr>
            <w:t xml:space="preserve">: </w:t>
          </w:r>
          <w:r>
            <w:rPr>
              <w:rFonts w:ascii="Geomanist Light" w:eastAsia="Geo" w:hAnsi="Geomanist Light" w:cs="Geo"/>
              <w:sz w:val="18"/>
              <w:szCs w:val="18"/>
              <w:lang w:eastAsia="es-CO"/>
            </w:rPr>
            <w:t>01 DEL 30 DE AGOSTO DE 2022</w:t>
          </w:r>
        </w:p>
      </w:tc>
      <w:tc>
        <w:tcPr>
          <w:tcW w:w="1324" w:type="dxa"/>
          <w:tcBorders>
            <w:top w:val="nil"/>
            <w:left w:val="nil"/>
            <w:bottom w:val="nil"/>
            <w:right w:val="nil"/>
          </w:tcBorders>
        </w:tcPr>
        <w:p w14:paraId="64467BF0" w14:textId="77777777" w:rsidR="0020796E" w:rsidRDefault="0020796E" w:rsidP="006A3704">
          <w:pPr>
            <w:spacing w:after="0" w:line="240" w:lineRule="auto"/>
            <w:jc w:val="right"/>
            <w:rPr>
              <w:rFonts w:eastAsia="Arial Nova" w:cs="Arial Nova"/>
              <w:lang w:eastAsia="es-CO"/>
            </w:rPr>
          </w:pPr>
        </w:p>
      </w:tc>
      <w:tc>
        <w:tcPr>
          <w:tcW w:w="1324" w:type="dxa"/>
          <w:tcBorders>
            <w:top w:val="nil"/>
            <w:left w:val="nil"/>
            <w:bottom w:val="nil"/>
            <w:right w:val="nil"/>
          </w:tcBorders>
        </w:tcPr>
        <w:p w14:paraId="7F0DA02B" w14:textId="77777777" w:rsidR="0020796E" w:rsidRDefault="0020796E" w:rsidP="006A3704">
          <w:pPr>
            <w:spacing w:after="0" w:line="240" w:lineRule="auto"/>
            <w:jc w:val="right"/>
            <w:rPr>
              <w:rFonts w:eastAsia="Arial Nova" w:cs="Arial Nova"/>
              <w:lang w:eastAsia="es-CO"/>
            </w:rPr>
          </w:pPr>
        </w:p>
      </w:tc>
    </w:tr>
  </w:tbl>
  <w:p w14:paraId="5DBE9C96" w14:textId="263A9DAC" w:rsidR="00E2520A" w:rsidRDefault="0020796E" w:rsidP="0020796E">
    <w:r>
      <w:rPr>
        <w:noProof/>
      </w:rPr>
      <w:drawing>
        <wp:inline distT="0" distB="0" distL="0" distR="0" wp14:anchorId="31BFA4E7" wp14:editId="20260E75">
          <wp:extent cx="3238500" cy="76200"/>
          <wp:effectExtent l="0" t="0" r="0" b="0"/>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42F300C"/>
    <w:multiLevelType w:val="multilevel"/>
    <w:tmpl w:val="0846C6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6"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8" w15:restartNumberingAfterBreak="0">
    <w:nsid w:val="16265F41"/>
    <w:multiLevelType w:val="hybridMultilevel"/>
    <w:tmpl w:val="57E0A038"/>
    <w:lvl w:ilvl="0" w:tplc="45F0579C">
      <w:start w:val="1"/>
      <w:numFmt w:val="upperLetter"/>
      <w:lvlText w:val="%1."/>
      <w:lvlJc w:val="left"/>
      <w:pPr>
        <w:ind w:left="1070" w:hanging="71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9" w15:restartNumberingAfterBreak="0">
    <w:nsid w:val="172768CA"/>
    <w:multiLevelType w:val="hybridMultilevel"/>
    <w:tmpl w:val="BFEEB81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4"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6" w15:restartNumberingAfterBreak="0">
    <w:nsid w:val="2F422EAE"/>
    <w:multiLevelType w:val="multilevel"/>
    <w:tmpl w:val="1570C2D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2"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3"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4" w15:restartNumberingAfterBreak="0">
    <w:nsid w:val="41EC3752"/>
    <w:multiLevelType w:val="hybridMultilevel"/>
    <w:tmpl w:val="6896A652"/>
    <w:lvl w:ilvl="0" w:tplc="9CAE3458">
      <w:start w:val="4"/>
      <w:numFmt w:val="upp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5D96BB5"/>
    <w:multiLevelType w:val="hybridMultilevel"/>
    <w:tmpl w:val="A8E62E50"/>
    <w:lvl w:ilvl="0" w:tplc="B60A3924">
      <w:start w:val="1"/>
      <w:numFmt w:val="upp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31"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33"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4"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7" w15:restartNumberingAfterBreak="0">
    <w:nsid w:val="6B0B480E"/>
    <w:multiLevelType w:val="hybridMultilevel"/>
    <w:tmpl w:val="5330C58C"/>
    <w:lvl w:ilvl="0" w:tplc="E8A0D372">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B50263C"/>
    <w:multiLevelType w:val="hybridMultilevel"/>
    <w:tmpl w:val="63E22CF2"/>
    <w:lvl w:ilvl="0" w:tplc="19D095A4">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9"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40"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4"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435440152">
    <w:abstractNumId w:val="19"/>
  </w:num>
  <w:num w:numId="2" w16cid:durableId="1478569355">
    <w:abstractNumId w:val="17"/>
  </w:num>
  <w:num w:numId="3" w16cid:durableId="1952978564">
    <w:abstractNumId w:val="28"/>
  </w:num>
  <w:num w:numId="4" w16cid:durableId="1315186126">
    <w:abstractNumId w:val="33"/>
  </w:num>
  <w:num w:numId="5" w16cid:durableId="1309093109">
    <w:abstractNumId w:val="39"/>
  </w:num>
  <w:num w:numId="6" w16cid:durableId="1319960892">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5807759">
    <w:abstractNumId w:val="34"/>
  </w:num>
  <w:num w:numId="8" w16cid:durableId="1008755670">
    <w:abstractNumId w:val="3"/>
  </w:num>
  <w:num w:numId="9" w16cid:durableId="65764095">
    <w:abstractNumId w:val="11"/>
  </w:num>
  <w:num w:numId="10" w16cid:durableId="13496027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86801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01695747">
    <w:abstractNumId w:val="18"/>
  </w:num>
  <w:num w:numId="13" w16cid:durableId="1145464557">
    <w:abstractNumId w:val="25"/>
  </w:num>
  <w:num w:numId="14" w16cid:durableId="848450862">
    <w:abstractNumId w:val="14"/>
  </w:num>
  <w:num w:numId="15" w16cid:durableId="1912150784">
    <w:abstractNumId w:val="3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0523118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32212629">
    <w:abstractNumId w:val="41"/>
  </w:num>
  <w:num w:numId="18" w16cid:durableId="718556045">
    <w:abstractNumId w:val="29"/>
  </w:num>
  <w:num w:numId="19" w16cid:durableId="2109496769">
    <w:abstractNumId w:val="10"/>
  </w:num>
  <w:num w:numId="20" w16cid:durableId="1574777690">
    <w:abstractNumId w:val="42"/>
  </w:num>
  <w:num w:numId="21" w16cid:durableId="343829570">
    <w:abstractNumId w:val="31"/>
  </w:num>
  <w:num w:numId="22" w16cid:durableId="1521091477">
    <w:abstractNumId w:val="13"/>
  </w:num>
  <w:num w:numId="23" w16cid:durableId="1406491540">
    <w:abstractNumId w:val="12"/>
  </w:num>
  <w:num w:numId="24" w16cid:durableId="216599317">
    <w:abstractNumId w:val="35"/>
  </w:num>
  <w:num w:numId="25" w16cid:durableId="706416597">
    <w:abstractNumId w:val="21"/>
  </w:num>
  <w:num w:numId="26" w16cid:durableId="270862301">
    <w:abstractNumId w:val="40"/>
  </w:num>
  <w:num w:numId="27" w16cid:durableId="1795712713">
    <w:abstractNumId w:val="44"/>
  </w:num>
  <w:num w:numId="28" w16cid:durableId="969941319">
    <w:abstractNumId w:val="26"/>
  </w:num>
  <w:num w:numId="29" w16cid:durableId="1808891589">
    <w:abstractNumId w:val="2"/>
  </w:num>
  <w:num w:numId="30" w16cid:durableId="1508400274">
    <w:abstractNumId w:val="30"/>
  </w:num>
  <w:num w:numId="31" w16cid:durableId="1848517314">
    <w:abstractNumId w:val="22"/>
  </w:num>
  <w:num w:numId="32" w16cid:durableId="1225678077">
    <w:abstractNumId w:val="32"/>
  </w:num>
  <w:num w:numId="33" w16cid:durableId="283007414">
    <w:abstractNumId w:val="43"/>
  </w:num>
  <w:num w:numId="34" w16cid:durableId="669528079">
    <w:abstractNumId w:val="20"/>
  </w:num>
  <w:num w:numId="35" w16cid:durableId="905913167">
    <w:abstractNumId w:val="1"/>
  </w:num>
  <w:num w:numId="36" w16cid:durableId="16839716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693510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160945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244024974">
    <w:abstractNumId w:val="6"/>
  </w:num>
  <w:num w:numId="40" w16cid:durableId="165506549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306735314">
    <w:abstractNumId w:val="16"/>
    <w:lvlOverride w:ilvl="0"/>
    <w:lvlOverride w:ilvl="1">
      <w:startOverride w:val="1"/>
    </w:lvlOverride>
    <w:lvlOverride w:ilvl="2"/>
    <w:lvlOverride w:ilvl="3"/>
    <w:lvlOverride w:ilvl="4"/>
    <w:lvlOverride w:ilvl="5"/>
    <w:lvlOverride w:ilvl="6"/>
    <w:lvlOverride w:ilvl="7"/>
    <w:lvlOverride w:ilvl="8"/>
  </w:num>
  <w:num w:numId="42" w16cid:durableId="541553631">
    <w:abstractNumId w:val="37"/>
  </w:num>
  <w:num w:numId="43" w16cid:durableId="141616998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267976911">
    <w:abstractNumId w:val="38"/>
  </w:num>
  <w:num w:numId="45" w16cid:durableId="1544950817">
    <w:abstractNumId w:val="9"/>
  </w:num>
  <w:num w:numId="46" w16cid:durableId="1353874905">
    <w:abstractNumId w:val="24"/>
  </w:num>
  <w:num w:numId="47" w16cid:durableId="180781337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B1"/>
    <w:rsid w:val="00000559"/>
    <w:rsid w:val="0000162E"/>
    <w:rsid w:val="00001A1C"/>
    <w:rsid w:val="00001FFD"/>
    <w:rsid w:val="00002027"/>
    <w:rsid w:val="000020FE"/>
    <w:rsid w:val="00002AA7"/>
    <w:rsid w:val="000031A8"/>
    <w:rsid w:val="00003233"/>
    <w:rsid w:val="000037D0"/>
    <w:rsid w:val="00003C5C"/>
    <w:rsid w:val="000040D7"/>
    <w:rsid w:val="00004556"/>
    <w:rsid w:val="000051AF"/>
    <w:rsid w:val="00005958"/>
    <w:rsid w:val="000059D3"/>
    <w:rsid w:val="0000600A"/>
    <w:rsid w:val="00006081"/>
    <w:rsid w:val="000060D0"/>
    <w:rsid w:val="00006D78"/>
    <w:rsid w:val="000075EA"/>
    <w:rsid w:val="00007750"/>
    <w:rsid w:val="000077FD"/>
    <w:rsid w:val="00007E37"/>
    <w:rsid w:val="00010408"/>
    <w:rsid w:val="00010AB9"/>
    <w:rsid w:val="00010C40"/>
    <w:rsid w:val="000112B4"/>
    <w:rsid w:val="00011DCC"/>
    <w:rsid w:val="00012532"/>
    <w:rsid w:val="00012B9E"/>
    <w:rsid w:val="00012FBA"/>
    <w:rsid w:val="000134A4"/>
    <w:rsid w:val="00013C6B"/>
    <w:rsid w:val="0001406B"/>
    <w:rsid w:val="000143F8"/>
    <w:rsid w:val="00014624"/>
    <w:rsid w:val="000147ED"/>
    <w:rsid w:val="000159D5"/>
    <w:rsid w:val="00015B44"/>
    <w:rsid w:val="00015CEF"/>
    <w:rsid w:val="00016081"/>
    <w:rsid w:val="000165AC"/>
    <w:rsid w:val="00016651"/>
    <w:rsid w:val="00016881"/>
    <w:rsid w:val="000171A2"/>
    <w:rsid w:val="00017B65"/>
    <w:rsid w:val="00020158"/>
    <w:rsid w:val="000204EA"/>
    <w:rsid w:val="000207E0"/>
    <w:rsid w:val="00020D41"/>
    <w:rsid w:val="00020D87"/>
    <w:rsid w:val="00020F8F"/>
    <w:rsid w:val="00021A95"/>
    <w:rsid w:val="00021C0A"/>
    <w:rsid w:val="00021F62"/>
    <w:rsid w:val="0002256F"/>
    <w:rsid w:val="0002296A"/>
    <w:rsid w:val="00023DAE"/>
    <w:rsid w:val="00023FA5"/>
    <w:rsid w:val="00024592"/>
    <w:rsid w:val="00024896"/>
    <w:rsid w:val="00025065"/>
    <w:rsid w:val="000258A6"/>
    <w:rsid w:val="00026092"/>
    <w:rsid w:val="000263F0"/>
    <w:rsid w:val="00026407"/>
    <w:rsid w:val="000264F6"/>
    <w:rsid w:val="00026608"/>
    <w:rsid w:val="00026B36"/>
    <w:rsid w:val="00026DEB"/>
    <w:rsid w:val="0002738B"/>
    <w:rsid w:val="00027545"/>
    <w:rsid w:val="00027787"/>
    <w:rsid w:val="000277A2"/>
    <w:rsid w:val="000278D2"/>
    <w:rsid w:val="00030747"/>
    <w:rsid w:val="00031384"/>
    <w:rsid w:val="000315E1"/>
    <w:rsid w:val="00031AD9"/>
    <w:rsid w:val="0003236E"/>
    <w:rsid w:val="000323E9"/>
    <w:rsid w:val="00033295"/>
    <w:rsid w:val="00033358"/>
    <w:rsid w:val="0003339A"/>
    <w:rsid w:val="00034134"/>
    <w:rsid w:val="000341F2"/>
    <w:rsid w:val="00034651"/>
    <w:rsid w:val="000351F2"/>
    <w:rsid w:val="00035224"/>
    <w:rsid w:val="00036E03"/>
    <w:rsid w:val="000406DB"/>
    <w:rsid w:val="0004094D"/>
    <w:rsid w:val="00040A5E"/>
    <w:rsid w:val="00041029"/>
    <w:rsid w:val="0004149B"/>
    <w:rsid w:val="00041717"/>
    <w:rsid w:val="00041CA0"/>
    <w:rsid w:val="000427F7"/>
    <w:rsid w:val="00042961"/>
    <w:rsid w:val="00042C25"/>
    <w:rsid w:val="00042D03"/>
    <w:rsid w:val="00043086"/>
    <w:rsid w:val="000430A0"/>
    <w:rsid w:val="00043A33"/>
    <w:rsid w:val="00043D3B"/>
    <w:rsid w:val="00043D4D"/>
    <w:rsid w:val="00043F5D"/>
    <w:rsid w:val="0004418C"/>
    <w:rsid w:val="00044204"/>
    <w:rsid w:val="000449D4"/>
    <w:rsid w:val="000466E8"/>
    <w:rsid w:val="00046717"/>
    <w:rsid w:val="00046A63"/>
    <w:rsid w:val="00046B8D"/>
    <w:rsid w:val="00046C09"/>
    <w:rsid w:val="00046EDB"/>
    <w:rsid w:val="0004716A"/>
    <w:rsid w:val="00047316"/>
    <w:rsid w:val="00047385"/>
    <w:rsid w:val="000473E8"/>
    <w:rsid w:val="00050021"/>
    <w:rsid w:val="000500E1"/>
    <w:rsid w:val="00050460"/>
    <w:rsid w:val="000504DE"/>
    <w:rsid w:val="00051074"/>
    <w:rsid w:val="0005211A"/>
    <w:rsid w:val="000528C3"/>
    <w:rsid w:val="00052B79"/>
    <w:rsid w:val="00052B86"/>
    <w:rsid w:val="00052EA0"/>
    <w:rsid w:val="000536E3"/>
    <w:rsid w:val="00053EDA"/>
    <w:rsid w:val="00053F84"/>
    <w:rsid w:val="0005419F"/>
    <w:rsid w:val="00054252"/>
    <w:rsid w:val="0005474D"/>
    <w:rsid w:val="00055CB9"/>
    <w:rsid w:val="00056F66"/>
    <w:rsid w:val="0005702F"/>
    <w:rsid w:val="00057661"/>
    <w:rsid w:val="0005779C"/>
    <w:rsid w:val="00057848"/>
    <w:rsid w:val="00057B4F"/>
    <w:rsid w:val="00061D06"/>
    <w:rsid w:val="00062289"/>
    <w:rsid w:val="0006294B"/>
    <w:rsid w:val="00062CDD"/>
    <w:rsid w:val="00063FA5"/>
    <w:rsid w:val="000640AF"/>
    <w:rsid w:val="00064940"/>
    <w:rsid w:val="00064CAE"/>
    <w:rsid w:val="00064DB7"/>
    <w:rsid w:val="00064FA7"/>
    <w:rsid w:val="00065195"/>
    <w:rsid w:val="00065A18"/>
    <w:rsid w:val="000703DE"/>
    <w:rsid w:val="00070AF1"/>
    <w:rsid w:val="00070B59"/>
    <w:rsid w:val="000714DE"/>
    <w:rsid w:val="0007254F"/>
    <w:rsid w:val="000726D1"/>
    <w:rsid w:val="00073C30"/>
    <w:rsid w:val="00074305"/>
    <w:rsid w:val="00074B2A"/>
    <w:rsid w:val="00075057"/>
    <w:rsid w:val="00075108"/>
    <w:rsid w:val="00075B3E"/>
    <w:rsid w:val="00075F7D"/>
    <w:rsid w:val="00076456"/>
    <w:rsid w:val="00076604"/>
    <w:rsid w:val="0007779B"/>
    <w:rsid w:val="000777E7"/>
    <w:rsid w:val="0007790A"/>
    <w:rsid w:val="0008017B"/>
    <w:rsid w:val="00080287"/>
    <w:rsid w:val="00080ACD"/>
    <w:rsid w:val="000811ED"/>
    <w:rsid w:val="00081284"/>
    <w:rsid w:val="0008191B"/>
    <w:rsid w:val="00081D62"/>
    <w:rsid w:val="00081E36"/>
    <w:rsid w:val="000820A1"/>
    <w:rsid w:val="000820CE"/>
    <w:rsid w:val="00082B74"/>
    <w:rsid w:val="00083099"/>
    <w:rsid w:val="00083EDC"/>
    <w:rsid w:val="00083EE6"/>
    <w:rsid w:val="000847C0"/>
    <w:rsid w:val="00084873"/>
    <w:rsid w:val="00084B97"/>
    <w:rsid w:val="0008508B"/>
    <w:rsid w:val="0008510E"/>
    <w:rsid w:val="000856DE"/>
    <w:rsid w:val="00085F17"/>
    <w:rsid w:val="00085FB3"/>
    <w:rsid w:val="0008686B"/>
    <w:rsid w:val="00086B2A"/>
    <w:rsid w:val="00086ED2"/>
    <w:rsid w:val="00090CAE"/>
    <w:rsid w:val="000914D6"/>
    <w:rsid w:val="00091569"/>
    <w:rsid w:val="00091E55"/>
    <w:rsid w:val="00091FBB"/>
    <w:rsid w:val="00092DCA"/>
    <w:rsid w:val="000935F8"/>
    <w:rsid w:val="00093C51"/>
    <w:rsid w:val="000942EB"/>
    <w:rsid w:val="00095B70"/>
    <w:rsid w:val="00095C0D"/>
    <w:rsid w:val="00095EB2"/>
    <w:rsid w:val="0009617E"/>
    <w:rsid w:val="00096489"/>
    <w:rsid w:val="000979CF"/>
    <w:rsid w:val="00097A00"/>
    <w:rsid w:val="000A03C8"/>
    <w:rsid w:val="000A05F2"/>
    <w:rsid w:val="000A06C4"/>
    <w:rsid w:val="000A0861"/>
    <w:rsid w:val="000A0ED1"/>
    <w:rsid w:val="000A1139"/>
    <w:rsid w:val="000A126D"/>
    <w:rsid w:val="000A12DB"/>
    <w:rsid w:val="000A17C8"/>
    <w:rsid w:val="000A1AEE"/>
    <w:rsid w:val="000A20D7"/>
    <w:rsid w:val="000A2128"/>
    <w:rsid w:val="000A21ED"/>
    <w:rsid w:val="000A362F"/>
    <w:rsid w:val="000A367A"/>
    <w:rsid w:val="000A3B49"/>
    <w:rsid w:val="000A41BA"/>
    <w:rsid w:val="000A446A"/>
    <w:rsid w:val="000A5AAF"/>
    <w:rsid w:val="000A5F97"/>
    <w:rsid w:val="000A648E"/>
    <w:rsid w:val="000A73BB"/>
    <w:rsid w:val="000A7EF4"/>
    <w:rsid w:val="000B0A15"/>
    <w:rsid w:val="000B0DF3"/>
    <w:rsid w:val="000B103F"/>
    <w:rsid w:val="000B10D0"/>
    <w:rsid w:val="000B1437"/>
    <w:rsid w:val="000B1470"/>
    <w:rsid w:val="000B2B86"/>
    <w:rsid w:val="000B3051"/>
    <w:rsid w:val="000B3F12"/>
    <w:rsid w:val="000B419B"/>
    <w:rsid w:val="000B4716"/>
    <w:rsid w:val="000B5781"/>
    <w:rsid w:val="000B5891"/>
    <w:rsid w:val="000B5C97"/>
    <w:rsid w:val="000B6E4B"/>
    <w:rsid w:val="000B7122"/>
    <w:rsid w:val="000B78F1"/>
    <w:rsid w:val="000C0185"/>
    <w:rsid w:val="000C0444"/>
    <w:rsid w:val="000C0960"/>
    <w:rsid w:val="000C0F81"/>
    <w:rsid w:val="000C128D"/>
    <w:rsid w:val="000C17A3"/>
    <w:rsid w:val="000C1D4B"/>
    <w:rsid w:val="000C3260"/>
    <w:rsid w:val="000C3616"/>
    <w:rsid w:val="000C3803"/>
    <w:rsid w:val="000C3B77"/>
    <w:rsid w:val="000C4A2A"/>
    <w:rsid w:val="000C4F49"/>
    <w:rsid w:val="000C5861"/>
    <w:rsid w:val="000C5F6D"/>
    <w:rsid w:val="000C639D"/>
    <w:rsid w:val="000C67BB"/>
    <w:rsid w:val="000C6C31"/>
    <w:rsid w:val="000C6DBC"/>
    <w:rsid w:val="000C6F79"/>
    <w:rsid w:val="000C7211"/>
    <w:rsid w:val="000C7476"/>
    <w:rsid w:val="000C7683"/>
    <w:rsid w:val="000C7711"/>
    <w:rsid w:val="000C7AA2"/>
    <w:rsid w:val="000C7F0B"/>
    <w:rsid w:val="000D0462"/>
    <w:rsid w:val="000D053D"/>
    <w:rsid w:val="000D0CC7"/>
    <w:rsid w:val="000D0CD9"/>
    <w:rsid w:val="000D0ED2"/>
    <w:rsid w:val="000D1CEB"/>
    <w:rsid w:val="000D2563"/>
    <w:rsid w:val="000D25BF"/>
    <w:rsid w:val="000D3FDC"/>
    <w:rsid w:val="000D4E38"/>
    <w:rsid w:val="000D50DB"/>
    <w:rsid w:val="000D5ABA"/>
    <w:rsid w:val="000D6288"/>
    <w:rsid w:val="000D6CAF"/>
    <w:rsid w:val="000D7541"/>
    <w:rsid w:val="000D75E1"/>
    <w:rsid w:val="000D776B"/>
    <w:rsid w:val="000E0B3C"/>
    <w:rsid w:val="000E1AC9"/>
    <w:rsid w:val="000E1CEB"/>
    <w:rsid w:val="000E22CF"/>
    <w:rsid w:val="000E2977"/>
    <w:rsid w:val="000E2B36"/>
    <w:rsid w:val="000E300F"/>
    <w:rsid w:val="000E30AC"/>
    <w:rsid w:val="000E3B46"/>
    <w:rsid w:val="000E3E11"/>
    <w:rsid w:val="000E4596"/>
    <w:rsid w:val="000E5399"/>
    <w:rsid w:val="000E5768"/>
    <w:rsid w:val="000E5843"/>
    <w:rsid w:val="000E5C89"/>
    <w:rsid w:val="000E6139"/>
    <w:rsid w:val="000E6B73"/>
    <w:rsid w:val="000E6BE1"/>
    <w:rsid w:val="000E7E0B"/>
    <w:rsid w:val="000F078A"/>
    <w:rsid w:val="000F122D"/>
    <w:rsid w:val="000F1450"/>
    <w:rsid w:val="000F14E8"/>
    <w:rsid w:val="000F1BBD"/>
    <w:rsid w:val="000F2739"/>
    <w:rsid w:val="000F2928"/>
    <w:rsid w:val="000F3138"/>
    <w:rsid w:val="000F3D39"/>
    <w:rsid w:val="000F4403"/>
    <w:rsid w:val="000F4C3F"/>
    <w:rsid w:val="000F4E17"/>
    <w:rsid w:val="000F5A94"/>
    <w:rsid w:val="000F636A"/>
    <w:rsid w:val="000F6578"/>
    <w:rsid w:val="000F70CD"/>
    <w:rsid w:val="000F7239"/>
    <w:rsid w:val="000F79F9"/>
    <w:rsid w:val="000F7ABD"/>
    <w:rsid w:val="000F7E8F"/>
    <w:rsid w:val="000F7FBB"/>
    <w:rsid w:val="001000FB"/>
    <w:rsid w:val="00101134"/>
    <w:rsid w:val="00102605"/>
    <w:rsid w:val="00102686"/>
    <w:rsid w:val="00102745"/>
    <w:rsid w:val="001032E3"/>
    <w:rsid w:val="00103361"/>
    <w:rsid w:val="00103855"/>
    <w:rsid w:val="00103915"/>
    <w:rsid w:val="00103EA0"/>
    <w:rsid w:val="001046B8"/>
    <w:rsid w:val="00104F1C"/>
    <w:rsid w:val="001051E5"/>
    <w:rsid w:val="00105A74"/>
    <w:rsid w:val="00105ACB"/>
    <w:rsid w:val="00105AEF"/>
    <w:rsid w:val="00106259"/>
    <w:rsid w:val="001062F0"/>
    <w:rsid w:val="001065E4"/>
    <w:rsid w:val="001068EB"/>
    <w:rsid w:val="001078CE"/>
    <w:rsid w:val="00110CEB"/>
    <w:rsid w:val="00110F61"/>
    <w:rsid w:val="001111BD"/>
    <w:rsid w:val="0011165A"/>
    <w:rsid w:val="00111B2B"/>
    <w:rsid w:val="00111ED9"/>
    <w:rsid w:val="00112609"/>
    <w:rsid w:val="00112774"/>
    <w:rsid w:val="00112B2E"/>
    <w:rsid w:val="00112EFA"/>
    <w:rsid w:val="00113003"/>
    <w:rsid w:val="00113062"/>
    <w:rsid w:val="00113705"/>
    <w:rsid w:val="00113952"/>
    <w:rsid w:val="00113975"/>
    <w:rsid w:val="00113CFC"/>
    <w:rsid w:val="00113FEA"/>
    <w:rsid w:val="00113FF2"/>
    <w:rsid w:val="00114324"/>
    <w:rsid w:val="0011452E"/>
    <w:rsid w:val="00114A22"/>
    <w:rsid w:val="00114E9D"/>
    <w:rsid w:val="0011507B"/>
    <w:rsid w:val="001155EE"/>
    <w:rsid w:val="00115715"/>
    <w:rsid w:val="00115D13"/>
    <w:rsid w:val="00116328"/>
    <w:rsid w:val="001169FD"/>
    <w:rsid w:val="001174C9"/>
    <w:rsid w:val="00117C82"/>
    <w:rsid w:val="00117E69"/>
    <w:rsid w:val="00121103"/>
    <w:rsid w:val="0012156A"/>
    <w:rsid w:val="00121BAB"/>
    <w:rsid w:val="00121E3C"/>
    <w:rsid w:val="00122490"/>
    <w:rsid w:val="00122B23"/>
    <w:rsid w:val="00122B7E"/>
    <w:rsid w:val="00123D64"/>
    <w:rsid w:val="00123FB5"/>
    <w:rsid w:val="0012400F"/>
    <w:rsid w:val="001246C9"/>
    <w:rsid w:val="001249DC"/>
    <w:rsid w:val="00125340"/>
    <w:rsid w:val="0012572D"/>
    <w:rsid w:val="00125BED"/>
    <w:rsid w:val="00125C59"/>
    <w:rsid w:val="00125D4F"/>
    <w:rsid w:val="00126F9B"/>
    <w:rsid w:val="00127004"/>
    <w:rsid w:val="00127AF2"/>
    <w:rsid w:val="00127EDC"/>
    <w:rsid w:val="00127F6D"/>
    <w:rsid w:val="00130355"/>
    <w:rsid w:val="00131B5A"/>
    <w:rsid w:val="00132C30"/>
    <w:rsid w:val="00132EFD"/>
    <w:rsid w:val="00133AED"/>
    <w:rsid w:val="00134FF9"/>
    <w:rsid w:val="00135CB4"/>
    <w:rsid w:val="00135E88"/>
    <w:rsid w:val="0013695C"/>
    <w:rsid w:val="00136BF7"/>
    <w:rsid w:val="001373B5"/>
    <w:rsid w:val="001378B9"/>
    <w:rsid w:val="00137FD1"/>
    <w:rsid w:val="00137FFA"/>
    <w:rsid w:val="00140109"/>
    <w:rsid w:val="0014029B"/>
    <w:rsid w:val="00140A4F"/>
    <w:rsid w:val="001413AB"/>
    <w:rsid w:val="00141A94"/>
    <w:rsid w:val="001432AF"/>
    <w:rsid w:val="00144335"/>
    <w:rsid w:val="0014502F"/>
    <w:rsid w:val="00145282"/>
    <w:rsid w:val="001453B0"/>
    <w:rsid w:val="001454D9"/>
    <w:rsid w:val="00145D8E"/>
    <w:rsid w:val="00146083"/>
    <w:rsid w:val="001462F7"/>
    <w:rsid w:val="001466F0"/>
    <w:rsid w:val="00146B60"/>
    <w:rsid w:val="00147798"/>
    <w:rsid w:val="00150005"/>
    <w:rsid w:val="00150A17"/>
    <w:rsid w:val="00151B99"/>
    <w:rsid w:val="001521B2"/>
    <w:rsid w:val="00152288"/>
    <w:rsid w:val="00152EDD"/>
    <w:rsid w:val="00153491"/>
    <w:rsid w:val="0015361C"/>
    <w:rsid w:val="0015372F"/>
    <w:rsid w:val="00153A05"/>
    <w:rsid w:val="00153A18"/>
    <w:rsid w:val="00153A87"/>
    <w:rsid w:val="00153BFB"/>
    <w:rsid w:val="0015407E"/>
    <w:rsid w:val="0015448E"/>
    <w:rsid w:val="00154A6F"/>
    <w:rsid w:val="00155D08"/>
    <w:rsid w:val="00156BE5"/>
    <w:rsid w:val="00156FDB"/>
    <w:rsid w:val="00157232"/>
    <w:rsid w:val="00160401"/>
    <w:rsid w:val="00160D4E"/>
    <w:rsid w:val="00161E62"/>
    <w:rsid w:val="00161F1C"/>
    <w:rsid w:val="0016200B"/>
    <w:rsid w:val="00162AEC"/>
    <w:rsid w:val="00163D7A"/>
    <w:rsid w:val="00164281"/>
    <w:rsid w:val="00164AF1"/>
    <w:rsid w:val="001654DF"/>
    <w:rsid w:val="00167503"/>
    <w:rsid w:val="001676A9"/>
    <w:rsid w:val="0016789B"/>
    <w:rsid w:val="00167A15"/>
    <w:rsid w:val="00167A50"/>
    <w:rsid w:val="00167D66"/>
    <w:rsid w:val="00167DF5"/>
    <w:rsid w:val="00170001"/>
    <w:rsid w:val="0017145A"/>
    <w:rsid w:val="00171EE0"/>
    <w:rsid w:val="00172198"/>
    <w:rsid w:val="00172612"/>
    <w:rsid w:val="001726C0"/>
    <w:rsid w:val="00172817"/>
    <w:rsid w:val="001734E3"/>
    <w:rsid w:val="0017350E"/>
    <w:rsid w:val="00173754"/>
    <w:rsid w:val="0017391B"/>
    <w:rsid w:val="001742BF"/>
    <w:rsid w:val="001749DF"/>
    <w:rsid w:val="00175E49"/>
    <w:rsid w:val="00176431"/>
    <w:rsid w:val="00176470"/>
    <w:rsid w:val="0017659F"/>
    <w:rsid w:val="00177076"/>
    <w:rsid w:val="001805C1"/>
    <w:rsid w:val="00180A2E"/>
    <w:rsid w:val="001813AF"/>
    <w:rsid w:val="001829CD"/>
    <w:rsid w:val="00182F01"/>
    <w:rsid w:val="00184F27"/>
    <w:rsid w:val="001850E6"/>
    <w:rsid w:val="0018519B"/>
    <w:rsid w:val="00185AFE"/>
    <w:rsid w:val="00185E78"/>
    <w:rsid w:val="00186984"/>
    <w:rsid w:val="00187177"/>
    <w:rsid w:val="00187443"/>
    <w:rsid w:val="00187ABD"/>
    <w:rsid w:val="001904E3"/>
    <w:rsid w:val="0019087A"/>
    <w:rsid w:val="00191395"/>
    <w:rsid w:val="00191C5A"/>
    <w:rsid w:val="00191CEB"/>
    <w:rsid w:val="00191E63"/>
    <w:rsid w:val="00192D68"/>
    <w:rsid w:val="0019388B"/>
    <w:rsid w:val="00193B9A"/>
    <w:rsid w:val="00193F7E"/>
    <w:rsid w:val="00194458"/>
    <w:rsid w:val="001946AE"/>
    <w:rsid w:val="001946D5"/>
    <w:rsid w:val="00194E8C"/>
    <w:rsid w:val="00194EF3"/>
    <w:rsid w:val="001962EC"/>
    <w:rsid w:val="001963DD"/>
    <w:rsid w:val="001965DB"/>
    <w:rsid w:val="00196647"/>
    <w:rsid w:val="00196DC9"/>
    <w:rsid w:val="001A0236"/>
    <w:rsid w:val="001A0AF8"/>
    <w:rsid w:val="001A18D5"/>
    <w:rsid w:val="001A1D4A"/>
    <w:rsid w:val="001A2BDB"/>
    <w:rsid w:val="001A3011"/>
    <w:rsid w:val="001A325B"/>
    <w:rsid w:val="001A3FC3"/>
    <w:rsid w:val="001A42FB"/>
    <w:rsid w:val="001A43C6"/>
    <w:rsid w:val="001A4A08"/>
    <w:rsid w:val="001A4DAF"/>
    <w:rsid w:val="001A652F"/>
    <w:rsid w:val="001A66DF"/>
    <w:rsid w:val="001A67D0"/>
    <w:rsid w:val="001A687E"/>
    <w:rsid w:val="001A6BF1"/>
    <w:rsid w:val="001A7313"/>
    <w:rsid w:val="001A7591"/>
    <w:rsid w:val="001A75B1"/>
    <w:rsid w:val="001A7FBE"/>
    <w:rsid w:val="001B0366"/>
    <w:rsid w:val="001B0444"/>
    <w:rsid w:val="001B096B"/>
    <w:rsid w:val="001B0F9F"/>
    <w:rsid w:val="001B123C"/>
    <w:rsid w:val="001B1A0D"/>
    <w:rsid w:val="001B1BF1"/>
    <w:rsid w:val="001B2456"/>
    <w:rsid w:val="001B2890"/>
    <w:rsid w:val="001B40C7"/>
    <w:rsid w:val="001B449C"/>
    <w:rsid w:val="001B4AA2"/>
    <w:rsid w:val="001B4ADE"/>
    <w:rsid w:val="001B5C86"/>
    <w:rsid w:val="001B5EF8"/>
    <w:rsid w:val="001C027C"/>
    <w:rsid w:val="001C037A"/>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8DA"/>
    <w:rsid w:val="001C6DD8"/>
    <w:rsid w:val="001C7515"/>
    <w:rsid w:val="001C7C7B"/>
    <w:rsid w:val="001D068D"/>
    <w:rsid w:val="001D0A71"/>
    <w:rsid w:val="001D0C08"/>
    <w:rsid w:val="001D12D1"/>
    <w:rsid w:val="001D15DF"/>
    <w:rsid w:val="001D2970"/>
    <w:rsid w:val="001D30F3"/>
    <w:rsid w:val="001D31A0"/>
    <w:rsid w:val="001D338E"/>
    <w:rsid w:val="001D3D3F"/>
    <w:rsid w:val="001D408D"/>
    <w:rsid w:val="001D4141"/>
    <w:rsid w:val="001D56E9"/>
    <w:rsid w:val="001D7923"/>
    <w:rsid w:val="001D796A"/>
    <w:rsid w:val="001D7A84"/>
    <w:rsid w:val="001D7C79"/>
    <w:rsid w:val="001E0E15"/>
    <w:rsid w:val="001E15F0"/>
    <w:rsid w:val="001E1CC4"/>
    <w:rsid w:val="001E1D38"/>
    <w:rsid w:val="001E1DEE"/>
    <w:rsid w:val="001E250D"/>
    <w:rsid w:val="001E4258"/>
    <w:rsid w:val="001E442F"/>
    <w:rsid w:val="001E4587"/>
    <w:rsid w:val="001E56FF"/>
    <w:rsid w:val="001E5A69"/>
    <w:rsid w:val="001E5B84"/>
    <w:rsid w:val="001E5D6A"/>
    <w:rsid w:val="001E62E9"/>
    <w:rsid w:val="001E70FB"/>
    <w:rsid w:val="001E780A"/>
    <w:rsid w:val="001F07D6"/>
    <w:rsid w:val="001F0FA0"/>
    <w:rsid w:val="001F1349"/>
    <w:rsid w:val="001F1863"/>
    <w:rsid w:val="001F232D"/>
    <w:rsid w:val="001F2356"/>
    <w:rsid w:val="001F2A68"/>
    <w:rsid w:val="001F35AE"/>
    <w:rsid w:val="001F39EA"/>
    <w:rsid w:val="001F4773"/>
    <w:rsid w:val="001F5008"/>
    <w:rsid w:val="001F512D"/>
    <w:rsid w:val="001F56AA"/>
    <w:rsid w:val="001F58AA"/>
    <w:rsid w:val="001F5EF6"/>
    <w:rsid w:val="001F657F"/>
    <w:rsid w:val="001F6BD5"/>
    <w:rsid w:val="001F6FB6"/>
    <w:rsid w:val="001F7978"/>
    <w:rsid w:val="001F7A0E"/>
    <w:rsid w:val="0020022E"/>
    <w:rsid w:val="002004AC"/>
    <w:rsid w:val="0020054E"/>
    <w:rsid w:val="00200B51"/>
    <w:rsid w:val="0020106C"/>
    <w:rsid w:val="00201F1E"/>
    <w:rsid w:val="0020299B"/>
    <w:rsid w:val="00202E44"/>
    <w:rsid w:val="002037AA"/>
    <w:rsid w:val="00203FE3"/>
    <w:rsid w:val="002042D8"/>
    <w:rsid w:val="00204515"/>
    <w:rsid w:val="00204BF5"/>
    <w:rsid w:val="00204D91"/>
    <w:rsid w:val="00204D9B"/>
    <w:rsid w:val="00204E6B"/>
    <w:rsid w:val="002058D4"/>
    <w:rsid w:val="00205BAA"/>
    <w:rsid w:val="0020632A"/>
    <w:rsid w:val="002064A6"/>
    <w:rsid w:val="0020697F"/>
    <w:rsid w:val="002077FA"/>
    <w:rsid w:val="0020796E"/>
    <w:rsid w:val="00210430"/>
    <w:rsid w:val="0021096F"/>
    <w:rsid w:val="002110EB"/>
    <w:rsid w:val="00211338"/>
    <w:rsid w:val="00211342"/>
    <w:rsid w:val="00211388"/>
    <w:rsid w:val="0021148C"/>
    <w:rsid w:val="00211694"/>
    <w:rsid w:val="0021201A"/>
    <w:rsid w:val="00213592"/>
    <w:rsid w:val="00213A1F"/>
    <w:rsid w:val="00213C63"/>
    <w:rsid w:val="00214502"/>
    <w:rsid w:val="00214741"/>
    <w:rsid w:val="0021539A"/>
    <w:rsid w:val="00215793"/>
    <w:rsid w:val="00215852"/>
    <w:rsid w:val="00215AC4"/>
    <w:rsid w:val="00215B8E"/>
    <w:rsid w:val="00216264"/>
    <w:rsid w:val="002168B8"/>
    <w:rsid w:val="002176B6"/>
    <w:rsid w:val="0021792D"/>
    <w:rsid w:val="00217DB8"/>
    <w:rsid w:val="0022032A"/>
    <w:rsid w:val="002221CE"/>
    <w:rsid w:val="00222BE8"/>
    <w:rsid w:val="00223102"/>
    <w:rsid w:val="002232CB"/>
    <w:rsid w:val="00223EFE"/>
    <w:rsid w:val="00224022"/>
    <w:rsid w:val="00225C7E"/>
    <w:rsid w:val="00226055"/>
    <w:rsid w:val="0022613F"/>
    <w:rsid w:val="00226236"/>
    <w:rsid w:val="00226287"/>
    <w:rsid w:val="00226DF9"/>
    <w:rsid w:val="002270C9"/>
    <w:rsid w:val="00227710"/>
    <w:rsid w:val="00227A8B"/>
    <w:rsid w:val="0023146B"/>
    <w:rsid w:val="002315A0"/>
    <w:rsid w:val="00231CE0"/>
    <w:rsid w:val="00231DBA"/>
    <w:rsid w:val="00231EC7"/>
    <w:rsid w:val="00232354"/>
    <w:rsid w:val="00232A6C"/>
    <w:rsid w:val="00232E15"/>
    <w:rsid w:val="00233079"/>
    <w:rsid w:val="0023382C"/>
    <w:rsid w:val="00233977"/>
    <w:rsid w:val="00233C58"/>
    <w:rsid w:val="00233C71"/>
    <w:rsid w:val="002345B6"/>
    <w:rsid w:val="00234B84"/>
    <w:rsid w:val="00235D5E"/>
    <w:rsid w:val="00236016"/>
    <w:rsid w:val="0023618D"/>
    <w:rsid w:val="00236E95"/>
    <w:rsid w:val="00237065"/>
    <w:rsid w:val="00237589"/>
    <w:rsid w:val="0023758D"/>
    <w:rsid w:val="002375A7"/>
    <w:rsid w:val="0024016B"/>
    <w:rsid w:val="0024019A"/>
    <w:rsid w:val="002402A8"/>
    <w:rsid w:val="00240695"/>
    <w:rsid w:val="002411DE"/>
    <w:rsid w:val="0024131D"/>
    <w:rsid w:val="002413B5"/>
    <w:rsid w:val="002414D3"/>
    <w:rsid w:val="002415B8"/>
    <w:rsid w:val="00241618"/>
    <w:rsid w:val="00242D62"/>
    <w:rsid w:val="00243057"/>
    <w:rsid w:val="002431D7"/>
    <w:rsid w:val="00243257"/>
    <w:rsid w:val="00243434"/>
    <w:rsid w:val="00244058"/>
    <w:rsid w:val="00244F9A"/>
    <w:rsid w:val="00245718"/>
    <w:rsid w:val="00245E07"/>
    <w:rsid w:val="002462BE"/>
    <w:rsid w:val="00246A5D"/>
    <w:rsid w:val="0024729C"/>
    <w:rsid w:val="00247712"/>
    <w:rsid w:val="00250C45"/>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57C83"/>
    <w:rsid w:val="002604AA"/>
    <w:rsid w:val="0026059D"/>
    <w:rsid w:val="0026129B"/>
    <w:rsid w:val="00261560"/>
    <w:rsid w:val="00261715"/>
    <w:rsid w:val="00261CF9"/>
    <w:rsid w:val="00261EC0"/>
    <w:rsid w:val="0026231B"/>
    <w:rsid w:val="00262A26"/>
    <w:rsid w:val="0026306A"/>
    <w:rsid w:val="00263101"/>
    <w:rsid w:val="00263201"/>
    <w:rsid w:val="00263336"/>
    <w:rsid w:val="00263A37"/>
    <w:rsid w:val="00263EAE"/>
    <w:rsid w:val="00264409"/>
    <w:rsid w:val="002648AB"/>
    <w:rsid w:val="002653A6"/>
    <w:rsid w:val="00265663"/>
    <w:rsid w:val="0026608D"/>
    <w:rsid w:val="002661F1"/>
    <w:rsid w:val="002663BA"/>
    <w:rsid w:val="002664B7"/>
    <w:rsid w:val="00266CB5"/>
    <w:rsid w:val="00267D66"/>
    <w:rsid w:val="002711A4"/>
    <w:rsid w:val="00271F13"/>
    <w:rsid w:val="002721E2"/>
    <w:rsid w:val="00274DB5"/>
    <w:rsid w:val="00275BB1"/>
    <w:rsid w:val="00275FBF"/>
    <w:rsid w:val="00276373"/>
    <w:rsid w:val="00277933"/>
    <w:rsid w:val="00277F13"/>
    <w:rsid w:val="00277F8D"/>
    <w:rsid w:val="00277FA7"/>
    <w:rsid w:val="00280F3D"/>
    <w:rsid w:val="0028106A"/>
    <w:rsid w:val="00281EB4"/>
    <w:rsid w:val="00282C21"/>
    <w:rsid w:val="0028308E"/>
    <w:rsid w:val="002830FE"/>
    <w:rsid w:val="002831B9"/>
    <w:rsid w:val="002834E9"/>
    <w:rsid w:val="0028396F"/>
    <w:rsid w:val="00283A52"/>
    <w:rsid w:val="00283C5E"/>
    <w:rsid w:val="00283E26"/>
    <w:rsid w:val="0028428F"/>
    <w:rsid w:val="00284CFC"/>
    <w:rsid w:val="00285624"/>
    <w:rsid w:val="0028565E"/>
    <w:rsid w:val="00285832"/>
    <w:rsid w:val="00285969"/>
    <w:rsid w:val="0028663B"/>
    <w:rsid w:val="00286CEC"/>
    <w:rsid w:val="002871A9"/>
    <w:rsid w:val="00287B7E"/>
    <w:rsid w:val="00290781"/>
    <w:rsid w:val="00290929"/>
    <w:rsid w:val="002912D3"/>
    <w:rsid w:val="00291784"/>
    <w:rsid w:val="00291AAD"/>
    <w:rsid w:val="002929BB"/>
    <w:rsid w:val="00292E64"/>
    <w:rsid w:val="002932BA"/>
    <w:rsid w:val="00293669"/>
    <w:rsid w:val="00293C47"/>
    <w:rsid w:val="00294368"/>
    <w:rsid w:val="00294B78"/>
    <w:rsid w:val="00295646"/>
    <w:rsid w:val="00295820"/>
    <w:rsid w:val="00295949"/>
    <w:rsid w:val="0029624A"/>
    <w:rsid w:val="00296922"/>
    <w:rsid w:val="0029697C"/>
    <w:rsid w:val="00296EAF"/>
    <w:rsid w:val="00296F71"/>
    <w:rsid w:val="00297098"/>
    <w:rsid w:val="002A05D4"/>
    <w:rsid w:val="002A09FF"/>
    <w:rsid w:val="002A0C01"/>
    <w:rsid w:val="002A0E60"/>
    <w:rsid w:val="002A1A58"/>
    <w:rsid w:val="002A1B02"/>
    <w:rsid w:val="002A1C53"/>
    <w:rsid w:val="002A28FC"/>
    <w:rsid w:val="002A2B44"/>
    <w:rsid w:val="002A2EA5"/>
    <w:rsid w:val="002A3842"/>
    <w:rsid w:val="002A3D94"/>
    <w:rsid w:val="002A4736"/>
    <w:rsid w:val="002A4B1C"/>
    <w:rsid w:val="002A4BDD"/>
    <w:rsid w:val="002A4CC8"/>
    <w:rsid w:val="002A4DBB"/>
    <w:rsid w:val="002A5A80"/>
    <w:rsid w:val="002A68BF"/>
    <w:rsid w:val="002A6AFB"/>
    <w:rsid w:val="002A6E3A"/>
    <w:rsid w:val="002A733D"/>
    <w:rsid w:val="002A774A"/>
    <w:rsid w:val="002A7AFB"/>
    <w:rsid w:val="002A7E5C"/>
    <w:rsid w:val="002A7F6D"/>
    <w:rsid w:val="002B020D"/>
    <w:rsid w:val="002B1342"/>
    <w:rsid w:val="002B27C8"/>
    <w:rsid w:val="002B2A7F"/>
    <w:rsid w:val="002B330B"/>
    <w:rsid w:val="002B39BE"/>
    <w:rsid w:val="002B4039"/>
    <w:rsid w:val="002B438C"/>
    <w:rsid w:val="002B48DB"/>
    <w:rsid w:val="002B4B34"/>
    <w:rsid w:val="002B508E"/>
    <w:rsid w:val="002B541A"/>
    <w:rsid w:val="002B6407"/>
    <w:rsid w:val="002B6416"/>
    <w:rsid w:val="002B6459"/>
    <w:rsid w:val="002B64D2"/>
    <w:rsid w:val="002B6A75"/>
    <w:rsid w:val="002B73B0"/>
    <w:rsid w:val="002B7F7A"/>
    <w:rsid w:val="002C078F"/>
    <w:rsid w:val="002C1143"/>
    <w:rsid w:val="002C24B4"/>
    <w:rsid w:val="002C2739"/>
    <w:rsid w:val="002C2B3A"/>
    <w:rsid w:val="002C2B87"/>
    <w:rsid w:val="002C3CF4"/>
    <w:rsid w:val="002C441A"/>
    <w:rsid w:val="002C4A73"/>
    <w:rsid w:val="002C4B84"/>
    <w:rsid w:val="002C4C0C"/>
    <w:rsid w:val="002C5016"/>
    <w:rsid w:val="002C5570"/>
    <w:rsid w:val="002C5C2F"/>
    <w:rsid w:val="002C5D0F"/>
    <w:rsid w:val="002C5E87"/>
    <w:rsid w:val="002C60B9"/>
    <w:rsid w:val="002C6A1D"/>
    <w:rsid w:val="002C6F77"/>
    <w:rsid w:val="002C6F94"/>
    <w:rsid w:val="002C704D"/>
    <w:rsid w:val="002C77DD"/>
    <w:rsid w:val="002D0845"/>
    <w:rsid w:val="002D0933"/>
    <w:rsid w:val="002D0F58"/>
    <w:rsid w:val="002D1866"/>
    <w:rsid w:val="002D19BB"/>
    <w:rsid w:val="002D1A9B"/>
    <w:rsid w:val="002D22C5"/>
    <w:rsid w:val="002D301F"/>
    <w:rsid w:val="002D302A"/>
    <w:rsid w:val="002D36C6"/>
    <w:rsid w:val="002D37C1"/>
    <w:rsid w:val="002D444B"/>
    <w:rsid w:val="002D4A45"/>
    <w:rsid w:val="002D4A73"/>
    <w:rsid w:val="002D4AB1"/>
    <w:rsid w:val="002D4B42"/>
    <w:rsid w:val="002D4DBA"/>
    <w:rsid w:val="002D5A1B"/>
    <w:rsid w:val="002D65BC"/>
    <w:rsid w:val="002D6D7E"/>
    <w:rsid w:val="002D7EDD"/>
    <w:rsid w:val="002E055C"/>
    <w:rsid w:val="002E1050"/>
    <w:rsid w:val="002E18E5"/>
    <w:rsid w:val="002E1953"/>
    <w:rsid w:val="002E2D7D"/>
    <w:rsid w:val="002E3AB5"/>
    <w:rsid w:val="002E3D76"/>
    <w:rsid w:val="002E40A1"/>
    <w:rsid w:val="002E48EC"/>
    <w:rsid w:val="002E4B44"/>
    <w:rsid w:val="002E4ECB"/>
    <w:rsid w:val="002E4F23"/>
    <w:rsid w:val="002E5B53"/>
    <w:rsid w:val="002E74C4"/>
    <w:rsid w:val="002E7847"/>
    <w:rsid w:val="002E7FCF"/>
    <w:rsid w:val="002F0073"/>
    <w:rsid w:val="002F0618"/>
    <w:rsid w:val="002F1D41"/>
    <w:rsid w:val="002F240B"/>
    <w:rsid w:val="002F2F50"/>
    <w:rsid w:val="002F3601"/>
    <w:rsid w:val="002F45F6"/>
    <w:rsid w:val="002F692F"/>
    <w:rsid w:val="002F69BE"/>
    <w:rsid w:val="002F7B66"/>
    <w:rsid w:val="00300AC1"/>
    <w:rsid w:val="00300CB4"/>
    <w:rsid w:val="00300DE7"/>
    <w:rsid w:val="00300E24"/>
    <w:rsid w:val="0030101C"/>
    <w:rsid w:val="003033BA"/>
    <w:rsid w:val="003043A3"/>
    <w:rsid w:val="00304B96"/>
    <w:rsid w:val="00304BD4"/>
    <w:rsid w:val="0030500A"/>
    <w:rsid w:val="0030517B"/>
    <w:rsid w:val="003052EB"/>
    <w:rsid w:val="00305FCB"/>
    <w:rsid w:val="0030600C"/>
    <w:rsid w:val="003063C3"/>
    <w:rsid w:val="00306B44"/>
    <w:rsid w:val="00307C44"/>
    <w:rsid w:val="0031088E"/>
    <w:rsid w:val="00310A35"/>
    <w:rsid w:val="00310CAF"/>
    <w:rsid w:val="00310D01"/>
    <w:rsid w:val="00311376"/>
    <w:rsid w:val="003118E7"/>
    <w:rsid w:val="00311A1F"/>
    <w:rsid w:val="00311B47"/>
    <w:rsid w:val="00311D52"/>
    <w:rsid w:val="00312190"/>
    <w:rsid w:val="003125E0"/>
    <w:rsid w:val="00312606"/>
    <w:rsid w:val="0031271D"/>
    <w:rsid w:val="0031336A"/>
    <w:rsid w:val="00313447"/>
    <w:rsid w:val="00313748"/>
    <w:rsid w:val="003138A4"/>
    <w:rsid w:val="00313EA3"/>
    <w:rsid w:val="0031447D"/>
    <w:rsid w:val="0031496A"/>
    <w:rsid w:val="00315457"/>
    <w:rsid w:val="003161A4"/>
    <w:rsid w:val="00316955"/>
    <w:rsid w:val="0031720A"/>
    <w:rsid w:val="0031749B"/>
    <w:rsid w:val="003174E5"/>
    <w:rsid w:val="00317C9D"/>
    <w:rsid w:val="00317CD2"/>
    <w:rsid w:val="00317D99"/>
    <w:rsid w:val="00317EA2"/>
    <w:rsid w:val="0032078D"/>
    <w:rsid w:val="003208AB"/>
    <w:rsid w:val="003209BE"/>
    <w:rsid w:val="00320A6E"/>
    <w:rsid w:val="00320F34"/>
    <w:rsid w:val="0032137B"/>
    <w:rsid w:val="003214F7"/>
    <w:rsid w:val="00321BD6"/>
    <w:rsid w:val="00321FA3"/>
    <w:rsid w:val="003227D3"/>
    <w:rsid w:val="003228EB"/>
    <w:rsid w:val="00322937"/>
    <w:rsid w:val="00322A46"/>
    <w:rsid w:val="00322A84"/>
    <w:rsid w:val="00323881"/>
    <w:rsid w:val="00323B73"/>
    <w:rsid w:val="003254F5"/>
    <w:rsid w:val="00325D98"/>
    <w:rsid w:val="0032682A"/>
    <w:rsid w:val="00327A5C"/>
    <w:rsid w:val="0033092C"/>
    <w:rsid w:val="0033122A"/>
    <w:rsid w:val="003315AC"/>
    <w:rsid w:val="00331932"/>
    <w:rsid w:val="00331A60"/>
    <w:rsid w:val="0033245D"/>
    <w:rsid w:val="00332F46"/>
    <w:rsid w:val="00333873"/>
    <w:rsid w:val="00333A88"/>
    <w:rsid w:val="00333FFB"/>
    <w:rsid w:val="00335B15"/>
    <w:rsid w:val="00335B21"/>
    <w:rsid w:val="00335D3F"/>
    <w:rsid w:val="00336104"/>
    <w:rsid w:val="00336729"/>
    <w:rsid w:val="00336AB1"/>
    <w:rsid w:val="0033726D"/>
    <w:rsid w:val="00337362"/>
    <w:rsid w:val="00337807"/>
    <w:rsid w:val="00337CA8"/>
    <w:rsid w:val="00337EAD"/>
    <w:rsid w:val="0034125B"/>
    <w:rsid w:val="0034177C"/>
    <w:rsid w:val="00342345"/>
    <w:rsid w:val="00342B56"/>
    <w:rsid w:val="00342C27"/>
    <w:rsid w:val="003430C8"/>
    <w:rsid w:val="003432C8"/>
    <w:rsid w:val="003434B3"/>
    <w:rsid w:val="00343536"/>
    <w:rsid w:val="00343EFB"/>
    <w:rsid w:val="00344014"/>
    <w:rsid w:val="003443DF"/>
    <w:rsid w:val="00344760"/>
    <w:rsid w:val="00344A64"/>
    <w:rsid w:val="0034680A"/>
    <w:rsid w:val="00346C62"/>
    <w:rsid w:val="0034740F"/>
    <w:rsid w:val="0034778E"/>
    <w:rsid w:val="003501E2"/>
    <w:rsid w:val="00350A59"/>
    <w:rsid w:val="00351E10"/>
    <w:rsid w:val="0035254F"/>
    <w:rsid w:val="003525E7"/>
    <w:rsid w:val="0035273A"/>
    <w:rsid w:val="00352D59"/>
    <w:rsid w:val="003533F4"/>
    <w:rsid w:val="003536F6"/>
    <w:rsid w:val="00353DD5"/>
    <w:rsid w:val="00354A64"/>
    <w:rsid w:val="00355131"/>
    <w:rsid w:val="00355462"/>
    <w:rsid w:val="00356438"/>
    <w:rsid w:val="00356687"/>
    <w:rsid w:val="00357107"/>
    <w:rsid w:val="0036098D"/>
    <w:rsid w:val="003609C4"/>
    <w:rsid w:val="00361A59"/>
    <w:rsid w:val="003631CC"/>
    <w:rsid w:val="00363348"/>
    <w:rsid w:val="00363857"/>
    <w:rsid w:val="00363CB3"/>
    <w:rsid w:val="00363D59"/>
    <w:rsid w:val="003640F7"/>
    <w:rsid w:val="00364300"/>
    <w:rsid w:val="00365D3A"/>
    <w:rsid w:val="00365F2A"/>
    <w:rsid w:val="003661DD"/>
    <w:rsid w:val="003664FF"/>
    <w:rsid w:val="00366B70"/>
    <w:rsid w:val="00366BD2"/>
    <w:rsid w:val="003670B8"/>
    <w:rsid w:val="0036776E"/>
    <w:rsid w:val="003704A3"/>
    <w:rsid w:val="003706F2"/>
    <w:rsid w:val="0037124F"/>
    <w:rsid w:val="0037195B"/>
    <w:rsid w:val="00373827"/>
    <w:rsid w:val="00373971"/>
    <w:rsid w:val="00373F04"/>
    <w:rsid w:val="0037401C"/>
    <w:rsid w:val="00374A1E"/>
    <w:rsid w:val="0037507B"/>
    <w:rsid w:val="003759D1"/>
    <w:rsid w:val="00375C7C"/>
    <w:rsid w:val="003762F6"/>
    <w:rsid w:val="00376A1F"/>
    <w:rsid w:val="00377027"/>
    <w:rsid w:val="00377135"/>
    <w:rsid w:val="00380272"/>
    <w:rsid w:val="00380355"/>
    <w:rsid w:val="00380576"/>
    <w:rsid w:val="003805DB"/>
    <w:rsid w:val="003813F4"/>
    <w:rsid w:val="0038152A"/>
    <w:rsid w:val="0038186A"/>
    <w:rsid w:val="00382BAD"/>
    <w:rsid w:val="00383A8D"/>
    <w:rsid w:val="00383B2B"/>
    <w:rsid w:val="00384CD6"/>
    <w:rsid w:val="00384DF1"/>
    <w:rsid w:val="00384FF3"/>
    <w:rsid w:val="003852D5"/>
    <w:rsid w:val="003859DA"/>
    <w:rsid w:val="00386456"/>
    <w:rsid w:val="003865A9"/>
    <w:rsid w:val="00387642"/>
    <w:rsid w:val="00390088"/>
    <w:rsid w:val="003902B1"/>
    <w:rsid w:val="003903B6"/>
    <w:rsid w:val="00390F32"/>
    <w:rsid w:val="0039135E"/>
    <w:rsid w:val="0039200F"/>
    <w:rsid w:val="00392FFF"/>
    <w:rsid w:val="0039319C"/>
    <w:rsid w:val="003938CD"/>
    <w:rsid w:val="00393CAE"/>
    <w:rsid w:val="003945DC"/>
    <w:rsid w:val="003945F4"/>
    <w:rsid w:val="00394EB5"/>
    <w:rsid w:val="0039539A"/>
    <w:rsid w:val="003953B4"/>
    <w:rsid w:val="0039615F"/>
    <w:rsid w:val="003965C8"/>
    <w:rsid w:val="00396675"/>
    <w:rsid w:val="00396A29"/>
    <w:rsid w:val="00397FF0"/>
    <w:rsid w:val="003A07D9"/>
    <w:rsid w:val="003A0878"/>
    <w:rsid w:val="003A10DE"/>
    <w:rsid w:val="003A1561"/>
    <w:rsid w:val="003A1D25"/>
    <w:rsid w:val="003A22A2"/>
    <w:rsid w:val="003A2447"/>
    <w:rsid w:val="003A2AA1"/>
    <w:rsid w:val="003A2AAA"/>
    <w:rsid w:val="003A31A5"/>
    <w:rsid w:val="003A3851"/>
    <w:rsid w:val="003A39DD"/>
    <w:rsid w:val="003A4A8E"/>
    <w:rsid w:val="003A563C"/>
    <w:rsid w:val="003A581E"/>
    <w:rsid w:val="003A6160"/>
    <w:rsid w:val="003A65A5"/>
    <w:rsid w:val="003A72F5"/>
    <w:rsid w:val="003A78E5"/>
    <w:rsid w:val="003B0341"/>
    <w:rsid w:val="003B120F"/>
    <w:rsid w:val="003B1E57"/>
    <w:rsid w:val="003B1F7F"/>
    <w:rsid w:val="003B2885"/>
    <w:rsid w:val="003B2E6C"/>
    <w:rsid w:val="003B2EF3"/>
    <w:rsid w:val="003B3676"/>
    <w:rsid w:val="003B4B1C"/>
    <w:rsid w:val="003B4CB2"/>
    <w:rsid w:val="003B534F"/>
    <w:rsid w:val="003B5391"/>
    <w:rsid w:val="003B5952"/>
    <w:rsid w:val="003B65D7"/>
    <w:rsid w:val="003B65E0"/>
    <w:rsid w:val="003B6BD4"/>
    <w:rsid w:val="003B6E93"/>
    <w:rsid w:val="003B6F4D"/>
    <w:rsid w:val="003B6FE7"/>
    <w:rsid w:val="003B7413"/>
    <w:rsid w:val="003B7B6B"/>
    <w:rsid w:val="003C0791"/>
    <w:rsid w:val="003C0D1F"/>
    <w:rsid w:val="003C116A"/>
    <w:rsid w:val="003C1AF4"/>
    <w:rsid w:val="003C1B63"/>
    <w:rsid w:val="003C1CB8"/>
    <w:rsid w:val="003C2550"/>
    <w:rsid w:val="003C287F"/>
    <w:rsid w:val="003C3339"/>
    <w:rsid w:val="003C375A"/>
    <w:rsid w:val="003C43F6"/>
    <w:rsid w:val="003C4D9F"/>
    <w:rsid w:val="003C5118"/>
    <w:rsid w:val="003C622C"/>
    <w:rsid w:val="003C6D53"/>
    <w:rsid w:val="003C6DE8"/>
    <w:rsid w:val="003C73C7"/>
    <w:rsid w:val="003D0195"/>
    <w:rsid w:val="003D03F3"/>
    <w:rsid w:val="003D050B"/>
    <w:rsid w:val="003D0B98"/>
    <w:rsid w:val="003D0C3C"/>
    <w:rsid w:val="003D0DE5"/>
    <w:rsid w:val="003D1351"/>
    <w:rsid w:val="003D21C1"/>
    <w:rsid w:val="003D3707"/>
    <w:rsid w:val="003D3B15"/>
    <w:rsid w:val="003D3B2E"/>
    <w:rsid w:val="003D484D"/>
    <w:rsid w:val="003D49CB"/>
    <w:rsid w:val="003D4BD6"/>
    <w:rsid w:val="003D5960"/>
    <w:rsid w:val="003D6412"/>
    <w:rsid w:val="003D6B8F"/>
    <w:rsid w:val="003D7566"/>
    <w:rsid w:val="003D7708"/>
    <w:rsid w:val="003D79E4"/>
    <w:rsid w:val="003D7C2F"/>
    <w:rsid w:val="003E08B3"/>
    <w:rsid w:val="003E09BB"/>
    <w:rsid w:val="003E159D"/>
    <w:rsid w:val="003E20EA"/>
    <w:rsid w:val="003E210C"/>
    <w:rsid w:val="003E27ED"/>
    <w:rsid w:val="003E2913"/>
    <w:rsid w:val="003E2F55"/>
    <w:rsid w:val="003E317C"/>
    <w:rsid w:val="003E34DB"/>
    <w:rsid w:val="003E3833"/>
    <w:rsid w:val="003E3902"/>
    <w:rsid w:val="003E3AF9"/>
    <w:rsid w:val="003E412A"/>
    <w:rsid w:val="003E4A70"/>
    <w:rsid w:val="003E4C48"/>
    <w:rsid w:val="003E4CD9"/>
    <w:rsid w:val="003E54B3"/>
    <w:rsid w:val="003E5780"/>
    <w:rsid w:val="003E5B9F"/>
    <w:rsid w:val="003E6072"/>
    <w:rsid w:val="003E611E"/>
    <w:rsid w:val="003E62C1"/>
    <w:rsid w:val="003E6AB6"/>
    <w:rsid w:val="003E6E0B"/>
    <w:rsid w:val="003E6F27"/>
    <w:rsid w:val="003E71CD"/>
    <w:rsid w:val="003E74E5"/>
    <w:rsid w:val="003E76DF"/>
    <w:rsid w:val="003E78DA"/>
    <w:rsid w:val="003E7A8B"/>
    <w:rsid w:val="003F04B0"/>
    <w:rsid w:val="003F0F7F"/>
    <w:rsid w:val="003F300D"/>
    <w:rsid w:val="003F391F"/>
    <w:rsid w:val="003F4599"/>
    <w:rsid w:val="003F45E1"/>
    <w:rsid w:val="003F4F6C"/>
    <w:rsid w:val="003F516A"/>
    <w:rsid w:val="003F559E"/>
    <w:rsid w:val="003F5DB7"/>
    <w:rsid w:val="003F6181"/>
    <w:rsid w:val="003F63DF"/>
    <w:rsid w:val="003F7343"/>
    <w:rsid w:val="003F7FCA"/>
    <w:rsid w:val="00400002"/>
    <w:rsid w:val="00400054"/>
    <w:rsid w:val="004016A3"/>
    <w:rsid w:val="00401B31"/>
    <w:rsid w:val="0040202B"/>
    <w:rsid w:val="00402DE1"/>
    <w:rsid w:val="00402EEB"/>
    <w:rsid w:val="004037C2"/>
    <w:rsid w:val="00404041"/>
    <w:rsid w:val="00404B43"/>
    <w:rsid w:val="00404C61"/>
    <w:rsid w:val="00405487"/>
    <w:rsid w:val="004054B1"/>
    <w:rsid w:val="0040550C"/>
    <w:rsid w:val="00405792"/>
    <w:rsid w:val="0040602B"/>
    <w:rsid w:val="00407A7A"/>
    <w:rsid w:val="00407ABC"/>
    <w:rsid w:val="00407BFD"/>
    <w:rsid w:val="00407F1E"/>
    <w:rsid w:val="004106C5"/>
    <w:rsid w:val="00410A88"/>
    <w:rsid w:val="004112B5"/>
    <w:rsid w:val="00411317"/>
    <w:rsid w:val="00411A9E"/>
    <w:rsid w:val="00411D88"/>
    <w:rsid w:val="0041214C"/>
    <w:rsid w:val="0041259F"/>
    <w:rsid w:val="00412B4D"/>
    <w:rsid w:val="00412BBF"/>
    <w:rsid w:val="00412C51"/>
    <w:rsid w:val="00413262"/>
    <w:rsid w:val="0041329C"/>
    <w:rsid w:val="004139F4"/>
    <w:rsid w:val="00413FFA"/>
    <w:rsid w:val="00414246"/>
    <w:rsid w:val="0041475B"/>
    <w:rsid w:val="00414760"/>
    <w:rsid w:val="00414C2F"/>
    <w:rsid w:val="00414D9A"/>
    <w:rsid w:val="00415194"/>
    <w:rsid w:val="00415816"/>
    <w:rsid w:val="00415B88"/>
    <w:rsid w:val="00415D32"/>
    <w:rsid w:val="004160A2"/>
    <w:rsid w:val="004166CB"/>
    <w:rsid w:val="00416879"/>
    <w:rsid w:val="00417089"/>
    <w:rsid w:val="004170D7"/>
    <w:rsid w:val="004177A6"/>
    <w:rsid w:val="00417EFD"/>
    <w:rsid w:val="004200EE"/>
    <w:rsid w:val="004209D2"/>
    <w:rsid w:val="00420A6C"/>
    <w:rsid w:val="00420D6E"/>
    <w:rsid w:val="00421BD2"/>
    <w:rsid w:val="00421E00"/>
    <w:rsid w:val="00421FCB"/>
    <w:rsid w:val="00421FF6"/>
    <w:rsid w:val="0042261B"/>
    <w:rsid w:val="00422DCA"/>
    <w:rsid w:val="00423F9F"/>
    <w:rsid w:val="0042499B"/>
    <w:rsid w:val="00424FEC"/>
    <w:rsid w:val="0042540A"/>
    <w:rsid w:val="00425444"/>
    <w:rsid w:val="00425C43"/>
    <w:rsid w:val="00426C69"/>
    <w:rsid w:val="004273FA"/>
    <w:rsid w:val="004277B4"/>
    <w:rsid w:val="00430186"/>
    <w:rsid w:val="00430730"/>
    <w:rsid w:val="0043269A"/>
    <w:rsid w:val="00432E14"/>
    <w:rsid w:val="004333C2"/>
    <w:rsid w:val="00433ACB"/>
    <w:rsid w:val="00434787"/>
    <w:rsid w:val="004347DA"/>
    <w:rsid w:val="00434C13"/>
    <w:rsid w:val="00435F8A"/>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613"/>
    <w:rsid w:val="0044374D"/>
    <w:rsid w:val="00443865"/>
    <w:rsid w:val="00443945"/>
    <w:rsid w:val="00443B55"/>
    <w:rsid w:val="00443D27"/>
    <w:rsid w:val="00445AC2"/>
    <w:rsid w:val="00446037"/>
    <w:rsid w:val="0044642F"/>
    <w:rsid w:val="004468C3"/>
    <w:rsid w:val="00447021"/>
    <w:rsid w:val="0044772C"/>
    <w:rsid w:val="004502AA"/>
    <w:rsid w:val="004507BD"/>
    <w:rsid w:val="00450846"/>
    <w:rsid w:val="00450B1A"/>
    <w:rsid w:val="004510BD"/>
    <w:rsid w:val="0045159C"/>
    <w:rsid w:val="00451A52"/>
    <w:rsid w:val="00451FC8"/>
    <w:rsid w:val="0045271D"/>
    <w:rsid w:val="00452755"/>
    <w:rsid w:val="00452803"/>
    <w:rsid w:val="004529C6"/>
    <w:rsid w:val="00452EAD"/>
    <w:rsid w:val="004531D5"/>
    <w:rsid w:val="004533D1"/>
    <w:rsid w:val="004534D1"/>
    <w:rsid w:val="00453A53"/>
    <w:rsid w:val="004544CA"/>
    <w:rsid w:val="00454548"/>
    <w:rsid w:val="00454582"/>
    <w:rsid w:val="00454717"/>
    <w:rsid w:val="00455047"/>
    <w:rsid w:val="00455354"/>
    <w:rsid w:val="0045558D"/>
    <w:rsid w:val="00455811"/>
    <w:rsid w:val="00455DEE"/>
    <w:rsid w:val="00456970"/>
    <w:rsid w:val="00456BB1"/>
    <w:rsid w:val="00456DDB"/>
    <w:rsid w:val="0046080F"/>
    <w:rsid w:val="00460915"/>
    <w:rsid w:val="00460946"/>
    <w:rsid w:val="004613D2"/>
    <w:rsid w:val="004614A9"/>
    <w:rsid w:val="00461B6F"/>
    <w:rsid w:val="00461E97"/>
    <w:rsid w:val="00462452"/>
    <w:rsid w:val="0046268F"/>
    <w:rsid w:val="0046284F"/>
    <w:rsid w:val="00462B10"/>
    <w:rsid w:val="00462C04"/>
    <w:rsid w:val="0046320A"/>
    <w:rsid w:val="004633CF"/>
    <w:rsid w:val="0046361D"/>
    <w:rsid w:val="004638E2"/>
    <w:rsid w:val="00463E31"/>
    <w:rsid w:val="00464030"/>
    <w:rsid w:val="004647F8"/>
    <w:rsid w:val="004647FB"/>
    <w:rsid w:val="00465456"/>
    <w:rsid w:val="00465677"/>
    <w:rsid w:val="00465AC3"/>
    <w:rsid w:val="00466616"/>
    <w:rsid w:val="00466A0C"/>
    <w:rsid w:val="00470A6A"/>
    <w:rsid w:val="00470D92"/>
    <w:rsid w:val="004712D1"/>
    <w:rsid w:val="00471DF7"/>
    <w:rsid w:val="00471F6B"/>
    <w:rsid w:val="00472056"/>
    <w:rsid w:val="0047295C"/>
    <w:rsid w:val="00472D8E"/>
    <w:rsid w:val="004734CF"/>
    <w:rsid w:val="00473FBE"/>
    <w:rsid w:val="00474889"/>
    <w:rsid w:val="00475C5A"/>
    <w:rsid w:val="00475C9C"/>
    <w:rsid w:val="0047676B"/>
    <w:rsid w:val="0047773C"/>
    <w:rsid w:val="00477C5F"/>
    <w:rsid w:val="00480050"/>
    <w:rsid w:val="004808DE"/>
    <w:rsid w:val="00481AC4"/>
    <w:rsid w:val="00481DC1"/>
    <w:rsid w:val="00482507"/>
    <w:rsid w:val="0048268A"/>
    <w:rsid w:val="00482BB3"/>
    <w:rsid w:val="00483356"/>
    <w:rsid w:val="004835CA"/>
    <w:rsid w:val="004836F8"/>
    <w:rsid w:val="004836FE"/>
    <w:rsid w:val="00483D20"/>
    <w:rsid w:val="00484074"/>
    <w:rsid w:val="004843F9"/>
    <w:rsid w:val="00484F0F"/>
    <w:rsid w:val="00484F40"/>
    <w:rsid w:val="0048540C"/>
    <w:rsid w:val="0048592F"/>
    <w:rsid w:val="0048605E"/>
    <w:rsid w:val="004861B4"/>
    <w:rsid w:val="00486663"/>
    <w:rsid w:val="00486741"/>
    <w:rsid w:val="00486AB4"/>
    <w:rsid w:val="00486BD0"/>
    <w:rsid w:val="00486D00"/>
    <w:rsid w:val="00487263"/>
    <w:rsid w:val="0048734F"/>
    <w:rsid w:val="0049029D"/>
    <w:rsid w:val="0049030C"/>
    <w:rsid w:val="004903C0"/>
    <w:rsid w:val="0049105E"/>
    <w:rsid w:val="0049114B"/>
    <w:rsid w:val="004912A8"/>
    <w:rsid w:val="00491577"/>
    <w:rsid w:val="0049196E"/>
    <w:rsid w:val="0049241A"/>
    <w:rsid w:val="00492C1F"/>
    <w:rsid w:val="00492E4C"/>
    <w:rsid w:val="00493B2C"/>
    <w:rsid w:val="00493E04"/>
    <w:rsid w:val="004940E3"/>
    <w:rsid w:val="004942DE"/>
    <w:rsid w:val="0049530F"/>
    <w:rsid w:val="00495980"/>
    <w:rsid w:val="00496664"/>
    <w:rsid w:val="00496786"/>
    <w:rsid w:val="0049695B"/>
    <w:rsid w:val="00496D8F"/>
    <w:rsid w:val="00497463"/>
    <w:rsid w:val="00497B15"/>
    <w:rsid w:val="00497BA8"/>
    <w:rsid w:val="004A054C"/>
    <w:rsid w:val="004A08D1"/>
    <w:rsid w:val="004A16C1"/>
    <w:rsid w:val="004A188D"/>
    <w:rsid w:val="004A1CE2"/>
    <w:rsid w:val="004A2069"/>
    <w:rsid w:val="004A2800"/>
    <w:rsid w:val="004A34D2"/>
    <w:rsid w:val="004A41BA"/>
    <w:rsid w:val="004A4301"/>
    <w:rsid w:val="004A4E65"/>
    <w:rsid w:val="004A58EE"/>
    <w:rsid w:val="004A59B7"/>
    <w:rsid w:val="004A623B"/>
    <w:rsid w:val="004A6A04"/>
    <w:rsid w:val="004A6A52"/>
    <w:rsid w:val="004A6C78"/>
    <w:rsid w:val="004A7577"/>
    <w:rsid w:val="004A79F2"/>
    <w:rsid w:val="004B0F0B"/>
    <w:rsid w:val="004B1501"/>
    <w:rsid w:val="004B1560"/>
    <w:rsid w:val="004B163F"/>
    <w:rsid w:val="004B2197"/>
    <w:rsid w:val="004B298A"/>
    <w:rsid w:val="004B459F"/>
    <w:rsid w:val="004B4BB5"/>
    <w:rsid w:val="004B578D"/>
    <w:rsid w:val="004B5BE7"/>
    <w:rsid w:val="004B5E2D"/>
    <w:rsid w:val="004B5ED5"/>
    <w:rsid w:val="004B6793"/>
    <w:rsid w:val="004B6C07"/>
    <w:rsid w:val="004B72BB"/>
    <w:rsid w:val="004B74D3"/>
    <w:rsid w:val="004B76D3"/>
    <w:rsid w:val="004B7773"/>
    <w:rsid w:val="004B788E"/>
    <w:rsid w:val="004B79B3"/>
    <w:rsid w:val="004B7E5D"/>
    <w:rsid w:val="004C0DD8"/>
    <w:rsid w:val="004C22F7"/>
    <w:rsid w:val="004C2B27"/>
    <w:rsid w:val="004C3929"/>
    <w:rsid w:val="004C3D09"/>
    <w:rsid w:val="004C4DCB"/>
    <w:rsid w:val="004C5212"/>
    <w:rsid w:val="004C5464"/>
    <w:rsid w:val="004C5A29"/>
    <w:rsid w:val="004C5B3B"/>
    <w:rsid w:val="004C5BAC"/>
    <w:rsid w:val="004C5EF0"/>
    <w:rsid w:val="004C7226"/>
    <w:rsid w:val="004C74C9"/>
    <w:rsid w:val="004C7D70"/>
    <w:rsid w:val="004D02F9"/>
    <w:rsid w:val="004D03FE"/>
    <w:rsid w:val="004D0446"/>
    <w:rsid w:val="004D0A4F"/>
    <w:rsid w:val="004D0E03"/>
    <w:rsid w:val="004D0F95"/>
    <w:rsid w:val="004D106A"/>
    <w:rsid w:val="004D31EE"/>
    <w:rsid w:val="004D36AF"/>
    <w:rsid w:val="004D3BD1"/>
    <w:rsid w:val="004D4BA1"/>
    <w:rsid w:val="004D5451"/>
    <w:rsid w:val="004D584D"/>
    <w:rsid w:val="004D58DE"/>
    <w:rsid w:val="004D6041"/>
    <w:rsid w:val="004D61E1"/>
    <w:rsid w:val="004D6826"/>
    <w:rsid w:val="004D6D5E"/>
    <w:rsid w:val="004E023F"/>
    <w:rsid w:val="004E02DB"/>
    <w:rsid w:val="004E0742"/>
    <w:rsid w:val="004E0C64"/>
    <w:rsid w:val="004E0F6B"/>
    <w:rsid w:val="004E1545"/>
    <w:rsid w:val="004E1F1C"/>
    <w:rsid w:val="004E2A35"/>
    <w:rsid w:val="004E40CE"/>
    <w:rsid w:val="004E4465"/>
    <w:rsid w:val="004E518D"/>
    <w:rsid w:val="004E5736"/>
    <w:rsid w:val="004E5B36"/>
    <w:rsid w:val="004E6045"/>
    <w:rsid w:val="004E6758"/>
    <w:rsid w:val="004E6F43"/>
    <w:rsid w:val="004E7200"/>
    <w:rsid w:val="004F034D"/>
    <w:rsid w:val="004F0538"/>
    <w:rsid w:val="004F091D"/>
    <w:rsid w:val="004F0960"/>
    <w:rsid w:val="004F0A5C"/>
    <w:rsid w:val="004F163F"/>
    <w:rsid w:val="004F18A0"/>
    <w:rsid w:val="004F1A08"/>
    <w:rsid w:val="004F2B64"/>
    <w:rsid w:val="004F3764"/>
    <w:rsid w:val="004F3EEF"/>
    <w:rsid w:val="004F47D0"/>
    <w:rsid w:val="004F4B65"/>
    <w:rsid w:val="004F4DA2"/>
    <w:rsid w:val="004F548C"/>
    <w:rsid w:val="004F5930"/>
    <w:rsid w:val="004F5970"/>
    <w:rsid w:val="004F5F0C"/>
    <w:rsid w:val="004F6121"/>
    <w:rsid w:val="004F6161"/>
    <w:rsid w:val="004F66BC"/>
    <w:rsid w:val="004F67B2"/>
    <w:rsid w:val="004F6C26"/>
    <w:rsid w:val="004F7AC9"/>
    <w:rsid w:val="004F7B81"/>
    <w:rsid w:val="005004B0"/>
    <w:rsid w:val="0050062F"/>
    <w:rsid w:val="005012E2"/>
    <w:rsid w:val="00501481"/>
    <w:rsid w:val="0050160F"/>
    <w:rsid w:val="005016C7"/>
    <w:rsid w:val="0050284E"/>
    <w:rsid w:val="0050332C"/>
    <w:rsid w:val="00504F88"/>
    <w:rsid w:val="00505DCB"/>
    <w:rsid w:val="005075CA"/>
    <w:rsid w:val="00507D10"/>
    <w:rsid w:val="0051074C"/>
    <w:rsid w:val="00510DE9"/>
    <w:rsid w:val="00511142"/>
    <w:rsid w:val="005111E2"/>
    <w:rsid w:val="00511231"/>
    <w:rsid w:val="005122F2"/>
    <w:rsid w:val="00512779"/>
    <w:rsid w:val="00512986"/>
    <w:rsid w:val="00512C4F"/>
    <w:rsid w:val="00513042"/>
    <w:rsid w:val="0051334F"/>
    <w:rsid w:val="00513399"/>
    <w:rsid w:val="00513AA0"/>
    <w:rsid w:val="00513AF2"/>
    <w:rsid w:val="00514575"/>
    <w:rsid w:val="00514C03"/>
    <w:rsid w:val="00514D67"/>
    <w:rsid w:val="00515515"/>
    <w:rsid w:val="00515F54"/>
    <w:rsid w:val="00516338"/>
    <w:rsid w:val="0051635C"/>
    <w:rsid w:val="00516C5B"/>
    <w:rsid w:val="00517612"/>
    <w:rsid w:val="00517CFB"/>
    <w:rsid w:val="00517F85"/>
    <w:rsid w:val="00520065"/>
    <w:rsid w:val="00520899"/>
    <w:rsid w:val="00520922"/>
    <w:rsid w:val="005209FC"/>
    <w:rsid w:val="00520E50"/>
    <w:rsid w:val="005224E5"/>
    <w:rsid w:val="005226BE"/>
    <w:rsid w:val="005235ED"/>
    <w:rsid w:val="005236D9"/>
    <w:rsid w:val="00523903"/>
    <w:rsid w:val="005239B6"/>
    <w:rsid w:val="00523C45"/>
    <w:rsid w:val="00524165"/>
    <w:rsid w:val="005242BA"/>
    <w:rsid w:val="005246E7"/>
    <w:rsid w:val="00524FD2"/>
    <w:rsid w:val="00525621"/>
    <w:rsid w:val="00525B2E"/>
    <w:rsid w:val="00525E61"/>
    <w:rsid w:val="00526431"/>
    <w:rsid w:val="005265D8"/>
    <w:rsid w:val="005272AC"/>
    <w:rsid w:val="00527440"/>
    <w:rsid w:val="00527C6B"/>
    <w:rsid w:val="00527E57"/>
    <w:rsid w:val="00530405"/>
    <w:rsid w:val="00530522"/>
    <w:rsid w:val="005305E5"/>
    <w:rsid w:val="00530F38"/>
    <w:rsid w:val="00531F26"/>
    <w:rsid w:val="0053277C"/>
    <w:rsid w:val="005327C0"/>
    <w:rsid w:val="00533101"/>
    <w:rsid w:val="005336C5"/>
    <w:rsid w:val="00533CA9"/>
    <w:rsid w:val="00533DA7"/>
    <w:rsid w:val="005342A3"/>
    <w:rsid w:val="005346AD"/>
    <w:rsid w:val="00534C25"/>
    <w:rsid w:val="00534C80"/>
    <w:rsid w:val="00534EFB"/>
    <w:rsid w:val="00534F60"/>
    <w:rsid w:val="005357F1"/>
    <w:rsid w:val="00536053"/>
    <w:rsid w:val="005369E6"/>
    <w:rsid w:val="00536E62"/>
    <w:rsid w:val="005371AC"/>
    <w:rsid w:val="00537672"/>
    <w:rsid w:val="0053772F"/>
    <w:rsid w:val="00537B77"/>
    <w:rsid w:val="00540C4C"/>
    <w:rsid w:val="00541571"/>
    <w:rsid w:val="0054275A"/>
    <w:rsid w:val="005428B8"/>
    <w:rsid w:val="00542BD7"/>
    <w:rsid w:val="00542E67"/>
    <w:rsid w:val="00543084"/>
    <w:rsid w:val="0054413A"/>
    <w:rsid w:val="00544288"/>
    <w:rsid w:val="005446BB"/>
    <w:rsid w:val="00545D21"/>
    <w:rsid w:val="00545E30"/>
    <w:rsid w:val="00545EA3"/>
    <w:rsid w:val="00546293"/>
    <w:rsid w:val="00546C9B"/>
    <w:rsid w:val="00547BF6"/>
    <w:rsid w:val="005502F9"/>
    <w:rsid w:val="00551098"/>
    <w:rsid w:val="00551581"/>
    <w:rsid w:val="00551598"/>
    <w:rsid w:val="00551610"/>
    <w:rsid w:val="0055162B"/>
    <w:rsid w:val="00551BFF"/>
    <w:rsid w:val="00551D68"/>
    <w:rsid w:val="00552B3E"/>
    <w:rsid w:val="00554254"/>
    <w:rsid w:val="00554F3F"/>
    <w:rsid w:val="005551AA"/>
    <w:rsid w:val="0055629A"/>
    <w:rsid w:val="005564CA"/>
    <w:rsid w:val="005568EA"/>
    <w:rsid w:val="00557140"/>
    <w:rsid w:val="00557DE4"/>
    <w:rsid w:val="0056058C"/>
    <w:rsid w:val="00560C87"/>
    <w:rsid w:val="00560EF9"/>
    <w:rsid w:val="00560F51"/>
    <w:rsid w:val="005611CF"/>
    <w:rsid w:val="00561249"/>
    <w:rsid w:val="0056182B"/>
    <w:rsid w:val="00561AF3"/>
    <w:rsid w:val="00561E0B"/>
    <w:rsid w:val="00562141"/>
    <w:rsid w:val="00562D86"/>
    <w:rsid w:val="005642EC"/>
    <w:rsid w:val="00564704"/>
    <w:rsid w:val="00564712"/>
    <w:rsid w:val="00564ED5"/>
    <w:rsid w:val="005657A8"/>
    <w:rsid w:val="00565952"/>
    <w:rsid w:val="00565D27"/>
    <w:rsid w:val="00566866"/>
    <w:rsid w:val="005670A5"/>
    <w:rsid w:val="00567106"/>
    <w:rsid w:val="005675E0"/>
    <w:rsid w:val="00567723"/>
    <w:rsid w:val="00567AB8"/>
    <w:rsid w:val="00567C02"/>
    <w:rsid w:val="005700BF"/>
    <w:rsid w:val="005707F7"/>
    <w:rsid w:val="00570A26"/>
    <w:rsid w:val="00571301"/>
    <w:rsid w:val="0057170B"/>
    <w:rsid w:val="0057221F"/>
    <w:rsid w:val="00572539"/>
    <w:rsid w:val="005726FB"/>
    <w:rsid w:val="0057336A"/>
    <w:rsid w:val="0057337D"/>
    <w:rsid w:val="00573504"/>
    <w:rsid w:val="00574708"/>
    <w:rsid w:val="00574D81"/>
    <w:rsid w:val="005756AA"/>
    <w:rsid w:val="00575FB1"/>
    <w:rsid w:val="00576043"/>
    <w:rsid w:val="0057614A"/>
    <w:rsid w:val="00576233"/>
    <w:rsid w:val="0057696F"/>
    <w:rsid w:val="005771B1"/>
    <w:rsid w:val="005774FE"/>
    <w:rsid w:val="0058040C"/>
    <w:rsid w:val="00580918"/>
    <w:rsid w:val="00580A56"/>
    <w:rsid w:val="00580D6D"/>
    <w:rsid w:val="005813DE"/>
    <w:rsid w:val="00581796"/>
    <w:rsid w:val="00581B45"/>
    <w:rsid w:val="00582480"/>
    <w:rsid w:val="00582763"/>
    <w:rsid w:val="0058290E"/>
    <w:rsid w:val="00582CAB"/>
    <w:rsid w:val="00582F4E"/>
    <w:rsid w:val="00583121"/>
    <w:rsid w:val="0058375E"/>
    <w:rsid w:val="00583AC8"/>
    <w:rsid w:val="00584233"/>
    <w:rsid w:val="005842D0"/>
    <w:rsid w:val="0058457E"/>
    <w:rsid w:val="005855AE"/>
    <w:rsid w:val="00585829"/>
    <w:rsid w:val="00585CA8"/>
    <w:rsid w:val="00586412"/>
    <w:rsid w:val="005864B9"/>
    <w:rsid w:val="005866C4"/>
    <w:rsid w:val="00586BDB"/>
    <w:rsid w:val="00590123"/>
    <w:rsid w:val="00590F1A"/>
    <w:rsid w:val="00591C03"/>
    <w:rsid w:val="00591E2A"/>
    <w:rsid w:val="005923C4"/>
    <w:rsid w:val="00592B56"/>
    <w:rsid w:val="00593F75"/>
    <w:rsid w:val="005940A0"/>
    <w:rsid w:val="00594257"/>
    <w:rsid w:val="0059429A"/>
    <w:rsid w:val="005948B5"/>
    <w:rsid w:val="00595FDD"/>
    <w:rsid w:val="00596AF7"/>
    <w:rsid w:val="00596CCE"/>
    <w:rsid w:val="00596E4A"/>
    <w:rsid w:val="00597096"/>
    <w:rsid w:val="00597E38"/>
    <w:rsid w:val="005A1976"/>
    <w:rsid w:val="005A1D75"/>
    <w:rsid w:val="005A2120"/>
    <w:rsid w:val="005A2501"/>
    <w:rsid w:val="005A2C80"/>
    <w:rsid w:val="005A3066"/>
    <w:rsid w:val="005A3457"/>
    <w:rsid w:val="005A3B35"/>
    <w:rsid w:val="005A3C4B"/>
    <w:rsid w:val="005A3E5A"/>
    <w:rsid w:val="005A43F3"/>
    <w:rsid w:val="005A496F"/>
    <w:rsid w:val="005A4A56"/>
    <w:rsid w:val="005A4F02"/>
    <w:rsid w:val="005A5A3D"/>
    <w:rsid w:val="005A5C25"/>
    <w:rsid w:val="005A6035"/>
    <w:rsid w:val="005A6B75"/>
    <w:rsid w:val="005A6E00"/>
    <w:rsid w:val="005A718A"/>
    <w:rsid w:val="005B0891"/>
    <w:rsid w:val="005B09BE"/>
    <w:rsid w:val="005B12B2"/>
    <w:rsid w:val="005B143B"/>
    <w:rsid w:val="005B1504"/>
    <w:rsid w:val="005B1E45"/>
    <w:rsid w:val="005B21C4"/>
    <w:rsid w:val="005B2A28"/>
    <w:rsid w:val="005B3621"/>
    <w:rsid w:val="005B4948"/>
    <w:rsid w:val="005B501D"/>
    <w:rsid w:val="005B54CC"/>
    <w:rsid w:val="005B6AE8"/>
    <w:rsid w:val="005B74AD"/>
    <w:rsid w:val="005B7E96"/>
    <w:rsid w:val="005C0429"/>
    <w:rsid w:val="005C084F"/>
    <w:rsid w:val="005C0EE9"/>
    <w:rsid w:val="005C1575"/>
    <w:rsid w:val="005C1716"/>
    <w:rsid w:val="005C1954"/>
    <w:rsid w:val="005C1C0B"/>
    <w:rsid w:val="005C1D53"/>
    <w:rsid w:val="005C2011"/>
    <w:rsid w:val="005C2614"/>
    <w:rsid w:val="005C305F"/>
    <w:rsid w:val="005C36CF"/>
    <w:rsid w:val="005C3EA3"/>
    <w:rsid w:val="005C5011"/>
    <w:rsid w:val="005C529E"/>
    <w:rsid w:val="005C57BA"/>
    <w:rsid w:val="005C5C52"/>
    <w:rsid w:val="005C5D3D"/>
    <w:rsid w:val="005C5F05"/>
    <w:rsid w:val="005C6260"/>
    <w:rsid w:val="005C7497"/>
    <w:rsid w:val="005C7F3E"/>
    <w:rsid w:val="005D0E1C"/>
    <w:rsid w:val="005D1051"/>
    <w:rsid w:val="005D2044"/>
    <w:rsid w:val="005D27DC"/>
    <w:rsid w:val="005D2917"/>
    <w:rsid w:val="005D2EB2"/>
    <w:rsid w:val="005D2F48"/>
    <w:rsid w:val="005D41F2"/>
    <w:rsid w:val="005D4613"/>
    <w:rsid w:val="005D464B"/>
    <w:rsid w:val="005D466F"/>
    <w:rsid w:val="005D49F0"/>
    <w:rsid w:val="005D50BA"/>
    <w:rsid w:val="005D51FA"/>
    <w:rsid w:val="005D53E8"/>
    <w:rsid w:val="005D5A26"/>
    <w:rsid w:val="005D5A9D"/>
    <w:rsid w:val="005D60D4"/>
    <w:rsid w:val="005D6651"/>
    <w:rsid w:val="005D691D"/>
    <w:rsid w:val="005D6A72"/>
    <w:rsid w:val="005D7035"/>
    <w:rsid w:val="005D7147"/>
    <w:rsid w:val="005D749F"/>
    <w:rsid w:val="005D791B"/>
    <w:rsid w:val="005D7CF2"/>
    <w:rsid w:val="005D7F92"/>
    <w:rsid w:val="005E0D7B"/>
    <w:rsid w:val="005E1595"/>
    <w:rsid w:val="005E181F"/>
    <w:rsid w:val="005E1F1D"/>
    <w:rsid w:val="005E1F9C"/>
    <w:rsid w:val="005E273D"/>
    <w:rsid w:val="005E3278"/>
    <w:rsid w:val="005E363B"/>
    <w:rsid w:val="005E3760"/>
    <w:rsid w:val="005E3B0D"/>
    <w:rsid w:val="005E6EA5"/>
    <w:rsid w:val="005E773C"/>
    <w:rsid w:val="005E7BED"/>
    <w:rsid w:val="005F041F"/>
    <w:rsid w:val="005F1216"/>
    <w:rsid w:val="005F1819"/>
    <w:rsid w:val="005F1D7D"/>
    <w:rsid w:val="005F1D89"/>
    <w:rsid w:val="005F22AB"/>
    <w:rsid w:val="005F305B"/>
    <w:rsid w:val="005F3361"/>
    <w:rsid w:val="005F3B1E"/>
    <w:rsid w:val="005F3B47"/>
    <w:rsid w:val="005F4481"/>
    <w:rsid w:val="005F49AF"/>
    <w:rsid w:val="005F4A58"/>
    <w:rsid w:val="005F54DF"/>
    <w:rsid w:val="005F5888"/>
    <w:rsid w:val="005F5984"/>
    <w:rsid w:val="005F5F37"/>
    <w:rsid w:val="005F63B1"/>
    <w:rsid w:val="005F6CE2"/>
    <w:rsid w:val="005F7111"/>
    <w:rsid w:val="005F72E9"/>
    <w:rsid w:val="005F730E"/>
    <w:rsid w:val="005F780B"/>
    <w:rsid w:val="005F7B0D"/>
    <w:rsid w:val="00600195"/>
    <w:rsid w:val="00600473"/>
    <w:rsid w:val="006013C9"/>
    <w:rsid w:val="006016EA"/>
    <w:rsid w:val="00602B45"/>
    <w:rsid w:val="00603499"/>
    <w:rsid w:val="006035F5"/>
    <w:rsid w:val="00603CC2"/>
    <w:rsid w:val="006047D1"/>
    <w:rsid w:val="00604A55"/>
    <w:rsid w:val="00604BC7"/>
    <w:rsid w:val="00604D3F"/>
    <w:rsid w:val="0060580F"/>
    <w:rsid w:val="00605AC3"/>
    <w:rsid w:val="00606908"/>
    <w:rsid w:val="00607996"/>
    <w:rsid w:val="00607A37"/>
    <w:rsid w:val="00607CA8"/>
    <w:rsid w:val="00607E9F"/>
    <w:rsid w:val="0061085E"/>
    <w:rsid w:val="00610DAF"/>
    <w:rsid w:val="00611398"/>
    <w:rsid w:val="00612322"/>
    <w:rsid w:val="006123C0"/>
    <w:rsid w:val="00613191"/>
    <w:rsid w:val="006133F9"/>
    <w:rsid w:val="006134B3"/>
    <w:rsid w:val="00613DE1"/>
    <w:rsid w:val="0061401F"/>
    <w:rsid w:val="00614166"/>
    <w:rsid w:val="00614817"/>
    <w:rsid w:val="006149AF"/>
    <w:rsid w:val="006149CC"/>
    <w:rsid w:val="006157A9"/>
    <w:rsid w:val="0061591D"/>
    <w:rsid w:val="00615ED0"/>
    <w:rsid w:val="0061604C"/>
    <w:rsid w:val="0061610B"/>
    <w:rsid w:val="00616C2B"/>
    <w:rsid w:val="006174FA"/>
    <w:rsid w:val="006178D1"/>
    <w:rsid w:val="00620719"/>
    <w:rsid w:val="006212C9"/>
    <w:rsid w:val="00621981"/>
    <w:rsid w:val="00621D0C"/>
    <w:rsid w:val="00622470"/>
    <w:rsid w:val="00622725"/>
    <w:rsid w:val="006231AA"/>
    <w:rsid w:val="00623482"/>
    <w:rsid w:val="00623AC2"/>
    <w:rsid w:val="00623E9C"/>
    <w:rsid w:val="00623FF7"/>
    <w:rsid w:val="006240EF"/>
    <w:rsid w:val="0062471F"/>
    <w:rsid w:val="00624C21"/>
    <w:rsid w:val="00625A26"/>
    <w:rsid w:val="00625F38"/>
    <w:rsid w:val="006266D7"/>
    <w:rsid w:val="00626D42"/>
    <w:rsid w:val="00626EE3"/>
    <w:rsid w:val="00626F62"/>
    <w:rsid w:val="006274AD"/>
    <w:rsid w:val="00627532"/>
    <w:rsid w:val="006302AA"/>
    <w:rsid w:val="00630921"/>
    <w:rsid w:val="006310C3"/>
    <w:rsid w:val="0063161E"/>
    <w:rsid w:val="0063167C"/>
    <w:rsid w:val="00631A31"/>
    <w:rsid w:val="00631BB5"/>
    <w:rsid w:val="00631DD0"/>
    <w:rsid w:val="0063295C"/>
    <w:rsid w:val="00633367"/>
    <w:rsid w:val="00633DBF"/>
    <w:rsid w:val="00634122"/>
    <w:rsid w:val="00634477"/>
    <w:rsid w:val="00634504"/>
    <w:rsid w:val="00634C03"/>
    <w:rsid w:val="006355B6"/>
    <w:rsid w:val="00635E32"/>
    <w:rsid w:val="006365DE"/>
    <w:rsid w:val="00636BE4"/>
    <w:rsid w:val="0063746C"/>
    <w:rsid w:val="00637802"/>
    <w:rsid w:val="00637836"/>
    <w:rsid w:val="00637C26"/>
    <w:rsid w:val="00637F44"/>
    <w:rsid w:val="00640659"/>
    <w:rsid w:val="00641078"/>
    <w:rsid w:val="00641242"/>
    <w:rsid w:val="00641C4E"/>
    <w:rsid w:val="00642A32"/>
    <w:rsid w:val="006433D5"/>
    <w:rsid w:val="006438A1"/>
    <w:rsid w:val="00646B20"/>
    <w:rsid w:val="00646D0F"/>
    <w:rsid w:val="0064708F"/>
    <w:rsid w:val="00647936"/>
    <w:rsid w:val="00647A36"/>
    <w:rsid w:val="00647DCC"/>
    <w:rsid w:val="00647EFA"/>
    <w:rsid w:val="00647F14"/>
    <w:rsid w:val="00650027"/>
    <w:rsid w:val="006504EC"/>
    <w:rsid w:val="00650533"/>
    <w:rsid w:val="00650DE0"/>
    <w:rsid w:val="006513FF"/>
    <w:rsid w:val="00651B9C"/>
    <w:rsid w:val="00651C47"/>
    <w:rsid w:val="00651D98"/>
    <w:rsid w:val="00652854"/>
    <w:rsid w:val="00652D2C"/>
    <w:rsid w:val="00652E70"/>
    <w:rsid w:val="0065303A"/>
    <w:rsid w:val="00653091"/>
    <w:rsid w:val="0065339A"/>
    <w:rsid w:val="00653469"/>
    <w:rsid w:val="00653FD4"/>
    <w:rsid w:val="00654A38"/>
    <w:rsid w:val="00654B4B"/>
    <w:rsid w:val="00654B63"/>
    <w:rsid w:val="00655301"/>
    <w:rsid w:val="00655371"/>
    <w:rsid w:val="00655876"/>
    <w:rsid w:val="00656C4B"/>
    <w:rsid w:val="006573EA"/>
    <w:rsid w:val="00661029"/>
    <w:rsid w:val="00661042"/>
    <w:rsid w:val="0066135A"/>
    <w:rsid w:val="00661639"/>
    <w:rsid w:val="00661BFB"/>
    <w:rsid w:val="0066272D"/>
    <w:rsid w:val="00662E58"/>
    <w:rsid w:val="00662F39"/>
    <w:rsid w:val="006635A0"/>
    <w:rsid w:val="00664351"/>
    <w:rsid w:val="00665968"/>
    <w:rsid w:val="00665BF7"/>
    <w:rsid w:val="00666178"/>
    <w:rsid w:val="0066639E"/>
    <w:rsid w:val="00666473"/>
    <w:rsid w:val="00666555"/>
    <w:rsid w:val="00666C72"/>
    <w:rsid w:val="00666E6C"/>
    <w:rsid w:val="0066707F"/>
    <w:rsid w:val="00667781"/>
    <w:rsid w:val="00667ED8"/>
    <w:rsid w:val="0067060F"/>
    <w:rsid w:val="0067064C"/>
    <w:rsid w:val="00670B20"/>
    <w:rsid w:val="00670E12"/>
    <w:rsid w:val="0067160D"/>
    <w:rsid w:val="00672971"/>
    <w:rsid w:val="00672DE7"/>
    <w:rsid w:val="00672E80"/>
    <w:rsid w:val="006739E4"/>
    <w:rsid w:val="00673ECF"/>
    <w:rsid w:val="0067426B"/>
    <w:rsid w:val="00674A1B"/>
    <w:rsid w:val="006754F8"/>
    <w:rsid w:val="006758BE"/>
    <w:rsid w:val="00676127"/>
    <w:rsid w:val="00676AED"/>
    <w:rsid w:val="006776AC"/>
    <w:rsid w:val="00677981"/>
    <w:rsid w:val="006779B2"/>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1DE9"/>
    <w:rsid w:val="00691EAA"/>
    <w:rsid w:val="00692245"/>
    <w:rsid w:val="00692FFA"/>
    <w:rsid w:val="006932E0"/>
    <w:rsid w:val="00693772"/>
    <w:rsid w:val="00694160"/>
    <w:rsid w:val="006959A5"/>
    <w:rsid w:val="00695C0C"/>
    <w:rsid w:val="00696736"/>
    <w:rsid w:val="00696A05"/>
    <w:rsid w:val="00696DCD"/>
    <w:rsid w:val="00697665"/>
    <w:rsid w:val="00697C9A"/>
    <w:rsid w:val="00697E68"/>
    <w:rsid w:val="006A0274"/>
    <w:rsid w:val="006A24B9"/>
    <w:rsid w:val="006A2A43"/>
    <w:rsid w:val="006A2BF1"/>
    <w:rsid w:val="006A2F9A"/>
    <w:rsid w:val="006A34E4"/>
    <w:rsid w:val="006A3704"/>
    <w:rsid w:val="006A3A5A"/>
    <w:rsid w:val="006A44CF"/>
    <w:rsid w:val="006A457D"/>
    <w:rsid w:val="006A4749"/>
    <w:rsid w:val="006A55EE"/>
    <w:rsid w:val="006A575B"/>
    <w:rsid w:val="006A59DE"/>
    <w:rsid w:val="006A63EB"/>
    <w:rsid w:val="006A6655"/>
    <w:rsid w:val="006A6803"/>
    <w:rsid w:val="006A687C"/>
    <w:rsid w:val="006A6B0B"/>
    <w:rsid w:val="006A6BF9"/>
    <w:rsid w:val="006A6F85"/>
    <w:rsid w:val="006A7CB5"/>
    <w:rsid w:val="006A7FD0"/>
    <w:rsid w:val="006B025C"/>
    <w:rsid w:val="006B16D3"/>
    <w:rsid w:val="006B2534"/>
    <w:rsid w:val="006B2CB2"/>
    <w:rsid w:val="006B347D"/>
    <w:rsid w:val="006B3BA7"/>
    <w:rsid w:val="006B3E19"/>
    <w:rsid w:val="006B4488"/>
    <w:rsid w:val="006B671C"/>
    <w:rsid w:val="006B67AC"/>
    <w:rsid w:val="006B6A25"/>
    <w:rsid w:val="006B7285"/>
    <w:rsid w:val="006B786A"/>
    <w:rsid w:val="006B7E4E"/>
    <w:rsid w:val="006C003A"/>
    <w:rsid w:val="006C1C1B"/>
    <w:rsid w:val="006C2454"/>
    <w:rsid w:val="006C2551"/>
    <w:rsid w:val="006C3746"/>
    <w:rsid w:val="006C37CA"/>
    <w:rsid w:val="006C3889"/>
    <w:rsid w:val="006C40B7"/>
    <w:rsid w:val="006C40D2"/>
    <w:rsid w:val="006C5B15"/>
    <w:rsid w:val="006C5D32"/>
    <w:rsid w:val="006C5DCB"/>
    <w:rsid w:val="006C70C4"/>
    <w:rsid w:val="006C775C"/>
    <w:rsid w:val="006D04DA"/>
    <w:rsid w:val="006D10F6"/>
    <w:rsid w:val="006D1475"/>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A60"/>
    <w:rsid w:val="006D7D1F"/>
    <w:rsid w:val="006D7D8A"/>
    <w:rsid w:val="006E0572"/>
    <w:rsid w:val="006E05D8"/>
    <w:rsid w:val="006E08EE"/>
    <w:rsid w:val="006E0DFD"/>
    <w:rsid w:val="006E1130"/>
    <w:rsid w:val="006E155A"/>
    <w:rsid w:val="006E3452"/>
    <w:rsid w:val="006E39D1"/>
    <w:rsid w:val="006E437F"/>
    <w:rsid w:val="006E4D5B"/>
    <w:rsid w:val="006E5195"/>
    <w:rsid w:val="006E602F"/>
    <w:rsid w:val="006E6570"/>
    <w:rsid w:val="006E6720"/>
    <w:rsid w:val="006E68FA"/>
    <w:rsid w:val="006E7275"/>
    <w:rsid w:val="006E77B8"/>
    <w:rsid w:val="006E7824"/>
    <w:rsid w:val="006F15CC"/>
    <w:rsid w:val="006F1EED"/>
    <w:rsid w:val="006F3BDD"/>
    <w:rsid w:val="006F4147"/>
    <w:rsid w:val="006F4315"/>
    <w:rsid w:val="006F4478"/>
    <w:rsid w:val="006F458D"/>
    <w:rsid w:val="006F4A6D"/>
    <w:rsid w:val="006F4CB0"/>
    <w:rsid w:val="006F4F78"/>
    <w:rsid w:val="006F547E"/>
    <w:rsid w:val="006F5656"/>
    <w:rsid w:val="006F5CA8"/>
    <w:rsid w:val="006F5CCF"/>
    <w:rsid w:val="006F5D91"/>
    <w:rsid w:val="006F6A47"/>
    <w:rsid w:val="006F772B"/>
    <w:rsid w:val="006F78DC"/>
    <w:rsid w:val="006F7E39"/>
    <w:rsid w:val="00700D5F"/>
    <w:rsid w:val="0070138A"/>
    <w:rsid w:val="0070157E"/>
    <w:rsid w:val="007030D4"/>
    <w:rsid w:val="0070317C"/>
    <w:rsid w:val="00703279"/>
    <w:rsid w:val="007032BF"/>
    <w:rsid w:val="00703B61"/>
    <w:rsid w:val="00703B97"/>
    <w:rsid w:val="00703E11"/>
    <w:rsid w:val="00704102"/>
    <w:rsid w:val="0070461C"/>
    <w:rsid w:val="00705631"/>
    <w:rsid w:val="00705818"/>
    <w:rsid w:val="00705F62"/>
    <w:rsid w:val="0070773F"/>
    <w:rsid w:val="00707903"/>
    <w:rsid w:val="00707ED3"/>
    <w:rsid w:val="00710091"/>
    <w:rsid w:val="007101B7"/>
    <w:rsid w:val="00710668"/>
    <w:rsid w:val="007110F4"/>
    <w:rsid w:val="007112B1"/>
    <w:rsid w:val="0071130F"/>
    <w:rsid w:val="007119BD"/>
    <w:rsid w:val="00711EE1"/>
    <w:rsid w:val="00712714"/>
    <w:rsid w:val="007128E3"/>
    <w:rsid w:val="007129AB"/>
    <w:rsid w:val="00712B63"/>
    <w:rsid w:val="007130E7"/>
    <w:rsid w:val="00713526"/>
    <w:rsid w:val="00713D6A"/>
    <w:rsid w:val="00713FC5"/>
    <w:rsid w:val="00715BBF"/>
    <w:rsid w:val="00715C29"/>
    <w:rsid w:val="00715CBD"/>
    <w:rsid w:val="00715E86"/>
    <w:rsid w:val="00715EAA"/>
    <w:rsid w:val="00716CAD"/>
    <w:rsid w:val="00716F18"/>
    <w:rsid w:val="0071716D"/>
    <w:rsid w:val="0071718F"/>
    <w:rsid w:val="00717363"/>
    <w:rsid w:val="0071745E"/>
    <w:rsid w:val="00717786"/>
    <w:rsid w:val="00717ACB"/>
    <w:rsid w:val="00717D81"/>
    <w:rsid w:val="007210A9"/>
    <w:rsid w:val="00721BFF"/>
    <w:rsid w:val="00722376"/>
    <w:rsid w:val="00722FD8"/>
    <w:rsid w:val="007236C4"/>
    <w:rsid w:val="00723B59"/>
    <w:rsid w:val="00724635"/>
    <w:rsid w:val="0072554B"/>
    <w:rsid w:val="00725AFD"/>
    <w:rsid w:val="00725F81"/>
    <w:rsid w:val="00726603"/>
    <w:rsid w:val="00727DDC"/>
    <w:rsid w:val="0073000A"/>
    <w:rsid w:val="00730CD6"/>
    <w:rsid w:val="00730F74"/>
    <w:rsid w:val="0073114B"/>
    <w:rsid w:val="00734414"/>
    <w:rsid w:val="00734952"/>
    <w:rsid w:val="00734990"/>
    <w:rsid w:val="00734FF5"/>
    <w:rsid w:val="00735761"/>
    <w:rsid w:val="00735B78"/>
    <w:rsid w:val="00735DA7"/>
    <w:rsid w:val="007367B7"/>
    <w:rsid w:val="007368B4"/>
    <w:rsid w:val="007378E0"/>
    <w:rsid w:val="00737C5C"/>
    <w:rsid w:val="0074026F"/>
    <w:rsid w:val="00740529"/>
    <w:rsid w:val="00740A6C"/>
    <w:rsid w:val="00741358"/>
    <w:rsid w:val="00741626"/>
    <w:rsid w:val="00742332"/>
    <w:rsid w:val="00742886"/>
    <w:rsid w:val="00742DD2"/>
    <w:rsid w:val="007437C6"/>
    <w:rsid w:val="007439EE"/>
    <w:rsid w:val="007441A2"/>
    <w:rsid w:val="00744B15"/>
    <w:rsid w:val="00744E80"/>
    <w:rsid w:val="00745035"/>
    <w:rsid w:val="0074531C"/>
    <w:rsid w:val="00745547"/>
    <w:rsid w:val="007459D0"/>
    <w:rsid w:val="0074623A"/>
    <w:rsid w:val="00746420"/>
    <w:rsid w:val="00746E04"/>
    <w:rsid w:val="00746E08"/>
    <w:rsid w:val="00746E3D"/>
    <w:rsid w:val="007472B2"/>
    <w:rsid w:val="007473B9"/>
    <w:rsid w:val="007474ED"/>
    <w:rsid w:val="00747529"/>
    <w:rsid w:val="007476EE"/>
    <w:rsid w:val="00747C96"/>
    <w:rsid w:val="00750075"/>
    <w:rsid w:val="007502EC"/>
    <w:rsid w:val="00750382"/>
    <w:rsid w:val="0075094E"/>
    <w:rsid w:val="00750FA8"/>
    <w:rsid w:val="00750FB5"/>
    <w:rsid w:val="00751B4C"/>
    <w:rsid w:val="007522E8"/>
    <w:rsid w:val="007525CC"/>
    <w:rsid w:val="00752ABF"/>
    <w:rsid w:val="007537BD"/>
    <w:rsid w:val="00753BAC"/>
    <w:rsid w:val="00754A0B"/>
    <w:rsid w:val="007552DB"/>
    <w:rsid w:val="00755B08"/>
    <w:rsid w:val="00755DD0"/>
    <w:rsid w:val="0075647A"/>
    <w:rsid w:val="007566BE"/>
    <w:rsid w:val="00756A2F"/>
    <w:rsid w:val="007573E1"/>
    <w:rsid w:val="0075749E"/>
    <w:rsid w:val="007577DA"/>
    <w:rsid w:val="00757B2D"/>
    <w:rsid w:val="00757BAD"/>
    <w:rsid w:val="00757D62"/>
    <w:rsid w:val="00760844"/>
    <w:rsid w:val="00760867"/>
    <w:rsid w:val="00760EB6"/>
    <w:rsid w:val="0076105F"/>
    <w:rsid w:val="0076167B"/>
    <w:rsid w:val="007616DB"/>
    <w:rsid w:val="0076200D"/>
    <w:rsid w:val="0076228A"/>
    <w:rsid w:val="00762440"/>
    <w:rsid w:val="0076260A"/>
    <w:rsid w:val="007629B7"/>
    <w:rsid w:val="00762E60"/>
    <w:rsid w:val="007634AD"/>
    <w:rsid w:val="00763527"/>
    <w:rsid w:val="0076387E"/>
    <w:rsid w:val="00764996"/>
    <w:rsid w:val="0076522C"/>
    <w:rsid w:val="00766ECC"/>
    <w:rsid w:val="007672F3"/>
    <w:rsid w:val="007676A9"/>
    <w:rsid w:val="007677B5"/>
    <w:rsid w:val="007678B1"/>
    <w:rsid w:val="007700C6"/>
    <w:rsid w:val="00770317"/>
    <w:rsid w:val="007708A8"/>
    <w:rsid w:val="007720F7"/>
    <w:rsid w:val="00772275"/>
    <w:rsid w:val="00773350"/>
    <w:rsid w:val="00773484"/>
    <w:rsid w:val="007734E4"/>
    <w:rsid w:val="0077380D"/>
    <w:rsid w:val="0077393F"/>
    <w:rsid w:val="00773BC8"/>
    <w:rsid w:val="0077466F"/>
    <w:rsid w:val="007752B7"/>
    <w:rsid w:val="007759A8"/>
    <w:rsid w:val="00775D98"/>
    <w:rsid w:val="00776FE5"/>
    <w:rsid w:val="00777101"/>
    <w:rsid w:val="007774E7"/>
    <w:rsid w:val="0077768C"/>
    <w:rsid w:val="00777696"/>
    <w:rsid w:val="00777E63"/>
    <w:rsid w:val="00777F46"/>
    <w:rsid w:val="00777FF4"/>
    <w:rsid w:val="00780251"/>
    <w:rsid w:val="007804FE"/>
    <w:rsid w:val="00780F32"/>
    <w:rsid w:val="0078122E"/>
    <w:rsid w:val="00781939"/>
    <w:rsid w:val="00781D29"/>
    <w:rsid w:val="00782354"/>
    <w:rsid w:val="007825EF"/>
    <w:rsid w:val="007827B0"/>
    <w:rsid w:val="0078286B"/>
    <w:rsid w:val="00782D2C"/>
    <w:rsid w:val="00782FC2"/>
    <w:rsid w:val="007838B5"/>
    <w:rsid w:val="00784FC4"/>
    <w:rsid w:val="00785BBB"/>
    <w:rsid w:val="00786FAD"/>
    <w:rsid w:val="007873C9"/>
    <w:rsid w:val="00787D90"/>
    <w:rsid w:val="00787F5E"/>
    <w:rsid w:val="00790164"/>
    <w:rsid w:val="007906E2"/>
    <w:rsid w:val="00790A24"/>
    <w:rsid w:val="00790A37"/>
    <w:rsid w:val="00790A60"/>
    <w:rsid w:val="00790CE2"/>
    <w:rsid w:val="0079146D"/>
    <w:rsid w:val="007917AD"/>
    <w:rsid w:val="00791C32"/>
    <w:rsid w:val="00791E08"/>
    <w:rsid w:val="00791FF0"/>
    <w:rsid w:val="007923D0"/>
    <w:rsid w:val="0079302C"/>
    <w:rsid w:val="007930D3"/>
    <w:rsid w:val="00793187"/>
    <w:rsid w:val="0079381F"/>
    <w:rsid w:val="00793B2E"/>
    <w:rsid w:val="007942C3"/>
    <w:rsid w:val="007943FC"/>
    <w:rsid w:val="007948F5"/>
    <w:rsid w:val="00795647"/>
    <w:rsid w:val="007963F6"/>
    <w:rsid w:val="00796418"/>
    <w:rsid w:val="00796485"/>
    <w:rsid w:val="00796576"/>
    <w:rsid w:val="00796E80"/>
    <w:rsid w:val="007977F1"/>
    <w:rsid w:val="007979AD"/>
    <w:rsid w:val="00797A9C"/>
    <w:rsid w:val="007A0EAB"/>
    <w:rsid w:val="007A2159"/>
    <w:rsid w:val="007A2341"/>
    <w:rsid w:val="007A31F6"/>
    <w:rsid w:val="007A38A1"/>
    <w:rsid w:val="007A3967"/>
    <w:rsid w:val="007A3BBE"/>
    <w:rsid w:val="007A4629"/>
    <w:rsid w:val="007A4766"/>
    <w:rsid w:val="007A5816"/>
    <w:rsid w:val="007A5947"/>
    <w:rsid w:val="007A6D9B"/>
    <w:rsid w:val="007B00D8"/>
    <w:rsid w:val="007B0313"/>
    <w:rsid w:val="007B05FB"/>
    <w:rsid w:val="007B0854"/>
    <w:rsid w:val="007B0E48"/>
    <w:rsid w:val="007B18FD"/>
    <w:rsid w:val="007B1D1B"/>
    <w:rsid w:val="007B1D1E"/>
    <w:rsid w:val="007B303E"/>
    <w:rsid w:val="007B32C0"/>
    <w:rsid w:val="007B32F7"/>
    <w:rsid w:val="007B3659"/>
    <w:rsid w:val="007B4558"/>
    <w:rsid w:val="007B4632"/>
    <w:rsid w:val="007B46A2"/>
    <w:rsid w:val="007B4828"/>
    <w:rsid w:val="007B4B2D"/>
    <w:rsid w:val="007B4D4A"/>
    <w:rsid w:val="007B5428"/>
    <w:rsid w:val="007B54FE"/>
    <w:rsid w:val="007B57A5"/>
    <w:rsid w:val="007B699E"/>
    <w:rsid w:val="007B6C64"/>
    <w:rsid w:val="007B6EC8"/>
    <w:rsid w:val="007B6F81"/>
    <w:rsid w:val="007B700B"/>
    <w:rsid w:val="007B7992"/>
    <w:rsid w:val="007B7EA2"/>
    <w:rsid w:val="007C025A"/>
    <w:rsid w:val="007C081B"/>
    <w:rsid w:val="007C097D"/>
    <w:rsid w:val="007C0C17"/>
    <w:rsid w:val="007C13FA"/>
    <w:rsid w:val="007C1672"/>
    <w:rsid w:val="007C2AD3"/>
    <w:rsid w:val="007C312A"/>
    <w:rsid w:val="007C3570"/>
    <w:rsid w:val="007C3F3B"/>
    <w:rsid w:val="007C4241"/>
    <w:rsid w:val="007C4630"/>
    <w:rsid w:val="007C55FF"/>
    <w:rsid w:val="007C6339"/>
    <w:rsid w:val="007C6EC5"/>
    <w:rsid w:val="007C7C43"/>
    <w:rsid w:val="007C7F0D"/>
    <w:rsid w:val="007D0D03"/>
    <w:rsid w:val="007D1134"/>
    <w:rsid w:val="007D20CF"/>
    <w:rsid w:val="007D23F7"/>
    <w:rsid w:val="007D2566"/>
    <w:rsid w:val="007D2C18"/>
    <w:rsid w:val="007D2D74"/>
    <w:rsid w:val="007D3152"/>
    <w:rsid w:val="007D32E6"/>
    <w:rsid w:val="007D333D"/>
    <w:rsid w:val="007D3395"/>
    <w:rsid w:val="007D33A0"/>
    <w:rsid w:val="007D3693"/>
    <w:rsid w:val="007D3C6D"/>
    <w:rsid w:val="007D409B"/>
    <w:rsid w:val="007D481A"/>
    <w:rsid w:val="007D4D92"/>
    <w:rsid w:val="007D5402"/>
    <w:rsid w:val="007D5648"/>
    <w:rsid w:val="007D58C5"/>
    <w:rsid w:val="007D5DE8"/>
    <w:rsid w:val="007D7503"/>
    <w:rsid w:val="007D7C53"/>
    <w:rsid w:val="007D7CFC"/>
    <w:rsid w:val="007D7FFC"/>
    <w:rsid w:val="007E0812"/>
    <w:rsid w:val="007E16A4"/>
    <w:rsid w:val="007E18DF"/>
    <w:rsid w:val="007E2A04"/>
    <w:rsid w:val="007E2C36"/>
    <w:rsid w:val="007E2F33"/>
    <w:rsid w:val="007E342A"/>
    <w:rsid w:val="007E350D"/>
    <w:rsid w:val="007E5C4A"/>
    <w:rsid w:val="007E64D4"/>
    <w:rsid w:val="007E66E9"/>
    <w:rsid w:val="007E69F2"/>
    <w:rsid w:val="007E7432"/>
    <w:rsid w:val="007E74BF"/>
    <w:rsid w:val="007E79BA"/>
    <w:rsid w:val="007F14D3"/>
    <w:rsid w:val="007F1C15"/>
    <w:rsid w:val="007F1C42"/>
    <w:rsid w:val="007F1D9D"/>
    <w:rsid w:val="007F1E28"/>
    <w:rsid w:val="007F1F63"/>
    <w:rsid w:val="007F21D8"/>
    <w:rsid w:val="007F22A0"/>
    <w:rsid w:val="007F28FB"/>
    <w:rsid w:val="007F2F90"/>
    <w:rsid w:val="007F3320"/>
    <w:rsid w:val="007F392A"/>
    <w:rsid w:val="007F3AC1"/>
    <w:rsid w:val="007F48FA"/>
    <w:rsid w:val="007F4976"/>
    <w:rsid w:val="007F5A56"/>
    <w:rsid w:val="007F5F90"/>
    <w:rsid w:val="007F616E"/>
    <w:rsid w:val="007F665F"/>
    <w:rsid w:val="007F6B46"/>
    <w:rsid w:val="007F72CB"/>
    <w:rsid w:val="007F736A"/>
    <w:rsid w:val="007F75F1"/>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D9D"/>
    <w:rsid w:val="008059C6"/>
    <w:rsid w:val="00805AD7"/>
    <w:rsid w:val="00805BD6"/>
    <w:rsid w:val="00805DE3"/>
    <w:rsid w:val="00807666"/>
    <w:rsid w:val="00807C35"/>
    <w:rsid w:val="00807F69"/>
    <w:rsid w:val="00807FF6"/>
    <w:rsid w:val="008100EC"/>
    <w:rsid w:val="008100F7"/>
    <w:rsid w:val="00810206"/>
    <w:rsid w:val="008104E6"/>
    <w:rsid w:val="00811898"/>
    <w:rsid w:val="008120C4"/>
    <w:rsid w:val="008124D8"/>
    <w:rsid w:val="0081323E"/>
    <w:rsid w:val="00813A7B"/>
    <w:rsid w:val="00813F04"/>
    <w:rsid w:val="00814B72"/>
    <w:rsid w:val="00814D88"/>
    <w:rsid w:val="008150B1"/>
    <w:rsid w:val="00815251"/>
    <w:rsid w:val="00815A07"/>
    <w:rsid w:val="00815C82"/>
    <w:rsid w:val="00815DA5"/>
    <w:rsid w:val="00816221"/>
    <w:rsid w:val="0081766B"/>
    <w:rsid w:val="00820406"/>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3A46"/>
    <w:rsid w:val="008241CE"/>
    <w:rsid w:val="00824BF3"/>
    <w:rsid w:val="00825240"/>
    <w:rsid w:val="00825B43"/>
    <w:rsid w:val="0082629D"/>
    <w:rsid w:val="008264B1"/>
    <w:rsid w:val="00827203"/>
    <w:rsid w:val="0082767A"/>
    <w:rsid w:val="00827CC0"/>
    <w:rsid w:val="008309D9"/>
    <w:rsid w:val="00831026"/>
    <w:rsid w:val="0083119B"/>
    <w:rsid w:val="00831654"/>
    <w:rsid w:val="00831BAE"/>
    <w:rsid w:val="00832216"/>
    <w:rsid w:val="00832CD0"/>
    <w:rsid w:val="00832FDC"/>
    <w:rsid w:val="00833430"/>
    <w:rsid w:val="00834128"/>
    <w:rsid w:val="0083417F"/>
    <w:rsid w:val="00835143"/>
    <w:rsid w:val="008351F8"/>
    <w:rsid w:val="00835741"/>
    <w:rsid w:val="00836404"/>
    <w:rsid w:val="00836E74"/>
    <w:rsid w:val="00836EAB"/>
    <w:rsid w:val="00837673"/>
    <w:rsid w:val="00837937"/>
    <w:rsid w:val="00837D82"/>
    <w:rsid w:val="00840893"/>
    <w:rsid w:val="008409EC"/>
    <w:rsid w:val="00840E88"/>
    <w:rsid w:val="0084195A"/>
    <w:rsid w:val="008423EC"/>
    <w:rsid w:val="0084332E"/>
    <w:rsid w:val="00843615"/>
    <w:rsid w:val="00843698"/>
    <w:rsid w:val="00843A4B"/>
    <w:rsid w:val="00843B57"/>
    <w:rsid w:val="00843B60"/>
    <w:rsid w:val="00843D33"/>
    <w:rsid w:val="00844D4F"/>
    <w:rsid w:val="00845AE3"/>
    <w:rsid w:val="008466A0"/>
    <w:rsid w:val="00846D1D"/>
    <w:rsid w:val="00847535"/>
    <w:rsid w:val="00847744"/>
    <w:rsid w:val="00847804"/>
    <w:rsid w:val="00847B6D"/>
    <w:rsid w:val="00847FFA"/>
    <w:rsid w:val="0085092D"/>
    <w:rsid w:val="00850D82"/>
    <w:rsid w:val="00850F79"/>
    <w:rsid w:val="0085100B"/>
    <w:rsid w:val="0085304C"/>
    <w:rsid w:val="00853973"/>
    <w:rsid w:val="00853B5D"/>
    <w:rsid w:val="00853C4A"/>
    <w:rsid w:val="00854853"/>
    <w:rsid w:val="008548CA"/>
    <w:rsid w:val="00856C06"/>
    <w:rsid w:val="0085790B"/>
    <w:rsid w:val="00857AAC"/>
    <w:rsid w:val="00857C95"/>
    <w:rsid w:val="00857E78"/>
    <w:rsid w:val="00860AEF"/>
    <w:rsid w:val="0086122C"/>
    <w:rsid w:val="00861310"/>
    <w:rsid w:val="00861B7B"/>
    <w:rsid w:val="00861F0F"/>
    <w:rsid w:val="00861F53"/>
    <w:rsid w:val="0086289E"/>
    <w:rsid w:val="008633D3"/>
    <w:rsid w:val="008633D8"/>
    <w:rsid w:val="00863413"/>
    <w:rsid w:val="0086394E"/>
    <w:rsid w:val="00863F8A"/>
    <w:rsid w:val="00863FE3"/>
    <w:rsid w:val="00864241"/>
    <w:rsid w:val="0086468A"/>
    <w:rsid w:val="00864CD5"/>
    <w:rsid w:val="008650BE"/>
    <w:rsid w:val="00865127"/>
    <w:rsid w:val="008657C6"/>
    <w:rsid w:val="0086633B"/>
    <w:rsid w:val="00866495"/>
    <w:rsid w:val="00866931"/>
    <w:rsid w:val="00866FEF"/>
    <w:rsid w:val="00867326"/>
    <w:rsid w:val="0086737F"/>
    <w:rsid w:val="00867512"/>
    <w:rsid w:val="00867624"/>
    <w:rsid w:val="0087033C"/>
    <w:rsid w:val="00870B44"/>
    <w:rsid w:val="008712E8"/>
    <w:rsid w:val="008715ED"/>
    <w:rsid w:val="008717D8"/>
    <w:rsid w:val="00871E3C"/>
    <w:rsid w:val="0087213A"/>
    <w:rsid w:val="00872B54"/>
    <w:rsid w:val="00872F97"/>
    <w:rsid w:val="00873863"/>
    <w:rsid w:val="0087392A"/>
    <w:rsid w:val="00874607"/>
    <w:rsid w:val="00874915"/>
    <w:rsid w:val="00874B89"/>
    <w:rsid w:val="008752DA"/>
    <w:rsid w:val="00875403"/>
    <w:rsid w:val="00875434"/>
    <w:rsid w:val="00875C2F"/>
    <w:rsid w:val="00875E7C"/>
    <w:rsid w:val="00876215"/>
    <w:rsid w:val="0087646C"/>
    <w:rsid w:val="00876815"/>
    <w:rsid w:val="00877932"/>
    <w:rsid w:val="008807F0"/>
    <w:rsid w:val="008808C7"/>
    <w:rsid w:val="0088106B"/>
    <w:rsid w:val="0088107D"/>
    <w:rsid w:val="008812E2"/>
    <w:rsid w:val="00881596"/>
    <w:rsid w:val="0088168A"/>
    <w:rsid w:val="00881E64"/>
    <w:rsid w:val="00882A3F"/>
    <w:rsid w:val="00882E39"/>
    <w:rsid w:val="0088497E"/>
    <w:rsid w:val="008850E3"/>
    <w:rsid w:val="008850EB"/>
    <w:rsid w:val="00885D6C"/>
    <w:rsid w:val="00886DF2"/>
    <w:rsid w:val="00886FB9"/>
    <w:rsid w:val="00887080"/>
    <w:rsid w:val="00887281"/>
    <w:rsid w:val="00887BC5"/>
    <w:rsid w:val="00887C79"/>
    <w:rsid w:val="008907CC"/>
    <w:rsid w:val="00890F8E"/>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72F"/>
    <w:rsid w:val="0089582D"/>
    <w:rsid w:val="008959C6"/>
    <w:rsid w:val="00895C08"/>
    <w:rsid w:val="00895FD3"/>
    <w:rsid w:val="0089606D"/>
    <w:rsid w:val="00896129"/>
    <w:rsid w:val="008965DF"/>
    <w:rsid w:val="0089774F"/>
    <w:rsid w:val="00897875"/>
    <w:rsid w:val="00897B2E"/>
    <w:rsid w:val="00897B8F"/>
    <w:rsid w:val="008A00D8"/>
    <w:rsid w:val="008A00D9"/>
    <w:rsid w:val="008A07D5"/>
    <w:rsid w:val="008A20C5"/>
    <w:rsid w:val="008A2527"/>
    <w:rsid w:val="008A295B"/>
    <w:rsid w:val="008A2A23"/>
    <w:rsid w:val="008A2AF5"/>
    <w:rsid w:val="008A2B5A"/>
    <w:rsid w:val="008A2DD1"/>
    <w:rsid w:val="008A3F9D"/>
    <w:rsid w:val="008A5474"/>
    <w:rsid w:val="008A5C9A"/>
    <w:rsid w:val="008A6A55"/>
    <w:rsid w:val="008A6C5C"/>
    <w:rsid w:val="008A6DF0"/>
    <w:rsid w:val="008A6F6E"/>
    <w:rsid w:val="008A7888"/>
    <w:rsid w:val="008A796E"/>
    <w:rsid w:val="008B03D8"/>
    <w:rsid w:val="008B0862"/>
    <w:rsid w:val="008B088C"/>
    <w:rsid w:val="008B1BF5"/>
    <w:rsid w:val="008B2268"/>
    <w:rsid w:val="008B263F"/>
    <w:rsid w:val="008B3A08"/>
    <w:rsid w:val="008B47A6"/>
    <w:rsid w:val="008B6649"/>
    <w:rsid w:val="008B672C"/>
    <w:rsid w:val="008B7611"/>
    <w:rsid w:val="008C036D"/>
    <w:rsid w:val="008C0743"/>
    <w:rsid w:val="008C0B4C"/>
    <w:rsid w:val="008C11F0"/>
    <w:rsid w:val="008C1DBA"/>
    <w:rsid w:val="008C20B8"/>
    <w:rsid w:val="008C24E7"/>
    <w:rsid w:val="008C2500"/>
    <w:rsid w:val="008C2792"/>
    <w:rsid w:val="008C2CAC"/>
    <w:rsid w:val="008C3E2A"/>
    <w:rsid w:val="008C3FFC"/>
    <w:rsid w:val="008C45BD"/>
    <w:rsid w:val="008C4B19"/>
    <w:rsid w:val="008C5295"/>
    <w:rsid w:val="008C5485"/>
    <w:rsid w:val="008C568F"/>
    <w:rsid w:val="008C62D4"/>
    <w:rsid w:val="008C6644"/>
    <w:rsid w:val="008C6924"/>
    <w:rsid w:val="008C6B89"/>
    <w:rsid w:val="008C6DE3"/>
    <w:rsid w:val="008C71B9"/>
    <w:rsid w:val="008D09E3"/>
    <w:rsid w:val="008D18AA"/>
    <w:rsid w:val="008D1A16"/>
    <w:rsid w:val="008D1A2A"/>
    <w:rsid w:val="008D29B1"/>
    <w:rsid w:val="008D2EB5"/>
    <w:rsid w:val="008D30D2"/>
    <w:rsid w:val="008D35D9"/>
    <w:rsid w:val="008D3B85"/>
    <w:rsid w:val="008D4527"/>
    <w:rsid w:val="008D462D"/>
    <w:rsid w:val="008D51F2"/>
    <w:rsid w:val="008D66CA"/>
    <w:rsid w:val="008D69B1"/>
    <w:rsid w:val="008D7338"/>
    <w:rsid w:val="008E0012"/>
    <w:rsid w:val="008E0DF7"/>
    <w:rsid w:val="008E0FAD"/>
    <w:rsid w:val="008E1347"/>
    <w:rsid w:val="008E16E0"/>
    <w:rsid w:val="008E1836"/>
    <w:rsid w:val="008E1C15"/>
    <w:rsid w:val="008E1C9A"/>
    <w:rsid w:val="008E23C7"/>
    <w:rsid w:val="008E28BD"/>
    <w:rsid w:val="008E38B4"/>
    <w:rsid w:val="008E3BA4"/>
    <w:rsid w:val="008E41C4"/>
    <w:rsid w:val="008E44AB"/>
    <w:rsid w:val="008E5179"/>
    <w:rsid w:val="008E6598"/>
    <w:rsid w:val="008E6A17"/>
    <w:rsid w:val="008E71A8"/>
    <w:rsid w:val="008E7214"/>
    <w:rsid w:val="008E7348"/>
    <w:rsid w:val="008E7884"/>
    <w:rsid w:val="008E7D6E"/>
    <w:rsid w:val="008F0737"/>
    <w:rsid w:val="008F1056"/>
    <w:rsid w:val="008F18C0"/>
    <w:rsid w:val="008F293D"/>
    <w:rsid w:val="008F2A43"/>
    <w:rsid w:val="008F2E8D"/>
    <w:rsid w:val="008F3374"/>
    <w:rsid w:val="008F387B"/>
    <w:rsid w:val="008F3DD9"/>
    <w:rsid w:val="008F4814"/>
    <w:rsid w:val="008F4A23"/>
    <w:rsid w:val="008F4B91"/>
    <w:rsid w:val="008F4DA6"/>
    <w:rsid w:val="008F538E"/>
    <w:rsid w:val="008F5813"/>
    <w:rsid w:val="008F59B4"/>
    <w:rsid w:val="008F5A20"/>
    <w:rsid w:val="008F5ABA"/>
    <w:rsid w:val="008F6CF9"/>
    <w:rsid w:val="008F78EC"/>
    <w:rsid w:val="008F7905"/>
    <w:rsid w:val="008F7989"/>
    <w:rsid w:val="00901768"/>
    <w:rsid w:val="00901EEF"/>
    <w:rsid w:val="009026AF"/>
    <w:rsid w:val="009028E8"/>
    <w:rsid w:val="00902E5C"/>
    <w:rsid w:val="0090350D"/>
    <w:rsid w:val="009039EB"/>
    <w:rsid w:val="009046E5"/>
    <w:rsid w:val="009047C5"/>
    <w:rsid w:val="009058D1"/>
    <w:rsid w:val="00905C04"/>
    <w:rsid w:val="00906BE2"/>
    <w:rsid w:val="009070AA"/>
    <w:rsid w:val="00907203"/>
    <w:rsid w:val="00910683"/>
    <w:rsid w:val="00910AB1"/>
    <w:rsid w:val="00910E00"/>
    <w:rsid w:val="009111AE"/>
    <w:rsid w:val="009116CE"/>
    <w:rsid w:val="00911714"/>
    <w:rsid w:val="00911A5B"/>
    <w:rsid w:val="0091244B"/>
    <w:rsid w:val="009136D4"/>
    <w:rsid w:val="00913857"/>
    <w:rsid w:val="00914B9A"/>
    <w:rsid w:val="00914C3F"/>
    <w:rsid w:val="00914DEF"/>
    <w:rsid w:val="00914F33"/>
    <w:rsid w:val="009153F6"/>
    <w:rsid w:val="00915FCE"/>
    <w:rsid w:val="00916847"/>
    <w:rsid w:val="00916AFE"/>
    <w:rsid w:val="00916FC8"/>
    <w:rsid w:val="009170D3"/>
    <w:rsid w:val="0091759C"/>
    <w:rsid w:val="00917910"/>
    <w:rsid w:val="00920026"/>
    <w:rsid w:val="0092032F"/>
    <w:rsid w:val="009203E2"/>
    <w:rsid w:val="00921304"/>
    <w:rsid w:val="00921805"/>
    <w:rsid w:val="00921BA7"/>
    <w:rsid w:val="00923396"/>
    <w:rsid w:val="00923F56"/>
    <w:rsid w:val="00923FA6"/>
    <w:rsid w:val="009246C4"/>
    <w:rsid w:val="00925743"/>
    <w:rsid w:val="0092579F"/>
    <w:rsid w:val="00927E8D"/>
    <w:rsid w:val="00927F23"/>
    <w:rsid w:val="00930698"/>
    <w:rsid w:val="00930727"/>
    <w:rsid w:val="009307CD"/>
    <w:rsid w:val="00930C81"/>
    <w:rsid w:val="00931059"/>
    <w:rsid w:val="009311D1"/>
    <w:rsid w:val="00931451"/>
    <w:rsid w:val="009314FA"/>
    <w:rsid w:val="0093194F"/>
    <w:rsid w:val="00931BF3"/>
    <w:rsid w:val="00931C55"/>
    <w:rsid w:val="00932C0F"/>
    <w:rsid w:val="009330BE"/>
    <w:rsid w:val="00933333"/>
    <w:rsid w:val="0093349A"/>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47E6"/>
    <w:rsid w:val="009449F9"/>
    <w:rsid w:val="00945006"/>
    <w:rsid w:val="009451CE"/>
    <w:rsid w:val="00945812"/>
    <w:rsid w:val="00945C38"/>
    <w:rsid w:val="00945E18"/>
    <w:rsid w:val="009460F9"/>
    <w:rsid w:val="00946A24"/>
    <w:rsid w:val="009470D4"/>
    <w:rsid w:val="00947337"/>
    <w:rsid w:val="00947AA9"/>
    <w:rsid w:val="009512FA"/>
    <w:rsid w:val="00951E57"/>
    <w:rsid w:val="00953018"/>
    <w:rsid w:val="009533E2"/>
    <w:rsid w:val="00953554"/>
    <w:rsid w:val="0095385A"/>
    <w:rsid w:val="00953928"/>
    <w:rsid w:val="009540F0"/>
    <w:rsid w:val="00955163"/>
    <w:rsid w:val="00955463"/>
    <w:rsid w:val="00955906"/>
    <w:rsid w:val="00955978"/>
    <w:rsid w:val="00957010"/>
    <w:rsid w:val="009574FE"/>
    <w:rsid w:val="0095780A"/>
    <w:rsid w:val="009579E4"/>
    <w:rsid w:val="00957AA4"/>
    <w:rsid w:val="00957ACB"/>
    <w:rsid w:val="00957E21"/>
    <w:rsid w:val="00957F27"/>
    <w:rsid w:val="009609F0"/>
    <w:rsid w:val="00960BDB"/>
    <w:rsid w:val="0096147D"/>
    <w:rsid w:val="00961E5F"/>
    <w:rsid w:val="009625C6"/>
    <w:rsid w:val="009629B5"/>
    <w:rsid w:val="00962A50"/>
    <w:rsid w:val="00962E25"/>
    <w:rsid w:val="00962F47"/>
    <w:rsid w:val="009631BD"/>
    <w:rsid w:val="00964138"/>
    <w:rsid w:val="00964B3F"/>
    <w:rsid w:val="00964C98"/>
    <w:rsid w:val="00964D5B"/>
    <w:rsid w:val="00964E0A"/>
    <w:rsid w:val="00965FF8"/>
    <w:rsid w:val="00966214"/>
    <w:rsid w:val="00971441"/>
    <w:rsid w:val="009715D4"/>
    <w:rsid w:val="00971AC8"/>
    <w:rsid w:val="00972470"/>
    <w:rsid w:val="009739A9"/>
    <w:rsid w:val="00973AA2"/>
    <w:rsid w:val="00973DF6"/>
    <w:rsid w:val="0097494E"/>
    <w:rsid w:val="00974B58"/>
    <w:rsid w:val="00975140"/>
    <w:rsid w:val="00975DA3"/>
    <w:rsid w:val="009761ED"/>
    <w:rsid w:val="009801E7"/>
    <w:rsid w:val="0098022F"/>
    <w:rsid w:val="009810CC"/>
    <w:rsid w:val="009810DE"/>
    <w:rsid w:val="009816A2"/>
    <w:rsid w:val="00981D3C"/>
    <w:rsid w:val="009822D7"/>
    <w:rsid w:val="009827E6"/>
    <w:rsid w:val="00982E70"/>
    <w:rsid w:val="00982F84"/>
    <w:rsid w:val="0098427D"/>
    <w:rsid w:val="00984567"/>
    <w:rsid w:val="00985102"/>
    <w:rsid w:val="009865D5"/>
    <w:rsid w:val="009876F2"/>
    <w:rsid w:val="00987716"/>
    <w:rsid w:val="00987C77"/>
    <w:rsid w:val="00990345"/>
    <w:rsid w:val="00990701"/>
    <w:rsid w:val="0099090B"/>
    <w:rsid w:val="00990BC7"/>
    <w:rsid w:val="0099119C"/>
    <w:rsid w:val="0099137A"/>
    <w:rsid w:val="00991805"/>
    <w:rsid w:val="0099211C"/>
    <w:rsid w:val="00993158"/>
    <w:rsid w:val="00993B78"/>
    <w:rsid w:val="0099483A"/>
    <w:rsid w:val="00995119"/>
    <w:rsid w:val="009953AD"/>
    <w:rsid w:val="00995503"/>
    <w:rsid w:val="0099583D"/>
    <w:rsid w:val="00995B7C"/>
    <w:rsid w:val="00996992"/>
    <w:rsid w:val="00996E1E"/>
    <w:rsid w:val="00997392"/>
    <w:rsid w:val="0099747C"/>
    <w:rsid w:val="0099771C"/>
    <w:rsid w:val="009A01E4"/>
    <w:rsid w:val="009A0917"/>
    <w:rsid w:val="009A0A33"/>
    <w:rsid w:val="009A0A35"/>
    <w:rsid w:val="009A1351"/>
    <w:rsid w:val="009A2435"/>
    <w:rsid w:val="009A3253"/>
    <w:rsid w:val="009A35DC"/>
    <w:rsid w:val="009A38AB"/>
    <w:rsid w:val="009A3CFB"/>
    <w:rsid w:val="009A3D47"/>
    <w:rsid w:val="009A4D63"/>
    <w:rsid w:val="009A5356"/>
    <w:rsid w:val="009A5468"/>
    <w:rsid w:val="009A5D99"/>
    <w:rsid w:val="009A608C"/>
    <w:rsid w:val="009A60D1"/>
    <w:rsid w:val="009A6CA7"/>
    <w:rsid w:val="009A6FDF"/>
    <w:rsid w:val="009A76D6"/>
    <w:rsid w:val="009B01D3"/>
    <w:rsid w:val="009B0522"/>
    <w:rsid w:val="009B199E"/>
    <w:rsid w:val="009B257D"/>
    <w:rsid w:val="009B27AC"/>
    <w:rsid w:val="009B2E29"/>
    <w:rsid w:val="009B3163"/>
    <w:rsid w:val="009B422F"/>
    <w:rsid w:val="009B46BC"/>
    <w:rsid w:val="009B4D1A"/>
    <w:rsid w:val="009B527F"/>
    <w:rsid w:val="009B558B"/>
    <w:rsid w:val="009B6801"/>
    <w:rsid w:val="009B68DD"/>
    <w:rsid w:val="009B6D21"/>
    <w:rsid w:val="009B7266"/>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56F"/>
    <w:rsid w:val="009C78A3"/>
    <w:rsid w:val="009D0156"/>
    <w:rsid w:val="009D05DA"/>
    <w:rsid w:val="009D0872"/>
    <w:rsid w:val="009D11F6"/>
    <w:rsid w:val="009D13B9"/>
    <w:rsid w:val="009D1A14"/>
    <w:rsid w:val="009D1E2A"/>
    <w:rsid w:val="009D1FA0"/>
    <w:rsid w:val="009D2BDF"/>
    <w:rsid w:val="009D3736"/>
    <w:rsid w:val="009D3964"/>
    <w:rsid w:val="009D40B8"/>
    <w:rsid w:val="009D4529"/>
    <w:rsid w:val="009D4B03"/>
    <w:rsid w:val="009D604F"/>
    <w:rsid w:val="009D61BB"/>
    <w:rsid w:val="009D6410"/>
    <w:rsid w:val="009D65FF"/>
    <w:rsid w:val="009D66B2"/>
    <w:rsid w:val="009D68BB"/>
    <w:rsid w:val="009D6E3A"/>
    <w:rsid w:val="009D70C2"/>
    <w:rsid w:val="009D7278"/>
    <w:rsid w:val="009D773A"/>
    <w:rsid w:val="009D7ADB"/>
    <w:rsid w:val="009D7B33"/>
    <w:rsid w:val="009E0703"/>
    <w:rsid w:val="009E0E95"/>
    <w:rsid w:val="009E16DA"/>
    <w:rsid w:val="009E1CD4"/>
    <w:rsid w:val="009E20DC"/>
    <w:rsid w:val="009E2391"/>
    <w:rsid w:val="009E476A"/>
    <w:rsid w:val="009E4E05"/>
    <w:rsid w:val="009E52D9"/>
    <w:rsid w:val="009E53D7"/>
    <w:rsid w:val="009E56FF"/>
    <w:rsid w:val="009E5CB1"/>
    <w:rsid w:val="009E5E56"/>
    <w:rsid w:val="009E61EA"/>
    <w:rsid w:val="009E6990"/>
    <w:rsid w:val="009E6FEE"/>
    <w:rsid w:val="009F060F"/>
    <w:rsid w:val="009F0781"/>
    <w:rsid w:val="009F0850"/>
    <w:rsid w:val="009F0D40"/>
    <w:rsid w:val="009F11B2"/>
    <w:rsid w:val="009F1BDF"/>
    <w:rsid w:val="009F1EAE"/>
    <w:rsid w:val="009F29A5"/>
    <w:rsid w:val="009F369D"/>
    <w:rsid w:val="009F36FE"/>
    <w:rsid w:val="009F46A9"/>
    <w:rsid w:val="009F4F25"/>
    <w:rsid w:val="009F507A"/>
    <w:rsid w:val="009F50A3"/>
    <w:rsid w:val="009F59C2"/>
    <w:rsid w:val="009F61DE"/>
    <w:rsid w:val="009F7263"/>
    <w:rsid w:val="009F74FA"/>
    <w:rsid w:val="009F76EA"/>
    <w:rsid w:val="009F78EB"/>
    <w:rsid w:val="009F7D10"/>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4"/>
    <w:rsid w:val="00A10D08"/>
    <w:rsid w:val="00A12091"/>
    <w:rsid w:val="00A12355"/>
    <w:rsid w:val="00A12384"/>
    <w:rsid w:val="00A127A3"/>
    <w:rsid w:val="00A127D2"/>
    <w:rsid w:val="00A12ADA"/>
    <w:rsid w:val="00A12E91"/>
    <w:rsid w:val="00A143EC"/>
    <w:rsid w:val="00A14A60"/>
    <w:rsid w:val="00A1500F"/>
    <w:rsid w:val="00A15621"/>
    <w:rsid w:val="00A15670"/>
    <w:rsid w:val="00A157A0"/>
    <w:rsid w:val="00A1585B"/>
    <w:rsid w:val="00A15BBC"/>
    <w:rsid w:val="00A15C19"/>
    <w:rsid w:val="00A1656E"/>
    <w:rsid w:val="00A16809"/>
    <w:rsid w:val="00A17769"/>
    <w:rsid w:val="00A17EA2"/>
    <w:rsid w:val="00A20264"/>
    <w:rsid w:val="00A20997"/>
    <w:rsid w:val="00A21454"/>
    <w:rsid w:val="00A22025"/>
    <w:rsid w:val="00A220AB"/>
    <w:rsid w:val="00A22498"/>
    <w:rsid w:val="00A22571"/>
    <w:rsid w:val="00A23023"/>
    <w:rsid w:val="00A23A08"/>
    <w:rsid w:val="00A24560"/>
    <w:rsid w:val="00A252CF"/>
    <w:rsid w:val="00A25B0F"/>
    <w:rsid w:val="00A25BBB"/>
    <w:rsid w:val="00A25F8E"/>
    <w:rsid w:val="00A27F18"/>
    <w:rsid w:val="00A27FB6"/>
    <w:rsid w:val="00A30121"/>
    <w:rsid w:val="00A30368"/>
    <w:rsid w:val="00A3043A"/>
    <w:rsid w:val="00A30E02"/>
    <w:rsid w:val="00A30F6A"/>
    <w:rsid w:val="00A31BA2"/>
    <w:rsid w:val="00A31C3E"/>
    <w:rsid w:val="00A34538"/>
    <w:rsid w:val="00A34677"/>
    <w:rsid w:val="00A34BA0"/>
    <w:rsid w:val="00A3540F"/>
    <w:rsid w:val="00A35630"/>
    <w:rsid w:val="00A35914"/>
    <w:rsid w:val="00A36189"/>
    <w:rsid w:val="00A3622F"/>
    <w:rsid w:val="00A36DDC"/>
    <w:rsid w:val="00A37E73"/>
    <w:rsid w:val="00A37FB6"/>
    <w:rsid w:val="00A4006F"/>
    <w:rsid w:val="00A4104A"/>
    <w:rsid w:val="00A41081"/>
    <w:rsid w:val="00A411CA"/>
    <w:rsid w:val="00A413AD"/>
    <w:rsid w:val="00A4169F"/>
    <w:rsid w:val="00A42096"/>
    <w:rsid w:val="00A421E7"/>
    <w:rsid w:val="00A426F3"/>
    <w:rsid w:val="00A42FDF"/>
    <w:rsid w:val="00A430A9"/>
    <w:rsid w:val="00A431A2"/>
    <w:rsid w:val="00A431FE"/>
    <w:rsid w:val="00A439E5"/>
    <w:rsid w:val="00A43D1B"/>
    <w:rsid w:val="00A4497A"/>
    <w:rsid w:val="00A44BE8"/>
    <w:rsid w:val="00A44C96"/>
    <w:rsid w:val="00A44F54"/>
    <w:rsid w:val="00A4593D"/>
    <w:rsid w:val="00A45F9B"/>
    <w:rsid w:val="00A461BF"/>
    <w:rsid w:val="00A46574"/>
    <w:rsid w:val="00A4657A"/>
    <w:rsid w:val="00A467C4"/>
    <w:rsid w:val="00A4777D"/>
    <w:rsid w:val="00A500B1"/>
    <w:rsid w:val="00A500F3"/>
    <w:rsid w:val="00A51520"/>
    <w:rsid w:val="00A5292D"/>
    <w:rsid w:val="00A52CC5"/>
    <w:rsid w:val="00A52D3F"/>
    <w:rsid w:val="00A52EE5"/>
    <w:rsid w:val="00A53037"/>
    <w:rsid w:val="00A532B9"/>
    <w:rsid w:val="00A5351D"/>
    <w:rsid w:val="00A53A2B"/>
    <w:rsid w:val="00A53D84"/>
    <w:rsid w:val="00A53E79"/>
    <w:rsid w:val="00A54031"/>
    <w:rsid w:val="00A5426D"/>
    <w:rsid w:val="00A54FC2"/>
    <w:rsid w:val="00A55122"/>
    <w:rsid w:val="00A5696C"/>
    <w:rsid w:val="00A56DE7"/>
    <w:rsid w:val="00A57714"/>
    <w:rsid w:val="00A57EB2"/>
    <w:rsid w:val="00A6009E"/>
    <w:rsid w:val="00A60762"/>
    <w:rsid w:val="00A60B1F"/>
    <w:rsid w:val="00A61013"/>
    <w:rsid w:val="00A61C60"/>
    <w:rsid w:val="00A61F10"/>
    <w:rsid w:val="00A62589"/>
    <w:rsid w:val="00A62C3A"/>
    <w:rsid w:val="00A63812"/>
    <w:rsid w:val="00A63DF7"/>
    <w:rsid w:val="00A64505"/>
    <w:rsid w:val="00A65CC5"/>
    <w:rsid w:val="00A668BA"/>
    <w:rsid w:val="00A66FA7"/>
    <w:rsid w:val="00A677F6"/>
    <w:rsid w:val="00A67E16"/>
    <w:rsid w:val="00A703CC"/>
    <w:rsid w:val="00A70C5C"/>
    <w:rsid w:val="00A71E4C"/>
    <w:rsid w:val="00A71EA7"/>
    <w:rsid w:val="00A72849"/>
    <w:rsid w:val="00A730AD"/>
    <w:rsid w:val="00A733D2"/>
    <w:rsid w:val="00A73855"/>
    <w:rsid w:val="00A73D64"/>
    <w:rsid w:val="00A73FEA"/>
    <w:rsid w:val="00A74216"/>
    <w:rsid w:val="00A744B4"/>
    <w:rsid w:val="00A74D61"/>
    <w:rsid w:val="00A751E3"/>
    <w:rsid w:val="00A75504"/>
    <w:rsid w:val="00A75CD9"/>
    <w:rsid w:val="00A76438"/>
    <w:rsid w:val="00A77168"/>
    <w:rsid w:val="00A7723B"/>
    <w:rsid w:val="00A77525"/>
    <w:rsid w:val="00A7793C"/>
    <w:rsid w:val="00A77D21"/>
    <w:rsid w:val="00A80085"/>
    <w:rsid w:val="00A8043B"/>
    <w:rsid w:val="00A81323"/>
    <w:rsid w:val="00A81AC0"/>
    <w:rsid w:val="00A820CB"/>
    <w:rsid w:val="00A82342"/>
    <w:rsid w:val="00A83BEF"/>
    <w:rsid w:val="00A841E1"/>
    <w:rsid w:val="00A84443"/>
    <w:rsid w:val="00A8487F"/>
    <w:rsid w:val="00A848FC"/>
    <w:rsid w:val="00A849A3"/>
    <w:rsid w:val="00A84A0E"/>
    <w:rsid w:val="00A84D7C"/>
    <w:rsid w:val="00A851FD"/>
    <w:rsid w:val="00A85CC1"/>
    <w:rsid w:val="00A86B64"/>
    <w:rsid w:val="00A86E0B"/>
    <w:rsid w:val="00A9069B"/>
    <w:rsid w:val="00A90F12"/>
    <w:rsid w:val="00A9106F"/>
    <w:rsid w:val="00A93101"/>
    <w:rsid w:val="00A94293"/>
    <w:rsid w:val="00A94760"/>
    <w:rsid w:val="00A9496E"/>
    <w:rsid w:val="00A949F0"/>
    <w:rsid w:val="00A94BDE"/>
    <w:rsid w:val="00A94FCA"/>
    <w:rsid w:val="00A95E4C"/>
    <w:rsid w:val="00A96C60"/>
    <w:rsid w:val="00A97223"/>
    <w:rsid w:val="00A9740B"/>
    <w:rsid w:val="00A9766C"/>
    <w:rsid w:val="00A977F8"/>
    <w:rsid w:val="00A97C93"/>
    <w:rsid w:val="00AA08E7"/>
    <w:rsid w:val="00AA0A06"/>
    <w:rsid w:val="00AA1351"/>
    <w:rsid w:val="00AA1859"/>
    <w:rsid w:val="00AA1C84"/>
    <w:rsid w:val="00AA24FD"/>
    <w:rsid w:val="00AA3D7B"/>
    <w:rsid w:val="00AA42A0"/>
    <w:rsid w:val="00AA42E3"/>
    <w:rsid w:val="00AA442B"/>
    <w:rsid w:val="00AA46A4"/>
    <w:rsid w:val="00AA4F3D"/>
    <w:rsid w:val="00AA5687"/>
    <w:rsid w:val="00AA5779"/>
    <w:rsid w:val="00AA58A1"/>
    <w:rsid w:val="00AA61C7"/>
    <w:rsid w:val="00AA669D"/>
    <w:rsid w:val="00AA66ED"/>
    <w:rsid w:val="00AA6BE1"/>
    <w:rsid w:val="00AA7416"/>
    <w:rsid w:val="00AA7619"/>
    <w:rsid w:val="00AA7A60"/>
    <w:rsid w:val="00AA7B42"/>
    <w:rsid w:val="00AB041C"/>
    <w:rsid w:val="00AB04D6"/>
    <w:rsid w:val="00AB14E8"/>
    <w:rsid w:val="00AB17EC"/>
    <w:rsid w:val="00AB19AF"/>
    <w:rsid w:val="00AB1B1D"/>
    <w:rsid w:val="00AB2080"/>
    <w:rsid w:val="00AB2216"/>
    <w:rsid w:val="00AB2C0A"/>
    <w:rsid w:val="00AB358D"/>
    <w:rsid w:val="00AB37A1"/>
    <w:rsid w:val="00AB3BAD"/>
    <w:rsid w:val="00AB3CFD"/>
    <w:rsid w:val="00AB40C6"/>
    <w:rsid w:val="00AB49BC"/>
    <w:rsid w:val="00AB4DEE"/>
    <w:rsid w:val="00AB4E32"/>
    <w:rsid w:val="00AB579A"/>
    <w:rsid w:val="00AB5BC4"/>
    <w:rsid w:val="00AB5DB2"/>
    <w:rsid w:val="00AB724B"/>
    <w:rsid w:val="00AB726C"/>
    <w:rsid w:val="00AB72B4"/>
    <w:rsid w:val="00AC01FD"/>
    <w:rsid w:val="00AC02AA"/>
    <w:rsid w:val="00AC0537"/>
    <w:rsid w:val="00AC0A84"/>
    <w:rsid w:val="00AC264D"/>
    <w:rsid w:val="00AC2A0B"/>
    <w:rsid w:val="00AC2BEC"/>
    <w:rsid w:val="00AC2BEE"/>
    <w:rsid w:val="00AC2E53"/>
    <w:rsid w:val="00AC2F8F"/>
    <w:rsid w:val="00AC484F"/>
    <w:rsid w:val="00AC4A42"/>
    <w:rsid w:val="00AC4B20"/>
    <w:rsid w:val="00AC4D8F"/>
    <w:rsid w:val="00AC56F2"/>
    <w:rsid w:val="00AC5B83"/>
    <w:rsid w:val="00AC6886"/>
    <w:rsid w:val="00AC717C"/>
    <w:rsid w:val="00AC71C3"/>
    <w:rsid w:val="00AD0DA5"/>
    <w:rsid w:val="00AD1499"/>
    <w:rsid w:val="00AD1EFA"/>
    <w:rsid w:val="00AD2072"/>
    <w:rsid w:val="00AD2808"/>
    <w:rsid w:val="00AD2DBD"/>
    <w:rsid w:val="00AD2FBF"/>
    <w:rsid w:val="00AD416B"/>
    <w:rsid w:val="00AD455D"/>
    <w:rsid w:val="00AD463C"/>
    <w:rsid w:val="00AD46A2"/>
    <w:rsid w:val="00AD47E8"/>
    <w:rsid w:val="00AD4A51"/>
    <w:rsid w:val="00AD4F60"/>
    <w:rsid w:val="00AD5044"/>
    <w:rsid w:val="00AD5114"/>
    <w:rsid w:val="00AD6236"/>
    <w:rsid w:val="00AD67E6"/>
    <w:rsid w:val="00AD7619"/>
    <w:rsid w:val="00AD7770"/>
    <w:rsid w:val="00AE04A1"/>
    <w:rsid w:val="00AE0D1C"/>
    <w:rsid w:val="00AE0F7E"/>
    <w:rsid w:val="00AE1772"/>
    <w:rsid w:val="00AE1990"/>
    <w:rsid w:val="00AE1BBA"/>
    <w:rsid w:val="00AE2523"/>
    <w:rsid w:val="00AE25E8"/>
    <w:rsid w:val="00AE2631"/>
    <w:rsid w:val="00AE2AD4"/>
    <w:rsid w:val="00AE2BD9"/>
    <w:rsid w:val="00AE2CA7"/>
    <w:rsid w:val="00AE2F1D"/>
    <w:rsid w:val="00AE4B2B"/>
    <w:rsid w:val="00AE586F"/>
    <w:rsid w:val="00AE5A78"/>
    <w:rsid w:val="00AE6582"/>
    <w:rsid w:val="00AE6DC5"/>
    <w:rsid w:val="00AE73D7"/>
    <w:rsid w:val="00AE7686"/>
    <w:rsid w:val="00AE799A"/>
    <w:rsid w:val="00AF042B"/>
    <w:rsid w:val="00AF0514"/>
    <w:rsid w:val="00AF078E"/>
    <w:rsid w:val="00AF0E81"/>
    <w:rsid w:val="00AF117A"/>
    <w:rsid w:val="00AF186E"/>
    <w:rsid w:val="00AF19C6"/>
    <w:rsid w:val="00AF19DF"/>
    <w:rsid w:val="00AF1F4F"/>
    <w:rsid w:val="00AF26CF"/>
    <w:rsid w:val="00AF47D5"/>
    <w:rsid w:val="00AF4E92"/>
    <w:rsid w:val="00AF554B"/>
    <w:rsid w:val="00AF5C9B"/>
    <w:rsid w:val="00AF5D53"/>
    <w:rsid w:val="00AF5E2D"/>
    <w:rsid w:val="00AF644B"/>
    <w:rsid w:val="00AF6CA6"/>
    <w:rsid w:val="00AF6EB6"/>
    <w:rsid w:val="00AF7796"/>
    <w:rsid w:val="00B011A9"/>
    <w:rsid w:val="00B024ED"/>
    <w:rsid w:val="00B02C4A"/>
    <w:rsid w:val="00B02EB3"/>
    <w:rsid w:val="00B02FCB"/>
    <w:rsid w:val="00B033F8"/>
    <w:rsid w:val="00B039BE"/>
    <w:rsid w:val="00B03C1E"/>
    <w:rsid w:val="00B04400"/>
    <w:rsid w:val="00B04835"/>
    <w:rsid w:val="00B05279"/>
    <w:rsid w:val="00B05A55"/>
    <w:rsid w:val="00B05DE1"/>
    <w:rsid w:val="00B06595"/>
    <w:rsid w:val="00B10109"/>
    <w:rsid w:val="00B1053C"/>
    <w:rsid w:val="00B1085E"/>
    <w:rsid w:val="00B10FD0"/>
    <w:rsid w:val="00B10FD1"/>
    <w:rsid w:val="00B11896"/>
    <w:rsid w:val="00B11CE3"/>
    <w:rsid w:val="00B12735"/>
    <w:rsid w:val="00B129C6"/>
    <w:rsid w:val="00B131C4"/>
    <w:rsid w:val="00B13386"/>
    <w:rsid w:val="00B13533"/>
    <w:rsid w:val="00B13C48"/>
    <w:rsid w:val="00B13E35"/>
    <w:rsid w:val="00B13EC0"/>
    <w:rsid w:val="00B14102"/>
    <w:rsid w:val="00B14BFB"/>
    <w:rsid w:val="00B14D32"/>
    <w:rsid w:val="00B1557C"/>
    <w:rsid w:val="00B155DC"/>
    <w:rsid w:val="00B15766"/>
    <w:rsid w:val="00B1577D"/>
    <w:rsid w:val="00B158F6"/>
    <w:rsid w:val="00B159AA"/>
    <w:rsid w:val="00B15DB1"/>
    <w:rsid w:val="00B1666A"/>
    <w:rsid w:val="00B1686D"/>
    <w:rsid w:val="00B17037"/>
    <w:rsid w:val="00B1741D"/>
    <w:rsid w:val="00B17447"/>
    <w:rsid w:val="00B17563"/>
    <w:rsid w:val="00B1771D"/>
    <w:rsid w:val="00B17B91"/>
    <w:rsid w:val="00B20209"/>
    <w:rsid w:val="00B203AF"/>
    <w:rsid w:val="00B203C9"/>
    <w:rsid w:val="00B2088D"/>
    <w:rsid w:val="00B208FF"/>
    <w:rsid w:val="00B21AD4"/>
    <w:rsid w:val="00B21C18"/>
    <w:rsid w:val="00B228D1"/>
    <w:rsid w:val="00B22C58"/>
    <w:rsid w:val="00B22E22"/>
    <w:rsid w:val="00B22F5F"/>
    <w:rsid w:val="00B23813"/>
    <w:rsid w:val="00B23FD9"/>
    <w:rsid w:val="00B2450F"/>
    <w:rsid w:val="00B24591"/>
    <w:rsid w:val="00B245D5"/>
    <w:rsid w:val="00B24C36"/>
    <w:rsid w:val="00B24D49"/>
    <w:rsid w:val="00B24F94"/>
    <w:rsid w:val="00B25126"/>
    <w:rsid w:val="00B25A52"/>
    <w:rsid w:val="00B25B0A"/>
    <w:rsid w:val="00B25FC3"/>
    <w:rsid w:val="00B26CC4"/>
    <w:rsid w:val="00B27026"/>
    <w:rsid w:val="00B27763"/>
    <w:rsid w:val="00B27875"/>
    <w:rsid w:val="00B3008D"/>
    <w:rsid w:val="00B309C9"/>
    <w:rsid w:val="00B30E11"/>
    <w:rsid w:val="00B30EEB"/>
    <w:rsid w:val="00B30FD0"/>
    <w:rsid w:val="00B31423"/>
    <w:rsid w:val="00B31710"/>
    <w:rsid w:val="00B323E0"/>
    <w:rsid w:val="00B32DC0"/>
    <w:rsid w:val="00B3346C"/>
    <w:rsid w:val="00B335E4"/>
    <w:rsid w:val="00B33C23"/>
    <w:rsid w:val="00B345B4"/>
    <w:rsid w:val="00B348B1"/>
    <w:rsid w:val="00B34A28"/>
    <w:rsid w:val="00B34C35"/>
    <w:rsid w:val="00B34EB2"/>
    <w:rsid w:val="00B35046"/>
    <w:rsid w:val="00B35B6A"/>
    <w:rsid w:val="00B36D46"/>
    <w:rsid w:val="00B37657"/>
    <w:rsid w:val="00B37AFD"/>
    <w:rsid w:val="00B37B07"/>
    <w:rsid w:val="00B4046F"/>
    <w:rsid w:val="00B40B47"/>
    <w:rsid w:val="00B41D39"/>
    <w:rsid w:val="00B422C0"/>
    <w:rsid w:val="00B426CA"/>
    <w:rsid w:val="00B426E1"/>
    <w:rsid w:val="00B4298E"/>
    <w:rsid w:val="00B42B61"/>
    <w:rsid w:val="00B437F8"/>
    <w:rsid w:val="00B4387A"/>
    <w:rsid w:val="00B44196"/>
    <w:rsid w:val="00B44260"/>
    <w:rsid w:val="00B44746"/>
    <w:rsid w:val="00B44854"/>
    <w:rsid w:val="00B44E8C"/>
    <w:rsid w:val="00B453FE"/>
    <w:rsid w:val="00B458D0"/>
    <w:rsid w:val="00B46120"/>
    <w:rsid w:val="00B47040"/>
    <w:rsid w:val="00B47694"/>
    <w:rsid w:val="00B4792C"/>
    <w:rsid w:val="00B50CAE"/>
    <w:rsid w:val="00B512AD"/>
    <w:rsid w:val="00B5196C"/>
    <w:rsid w:val="00B525CB"/>
    <w:rsid w:val="00B52697"/>
    <w:rsid w:val="00B53E7C"/>
    <w:rsid w:val="00B5400D"/>
    <w:rsid w:val="00B54D8F"/>
    <w:rsid w:val="00B55857"/>
    <w:rsid w:val="00B55C69"/>
    <w:rsid w:val="00B56851"/>
    <w:rsid w:val="00B56A6A"/>
    <w:rsid w:val="00B56D6E"/>
    <w:rsid w:val="00B572F7"/>
    <w:rsid w:val="00B57B9D"/>
    <w:rsid w:val="00B57DAF"/>
    <w:rsid w:val="00B60094"/>
    <w:rsid w:val="00B6022C"/>
    <w:rsid w:val="00B60867"/>
    <w:rsid w:val="00B614F8"/>
    <w:rsid w:val="00B61994"/>
    <w:rsid w:val="00B61FD4"/>
    <w:rsid w:val="00B62880"/>
    <w:rsid w:val="00B63872"/>
    <w:rsid w:val="00B63B64"/>
    <w:rsid w:val="00B63CB2"/>
    <w:rsid w:val="00B63F51"/>
    <w:rsid w:val="00B6416D"/>
    <w:rsid w:val="00B64246"/>
    <w:rsid w:val="00B64EDB"/>
    <w:rsid w:val="00B65379"/>
    <w:rsid w:val="00B654D3"/>
    <w:rsid w:val="00B65938"/>
    <w:rsid w:val="00B65BBE"/>
    <w:rsid w:val="00B65C8A"/>
    <w:rsid w:val="00B65CE2"/>
    <w:rsid w:val="00B65CED"/>
    <w:rsid w:val="00B660AD"/>
    <w:rsid w:val="00B66109"/>
    <w:rsid w:val="00B66349"/>
    <w:rsid w:val="00B67630"/>
    <w:rsid w:val="00B67FBF"/>
    <w:rsid w:val="00B7024E"/>
    <w:rsid w:val="00B71FA7"/>
    <w:rsid w:val="00B72110"/>
    <w:rsid w:val="00B7240D"/>
    <w:rsid w:val="00B72983"/>
    <w:rsid w:val="00B72B91"/>
    <w:rsid w:val="00B73019"/>
    <w:rsid w:val="00B7315F"/>
    <w:rsid w:val="00B7323A"/>
    <w:rsid w:val="00B73356"/>
    <w:rsid w:val="00B7353B"/>
    <w:rsid w:val="00B7358A"/>
    <w:rsid w:val="00B737FB"/>
    <w:rsid w:val="00B7423D"/>
    <w:rsid w:val="00B74605"/>
    <w:rsid w:val="00B74A8A"/>
    <w:rsid w:val="00B74D05"/>
    <w:rsid w:val="00B777FA"/>
    <w:rsid w:val="00B77850"/>
    <w:rsid w:val="00B7796B"/>
    <w:rsid w:val="00B77A14"/>
    <w:rsid w:val="00B80C72"/>
    <w:rsid w:val="00B81964"/>
    <w:rsid w:val="00B81E0A"/>
    <w:rsid w:val="00B81E6F"/>
    <w:rsid w:val="00B82123"/>
    <w:rsid w:val="00B8225B"/>
    <w:rsid w:val="00B82BB5"/>
    <w:rsid w:val="00B83182"/>
    <w:rsid w:val="00B83811"/>
    <w:rsid w:val="00B83B09"/>
    <w:rsid w:val="00B84684"/>
    <w:rsid w:val="00B84866"/>
    <w:rsid w:val="00B848DF"/>
    <w:rsid w:val="00B84F1B"/>
    <w:rsid w:val="00B851E4"/>
    <w:rsid w:val="00B854CE"/>
    <w:rsid w:val="00B85681"/>
    <w:rsid w:val="00B857EB"/>
    <w:rsid w:val="00B86162"/>
    <w:rsid w:val="00B86877"/>
    <w:rsid w:val="00B8695D"/>
    <w:rsid w:val="00B86D58"/>
    <w:rsid w:val="00B86E66"/>
    <w:rsid w:val="00B873BA"/>
    <w:rsid w:val="00B8746F"/>
    <w:rsid w:val="00B8760D"/>
    <w:rsid w:val="00B87706"/>
    <w:rsid w:val="00B87F98"/>
    <w:rsid w:val="00B900BD"/>
    <w:rsid w:val="00B90A49"/>
    <w:rsid w:val="00B90C2B"/>
    <w:rsid w:val="00B90E5C"/>
    <w:rsid w:val="00B910A5"/>
    <w:rsid w:val="00B91B8E"/>
    <w:rsid w:val="00B91E13"/>
    <w:rsid w:val="00B92531"/>
    <w:rsid w:val="00B92618"/>
    <w:rsid w:val="00B92751"/>
    <w:rsid w:val="00B92B69"/>
    <w:rsid w:val="00B92CC6"/>
    <w:rsid w:val="00B935C9"/>
    <w:rsid w:val="00B93E3D"/>
    <w:rsid w:val="00B94033"/>
    <w:rsid w:val="00B95018"/>
    <w:rsid w:val="00B95464"/>
    <w:rsid w:val="00B956DC"/>
    <w:rsid w:val="00B95C30"/>
    <w:rsid w:val="00B95D38"/>
    <w:rsid w:val="00B95E3D"/>
    <w:rsid w:val="00B95F7F"/>
    <w:rsid w:val="00B9691F"/>
    <w:rsid w:val="00B969E0"/>
    <w:rsid w:val="00B96EEC"/>
    <w:rsid w:val="00B9710A"/>
    <w:rsid w:val="00B97392"/>
    <w:rsid w:val="00B973C6"/>
    <w:rsid w:val="00B97691"/>
    <w:rsid w:val="00B976C7"/>
    <w:rsid w:val="00BA0C54"/>
    <w:rsid w:val="00BA1382"/>
    <w:rsid w:val="00BA1D64"/>
    <w:rsid w:val="00BA1EFD"/>
    <w:rsid w:val="00BA20D8"/>
    <w:rsid w:val="00BA22FC"/>
    <w:rsid w:val="00BA2D78"/>
    <w:rsid w:val="00BA2F30"/>
    <w:rsid w:val="00BA4771"/>
    <w:rsid w:val="00BA4DA4"/>
    <w:rsid w:val="00BA5027"/>
    <w:rsid w:val="00BA665B"/>
    <w:rsid w:val="00BA7370"/>
    <w:rsid w:val="00BA778B"/>
    <w:rsid w:val="00BB0888"/>
    <w:rsid w:val="00BB0DF1"/>
    <w:rsid w:val="00BB0E9B"/>
    <w:rsid w:val="00BB2729"/>
    <w:rsid w:val="00BB2841"/>
    <w:rsid w:val="00BB2F3D"/>
    <w:rsid w:val="00BB300F"/>
    <w:rsid w:val="00BB32C9"/>
    <w:rsid w:val="00BB35C5"/>
    <w:rsid w:val="00BB3D17"/>
    <w:rsid w:val="00BB43A7"/>
    <w:rsid w:val="00BB47D0"/>
    <w:rsid w:val="00BB4C8E"/>
    <w:rsid w:val="00BB57ED"/>
    <w:rsid w:val="00BB65C3"/>
    <w:rsid w:val="00BB662E"/>
    <w:rsid w:val="00BB67A9"/>
    <w:rsid w:val="00BB6C01"/>
    <w:rsid w:val="00BB6C4C"/>
    <w:rsid w:val="00BB7942"/>
    <w:rsid w:val="00BB7CD1"/>
    <w:rsid w:val="00BB7D1F"/>
    <w:rsid w:val="00BC0F33"/>
    <w:rsid w:val="00BC14A7"/>
    <w:rsid w:val="00BC1611"/>
    <w:rsid w:val="00BC1632"/>
    <w:rsid w:val="00BC17CC"/>
    <w:rsid w:val="00BC1862"/>
    <w:rsid w:val="00BC229E"/>
    <w:rsid w:val="00BC23C0"/>
    <w:rsid w:val="00BC2898"/>
    <w:rsid w:val="00BC2928"/>
    <w:rsid w:val="00BC2AA9"/>
    <w:rsid w:val="00BC2BB1"/>
    <w:rsid w:val="00BC34A3"/>
    <w:rsid w:val="00BC3ED5"/>
    <w:rsid w:val="00BC3FF9"/>
    <w:rsid w:val="00BC4834"/>
    <w:rsid w:val="00BC4A97"/>
    <w:rsid w:val="00BC5A25"/>
    <w:rsid w:val="00BC5FDD"/>
    <w:rsid w:val="00BC68B4"/>
    <w:rsid w:val="00BC6C2D"/>
    <w:rsid w:val="00BC762B"/>
    <w:rsid w:val="00BC7B9A"/>
    <w:rsid w:val="00BD00A9"/>
    <w:rsid w:val="00BD0140"/>
    <w:rsid w:val="00BD020C"/>
    <w:rsid w:val="00BD02CC"/>
    <w:rsid w:val="00BD1675"/>
    <w:rsid w:val="00BD2063"/>
    <w:rsid w:val="00BD33D9"/>
    <w:rsid w:val="00BD38C5"/>
    <w:rsid w:val="00BD3A59"/>
    <w:rsid w:val="00BD3C11"/>
    <w:rsid w:val="00BD3CF1"/>
    <w:rsid w:val="00BD3DEA"/>
    <w:rsid w:val="00BD3E97"/>
    <w:rsid w:val="00BD40E4"/>
    <w:rsid w:val="00BD4563"/>
    <w:rsid w:val="00BD52FE"/>
    <w:rsid w:val="00BD62CF"/>
    <w:rsid w:val="00BD67B2"/>
    <w:rsid w:val="00BD6A07"/>
    <w:rsid w:val="00BD78AB"/>
    <w:rsid w:val="00BD78FE"/>
    <w:rsid w:val="00BD7A91"/>
    <w:rsid w:val="00BE0149"/>
    <w:rsid w:val="00BE0767"/>
    <w:rsid w:val="00BE12D7"/>
    <w:rsid w:val="00BE1372"/>
    <w:rsid w:val="00BE1775"/>
    <w:rsid w:val="00BE17A2"/>
    <w:rsid w:val="00BE18DA"/>
    <w:rsid w:val="00BE26C0"/>
    <w:rsid w:val="00BE3442"/>
    <w:rsid w:val="00BE45DF"/>
    <w:rsid w:val="00BE47B2"/>
    <w:rsid w:val="00BE48C7"/>
    <w:rsid w:val="00BE4F66"/>
    <w:rsid w:val="00BE4F8C"/>
    <w:rsid w:val="00BE5238"/>
    <w:rsid w:val="00BE5D35"/>
    <w:rsid w:val="00BE6074"/>
    <w:rsid w:val="00BE67A2"/>
    <w:rsid w:val="00BE7257"/>
    <w:rsid w:val="00BF020D"/>
    <w:rsid w:val="00BF1D44"/>
    <w:rsid w:val="00BF1DD2"/>
    <w:rsid w:val="00BF1FDE"/>
    <w:rsid w:val="00BF23A3"/>
    <w:rsid w:val="00BF28DB"/>
    <w:rsid w:val="00BF2A7E"/>
    <w:rsid w:val="00BF3331"/>
    <w:rsid w:val="00BF3356"/>
    <w:rsid w:val="00BF37EC"/>
    <w:rsid w:val="00BF3A45"/>
    <w:rsid w:val="00BF436F"/>
    <w:rsid w:val="00BF4EC5"/>
    <w:rsid w:val="00BF5723"/>
    <w:rsid w:val="00BF5C05"/>
    <w:rsid w:val="00BF60C8"/>
    <w:rsid w:val="00BF6A78"/>
    <w:rsid w:val="00BF6FC6"/>
    <w:rsid w:val="00BF73E1"/>
    <w:rsid w:val="00BF7C52"/>
    <w:rsid w:val="00BF7F99"/>
    <w:rsid w:val="00C00704"/>
    <w:rsid w:val="00C00713"/>
    <w:rsid w:val="00C009A0"/>
    <w:rsid w:val="00C01F74"/>
    <w:rsid w:val="00C02558"/>
    <w:rsid w:val="00C0285F"/>
    <w:rsid w:val="00C02F35"/>
    <w:rsid w:val="00C03305"/>
    <w:rsid w:val="00C03515"/>
    <w:rsid w:val="00C03738"/>
    <w:rsid w:val="00C037A6"/>
    <w:rsid w:val="00C040D6"/>
    <w:rsid w:val="00C043F5"/>
    <w:rsid w:val="00C044E3"/>
    <w:rsid w:val="00C047A8"/>
    <w:rsid w:val="00C04BDB"/>
    <w:rsid w:val="00C052C6"/>
    <w:rsid w:val="00C059D4"/>
    <w:rsid w:val="00C05A61"/>
    <w:rsid w:val="00C06955"/>
    <w:rsid w:val="00C06CCF"/>
    <w:rsid w:val="00C108B8"/>
    <w:rsid w:val="00C10C0B"/>
    <w:rsid w:val="00C11503"/>
    <w:rsid w:val="00C1159D"/>
    <w:rsid w:val="00C11683"/>
    <w:rsid w:val="00C11798"/>
    <w:rsid w:val="00C118DB"/>
    <w:rsid w:val="00C1233E"/>
    <w:rsid w:val="00C123B0"/>
    <w:rsid w:val="00C12408"/>
    <w:rsid w:val="00C125C1"/>
    <w:rsid w:val="00C1299A"/>
    <w:rsid w:val="00C12F05"/>
    <w:rsid w:val="00C12FB3"/>
    <w:rsid w:val="00C1304A"/>
    <w:rsid w:val="00C138BC"/>
    <w:rsid w:val="00C13D85"/>
    <w:rsid w:val="00C14639"/>
    <w:rsid w:val="00C14E82"/>
    <w:rsid w:val="00C14FF6"/>
    <w:rsid w:val="00C150A6"/>
    <w:rsid w:val="00C15A85"/>
    <w:rsid w:val="00C1641B"/>
    <w:rsid w:val="00C165FC"/>
    <w:rsid w:val="00C1680E"/>
    <w:rsid w:val="00C16E9D"/>
    <w:rsid w:val="00C176D5"/>
    <w:rsid w:val="00C2082C"/>
    <w:rsid w:val="00C20832"/>
    <w:rsid w:val="00C209F7"/>
    <w:rsid w:val="00C20EB0"/>
    <w:rsid w:val="00C21005"/>
    <w:rsid w:val="00C2183B"/>
    <w:rsid w:val="00C21B56"/>
    <w:rsid w:val="00C220B6"/>
    <w:rsid w:val="00C22492"/>
    <w:rsid w:val="00C229E0"/>
    <w:rsid w:val="00C22D7C"/>
    <w:rsid w:val="00C22DDE"/>
    <w:rsid w:val="00C22EA9"/>
    <w:rsid w:val="00C2338B"/>
    <w:rsid w:val="00C233CE"/>
    <w:rsid w:val="00C23661"/>
    <w:rsid w:val="00C236AE"/>
    <w:rsid w:val="00C237DD"/>
    <w:rsid w:val="00C238F4"/>
    <w:rsid w:val="00C23924"/>
    <w:rsid w:val="00C23A99"/>
    <w:rsid w:val="00C245EE"/>
    <w:rsid w:val="00C2475A"/>
    <w:rsid w:val="00C24AE1"/>
    <w:rsid w:val="00C24B8D"/>
    <w:rsid w:val="00C24BD7"/>
    <w:rsid w:val="00C252CC"/>
    <w:rsid w:val="00C25813"/>
    <w:rsid w:val="00C27143"/>
    <w:rsid w:val="00C27490"/>
    <w:rsid w:val="00C27A55"/>
    <w:rsid w:val="00C27D37"/>
    <w:rsid w:val="00C27FB2"/>
    <w:rsid w:val="00C302E5"/>
    <w:rsid w:val="00C309E8"/>
    <w:rsid w:val="00C31846"/>
    <w:rsid w:val="00C32017"/>
    <w:rsid w:val="00C325CD"/>
    <w:rsid w:val="00C3322E"/>
    <w:rsid w:val="00C332B4"/>
    <w:rsid w:val="00C337F5"/>
    <w:rsid w:val="00C33B90"/>
    <w:rsid w:val="00C34350"/>
    <w:rsid w:val="00C34B5F"/>
    <w:rsid w:val="00C3543E"/>
    <w:rsid w:val="00C358D4"/>
    <w:rsid w:val="00C36785"/>
    <w:rsid w:val="00C36845"/>
    <w:rsid w:val="00C3711C"/>
    <w:rsid w:val="00C37256"/>
    <w:rsid w:val="00C37A7B"/>
    <w:rsid w:val="00C37CFF"/>
    <w:rsid w:val="00C37FFE"/>
    <w:rsid w:val="00C407E4"/>
    <w:rsid w:val="00C40B50"/>
    <w:rsid w:val="00C41457"/>
    <w:rsid w:val="00C41858"/>
    <w:rsid w:val="00C419E3"/>
    <w:rsid w:val="00C419F4"/>
    <w:rsid w:val="00C41E6A"/>
    <w:rsid w:val="00C41F7F"/>
    <w:rsid w:val="00C421A3"/>
    <w:rsid w:val="00C42247"/>
    <w:rsid w:val="00C439BE"/>
    <w:rsid w:val="00C443CC"/>
    <w:rsid w:val="00C44E61"/>
    <w:rsid w:val="00C4539B"/>
    <w:rsid w:val="00C45466"/>
    <w:rsid w:val="00C455C1"/>
    <w:rsid w:val="00C4581D"/>
    <w:rsid w:val="00C47472"/>
    <w:rsid w:val="00C47EA5"/>
    <w:rsid w:val="00C500F0"/>
    <w:rsid w:val="00C502BB"/>
    <w:rsid w:val="00C504A7"/>
    <w:rsid w:val="00C506C9"/>
    <w:rsid w:val="00C50A16"/>
    <w:rsid w:val="00C5122B"/>
    <w:rsid w:val="00C51C9A"/>
    <w:rsid w:val="00C51E32"/>
    <w:rsid w:val="00C52428"/>
    <w:rsid w:val="00C52C68"/>
    <w:rsid w:val="00C52D98"/>
    <w:rsid w:val="00C531AD"/>
    <w:rsid w:val="00C5325C"/>
    <w:rsid w:val="00C53D24"/>
    <w:rsid w:val="00C54640"/>
    <w:rsid w:val="00C547A6"/>
    <w:rsid w:val="00C54A3A"/>
    <w:rsid w:val="00C5503F"/>
    <w:rsid w:val="00C55C32"/>
    <w:rsid w:val="00C56A67"/>
    <w:rsid w:val="00C56CC2"/>
    <w:rsid w:val="00C56EB3"/>
    <w:rsid w:val="00C5717C"/>
    <w:rsid w:val="00C57498"/>
    <w:rsid w:val="00C5763C"/>
    <w:rsid w:val="00C577CA"/>
    <w:rsid w:val="00C5780C"/>
    <w:rsid w:val="00C5796B"/>
    <w:rsid w:val="00C619A1"/>
    <w:rsid w:val="00C62370"/>
    <w:rsid w:val="00C62545"/>
    <w:rsid w:val="00C62A11"/>
    <w:rsid w:val="00C62BBB"/>
    <w:rsid w:val="00C6305F"/>
    <w:rsid w:val="00C6325B"/>
    <w:rsid w:val="00C63DBF"/>
    <w:rsid w:val="00C63E99"/>
    <w:rsid w:val="00C64161"/>
    <w:rsid w:val="00C641BD"/>
    <w:rsid w:val="00C649B8"/>
    <w:rsid w:val="00C64A64"/>
    <w:rsid w:val="00C64AA2"/>
    <w:rsid w:val="00C65151"/>
    <w:rsid w:val="00C653B9"/>
    <w:rsid w:val="00C657F4"/>
    <w:rsid w:val="00C66119"/>
    <w:rsid w:val="00C66292"/>
    <w:rsid w:val="00C66EA4"/>
    <w:rsid w:val="00C672A3"/>
    <w:rsid w:val="00C672F1"/>
    <w:rsid w:val="00C673D0"/>
    <w:rsid w:val="00C6742E"/>
    <w:rsid w:val="00C677BE"/>
    <w:rsid w:val="00C70012"/>
    <w:rsid w:val="00C70321"/>
    <w:rsid w:val="00C71CBB"/>
    <w:rsid w:val="00C71E2A"/>
    <w:rsid w:val="00C72571"/>
    <w:rsid w:val="00C733BA"/>
    <w:rsid w:val="00C734F3"/>
    <w:rsid w:val="00C74F3F"/>
    <w:rsid w:val="00C760DC"/>
    <w:rsid w:val="00C764E2"/>
    <w:rsid w:val="00C76E2D"/>
    <w:rsid w:val="00C800AB"/>
    <w:rsid w:val="00C8082B"/>
    <w:rsid w:val="00C81A88"/>
    <w:rsid w:val="00C81AEC"/>
    <w:rsid w:val="00C81D46"/>
    <w:rsid w:val="00C820AD"/>
    <w:rsid w:val="00C82298"/>
    <w:rsid w:val="00C82F91"/>
    <w:rsid w:val="00C82F97"/>
    <w:rsid w:val="00C833B4"/>
    <w:rsid w:val="00C84284"/>
    <w:rsid w:val="00C84E33"/>
    <w:rsid w:val="00C853E0"/>
    <w:rsid w:val="00C856D1"/>
    <w:rsid w:val="00C85897"/>
    <w:rsid w:val="00C85FFC"/>
    <w:rsid w:val="00C86123"/>
    <w:rsid w:val="00C861FC"/>
    <w:rsid w:val="00C86C87"/>
    <w:rsid w:val="00C8705B"/>
    <w:rsid w:val="00C87090"/>
    <w:rsid w:val="00C9005E"/>
    <w:rsid w:val="00C90111"/>
    <w:rsid w:val="00C90CA9"/>
    <w:rsid w:val="00C915F2"/>
    <w:rsid w:val="00C917B1"/>
    <w:rsid w:val="00C9193C"/>
    <w:rsid w:val="00C91B77"/>
    <w:rsid w:val="00C920E2"/>
    <w:rsid w:val="00C923AA"/>
    <w:rsid w:val="00C93154"/>
    <w:rsid w:val="00C93765"/>
    <w:rsid w:val="00C937BF"/>
    <w:rsid w:val="00C93877"/>
    <w:rsid w:val="00C93D8C"/>
    <w:rsid w:val="00C946CC"/>
    <w:rsid w:val="00C94763"/>
    <w:rsid w:val="00C94F95"/>
    <w:rsid w:val="00C959BD"/>
    <w:rsid w:val="00C95E49"/>
    <w:rsid w:val="00C95F44"/>
    <w:rsid w:val="00C96D1B"/>
    <w:rsid w:val="00C97106"/>
    <w:rsid w:val="00C97684"/>
    <w:rsid w:val="00CA0031"/>
    <w:rsid w:val="00CA0413"/>
    <w:rsid w:val="00CA043A"/>
    <w:rsid w:val="00CA04F8"/>
    <w:rsid w:val="00CA0D61"/>
    <w:rsid w:val="00CA0DBA"/>
    <w:rsid w:val="00CA1691"/>
    <w:rsid w:val="00CA2314"/>
    <w:rsid w:val="00CA2E65"/>
    <w:rsid w:val="00CA2EA1"/>
    <w:rsid w:val="00CA41E7"/>
    <w:rsid w:val="00CA4B2B"/>
    <w:rsid w:val="00CA5520"/>
    <w:rsid w:val="00CA5812"/>
    <w:rsid w:val="00CA5BD4"/>
    <w:rsid w:val="00CA5C14"/>
    <w:rsid w:val="00CA76FC"/>
    <w:rsid w:val="00CA7E7B"/>
    <w:rsid w:val="00CB0236"/>
    <w:rsid w:val="00CB1324"/>
    <w:rsid w:val="00CB19E3"/>
    <w:rsid w:val="00CB2C3A"/>
    <w:rsid w:val="00CB2D38"/>
    <w:rsid w:val="00CB353F"/>
    <w:rsid w:val="00CB365A"/>
    <w:rsid w:val="00CB4137"/>
    <w:rsid w:val="00CB52D0"/>
    <w:rsid w:val="00CB5578"/>
    <w:rsid w:val="00CB5671"/>
    <w:rsid w:val="00CB591C"/>
    <w:rsid w:val="00CB5943"/>
    <w:rsid w:val="00CB61B3"/>
    <w:rsid w:val="00CB65D4"/>
    <w:rsid w:val="00CB6F83"/>
    <w:rsid w:val="00CB72AE"/>
    <w:rsid w:val="00CB78AD"/>
    <w:rsid w:val="00CC00CD"/>
    <w:rsid w:val="00CC0579"/>
    <w:rsid w:val="00CC0AF3"/>
    <w:rsid w:val="00CC0BC6"/>
    <w:rsid w:val="00CC0E68"/>
    <w:rsid w:val="00CC21AC"/>
    <w:rsid w:val="00CC2514"/>
    <w:rsid w:val="00CC2756"/>
    <w:rsid w:val="00CC2CBD"/>
    <w:rsid w:val="00CC2F69"/>
    <w:rsid w:val="00CC315F"/>
    <w:rsid w:val="00CC3D38"/>
    <w:rsid w:val="00CC404B"/>
    <w:rsid w:val="00CC40C3"/>
    <w:rsid w:val="00CC4E5D"/>
    <w:rsid w:val="00CC50AE"/>
    <w:rsid w:val="00CC5864"/>
    <w:rsid w:val="00CC61B7"/>
    <w:rsid w:val="00CC61CA"/>
    <w:rsid w:val="00CC6668"/>
    <w:rsid w:val="00CC69EC"/>
    <w:rsid w:val="00CC71D3"/>
    <w:rsid w:val="00CC743D"/>
    <w:rsid w:val="00CC7E86"/>
    <w:rsid w:val="00CD050A"/>
    <w:rsid w:val="00CD0D1F"/>
    <w:rsid w:val="00CD205D"/>
    <w:rsid w:val="00CD2A22"/>
    <w:rsid w:val="00CD2B50"/>
    <w:rsid w:val="00CD3AD3"/>
    <w:rsid w:val="00CD41FE"/>
    <w:rsid w:val="00CD4506"/>
    <w:rsid w:val="00CD4A24"/>
    <w:rsid w:val="00CD520B"/>
    <w:rsid w:val="00CD592E"/>
    <w:rsid w:val="00CD5982"/>
    <w:rsid w:val="00CD5A1A"/>
    <w:rsid w:val="00CD6054"/>
    <w:rsid w:val="00CD71E9"/>
    <w:rsid w:val="00CD7EFA"/>
    <w:rsid w:val="00CE020E"/>
    <w:rsid w:val="00CE0566"/>
    <w:rsid w:val="00CE16A9"/>
    <w:rsid w:val="00CE1CD4"/>
    <w:rsid w:val="00CE23FE"/>
    <w:rsid w:val="00CE2761"/>
    <w:rsid w:val="00CE2B49"/>
    <w:rsid w:val="00CE314E"/>
    <w:rsid w:val="00CE3D5C"/>
    <w:rsid w:val="00CE3E14"/>
    <w:rsid w:val="00CE44C7"/>
    <w:rsid w:val="00CE53CC"/>
    <w:rsid w:val="00CE65A7"/>
    <w:rsid w:val="00CE68FE"/>
    <w:rsid w:val="00CE69CC"/>
    <w:rsid w:val="00CE6EC4"/>
    <w:rsid w:val="00CE7A77"/>
    <w:rsid w:val="00CE7F26"/>
    <w:rsid w:val="00CE7FBF"/>
    <w:rsid w:val="00CF1066"/>
    <w:rsid w:val="00CF1226"/>
    <w:rsid w:val="00CF16C0"/>
    <w:rsid w:val="00CF1ABB"/>
    <w:rsid w:val="00CF1E1D"/>
    <w:rsid w:val="00CF24FE"/>
    <w:rsid w:val="00CF35D0"/>
    <w:rsid w:val="00CF3DD5"/>
    <w:rsid w:val="00CF405E"/>
    <w:rsid w:val="00CF41D5"/>
    <w:rsid w:val="00CF4897"/>
    <w:rsid w:val="00CF4AF7"/>
    <w:rsid w:val="00CF4D20"/>
    <w:rsid w:val="00CF539C"/>
    <w:rsid w:val="00CF55DF"/>
    <w:rsid w:val="00CF6180"/>
    <w:rsid w:val="00CF64F6"/>
    <w:rsid w:val="00CF665F"/>
    <w:rsid w:val="00CF73F8"/>
    <w:rsid w:val="00CF7928"/>
    <w:rsid w:val="00CF7CA2"/>
    <w:rsid w:val="00D00A8E"/>
    <w:rsid w:val="00D00DE0"/>
    <w:rsid w:val="00D00F79"/>
    <w:rsid w:val="00D012BF"/>
    <w:rsid w:val="00D01760"/>
    <w:rsid w:val="00D0368E"/>
    <w:rsid w:val="00D03D2D"/>
    <w:rsid w:val="00D03E7B"/>
    <w:rsid w:val="00D0401A"/>
    <w:rsid w:val="00D04750"/>
    <w:rsid w:val="00D047E0"/>
    <w:rsid w:val="00D04B9F"/>
    <w:rsid w:val="00D04FFB"/>
    <w:rsid w:val="00D05153"/>
    <w:rsid w:val="00D058E9"/>
    <w:rsid w:val="00D0612A"/>
    <w:rsid w:val="00D068E3"/>
    <w:rsid w:val="00D06A0E"/>
    <w:rsid w:val="00D06D40"/>
    <w:rsid w:val="00D1060D"/>
    <w:rsid w:val="00D10E7C"/>
    <w:rsid w:val="00D11182"/>
    <w:rsid w:val="00D1137B"/>
    <w:rsid w:val="00D11807"/>
    <w:rsid w:val="00D11DB3"/>
    <w:rsid w:val="00D11E0B"/>
    <w:rsid w:val="00D12D82"/>
    <w:rsid w:val="00D1306E"/>
    <w:rsid w:val="00D134CD"/>
    <w:rsid w:val="00D13CE5"/>
    <w:rsid w:val="00D13D98"/>
    <w:rsid w:val="00D14B5F"/>
    <w:rsid w:val="00D14E13"/>
    <w:rsid w:val="00D14F23"/>
    <w:rsid w:val="00D15356"/>
    <w:rsid w:val="00D16054"/>
    <w:rsid w:val="00D160AA"/>
    <w:rsid w:val="00D16740"/>
    <w:rsid w:val="00D16A8B"/>
    <w:rsid w:val="00D16B5C"/>
    <w:rsid w:val="00D16E39"/>
    <w:rsid w:val="00D17951"/>
    <w:rsid w:val="00D17AD8"/>
    <w:rsid w:val="00D17B53"/>
    <w:rsid w:val="00D20F52"/>
    <w:rsid w:val="00D2104A"/>
    <w:rsid w:val="00D21302"/>
    <w:rsid w:val="00D213F1"/>
    <w:rsid w:val="00D21BB5"/>
    <w:rsid w:val="00D21FFC"/>
    <w:rsid w:val="00D223A3"/>
    <w:rsid w:val="00D223B6"/>
    <w:rsid w:val="00D223E8"/>
    <w:rsid w:val="00D22CB5"/>
    <w:rsid w:val="00D22DC8"/>
    <w:rsid w:val="00D24ECD"/>
    <w:rsid w:val="00D2522A"/>
    <w:rsid w:val="00D2531C"/>
    <w:rsid w:val="00D255F3"/>
    <w:rsid w:val="00D25FC7"/>
    <w:rsid w:val="00D26C21"/>
    <w:rsid w:val="00D2742F"/>
    <w:rsid w:val="00D2754F"/>
    <w:rsid w:val="00D27793"/>
    <w:rsid w:val="00D27912"/>
    <w:rsid w:val="00D279D9"/>
    <w:rsid w:val="00D30418"/>
    <w:rsid w:val="00D312DC"/>
    <w:rsid w:val="00D31B84"/>
    <w:rsid w:val="00D31C6A"/>
    <w:rsid w:val="00D31EDF"/>
    <w:rsid w:val="00D31FF9"/>
    <w:rsid w:val="00D32149"/>
    <w:rsid w:val="00D32256"/>
    <w:rsid w:val="00D32A27"/>
    <w:rsid w:val="00D32ABC"/>
    <w:rsid w:val="00D33010"/>
    <w:rsid w:val="00D34B25"/>
    <w:rsid w:val="00D34F4E"/>
    <w:rsid w:val="00D35753"/>
    <w:rsid w:val="00D357F3"/>
    <w:rsid w:val="00D35C0E"/>
    <w:rsid w:val="00D373A8"/>
    <w:rsid w:val="00D375FF"/>
    <w:rsid w:val="00D379A5"/>
    <w:rsid w:val="00D4017C"/>
    <w:rsid w:val="00D401BE"/>
    <w:rsid w:val="00D4043A"/>
    <w:rsid w:val="00D40A8E"/>
    <w:rsid w:val="00D40AB0"/>
    <w:rsid w:val="00D40DB0"/>
    <w:rsid w:val="00D40F8B"/>
    <w:rsid w:val="00D41858"/>
    <w:rsid w:val="00D422DB"/>
    <w:rsid w:val="00D42A83"/>
    <w:rsid w:val="00D42AC2"/>
    <w:rsid w:val="00D43988"/>
    <w:rsid w:val="00D4498E"/>
    <w:rsid w:val="00D4515F"/>
    <w:rsid w:val="00D451E8"/>
    <w:rsid w:val="00D4636B"/>
    <w:rsid w:val="00D466C9"/>
    <w:rsid w:val="00D467D8"/>
    <w:rsid w:val="00D47275"/>
    <w:rsid w:val="00D4750C"/>
    <w:rsid w:val="00D4767B"/>
    <w:rsid w:val="00D50AEF"/>
    <w:rsid w:val="00D50C39"/>
    <w:rsid w:val="00D51E15"/>
    <w:rsid w:val="00D52B7E"/>
    <w:rsid w:val="00D52E2F"/>
    <w:rsid w:val="00D52F59"/>
    <w:rsid w:val="00D53E3E"/>
    <w:rsid w:val="00D55279"/>
    <w:rsid w:val="00D55904"/>
    <w:rsid w:val="00D55C94"/>
    <w:rsid w:val="00D5616F"/>
    <w:rsid w:val="00D56828"/>
    <w:rsid w:val="00D568BA"/>
    <w:rsid w:val="00D57940"/>
    <w:rsid w:val="00D60327"/>
    <w:rsid w:val="00D61526"/>
    <w:rsid w:val="00D61F81"/>
    <w:rsid w:val="00D623A9"/>
    <w:rsid w:val="00D62BE6"/>
    <w:rsid w:val="00D630E3"/>
    <w:rsid w:val="00D633AC"/>
    <w:rsid w:val="00D63766"/>
    <w:rsid w:val="00D63912"/>
    <w:rsid w:val="00D63923"/>
    <w:rsid w:val="00D63F05"/>
    <w:rsid w:val="00D6451B"/>
    <w:rsid w:val="00D64A49"/>
    <w:rsid w:val="00D64B57"/>
    <w:rsid w:val="00D64C97"/>
    <w:rsid w:val="00D65A92"/>
    <w:rsid w:val="00D65DEA"/>
    <w:rsid w:val="00D65DFE"/>
    <w:rsid w:val="00D660DF"/>
    <w:rsid w:val="00D67BC7"/>
    <w:rsid w:val="00D701F1"/>
    <w:rsid w:val="00D705D3"/>
    <w:rsid w:val="00D7088A"/>
    <w:rsid w:val="00D70E00"/>
    <w:rsid w:val="00D71014"/>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01"/>
    <w:rsid w:val="00D7692B"/>
    <w:rsid w:val="00D76A19"/>
    <w:rsid w:val="00D76CBD"/>
    <w:rsid w:val="00D7734F"/>
    <w:rsid w:val="00D8044C"/>
    <w:rsid w:val="00D805D6"/>
    <w:rsid w:val="00D8075E"/>
    <w:rsid w:val="00D80860"/>
    <w:rsid w:val="00D80D4C"/>
    <w:rsid w:val="00D80E21"/>
    <w:rsid w:val="00D8166D"/>
    <w:rsid w:val="00D81718"/>
    <w:rsid w:val="00D8184D"/>
    <w:rsid w:val="00D81A7B"/>
    <w:rsid w:val="00D81B74"/>
    <w:rsid w:val="00D8223C"/>
    <w:rsid w:val="00D82B57"/>
    <w:rsid w:val="00D82CE5"/>
    <w:rsid w:val="00D8342C"/>
    <w:rsid w:val="00D85494"/>
    <w:rsid w:val="00D8582C"/>
    <w:rsid w:val="00D85D61"/>
    <w:rsid w:val="00D8616D"/>
    <w:rsid w:val="00D8711B"/>
    <w:rsid w:val="00D87384"/>
    <w:rsid w:val="00D90683"/>
    <w:rsid w:val="00D915C8"/>
    <w:rsid w:val="00D92251"/>
    <w:rsid w:val="00D9261C"/>
    <w:rsid w:val="00D92856"/>
    <w:rsid w:val="00D9310B"/>
    <w:rsid w:val="00D93299"/>
    <w:rsid w:val="00D93726"/>
    <w:rsid w:val="00D93DD3"/>
    <w:rsid w:val="00D93F3E"/>
    <w:rsid w:val="00D9405B"/>
    <w:rsid w:val="00D94942"/>
    <w:rsid w:val="00D95145"/>
    <w:rsid w:val="00D95DF6"/>
    <w:rsid w:val="00D96418"/>
    <w:rsid w:val="00D967CB"/>
    <w:rsid w:val="00D96EE0"/>
    <w:rsid w:val="00D97BD1"/>
    <w:rsid w:val="00DA06B8"/>
    <w:rsid w:val="00DA286D"/>
    <w:rsid w:val="00DA2969"/>
    <w:rsid w:val="00DA29B7"/>
    <w:rsid w:val="00DA371B"/>
    <w:rsid w:val="00DA3BC0"/>
    <w:rsid w:val="00DA4842"/>
    <w:rsid w:val="00DA49EF"/>
    <w:rsid w:val="00DA5989"/>
    <w:rsid w:val="00DA5AB1"/>
    <w:rsid w:val="00DA5F9D"/>
    <w:rsid w:val="00DA69B2"/>
    <w:rsid w:val="00DA6A7B"/>
    <w:rsid w:val="00DA735F"/>
    <w:rsid w:val="00DA7462"/>
    <w:rsid w:val="00DA777E"/>
    <w:rsid w:val="00DA7AD0"/>
    <w:rsid w:val="00DA7C08"/>
    <w:rsid w:val="00DB02D7"/>
    <w:rsid w:val="00DB03CC"/>
    <w:rsid w:val="00DB12D4"/>
    <w:rsid w:val="00DB13DD"/>
    <w:rsid w:val="00DB14F0"/>
    <w:rsid w:val="00DB1745"/>
    <w:rsid w:val="00DB1AFF"/>
    <w:rsid w:val="00DB219A"/>
    <w:rsid w:val="00DB3165"/>
    <w:rsid w:val="00DB350B"/>
    <w:rsid w:val="00DB40A0"/>
    <w:rsid w:val="00DB4292"/>
    <w:rsid w:val="00DB5196"/>
    <w:rsid w:val="00DB5C03"/>
    <w:rsid w:val="00DB68BB"/>
    <w:rsid w:val="00DB6E46"/>
    <w:rsid w:val="00DB7117"/>
    <w:rsid w:val="00DB7760"/>
    <w:rsid w:val="00DB7DD4"/>
    <w:rsid w:val="00DB7E44"/>
    <w:rsid w:val="00DC00B4"/>
    <w:rsid w:val="00DC037A"/>
    <w:rsid w:val="00DC0954"/>
    <w:rsid w:val="00DC15BA"/>
    <w:rsid w:val="00DC18CD"/>
    <w:rsid w:val="00DC1A68"/>
    <w:rsid w:val="00DC2848"/>
    <w:rsid w:val="00DC30B8"/>
    <w:rsid w:val="00DC32C6"/>
    <w:rsid w:val="00DC3720"/>
    <w:rsid w:val="00DC406B"/>
    <w:rsid w:val="00DC478F"/>
    <w:rsid w:val="00DC5DFB"/>
    <w:rsid w:val="00DC62E5"/>
    <w:rsid w:val="00DC6AB9"/>
    <w:rsid w:val="00DC6F33"/>
    <w:rsid w:val="00DC729E"/>
    <w:rsid w:val="00DC7349"/>
    <w:rsid w:val="00DC7456"/>
    <w:rsid w:val="00DD0246"/>
    <w:rsid w:val="00DD118B"/>
    <w:rsid w:val="00DD14D8"/>
    <w:rsid w:val="00DD1599"/>
    <w:rsid w:val="00DD177F"/>
    <w:rsid w:val="00DD1B03"/>
    <w:rsid w:val="00DD2772"/>
    <w:rsid w:val="00DD2A62"/>
    <w:rsid w:val="00DD2F2F"/>
    <w:rsid w:val="00DD2F7A"/>
    <w:rsid w:val="00DD3885"/>
    <w:rsid w:val="00DD5056"/>
    <w:rsid w:val="00DD5808"/>
    <w:rsid w:val="00DD5946"/>
    <w:rsid w:val="00DD5B04"/>
    <w:rsid w:val="00DD5DAE"/>
    <w:rsid w:val="00DD5EC6"/>
    <w:rsid w:val="00DD605F"/>
    <w:rsid w:val="00DD6657"/>
    <w:rsid w:val="00DD6D71"/>
    <w:rsid w:val="00DD7236"/>
    <w:rsid w:val="00DD72A0"/>
    <w:rsid w:val="00DD735D"/>
    <w:rsid w:val="00DE0159"/>
    <w:rsid w:val="00DE04C7"/>
    <w:rsid w:val="00DE064A"/>
    <w:rsid w:val="00DE0755"/>
    <w:rsid w:val="00DE082D"/>
    <w:rsid w:val="00DE1410"/>
    <w:rsid w:val="00DE1ED0"/>
    <w:rsid w:val="00DE3119"/>
    <w:rsid w:val="00DE3B48"/>
    <w:rsid w:val="00DE3F23"/>
    <w:rsid w:val="00DE3FF0"/>
    <w:rsid w:val="00DE4105"/>
    <w:rsid w:val="00DE5189"/>
    <w:rsid w:val="00DE6230"/>
    <w:rsid w:val="00DE7108"/>
    <w:rsid w:val="00DE78D1"/>
    <w:rsid w:val="00DF0263"/>
    <w:rsid w:val="00DF06D2"/>
    <w:rsid w:val="00DF0EB4"/>
    <w:rsid w:val="00DF1412"/>
    <w:rsid w:val="00DF1E36"/>
    <w:rsid w:val="00DF1FDB"/>
    <w:rsid w:val="00DF236B"/>
    <w:rsid w:val="00DF2A91"/>
    <w:rsid w:val="00DF2F82"/>
    <w:rsid w:val="00DF3131"/>
    <w:rsid w:val="00DF3747"/>
    <w:rsid w:val="00DF3889"/>
    <w:rsid w:val="00DF3CC9"/>
    <w:rsid w:val="00DF4451"/>
    <w:rsid w:val="00DF49FF"/>
    <w:rsid w:val="00DF4FFB"/>
    <w:rsid w:val="00DF5236"/>
    <w:rsid w:val="00DF5D32"/>
    <w:rsid w:val="00DF651F"/>
    <w:rsid w:val="00DF6E10"/>
    <w:rsid w:val="00DF6F43"/>
    <w:rsid w:val="00DF752F"/>
    <w:rsid w:val="00DF76A2"/>
    <w:rsid w:val="00DF7B33"/>
    <w:rsid w:val="00E00B7A"/>
    <w:rsid w:val="00E01D90"/>
    <w:rsid w:val="00E02186"/>
    <w:rsid w:val="00E026BB"/>
    <w:rsid w:val="00E027C5"/>
    <w:rsid w:val="00E03124"/>
    <w:rsid w:val="00E03148"/>
    <w:rsid w:val="00E031EB"/>
    <w:rsid w:val="00E03951"/>
    <w:rsid w:val="00E03DB8"/>
    <w:rsid w:val="00E0466B"/>
    <w:rsid w:val="00E0573A"/>
    <w:rsid w:val="00E057BA"/>
    <w:rsid w:val="00E057C0"/>
    <w:rsid w:val="00E05E1F"/>
    <w:rsid w:val="00E05E70"/>
    <w:rsid w:val="00E0631A"/>
    <w:rsid w:val="00E064BC"/>
    <w:rsid w:val="00E07225"/>
    <w:rsid w:val="00E079FF"/>
    <w:rsid w:val="00E07AAA"/>
    <w:rsid w:val="00E07B7A"/>
    <w:rsid w:val="00E1002B"/>
    <w:rsid w:val="00E1079C"/>
    <w:rsid w:val="00E109DD"/>
    <w:rsid w:val="00E11229"/>
    <w:rsid w:val="00E114CA"/>
    <w:rsid w:val="00E11CF0"/>
    <w:rsid w:val="00E12A54"/>
    <w:rsid w:val="00E12E62"/>
    <w:rsid w:val="00E132D5"/>
    <w:rsid w:val="00E1397F"/>
    <w:rsid w:val="00E13AB8"/>
    <w:rsid w:val="00E13D8F"/>
    <w:rsid w:val="00E1482E"/>
    <w:rsid w:val="00E155D3"/>
    <w:rsid w:val="00E16382"/>
    <w:rsid w:val="00E16572"/>
    <w:rsid w:val="00E1699C"/>
    <w:rsid w:val="00E16E75"/>
    <w:rsid w:val="00E1746D"/>
    <w:rsid w:val="00E2012A"/>
    <w:rsid w:val="00E205A2"/>
    <w:rsid w:val="00E20BA4"/>
    <w:rsid w:val="00E20C24"/>
    <w:rsid w:val="00E23137"/>
    <w:rsid w:val="00E231B0"/>
    <w:rsid w:val="00E23980"/>
    <w:rsid w:val="00E241E9"/>
    <w:rsid w:val="00E2510E"/>
    <w:rsid w:val="00E2520A"/>
    <w:rsid w:val="00E253EB"/>
    <w:rsid w:val="00E257C3"/>
    <w:rsid w:val="00E25CB3"/>
    <w:rsid w:val="00E25DA4"/>
    <w:rsid w:val="00E25DBC"/>
    <w:rsid w:val="00E26CB8"/>
    <w:rsid w:val="00E26FCF"/>
    <w:rsid w:val="00E27165"/>
    <w:rsid w:val="00E27226"/>
    <w:rsid w:val="00E3044A"/>
    <w:rsid w:val="00E3189C"/>
    <w:rsid w:val="00E31A4A"/>
    <w:rsid w:val="00E31C43"/>
    <w:rsid w:val="00E321D8"/>
    <w:rsid w:val="00E32206"/>
    <w:rsid w:val="00E32DD5"/>
    <w:rsid w:val="00E32FA8"/>
    <w:rsid w:val="00E3344A"/>
    <w:rsid w:val="00E33B29"/>
    <w:rsid w:val="00E33B62"/>
    <w:rsid w:val="00E3403D"/>
    <w:rsid w:val="00E34E6C"/>
    <w:rsid w:val="00E350D8"/>
    <w:rsid w:val="00E353E2"/>
    <w:rsid w:val="00E36345"/>
    <w:rsid w:val="00E367A6"/>
    <w:rsid w:val="00E36C86"/>
    <w:rsid w:val="00E36CEB"/>
    <w:rsid w:val="00E37A28"/>
    <w:rsid w:val="00E37CD3"/>
    <w:rsid w:val="00E40430"/>
    <w:rsid w:val="00E40690"/>
    <w:rsid w:val="00E40AEB"/>
    <w:rsid w:val="00E41229"/>
    <w:rsid w:val="00E4143A"/>
    <w:rsid w:val="00E41A5D"/>
    <w:rsid w:val="00E424C8"/>
    <w:rsid w:val="00E4251D"/>
    <w:rsid w:val="00E42F41"/>
    <w:rsid w:val="00E43D00"/>
    <w:rsid w:val="00E44128"/>
    <w:rsid w:val="00E445E4"/>
    <w:rsid w:val="00E457CB"/>
    <w:rsid w:val="00E45D47"/>
    <w:rsid w:val="00E45DE4"/>
    <w:rsid w:val="00E45E63"/>
    <w:rsid w:val="00E46D10"/>
    <w:rsid w:val="00E50A7B"/>
    <w:rsid w:val="00E50B0B"/>
    <w:rsid w:val="00E510D0"/>
    <w:rsid w:val="00E510FE"/>
    <w:rsid w:val="00E5142F"/>
    <w:rsid w:val="00E51E25"/>
    <w:rsid w:val="00E5205B"/>
    <w:rsid w:val="00E521AE"/>
    <w:rsid w:val="00E52C99"/>
    <w:rsid w:val="00E53BCA"/>
    <w:rsid w:val="00E53F02"/>
    <w:rsid w:val="00E54534"/>
    <w:rsid w:val="00E548C3"/>
    <w:rsid w:val="00E54DA0"/>
    <w:rsid w:val="00E54F27"/>
    <w:rsid w:val="00E556F5"/>
    <w:rsid w:val="00E55FF1"/>
    <w:rsid w:val="00E56090"/>
    <w:rsid w:val="00E565B9"/>
    <w:rsid w:val="00E5733B"/>
    <w:rsid w:val="00E5756C"/>
    <w:rsid w:val="00E601BE"/>
    <w:rsid w:val="00E60B5F"/>
    <w:rsid w:val="00E613AE"/>
    <w:rsid w:val="00E61429"/>
    <w:rsid w:val="00E61ABB"/>
    <w:rsid w:val="00E61FD7"/>
    <w:rsid w:val="00E623E6"/>
    <w:rsid w:val="00E624EC"/>
    <w:rsid w:val="00E630C0"/>
    <w:rsid w:val="00E63107"/>
    <w:rsid w:val="00E634E6"/>
    <w:rsid w:val="00E63DCE"/>
    <w:rsid w:val="00E64700"/>
    <w:rsid w:val="00E64E0B"/>
    <w:rsid w:val="00E65074"/>
    <w:rsid w:val="00E655E2"/>
    <w:rsid w:val="00E65CA2"/>
    <w:rsid w:val="00E65E70"/>
    <w:rsid w:val="00E65EE9"/>
    <w:rsid w:val="00E66087"/>
    <w:rsid w:val="00E6685F"/>
    <w:rsid w:val="00E66D79"/>
    <w:rsid w:val="00E66FF9"/>
    <w:rsid w:val="00E67856"/>
    <w:rsid w:val="00E679C8"/>
    <w:rsid w:val="00E70314"/>
    <w:rsid w:val="00E704AC"/>
    <w:rsid w:val="00E70FCD"/>
    <w:rsid w:val="00E724E7"/>
    <w:rsid w:val="00E729DC"/>
    <w:rsid w:val="00E72B41"/>
    <w:rsid w:val="00E7343E"/>
    <w:rsid w:val="00E7347B"/>
    <w:rsid w:val="00E73D03"/>
    <w:rsid w:val="00E7471C"/>
    <w:rsid w:val="00E7498A"/>
    <w:rsid w:val="00E7514E"/>
    <w:rsid w:val="00E75B34"/>
    <w:rsid w:val="00E77AF5"/>
    <w:rsid w:val="00E77D4E"/>
    <w:rsid w:val="00E8029A"/>
    <w:rsid w:val="00E803A6"/>
    <w:rsid w:val="00E81653"/>
    <w:rsid w:val="00E823F9"/>
    <w:rsid w:val="00E82C1F"/>
    <w:rsid w:val="00E82EEA"/>
    <w:rsid w:val="00E83671"/>
    <w:rsid w:val="00E8414B"/>
    <w:rsid w:val="00E84793"/>
    <w:rsid w:val="00E84A71"/>
    <w:rsid w:val="00E8544B"/>
    <w:rsid w:val="00E8554E"/>
    <w:rsid w:val="00E86556"/>
    <w:rsid w:val="00E86798"/>
    <w:rsid w:val="00E86D35"/>
    <w:rsid w:val="00E86DC2"/>
    <w:rsid w:val="00E86E32"/>
    <w:rsid w:val="00E8732E"/>
    <w:rsid w:val="00E9011F"/>
    <w:rsid w:val="00E906EB"/>
    <w:rsid w:val="00E913F9"/>
    <w:rsid w:val="00E9241E"/>
    <w:rsid w:val="00E92460"/>
    <w:rsid w:val="00E92E62"/>
    <w:rsid w:val="00E92E8B"/>
    <w:rsid w:val="00E93804"/>
    <w:rsid w:val="00E93A86"/>
    <w:rsid w:val="00E941AA"/>
    <w:rsid w:val="00E94420"/>
    <w:rsid w:val="00E950D0"/>
    <w:rsid w:val="00E95434"/>
    <w:rsid w:val="00E96467"/>
    <w:rsid w:val="00E966DA"/>
    <w:rsid w:val="00E96948"/>
    <w:rsid w:val="00E9737B"/>
    <w:rsid w:val="00E97A3F"/>
    <w:rsid w:val="00E97F0A"/>
    <w:rsid w:val="00EA0100"/>
    <w:rsid w:val="00EA010D"/>
    <w:rsid w:val="00EA04DC"/>
    <w:rsid w:val="00EA0886"/>
    <w:rsid w:val="00EA0BCE"/>
    <w:rsid w:val="00EA2726"/>
    <w:rsid w:val="00EA2744"/>
    <w:rsid w:val="00EA2937"/>
    <w:rsid w:val="00EA37B9"/>
    <w:rsid w:val="00EA39F7"/>
    <w:rsid w:val="00EA3B27"/>
    <w:rsid w:val="00EA3DC2"/>
    <w:rsid w:val="00EA434E"/>
    <w:rsid w:val="00EA4757"/>
    <w:rsid w:val="00EA51FF"/>
    <w:rsid w:val="00EA53D3"/>
    <w:rsid w:val="00EA560B"/>
    <w:rsid w:val="00EA5669"/>
    <w:rsid w:val="00EA5C05"/>
    <w:rsid w:val="00EA63EF"/>
    <w:rsid w:val="00EA6750"/>
    <w:rsid w:val="00EB0A89"/>
    <w:rsid w:val="00EB0B22"/>
    <w:rsid w:val="00EB151B"/>
    <w:rsid w:val="00EB1573"/>
    <w:rsid w:val="00EB1650"/>
    <w:rsid w:val="00EB17CA"/>
    <w:rsid w:val="00EB1910"/>
    <w:rsid w:val="00EB1D24"/>
    <w:rsid w:val="00EB209B"/>
    <w:rsid w:val="00EB26F2"/>
    <w:rsid w:val="00EB2E97"/>
    <w:rsid w:val="00EB3416"/>
    <w:rsid w:val="00EB4AE1"/>
    <w:rsid w:val="00EB52F4"/>
    <w:rsid w:val="00EB5694"/>
    <w:rsid w:val="00EB5779"/>
    <w:rsid w:val="00EB6098"/>
    <w:rsid w:val="00EB6199"/>
    <w:rsid w:val="00EB65ED"/>
    <w:rsid w:val="00EB67F1"/>
    <w:rsid w:val="00EB72CD"/>
    <w:rsid w:val="00EB749A"/>
    <w:rsid w:val="00EB76B6"/>
    <w:rsid w:val="00EB7D8A"/>
    <w:rsid w:val="00EB7EA7"/>
    <w:rsid w:val="00EC05E2"/>
    <w:rsid w:val="00EC08AF"/>
    <w:rsid w:val="00EC0B29"/>
    <w:rsid w:val="00EC0E84"/>
    <w:rsid w:val="00EC16E2"/>
    <w:rsid w:val="00EC1CE7"/>
    <w:rsid w:val="00EC2497"/>
    <w:rsid w:val="00EC26F1"/>
    <w:rsid w:val="00EC346B"/>
    <w:rsid w:val="00EC36B1"/>
    <w:rsid w:val="00EC3C94"/>
    <w:rsid w:val="00EC44DF"/>
    <w:rsid w:val="00EC4AB1"/>
    <w:rsid w:val="00EC4EFB"/>
    <w:rsid w:val="00EC4FB9"/>
    <w:rsid w:val="00EC5310"/>
    <w:rsid w:val="00EC5393"/>
    <w:rsid w:val="00EC5741"/>
    <w:rsid w:val="00EC5ACE"/>
    <w:rsid w:val="00EC5DA3"/>
    <w:rsid w:val="00EC6014"/>
    <w:rsid w:val="00EC6B3E"/>
    <w:rsid w:val="00EC6D8D"/>
    <w:rsid w:val="00EC71C7"/>
    <w:rsid w:val="00EC73DE"/>
    <w:rsid w:val="00EC7637"/>
    <w:rsid w:val="00EC7B63"/>
    <w:rsid w:val="00EC7CF2"/>
    <w:rsid w:val="00ED046B"/>
    <w:rsid w:val="00ED046C"/>
    <w:rsid w:val="00ED053A"/>
    <w:rsid w:val="00ED17E3"/>
    <w:rsid w:val="00ED1F03"/>
    <w:rsid w:val="00ED2D27"/>
    <w:rsid w:val="00ED3347"/>
    <w:rsid w:val="00ED38FD"/>
    <w:rsid w:val="00ED3954"/>
    <w:rsid w:val="00ED4048"/>
    <w:rsid w:val="00ED43A2"/>
    <w:rsid w:val="00ED4967"/>
    <w:rsid w:val="00ED4EC8"/>
    <w:rsid w:val="00ED510D"/>
    <w:rsid w:val="00ED5140"/>
    <w:rsid w:val="00ED522A"/>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1CE5"/>
    <w:rsid w:val="00EE29D9"/>
    <w:rsid w:val="00EE366D"/>
    <w:rsid w:val="00EE3F96"/>
    <w:rsid w:val="00EE5350"/>
    <w:rsid w:val="00EE5454"/>
    <w:rsid w:val="00EE56BD"/>
    <w:rsid w:val="00EE58B8"/>
    <w:rsid w:val="00EE59B5"/>
    <w:rsid w:val="00EE5CF6"/>
    <w:rsid w:val="00EE5D1D"/>
    <w:rsid w:val="00EE5FB7"/>
    <w:rsid w:val="00EE666A"/>
    <w:rsid w:val="00EE6A1A"/>
    <w:rsid w:val="00EE7B54"/>
    <w:rsid w:val="00EE7C88"/>
    <w:rsid w:val="00EE7C8B"/>
    <w:rsid w:val="00EF0209"/>
    <w:rsid w:val="00EF0EA4"/>
    <w:rsid w:val="00EF1E97"/>
    <w:rsid w:val="00EF2436"/>
    <w:rsid w:val="00EF2547"/>
    <w:rsid w:val="00EF2B2B"/>
    <w:rsid w:val="00EF2E1C"/>
    <w:rsid w:val="00EF2FD6"/>
    <w:rsid w:val="00EF3217"/>
    <w:rsid w:val="00EF326A"/>
    <w:rsid w:val="00EF3A5D"/>
    <w:rsid w:val="00EF3F02"/>
    <w:rsid w:val="00EF427A"/>
    <w:rsid w:val="00EF45DF"/>
    <w:rsid w:val="00EF4952"/>
    <w:rsid w:val="00EF498F"/>
    <w:rsid w:val="00EF4A42"/>
    <w:rsid w:val="00EF510C"/>
    <w:rsid w:val="00EF55C4"/>
    <w:rsid w:val="00EF57BC"/>
    <w:rsid w:val="00EF5FD2"/>
    <w:rsid w:val="00EF61F5"/>
    <w:rsid w:val="00EF6784"/>
    <w:rsid w:val="00EF688A"/>
    <w:rsid w:val="00EF6A03"/>
    <w:rsid w:val="00EF6DC2"/>
    <w:rsid w:val="00EF7BF4"/>
    <w:rsid w:val="00F0030F"/>
    <w:rsid w:val="00F00674"/>
    <w:rsid w:val="00F01657"/>
    <w:rsid w:val="00F01E67"/>
    <w:rsid w:val="00F021B7"/>
    <w:rsid w:val="00F02744"/>
    <w:rsid w:val="00F02BFD"/>
    <w:rsid w:val="00F02D25"/>
    <w:rsid w:val="00F0435D"/>
    <w:rsid w:val="00F04580"/>
    <w:rsid w:val="00F047E7"/>
    <w:rsid w:val="00F04ECA"/>
    <w:rsid w:val="00F04EDA"/>
    <w:rsid w:val="00F05876"/>
    <w:rsid w:val="00F05DC2"/>
    <w:rsid w:val="00F06E19"/>
    <w:rsid w:val="00F06F84"/>
    <w:rsid w:val="00F076E7"/>
    <w:rsid w:val="00F07AA1"/>
    <w:rsid w:val="00F10003"/>
    <w:rsid w:val="00F105AE"/>
    <w:rsid w:val="00F10618"/>
    <w:rsid w:val="00F10FC4"/>
    <w:rsid w:val="00F1108B"/>
    <w:rsid w:val="00F11768"/>
    <w:rsid w:val="00F11951"/>
    <w:rsid w:val="00F11BA8"/>
    <w:rsid w:val="00F12259"/>
    <w:rsid w:val="00F12262"/>
    <w:rsid w:val="00F12AF8"/>
    <w:rsid w:val="00F12C52"/>
    <w:rsid w:val="00F14352"/>
    <w:rsid w:val="00F144BA"/>
    <w:rsid w:val="00F14618"/>
    <w:rsid w:val="00F148B7"/>
    <w:rsid w:val="00F14BE9"/>
    <w:rsid w:val="00F14EA9"/>
    <w:rsid w:val="00F15505"/>
    <w:rsid w:val="00F15BFF"/>
    <w:rsid w:val="00F17105"/>
    <w:rsid w:val="00F20A0B"/>
    <w:rsid w:val="00F2135C"/>
    <w:rsid w:val="00F213A0"/>
    <w:rsid w:val="00F217AB"/>
    <w:rsid w:val="00F21A51"/>
    <w:rsid w:val="00F21D54"/>
    <w:rsid w:val="00F21D6D"/>
    <w:rsid w:val="00F21EF4"/>
    <w:rsid w:val="00F227B8"/>
    <w:rsid w:val="00F23113"/>
    <w:rsid w:val="00F23255"/>
    <w:rsid w:val="00F23393"/>
    <w:rsid w:val="00F23759"/>
    <w:rsid w:val="00F239D4"/>
    <w:rsid w:val="00F23CB5"/>
    <w:rsid w:val="00F245A1"/>
    <w:rsid w:val="00F24644"/>
    <w:rsid w:val="00F24ABF"/>
    <w:rsid w:val="00F256FD"/>
    <w:rsid w:val="00F259F1"/>
    <w:rsid w:val="00F26F33"/>
    <w:rsid w:val="00F27376"/>
    <w:rsid w:val="00F27E74"/>
    <w:rsid w:val="00F300A8"/>
    <w:rsid w:val="00F30265"/>
    <w:rsid w:val="00F30400"/>
    <w:rsid w:val="00F3079E"/>
    <w:rsid w:val="00F32385"/>
    <w:rsid w:val="00F32C50"/>
    <w:rsid w:val="00F33980"/>
    <w:rsid w:val="00F3399B"/>
    <w:rsid w:val="00F33C1A"/>
    <w:rsid w:val="00F3461B"/>
    <w:rsid w:val="00F346ED"/>
    <w:rsid w:val="00F34945"/>
    <w:rsid w:val="00F34E1E"/>
    <w:rsid w:val="00F351E8"/>
    <w:rsid w:val="00F353FF"/>
    <w:rsid w:val="00F3570C"/>
    <w:rsid w:val="00F368FF"/>
    <w:rsid w:val="00F37068"/>
    <w:rsid w:val="00F3742E"/>
    <w:rsid w:val="00F37F3F"/>
    <w:rsid w:val="00F40201"/>
    <w:rsid w:val="00F404A9"/>
    <w:rsid w:val="00F40992"/>
    <w:rsid w:val="00F40A99"/>
    <w:rsid w:val="00F40AEC"/>
    <w:rsid w:val="00F412DF"/>
    <w:rsid w:val="00F41596"/>
    <w:rsid w:val="00F41D8B"/>
    <w:rsid w:val="00F42121"/>
    <w:rsid w:val="00F424B3"/>
    <w:rsid w:val="00F428B1"/>
    <w:rsid w:val="00F428B4"/>
    <w:rsid w:val="00F43222"/>
    <w:rsid w:val="00F4345D"/>
    <w:rsid w:val="00F4387B"/>
    <w:rsid w:val="00F4425D"/>
    <w:rsid w:val="00F4518D"/>
    <w:rsid w:val="00F45B91"/>
    <w:rsid w:val="00F46285"/>
    <w:rsid w:val="00F4630A"/>
    <w:rsid w:val="00F46639"/>
    <w:rsid w:val="00F46692"/>
    <w:rsid w:val="00F47AAA"/>
    <w:rsid w:val="00F47B3B"/>
    <w:rsid w:val="00F50183"/>
    <w:rsid w:val="00F50D92"/>
    <w:rsid w:val="00F50E0B"/>
    <w:rsid w:val="00F51765"/>
    <w:rsid w:val="00F51A51"/>
    <w:rsid w:val="00F51CB4"/>
    <w:rsid w:val="00F52324"/>
    <w:rsid w:val="00F52950"/>
    <w:rsid w:val="00F52C9D"/>
    <w:rsid w:val="00F52E39"/>
    <w:rsid w:val="00F533F1"/>
    <w:rsid w:val="00F53ADC"/>
    <w:rsid w:val="00F55679"/>
    <w:rsid w:val="00F561E3"/>
    <w:rsid w:val="00F565E6"/>
    <w:rsid w:val="00F56AFA"/>
    <w:rsid w:val="00F575E2"/>
    <w:rsid w:val="00F579FF"/>
    <w:rsid w:val="00F600E0"/>
    <w:rsid w:val="00F600FD"/>
    <w:rsid w:val="00F605EC"/>
    <w:rsid w:val="00F60F60"/>
    <w:rsid w:val="00F612CE"/>
    <w:rsid w:val="00F624A7"/>
    <w:rsid w:val="00F62AB6"/>
    <w:rsid w:val="00F63984"/>
    <w:rsid w:val="00F650A2"/>
    <w:rsid w:val="00F65A3C"/>
    <w:rsid w:val="00F66282"/>
    <w:rsid w:val="00F67D8B"/>
    <w:rsid w:val="00F70961"/>
    <w:rsid w:val="00F70A8F"/>
    <w:rsid w:val="00F70F18"/>
    <w:rsid w:val="00F71397"/>
    <w:rsid w:val="00F72389"/>
    <w:rsid w:val="00F72516"/>
    <w:rsid w:val="00F72FB4"/>
    <w:rsid w:val="00F732C4"/>
    <w:rsid w:val="00F735E5"/>
    <w:rsid w:val="00F739B4"/>
    <w:rsid w:val="00F73C77"/>
    <w:rsid w:val="00F73DD9"/>
    <w:rsid w:val="00F73E80"/>
    <w:rsid w:val="00F7469C"/>
    <w:rsid w:val="00F747E9"/>
    <w:rsid w:val="00F7492E"/>
    <w:rsid w:val="00F74945"/>
    <w:rsid w:val="00F749A3"/>
    <w:rsid w:val="00F74A04"/>
    <w:rsid w:val="00F74AE8"/>
    <w:rsid w:val="00F74DC7"/>
    <w:rsid w:val="00F75A86"/>
    <w:rsid w:val="00F7603E"/>
    <w:rsid w:val="00F76C11"/>
    <w:rsid w:val="00F77021"/>
    <w:rsid w:val="00F775CB"/>
    <w:rsid w:val="00F77E61"/>
    <w:rsid w:val="00F814B2"/>
    <w:rsid w:val="00F815AC"/>
    <w:rsid w:val="00F82CA5"/>
    <w:rsid w:val="00F83200"/>
    <w:rsid w:val="00F83B33"/>
    <w:rsid w:val="00F83CAE"/>
    <w:rsid w:val="00F840BF"/>
    <w:rsid w:val="00F8415D"/>
    <w:rsid w:val="00F8427A"/>
    <w:rsid w:val="00F843DF"/>
    <w:rsid w:val="00F84899"/>
    <w:rsid w:val="00F848AB"/>
    <w:rsid w:val="00F84A0A"/>
    <w:rsid w:val="00F84D13"/>
    <w:rsid w:val="00F853A5"/>
    <w:rsid w:val="00F85585"/>
    <w:rsid w:val="00F856EE"/>
    <w:rsid w:val="00F859F0"/>
    <w:rsid w:val="00F85CC1"/>
    <w:rsid w:val="00F86A41"/>
    <w:rsid w:val="00F86B5D"/>
    <w:rsid w:val="00F87464"/>
    <w:rsid w:val="00F87634"/>
    <w:rsid w:val="00F87C13"/>
    <w:rsid w:val="00F87C5A"/>
    <w:rsid w:val="00F87E29"/>
    <w:rsid w:val="00F87F18"/>
    <w:rsid w:val="00F87F68"/>
    <w:rsid w:val="00F90C4D"/>
    <w:rsid w:val="00F90F7A"/>
    <w:rsid w:val="00F90FA8"/>
    <w:rsid w:val="00F9167D"/>
    <w:rsid w:val="00F91CB2"/>
    <w:rsid w:val="00F9289C"/>
    <w:rsid w:val="00F93DBC"/>
    <w:rsid w:val="00F93E41"/>
    <w:rsid w:val="00F94600"/>
    <w:rsid w:val="00F94644"/>
    <w:rsid w:val="00F95075"/>
    <w:rsid w:val="00F9537B"/>
    <w:rsid w:val="00F95467"/>
    <w:rsid w:val="00F954BA"/>
    <w:rsid w:val="00F95567"/>
    <w:rsid w:val="00F9574A"/>
    <w:rsid w:val="00F963FC"/>
    <w:rsid w:val="00F96F06"/>
    <w:rsid w:val="00F96FD6"/>
    <w:rsid w:val="00FA015F"/>
    <w:rsid w:val="00FA0FAC"/>
    <w:rsid w:val="00FA1DA2"/>
    <w:rsid w:val="00FA3414"/>
    <w:rsid w:val="00FA347A"/>
    <w:rsid w:val="00FA39D7"/>
    <w:rsid w:val="00FA3CDE"/>
    <w:rsid w:val="00FA49B7"/>
    <w:rsid w:val="00FA5043"/>
    <w:rsid w:val="00FA5ECF"/>
    <w:rsid w:val="00FA6179"/>
    <w:rsid w:val="00FA6F8B"/>
    <w:rsid w:val="00FA7A30"/>
    <w:rsid w:val="00FA7F7F"/>
    <w:rsid w:val="00FB033F"/>
    <w:rsid w:val="00FB0D2A"/>
    <w:rsid w:val="00FB12E3"/>
    <w:rsid w:val="00FB1570"/>
    <w:rsid w:val="00FB186E"/>
    <w:rsid w:val="00FB193B"/>
    <w:rsid w:val="00FB1FBC"/>
    <w:rsid w:val="00FB27B7"/>
    <w:rsid w:val="00FB2C36"/>
    <w:rsid w:val="00FB3444"/>
    <w:rsid w:val="00FB3483"/>
    <w:rsid w:val="00FB35E3"/>
    <w:rsid w:val="00FB4D3F"/>
    <w:rsid w:val="00FB583C"/>
    <w:rsid w:val="00FB61D1"/>
    <w:rsid w:val="00FB630E"/>
    <w:rsid w:val="00FB6738"/>
    <w:rsid w:val="00FB691B"/>
    <w:rsid w:val="00FB731C"/>
    <w:rsid w:val="00FB7DF8"/>
    <w:rsid w:val="00FC05A0"/>
    <w:rsid w:val="00FC0811"/>
    <w:rsid w:val="00FC1196"/>
    <w:rsid w:val="00FC15EB"/>
    <w:rsid w:val="00FC18DC"/>
    <w:rsid w:val="00FC2AC4"/>
    <w:rsid w:val="00FC2D6D"/>
    <w:rsid w:val="00FC2F73"/>
    <w:rsid w:val="00FC3A9B"/>
    <w:rsid w:val="00FC3AE1"/>
    <w:rsid w:val="00FC3DFC"/>
    <w:rsid w:val="00FC3EF4"/>
    <w:rsid w:val="00FC431B"/>
    <w:rsid w:val="00FC434C"/>
    <w:rsid w:val="00FC4FDF"/>
    <w:rsid w:val="00FC5CF4"/>
    <w:rsid w:val="00FC6A39"/>
    <w:rsid w:val="00FC6E50"/>
    <w:rsid w:val="00FC710F"/>
    <w:rsid w:val="00FC79AB"/>
    <w:rsid w:val="00FC7BE7"/>
    <w:rsid w:val="00FC7DAC"/>
    <w:rsid w:val="00FD04AE"/>
    <w:rsid w:val="00FD086B"/>
    <w:rsid w:val="00FD1890"/>
    <w:rsid w:val="00FD1994"/>
    <w:rsid w:val="00FD1B08"/>
    <w:rsid w:val="00FD21A9"/>
    <w:rsid w:val="00FD2AC8"/>
    <w:rsid w:val="00FD2CA6"/>
    <w:rsid w:val="00FD3508"/>
    <w:rsid w:val="00FD393C"/>
    <w:rsid w:val="00FD3D53"/>
    <w:rsid w:val="00FD43BB"/>
    <w:rsid w:val="00FD4AF3"/>
    <w:rsid w:val="00FD4E0F"/>
    <w:rsid w:val="00FD556A"/>
    <w:rsid w:val="00FD5A69"/>
    <w:rsid w:val="00FD6F3C"/>
    <w:rsid w:val="00FD798D"/>
    <w:rsid w:val="00FD7BD8"/>
    <w:rsid w:val="00FD7FB9"/>
    <w:rsid w:val="00FE100E"/>
    <w:rsid w:val="00FE141E"/>
    <w:rsid w:val="00FE144E"/>
    <w:rsid w:val="00FE1689"/>
    <w:rsid w:val="00FE1768"/>
    <w:rsid w:val="00FE24F4"/>
    <w:rsid w:val="00FE2560"/>
    <w:rsid w:val="00FE35D0"/>
    <w:rsid w:val="00FE3EBB"/>
    <w:rsid w:val="00FE4058"/>
    <w:rsid w:val="00FE41AC"/>
    <w:rsid w:val="00FE42E2"/>
    <w:rsid w:val="00FE42ED"/>
    <w:rsid w:val="00FE4C6D"/>
    <w:rsid w:val="00FE55A7"/>
    <w:rsid w:val="00FE55E6"/>
    <w:rsid w:val="00FE56D5"/>
    <w:rsid w:val="00FE576D"/>
    <w:rsid w:val="00FE5C5A"/>
    <w:rsid w:val="00FE6432"/>
    <w:rsid w:val="00FE6517"/>
    <w:rsid w:val="00FE72A0"/>
    <w:rsid w:val="00FF0050"/>
    <w:rsid w:val="00FF045F"/>
    <w:rsid w:val="00FF0679"/>
    <w:rsid w:val="00FF0712"/>
    <w:rsid w:val="00FF0976"/>
    <w:rsid w:val="00FF13D4"/>
    <w:rsid w:val="00FF2053"/>
    <w:rsid w:val="00FF2F4E"/>
    <w:rsid w:val="00FF3B37"/>
    <w:rsid w:val="00FF3D6F"/>
    <w:rsid w:val="00FF4BD8"/>
    <w:rsid w:val="00FF4D11"/>
    <w:rsid w:val="00FF5214"/>
    <w:rsid w:val="00FF53A5"/>
    <w:rsid w:val="00FF596E"/>
    <w:rsid w:val="00FF5B59"/>
    <w:rsid w:val="00FF5BFD"/>
    <w:rsid w:val="00FF5C01"/>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B6B"/>
    <w:pPr>
      <w:spacing w:after="160" w:line="256" w:lineRule="auto"/>
    </w:pPr>
    <w:rPr>
      <w:rFonts w:ascii="Calibri" w:eastAsia="Calibri" w:hAnsi="Calibri" w:cs="Times New Roman"/>
    </w:rPr>
  </w:style>
  <w:style w:type="paragraph" w:styleId="Ttulo1">
    <w:name w:val="heading 1"/>
    <w:basedOn w:val="Normal"/>
    <w:link w:val="Ttulo1Car"/>
    <w:uiPriority w:val="1"/>
    <w:qFormat/>
    <w:rsid w:val="006D712D"/>
    <w:pPr>
      <w:widowControl w:val="0"/>
      <w:autoSpaceDE w:val="0"/>
      <w:autoSpaceDN w:val="0"/>
      <w:spacing w:after="0" w:line="240" w:lineRule="auto"/>
      <w:ind w:left="660" w:hanging="366"/>
      <w:outlineLvl w:val="0"/>
    </w:pPr>
    <w:rPr>
      <w:rFonts w:ascii="Arial" w:eastAsia="Arial" w:hAnsi="Arial" w:cs="Arial"/>
      <w:b/>
      <w:bCs/>
      <w:lang w:val="es-ES"/>
    </w:rPr>
  </w:style>
  <w:style w:type="paragraph" w:styleId="Ttulo2">
    <w:name w:val="heading 2"/>
    <w:basedOn w:val="Normal"/>
    <w:next w:val="Normal"/>
    <w:link w:val="Ttulo2Car"/>
    <w:uiPriority w:val="9"/>
    <w:semiHidden/>
    <w:unhideWhenUsed/>
    <w:qFormat/>
    <w:rsid w:val="00965FF8"/>
    <w:pPr>
      <w:keepNext/>
      <w:keepLines/>
      <w:spacing w:before="40" w:after="0" w:line="240" w:lineRule="auto"/>
      <w:outlineLvl w:val="1"/>
    </w:pPr>
    <w:rPr>
      <w:rFonts w:asciiTheme="majorHAnsi" w:eastAsiaTheme="majorEastAsia" w:hAnsiTheme="majorHAnsi" w:cstheme="majorBidi"/>
      <w:color w:val="365F91" w:themeColor="accent1" w:themeShade="BF"/>
      <w:sz w:val="26"/>
      <w:szCs w:val="26"/>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spacing w:after="0" w:line="240" w:lineRule="auto"/>
    </w:pPr>
    <w:rPr>
      <w:rFonts w:asciiTheme="minorHAnsi" w:eastAsiaTheme="minorHAnsi" w:hAnsiTheme="minorHAnsi" w:cstheme="minorBidi"/>
      <w:sz w:val="24"/>
      <w:lang w:val="es-MX"/>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pPr>
      <w:spacing w:after="0" w:line="240" w:lineRule="auto"/>
    </w:pPr>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spacing w:after="0" w:line="240" w:lineRule="auto"/>
    </w:pPr>
    <w:rPr>
      <w:rFonts w:asciiTheme="minorHAnsi" w:eastAsiaTheme="minorHAnsi" w:hAnsiTheme="minorHAnsi" w:cstheme="minorBidi"/>
      <w:sz w:val="24"/>
      <w:lang w:val="es-MX"/>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9047C5"/>
    <w:pPr>
      <w:spacing w:after="0" w:line="240" w:lineRule="auto"/>
      <w:ind w:left="720"/>
      <w:contextualSpacing/>
    </w:pPr>
    <w:rPr>
      <w:rFonts w:asciiTheme="minorHAnsi" w:eastAsiaTheme="minorHAnsi" w:hAnsiTheme="minorHAnsi" w:cstheme="minorBidi"/>
      <w:sz w:val="24"/>
      <w:lang w:val="es-MX"/>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pPr>
      <w:spacing w:after="0" w:line="240" w:lineRule="auto"/>
    </w:pPr>
    <w:rPr>
      <w:rFonts w:asciiTheme="minorHAnsi" w:eastAsiaTheme="minorHAnsi" w:hAnsiTheme="minorHAnsi" w:cstheme="minorBidi"/>
      <w:sz w:val="20"/>
      <w:szCs w:val="20"/>
      <w:lang w:val="es-MX"/>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line="240" w:lineRule="auto"/>
    </w:pPr>
    <w:rPr>
      <w:rFonts w:ascii="Times New Roman" w:eastAsia="Times New Roman" w:hAnsi="Times New Roman"/>
      <w:sz w:val="24"/>
      <w:szCs w:val="24"/>
      <w:lang w:eastAsia="es-CO"/>
    </w:rPr>
  </w:style>
  <w:style w:type="paragraph" w:styleId="Sinespaciado">
    <w:name w:val="No Spacing"/>
    <w:aliases w:val="No Indent"/>
    <w:link w:val="SinespaciadoCar"/>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pPr>
      <w:spacing w:after="0" w:line="240" w:lineRule="auto"/>
    </w:pPr>
    <w:rPr>
      <w:rFonts w:asciiTheme="minorHAnsi" w:eastAsiaTheme="minorHAnsi" w:hAnsiTheme="minorHAnsi" w:cstheme="minorBidi"/>
      <w:sz w:val="20"/>
      <w:szCs w:val="20"/>
      <w:lang w:val="es-MX"/>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line="240" w:lineRule="exact"/>
    </w:pPr>
    <w:rPr>
      <w:rFonts w:asciiTheme="minorHAnsi" w:eastAsiaTheme="minorHAnsi" w:hAnsiTheme="minorHAnsi" w:cstheme="minorBidi"/>
      <w:vertAlign w:val="superscript"/>
    </w:rPr>
  </w:style>
  <w:style w:type="paragraph" w:styleId="Sangradetextonormal">
    <w:name w:val="Body Text Indent"/>
    <w:basedOn w:val="Normal"/>
    <w:link w:val="SangradetextonormalCar"/>
    <w:uiPriority w:val="99"/>
    <w:semiHidden/>
    <w:unhideWhenUsed/>
    <w:rsid w:val="006B7E4E"/>
    <w:pPr>
      <w:spacing w:after="120" w:line="240" w:lineRule="auto"/>
      <w:ind w:left="283"/>
    </w:pPr>
    <w:rPr>
      <w:rFonts w:asciiTheme="minorHAnsi" w:eastAsiaTheme="minorHAnsi" w:hAnsiTheme="minorHAnsi" w:cstheme="minorBidi"/>
      <w:sz w:val="24"/>
      <w:lang w:val="es-MX"/>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line="240" w:lineRule="auto"/>
      <w:jc w:val="both"/>
    </w:pPr>
    <w:rPr>
      <w:rFonts w:ascii="Arial Narrow" w:eastAsia="Times New Roman" w:hAnsi="Arial Narrow"/>
      <w:color w:val="3C3C3C" w:themeColor="background2" w:themeShade="40"/>
      <w:sz w:val="24"/>
      <w:szCs w:val="24"/>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line="240" w:lineRule="auto"/>
    </w:pPr>
    <w:rPr>
      <w:rFonts w:ascii="Times New Roman" w:eastAsia="Times New Roman" w:hAnsi="Times New Roman"/>
      <w:sz w:val="24"/>
      <w:szCs w:val="24"/>
      <w:lang w:eastAsia="es-MX"/>
    </w:r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hAnsi="Arial" w:cs="Arial"/>
      <w:b/>
      <w:bCs/>
      <w:color w:val="1C1C1C"/>
      <w:sz w:val="20"/>
      <w:szCs w:val="20"/>
    </w:rPr>
  </w:style>
  <w:style w:type="paragraph" w:customStyle="1" w:styleId="Normal11pt">
    <w:name w:val="Normal + 11 pt"/>
    <w:aliases w:val="Negro,Justificado,Izquierda:  -0,95 cm,Derecha:  0,04 cm"/>
    <w:basedOn w:val="Normal"/>
    <w:uiPriority w:val="99"/>
    <w:rsid w:val="008A2527"/>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E100E"/>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2B4039"/>
    <w:rPr>
      <w:color w:val="605E5C"/>
      <w:shd w:val="clear" w:color="auto" w:fill="E1DFDD"/>
    </w:rPr>
  </w:style>
  <w:style w:type="character" w:customStyle="1" w:styleId="baj">
    <w:name w:val="b_aj"/>
    <w:basedOn w:val="Fuentedeprrafopredeter"/>
    <w:rsid w:val="008F293D"/>
  </w:style>
  <w:style w:type="character" w:customStyle="1" w:styleId="SinespaciadoCar">
    <w:name w:val="Sin espaciado Car"/>
    <w:aliases w:val="No Indent Car"/>
    <w:link w:val="Sinespaciado"/>
    <w:uiPriority w:val="3"/>
    <w:rsid w:val="00B44E8C"/>
    <w:rPr>
      <w:sz w:val="24"/>
      <w:lang w:val="es-MX"/>
    </w:rPr>
  </w:style>
  <w:style w:type="character" w:customStyle="1" w:styleId="apple-converted-space">
    <w:name w:val="apple-converted-space"/>
    <w:basedOn w:val="Fuentedeprrafopredeter"/>
    <w:rsid w:val="00B65BBE"/>
  </w:style>
  <w:style w:type="character" w:customStyle="1" w:styleId="Ttulo2Car">
    <w:name w:val="Título 2 Car"/>
    <w:basedOn w:val="Fuentedeprrafopredeter"/>
    <w:link w:val="Ttulo2"/>
    <w:uiPriority w:val="9"/>
    <w:semiHidden/>
    <w:rsid w:val="00965FF8"/>
    <w:rPr>
      <w:rFonts w:asciiTheme="majorHAnsi" w:eastAsiaTheme="majorEastAsia" w:hAnsiTheme="majorHAnsi" w:cstheme="majorBidi"/>
      <w:color w:val="365F91" w:themeColor="accent1" w:themeShade="BF"/>
      <w:sz w:val="26"/>
      <w:szCs w:val="26"/>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3715100">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70150232">
      <w:bodyDiv w:val="1"/>
      <w:marLeft w:val="0"/>
      <w:marRight w:val="0"/>
      <w:marTop w:val="0"/>
      <w:marBottom w:val="0"/>
      <w:divBdr>
        <w:top w:val="none" w:sz="0" w:space="0" w:color="auto"/>
        <w:left w:val="none" w:sz="0" w:space="0" w:color="auto"/>
        <w:bottom w:val="none" w:sz="0" w:space="0" w:color="auto"/>
        <w:right w:val="none" w:sz="0" w:space="0" w:color="auto"/>
      </w:divBdr>
    </w:div>
    <w:div w:id="181166487">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09094643">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7761">
      <w:bodyDiv w:val="1"/>
      <w:marLeft w:val="0"/>
      <w:marRight w:val="0"/>
      <w:marTop w:val="0"/>
      <w:marBottom w:val="0"/>
      <w:divBdr>
        <w:top w:val="none" w:sz="0" w:space="0" w:color="auto"/>
        <w:left w:val="none" w:sz="0" w:space="0" w:color="auto"/>
        <w:bottom w:val="none" w:sz="0" w:space="0" w:color="auto"/>
        <w:right w:val="none" w:sz="0" w:space="0" w:color="auto"/>
      </w:divBdr>
    </w:div>
    <w:div w:id="32343807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52458027">
      <w:bodyDiv w:val="1"/>
      <w:marLeft w:val="0"/>
      <w:marRight w:val="0"/>
      <w:marTop w:val="0"/>
      <w:marBottom w:val="0"/>
      <w:divBdr>
        <w:top w:val="none" w:sz="0" w:space="0" w:color="auto"/>
        <w:left w:val="none" w:sz="0" w:space="0" w:color="auto"/>
        <w:bottom w:val="none" w:sz="0" w:space="0" w:color="auto"/>
        <w:right w:val="none" w:sz="0" w:space="0" w:color="auto"/>
      </w:divBdr>
    </w:div>
    <w:div w:id="373847752">
      <w:bodyDiv w:val="1"/>
      <w:marLeft w:val="0"/>
      <w:marRight w:val="0"/>
      <w:marTop w:val="0"/>
      <w:marBottom w:val="0"/>
      <w:divBdr>
        <w:top w:val="none" w:sz="0" w:space="0" w:color="auto"/>
        <w:left w:val="none" w:sz="0" w:space="0" w:color="auto"/>
        <w:bottom w:val="none" w:sz="0" w:space="0" w:color="auto"/>
        <w:right w:val="none" w:sz="0" w:space="0" w:color="auto"/>
      </w:divBdr>
      <w:divsChild>
        <w:div w:id="250747312">
          <w:marLeft w:val="0"/>
          <w:marRight w:val="0"/>
          <w:marTop w:val="0"/>
          <w:marBottom w:val="0"/>
          <w:divBdr>
            <w:top w:val="none" w:sz="0" w:space="0" w:color="auto"/>
            <w:left w:val="none" w:sz="0" w:space="0" w:color="auto"/>
            <w:bottom w:val="none" w:sz="0" w:space="0" w:color="auto"/>
            <w:right w:val="none" w:sz="0" w:space="0" w:color="auto"/>
          </w:divBdr>
        </w:div>
        <w:div w:id="2067101779">
          <w:marLeft w:val="0"/>
          <w:marRight w:val="0"/>
          <w:marTop w:val="0"/>
          <w:marBottom w:val="0"/>
          <w:divBdr>
            <w:top w:val="none" w:sz="0" w:space="0" w:color="auto"/>
            <w:left w:val="none" w:sz="0" w:space="0" w:color="auto"/>
            <w:bottom w:val="none" w:sz="0" w:space="0" w:color="auto"/>
            <w:right w:val="none" w:sz="0" w:space="0" w:color="auto"/>
          </w:divBdr>
        </w:div>
        <w:div w:id="856118546">
          <w:marLeft w:val="0"/>
          <w:marRight w:val="0"/>
          <w:marTop w:val="0"/>
          <w:marBottom w:val="0"/>
          <w:divBdr>
            <w:top w:val="none" w:sz="0" w:space="0" w:color="auto"/>
            <w:left w:val="none" w:sz="0" w:space="0" w:color="auto"/>
            <w:bottom w:val="none" w:sz="0" w:space="0" w:color="auto"/>
            <w:right w:val="none" w:sz="0" w:space="0" w:color="auto"/>
          </w:divBdr>
        </w:div>
        <w:div w:id="701177010">
          <w:marLeft w:val="0"/>
          <w:marRight w:val="0"/>
          <w:marTop w:val="0"/>
          <w:marBottom w:val="0"/>
          <w:divBdr>
            <w:top w:val="none" w:sz="0" w:space="0" w:color="auto"/>
            <w:left w:val="none" w:sz="0" w:space="0" w:color="auto"/>
            <w:bottom w:val="none" w:sz="0" w:space="0" w:color="auto"/>
            <w:right w:val="none" w:sz="0" w:space="0" w:color="auto"/>
          </w:divBdr>
        </w:div>
        <w:div w:id="1979995553">
          <w:marLeft w:val="0"/>
          <w:marRight w:val="0"/>
          <w:marTop w:val="0"/>
          <w:marBottom w:val="0"/>
          <w:divBdr>
            <w:top w:val="none" w:sz="0" w:space="0" w:color="auto"/>
            <w:left w:val="none" w:sz="0" w:space="0" w:color="auto"/>
            <w:bottom w:val="none" w:sz="0" w:space="0" w:color="auto"/>
            <w:right w:val="none" w:sz="0" w:space="0" w:color="auto"/>
          </w:divBdr>
        </w:div>
        <w:div w:id="386532194">
          <w:marLeft w:val="0"/>
          <w:marRight w:val="0"/>
          <w:marTop w:val="0"/>
          <w:marBottom w:val="0"/>
          <w:divBdr>
            <w:top w:val="none" w:sz="0" w:space="0" w:color="auto"/>
            <w:left w:val="none" w:sz="0" w:space="0" w:color="auto"/>
            <w:bottom w:val="none" w:sz="0" w:space="0" w:color="auto"/>
            <w:right w:val="none" w:sz="0" w:space="0" w:color="auto"/>
          </w:divBdr>
        </w:div>
        <w:div w:id="1443916966">
          <w:marLeft w:val="0"/>
          <w:marRight w:val="0"/>
          <w:marTop w:val="0"/>
          <w:marBottom w:val="0"/>
          <w:divBdr>
            <w:top w:val="none" w:sz="0" w:space="0" w:color="auto"/>
            <w:left w:val="none" w:sz="0" w:space="0" w:color="auto"/>
            <w:bottom w:val="none" w:sz="0" w:space="0" w:color="auto"/>
            <w:right w:val="none" w:sz="0" w:space="0" w:color="auto"/>
          </w:divBdr>
        </w:div>
        <w:div w:id="1463428840">
          <w:marLeft w:val="0"/>
          <w:marRight w:val="0"/>
          <w:marTop w:val="0"/>
          <w:marBottom w:val="0"/>
          <w:divBdr>
            <w:top w:val="none" w:sz="0" w:space="0" w:color="auto"/>
            <w:left w:val="none" w:sz="0" w:space="0" w:color="auto"/>
            <w:bottom w:val="none" w:sz="0" w:space="0" w:color="auto"/>
            <w:right w:val="none" w:sz="0" w:space="0" w:color="auto"/>
          </w:divBdr>
        </w:div>
        <w:div w:id="340739953">
          <w:marLeft w:val="0"/>
          <w:marRight w:val="0"/>
          <w:marTop w:val="0"/>
          <w:marBottom w:val="0"/>
          <w:divBdr>
            <w:top w:val="none" w:sz="0" w:space="0" w:color="auto"/>
            <w:left w:val="none" w:sz="0" w:space="0" w:color="auto"/>
            <w:bottom w:val="none" w:sz="0" w:space="0" w:color="auto"/>
            <w:right w:val="none" w:sz="0" w:space="0" w:color="auto"/>
          </w:divBdr>
        </w:div>
        <w:div w:id="1214005837">
          <w:marLeft w:val="0"/>
          <w:marRight w:val="0"/>
          <w:marTop w:val="0"/>
          <w:marBottom w:val="0"/>
          <w:divBdr>
            <w:top w:val="none" w:sz="0" w:space="0" w:color="auto"/>
            <w:left w:val="none" w:sz="0" w:space="0" w:color="auto"/>
            <w:bottom w:val="none" w:sz="0" w:space="0" w:color="auto"/>
            <w:right w:val="none" w:sz="0" w:space="0" w:color="auto"/>
          </w:divBdr>
        </w:div>
        <w:div w:id="689572277">
          <w:marLeft w:val="0"/>
          <w:marRight w:val="0"/>
          <w:marTop w:val="0"/>
          <w:marBottom w:val="0"/>
          <w:divBdr>
            <w:top w:val="none" w:sz="0" w:space="0" w:color="auto"/>
            <w:left w:val="none" w:sz="0" w:space="0" w:color="auto"/>
            <w:bottom w:val="none" w:sz="0" w:space="0" w:color="auto"/>
            <w:right w:val="none" w:sz="0" w:space="0" w:color="auto"/>
          </w:divBdr>
        </w:div>
        <w:div w:id="1848668085">
          <w:marLeft w:val="0"/>
          <w:marRight w:val="0"/>
          <w:marTop w:val="0"/>
          <w:marBottom w:val="0"/>
          <w:divBdr>
            <w:top w:val="none" w:sz="0" w:space="0" w:color="auto"/>
            <w:left w:val="none" w:sz="0" w:space="0" w:color="auto"/>
            <w:bottom w:val="none" w:sz="0" w:space="0" w:color="auto"/>
            <w:right w:val="none" w:sz="0" w:space="0" w:color="auto"/>
          </w:divBdr>
        </w:div>
        <w:div w:id="355351056">
          <w:marLeft w:val="0"/>
          <w:marRight w:val="0"/>
          <w:marTop w:val="0"/>
          <w:marBottom w:val="0"/>
          <w:divBdr>
            <w:top w:val="none" w:sz="0" w:space="0" w:color="auto"/>
            <w:left w:val="none" w:sz="0" w:space="0" w:color="auto"/>
            <w:bottom w:val="none" w:sz="0" w:space="0" w:color="auto"/>
            <w:right w:val="none" w:sz="0" w:space="0" w:color="auto"/>
          </w:divBdr>
        </w:div>
        <w:div w:id="185019911">
          <w:marLeft w:val="0"/>
          <w:marRight w:val="0"/>
          <w:marTop w:val="0"/>
          <w:marBottom w:val="0"/>
          <w:divBdr>
            <w:top w:val="none" w:sz="0" w:space="0" w:color="auto"/>
            <w:left w:val="none" w:sz="0" w:space="0" w:color="auto"/>
            <w:bottom w:val="none" w:sz="0" w:space="0" w:color="auto"/>
            <w:right w:val="none" w:sz="0" w:space="0" w:color="auto"/>
          </w:divBdr>
        </w:div>
        <w:div w:id="1409376571">
          <w:marLeft w:val="0"/>
          <w:marRight w:val="0"/>
          <w:marTop w:val="0"/>
          <w:marBottom w:val="0"/>
          <w:divBdr>
            <w:top w:val="none" w:sz="0" w:space="0" w:color="auto"/>
            <w:left w:val="none" w:sz="0" w:space="0" w:color="auto"/>
            <w:bottom w:val="none" w:sz="0" w:space="0" w:color="auto"/>
            <w:right w:val="none" w:sz="0" w:space="0" w:color="auto"/>
          </w:divBdr>
        </w:div>
        <w:div w:id="1153715860">
          <w:marLeft w:val="0"/>
          <w:marRight w:val="0"/>
          <w:marTop w:val="0"/>
          <w:marBottom w:val="0"/>
          <w:divBdr>
            <w:top w:val="none" w:sz="0" w:space="0" w:color="auto"/>
            <w:left w:val="none" w:sz="0" w:space="0" w:color="auto"/>
            <w:bottom w:val="none" w:sz="0" w:space="0" w:color="auto"/>
            <w:right w:val="none" w:sz="0" w:space="0" w:color="auto"/>
          </w:divBdr>
        </w:div>
        <w:div w:id="878051417">
          <w:marLeft w:val="0"/>
          <w:marRight w:val="0"/>
          <w:marTop w:val="0"/>
          <w:marBottom w:val="0"/>
          <w:divBdr>
            <w:top w:val="none" w:sz="0" w:space="0" w:color="auto"/>
            <w:left w:val="none" w:sz="0" w:space="0" w:color="auto"/>
            <w:bottom w:val="none" w:sz="0" w:space="0" w:color="auto"/>
            <w:right w:val="none" w:sz="0" w:space="0" w:color="auto"/>
          </w:divBdr>
        </w:div>
        <w:div w:id="1340767783">
          <w:marLeft w:val="0"/>
          <w:marRight w:val="0"/>
          <w:marTop w:val="0"/>
          <w:marBottom w:val="0"/>
          <w:divBdr>
            <w:top w:val="none" w:sz="0" w:space="0" w:color="auto"/>
            <w:left w:val="none" w:sz="0" w:space="0" w:color="auto"/>
            <w:bottom w:val="none" w:sz="0" w:space="0" w:color="auto"/>
            <w:right w:val="none" w:sz="0" w:space="0" w:color="auto"/>
          </w:divBdr>
        </w:div>
        <w:div w:id="1389064509">
          <w:marLeft w:val="0"/>
          <w:marRight w:val="0"/>
          <w:marTop w:val="0"/>
          <w:marBottom w:val="0"/>
          <w:divBdr>
            <w:top w:val="none" w:sz="0" w:space="0" w:color="auto"/>
            <w:left w:val="none" w:sz="0" w:space="0" w:color="auto"/>
            <w:bottom w:val="none" w:sz="0" w:space="0" w:color="auto"/>
            <w:right w:val="none" w:sz="0" w:space="0" w:color="auto"/>
          </w:divBdr>
        </w:div>
        <w:div w:id="1237981306">
          <w:marLeft w:val="0"/>
          <w:marRight w:val="0"/>
          <w:marTop w:val="0"/>
          <w:marBottom w:val="0"/>
          <w:divBdr>
            <w:top w:val="none" w:sz="0" w:space="0" w:color="auto"/>
            <w:left w:val="none" w:sz="0" w:space="0" w:color="auto"/>
            <w:bottom w:val="none" w:sz="0" w:space="0" w:color="auto"/>
            <w:right w:val="none" w:sz="0" w:space="0" w:color="auto"/>
          </w:divBdr>
        </w:div>
        <w:div w:id="497230276">
          <w:marLeft w:val="0"/>
          <w:marRight w:val="0"/>
          <w:marTop w:val="0"/>
          <w:marBottom w:val="0"/>
          <w:divBdr>
            <w:top w:val="none" w:sz="0" w:space="0" w:color="auto"/>
            <w:left w:val="none" w:sz="0" w:space="0" w:color="auto"/>
            <w:bottom w:val="none" w:sz="0" w:space="0" w:color="auto"/>
            <w:right w:val="none" w:sz="0" w:space="0" w:color="auto"/>
          </w:divBdr>
        </w:div>
        <w:div w:id="1948077385">
          <w:marLeft w:val="0"/>
          <w:marRight w:val="0"/>
          <w:marTop w:val="0"/>
          <w:marBottom w:val="0"/>
          <w:divBdr>
            <w:top w:val="none" w:sz="0" w:space="0" w:color="auto"/>
            <w:left w:val="none" w:sz="0" w:space="0" w:color="auto"/>
            <w:bottom w:val="none" w:sz="0" w:space="0" w:color="auto"/>
            <w:right w:val="none" w:sz="0" w:space="0" w:color="auto"/>
          </w:divBdr>
        </w:div>
        <w:div w:id="2077436875">
          <w:marLeft w:val="0"/>
          <w:marRight w:val="0"/>
          <w:marTop w:val="0"/>
          <w:marBottom w:val="0"/>
          <w:divBdr>
            <w:top w:val="none" w:sz="0" w:space="0" w:color="auto"/>
            <w:left w:val="none" w:sz="0" w:space="0" w:color="auto"/>
            <w:bottom w:val="none" w:sz="0" w:space="0" w:color="auto"/>
            <w:right w:val="none" w:sz="0" w:space="0" w:color="auto"/>
          </w:divBdr>
        </w:div>
        <w:div w:id="375393709">
          <w:marLeft w:val="0"/>
          <w:marRight w:val="0"/>
          <w:marTop w:val="0"/>
          <w:marBottom w:val="0"/>
          <w:divBdr>
            <w:top w:val="none" w:sz="0" w:space="0" w:color="auto"/>
            <w:left w:val="none" w:sz="0" w:space="0" w:color="auto"/>
            <w:bottom w:val="none" w:sz="0" w:space="0" w:color="auto"/>
            <w:right w:val="none" w:sz="0" w:space="0" w:color="auto"/>
          </w:divBdr>
        </w:div>
        <w:div w:id="1116949506">
          <w:marLeft w:val="0"/>
          <w:marRight w:val="0"/>
          <w:marTop w:val="0"/>
          <w:marBottom w:val="0"/>
          <w:divBdr>
            <w:top w:val="none" w:sz="0" w:space="0" w:color="auto"/>
            <w:left w:val="none" w:sz="0" w:space="0" w:color="auto"/>
            <w:bottom w:val="none" w:sz="0" w:space="0" w:color="auto"/>
            <w:right w:val="none" w:sz="0" w:space="0" w:color="auto"/>
          </w:divBdr>
        </w:div>
        <w:div w:id="2063670069">
          <w:marLeft w:val="0"/>
          <w:marRight w:val="0"/>
          <w:marTop w:val="0"/>
          <w:marBottom w:val="0"/>
          <w:divBdr>
            <w:top w:val="none" w:sz="0" w:space="0" w:color="auto"/>
            <w:left w:val="none" w:sz="0" w:space="0" w:color="auto"/>
            <w:bottom w:val="none" w:sz="0" w:space="0" w:color="auto"/>
            <w:right w:val="none" w:sz="0" w:space="0" w:color="auto"/>
          </w:divBdr>
        </w:div>
        <w:div w:id="1385788235">
          <w:marLeft w:val="0"/>
          <w:marRight w:val="0"/>
          <w:marTop w:val="0"/>
          <w:marBottom w:val="0"/>
          <w:divBdr>
            <w:top w:val="none" w:sz="0" w:space="0" w:color="auto"/>
            <w:left w:val="none" w:sz="0" w:space="0" w:color="auto"/>
            <w:bottom w:val="none" w:sz="0" w:space="0" w:color="auto"/>
            <w:right w:val="none" w:sz="0" w:space="0" w:color="auto"/>
          </w:divBdr>
        </w:div>
        <w:div w:id="774130227">
          <w:marLeft w:val="0"/>
          <w:marRight w:val="0"/>
          <w:marTop w:val="0"/>
          <w:marBottom w:val="0"/>
          <w:divBdr>
            <w:top w:val="none" w:sz="0" w:space="0" w:color="auto"/>
            <w:left w:val="none" w:sz="0" w:space="0" w:color="auto"/>
            <w:bottom w:val="none" w:sz="0" w:space="0" w:color="auto"/>
            <w:right w:val="none" w:sz="0" w:space="0" w:color="auto"/>
          </w:divBdr>
        </w:div>
        <w:div w:id="356153059">
          <w:marLeft w:val="0"/>
          <w:marRight w:val="0"/>
          <w:marTop w:val="0"/>
          <w:marBottom w:val="0"/>
          <w:divBdr>
            <w:top w:val="none" w:sz="0" w:space="0" w:color="auto"/>
            <w:left w:val="none" w:sz="0" w:space="0" w:color="auto"/>
            <w:bottom w:val="none" w:sz="0" w:space="0" w:color="auto"/>
            <w:right w:val="none" w:sz="0" w:space="0" w:color="auto"/>
          </w:divBdr>
        </w:div>
      </w:divsChild>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0754488">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728514">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76549578">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9846009">
      <w:bodyDiv w:val="1"/>
      <w:marLeft w:val="0"/>
      <w:marRight w:val="0"/>
      <w:marTop w:val="0"/>
      <w:marBottom w:val="0"/>
      <w:divBdr>
        <w:top w:val="none" w:sz="0" w:space="0" w:color="auto"/>
        <w:left w:val="none" w:sz="0" w:space="0" w:color="auto"/>
        <w:bottom w:val="none" w:sz="0" w:space="0" w:color="auto"/>
        <w:right w:val="none" w:sz="0" w:space="0" w:color="auto"/>
      </w:divBdr>
      <w:divsChild>
        <w:div w:id="137571566">
          <w:marLeft w:val="0"/>
          <w:marRight w:val="0"/>
          <w:marTop w:val="0"/>
          <w:marBottom w:val="0"/>
          <w:divBdr>
            <w:top w:val="none" w:sz="0" w:space="0" w:color="auto"/>
            <w:left w:val="none" w:sz="0" w:space="0" w:color="auto"/>
            <w:bottom w:val="none" w:sz="0" w:space="0" w:color="auto"/>
            <w:right w:val="none" w:sz="0" w:space="0" w:color="auto"/>
          </w:divBdr>
        </w:div>
        <w:div w:id="776950387">
          <w:marLeft w:val="0"/>
          <w:marRight w:val="0"/>
          <w:marTop w:val="0"/>
          <w:marBottom w:val="0"/>
          <w:divBdr>
            <w:top w:val="none" w:sz="0" w:space="0" w:color="auto"/>
            <w:left w:val="none" w:sz="0" w:space="0" w:color="auto"/>
            <w:bottom w:val="none" w:sz="0" w:space="0" w:color="auto"/>
            <w:right w:val="none" w:sz="0" w:space="0" w:color="auto"/>
          </w:divBdr>
        </w:div>
        <w:div w:id="910965516">
          <w:marLeft w:val="0"/>
          <w:marRight w:val="0"/>
          <w:marTop w:val="0"/>
          <w:marBottom w:val="0"/>
          <w:divBdr>
            <w:top w:val="none" w:sz="0" w:space="0" w:color="auto"/>
            <w:left w:val="none" w:sz="0" w:space="0" w:color="auto"/>
            <w:bottom w:val="none" w:sz="0" w:space="0" w:color="auto"/>
            <w:right w:val="none" w:sz="0" w:space="0" w:color="auto"/>
          </w:divBdr>
        </w:div>
        <w:div w:id="1321274061">
          <w:marLeft w:val="0"/>
          <w:marRight w:val="0"/>
          <w:marTop w:val="0"/>
          <w:marBottom w:val="0"/>
          <w:divBdr>
            <w:top w:val="none" w:sz="0" w:space="0" w:color="auto"/>
            <w:left w:val="none" w:sz="0" w:space="0" w:color="auto"/>
            <w:bottom w:val="none" w:sz="0" w:space="0" w:color="auto"/>
            <w:right w:val="none" w:sz="0" w:space="0" w:color="auto"/>
          </w:divBdr>
        </w:div>
        <w:div w:id="1897934208">
          <w:marLeft w:val="0"/>
          <w:marRight w:val="0"/>
          <w:marTop w:val="0"/>
          <w:marBottom w:val="0"/>
          <w:divBdr>
            <w:top w:val="none" w:sz="0" w:space="0" w:color="auto"/>
            <w:left w:val="none" w:sz="0" w:space="0" w:color="auto"/>
            <w:bottom w:val="none" w:sz="0" w:space="0" w:color="auto"/>
            <w:right w:val="none" w:sz="0" w:space="0" w:color="auto"/>
          </w:divBdr>
        </w:div>
        <w:div w:id="326787748">
          <w:marLeft w:val="0"/>
          <w:marRight w:val="0"/>
          <w:marTop w:val="0"/>
          <w:marBottom w:val="0"/>
          <w:divBdr>
            <w:top w:val="none" w:sz="0" w:space="0" w:color="auto"/>
            <w:left w:val="none" w:sz="0" w:space="0" w:color="auto"/>
            <w:bottom w:val="none" w:sz="0" w:space="0" w:color="auto"/>
            <w:right w:val="none" w:sz="0" w:space="0" w:color="auto"/>
          </w:divBdr>
        </w:div>
        <w:div w:id="1145732085">
          <w:marLeft w:val="0"/>
          <w:marRight w:val="0"/>
          <w:marTop w:val="0"/>
          <w:marBottom w:val="0"/>
          <w:divBdr>
            <w:top w:val="none" w:sz="0" w:space="0" w:color="auto"/>
            <w:left w:val="none" w:sz="0" w:space="0" w:color="auto"/>
            <w:bottom w:val="none" w:sz="0" w:space="0" w:color="auto"/>
            <w:right w:val="none" w:sz="0" w:space="0" w:color="auto"/>
          </w:divBdr>
        </w:div>
        <w:div w:id="469977109">
          <w:marLeft w:val="0"/>
          <w:marRight w:val="0"/>
          <w:marTop w:val="0"/>
          <w:marBottom w:val="0"/>
          <w:divBdr>
            <w:top w:val="none" w:sz="0" w:space="0" w:color="auto"/>
            <w:left w:val="none" w:sz="0" w:space="0" w:color="auto"/>
            <w:bottom w:val="none" w:sz="0" w:space="0" w:color="auto"/>
            <w:right w:val="none" w:sz="0" w:space="0" w:color="auto"/>
          </w:divBdr>
        </w:div>
        <w:div w:id="1847742798">
          <w:marLeft w:val="0"/>
          <w:marRight w:val="0"/>
          <w:marTop w:val="0"/>
          <w:marBottom w:val="0"/>
          <w:divBdr>
            <w:top w:val="none" w:sz="0" w:space="0" w:color="auto"/>
            <w:left w:val="none" w:sz="0" w:space="0" w:color="auto"/>
            <w:bottom w:val="none" w:sz="0" w:space="0" w:color="auto"/>
            <w:right w:val="none" w:sz="0" w:space="0" w:color="auto"/>
          </w:divBdr>
        </w:div>
        <w:div w:id="754977389">
          <w:marLeft w:val="0"/>
          <w:marRight w:val="0"/>
          <w:marTop w:val="0"/>
          <w:marBottom w:val="0"/>
          <w:divBdr>
            <w:top w:val="none" w:sz="0" w:space="0" w:color="auto"/>
            <w:left w:val="none" w:sz="0" w:space="0" w:color="auto"/>
            <w:bottom w:val="none" w:sz="0" w:space="0" w:color="auto"/>
            <w:right w:val="none" w:sz="0" w:space="0" w:color="auto"/>
          </w:divBdr>
        </w:div>
        <w:div w:id="237255211">
          <w:marLeft w:val="0"/>
          <w:marRight w:val="0"/>
          <w:marTop w:val="0"/>
          <w:marBottom w:val="0"/>
          <w:divBdr>
            <w:top w:val="none" w:sz="0" w:space="0" w:color="auto"/>
            <w:left w:val="none" w:sz="0" w:space="0" w:color="auto"/>
            <w:bottom w:val="none" w:sz="0" w:space="0" w:color="auto"/>
            <w:right w:val="none" w:sz="0" w:space="0" w:color="auto"/>
          </w:divBdr>
        </w:div>
        <w:div w:id="218594642">
          <w:marLeft w:val="0"/>
          <w:marRight w:val="0"/>
          <w:marTop w:val="0"/>
          <w:marBottom w:val="0"/>
          <w:divBdr>
            <w:top w:val="none" w:sz="0" w:space="0" w:color="auto"/>
            <w:left w:val="none" w:sz="0" w:space="0" w:color="auto"/>
            <w:bottom w:val="none" w:sz="0" w:space="0" w:color="auto"/>
            <w:right w:val="none" w:sz="0" w:space="0" w:color="auto"/>
          </w:divBdr>
        </w:div>
        <w:div w:id="1396783654">
          <w:marLeft w:val="0"/>
          <w:marRight w:val="0"/>
          <w:marTop w:val="0"/>
          <w:marBottom w:val="0"/>
          <w:divBdr>
            <w:top w:val="none" w:sz="0" w:space="0" w:color="auto"/>
            <w:left w:val="none" w:sz="0" w:space="0" w:color="auto"/>
            <w:bottom w:val="none" w:sz="0" w:space="0" w:color="auto"/>
            <w:right w:val="none" w:sz="0" w:space="0" w:color="auto"/>
          </w:divBdr>
        </w:div>
        <w:div w:id="1592926720">
          <w:marLeft w:val="0"/>
          <w:marRight w:val="0"/>
          <w:marTop w:val="0"/>
          <w:marBottom w:val="0"/>
          <w:divBdr>
            <w:top w:val="none" w:sz="0" w:space="0" w:color="auto"/>
            <w:left w:val="none" w:sz="0" w:space="0" w:color="auto"/>
            <w:bottom w:val="none" w:sz="0" w:space="0" w:color="auto"/>
            <w:right w:val="none" w:sz="0" w:space="0" w:color="auto"/>
          </w:divBdr>
        </w:div>
        <w:div w:id="1953172906">
          <w:marLeft w:val="0"/>
          <w:marRight w:val="0"/>
          <w:marTop w:val="0"/>
          <w:marBottom w:val="0"/>
          <w:divBdr>
            <w:top w:val="none" w:sz="0" w:space="0" w:color="auto"/>
            <w:left w:val="none" w:sz="0" w:space="0" w:color="auto"/>
            <w:bottom w:val="none" w:sz="0" w:space="0" w:color="auto"/>
            <w:right w:val="none" w:sz="0" w:space="0" w:color="auto"/>
          </w:divBdr>
        </w:div>
        <w:div w:id="797845415">
          <w:marLeft w:val="0"/>
          <w:marRight w:val="0"/>
          <w:marTop w:val="0"/>
          <w:marBottom w:val="0"/>
          <w:divBdr>
            <w:top w:val="none" w:sz="0" w:space="0" w:color="auto"/>
            <w:left w:val="none" w:sz="0" w:space="0" w:color="auto"/>
            <w:bottom w:val="none" w:sz="0" w:space="0" w:color="auto"/>
            <w:right w:val="none" w:sz="0" w:space="0" w:color="auto"/>
          </w:divBdr>
        </w:div>
        <w:div w:id="1252548912">
          <w:marLeft w:val="0"/>
          <w:marRight w:val="0"/>
          <w:marTop w:val="0"/>
          <w:marBottom w:val="0"/>
          <w:divBdr>
            <w:top w:val="none" w:sz="0" w:space="0" w:color="auto"/>
            <w:left w:val="none" w:sz="0" w:space="0" w:color="auto"/>
            <w:bottom w:val="none" w:sz="0" w:space="0" w:color="auto"/>
            <w:right w:val="none" w:sz="0" w:space="0" w:color="auto"/>
          </w:divBdr>
        </w:div>
        <w:div w:id="132909867">
          <w:marLeft w:val="0"/>
          <w:marRight w:val="0"/>
          <w:marTop w:val="0"/>
          <w:marBottom w:val="0"/>
          <w:divBdr>
            <w:top w:val="none" w:sz="0" w:space="0" w:color="auto"/>
            <w:left w:val="none" w:sz="0" w:space="0" w:color="auto"/>
            <w:bottom w:val="none" w:sz="0" w:space="0" w:color="auto"/>
            <w:right w:val="none" w:sz="0" w:space="0" w:color="auto"/>
          </w:divBdr>
        </w:div>
        <w:div w:id="2121073037">
          <w:marLeft w:val="0"/>
          <w:marRight w:val="0"/>
          <w:marTop w:val="0"/>
          <w:marBottom w:val="0"/>
          <w:divBdr>
            <w:top w:val="none" w:sz="0" w:space="0" w:color="auto"/>
            <w:left w:val="none" w:sz="0" w:space="0" w:color="auto"/>
            <w:bottom w:val="none" w:sz="0" w:space="0" w:color="auto"/>
            <w:right w:val="none" w:sz="0" w:space="0" w:color="auto"/>
          </w:divBdr>
        </w:div>
        <w:div w:id="1987784308">
          <w:marLeft w:val="0"/>
          <w:marRight w:val="0"/>
          <w:marTop w:val="0"/>
          <w:marBottom w:val="0"/>
          <w:divBdr>
            <w:top w:val="none" w:sz="0" w:space="0" w:color="auto"/>
            <w:left w:val="none" w:sz="0" w:space="0" w:color="auto"/>
            <w:bottom w:val="none" w:sz="0" w:space="0" w:color="auto"/>
            <w:right w:val="none" w:sz="0" w:space="0" w:color="auto"/>
          </w:divBdr>
        </w:div>
        <w:div w:id="454369506">
          <w:marLeft w:val="0"/>
          <w:marRight w:val="0"/>
          <w:marTop w:val="0"/>
          <w:marBottom w:val="0"/>
          <w:divBdr>
            <w:top w:val="none" w:sz="0" w:space="0" w:color="auto"/>
            <w:left w:val="none" w:sz="0" w:space="0" w:color="auto"/>
            <w:bottom w:val="none" w:sz="0" w:space="0" w:color="auto"/>
            <w:right w:val="none" w:sz="0" w:space="0" w:color="auto"/>
          </w:divBdr>
        </w:div>
        <w:div w:id="217324288">
          <w:marLeft w:val="0"/>
          <w:marRight w:val="0"/>
          <w:marTop w:val="0"/>
          <w:marBottom w:val="0"/>
          <w:divBdr>
            <w:top w:val="none" w:sz="0" w:space="0" w:color="auto"/>
            <w:left w:val="none" w:sz="0" w:space="0" w:color="auto"/>
            <w:bottom w:val="none" w:sz="0" w:space="0" w:color="auto"/>
            <w:right w:val="none" w:sz="0" w:space="0" w:color="auto"/>
          </w:divBdr>
        </w:div>
        <w:div w:id="1636056527">
          <w:marLeft w:val="0"/>
          <w:marRight w:val="0"/>
          <w:marTop w:val="0"/>
          <w:marBottom w:val="0"/>
          <w:divBdr>
            <w:top w:val="none" w:sz="0" w:space="0" w:color="auto"/>
            <w:left w:val="none" w:sz="0" w:space="0" w:color="auto"/>
            <w:bottom w:val="none" w:sz="0" w:space="0" w:color="auto"/>
            <w:right w:val="none" w:sz="0" w:space="0" w:color="auto"/>
          </w:divBdr>
        </w:div>
        <w:div w:id="1275019623">
          <w:marLeft w:val="0"/>
          <w:marRight w:val="0"/>
          <w:marTop w:val="0"/>
          <w:marBottom w:val="0"/>
          <w:divBdr>
            <w:top w:val="none" w:sz="0" w:space="0" w:color="auto"/>
            <w:left w:val="none" w:sz="0" w:space="0" w:color="auto"/>
            <w:bottom w:val="none" w:sz="0" w:space="0" w:color="auto"/>
            <w:right w:val="none" w:sz="0" w:space="0" w:color="auto"/>
          </w:divBdr>
        </w:div>
        <w:div w:id="852885648">
          <w:marLeft w:val="0"/>
          <w:marRight w:val="0"/>
          <w:marTop w:val="0"/>
          <w:marBottom w:val="0"/>
          <w:divBdr>
            <w:top w:val="none" w:sz="0" w:space="0" w:color="auto"/>
            <w:left w:val="none" w:sz="0" w:space="0" w:color="auto"/>
            <w:bottom w:val="none" w:sz="0" w:space="0" w:color="auto"/>
            <w:right w:val="none" w:sz="0" w:space="0" w:color="auto"/>
          </w:divBdr>
        </w:div>
        <w:div w:id="207229013">
          <w:marLeft w:val="0"/>
          <w:marRight w:val="0"/>
          <w:marTop w:val="0"/>
          <w:marBottom w:val="0"/>
          <w:divBdr>
            <w:top w:val="none" w:sz="0" w:space="0" w:color="auto"/>
            <w:left w:val="none" w:sz="0" w:space="0" w:color="auto"/>
            <w:bottom w:val="none" w:sz="0" w:space="0" w:color="auto"/>
            <w:right w:val="none" w:sz="0" w:space="0" w:color="auto"/>
          </w:divBdr>
        </w:div>
        <w:div w:id="137576350">
          <w:marLeft w:val="0"/>
          <w:marRight w:val="0"/>
          <w:marTop w:val="0"/>
          <w:marBottom w:val="0"/>
          <w:divBdr>
            <w:top w:val="none" w:sz="0" w:space="0" w:color="auto"/>
            <w:left w:val="none" w:sz="0" w:space="0" w:color="auto"/>
            <w:bottom w:val="none" w:sz="0" w:space="0" w:color="auto"/>
            <w:right w:val="none" w:sz="0" w:space="0" w:color="auto"/>
          </w:divBdr>
        </w:div>
        <w:div w:id="473987455">
          <w:marLeft w:val="0"/>
          <w:marRight w:val="0"/>
          <w:marTop w:val="0"/>
          <w:marBottom w:val="0"/>
          <w:divBdr>
            <w:top w:val="none" w:sz="0" w:space="0" w:color="auto"/>
            <w:left w:val="none" w:sz="0" w:space="0" w:color="auto"/>
            <w:bottom w:val="none" w:sz="0" w:space="0" w:color="auto"/>
            <w:right w:val="none" w:sz="0" w:space="0" w:color="auto"/>
          </w:divBdr>
        </w:div>
        <w:div w:id="598680142">
          <w:marLeft w:val="0"/>
          <w:marRight w:val="0"/>
          <w:marTop w:val="0"/>
          <w:marBottom w:val="0"/>
          <w:divBdr>
            <w:top w:val="none" w:sz="0" w:space="0" w:color="auto"/>
            <w:left w:val="none" w:sz="0" w:space="0" w:color="auto"/>
            <w:bottom w:val="none" w:sz="0" w:space="0" w:color="auto"/>
            <w:right w:val="none" w:sz="0" w:space="0" w:color="auto"/>
          </w:divBdr>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275469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1511602">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75096108">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67269241">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78676523">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20952126">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5702031">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6510106">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6833607">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553150">
      <w:bodyDiv w:val="1"/>
      <w:marLeft w:val="0"/>
      <w:marRight w:val="0"/>
      <w:marTop w:val="0"/>
      <w:marBottom w:val="0"/>
      <w:divBdr>
        <w:top w:val="none" w:sz="0" w:space="0" w:color="auto"/>
        <w:left w:val="none" w:sz="0" w:space="0" w:color="auto"/>
        <w:bottom w:val="none" w:sz="0" w:space="0" w:color="auto"/>
        <w:right w:val="none" w:sz="0" w:space="0" w:color="auto"/>
      </w:divBdr>
    </w:div>
    <w:div w:id="1429808959">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068452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1453629">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25376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19355292">
      <w:bodyDiv w:val="1"/>
      <w:marLeft w:val="0"/>
      <w:marRight w:val="0"/>
      <w:marTop w:val="0"/>
      <w:marBottom w:val="0"/>
      <w:divBdr>
        <w:top w:val="none" w:sz="0" w:space="0" w:color="auto"/>
        <w:left w:val="none" w:sz="0" w:space="0" w:color="auto"/>
        <w:bottom w:val="none" w:sz="0" w:space="0" w:color="auto"/>
        <w:right w:val="none" w:sz="0" w:space="0" w:color="auto"/>
      </w:divBdr>
    </w:div>
    <w:div w:id="1721325717">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1752339">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6019032">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414109">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71323304">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242409">
      <w:bodyDiv w:val="1"/>
      <w:marLeft w:val="0"/>
      <w:marRight w:val="0"/>
      <w:marTop w:val="0"/>
      <w:marBottom w:val="0"/>
      <w:divBdr>
        <w:top w:val="none" w:sz="0" w:space="0" w:color="auto"/>
        <w:left w:val="none" w:sz="0" w:space="0" w:color="auto"/>
        <w:bottom w:val="none" w:sz="0" w:space="0" w:color="auto"/>
        <w:right w:val="none" w:sz="0" w:space="0" w:color="auto"/>
      </w:divBdr>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096899811">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11654730">
      <w:bodyDiv w:val="1"/>
      <w:marLeft w:val="0"/>
      <w:marRight w:val="0"/>
      <w:marTop w:val="0"/>
      <w:marBottom w:val="0"/>
      <w:divBdr>
        <w:top w:val="none" w:sz="0" w:space="0" w:color="auto"/>
        <w:left w:val="none" w:sz="0" w:space="0" w:color="auto"/>
        <w:bottom w:val="none" w:sz="0" w:space="0" w:color="auto"/>
        <w:right w:val="none" w:sz="0" w:space="0" w:color="auto"/>
      </w:divBdr>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1" Type="http://schemas.openxmlformats.org/officeDocument/2006/relationships/hyperlink" Target="http://www.alcaldiabogota.gov.co/sisjur/normas/Norma1.jsp?i=4329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AE2471A-3199-4B20-AFDA-06D9ECA11710}"/>
</file>

<file path=docProps/app.xml><?xml version="1.0" encoding="utf-8"?>
<Properties xmlns="http://schemas.openxmlformats.org/officeDocument/2006/extended-properties" xmlns:vt="http://schemas.openxmlformats.org/officeDocument/2006/docPropsVTypes">
  <Template>Respuesta a consultas</Template>
  <TotalTime>4</TotalTime>
  <Pages>19</Pages>
  <Words>7106</Words>
  <Characters>39087</Characters>
  <Application>Microsoft Office Word</Application>
  <DocSecurity>0</DocSecurity>
  <Lines>325</Lines>
  <Paragraphs>92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Tatiana Baquero Iguaran</cp:lastModifiedBy>
  <cp:revision>3</cp:revision>
  <cp:lastPrinted>2020-01-30T15:05:00Z</cp:lastPrinted>
  <dcterms:created xsi:type="dcterms:W3CDTF">2022-11-16T16:16:00Z</dcterms:created>
  <dcterms:modified xsi:type="dcterms:W3CDTF">2022-11-16T16:17:00Z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